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283" w:rsidRPr="00660283" w:rsidRDefault="00660283">
      <w:pPr>
        <w:pStyle w:val="Hemstlrubrik"/>
      </w:pPr>
      <w:r w:rsidRPr="00660283">
        <w:t>Förslag till riksdagsbeslut</w:t>
      </w:r>
    </w:p>
    <w:p w:rsidR="00660283" w:rsidRPr="00660283" w:rsidRDefault="00660283">
      <w:pPr>
        <w:pStyle w:val="Hemstlatt"/>
        <w:numPr>
          <w:ilvl w:val="0"/>
          <w:numId w:val="1"/>
        </w:numPr>
      </w:pPr>
      <w:r w:rsidRPr="00660283">
        <w:t>Riksdagen tillkännager för regeringen som sin mening vad som anförs i motionen om förändrade avdragsregler för ku</w:t>
      </w:r>
      <w:r w:rsidRPr="00660283">
        <w:t>l</w:t>
      </w:r>
      <w:r w:rsidRPr="00660283">
        <w:t>tursponsring.</w:t>
      </w:r>
    </w:p>
    <w:p w:rsidR="00660283" w:rsidRPr="00660283" w:rsidRDefault="00660283">
      <w:pPr>
        <w:pStyle w:val="Hemstlatt"/>
        <w:numPr>
          <w:ilvl w:val="0"/>
          <w:numId w:val="1"/>
        </w:numPr>
      </w:pPr>
      <w:r w:rsidRPr="00660283">
        <w:t>Riksdagen tillkännager för regeringen som sin mening vad som anförs i motionen om företags möjlighet till konstinköp.</w:t>
      </w:r>
    </w:p>
    <w:p w:rsidR="00660283" w:rsidRPr="00660283" w:rsidRDefault="00660283">
      <w:pPr>
        <w:pStyle w:val="Hemstlatt"/>
        <w:numPr>
          <w:ilvl w:val="0"/>
          <w:numId w:val="1"/>
        </w:numPr>
      </w:pPr>
      <w:r w:rsidRPr="00660283">
        <w:t>Riksdagen tillkännager för regeringen som sin mening vad som anförs i motionen om upprättande av regionala kompetenscentrum för utvecklingen av relationerna mellan kultur och näring</w:t>
      </w:r>
      <w:r w:rsidRPr="00660283">
        <w:t>s</w:t>
      </w:r>
      <w:r w:rsidRPr="00660283">
        <w:t>liv.</w:t>
      </w:r>
      <w:r w:rsidRPr="00660283">
        <w:rPr>
          <w:rStyle w:val="Fotnotsreferens"/>
        </w:rPr>
        <w:t>1</w:t>
      </w: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pPr>
        <w:pStyle w:val="Yrkandehnv"/>
        <w:spacing w:before="190"/>
        <w:rPr>
          <w:noProof w:val="0"/>
          <w:sz w:val="19"/>
        </w:rPr>
      </w:pPr>
    </w:p>
    <w:p w:rsidR="00660283" w:rsidRPr="00660283" w:rsidRDefault="00660283">
      <w:r w:rsidRPr="00660283">
        <w:rPr>
          <w:rStyle w:val="Fotnotsreferens"/>
        </w:rPr>
        <w:t>1</w:t>
      </w:r>
      <w:r w:rsidRPr="00660283">
        <w:t xml:space="preserve"> Yrkande 3 hänvisat till KrU.</w:t>
      </w:r>
    </w:p>
    <w:p w:rsidR="00660283" w:rsidRPr="00660283" w:rsidRDefault="00660283">
      <w:pPr>
        <w:pStyle w:val="Rubrik1"/>
        <w:pageBreakBefore/>
        <w:spacing w:before="0"/>
      </w:pPr>
      <w:r w:rsidRPr="00660283">
        <w:t>Motivering</w:t>
      </w:r>
    </w:p>
    <w:p w:rsidR="00660283" w:rsidRPr="00660283" w:rsidRDefault="00660283">
      <w:r w:rsidRPr="00660283">
        <w:t>En närmare koppling mellan kultursektorn och näringslivet är viktig för den framtida utvecklingen av både kulturlivet och näringslivet i Sverige. Ett ökat samarbete med den privata sektorn skulle innebära ett bredare deltagande i kulturlivet för de anställda på respektive företag, en möjlighet till kreativitet</w:t>
      </w:r>
      <w:r w:rsidRPr="00660283">
        <w:t>s</w:t>
      </w:r>
      <w:r w:rsidRPr="00660283">
        <w:t>utveckling inom de berörda företagen och ett inflöde av medel till kulturse</w:t>
      </w:r>
      <w:r w:rsidRPr="00660283">
        <w:t>k</w:t>
      </w:r>
      <w:r w:rsidRPr="00660283">
        <w:t>torn. Att arbeta aktivt för en större grad av samarbete innebär betydande vin</w:t>
      </w:r>
      <w:r w:rsidRPr="00660283">
        <w:t>s</w:t>
      </w:r>
      <w:r w:rsidRPr="00660283">
        <w:t>ter för både kulturlivet, näringslivet och samhället i stort. Det är därför viktigt att inte behandla frågan om kultur- och näringslivssamarbete enbart som en fråga för kulturen. Ett starkt, expansivt och framåtblickande näringsliv är i absolut behov av de impulser och de kontaktytor som kulturen kan erbjuda.</w:t>
      </w:r>
    </w:p>
    <w:p w:rsidR="00660283" w:rsidRPr="00660283" w:rsidRDefault="00660283">
      <w:pPr>
        <w:pStyle w:val="Normaltindrag"/>
      </w:pPr>
      <w:r w:rsidRPr="00660283">
        <w:t xml:space="preserve">Det finns idag ett växande intresse från båda </w:t>
      </w:r>
      <w:r w:rsidRPr="00660283">
        <w:t>parter att finna samarbetsmö</w:t>
      </w:r>
      <w:r w:rsidRPr="00660283">
        <w:t>j</w:t>
      </w:r>
      <w:r w:rsidRPr="00660283">
        <w:t>ligheter. Dock försvåras detta samarbete av snårig lagstiftning och brist på ku</w:t>
      </w:r>
      <w:r w:rsidRPr="00660283">
        <w:t>n</w:t>
      </w:r>
      <w:r w:rsidRPr="00660283">
        <w:t>skaper, strukturkapital och modeller för värdeskapande samarbeten.</w:t>
      </w:r>
    </w:p>
    <w:p w:rsidR="00660283" w:rsidRPr="00660283" w:rsidRDefault="00660283">
      <w:pPr>
        <w:pStyle w:val="Rubrik2"/>
      </w:pPr>
      <w:r w:rsidRPr="00660283">
        <w:t>Sponsring</w:t>
      </w:r>
    </w:p>
    <w:p w:rsidR="00660283" w:rsidRPr="00660283" w:rsidRDefault="00660283">
      <w:r w:rsidRPr="00660283">
        <w:t>Jag anser att skattelagstiftningen som reglerar avdragsrätten för sponsring snarast bör ändras i enlighet med det förslag från Stockholms Handelskamm</w:t>
      </w:r>
      <w:r w:rsidRPr="00660283">
        <w:t>a</w:t>
      </w:r>
      <w:r w:rsidRPr="00660283">
        <w:t>re som överlämnades till Kulturdepartementet i november 2006 (”Förslag om förändrade regler för sponsring, Stockholms Handelskammare, rapport 2006:3”).</w:t>
      </w:r>
    </w:p>
    <w:p w:rsidR="00660283" w:rsidRPr="00660283" w:rsidRDefault="00660283">
      <w:pPr>
        <w:pStyle w:val="Rubrik2"/>
      </w:pPr>
      <w:r w:rsidRPr="00660283">
        <w:t>Konstinköp</w:t>
      </w:r>
    </w:p>
    <w:p w:rsidR="00660283" w:rsidRPr="00660283" w:rsidRDefault="00660283">
      <w:r w:rsidRPr="00660283">
        <w:t>Dagens skatteregler hämmar företagens konstinköp, och det bör därför öve</w:t>
      </w:r>
      <w:r w:rsidRPr="00660283">
        <w:t>r</w:t>
      </w:r>
      <w:r w:rsidRPr="00660283">
        <w:t>vägas om avdrag för inköp av konst kan medges. Danmark införde redan 2003 avdragsrätt för konstinköp och stöd till enskilda gallerister vid intern</w:t>
      </w:r>
      <w:r w:rsidRPr="00660283">
        <w:t>a</w:t>
      </w:r>
      <w:r w:rsidRPr="00660283">
        <w:t>tionella konstmässor. Frankrike har system för avdragsrätt där aktiva konstn</w:t>
      </w:r>
      <w:r w:rsidRPr="00660283">
        <w:t>ä</w:t>
      </w:r>
      <w:r w:rsidRPr="00660283">
        <w:t>rer gynnas. I Frankrike finns också möjlighet att anställa konstnärer för konstnärligt arbete där lönen för detta arbete är avdragsgill. Jag anser att de</w:t>
      </w:r>
      <w:r w:rsidRPr="00660283">
        <w:t>s</w:t>
      </w:r>
      <w:r w:rsidRPr="00660283">
        <w:t>sa modeller är intressanta och bör kunna översättas till svenska förhållanden. De åtgärderna ökar möjligheten för konstnärer att få e</w:t>
      </w:r>
      <w:r w:rsidRPr="00660283">
        <w:t>n inkomst som gör det möjligt att leva på sitt konstnärskap.</w:t>
      </w:r>
    </w:p>
    <w:p w:rsidR="00660283" w:rsidRPr="00660283" w:rsidRDefault="00660283">
      <w:pPr>
        <w:pStyle w:val="Rubrik2"/>
        <w:rPr>
          <w:b/>
        </w:rPr>
      </w:pPr>
      <w:r w:rsidRPr="00660283">
        <w:t>Kompetenscentrum</w:t>
      </w:r>
    </w:p>
    <w:p w:rsidR="00660283" w:rsidRPr="00660283" w:rsidRDefault="00660283">
      <w:r w:rsidRPr="00660283">
        <w:t>När företag tillfrågas varför man inte i högre utsträckning samarbetar med kulturorganisationer och enskilda konstnärer, anförs ofta argumentet att r</w:t>
      </w:r>
      <w:r w:rsidRPr="00660283">
        <w:t>e</w:t>
      </w:r>
      <w:r w:rsidRPr="00660283">
        <w:t>gelverket är för otydligt, att man inte har tillräcklig kunskap i ämnet och ett bristfälligt kontaktnät i kulturlivet. Idag gör till exempel föreningen Kultur och Näringsliv stora insatser för att bygga broar mellan aktörer i de båda sektorerna, men mer behöver göras. Staten borde överväga att införa komp</w:t>
      </w:r>
      <w:r w:rsidRPr="00660283">
        <w:t>e</w:t>
      </w:r>
      <w:r w:rsidRPr="00660283">
        <w:t>tenscentrum för samarbeten och mötesplatser mellan parterna. Här kan ett nyligen genomfört arbete i Norge tjäna som modell. Genom en statlig sat</w:t>
      </w:r>
      <w:r w:rsidRPr="00660283">
        <w:t>s</w:t>
      </w:r>
      <w:r w:rsidRPr="00660283">
        <w:t>ning på Kultur och Näringslivs systerorganisation, Forum fo</w:t>
      </w:r>
      <w:r w:rsidRPr="00660283">
        <w:t>r Kultur og Na</w:t>
      </w:r>
      <w:r w:rsidRPr="00660283">
        <w:t>e</w:t>
      </w:r>
      <w:r w:rsidRPr="00660283">
        <w:t>ringsliv i Oslo, har ett 15-tal noder upprättats i olika delar av Norge. Dessa noder utgör lokala kompetenscentrum och arbetar aktivt i sina lokala nätverk för ett närmande mellan kulturlivet och den privata sektorn.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0283">
        <w:trPr>
          <w:cantSplit/>
        </w:trPr>
        <w:tc>
          <w:tcPr>
            <w:tcW w:w="3046" w:type="dxa"/>
          </w:tcPr>
          <w:p w:rsidR="00660283" w:rsidRPr="00660283" w:rsidRDefault="00660283">
            <w:pPr>
              <w:pStyle w:val="UnderskriftDatum"/>
              <w:spacing w:before="240"/>
            </w:pPr>
            <w:r w:rsidRPr="00660283">
              <w:t>Stockholm den 1 oktober 2008</w:t>
            </w:r>
          </w:p>
        </w:tc>
        <w:tc>
          <w:tcPr>
            <w:tcW w:w="3047" w:type="dxa"/>
          </w:tcPr>
          <w:p w:rsidR="00660283" w:rsidRPr="00660283" w:rsidRDefault="00660283">
            <w:pPr>
              <w:pStyle w:val="Underskrifter"/>
              <w:spacing w:before="240"/>
            </w:pPr>
          </w:p>
        </w:tc>
      </w:tr>
      <w:tr w:rsidR="00000000" w:rsidRPr="00660283">
        <w:trPr>
          <w:cantSplit/>
        </w:trPr>
        <w:tc>
          <w:tcPr>
            <w:tcW w:w="3046" w:type="dxa"/>
          </w:tcPr>
          <w:p w:rsidR="00660283" w:rsidRPr="00660283" w:rsidRDefault="00660283">
            <w:pPr>
              <w:pStyle w:val="Underskrifter"/>
            </w:pPr>
            <w:r w:rsidRPr="00660283">
              <w:t>Marianne Kierkemann (m)</w:t>
            </w:r>
          </w:p>
        </w:tc>
        <w:tc>
          <w:tcPr>
            <w:tcW w:w="3046" w:type="dxa"/>
          </w:tcPr>
          <w:p w:rsidR="00660283" w:rsidRPr="00660283" w:rsidRDefault="00660283">
            <w:pPr>
              <w:pStyle w:val="Underskrifter"/>
            </w:pPr>
          </w:p>
        </w:tc>
      </w:tr>
    </w:tbl>
    <w:p w:rsidR="00660283" w:rsidRPr="00660283" w:rsidRDefault="00660283">
      <w:pPr>
        <w:pStyle w:val="Normaltindrag"/>
      </w:pPr>
    </w:p>
    <w:sectPr w:rsidR="00000000" w:rsidRPr="006602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0283" w:rsidRPr="00660283" w:rsidRDefault="00660283">
      <w:r w:rsidRPr="00660283">
        <w:separator/>
      </w:r>
    </w:p>
  </w:endnote>
  <w:endnote w:type="continuationSeparator" w:id="0">
    <w:p w:rsidR="00660283" w:rsidRPr="00660283" w:rsidRDefault="00660283">
      <w:r w:rsidRPr="0066028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283" w:rsidRPr="00660283" w:rsidRDefault="00660283">
    <w:pPr>
      <w:pStyle w:val="Sidfot"/>
    </w:pPr>
    <w:r w:rsidRPr="0066028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422595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83" w:rsidRDefault="006602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0283" w:rsidRDefault="006602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283" w:rsidRPr="00660283" w:rsidRDefault="00660283">
    <w:pPr>
      <w:pStyle w:val="Sidfot"/>
    </w:pPr>
    <w:r w:rsidRPr="0066028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03071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83" w:rsidRDefault="006602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0283" w:rsidRDefault="006602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283" w:rsidRPr="00660283" w:rsidRDefault="00660283">
    <w:pPr>
      <w:pStyle w:val="Sidfot"/>
    </w:pPr>
    <w:r w:rsidRPr="0066028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17280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83" w:rsidRDefault="006602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0283" w:rsidRDefault="006602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0283" w:rsidRPr="00660283" w:rsidRDefault="00660283">
      <w:r w:rsidRPr="00660283">
        <w:separator/>
      </w:r>
    </w:p>
  </w:footnote>
  <w:footnote w:type="continuationSeparator" w:id="0">
    <w:p w:rsidR="00660283" w:rsidRPr="00660283" w:rsidRDefault="00660283">
      <w:r w:rsidRPr="0066028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283" w:rsidRPr="00660283" w:rsidRDefault="00660283">
    <w:pPr>
      <w:pStyle w:val="Sidhuvud"/>
    </w:pPr>
    <w:r w:rsidRPr="0066028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08250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83" w:rsidRDefault="006602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0283" w:rsidRDefault="006602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283" w:rsidRPr="00660283" w:rsidRDefault="00660283">
    <w:pPr>
      <w:pStyle w:val="Sidhuvud"/>
    </w:pPr>
    <w:r w:rsidRPr="0066028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732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283" w:rsidRDefault="006602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0283" w:rsidRDefault="006602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0283" w:rsidRPr="00660283" w:rsidRDefault="00660283">
    <w:pPr>
      <w:pStyle w:val="FSHNormal"/>
      <w:tabs>
        <w:tab w:val="right" w:pos="5840"/>
      </w:tabs>
    </w:pPr>
    <w:r w:rsidRPr="00660283">
      <w:br/>
    </w:r>
    <w:r w:rsidRPr="00660283">
      <w:fldChar w:fldCharType="begin" w:fldLock="1"/>
    </w:r>
    <w:r w:rsidRPr="00660283">
      <w:instrText xml:space="preserve"> DOCPROPERTY</w:instrText>
    </w:r>
    <w:r w:rsidRPr="00660283">
      <w:rPr>
        <w:sz w:val="18"/>
      </w:rPr>
      <w:instrText xml:space="preserve"> "YearUser" *\charformat </w:instrText>
    </w:r>
    <w:r w:rsidRPr="00660283">
      <w:fldChar w:fldCharType="separate"/>
    </w:r>
    <w:r w:rsidRPr="00660283">
      <w:t>2008/09</w:t>
    </w:r>
    <w:r w:rsidRPr="00660283">
      <w:fldChar w:fldCharType="end"/>
    </w:r>
    <w:r w:rsidRPr="00660283">
      <w:t xml:space="preserve"> </w:t>
    </w:r>
    <w:r w:rsidRPr="00660283">
      <w:tab/>
      <w:t xml:space="preserve">mnr: </w:t>
    </w:r>
    <w:r w:rsidRPr="00660283">
      <w:fldChar w:fldCharType="begin" w:fldLock="1"/>
    </w:r>
    <w:r w:rsidRPr="00660283">
      <w:instrText xml:space="preserve"> DOCPROPERTY</w:instrText>
    </w:r>
    <w:r w:rsidRPr="00660283">
      <w:rPr>
        <w:sz w:val="18"/>
      </w:rPr>
      <w:instrText xml:space="preserve"> "Motionsnummer" *\charformat </w:instrText>
    </w:r>
    <w:r w:rsidRPr="00660283">
      <w:fldChar w:fldCharType="separate"/>
    </w:r>
    <w:r w:rsidRPr="00660283">
      <w:t>Sk389</w:t>
    </w:r>
    <w:r w:rsidRPr="00660283">
      <w:fldChar w:fldCharType="end"/>
    </w:r>
    <w:r w:rsidRPr="00660283">
      <w:br/>
    </w:r>
    <w:r w:rsidRPr="00660283">
      <w:fldChar w:fldCharType="begin" w:fldLock="1"/>
    </w:r>
    <w:r w:rsidRPr="00660283">
      <w:instrText xml:space="preserve"> DOCPROPERTY</w:instrText>
    </w:r>
    <w:r w:rsidRPr="00660283">
      <w:rPr>
        <w:sz w:val="18"/>
      </w:rPr>
      <w:instrText xml:space="preserve"> "Samling" *\charformat </w:instrText>
    </w:r>
    <w:r w:rsidRPr="00660283">
      <w:fldChar w:fldCharType="end"/>
    </w:r>
    <w:r w:rsidRPr="00660283">
      <w:tab/>
      <w:t xml:space="preserve">pnr: </w:t>
    </w:r>
    <w:r w:rsidRPr="00660283">
      <w:fldChar w:fldCharType="begin" w:fldLock="1"/>
    </w:r>
    <w:r w:rsidRPr="00660283">
      <w:instrText xml:space="preserve"> DOCPROPERTY</w:instrText>
    </w:r>
    <w:r w:rsidRPr="00660283">
      <w:rPr>
        <w:sz w:val="18"/>
      </w:rPr>
      <w:instrText xml:space="preserve"> "Partinummer" *\charformat </w:instrText>
    </w:r>
    <w:r w:rsidRPr="00660283">
      <w:fldChar w:fldCharType="separate"/>
    </w:r>
    <w:r w:rsidRPr="00660283">
      <w:t>m1784</w:t>
    </w:r>
    <w:r w:rsidRPr="00660283">
      <w:fldChar w:fldCharType="end"/>
    </w:r>
  </w:p>
  <w:p w:rsidR="00660283" w:rsidRPr="00660283" w:rsidRDefault="00660283">
    <w:pPr>
      <w:pStyle w:val="FSHRub1"/>
    </w:pPr>
    <w:r w:rsidRPr="00660283">
      <w:t>Motion till riksdagen</w:t>
    </w:r>
    <w:r w:rsidRPr="00660283">
      <w:br/>
    </w:r>
    <w:r w:rsidRPr="00660283">
      <w:fldChar w:fldCharType="begin" w:fldLock="1"/>
    </w:r>
    <w:r w:rsidRPr="00660283">
      <w:instrText xml:space="preserve"> DOCPROPERTY "YearUser" *\charformat </w:instrText>
    </w:r>
    <w:r w:rsidRPr="00660283">
      <w:fldChar w:fldCharType="separate"/>
    </w:r>
    <w:r w:rsidRPr="00660283">
      <w:t>2008/09</w:t>
    </w:r>
    <w:r w:rsidRPr="00660283">
      <w:fldChar w:fldCharType="end"/>
    </w:r>
    <w:r w:rsidRPr="00660283">
      <w:t>:</w:t>
    </w:r>
    <w:r w:rsidRPr="00660283">
      <w:fldChar w:fldCharType="begin" w:fldLock="1"/>
    </w:r>
    <w:r w:rsidRPr="00660283">
      <w:instrText xml:space="preserve"> DOCPROPERTY "Motionsnummer" *\charformat </w:instrText>
    </w:r>
    <w:r w:rsidRPr="00660283">
      <w:fldChar w:fldCharType="separate"/>
    </w:r>
    <w:r w:rsidRPr="00660283">
      <w:t>Sk389</w:t>
    </w:r>
    <w:r w:rsidRPr="00660283">
      <w:fldChar w:fldCharType="end"/>
    </w:r>
  </w:p>
  <w:p w:rsidR="00660283" w:rsidRPr="00660283" w:rsidRDefault="00660283">
    <w:pPr>
      <w:pStyle w:val="FSHNormalS5"/>
    </w:pPr>
    <w:r w:rsidRPr="00660283">
      <w:fldChar w:fldCharType="begin" w:fldLock="1"/>
    </w:r>
    <w:r w:rsidRPr="00660283">
      <w:instrText xml:space="preserve"> DOCPROPERTY "MotionarText" *\charformat </w:instrText>
    </w:r>
    <w:r w:rsidRPr="00660283">
      <w:fldChar w:fldCharType="separate"/>
    </w:r>
    <w:r w:rsidRPr="00660283">
      <w:t>av Marianne Kierkemann (m)</w:t>
    </w:r>
    <w:r w:rsidRPr="00660283">
      <w:fldChar w:fldCharType="end"/>
    </w:r>
    <w:r w:rsidRPr="00660283">
      <w:br/>
    </w:r>
    <w:r w:rsidRPr="00660283">
      <w:fldChar w:fldCharType="begin" w:fldLock="1"/>
    </w:r>
    <w:r w:rsidRPr="00660283">
      <w:instrText xml:space="preserve"> DOCPROPERTY "SvarFrasKort" *\charformat </w:instrText>
    </w:r>
    <w:r w:rsidRPr="00660283">
      <w:fldChar w:fldCharType="end"/>
    </w:r>
  </w:p>
  <w:p w:rsidR="00660283" w:rsidRPr="00660283" w:rsidRDefault="00660283">
    <w:pPr>
      <w:pStyle w:val="FSHTitel"/>
    </w:pPr>
    <w:r w:rsidRPr="00660283">
      <w:fldChar w:fldCharType="begin" w:fldLock="1"/>
    </w:r>
    <w:r w:rsidRPr="00660283">
      <w:instrText xml:space="preserve"> DOCPROPERTY</w:instrText>
    </w:r>
    <w:r w:rsidRPr="00660283">
      <w:rPr>
        <w:sz w:val="18"/>
      </w:rPr>
      <w:instrText xml:space="preserve"> "RubrikSvar" *\charformat </w:instrText>
    </w:r>
    <w:r w:rsidRPr="00660283">
      <w:fldChar w:fldCharType="separate"/>
    </w:r>
    <w:r w:rsidRPr="00660283">
      <w:t>Fler möjligheter för kulturen</w:t>
    </w:r>
    <w:r w:rsidRPr="00660283">
      <w:fldChar w:fldCharType="end"/>
    </w:r>
  </w:p>
  <w:p w:rsidR="00660283" w:rsidRPr="00660283" w:rsidRDefault="00660283">
    <w:pPr>
      <w:pStyle w:val="Normal00"/>
    </w:pPr>
  </w:p>
  <w:p w:rsidR="00660283" w:rsidRPr="00660283" w:rsidRDefault="006602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7A31E71"/>
    <w:multiLevelType w:val="hybridMultilevel"/>
    <w:tmpl w:val="30A80BDC"/>
    <w:lvl w:ilvl="0" w:tplc="0DAA955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D1C03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8920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6FAD7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30A51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02476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C870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248D2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742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227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6721851">
    <w:abstractNumId w:val="8"/>
  </w:num>
  <w:num w:numId="2" w16cid:durableId="83767635">
    <w:abstractNumId w:val="9"/>
  </w:num>
  <w:num w:numId="3" w16cid:durableId="2110658805">
    <w:abstractNumId w:val="8"/>
  </w:num>
  <w:num w:numId="4" w16cid:durableId="650866776">
    <w:abstractNumId w:val="9"/>
  </w:num>
  <w:num w:numId="5" w16cid:durableId="1027100749">
    <w:abstractNumId w:val="14"/>
  </w:num>
  <w:num w:numId="6" w16cid:durableId="1935287148">
    <w:abstractNumId w:val="10"/>
  </w:num>
  <w:num w:numId="7" w16cid:durableId="611518924">
    <w:abstractNumId w:val="11"/>
  </w:num>
  <w:num w:numId="8" w16cid:durableId="288895522">
    <w:abstractNumId w:val="13"/>
  </w:num>
  <w:num w:numId="9" w16cid:durableId="2027707266">
    <w:abstractNumId w:val="8"/>
  </w:num>
  <w:num w:numId="10" w16cid:durableId="1209798473">
    <w:abstractNumId w:val="3"/>
  </w:num>
  <w:num w:numId="11" w16cid:durableId="452216999">
    <w:abstractNumId w:val="2"/>
  </w:num>
  <w:num w:numId="12" w16cid:durableId="2104254458">
    <w:abstractNumId w:val="1"/>
  </w:num>
  <w:num w:numId="13" w16cid:durableId="883061712">
    <w:abstractNumId w:val="0"/>
  </w:num>
  <w:num w:numId="14" w16cid:durableId="1180390616">
    <w:abstractNumId w:val="9"/>
  </w:num>
  <w:num w:numId="15" w16cid:durableId="423308140">
    <w:abstractNumId w:val="7"/>
  </w:num>
  <w:num w:numId="16" w16cid:durableId="43794909">
    <w:abstractNumId w:val="6"/>
  </w:num>
  <w:num w:numId="17" w16cid:durableId="2133161206">
    <w:abstractNumId w:val="5"/>
  </w:num>
  <w:num w:numId="18" w16cid:durableId="1537886929">
    <w:abstractNumId w:val="4"/>
  </w:num>
  <w:num w:numId="19" w16cid:durableId="2140949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ED8125C1-9954-4200-AF9D-1416D5964797}"/>
  </w:docVars>
  <w:rsids>
    <w:rsidRoot w:val="0070282B"/>
    <w:rsid w:val="00660283"/>
    <w:rsid w:val="0070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6722A89-9103-4244-86D0-88B26D3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2966</Characters>
  <Application>Microsoft Office Word</Application>
  <DocSecurity>4</DocSecurity>
  <Lines>70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m1784</vt:lpstr>
    </vt:vector>
  </TitlesOfParts>
  <Company>Riksdagen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m1784</dc:title>
  <dc:subject>m1784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2009-01-26T08:55:00Z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JP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Fler möjligheter för kulturen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Fler möjligheter för kulturen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Marianne Kierkemann (m)</vt:lpwstr>
  </property>
  <property fmtid="{D5CDD505-2E9C-101B-9397-08002B2CF9AE}" pid="26" name="MotionarLista">
    <vt:lpwstr>Kierkemann,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Kierkemann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jenny.petersson@riksdagen.se</vt:lpwstr>
  </property>
  <property fmtid="{D5CDD505-2E9C-101B-9397-08002B2CF9AE}" pid="45" name="ReservUID">
    <vt:lpwstr>jy0207aa</vt:lpwstr>
  </property>
  <property fmtid="{D5CDD505-2E9C-101B-9397-08002B2CF9AE}" pid="46" name="MotionID">
    <vt:lpwstr>20082009000000000109000017840069</vt:lpwstr>
  </property>
  <property fmtid="{D5CDD505-2E9C-101B-9397-08002B2CF9AE}" pid="47" name="datum">
    <vt:lpwstr>081001</vt:lpwstr>
  </property>
  <property fmtid="{D5CDD505-2E9C-101B-9397-08002B2CF9AE}" pid="48" name="avsändar-e-post">
    <vt:lpwstr>jenny.petersson@riksdagen.se</vt:lpwstr>
  </property>
  <property fmtid="{D5CDD505-2E9C-101B-9397-08002B2CF9AE}" pid="49" name="id">
    <vt:lpwstr>20082009000000000109000017840069</vt:lpwstr>
  </property>
  <property fmtid="{D5CDD505-2E9C-101B-9397-08002B2CF9AE}" pid="50" name="nummer">
    <vt:lpwstr>389</vt:lpwstr>
  </property>
  <property fmtid="{D5CDD505-2E9C-101B-9397-08002B2CF9AE}" pid="51" name="utskottsbeteckning">
    <vt:lpwstr>Sk</vt:lpwstr>
  </property>
  <property fmtid="{D5CDD505-2E9C-101B-9397-08002B2CF9AE}" pid="52" name="GlobalUID">
    <vt:lpwstr>{77C797E6-3BE1-4377-B046-CB31CA2EB6C0}</vt:lpwstr>
  </property>
  <property fmtid="{D5CDD505-2E9C-101B-9397-08002B2CF9AE}" pid="53" name="Överföringar">
    <vt:i4>0</vt:i4>
  </property>
  <property fmtid="{D5CDD505-2E9C-101B-9397-08002B2CF9AE}" pid="54" name="Checksum">
    <vt:lpwstr>*1004003141134*</vt:lpwstr>
  </property>
  <property fmtid="{D5CDD505-2E9C-101B-9397-08002B2CF9AE}" pid="55" name="skuggnummer">
    <vt:lpwstr>2398</vt:lpwstr>
  </property>
  <property fmtid="{D5CDD505-2E9C-101B-9397-08002B2CF9AE}" pid="56" name="urixVersion">
    <vt:lpwstr>3.2.0.8</vt:lpwstr>
  </property>
  <property fmtid="{D5CDD505-2E9C-101B-9397-08002B2CF9AE}" pid="57" name="urixOrigin">
    <vt:lpwstr>090402 15:47:24.525</vt:lpwstr>
  </property>
  <property fmtid="{D5CDD505-2E9C-101B-9397-08002B2CF9AE}" pid="58" name="urixGuid">
    <vt:lpwstr>{BF7E6115-972D-452F-B026-44406D925D09}</vt:lpwstr>
  </property>
</Properties>
</file>