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januari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2025/26:266 av Håkan Svenneling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Sudan och Sveriges vapenexport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2025/26:276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Myndigheters arbete för att upptäcka relationsvåld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2025/26:232 av Samuel Gonzalez Westling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agerande mot kvinnor som utnyttjas i prostitution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Svaret tas av Gudrun Nordborg (V)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Gymnasie-, högskole- och forskningsminister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2025/26:234 av Ewa Pihl Krabbe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modern och ändamålsenlig pliktmateriallagstiftning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2025/26:254 av Nadja Awad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till skola och utbildning för personer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2025/26:240 av Clara Aranda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psykiatrisk tvångsvård av barn och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2025/26:246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Religiösa paraplyorganisationer och bristen på transparens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Civilminister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2025/26:206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nedstängda 2G- och 3G-nät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2025/26:251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Upprätthållen verksamhet vid akutsjukhus när telefoni och nät ligger nere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Infrastruktur- och bostadsminister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2025/26:194 av Denis Begic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för kommunerna av bygglovsförenklingar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2025/26:205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svenska uranbrytningens klimatutsläpp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2025/26:262 av Katarina Luhr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nå klimatmålen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Jämställdhetsminister Nina Larsson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2025/26:223 av Ulrika Westerlund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Granskningen av Sverige av FN:s kommitté mot rasdiskriminering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2025/26:228 av Dzenan Cisija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Granskningen av Sverige av FN:s kommitté mot rasdiskriminering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2025/26:229 av Leila Ali Elmi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Granskningen av Sverige av FN:s kommitté mot rasdiskriminering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januari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2026-01-16</SAFIR_Sammantradesdatum_Doc>
    <SAFIR_SammantradeID xmlns="C07A1A6C-0B19-41D9-BDF8-F523BA3921EB">29328f8e-5082-4b62-9601-956b4a8ed6dc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A33C570-6718-44CB-AD58-5771C8A9A1E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