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D6C48">
        <w:tblPrEx>
          <w:tblCellMar>
            <w:top w:w="0" w:type="dxa"/>
            <w:bottom w:w="0" w:type="dxa"/>
          </w:tblCellMar>
        </w:tblPrEx>
        <w:trPr>
          <w:cantSplit/>
          <w:trHeight w:val="1720"/>
        </w:trPr>
        <w:tc>
          <w:tcPr>
            <w:tcW w:w="6024" w:type="dxa"/>
            <w:gridSpan w:val="2"/>
          </w:tcPr>
          <w:p w:rsidR="0045208F" w:rsidRPr="00AD6C48" w:rsidRDefault="0045208F">
            <w:pPr>
              <w:pStyle w:val="HuvudRubrik"/>
            </w:pPr>
            <w:r w:rsidRPr="00AD6C48">
              <w:t>Konstitutionsutskottets betänkande</w:t>
            </w:r>
          </w:p>
          <w:p w:rsidR="0045208F" w:rsidRPr="00AD6C48" w:rsidRDefault="0045208F">
            <w:pPr>
              <w:pStyle w:val="HuvudRubrikRad2"/>
            </w:pPr>
            <w:bookmarkStart w:id="0" w:name="BetänkandeNr"/>
            <w:bookmarkEnd w:id="0"/>
            <w:r w:rsidRPr="00AD6C48">
              <w:t>2002/03:KU29</w:t>
            </w:r>
          </w:p>
        </w:tc>
        <w:tc>
          <w:tcPr>
            <w:tcW w:w="1418" w:type="dxa"/>
            <w:tcBorders>
              <w:bottom w:val="nil"/>
            </w:tcBorders>
          </w:tcPr>
          <w:p w:rsidR="0045208F" w:rsidRPr="00AD6C48" w:rsidRDefault="00AD6C48">
            <w:pPr>
              <w:spacing w:line="230" w:lineRule="auto"/>
              <w:jc w:val="center"/>
            </w:pPr>
            <w:r w:rsidRPr="00AD6C4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5208F" w:rsidRPr="00AD6C48" w:rsidRDefault="0045208F">
            <w:pPr>
              <w:pStyle w:val="Normaltindrag"/>
              <w:jc w:val="center"/>
            </w:pPr>
          </w:p>
          <w:p w:rsidR="0045208F" w:rsidRPr="00AD6C48" w:rsidRDefault="0045208F">
            <w:pPr>
              <w:pStyle w:val="StatusSida1"/>
            </w:pPr>
          </w:p>
          <w:p w:rsidR="0045208F" w:rsidRPr="00AD6C48" w:rsidRDefault="0045208F">
            <w:pPr>
              <w:pStyle w:val="UtskriftsdatumSida1"/>
              <w:framePr w:wrap="around"/>
            </w:pPr>
          </w:p>
        </w:tc>
      </w:tr>
      <w:tr w:rsidR="00000000" w:rsidRPr="00AD6C48">
        <w:tblPrEx>
          <w:tblCellMar>
            <w:top w:w="0" w:type="dxa"/>
            <w:bottom w:w="0" w:type="dxa"/>
          </w:tblCellMar>
        </w:tblPrEx>
        <w:trPr>
          <w:cantSplit/>
        </w:trPr>
        <w:tc>
          <w:tcPr>
            <w:tcW w:w="6024" w:type="dxa"/>
            <w:gridSpan w:val="2"/>
            <w:tcBorders>
              <w:bottom w:val="single" w:sz="4" w:space="0" w:color="auto"/>
            </w:tcBorders>
          </w:tcPr>
          <w:p w:rsidR="0045208F" w:rsidRPr="00AD6C48" w:rsidRDefault="0045208F">
            <w:pPr>
              <w:pStyle w:val="DokumentRubrik"/>
              <w:rPr>
                <w:noProof w:val="0"/>
              </w:rPr>
            </w:pPr>
            <w:bookmarkStart w:id="1" w:name="Huvudrubrik"/>
            <w:bookmarkEnd w:id="1"/>
            <w:r w:rsidRPr="00AD6C48">
              <w:rPr>
                <w:noProof w:val="0"/>
              </w:rPr>
              <w:t>Redogörelse för behandlingen av riksdagens skrivelser till regeringen</w:t>
            </w:r>
          </w:p>
        </w:tc>
        <w:tc>
          <w:tcPr>
            <w:tcW w:w="1418" w:type="dxa"/>
            <w:tcBorders>
              <w:bottom w:val="nil"/>
            </w:tcBorders>
          </w:tcPr>
          <w:p w:rsidR="0045208F" w:rsidRPr="00AD6C48" w:rsidRDefault="0045208F"/>
        </w:tc>
      </w:tr>
      <w:tr w:rsidR="00000000" w:rsidRPr="00AD6C48">
        <w:tblPrEx>
          <w:tblCellMar>
            <w:top w:w="0" w:type="dxa"/>
            <w:bottom w:w="0" w:type="dxa"/>
          </w:tblCellMar>
        </w:tblPrEx>
        <w:trPr>
          <w:cantSplit/>
          <w:trHeight w:hRule="exact" w:val="360"/>
        </w:trPr>
        <w:tc>
          <w:tcPr>
            <w:tcW w:w="3012" w:type="dxa"/>
          </w:tcPr>
          <w:p w:rsidR="0045208F" w:rsidRPr="00AD6C48" w:rsidRDefault="0045208F"/>
        </w:tc>
        <w:tc>
          <w:tcPr>
            <w:tcW w:w="3012" w:type="dxa"/>
          </w:tcPr>
          <w:p w:rsidR="0045208F" w:rsidRPr="00AD6C48" w:rsidRDefault="0045208F"/>
        </w:tc>
        <w:tc>
          <w:tcPr>
            <w:tcW w:w="1418" w:type="dxa"/>
          </w:tcPr>
          <w:p w:rsidR="0045208F" w:rsidRPr="00AD6C48" w:rsidRDefault="0045208F"/>
        </w:tc>
      </w:tr>
    </w:tbl>
    <w:p w:rsidR="0045208F" w:rsidRPr="00AD6C48" w:rsidRDefault="0045208F">
      <w:pPr>
        <w:pStyle w:val="Rubrik1"/>
        <w:spacing w:after="180"/>
        <w:rPr>
          <w:noProof w:val="0"/>
        </w:rPr>
      </w:pPr>
      <w:bookmarkStart w:id="2" w:name="_Toc41451024"/>
      <w:r w:rsidRPr="00AD6C48">
        <w:rPr>
          <w:noProof w:val="0"/>
        </w:rPr>
        <w:t>Sammanfattning</w:t>
      </w:r>
      <w:bookmarkEnd w:id="2"/>
    </w:p>
    <w:p w:rsidR="0045208F" w:rsidRPr="00AD6C48" w:rsidRDefault="0045208F">
      <w:bookmarkStart w:id="3" w:name="TextStart"/>
      <w:bookmarkEnd w:id="3"/>
      <w:r w:rsidRPr="00AD6C48">
        <w:t>I betänkandet behandlar utskottet regeringens skrivelse 2002/03:75 Redog</w:t>
      </w:r>
      <w:r w:rsidRPr="00AD6C48">
        <w:t>ö</w:t>
      </w:r>
      <w:r w:rsidRPr="00AD6C48">
        <w:t>relse för behandlingen av riksdagens skrivelser till regeringen.</w:t>
      </w:r>
    </w:p>
    <w:p w:rsidR="0045208F" w:rsidRPr="00AD6C48" w:rsidRDefault="0045208F">
      <w:pPr>
        <w:pStyle w:val="Normaltindrag"/>
      </w:pPr>
      <w:r w:rsidRPr="00AD6C48">
        <w:t>Två motioner har väckts med anledning av skrivelsen. I motion 2002/03:K6 (m) föreslås regeringen ges till känna vad i motionen anförs om regeringens uppfyllande av riksdagens mål. I motion 2002/03:K7 (fp) föreslås regeringen ges till känna vad i motionen anförs dels om att regeringen inför skärpta rutiner gällande verkställandet av riksdagens beslut, dels om att r</w:t>
      </w:r>
      <w:r w:rsidRPr="00AD6C48">
        <w:t>e</w:t>
      </w:r>
      <w:r w:rsidRPr="00AD6C48">
        <w:t>geringen, i de fall särskilda skäl föreligger för att regeringen inte kan följa ett av riksdagen fattat beslut, skyndsamt skall meddela riksdagen detta och no</w:t>
      </w:r>
      <w:r w:rsidRPr="00AD6C48">
        <w:t>g</w:t>
      </w:r>
      <w:r w:rsidRPr="00AD6C48">
        <w:t>grant redovisa skälen härför.</w:t>
      </w:r>
    </w:p>
    <w:p w:rsidR="0045208F" w:rsidRPr="00AD6C48" w:rsidRDefault="0045208F">
      <w:pPr>
        <w:pStyle w:val="Normaltindrag"/>
      </w:pPr>
      <w:r w:rsidRPr="00AD6C48">
        <w:t>Utskottet anser att en fortsatt diskussion bör föras med Regeringskansliet angående hur utformningen av regeringens redogörelse för behandlingen av riksdagens skrivelser kan göras så ändamålsenlig som möjlig. När det gäller innehållet i regeringens redogörelse förutsätter utskottet, liksom tidigare, att regeringen hörsam</w:t>
      </w:r>
      <w:r w:rsidRPr="00AD6C48">
        <w:t>mar riksdagens tillkännagivanden</w:t>
      </w:r>
      <w:r w:rsidRPr="00AD6C48">
        <w:rPr>
          <w:snapToGrid w:val="0"/>
          <w:color w:val="000000"/>
          <w:sz w:val="18"/>
          <w:lang w:eastAsia="sv-SE"/>
        </w:rPr>
        <w:t xml:space="preserve"> och att regeringen för riksdagen redovisar sina bedömningar om de begärda åtgärderna inte vidtas. Om regeringen inte avser att vidta en begärd åtgärd i enlighet med riksdagsbeslutet måste detta enligt utskottets mening redovisas för riksdagen inom tidsramen, om en sådan uppställts av riksdagen. Även skälen för att riksdagsbeslutet inte följs bör tas upp i sammanhanget. Om en redovisning inte kan ges i skrivelse eller proposition till riksdagen bör den enligt utskottets menin</w:t>
      </w:r>
      <w:r w:rsidRPr="00AD6C48">
        <w:rPr>
          <w:snapToGrid w:val="0"/>
          <w:color w:val="000000"/>
          <w:sz w:val="18"/>
          <w:lang w:eastAsia="sv-SE"/>
        </w:rPr>
        <w:t>g lämnas till riksdagen i annan form som gör den tillgänglig för riksdagens samtliga led</w:t>
      </w:r>
      <w:r w:rsidRPr="00AD6C48">
        <w:rPr>
          <w:snapToGrid w:val="0"/>
          <w:color w:val="000000"/>
          <w:sz w:val="18"/>
          <w:lang w:eastAsia="sv-SE"/>
        </w:rPr>
        <w:t>a</w:t>
      </w:r>
      <w:r w:rsidRPr="00AD6C48">
        <w:rPr>
          <w:snapToGrid w:val="0"/>
          <w:color w:val="000000"/>
          <w:sz w:val="18"/>
          <w:lang w:eastAsia="sv-SE"/>
        </w:rPr>
        <w:t>möter.</w:t>
      </w:r>
    </w:p>
    <w:p w:rsidR="0045208F" w:rsidRPr="00AD6C48" w:rsidRDefault="0045208F">
      <w:pPr>
        <w:pStyle w:val="Normaltindrag"/>
      </w:pPr>
      <w:r w:rsidRPr="00AD6C48">
        <w:t>Gällande regeringens hantering av riksdagens skrivelse 2001/02:245 om de s.k. 3:12-reglerna och reglerna om andelsbyten har utskottet inget annat utt</w:t>
      </w:r>
      <w:r w:rsidRPr="00AD6C48">
        <w:t>a</w:t>
      </w:r>
      <w:r w:rsidRPr="00AD6C48">
        <w:t xml:space="preserve">lande i frågan än vad som gjorts i årets granskningsbetänkande (bet. 2002/03:KU30). </w:t>
      </w:r>
    </w:p>
    <w:p w:rsidR="0045208F" w:rsidRPr="00AD6C48" w:rsidRDefault="0045208F">
      <w:pPr>
        <w:pStyle w:val="Normaltindrag"/>
      </w:pPr>
      <w:r w:rsidRPr="00AD6C48">
        <w:t>Vad i övrigt gäller de ärenden som utskotten kommenterat i sina yttranden finner konstitutionsutskottet inte anledning att göra någon annan bedömning än den respektive utskott gjort. I sistnämnda delar finns två motivreservati</w:t>
      </w:r>
      <w:r w:rsidRPr="00AD6C48">
        <w:t>o</w:t>
      </w:r>
      <w:r w:rsidRPr="00AD6C48">
        <w:t>ner.</w:t>
      </w:r>
    </w:p>
    <w:p w:rsidR="0045208F" w:rsidRPr="00AD6C48" w:rsidRDefault="0045208F">
      <w:pPr>
        <w:pStyle w:val="Normaltindrag"/>
      </w:pPr>
    </w:p>
    <w:p w:rsidR="0045208F" w:rsidRPr="00AD6C48" w:rsidRDefault="0045208F">
      <w:pPr>
        <w:pStyle w:val="Normaltindrag"/>
        <w:sectPr w:rsidR="00000000" w:rsidRPr="00AD6C4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5208F" w:rsidRPr="00AD6C48" w:rsidRDefault="0045208F">
      <w:pPr>
        <w:pStyle w:val="Rubrik1"/>
        <w:rPr>
          <w:noProof w:val="0"/>
        </w:rPr>
      </w:pPr>
      <w:bookmarkStart w:id="4" w:name="_Toc41451025"/>
      <w:r w:rsidRPr="00AD6C48">
        <w:rPr>
          <w:noProof w:val="0"/>
        </w:rPr>
        <w:lastRenderedPageBreak/>
        <w:t>Innehållsförteckning</w:t>
      </w:r>
      <w:bookmarkEnd w:id="4"/>
    </w:p>
    <w:p w:rsidR="0045208F" w:rsidRPr="00AD6C48" w:rsidRDefault="0045208F">
      <w:pPr>
        <w:pStyle w:val="Innehll1"/>
      </w:pPr>
      <w:r w:rsidRPr="00AD6C48">
        <w:t>Sammanfattning</w:t>
      </w:r>
      <w:r w:rsidRPr="00AD6C48">
        <w:tab/>
        <w:t>1</w:t>
      </w:r>
    </w:p>
    <w:p w:rsidR="0045208F" w:rsidRPr="00AD6C48" w:rsidRDefault="0045208F">
      <w:pPr>
        <w:pStyle w:val="Innehll1"/>
      </w:pPr>
      <w:r w:rsidRPr="00AD6C48">
        <w:t>Innehållsförteckning</w:t>
      </w:r>
      <w:r w:rsidRPr="00AD6C48">
        <w:tab/>
        <w:t>2</w:t>
      </w:r>
    </w:p>
    <w:p w:rsidR="0045208F" w:rsidRPr="00AD6C48" w:rsidRDefault="0045208F">
      <w:pPr>
        <w:pStyle w:val="Innehll1"/>
      </w:pPr>
      <w:r w:rsidRPr="00AD6C48">
        <w:t>Utskottets förslag till riksdagsbeslut</w:t>
      </w:r>
      <w:r w:rsidRPr="00AD6C48">
        <w:tab/>
        <w:t>3</w:t>
      </w:r>
    </w:p>
    <w:p w:rsidR="0045208F" w:rsidRPr="00AD6C48" w:rsidRDefault="0045208F">
      <w:pPr>
        <w:pStyle w:val="Innehll2"/>
      </w:pPr>
      <w:r w:rsidRPr="00AD6C48">
        <w:t>Förslag till riksdagsbeslut</w:t>
      </w:r>
      <w:r w:rsidRPr="00AD6C48">
        <w:tab/>
        <w:t>3</w:t>
      </w:r>
    </w:p>
    <w:p w:rsidR="0045208F" w:rsidRPr="00AD6C48" w:rsidRDefault="0045208F">
      <w:pPr>
        <w:pStyle w:val="Innehll1"/>
      </w:pPr>
      <w:r w:rsidRPr="00AD6C48">
        <w:t>Redogörelse för ärendet</w:t>
      </w:r>
      <w:r w:rsidRPr="00AD6C48">
        <w:tab/>
        <w:t>4</w:t>
      </w:r>
    </w:p>
    <w:p w:rsidR="0045208F" w:rsidRPr="00AD6C48" w:rsidRDefault="0045208F">
      <w:pPr>
        <w:pStyle w:val="Innehll2"/>
      </w:pPr>
      <w:r w:rsidRPr="00AD6C48">
        <w:t>Årets redogörelse</w:t>
      </w:r>
      <w:r w:rsidRPr="00AD6C48">
        <w:tab/>
        <w:t>4</w:t>
      </w:r>
    </w:p>
    <w:p w:rsidR="0045208F" w:rsidRPr="00AD6C48" w:rsidRDefault="0045208F">
      <w:pPr>
        <w:pStyle w:val="Innehll2"/>
      </w:pPr>
      <w:r w:rsidRPr="00AD6C48">
        <w:t>Konstitutionsutskottet</w:t>
      </w:r>
      <w:r w:rsidRPr="00AD6C48">
        <w:tab/>
        <w:t>4</w:t>
      </w:r>
    </w:p>
    <w:p w:rsidR="0045208F" w:rsidRPr="00AD6C48" w:rsidRDefault="0045208F">
      <w:pPr>
        <w:pStyle w:val="Innehll2"/>
      </w:pPr>
      <w:r w:rsidRPr="00AD6C48">
        <w:t>Motionerna</w:t>
      </w:r>
      <w:r w:rsidRPr="00AD6C48">
        <w:tab/>
        <w:t>17</w:t>
      </w:r>
    </w:p>
    <w:p w:rsidR="0045208F" w:rsidRPr="00AD6C48" w:rsidRDefault="0045208F">
      <w:pPr>
        <w:pStyle w:val="Innehll2"/>
      </w:pPr>
      <w:r w:rsidRPr="00AD6C48">
        <w:t>Bakgrund</w:t>
      </w:r>
      <w:r w:rsidRPr="00AD6C48">
        <w:tab/>
        <w:t>18</w:t>
      </w:r>
    </w:p>
    <w:p w:rsidR="0045208F" w:rsidRPr="00AD6C48" w:rsidRDefault="0045208F">
      <w:pPr>
        <w:pStyle w:val="Innehll3"/>
      </w:pPr>
      <w:r w:rsidRPr="00AD6C48">
        <w:t>Gällande regler</w:t>
      </w:r>
      <w:r w:rsidRPr="00AD6C48">
        <w:tab/>
        <w:t>18</w:t>
      </w:r>
    </w:p>
    <w:p w:rsidR="0045208F" w:rsidRPr="00AD6C48" w:rsidRDefault="0045208F">
      <w:pPr>
        <w:pStyle w:val="Innehll4"/>
      </w:pPr>
      <w:r w:rsidRPr="00AD6C48">
        <w:t>Riksdagens skrivelser med tillkännagivanden till regeringen</w:t>
      </w:r>
      <w:r w:rsidRPr="00AD6C48">
        <w:tab/>
        <w:t>18</w:t>
      </w:r>
    </w:p>
    <w:p w:rsidR="0045208F" w:rsidRPr="00AD6C48" w:rsidRDefault="0045208F">
      <w:pPr>
        <w:pStyle w:val="Innehll3"/>
      </w:pPr>
      <w:r w:rsidRPr="00AD6C48">
        <w:t>Tidigare riksdagsbehandling</w:t>
      </w:r>
      <w:r w:rsidRPr="00AD6C48">
        <w:tab/>
        <w:t>20</w:t>
      </w:r>
    </w:p>
    <w:p w:rsidR="0045208F" w:rsidRPr="00AD6C48" w:rsidRDefault="0045208F">
      <w:pPr>
        <w:pStyle w:val="Innehll4"/>
      </w:pPr>
      <w:r w:rsidRPr="00AD6C48">
        <w:t>Utformningen av regeringens redogörelse</w:t>
      </w:r>
      <w:r w:rsidRPr="00AD6C48">
        <w:tab/>
        <w:t>20</w:t>
      </w:r>
    </w:p>
    <w:p w:rsidR="0045208F" w:rsidRPr="00AD6C48" w:rsidRDefault="0045208F">
      <w:pPr>
        <w:pStyle w:val="Innehll3"/>
      </w:pPr>
      <w:r w:rsidRPr="00AD6C48">
        <w:t>Utskottets ställningstagande</w:t>
      </w:r>
      <w:r w:rsidRPr="00AD6C48">
        <w:tab/>
        <w:t>20</w:t>
      </w:r>
    </w:p>
    <w:p w:rsidR="0045208F" w:rsidRPr="00AD6C48" w:rsidRDefault="0045208F">
      <w:pPr>
        <w:pStyle w:val="Innehll1"/>
      </w:pPr>
      <w:r w:rsidRPr="00AD6C48">
        <w:t>Reservationer</w:t>
      </w:r>
      <w:r w:rsidRPr="00AD6C48">
        <w:tab/>
        <w:t>22</w:t>
      </w:r>
    </w:p>
    <w:p w:rsidR="0045208F" w:rsidRPr="00AD6C48" w:rsidRDefault="0045208F">
      <w:pPr>
        <w:pStyle w:val="Innehll2"/>
        <w:tabs>
          <w:tab w:val="left" w:pos="568"/>
        </w:tabs>
      </w:pPr>
      <w:r w:rsidRPr="00AD6C48">
        <w:t>1.</w:t>
      </w:r>
      <w:r w:rsidRPr="00AD6C48">
        <w:tab/>
        <w:t>Regeringens handläggning av tillkännagivande om lokala folkomröstningar (punkt 1, motiveringen)</w:t>
      </w:r>
      <w:r w:rsidRPr="00AD6C48">
        <w:tab/>
        <w:t>22</w:t>
      </w:r>
    </w:p>
    <w:p w:rsidR="0045208F" w:rsidRPr="00AD6C48" w:rsidRDefault="0045208F">
      <w:pPr>
        <w:pStyle w:val="Innehll2"/>
        <w:tabs>
          <w:tab w:val="left" w:pos="568"/>
        </w:tabs>
      </w:pPr>
      <w:r w:rsidRPr="00AD6C48">
        <w:t>2.</w:t>
      </w:r>
      <w:r w:rsidRPr="00AD6C48">
        <w:tab/>
        <w:t>Redogörelse för behandlingen av riksdagens skrivelser till regeringen (punkt 2, motiveringen)</w:t>
      </w:r>
      <w:r w:rsidRPr="00AD6C48">
        <w:tab/>
        <w:t>22</w:t>
      </w:r>
    </w:p>
    <w:p w:rsidR="0045208F" w:rsidRPr="00AD6C48" w:rsidRDefault="0045208F">
      <w:pPr>
        <w:pStyle w:val="Innehll1"/>
      </w:pPr>
      <w:r w:rsidRPr="00AD6C48">
        <w:t>Bilaga 1 Förteckning över behandlade förslag</w:t>
      </w:r>
      <w:r w:rsidRPr="00AD6C48">
        <w:tab/>
        <w:t>24</w:t>
      </w:r>
    </w:p>
    <w:p w:rsidR="0045208F" w:rsidRPr="00AD6C48" w:rsidRDefault="0045208F">
      <w:pPr>
        <w:pStyle w:val="Innehll2"/>
      </w:pPr>
      <w:r w:rsidRPr="00AD6C48">
        <w:rPr>
          <w:snapToGrid w:val="0"/>
        </w:rPr>
        <w:t>Skrivelsen</w:t>
      </w:r>
      <w:r w:rsidRPr="00AD6C48">
        <w:tab/>
        <w:t>24</w:t>
      </w:r>
    </w:p>
    <w:p w:rsidR="0045208F" w:rsidRPr="00AD6C48" w:rsidRDefault="0045208F">
      <w:pPr>
        <w:pStyle w:val="Innehll2"/>
      </w:pPr>
      <w:r w:rsidRPr="00AD6C48">
        <w:rPr>
          <w:snapToGrid w:val="0"/>
        </w:rPr>
        <w:t>Följdmotioner</w:t>
      </w:r>
      <w:r w:rsidRPr="00AD6C48">
        <w:tab/>
        <w:t>24</w:t>
      </w:r>
    </w:p>
    <w:p w:rsidR="0045208F" w:rsidRPr="00AD6C48" w:rsidRDefault="0045208F">
      <w:pPr>
        <w:pStyle w:val="Innehll1"/>
      </w:pPr>
      <w:r w:rsidRPr="00AD6C48">
        <w:t>Bilaga 2 Finansutskottets yttrande 2002/03:FiU1y</w:t>
      </w:r>
      <w:r w:rsidRPr="00AD6C48">
        <w:tab/>
        <w:t>25</w:t>
      </w:r>
    </w:p>
    <w:p w:rsidR="0045208F" w:rsidRPr="00AD6C48" w:rsidRDefault="0045208F">
      <w:pPr>
        <w:pStyle w:val="Innehll1"/>
      </w:pPr>
      <w:r w:rsidRPr="00AD6C48">
        <w:t>Bilaga 3 Skatteutskottets yttrande 2002/03:SkU3y</w:t>
      </w:r>
      <w:r w:rsidRPr="00AD6C48">
        <w:tab/>
        <w:t>28</w:t>
      </w:r>
    </w:p>
    <w:p w:rsidR="0045208F" w:rsidRPr="00AD6C48" w:rsidRDefault="0045208F">
      <w:pPr>
        <w:pStyle w:val="Innehll1"/>
      </w:pPr>
      <w:r w:rsidRPr="00AD6C48">
        <w:t>Bilaga 4 Protokollsutdrag från Justitieutskottet</w:t>
      </w:r>
      <w:r w:rsidRPr="00AD6C48">
        <w:tab/>
        <w:t>35</w:t>
      </w:r>
    </w:p>
    <w:p w:rsidR="0045208F" w:rsidRPr="00AD6C48" w:rsidRDefault="0045208F">
      <w:pPr>
        <w:pStyle w:val="Innehll1"/>
      </w:pPr>
      <w:r w:rsidRPr="00AD6C48">
        <w:t>Bilaga 5 Protokollsutdrag från Lagutskottet</w:t>
      </w:r>
      <w:r w:rsidRPr="00AD6C48">
        <w:tab/>
        <w:t>47</w:t>
      </w:r>
    </w:p>
    <w:p w:rsidR="0045208F" w:rsidRPr="00AD6C48" w:rsidRDefault="0045208F">
      <w:pPr>
        <w:pStyle w:val="Innehll1"/>
      </w:pPr>
      <w:r w:rsidRPr="00AD6C48">
        <w:t>Bilaga 6 Protkollsutdrag från Utrikesutskottet</w:t>
      </w:r>
      <w:r w:rsidRPr="00AD6C48">
        <w:tab/>
        <w:t>48</w:t>
      </w:r>
    </w:p>
    <w:p w:rsidR="0045208F" w:rsidRPr="00AD6C48" w:rsidRDefault="0045208F">
      <w:pPr>
        <w:pStyle w:val="Innehll1"/>
      </w:pPr>
      <w:r w:rsidRPr="00AD6C48">
        <w:t>Bilaga 7 Protokollsutdrag från Försvarsutskottet</w:t>
      </w:r>
      <w:r w:rsidRPr="00AD6C48">
        <w:tab/>
        <w:t>49</w:t>
      </w:r>
    </w:p>
    <w:p w:rsidR="0045208F" w:rsidRPr="00AD6C48" w:rsidRDefault="0045208F">
      <w:pPr>
        <w:pStyle w:val="Innehll1"/>
      </w:pPr>
      <w:r w:rsidRPr="00AD6C48">
        <w:t>Bilaga 8 Socialförsäkringsutskottets yttrande 2002/03:SfU2y</w:t>
      </w:r>
      <w:r w:rsidRPr="00AD6C48">
        <w:tab/>
        <w:t>50</w:t>
      </w:r>
    </w:p>
    <w:p w:rsidR="0045208F" w:rsidRPr="00AD6C48" w:rsidRDefault="0045208F">
      <w:pPr>
        <w:pStyle w:val="Innehll1"/>
      </w:pPr>
      <w:r w:rsidRPr="00AD6C48">
        <w:t>Bilaga 9 Protokollsutdrag från Socialutskottet</w:t>
      </w:r>
      <w:r w:rsidRPr="00AD6C48">
        <w:tab/>
        <w:t>54</w:t>
      </w:r>
    </w:p>
    <w:p w:rsidR="0045208F" w:rsidRPr="00AD6C48" w:rsidRDefault="0045208F">
      <w:pPr>
        <w:pStyle w:val="Innehll1"/>
      </w:pPr>
      <w:r w:rsidRPr="00AD6C48">
        <w:t>Bilaga 10 Protokollsutdrag från Kulturutskottet</w:t>
      </w:r>
      <w:r w:rsidRPr="00AD6C48">
        <w:tab/>
        <w:t>55</w:t>
      </w:r>
    </w:p>
    <w:p w:rsidR="0045208F" w:rsidRPr="00AD6C48" w:rsidRDefault="0045208F">
      <w:pPr>
        <w:pStyle w:val="Innehll1"/>
      </w:pPr>
      <w:r w:rsidRPr="00AD6C48">
        <w:t>Bilaga 11 Protokollsutdrag från Utbildningsutskottet</w:t>
      </w:r>
      <w:r w:rsidRPr="00AD6C48">
        <w:tab/>
        <w:t>67</w:t>
      </w:r>
    </w:p>
    <w:p w:rsidR="0045208F" w:rsidRPr="00AD6C48" w:rsidRDefault="0045208F">
      <w:pPr>
        <w:pStyle w:val="Innehll1"/>
      </w:pPr>
      <w:r w:rsidRPr="00AD6C48">
        <w:t>Bilaga 12 Trafikutskottets yttrande 2002/03:TU2y</w:t>
      </w:r>
      <w:r w:rsidRPr="00AD6C48">
        <w:tab/>
        <w:t>70</w:t>
      </w:r>
    </w:p>
    <w:p w:rsidR="0045208F" w:rsidRPr="00AD6C48" w:rsidRDefault="0045208F">
      <w:pPr>
        <w:pStyle w:val="Innehll1"/>
      </w:pPr>
      <w:r w:rsidRPr="00AD6C48">
        <w:t>Bilaga 13 Protokollsutdrag från Miljö- och jordbruksutskottet</w:t>
      </w:r>
      <w:r w:rsidRPr="00AD6C48">
        <w:tab/>
        <w:t>76</w:t>
      </w:r>
    </w:p>
    <w:p w:rsidR="0045208F" w:rsidRPr="00AD6C48" w:rsidRDefault="0045208F">
      <w:pPr>
        <w:pStyle w:val="Innehll1"/>
      </w:pPr>
      <w:r w:rsidRPr="00AD6C48">
        <w:t>Bilaga 14 Protokollsutdrag från Näringsutskottet</w:t>
      </w:r>
      <w:r w:rsidRPr="00AD6C48">
        <w:tab/>
        <w:t>77</w:t>
      </w:r>
    </w:p>
    <w:p w:rsidR="0045208F" w:rsidRPr="00AD6C48" w:rsidRDefault="0045208F">
      <w:pPr>
        <w:pStyle w:val="Innehll1"/>
      </w:pPr>
      <w:r w:rsidRPr="00AD6C48">
        <w:t>Bilaga 15 Arbetsmarknadsutskottets yttrande 2002/03:AU2y</w:t>
      </w:r>
      <w:r w:rsidRPr="00AD6C48">
        <w:tab/>
        <w:t>78</w:t>
      </w:r>
    </w:p>
    <w:p w:rsidR="0045208F" w:rsidRPr="00AD6C48" w:rsidRDefault="0045208F">
      <w:pPr>
        <w:pStyle w:val="Innehll1"/>
      </w:pPr>
      <w:r w:rsidRPr="00AD6C48">
        <w:t>Bilaga 16 Bostadsutskottets yttrande 2002/03:BoU2y</w:t>
      </w:r>
      <w:r w:rsidRPr="00AD6C48">
        <w:tab/>
        <w:t>84</w:t>
      </w:r>
    </w:p>
    <w:p w:rsidR="0045208F" w:rsidRPr="00AD6C48" w:rsidRDefault="0045208F"/>
    <w:p w:rsidR="0045208F" w:rsidRPr="00AD6C48" w:rsidRDefault="0045208F">
      <w:pPr>
        <w:pStyle w:val="Normaltindrag"/>
        <w:sectPr w:rsidR="00000000" w:rsidRPr="00AD6C4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5208F" w:rsidRPr="00AD6C48" w:rsidRDefault="0045208F">
      <w:pPr>
        <w:pStyle w:val="Rubrik1"/>
        <w:rPr>
          <w:noProof w:val="0"/>
        </w:rPr>
      </w:pPr>
      <w:bookmarkStart w:id="5" w:name="_Toc41451026"/>
      <w:r w:rsidRPr="00AD6C48">
        <w:rPr>
          <w:noProof w:val="0"/>
        </w:rPr>
        <w:t>Utskottets förslag till riksdagsbeslut</w:t>
      </w:r>
      <w:bookmarkEnd w:id="5"/>
    </w:p>
    <w:p w:rsidR="0045208F" w:rsidRPr="00AD6C48" w:rsidRDefault="0045208F">
      <w:pPr>
        <w:pStyle w:val="Rubrik2"/>
        <w:spacing w:before="0"/>
      </w:pPr>
      <w:bookmarkStart w:id="6" w:name="_Toc41451027"/>
      <w:r w:rsidRPr="00AD6C48">
        <w:t>Förslag till riksdagsbeslut</w:t>
      </w:r>
      <w:bookmarkEnd w:id="6"/>
    </w:p>
    <w:p w:rsidR="0045208F" w:rsidRPr="00AD6C48" w:rsidRDefault="0045208F">
      <w:pPr>
        <w:pStyle w:val="Frslagspunkt"/>
        <w:rPr>
          <w:noProof w:val="0"/>
        </w:rPr>
      </w:pPr>
      <w:r w:rsidRPr="00AD6C48">
        <w:rPr>
          <w:noProof w:val="0"/>
        </w:rPr>
        <w:t>1.</w:t>
      </w:r>
      <w:r w:rsidRPr="00AD6C48">
        <w:rPr>
          <w:noProof w:val="0"/>
        </w:rPr>
        <w:tab/>
        <w:t>Regeringens handläggning av tillkännagivande om lokala folkomröstningar</w:t>
      </w:r>
    </w:p>
    <w:p w:rsidR="0045208F" w:rsidRPr="00AD6C48" w:rsidRDefault="0045208F">
      <w:pPr>
        <w:pStyle w:val="Frslagstext"/>
      </w:pPr>
      <w:r w:rsidRPr="00AD6C48">
        <w:t xml:space="preserve">Riksdagen avslår motion 2002/03:K7 yrkande 1 i denna del.       </w:t>
      </w:r>
      <w:bookmarkStart w:id="7" w:name="RESPARTI003"/>
      <w:bookmarkEnd w:id="7"/>
    </w:p>
    <w:p w:rsidR="0045208F" w:rsidRPr="00AD6C48" w:rsidRDefault="0045208F">
      <w:pPr>
        <w:pStyle w:val="Reservationshnvisning"/>
      </w:pPr>
      <w:r w:rsidRPr="00AD6C48">
        <w:t>Reservation 1 (m, fp, kd, c, mp) – m</w:t>
      </w:r>
      <w:r w:rsidRPr="00AD6C48">
        <w:t>o</w:t>
      </w:r>
      <w:r w:rsidRPr="00AD6C48">
        <w:t>tiv.</w:t>
      </w:r>
      <w:bookmarkStart w:id="8" w:name="RESPARTI001"/>
      <w:bookmarkEnd w:id="8"/>
    </w:p>
    <w:p w:rsidR="0045208F" w:rsidRPr="00AD6C48" w:rsidRDefault="0045208F">
      <w:pPr>
        <w:pStyle w:val="Frslagspunkt"/>
        <w:rPr>
          <w:noProof w:val="0"/>
        </w:rPr>
      </w:pPr>
      <w:r w:rsidRPr="00AD6C48">
        <w:rPr>
          <w:noProof w:val="0"/>
        </w:rPr>
        <w:t>2.</w:t>
      </w:r>
      <w:r w:rsidRPr="00AD6C48">
        <w:rPr>
          <w:noProof w:val="0"/>
        </w:rPr>
        <w:tab/>
        <w:t>Redogörelse för behandlingen av riksdagens skrivelser till regeringen</w:t>
      </w:r>
    </w:p>
    <w:p w:rsidR="0045208F" w:rsidRPr="00AD6C48" w:rsidRDefault="0045208F">
      <w:pPr>
        <w:pStyle w:val="Frslagstext"/>
      </w:pPr>
      <w:bookmarkStart w:id="9" w:name="RESPARTI002"/>
      <w:bookmarkEnd w:id="9"/>
      <w:r w:rsidRPr="00AD6C48">
        <w:t>Riksdagen avslår motionerna 2002/03:K6 och 2002/03:K7 yrkandena 1 i denna del och 2 och lägger regeringens skrivelse 2002/03:75 till han</w:t>
      </w:r>
      <w:r w:rsidRPr="00AD6C48">
        <w:t>d</w:t>
      </w:r>
      <w:r w:rsidRPr="00AD6C48">
        <w:t>lingarna.</w:t>
      </w:r>
    </w:p>
    <w:p w:rsidR="0045208F" w:rsidRPr="00AD6C48" w:rsidRDefault="0045208F">
      <w:pPr>
        <w:pStyle w:val="Reservationshnvisning"/>
      </w:pPr>
      <w:r w:rsidRPr="00AD6C48">
        <w:t>Reservation 2 (m, fp, kd, c) – motiv.</w:t>
      </w:r>
    </w:p>
    <w:p w:rsidR="0045208F" w:rsidRPr="00AD6C48" w:rsidRDefault="0045208F"/>
    <w:p w:rsidR="0045208F" w:rsidRPr="00AD6C48" w:rsidRDefault="0045208F">
      <w:pPr>
        <w:pStyle w:val="Normaltindrag"/>
      </w:pPr>
    </w:p>
    <w:p w:rsidR="0045208F" w:rsidRPr="00AD6C48" w:rsidRDefault="0045208F">
      <w:pPr>
        <w:pStyle w:val="Normaltindrag"/>
      </w:pPr>
    </w:p>
    <w:p w:rsidR="0045208F" w:rsidRPr="00AD6C48" w:rsidRDefault="0045208F">
      <w:pPr>
        <w:pStyle w:val="Utskriftsdatum"/>
      </w:pPr>
      <w:r w:rsidRPr="00AD6C48">
        <w:t>Stockholm den 22 maj 2003</w:t>
      </w:r>
    </w:p>
    <w:p w:rsidR="0045208F" w:rsidRPr="00AD6C48" w:rsidRDefault="0045208F">
      <w:r w:rsidRPr="00AD6C48">
        <w:t>På konstitutionsutskottets vägnar</w:t>
      </w:r>
    </w:p>
    <w:p w:rsidR="0045208F" w:rsidRPr="00AD6C48" w:rsidRDefault="0045208F">
      <w:pPr>
        <w:pStyle w:val="Ordfranden"/>
        <w:rPr>
          <w:noProof w:val="0"/>
        </w:rPr>
      </w:pPr>
      <w:bookmarkStart w:id="10" w:name="Ordförande"/>
      <w:bookmarkEnd w:id="10"/>
      <w:r w:rsidRPr="00AD6C48">
        <w:rPr>
          <w:noProof w:val="0"/>
        </w:rPr>
        <w:t xml:space="preserve">Gunnar Hökmark </w:t>
      </w:r>
    </w:p>
    <w:p w:rsidR="0045208F" w:rsidRPr="00AD6C48" w:rsidRDefault="0045208F">
      <w:pPr>
        <w:pStyle w:val="Deltagare"/>
        <w:rPr>
          <w:noProof w:val="0"/>
        </w:rPr>
      </w:pPr>
      <w:bookmarkStart w:id="11" w:name="Deltagare"/>
      <w:bookmarkEnd w:id="11"/>
      <w:r w:rsidRPr="00AD6C48">
        <w:rPr>
          <w:noProof w:val="0"/>
        </w:rPr>
        <w:t>Följande ledamöter har deltagit i beslutet: Gunnar Hökmark (m), Göran Magnusson (s), Barbro Hietala Nordlund (s), Helena Bargholtz (fp), Kenth Högström (s), Ingvar Svensson (kd), Mats Einarsson (v), Mats Berglind (s), Anders Bengtsson (s), Tobias Krantz (fp), Kerstin Lundgren (c), Helene Petersson (s), Nils Fredrik Aurelius (m), Billy Gustafsson (s), Gustav Fridolin (mp), Inger Jarl Beck (s) och Bertil Kjellberg (m).</w:t>
      </w:r>
    </w:p>
    <w:p w:rsidR="0045208F" w:rsidRPr="00AD6C48" w:rsidRDefault="0045208F">
      <w:pPr>
        <w:pStyle w:val="Normaltindrag"/>
      </w:pPr>
    </w:p>
    <w:p w:rsidR="0045208F" w:rsidRPr="00AD6C48" w:rsidRDefault="0045208F">
      <w:pPr>
        <w:pStyle w:val="Normaltindrag"/>
        <w:sectPr w:rsidR="00000000" w:rsidRPr="00AD6C4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5208F" w:rsidRPr="00AD6C48" w:rsidRDefault="0045208F">
      <w:pPr>
        <w:pStyle w:val="Rubrik1"/>
        <w:rPr>
          <w:noProof w:val="0"/>
        </w:rPr>
      </w:pPr>
      <w:bookmarkStart w:id="12" w:name="_Toc41451028"/>
      <w:r w:rsidRPr="00AD6C48">
        <w:rPr>
          <w:noProof w:val="0"/>
        </w:rPr>
        <w:t>Redogörelse för ärendet</w:t>
      </w:r>
      <w:bookmarkEnd w:id="12"/>
    </w:p>
    <w:p w:rsidR="0045208F" w:rsidRPr="00AD6C48" w:rsidRDefault="0045208F">
      <w:r w:rsidRPr="00AD6C48">
        <w:t>Sedan år 1961 lämnar regeringen en redogörelse till riksdagen för vilka åtgä</w:t>
      </w:r>
      <w:r w:rsidRPr="00AD6C48">
        <w:t>r</w:t>
      </w:r>
      <w:r w:rsidRPr="00AD6C48">
        <w:t>der regeringen har vidtagit med anledning av riksdagens olika beslut. Red</w:t>
      </w:r>
      <w:r w:rsidRPr="00AD6C48">
        <w:t>o</w:t>
      </w:r>
      <w:r w:rsidRPr="00AD6C48">
        <w:t xml:space="preserve">görelsen är knuten till de skrivelser i vilka riksdagen meddelar regeringen sina beslut. </w:t>
      </w:r>
    </w:p>
    <w:p w:rsidR="0045208F" w:rsidRPr="00AD6C48" w:rsidRDefault="0045208F">
      <w:pPr>
        <w:pStyle w:val="Rubrik2"/>
      </w:pPr>
      <w:bookmarkStart w:id="13" w:name="_Toc530465511"/>
      <w:bookmarkStart w:id="14" w:name="_Toc10441951"/>
      <w:bookmarkStart w:id="15" w:name="_Toc41451029"/>
      <w:r w:rsidRPr="00AD6C48">
        <w:t>Årets redogörelse</w:t>
      </w:r>
      <w:bookmarkEnd w:id="13"/>
      <w:bookmarkEnd w:id="14"/>
      <w:bookmarkEnd w:id="15"/>
    </w:p>
    <w:p w:rsidR="0045208F" w:rsidRPr="00AD6C48" w:rsidRDefault="0045208F">
      <w:r w:rsidRPr="00AD6C48">
        <w:t>Inom Regeringskansliet har upprättats en ny redogörelse för behandlingen av riksdagens skrivelser till regeringen, regeringens skrivelse 2002/03:75. Den nu aktuella redogörelsen avser huvudsakligen sådana åtgärder som vidtagits under tiden den 1 januari till den 31 december 2002. För att underlätta för riksdagsutskotten att vid sitt utvärderings- och uppföljningsarbete få en så aktuell bild som möjligt har redovisningen fått omfatta även vissa regering</w:t>
      </w:r>
      <w:r w:rsidRPr="00AD6C48">
        <w:t>s</w:t>
      </w:r>
      <w:r w:rsidRPr="00AD6C48">
        <w:t>beslut från tiden efter den egentliga redovisningsperiodens utgång. Detta förfarande har använts om riksdagsskrivelserna som därigenom har kunnat rapporteras som slutb</w:t>
      </w:r>
      <w:r w:rsidRPr="00AD6C48">
        <w:t>e</w:t>
      </w:r>
      <w:r w:rsidRPr="00AD6C48">
        <w:t>handlade.</w:t>
      </w:r>
    </w:p>
    <w:p w:rsidR="0045208F" w:rsidRPr="00AD6C48" w:rsidRDefault="0045208F">
      <w:pPr>
        <w:pStyle w:val="Normaltindrag"/>
      </w:pPr>
      <w:r w:rsidRPr="00AD6C48">
        <w:t>Redovisningen omfattar 428 riksdagsskrivelser ställda till regeringen, va</w:t>
      </w:r>
      <w:r w:rsidRPr="00AD6C48">
        <w:t>r</w:t>
      </w:r>
      <w:r w:rsidRPr="00AD6C48">
        <w:t xml:space="preserve">av 85 avgetts under riksmötet 2002/03, 208 under riksmötet 2001/02, </w:t>
      </w:r>
      <w:r w:rsidRPr="00AD6C48">
        <w:br/>
        <w:t>46 under riksmötet 2000/01 och 89 under tidigare riksmöten. 174 skrivelser betecknas av regeringen som inte slutbehandlade.</w:t>
      </w:r>
    </w:p>
    <w:p w:rsidR="0045208F" w:rsidRPr="00AD6C48" w:rsidRDefault="0045208F">
      <w:pPr>
        <w:pStyle w:val="Rubrik2"/>
      </w:pPr>
      <w:bookmarkStart w:id="16" w:name="_Toc530465512"/>
      <w:bookmarkStart w:id="17" w:name="_Toc10441952"/>
      <w:bookmarkStart w:id="18" w:name="_Toc41451030"/>
      <w:r w:rsidRPr="00AD6C48">
        <w:t>Konstitutionsutskottet</w:t>
      </w:r>
      <w:bookmarkEnd w:id="16"/>
      <w:bookmarkEnd w:id="17"/>
      <w:bookmarkEnd w:id="18"/>
    </w:p>
    <w:p w:rsidR="0045208F" w:rsidRPr="00AD6C48" w:rsidRDefault="0045208F">
      <w:r w:rsidRPr="00AD6C48">
        <w:t>Konstitutionsutskottet har anmodat övriga utskott att yttra sig över regerin</w:t>
      </w:r>
      <w:r w:rsidRPr="00AD6C48">
        <w:t>g</w:t>
      </w:r>
      <w:r w:rsidRPr="00AD6C48">
        <w:t>ens skrivelse. Yttranden har inkommit från finansutskottet, skatteutskottet, socialförsäkringsutskottet, socialutskottet, trafikutskottet, arbetsmarknadsu</w:t>
      </w:r>
      <w:r w:rsidRPr="00AD6C48">
        <w:t>t</w:t>
      </w:r>
      <w:r w:rsidRPr="00AD6C48">
        <w:t>skottet och bostadsutskottet, se bilagorna 1–7. Övriga utskott har valt att inte yttra sig med anledning av regeringens redog</w:t>
      </w:r>
      <w:r w:rsidRPr="00AD6C48">
        <w:t>ö</w:t>
      </w:r>
      <w:r w:rsidRPr="00AD6C48">
        <w:t xml:space="preserve">relse. </w:t>
      </w:r>
    </w:p>
    <w:p w:rsidR="0045208F" w:rsidRPr="00AD6C48" w:rsidRDefault="0045208F">
      <w:pPr>
        <w:pStyle w:val="Normaltindrag"/>
      </w:pPr>
      <w:r w:rsidRPr="00AD6C48">
        <w:rPr>
          <w:i/>
        </w:rPr>
        <w:t>Konstitutionsutskottet</w:t>
      </w:r>
      <w:r w:rsidRPr="00AD6C48">
        <w:t xml:space="preserve"> får inledningsvis för egen del anföra följande. Red</w:t>
      </w:r>
      <w:r w:rsidRPr="00AD6C48">
        <w:t>o</w:t>
      </w:r>
      <w:r w:rsidRPr="00AD6C48">
        <w:t>görelsen omfattar 52 riksdagsskrivelser om beslut på grundval av betänka</w:t>
      </w:r>
      <w:r w:rsidRPr="00AD6C48">
        <w:t>n</w:t>
      </w:r>
      <w:r w:rsidRPr="00AD6C48">
        <w:t>den från konstitutionsutskottet samt tre riksdagsskrivelser på grundval av betänkanden från det sammansatta konstitutions- och utrikesutskottet. Enligt regeringens redogörelse var 23 (21 KU respektive 2 KUU) av dessa inte slutbehandlade när redogörelsen avlämnades, av dessa är fem äldre än två år och fyra hä</w:t>
      </w:r>
      <w:r w:rsidRPr="00AD6C48">
        <w:t>r</w:t>
      </w:r>
      <w:r w:rsidRPr="00AD6C48">
        <w:t>rör från 2000/01.</w:t>
      </w:r>
    </w:p>
    <w:p w:rsidR="0045208F" w:rsidRPr="00AD6C48" w:rsidRDefault="0045208F">
      <w:pPr>
        <w:pStyle w:val="Normaltindrag"/>
      </w:pPr>
      <w:r w:rsidRPr="00AD6C48">
        <w:t>Den äldsta inte slutbehandlade skrivelsen, 1994/95:243, ha</w:t>
      </w:r>
      <w:r w:rsidRPr="00AD6C48">
        <w:t>ndlar om åtgä</w:t>
      </w:r>
      <w:r w:rsidRPr="00AD6C48">
        <w:t>r</w:t>
      </w:r>
      <w:r w:rsidRPr="00AD6C48">
        <w:t xml:space="preserve">der mot våldsskildringar m.m. Konstitutionsutskottet gav, med anledning av ett tiotal motioner om biografcensur m.m., regeringen till känna att de ämnen som togs upp i motionerna borde kunna bli föremål för en samlad analys och bedömning i regeringens brett upplagda arbete mot våldet i samhället. Den </w:t>
      </w:r>
      <w:r w:rsidRPr="00AD6C48">
        <w:br/>
        <w:t>17 december 1998 utfärdade regeringen en lag om ändring i radio- och TV-lagen (1996:844) som riksdagen antagit. Lagändringen innebär bl.a. att TV-program med ingående våldsskildringar eller med p</w:t>
      </w:r>
      <w:r w:rsidRPr="00AD6C48">
        <w:t>ornografiska bilder skall föregås av en varningssignal. Den 22 december 1998 beslutade regeringen tilläggsdirektiv till Rådet mot skadliga våldsskildringar. Rådet har fått i up</w:t>
      </w:r>
      <w:r w:rsidRPr="00AD6C48">
        <w:t>p</w:t>
      </w:r>
      <w:r w:rsidRPr="00AD6C48">
        <w:t>drag att bl.a. informera industrin för audiovisuella tjänster och information</w:t>
      </w:r>
      <w:r w:rsidRPr="00AD6C48">
        <w:t>s</w:t>
      </w:r>
      <w:r w:rsidRPr="00AD6C48">
        <w:t>tjänster om innehållet i EU-rekommendationen (98/560/EG) om skydd av minderåriga och den mänskliga värdigheten. Rådet skall följa branschernas självreglerande arbete med dessa frågor och fungera som stöd och samtal</w:t>
      </w:r>
      <w:r w:rsidRPr="00AD6C48">
        <w:t>s</w:t>
      </w:r>
      <w:r w:rsidRPr="00AD6C48">
        <w:t>partner om branscherna så önskar. Den 8 ju</w:t>
      </w:r>
      <w:r w:rsidRPr="00AD6C48">
        <w:t>ni 2000 beslutade regeringen direktiv till en utredare som bl.a. skulle överväga olika sätt att förbättra mö</w:t>
      </w:r>
      <w:r w:rsidRPr="00AD6C48">
        <w:t>j</w:t>
      </w:r>
      <w:r w:rsidRPr="00AD6C48">
        <w:t xml:space="preserve">ligheten att skydda barn mot olämpligt programinnehåll (dir. 2000:43). I december 2000 färdigställde utredaren promemorian Förråande pornografiska filmer – en översyn av 4 § lagen (1990:886) om granskning och kontroll av filmer och videogram (Ds 2001:5). Regeringen remitterade ett förslag med anledning av promemorian till Lagrådet. Lagrådet lämnade sitt yttrande den </w:t>
      </w:r>
      <w:r w:rsidRPr="00AD6C48">
        <w:br/>
        <w:t>8 februari 2002. Ärendet bereds v</w:t>
      </w:r>
      <w:r w:rsidRPr="00AD6C48">
        <w:t xml:space="preserve">idare i Regeringskansliet. </w:t>
      </w:r>
    </w:p>
    <w:p w:rsidR="0045208F" w:rsidRPr="00AD6C48" w:rsidRDefault="0045208F">
      <w:pPr>
        <w:pStyle w:val="Normaltindrag"/>
      </w:pPr>
      <w:r w:rsidRPr="00AD6C48">
        <w:t xml:space="preserve">Riksdagsskrivelse 1998/99:147 gäller </w:t>
      </w:r>
      <w:r w:rsidRPr="00AD6C48">
        <w:rPr>
          <w:i/>
        </w:rPr>
        <w:t>dels</w:t>
      </w:r>
      <w:r w:rsidRPr="00AD6C48">
        <w:t xml:space="preserve"> ett tillkännagivande om revid</w:t>
      </w:r>
      <w:r w:rsidRPr="00AD6C48">
        <w:t>e</w:t>
      </w:r>
      <w:r w:rsidRPr="00AD6C48">
        <w:t>ring av EG-direktivet om skydd för enskilda personer med avseende på b</w:t>
      </w:r>
      <w:r w:rsidRPr="00AD6C48">
        <w:t>e</w:t>
      </w:r>
      <w:r w:rsidRPr="00AD6C48">
        <w:t xml:space="preserve">handling av personuppgifter och om det fria flödet av sådana uppgifter (mom. 1), </w:t>
      </w:r>
      <w:r w:rsidRPr="00AD6C48">
        <w:rPr>
          <w:i/>
        </w:rPr>
        <w:t>dels</w:t>
      </w:r>
      <w:r w:rsidRPr="00AD6C48">
        <w:t xml:space="preserve"> ett tillkännagivande om lagstiftning mot missbruk av personuppgifter (mom. 2). Konstitutionsutskottet framhöll i betänkande 1998/99:KU15 Pe</w:t>
      </w:r>
      <w:r w:rsidRPr="00AD6C48">
        <w:t>r</w:t>
      </w:r>
      <w:r w:rsidRPr="00AD6C48">
        <w:t>sonuppgiftslagen att EG-direktivet fick anses omodernt och att en revidering av direktivet måste ske. Enligt utskottet är det av stor vikt att den svenska regeringen inom EU med kr</w:t>
      </w:r>
      <w:r w:rsidRPr="00AD6C48">
        <w:t>aft verkar för att en revidering av direktivet sker. Utskottet uttalade vidare att intensifierade åtgärder bör vidtas för att åsta</w:t>
      </w:r>
      <w:r w:rsidRPr="00AD6C48">
        <w:t>d</w:t>
      </w:r>
      <w:r w:rsidRPr="00AD6C48">
        <w:t>komma en lagstiftning som syftar till att ingripa mot missbruk av personup</w:t>
      </w:r>
      <w:r w:rsidRPr="00AD6C48">
        <w:t>p</w:t>
      </w:r>
      <w:r w:rsidRPr="00AD6C48">
        <w:t>gifter och inte mot själva hanteringen av sådana uppgifter. Regeringen har på olika sätt verkat för en ändring av EG-direktivet och kontinuerligt informerat en samrådsgrupp med representanter för samtliga riksdagspartier. Justitied</w:t>
      </w:r>
      <w:r w:rsidRPr="00AD6C48">
        <w:t>e</w:t>
      </w:r>
      <w:r w:rsidRPr="00AD6C48">
        <w:t>partementet har utarbetat ett förslag till ändringar i direktivet enligt e</w:t>
      </w:r>
      <w:r w:rsidRPr="00AD6C48">
        <w:t>n s.k. missbruksinriktad regleringsmodell och en enkät om EG-direktivet som alla intresserade inbjudits att svara på. Enkätsvaren har sammanställts i promem</w:t>
      </w:r>
      <w:r w:rsidRPr="00AD6C48">
        <w:t>o</w:t>
      </w:r>
      <w:r w:rsidRPr="00AD6C48">
        <w:t>rian EG-direktivet om personuppgifter – en offentlig utvärdering (Ds 2001:27). Såväl förslaget till missbruksmodell som enkätsvaren har present</w:t>
      </w:r>
      <w:r w:rsidRPr="00AD6C48">
        <w:t>e</w:t>
      </w:r>
      <w:r w:rsidRPr="00AD6C48">
        <w:t>rats för EG-kommissionen under våren 2002. Arbetet har emellertid i första hand varit inriktat på att söka stöd för ändringar i direktivet från andra me</w:t>
      </w:r>
      <w:r w:rsidRPr="00AD6C48">
        <w:t>d</w:t>
      </w:r>
      <w:r w:rsidRPr="00AD6C48">
        <w:t>lemsstater. I september 2002 bar det arbetet frukt när, ef</w:t>
      </w:r>
      <w:r w:rsidRPr="00AD6C48">
        <w:t>ter svenskt initiativ, fyra medlemsstater gemensamt hos kommissionen krävde att direktivet ändras i en missbruksinriktad riktning. Arbetet med att förmå kommissionen att lägga fram förslag till ändringar i direktivet och vidta andra åtgärder i öns</w:t>
      </w:r>
      <w:r w:rsidRPr="00AD6C48">
        <w:t>k</w:t>
      </w:r>
      <w:r w:rsidRPr="00AD6C48">
        <w:t>värd riktning fortsätter enligt regeringen. Den rapport om genomförande av direktivet som kommissionen skall lämna enligt artikel 33 i direktivet ko</w:t>
      </w:r>
      <w:r w:rsidRPr="00AD6C48">
        <w:t>m</w:t>
      </w:r>
      <w:r w:rsidRPr="00AD6C48">
        <w:t>mer sannolikt att presenteras under första halvåret 2003.  När det gäller la</w:t>
      </w:r>
      <w:r w:rsidRPr="00AD6C48">
        <w:t>g</w:t>
      </w:r>
      <w:r w:rsidRPr="00AD6C48">
        <w:t>stiftning mot missbruk av personuppgif</w:t>
      </w:r>
      <w:r w:rsidRPr="00AD6C48">
        <w:t>ter (mom. 2) ändrades personup</w:t>
      </w:r>
      <w:r w:rsidRPr="00AD6C48">
        <w:t>p</w:t>
      </w:r>
      <w:r w:rsidRPr="00AD6C48">
        <w:t>giftslagens överföringsregler och straffbestämmelser från den 1 januari 2000. Ändringarna innebar att lagstiftningen närmar sig den missbruksinriktade regleringsmodell som riksdagen uttalat sig för. Även vissa ändringar som gjorts i bl.a. personuppgiftsförordningen (1998:1191) verkar enligt regeringen i samma riktning. Regeringen beslutade den 21 februari 2002 att tillkalla en särskild utredare i syfte att inom ramen för EG-direktivet om personuppgifter åstadkomma ett regelver</w:t>
      </w:r>
      <w:r w:rsidRPr="00AD6C48">
        <w:t>k som mera tar sikte på missbruk av personuppgifter (dir. 2002:31). Utredningsup</w:t>
      </w:r>
      <w:r w:rsidRPr="00AD6C48">
        <w:t>p</w:t>
      </w:r>
      <w:r w:rsidRPr="00AD6C48">
        <w:t xml:space="preserve">draget skall redovisas i oktober 2003. </w:t>
      </w:r>
    </w:p>
    <w:p w:rsidR="0045208F" w:rsidRPr="00AD6C48" w:rsidRDefault="0045208F">
      <w:pPr>
        <w:pStyle w:val="Normaltindrag"/>
      </w:pPr>
      <w:r w:rsidRPr="00AD6C48">
        <w:t>Riksdagsskrivelse 1998/99:163 gäller två tillkännagivanden om kommu</w:t>
      </w:r>
      <w:r w:rsidRPr="00AD6C48">
        <w:t>n</w:t>
      </w:r>
      <w:r w:rsidRPr="00AD6C48">
        <w:t>delningar (mom. 1) och om folkinitiativ till kommunala folkomröstningar (mom. 5). Konstitutionsutskottet uttalade i betänkande 1998/99:KU21 att en möjlighet att öka den demokratiska vitaliteten och delaktigheten är att dela upp större kommuner i mindre. Utskottet framhöll att det bör bli lättare att dela kommuner genom att procedurerna som har samband med kommunde</w:t>
      </w:r>
      <w:r w:rsidRPr="00AD6C48">
        <w:t>l</w:t>
      </w:r>
      <w:r w:rsidRPr="00AD6C48">
        <w:t>ningar underlättas. Regeringen borde återkomma med förslag till riksdagen med detta syfte. Vidare uttalade utskottet att det fanns skäl att vida</w:t>
      </w:r>
      <w:r w:rsidRPr="00AD6C48">
        <w:t>re utreda en förstärkning av medborgarnas inflytande i initiativärenden. En möjlighet som därvid borde utredas var enligt utskottet att en kommunal folkomröstning skall komma till stånd när en viss procentandel, t.ex. 10 % av de röstberätt</w:t>
      </w:r>
      <w:r w:rsidRPr="00AD6C48">
        <w:t>i</w:t>
      </w:r>
      <w:r w:rsidRPr="00AD6C48">
        <w:t xml:space="preserve">gade i kommunen, står bakom initiativet. Andra frågor som borde övervägas i sammanhanget är hur och av vem frågeställningen för folkomröstningen skall formuleras vid ett folkinitiativ. Kommundemokratikommittén överlämnade i juni 2001 betänkandet Att vara med på riktigt – </w:t>
      </w:r>
      <w:r w:rsidRPr="00AD6C48">
        <w:t>demokratiutveckling i ko</w:t>
      </w:r>
      <w:r w:rsidRPr="00AD6C48">
        <w:t>m</w:t>
      </w:r>
      <w:r w:rsidRPr="00AD6C48">
        <w:t>muner och landsting (SOU 2001:48). Enligt kommitténs bedömning är någon förändring av själva proceduren från ansökan till eventuellt beslut i inde</w:t>
      </w:r>
      <w:r w:rsidRPr="00AD6C48">
        <w:t>l</w:t>
      </w:r>
      <w:r w:rsidRPr="00AD6C48">
        <w:t>ningsändring inte påkallad. Betänkandet har remissbehandlats. Regeringen beslutade den 27 september 2001 i tilläggsdirektiv (dir. 2001:75) att ge Kommundemokratikommittén i uppdrag att se över förutsättningarna för och förfarandet vid ändringar i landstings- och kommunindelningen samt lämna förslag till behövliga lagändringar. Kommittén ö</w:t>
      </w:r>
      <w:r w:rsidRPr="00AD6C48">
        <w:t>verlämnade i mars 2002 betänkandet Ändrad indelning? – en översyn av reglerna för indelningsän</w:t>
      </w:r>
      <w:r w:rsidRPr="00AD6C48">
        <w:t>d</w:t>
      </w:r>
      <w:r w:rsidRPr="00AD6C48">
        <w:t>ringar (SOU 2002:33). Betänkandet har remissbehandlats. Enligt regeringen bereds ärendet. När det gäller folkinitiativ till kommunala folkomröstningar (mom. 5) bemyndigade regeringen den 25 november 1999 statsrådet Lejon att tillkalla en kommitté med uppgift att föreslå åtgärder för att stärka den me</w:t>
      </w:r>
      <w:r w:rsidRPr="00AD6C48">
        <w:t>d</w:t>
      </w:r>
      <w:r w:rsidRPr="00AD6C48">
        <w:t>borgerliga insynen och deltagandet i den kommunala demokratin (dir. 1999:98). Enligt direktiven skulle kommittén bl</w:t>
      </w:r>
      <w:r w:rsidRPr="00AD6C48">
        <w:t>.a. överväga behovet av fol</w:t>
      </w:r>
      <w:r w:rsidRPr="00AD6C48">
        <w:t>k</w:t>
      </w:r>
      <w:r w:rsidRPr="00AD6C48">
        <w:t>initiativet som sådant samt dess fortsatta utformning. Kommittén överlämn</w:t>
      </w:r>
      <w:r w:rsidRPr="00AD6C48">
        <w:t>a</w:t>
      </w:r>
      <w:r w:rsidRPr="00AD6C48">
        <w:t>de i juni 2001 betänkandet Att vara med på riktigt – demokratiutveckling i kommuner och landsting (SOU 2001:48). Betänkandet remissbehandlades. Regeringen beslutade den 17 januari 2002 proposition 2001/02:80 Demokrati för det nya seklet. I riksdagsbehandlingen av propositionen gjorde konstit</w:t>
      </w:r>
      <w:r w:rsidRPr="00AD6C48">
        <w:t>u</w:t>
      </w:r>
      <w:r w:rsidRPr="00AD6C48">
        <w:t>tionsutskottet ett nytt tillkännagivande (rskr. 2001/02:190 mom. 42) om att regeringens beredning av Kommundemokratik</w:t>
      </w:r>
      <w:r w:rsidRPr="00AD6C48">
        <w:t xml:space="preserve">ommitténs förslag bör syfta till att lägga fram förslag om att en folkomröstning </w:t>
      </w:r>
      <w:r w:rsidRPr="00AD6C48">
        <w:rPr>
          <w:i/>
        </w:rPr>
        <w:t>skall</w:t>
      </w:r>
      <w:r w:rsidRPr="00AD6C48">
        <w:t xml:space="preserve"> hållas om 10 % av de röstberättigade i kommunen respektive landstinget begär det. Regeringens bemyndigande den 25 november 1999 till statsrådet Lejon svarar enligt r</w:t>
      </w:r>
      <w:r w:rsidRPr="00AD6C48">
        <w:t>e</w:t>
      </w:r>
      <w:r w:rsidRPr="00AD6C48">
        <w:t>geringens bedömning mot riksdagens tillkännagivande i skrivelse 1998/99:</w:t>
      </w:r>
      <w:r w:rsidRPr="00AD6C48">
        <w:br/>
        <w:t>163 mom. 5 och momentet anses därmed vara slutb</w:t>
      </w:r>
      <w:r w:rsidRPr="00AD6C48">
        <w:t>e</w:t>
      </w:r>
      <w:r w:rsidRPr="00AD6C48">
        <w:t xml:space="preserve">handlat. </w:t>
      </w:r>
    </w:p>
    <w:p w:rsidR="0045208F" w:rsidRPr="00AD6C48" w:rsidRDefault="0045208F">
      <w:pPr>
        <w:pStyle w:val="Normaltindrag"/>
      </w:pPr>
      <w:r w:rsidRPr="00AD6C48">
        <w:t>Riksdagsskrivelse 1999/2000:51 gäller ett tillkännagivande om s.k. nu</w:t>
      </w:r>
      <w:r w:rsidRPr="00AD6C48">
        <w:t>m</w:t>
      </w:r>
      <w:r w:rsidRPr="00AD6C48">
        <w:t>merpresentation. Konstitutionsutskottet anförde i betänkande 1999/2000:KU7 att det är angeläget att enskilda även telefonledes kan kontakta myndigheter anonymt för att lämna uppgifter och begära upplysningar samt att det inte är självklart att det är den enskilde som skall bära ansvaret för att anonymiteten upprätthålls. Enligt utskottet borde regeringen låta frågan om hur anonymit</w:t>
      </w:r>
      <w:r w:rsidRPr="00AD6C48">
        <w:t>e</w:t>
      </w:r>
      <w:r w:rsidRPr="00AD6C48">
        <w:t>ten skall kunna upprätthållas för enskilda som kontaktar myndigheter per telefon, utan att den enskilde själv skall behöva var</w:t>
      </w:r>
      <w:r w:rsidRPr="00AD6C48">
        <w:t>a aktiv, bli föremål för överväganden i något lämpligt sammanhang. Frågan har behandlats i depa</w:t>
      </w:r>
      <w:r w:rsidRPr="00AD6C48">
        <w:t>r</w:t>
      </w:r>
      <w:r w:rsidRPr="00AD6C48">
        <w:t>tementspromemorian Några frågor om myndigheternas service (Ds 2001:25). Enligt promemorian finns det generellt sett inget påtagligt behov hos myndi</w:t>
      </w:r>
      <w:r w:rsidRPr="00AD6C48">
        <w:t>g</w:t>
      </w:r>
      <w:r w:rsidRPr="00AD6C48">
        <w:t>heterna av tillgång till tjänsten nummerpresentation. Någon författningsr</w:t>
      </w:r>
      <w:r w:rsidRPr="00AD6C48">
        <w:t>e</w:t>
      </w:r>
      <w:r w:rsidRPr="00AD6C48">
        <w:t>glering av saken är, enligt promemorian, dock inte påkallad i nuläget. Pr</w:t>
      </w:r>
      <w:r w:rsidRPr="00AD6C48">
        <w:t>o</w:t>
      </w:r>
      <w:r w:rsidRPr="00AD6C48">
        <w:t>memorian har remissbehandlats. Regeringen överlämnade den 20 mars 2003 proposition 2002/03:62 Några förvaltningsrättslig</w:t>
      </w:r>
      <w:r w:rsidRPr="00AD6C48">
        <w:t>a frågor till riksdagen. I propositionen gör regeringen bedömningen att med hänsyn till de tveksa</w:t>
      </w:r>
      <w:r w:rsidRPr="00AD6C48">
        <w:t>m</w:t>
      </w:r>
      <w:r w:rsidRPr="00AD6C48">
        <w:t>heter som användning av nummerpresentation kan ge upphov till när det gäller allmänhetens möjligheter till förtroliga kontakter med myndigheterna, bör dessa inte använda sig av tjänster för externa telefonsamtal annat än om den är av väsentlig betydelse för att verksamheten skall kunna bedrivas på ett ändamålsenligt och effektivt sätt. Regeringen förutsätter i propositionen att myndigheterna självmant iakttar d</w:t>
      </w:r>
      <w:r w:rsidRPr="00AD6C48">
        <w:t>en försiktighet som är påkallad när det gäller användning av nummerpresentation, och anser att det i varje fall i nul</w:t>
      </w:r>
      <w:r w:rsidRPr="00AD6C48">
        <w:t>ä</w:t>
      </w:r>
      <w:r w:rsidRPr="00AD6C48">
        <w:t xml:space="preserve">get inte är påkallat med en författningsreglering. </w:t>
      </w:r>
    </w:p>
    <w:p w:rsidR="0045208F" w:rsidRPr="00AD6C48" w:rsidRDefault="0045208F">
      <w:pPr>
        <w:pStyle w:val="Normaltindrag"/>
      </w:pPr>
      <w:r w:rsidRPr="00AD6C48">
        <w:t>Riksdagsskrivelse 1999/2000:134 gäller ett tillkännagivande om att frågan om upphovsrätten och offentlighetsprincipen borde bli föremål för beredning inför det förslag till permanent lösning som enligt konstitutionsutskottet borde föreläggas riksdagen senast under hösten 2001. Konstitutionsutskottet b</w:t>
      </w:r>
      <w:r w:rsidRPr="00AD6C48">
        <w:t>e</w:t>
      </w:r>
      <w:r w:rsidRPr="00AD6C48">
        <w:t>handlade i betänkandet 1999/2000:KU14 regeringens förslag till ändring i sekretesslagen i syfte att skydda uppgifter i vissa upphovsrättsligt skyddade verk som inkommit till en myndighet. Utskottet anförde i betänkandet bl.a. följande. Det har uppmärksammats att rätten att ta del av allmänna handlingar använts för att mot upphovsmannens vilja framställa exemplar av och sprida upphovsrättsligt skyddade verk till allmänheten i det särskilt uttalade syftet att skada upphovsmannens intresse och utan varje ankn</w:t>
      </w:r>
      <w:r w:rsidRPr="00AD6C48">
        <w:t>ytning till myndighetens verksamhet. Offentlighets- och sekretesskommittén (dir. 1998:32) har bl.a. i uppdrag att undersöka om det i något fall finns ett behov av att öka möjligh</w:t>
      </w:r>
      <w:r w:rsidRPr="00AD6C48">
        <w:t>e</w:t>
      </w:r>
      <w:r w:rsidRPr="00AD6C48">
        <w:t>terna att inte tillhandahålla en allmän handling som omfattas av upphovsrätt eller någon annan rättighet enligt upphovsrättslagen. Lagrådet har ansett att den föreslagna regleringen bör utgöra en provisorisk lösning och att det är angeläget att en mera långsiktig och heltäckande lösning på problemet söks. Regeringen har i propositi</w:t>
      </w:r>
      <w:r w:rsidRPr="00AD6C48">
        <w:t>onen instämt i denna uppfattning och uttalat att det fortsatta arbetet med att söka den lämpligaste lösningen ryms inom Offentli</w:t>
      </w:r>
      <w:r w:rsidRPr="00AD6C48">
        <w:t>g</w:t>
      </w:r>
      <w:r w:rsidRPr="00AD6C48">
        <w:t>hets- och sekretesskommitténs uppdrag. I motioner med anledning av prop</w:t>
      </w:r>
      <w:r w:rsidRPr="00AD6C48">
        <w:t>o</w:t>
      </w:r>
      <w:r w:rsidRPr="00AD6C48">
        <w:t>sitionen har det framförts att en långsiktig och heltäckande lösning på pr</w:t>
      </w:r>
      <w:r w:rsidRPr="00AD6C48">
        <w:t>o</w:t>
      </w:r>
      <w:r w:rsidRPr="00AD6C48">
        <w:t>blemet bör presenteras med sikte på att en lagändring bör kunna träda i kraft senast den 1 januari 2003. Konstitutionsutskottet ansåg att det var angeläget att kommittén tog upp de frågor som angavs i motionerna. Utskottet utgick från a</w:t>
      </w:r>
      <w:r w:rsidRPr="00AD6C48">
        <w:t>tt kommittén arbetade skyndsamt samt lämnade eventuella förslag till regeringen enligt de tider som angetts i direktiven. Under alla förhållanden borde de frågor som behandlades i motionerna bli föremål för beredning inför det förslag till permanent lösning som enligt utskottet borde föreläggas rik</w:t>
      </w:r>
      <w:r w:rsidRPr="00AD6C48">
        <w:t>s</w:t>
      </w:r>
      <w:r w:rsidRPr="00AD6C48">
        <w:t>dagen senast u</w:t>
      </w:r>
      <w:r w:rsidRPr="00AD6C48">
        <w:t>n</w:t>
      </w:r>
      <w:r w:rsidRPr="00AD6C48">
        <w:t xml:space="preserve">der hösten 2001. </w:t>
      </w:r>
    </w:p>
    <w:p w:rsidR="0045208F" w:rsidRPr="00AD6C48" w:rsidRDefault="0045208F">
      <w:pPr>
        <w:pStyle w:val="Normaltindrag"/>
      </w:pPr>
      <w:r w:rsidRPr="00AD6C48">
        <w:t>Regeringen anför i redogörelsen att Offentlighets- och sekretesskommittén haft i uppdrag att undersöka om det i något fall finns behov av att öka möjli</w:t>
      </w:r>
      <w:r w:rsidRPr="00AD6C48">
        <w:t>g</w:t>
      </w:r>
      <w:r w:rsidRPr="00AD6C48">
        <w:t>heten att inte tillhandahålla handlingar som innehåller upphovsrättsligt sky</w:t>
      </w:r>
      <w:r w:rsidRPr="00AD6C48">
        <w:t>d</w:t>
      </w:r>
      <w:r w:rsidRPr="00AD6C48">
        <w:t>dade verk. Kommittén har i delbetänkandet Offentlighetsprincipen och den nya tekniken (SOU 2001:3) förordat att frågan om avvägningen mellan up</w:t>
      </w:r>
      <w:r w:rsidRPr="00AD6C48">
        <w:t>p</w:t>
      </w:r>
      <w:r w:rsidRPr="00AD6C48">
        <w:t>hovsrätten och yttrande- och informationsfriheten blir föremål för en bredare översyn och att ytterligare lagstiftning i syfte att förhindra tvångsoffentligg</w:t>
      </w:r>
      <w:r w:rsidRPr="00AD6C48">
        <w:t>ö</w:t>
      </w:r>
      <w:r w:rsidRPr="00AD6C48">
        <w:t>rande av upphovsrättsligt skyddade verk får anstå till dess en sådan översyn kommit till stånd. Med anledning av kommitténs ställnin</w:t>
      </w:r>
      <w:r w:rsidRPr="00AD6C48">
        <w:t>gstagande lade r</w:t>
      </w:r>
      <w:r w:rsidRPr="00AD6C48">
        <w:t>e</w:t>
      </w:r>
      <w:r w:rsidRPr="00AD6C48">
        <w:t>geringen i den efterföljande propositionen (prop. 2001/02:70) inte fram något förslag i denna del. I regeringens skrivelse 2001/02:75 uttalade regeringen att det under den tid som gått sedan 8 kap. 27 § sekretesslagen (1980:100) infö</w:t>
      </w:r>
      <w:r w:rsidRPr="00AD6C48">
        <w:t>r</w:t>
      </w:r>
      <w:r w:rsidRPr="00AD6C48">
        <w:t>des inte hade framkommit att det finns något praktiskt behov av ytterligare lagändringar. Regeringen hade därför för avsikt att lägga riksdagsskrivelsen till handlingarna. Med anledning härav uttalade konstitutionsutskottet i sitt betänkande 2001/02:KU35 som si</w:t>
      </w:r>
      <w:r w:rsidRPr="00AD6C48">
        <w:t>n mening att regeringen inte borde lägga riksdagsskrivelsen till handlingarna innan något förslag till permanent lösning har presenterats eller, i enlighet med vad Offentlighets- och sekretessko</w:t>
      </w:r>
      <w:r w:rsidRPr="00AD6C48">
        <w:t>m</w:t>
      </w:r>
      <w:r w:rsidRPr="00AD6C48">
        <w:t xml:space="preserve">mittén förordade, efter att en bredare översyn av de aktuella frågorna har skett. Regeringen avser mot denna bakgrund att tillsätta en utredning som får till uppgift att överväga frågan om en permanent lösning. Arbetet är inriktat på att direktiv skall kunna beslutas under hösten 2003. </w:t>
      </w:r>
    </w:p>
    <w:p w:rsidR="0045208F" w:rsidRPr="00AD6C48" w:rsidRDefault="0045208F">
      <w:pPr>
        <w:pStyle w:val="Normaltindrag"/>
      </w:pPr>
      <w:r w:rsidRPr="00AD6C48">
        <w:t>Riksdagsskrivelse 2000/01:147</w:t>
      </w:r>
      <w:r w:rsidRPr="00AD6C48">
        <w:t xml:space="preserve"> gäller ett tillkännagivande om teckenspr</w:t>
      </w:r>
      <w:r w:rsidRPr="00AD6C48">
        <w:t>å</w:t>
      </w:r>
      <w:r w:rsidRPr="00AD6C48">
        <w:t>kets ställning. Konstitutionsutskottet uttalade i betänkande 2000/01:KU14 att det är angeläget att teckenspråkets ställning ses över. Utvecklingen under senare år, bl.a. arbetet inom ramen för Europarådets verksamhet, har unde</w:t>
      </w:r>
      <w:r w:rsidRPr="00AD6C48">
        <w:t>r</w:t>
      </w:r>
      <w:r w:rsidRPr="00AD6C48">
        <w:t>strukit vikten av att teckenspråket har en stark ställning. Det är angeläget att de dövas och hörselskadades rättigheter när det gäller teckenspråket och teckenspråksinformation säkerställs. Enligt utskottets mening behövs i detta syfte en öve</w:t>
      </w:r>
      <w:r w:rsidRPr="00AD6C48">
        <w:t>rsyn av rätten och möjligheterna att använda teckenspråket, li</w:t>
      </w:r>
      <w:r w:rsidRPr="00AD6C48">
        <w:t>k</w:t>
      </w:r>
      <w:r w:rsidRPr="00AD6C48">
        <w:t>som dövas och hörselskadades tillgång till samhällets utbud av kultur och litteratur. När det gäller dövas och hörselskadades tillgång till Sveriges Tel</w:t>
      </w:r>
      <w:r w:rsidRPr="00AD6C48">
        <w:t>e</w:t>
      </w:r>
      <w:r w:rsidRPr="00AD6C48">
        <w:t>visions program vill konstitutionsutskottet i likhet med kulturutskottet hänvisa till att arbete i Public service-beredningen bör kunna leda till ytterligare fö</w:t>
      </w:r>
      <w:r w:rsidRPr="00AD6C48">
        <w:t>r</w:t>
      </w:r>
      <w:r w:rsidRPr="00AD6C48">
        <w:t>bättringar i detta avseende. Inom Regeringskansliet har enligt regeringens redogörelse en intern översyn gjorts i form av probleminvent</w:t>
      </w:r>
      <w:r w:rsidRPr="00AD6C48">
        <w:t xml:space="preserve">ering för att kartlägga inom vilka områden teckenspråkets ställning behöver förstärkas. Regeringen avser att under våren 2003 ta ställning till hur det fortsatta arbetet med frågan skall fortgå. </w:t>
      </w:r>
    </w:p>
    <w:p w:rsidR="0045208F" w:rsidRPr="00AD6C48" w:rsidRDefault="0045208F">
      <w:pPr>
        <w:pStyle w:val="Normaltindrag"/>
      </w:pPr>
      <w:r w:rsidRPr="00AD6C48">
        <w:t>Riksdagsskrivelse 2000/01:149 gäller fyra tillkännagivanden med anle</w:t>
      </w:r>
      <w:r w:rsidRPr="00AD6C48">
        <w:t>d</w:t>
      </w:r>
      <w:r w:rsidRPr="00AD6C48">
        <w:t>ning av konstitutionsutskottets betänkande Författningsfrågor 2000/01:KU11. Utskottet uttalade i betänkandet (mom. 9) att regeringen på nytt borde låta utreda folkomröstningsinstitutet. Utredningen borde ha parlamentarisk sa</w:t>
      </w:r>
      <w:r w:rsidRPr="00AD6C48">
        <w:t>m</w:t>
      </w:r>
      <w:r w:rsidRPr="00AD6C48">
        <w:t>mansättning. Den borde bygga på och följa upp 1996 års Folkomröstningsu</w:t>
      </w:r>
      <w:r w:rsidRPr="00AD6C48">
        <w:t>t</w:t>
      </w:r>
      <w:r w:rsidRPr="00AD6C48">
        <w:t>rednings arbete. Med anledning av en motion om behovet av en översyn av reglerna i regeringsformen om åtal mot riksdagsledamöter uttalade utskottet (mom. 14) att det kunde finnas anledning att i lämpligt sammanhang</w:t>
      </w:r>
      <w:r w:rsidRPr="00AD6C48">
        <w:t xml:space="preserve"> klarlä</w:t>
      </w:r>
      <w:r w:rsidRPr="00AD6C48">
        <w:t>g</w:t>
      </w:r>
      <w:r w:rsidRPr="00AD6C48">
        <w:t>ga de frågor som berördes i motionen. Beträffande lagprövningsfrågor (mom. 18) uttalade utskottet bl.a. att regeringen borde ges i uppdrag att låta utreda frågor om skyldigheten enligt 11 kap. 14 § regeringsformen för domstolar eller andra offentliga organ att i vissa fall inte tillämpa en föreskrift och om undantaget från denna skyldighet, det s.k. uppenbarhetsrekvisitet. Uppenba</w:t>
      </w:r>
      <w:r w:rsidRPr="00AD6C48">
        <w:t>r</w:t>
      </w:r>
      <w:r w:rsidRPr="00AD6C48">
        <w:t>hetsrekvisitet borde enligt utskottet belysas inte minst med hänsyn till att Europakonventionen införlivats med svensk r</w:t>
      </w:r>
      <w:r w:rsidRPr="00AD6C48">
        <w:t>ätt och att Sverige anslutit sig till EU. Utredningen borde omfatta frågan på vilket sätt en förstärkt lagprö</w:t>
      </w:r>
      <w:r w:rsidRPr="00AD6C48">
        <w:t>v</w:t>
      </w:r>
      <w:r w:rsidRPr="00AD6C48">
        <w:t>ning borde kunna utövas. När det gällde författningsreglering av adeln (mom. 22) uttalade utskottet att det förhållandet att riddarhusordningen och privil</w:t>
      </w:r>
      <w:r w:rsidRPr="00AD6C48">
        <w:t>e</w:t>
      </w:r>
      <w:r w:rsidRPr="00AD6C48">
        <w:t>giebrevet publiceras i offentligrättslig ordning i SFS och finns med i register över gällande författningar kan ses som en påminnelse om förhållandena vid tiden för ståndsriksdagens avveckling. Enligt utskottet fanns det skäl att pröva förutsättni</w:t>
      </w:r>
      <w:r w:rsidRPr="00AD6C48">
        <w:t>ngarna för och konsekvenserna av en ändring av den nuvarande regleringen. I regeringens redogörelse anförs att inom Regeringskansliet övervägs för närvarande formerna för det utredningsarbete avseende konst</w:t>
      </w:r>
      <w:r w:rsidRPr="00AD6C48">
        <w:t>i</w:t>
      </w:r>
      <w:r w:rsidRPr="00AD6C48">
        <w:t>tutionella frågor som tar sikte på förslag till grundlagsändringar inför valåret 2006 (mom. 9, 14 och 18). Vidare att regeringen den 16 januari 2003 beslutat proposition 2002/03:34 Adelns offentligrättsliga status varför mom. 22 är slutb</w:t>
      </w:r>
      <w:r w:rsidRPr="00AD6C48">
        <w:t>e</w:t>
      </w:r>
      <w:r w:rsidRPr="00AD6C48">
        <w:t xml:space="preserve">handlat. </w:t>
      </w:r>
    </w:p>
    <w:p w:rsidR="0045208F" w:rsidRPr="00AD6C48" w:rsidRDefault="0045208F">
      <w:pPr>
        <w:pStyle w:val="Normaltindrag"/>
      </w:pPr>
      <w:r w:rsidRPr="00AD6C48">
        <w:t>Riksdagsskrivelse 2000/01:274 gäller utskottets betänkand</w:t>
      </w:r>
      <w:r w:rsidRPr="00AD6C48">
        <w:t>e Riksdagen i</w:t>
      </w:r>
      <w:r w:rsidRPr="00AD6C48">
        <w:t>n</w:t>
      </w:r>
      <w:r w:rsidRPr="00AD6C48">
        <w:t>för 2000-talet, 2000/01:KU23. Mom. 7 om budgetlagen avser ett tillkännag</w:t>
      </w:r>
      <w:r w:rsidRPr="00AD6C48">
        <w:t>i</w:t>
      </w:r>
      <w:r w:rsidRPr="00AD6C48">
        <w:t>vande om vad Riksdagskommittén anfört om vissa bestämmelsers placering i budgetlagen eller riksdagsordningen. Regeringen anför i redogörelsen att frågan om vissa bestämmelsers placering i budgetlagen eller riksdagsordnin</w:t>
      </w:r>
      <w:r w:rsidRPr="00AD6C48">
        <w:t>g</w:t>
      </w:r>
      <w:r w:rsidRPr="00AD6C48">
        <w:t>en kommer att beredas i samband med den revidering av budgetlagen som följer av arbetet med utvecklingen av den ekonomiska styrningen. Arbetet med en departementspromemoria pågår. En proposition bedöms en</w:t>
      </w:r>
      <w:r w:rsidRPr="00AD6C48">
        <w:t>ligt rege</w:t>
      </w:r>
      <w:r w:rsidRPr="00AD6C48">
        <w:t>r</w:t>
      </w:r>
      <w:r w:rsidRPr="00AD6C48">
        <w:t>ingen kunna avges tidigast under slutet av detta år. Mom. 8 avser ett tillkä</w:t>
      </w:r>
      <w:r w:rsidRPr="00AD6C48">
        <w:t>n</w:t>
      </w:r>
      <w:r w:rsidRPr="00AD6C48">
        <w:t>nagivande om en utvärdering av effekterna av omläggning av budgetproce</w:t>
      </w:r>
      <w:r w:rsidRPr="00AD6C48">
        <w:t>s</w:t>
      </w:r>
      <w:r w:rsidRPr="00AD6C48">
        <w:t xml:space="preserve">sen. Enligt regeringen görs inom Regeringskansliet löpande uppföljning av den interna budgetprocessen. Det bedöms enligt regeringen meningsfullt att göra en mer fördjupad utvärdering först när ytterligare erfarenheter vunnits. </w:t>
      </w:r>
    </w:p>
    <w:p w:rsidR="0045208F" w:rsidRPr="00AD6C48" w:rsidRDefault="0045208F">
      <w:pPr>
        <w:pStyle w:val="Normaltindrag"/>
      </w:pPr>
      <w:r w:rsidRPr="00AD6C48">
        <w:t xml:space="preserve">Riksdagsskrivelse 2000/01:277 avser </w:t>
      </w:r>
      <w:r w:rsidRPr="00AD6C48">
        <w:rPr>
          <w:i/>
        </w:rPr>
        <w:t>dels</w:t>
      </w:r>
      <w:r w:rsidRPr="00AD6C48">
        <w:t xml:space="preserve"> ett tillkännagivande om en grundlig översyn av koncessionsavgiftslagen (mom. 5), </w:t>
      </w:r>
      <w:r w:rsidRPr="00AD6C48">
        <w:rPr>
          <w:i/>
        </w:rPr>
        <w:t>dels</w:t>
      </w:r>
      <w:r w:rsidRPr="00AD6C48">
        <w:t xml:space="preserve"> ett tillkännag</w:t>
      </w:r>
      <w:r w:rsidRPr="00AD6C48">
        <w:t>i</w:t>
      </w:r>
      <w:r w:rsidRPr="00AD6C48">
        <w:t>vande om att regeringen skyndsamt bör utreda den särskilda frågan om ko</w:t>
      </w:r>
      <w:r w:rsidRPr="00AD6C48">
        <w:t>n</w:t>
      </w:r>
      <w:r w:rsidRPr="00AD6C48">
        <w:t>cessionsavgift vid analog sändningsteknik (mom. 6). Enligt regeringens red</w:t>
      </w:r>
      <w:r w:rsidRPr="00AD6C48">
        <w:t>o</w:t>
      </w:r>
      <w:r w:rsidRPr="00AD6C48">
        <w:t>görelse fick en särskild utredare den 14 mars 2002 i uppdrag att göra en öve</w:t>
      </w:r>
      <w:r w:rsidRPr="00AD6C48">
        <w:t>r</w:t>
      </w:r>
      <w:r w:rsidRPr="00AD6C48">
        <w:t>syn av lagen (1992:72) om koncessionsavgift på televisionens och radions område samt därvid föreslå de författningsändringar som föranleds av öve</w:t>
      </w:r>
      <w:r w:rsidRPr="00AD6C48">
        <w:t>r</w:t>
      </w:r>
      <w:r w:rsidRPr="00AD6C48">
        <w:t xml:space="preserve">vägandena (dir. 2002:44). Utredaren </w:t>
      </w:r>
      <w:r w:rsidRPr="00AD6C48">
        <w:t>skall bl.a. överväga behovet av att ändra reglerna för koncessionsavgiften på TV-området, dels beträffande avgift</w:t>
      </w:r>
      <w:r w:rsidRPr="00AD6C48">
        <w:t>s</w:t>
      </w:r>
      <w:r w:rsidRPr="00AD6C48">
        <w:t>skyldigheten, dels beträffande avgiftens storlek samt hur avgiften skall berä</w:t>
      </w:r>
      <w:r w:rsidRPr="00AD6C48">
        <w:t>k</w:t>
      </w:r>
      <w:r w:rsidRPr="00AD6C48">
        <w:t>nas. Regeringen har i tilläggsdirektiv den 6 februari 2003 (dir. 2003:20) b</w:t>
      </w:r>
      <w:r w:rsidRPr="00AD6C48">
        <w:t>e</w:t>
      </w:r>
      <w:r w:rsidRPr="00AD6C48">
        <w:t>slutat att uppdraget skall redovisas senast den 30 april 2003. Mom. 5 är sål</w:t>
      </w:r>
      <w:r w:rsidRPr="00AD6C48">
        <w:t>e</w:t>
      </w:r>
      <w:r w:rsidRPr="00AD6C48">
        <w:t>des inte slutbehandlat. Den 14 mars 2002 överlämnade regeringen proposition Vissa frågor om koncessionsavgift på televisionens område (prop. 2001/02:170) till riksdage</w:t>
      </w:r>
      <w:r w:rsidRPr="00AD6C48">
        <w:t xml:space="preserve">n. Mom. 6 är därför slutbehandlat. </w:t>
      </w:r>
    </w:p>
    <w:p w:rsidR="0045208F" w:rsidRPr="00AD6C48" w:rsidRDefault="0045208F">
      <w:pPr>
        <w:pStyle w:val="Normaltindrag"/>
      </w:pPr>
      <w:r w:rsidRPr="00AD6C48">
        <w:t>Riksdagsskrivelse 2000/01:200 avser tre tillkännagivanden med anledning av det sammansatta konstitutions- och utrikesutskottets betänkande 2000/02:KUU1 EU:s framtidsfrågor. Tillkännagivandena gäller grundlägga</w:t>
      </w:r>
      <w:r w:rsidRPr="00AD6C48">
        <w:t>n</w:t>
      </w:r>
      <w:r w:rsidRPr="00AD6C48">
        <w:t>de rättigheter (mom. 3), de nationella parlamenten i EU (mom. 4) och inför nästa regeringskonferens (mom. 5). Enligt regeringens redogörelse har rege</w:t>
      </w:r>
      <w:r w:rsidRPr="00AD6C48">
        <w:t>r</w:t>
      </w:r>
      <w:r w:rsidRPr="00AD6C48">
        <w:t>ingen i skrivelsen EU:s framtidsfrågor (skr. 2001/02:115) redogjort för ko</w:t>
      </w:r>
      <w:r w:rsidRPr="00AD6C48">
        <w:t>n</w:t>
      </w:r>
      <w:r w:rsidRPr="00AD6C48">
        <w:t>ventet om EU:s framtid som skall förbereda nästa regeringskonferens. R</w:t>
      </w:r>
      <w:r w:rsidRPr="00AD6C48">
        <w:t>e</w:t>
      </w:r>
      <w:r w:rsidRPr="00AD6C48">
        <w:t>geringen avser att återkomma till riksdagen med en andra skrivelse efter konventets avslutande.</w:t>
      </w:r>
    </w:p>
    <w:p w:rsidR="0045208F" w:rsidRPr="00AD6C48" w:rsidRDefault="0045208F">
      <w:r w:rsidRPr="00AD6C48">
        <w:rPr>
          <w:i/>
        </w:rPr>
        <w:t xml:space="preserve">Finansutskottet, bilaga 2, </w:t>
      </w:r>
      <w:r w:rsidRPr="00AD6C48">
        <w:t xml:space="preserve">anför i yttrande bl.a. följande. Sammantaget </w:t>
      </w:r>
      <w:r w:rsidRPr="00AD6C48">
        <w:br/>
        <w:t>53 skrivelser redovisas inom finansutskottets ansvarsområde, varav 33 ra</w:t>
      </w:r>
      <w:r w:rsidRPr="00AD6C48">
        <w:t>p</w:t>
      </w:r>
      <w:r w:rsidRPr="00AD6C48">
        <w:t xml:space="preserve">porteras som slutbehandlade. Utskottet anser att regeringen till största delen fullföljt riksdagens beslut inom utskottets ansvarsområde inom rimlig tid, även om det finns exempel på skrivelser som inte slutbehandlats trots att avsevärd tid gått. </w:t>
      </w:r>
    </w:p>
    <w:p w:rsidR="0045208F" w:rsidRPr="00AD6C48" w:rsidRDefault="0045208F">
      <w:pPr>
        <w:pStyle w:val="Normaltindrag"/>
      </w:pPr>
      <w:r w:rsidRPr="00AD6C48">
        <w:t>Utskottet säger sig dela motionärernas principiella ståndpunkt att det är mycket angeläget att regeringen utan onödiga dröjsmål och utan påminnel</w:t>
      </w:r>
      <w:r w:rsidRPr="00AD6C48">
        <w:t xml:space="preserve">ser verkställer riksdagens beslut. Om så av någon anledning inte är möjligt är det viktigt att regeringen redovisar varför. De specifika punkter som tas upp i motionerna ligger emellertid utanför utskottets område varför utskottet inte ser sig föranlett att göra något ytterligare uttalande i frågan. </w:t>
      </w:r>
    </w:p>
    <w:p w:rsidR="0045208F" w:rsidRPr="00AD6C48" w:rsidRDefault="0045208F">
      <w:pPr>
        <w:pStyle w:val="Normaltindrag"/>
      </w:pPr>
      <w:r w:rsidRPr="00AD6C48">
        <w:t>Beträffande skrivelse 1995/96:248 mom. 3 om vinstdelningssystem mellan staten och föreningslivet utgår utskottet från att regeringen, som den aviserat, återkommer till riksdagen i samband med budgetpropositione</w:t>
      </w:r>
      <w:r w:rsidRPr="00AD6C48">
        <w:t>n för 2004.</w:t>
      </w:r>
    </w:p>
    <w:p w:rsidR="0045208F" w:rsidRPr="00AD6C48" w:rsidRDefault="0045208F">
      <w:pPr>
        <w:pStyle w:val="Normaltindrag"/>
      </w:pPr>
      <w:r w:rsidRPr="00AD6C48">
        <w:t>Beträffande skrivelse 2001/02:324 om offentlig upphandling rapporterar regeringen att skrivelsen är slutbehandlad. Tre av punkterna i betänkandet som skrivelsen gäller (yttr. 2001/02:FiU12), punkterna 1, 4 och 5, innehöll tillkännagivanden. I regeringens återrapportering framgår emellertid endast att det fanns ett tillkännagivande under punkt 1. Momenten 4 och 5 anges som slutbehandlade i och med att lagarna som riksdagen antagit utfärdades. Rik</w:t>
      </w:r>
      <w:r w:rsidRPr="00AD6C48">
        <w:t>s</w:t>
      </w:r>
      <w:r w:rsidRPr="00AD6C48">
        <w:t>dagsskrivelsen uppges vara slutbehandlad trots att regeringen inte vidtagit några åtgärder med anledning av tillkännagivandena under punkterna 4 och 5. Utskottet anser inte att den aktuella skrivelsen kan betraktas som slutbehan</w:t>
      </w:r>
      <w:r w:rsidRPr="00AD6C48">
        <w:t>d</w:t>
      </w:r>
      <w:r w:rsidRPr="00AD6C48">
        <w:t>lad.</w:t>
      </w:r>
    </w:p>
    <w:p w:rsidR="0045208F" w:rsidRPr="00AD6C48" w:rsidRDefault="0045208F">
      <w:r w:rsidRPr="00AD6C48">
        <w:rPr>
          <w:i/>
        </w:rPr>
        <w:t xml:space="preserve">Skatteutskottet, bilaga 3, </w:t>
      </w:r>
      <w:r w:rsidRPr="00AD6C48">
        <w:t xml:space="preserve">anför i yttrande bl.a. följande. </w:t>
      </w:r>
    </w:p>
    <w:p w:rsidR="0045208F" w:rsidRPr="00AD6C48" w:rsidRDefault="0045208F">
      <w:pPr>
        <w:pStyle w:val="Normaltindrag"/>
      </w:pPr>
      <w:r w:rsidRPr="00AD6C48">
        <w:t>Beträffande skrivelse 1999/2000:143 mom. 8 om ökade levnadsomkostn</w:t>
      </w:r>
      <w:r w:rsidRPr="00AD6C48">
        <w:t>a</w:t>
      </w:r>
      <w:r w:rsidRPr="00AD6C48">
        <w:t>der vid dubbel bosättning noterar utskottet att den i sina motsvarande yttra</w:t>
      </w:r>
      <w:r w:rsidRPr="00AD6C48">
        <w:t>n</w:t>
      </w:r>
      <w:r w:rsidRPr="00AD6C48">
        <w:t>den till konstitutionsutskottet såväl 2001 som 2002 påpekat att beredningen av ärendet dragit ut väl långt på tiden och förutsatt att regeringen skyndar på beredningen och redovisar resultat. Då utskottet nu erfarit att beredningen är inriktad på att överlämna en redovisning till riksdagen i anslutning till bu</w:t>
      </w:r>
      <w:r w:rsidRPr="00AD6C48">
        <w:t>d</w:t>
      </w:r>
      <w:r w:rsidRPr="00AD6C48">
        <w:t>getpropositionen för 2004 låter det sig därmed nöja, men förutsätter att det inte blir något ytterligare dröjsmål.</w:t>
      </w:r>
    </w:p>
    <w:p w:rsidR="0045208F" w:rsidRPr="00AD6C48" w:rsidRDefault="0045208F">
      <w:pPr>
        <w:pStyle w:val="Normaltindrag"/>
        <w:rPr>
          <w:snapToGrid w:val="0"/>
          <w:lang w:eastAsia="sv-SE"/>
        </w:rPr>
      </w:pPr>
      <w:r w:rsidRPr="00AD6C48">
        <w:t>Beträff</w:t>
      </w:r>
      <w:r w:rsidRPr="00AD6C48">
        <w:t>ande skrivelse 2001/02:245 om de s.k. 3:12-reglerna och reglerna om andelsbyten konstaterar utskottet att den berörda propositionen (prop. 2002:15) inkom till riksdagen först drygt två månader efter den tidpunkt riksdagen bestämt i sitt beslut den 16 maj 2002, vilket byggde på ett enhälligt betänkande av skatteutskottet, vars formuleringar efter omsorgsfull prövning godkänts av alla sju partierna inom utskottet. Tillkännagivandet i betänkande 2001/02:SkU29 var tydligt och d</w:t>
      </w:r>
      <w:r w:rsidRPr="00AD6C48">
        <w:rPr>
          <w:snapToGrid w:val="0"/>
          <w:lang w:eastAsia="sv-SE"/>
        </w:rPr>
        <w:t>en innebörd regeringen läser ut av</w:t>
      </w:r>
      <w:r w:rsidRPr="00AD6C48">
        <w:rPr>
          <w:snapToGrid w:val="0"/>
          <w:lang w:eastAsia="sv-SE"/>
        </w:rPr>
        <w:t xml:space="preserve"> tillkänn</w:t>
      </w:r>
      <w:r w:rsidRPr="00AD6C48">
        <w:rPr>
          <w:snapToGrid w:val="0"/>
          <w:lang w:eastAsia="sv-SE"/>
        </w:rPr>
        <w:t>a</w:t>
      </w:r>
      <w:r w:rsidRPr="00AD6C48">
        <w:rPr>
          <w:snapToGrid w:val="0"/>
          <w:lang w:eastAsia="sv-SE"/>
        </w:rPr>
        <w:t>givandet i den ovan berörda proposition 2002/03:15, som avlämnades i n</w:t>
      </w:r>
      <w:r w:rsidRPr="00AD6C48">
        <w:rPr>
          <w:snapToGrid w:val="0"/>
          <w:lang w:eastAsia="sv-SE"/>
        </w:rPr>
        <w:t>o</w:t>
      </w:r>
      <w:r w:rsidRPr="00AD6C48">
        <w:rPr>
          <w:snapToGrid w:val="0"/>
          <w:lang w:eastAsia="sv-SE"/>
        </w:rPr>
        <w:t>vember 2002, är helt korrekt.</w:t>
      </w:r>
    </w:p>
    <w:p w:rsidR="0045208F" w:rsidRPr="00AD6C48" w:rsidRDefault="0045208F">
      <w:pPr>
        <w:pStyle w:val="Normaltindrag"/>
        <w:rPr>
          <w:b/>
          <w:snapToGrid w:val="0"/>
          <w:lang w:eastAsia="sv-SE"/>
        </w:rPr>
      </w:pPr>
      <w:r w:rsidRPr="00AD6C48">
        <w:rPr>
          <w:snapToGrid w:val="0"/>
          <w:lang w:eastAsia="sv-SE"/>
        </w:rPr>
        <w:t>Av betänkandet framgår vidare att utskottets förslag anknöt direkt till ett analysarbete som pågick i Finansdepartementet och som redan hade lett fram till en promemoria den 12 april 2002 om de s.k. 3:12-reglerna och reglerna om andelsbyten. I promemorian tillhandahölls inte någon teknisk lösning för en retroaktiv tillämpning och den offentligrättsliga kost</w:t>
      </w:r>
      <w:r w:rsidRPr="00AD6C48">
        <w:rPr>
          <w:snapToGrid w:val="0"/>
          <w:lang w:eastAsia="sv-SE"/>
        </w:rPr>
        <w:softHyphen/>
        <w:t>naden vid en retroa</w:t>
      </w:r>
      <w:r w:rsidRPr="00AD6C48">
        <w:rPr>
          <w:snapToGrid w:val="0"/>
          <w:lang w:eastAsia="sv-SE"/>
        </w:rPr>
        <w:t>k</w:t>
      </w:r>
      <w:r w:rsidRPr="00AD6C48">
        <w:rPr>
          <w:snapToGrid w:val="0"/>
          <w:lang w:eastAsia="sv-SE"/>
        </w:rPr>
        <w:t>tivt verkande ändring angavs bli beroende av hur olika gränsdragningspr</w:t>
      </w:r>
      <w:r w:rsidRPr="00AD6C48">
        <w:rPr>
          <w:snapToGrid w:val="0"/>
          <w:lang w:eastAsia="sv-SE"/>
        </w:rPr>
        <w:t>o</w:t>
      </w:r>
      <w:r w:rsidRPr="00AD6C48">
        <w:rPr>
          <w:snapToGrid w:val="0"/>
          <w:lang w:eastAsia="sv-SE"/>
        </w:rPr>
        <w:t>blem hanterades. Av promemorian framgick att tjänste</w:t>
      </w:r>
      <w:r w:rsidRPr="00AD6C48">
        <w:rPr>
          <w:snapToGrid w:val="0"/>
          <w:lang w:eastAsia="sv-SE"/>
        </w:rPr>
        <w:softHyphen/>
        <w:t>delen i uppskovsbelo</w:t>
      </w:r>
      <w:r w:rsidRPr="00AD6C48">
        <w:rPr>
          <w:snapToGrid w:val="0"/>
          <w:lang w:eastAsia="sv-SE"/>
        </w:rPr>
        <w:t>p</w:t>
      </w:r>
      <w:r w:rsidRPr="00AD6C48">
        <w:rPr>
          <w:snapToGrid w:val="0"/>
          <w:lang w:eastAsia="sv-SE"/>
        </w:rPr>
        <w:t>pen från åren 1999 och 2000 uppgick till sammanlagt ca 979 miljoner kronor. Utskottet lämnade i sitt betänkande öppet hur frågan skulle lösas rent tekniskt och hur finansieringen av det kommande förslaget skulle ske. Utskottets betänkande innehåller således ingen kostnadsberäkning, men på grundval av de nyss redovisade beloppsuppgifterna i Fin</w:t>
      </w:r>
      <w:r w:rsidRPr="00AD6C48">
        <w:rPr>
          <w:snapToGrid w:val="0"/>
          <w:lang w:eastAsia="sv-SE"/>
        </w:rPr>
        <w:t>ansdeparte</w:t>
      </w:r>
      <w:r w:rsidRPr="00AD6C48">
        <w:rPr>
          <w:snapToGrid w:val="0"/>
          <w:lang w:eastAsia="sv-SE"/>
        </w:rPr>
        <w:softHyphen/>
        <w:t>mentets promemoria, som utskottet hade tillgång till, måste det antas att beräkningen höll sig kring några hundra miljoner kronor.</w:t>
      </w:r>
    </w:p>
    <w:p w:rsidR="0045208F" w:rsidRPr="00AD6C48" w:rsidRDefault="0045208F">
      <w:pPr>
        <w:pStyle w:val="Normaltindrag"/>
      </w:pPr>
      <w:r w:rsidRPr="00AD6C48">
        <w:t>Som framgår av betänkandet hade utskottet tagit vissa underhandskontak</w:t>
      </w:r>
      <w:r w:rsidRPr="00AD6C48">
        <w:softHyphen/>
        <w:t>ter för att kontrollera att en begäran av riksdagen om en proposition senast under augusti 2002 var realistisk. Bland annat hade utskottet under hand erfarit att en lagrådsgranskning skulle kunna påbörjas under senare hälften av augusti. Vidare kunde konstateras att det grundläggande analys- och kartlägg</w:t>
      </w:r>
      <w:r w:rsidRPr="00AD6C48">
        <w:softHyphen/>
        <w:t>ningsarbetet redan hade gjorts och fanns redovisat i Finansdepartementets ovannämnda promemoria, som även innehöll nödvändigt statistiskt underlag. Remissbehandlingen av den promemorian skulle vara avsluta</w:t>
      </w:r>
      <w:r w:rsidRPr="00AD6C48">
        <w:t>d den 15 juni 2002.</w:t>
      </w:r>
    </w:p>
    <w:p w:rsidR="0045208F" w:rsidRPr="00AD6C48" w:rsidRDefault="0045208F">
      <w:pPr>
        <w:pStyle w:val="Normaltindrag"/>
      </w:pPr>
      <w:r w:rsidRPr="00AD6C48">
        <w:t>När utskottet föreslår ett tillkännagivande om att regeringen skall företa en åtgärd anger utskottet normalt inte någon viss precis tidpunkt eller något visst datum för när åtgärden skall vara genomförd, eftersom svårigheterna i sam</w:t>
      </w:r>
      <w:r w:rsidRPr="00AD6C48">
        <w:softHyphen/>
        <w:t>band med genomförandet ofta inte låter sig överblickas i förväg. Som angivits ovan var förhållandena i detta ärende dock speciella och det hade enligt u</w:t>
      </w:r>
      <w:r w:rsidRPr="00AD6C48">
        <w:t>t</w:t>
      </w:r>
      <w:r w:rsidRPr="00AD6C48">
        <w:t>skottets mening varit värde</w:t>
      </w:r>
      <w:r w:rsidRPr="00AD6C48">
        <w:softHyphen/>
        <w:t>fullt om regeringen, när en proposition under augusti månad uteblev, hade lämnat besked åtminstone i budgetpropositionen för 2003 om hur regeringen avsåg att hantera frågan. Utskottet säger sig ku</w:t>
      </w:r>
      <w:r w:rsidRPr="00AD6C48">
        <w:t>n</w:t>
      </w:r>
      <w:r w:rsidRPr="00AD6C48">
        <w:t>na ha förståelse för att just detta lagstift</w:t>
      </w:r>
      <w:r w:rsidRPr="00AD6C48">
        <w:softHyphen/>
        <w:t>ningsprojekt visade sig vara osedva</w:t>
      </w:r>
      <w:r w:rsidRPr="00AD6C48">
        <w:t>n</w:t>
      </w:r>
      <w:r w:rsidRPr="00AD6C48">
        <w:t>ligt komplicerat rättsligt, tekniskt och kostnadsber</w:t>
      </w:r>
      <w:r w:rsidRPr="00AD6C48">
        <w:t>äkningsmässigt. Utskottet anser dock att frånvaron av besked i budgetproposi</w:t>
      </w:r>
      <w:r w:rsidRPr="00AD6C48">
        <w:softHyphen/>
        <w:t>tionen – medan andra planerade lagstiftningsprojekt på skatteområdet på sedvanligt sätt redovisades – i kombination med en del andra utspel i medierna av finansministern och statssekreteraren i Finansdepartementet om den aktuella frågan, under någon tid skapade osäkerhet om regeringens avsikter, inte bara i riksdagen utan även ute i landet och i synnerhet bland de berörda skatt</w:t>
      </w:r>
      <w:r w:rsidRPr="00AD6C48">
        <w:softHyphen/>
        <w:t>skyl</w:t>
      </w:r>
      <w:r w:rsidRPr="00AD6C48">
        <w:softHyphen/>
        <w:t>diga. Detta i sin tur ledde bl.a. till att enskil</w:t>
      </w:r>
      <w:r w:rsidRPr="00AD6C48">
        <w:t>da riksdagsledamöter i såväl finansutskottet som skatteutskottet aviserade förslag om initiativ på detta område, eftersom os</w:t>
      </w:r>
      <w:r w:rsidRPr="00AD6C48">
        <w:t>ä</w:t>
      </w:r>
      <w:r w:rsidRPr="00AD6C48">
        <w:t>kerhet förelåg om regeringen skulle lägga en proposition eller ej. En sådan osäkerhet hade enligt utskottets mening kunnat undvikas om regeringen hade lagt fram om än inte en exakt kostnadsberäkning så åtmin</w:t>
      </w:r>
      <w:r w:rsidRPr="00AD6C48">
        <w:softHyphen/>
        <w:t>stone en avsiktsfö</w:t>
      </w:r>
      <w:r w:rsidRPr="00AD6C48">
        <w:t>r</w:t>
      </w:r>
      <w:r w:rsidRPr="00AD6C48">
        <w:t>klaring i budgetpropositionen, som enligt de budgetprinci</w:t>
      </w:r>
      <w:r w:rsidRPr="00AD6C48">
        <w:softHyphen/>
        <w:t>per som gäller skall vara fullständig även i fråga om uppgifter om planerad skattelagstif</w:t>
      </w:r>
      <w:r w:rsidRPr="00AD6C48">
        <w:t>t</w:t>
      </w:r>
      <w:r w:rsidRPr="00AD6C48">
        <w:t>ning.</w:t>
      </w:r>
    </w:p>
    <w:p w:rsidR="0045208F" w:rsidRPr="00AD6C48" w:rsidRDefault="0045208F">
      <w:pPr>
        <w:pStyle w:val="Normaltindrag"/>
      </w:pPr>
      <w:r w:rsidRPr="00AD6C48">
        <w:t>Avslut</w:t>
      </w:r>
      <w:r w:rsidRPr="00AD6C48">
        <w:t>ningsvis noterar utskottet att proposition 2002/03:15, som inkom till riksdagen i november 2002, motsvarade riksdagens önskemål om ny lagstift</w:t>
      </w:r>
      <w:r w:rsidRPr="00AD6C48">
        <w:softHyphen/>
        <w:t>ning på det aktuella området och att  dröjsmålet med propositionens avlä</w:t>
      </w:r>
      <w:r w:rsidRPr="00AD6C48">
        <w:t>m</w:t>
      </w:r>
      <w:r w:rsidRPr="00AD6C48">
        <w:t>nande därigenom inte kom att fördröja ikraftträdandet den 1 januari 2003. Med det anförda anser sig utskottet ha besvarat motion 2002/03:K7 yrkande 2 såvitt yrkandet berör skatteutsko</w:t>
      </w:r>
      <w:r w:rsidRPr="00AD6C48">
        <w:t>t</w:t>
      </w:r>
      <w:r w:rsidRPr="00AD6C48">
        <w:t xml:space="preserve">tets område. </w:t>
      </w:r>
    </w:p>
    <w:p w:rsidR="0045208F" w:rsidRPr="00AD6C48" w:rsidRDefault="0045208F">
      <w:pPr>
        <w:pStyle w:val="Normaltindrag"/>
      </w:pPr>
      <w:r w:rsidRPr="00AD6C48">
        <w:t>Regeringens skrivelse i övrigt och övriga motionsyrkanden i ärendet fö</w:t>
      </w:r>
      <w:r w:rsidRPr="00AD6C48">
        <w:t>r</w:t>
      </w:r>
      <w:r w:rsidRPr="00AD6C48">
        <w:t>anl</w:t>
      </w:r>
      <w:r w:rsidRPr="00AD6C48">
        <w:t>e</w:t>
      </w:r>
      <w:r w:rsidRPr="00AD6C48">
        <w:t xml:space="preserve">der ingen vidare kommentar av skatteutskottet.  </w:t>
      </w:r>
    </w:p>
    <w:p w:rsidR="0045208F" w:rsidRPr="00AD6C48" w:rsidRDefault="0045208F">
      <w:r w:rsidRPr="00AD6C48">
        <w:rPr>
          <w:i/>
        </w:rPr>
        <w:t xml:space="preserve">Socialförsäkringsutskottet, bilaga 8, </w:t>
      </w:r>
      <w:r w:rsidRPr="00AD6C48">
        <w:t>anför i yttrande bl.a. följande. Samma</w:t>
      </w:r>
      <w:r w:rsidRPr="00AD6C48">
        <w:t>n</w:t>
      </w:r>
      <w:r w:rsidRPr="00AD6C48">
        <w:t>taget 25 skrivelser redovisas inom socialförsäkringsutskottets ansvarsområde, varav 15 ra</w:t>
      </w:r>
      <w:r w:rsidRPr="00AD6C48">
        <w:t>p</w:t>
      </w:r>
      <w:r w:rsidRPr="00AD6C48">
        <w:t>porteras som slutbehandlade.</w:t>
      </w:r>
    </w:p>
    <w:p w:rsidR="0045208F" w:rsidRPr="00AD6C48" w:rsidRDefault="0045208F">
      <w:pPr>
        <w:pStyle w:val="Normaltindrag"/>
      </w:pPr>
      <w:r w:rsidRPr="00AD6C48">
        <w:t>Beträffande skrivelse 1990/91:372 mom. 6 om arbetstagarbegreppet ko</w:t>
      </w:r>
      <w:r w:rsidRPr="00AD6C48">
        <w:t>m</w:t>
      </w:r>
      <w:r w:rsidRPr="00AD6C48">
        <w:t>menterade utskottet ärendet i yttrande till konstitutionsutskottet hösten 2000 (yttr. 2000/01:SfU3y). Utskottet noterar att regeringen i årets ekonomiska vårproposition redovisar sitt ställningstagande i ärendet och att ärendet nästa gång kan redovisas som slutbehandlat. En gemensam avvikande mening har anmälts av (m), (fp), (kd) och (c).</w:t>
      </w:r>
    </w:p>
    <w:p w:rsidR="0045208F" w:rsidRPr="00AD6C48" w:rsidRDefault="0045208F">
      <w:pPr>
        <w:pStyle w:val="Normaltindrag"/>
      </w:pPr>
      <w:r w:rsidRPr="00AD6C48">
        <w:t>Beträffande skrivelse 2000/01:210, mom. 1 om automatisk balansering noterar utskottet att regeringen i proposition 2002/03:61 lagt fram förslag med anledning av riksdagen</w:t>
      </w:r>
      <w:r w:rsidRPr="00AD6C48">
        <w:t>s beslut och att ärendet nästa gång kan redovisas som slu</w:t>
      </w:r>
      <w:r w:rsidRPr="00AD6C48">
        <w:t>t</w:t>
      </w:r>
      <w:r w:rsidRPr="00AD6C48">
        <w:t>behandlat.</w:t>
      </w:r>
    </w:p>
    <w:p w:rsidR="0045208F" w:rsidRPr="00AD6C48" w:rsidRDefault="0045208F">
      <w:pPr>
        <w:pStyle w:val="Normaltindrag"/>
      </w:pPr>
      <w:r w:rsidRPr="00AD6C48">
        <w:t>Beträffande skrivelse 2001/02:70, mom. 12 om instans- och processor</w:t>
      </w:r>
      <w:r w:rsidRPr="00AD6C48">
        <w:t>d</w:t>
      </w:r>
      <w:r w:rsidRPr="00AD6C48">
        <w:t>ning i utlänningsärenden noterar utskottet att det redogjorde för ärendet i förra årets yttrande till KU (yttr. 2001/02:SfU6y). I skrivelsen anges att Lagrådet i yttrande den 9 oktober 2002 avstyrkt regeringens lagrådsremiss avlämnad den 6 juni 2002. Utskottet vill tillägga att regeringen den 6 mars 2003 beslutade om direktiv till en översyn av utlänningslagstiftningen (dir. 2003:28). Den parlamentariska utredningen skall, med utgångspunkt i lagrådsremiss och Lagrådets yttrande, redovisa sitt uppdrag senas</w:t>
      </w:r>
      <w:r w:rsidRPr="00AD6C48">
        <w:t>t den 15 december 2003. Soc</w:t>
      </w:r>
      <w:r w:rsidRPr="00AD6C48">
        <w:t>i</w:t>
      </w:r>
      <w:r w:rsidRPr="00AD6C48">
        <w:t>alförsäkringsutskottet, som utgår från att kommittén redovisar sitt uppdrag inom den angivna tiden, finner med hänsyn till det som anförts att det inte finns någon anledning för konstitutionsutskottet att göra något påpekande i ärendet.</w:t>
      </w:r>
    </w:p>
    <w:p w:rsidR="0045208F" w:rsidRPr="00AD6C48" w:rsidRDefault="0045208F">
      <w:pPr>
        <w:pStyle w:val="Normaltindrag"/>
      </w:pPr>
      <w:r w:rsidRPr="00AD6C48">
        <w:t>Beträffande skrivelse 2001/02:84, mom. 12 om samverkan och finansiell samordning noterar utskottet att det redogjorde för ärendet i förra årets yt</w:t>
      </w:r>
      <w:r w:rsidRPr="00AD6C48">
        <w:t>t</w:t>
      </w:r>
      <w:r w:rsidRPr="00AD6C48">
        <w:t>rande till KU (yttr. 2001/02:SfU6y). I budgetpropositionen hösten 2002 för</w:t>
      </w:r>
      <w:r w:rsidRPr="00AD6C48">
        <w:t>e</w:t>
      </w:r>
      <w:r w:rsidRPr="00AD6C48">
        <w:t>slog regeringen att upp till 5 % av de beräknade utgifterna på sjukpenningen skall få användas för samordning inom rehabiliteringsområdet. I en särskild proposition samma höst föreslog regeringen en lagändring som innebär större möjligheter för försäkringskassan att bidra med medel till samverkan på reh</w:t>
      </w:r>
      <w:r w:rsidRPr="00AD6C48">
        <w:t>a</w:t>
      </w:r>
      <w:r w:rsidRPr="00AD6C48">
        <w:t>biliteringsområdet och att sådana medel får utgöra statens samlade andel i denna verksamhet. Utskottet tillstyrkte regeringens förs</w:t>
      </w:r>
      <w:r w:rsidRPr="00AD6C48">
        <w:t>lag till lagändring (bet. 2003/03:SfU1), med ikraftträdande 1 januari 2003. I regeringens skrive</w:t>
      </w:r>
      <w:r w:rsidRPr="00AD6C48">
        <w:t>l</w:t>
      </w:r>
      <w:r w:rsidRPr="00AD6C48">
        <w:t>se anges att departementspromemorian Finansiell samordning inom rehabil</w:t>
      </w:r>
      <w:r w:rsidRPr="00AD6C48">
        <w:t>i</w:t>
      </w:r>
      <w:r w:rsidRPr="00AD6C48">
        <w:t>teringsområdet (Ds 2003:2) utarbetats inom Regeringskansliet och att rege</w:t>
      </w:r>
      <w:r w:rsidRPr="00AD6C48">
        <w:t>r</w:t>
      </w:r>
      <w:r w:rsidRPr="00AD6C48">
        <w:t>ingen avser att avlämna en proposition under 2003. Utskottet vill tillägga att denna departementspromemoria utarbetats med anledning av riksdagens tillkännagivande (rskr. 2001/02:84), att arbetet avslutats i februari 2003 samt att en lagrådsremiss nu utarbetas inom Reg</w:t>
      </w:r>
      <w:r w:rsidRPr="00AD6C48">
        <w:t>eringskansliet. Med hänsyn till detta och de åtgärder som redan vidtagits anser socialförsäkringsutskottet inte att det finns anledning för konstitutionsutskottet att göra något påpekande i ärendet. Utskottet noterar i sammanhanget att regeringens hantering av fina</w:t>
      </w:r>
      <w:r w:rsidRPr="00AD6C48">
        <w:t>n</w:t>
      </w:r>
      <w:r w:rsidRPr="00AD6C48">
        <w:t>siell samordning är ett av de exempel som tas upp i motion K7 (fp). En gemensam avvikande mening har anmälts av (m), (fp), (kd) och (c).</w:t>
      </w:r>
    </w:p>
    <w:p w:rsidR="0045208F" w:rsidRPr="00AD6C48" w:rsidRDefault="0045208F">
      <w:pPr>
        <w:pStyle w:val="Normaltindrag"/>
      </w:pPr>
      <w:r w:rsidRPr="00AD6C48">
        <w:t>Beträffande skrivelse 2001/02:334, mom. 5 om samverkan och finansiell samordning påpekar utskottet att efters</w:t>
      </w:r>
      <w:r w:rsidRPr="00AD6C48">
        <w:t xml:space="preserve">om kammaren biföll reservation </w:t>
      </w:r>
      <w:r w:rsidRPr="00AD6C48">
        <w:br/>
        <w:t>4 avseende punkt 5 i utskottets förslag innebar riksdagsbeslutet att motionerna avslogs. Då även övriga motioner avslogs skulle någon riksdagsskrivelse inte ha tillställts regeringen och ärendet kunde av regeringen ha angivits som slutbehandlat.</w:t>
      </w:r>
    </w:p>
    <w:p w:rsidR="0045208F" w:rsidRPr="00AD6C48" w:rsidRDefault="0045208F">
      <w:r w:rsidRPr="00AD6C48">
        <w:rPr>
          <w:i/>
        </w:rPr>
        <w:t xml:space="preserve">Socialutskottet, bilaga 9, </w:t>
      </w:r>
      <w:r w:rsidRPr="00AD6C48">
        <w:t xml:space="preserve">anför i yttrande genom protokollsutdrag från den </w:t>
      </w:r>
      <w:r w:rsidRPr="00AD6C48">
        <w:br/>
        <w:t>29 april 2003 bl.a. fö</w:t>
      </w:r>
      <w:r w:rsidRPr="00AD6C48">
        <w:t>l</w:t>
      </w:r>
      <w:r w:rsidRPr="00AD6C48">
        <w:t xml:space="preserve">jande. </w:t>
      </w:r>
    </w:p>
    <w:p w:rsidR="0045208F" w:rsidRPr="00AD6C48" w:rsidRDefault="0045208F">
      <w:pPr>
        <w:pStyle w:val="Normaltindrag"/>
      </w:pPr>
      <w:r w:rsidRPr="00AD6C48">
        <w:t>Beträffande skrivelse 2000/01:195 mom. 26 om väntetider vid insatser e</w:t>
      </w:r>
      <w:r w:rsidRPr="00AD6C48">
        <w:t>n</w:t>
      </w:r>
      <w:r w:rsidRPr="00AD6C48">
        <w:t>ligt LSS och socialtjänstlagen noterar utskottet att regeringen anger skrivelsen vara slutbehandlad. Utskottet erinrar dock om att det i tillkännagivandet utt</w:t>
      </w:r>
      <w:r w:rsidRPr="00AD6C48">
        <w:t>a</w:t>
      </w:r>
      <w:r w:rsidRPr="00AD6C48">
        <w:t>lades att regeringen skulle återkomma till riksdagen med en redovisning samt, om det behövs, även med förslag till förändringar. Med hänsyn till det ifråg</w:t>
      </w:r>
      <w:r w:rsidRPr="00AD6C48">
        <w:t>a</w:t>
      </w:r>
      <w:r w:rsidRPr="00AD6C48">
        <w:t>sätter utskottet om skrivelsen bör anges som slutbehandlad. Utskottet noterar vidare att regeringen i skrivelse 2002/03:25 Uppföljning av den nationella handlingsplanen för handikappolitiken uttala</w:t>
      </w:r>
      <w:r w:rsidRPr="00AD6C48">
        <w:t>t att regeringen följer utvecklin</w:t>
      </w:r>
      <w:r w:rsidRPr="00AD6C48">
        <w:t>g</w:t>
      </w:r>
      <w:r w:rsidRPr="00AD6C48">
        <w:t>en och effekterna av nuvarande bestämmelser om sanktionsavgifter och avser att återkomma i frågan.</w:t>
      </w:r>
    </w:p>
    <w:p w:rsidR="0045208F" w:rsidRPr="00AD6C48" w:rsidRDefault="0045208F">
      <w:r w:rsidRPr="00AD6C48">
        <w:rPr>
          <w:i/>
        </w:rPr>
        <w:t xml:space="preserve">Trafikutskottet, bilaga 12, </w:t>
      </w:r>
      <w:r w:rsidRPr="00AD6C48">
        <w:t>anför i yttrande bl.a. följande. Utskottet konstaterar att även årets skrivelse från regeringen följer tidigare uppläggning, vilken bl.a. trafikutskottet förra året ansåg kunde förbättras (yttr. 2001/02:TU3y). Utskottet har dock erfarit att beredningsarbete pågår om hur regeringens skrivelse kan vidareutvecklas. Enligt utskottets mening är det angeläget att detta arbete slutförs och resulterar i en mer lättillgänglig och användbar pr</w:t>
      </w:r>
      <w:r w:rsidRPr="00AD6C48">
        <w:t>o</w:t>
      </w:r>
      <w:r w:rsidRPr="00AD6C48">
        <w:t>dukt.</w:t>
      </w:r>
    </w:p>
    <w:p w:rsidR="0045208F" w:rsidRPr="00AD6C48" w:rsidRDefault="0045208F">
      <w:pPr>
        <w:pStyle w:val="Normaltindrag"/>
      </w:pPr>
      <w:r w:rsidRPr="00AD6C48">
        <w:t xml:space="preserve"> Sammantaget 26 skrivelser redovisas inom trafikutskottets ansvarsom</w:t>
      </w:r>
      <w:r w:rsidRPr="00AD6C48">
        <w:t>r</w:t>
      </w:r>
      <w:r w:rsidRPr="00AD6C48">
        <w:t>å</w:t>
      </w:r>
      <w:r w:rsidRPr="00AD6C48">
        <w:t>de, varav 12 rapporteras som slutbehandlade. Utskottet anser att regeringen i huvudsak ger en god bild av de åtgärder som vidtagits och beredningsläget för ej slutbehandlade ärenden och har därför inget att erinra mot den formella registreringen av riksdagsbeslut inom utskottets beredningsområde. Utskottet konstaterar vidare att regeringens redogörelse avspeglar riksdagens 22 til</w:t>
      </w:r>
      <w:r w:rsidRPr="00AD6C48">
        <w:t>l</w:t>
      </w:r>
      <w:r w:rsidRPr="00AD6C48">
        <w:t>kännagivanden inom utskottets beredningsområde på ett korrekt sätt. Bland de 10 ej slutbehandlade skrivelserna med tillkännagiv</w:t>
      </w:r>
      <w:r w:rsidRPr="00AD6C48">
        <w:t xml:space="preserve">anden finns dock ett antal för vilka flera år förflutit sedan riksdagsbesluten. </w:t>
      </w:r>
    </w:p>
    <w:p w:rsidR="0045208F" w:rsidRPr="00AD6C48" w:rsidRDefault="0045208F">
      <w:pPr>
        <w:pStyle w:val="Normaltindrag"/>
      </w:pPr>
      <w:r w:rsidRPr="00AD6C48">
        <w:t>Utskottet konstaterar att flera av riksdagens tillkännagivanden berör ko</w:t>
      </w:r>
      <w:r w:rsidRPr="00AD6C48">
        <w:t>m</w:t>
      </w:r>
      <w:r w:rsidRPr="00AD6C48">
        <w:t>plicerade spörsmål som kräver omsorgsfull beredning.  Med anledning av tiden sedan riksdagen fattade beslut vill utskottet ändå understryka betydelsen av att skrivelser med tillkännagivanden hanteras skyndsamt. Att riksdagens tillkännagivanden inte är slutbehandlade efter många år bör endast föreko</w:t>
      </w:r>
      <w:r w:rsidRPr="00AD6C48">
        <w:t>m</w:t>
      </w:r>
      <w:r w:rsidRPr="00AD6C48">
        <w:t>ma i undantagsfall. Utskottet delar därmed den uppfattning som konstit</w:t>
      </w:r>
      <w:r w:rsidRPr="00AD6C48">
        <w:t>u</w:t>
      </w:r>
      <w:r w:rsidRPr="00AD6C48">
        <w:t>tionsutskottet tidigare uttryckt i dessa frågor liksom uttrycks i de nu aktuella motionerna 2002/03:K6 (m) och  2002/03:K7 (fp) om vikten av</w:t>
      </w:r>
      <w:r w:rsidRPr="00AD6C48">
        <w:t xml:space="preserve"> att regeringen noggrant följer de beslut som riksdagen fattar. </w:t>
      </w:r>
    </w:p>
    <w:p w:rsidR="0045208F" w:rsidRPr="00AD6C48" w:rsidRDefault="0045208F">
      <w:pPr>
        <w:pStyle w:val="Normaltindrag"/>
      </w:pPr>
      <w:r w:rsidRPr="00AD6C48">
        <w:t>Utskottet säger sig ha förståelse för att det i olika frågor kan finnas skäl för att ett genomförande av riksdagens beslut inte kan ske i den ursprungligen planerade formen. Utskottet anser dock att, som framhålls i motion 2002/03:K7 (fp), regeringen i så fall skyndsamt bör meddela riksdagen detta och noggrant redovisa skälen till dröjsmålet. Enligt utskottets mening bör regeringen i dessa fall ange sin uppfattning om när skrivelsen bedöms slu</w:t>
      </w:r>
      <w:r w:rsidRPr="00AD6C48">
        <w:t>tb</w:t>
      </w:r>
      <w:r w:rsidRPr="00AD6C48">
        <w:t>e</w:t>
      </w:r>
      <w:r w:rsidRPr="00AD6C48">
        <w:t>handlas. Utskottet anser att det därför är angeläget att rutinerna för genomf</w:t>
      </w:r>
      <w:r w:rsidRPr="00AD6C48">
        <w:t>ö</w:t>
      </w:r>
      <w:r w:rsidRPr="00AD6C48">
        <w:t>rande av riksdagens beslut ses över.</w:t>
      </w:r>
    </w:p>
    <w:p w:rsidR="0045208F" w:rsidRPr="00AD6C48" w:rsidRDefault="0045208F">
      <w:pPr>
        <w:pStyle w:val="Normaltindrag"/>
      </w:pPr>
      <w:r w:rsidRPr="00AD6C48">
        <w:t>Utskottet framhåller att det är lämpligt att regeringen normalt sett åte</w:t>
      </w:r>
      <w:r w:rsidRPr="00AD6C48">
        <w:t>r</w:t>
      </w:r>
      <w:r w:rsidRPr="00AD6C48">
        <w:t>kommer till riksdagen med en tydlig redovisning med anledning av de av riksdagen fattade tillkännagivandena i de fall där ärenden anges som slutb</w:t>
      </w:r>
      <w:r w:rsidRPr="00AD6C48">
        <w:t>e</w:t>
      </w:r>
      <w:r w:rsidRPr="00AD6C48">
        <w:t>handlade utan tidigare redovisning. Mot bakgrund av detta vill utskottet lyfta fram två ärenden.</w:t>
      </w:r>
    </w:p>
    <w:p w:rsidR="0045208F" w:rsidRPr="00AD6C48" w:rsidRDefault="0045208F">
      <w:pPr>
        <w:pStyle w:val="Normaltindrag"/>
      </w:pPr>
      <w:r w:rsidRPr="00AD6C48">
        <w:t>Beträffande skrivelse 1998/99:197 om övergripande trafiksäkerhetsåtgä</w:t>
      </w:r>
      <w:r w:rsidRPr="00AD6C48">
        <w:t>r</w:t>
      </w:r>
      <w:r w:rsidRPr="00AD6C48">
        <w:t>der konstaterar utskottet att regeringen i sin skrivelse meddelar att den, genom ändring i förordning, beslutat om inrätta en vägtrafikinspektion inom ramen för Vägverkets organisation. Utskottet säger sig med anledning av detta vilja erinra om att det eniga tillkännagivandet från utskottet efterlyste en av rege</w:t>
      </w:r>
      <w:r w:rsidRPr="00AD6C48">
        <w:t>r</w:t>
      </w:r>
      <w:r w:rsidRPr="00AD6C48">
        <w:t>ingen tillsatt utredning av inrättandet av en för vägtrafiken fristående vägtr</w:t>
      </w:r>
      <w:r w:rsidRPr="00AD6C48">
        <w:t>a</w:t>
      </w:r>
      <w:r w:rsidRPr="00AD6C48">
        <w:t>fikinspektion samt att regeringen därefter skulle återkomma till riksdagen med förslag därom. Utskottet noterar att va</w:t>
      </w:r>
      <w:r w:rsidRPr="00AD6C48">
        <w:t>re sig någon redovisning av resu</w:t>
      </w:r>
      <w:r w:rsidRPr="00AD6C48">
        <w:t>l</w:t>
      </w:r>
      <w:r w:rsidRPr="00AD6C48">
        <w:t>tatet av det utredningsarbete och remissförfarande som föregått regeringsb</w:t>
      </w:r>
      <w:r w:rsidRPr="00AD6C48">
        <w:t>e</w:t>
      </w:r>
      <w:r w:rsidRPr="00AD6C48">
        <w:t>slutet eller något förslag om inrättande av en fristående vägtrafikinspektion förelagts riksdagen. Däremot har regeringen i budgetpropositionen för 2003 angett att den beredde införandet av en vägtrafikinspektion. Enligt utskottets mening är det angeläget att riksdagens tillkännagivanden behandlas omsorg</w:t>
      </w:r>
      <w:r w:rsidRPr="00AD6C48">
        <w:t>s</w:t>
      </w:r>
      <w:r w:rsidRPr="00AD6C48">
        <w:t>fullt. Har riksdagen efterlyst utredningsarbete och förslag i en fråga bör också resultatet och re</w:t>
      </w:r>
      <w:r w:rsidRPr="00AD6C48">
        <w:t>geringens ställningstagande tydligt redovisas för riksdagen. Utskottet anser att regeringen borde ha återkommit till riksdagen med en redovisning av det aktuella utredningsarbetet, remissutfallet och sina bedö</w:t>
      </w:r>
      <w:r w:rsidRPr="00AD6C48">
        <w:t>m</w:t>
      </w:r>
      <w:r w:rsidRPr="00AD6C48">
        <w:t xml:space="preserve">ningar i frågan. </w:t>
      </w:r>
    </w:p>
    <w:p w:rsidR="0045208F" w:rsidRPr="00AD6C48" w:rsidRDefault="0045208F">
      <w:pPr>
        <w:pStyle w:val="Normaltindrag"/>
      </w:pPr>
      <w:r w:rsidRPr="00AD6C48">
        <w:t>Beträffande skrivelse 2001/02:251 med fyra tillkännagivanden om bi</w:t>
      </w:r>
      <w:r w:rsidRPr="00AD6C48">
        <w:t>l</w:t>
      </w:r>
      <w:r w:rsidRPr="00AD6C48">
        <w:t>provningens verksamhet noterar utskottet att regeringen redovisar vidtagna åtgärder under de olika momenten och skrivelsen behandlas mot denna ba</w:t>
      </w:r>
      <w:r w:rsidRPr="00AD6C48">
        <w:t>k</w:t>
      </w:r>
      <w:r w:rsidRPr="00AD6C48">
        <w:t>grund som slutbehandlad. Utskottet anser emellertid att redovisningen inte är helt lättillgänglig och lämnar exempel på vissa oklarheter och ofullständi</w:t>
      </w:r>
      <w:r w:rsidRPr="00AD6C48">
        <w:t>g</w:t>
      </w:r>
      <w:r w:rsidRPr="00AD6C48">
        <w:t>heter i redovisningen. Enligt utskottets mening är det mot denna bakgrund inte helt enkelt för riksdagen att få en samlad bild av vilka åtgärder som vi</w:t>
      </w:r>
      <w:r w:rsidRPr="00AD6C48">
        <w:t>d</w:t>
      </w:r>
      <w:r w:rsidRPr="00AD6C48">
        <w:t>tagits med anledning av den aktuella riskdagsskrivelsen. Med</w:t>
      </w:r>
      <w:r w:rsidRPr="00AD6C48">
        <w:t xml:space="preserve"> tanke på att riksdagsbeslutet grundade sig på en samlad revisionsrapport från Riksdagens revisorer bör enligt utskottets mening, inom ramen för den fortsatta utvec</w:t>
      </w:r>
      <w:r w:rsidRPr="00AD6C48">
        <w:t>k</w:t>
      </w:r>
      <w:r w:rsidRPr="00AD6C48">
        <w:t>lingen av regeringens redogörelse, övervägas hur en mer sammanhållen och användarinriktad information fortsättningsvis kan ges av liknande riksdag</w:t>
      </w:r>
      <w:r w:rsidRPr="00AD6C48">
        <w:t>s</w:t>
      </w:r>
      <w:r w:rsidRPr="00AD6C48">
        <w:t xml:space="preserve">skrivelser med tillkännagivanden.  </w:t>
      </w:r>
    </w:p>
    <w:p w:rsidR="0045208F" w:rsidRPr="00AD6C48" w:rsidRDefault="0045208F">
      <w:r w:rsidRPr="00AD6C48">
        <w:rPr>
          <w:i/>
        </w:rPr>
        <w:t xml:space="preserve">Arbetsmarknadsutskottet, bilaga 15, </w:t>
      </w:r>
      <w:r w:rsidRPr="00AD6C48">
        <w:t>anför i yttrande bl.a. följande. Samma</w:t>
      </w:r>
      <w:r w:rsidRPr="00AD6C48">
        <w:t>n</w:t>
      </w:r>
      <w:r w:rsidRPr="00AD6C48">
        <w:t>taget 15 skrivelser redovisas inom arbetsmarknadsutskottets ansvarsområde, varav 9 rapporteras som slutbehandlade. De senare föranleder inga komme</w:t>
      </w:r>
      <w:r w:rsidRPr="00AD6C48">
        <w:t>n</w:t>
      </w:r>
      <w:r w:rsidRPr="00AD6C48">
        <w:t>tarer från utskottets sida. Av de 6 skrivelser som redovisas som ej slutb</w:t>
      </w:r>
      <w:r w:rsidRPr="00AD6C48">
        <w:t>e</w:t>
      </w:r>
      <w:r w:rsidRPr="00AD6C48">
        <w:t>handlade har arbetsmarknadsutskottet i tre fall (rskr. 1999/2000:83, 1999/2000:149 och 2000/01:179) ingen erinran mot att skrivelsen kvarstår som inte slutbehandlad.</w:t>
      </w:r>
    </w:p>
    <w:p w:rsidR="0045208F" w:rsidRPr="00AD6C48" w:rsidRDefault="0045208F">
      <w:pPr>
        <w:pStyle w:val="Normaltindrag"/>
      </w:pPr>
      <w:r w:rsidRPr="00AD6C48">
        <w:t>Beträffande skrivelse 2000/01:145, mom. 7 om utredning om rätten till politisk informa</w:t>
      </w:r>
      <w:r w:rsidRPr="00AD6C48">
        <w:t>tion på arbetsplatsen samt mom. 12 och 13 om AKU-statistik respektive om regeringens skrivelse 1999/2000:146 konstaterar utskottet att det i motsvarande yttrande till konstitutionsutskottet förra året (yttr. 2001/02:AU3y) förutsatte att dessa frågor borde kunna behandlas utan ytterl</w:t>
      </w:r>
      <w:r w:rsidRPr="00AD6C48">
        <w:t>i</w:t>
      </w:r>
      <w:r w:rsidRPr="00AD6C48">
        <w:t>gare dröjsmål. Angående mom. 7 framgår av regeringsskrivelsen att ärendet bereds och att regeringen har för avsikt att under våren 2003 inom depart</w:t>
      </w:r>
      <w:r w:rsidRPr="00AD6C48">
        <w:t>e</w:t>
      </w:r>
      <w:r w:rsidRPr="00AD6C48">
        <w:t xml:space="preserve">mentet upprätta en promemoria för att därefter ta ställning till om ytterligare </w:t>
      </w:r>
      <w:r w:rsidRPr="00AD6C48">
        <w:t>åtgärder behöver vidtas. Utskottet vill understryka vikten av att regeringen återkommer utan ytterligare dröjsmål så att skrivelsen därmed kan bli slutb</w:t>
      </w:r>
      <w:r w:rsidRPr="00AD6C48">
        <w:t>e</w:t>
      </w:r>
      <w:r w:rsidRPr="00AD6C48">
        <w:t>handlad i denna del. Angående mom. 12 och 13 redovisas att regeringen har undersökt möjligheten att i AKU-statistiken ta in uppgifter om överensko</w:t>
      </w:r>
      <w:r w:rsidRPr="00AD6C48">
        <w:t>m</w:t>
      </w:r>
      <w:r w:rsidRPr="00AD6C48">
        <w:t>men visstidsanställning, men att SCB bedömt detta som omöjligt, varför regeringen den 6 februari 2003 beslutade lägga riksdagens skrivelse till han</w:t>
      </w:r>
      <w:r w:rsidRPr="00AD6C48">
        <w:t>d</w:t>
      </w:r>
      <w:r w:rsidRPr="00AD6C48">
        <w:t>lingarna i dessa delar. Utskottet säger sig kunna acceptera rege</w:t>
      </w:r>
      <w:r w:rsidRPr="00AD6C48">
        <w:t>ringens b</w:t>
      </w:r>
      <w:r w:rsidRPr="00AD6C48">
        <w:t>e</w:t>
      </w:r>
      <w:r w:rsidRPr="00AD6C48">
        <w:t>dömning och anser därmed att skrivelsen bör kunna betraktas som slutb</w:t>
      </w:r>
      <w:r w:rsidRPr="00AD6C48">
        <w:t>e</w:t>
      </w:r>
      <w:r w:rsidRPr="00AD6C48">
        <w:t>handlad.</w:t>
      </w:r>
    </w:p>
    <w:p w:rsidR="0045208F" w:rsidRPr="00AD6C48" w:rsidRDefault="0045208F">
      <w:pPr>
        <w:pStyle w:val="Normaltindrag"/>
      </w:pPr>
      <w:r w:rsidRPr="00AD6C48">
        <w:t>Beträffande skrivelse 2000/01:211 mom. 12 om avskaffad åldersgräns för läkarvårdsersättning m.m. noterar utskottet att det i motsvarande yttrande förra året (yttr. 2001/02:AU3y) ifrågasatte om skrivelsen borde betecknas som slutbehandlad då regeringen endast tillsatt en utredning om konsekve</w:t>
      </w:r>
      <w:r w:rsidRPr="00AD6C48">
        <w:t>n</w:t>
      </w:r>
      <w:r w:rsidRPr="00AD6C48">
        <w:t>serna av att avskaffa en sådan åldersgräns, medan tillkännagivandet gick ut på att regeringen skulle återkomma med ett förslag till avskaffande. Utskottet förutsatte att regeringen skulle återkomma till riksdagen i enlighet med til</w:t>
      </w:r>
      <w:r w:rsidRPr="00AD6C48">
        <w:t>l</w:t>
      </w:r>
      <w:r w:rsidRPr="00AD6C48">
        <w:t>kännagivandet. Konstitutionsutskottet fann i sitt av riksdagen godkända b</w:t>
      </w:r>
      <w:r w:rsidRPr="00AD6C48">
        <w:t>e</w:t>
      </w:r>
      <w:r w:rsidRPr="00AD6C48">
        <w:t>tänkande (2001/02:KU35) ingen anledning att göra någon annan bedömning än arbetsmarknadsutskottet och sade sig förutsätta att regeringen hörsammar riksdagens tillkännagivanden. Av regeringens redovisning f</w:t>
      </w:r>
      <w:r w:rsidRPr="00AD6C48">
        <w:t>ramgår att utred</w:t>
      </w:r>
      <w:r w:rsidRPr="00AD6C48">
        <w:t>a</w:t>
      </w:r>
      <w:r w:rsidRPr="00AD6C48">
        <w:t>ren den 6 februari 2003 redovisade sitt uppdrag till regeringen (SOU 2003:7). I proposition 2002/03:73 föreslog regeringen höjd åldersgräns för ersättning till tandläkare och tandhygienister från 67 till 70 år, med individuell prövning för äldre yrkesutövare. Vad gäller övriga yrkeskategorier som berörs av u</w:t>
      </w:r>
      <w:r w:rsidRPr="00AD6C48">
        <w:t>t</w:t>
      </w:r>
      <w:r w:rsidRPr="00AD6C48">
        <w:t>redningsförslaget bereds för närvarande frågan inom Socialdepartementet. Arbetsmarknadsutskottet säger sig från de synpunkter utskottet har att iaktta inte ha någon eri</w:t>
      </w:r>
      <w:r w:rsidRPr="00AD6C48">
        <w:t>n</w:t>
      </w:r>
      <w:r w:rsidRPr="00AD6C48">
        <w:t>ran mot att skri</w:t>
      </w:r>
      <w:r w:rsidRPr="00AD6C48">
        <w:t xml:space="preserve">velsen kvarstår som inte slutbehandlad.   </w:t>
      </w:r>
    </w:p>
    <w:p w:rsidR="0045208F" w:rsidRPr="00AD6C48" w:rsidRDefault="0045208F">
      <w:pPr>
        <w:pStyle w:val="Normaltindrag"/>
      </w:pPr>
      <w:r w:rsidRPr="00AD6C48">
        <w:t xml:space="preserve">Beträffande skrivelse 2001/02:322 mom. 2 om utgångspunkter m.m. för ett system för individuell kompetensutveckling och mom. 3 om riktlinjer i övrigt för ett system för individuell kompetensutveckling säger sig utskottet under hand ha erfarit att det inom Regeringskansliet pågår arbete med att precisera det betydande antal öppna frågor som fanns i den riktlinjeproposition som riksdagen tog ställning till förra våren. Utskottet säger sig ha förståelse för att frågan </w:t>
      </w:r>
      <w:r w:rsidRPr="00AD6C48">
        <w:t>kräver omfattande beredningsarbete och har mot denna bakgrund ingen erinran mot att skrivelsen kvarstår som inte slutbehandlad. En geme</w:t>
      </w:r>
      <w:r w:rsidRPr="00AD6C48">
        <w:t>n</w:t>
      </w:r>
      <w:r w:rsidRPr="00AD6C48">
        <w:t xml:space="preserve">sam avvikande mening har anmälts av (m), (fp), (kd) och (c).  </w:t>
      </w:r>
    </w:p>
    <w:p w:rsidR="0045208F" w:rsidRPr="00AD6C48" w:rsidRDefault="0045208F">
      <w:r w:rsidRPr="00AD6C48">
        <w:rPr>
          <w:i/>
        </w:rPr>
        <w:t>Bostadsutskottet, bilaga 16,</w:t>
      </w:r>
      <w:r w:rsidRPr="00AD6C48">
        <w:t xml:space="preserve"> anför i yttrande bl.a. följande. Utskottet säger sig vilja begagna tillfället att uppmärksamma vikten av att regeringen efter ett tillkännagivande av riksdagen utan något egentligt dröjsmål vidtar de åtgärder som är nödvändiga för att regeringen skall kunna efterkomma tillkännagiva</w:t>
      </w:r>
      <w:r w:rsidRPr="00AD6C48">
        <w:t>n</w:t>
      </w:r>
      <w:r w:rsidRPr="00AD6C48">
        <w:t>det, t.ex. tillsätter en av riksdagen önskad utredning. I de undantagsfall r</w:t>
      </w:r>
      <w:r w:rsidRPr="00AD6C48">
        <w:t>e</w:t>
      </w:r>
      <w:r w:rsidRPr="00AD6C48">
        <w:t>geringen avser avvakta med en beredningsåtgärd eller en pågående bere</w:t>
      </w:r>
      <w:r w:rsidRPr="00AD6C48">
        <w:t>d</w:t>
      </w:r>
      <w:r w:rsidRPr="00AD6C48">
        <w:t>ningsåtgärd alltför länge drar ut på tiden bör regeringen för riksdagen skyn</w:t>
      </w:r>
      <w:r w:rsidRPr="00AD6C48">
        <w:t>d</w:t>
      </w:r>
      <w:r w:rsidRPr="00AD6C48">
        <w:t>samt</w:t>
      </w:r>
      <w:r w:rsidRPr="00AD6C48">
        <w:t xml:space="preserve"> redovisa sitt dröjsmål och skälen för detta. Regeringens skyndsamhet i detta avseende är, enligt utskottets mening, naturligtvis särskilt viktig i de fall riksdagen ansett att ett ärende är brådskande eller har angivit en tid inom vilken en efterfrågad åtgärd bör vidtas. Därutöver anser utskottet att det kan vara en lämplig åtgärd att regeringen i sin årliga skrivelse till riksdagen på ett mer preciserat sätt anger orsaken till en längre tidsutdräkt. </w:t>
      </w:r>
    </w:p>
    <w:p w:rsidR="0045208F" w:rsidRPr="00AD6C48" w:rsidRDefault="0045208F">
      <w:pPr>
        <w:pStyle w:val="Normaltindrag"/>
      </w:pPr>
      <w:r w:rsidRPr="00AD6C48">
        <w:t>I övrigt säger sig u</w:t>
      </w:r>
      <w:r w:rsidRPr="00AD6C48">
        <w:t>t</w:t>
      </w:r>
      <w:r w:rsidRPr="00AD6C48">
        <w:t>skottet inte ha något att anföra.</w:t>
      </w:r>
    </w:p>
    <w:p w:rsidR="0045208F" w:rsidRPr="00AD6C48" w:rsidRDefault="0045208F">
      <w:r w:rsidRPr="00AD6C48">
        <w:t>Övriga</w:t>
      </w:r>
      <w:r w:rsidRPr="00AD6C48">
        <w:rPr>
          <w:i/>
        </w:rPr>
        <w:t xml:space="preserve"> </w:t>
      </w:r>
      <w:r w:rsidRPr="00AD6C48">
        <w:t>utskott har genom protokollsutdrag meddelat att de inte avser yttra sig över regeringens skrivelse 2002/03:75.</w:t>
      </w:r>
    </w:p>
    <w:p w:rsidR="0045208F" w:rsidRPr="00AD6C48" w:rsidRDefault="0045208F">
      <w:pPr>
        <w:pStyle w:val="Normaltindrag"/>
      </w:pPr>
    </w:p>
    <w:p w:rsidR="0045208F" w:rsidRPr="00AD6C48" w:rsidRDefault="0045208F">
      <w:pPr>
        <w:pStyle w:val="Rubrik2"/>
        <w:spacing w:before="125"/>
      </w:pPr>
      <w:bookmarkStart w:id="19" w:name="_Toc41451031"/>
      <w:r w:rsidRPr="00AD6C48">
        <w:t>Motionerna</w:t>
      </w:r>
      <w:bookmarkEnd w:id="19"/>
    </w:p>
    <w:p w:rsidR="0045208F" w:rsidRPr="00AD6C48" w:rsidRDefault="0045208F">
      <w:r w:rsidRPr="00AD6C48">
        <w:t>I motion 2002/03:K6 av Gunnar Hökmark m.fl. (m) föreslås att riksdagen tillkännager för regeringen som sin mening vad i motionen anförs om rege</w:t>
      </w:r>
      <w:r w:rsidRPr="00AD6C48">
        <w:t>r</w:t>
      </w:r>
      <w:r w:rsidRPr="00AD6C48">
        <w:t>ingens uppfyllande av riksdagens mål. Av regeringens skrivelse framgår enligt motionärerna att regeringen under den senaste mandatperioden unde</w:t>
      </w:r>
      <w:r w:rsidRPr="00AD6C48">
        <w:t>r</w:t>
      </w:r>
      <w:r w:rsidRPr="00AD6C48">
        <w:t>låtit att efterkomma riksdagens beslut i ett stort antal ärenden. Att regeringen inte efterkommer riksdagens mål i tekniskt komplicerade ärenden är förstå</w:t>
      </w:r>
      <w:r w:rsidRPr="00AD6C48">
        <w:t>e</w:t>
      </w:r>
      <w:r w:rsidRPr="00AD6C48">
        <w:t>ligt, men när det är fråga om att inte bereda lagstiftning som är relativt lätt att genomföra eller att inte tillsätta en utredning är det fråga om politiskt trots som enligt motionärerna inte är acceptabelt. Det</w:t>
      </w:r>
      <w:r w:rsidRPr="00AD6C48">
        <w:t xml:space="preserve"> är viktigt att regeringen uppfyller de mål riksdagen sätter upp och som det finns en politisk majoritet för så att inte allmänhetens tilltro till det politiska systemet urholkas. När regeringen inte efterkommer riksdagens mål leder det till att riksdagen tvingas agera på egen hand genom t.ex. utskottsinitiativ. Detta är olyckligt ur bere</w:t>
      </w:r>
      <w:r w:rsidRPr="00AD6C48">
        <w:t>d</w:t>
      </w:r>
      <w:r w:rsidRPr="00AD6C48">
        <w:t>ningssynpunkt eftersom utskottskanslierna inte är dimensionerade för att förbereda lagstiftning. Enligt motionärerna kan det i längden leda till sämre kvalitet på lagstift</w:t>
      </w:r>
      <w:r w:rsidRPr="00AD6C48">
        <w:t>ningen. Riksdagen skall heller inte ständigt behöva påpeka regeringens dröjsmål i olika ärenden. Sammantaget riskerar regeringens ag</w:t>
      </w:r>
      <w:r w:rsidRPr="00AD6C48">
        <w:t>e</w:t>
      </w:r>
      <w:r w:rsidRPr="00AD6C48">
        <w:t xml:space="preserve">rande att allmänhetens förtroende för de politiska institutionerna minskar. </w:t>
      </w:r>
    </w:p>
    <w:p w:rsidR="0045208F" w:rsidRPr="00AD6C48" w:rsidRDefault="0045208F">
      <w:pPr>
        <w:pStyle w:val="Normaltindrag"/>
      </w:pPr>
      <w:r w:rsidRPr="00AD6C48">
        <w:t xml:space="preserve">I motion 2002/03:K7 av Helena Bargholtz m.fl. (fp) föreslås att riksdagen tillkännager för regeringen som sin mening vad i motionen anförs </w:t>
      </w:r>
      <w:r w:rsidRPr="00AD6C48">
        <w:rPr>
          <w:i/>
        </w:rPr>
        <w:t>dels</w:t>
      </w:r>
      <w:r w:rsidRPr="00AD6C48">
        <w:t xml:space="preserve"> om att regeringen inför skärpta rutiner gällande verkställandet av riksdagens beslut (yrkande 1), </w:t>
      </w:r>
      <w:r w:rsidRPr="00AD6C48">
        <w:rPr>
          <w:i/>
        </w:rPr>
        <w:t xml:space="preserve">dels </w:t>
      </w:r>
      <w:r w:rsidRPr="00AD6C48">
        <w:t>om att regeringen skyndsamt skall, i de fall särskilda skäl föreligger för att regeringen inte kan följa ett av riksdagen fattat beslut, me</w:t>
      </w:r>
      <w:r w:rsidRPr="00AD6C48">
        <w:t>d</w:t>
      </w:r>
      <w:r w:rsidRPr="00AD6C48">
        <w:t>dela riksdagen detta och för riksdagen noggrant redovisa skälen härför (y</w:t>
      </w:r>
      <w:r w:rsidRPr="00AD6C48">
        <w:t>r</w:t>
      </w:r>
      <w:r w:rsidRPr="00AD6C48">
        <w:t>kande 2). Enligt motionärerna är det inte ovanligt att regeringen på ett a</w:t>
      </w:r>
      <w:r w:rsidRPr="00AD6C48">
        <w:t>n</w:t>
      </w:r>
      <w:r w:rsidRPr="00AD6C48">
        <w:t>märkningsvärt sätt visar nonchalans gentemot riksdagens beslut genom att år efter år dröja med att verkställa bestä</w:t>
      </w:r>
      <w:r w:rsidRPr="00AD6C48">
        <w:t>llningar från riksdagen. Ett anmär</w:t>
      </w:r>
      <w:r w:rsidRPr="00AD6C48">
        <w:t>k</w:t>
      </w:r>
      <w:r w:rsidRPr="00AD6C48">
        <w:t>ningsvärt ärende gäller regeringens hantering av frågan om avskaffande av den s.k. pomperipossaeffekten. Riksdagen beslöt, på initiativ av ett enigt skatteutskott, att regeringen senast under augusti 2002 skulle återkomma till riksdagen med ett förslag till en ”retroaktivt verkande lagändring som elim</w:t>
      </w:r>
      <w:r w:rsidRPr="00AD6C48">
        <w:t>i</w:t>
      </w:r>
      <w:r w:rsidRPr="00AD6C48">
        <w:t>nerar de effekter som uppstår i förlustsituationer till följd av att ett tjänsteb</w:t>
      </w:r>
      <w:r w:rsidRPr="00AD6C48">
        <w:t>e</w:t>
      </w:r>
      <w:r w:rsidRPr="00AD6C48">
        <w:t>lopp skall tas upp till beskattning av den som genom ett uppskovsgrundande andelsbyte har av</w:t>
      </w:r>
      <w:r w:rsidRPr="00AD6C48">
        <w:t>yttrat kvalificerade andelar i fåmansföretag” (bet. 2001/02:SkU29). Regeringen lade inte fram det av riksdagen beställda lagfö</w:t>
      </w:r>
      <w:r w:rsidRPr="00AD6C48">
        <w:t>r</w:t>
      </w:r>
      <w:r w:rsidRPr="00AD6C48">
        <w:t>slaget inom den stipulerade tidsramen. Folkpartiet liberalerna anser att det är allvarligt att regeringen inte i tid efterkommer riksdagens beslut och att det är anmärkningsvärt att regeringen inte på ett skyndsamt och noggrant sätt för riksdagen har redovisat skälen till förseningen. Ett annat exempel gäller f</w:t>
      </w:r>
      <w:r w:rsidRPr="00AD6C48">
        <w:t>i</w:t>
      </w:r>
      <w:r w:rsidRPr="00AD6C48">
        <w:t>nansiell samordning mellan sjukförsäkring och försäkringskassa för bättr</w:t>
      </w:r>
      <w:r w:rsidRPr="00AD6C48">
        <w:t>e hälsa och för minskade sjukskrivningar. Hösten 2000 träffades en överen</w:t>
      </w:r>
      <w:r w:rsidRPr="00AD6C48">
        <w:t>s</w:t>
      </w:r>
      <w:r w:rsidRPr="00AD6C48">
        <w:t>kommelse mellan företrädare för regeringen, Folkpartiet, Centerpartiet och Miljöpartiet om att det till hösten 2001 skulle presenteras förslag till riksd</w:t>
      </w:r>
      <w:r w:rsidRPr="00AD6C48">
        <w:t>a</w:t>
      </w:r>
      <w:r w:rsidRPr="00AD6C48">
        <w:t>gen som skulle möjliggöra finansiell samordning mellan bland andra försä</w:t>
      </w:r>
      <w:r w:rsidRPr="00AD6C48">
        <w:t>k</w:t>
      </w:r>
      <w:r w:rsidRPr="00AD6C48">
        <w:t>ringskassorna och sjukvården. Målet var att reglerna skulle börja gälla fr.o.m. år 2002. I propositionsförteckningen från slutet av januari 2003 sägs att pr</w:t>
      </w:r>
      <w:r w:rsidRPr="00AD6C48">
        <w:t>o</w:t>
      </w:r>
      <w:r w:rsidRPr="00AD6C48">
        <w:t>positionen skall komma i maj för riksdagsbehandling un</w:t>
      </w:r>
      <w:r w:rsidRPr="00AD6C48">
        <w:t xml:space="preserve">der hösten 2003. Även detta fall visar på regeringens nonchalans inför efterkommandet av riksdagens beslut och negligering av att skyndsamt och noggrant redovisa skälen till förseningen. Ytterligare ett av alla de ärenden där regeringen har bedrivit förhalningspolitik gäller inrättandet av ett effektivt sanktionssystem mot de nätbolag som inte uppfyller regelverkets krav vid byte av elleverantör. Våren 2001 beslutade riksdagen, på förslag av ett enhälligt näringsutskott, att anmoda regeringen att skyndsamt </w:t>
      </w:r>
      <w:r w:rsidRPr="00AD6C48">
        <w:t>utreda förutsättningarna och formerna för ett införande av det nämnda sanktionssystemet. Våren 2003, dvs. två år sen</w:t>
      </w:r>
      <w:r w:rsidRPr="00AD6C48">
        <w:t>a</w:t>
      </w:r>
      <w:r w:rsidRPr="00AD6C48">
        <w:t>re, beslutar regeringen att utreda frågan ytterligare och ett förslag från en dylik utredning kan förväntas presenteras först i september 2004. Med hä</w:t>
      </w:r>
      <w:r w:rsidRPr="00AD6C48">
        <w:t>n</w:t>
      </w:r>
      <w:r w:rsidRPr="00AD6C48">
        <w:t>visning till ovannämnda exempel på regeringens oförmåga att i rimlig tid efterkomma de av riksdagen uttalade tillkännagivandena, anser Folkpartiet liberalerna att regeringen skall åläggas att fortsättningsvis skärpa sina rutiner för genomförand</w:t>
      </w:r>
      <w:r w:rsidRPr="00AD6C48">
        <w:t>et av riksdagens tillkännagivanden inom de därtill angivna tidsramarna. Folkpartiet liberalerna anser att i de fall särskilda skäl föreligger som innebär att regeringen inte kan följa riksdagens beslut, skall regeringen skyndsamt upplysa riksdagen om detta och noggrant redovisa skälen härför.</w:t>
      </w:r>
    </w:p>
    <w:p w:rsidR="0045208F" w:rsidRPr="00AD6C48" w:rsidRDefault="0045208F">
      <w:pPr>
        <w:pStyle w:val="Rubrik2"/>
      </w:pPr>
      <w:bookmarkStart w:id="20" w:name="_Toc41451032"/>
      <w:r w:rsidRPr="00AD6C48">
        <w:t>Bakgrund</w:t>
      </w:r>
      <w:bookmarkEnd w:id="20"/>
    </w:p>
    <w:p w:rsidR="0045208F" w:rsidRPr="00AD6C48" w:rsidRDefault="0045208F">
      <w:pPr>
        <w:pStyle w:val="Rubrik3"/>
        <w:rPr>
          <w:noProof w:val="0"/>
        </w:rPr>
      </w:pPr>
      <w:bookmarkStart w:id="21" w:name="_Toc41451033"/>
      <w:r w:rsidRPr="00AD6C48">
        <w:rPr>
          <w:noProof w:val="0"/>
        </w:rPr>
        <w:t>Gällande regler</w:t>
      </w:r>
      <w:bookmarkEnd w:id="21"/>
    </w:p>
    <w:p w:rsidR="0045208F" w:rsidRPr="00AD6C48" w:rsidRDefault="0045208F">
      <w:pPr>
        <w:pStyle w:val="Rubrik4"/>
        <w:rPr>
          <w:noProof w:val="0"/>
        </w:rPr>
      </w:pPr>
      <w:bookmarkStart w:id="22" w:name="_Toc41451034"/>
      <w:r w:rsidRPr="00AD6C48">
        <w:rPr>
          <w:noProof w:val="0"/>
        </w:rPr>
        <w:t>Riksdagens skrivelser med tillkännagivanden till regeringen</w:t>
      </w:r>
      <w:bookmarkEnd w:id="22"/>
    </w:p>
    <w:p w:rsidR="0045208F" w:rsidRPr="00AD6C48" w:rsidRDefault="0045208F">
      <w:r w:rsidRPr="00AD6C48">
        <w:t>Konstitutionsutskottet behandlade i betänkande 2001/02:KU13 Författning</w:t>
      </w:r>
      <w:r w:rsidRPr="00AD6C48">
        <w:t>s</w:t>
      </w:r>
      <w:r w:rsidRPr="00AD6C48">
        <w:t>frågor, m.m. en motion om tydligare tidsreglering av regeringens verkställa</w:t>
      </w:r>
      <w:r w:rsidRPr="00AD6C48">
        <w:t>n</w:t>
      </w:r>
      <w:r w:rsidRPr="00AD6C48">
        <w:t>de av riksdagsbeslut. I det sammanhanget anfördes följande gällande riksd</w:t>
      </w:r>
      <w:r w:rsidRPr="00AD6C48">
        <w:t>a</w:t>
      </w:r>
      <w:r w:rsidRPr="00AD6C48">
        <w:t>gens skrivelser med s.k. tillkä</w:t>
      </w:r>
      <w:r w:rsidRPr="00AD6C48">
        <w:t>n</w:t>
      </w:r>
      <w:r w:rsidRPr="00AD6C48">
        <w:t>nagivanden till regeringen.</w:t>
      </w:r>
    </w:p>
    <w:p w:rsidR="0045208F" w:rsidRPr="00AD6C48" w:rsidRDefault="0045208F">
      <w:pPr>
        <w:pStyle w:val="Citat"/>
        <w:spacing w:before="125"/>
      </w:pPr>
      <w:r w:rsidRPr="00AD6C48">
        <w:t>Enligt 5 kap. 13 § riksdagsordningen skall riksdagens beslut med anle</w:t>
      </w:r>
      <w:r w:rsidRPr="00AD6C48">
        <w:t>d</w:t>
      </w:r>
      <w:r w:rsidRPr="00AD6C48">
        <w:t>ning av proposition samt annat beslut, varom regeringen skall underrä</w:t>
      </w:r>
      <w:r w:rsidRPr="00AD6C48">
        <w:t>t</w:t>
      </w:r>
      <w:r w:rsidRPr="00AD6C48">
        <w:t>tas, medd</w:t>
      </w:r>
      <w:r w:rsidRPr="00AD6C48">
        <w:t>e</w:t>
      </w:r>
      <w:r w:rsidRPr="00AD6C48">
        <w:t>las regeringen genom skrivelse.</w:t>
      </w:r>
    </w:p>
    <w:p w:rsidR="0045208F" w:rsidRPr="00AD6C48" w:rsidRDefault="0045208F">
      <w:pPr>
        <w:pStyle w:val="CitatIndrag"/>
      </w:pPr>
      <w:r w:rsidRPr="00AD6C48">
        <w:t>En form av riksdagsbeslut som föranleder en skrivelse från riksdagen till regeringen är s.k. tillkännagivanden, dvs. att riksdagen ger regeringen till känna att t.ex. en viss åtgärd bör vidtas eller att regeringen bör beakta ett visst fö</w:t>
      </w:r>
      <w:r w:rsidRPr="00AD6C48">
        <w:t>r</w:t>
      </w:r>
      <w:r w:rsidRPr="00AD6C48">
        <w:t xml:space="preserve">hållande. </w:t>
      </w:r>
    </w:p>
    <w:p w:rsidR="0045208F" w:rsidRPr="00AD6C48" w:rsidRDefault="0045208F">
      <w:pPr>
        <w:pStyle w:val="CitatIndrag"/>
      </w:pPr>
      <w:r w:rsidRPr="00AD6C48">
        <w:t>Det finns ingen reglering kring s.k. tillkännagivanden. Däremot brukar denna form av riksdagsbeslut följas upp i samband med att regeringen lämnar sin redogörelse till riksdagen för vilka åtgärder regeringen har vidtagit med anledning av riksdagens olika beslut. Denna ordning har tillämpats sedan år 1961. Redogörelsen är knuten till de skrivelser i vilka riksdagen meddelar regeringen sina beslut. I samband med sin behan</w:t>
      </w:r>
      <w:r w:rsidRPr="00AD6C48">
        <w:t>d</w:t>
      </w:r>
      <w:r w:rsidRPr="00AD6C48">
        <w:t>ling av skrivelsen brukar konstitutionsutskottet regelmässigt anmoda ö</w:t>
      </w:r>
      <w:r w:rsidRPr="00AD6C48">
        <w:t>v</w:t>
      </w:r>
      <w:r w:rsidRPr="00AD6C48">
        <w:t>riga utskott att yttra sig över regeringens skrivelse. Vid sin senaste b</w:t>
      </w:r>
      <w:r w:rsidRPr="00AD6C48">
        <w:t>e</w:t>
      </w:r>
      <w:r w:rsidRPr="00AD6C48">
        <w:t>handling framhöll utskottet, liksom tidigare, att regeringens skrivelse med redogörelse för behandlingen av riksdagens skrivelser till regeringen fyller en viktig funktion i riksdagens uppföljnings- och utvärderingsa</w:t>
      </w:r>
      <w:r w:rsidRPr="00AD6C48">
        <w:t>r</w:t>
      </w:r>
      <w:r w:rsidRPr="00AD6C48">
        <w:t>bete (bet. 2001/02:KU6). Vad gäller äldre riksdagsskrivelser ville u</w:t>
      </w:r>
      <w:r w:rsidRPr="00AD6C48">
        <w:t>t</w:t>
      </w:r>
      <w:r w:rsidRPr="00AD6C48">
        <w:t>skottet åter understryka att utgångspunkten måste vara att det önskemål som ett t</w:t>
      </w:r>
      <w:r w:rsidRPr="00AD6C48">
        <w:t>illkännagivande från riksdagen avser bör tillgodoses. Om det v</w:t>
      </w:r>
      <w:r w:rsidRPr="00AD6C48">
        <w:t>i</w:t>
      </w:r>
      <w:r w:rsidRPr="00AD6C48">
        <w:t>sar sig föreligga omständigheter som hindrar ett genomförande eller om regeringen gör en annan bedömning än riksdagen måste regeringen ku</w:t>
      </w:r>
      <w:r w:rsidRPr="00AD6C48">
        <w:t>n</w:t>
      </w:r>
      <w:r w:rsidRPr="00AD6C48">
        <w:t>na underlåta att vidta de åtgärder tillkännagivandet avser. En förutsät</w:t>
      </w:r>
      <w:r w:rsidRPr="00AD6C48">
        <w:t>t</w:t>
      </w:r>
      <w:r w:rsidRPr="00AD6C48">
        <w:t>ning bör dock enligt konstitutionsutskottet vara att regeringens bedö</w:t>
      </w:r>
      <w:r w:rsidRPr="00AD6C48">
        <w:t>m</w:t>
      </w:r>
      <w:r w:rsidRPr="00AD6C48">
        <w:t>ningar i detta avseende redovisas för rik</w:t>
      </w:r>
      <w:r w:rsidRPr="00AD6C48">
        <w:t>s</w:t>
      </w:r>
      <w:r w:rsidRPr="00AD6C48">
        <w:t xml:space="preserve">dagen. </w:t>
      </w:r>
    </w:p>
    <w:p w:rsidR="0045208F" w:rsidRPr="00AD6C48" w:rsidRDefault="0045208F">
      <w:r w:rsidRPr="00AD6C48">
        <w:t>I sitt ställningstagande till motionens krav i denna del anförde utskottet fö</w:t>
      </w:r>
      <w:r w:rsidRPr="00AD6C48">
        <w:t>l</w:t>
      </w:r>
      <w:r w:rsidRPr="00AD6C48">
        <w:t>jande (bet. 2001/02:KU13 s. 50).</w:t>
      </w:r>
    </w:p>
    <w:p w:rsidR="0045208F" w:rsidRPr="00AD6C48" w:rsidRDefault="0045208F">
      <w:pPr>
        <w:pStyle w:val="Citat"/>
        <w:spacing w:before="125"/>
      </w:pPr>
      <w:r w:rsidRPr="00AD6C48">
        <w:t>I samband med regeringens skrivelse till riksdagen med redogörelse för behandlingen av riksdagens skrivelser har riksdagen vidare möjlighet att följa upp även de riksdagsbeslut som inte avser lagstiftning. Enligt u</w:t>
      </w:r>
      <w:r w:rsidRPr="00AD6C48">
        <w:t>t</w:t>
      </w:r>
      <w:r w:rsidRPr="00AD6C48">
        <w:t>skottets mening är den nu gällande ordningen tillräcklig för att regerin</w:t>
      </w:r>
      <w:r w:rsidRPr="00AD6C48">
        <w:t>g</w:t>
      </w:r>
      <w:r w:rsidRPr="00AD6C48">
        <w:t>en kan förutses verkställa riksdagens beslut på det sätt som följer av b</w:t>
      </w:r>
      <w:r w:rsidRPr="00AD6C48">
        <w:t>e</w:t>
      </w:r>
      <w:r w:rsidRPr="00AD6C48">
        <w:t>slutens innebörd. Utskottet anser att någon tydligare tidsreglering av r</w:t>
      </w:r>
      <w:r w:rsidRPr="00AD6C48">
        <w:t>e</w:t>
      </w:r>
      <w:r w:rsidRPr="00AD6C48">
        <w:t>geringens verkställande av riksdagens beslut i enlighet med vad som a</w:t>
      </w:r>
      <w:r w:rsidRPr="00AD6C48">
        <w:t>n</w:t>
      </w:r>
      <w:r w:rsidRPr="00AD6C48">
        <w:t>förs i motion K288 därför inte behövs. M</w:t>
      </w:r>
      <w:r w:rsidRPr="00AD6C48">
        <w:t>o</w:t>
      </w:r>
      <w:r w:rsidRPr="00AD6C48">
        <w:t>tionen avstyrks därmed.</w:t>
      </w:r>
    </w:p>
    <w:p w:rsidR="0045208F" w:rsidRPr="00AD6C48" w:rsidRDefault="0045208F">
      <w:r w:rsidRPr="00AD6C48">
        <w:t>I föregående betänkande med anledning av regeringens redogörelse för b</w:t>
      </w:r>
      <w:r w:rsidRPr="00AD6C48">
        <w:t>e</w:t>
      </w:r>
      <w:r w:rsidRPr="00AD6C48">
        <w:t>handlingen av riksdagens skrivelser (bet. 2001/02:KU35), primärt avseende år 2001, anförde utskottet följande angående regeringens hantering av tillkänn</w:t>
      </w:r>
      <w:r w:rsidRPr="00AD6C48">
        <w:t>a</w:t>
      </w:r>
      <w:r w:rsidRPr="00AD6C48">
        <w:t>giva</w:t>
      </w:r>
      <w:r w:rsidRPr="00AD6C48">
        <w:t>n</w:t>
      </w:r>
      <w:r w:rsidRPr="00AD6C48">
        <w:t xml:space="preserve">den. </w:t>
      </w:r>
    </w:p>
    <w:p w:rsidR="0045208F" w:rsidRPr="00AD6C48" w:rsidRDefault="0045208F">
      <w:pPr>
        <w:pStyle w:val="Citat"/>
        <w:spacing w:before="125"/>
      </w:pPr>
      <w:r w:rsidRPr="00AD6C48">
        <w:t>Trafikutskottet har påtalat att regeringen redovisat riksdagsskrivelse 2000/01:249 som slutbehandlad trots att vidtagna åtgärder uppenbarligen inte står i överensstämmelse med riksdagens tillkännagivande. Arbet</w:t>
      </w:r>
      <w:r w:rsidRPr="00AD6C48">
        <w:t>s</w:t>
      </w:r>
      <w:r w:rsidRPr="00AD6C48">
        <w:t>marknadsutskottet ifrågasätter om riksdagsskrivelse 2000/01:211 kan a</w:t>
      </w:r>
      <w:r w:rsidRPr="00AD6C48">
        <w:t>n</w:t>
      </w:r>
      <w:r w:rsidRPr="00AD6C48">
        <w:t>ses slutbehandlad och förutsätter att regeringen återkommer till riksdagen i enlighet med tillkännagivandet. Konstitutionsutskottet finner inte a</w:t>
      </w:r>
      <w:r w:rsidRPr="00AD6C48">
        <w:t>n</w:t>
      </w:r>
      <w:r w:rsidRPr="00AD6C48">
        <w:t>ledning att göra någon annan bedömning än den trafikutskottet respektive arbetsmarknadsutskottet gjort. Utskottet förutsätter att regeringen hö</w:t>
      </w:r>
      <w:r w:rsidRPr="00AD6C48">
        <w:t>r</w:t>
      </w:r>
      <w:r w:rsidRPr="00AD6C48">
        <w:t>sammar riksdagens tillkännagivanden. Om regeringen anser sig kunna underlåta att vidta de åtgärder ett tillkännagivande avser, måste regerin</w:t>
      </w:r>
      <w:r w:rsidRPr="00AD6C48">
        <w:t>g</w:t>
      </w:r>
      <w:r w:rsidRPr="00AD6C48">
        <w:t>ens bedömn</w:t>
      </w:r>
      <w:r w:rsidRPr="00AD6C48">
        <w:t>ing vad gäller riksdagsbeslut redovisas för riksdagen i sa</w:t>
      </w:r>
      <w:r w:rsidRPr="00AD6C48">
        <w:t>m</w:t>
      </w:r>
      <w:r w:rsidRPr="00AD6C48">
        <w:t>band med att regeringen lämnar sin redogörelse för vilka åtgärder rege</w:t>
      </w:r>
      <w:r w:rsidRPr="00AD6C48">
        <w:t>r</w:t>
      </w:r>
      <w:r w:rsidRPr="00AD6C48">
        <w:t>ingen vidtagit med anledning av riksdagens b</w:t>
      </w:r>
      <w:r w:rsidRPr="00AD6C48">
        <w:t>e</w:t>
      </w:r>
      <w:r w:rsidRPr="00AD6C48">
        <w:t>slut.</w:t>
      </w:r>
    </w:p>
    <w:p w:rsidR="0045208F" w:rsidRPr="00AD6C48" w:rsidRDefault="0045208F">
      <w:pPr>
        <w:pStyle w:val="Rubrik3"/>
        <w:rPr>
          <w:noProof w:val="0"/>
        </w:rPr>
      </w:pPr>
      <w:bookmarkStart w:id="23" w:name="_Toc41451035"/>
      <w:r w:rsidRPr="00AD6C48">
        <w:rPr>
          <w:noProof w:val="0"/>
        </w:rPr>
        <w:t>Tidigare riksdagsbehandling</w:t>
      </w:r>
      <w:bookmarkEnd w:id="23"/>
    </w:p>
    <w:p w:rsidR="0045208F" w:rsidRPr="00AD6C48" w:rsidRDefault="0045208F">
      <w:pPr>
        <w:pStyle w:val="Rubrik4"/>
        <w:rPr>
          <w:noProof w:val="0"/>
        </w:rPr>
      </w:pPr>
      <w:bookmarkStart w:id="24" w:name="_Toc41451036"/>
      <w:r w:rsidRPr="00AD6C48">
        <w:rPr>
          <w:noProof w:val="0"/>
        </w:rPr>
        <w:t>Utformningen av regeringens redogörelse</w:t>
      </w:r>
      <w:bookmarkEnd w:id="24"/>
    </w:p>
    <w:p w:rsidR="0045208F" w:rsidRPr="00AD6C48" w:rsidRDefault="0045208F">
      <w:r w:rsidRPr="00AD6C48">
        <w:t>Vid förra årets behandling av regeringens redogörelse för behandlingen av riksdagens skrivelser uttryckte trafikutskottet och bostadsutskottet i sina yttranden till konstitutionsutskottet (yttr. 2001/02:TU3y respektive 2001/02:</w:t>
      </w:r>
      <w:r w:rsidRPr="00AD6C48">
        <w:br/>
        <w:t>BoU6y) kritiska synpunkter på bl.a. utformningen av redogörelsen. Med anledning av dessa synpunkter uttalade konstitutionsutskottet att utskottet efter samråd med Regeringskansliet skulle återkomma till hur dessa sy</w:t>
      </w:r>
      <w:r w:rsidRPr="00AD6C48">
        <w:t>n</w:t>
      </w:r>
      <w:r w:rsidRPr="00AD6C48">
        <w:t>punkter kunde tillgodoses samt att utskottet hade för avsikt att i det samma</w:t>
      </w:r>
      <w:r w:rsidRPr="00AD6C48">
        <w:t>n</w:t>
      </w:r>
      <w:r w:rsidRPr="00AD6C48">
        <w:t>hanget inhämta synpunkter från övriga utskott (bet. 2001/02:KU35 s. 14).</w:t>
      </w:r>
    </w:p>
    <w:p w:rsidR="0045208F" w:rsidRPr="00AD6C48" w:rsidRDefault="0045208F">
      <w:pPr>
        <w:pStyle w:val="Normaltindrag"/>
      </w:pPr>
      <w:r w:rsidRPr="00AD6C48">
        <w:t>Tjänstemän från konstitutionsutskottets kansli respektive från Statsrådsb</w:t>
      </w:r>
      <w:r w:rsidRPr="00AD6C48">
        <w:t>e</w:t>
      </w:r>
      <w:r w:rsidRPr="00AD6C48">
        <w:t>redningen sammanträffade i oktober 2002 för att diskutera frågan. I december 2002 ombads samtliga utskottskanslier att utifrån bl.a. de minnesanteckningar som fördes vid mötet mellan konstitutionsutskottets kansli och Statsrådsb</w:t>
      </w:r>
      <w:r w:rsidRPr="00AD6C48">
        <w:t>e</w:t>
      </w:r>
      <w:r w:rsidRPr="00AD6C48">
        <w:t>redningen kommentera frågan. Utskottskanslierna ombads senast i februari 2003 inkomma till konstitutionsutskottet med eventuella synpunkter. Trafi</w:t>
      </w:r>
      <w:r w:rsidRPr="00AD6C48">
        <w:t>k</w:t>
      </w:r>
      <w:r w:rsidRPr="00AD6C48">
        <w:t xml:space="preserve">utskottets och lagutskottets kanslier inkom med synpunkter. </w:t>
      </w:r>
    </w:p>
    <w:p w:rsidR="0045208F" w:rsidRPr="00AD6C48" w:rsidRDefault="0045208F">
      <w:pPr>
        <w:pStyle w:val="Rubrik3"/>
        <w:rPr>
          <w:noProof w:val="0"/>
        </w:rPr>
      </w:pPr>
      <w:bookmarkStart w:id="25" w:name="_Toc41451037"/>
      <w:r w:rsidRPr="00AD6C48">
        <w:rPr>
          <w:noProof w:val="0"/>
        </w:rPr>
        <w:t>Utskottets ställningstagande</w:t>
      </w:r>
      <w:bookmarkEnd w:id="25"/>
    </w:p>
    <w:p w:rsidR="0045208F" w:rsidRPr="00AD6C48" w:rsidRDefault="0045208F">
      <w:r w:rsidRPr="00AD6C48">
        <w:t>Konstitutionsutskottet vill återigen framhålla att regeringens redogörelse för behandlingen av riksdagens skrivelser till regeringen fyller en viktig funktion i riksdagens uppföljnings- och utvärderingsa</w:t>
      </w:r>
      <w:r w:rsidRPr="00AD6C48">
        <w:t>r</w:t>
      </w:r>
      <w:r w:rsidRPr="00AD6C48">
        <w:t>bete.</w:t>
      </w:r>
    </w:p>
    <w:p w:rsidR="0045208F" w:rsidRPr="00AD6C48" w:rsidRDefault="0045208F">
      <w:pPr>
        <w:pStyle w:val="Normaltindrag"/>
      </w:pPr>
      <w:r w:rsidRPr="00AD6C48">
        <w:t>Inledningsvis kan nämnas att konstitutionsutskottet, vad gäller utfor</w:t>
      </w:r>
      <w:r w:rsidRPr="00AD6C48">
        <w:t>m</w:t>
      </w:r>
      <w:r w:rsidRPr="00AD6C48">
        <w:t>ningen av regeringens redogörelse, har samrått med Regeringskansliet med anledning av de kritiska synpunkter trafikutskottet och bostadsutskottet för</w:t>
      </w:r>
      <w:r w:rsidRPr="00AD6C48">
        <w:t>e</w:t>
      </w:r>
      <w:r w:rsidRPr="00AD6C48">
        <w:t>gående år framfört vad gäller utformningen. Vid samrådet anförde Regering</w:t>
      </w:r>
      <w:r w:rsidRPr="00AD6C48">
        <w:t>s</w:t>
      </w:r>
      <w:r w:rsidRPr="00AD6C48">
        <w:t>kansliet praktiska invändningar mot vissa av de förslag om förändring av utformningen av regeringens skrivelse som framförts från nämnda utskott. Konstitutionsutskottet avser fortsätta diskussionen med Regeringskansliet angående hur utformningen av regeringens redogörelse för behandling</w:t>
      </w:r>
      <w:r w:rsidRPr="00AD6C48">
        <w:t>en av riksdagens skrivelser kan göras så ändamålsenlig som möjlig. En möjlig utveckling vore att på sikt komplettera den skriftliga redovisningen med ett databaserat register med löpande aktualisering enligt den modell som tillä</w:t>
      </w:r>
      <w:r w:rsidRPr="00AD6C48">
        <w:t>m</w:t>
      </w:r>
      <w:r w:rsidRPr="00AD6C48">
        <w:t>pas för t.ex. fö</w:t>
      </w:r>
      <w:r w:rsidRPr="00AD6C48">
        <w:t>r</w:t>
      </w:r>
      <w:r w:rsidRPr="00AD6C48">
        <w:t>fattningar och offentliga utredningar.</w:t>
      </w:r>
    </w:p>
    <w:p w:rsidR="0045208F" w:rsidRPr="00AD6C48" w:rsidRDefault="0045208F">
      <w:pPr>
        <w:pStyle w:val="Normaltindrag"/>
        <w:rPr>
          <w:snapToGrid w:val="0"/>
          <w:color w:val="000000"/>
          <w:sz w:val="18"/>
          <w:lang w:eastAsia="sv-SE"/>
        </w:rPr>
      </w:pPr>
      <w:r w:rsidRPr="00AD6C48">
        <w:t>När det gäller innehållet i regeringens redogörelse förutsätter utskottet, li</w:t>
      </w:r>
      <w:r w:rsidRPr="00AD6C48">
        <w:t>k</w:t>
      </w:r>
      <w:r w:rsidRPr="00AD6C48">
        <w:t>som tidigare, att regeringen hörsammar riksdagens tillkännagivanden</w:t>
      </w:r>
      <w:r w:rsidRPr="00AD6C48">
        <w:rPr>
          <w:snapToGrid w:val="0"/>
          <w:color w:val="000000"/>
          <w:lang w:eastAsia="sv-SE"/>
        </w:rPr>
        <w:t xml:space="preserve"> och att regeringen för riksdagen redovisar sina bedömningar om de begärda åtgä</w:t>
      </w:r>
      <w:r w:rsidRPr="00AD6C48">
        <w:rPr>
          <w:snapToGrid w:val="0"/>
          <w:color w:val="000000"/>
          <w:lang w:eastAsia="sv-SE"/>
        </w:rPr>
        <w:t>r</w:t>
      </w:r>
      <w:r w:rsidRPr="00AD6C48">
        <w:rPr>
          <w:snapToGrid w:val="0"/>
          <w:color w:val="000000"/>
          <w:lang w:eastAsia="sv-SE"/>
        </w:rPr>
        <w:t>derna inte vidtas. Om regeringen inte avser att vidta en begärd åtgärd i enli</w:t>
      </w:r>
      <w:r w:rsidRPr="00AD6C48">
        <w:rPr>
          <w:snapToGrid w:val="0"/>
          <w:color w:val="000000"/>
          <w:lang w:eastAsia="sv-SE"/>
        </w:rPr>
        <w:t>g</w:t>
      </w:r>
      <w:r w:rsidRPr="00AD6C48">
        <w:rPr>
          <w:snapToGrid w:val="0"/>
          <w:color w:val="000000"/>
          <w:lang w:eastAsia="sv-SE"/>
        </w:rPr>
        <w:t>het med riksdagsbeslutet måste detta enligt utskottets mening redovisas för riksdagen inom tidsramen, om en sådan uppställts av riksdagen. Även skälen för att riksdagsbeslutet inte följs bör tas upp i sammanhanget. Om en redovi</w:t>
      </w:r>
      <w:r w:rsidRPr="00AD6C48">
        <w:rPr>
          <w:snapToGrid w:val="0"/>
          <w:color w:val="000000"/>
          <w:lang w:eastAsia="sv-SE"/>
        </w:rPr>
        <w:t>s</w:t>
      </w:r>
      <w:r w:rsidRPr="00AD6C48">
        <w:rPr>
          <w:snapToGrid w:val="0"/>
          <w:color w:val="000000"/>
          <w:lang w:eastAsia="sv-SE"/>
        </w:rPr>
        <w:t>ning inte kan ges i skrivelse eller proposition till riksd</w:t>
      </w:r>
      <w:r w:rsidRPr="00AD6C48">
        <w:rPr>
          <w:snapToGrid w:val="0"/>
          <w:color w:val="000000"/>
          <w:lang w:eastAsia="sv-SE"/>
        </w:rPr>
        <w:t>agen bör den enligt utskottets mening lämnas till riksdagen i annan form som gör den tillgänglig för riksdagens samtliga ledamöter.</w:t>
      </w:r>
      <w:r w:rsidRPr="00AD6C48">
        <w:t xml:space="preserve"> Därmed kan motionerna 2002/03:K6 (m) och 2002/03:K7 (fp) anses vara delvis tillgod</w:t>
      </w:r>
      <w:r w:rsidRPr="00AD6C48">
        <w:t>o</w:t>
      </w:r>
      <w:r w:rsidRPr="00AD6C48">
        <w:t>sedda.</w:t>
      </w:r>
    </w:p>
    <w:p w:rsidR="0045208F" w:rsidRPr="00AD6C48" w:rsidRDefault="0045208F">
      <w:pPr>
        <w:pStyle w:val="Normaltindrag"/>
      </w:pPr>
      <w:r w:rsidRPr="00AD6C48">
        <w:t>Frågan om regeringens hantering av riksdagens skrivelse 2001/02:245 om de s.k. 3:12-reglerna och reglerna om andelsbyten, vilken berörs i skatteu</w:t>
      </w:r>
      <w:r w:rsidRPr="00AD6C48">
        <w:t>t</w:t>
      </w:r>
      <w:r w:rsidRPr="00AD6C48">
        <w:t>skottets yttrande (yttr. 2002/03:SkU3y), har även varit föremål för konstit</w:t>
      </w:r>
      <w:r w:rsidRPr="00AD6C48">
        <w:t>u</w:t>
      </w:r>
      <w:r w:rsidRPr="00AD6C48">
        <w:t>tionsutskottets bedömning i samband med ett ärende i utskottets årliga granskning av statsrådens tjänsteutövning och regeringsärendenas handläg</w:t>
      </w:r>
      <w:r w:rsidRPr="00AD6C48">
        <w:t>g</w:t>
      </w:r>
      <w:r w:rsidRPr="00AD6C48">
        <w:t>ning. Utskottet finner därför inte någon anledning att i detta sammanhang tillägga något utöver vad som anförts i frågan i granskningsbetänkandet (bet. 2002/03:KU30).</w:t>
      </w:r>
    </w:p>
    <w:p w:rsidR="0045208F" w:rsidRPr="00AD6C48" w:rsidRDefault="0045208F">
      <w:pPr>
        <w:pStyle w:val="Normaltindrag"/>
      </w:pPr>
      <w:r w:rsidRPr="00AD6C48">
        <w:t>Vad i övrigt gäller de ärenden som utskotten kommenterat i sina yttranden finner konstitutionsutskottet inte anledning att g</w:t>
      </w:r>
      <w:r w:rsidRPr="00AD6C48">
        <w:t>öra någon annan bedömning än den respe</w:t>
      </w:r>
      <w:r w:rsidRPr="00AD6C48">
        <w:t>k</w:t>
      </w:r>
      <w:r w:rsidRPr="00AD6C48">
        <w:t>tive utskott gjort.</w:t>
      </w:r>
    </w:p>
    <w:p w:rsidR="0045208F" w:rsidRPr="00AD6C48" w:rsidRDefault="0045208F">
      <w:pPr>
        <w:pStyle w:val="Normaltindrag"/>
      </w:pPr>
      <w:r w:rsidRPr="00AD6C48">
        <w:t>Regeringens skrivelse 2001/02:75 jämte motionerna 2002/03:K6 (m) och 2002/03:K7 (fp) föranleder inte något annat uttalande från konstitutionsu</w:t>
      </w:r>
      <w:r w:rsidRPr="00AD6C48">
        <w:t>t</w:t>
      </w:r>
      <w:r w:rsidRPr="00AD6C48">
        <w:t>skottets sida än vad som ovan anförts. Därmed kan motionerna avslås och skrivelsen läggas till handlinga</w:t>
      </w:r>
      <w:r w:rsidRPr="00AD6C48">
        <w:t>r</w:t>
      </w:r>
      <w:r w:rsidRPr="00AD6C48">
        <w:t xml:space="preserve">na. </w:t>
      </w:r>
      <w:bookmarkStart w:id="26" w:name="Nästa_Hpunkt"/>
      <w:bookmarkEnd w:id="26"/>
    </w:p>
    <w:p w:rsidR="0045208F" w:rsidRPr="00AD6C48" w:rsidRDefault="0045208F">
      <w:pPr>
        <w:pStyle w:val="Normaltindrag"/>
        <w:sectPr w:rsidR="00000000" w:rsidRPr="00AD6C4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5208F" w:rsidRPr="00AD6C48" w:rsidRDefault="0045208F">
      <w:pPr>
        <w:pStyle w:val="Rubrik1"/>
        <w:rPr>
          <w:noProof w:val="0"/>
        </w:rPr>
      </w:pPr>
      <w:bookmarkStart w:id="27" w:name="_Toc41451038"/>
      <w:r w:rsidRPr="00AD6C48">
        <w:rPr>
          <w:noProof w:val="0"/>
        </w:rPr>
        <w:t>Reservationer</w:t>
      </w:r>
      <w:bookmarkEnd w:id="27"/>
    </w:p>
    <w:p w:rsidR="0045208F" w:rsidRPr="00AD6C48" w:rsidRDefault="0045208F">
      <w:r w:rsidRPr="00AD6C48">
        <w:t>Utskottets förslag till riksdagsbeslut och ställningstaganden har föranlett följande reservationer. I rubriken anges inom parentes vilken punkt i utsko</w:t>
      </w:r>
      <w:r w:rsidRPr="00AD6C48">
        <w:t>t</w:t>
      </w:r>
      <w:r w:rsidRPr="00AD6C48">
        <w:t>tets förslag till riksdagsbeslut som behandlas i avsnittet.</w:t>
      </w:r>
    </w:p>
    <w:p w:rsidR="0045208F" w:rsidRPr="00AD6C48" w:rsidRDefault="0045208F">
      <w:pPr>
        <w:pStyle w:val="Reservationspunkt"/>
        <w:rPr>
          <w:noProof w:val="0"/>
        </w:rPr>
      </w:pPr>
      <w:bookmarkStart w:id="28" w:name="_Toc41451039"/>
      <w:r w:rsidRPr="00AD6C48">
        <w:rPr>
          <w:noProof w:val="0"/>
        </w:rPr>
        <w:t>1.</w:t>
      </w:r>
      <w:r w:rsidRPr="00AD6C48">
        <w:rPr>
          <w:noProof w:val="0"/>
        </w:rPr>
        <w:tab/>
        <w:t>Regeringens handläggning av tillkännagivande om lokala folkomröstningar (punkt 1, motiveringen)</w:t>
      </w:r>
      <w:bookmarkEnd w:id="28"/>
    </w:p>
    <w:p w:rsidR="0045208F" w:rsidRPr="00AD6C48" w:rsidRDefault="0045208F">
      <w:pPr>
        <w:pStyle w:val="Reservanter"/>
      </w:pPr>
      <w:r w:rsidRPr="00AD6C48">
        <w:t>av Gunnar Hökmark (m), Helena Bargholtz (fp), Ingvar Svensson (kd), Tobias Krantz (fp), Kerstin Lundgren (c), Nils Fredrik Aurelius (m), Gustav Fridolin (mp) och Bertil Kjellberg (m).</w:t>
      </w:r>
    </w:p>
    <w:p w:rsidR="0045208F" w:rsidRPr="00AD6C48" w:rsidRDefault="0045208F">
      <w:pPr>
        <w:pStyle w:val="R4"/>
      </w:pPr>
      <w:r w:rsidRPr="00AD6C48">
        <w:t>Ställningstagande</w:t>
      </w:r>
    </w:p>
    <w:p w:rsidR="0045208F" w:rsidRPr="00AD6C48" w:rsidRDefault="0045208F">
      <w:pPr>
        <w:rPr>
          <w:i/>
        </w:rPr>
      </w:pPr>
      <w:r w:rsidRPr="00AD6C48">
        <w:t>När det gäller de skrivelser som faller inom konstitutionsutskottets bere</w:t>
      </w:r>
      <w:r w:rsidRPr="00AD6C48">
        <w:t>d</w:t>
      </w:r>
      <w:r w:rsidRPr="00AD6C48">
        <w:t>ningsområde menar vi att det får anses beklagligt att regeringen ännu inte efterkommit riksdagens skrivelse 2001/02:190 mom. 42 om lokala folko</w:t>
      </w:r>
      <w:r w:rsidRPr="00AD6C48">
        <w:t>m</w:t>
      </w:r>
      <w:r w:rsidRPr="00AD6C48">
        <w:t>röstningar. Det är, enligt vår mening, angeläget att snarast belysa denna vikt</w:t>
      </w:r>
      <w:r w:rsidRPr="00AD6C48">
        <w:t>i</w:t>
      </w:r>
      <w:r w:rsidRPr="00AD6C48">
        <w:t>ga författningsfråga och att regeringen presenterar förslag i enlighet med riksdagens beslut.</w:t>
      </w:r>
    </w:p>
    <w:p w:rsidR="0045208F" w:rsidRPr="00AD6C48" w:rsidRDefault="0045208F"/>
    <w:p w:rsidR="0045208F" w:rsidRPr="00AD6C48" w:rsidRDefault="0045208F">
      <w:pPr>
        <w:pStyle w:val="Reservationspunkt"/>
        <w:spacing w:before="110"/>
        <w:rPr>
          <w:noProof w:val="0"/>
        </w:rPr>
      </w:pPr>
      <w:bookmarkStart w:id="29" w:name="_Toc41451040"/>
      <w:r w:rsidRPr="00AD6C48">
        <w:rPr>
          <w:noProof w:val="0"/>
        </w:rPr>
        <w:t>2.</w:t>
      </w:r>
      <w:r w:rsidRPr="00AD6C48">
        <w:rPr>
          <w:noProof w:val="0"/>
        </w:rPr>
        <w:tab/>
        <w:t>Redogörelse för behandlingen av riksdagens skrivelser till regeringen (punkt 2, motiveringen)</w:t>
      </w:r>
      <w:bookmarkEnd w:id="29"/>
    </w:p>
    <w:p w:rsidR="0045208F" w:rsidRPr="00AD6C48" w:rsidRDefault="0045208F">
      <w:pPr>
        <w:pStyle w:val="Reservanter"/>
      </w:pPr>
      <w:r w:rsidRPr="00AD6C48">
        <w:t>av Gunnar Hökmark (m), Helena Bargholtz (fp), Ingvar Svensson (kd), Tobias Krantz (fp), Kerstin Lundgren (c), Nils Fredrik Aurelius (m) och Bertil Kjellberg (m).</w:t>
      </w:r>
    </w:p>
    <w:p w:rsidR="0045208F" w:rsidRPr="00AD6C48" w:rsidRDefault="0045208F">
      <w:pPr>
        <w:pStyle w:val="R4"/>
      </w:pPr>
      <w:r w:rsidRPr="00AD6C48">
        <w:t>Ställningstagande</w:t>
      </w:r>
    </w:p>
    <w:p w:rsidR="0045208F" w:rsidRPr="00AD6C48" w:rsidRDefault="0045208F">
      <w:pPr>
        <w:pStyle w:val="Normaltindrag"/>
      </w:pPr>
    </w:p>
    <w:p w:rsidR="0045208F" w:rsidRPr="00AD6C48" w:rsidRDefault="0045208F">
      <w:r w:rsidRPr="00AD6C48">
        <w:t>När det gäller de skrivelser som faller inom konstitutionsutskottets bere</w:t>
      </w:r>
      <w:r w:rsidRPr="00AD6C48">
        <w:t>d</w:t>
      </w:r>
      <w:r w:rsidRPr="00AD6C48">
        <w:t>ningsområde menar vi att det får anses beklagligt att regeringen ännu inte efterkommit riksdagens skrivelse 2000/01:149 mom. 18 om tillsättandet av en utredning om det s.k. uppenbarhetsrekvisitet vid lagprövning. Det är, enligt vår mening, angeläget att snarast belysa denna viktiga författning</w:t>
      </w:r>
      <w:r w:rsidRPr="00AD6C48">
        <w:t>s</w:t>
      </w:r>
      <w:r w:rsidRPr="00AD6C48">
        <w:t>fråga.</w:t>
      </w:r>
    </w:p>
    <w:p w:rsidR="0045208F" w:rsidRPr="00AD6C48" w:rsidRDefault="0045208F">
      <w:pPr>
        <w:pStyle w:val="Normaltindrag"/>
      </w:pPr>
      <w:r w:rsidRPr="00AD6C48">
        <w:t>Vad gäller de ärenden som utskotten kommenterat i sina yttranden vill vi anföra följande. Som påpekas i motion 2002/03:K7 (fp) och i en avvikande mening (m, fp, kd, c) i socialförsäkringsutskottets yttrande ti</w:t>
      </w:r>
      <w:r w:rsidRPr="00AD6C48">
        <w:t>ll konstitution</w:t>
      </w:r>
      <w:r w:rsidRPr="00AD6C48">
        <w:t>s</w:t>
      </w:r>
      <w:r w:rsidRPr="00AD6C48">
        <w:t>utskottet (yttr. 2002/03:SfU2y) skjuts förslaget om finansiell samordning (rskr. 2001/02:84 mom. 12) nu fram ytterligare, enligt uppgift till våren 2003. Som socialförsäkringsutskottet påpekade i motsvarande yttrande förra året (yttr. 2001/02:SfU6y) har regeringen två gånger i rad undgått att agera i e</w:t>
      </w:r>
      <w:r w:rsidRPr="00AD6C48">
        <w:t>n</w:t>
      </w:r>
      <w:r w:rsidRPr="00AD6C48">
        <w:t>lighet med riksdagens tillkännagivande. Vi instämmer, liksom konstitution</w:t>
      </w:r>
      <w:r w:rsidRPr="00AD6C48">
        <w:t>s</w:t>
      </w:r>
      <w:r w:rsidRPr="00AD6C48">
        <w:t>utskottet gjorde förra året, i att regeringens handläggning av ärendet förtjänar ett påpekande. Även när det gäller ri</w:t>
      </w:r>
      <w:r w:rsidRPr="00AD6C48">
        <w:t xml:space="preserve">ksdagens skrivelse 1990/91:372 mom. </w:t>
      </w:r>
      <w:r w:rsidRPr="00AD6C48">
        <w:br/>
        <w:t>6 om arbetstagarbegreppet vill vi instämma i den avvikande meningen i soc</w:t>
      </w:r>
      <w:r w:rsidRPr="00AD6C48">
        <w:t>i</w:t>
      </w:r>
      <w:r w:rsidRPr="00AD6C48">
        <w:t>alförsäkringsutskottets yttrande där det sägs att en tidsutdräkt på tolv år för att återkomma till riksdagen i ett ärende är oacceptabel och att det är viktigt att regeringen återkommer på ett betydligt tidigare stadium till riksdagen med redogörelse för beredningen eller, om den anser ärendet slutbehandlat, en redovisning av sin syn på ärendet. Som påpekas i motionerna 2002/03:K6 (m) och 2002/03:K</w:t>
      </w:r>
      <w:r w:rsidRPr="00AD6C48">
        <w:t>7 (fp) skall inte riksdagen år efter år behöva påpeka regerin</w:t>
      </w:r>
      <w:r w:rsidRPr="00AD6C48">
        <w:t>g</w:t>
      </w:r>
      <w:r w:rsidRPr="00AD6C48">
        <w:t>ens dröjsmål i olika ärenden.</w:t>
      </w:r>
    </w:p>
    <w:p w:rsidR="0045208F" w:rsidRPr="00AD6C48" w:rsidRDefault="0045208F">
      <w:pPr>
        <w:pStyle w:val="Normaltindrag"/>
      </w:pPr>
      <w:r w:rsidRPr="00AD6C48">
        <w:t>Vi vill också instämma i den avvikande mening (m, fp, kd, c) som avgivits i arbetsmarknadsutskottets yttrande (yttr. 2002/03:AU2y) angående riksd</w:t>
      </w:r>
      <w:r w:rsidRPr="00AD6C48">
        <w:t>a</w:t>
      </w:r>
      <w:r w:rsidRPr="00AD6C48">
        <w:t>gens skrivelse 2001/02:322 om individuell kompetensutveckling. Den red</w:t>
      </w:r>
      <w:r w:rsidRPr="00AD6C48">
        <w:t>o</w:t>
      </w:r>
      <w:r w:rsidRPr="00AD6C48">
        <w:t>visning som regeringen lämnat i ärendet är ytterst bristfällig. Att, som rege</w:t>
      </w:r>
      <w:r w:rsidRPr="00AD6C48">
        <w:t>r</w:t>
      </w:r>
      <w:r w:rsidRPr="00AD6C48">
        <w:t>ingen i detta fall, endast hänvisa till att ett ärende bereds innebär, enligt vår mening, att regeringens redogörelse får svårare att uppfylla sin viktiga fun</w:t>
      </w:r>
      <w:r w:rsidRPr="00AD6C48">
        <w:t>k</w:t>
      </w:r>
      <w:r w:rsidRPr="00AD6C48">
        <w:t>tion i riksdagens uppföljnings- och utvärderingsarbete. Exemplet illustrerar påpekandet i motion 2002/03:K7 (fp) om vikten av att regeringen är noggrann och utförlig när den redovisar vidtagna åtgärder e</w:t>
      </w:r>
      <w:r w:rsidRPr="00AD6C48">
        <w:t>ller motiverar varför åtgä</w:t>
      </w:r>
      <w:r w:rsidRPr="00AD6C48">
        <w:t>r</w:t>
      </w:r>
      <w:r w:rsidRPr="00AD6C48">
        <w:t>der inte vidt</w:t>
      </w:r>
      <w:r w:rsidRPr="00AD6C48">
        <w:t>a</w:t>
      </w:r>
      <w:r w:rsidRPr="00AD6C48">
        <w:t xml:space="preserve">gits.     </w:t>
      </w:r>
    </w:p>
    <w:p w:rsidR="0045208F" w:rsidRPr="00AD6C48" w:rsidRDefault="0045208F">
      <w:pPr>
        <w:pStyle w:val="Normaltindrag"/>
      </w:pPr>
      <w:r w:rsidRPr="00AD6C48">
        <w:t>Vad i övrigt gäller de ärenden som utskotten kommenterat i sina yttranden finner vi inte anledning att göra någon annan bedömning än den respektive utskott gjort.</w:t>
      </w:r>
    </w:p>
    <w:p w:rsidR="0045208F" w:rsidRPr="00AD6C48" w:rsidRDefault="0045208F">
      <w:pPr>
        <w:pStyle w:val="Normaltindrag"/>
        <w:sectPr w:rsidR="00000000" w:rsidRPr="00AD6C4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5208F" w:rsidRPr="00AD6C48" w:rsidRDefault="0045208F">
      <w:pPr>
        <w:pStyle w:val="Bilaga"/>
      </w:pPr>
      <w:r w:rsidRPr="00AD6C48">
        <w:t>Bilaga 1</w:t>
      </w:r>
    </w:p>
    <w:p w:rsidR="0045208F" w:rsidRPr="00AD6C48" w:rsidRDefault="0045208F">
      <w:pPr>
        <w:pStyle w:val="Rubrik1"/>
        <w:rPr>
          <w:noProof w:val="0"/>
        </w:rPr>
      </w:pPr>
      <w:bookmarkStart w:id="30" w:name="_Toc41451041"/>
      <w:r w:rsidRPr="00AD6C48">
        <w:rPr>
          <w:noProof w:val="0"/>
        </w:rPr>
        <w:t>Förteckning över behandlade förslag</w:t>
      </w:r>
      <w:bookmarkEnd w:id="30"/>
    </w:p>
    <w:p w:rsidR="0045208F" w:rsidRPr="00AD6C48" w:rsidRDefault="0045208F">
      <w:pPr>
        <w:pStyle w:val="Rubrik2"/>
        <w:spacing w:before="0"/>
        <w:rPr>
          <w:snapToGrid w:val="0"/>
          <w:lang w:eastAsia="sv-SE"/>
        </w:rPr>
      </w:pPr>
      <w:bookmarkStart w:id="31" w:name="_Toc41451042"/>
      <w:r w:rsidRPr="00AD6C48">
        <w:rPr>
          <w:snapToGrid w:val="0"/>
          <w:lang w:eastAsia="sv-SE"/>
        </w:rPr>
        <w:t>Skrivelsen</w:t>
      </w:r>
      <w:bookmarkEnd w:id="31"/>
    </w:p>
    <w:p w:rsidR="0045208F" w:rsidRPr="00AD6C48" w:rsidRDefault="0045208F">
      <w:pPr>
        <w:rPr>
          <w:i/>
          <w:snapToGrid w:val="0"/>
          <w:lang w:eastAsia="sv-SE"/>
        </w:rPr>
      </w:pPr>
      <w:r w:rsidRPr="00AD6C48">
        <w:rPr>
          <w:i/>
          <w:snapToGrid w:val="0"/>
          <w:lang w:eastAsia="sv-SE"/>
        </w:rPr>
        <w:t xml:space="preserve">2002/03:75 </w:t>
      </w:r>
      <w:r w:rsidRPr="00AD6C48">
        <w:rPr>
          <w:i/>
        </w:rPr>
        <w:t>Redogörelse för behandlingen av riksdagens skrivelser till r</w:t>
      </w:r>
      <w:r w:rsidRPr="00AD6C48">
        <w:rPr>
          <w:i/>
        </w:rPr>
        <w:t>e</w:t>
      </w:r>
      <w:r w:rsidRPr="00AD6C48">
        <w:rPr>
          <w:i/>
        </w:rPr>
        <w:t>geringen</w:t>
      </w:r>
      <w:r w:rsidRPr="00AD6C48">
        <w:rPr>
          <w:i/>
          <w:snapToGrid w:val="0"/>
          <w:lang w:eastAsia="sv-SE"/>
        </w:rPr>
        <w:t xml:space="preserve"> </w:t>
      </w:r>
    </w:p>
    <w:p w:rsidR="0045208F" w:rsidRPr="00AD6C48" w:rsidRDefault="0045208F">
      <w:pPr>
        <w:pStyle w:val="Normaltindrag"/>
      </w:pPr>
    </w:p>
    <w:p w:rsidR="0045208F" w:rsidRPr="00AD6C48" w:rsidRDefault="0045208F">
      <w:pPr>
        <w:pStyle w:val="Rubrik2"/>
        <w:spacing w:before="125"/>
        <w:rPr>
          <w:snapToGrid w:val="0"/>
          <w:lang w:eastAsia="sv-SE"/>
        </w:rPr>
      </w:pPr>
      <w:bookmarkStart w:id="32" w:name="_Toc41451043"/>
      <w:r w:rsidRPr="00AD6C48">
        <w:rPr>
          <w:snapToGrid w:val="0"/>
          <w:lang w:eastAsia="sv-SE"/>
        </w:rPr>
        <w:t>Följdmotioner</w:t>
      </w:r>
      <w:bookmarkEnd w:id="32"/>
    </w:p>
    <w:p w:rsidR="0045208F" w:rsidRPr="00AD6C48" w:rsidRDefault="0045208F">
      <w:pPr>
        <w:rPr>
          <w:i/>
          <w:snapToGrid w:val="0"/>
          <w:lang w:eastAsia="sv-SE"/>
        </w:rPr>
      </w:pPr>
      <w:r w:rsidRPr="00AD6C48">
        <w:rPr>
          <w:i/>
          <w:snapToGrid w:val="0"/>
          <w:color w:val="000000"/>
          <w:lang w:eastAsia="sv-SE"/>
        </w:rPr>
        <w:t>2002/03:K6 av Gunnar Hökmark m.fl. (m):</w:t>
      </w:r>
    </w:p>
    <w:p w:rsidR="0045208F" w:rsidRPr="00AD6C48" w:rsidRDefault="0045208F">
      <w:pPr>
        <w:rPr>
          <w:snapToGrid w:val="0"/>
          <w:lang w:eastAsia="sv-SE"/>
        </w:rPr>
      </w:pPr>
      <w:r w:rsidRPr="00AD6C48">
        <w:rPr>
          <w:snapToGrid w:val="0"/>
          <w:color w:val="000000"/>
          <w:lang w:eastAsia="sv-SE"/>
        </w:rPr>
        <w:t xml:space="preserve">Riksdagen tillkännager för regeringen som sin mening vad i motionen anförs om regeringens uppfyllande av riksdagens mål. </w:t>
      </w:r>
    </w:p>
    <w:p w:rsidR="0045208F" w:rsidRPr="00AD6C48" w:rsidRDefault="0045208F">
      <w:pPr>
        <w:rPr>
          <w:i/>
          <w:snapToGrid w:val="0"/>
          <w:lang w:eastAsia="sv-SE"/>
        </w:rPr>
      </w:pPr>
      <w:r w:rsidRPr="00AD6C48">
        <w:rPr>
          <w:i/>
          <w:snapToGrid w:val="0"/>
          <w:color w:val="000000"/>
          <w:lang w:eastAsia="sv-SE"/>
        </w:rPr>
        <w:t>2002/03:K7 av Helena Bargholtz m.fl. (fp):</w:t>
      </w:r>
    </w:p>
    <w:p w:rsidR="0045208F" w:rsidRPr="00AD6C48" w:rsidRDefault="0045208F">
      <w:pPr>
        <w:rPr>
          <w:snapToGrid w:val="0"/>
          <w:lang w:eastAsia="sv-SE"/>
        </w:rPr>
      </w:pPr>
      <w:r w:rsidRPr="00AD6C48">
        <w:rPr>
          <w:snapToGrid w:val="0"/>
          <w:color w:val="000000"/>
          <w:lang w:eastAsia="sv-SE"/>
        </w:rPr>
        <w:t>1. Riksdagen tillkännager för regeringen som sin mening vad i motionen anförs om att regeringen inför skärpta rutiner gällande verkställandet av rik</w:t>
      </w:r>
      <w:r w:rsidRPr="00AD6C48">
        <w:rPr>
          <w:snapToGrid w:val="0"/>
          <w:color w:val="000000"/>
          <w:lang w:eastAsia="sv-SE"/>
        </w:rPr>
        <w:t>s</w:t>
      </w:r>
      <w:r w:rsidRPr="00AD6C48">
        <w:rPr>
          <w:snapToGrid w:val="0"/>
          <w:color w:val="000000"/>
          <w:lang w:eastAsia="sv-SE"/>
        </w:rPr>
        <w:t>dagens beslut.</w:t>
      </w:r>
    </w:p>
    <w:p w:rsidR="0045208F" w:rsidRPr="00AD6C48" w:rsidRDefault="0045208F">
      <w:r w:rsidRPr="00AD6C48">
        <w:rPr>
          <w:snapToGrid w:val="0"/>
          <w:color w:val="000000"/>
          <w:lang w:eastAsia="sv-SE"/>
        </w:rPr>
        <w:t>2. Riksdagen tillkännager för regeringen som sin mening vad i motionen anförs om att regeringen, i de fall särskilda skäl föreligger för att regeringen inte kan följa ett av riksdagen fattat beslut, skyndsamt skall meddela riksd</w:t>
      </w:r>
      <w:r w:rsidRPr="00AD6C48">
        <w:rPr>
          <w:snapToGrid w:val="0"/>
          <w:color w:val="000000"/>
          <w:lang w:eastAsia="sv-SE"/>
        </w:rPr>
        <w:t>a</w:t>
      </w:r>
      <w:r w:rsidRPr="00AD6C48">
        <w:rPr>
          <w:snapToGrid w:val="0"/>
          <w:color w:val="000000"/>
          <w:lang w:eastAsia="sv-SE"/>
        </w:rPr>
        <w:t>gen om detta och för riksdagen noggrant redovisa skälen härför.</w:t>
      </w:r>
    </w:p>
    <w:p w:rsidR="0045208F" w:rsidRPr="00AD6C48" w:rsidRDefault="0045208F"/>
    <w:p w:rsidR="0045208F" w:rsidRPr="00AD6C48" w:rsidRDefault="0045208F"/>
    <w:p w:rsidR="0045208F" w:rsidRPr="00AD6C48" w:rsidRDefault="0045208F">
      <w:pPr>
        <w:sectPr w:rsidR="00000000" w:rsidRPr="00AD6C4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7" w:left="1304" w:header="340" w:footer="227" w:gutter="0"/>
          <w:cols w:space="720"/>
          <w:titlePg/>
        </w:sectPr>
      </w:pPr>
    </w:p>
    <w:p w:rsidR="0045208F" w:rsidRPr="00AD6C48" w:rsidRDefault="0045208F">
      <w:pPr>
        <w:pStyle w:val="Bilaga"/>
      </w:pPr>
      <w:r w:rsidRPr="00AD6C48">
        <w:t>Bilaga 2</w:t>
      </w:r>
    </w:p>
    <w:p w:rsidR="0045208F" w:rsidRPr="00AD6C48" w:rsidRDefault="0045208F">
      <w:pPr>
        <w:pStyle w:val="Rubrik1"/>
        <w:rPr>
          <w:noProof w:val="0"/>
        </w:rPr>
      </w:pPr>
      <w:bookmarkStart w:id="33" w:name="_Toc41451044"/>
      <w:r w:rsidRPr="00AD6C48">
        <w:rPr>
          <w:noProof w:val="0"/>
        </w:rPr>
        <w:t>Finansutskottets yttrande 2002/03:FiU1y</w:t>
      </w:r>
      <w:bookmarkEnd w:id="33"/>
    </w:p>
    <w:p w:rsidR="0045208F" w:rsidRPr="00AD6C48" w:rsidRDefault="0045208F">
      <w:pPr>
        <w:pStyle w:val="R1"/>
        <w:spacing w:after="250"/>
      </w:pPr>
      <w:r w:rsidRPr="00AD6C48">
        <w:t>Till konstitutionsutskottet</w:t>
      </w:r>
    </w:p>
    <w:p w:rsidR="0045208F" w:rsidRPr="00AD6C48" w:rsidRDefault="0045208F">
      <w:r w:rsidRPr="00AD6C48">
        <w:t>Konstitutionsutskottet beslutade den 20 mars 2003 att bereda samtliga utskott tillfälle att – i de delar som har samband med respektive utskotts beredning</w:t>
      </w:r>
      <w:r w:rsidRPr="00AD6C48">
        <w:t>s</w:t>
      </w:r>
      <w:r w:rsidRPr="00AD6C48">
        <w:t>område – yttra sig över regeringens skrivelse 2002/03:75 med redogörelse för behan</w:t>
      </w:r>
      <w:r w:rsidRPr="00AD6C48">
        <w:t>d</w:t>
      </w:r>
      <w:r w:rsidRPr="00AD6C48">
        <w:t>lingen av riksdagens skrivelser till regeringen.</w:t>
      </w:r>
    </w:p>
    <w:p w:rsidR="0045208F" w:rsidRPr="00AD6C48" w:rsidRDefault="0045208F">
      <w:pPr>
        <w:pStyle w:val="R2"/>
      </w:pPr>
      <w:bookmarkStart w:id="34" w:name="_Toc525539118"/>
      <w:bookmarkStart w:id="35" w:name="_Toc6728522"/>
      <w:r w:rsidRPr="00AD6C48">
        <w:t>Utskottets överväganden</w:t>
      </w:r>
      <w:bookmarkEnd w:id="34"/>
      <w:bookmarkEnd w:id="35"/>
    </w:p>
    <w:p w:rsidR="0045208F" w:rsidRPr="00AD6C48" w:rsidRDefault="0045208F">
      <w:pPr>
        <w:pStyle w:val="R3"/>
      </w:pPr>
      <w:bookmarkStart w:id="36" w:name="_Toc525539119"/>
      <w:bookmarkStart w:id="37" w:name="_Toc6728523"/>
      <w:r w:rsidRPr="00AD6C48">
        <w:t>Bakgrund</w:t>
      </w:r>
      <w:bookmarkEnd w:id="36"/>
      <w:bookmarkEnd w:id="37"/>
    </w:p>
    <w:p w:rsidR="0045208F" w:rsidRPr="00AD6C48" w:rsidRDefault="0045208F">
      <w:r w:rsidRPr="00AD6C48">
        <w:t>Regeringens skrivelse, Redogörelse för behandlingen av riksdagens skrivelser till regeringen, (skr. 2002/03:75) överlämnades till riksdagen den 6 mars 2003. Skrivelsen redogör huvudsakligen för sådana åtgärder som regeringen vidtagit under kalenderåret 2002 med anledning av riksdagens skrivelser. För att underlätta riksdagsutskottens möjligheter att få en så aktuell bild som möjligt vid sitt uppföljningsarbete, har redovisningen även fått omfatta vissa regeringsbeslut från 2003, dvs. efter den egentliga re</w:t>
      </w:r>
      <w:r w:rsidRPr="00AD6C48">
        <w:t>dovisningsperiodens utgång. Detta förfarande har använts om riksdagsskrivelserna därigenom har kunnat rapporteras som slutbehandlade.</w:t>
      </w:r>
    </w:p>
    <w:p w:rsidR="0045208F" w:rsidRPr="00AD6C48" w:rsidRDefault="0045208F">
      <w:pPr>
        <w:pStyle w:val="Normaltindrag"/>
      </w:pPr>
      <w:r w:rsidRPr="00AD6C48">
        <w:t>Redogörelsen är som tidigare år uppställd departementsvis. Inom varje d</w:t>
      </w:r>
      <w:r w:rsidRPr="00AD6C48">
        <w:t>e</w:t>
      </w:r>
      <w:r w:rsidRPr="00AD6C48">
        <w:t>partements område har materialet grupperats i fyra huvudgrupper, alltefter åldern på de behandlade riksdagsskrivelserna. Vid uppföljningen av riksd</w:t>
      </w:r>
      <w:r w:rsidRPr="00AD6C48">
        <w:t>a</w:t>
      </w:r>
      <w:r w:rsidRPr="00AD6C48">
        <w:t xml:space="preserve">gens beslut tilldrar sig regeringens åtgärder med anledning av riksdagens tillkännagivanden till regeringen ett särskilt intresse. De moment i utskottens betänkanden som innehåller tillkännagivanden har därför utmärkts med en asterisk (*). </w:t>
      </w:r>
    </w:p>
    <w:p w:rsidR="0045208F" w:rsidRPr="00AD6C48" w:rsidRDefault="0045208F">
      <w:pPr>
        <w:pStyle w:val="Normaltindrag"/>
      </w:pPr>
      <w:r w:rsidRPr="00AD6C48">
        <w:t>Sammantaget 53 skrivelser redovisas i årets redogörelse inom finansu</w:t>
      </w:r>
      <w:r w:rsidRPr="00AD6C48">
        <w:t>t</w:t>
      </w:r>
      <w:r w:rsidRPr="00AD6C48">
        <w:t>skottets ansvarsområde. Av de 53 skrivelserna rapporteras 33 som slutb</w:t>
      </w:r>
      <w:r w:rsidRPr="00AD6C48">
        <w:t>e</w:t>
      </w:r>
      <w:r w:rsidRPr="00AD6C48">
        <w:t xml:space="preserve">handlade och 20 som inte slutbehandlade. </w:t>
      </w:r>
    </w:p>
    <w:p w:rsidR="0045208F" w:rsidRPr="00AD6C48" w:rsidRDefault="0045208F">
      <w:pPr>
        <w:pStyle w:val="Normaltindrag"/>
      </w:pPr>
      <w:r w:rsidRPr="00AD6C48">
        <w:t>Det kan också noteras att finansutskottet i sina betänkanden enligt den gällande budgetordningen numera behandlar samtliga ärenden på tilläggsbu</w:t>
      </w:r>
      <w:r w:rsidRPr="00AD6C48">
        <w:t>d</w:t>
      </w:r>
      <w:r w:rsidRPr="00AD6C48">
        <w:t xml:space="preserve">get. Vissa skrivelser omfattar bl.a. av detta skäl ett stort antal moment. En närmare uppföljning av regeringens åtgärder har gjorts för de moment i tilläggsbudgetbetänkandena som faller inom utskottets eget ansvarsområde. (10 av de sammanlagt 53 riksdagsskrivelserna som redovisats i regeringens återrapportering avser frågor som tillhör andra utskotts ansvarsområden men som behandlats av finansutskottet i samband med tilläggsbudgetar.) </w:t>
      </w:r>
    </w:p>
    <w:p w:rsidR="0045208F" w:rsidRPr="00AD6C48" w:rsidRDefault="0045208F">
      <w:pPr>
        <w:pStyle w:val="Normaltindrag"/>
      </w:pPr>
      <w:r w:rsidRPr="00AD6C48">
        <w:t>Av riksdagsskrivelserna är 13 äldre än två år och 7 äldre än tre år. A</w:t>
      </w:r>
      <w:r w:rsidRPr="00AD6C48">
        <w:t>v de</w:t>
      </w:r>
      <w:r w:rsidRPr="00AD6C48">
        <w:t>s</w:t>
      </w:r>
      <w:r w:rsidRPr="00AD6C48">
        <w:t>sa senare 7 redovisas 5 som inte slutbehandlade. Det äldsta inte slutbehandl</w:t>
      </w:r>
      <w:r w:rsidRPr="00AD6C48">
        <w:t>a</w:t>
      </w:r>
      <w:r w:rsidRPr="00AD6C48">
        <w:t>de ärendet avser riksmötet 1995/96.</w:t>
      </w:r>
    </w:p>
    <w:p w:rsidR="0045208F" w:rsidRPr="00AD6C48" w:rsidRDefault="0045208F">
      <w:pPr>
        <w:pStyle w:val="R3"/>
      </w:pPr>
      <w:r w:rsidRPr="00AD6C48">
        <w:t>Motionerna</w:t>
      </w:r>
    </w:p>
    <w:p w:rsidR="0045208F" w:rsidRPr="00AD6C48" w:rsidRDefault="0045208F">
      <w:r w:rsidRPr="00AD6C48">
        <w:t>Två motioner har väckts med anledning av regeringens skrivelse, motionerna K6 av Gunnar Hökmark m.fl. (m) och K7 av Helena Bargholtz m.fl. (fp). I motionerna riktas skarp kritik mot att regeringen inte tillräckligt snabbt ver</w:t>
      </w:r>
      <w:r w:rsidRPr="00AD6C48">
        <w:t>k</w:t>
      </w:r>
      <w:r w:rsidRPr="00AD6C48">
        <w:t>ställer riksdagens beslut. Regeringen bedriver förhalningspolitik, anser m</w:t>
      </w:r>
      <w:r w:rsidRPr="00AD6C48">
        <w:t>o</w:t>
      </w:r>
      <w:r w:rsidRPr="00AD6C48">
        <w:t>tionärerna i motion K7 (fp), och föreslår att regeringen bör åläggas att skärpa sina rutiner för att snabba på genomförandet av riksdagens beslut. Om det finns särskilda skäl att regeringen inte kan följa riksdagens beslut ska rege</w:t>
      </w:r>
      <w:r w:rsidRPr="00AD6C48">
        <w:t>r</w:t>
      </w:r>
      <w:r w:rsidRPr="00AD6C48">
        <w:t>ingen skyndsamt upplysa riksdagen om detta och redovisa varför. I motion K6 (m) framhålls att regeringens underlåtenhet att efterkomma riksdagens beslut kan leda till att riksdagen tvingas agera på egen h</w:t>
      </w:r>
      <w:r w:rsidRPr="00AD6C48">
        <w:t>and, vilket med tanke på utskottskansliernas begränsade resurser i längden riskerar att leda till sä</w:t>
      </w:r>
      <w:r w:rsidRPr="00AD6C48">
        <w:t>m</w:t>
      </w:r>
      <w:r w:rsidRPr="00AD6C48">
        <w:t>re kvalitet på lagstiftningen. Regeringens agerande riskerar också att skada allmänhetens förtroende för de politiska institutionerna, anser m</w:t>
      </w:r>
      <w:r w:rsidRPr="00AD6C48">
        <w:t>o</w:t>
      </w:r>
      <w:r w:rsidRPr="00AD6C48">
        <w:t>tionärerna.</w:t>
      </w:r>
    </w:p>
    <w:p w:rsidR="0045208F" w:rsidRPr="00AD6C48" w:rsidRDefault="0045208F">
      <w:pPr>
        <w:pStyle w:val="R3"/>
      </w:pPr>
      <w:r w:rsidRPr="00AD6C48">
        <w:t>Utskottets synpunkter</w:t>
      </w:r>
    </w:p>
    <w:p w:rsidR="0045208F" w:rsidRPr="00AD6C48" w:rsidRDefault="0045208F">
      <w:r w:rsidRPr="00AD6C48">
        <w:t>Utskottet anser att regeringen till största delen fullföljt riksdagens beslut inom utskottets ansvarsområde i rimlig tid. Det finns dock exempel på riksdag</w:t>
      </w:r>
      <w:r w:rsidRPr="00AD6C48">
        <w:t>s</w:t>
      </w:r>
      <w:r w:rsidRPr="00AD6C48">
        <w:t xml:space="preserve">skrivelser som inte har slutbehandlats trots att avsevärd tid gått sedan de överlämnats till regeringen. </w:t>
      </w:r>
    </w:p>
    <w:p w:rsidR="0045208F" w:rsidRPr="00AD6C48" w:rsidRDefault="0045208F">
      <w:pPr>
        <w:pStyle w:val="Normaltindrag"/>
      </w:pPr>
      <w:r w:rsidRPr="00AD6C48">
        <w:t>Utskottet delar motionärernas principiella synpunkt att det är mycket a</w:t>
      </w:r>
      <w:r w:rsidRPr="00AD6C48">
        <w:t>n</w:t>
      </w:r>
      <w:r w:rsidRPr="00AD6C48">
        <w:t>geläget att regeringen utan onödiga dröjsmål och utan påminnelser verkställer riksdagens beslut, och om det av någon anledning inte är möjligt, tydligt redovisar varför. De specifika punkter motionärerna tar upp ligger emellertid inte inom finansutskottets område varför utskottet inte ser sig föranlett att göra något ytterligare uttalande i frågan.</w:t>
      </w:r>
    </w:p>
    <w:p w:rsidR="0045208F" w:rsidRPr="00AD6C48" w:rsidRDefault="0045208F">
      <w:pPr>
        <w:pStyle w:val="Normaltindrag"/>
      </w:pPr>
      <w:r w:rsidRPr="00AD6C48">
        <w:t>Beträffande den äldsta icke slutbehandlade skrivelsen inom utskottets o</w:t>
      </w:r>
      <w:r w:rsidRPr="00AD6C48">
        <w:t>m</w:t>
      </w:r>
      <w:r w:rsidRPr="00AD6C48">
        <w:t>råde, från 1995/96 om ett vinstdelningssystem mellan staten och föreningsl</w:t>
      </w:r>
      <w:r w:rsidRPr="00AD6C48">
        <w:t>i</w:t>
      </w:r>
      <w:r w:rsidRPr="00AD6C48">
        <w:t>vet för inkomster från automatspel, rapporterar regeringen att man avser att återkomma till riksdagen i samband med budgetpropositionen för 2004. U</w:t>
      </w:r>
      <w:r w:rsidRPr="00AD6C48">
        <w:t>t</w:t>
      </w:r>
      <w:r w:rsidRPr="00AD6C48">
        <w:t>skottet utgår från att så sker.</w:t>
      </w:r>
    </w:p>
    <w:p w:rsidR="0045208F" w:rsidRPr="00AD6C48" w:rsidRDefault="0045208F">
      <w:pPr>
        <w:pStyle w:val="R4"/>
      </w:pPr>
      <w:r w:rsidRPr="00AD6C48">
        <w:t>Offentlig upphandling (punkt Fi54)</w:t>
      </w:r>
    </w:p>
    <w:p w:rsidR="0045208F" w:rsidRPr="00AD6C48" w:rsidRDefault="0045208F">
      <w:r w:rsidRPr="00AD6C48">
        <w:t>Regeringen rapporterar att skrivelse nr 324, baserad på betänkande 2001/02:FiU12 om offentlig upphandling är slutbehandlad. Tre av punkterna i betänkandet, punkterna 1, 4 och 5, innehöll tillkännagivanden till regeringen. I regeringens återrapportering framgår emellertid endast att det fanns ett tillkännagivande, det under punkt 1. Momenten 4 och 5 anges som slutb</w:t>
      </w:r>
      <w:r w:rsidRPr="00AD6C48">
        <w:t>e</w:t>
      </w:r>
      <w:r w:rsidRPr="00AD6C48">
        <w:t>handlade i och med att lagarna som riksdagen antagit utfärdades den 13 juni 2002.</w:t>
      </w:r>
    </w:p>
    <w:p w:rsidR="0045208F" w:rsidRPr="00AD6C48" w:rsidRDefault="0045208F">
      <w:pPr>
        <w:pStyle w:val="Normaltindrag"/>
      </w:pPr>
      <w:r w:rsidRPr="00AD6C48">
        <w:t>Under moment 4 fanns ett tillkännagivande om EG:s regler och andra i</w:t>
      </w:r>
      <w:r w:rsidRPr="00AD6C48">
        <w:t>n</w:t>
      </w:r>
      <w:r w:rsidRPr="00AD6C48">
        <w:t>ternationella regler och möjligheten att ta större hänsyn till miljön vid up</w:t>
      </w:r>
      <w:r w:rsidRPr="00AD6C48">
        <w:t>p</w:t>
      </w:r>
      <w:r w:rsidRPr="00AD6C48">
        <w:t>handling, och under moment 5 fanns ett tillkännagivande om sociala och arbetsmarknadspolitiska hänsyn vid upphandling. Riksdagsskrivelsen uppges vara slutbehandlad trots att regeringen inte vidtagit några åtgärder med anle</w:t>
      </w:r>
      <w:r w:rsidRPr="00AD6C48">
        <w:t>d</w:t>
      </w:r>
      <w:r w:rsidRPr="00AD6C48">
        <w:t>ning av dessa tillkännagivanden. De har heller inte, som brukligt, markerats med asterisk i regeringens rapportering. Utskottet anser inte att den aktuella skr</w:t>
      </w:r>
      <w:r w:rsidRPr="00AD6C48">
        <w:t>i</w:t>
      </w:r>
      <w:r w:rsidRPr="00AD6C48">
        <w:t>velsen kan betraktas som slutbehandlad.</w:t>
      </w:r>
    </w:p>
    <w:p w:rsidR="0045208F" w:rsidRPr="00AD6C48" w:rsidRDefault="0045208F"/>
    <w:p w:rsidR="0045208F" w:rsidRPr="00AD6C48" w:rsidRDefault="0045208F"/>
    <w:p w:rsidR="0045208F" w:rsidRPr="00AD6C48" w:rsidRDefault="0045208F">
      <w:pPr>
        <w:pStyle w:val="Utskriftsdatum"/>
      </w:pPr>
      <w:r w:rsidRPr="00AD6C48">
        <w:t xml:space="preserve">Stockholm den 29 april 2003 </w:t>
      </w:r>
    </w:p>
    <w:p w:rsidR="0045208F" w:rsidRPr="00AD6C48" w:rsidRDefault="0045208F">
      <w:r w:rsidRPr="00AD6C48">
        <w:t>På finansutskottets vägnar</w:t>
      </w:r>
    </w:p>
    <w:p w:rsidR="0045208F" w:rsidRPr="00AD6C48" w:rsidRDefault="0045208F">
      <w:pPr>
        <w:pStyle w:val="Ordfranden"/>
        <w:rPr>
          <w:noProof w:val="0"/>
        </w:rPr>
      </w:pPr>
      <w:r w:rsidRPr="00AD6C48">
        <w:rPr>
          <w:noProof w:val="0"/>
        </w:rPr>
        <w:t xml:space="preserve">Sven-Erik Österberg </w:t>
      </w:r>
    </w:p>
    <w:p w:rsidR="0045208F" w:rsidRPr="00AD6C48" w:rsidRDefault="0045208F">
      <w:pPr>
        <w:pStyle w:val="Deltagare"/>
        <w:rPr>
          <w:noProof w:val="0"/>
        </w:rPr>
      </w:pPr>
      <w:r w:rsidRPr="00AD6C48">
        <w:rPr>
          <w:noProof w:val="0"/>
        </w:rPr>
        <w:t>Följande ledamöter har deltagit i beslutet: Sven-Erik Österberg (s), Fredrik Reinfeldt (m), Carin Lundberg (s), Karin Pilsäter (fp), Sonia Karlsson (s), Kjell Nordström (s), Mats Odell (kd), Lars Bäckström (v), Gunnar Axén (m), Tommy Waidelich (s), Christer Nylander (fp), Hans Hoff (s), Tomas Högström (m), Agneta Gille (s), Bo Bernhardsson (s), Jörgen Johansson (c) och Mikael Johansson (mp).</w:t>
      </w:r>
    </w:p>
    <w:p w:rsidR="0045208F" w:rsidRPr="00AD6C48" w:rsidRDefault="0045208F"/>
    <w:p w:rsidR="0045208F" w:rsidRPr="00AD6C48" w:rsidRDefault="0045208F">
      <w:pPr>
        <w:pStyle w:val="Normaltindrag"/>
        <w:sectPr w:rsidR="00000000" w:rsidRPr="00AD6C4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5208F" w:rsidRPr="00AD6C48" w:rsidRDefault="0045208F">
      <w:pPr>
        <w:pStyle w:val="Bilaga"/>
      </w:pPr>
      <w:r w:rsidRPr="00AD6C48">
        <w:t>Bilaga 3</w:t>
      </w:r>
    </w:p>
    <w:p w:rsidR="0045208F" w:rsidRPr="00AD6C48" w:rsidRDefault="0045208F">
      <w:pPr>
        <w:pStyle w:val="Rubrik1"/>
        <w:rPr>
          <w:noProof w:val="0"/>
        </w:rPr>
      </w:pPr>
      <w:bookmarkStart w:id="38" w:name="_Toc41451045"/>
      <w:r w:rsidRPr="00AD6C48">
        <w:rPr>
          <w:noProof w:val="0"/>
        </w:rPr>
        <w:t>Skatteutskottets yttrande 2002/03:SkU3y</w:t>
      </w:r>
      <w:bookmarkEnd w:id="38"/>
    </w:p>
    <w:p w:rsidR="0045208F" w:rsidRPr="00AD6C48" w:rsidRDefault="0045208F">
      <w:pPr>
        <w:pStyle w:val="R1"/>
      </w:pPr>
      <w:r w:rsidRPr="00AD6C48">
        <w:t>Till konstitutionsutskottet</w:t>
      </w:r>
    </w:p>
    <w:p w:rsidR="0045208F" w:rsidRPr="00AD6C48" w:rsidRDefault="0045208F">
      <w:r w:rsidRPr="00AD6C48">
        <w:t>Konstitutionsutskottet har berett skatteutskottet och övriga utskott tillfälle att yttra sig över regeringens skrivelse 2002/03:75 med redogörelse för behan</w:t>
      </w:r>
      <w:r w:rsidRPr="00AD6C48">
        <w:t>d</w:t>
      </w:r>
      <w:r w:rsidRPr="00AD6C48">
        <w:softHyphen/>
        <w:t>lingen av riksdagens skrivelser till regeringen. Med anledning härav har skatteutskottet särskilt granskat de ärenden som avser riksdagsskrivelser som skatteutskottet medverkat till och som inte slutbehandlats den 31 december 2002 samt ytterligare ett ärende som avslutats under tiden den 1 januari 2002 –31 december 2002. Utskottet får anföra följande.</w:t>
      </w:r>
    </w:p>
    <w:p w:rsidR="0045208F" w:rsidRPr="00AD6C48" w:rsidRDefault="0045208F">
      <w:pPr>
        <w:pStyle w:val="R2"/>
      </w:pPr>
      <w:bookmarkStart w:id="39" w:name="_Toc39387381"/>
      <w:r w:rsidRPr="00AD6C48">
        <w:t>Regeringens skrivelse</w:t>
      </w:r>
      <w:bookmarkEnd w:id="39"/>
    </w:p>
    <w:p w:rsidR="0045208F" w:rsidRPr="00AD6C48" w:rsidRDefault="0045208F">
      <w:pPr>
        <w:pStyle w:val="R3"/>
      </w:pPr>
      <w:bookmarkStart w:id="40" w:name="_Toc39387382"/>
      <w:r w:rsidRPr="00AD6C48">
        <w:t>Yrkesfiskares konkurrenssituation i förhållande till andra länder</w:t>
      </w:r>
      <w:bookmarkEnd w:id="40"/>
    </w:p>
    <w:p w:rsidR="0045208F" w:rsidRPr="00AD6C48" w:rsidRDefault="0045208F">
      <w:r w:rsidRPr="00AD6C48">
        <w:t>Ärendet redovisas under punkt 3 under Finansdepartementet (s. 75–76). Med anledning av en rad motioner om yrkesfiskarnas ekonomiska villkor i för</w:t>
      </w:r>
      <w:r w:rsidRPr="00AD6C48">
        <w:softHyphen/>
        <w:t>hållande till fiskare i konkurrentländer och att såväl Norge som Danmark hade särskilda skatteavdrag för yrkesfiskare gjorde riksdagen – på förslag av skatteutskottet – ett tillkännagivande om att regeringen borde återkomma till riksdagen med förslag som tillgodosåg motionärernas krav på konkurrens</w:t>
      </w:r>
      <w:r w:rsidRPr="00AD6C48">
        <w:softHyphen/>
        <w:t>n</w:t>
      </w:r>
      <w:r w:rsidRPr="00AD6C48">
        <w:t>e</w:t>
      </w:r>
      <w:r w:rsidRPr="00AD6C48">
        <w:t>utralitet. I redogörelsen anför regeringen att ett förslag till yrkesfiskar</w:t>
      </w:r>
      <w:r w:rsidRPr="00AD6C48">
        <w:softHyphen/>
        <w:t>avdrag, som tagits fram inom Regeringskansliet, har anmälts till Europeiska kommissionen och att kompletterande uppgifter har lämnats</w:t>
      </w:r>
      <w:r w:rsidRPr="00AD6C48">
        <w:t xml:space="preserve"> i juni och d</w:t>
      </w:r>
      <w:r w:rsidRPr="00AD6C48">
        <w:t>e</w:t>
      </w:r>
      <w:r w:rsidRPr="00AD6C48">
        <w:t>cember 2002 på kommissionens begäran (rskr. 1996/97:133; bet. 1996/97: SkU13 mom. 11, mot. 1996/97:Fi210 yrkande 11 (c) m.fl., beslut i kammaren den 20 december 1996).</w:t>
      </w:r>
    </w:p>
    <w:p w:rsidR="0045208F" w:rsidRPr="00AD6C48" w:rsidRDefault="0045208F">
      <w:pPr>
        <w:pStyle w:val="R3"/>
      </w:pPr>
      <w:bookmarkStart w:id="41" w:name="_Toc39387383"/>
      <w:r w:rsidRPr="00AD6C48">
        <w:t>Ökade levnadskostnader vid dubbel bosättning</w:t>
      </w:r>
      <w:bookmarkEnd w:id="41"/>
    </w:p>
    <w:p w:rsidR="0045208F" w:rsidRPr="00AD6C48" w:rsidRDefault="0045208F">
      <w:r w:rsidRPr="00AD6C48">
        <w:t>Ärendet redovisas under punkt 10 under Finansdepartementet (s. 77–78) och avser ett tillkännagivande om att regeringen bör genomföra en komplette</w:t>
      </w:r>
      <w:r w:rsidRPr="00AD6C48">
        <w:softHyphen/>
        <w:t>rande utredning för att belysa effekterna för rörligheten på arbetsmarknaden och för boende och arbetande i glesbygd vid ett slopande av gränsen för av</w:t>
      </w:r>
      <w:r w:rsidRPr="00AD6C48">
        <w:softHyphen/>
        <w:t xml:space="preserve">drag för ökade levnadskostnader vid dubbel bosättning. Enligt regeringens redogörelse bereds ärendet för närvarande – liksom förra året – tillsammans med förslagen i utredningsbetänkandet </w:t>
      </w:r>
      <w:r w:rsidRPr="00AD6C48">
        <w:rPr>
          <w:i/>
        </w:rPr>
        <w:t>Förmåner och ökade levnadskostna</w:t>
      </w:r>
      <w:r w:rsidRPr="00AD6C48">
        <w:rPr>
          <w:i/>
        </w:rPr>
        <w:softHyphen/>
        <w:t>der</w:t>
      </w:r>
      <w:r w:rsidRPr="00AD6C48">
        <w:t xml:space="preserve"> (SOU 1999:94, det står felaktigt 97 i redogörelsen) med inriktning på att ett ställningstagande i frågan skall kunna redovisas under i</w:t>
      </w:r>
      <w:r w:rsidRPr="00AD6C48">
        <w:t>nnevarande år (rskr. 1999/2000:143; bet. 1999/2000:SkU13 mom. 8, mot. 1999/2000:Sk748 (v), beslut i kammaren den 15 mars 2000).</w:t>
      </w:r>
    </w:p>
    <w:p w:rsidR="0045208F" w:rsidRPr="00AD6C48" w:rsidRDefault="0045208F">
      <w:pPr>
        <w:pStyle w:val="R3"/>
      </w:pPr>
      <w:bookmarkStart w:id="42" w:name="_Toc39387384"/>
      <w:r w:rsidRPr="00AD6C48">
        <w:t>Reglerna i skattebetalningslagen om betalningsansvar för företrädare för juridiska personer</w:t>
      </w:r>
      <w:bookmarkEnd w:id="42"/>
    </w:p>
    <w:p w:rsidR="0045208F" w:rsidRPr="00AD6C48" w:rsidRDefault="0045208F">
      <w:r w:rsidRPr="00AD6C48">
        <w:t>Ärendet redovisas under punkt 12 under Finansdepartementet (s. 78) och avser ett tillkännagivande om att regeringen bör utföra en analys och even</w:t>
      </w:r>
      <w:r w:rsidRPr="00AD6C48">
        <w:softHyphen/>
        <w:t>tuellt lägga fram förslag om en omformulering av de nya bestämmelserna i skattebetalningslagen (1997:483) om betalningsansvar för företrädare för juridiska personer, om dessa nya bestämmelser inneburit en skärpning i fö</w:t>
      </w:r>
      <w:r w:rsidRPr="00AD6C48">
        <w:t>r</w:t>
      </w:r>
      <w:r w:rsidRPr="00AD6C48">
        <w:softHyphen/>
        <w:t>hållande till vad som gällde tidigare. Enligt regeringens redogörelse behan</w:t>
      </w:r>
      <w:r w:rsidRPr="00AD6C48">
        <w:t>d</w:t>
      </w:r>
      <w:r w:rsidRPr="00AD6C48">
        <w:softHyphen/>
        <w:t>las frågan av en utredning som den 31 januari 2002 överlämnat sitt slutbe</w:t>
      </w:r>
      <w:r w:rsidRPr="00AD6C48">
        <w:softHyphen/>
        <w:t xml:space="preserve">tänkande </w:t>
      </w:r>
      <w:r w:rsidRPr="00AD6C48">
        <w:rPr>
          <w:i/>
        </w:rPr>
        <w:t>Företrädaransvar</w:t>
      </w:r>
      <w:r w:rsidRPr="00AD6C48">
        <w:t xml:space="preserve"> (SOU 2002:8). Betänkandet har remissbehandlats och ärendet är under beredning. Regeringen avser enligt redogörels</w:t>
      </w:r>
      <w:r w:rsidRPr="00AD6C48">
        <w:t>en att överlämna en proposition till riksdagen senast den 28 maj 2003 (rskr. 1999/2000:248; bet. 1999/2000:SkU24, beslut i kammaren den 7 juni 2000).</w:t>
      </w:r>
    </w:p>
    <w:p w:rsidR="0045208F" w:rsidRPr="00AD6C48" w:rsidRDefault="0045208F">
      <w:pPr>
        <w:pStyle w:val="Normaltindrag"/>
      </w:pPr>
      <w:r w:rsidRPr="00AD6C48">
        <w:t xml:space="preserve">Den 16 april 2003 överlämnade regeringen en remiss, </w:t>
      </w:r>
      <w:r w:rsidRPr="00AD6C48">
        <w:rPr>
          <w:i/>
        </w:rPr>
        <w:t>Företrädaransvar</w:t>
      </w:r>
      <w:r w:rsidRPr="00AD6C48">
        <w:t>, till Lagrådet. I lagrådsremissen behandlas den nu aktuella frågan.</w:t>
      </w:r>
    </w:p>
    <w:p w:rsidR="0045208F" w:rsidRPr="00AD6C48" w:rsidRDefault="0045208F">
      <w:pPr>
        <w:pStyle w:val="R3"/>
      </w:pPr>
      <w:bookmarkStart w:id="43" w:name="_Toc39387385"/>
      <w:r w:rsidRPr="00AD6C48">
        <w:t>Skadlig skattekonkurrens i Europeiska unionen</w:t>
      </w:r>
      <w:bookmarkEnd w:id="43"/>
    </w:p>
    <w:p w:rsidR="0045208F" w:rsidRPr="00AD6C48" w:rsidRDefault="0045208F">
      <w:r w:rsidRPr="00AD6C48">
        <w:t>Ärendet redovisas under punkt 14 under Finansdepartementet (s. 79) och avser ett tillkännagivande om att regeringen bör arbeta för att tillämpning</w:t>
      </w:r>
      <w:r w:rsidRPr="00AD6C48">
        <w:t>s</w:t>
      </w:r>
      <w:r w:rsidRPr="00AD6C48">
        <w:softHyphen/>
        <w:t>området för EU:s uppförandekod för företagsbeskattning skall utvidgas till att omfatta även skadlig skattekonkurrens som avser löntagare och att frågan skall behandlas i samband med en översyn av uppförandekoden. Enligt red</w:t>
      </w:r>
      <w:r w:rsidRPr="00AD6C48">
        <w:t>o</w:t>
      </w:r>
      <w:r w:rsidRPr="00AD6C48">
        <w:softHyphen/>
        <w:t>görelsen har den planerade översynen av EU:s uppförandekod för företags</w:t>
      </w:r>
      <w:r w:rsidRPr="00AD6C48">
        <w:softHyphen/>
        <w:t>beskattning ännu inte kommit till stånd eftersom det pågående arbetet med skattepaket – i vilket koden ingår – inte har avslutats. Skrivelsen har därför inte kunnat slutbehandlas (rskr. 2000/01:70; bet. 2000/01:Sk</w:t>
      </w:r>
      <w:r w:rsidRPr="00AD6C48">
        <w:t>U6 mom. 3, prop. 2000/01:12, mot. 2000/01:Sk8 yrkande 3 (mp), beslut i kammaren den 5 december 2000).</w:t>
      </w:r>
    </w:p>
    <w:p w:rsidR="0045208F" w:rsidRPr="00AD6C48" w:rsidRDefault="0045208F">
      <w:pPr>
        <w:pStyle w:val="Normaltindrag"/>
      </w:pPr>
      <w:r w:rsidRPr="00AD6C48">
        <w:t>Enligt vad utskottet erfarit skulle frågan kunna tas upp i samband med en översyn under hösten 2003, under förutsättning att en överenskommelse nås om skattepaketet senare i vår eller sommar.</w:t>
      </w:r>
    </w:p>
    <w:p w:rsidR="0045208F" w:rsidRPr="00AD6C48" w:rsidRDefault="0045208F">
      <w:pPr>
        <w:pStyle w:val="R3"/>
      </w:pPr>
      <w:bookmarkStart w:id="44" w:name="_Toc39387386"/>
      <w:r w:rsidRPr="00AD6C48">
        <w:t>Bilförmån</w:t>
      </w:r>
      <w:bookmarkEnd w:id="44"/>
    </w:p>
    <w:p w:rsidR="0045208F" w:rsidRPr="00AD6C48" w:rsidRDefault="0045208F">
      <w:r w:rsidRPr="00AD6C48">
        <w:t>Ärendet redovisas under punkt 18 under Finansdepartementet (s. 80) och avser ett tillkännagivande om en översyn av förmånsbeskattningen av instal</w:t>
      </w:r>
      <w:r w:rsidRPr="00AD6C48">
        <w:softHyphen/>
        <w:t>lations- och distributionsbilar som används privat i ringa omfattning. Enligt redogörelsen har Riksskatteverket den 27 mars 2002 till Finansdepartementet överlämnat en redovisning av ett uppdrag att se över reglerna om bilförmån och deras tillämpning. Frågan bereds med inriktning på att regeringen skall kunna redovisa ett ställningstagande i frågan under innevarande år (rskr. 2000/01:166; bet. 2000/01:SkU14 mom. 12, mot. 2000/01:Sk729 yrkande 1 (c, m, kd, fp) m.fl., beslut i kammaren den 21 mars 2001).</w:t>
      </w:r>
    </w:p>
    <w:p w:rsidR="0045208F" w:rsidRPr="00AD6C48" w:rsidRDefault="0045208F">
      <w:pPr>
        <w:pStyle w:val="Normaltindrag"/>
      </w:pPr>
      <w:r w:rsidRPr="00AD6C48">
        <w:t>Den</w:t>
      </w:r>
      <w:r w:rsidRPr="00AD6C48">
        <w:t xml:space="preserve"> 16 april 2003 överlämnade regeringen en lagrådsremiss, </w:t>
      </w:r>
      <w:r w:rsidRPr="00AD6C48">
        <w:rPr>
          <w:i/>
        </w:rPr>
        <w:t>Beskattning av vissa förmåner</w:t>
      </w:r>
      <w:r w:rsidRPr="00AD6C48">
        <w:t>, till Lagrådet. I lagrådsremissen behandlas bl.a. riksdagens tillkännagivande om förmånsbeskattning av bilar avsedda för installation och distribution.</w:t>
      </w:r>
    </w:p>
    <w:p w:rsidR="0045208F" w:rsidRPr="00AD6C48" w:rsidRDefault="0045208F">
      <w:pPr>
        <w:pStyle w:val="R3"/>
      </w:pPr>
      <w:bookmarkStart w:id="45" w:name="_Toc39387387"/>
      <w:r w:rsidRPr="00AD6C48">
        <w:t>Skogskonto och lantmäterikostnader</w:t>
      </w:r>
      <w:bookmarkEnd w:id="45"/>
    </w:p>
    <w:p w:rsidR="0045208F" w:rsidRPr="00AD6C48" w:rsidRDefault="0045208F">
      <w:r w:rsidRPr="00AD6C48">
        <w:t xml:space="preserve">Ärendet redovisas under punkt 32 under Finansdepartementet (s. 84) och avser ett tillkännagivande om att regeringen bör se över frågan om att införa en möjlighet för skogsägare att sätta in ersättning enligt naturvårdsavtal på skogskonto. En översyn bör också ske av den skattemässiga behandlingen av lantmäterikostnader. Regeringen har nyligen lagt fram proposition 2002/03:79 </w:t>
      </w:r>
      <w:r w:rsidRPr="00AD6C48">
        <w:rPr>
          <w:i/>
        </w:rPr>
        <w:t>Direktavdrag för lantmäteriförrättningsutgifter vid omarrondering</w:t>
      </w:r>
      <w:r w:rsidRPr="00AD6C48">
        <w:t>, vari bä</w:t>
      </w:r>
      <w:r w:rsidRPr="00AD6C48">
        <w:t>g</w:t>
      </w:r>
      <w:r w:rsidRPr="00AD6C48">
        <w:t>ge frågorna behandlas (rskr. 2001/02:177; bet. 2001/02:SkU15 mom. 18 och 22, mot. 2001/02:Sk330 (v) respektive 2001/02:Sk217 (c) och 2001/02: Sk462 (v), beslut i kammaren den 13 mars 2002).</w:t>
      </w:r>
    </w:p>
    <w:p w:rsidR="0045208F" w:rsidRPr="00AD6C48" w:rsidRDefault="0045208F">
      <w:pPr>
        <w:pStyle w:val="R3"/>
      </w:pPr>
      <w:bookmarkStart w:id="46" w:name="_Toc39387388"/>
      <w:r w:rsidRPr="00AD6C48">
        <w:t>Skyddade identiteter i folkbokföringen</w:t>
      </w:r>
      <w:bookmarkEnd w:id="46"/>
    </w:p>
    <w:p w:rsidR="0045208F" w:rsidRPr="00AD6C48" w:rsidRDefault="0045208F">
      <w:r w:rsidRPr="00AD6C48">
        <w:t>Ärendet redovisas under punkt 58 under Justitiedepartementet (s. 64) och avser ett tillkännagivande om att frågan om hur man i folkbokföringen pra</w:t>
      </w:r>
      <w:r w:rsidRPr="00AD6C48">
        <w:t>k</w:t>
      </w:r>
      <w:r w:rsidRPr="00AD6C48">
        <w:softHyphen/>
        <w:t>tiskt bör hantera skyddade personuppgifter i folkbokföringen som medgivits för hotade, förföljda och trakasserade personer för att förhindra att uppgif</w:t>
      </w:r>
      <w:r w:rsidRPr="00AD6C48">
        <w:softHyphen/>
        <w:t>terna läcker ut skyndsamt bör belysas. Frågan behandlas i Personsäkerhets</w:t>
      </w:r>
      <w:r w:rsidRPr="00AD6C48">
        <w:softHyphen/>
        <w:t>u</w:t>
      </w:r>
      <w:r w:rsidRPr="00AD6C48">
        <w:t>t</w:t>
      </w:r>
      <w:r w:rsidRPr="00AD6C48">
        <w:t xml:space="preserve">redningens delbetänkande </w:t>
      </w:r>
      <w:r w:rsidRPr="00AD6C48">
        <w:rPr>
          <w:i/>
        </w:rPr>
        <w:t>Nationell handlingsplan mot våld i nära relatio</w:t>
      </w:r>
      <w:r w:rsidRPr="00AD6C48">
        <w:rPr>
          <w:i/>
        </w:rPr>
        <w:softHyphen/>
        <w:t xml:space="preserve">ner </w:t>
      </w:r>
      <w:r w:rsidRPr="00AD6C48">
        <w:t>(SOU 2002:71)</w:t>
      </w:r>
      <w:r w:rsidRPr="00AD6C48">
        <w:rPr>
          <w:i/>
        </w:rPr>
        <w:t>.</w:t>
      </w:r>
      <w:r w:rsidRPr="00AD6C48">
        <w:t xml:space="preserve"> Betänkandet har remissbehandlats och bereds för närva</w:t>
      </w:r>
      <w:r w:rsidRPr="00AD6C48">
        <w:softHyphen/>
        <w:t>rande (rskr. 2001/02:200; bet. 2001/02:SkU19 mom. 20, mot. 2001/02:Ju396 yrkande 2 (m) och 2000/01:K269 (v), beslut i kammaren den 10 ap</w:t>
      </w:r>
      <w:r w:rsidRPr="00AD6C48">
        <w:t>ril 2002).</w:t>
      </w:r>
    </w:p>
    <w:p w:rsidR="0045208F" w:rsidRPr="00AD6C48" w:rsidRDefault="0045208F">
      <w:pPr>
        <w:pStyle w:val="R3"/>
      </w:pPr>
      <w:bookmarkStart w:id="47" w:name="_Toc39387389"/>
      <w:r w:rsidRPr="00AD6C48">
        <w:t>Reklamskatten</w:t>
      </w:r>
      <w:bookmarkEnd w:id="47"/>
    </w:p>
    <w:p w:rsidR="0045208F" w:rsidRPr="00AD6C48" w:rsidRDefault="0045208F">
      <w:r w:rsidRPr="00AD6C48">
        <w:t>Ärendet redovisas under punkt 38 under Finansdepartementet (s. 85) och avser ett tillkännagivande om att frågan om en avveckling av reklamskatten bör prioriteras i kommande budgetberedning, dock med beaktande av de budgetpolitiska målen. Enligt redogörelsen har frågan prioriterats i budget</w:t>
      </w:r>
      <w:r w:rsidRPr="00AD6C48">
        <w:softHyphen/>
        <w:t>beredningen men utan att förutsättningar för finansiering av ett avskaffande av reklamskatten för närvarande bedömts föreligga (rskr. 2001/02:201; bet. 2001/02:SkU20, 18 motioner av (s), (m), (v), (kd), (c), (fp) och (mp), beslut i kammaren den 10 april 2002).</w:t>
      </w:r>
    </w:p>
    <w:p w:rsidR="0045208F" w:rsidRPr="00AD6C48" w:rsidRDefault="0045208F">
      <w:pPr>
        <w:pStyle w:val="R3"/>
      </w:pPr>
      <w:bookmarkStart w:id="48" w:name="_Toc39387390"/>
      <w:r w:rsidRPr="00AD6C48">
        <w:t>Reglerna kring den skattemässiga behandlingen av utgifter i samband med sponsring</w:t>
      </w:r>
      <w:bookmarkEnd w:id="48"/>
    </w:p>
    <w:p w:rsidR="0045208F" w:rsidRPr="00AD6C48" w:rsidRDefault="0045208F">
      <w:r w:rsidRPr="00AD6C48">
        <w:t>Ärendet redovisas under punkt 39 under Finansdepartementet (s. 85–86) och avser ett tillkännagivande om att regeringen bör pröva om inkomstskatte</w:t>
      </w:r>
      <w:r w:rsidRPr="00AD6C48">
        <w:softHyphen/>
        <w:t>l</w:t>
      </w:r>
      <w:r w:rsidRPr="00AD6C48">
        <w:t>a</w:t>
      </w:r>
      <w:r w:rsidRPr="00AD6C48">
        <w:t>gens regler har en alltigenom ändamålsenlig utformning när det gäller av</w:t>
      </w:r>
      <w:r w:rsidRPr="00AD6C48">
        <w:softHyphen/>
        <w:t xml:space="preserve">drag för utgifter i samband med sponsring och om reglerna behöver göras tydligare för att det skall vara lättare att i förväg bedöma den skattemässiga behandlingen av en sponsring. Enligt redogörelsen är en promemoria som behandlar frågan under utarbetande. Inriktningen är att regeringen skall kunna redovisa ett ställningstagande i frågan under innevarande år (rskr. 2001/02:202; bet. 2001/02:SkU21, 7 motioner av (m), (kd), (fp) och </w:t>
      </w:r>
      <w:r w:rsidRPr="00AD6C48">
        <w:t>(mp), beslut i kammaren den 10 april 2002).</w:t>
      </w:r>
    </w:p>
    <w:p w:rsidR="0045208F" w:rsidRPr="00AD6C48" w:rsidRDefault="0045208F">
      <w:pPr>
        <w:pStyle w:val="R3"/>
      </w:pPr>
      <w:bookmarkStart w:id="49" w:name="_Toc39387391"/>
      <w:r w:rsidRPr="00AD6C48">
        <w:t>De s.k. 3:12-reglerna och reglerna om andelsbyten</w:t>
      </w:r>
      <w:bookmarkEnd w:id="49"/>
    </w:p>
    <w:p w:rsidR="0045208F" w:rsidRPr="00AD6C48" w:rsidRDefault="0045208F">
      <w:r w:rsidRPr="00AD6C48">
        <w:t>Ärendet redovisas under punkt 42 under Finansdepartementet (s. 86) och avser ett tillkännagivande angående de ägare till fåmansföretag som hade drabbats av skatteproblem i samband med att deras företag hade blivit up</w:t>
      </w:r>
      <w:r w:rsidRPr="00AD6C48">
        <w:t>p</w:t>
      </w:r>
      <w:r w:rsidRPr="00AD6C48">
        <w:softHyphen/>
        <w:t>köpta av marknadsnoterade företag inom främst IT-sektorn och företagsköpet betalats med andelar i det köpande företaget i kombination med ett avtal som hindrade säljaren från att avyttra de mottagna andelarna. Tillkännagivandet gick ut på att regeringen senast under augusti 2002 skulle återkomma till riksdagen med ett förslag till en retroaktivt verkande lagändring som elimin</w:t>
      </w:r>
      <w:r w:rsidRPr="00AD6C48">
        <w:t>e</w:t>
      </w:r>
      <w:r w:rsidRPr="00AD6C48">
        <w:softHyphen/>
        <w:t>rade de effekter som uppstod i förlustsituationer till följd av att ett tjänste</w:t>
      </w:r>
      <w:r w:rsidRPr="00AD6C48">
        <w:softHyphen/>
        <w:t xml:space="preserve">belopp skulle tas upp till beskattning av den som </w:t>
      </w:r>
      <w:r w:rsidRPr="00AD6C48">
        <w:t>genom ett sådant uppskov</w:t>
      </w:r>
      <w:r w:rsidRPr="00AD6C48">
        <w:t>s</w:t>
      </w:r>
      <w:r w:rsidRPr="00AD6C48">
        <w:softHyphen/>
        <w:t>grundande andelsbyte hade avyttrat kvalificerade andelar i fåmansföretag (rskr. 2001/02:245; bet. 2001/02:SkU29, beslut i kammaren den 16 maj 2002).</w:t>
      </w:r>
    </w:p>
    <w:p w:rsidR="0045208F" w:rsidRPr="00AD6C48" w:rsidRDefault="0045208F">
      <w:pPr>
        <w:pStyle w:val="Normaltindrag"/>
      </w:pPr>
      <w:r w:rsidRPr="00AD6C48">
        <w:t xml:space="preserve">Den 7 november 2002 beslutade regeringen proposition </w:t>
      </w:r>
      <w:r w:rsidRPr="00AD6C48">
        <w:rPr>
          <w:i/>
        </w:rPr>
        <w:t xml:space="preserve">Utvidgning av reglerna om framskjuten beskattning vid vissa andelsbyten </w:t>
      </w:r>
      <w:r w:rsidRPr="00AD6C48">
        <w:t>(prop. 2002/03:15) med vissa lagförslag med begärd inriktning. Därmed ansågs skrivelsen slut</w:t>
      </w:r>
      <w:r w:rsidRPr="00AD6C48">
        <w:softHyphen/>
        <w:t>behandlad. Propositionen bifölls i allt väsentligt av riksdagen och lagförsl</w:t>
      </w:r>
      <w:r w:rsidRPr="00AD6C48">
        <w:t>a</w:t>
      </w:r>
      <w:r w:rsidRPr="00AD6C48">
        <w:softHyphen/>
        <w:t>gen antogs.</w:t>
      </w:r>
    </w:p>
    <w:p w:rsidR="0045208F" w:rsidRPr="00AD6C48" w:rsidRDefault="0045208F">
      <w:pPr>
        <w:pStyle w:val="R2"/>
      </w:pPr>
      <w:bookmarkStart w:id="50" w:name="_Toc39387392"/>
      <w:r w:rsidRPr="00AD6C48">
        <w:t>Motionerna</w:t>
      </w:r>
      <w:bookmarkEnd w:id="50"/>
    </w:p>
    <w:p w:rsidR="0045208F" w:rsidRPr="00AD6C48" w:rsidRDefault="0045208F">
      <w:r w:rsidRPr="00AD6C48">
        <w:t>Med anledning av regeringens skrivelse har två motioner väckts. I motion K6 av Gunnar Hökmark m.fl. (m) krävs ett tillkännagivande om att regeringen på ett bättre sätt bör uppfylla riksdagens mål, i synnerhet när det rör sig om enkel lagstiftning eller saken bara gäller tillsättande av en utredning. I motion K7 av Helena Bargholz m.fl. (fp) begärs ett uttalande om att införa ”skärpta rutiner gällande verkställandet av riksdagens beslut” eftersom regeringen har dröjt med att åtgärda många äldre riksdagsskri</w:t>
      </w:r>
      <w:r w:rsidRPr="00AD6C48">
        <w:t>velser (yrkande 1). I motionen b</w:t>
      </w:r>
      <w:r w:rsidRPr="00AD6C48">
        <w:t>e</w:t>
      </w:r>
      <w:r w:rsidRPr="00AD6C48">
        <w:t xml:space="preserve">gärs också ett tillkännagivande om att regeringen skyndsamt skall meddela riksdagen om den på grund av särskilda skäl inte kan följa ett riksdagsbeslut och noggrant redovisa skälen härför. Motionärerna anför den nyss redovisade andelsbytesfrågan som ett exempel på hur det enligt deras mening </w:t>
      </w:r>
      <w:r w:rsidRPr="00AD6C48">
        <w:rPr>
          <w:i/>
        </w:rPr>
        <w:t>inte</w:t>
      </w:r>
      <w:r w:rsidRPr="00AD6C48">
        <w:t xml:space="preserve"> bör gå till (yrkande 2).</w:t>
      </w:r>
    </w:p>
    <w:p w:rsidR="0045208F" w:rsidRPr="00AD6C48" w:rsidRDefault="0045208F">
      <w:pPr>
        <w:pStyle w:val="R2"/>
      </w:pPr>
      <w:bookmarkStart w:id="51" w:name="_Toc39387393"/>
      <w:r w:rsidRPr="00AD6C48">
        <w:t>Utskottets ställningstagande</w:t>
      </w:r>
      <w:bookmarkEnd w:id="51"/>
    </w:p>
    <w:p w:rsidR="0045208F" w:rsidRPr="00AD6C48" w:rsidRDefault="0045208F">
      <w:r w:rsidRPr="00AD6C48">
        <w:t xml:space="preserve">Vad först gäller frågan om </w:t>
      </w:r>
      <w:r w:rsidRPr="00AD6C48">
        <w:rPr>
          <w:i/>
        </w:rPr>
        <w:t xml:space="preserve">ökade levnadskostnader vid dubbel bosättning </w:t>
      </w:r>
      <w:r w:rsidRPr="00AD6C48">
        <w:t>har utskottet i sina yttranden till konstitutionsutskottet rörande regeringens mot</w:t>
      </w:r>
      <w:r w:rsidRPr="00AD6C48">
        <w:softHyphen/>
        <w:t>svarande redogörelser såväl 2001 som 2002 påpekat att beredningen av detta ärende dragit ut väl långt på tiden och förutsatt att regeringen skyndar på beredningen och redovisar resultat. Utskottet har nu erfarit att beredningen är inriktad på att överlämna en redovisning till riksdagen i anslutning till bu</w:t>
      </w:r>
      <w:r w:rsidRPr="00AD6C48">
        <w:t>d</w:t>
      </w:r>
      <w:r w:rsidRPr="00AD6C48">
        <w:t>getpropositionen för 2004. Utskottet låter sig härmed nöja men förutsätter a</w:t>
      </w:r>
      <w:r w:rsidRPr="00AD6C48">
        <w:t>tt det inte blir något ytterligare dröjsmål.</w:t>
      </w:r>
    </w:p>
    <w:p w:rsidR="0045208F" w:rsidRPr="00AD6C48" w:rsidRDefault="0045208F">
      <w:pPr>
        <w:pStyle w:val="Normaltindrag"/>
        <w:rPr>
          <w:snapToGrid w:val="0"/>
          <w:lang w:eastAsia="sv-SE"/>
        </w:rPr>
      </w:pPr>
      <w:r w:rsidRPr="00AD6C48">
        <w:t xml:space="preserve">Vad härefter gäller frågan om </w:t>
      </w:r>
      <w:r w:rsidRPr="00AD6C48">
        <w:rPr>
          <w:i/>
        </w:rPr>
        <w:t>de s.k. 3.12-reglerna och reglerna om a</w:t>
      </w:r>
      <w:r w:rsidRPr="00AD6C48">
        <w:rPr>
          <w:i/>
        </w:rPr>
        <w:t>n</w:t>
      </w:r>
      <w:r w:rsidRPr="00AD6C48">
        <w:rPr>
          <w:i/>
        </w:rPr>
        <w:t>delsbyten</w:t>
      </w:r>
      <w:r w:rsidRPr="00AD6C48">
        <w:t xml:space="preserve"> konstaterar utskottet att den berörda propositionen (prop. 2002:15) inkom till riksdagen först drygt två månader efter den tidpunkt riksdagen bestämt i sitt beslut den 16 maj 2002, vilket byggde på ett enhälligt betänka</w:t>
      </w:r>
      <w:r w:rsidRPr="00AD6C48">
        <w:t>n</w:t>
      </w:r>
      <w:r w:rsidRPr="00AD6C48">
        <w:t>de av skatteutskottet, vars formuleringar efter omsorgsfull prövning godkänts av alla sju partierna inom utskottet. Tillkännagivandet i betänkande 2001/02:SkU29 var tydligt och innebar att regeringen senast under augusti 2002 skulle återkomma</w:t>
      </w:r>
      <w:r w:rsidRPr="00AD6C48">
        <w:t xml:space="preserve"> till riksdagen med ett förslag till en retroaktivt ve</w:t>
      </w:r>
      <w:r w:rsidRPr="00AD6C48">
        <w:t>r</w:t>
      </w:r>
      <w:r w:rsidRPr="00AD6C48">
        <w:t>kande lagändring som eliminerade de effekter som uppstod i förlustsitua</w:t>
      </w:r>
      <w:r w:rsidRPr="00AD6C48">
        <w:softHyphen/>
        <w:t xml:space="preserve">tioner till följd av att ett tjänstebelopp skulle tas upp till beskattning av den som genom ett uppskovsgrundande andelsbyte hade avyttrat s.k. kvalificerade andelar i fåmansföretag. </w:t>
      </w:r>
      <w:r w:rsidRPr="00AD6C48">
        <w:rPr>
          <w:snapToGrid w:val="0"/>
          <w:lang w:eastAsia="sv-SE"/>
        </w:rPr>
        <w:t>Utskottets initiativ klargjorde att de som gjort a</w:t>
      </w:r>
      <w:r w:rsidRPr="00AD6C48">
        <w:rPr>
          <w:snapToGrid w:val="0"/>
          <w:lang w:eastAsia="sv-SE"/>
        </w:rPr>
        <w:t>n</w:t>
      </w:r>
      <w:r w:rsidRPr="00AD6C48">
        <w:rPr>
          <w:snapToGrid w:val="0"/>
          <w:lang w:eastAsia="sv-SE"/>
        </w:rPr>
        <w:t>delsbyten med kvalificerade andelar för vilka uppskov hade beviljats eller hade kunnat beviljas fr.o.m. att nya omstruktureringsregler infördes den 1 j</w:t>
      </w:r>
      <w:r w:rsidRPr="00AD6C48">
        <w:rPr>
          <w:snapToGrid w:val="0"/>
          <w:lang w:eastAsia="sv-SE"/>
        </w:rPr>
        <w:t>anuari 1999 inte skulle tjänstebeskattas till den del en vid andelsbyte mot</w:t>
      </w:r>
      <w:r w:rsidRPr="00AD6C48">
        <w:rPr>
          <w:snapToGrid w:val="0"/>
          <w:lang w:eastAsia="sv-SE"/>
        </w:rPr>
        <w:softHyphen/>
        <w:t>tagen andel avyttras med förlust, dvs. till ett värde understigande omkostnads</w:t>
      </w:r>
      <w:r w:rsidRPr="00AD6C48">
        <w:rPr>
          <w:snapToGrid w:val="0"/>
          <w:lang w:eastAsia="sv-SE"/>
        </w:rPr>
        <w:softHyphen/>
        <w:t>beloppet. Den innebörd regeringen läser ut av tillkännagivandet i den ovan berörda proposition 2002/03:15, som avlämnades i november 2002, är helt korrekt.</w:t>
      </w:r>
    </w:p>
    <w:p w:rsidR="0045208F" w:rsidRPr="00AD6C48" w:rsidRDefault="0045208F">
      <w:pPr>
        <w:pStyle w:val="Normaltindrag"/>
        <w:rPr>
          <w:b/>
          <w:snapToGrid w:val="0"/>
          <w:lang w:eastAsia="sv-SE"/>
        </w:rPr>
      </w:pPr>
      <w:r w:rsidRPr="00AD6C48">
        <w:rPr>
          <w:snapToGrid w:val="0"/>
          <w:lang w:eastAsia="sv-SE"/>
        </w:rPr>
        <w:t>Av betänkandet framgår vidare att utskottets förslag anknöt direkt till ett analysarbete som pågick i Finansdepartementet och som redan hade lett fram till en promemoria den 12 april 2002 om de s.k. 3:</w:t>
      </w:r>
      <w:r w:rsidRPr="00AD6C48">
        <w:rPr>
          <w:snapToGrid w:val="0"/>
          <w:lang w:eastAsia="sv-SE"/>
        </w:rPr>
        <w:t>12-reglerna och reglerna om andelsbyten. I promemorian hade redovisats fyra olika tänkbara modeller som skulle kunna läggas till grund för en ändring av regelsystemet för att komma till rätta med det förhållandet att en fåmansföretagare som avyttrat kvalificerade andelar skulle ta upp i princip hälften av ett uppskovsbelopp från ett tidigare andelsbyte som en tjänsteinkomst utan möjlighet att kunna kvitta en förlust som uppkommit genom en värdenedgång på de mottagna andelarna mot tjänsteinkomsten. I promemo</w:t>
      </w:r>
      <w:r w:rsidRPr="00AD6C48">
        <w:rPr>
          <w:snapToGrid w:val="0"/>
          <w:lang w:eastAsia="sv-SE"/>
        </w:rPr>
        <w:t>rian tillhandahölls inte någon teknisk lösning för en retroaktiv tillämpning och den offentligrättsliga kost</w:t>
      </w:r>
      <w:r w:rsidRPr="00AD6C48">
        <w:rPr>
          <w:snapToGrid w:val="0"/>
          <w:lang w:eastAsia="sv-SE"/>
        </w:rPr>
        <w:softHyphen/>
        <w:t>naden vid en retroaktivt verkande ändring angavs bli beroende av hur olika gränsdragningsproblem hanterades. Av promemorian framgick att tjänste</w:t>
      </w:r>
      <w:r w:rsidRPr="00AD6C48">
        <w:rPr>
          <w:snapToGrid w:val="0"/>
          <w:lang w:eastAsia="sv-SE"/>
        </w:rPr>
        <w:softHyphen/>
        <w:t>delen i uppskovsbeloppen från åren 1999 och 2000 uppgick till sammanlagt ca 979 miljoner kronor. Utskottet lämnade i sitt betänkande öppet hur frågan skulle lösas rent tekniskt och hur finansieringen av det kommande förslaget skulle ske. Utskottets betänkand</w:t>
      </w:r>
      <w:r w:rsidRPr="00AD6C48">
        <w:rPr>
          <w:snapToGrid w:val="0"/>
          <w:lang w:eastAsia="sv-SE"/>
        </w:rPr>
        <w:t>e innehåller således ingen kostnadsberäkning, men på grundval av de nyss redovisade beloppsuppgifterna i Finansdeparte</w:t>
      </w:r>
      <w:r w:rsidRPr="00AD6C48">
        <w:rPr>
          <w:snapToGrid w:val="0"/>
          <w:lang w:eastAsia="sv-SE"/>
        </w:rPr>
        <w:softHyphen/>
        <w:t>mentets promemoria, som utskottet hade tillgång till, måste det antas att b</w:t>
      </w:r>
      <w:r w:rsidRPr="00AD6C48">
        <w:rPr>
          <w:snapToGrid w:val="0"/>
          <w:lang w:eastAsia="sv-SE"/>
        </w:rPr>
        <w:t>e</w:t>
      </w:r>
      <w:r w:rsidRPr="00AD6C48">
        <w:rPr>
          <w:snapToGrid w:val="0"/>
          <w:lang w:eastAsia="sv-SE"/>
        </w:rPr>
        <w:t>räkningen höll sig kring några hundra miljoner kronor.</w:t>
      </w:r>
    </w:p>
    <w:p w:rsidR="0045208F" w:rsidRPr="00AD6C48" w:rsidRDefault="0045208F">
      <w:pPr>
        <w:pStyle w:val="Normaltindrag"/>
      </w:pPr>
      <w:r w:rsidRPr="00AD6C48">
        <w:t>Som framgår av betänkandet hade utskottet tagit vissa underhandskontak</w:t>
      </w:r>
      <w:r w:rsidRPr="00AD6C48">
        <w:softHyphen/>
        <w:t>ter för att kontrollera att en begäran av riksdagen om en proposition senast under augusti 2002 var realistisk. Bland annat hade utskottet under hand erfarit att en lagrådsgranskning skulle kunna påbörjas under senare hälften av augusti. Vidare kunde konstateras att det grundläggande analys- och kartlägg</w:t>
      </w:r>
      <w:r w:rsidRPr="00AD6C48">
        <w:softHyphen/>
        <w:t>ningsarbetet redan hade gjorts och fanns redovisat i Finansdepartementets ovannämnda promemoria, som även innehöll nödvändigt statistiskt underlag. Remissbehandlingen av den promemorian skulle vara avsluta</w:t>
      </w:r>
      <w:r w:rsidRPr="00AD6C48">
        <w:t>d den 15 juni 2002.</w:t>
      </w:r>
    </w:p>
    <w:p w:rsidR="0045208F" w:rsidRPr="00AD6C48" w:rsidRDefault="0045208F">
      <w:pPr>
        <w:pStyle w:val="Normaltindrag"/>
      </w:pPr>
      <w:r w:rsidRPr="00AD6C48">
        <w:t>När utskottet föreslår ett tillkännagivande om att regeringen skall företa en åtgärd anger utskottet normalt inte någon viss precis tidpunkt eller något visst datum för när åtgärden skall vara genomförd, eftersom svårigheterna i sam</w:t>
      </w:r>
      <w:r w:rsidRPr="00AD6C48">
        <w:softHyphen/>
        <w:t>band med genomförandet ofta inte låter sig överblicka i förväg. Som angivits ovan var förhållandena i detta ärende dock speciella och det hade varit värde</w:t>
      </w:r>
      <w:r w:rsidRPr="00AD6C48">
        <w:softHyphen/>
        <w:t>fullt om regeringen, när en proposition under augusti månad uteblev, hade lämnat besked åtminstone i budgetpropositionen för 2003 om hur regeringen avsåg att hantera frågan. Utskottet kan ha förståelse för att just detta lagstift</w:t>
      </w:r>
      <w:r w:rsidRPr="00AD6C48">
        <w:softHyphen/>
        <w:t>ningsprojekt visade sig vara osedvanligt komplicerat, både rättsligt, tekniskt och kostnadsberäkningsmässigt, men frånvaron av</w:t>
      </w:r>
      <w:r w:rsidRPr="00AD6C48">
        <w:t xml:space="preserve"> besked i budgetproposi</w:t>
      </w:r>
      <w:r w:rsidRPr="00AD6C48">
        <w:softHyphen/>
        <w:t>tionen – medan andra planerade lagstiftningsprojekt på skatteområdet på sedvanligt sätt redovisades – skapade, i kombination med en del andra utspel i medierna av finansministern och statssekreteraren i Finansdepartementet om den aktuella frågan, under någon tid osäkerhet om regeringens avsikter, inte bara i riksdagen utan även ute i landet och i synnerhet bland de berörda skatt</w:t>
      </w:r>
      <w:r w:rsidRPr="00AD6C48">
        <w:softHyphen/>
        <w:t>skyl</w:t>
      </w:r>
      <w:r w:rsidRPr="00AD6C48">
        <w:softHyphen/>
        <w:t>diga. Detta i sin tur ledde bl.a. till att enskilda riksdagsledamöter i såväl finansutskottet som ska</w:t>
      </w:r>
      <w:r w:rsidRPr="00AD6C48">
        <w:t>tteutskottet aviserade förslag om initiativ på detta område, eftersom osäkerhet förelåg om regeringen skulle lägga en proposition eller ej. En sådan osäkerhet hade enligt utskottets mening kunnat undvikas om regeringen hade lagt fram, om än inte en exakt kostnadsberäkning, så åtmin</w:t>
      </w:r>
      <w:r w:rsidRPr="00AD6C48">
        <w:softHyphen/>
        <w:t>stone en avsiktsförklaring i budgetpropositionen, som enligt de budgetprinci</w:t>
      </w:r>
      <w:r w:rsidRPr="00AD6C48">
        <w:softHyphen/>
        <w:t>per som gäller skall vara fullständig även i fråga om uppgifter om planerad skattelagstiftning.</w:t>
      </w:r>
    </w:p>
    <w:p w:rsidR="0045208F" w:rsidRPr="00AD6C48" w:rsidRDefault="0045208F">
      <w:pPr>
        <w:pStyle w:val="Normaltindrag"/>
      </w:pPr>
      <w:r w:rsidRPr="00AD6C48">
        <w:t>Avslutningsvis noterar utskottet att proposition 2002/03</w:t>
      </w:r>
      <w:r w:rsidRPr="00AD6C48">
        <w:t>:15, som inkom till riksdagen i november 2002, motsvarade riksdagens önskemål om ny lagstift</w:t>
      </w:r>
      <w:r w:rsidRPr="00AD6C48">
        <w:softHyphen/>
        <w:t>ning på det aktuella området. Lagstiftningsärendet kunde därefter behandlas i riksdagen på normalt sätt under hösten 2002, och de nya lagbestämmelserna sättas i kraft den 1 januari 2003. Dröjsmålet med propositionens avlämnande kom därigenom att inte fördröja ikraftträdandet.</w:t>
      </w:r>
    </w:p>
    <w:p w:rsidR="0045208F" w:rsidRPr="00AD6C48" w:rsidRDefault="0045208F">
      <w:r w:rsidRPr="00AD6C48">
        <w:t>Med det anförda anser sig utskottet ha besvarat motion K7 yrkande 2 såvitt yrkandet berör skatteutskottets område. Regeringens skrivelse i övr</w:t>
      </w:r>
      <w:r w:rsidRPr="00AD6C48">
        <w:t>igt och övriga motionsyrkanden i ärendet föranleder ingen vidare kommentar av skatteutskottet.</w:t>
      </w:r>
    </w:p>
    <w:p w:rsidR="0045208F" w:rsidRPr="00AD6C48" w:rsidRDefault="0045208F"/>
    <w:p w:rsidR="0045208F" w:rsidRPr="00AD6C48" w:rsidRDefault="0045208F">
      <w:pPr>
        <w:pStyle w:val="Utskriftsdatum"/>
      </w:pPr>
      <w:r w:rsidRPr="00AD6C48">
        <w:t>Stockholm den 29 april 2003</w:t>
      </w:r>
    </w:p>
    <w:p w:rsidR="0045208F" w:rsidRPr="00AD6C48" w:rsidRDefault="0045208F">
      <w:r w:rsidRPr="00AD6C48">
        <w:t>På skatteutskottets vägnar</w:t>
      </w:r>
    </w:p>
    <w:p w:rsidR="0045208F" w:rsidRPr="00AD6C48" w:rsidRDefault="0045208F">
      <w:pPr>
        <w:pStyle w:val="Ordfranden"/>
        <w:rPr>
          <w:noProof w:val="0"/>
        </w:rPr>
      </w:pPr>
      <w:r w:rsidRPr="00AD6C48">
        <w:rPr>
          <w:noProof w:val="0"/>
        </w:rPr>
        <w:t xml:space="preserve">Arne Kjörnsberg </w:t>
      </w:r>
    </w:p>
    <w:p w:rsidR="0045208F" w:rsidRPr="00AD6C48" w:rsidRDefault="0045208F">
      <w:pPr>
        <w:pStyle w:val="Deltagare"/>
        <w:rPr>
          <w:noProof w:val="0"/>
        </w:rPr>
      </w:pPr>
      <w:r w:rsidRPr="00AD6C48">
        <w:rPr>
          <w:noProof w:val="0"/>
        </w:rPr>
        <w:t>Följande ledamöter har deltagit i beslutet: Arne Kjörnsberg (s), Anna Grönlund (fp), Lennart Hedquist (m), Ulla Wester (s), Marie Engström (v), Per-Olof Svensson (s), Anne-Marie Pålsson (m), Lennart Axelsson (s), Gunnar Andrén (fp), Inger Nordlander (s), Ulf Sjösten (m), Catharina Bråkenhielm (s), Fredrik Olovsson (s), Lars Gustafsson (kd), Britta Rådström (s) och Marianne Samuelsson (mp).</w:t>
      </w:r>
    </w:p>
    <w:p w:rsidR="0045208F" w:rsidRPr="00AD6C48" w:rsidRDefault="0045208F"/>
    <w:p w:rsidR="0045208F" w:rsidRPr="00AD6C48" w:rsidRDefault="0045208F"/>
    <w:p w:rsidR="0045208F" w:rsidRPr="00AD6C48" w:rsidRDefault="0045208F"/>
    <w:p w:rsidR="0045208F" w:rsidRPr="00AD6C48" w:rsidRDefault="0045208F">
      <w:pPr>
        <w:sectPr w:rsidR="00000000" w:rsidRPr="00AD6C4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7" w:left="1304" w:header="340" w:footer="227" w:gutter="0"/>
          <w:cols w:space="720"/>
          <w:titlePg/>
        </w:sectPr>
      </w:pPr>
    </w:p>
    <w:p w:rsidR="0045208F" w:rsidRPr="00AD6C48" w:rsidRDefault="0045208F">
      <w:pPr>
        <w:pStyle w:val="Bilaga"/>
      </w:pPr>
      <w:r w:rsidRPr="00AD6C48">
        <w:t>Bilaga 4</w:t>
      </w:r>
    </w:p>
    <w:p w:rsidR="0045208F" w:rsidRPr="00AD6C48" w:rsidRDefault="0045208F">
      <w:pPr>
        <w:pStyle w:val="Rubrik1"/>
        <w:rPr>
          <w:noProof w:val="0"/>
        </w:rPr>
      </w:pPr>
      <w:bookmarkStart w:id="52" w:name="_Toc41451046"/>
      <w:r w:rsidRPr="00AD6C48">
        <w:rPr>
          <w:noProof w:val="0"/>
        </w:rPr>
        <w:t>Protokollsutdrag från Justitieutskottet</w:t>
      </w:r>
      <w:bookmarkEnd w:id="52"/>
    </w:p>
    <w:p w:rsidR="0045208F" w:rsidRPr="00AD6C48" w:rsidRDefault="0045208F">
      <w:r w:rsidRPr="00AD6C48">
        <w:br w:type="page"/>
      </w:r>
      <w:r w:rsidRPr="00AD6C48">
        <w:br w:type="page"/>
      </w:r>
      <w:r w:rsidRPr="00AD6C48">
        <w:br w:type="page"/>
      </w:r>
      <w:r w:rsidRPr="00AD6C48">
        <w:br w:type="page"/>
      </w:r>
      <w:r w:rsidRPr="00AD6C48">
        <w:br w:type="page"/>
      </w:r>
      <w:r w:rsidRPr="00AD6C48">
        <w:br w:type="page"/>
      </w:r>
      <w:r w:rsidRPr="00AD6C48">
        <w:br w:type="page"/>
      </w:r>
      <w:r w:rsidRPr="00AD6C48">
        <w:br w:type="page"/>
      </w:r>
      <w:r w:rsidRPr="00AD6C48">
        <w:br w:type="page"/>
      </w:r>
      <w:r w:rsidRPr="00AD6C48">
        <w:br w:type="page"/>
      </w:r>
      <w:r w:rsidRPr="00AD6C48">
        <w:br w:type="page"/>
      </w:r>
    </w:p>
    <w:p w:rsidR="0045208F" w:rsidRPr="00AD6C48" w:rsidRDefault="0045208F"/>
    <w:p w:rsidR="0045208F" w:rsidRPr="00AD6C48" w:rsidRDefault="0045208F"/>
    <w:p w:rsidR="0045208F" w:rsidRPr="00AD6C48" w:rsidRDefault="0045208F">
      <w:pPr>
        <w:sectPr w:rsidR="00000000" w:rsidRPr="00AD6C4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7" w:left="1304" w:header="340" w:footer="227" w:gutter="0"/>
          <w:cols w:space="720"/>
          <w:titlePg/>
        </w:sectPr>
      </w:pPr>
    </w:p>
    <w:p w:rsidR="0045208F" w:rsidRPr="00AD6C48" w:rsidRDefault="0045208F">
      <w:pPr>
        <w:pStyle w:val="Bilaga"/>
      </w:pPr>
      <w:r w:rsidRPr="00AD6C48">
        <w:t>Bilaga 5</w:t>
      </w:r>
    </w:p>
    <w:p w:rsidR="0045208F" w:rsidRPr="00AD6C48" w:rsidRDefault="0045208F">
      <w:pPr>
        <w:pStyle w:val="Rubrik1"/>
        <w:rPr>
          <w:noProof w:val="0"/>
        </w:rPr>
      </w:pPr>
      <w:bookmarkStart w:id="53" w:name="_Toc41451047"/>
      <w:r w:rsidRPr="00AD6C48">
        <w:rPr>
          <w:noProof w:val="0"/>
        </w:rPr>
        <w:t>Protokollsutdrag från Lagutskottet</w:t>
      </w:r>
      <w:bookmarkEnd w:id="53"/>
    </w:p>
    <w:p w:rsidR="0045208F" w:rsidRPr="00AD6C48" w:rsidRDefault="0045208F"/>
    <w:p w:rsidR="0045208F" w:rsidRPr="00AD6C48" w:rsidRDefault="0045208F">
      <w:pPr>
        <w:pStyle w:val="Normaltindrag"/>
        <w:sectPr w:rsidR="00000000" w:rsidRPr="00AD6C4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45208F" w:rsidRPr="00AD6C48" w:rsidRDefault="0045208F">
      <w:pPr>
        <w:pStyle w:val="Bilaga"/>
      </w:pPr>
      <w:r w:rsidRPr="00AD6C48">
        <w:t>Bilaga 6</w:t>
      </w:r>
    </w:p>
    <w:p w:rsidR="0045208F" w:rsidRPr="00AD6C48" w:rsidRDefault="0045208F">
      <w:pPr>
        <w:pStyle w:val="Rubrik1"/>
        <w:rPr>
          <w:noProof w:val="0"/>
        </w:rPr>
      </w:pPr>
      <w:bookmarkStart w:id="54" w:name="_Toc41451048"/>
      <w:r w:rsidRPr="00AD6C48">
        <w:rPr>
          <w:noProof w:val="0"/>
        </w:rPr>
        <w:t>Protkollsutdrag från Utrikesutskottet</w:t>
      </w:r>
      <w:bookmarkEnd w:id="54"/>
    </w:p>
    <w:p w:rsidR="0045208F" w:rsidRPr="00AD6C48" w:rsidRDefault="0045208F"/>
    <w:p w:rsidR="0045208F" w:rsidRPr="00AD6C48" w:rsidRDefault="0045208F">
      <w:pPr>
        <w:sectPr w:rsidR="00000000" w:rsidRPr="00AD6C48">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7" w:left="1304" w:header="340" w:footer="227" w:gutter="0"/>
          <w:cols w:space="720"/>
          <w:titlePg/>
        </w:sectPr>
      </w:pPr>
    </w:p>
    <w:p w:rsidR="0045208F" w:rsidRPr="00AD6C48" w:rsidRDefault="0045208F">
      <w:pPr>
        <w:pStyle w:val="Bilaga"/>
      </w:pPr>
      <w:r w:rsidRPr="00AD6C48">
        <w:t>Bilaga 7</w:t>
      </w:r>
    </w:p>
    <w:p w:rsidR="0045208F" w:rsidRPr="00AD6C48" w:rsidRDefault="0045208F">
      <w:pPr>
        <w:pStyle w:val="Rubrik1"/>
        <w:rPr>
          <w:noProof w:val="0"/>
        </w:rPr>
      </w:pPr>
      <w:bookmarkStart w:id="55" w:name="_Toc41451049"/>
      <w:r w:rsidRPr="00AD6C48">
        <w:rPr>
          <w:noProof w:val="0"/>
        </w:rPr>
        <w:t>Protokollsutdrag från Försvarsutskottet</w:t>
      </w:r>
      <w:bookmarkEnd w:id="55"/>
    </w:p>
    <w:p w:rsidR="0045208F" w:rsidRPr="00AD6C48" w:rsidRDefault="0045208F"/>
    <w:p w:rsidR="0045208F" w:rsidRPr="00AD6C48" w:rsidRDefault="0045208F">
      <w:pPr>
        <w:pStyle w:val="Normaltindrag"/>
        <w:sectPr w:rsidR="00000000" w:rsidRPr="00AD6C48">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45208F" w:rsidRPr="00AD6C48" w:rsidRDefault="0045208F">
      <w:pPr>
        <w:pStyle w:val="Bilaga"/>
      </w:pPr>
      <w:r w:rsidRPr="00AD6C48">
        <w:t>Bilaga 8</w:t>
      </w:r>
    </w:p>
    <w:p w:rsidR="0045208F" w:rsidRPr="00AD6C48" w:rsidRDefault="0045208F">
      <w:pPr>
        <w:pStyle w:val="Rubrik1"/>
        <w:rPr>
          <w:noProof w:val="0"/>
        </w:rPr>
      </w:pPr>
      <w:bookmarkStart w:id="56" w:name="_Toc41451050"/>
      <w:r w:rsidRPr="00AD6C48">
        <w:rPr>
          <w:noProof w:val="0"/>
        </w:rPr>
        <w:t>Socialförsäkringsutskottets yttrande 2002/03:SfU2y</w:t>
      </w:r>
      <w:bookmarkEnd w:id="56"/>
    </w:p>
    <w:p w:rsidR="0045208F" w:rsidRPr="00AD6C48" w:rsidRDefault="0045208F">
      <w:pPr>
        <w:pStyle w:val="R1"/>
        <w:spacing w:after="250"/>
      </w:pPr>
      <w:r w:rsidRPr="00AD6C48">
        <w:t>Till konstitutionsutskottet</w:t>
      </w:r>
    </w:p>
    <w:p w:rsidR="0045208F" w:rsidRPr="00AD6C48" w:rsidRDefault="0045208F">
      <w:r w:rsidRPr="00AD6C48">
        <w:t>Konstitutionsutskottet har den 20 mars 2003 anmodat övriga utskott att yttra sig över regeringens skrivelse 2002/03:75 Redogörelse för behandlingen av riksdagens skrivelser till regeringen jämte eventuella motioner. Två motioner har väckts med anledning av skrivelsen, K6 av Gunnar Hökmark m.fl. (m) och K7 av Helena Bargholtz m.fl. (fp).</w:t>
      </w:r>
    </w:p>
    <w:p w:rsidR="0045208F" w:rsidRPr="00AD6C48" w:rsidRDefault="0045208F">
      <w:r w:rsidRPr="00AD6C48">
        <w:t xml:space="preserve">Socialförsäkringsutskottet avger följande yttrande. </w:t>
      </w:r>
    </w:p>
    <w:p w:rsidR="0045208F" w:rsidRPr="00AD6C48" w:rsidRDefault="0045208F">
      <w:pPr>
        <w:pStyle w:val="Normaltindrag"/>
      </w:pPr>
      <w:r w:rsidRPr="00AD6C48">
        <w:t>Regeringens redogörelse avser åtgärder vidtagna den 1 januari–den 31 d</w:t>
      </w:r>
      <w:r w:rsidRPr="00AD6C48">
        <w:t>e</w:t>
      </w:r>
      <w:r w:rsidRPr="00AD6C48">
        <w:t>cember 2002, men även vissa regeringsbeslut därefter omfattas. I skrivelsen redovisas behandlingen av 25 riksdagsskrivelser i ärenden som grundar sig på betänkanden från socialförsäkringsutskottet. Flertalet av dessa riksdagsskr</w:t>
      </w:r>
      <w:r w:rsidRPr="00AD6C48">
        <w:t>i</w:t>
      </w:r>
      <w:r w:rsidRPr="00AD6C48">
        <w:t>velser är utfärdade föregående och innevarande riksmöte medan fem skrive</w:t>
      </w:r>
      <w:r w:rsidRPr="00AD6C48">
        <w:t>l</w:t>
      </w:r>
      <w:r w:rsidRPr="00AD6C48">
        <w:t>ser avser tidigare riksmöten. Av samtliga dessa ärenden redovisas tio rik</w:t>
      </w:r>
      <w:r w:rsidRPr="00AD6C48">
        <w:t>s</w:t>
      </w:r>
      <w:r w:rsidRPr="00AD6C48">
        <w:t>dagsskrivelser som inte slutbehandlade medan övriga anges som slutbehan</w:t>
      </w:r>
      <w:r w:rsidRPr="00AD6C48">
        <w:t>d</w:t>
      </w:r>
      <w:r w:rsidRPr="00AD6C48">
        <w:t>lade under per</w:t>
      </w:r>
      <w:r w:rsidRPr="00AD6C48">
        <w:t>i</w:t>
      </w:r>
      <w:r w:rsidRPr="00AD6C48">
        <w:t xml:space="preserve">oden. </w:t>
      </w:r>
    </w:p>
    <w:p w:rsidR="0045208F" w:rsidRPr="00AD6C48" w:rsidRDefault="0045208F">
      <w:pPr>
        <w:pStyle w:val="Normaltindrag"/>
      </w:pPr>
      <w:r w:rsidRPr="00AD6C48">
        <w:t>Redogörelsen föranleder följande kommenta</w:t>
      </w:r>
      <w:r w:rsidRPr="00AD6C48">
        <w:t>rer beträffande några av de icke slutb</w:t>
      </w:r>
      <w:r w:rsidRPr="00AD6C48">
        <w:t>e</w:t>
      </w:r>
      <w:r w:rsidRPr="00AD6C48">
        <w:t>handlade ärendena.</w:t>
      </w:r>
    </w:p>
    <w:p w:rsidR="0045208F" w:rsidRPr="00AD6C48" w:rsidRDefault="0045208F">
      <w:r w:rsidRPr="00AD6C48">
        <w:rPr>
          <w:i/>
        </w:rPr>
        <w:t>Rskr. 1990/91:372 (Socialdepartementet), mom. 6 om arbetstagarbegreppet:</w:t>
      </w:r>
      <w:r w:rsidRPr="00AD6C48">
        <w:t xml:space="preserve"> Ärendet, som är det äldsta ärende som rör socialförsäkringsutskottet, har kommenterats av utskottet i yttrande till konstitutionsutskottet hösten 2000 (yttr. 2000/01:SfU3y). Utskottet noterar att regeringen i årets ekonomiska vårproposition (prop. 2002/03:100 s. 180) redovisar sitt ställningstagande i ärendet. Ärendet kan således nästa gång redovisas som slutb</w:t>
      </w:r>
      <w:r w:rsidRPr="00AD6C48">
        <w:t>e</w:t>
      </w:r>
      <w:r w:rsidRPr="00AD6C48">
        <w:t>handlat.</w:t>
      </w:r>
    </w:p>
    <w:p w:rsidR="0045208F" w:rsidRPr="00AD6C48" w:rsidRDefault="0045208F">
      <w:r w:rsidRPr="00AD6C48">
        <w:rPr>
          <w:i/>
        </w:rPr>
        <w:t>Rskr. 2000/01:210 (Socialdepartementet), mom. 1 om automatisk balans</w:t>
      </w:r>
      <w:r w:rsidRPr="00AD6C48">
        <w:rPr>
          <w:i/>
        </w:rPr>
        <w:t>e</w:t>
      </w:r>
      <w:r w:rsidRPr="00AD6C48">
        <w:rPr>
          <w:i/>
        </w:rPr>
        <w:t>ring:</w:t>
      </w:r>
      <w:r w:rsidRPr="00AD6C48">
        <w:t xml:space="preserve"> Utskottet noterar att regeringen i proposition 2002/03:61 Vissa socia</w:t>
      </w:r>
      <w:r w:rsidRPr="00AD6C48">
        <w:t>l</w:t>
      </w:r>
      <w:r w:rsidRPr="00AD6C48">
        <w:t>försäkringsfrågor har lagt fram förslag med anledning av riksdagens beslut och att ärendet således nästa gång kan redovisas som slu</w:t>
      </w:r>
      <w:r w:rsidRPr="00AD6C48">
        <w:t>t</w:t>
      </w:r>
      <w:r w:rsidRPr="00AD6C48">
        <w:t xml:space="preserve">behandlat. </w:t>
      </w:r>
    </w:p>
    <w:p w:rsidR="0045208F" w:rsidRPr="00AD6C48" w:rsidRDefault="0045208F">
      <w:pPr>
        <w:pStyle w:val="Ordfranden"/>
        <w:keepNext w:val="0"/>
        <w:spacing w:before="62"/>
        <w:rPr>
          <w:i w:val="0"/>
          <w:noProof w:val="0"/>
        </w:rPr>
      </w:pPr>
      <w:r w:rsidRPr="00AD6C48">
        <w:rPr>
          <w:noProof w:val="0"/>
        </w:rPr>
        <w:t>Rskr. 2001/02:70 (Utrikesdepartementet), mom. 12 om instans- och proces</w:t>
      </w:r>
      <w:r w:rsidRPr="00AD6C48">
        <w:rPr>
          <w:noProof w:val="0"/>
        </w:rPr>
        <w:t>s</w:t>
      </w:r>
      <w:r w:rsidRPr="00AD6C48">
        <w:rPr>
          <w:noProof w:val="0"/>
        </w:rPr>
        <w:t>ordning i utlänningsärenden</w:t>
      </w:r>
      <w:r w:rsidRPr="00AD6C48">
        <w:rPr>
          <w:i w:val="0"/>
          <w:noProof w:val="0"/>
        </w:rPr>
        <w:t xml:space="preserve">: </w:t>
      </w:r>
      <w:r w:rsidRPr="00AD6C48">
        <w:rPr>
          <w:i w:val="0"/>
          <w:noProof w:val="0"/>
        </w:rPr>
        <w:t>Utskottet redogjorde för detta ärende i motsvarande yttrande till konstitutionsutskottet under förra riksmötet (yttr. 2001/02:SfU6y).</w:t>
      </w:r>
      <w:r w:rsidRPr="00AD6C48">
        <w:rPr>
          <w:noProof w:val="0"/>
        </w:rPr>
        <w:t xml:space="preserve"> </w:t>
      </w:r>
      <w:r w:rsidRPr="00AD6C48">
        <w:rPr>
          <w:i w:val="0"/>
          <w:noProof w:val="0"/>
        </w:rPr>
        <w:t>I skrivelsen anges att regeringen den 6 juni 2002 beslutat om en lagrådsremiss om ny instans- och processordning i utlännings- och medborgarskapsärenden samt att Lagrådet i yttrande den 9 oktober 2002 avstyrkte regeringens förslag. Beredningen av frågan fortsätter inom Regeringskansliet.</w:t>
      </w:r>
    </w:p>
    <w:p w:rsidR="0045208F" w:rsidRPr="00AD6C48" w:rsidRDefault="0045208F">
      <w:pPr>
        <w:pStyle w:val="Normaltindrag"/>
      </w:pPr>
      <w:r w:rsidRPr="00AD6C48">
        <w:t xml:space="preserve">Utskottet vill tillägga att regeringen den 6 mars 2003 har </w:t>
      </w:r>
      <w:r w:rsidRPr="00AD6C48">
        <w:t>beslutat direktiv till en översyn av utlänningslagstiftningen (dir. 2003:28). En parlamentarisk kommitté skall med utgångspunkt i nämnda lagrådsremiss och Lagrådets yttrande lämna förslag i angivna avseenden. Uppdraget skall redovisas senast den 15 dece</w:t>
      </w:r>
      <w:r w:rsidRPr="00AD6C48">
        <w:t>m</w:t>
      </w:r>
      <w:r w:rsidRPr="00AD6C48">
        <w:t xml:space="preserve">ber 2003. </w:t>
      </w:r>
    </w:p>
    <w:p w:rsidR="0045208F" w:rsidRPr="00AD6C48" w:rsidRDefault="0045208F">
      <w:pPr>
        <w:pStyle w:val="Normaltindrag"/>
      </w:pPr>
      <w:r w:rsidRPr="00AD6C48">
        <w:t>Utskottet, som utgår från att kommittén redovisar sitt uppdrag inom den angivna tiden, finner med hänsyn till det ovan anförda att det inte finns anle</w:t>
      </w:r>
      <w:r w:rsidRPr="00AD6C48">
        <w:t>d</w:t>
      </w:r>
      <w:r w:rsidRPr="00AD6C48">
        <w:t xml:space="preserve">ning för konstitutionsutskottet att göra något påpekande i ärendet. </w:t>
      </w:r>
    </w:p>
    <w:p w:rsidR="0045208F" w:rsidRPr="00AD6C48" w:rsidRDefault="0045208F">
      <w:r w:rsidRPr="00AD6C48">
        <w:rPr>
          <w:i/>
        </w:rPr>
        <w:t>Rskr. 2001/02:84 (Socialdepartementet), mom. 12 om samverkan och finans</w:t>
      </w:r>
      <w:r w:rsidRPr="00AD6C48">
        <w:rPr>
          <w:i/>
        </w:rPr>
        <w:t>i</w:t>
      </w:r>
      <w:r w:rsidRPr="00AD6C48">
        <w:rPr>
          <w:i/>
        </w:rPr>
        <w:t>ell samordning</w:t>
      </w:r>
      <w:r w:rsidRPr="00AD6C48">
        <w:t>: Utskottet redogjorde för detta ärende i motsvarande yttrande till konstitutionsutskottet under förra riksmötet (yttr. 2001/02:SfU6y). Häre</w:t>
      </w:r>
      <w:r w:rsidRPr="00AD6C48">
        <w:t>f</w:t>
      </w:r>
      <w:r w:rsidRPr="00AD6C48">
        <w:t>ter har riksdagen på förslag av regeringen fattat vissa beslut som gäller fina</w:t>
      </w:r>
      <w:r w:rsidRPr="00AD6C48">
        <w:t>n</w:t>
      </w:r>
      <w:r w:rsidRPr="00AD6C48">
        <w:t xml:space="preserve">siell samordning. I budgetpropositionen hösten 2002 föreslog regeringen att upp till 5 % av de beräknade utgifterna för sjukpenning skall få användas för samverkan inom rehabiliteringsområdet. I en särskild proposition samma höst lämnade regeringen förslag till lagändring som </w:t>
      </w:r>
      <w:r w:rsidRPr="00AD6C48">
        <w:t>innebär att försäkringskassan skall få utökade möjligheter att bidra med medel för samverkan inom rehab</w:t>
      </w:r>
      <w:r w:rsidRPr="00AD6C48">
        <w:t>i</w:t>
      </w:r>
      <w:r w:rsidRPr="00AD6C48">
        <w:t xml:space="preserve">literingsområdet och att de medel som kassan bidrar med får utgöra statens samlade andel i denna verksamhet. Lagändringen föreslogs träda i kraft den 1 januari 2003. Utskottet tillstyrkte regeringens förslag i betänkande 2002/03:SfU1, vilket också blev riksdagens beslut. </w:t>
      </w:r>
    </w:p>
    <w:p w:rsidR="0045208F" w:rsidRPr="00AD6C48" w:rsidRDefault="0045208F">
      <w:pPr>
        <w:pStyle w:val="Normaltindrag"/>
      </w:pPr>
      <w:r w:rsidRPr="00AD6C48">
        <w:t>I skrivelsen anges att en departementspromemoria, Finansiell samordning inom rehabiliteringsområdet (Ds 2003:2), har utarbetats inom Re</w:t>
      </w:r>
      <w:r w:rsidRPr="00AD6C48">
        <w:t>geringskan</w:t>
      </w:r>
      <w:r w:rsidRPr="00AD6C48">
        <w:t>s</w:t>
      </w:r>
      <w:r w:rsidRPr="00AD6C48">
        <w:t>liet och att regeringen avser att lämna en proposition till riksdagen under våren 2003.</w:t>
      </w:r>
    </w:p>
    <w:p w:rsidR="0045208F" w:rsidRPr="00AD6C48" w:rsidRDefault="0045208F">
      <w:pPr>
        <w:pStyle w:val="Normaltindrag"/>
      </w:pPr>
      <w:r w:rsidRPr="00AD6C48">
        <w:t>Utskottet vill tillägga att departementspromemorian har utarbetats av en arbetsgrupp bestående av tjänstemän från Socialdepartementet, Finansdepa</w:t>
      </w:r>
      <w:r w:rsidRPr="00AD6C48">
        <w:t>r</w:t>
      </w:r>
      <w:r w:rsidRPr="00AD6C48">
        <w:t>tementet, Näringsdepartementet och Justitiedepartementet, som haft uppdr</w:t>
      </w:r>
      <w:r w:rsidRPr="00AD6C48">
        <w:t>a</w:t>
      </w:r>
      <w:r w:rsidRPr="00AD6C48">
        <w:t>get att med anledning av riksdagens tillkännagivande (bet. 2001/02:SfU1, rskr. 2001/02:84) utarbeta ett förslag om finansiell samordning inom rehab</w:t>
      </w:r>
      <w:r w:rsidRPr="00AD6C48">
        <w:t>i</w:t>
      </w:r>
      <w:r w:rsidRPr="00AD6C48">
        <w:t>literingsområdet. Arbetsgruppen har i februari 2003 avslutat sitt arbete genom nämnda promemoria. Promemorian har remissbehandlats och inom Rege</w:t>
      </w:r>
      <w:r w:rsidRPr="00AD6C48">
        <w:t>r</w:t>
      </w:r>
      <w:r w:rsidRPr="00AD6C48">
        <w:t xml:space="preserve">ingskansliet utarbetas nu en lagrådsremiss. </w:t>
      </w:r>
    </w:p>
    <w:p w:rsidR="0045208F" w:rsidRPr="00AD6C48" w:rsidRDefault="0045208F">
      <w:pPr>
        <w:pStyle w:val="Normaltindrag"/>
      </w:pPr>
      <w:r w:rsidRPr="00AD6C48">
        <w:t>Med hänsyn härtill och till de åtgärder som redan vidtagits finns det inte anledning för konstitutio</w:t>
      </w:r>
      <w:r w:rsidRPr="00AD6C48">
        <w:t>nsutskottet att göra något påpekande i ärendet. Soc</w:t>
      </w:r>
      <w:r w:rsidRPr="00AD6C48">
        <w:t>i</w:t>
      </w:r>
      <w:r w:rsidRPr="00AD6C48">
        <w:t xml:space="preserve">alförsäkringsutskottet noterar i detta sammanhang att regeringens hantering av finansiell samordning är ett av de exempel som tas upp i motion K7 (fp). </w:t>
      </w:r>
    </w:p>
    <w:p w:rsidR="0045208F" w:rsidRPr="00AD6C48" w:rsidRDefault="0045208F">
      <w:r w:rsidRPr="00AD6C48">
        <w:rPr>
          <w:i/>
        </w:rPr>
        <w:t>Rskr. 2001/02:334 (Socialdepartementet), mom. 5 om samverkan och finans</w:t>
      </w:r>
      <w:r w:rsidRPr="00AD6C48">
        <w:rPr>
          <w:i/>
        </w:rPr>
        <w:t>i</w:t>
      </w:r>
      <w:r w:rsidRPr="00AD6C48">
        <w:rPr>
          <w:i/>
        </w:rPr>
        <w:t>ell samordning:</w:t>
      </w:r>
      <w:r w:rsidRPr="00AD6C48">
        <w:t xml:space="preserve"> Eftersom kammaren biföll reservation 4 avseende punkt 5 i utskottets förslag innebar riksdagsbeslutet att motionerna avslogs. Även i övrigt innebar riksdagens beslut endast avslag på behandlade motioner. N</w:t>
      </w:r>
      <w:r w:rsidRPr="00AD6C48">
        <w:t>å</w:t>
      </w:r>
      <w:r w:rsidRPr="00AD6C48">
        <w:t>gon riksdagsskrivelse skulle således inte ha tillställts regeringen, och ärendet kunde av regeringen ha angivits som slutb</w:t>
      </w:r>
      <w:r w:rsidRPr="00AD6C48">
        <w:t>e</w:t>
      </w:r>
      <w:r w:rsidRPr="00AD6C48">
        <w:t xml:space="preserve">handlat. </w:t>
      </w:r>
    </w:p>
    <w:p w:rsidR="0045208F" w:rsidRPr="00AD6C48" w:rsidRDefault="0045208F">
      <w:pPr>
        <w:pStyle w:val="Normaltindrag"/>
      </w:pPr>
    </w:p>
    <w:p w:rsidR="0045208F" w:rsidRPr="00AD6C48" w:rsidRDefault="0045208F">
      <w:pPr>
        <w:pStyle w:val="Utskriftsdatum"/>
        <w:outlineLvl w:val="0"/>
      </w:pPr>
      <w:r w:rsidRPr="00AD6C48">
        <w:t>Stockholm den 17 april 2003</w:t>
      </w:r>
    </w:p>
    <w:p w:rsidR="0045208F" w:rsidRPr="00AD6C48" w:rsidRDefault="0045208F">
      <w:r w:rsidRPr="00AD6C48">
        <w:t>På socialförsäkringsutskottets vägnar</w:t>
      </w:r>
    </w:p>
    <w:p w:rsidR="0045208F" w:rsidRPr="00AD6C48" w:rsidRDefault="0045208F">
      <w:pPr>
        <w:pStyle w:val="Ordfranden"/>
        <w:rPr>
          <w:noProof w:val="0"/>
        </w:rPr>
      </w:pPr>
      <w:r w:rsidRPr="00AD6C48">
        <w:rPr>
          <w:noProof w:val="0"/>
        </w:rPr>
        <w:t xml:space="preserve">Tomas Eneroth </w:t>
      </w:r>
    </w:p>
    <w:p w:rsidR="0045208F" w:rsidRPr="00AD6C48" w:rsidRDefault="0045208F">
      <w:pPr>
        <w:pStyle w:val="Deltagare"/>
        <w:rPr>
          <w:noProof w:val="0"/>
        </w:rPr>
      </w:pPr>
      <w:r w:rsidRPr="00AD6C48">
        <w:rPr>
          <w:noProof w:val="0"/>
        </w:rPr>
        <w:t>Följande ledamöter har deltagit i beslutet: Tomas Eneroth (s), Sven Brus (kd), Ronny Olander (s), Sten Tolgfors (m), Bo Könberg (fp), Anita Jönsson (s), Mona Berglund Nilsson (s), Mariann Ytterberg (s), Anita Sidén (m), Lennart Klockare (s), Linnéa Darell (fp), Birgitta Carlsson (c), Kerstin Kristiansson Karlstedt (s), Anna Lilliehöök (m), Göte Wahlström (s), Mona Jönsson (mp) och Rolf Olsson (v).</w:t>
      </w:r>
    </w:p>
    <w:p w:rsidR="0045208F" w:rsidRPr="00AD6C48" w:rsidRDefault="0045208F">
      <w:pPr>
        <w:pStyle w:val="Normaltindrag"/>
      </w:pPr>
    </w:p>
    <w:p w:rsidR="0045208F" w:rsidRPr="00AD6C48" w:rsidRDefault="0045208F">
      <w:pPr>
        <w:pStyle w:val="R1"/>
      </w:pPr>
      <w:r w:rsidRPr="00AD6C48">
        <w:br w:type="page"/>
      </w:r>
      <w:bookmarkStart w:id="57" w:name="_Toc37574947"/>
      <w:r w:rsidRPr="00AD6C48">
        <w:t>Avvikande mening</w:t>
      </w:r>
      <w:bookmarkEnd w:id="57"/>
    </w:p>
    <w:p w:rsidR="0045208F" w:rsidRPr="00AD6C48" w:rsidRDefault="0045208F">
      <w:pPr>
        <w:pStyle w:val="Deltagare"/>
        <w:spacing w:before="0"/>
        <w:rPr>
          <w:noProof w:val="0"/>
        </w:rPr>
      </w:pPr>
      <w:r w:rsidRPr="00AD6C48">
        <w:rPr>
          <w:noProof w:val="0"/>
        </w:rPr>
        <w:t>Sven Brus (kd), Sten Tolgfors (m), Bo Könberg (fp), Anita Sidén (m), Linnéa Darell (fp), Birgitta Carlsson (c) och Anna Lilliehöök (m) anser:</w:t>
      </w:r>
    </w:p>
    <w:p w:rsidR="0045208F" w:rsidRPr="00AD6C48" w:rsidRDefault="0045208F"/>
    <w:p w:rsidR="0045208F" w:rsidRPr="00AD6C48" w:rsidRDefault="0045208F">
      <w:r w:rsidRPr="00AD6C48">
        <w:rPr>
          <w:i/>
        </w:rPr>
        <w:t>Rskr. 1990/91:372 (Socialdepartementet), mom. 6 om arbetstagarb</w:t>
      </w:r>
      <w:r w:rsidRPr="00AD6C48">
        <w:rPr>
          <w:i/>
        </w:rPr>
        <w:t>e</w:t>
      </w:r>
      <w:r w:rsidRPr="00AD6C48">
        <w:rPr>
          <w:i/>
        </w:rPr>
        <w:t>greppet</w:t>
      </w:r>
    </w:p>
    <w:p w:rsidR="0045208F" w:rsidRPr="00AD6C48" w:rsidRDefault="0045208F">
      <w:r w:rsidRPr="00AD6C48">
        <w:t>I detta avsnitt borde utskottet ha tillagt följande:</w:t>
      </w:r>
    </w:p>
    <w:p w:rsidR="0045208F" w:rsidRPr="00AD6C48" w:rsidRDefault="0045208F">
      <w:r w:rsidRPr="00AD6C48">
        <w:t>Utskottet vill påpeka att en tidsutdräkt på tolv år för att återkomma till riksd</w:t>
      </w:r>
      <w:r w:rsidRPr="00AD6C48">
        <w:t>a</w:t>
      </w:r>
      <w:r w:rsidRPr="00AD6C48">
        <w:t>gen är oacceptabel och vill betona vikten av att regeringen återkommer på ett betydligt tidigare stadium till riksdagen, i skrivelse eller proposition, med redogörelse för beredningen eller, i det fall regeringen anser frågan slutb</w:t>
      </w:r>
      <w:r w:rsidRPr="00AD6C48">
        <w:t>e</w:t>
      </w:r>
      <w:r w:rsidRPr="00AD6C48">
        <w:t>handlad, med redovisning av sin syn på ärendet.</w:t>
      </w:r>
    </w:p>
    <w:p w:rsidR="0045208F" w:rsidRPr="00AD6C48" w:rsidRDefault="0045208F">
      <w:pPr>
        <w:pStyle w:val="Ordfranden"/>
        <w:keepNext w:val="0"/>
        <w:spacing w:before="62"/>
        <w:rPr>
          <w:noProof w:val="0"/>
        </w:rPr>
      </w:pPr>
      <w:r w:rsidRPr="00AD6C48">
        <w:rPr>
          <w:noProof w:val="0"/>
        </w:rPr>
        <w:t>Rskr. 2001/02:84 (Socialdepartementet), mom. 12 om samverkan och finans</w:t>
      </w:r>
      <w:r w:rsidRPr="00AD6C48">
        <w:rPr>
          <w:noProof w:val="0"/>
        </w:rPr>
        <w:t>i</w:t>
      </w:r>
      <w:r w:rsidRPr="00AD6C48">
        <w:rPr>
          <w:noProof w:val="0"/>
        </w:rPr>
        <w:t>ell samordning</w:t>
      </w:r>
    </w:p>
    <w:p w:rsidR="0045208F" w:rsidRPr="00AD6C48" w:rsidRDefault="0045208F">
      <w:r w:rsidRPr="00AD6C48">
        <w:t>I detta avsnitt borde utskottet i stället för tredje och fjärde styckena ha anfört följande:</w:t>
      </w:r>
    </w:p>
    <w:p w:rsidR="0045208F" w:rsidRPr="00AD6C48" w:rsidRDefault="0045208F">
      <w:r w:rsidRPr="00AD6C48">
        <w:t xml:space="preserve">Promemorian har remissbehandlats och inom Regeringskansliet utarbetas nu en lagrådsremiss. </w:t>
      </w:r>
    </w:p>
    <w:p w:rsidR="0045208F" w:rsidRPr="00AD6C48" w:rsidRDefault="0045208F">
      <w:pPr>
        <w:pStyle w:val="Normaltindrag"/>
      </w:pPr>
      <w:r w:rsidRPr="00AD6C48">
        <w:t>I yttrande i fjol till konstitutionsutskottet fann utskottet det mycket bekla</w:t>
      </w:r>
      <w:r w:rsidRPr="00AD6C48">
        <w:t>g</w:t>
      </w:r>
      <w:r w:rsidRPr="00AD6C48">
        <w:t>ligt att regeringen inte lämnat förslag under våren 2002 utan först avsåg lä</w:t>
      </w:r>
      <w:r w:rsidRPr="00AD6C48">
        <w:t>m</w:t>
      </w:r>
      <w:r w:rsidRPr="00AD6C48">
        <w:t xml:space="preserve">na förslag under hösten 2002. Utskottet ansåg att konstitutionsutskottet borde påpeka att regeringen två gånger i rad inte agerat i enlighet med riksdagens tillkännagivanden. </w:t>
      </w:r>
    </w:p>
    <w:p w:rsidR="0045208F" w:rsidRPr="00AD6C48" w:rsidRDefault="0045208F">
      <w:pPr>
        <w:pStyle w:val="Normaltindrag"/>
      </w:pPr>
      <w:r w:rsidRPr="00AD6C48">
        <w:t>Utskottet konstaterar att förslaget om finansiell samordning nu ytterligare skjutits fram, enligt uppgift till våren 2003. Dessa ytterligare förseningar bör leda till ett påpekande av konstitutionsutskottet. Socialförsäkringsutskottet noterar i detta sammanh</w:t>
      </w:r>
      <w:r w:rsidRPr="00AD6C48">
        <w:t>ang att regeringens hantering av finansiell samor</w:t>
      </w:r>
      <w:r w:rsidRPr="00AD6C48">
        <w:t>d</w:t>
      </w:r>
      <w:r w:rsidRPr="00AD6C48">
        <w:t xml:space="preserve">ning är ett av de exempel som tas upp i motion K7 (fp). </w:t>
      </w:r>
    </w:p>
    <w:p w:rsidR="0045208F" w:rsidRPr="00AD6C48" w:rsidRDefault="0045208F"/>
    <w:p w:rsidR="0045208F" w:rsidRPr="00AD6C48" w:rsidRDefault="0045208F"/>
    <w:p w:rsidR="0045208F" w:rsidRPr="00AD6C48" w:rsidRDefault="0045208F"/>
    <w:p w:rsidR="0045208F" w:rsidRPr="00AD6C48" w:rsidRDefault="0045208F">
      <w:pPr>
        <w:sectPr w:rsidR="00000000" w:rsidRPr="00AD6C48">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7" w:left="1304" w:header="340" w:footer="227" w:gutter="0"/>
          <w:cols w:space="720"/>
          <w:titlePg/>
        </w:sectPr>
      </w:pPr>
    </w:p>
    <w:p w:rsidR="0045208F" w:rsidRPr="00AD6C48" w:rsidRDefault="0045208F">
      <w:pPr>
        <w:pStyle w:val="Bilaga"/>
      </w:pPr>
      <w:r w:rsidRPr="00AD6C48">
        <w:t>Bilaga 9</w:t>
      </w:r>
    </w:p>
    <w:p w:rsidR="0045208F" w:rsidRPr="00AD6C48" w:rsidRDefault="0045208F">
      <w:pPr>
        <w:pStyle w:val="Rubrik1"/>
        <w:rPr>
          <w:noProof w:val="0"/>
        </w:rPr>
      </w:pPr>
      <w:bookmarkStart w:id="58" w:name="_Toc41451051"/>
      <w:r w:rsidRPr="00AD6C48">
        <w:rPr>
          <w:noProof w:val="0"/>
        </w:rPr>
        <w:t>Protokollsutdrag från Socialutskottet</w:t>
      </w:r>
      <w:bookmarkEnd w:id="58"/>
    </w:p>
    <w:p w:rsidR="0045208F" w:rsidRPr="00AD6C48" w:rsidRDefault="0045208F"/>
    <w:p w:rsidR="0045208F" w:rsidRPr="00AD6C48" w:rsidRDefault="0045208F">
      <w:pPr>
        <w:pStyle w:val="Normaltindrag"/>
        <w:sectPr w:rsidR="00000000" w:rsidRPr="00AD6C48">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45208F" w:rsidRPr="00AD6C48" w:rsidRDefault="0045208F">
      <w:pPr>
        <w:pStyle w:val="Bilaga"/>
      </w:pPr>
      <w:r w:rsidRPr="00AD6C48">
        <w:t>Bilaga 10</w:t>
      </w:r>
    </w:p>
    <w:p w:rsidR="0045208F" w:rsidRPr="00AD6C48" w:rsidRDefault="0045208F">
      <w:pPr>
        <w:pStyle w:val="Rubrik1"/>
        <w:rPr>
          <w:noProof w:val="0"/>
        </w:rPr>
      </w:pPr>
      <w:bookmarkStart w:id="59" w:name="_Toc41451052"/>
      <w:r w:rsidRPr="00AD6C48">
        <w:rPr>
          <w:noProof w:val="0"/>
        </w:rPr>
        <w:t>Protokollsutdrag från Kulturutskottet</w:t>
      </w:r>
      <w:bookmarkEnd w:id="59"/>
    </w:p>
    <w:p w:rsidR="0045208F" w:rsidRPr="00AD6C48" w:rsidRDefault="0045208F">
      <w:r w:rsidRPr="00AD6C48">
        <w:br w:type="page"/>
      </w:r>
      <w:r w:rsidRPr="00AD6C48">
        <w:br w:type="page"/>
      </w:r>
      <w:r w:rsidRPr="00AD6C48">
        <w:br w:type="page"/>
      </w:r>
      <w:r w:rsidRPr="00AD6C48">
        <w:br w:type="page"/>
      </w:r>
      <w:r w:rsidRPr="00AD6C48">
        <w:br w:type="page"/>
      </w:r>
      <w:r w:rsidRPr="00AD6C48">
        <w:br w:type="page"/>
      </w:r>
      <w:r w:rsidRPr="00AD6C48">
        <w:br w:type="page"/>
      </w:r>
      <w:r w:rsidRPr="00AD6C48">
        <w:br w:type="page"/>
      </w:r>
      <w:r w:rsidRPr="00AD6C48">
        <w:br w:type="page"/>
      </w:r>
      <w:r w:rsidRPr="00AD6C48">
        <w:br w:type="page"/>
      </w:r>
      <w:r w:rsidRPr="00AD6C48">
        <w:br w:type="page"/>
      </w:r>
    </w:p>
    <w:p w:rsidR="0045208F" w:rsidRPr="00AD6C48" w:rsidRDefault="0045208F"/>
    <w:p w:rsidR="0045208F" w:rsidRPr="00AD6C48" w:rsidRDefault="0045208F">
      <w:pPr>
        <w:sectPr w:rsidR="00000000" w:rsidRPr="00AD6C48">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7" w:left="1304" w:header="340" w:footer="227" w:gutter="0"/>
          <w:cols w:space="720"/>
          <w:titlePg/>
        </w:sectPr>
      </w:pPr>
    </w:p>
    <w:p w:rsidR="0045208F" w:rsidRPr="00AD6C48" w:rsidRDefault="0045208F">
      <w:pPr>
        <w:pStyle w:val="Bilaga"/>
      </w:pPr>
      <w:r w:rsidRPr="00AD6C48">
        <w:t>Bilaga 11</w:t>
      </w:r>
    </w:p>
    <w:p w:rsidR="0045208F" w:rsidRPr="00AD6C48" w:rsidRDefault="0045208F">
      <w:pPr>
        <w:pStyle w:val="Rubrik1"/>
        <w:rPr>
          <w:noProof w:val="0"/>
        </w:rPr>
      </w:pPr>
      <w:bookmarkStart w:id="60" w:name="_Toc41451053"/>
      <w:r w:rsidRPr="00AD6C48">
        <w:rPr>
          <w:noProof w:val="0"/>
        </w:rPr>
        <w:t>Protokollsutdrag från Utbildningsutskottet</w:t>
      </w:r>
      <w:bookmarkEnd w:id="60"/>
    </w:p>
    <w:p w:rsidR="0045208F" w:rsidRPr="00AD6C48" w:rsidRDefault="0045208F">
      <w:r w:rsidRPr="00AD6C48">
        <w:br w:type="page"/>
      </w:r>
      <w:r w:rsidRPr="00AD6C48">
        <w:br w:type="page"/>
      </w:r>
    </w:p>
    <w:p w:rsidR="0045208F" w:rsidRPr="00AD6C48" w:rsidRDefault="0045208F">
      <w:pPr>
        <w:pStyle w:val="Normaltindrag"/>
        <w:sectPr w:rsidR="00000000" w:rsidRPr="00AD6C48">
          <w:headerReference w:type="even" r:id="rId98"/>
          <w:headerReference w:type="default" r:id="rId99"/>
          <w:footerReference w:type="even" r:id="rId100"/>
          <w:footerReference w:type="default" r:id="rId101"/>
          <w:headerReference w:type="first" r:id="rId102"/>
          <w:footerReference w:type="first" r:id="rId103"/>
          <w:pgSz w:w="11906" w:h="16838" w:code="9"/>
          <w:pgMar w:top="907" w:right="4649" w:bottom="4508" w:left="1304" w:header="340" w:footer="227" w:gutter="0"/>
          <w:cols w:space="720"/>
          <w:titlePg/>
        </w:sectPr>
      </w:pPr>
    </w:p>
    <w:p w:rsidR="0045208F" w:rsidRPr="00AD6C48" w:rsidRDefault="0045208F">
      <w:pPr>
        <w:pStyle w:val="Bilaga"/>
      </w:pPr>
      <w:r w:rsidRPr="00AD6C48">
        <w:t>Bilaga 12</w:t>
      </w:r>
    </w:p>
    <w:p w:rsidR="0045208F" w:rsidRPr="00AD6C48" w:rsidRDefault="0045208F">
      <w:pPr>
        <w:pStyle w:val="Rubrik1"/>
        <w:rPr>
          <w:noProof w:val="0"/>
        </w:rPr>
      </w:pPr>
      <w:bookmarkStart w:id="61" w:name="_Toc41451054"/>
      <w:r w:rsidRPr="00AD6C48">
        <w:rPr>
          <w:noProof w:val="0"/>
        </w:rPr>
        <w:t>Trafikutskottets yttrande 2002/03:TU2y</w:t>
      </w:r>
      <w:bookmarkEnd w:id="61"/>
    </w:p>
    <w:p w:rsidR="0045208F" w:rsidRPr="00AD6C48" w:rsidRDefault="0045208F">
      <w:pPr>
        <w:pStyle w:val="R1"/>
        <w:spacing w:after="250"/>
      </w:pPr>
      <w:r w:rsidRPr="00AD6C48">
        <w:t>Till konstitutionsutskottet</w:t>
      </w:r>
    </w:p>
    <w:p w:rsidR="0045208F" w:rsidRPr="00AD6C48" w:rsidRDefault="0045208F">
      <w:r w:rsidRPr="00AD6C48">
        <w:t xml:space="preserve">Konstitutionsutskottet har den 20 mars 2003 anmodat övriga utskott att yttra sig över regeringens skrivelse 2002/03:75 </w:t>
      </w:r>
      <w:r w:rsidRPr="00AD6C48">
        <w:rPr>
          <w:i/>
        </w:rPr>
        <w:t>Redogörelse för behandlingen av riksdagens skrivelser till regeringen</w:t>
      </w:r>
      <w:r w:rsidRPr="00AD6C48">
        <w:t xml:space="preserve">. Redogörelsen omfattar huvudsakligen regeringsbeslut under tiden den 1 januari–den 31 december 2002. </w:t>
      </w:r>
    </w:p>
    <w:p w:rsidR="0045208F" w:rsidRPr="00AD6C48" w:rsidRDefault="0045208F">
      <w:pPr>
        <w:pStyle w:val="R2"/>
      </w:pPr>
      <w:r w:rsidRPr="00AD6C48">
        <w:t>Motionsförslag</w:t>
      </w:r>
    </w:p>
    <w:p w:rsidR="0045208F" w:rsidRPr="00AD6C48" w:rsidRDefault="0045208F">
      <w:r w:rsidRPr="00AD6C48">
        <w:t xml:space="preserve">Två motioner har väckts med anledning av regeringens skrivelse. </w:t>
      </w:r>
    </w:p>
    <w:p w:rsidR="0045208F" w:rsidRPr="00AD6C48" w:rsidRDefault="0045208F">
      <w:pPr>
        <w:pStyle w:val="Normaltindrag"/>
      </w:pPr>
      <w:r w:rsidRPr="00AD6C48">
        <w:t>I motion 2002/03:K6 av Gunnar Hökmark m.fl. (m) anges att regeringen under den senaste mandatperioden underlåtit att efterkomma riksdagens b</w:t>
      </w:r>
      <w:r w:rsidRPr="00AD6C48">
        <w:t>e</w:t>
      </w:r>
      <w:r w:rsidRPr="00AD6C48">
        <w:t>slut i ett stort antal ärenden. Enligt motionärerna är det viktigt att regeringen uppfyller de mål som riksdagen sätter upp och som det finns en politisk maj</w:t>
      </w:r>
      <w:r w:rsidRPr="00AD6C48">
        <w:t>o</w:t>
      </w:r>
      <w:r w:rsidRPr="00AD6C48">
        <w:t>ritet för så att inte allmänhetens tilltro till det politiska systemet urholkas.</w:t>
      </w:r>
    </w:p>
    <w:p w:rsidR="0045208F" w:rsidRPr="00AD6C48" w:rsidRDefault="0045208F">
      <w:pPr>
        <w:pStyle w:val="Normaltindrag"/>
      </w:pPr>
      <w:r w:rsidRPr="00AD6C48">
        <w:t>I motion 2002/03:K7 av Helena Bargholtz m.fl. (fp) begärs, mot bakgrund av några exempel på ärendehandläggning, att rutinerna skärps för att ver</w:t>
      </w:r>
      <w:r w:rsidRPr="00AD6C48">
        <w:t>k</w:t>
      </w:r>
      <w:r w:rsidRPr="00AD6C48">
        <w:t>ställa riksdagens beslut. Motionärerna framhåller att i de fall särskilda skäl finns för att regeringen inte kan följa ett av riksdagen fattat beslut, bör rege</w:t>
      </w:r>
      <w:r w:rsidRPr="00AD6C48">
        <w:t>r</w:t>
      </w:r>
      <w:r w:rsidRPr="00AD6C48">
        <w:t>ingen skyndsamt meddela riksdagen detta och för riksdagen noggrant redov</w:t>
      </w:r>
      <w:r w:rsidRPr="00AD6C48">
        <w:t>i</w:t>
      </w:r>
      <w:r w:rsidRPr="00AD6C48">
        <w:t>sa skälen härför.</w:t>
      </w:r>
    </w:p>
    <w:p w:rsidR="0045208F" w:rsidRPr="00AD6C48" w:rsidRDefault="0045208F">
      <w:pPr>
        <w:pStyle w:val="R2"/>
      </w:pPr>
      <w:r w:rsidRPr="00AD6C48">
        <w:t>Utskottets överväganden</w:t>
      </w:r>
    </w:p>
    <w:p w:rsidR="0045208F" w:rsidRPr="00AD6C48" w:rsidRDefault="0045208F">
      <w:pPr>
        <w:pStyle w:val="R4"/>
      </w:pPr>
      <w:r w:rsidRPr="00AD6C48">
        <w:t>Uppföljning av tidigare yttrande</w:t>
      </w:r>
    </w:p>
    <w:p w:rsidR="0045208F" w:rsidRPr="00AD6C48" w:rsidRDefault="0045208F">
      <w:r w:rsidRPr="00AD6C48">
        <w:t>Trafikutskottet har som ett led i arbetet med uppföljning och utvärdering under senare år ägnat en ökad uppmärksamhet åt regeringens redogörelser för riksdagens skrivelser till regeringen. Under år 2002 anmärkte ett enigt trafi</w:t>
      </w:r>
      <w:r w:rsidRPr="00AD6C48">
        <w:t>k</w:t>
      </w:r>
      <w:r w:rsidRPr="00AD6C48">
        <w:t>utskott på att regeringen enligt sin redogörelse hade slutbehandlat ett ärende med tillkännagivande från riksdagens sida om åtgärder för ökad säkerhet för barn i trafiken trots att de åtgärder som riksdagen efterlyst enligt utskottets mening inte syntes vara genomfört (2001/02:TU3y). Utskottet konstaterar nu att enligt årets redovisning har denna riksdagsskrivelse med tillkännagivande omregistrerats och anges vara under b</w:t>
      </w:r>
      <w:r w:rsidRPr="00AD6C48">
        <w:t>e</w:t>
      </w:r>
      <w:r w:rsidRPr="00AD6C48">
        <w:t xml:space="preserve">redning (rskr. 2000/01:249). </w:t>
      </w:r>
    </w:p>
    <w:p w:rsidR="0045208F" w:rsidRPr="00AD6C48" w:rsidRDefault="0045208F">
      <w:pPr>
        <w:pStyle w:val="Normaltindrag"/>
      </w:pPr>
      <w:r w:rsidRPr="00AD6C48">
        <w:t>I sitt yttrande våren 2002 framhöll trafikutskottet vid</w:t>
      </w:r>
      <w:r w:rsidRPr="00AD6C48">
        <w:t>are att regeringens r</w:t>
      </w:r>
      <w:r w:rsidRPr="00AD6C48">
        <w:t>e</w:t>
      </w:r>
      <w:r w:rsidRPr="00AD6C48">
        <w:t>dogörelse inte var helt lättillgänglig och förde fram olika synpunkter på hur skrivelsen skulle kunna förbättras.  Även andra utskott har i sina yttranden till konstitutionsutskottet redovisat synpunkter på hur förbättringar skulle kunna åstadkommas. Utskottet konstaterar att årets redovisning följer tidigare up</w:t>
      </w:r>
      <w:r w:rsidRPr="00AD6C48">
        <w:t>p</w:t>
      </w:r>
      <w:r w:rsidRPr="00AD6C48">
        <w:t>läggning. Enligt vad utskottet erfarit pågår dock ett beredningsarbete om hur regeringens redogörelse kan vidareutvecklas. Enligt utskottets mening är det angeläget att detta a</w:t>
      </w:r>
      <w:r w:rsidRPr="00AD6C48">
        <w:t>rbete slutförs och resulterar i en mer lättillgänglig och använ</w:t>
      </w:r>
      <w:r w:rsidRPr="00AD6C48">
        <w:t>d</w:t>
      </w:r>
      <w:r w:rsidRPr="00AD6C48">
        <w:t xml:space="preserve">bar produkt. </w:t>
      </w:r>
    </w:p>
    <w:p w:rsidR="0045208F" w:rsidRPr="00AD6C48" w:rsidRDefault="0045208F">
      <w:pPr>
        <w:pStyle w:val="R4"/>
      </w:pPr>
      <w:r w:rsidRPr="00AD6C48">
        <w:t xml:space="preserve">Årets redovisning omfattar 26 riksdagsskrivelser från trafikutskottet </w:t>
      </w:r>
    </w:p>
    <w:p w:rsidR="0045208F" w:rsidRPr="00AD6C48" w:rsidRDefault="0045208F">
      <w:r w:rsidRPr="00AD6C48">
        <w:t>I regeringens redogörelse redovisas sammanlagt 26 riksdagsskrivelser i frågor som behandlats i trafikutskottets betänkanden. Som framgår av följande sammanställning redovisas tolv av dessa som slutbehandlade.</w:t>
      </w:r>
    </w:p>
    <w:p w:rsidR="0045208F" w:rsidRPr="00AD6C48" w:rsidRDefault="0045208F">
      <w:pPr>
        <w:pStyle w:val="Normaltindrag"/>
        <w:tabs>
          <w:tab w:val="right" w:pos="1701"/>
          <w:tab w:val="right" w:pos="3119"/>
          <w:tab w:val="right" w:pos="4678"/>
        </w:tabs>
      </w:pPr>
    </w:p>
    <w:tbl>
      <w:tblPr>
        <w:tblW w:w="0" w:type="auto"/>
        <w:jc w:val="right"/>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048"/>
        <w:gridCol w:w="1432"/>
        <w:gridCol w:w="1418"/>
        <w:gridCol w:w="1584"/>
      </w:tblGrid>
      <w:tr w:rsidR="00000000" w:rsidRPr="00AD6C48">
        <w:tblPrEx>
          <w:tblCellMar>
            <w:top w:w="0" w:type="dxa"/>
            <w:bottom w:w="0" w:type="dxa"/>
          </w:tblCellMar>
        </w:tblPrEx>
        <w:trPr>
          <w:jc w:val="right"/>
        </w:trPr>
        <w:tc>
          <w:tcPr>
            <w:tcW w:w="1048" w:type="dxa"/>
            <w:tcBorders>
              <w:bottom w:val="single" w:sz="6" w:space="0" w:color="008000"/>
            </w:tcBorders>
          </w:tcPr>
          <w:p w:rsidR="0045208F" w:rsidRPr="00AD6C48" w:rsidRDefault="0045208F">
            <w:pPr>
              <w:pStyle w:val="Normaltindrag"/>
              <w:tabs>
                <w:tab w:val="right" w:pos="1701"/>
                <w:tab w:val="right" w:pos="3119"/>
                <w:tab w:val="right" w:pos="4678"/>
              </w:tabs>
              <w:ind w:firstLine="0"/>
              <w:rPr>
                <w:b/>
                <w:sz w:val="16"/>
              </w:rPr>
            </w:pPr>
            <w:r w:rsidRPr="00AD6C48">
              <w:rPr>
                <w:b/>
                <w:sz w:val="16"/>
              </w:rPr>
              <w:t>Riksmöte</w:t>
            </w:r>
          </w:p>
        </w:tc>
        <w:tc>
          <w:tcPr>
            <w:tcW w:w="1432" w:type="dxa"/>
            <w:tcBorders>
              <w:bottom w:val="single" w:sz="6" w:space="0" w:color="008000"/>
            </w:tcBorders>
          </w:tcPr>
          <w:p w:rsidR="0045208F" w:rsidRPr="00AD6C48" w:rsidRDefault="0045208F">
            <w:pPr>
              <w:pStyle w:val="Normaltindrag"/>
              <w:tabs>
                <w:tab w:val="right" w:pos="1701"/>
                <w:tab w:val="right" w:pos="3119"/>
                <w:tab w:val="right" w:pos="4678"/>
              </w:tabs>
              <w:ind w:firstLine="0"/>
              <w:rPr>
                <w:b/>
                <w:sz w:val="16"/>
              </w:rPr>
            </w:pPr>
            <w:r w:rsidRPr="00AD6C48">
              <w:rPr>
                <w:b/>
                <w:sz w:val="16"/>
              </w:rPr>
              <w:t xml:space="preserve">     Antal skrive</w:t>
            </w:r>
            <w:r w:rsidRPr="00AD6C48">
              <w:rPr>
                <w:b/>
                <w:sz w:val="16"/>
              </w:rPr>
              <w:t>l</w:t>
            </w:r>
            <w:r w:rsidRPr="00AD6C48">
              <w:rPr>
                <w:b/>
                <w:sz w:val="16"/>
              </w:rPr>
              <w:t>ser</w:t>
            </w:r>
          </w:p>
        </w:tc>
        <w:tc>
          <w:tcPr>
            <w:tcW w:w="1418" w:type="dxa"/>
            <w:tcBorders>
              <w:bottom w:val="single" w:sz="6" w:space="0" w:color="008000"/>
            </w:tcBorders>
          </w:tcPr>
          <w:p w:rsidR="0045208F" w:rsidRPr="00AD6C48" w:rsidRDefault="0045208F">
            <w:pPr>
              <w:pStyle w:val="Normaltindrag"/>
              <w:tabs>
                <w:tab w:val="right" w:pos="1701"/>
                <w:tab w:val="right" w:pos="3119"/>
                <w:tab w:val="right" w:pos="4678"/>
              </w:tabs>
              <w:ind w:firstLine="0"/>
              <w:rPr>
                <w:b/>
                <w:sz w:val="16"/>
              </w:rPr>
            </w:pPr>
            <w:r w:rsidRPr="00AD6C48">
              <w:rPr>
                <w:b/>
                <w:sz w:val="16"/>
              </w:rPr>
              <w:t xml:space="preserve">     Slutbehandl</w:t>
            </w:r>
            <w:r w:rsidRPr="00AD6C48">
              <w:rPr>
                <w:b/>
                <w:sz w:val="16"/>
              </w:rPr>
              <w:t>a</w:t>
            </w:r>
            <w:r w:rsidRPr="00AD6C48">
              <w:rPr>
                <w:b/>
                <w:sz w:val="16"/>
              </w:rPr>
              <w:t>de</w:t>
            </w:r>
          </w:p>
        </w:tc>
        <w:tc>
          <w:tcPr>
            <w:tcW w:w="1584" w:type="dxa"/>
            <w:tcBorders>
              <w:bottom w:val="single" w:sz="6" w:space="0" w:color="008000"/>
            </w:tcBorders>
          </w:tcPr>
          <w:p w:rsidR="0045208F" w:rsidRPr="00AD6C48" w:rsidRDefault="0045208F">
            <w:pPr>
              <w:pStyle w:val="Normaltindrag"/>
              <w:tabs>
                <w:tab w:val="right" w:pos="1701"/>
                <w:tab w:val="right" w:pos="3119"/>
                <w:tab w:val="right" w:pos="4678"/>
              </w:tabs>
              <w:ind w:firstLine="0"/>
              <w:rPr>
                <w:b/>
                <w:sz w:val="16"/>
              </w:rPr>
            </w:pPr>
            <w:r w:rsidRPr="00AD6C48">
              <w:rPr>
                <w:b/>
                <w:sz w:val="16"/>
              </w:rPr>
              <w:t xml:space="preserve">     Ej slutbehandl</w:t>
            </w:r>
            <w:r w:rsidRPr="00AD6C48">
              <w:rPr>
                <w:b/>
                <w:sz w:val="16"/>
              </w:rPr>
              <w:t>a</w:t>
            </w:r>
            <w:r w:rsidRPr="00AD6C48">
              <w:rPr>
                <w:b/>
                <w:sz w:val="16"/>
              </w:rPr>
              <w:t>de</w:t>
            </w:r>
          </w:p>
        </w:tc>
      </w:tr>
      <w:tr w:rsidR="00000000" w:rsidRPr="00AD6C48">
        <w:tblPrEx>
          <w:tblCellMar>
            <w:top w:w="0" w:type="dxa"/>
            <w:bottom w:w="0" w:type="dxa"/>
          </w:tblCellMar>
        </w:tblPrEx>
        <w:trPr>
          <w:jc w:val="right"/>
        </w:trPr>
        <w:tc>
          <w:tcPr>
            <w:tcW w:w="1048" w:type="dxa"/>
            <w:tcBorders>
              <w:top w:val="single" w:sz="6" w:space="0" w:color="008000"/>
            </w:tcBorders>
          </w:tcPr>
          <w:p w:rsidR="0045208F" w:rsidRPr="00AD6C48" w:rsidRDefault="0045208F">
            <w:pPr>
              <w:pStyle w:val="Normaltindrag"/>
              <w:tabs>
                <w:tab w:val="right" w:pos="1701"/>
                <w:tab w:val="right" w:pos="3119"/>
                <w:tab w:val="right" w:pos="4678"/>
              </w:tabs>
              <w:ind w:firstLine="0"/>
              <w:rPr>
                <w:sz w:val="16"/>
              </w:rPr>
            </w:pPr>
            <w:r w:rsidRPr="00AD6C48">
              <w:rPr>
                <w:sz w:val="16"/>
              </w:rPr>
              <w:t>1994/95</w:t>
            </w:r>
          </w:p>
        </w:tc>
        <w:tc>
          <w:tcPr>
            <w:tcW w:w="1432" w:type="dxa"/>
            <w:tcBorders>
              <w:top w:val="single" w:sz="6" w:space="0" w:color="008000"/>
            </w:tcBorders>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1</w:t>
            </w:r>
          </w:p>
        </w:tc>
        <w:tc>
          <w:tcPr>
            <w:tcW w:w="1418" w:type="dxa"/>
            <w:tcBorders>
              <w:top w:val="single" w:sz="6" w:space="0" w:color="008000"/>
            </w:tcBorders>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w:t>
            </w:r>
          </w:p>
        </w:tc>
        <w:tc>
          <w:tcPr>
            <w:tcW w:w="1584" w:type="dxa"/>
            <w:tcBorders>
              <w:top w:val="single" w:sz="6" w:space="0" w:color="008000"/>
            </w:tcBorders>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1</w:t>
            </w:r>
          </w:p>
        </w:tc>
      </w:tr>
      <w:tr w:rsidR="00000000" w:rsidRPr="00AD6C48">
        <w:tblPrEx>
          <w:tblCellMar>
            <w:top w:w="0" w:type="dxa"/>
            <w:bottom w:w="0" w:type="dxa"/>
          </w:tblCellMar>
        </w:tblPrEx>
        <w:trPr>
          <w:jc w:val="right"/>
        </w:trPr>
        <w:tc>
          <w:tcPr>
            <w:tcW w:w="1048" w:type="dxa"/>
          </w:tcPr>
          <w:p w:rsidR="0045208F" w:rsidRPr="00AD6C48" w:rsidRDefault="0045208F">
            <w:pPr>
              <w:pStyle w:val="Normaltindrag"/>
              <w:tabs>
                <w:tab w:val="right" w:pos="1701"/>
                <w:tab w:val="right" w:pos="3119"/>
                <w:tab w:val="right" w:pos="4678"/>
              </w:tabs>
              <w:ind w:firstLine="0"/>
              <w:rPr>
                <w:sz w:val="16"/>
              </w:rPr>
            </w:pPr>
            <w:r w:rsidRPr="00AD6C48">
              <w:rPr>
                <w:sz w:val="16"/>
              </w:rPr>
              <w:t>1997/98</w:t>
            </w:r>
          </w:p>
        </w:tc>
        <w:tc>
          <w:tcPr>
            <w:tcW w:w="1432"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5</w:t>
            </w:r>
          </w:p>
        </w:tc>
        <w:tc>
          <w:tcPr>
            <w:tcW w:w="1418"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2</w:t>
            </w:r>
          </w:p>
        </w:tc>
        <w:tc>
          <w:tcPr>
            <w:tcW w:w="1584"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3</w:t>
            </w:r>
          </w:p>
        </w:tc>
      </w:tr>
      <w:tr w:rsidR="00000000" w:rsidRPr="00AD6C48">
        <w:tblPrEx>
          <w:tblCellMar>
            <w:top w:w="0" w:type="dxa"/>
            <w:bottom w:w="0" w:type="dxa"/>
          </w:tblCellMar>
        </w:tblPrEx>
        <w:trPr>
          <w:jc w:val="right"/>
        </w:trPr>
        <w:tc>
          <w:tcPr>
            <w:tcW w:w="1048" w:type="dxa"/>
          </w:tcPr>
          <w:p w:rsidR="0045208F" w:rsidRPr="00AD6C48" w:rsidRDefault="0045208F">
            <w:pPr>
              <w:pStyle w:val="Normaltindrag"/>
              <w:tabs>
                <w:tab w:val="right" w:pos="1701"/>
                <w:tab w:val="right" w:pos="3119"/>
                <w:tab w:val="right" w:pos="4678"/>
              </w:tabs>
              <w:ind w:firstLine="0"/>
              <w:rPr>
                <w:sz w:val="16"/>
              </w:rPr>
            </w:pPr>
            <w:r w:rsidRPr="00AD6C48">
              <w:rPr>
                <w:sz w:val="16"/>
              </w:rPr>
              <w:t>1998/99</w:t>
            </w:r>
          </w:p>
        </w:tc>
        <w:tc>
          <w:tcPr>
            <w:tcW w:w="1432"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1</w:t>
            </w:r>
          </w:p>
        </w:tc>
        <w:tc>
          <w:tcPr>
            <w:tcW w:w="1418"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1</w:t>
            </w:r>
          </w:p>
        </w:tc>
        <w:tc>
          <w:tcPr>
            <w:tcW w:w="1584"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w:t>
            </w:r>
          </w:p>
        </w:tc>
      </w:tr>
      <w:tr w:rsidR="00000000" w:rsidRPr="00AD6C48">
        <w:tblPrEx>
          <w:tblCellMar>
            <w:top w:w="0" w:type="dxa"/>
            <w:bottom w:w="0" w:type="dxa"/>
          </w:tblCellMar>
        </w:tblPrEx>
        <w:trPr>
          <w:jc w:val="right"/>
        </w:trPr>
        <w:tc>
          <w:tcPr>
            <w:tcW w:w="1048" w:type="dxa"/>
          </w:tcPr>
          <w:p w:rsidR="0045208F" w:rsidRPr="00AD6C48" w:rsidRDefault="0045208F">
            <w:pPr>
              <w:pStyle w:val="Normaltindrag"/>
              <w:tabs>
                <w:tab w:val="right" w:pos="1701"/>
                <w:tab w:val="right" w:pos="3119"/>
                <w:tab w:val="right" w:pos="4678"/>
              </w:tabs>
              <w:ind w:firstLine="0"/>
              <w:rPr>
                <w:sz w:val="16"/>
              </w:rPr>
            </w:pPr>
            <w:r w:rsidRPr="00AD6C48">
              <w:rPr>
                <w:sz w:val="16"/>
              </w:rPr>
              <w:t>1999/2000</w:t>
            </w:r>
          </w:p>
        </w:tc>
        <w:tc>
          <w:tcPr>
            <w:tcW w:w="1432"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6</w:t>
            </w:r>
          </w:p>
        </w:tc>
        <w:tc>
          <w:tcPr>
            <w:tcW w:w="1418"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2</w:t>
            </w:r>
          </w:p>
        </w:tc>
        <w:tc>
          <w:tcPr>
            <w:tcW w:w="1584"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4</w:t>
            </w:r>
          </w:p>
        </w:tc>
      </w:tr>
      <w:tr w:rsidR="00000000" w:rsidRPr="00AD6C48">
        <w:tblPrEx>
          <w:tblCellMar>
            <w:top w:w="0" w:type="dxa"/>
            <w:bottom w:w="0" w:type="dxa"/>
          </w:tblCellMar>
        </w:tblPrEx>
        <w:trPr>
          <w:jc w:val="right"/>
        </w:trPr>
        <w:tc>
          <w:tcPr>
            <w:tcW w:w="1048" w:type="dxa"/>
          </w:tcPr>
          <w:p w:rsidR="0045208F" w:rsidRPr="00AD6C48" w:rsidRDefault="0045208F">
            <w:pPr>
              <w:pStyle w:val="Normaltindrag"/>
              <w:tabs>
                <w:tab w:val="right" w:pos="1701"/>
                <w:tab w:val="right" w:pos="3119"/>
                <w:tab w:val="right" w:pos="4678"/>
              </w:tabs>
              <w:ind w:firstLine="0"/>
              <w:rPr>
                <w:sz w:val="16"/>
              </w:rPr>
            </w:pPr>
            <w:r w:rsidRPr="00AD6C48">
              <w:rPr>
                <w:sz w:val="16"/>
              </w:rPr>
              <w:t>2000/01</w:t>
            </w:r>
          </w:p>
        </w:tc>
        <w:tc>
          <w:tcPr>
            <w:tcW w:w="1432"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3</w:t>
            </w:r>
          </w:p>
        </w:tc>
        <w:tc>
          <w:tcPr>
            <w:tcW w:w="1418"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1</w:t>
            </w:r>
          </w:p>
        </w:tc>
        <w:tc>
          <w:tcPr>
            <w:tcW w:w="1584"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2</w:t>
            </w:r>
          </w:p>
        </w:tc>
      </w:tr>
      <w:tr w:rsidR="00000000" w:rsidRPr="00AD6C48">
        <w:tblPrEx>
          <w:tblCellMar>
            <w:top w:w="0" w:type="dxa"/>
            <w:bottom w:w="0" w:type="dxa"/>
          </w:tblCellMar>
        </w:tblPrEx>
        <w:trPr>
          <w:jc w:val="right"/>
        </w:trPr>
        <w:tc>
          <w:tcPr>
            <w:tcW w:w="1048" w:type="dxa"/>
          </w:tcPr>
          <w:p w:rsidR="0045208F" w:rsidRPr="00AD6C48" w:rsidRDefault="0045208F">
            <w:pPr>
              <w:pStyle w:val="Normaltindrag"/>
              <w:tabs>
                <w:tab w:val="right" w:pos="1701"/>
                <w:tab w:val="right" w:pos="3119"/>
                <w:tab w:val="right" w:pos="4678"/>
              </w:tabs>
              <w:ind w:firstLine="0"/>
              <w:rPr>
                <w:sz w:val="16"/>
              </w:rPr>
            </w:pPr>
            <w:r w:rsidRPr="00AD6C48">
              <w:rPr>
                <w:sz w:val="16"/>
              </w:rPr>
              <w:t>2001/02</w:t>
            </w:r>
          </w:p>
        </w:tc>
        <w:tc>
          <w:tcPr>
            <w:tcW w:w="1432"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8</w:t>
            </w:r>
          </w:p>
        </w:tc>
        <w:tc>
          <w:tcPr>
            <w:tcW w:w="1418"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5</w:t>
            </w:r>
          </w:p>
        </w:tc>
        <w:tc>
          <w:tcPr>
            <w:tcW w:w="1584"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3</w:t>
            </w:r>
          </w:p>
        </w:tc>
      </w:tr>
      <w:tr w:rsidR="00000000" w:rsidRPr="00AD6C48">
        <w:tblPrEx>
          <w:tblCellMar>
            <w:top w:w="0" w:type="dxa"/>
            <w:bottom w:w="0" w:type="dxa"/>
          </w:tblCellMar>
        </w:tblPrEx>
        <w:trPr>
          <w:jc w:val="right"/>
        </w:trPr>
        <w:tc>
          <w:tcPr>
            <w:tcW w:w="1048" w:type="dxa"/>
          </w:tcPr>
          <w:p w:rsidR="0045208F" w:rsidRPr="00AD6C48" w:rsidRDefault="0045208F">
            <w:pPr>
              <w:pStyle w:val="Normaltindrag"/>
              <w:tabs>
                <w:tab w:val="right" w:pos="1701"/>
                <w:tab w:val="right" w:pos="3119"/>
                <w:tab w:val="right" w:pos="4678"/>
              </w:tabs>
              <w:ind w:firstLine="0"/>
              <w:rPr>
                <w:sz w:val="16"/>
              </w:rPr>
            </w:pPr>
            <w:r w:rsidRPr="00AD6C48">
              <w:rPr>
                <w:sz w:val="16"/>
              </w:rPr>
              <w:t>2002/03</w:t>
            </w:r>
          </w:p>
        </w:tc>
        <w:tc>
          <w:tcPr>
            <w:tcW w:w="1432"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2</w:t>
            </w:r>
          </w:p>
        </w:tc>
        <w:tc>
          <w:tcPr>
            <w:tcW w:w="1418"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1</w:t>
            </w:r>
          </w:p>
        </w:tc>
        <w:tc>
          <w:tcPr>
            <w:tcW w:w="1584" w:type="dxa"/>
          </w:tcPr>
          <w:p w:rsidR="0045208F" w:rsidRPr="00AD6C48" w:rsidRDefault="0045208F">
            <w:pPr>
              <w:pStyle w:val="Normaltindrag"/>
              <w:tabs>
                <w:tab w:val="right" w:pos="1701"/>
                <w:tab w:val="right" w:pos="3119"/>
                <w:tab w:val="right" w:pos="4678"/>
              </w:tabs>
              <w:ind w:firstLine="0"/>
              <w:jc w:val="center"/>
              <w:rPr>
                <w:sz w:val="16"/>
              </w:rPr>
            </w:pPr>
            <w:r w:rsidRPr="00AD6C48">
              <w:rPr>
                <w:sz w:val="16"/>
              </w:rPr>
              <w:t>1</w:t>
            </w:r>
          </w:p>
        </w:tc>
      </w:tr>
      <w:tr w:rsidR="00000000" w:rsidRPr="00AD6C48">
        <w:tblPrEx>
          <w:tblCellMar>
            <w:top w:w="0" w:type="dxa"/>
            <w:bottom w:w="0" w:type="dxa"/>
          </w:tblCellMar>
        </w:tblPrEx>
        <w:trPr>
          <w:jc w:val="right"/>
        </w:trPr>
        <w:tc>
          <w:tcPr>
            <w:tcW w:w="1048" w:type="dxa"/>
          </w:tcPr>
          <w:p w:rsidR="0045208F" w:rsidRPr="00AD6C48" w:rsidRDefault="0045208F">
            <w:pPr>
              <w:pStyle w:val="Normaltindrag"/>
              <w:tabs>
                <w:tab w:val="right" w:pos="1701"/>
                <w:tab w:val="right" w:pos="3119"/>
                <w:tab w:val="right" w:pos="4678"/>
              </w:tabs>
              <w:ind w:firstLine="0"/>
              <w:rPr>
                <w:b/>
                <w:sz w:val="16"/>
              </w:rPr>
            </w:pPr>
            <w:r w:rsidRPr="00AD6C48">
              <w:rPr>
                <w:b/>
                <w:sz w:val="16"/>
              </w:rPr>
              <w:t>Summa</w:t>
            </w:r>
          </w:p>
        </w:tc>
        <w:tc>
          <w:tcPr>
            <w:tcW w:w="1432" w:type="dxa"/>
          </w:tcPr>
          <w:p w:rsidR="0045208F" w:rsidRPr="00AD6C48" w:rsidRDefault="0045208F">
            <w:pPr>
              <w:pStyle w:val="Normaltindrag"/>
              <w:tabs>
                <w:tab w:val="right" w:pos="1701"/>
                <w:tab w:val="right" w:pos="3119"/>
                <w:tab w:val="right" w:pos="4678"/>
              </w:tabs>
              <w:ind w:firstLine="0"/>
              <w:jc w:val="center"/>
              <w:rPr>
                <w:b/>
                <w:sz w:val="16"/>
              </w:rPr>
            </w:pPr>
            <w:r w:rsidRPr="00AD6C48">
              <w:rPr>
                <w:b/>
                <w:sz w:val="16"/>
              </w:rPr>
              <w:t>26</w:t>
            </w:r>
          </w:p>
        </w:tc>
        <w:tc>
          <w:tcPr>
            <w:tcW w:w="1418" w:type="dxa"/>
          </w:tcPr>
          <w:p w:rsidR="0045208F" w:rsidRPr="00AD6C48" w:rsidRDefault="0045208F">
            <w:pPr>
              <w:pStyle w:val="Normaltindrag"/>
              <w:tabs>
                <w:tab w:val="right" w:pos="1701"/>
                <w:tab w:val="right" w:pos="3119"/>
                <w:tab w:val="right" w:pos="4678"/>
              </w:tabs>
              <w:ind w:firstLine="0"/>
              <w:jc w:val="center"/>
              <w:rPr>
                <w:b/>
                <w:sz w:val="16"/>
              </w:rPr>
            </w:pPr>
            <w:r w:rsidRPr="00AD6C48">
              <w:rPr>
                <w:b/>
                <w:sz w:val="16"/>
              </w:rPr>
              <w:t>12</w:t>
            </w:r>
          </w:p>
        </w:tc>
        <w:tc>
          <w:tcPr>
            <w:tcW w:w="1584" w:type="dxa"/>
          </w:tcPr>
          <w:p w:rsidR="0045208F" w:rsidRPr="00AD6C48" w:rsidRDefault="0045208F">
            <w:pPr>
              <w:pStyle w:val="Normaltindrag"/>
              <w:tabs>
                <w:tab w:val="right" w:pos="1701"/>
                <w:tab w:val="right" w:pos="3119"/>
                <w:tab w:val="right" w:pos="4678"/>
              </w:tabs>
              <w:ind w:firstLine="0"/>
              <w:jc w:val="center"/>
              <w:rPr>
                <w:b/>
                <w:sz w:val="16"/>
              </w:rPr>
            </w:pPr>
            <w:r w:rsidRPr="00AD6C48">
              <w:rPr>
                <w:b/>
                <w:sz w:val="16"/>
              </w:rPr>
              <w:t>14</w:t>
            </w:r>
          </w:p>
        </w:tc>
      </w:tr>
    </w:tbl>
    <w:p w:rsidR="0045208F" w:rsidRPr="00AD6C48" w:rsidRDefault="0045208F">
      <w:r w:rsidRPr="00AD6C48">
        <w:t>Trafikutskottet anser att regeringens redogörelse i huvudsak ger en god bild av de åtgärder som regeringen vidtagit och beredningsläget för de ärenden som inte är slutbehandlade. Utskottet har därför inte funnit anledning till några erinringar mot den formella registreringen av de riksdagsbeslut som fattats med anle</w:t>
      </w:r>
      <w:r w:rsidRPr="00AD6C48">
        <w:t>d</w:t>
      </w:r>
      <w:r w:rsidRPr="00AD6C48">
        <w:t>ning av betänkanden från trafikutskottet.</w:t>
      </w:r>
      <w:r w:rsidRPr="00AD6C48">
        <w:rPr>
          <w:i/>
        </w:rPr>
        <w:t xml:space="preserve"> </w:t>
      </w:r>
    </w:p>
    <w:p w:rsidR="0045208F" w:rsidRPr="00AD6C48" w:rsidRDefault="0045208F">
      <w:pPr>
        <w:pStyle w:val="R4"/>
      </w:pPr>
      <w:r w:rsidRPr="00AD6C48">
        <w:t>Behandling av tillkännagivanden</w:t>
      </w:r>
    </w:p>
    <w:p w:rsidR="0045208F" w:rsidRPr="00AD6C48" w:rsidRDefault="0045208F">
      <w:r w:rsidRPr="00AD6C48">
        <w:t>I redogörelsen redovisas att riksdagen med anledning av betänkanden från trafikutskottet gjort 22 tillkännagivanden till regeringen i 18 skrivelser, varav ett tillkännagivande hanteras i två departement. Som framgår av följande sammanställning anges tio riksdagsskrivelser med tillkännagivanden som ej slutbehandl</w:t>
      </w:r>
      <w:r w:rsidRPr="00AD6C48">
        <w:t>a</w:t>
      </w:r>
      <w:r w:rsidRPr="00AD6C48">
        <w:t>de.</w:t>
      </w:r>
    </w:p>
    <w:p w:rsidR="0045208F" w:rsidRPr="00AD6C48" w:rsidRDefault="0045208F">
      <w:pPr>
        <w:pStyle w:val="Normaltindrag"/>
        <w:spacing w:before="125"/>
      </w:pPr>
      <w:r w:rsidRPr="00AD6C48">
        <w:br w:type="page"/>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530"/>
        <w:gridCol w:w="3165"/>
        <w:gridCol w:w="1398"/>
      </w:tblGrid>
      <w:tr w:rsidR="00000000" w:rsidRPr="00AD6C48">
        <w:tblPrEx>
          <w:tblCellMar>
            <w:top w:w="0" w:type="dxa"/>
            <w:bottom w:w="0" w:type="dxa"/>
          </w:tblCellMar>
        </w:tblPrEx>
        <w:tc>
          <w:tcPr>
            <w:tcW w:w="1530" w:type="dxa"/>
          </w:tcPr>
          <w:p w:rsidR="0045208F" w:rsidRPr="00AD6C48" w:rsidRDefault="0045208F">
            <w:pPr>
              <w:rPr>
                <w:snapToGrid w:val="0"/>
                <w:lang w:eastAsia="sv-SE"/>
              </w:rPr>
            </w:pPr>
            <w:r w:rsidRPr="00AD6C48">
              <w:rPr>
                <w:b/>
                <w:snapToGrid w:val="0"/>
                <w:sz w:val="18"/>
                <w:lang w:eastAsia="sv-SE"/>
              </w:rPr>
              <w:br w:type="page"/>
              <w:t>Riksdagsskrivelse</w:t>
            </w:r>
          </w:p>
        </w:tc>
        <w:tc>
          <w:tcPr>
            <w:tcW w:w="3165" w:type="dxa"/>
          </w:tcPr>
          <w:p w:rsidR="0045208F" w:rsidRPr="00AD6C48" w:rsidRDefault="0045208F">
            <w:pPr>
              <w:rPr>
                <w:snapToGrid w:val="0"/>
                <w:lang w:eastAsia="sv-SE"/>
              </w:rPr>
            </w:pPr>
            <w:r w:rsidRPr="00AD6C48">
              <w:rPr>
                <w:snapToGrid w:val="0"/>
                <w:lang w:eastAsia="sv-SE"/>
              </w:rPr>
              <w:t>Tillkännagivande</w:t>
            </w:r>
          </w:p>
        </w:tc>
        <w:tc>
          <w:tcPr>
            <w:tcW w:w="1398" w:type="dxa"/>
          </w:tcPr>
          <w:p w:rsidR="0045208F" w:rsidRPr="00AD6C48" w:rsidRDefault="0045208F">
            <w:pPr>
              <w:rPr>
                <w:snapToGrid w:val="0"/>
                <w:lang w:eastAsia="sv-SE"/>
              </w:rPr>
            </w:pPr>
            <w:r w:rsidRPr="00AD6C48">
              <w:rPr>
                <w:snapToGrid w:val="0"/>
                <w:lang w:eastAsia="sv-SE"/>
              </w:rPr>
              <w:t>Beslutsläge</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1994/95:232</w:t>
            </w:r>
          </w:p>
        </w:tc>
        <w:tc>
          <w:tcPr>
            <w:tcW w:w="3165" w:type="dxa"/>
          </w:tcPr>
          <w:p w:rsidR="0045208F" w:rsidRPr="00AD6C48" w:rsidRDefault="0045208F">
            <w:pPr>
              <w:pStyle w:val="Tabelltext"/>
            </w:pPr>
            <w:r w:rsidRPr="00AD6C48">
              <w:t>Återinförande av det statliga fritidsbåtsr</w:t>
            </w:r>
            <w:r w:rsidRPr="00AD6C48">
              <w:t>e</w:t>
            </w:r>
            <w:r w:rsidRPr="00AD6C48">
              <w:t>gistret</w:t>
            </w:r>
          </w:p>
        </w:tc>
        <w:tc>
          <w:tcPr>
            <w:tcW w:w="1398" w:type="dxa"/>
          </w:tcPr>
          <w:p w:rsidR="0045208F" w:rsidRPr="00AD6C48" w:rsidRDefault="0045208F">
            <w:pPr>
              <w:pStyle w:val="Tabelltext"/>
            </w:pPr>
            <w:r w:rsidRPr="00AD6C48">
              <w:t>Ej 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1997/98:11</w:t>
            </w:r>
          </w:p>
        </w:tc>
        <w:tc>
          <w:tcPr>
            <w:tcW w:w="3165" w:type="dxa"/>
          </w:tcPr>
          <w:p w:rsidR="0045208F" w:rsidRPr="00AD6C48" w:rsidRDefault="0045208F">
            <w:pPr>
              <w:pStyle w:val="Tabelltext"/>
            </w:pPr>
            <w:r w:rsidRPr="00AD6C48">
              <w:t>Minskning av antalet mottagningsorter för förarprov</w:t>
            </w:r>
          </w:p>
        </w:tc>
        <w:tc>
          <w:tcPr>
            <w:tcW w:w="1398" w:type="dxa"/>
          </w:tcPr>
          <w:p w:rsidR="0045208F" w:rsidRPr="00AD6C48" w:rsidRDefault="0045208F">
            <w:pPr>
              <w:pStyle w:val="Tabelltext"/>
            </w:pPr>
            <w:r w:rsidRPr="00AD6C48">
              <w:t>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1997/98:161</w:t>
            </w:r>
          </w:p>
        </w:tc>
        <w:tc>
          <w:tcPr>
            <w:tcW w:w="3165" w:type="dxa"/>
          </w:tcPr>
          <w:p w:rsidR="0045208F" w:rsidRPr="00AD6C48" w:rsidRDefault="0045208F">
            <w:pPr>
              <w:pStyle w:val="Tabelltext"/>
            </w:pPr>
            <w:r w:rsidRPr="00AD6C48">
              <w:t>Kontroll av lastsäkring</w:t>
            </w:r>
          </w:p>
        </w:tc>
        <w:tc>
          <w:tcPr>
            <w:tcW w:w="1398" w:type="dxa"/>
          </w:tcPr>
          <w:p w:rsidR="0045208F" w:rsidRPr="00AD6C48" w:rsidRDefault="0045208F">
            <w:pPr>
              <w:pStyle w:val="Tabelltext"/>
            </w:pPr>
            <w:r w:rsidRPr="00AD6C48">
              <w:t>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1997/98:192</w:t>
            </w:r>
          </w:p>
        </w:tc>
        <w:tc>
          <w:tcPr>
            <w:tcW w:w="3165" w:type="dxa"/>
          </w:tcPr>
          <w:p w:rsidR="0045208F" w:rsidRPr="00AD6C48" w:rsidRDefault="0045208F">
            <w:pPr>
              <w:pStyle w:val="Tabelltext"/>
            </w:pPr>
            <w:r w:rsidRPr="00AD6C48">
              <w:t>Medicinska krav för taxiför</w:t>
            </w:r>
            <w:r w:rsidRPr="00AD6C48">
              <w:t>a</w:t>
            </w:r>
            <w:r w:rsidRPr="00AD6C48">
              <w:t>re</w:t>
            </w:r>
          </w:p>
        </w:tc>
        <w:tc>
          <w:tcPr>
            <w:tcW w:w="1398" w:type="dxa"/>
          </w:tcPr>
          <w:p w:rsidR="0045208F" w:rsidRPr="00AD6C48" w:rsidRDefault="0045208F">
            <w:pPr>
              <w:pStyle w:val="Tabelltext"/>
            </w:pPr>
            <w:r w:rsidRPr="00AD6C48">
              <w:t>Ej 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1997/98:266</w:t>
            </w:r>
          </w:p>
        </w:tc>
        <w:tc>
          <w:tcPr>
            <w:tcW w:w="3165" w:type="dxa"/>
          </w:tcPr>
          <w:p w:rsidR="0045208F" w:rsidRPr="00AD6C48" w:rsidRDefault="0045208F">
            <w:pPr>
              <w:pStyle w:val="Tabelltext"/>
            </w:pPr>
            <w:r w:rsidRPr="00AD6C48">
              <w:t>Energi- och koldioxidskatt</w:t>
            </w:r>
          </w:p>
        </w:tc>
        <w:tc>
          <w:tcPr>
            <w:tcW w:w="1398" w:type="dxa"/>
          </w:tcPr>
          <w:p w:rsidR="0045208F" w:rsidRPr="00AD6C48" w:rsidRDefault="0045208F">
            <w:pPr>
              <w:pStyle w:val="Tabelltext"/>
            </w:pPr>
            <w:r w:rsidRPr="00AD6C48">
              <w:t>Ej 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1998/99:197</w:t>
            </w:r>
          </w:p>
        </w:tc>
        <w:tc>
          <w:tcPr>
            <w:tcW w:w="3165" w:type="dxa"/>
          </w:tcPr>
          <w:p w:rsidR="0045208F" w:rsidRPr="00AD6C48" w:rsidRDefault="0045208F">
            <w:pPr>
              <w:pStyle w:val="Tabelltext"/>
            </w:pPr>
            <w:r w:rsidRPr="00AD6C48">
              <w:t>Övergripande trafiksäkerhetsåtgärder (Inrä</w:t>
            </w:r>
            <w:r w:rsidRPr="00AD6C48">
              <w:t>t</w:t>
            </w:r>
            <w:r w:rsidRPr="00AD6C48">
              <w:t>tande av en vägtrafiki</w:t>
            </w:r>
            <w:r w:rsidRPr="00AD6C48">
              <w:t>n</w:t>
            </w:r>
            <w:r w:rsidRPr="00AD6C48">
              <w:t>spektion)</w:t>
            </w:r>
          </w:p>
        </w:tc>
        <w:tc>
          <w:tcPr>
            <w:tcW w:w="1398" w:type="dxa"/>
          </w:tcPr>
          <w:p w:rsidR="0045208F" w:rsidRPr="00AD6C48" w:rsidRDefault="0045208F">
            <w:pPr>
              <w:pStyle w:val="Tabelltext"/>
            </w:pPr>
            <w:r w:rsidRPr="00AD6C48">
              <w:t>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1999/2000:147</w:t>
            </w:r>
          </w:p>
        </w:tc>
        <w:tc>
          <w:tcPr>
            <w:tcW w:w="3165" w:type="dxa"/>
          </w:tcPr>
          <w:p w:rsidR="0045208F" w:rsidRPr="00AD6C48" w:rsidRDefault="0045208F">
            <w:pPr>
              <w:pStyle w:val="Tabelltext"/>
            </w:pPr>
            <w:r w:rsidRPr="00AD6C48">
              <w:t>Vägverket, Banverket och miljön (avser Miljödepartementets ansvarsomr</w:t>
            </w:r>
            <w:r w:rsidRPr="00AD6C48">
              <w:t>å</w:t>
            </w:r>
            <w:r w:rsidRPr="00AD6C48">
              <w:t xml:space="preserve">de) </w:t>
            </w:r>
          </w:p>
        </w:tc>
        <w:tc>
          <w:tcPr>
            <w:tcW w:w="1398" w:type="dxa"/>
          </w:tcPr>
          <w:p w:rsidR="0045208F" w:rsidRPr="00AD6C48" w:rsidRDefault="0045208F">
            <w:pPr>
              <w:pStyle w:val="Tabelltext"/>
            </w:pPr>
            <w:r w:rsidRPr="00AD6C48">
              <w:t>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 xml:space="preserve">1999/2000:148 </w:t>
            </w:r>
          </w:p>
        </w:tc>
        <w:tc>
          <w:tcPr>
            <w:tcW w:w="3165" w:type="dxa"/>
          </w:tcPr>
          <w:p w:rsidR="0045208F" w:rsidRPr="00AD6C48" w:rsidRDefault="0045208F">
            <w:pPr>
              <w:pStyle w:val="Tabelltext"/>
            </w:pPr>
            <w:r w:rsidRPr="00AD6C48">
              <w:t>Vägverket, Banverket och miljön (avser Näringsdepartementets ansvar</w:t>
            </w:r>
            <w:r w:rsidRPr="00AD6C48">
              <w:t>s</w:t>
            </w:r>
            <w:r w:rsidRPr="00AD6C48">
              <w:t xml:space="preserve">område) </w:t>
            </w:r>
          </w:p>
        </w:tc>
        <w:tc>
          <w:tcPr>
            <w:tcW w:w="1398" w:type="dxa"/>
          </w:tcPr>
          <w:p w:rsidR="0045208F" w:rsidRPr="00AD6C48" w:rsidRDefault="0045208F">
            <w:pPr>
              <w:pStyle w:val="Tabelltext"/>
            </w:pPr>
            <w:r w:rsidRPr="00AD6C48">
              <w:t>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1999/2000:166</w:t>
            </w:r>
          </w:p>
        </w:tc>
        <w:tc>
          <w:tcPr>
            <w:tcW w:w="3165" w:type="dxa"/>
          </w:tcPr>
          <w:p w:rsidR="0045208F" w:rsidRPr="00AD6C48" w:rsidRDefault="0045208F">
            <w:pPr>
              <w:pStyle w:val="Tabelltext"/>
            </w:pPr>
            <w:r w:rsidRPr="00AD6C48">
              <w:t>Inrättande av trafikofferjourer</w:t>
            </w:r>
          </w:p>
          <w:p w:rsidR="0045208F" w:rsidRPr="00AD6C48" w:rsidRDefault="0045208F">
            <w:pPr>
              <w:pStyle w:val="Tabelltext"/>
            </w:pPr>
            <w:r w:rsidRPr="00AD6C48">
              <w:t xml:space="preserve">Ansvaret för lastsäkring </w:t>
            </w:r>
          </w:p>
        </w:tc>
        <w:tc>
          <w:tcPr>
            <w:tcW w:w="1398" w:type="dxa"/>
          </w:tcPr>
          <w:p w:rsidR="0045208F" w:rsidRPr="00AD6C48" w:rsidRDefault="0045208F">
            <w:pPr>
              <w:pStyle w:val="Tabelltext"/>
            </w:pPr>
            <w:r w:rsidRPr="00AD6C48">
              <w:t>Ej 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1999/2000:189</w:t>
            </w:r>
          </w:p>
        </w:tc>
        <w:tc>
          <w:tcPr>
            <w:tcW w:w="3165" w:type="dxa"/>
          </w:tcPr>
          <w:p w:rsidR="0045208F" w:rsidRPr="00AD6C48" w:rsidRDefault="0045208F">
            <w:pPr>
              <w:pStyle w:val="Tabelltext"/>
            </w:pPr>
            <w:r w:rsidRPr="00AD6C48">
              <w:t>Tillsynsmyndighetens roll på teleomr</w:t>
            </w:r>
            <w:r w:rsidRPr="00AD6C48">
              <w:t>å</w:t>
            </w:r>
            <w:r w:rsidRPr="00AD6C48">
              <w:t>det</w:t>
            </w:r>
          </w:p>
        </w:tc>
        <w:tc>
          <w:tcPr>
            <w:tcW w:w="1398" w:type="dxa"/>
          </w:tcPr>
          <w:p w:rsidR="0045208F" w:rsidRPr="00AD6C48" w:rsidRDefault="0045208F">
            <w:pPr>
              <w:pStyle w:val="Tabelltext"/>
            </w:pPr>
            <w:r w:rsidRPr="00AD6C48">
              <w:t>Ej 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1999/2000:238</w:t>
            </w:r>
          </w:p>
        </w:tc>
        <w:tc>
          <w:tcPr>
            <w:tcW w:w="3165" w:type="dxa"/>
          </w:tcPr>
          <w:p w:rsidR="0045208F" w:rsidRPr="00AD6C48" w:rsidRDefault="0045208F">
            <w:pPr>
              <w:pStyle w:val="Tabelltext"/>
            </w:pPr>
            <w:r w:rsidRPr="00AD6C48">
              <w:t>Påföljdssystem för utländska fordonsför</w:t>
            </w:r>
            <w:r w:rsidRPr="00AD6C48">
              <w:t>a</w:t>
            </w:r>
            <w:r w:rsidRPr="00AD6C48">
              <w:t>re</w:t>
            </w:r>
          </w:p>
        </w:tc>
        <w:tc>
          <w:tcPr>
            <w:tcW w:w="1398" w:type="dxa"/>
          </w:tcPr>
          <w:p w:rsidR="0045208F" w:rsidRPr="00AD6C48" w:rsidRDefault="0045208F">
            <w:pPr>
              <w:pStyle w:val="Tabelltext"/>
            </w:pPr>
            <w:r w:rsidRPr="00AD6C48">
              <w:t>Ej 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2000/01:158</w:t>
            </w:r>
          </w:p>
        </w:tc>
        <w:tc>
          <w:tcPr>
            <w:tcW w:w="3165" w:type="dxa"/>
          </w:tcPr>
          <w:p w:rsidR="0045208F" w:rsidRPr="00AD6C48" w:rsidRDefault="0045208F">
            <w:pPr>
              <w:pStyle w:val="Tabelltext"/>
            </w:pPr>
            <w:r w:rsidRPr="00AD6C48">
              <w:t>Sjöfartsinspektionens tillsyn</w:t>
            </w:r>
          </w:p>
        </w:tc>
        <w:tc>
          <w:tcPr>
            <w:tcW w:w="1398" w:type="dxa"/>
          </w:tcPr>
          <w:p w:rsidR="0045208F" w:rsidRPr="00AD6C48" w:rsidRDefault="0045208F">
            <w:pPr>
              <w:pStyle w:val="Tabelltext"/>
            </w:pPr>
            <w:r w:rsidRPr="00AD6C48">
              <w:t>Ej 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2000/01:249</w:t>
            </w:r>
          </w:p>
        </w:tc>
        <w:tc>
          <w:tcPr>
            <w:tcW w:w="3165" w:type="dxa"/>
          </w:tcPr>
          <w:p w:rsidR="0045208F" w:rsidRPr="00AD6C48" w:rsidRDefault="0045208F">
            <w:pPr>
              <w:pStyle w:val="Tabelltext"/>
            </w:pPr>
            <w:r w:rsidRPr="00AD6C48">
              <w:t>Ökad säkerhet för barn i trafiken</w:t>
            </w:r>
          </w:p>
          <w:p w:rsidR="0045208F" w:rsidRPr="00AD6C48" w:rsidRDefault="0045208F">
            <w:pPr>
              <w:pStyle w:val="Tabelltext"/>
            </w:pPr>
            <w:r w:rsidRPr="00AD6C48">
              <w:t>Åtgärder mot telefonering under bilkö</w:t>
            </w:r>
            <w:r w:rsidRPr="00AD6C48">
              <w:t>r</w:t>
            </w:r>
            <w:r w:rsidRPr="00AD6C48">
              <w:t>ning</w:t>
            </w:r>
          </w:p>
        </w:tc>
        <w:tc>
          <w:tcPr>
            <w:tcW w:w="1398" w:type="dxa"/>
          </w:tcPr>
          <w:p w:rsidR="0045208F" w:rsidRPr="00AD6C48" w:rsidRDefault="0045208F">
            <w:pPr>
              <w:pStyle w:val="Tabelltext"/>
            </w:pPr>
            <w:r w:rsidRPr="00AD6C48">
              <w:t>Ej slutbehandlad</w:t>
            </w:r>
          </w:p>
          <w:p w:rsidR="0045208F" w:rsidRPr="00AD6C48" w:rsidRDefault="0045208F">
            <w:pPr>
              <w:pStyle w:val="Tabelltext"/>
            </w:pPr>
          </w:p>
        </w:tc>
      </w:tr>
      <w:tr w:rsidR="00000000" w:rsidRPr="00AD6C48">
        <w:tblPrEx>
          <w:tblCellMar>
            <w:top w:w="0" w:type="dxa"/>
            <w:bottom w:w="0" w:type="dxa"/>
          </w:tblCellMar>
        </w:tblPrEx>
        <w:tc>
          <w:tcPr>
            <w:tcW w:w="1530" w:type="dxa"/>
          </w:tcPr>
          <w:p w:rsidR="0045208F" w:rsidRPr="00AD6C48" w:rsidRDefault="0045208F">
            <w:pPr>
              <w:pStyle w:val="Tabelltext"/>
            </w:pPr>
            <w:r w:rsidRPr="00AD6C48">
              <w:t>2000/01:251</w:t>
            </w:r>
          </w:p>
        </w:tc>
        <w:tc>
          <w:tcPr>
            <w:tcW w:w="3165" w:type="dxa"/>
          </w:tcPr>
          <w:p w:rsidR="0045208F" w:rsidRPr="00AD6C48" w:rsidRDefault="0045208F">
            <w:pPr>
              <w:pStyle w:val="Tabelltext"/>
            </w:pPr>
            <w:r w:rsidRPr="00AD6C48">
              <w:t>Bilprovningens verksamhet och effekt</w:t>
            </w:r>
            <w:r w:rsidRPr="00AD6C48">
              <w:t>i</w:t>
            </w:r>
            <w:r w:rsidRPr="00AD6C48">
              <w:t>vitet</w:t>
            </w:r>
          </w:p>
          <w:p w:rsidR="0045208F" w:rsidRPr="00AD6C48" w:rsidRDefault="0045208F">
            <w:pPr>
              <w:pStyle w:val="Tabelltext"/>
            </w:pPr>
            <w:r w:rsidRPr="00AD6C48">
              <w:t>Avgränsningen av den konkurrensutsatta verksamheten</w:t>
            </w:r>
          </w:p>
          <w:p w:rsidR="0045208F" w:rsidRPr="00AD6C48" w:rsidRDefault="0045208F">
            <w:pPr>
              <w:pStyle w:val="Tabelltext"/>
            </w:pPr>
            <w:r w:rsidRPr="00AD6C48">
              <w:t>Ägarnas styrning av bolaget</w:t>
            </w:r>
          </w:p>
          <w:p w:rsidR="0045208F" w:rsidRPr="00AD6C48" w:rsidRDefault="0045208F">
            <w:pPr>
              <w:pStyle w:val="Tabelltext"/>
            </w:pPr>
            <w:r w:rsidRPr="00AD6C48">
              <w:t>Flygande inspektioner och ökad trafiks</w:t>
            </w:r>
            <w:r w:rsidRPr="00AD6C48">
              <w:t>ä</w:t>
            </w:r>
            <w:r w:rsidRPr="00AD6C48">
              <w:t>kerhet</w:t>
            </w:r>
          </w:p>
        </w:tc>
        <w:tc>
          <w:tcPr>
            <w:tcW w:w="1398" w:type="dxa"/>
          </w:tcPr>
          <w:p w:rsidR="0045208F" w:rsidRPr="00AD6C48" w:rsidRDefault="0045208F">
            <w:pPr>
              <w:pStyle w:val="Tabelltext"/>
            </w:pPr>
            <w:r w:rsidRPr="00AD6C48">
              <w:t>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2001/02:125</w:t>
            </w:r>
          </w:p>
        </w:tc>
        <w:tc>
          <w:tcPr>
            <w:tcW w:w="3165" w:type="dxa"/>
          </w:tcPr>
          <w:p w:rsidR="0045208F" w:rsidRPr="00AD6C48" w:rsidRDefault="0045208F">
            <w:pPr>
              <w:pStyle w:val="Tabelltext"/>
            </w:pPr>
            <w:r w:rsidRPr="00AD6C48">
              <w:t>Översyn av farledsavgifterna</w:t>
            </w:r>
          </w:p>
        </w:tc>
        <w:tc>
          <w:tcPr>
            <w:tcW w:w="1398" w:type="dxa"/>
          </w:tcPr>
          <w:p w:rsidR="0045208F" w:rsidRPr="00AD6C48" w:rsidRDefault="0045208F">
            <w:pPr>
              <w:pStyle w:val="Tabelltext"/>
            </w:pPr>
            <w:r w:rsidRPr="00AD6C48">
              <w:t>Ej 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2001/02:127</w:t>
            </w:r>
          </w:p>
        </w:tc>
        <w:tc>
          <w:tcPr>
            <w:tcW w:w="3165" w:type="dxa"/>
          </w:tcPr>
          <w:p w:rsidR="0045208F" w:rsidRPr="00AD6C48" w:rsidRDefault="0045208F">
            <w:pPr>
              <w:pStyle w:val="Tabelltext"/>
            </w:pPr>
            <w:r w:rsidRPr="00AD6C48">
              <w:t>Statliga garantier för att återställa försäkring</w:t>
            </w:r>
            <w:r w:rsidRPr="00AD6C48">
              <w:t>s</w:t>
            </w:r>
            <w:r w:rsidRPr="00AD6C48">
              <w:t>skyddet inom flygbranschen</w:t>
            </w:r>
          </w:p>
        </w:tc>
        <w:tc>
          <w:tcPr>
            <w:tcW w:w="1398" w:type="dxa"/>
          </w:tcPr>
          <w:p w:rsidR="0045208F" w:rsidRPr="00AD6C48" w:rsidRDefault="0045208F">
            <w:pPr>
              <w:pStyle w:val="Tabelltext"/>
            </w:pPr>
            <w:r w:rsidRPr="00AD6C48">
              <w:t>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2001/02:195</w:t>
            </w:r>
          </w:p>
        </w:tc>
        <w:tc>
          <w:tcPr>
            <w:tcW w:w="3165" w:type="dxa"/>
          </w:tcPr>
          <w:p w:rsidR="0045208F" w:rsidRPr="00AD6C48" w:rsidRDefault="0045208F">
            <w:pPr>
              <w:pStyle w:val="Tabelltext"/>
            </w:pPr>
            <w:r w:rsidRPr="00AD6C48">
              <w:t>Åtgärder mot s.k. ”svarttaxi”</w:t>
            </w:r>
          </w:p>
        </w:tc>
        <w:tc>
          <w:tcPr>
            <w:tcW w:w="1398" w:type="dxa"/>
          </w:tcPr>
          <w:p w:rsidR="0045208F" w:rsidRPr="00AD6C48" w:rsidRDefault="0045208F">
            <w:pPr>
              <w:pStyle w:val="Tabelltext"/>
            </w:pPr>
            <w:r w:rsidRPr="00AD6C48">
              <w:t>Ej slutbehandlad</w:t>
            </w:r>
          </w:p>
        </w:tc>
      </w:tr>
      <w:tr w:rsidR="00000000" w:rsidRPr="00AD6C48">
        <w:tblPrEx>
          <w:tblCellMar>
            <w:top w:w="0" w:type="dxa"/>
            <w:bottom w:w="0" w:type="dxa"/>
          </w:tblCellMar>
        </w:tblPrEx>
        <w:tc>
          <w:tcPr>
            <w:tcW w:w="1530" w:type="dxa"/>
          </w:tcPr>
          <w:p w:rsidR="0045208F" w:rsidRPr="00AD6C48" w:rsidRDefault="0045208F">
            <w:pPr>
              <w:pStyle w:val="Tabelltext"/>
            </w:pPr>
            <w:r w:rsidRPr="00AD6C48">
              <w:t>2001/02:280</w:t>
            </w:r>
          </w:p>
        </w:tc>
        <w:tc>
          <w:tcPr>
            <w:tcW w:w="3165" w:type="dxa"/>
          </w:tcPr>
          <w:p w:rsidR="0045208F" w:rsidRPr="00AD6C48" w:rsidRDefault="0045208F">
            <w:pPr>
              <w:pStyle w:val="Tabelltext"/>
            </w:pPr>
            <w:r w:rsidRPr="00AD6C48">
              <w:t>Amatörbyggda och ombyggda fordon</w:t>
            </w:r>
          </w:p>
          <w:p w:rsidR="0045208F" w:rsidRPr="00AD6C48" w:rsidRDefault="0045208F">
            <w:pPr>
              <w:pStyle w:val="Tabelltext"/>
            </w:pPr>
          </w:p>
        </w:tc>
        <w:tc>
          <w:tcPr>
            <w:tcW w:w="1398" w:type="dxa"/>
          </w:tcPr>
          <w:p w:rsidR="0045208F" w:rsidRPr="00AD6C48" w:rsidRDefault="0045208F">
            <w:pPr>
              <w:pStyle w:val="Tabelltext"/>
            </w:pPr>
            <w:r w:rsidRPr="00AD6C48">
              <w:t>Slutbehandlad</w:t>
            </w:r>
          </w:p>
        </w:tc>
      </w:tr>
    </w:tbl>
    <w:p w:rsidR="0045208F" w:rsidRPr="00AD6C48" w:rsidRDefault="0045208F">
      <w:r w:rsidRPr="00AD6C48">
        <w:t>Trafikutskottet konstaterar att regeringens redogörelse avspeglar riksdagens tillkännagivanden på ett korrekt sätt. Som framgår av ovanstående samma</w:t>
      </w:r>
      <w:r w:rsidRPr="00AD6C48">
        <w:t>n</w:t>
      </w:r>
      <w:r w:rsidRPr="00AD6C48">
        <w:t>ställning finns det dock ett antal riksdagsskrivelser med tillkännagivanden som inte är slutbehandlade, trots att flera år förflutit sedan de aktuella rik</w:t>
      </w:r>
      <w:r w:rsidRPr="00AD6C48">
        <w:t>s</w:t>
      </w:r>
      <w:r w:rsidRPr="00AD6C48">
        <w:t>dagsbesluten togs. Ett tillkännagivande om återinförande av ett statligt fritid</w:t>
      </w:r>
      <w:r w:rsidRPr="00AD6C48">
        <w:t>s</w:t>
      </w:r>
      <w:r w:rsidRPr="00AD6C48">
        <w:t xml:space="preserve">båtsregister bereds sålunda alltjämt trots att riksdagsbeslutet fattades för åtta år sedan. Vidare finns det tre tillkännagivanden som bereds sedan fem år förflutit sedan riksdagsbesluten. Av regeringens redogörelse framgår att för det äldsta ärendet kommer Sjöfartsverket på </w:t>
      </w:r>
      <w:r w:rsidRPr="00AD6C48">
        <w:t>regeringens uppdrag senare i vår att redovisa en utredning om bl.a. de tekniska, administrativa och ekonomiska förutsättningarna för ett fritidsbåtsregister. Även för övriga tillkännagivanden redovisas pågående eller planerade aktiviteter som motiv för att riksdagsskr</w:t>
      </w:r>
      <w:r w:rsidRPr="00AD6C48">
        <w:t>i</w:t>
      </w:r>
      <w:r w:rsidRPr="00AD6C48">
        <w:t xml:space="preserve">velserna ännu inte är slutbehandlade. </w:t>
      </w:r>
    </w:p>
    <w:p w:rsidR="0045208F" w:rsidRPr="00AD6C48" w:rsidRDefault="0045208F">
      <w:pPr>
        <w:pStyle w:val="Normaltindrag"/>
      </w:pPr>
      <w:r w:rsidRPr="00AD6C48">
        <w:t>Utskottet konstaterar att flera av riksdagens tillkännagivanden rör kompl</w:t>
      </w:r>
      <w:r w:rsidRPr="00AD6C48">
        <w:t>i</w:t>
      </w:r>
      <w:r w:rsidRPr="00AD6C48">
        <w:t>cerade spörsmål som kräver en omsorgsfull beredning. Med anledning av den tidsutdräkt som gått sedan riksdagen fattat sina beslut vill utskottet ändå u</w:t>
      </w:r>
      <w:r w:rsidRPr="00AD6C48">
        <w:t>n</w:t>
      </w:r>
      <w:r w:rsidRPr="00AD6C48">
        <w:t>derstryka betydelsen av att riksdagsskrivelser med tillkännagivanden hanteras skyndsamt. Att riksdagsskrivelser med tillkännagivanden inte är slutbehan</w:t>
      </w:r>
      <w:r w:rsidRPr="00AD6C48">
        <w:t>d</w:t>
      </w:r>
      <w:r w:rsidRPr="00AD6C48">
        <w:t xml:space="preserve">lade efter många år är inte något som bör förekomma annat än i undantagsfall. Utskottet delar därmed den uppfattning som kommit till uttryck i tidigare betänkanden från konstitutionsutskottet i dessa frågor </w:t>
      </w:r>
      <w:r w:rsidRPr="00AD6C48">
        <w:t>liksom i de nu aktuella motionerna 2002/03:K6 (m) och 2002/03:K7 (fp) om vikten av att regeringen no</w:t>
      </w:r>
      <w:r w:rsidRPr="00AD6C48">
        <w:t>g</w:t>
      </w:r>
      <w:r w:rsidRPr="00AD6C48">
        <w:t xml:space="preserve">grant följer de beslut som riksdagen fattar. </w:t>
      </w:r>
    </w:p>
    <w:p w:rsidR="0045208F" w:rsidRPr="00AD6C48" w:rsidRDefault="0045208F">
      <w:pPr>
        <w:pStyle w:val="Normaltindrag"/>
      </w:pPr>
      <w:r w:rsidRPr="00AD6C48">
        <w:t>Trafikutskottet har förståelse för att det i olika frågor kan finnas skäl för att ett genomförande av riksdagens beslut, med hänsyn till exempelvis förändr</w:t>
      </w:r>
      <w:r w:rsidRPr="00AD6C48">
        <w:t>a</w:t>
      </w:r>
      <w:r w:rsidRPr="00AD6C48">
        <w:t>de förutsättningar, inte kan ske i den form som ursprungligen var avsett. Som framhålls i motion 2002/03:K7 (fp) bör dock regeringen i så fall skyndsamt meddela riksdagen detta och noggrant redovisa skälen för dröjsmålet. Enligt utskottets mening bör regeringen i dessa fall ange sin bedömning när skrive</w:t>
      </w:r>
      <w:r w:rsidRPr="00AD6C48">
        <w:t>l</w:t>
      </w:r>
      <w:r w:rsidRPr="00AD6C48">
        <w:t xml:space="preserve">sen bedöms komma att slutbehandlas. Enligt trafikutskottets mening är det därför angeläget att rutinerna för genomförande av riksdagens beslut ses över. </w:t>
      </w:r>
    </w:p>
    <w:p w:rsidR="0045208F" w:rsidRPr="00AD6C48" w:rsidRDefault="0045208F">
      <w:pPr>
        <w:pStyle w:val="R4"/>
      </w:pPr>
      <w:r w:rsidRPr="00AD6C48">
        <w:t xml:space="preserve">Tillkännagivanden som redovisas som slutbehandlade </w:t>
      </w:r>
    </w:p>
    <w:p w:rsidR="0045208F" w:rsidRPr="00AD6C48" w:rsidRDefault="0045208F">
      <w:r w:rsidRPr="00AD6C48">
        <w:t>Trafikutskottet har särskilt granskat de tillkännagivanden som redovisas som slutbehandlade där någon redovisning inte tidigare har lämnats till riksdagen. Enligt utskottets mening är det lämpligt att regeringen återkommer till riksd</w:t>
      </w:r>
      <w:r w:rsidRPr="00AD6C48">
        <w:t>a</w:t>
      </w:r>
      <w:r w:rsidRPr="00AD6C48">
        <w:t>gen med en tydlig redovisning med anledning av de av riksdagen fattade tillkännagivandena. Beroende på tillkännagivandets art kan dock ett enklare förfarande i vissa fall vara lämpligt och redovisningen göras i samband med den aktuella årliga redogörelsen för riksdagsskrivelserna. Mot bakgrund av denna övergripande bedömning vill utskottet lyfta fram regeringens redovi</w:t>
      </w:r>
      <w:r w:rsidRPr="00AD6C48">
        <w:t>s</w:t>
      </w:r>
      <w:r w:rsidRPr="00AD6C48">
        <w:t>ning av två riksdag</w:t>
      </w:r>
      <w:r w:rsidRPr="00AD6C48">
        <w:t>s</w:t>
      </w:r>
      <w:r w:rsidRPr="00AD6C48">
        <w:t>skrivelser med tillkännagivanden.</w:t>
      </w:r>
    </w:p>
    <w:p w:rsidR="0045208F" w:rsidRPr="00AD6C48" w:rsidRDefault="0045208F">
      <w:pPr>
        <w:pStyle w:val="R3"/>
      </w:pPr>
      <w:r w:rsidRPr="00AD6C48">
        <w:t>Vägtrafikinspektionen</w:t>
      </w:r>
    </w:p>
    <w:p w:rsidR="0045208F" w:rsidRPr="00AD6C48" w:rsidRDefault="0045208F">
      <w:r w:rsidRPr="00AD6C48">
        <w:t>I regeringens redogörelse anges att riksdagsskrivelsen 1998/99:197 om inrä</w:t>
      </w:r>
      <w:r w:rsidRPr="00AD6C48">
        <w:t>t</w:t>
      </w:r>
      <w:r w:rsidRPr="00AD6C48">
        <w:t>tande av en vägtrafikinspektion är slutbehandlad. I skrivelsen anges att r</w:t>
      </w:r>
      <w:r w:rsidRPr="00AD6C48">
        <w:t>e</w:t>
      </w:r>
      <w:r w:rsidRPr="00AD6C48">
        <w:t xml:space="preserve">geringen beslutat om en förordning om ändring i förordningen (1997:652) med instruktion för Vägverket att inrätta en vägtrafikinspektion inom ramen för Vägverkets organisation. </w:t>
      </w:r>
    </w:p>
    <w:p w:rsidR="0045208F" w:rsidRPr="00AD6C48" w:rsidRDefault="0045208F">
      <w:pPr>
        <w:pStyle w:val="Normaltindrag"/>
      </w:pPr>
      <w:r w:rsidRPr="00AD6C48">
        <w:t>Utskottet vill med anledning härav erinra om att det aktuella tillkännag</w:t>
      </w:r>
      <w:r w:rsidRPr="00AD6C48">
        <w:t>i</w:t>
      </w:r>
      <w:r w:rsidRPr="00AD6C48">
        <w:t xml:space="preserve">vandet grundas på ett betänkande där ett enigt trafikutskott framhöll följande (bet. 1998/99:TU9, s. 13): </w:t>
      </w:r>
    </w:p>
    <w:p w:rsidR="0045208F" w:rsidRPr="00AD6C48" w:rsidRDefault="0045208F">
      <w:pPr>
        <w:pStyle w:val="Citat"/>
      </w:pPr>
      <w:r w:rsidRPr="00AD6C48">
        <w:t>Regeringen bör enligt utskottets mening låta utreda inrättandet av en för vägtrafiken fristående vägtrafikinspektion – med uppgift att nå, och dela med sig av, en ökad kunskap om trafikolyckornas orsaker – samt åte</w:t>
      </w:r>
      <w:r w:rsidRPr="00AD6C48">
        <w:t>r</w:t>
      </w:r>
      <w:r w:rsidRPr="00AD6C48">
        <w:t xml:space="preserve">komma till riksdagen med förslag därom. </w:t>
      </w:r>
    </w:p>
    <w:p w:rsidR="0045208F" w:rsidRPr="00AD6C48" w:rsidRDefault="0045208F">
      <w:r w:rsidRPr="00AD6C48">
        <w:t>Utskottet noterar att frågan om inrättandet av vägtrafikinspektionen i enlighet med riksdagens ställningstagande har föregåtts av ett utredningsarbete som redovisats i betänkandena SOU 2002:65 och SOU 2002:23, vilka också blivit föremål för remissförfarande. Någon redovisning av utredningsarbetets och remisshanteringens resultat eller förslag om inrättande av en fristående vä</w:t>
      </w:r>
      <w:r w:rsidRPr="00AD6C48">
        <w:t>g</w:t>
      </w:r>
      <w:r w:rsidRPr="00AD6C48">
        <w:t>trafikinspektion har dock inte förelagts riksdagen. Däremot har regeringen i budgetpropositionen för år 2003 angett att man bereder ett förslag om att införa en vägtrafikinspektion i Vägverkets organisation. Vidare redovisas att om inspektionen eventuellt införs kommer regeringen att utse dess chef för att säkerställa dess självstä</w:t>
      </w:r>
      <w:r w:rsidRPr="00AD6C48">
        <w:t>n</w:t>
      </w:r>
      <w:r w:rsidRPr="00AD6C48">
        <w:t xml:space="preserve">diga roll. </w:t>
      </w:r>
    </w:p>
    <w:p w:rsidR="0045208F" w:rsidRPr="00AD6C48" w:rsidRDefault="0045208F">
      <w:pPr>
        <w:pStyle w:val="Normaltindrag"/>
      </w:pPr>
      <w:r w:rsidRPr="00AD6C48">
        <w:t>Med hänsyn till att tillkännagivandet avsåg att regeringen borde återko</w:t>
      </w:r>
      <w:r w:rsidRPr="00AD6C48">
        <w:t>m</w:t>
      </w:r>
      <w:r w:rsidRPr="00AD6C48">
        <w:t>ma till riksdagen med förslag om inrättande av en fristående vägtrafikinspe</w:t>
      </w:r>
      <w:r w:rsidRPr="00AD6C48">
        <w:t>k</w:t>
      </w:r>
      <w:r w:rsidRPr="00AD6C48">
        <w:t>tion kan ifrågasättas om skrivelsen bör anges som slutbehandlad. Samtidigt kan hävdas att riksdagen genom årets budgetproposition har informerats i frågan och därmed getts en möjlighet att reagera mot regeringens avsiktsfö</w:t>
      </w:r>
      <w:r w:rsidRPr="00AD6C48">
        <w:t>r</w:t>
      </w:r>
      <w:r w:rsidRPr="00AD6C48">
        <w:t xml:space="preserve">klaring. </w:t>
      </w:r>
    </w:p>
    <w:p w:rsidR="0045208F" w:rsidRPr="00AD6C48" w:rsidRDefault="0045208F">
      <w:pPr>
        <w:pStyle w:val="Normaltindrag"/>
      </w:pPr>
      <w:r w:rsidRPr="00AD6C48">
        <w:t>Enligt utskottets mening är det angeläget att riksdagens tillkännagivanden hanteras omsorgsfullt. Har riksdagen efterlyst utredningsarbete och förslag i en fråga bör också resultatet och regeringens stä</w:t>
      </w:r>
      <w:r w:rsidRPr="00AD6C48">
        <w:t>llningstagande tydligt redov</w:t>
      </w:r>
      <w:r w:rsidRPr="00AD6C48">
        <w:t>i</w:t>
      </w:r>
      <w:r w:rsidRPr="00AD6C48">
        <w:t>sas för riksdagen. Med hänsyn inte minst till den strategiska betydelse som trafikutskottet har tillmätt inrättandet av en fristående vägtrafikinspektion för trafiksäkerhetsarbetet anser utskottet därför att regeringen borde ha återko</w:t>
      </w:r>
      <w:r w:rsidRPr="00AD6C48">
        <w:t>m</w:t>
      </w:r>
      <w:r w:rsidRPr="00AD6C48">
        <w:t>mit till riksdagen med en redovisning av det aktuella utredningsarbetet, r</w:t>
      </w:r>
      <w:r w:rsidRPr="00AD6C48">
        <w:t>e</w:t>
      </w:r>
      <w:r w:rsidRPr="00AD6C48">
        <w:t>missutfallet och sina bedö</w:t>
      </w:r>
      <w:r w:rsidRPr="00AD6C48">
        <w:t>m</w:t>
      </w:r>
      <w:r w:rsidRPr="00AD6C48">
        <w:t xml:space="preserve">ningar i frågan. </w:t>
      </w:r>
    </w:p>
    <w:p w:rsidR="0045208F" w:rsidRPr="00AD6C48" w:rsidRDefault="0045208F">
      <w:pPr>
        <w:pStyle w:val="Normaltindrag"/>
      </w:pPr>
      <w:r w:rsidRPr="00AD6C48">
        <w:t xml:space="preserve">I sammanhanget kan nämnas att utskottet i betänkande 2002/03:TU4 </w:t>
      </w:r>
      <w:r w:rsidRPr="00AD6C48">
        <w:rPr>
          <w:i/>
        </w:rPr>
        <w:t>Tr</w:t>
      </w:r>
      <w:r w:rsidRPr="00AD6C48">
        <w:rPr>
          <w:i/>
        </w:rPr>
        <w:t>a</w:t>
      </w:r>
      <w:r w:rsidRPr="00AD6C48">
        <w:rPr>
          <w:i/>
        </w:rPr>
        <w:t>fiksäkerhet</w:t>
      </w:r>
      <w:r w:rsidRPr="00AD6C48">
        <w:t xml:space="preserve"> förutsatt att regeringen för riksdagen snarast lägger fram en sa</w:t>
      </w:r>
      <w:r w:rsidRPr="00AD6C48">
        <w:t>m</w:t>
      </w:r>
      <w:r w:rsidRPr="00AD6C48">
        <w:t>lad redovisning av vilka åtgärder som erfordras för att nå trafiksäkerhetsm</w:t>
      </w:r>
      <w:r w:rsidRPr="00AD6C48">
        <w:t>å</w:t>
      </w:r>
      <w:r w:rsidRPr="00AD6C48">
        <w:t>len. I samma betänkande framhålls vidare betydelsen av att vägtrafikinspe</w:t>
      </w:r>
      <w:r w:rsidRPr="00AD6C48">
        <w:t>k</w:t>
      </w:r>
      <w:r w:rsidRPr="00AD6C48">
        <w:t>tionens verksamhet följs upp i syfte att bl.a. följa hur dess oberoende roll utvecklas. Utskottet förutsätter att det i den förutskickade redovisningen av trafiksäkerhetsarbetet kommer att ingå en närmare redogörelse för vägtrafi</w:t>
      </w:r>
      <w:r w:rsidRPr="00AD6C48">
        <w:t>k</w:t>
      </w:r>
      <w:r w:rsidRPr="00AD6C48">
        <w:t>inspektionens verksamhet i enlighet med de ställning</w:t>
      </w:r>
      <w:r w:rsidRPr="00AD6C48">
        <w:t>staganden som riksdagen tidigare har meddelat.</w:t>
      </w:r>
    </w:p>
    <w:p w:rsidR="0045208F" w:rsidRPr="00AD6C48" w:rsidRDefault="0045208F">
      <w:pPr>
        <w:pStyle w:val="R3"/>
      </w:pPr>
      <w:r w:rsidRPr="00AD6C48">
        <w:t>AB Svensk Bilprovning m.m.</w:t>
      </w:r>
    </w:p>
    <w:p w:rsidR="0045208F" w:rsidRPr="00AD6C48" w:rsidRDefault="0045208F">
      <w:r w:rsidRPr="00AD6C48">
        <w:t xml:space="preserve">I riksdagsskrivelse 2000/01:251, med anledning av utskottsbetänkandet </w:t>
      </w:r>
      <w:r w:rsidRPr="00AD6C48">
        <w:rPr>
          <w:i/>
        </w:rPr>
        <w:t>Bi</w:t>
      </w:r>
      <w:r w:rsidRPr="00AD6C48">
        <w:rPr>
          <w:i/>
        </w:rPr>
        <w:t>l</w:t>
      </w:r>
      <w:r w:rsidRPr="00AD6C48">
        <w:rPr>
          <w:i/>
        </w:rPr>
        <w:t xml:space="preserve">provningen, fordonskontrollen och trafiksäkerhet </w:t>
      </w:r>
      <w:r w:rsidRPr="00AD6C48">
        <w:t>(bet. 2000/01:TU14), b</w:t>
      </w:r>
      <w:r w:rsidRPr="00AD6C48">
        <w:t>e</w:t>
      </w:r>
      <w:r w:rsidRPr="00AD6C48">
        <w:t>handlades en granskningsrapport från Riksdagens revisorer jämte följdmoti</w:t>
      </w:r>
      <w:r w:rsidRPr="00AD6C48">
        <w:t>o</w:t>
      </w:r>
      <w:r w:rsidRPr="00AD6C48">
        <w:t>ner. Genom detta riksdagsbeslut riktades fyra tillkännagivanden till regerin</w:t>
      </w:r>
      <w:r w:rsidRPr="00AD6C48">
        <w:t>g</w:t>
      </w:r>
      <w:r w:rsidRPr="00AD6C48">
        <w:t>en om bilprovningens verksamhet och effektivitet, avgränsningen av den konkurrensutsatta verksamheten, ägarnas styrning av bolaget samt om fl</w:t>
      </w:r>
      <w:r w:rsidRPr="00AD6C48">
        <w:t>y</w:t>
      </w:r>
      <w:r w:rsidRPr="00AD6C48">
        <w:t>gande inspektioner och ökad trafiksäkerhet. I regeringens redogörelse redov</w:t>
      </w:r>
      <w:r w:rsidRPr="00AD6C48">
        <w:t>i</w:t>
      </w:r>
      <w:r w:rsidRPr="00AD6C48">
        <w:t>sas vidtagna åtgärder under de olika momenten och skrivelsen redovis</w:t>
      </w:r>
      <w:r w:rsidRPr="00AD6C48">
        <w:t xml:space="preserve">as mot denna bakgrund som slutbehandlad. </w:t>
      </w:r>
    </w:p>
    <w:p w:rsidR="0045208F" w:rsidRPr="00AD6C48" w:rsidRDefault="0045208F">
      <w:pPr>
        <w:pStyle w:val="Normaltindrag"/>
      </w:pPr>
      <w:r w:rsidRPr="00AD6C48">
        <w:t>Enligt vad utskottet erfarit har ett omfattande förändringsarbete geno</w:t>
      </w:r>
      <w:r w:rsidRPr="00AD6C48">
        <w:t>m</w:t>
      </w:r>
      <w:r w:rsidRPr="00AD6C48">
        <w:t>förts inom Aktiebolaget Svensk Bilprovning som i huvudsak synes väl a</w:t>
      </w:r>
      <w:r w:rsidRPr="00AD6C48">
        <w:t>v</w:t>
      </w:r>
      <w:r w:rsidRPr="00AD6C48">
        <w:t>spegla riksdagens beslut och det utvecklingsarbete som Riksdagens revisorer efterlyst. Den redovisning som återges i regeringens redogörelse över vidta</w:t>
      </w:r>
      <w:r w:rsidRPr="00AD6C48">
        <w:t>g</w:t>
      </w:r>
      <w:r w:rsidRPr="00AD6C48">
        <w:t xml:space="preserve">na åtgärder är dock inte helt lättillgänglig. </w:t>
      </w:r>
    </w:p>
    <w:p w:rsidR="0045208F" w:rsidRPr="00AD6C48" w:rsidRDefault="0045208F">
      <w:pPr>
        <w:pStyle w:val="Normaltindrag"/>
      </w:pPr>
      <w:r w:rsidRPr="00AD6C48">
        <w:t xml:space="preserve">Exempelvis när det gäller tillkännagivandet om AB Svensk Bilprovnings verksamhet och effektivitet hänvisas till att regeringen behandlat denna fråga i proposition 2001/02:130 </w:t>
      </w:r>
      <w:r w:rsidRPr="00AD6C48">
        <w:rPr>
          <w:i/>
        </w:rPr>
        <w:t>Fordonslag, m.m.</w:t>
      </w:r>
      <w:r w:rsidRPr="00AD6C48">
        <w:t xml:space="preserve"> (s. 94–95). Utskottet konstaterar att den åsyftade propositionstexten behandlar den tillsyn som Styrelsen för ackreditering och teknisk kontroll (SWEDAC) utövar. Det aktuella tillkänn</w:t>
      </w:r>
      <w:r w:rsidRPr="00AD6C48">
        <w:t>a</w:t>
      </w:r>
      <w:r w:rsidRPr="00AD6C48">
        <w:t>givandet har dock en vidare innebörd genom att det även behandlade effekt</w:t>
      </w:r>
      <w:r w:rsidRPr="00AD6C48">
        <w:t>i</w:t>
      </w:r>
      <w:r w:rsidRPr="00AD6C48">
        <w:t>vitetsmätningar och efterlyste jämförelser mellan olika b</w:t>
      </w:r>
      <w:r w:rsidRPr="00AD6C48">
        <w:t>e</w:t>
      </w:r>
      <w:r w:rsidRPr="00AD6C48">
        <w:t xml:space="preserve">siktningsstationer. </w:t>
      </w:r>
    </w:p>
    <w:p w:rsidR="0045208F" w:rsidRPr="00AD6C48" w:rsidRDefault="0045208F">
      <w:pPr>
        <w:pStyle w:val="Normaltindrag"/>
      </w:pPr>
      <w:r w:rsidRPr="00AD6C48">
        <w:t>När det gäller tillkännagivandet om ägarnas styrning av bolaget hänvisas till den redogörelse som lämnades i 2002 års redogörelse för företag med statligt äga</w:t>
      </w:r>
      <w:r w:rsidRPr="00AD6C48">
        <w:t>nde (skr. 2001/02:120). I den aktuella skrivelsen redovisas allmänt vad som gäller om regeringens styrning av de statliga bolagen. För AB Svensk Bilprovning anges ingen särskild inform</w:t>
      </w:r>
      <w:r w:rsidRPr="00AD6C48">
        <w:t>a</w:t>
      </w:r>
      <w:r w:rsidRPr="00AD6C48">
        <w:t>tion om ägarnas styrning.</w:t>
      </w:r>
    </w:p>
    <w:p w:rsidR="0045208F" w:rsidRPr="00AD6C48" w:rsidRDefault="0045208F">
      <w:pPr>
        <w:pStyle w:val="Normaltindrag"/>
      </w:pPr>
      <w:r w:rsidRPr="00AD6C48">
        <w:t>Som ett annat exempel kan nämnas att när det gäller s.k. flygande inspe</w:t>
      </w:r>
      <w:r w:rsidRPr="00AD6C48">
        <w:t>k</w:t>
      </w:r>
      <w:r w:rsidRPr="00AD6C48">
        <w:t>tioner och ökad trafiksäkerhet gav riksdagen regeringen till känna vad u</w:t>
      </w:r>
      <w:r w:rsidRPr="00AD6C48">
        <w:t>t</w:t>
      </w:r>
      <w:r w:rsidRPr="00AD6C48">
        <w:t xml:space="preserve">skottet anfört </w:t>
      </w:r>
      <w:r w:rsidRPr="00AD6C48">
        <w:rPr>
          <w:i/>
        </w:rPr>
        <w:t>dels</w:t>
      </w:r>
      <w:r w:rsidRPr="00AD6C48">
        <w:t xml:space="preserve"> om en analys av orsakerna till att verksamheten inte fått avsedd omfattning och till att verksamhetsutfallet uppvisar stora länsvisa variationer, </w:t>
      </w:r>
      <w:r w:rsidRPr="00AD6C48">
        <w:rPr>
          <w:i/>
        </w:rPr>
        <w:t>dels</w:t>
      </w:r>
      <w:r w:rsidRPr="00AD6C48">
        <w:t xml:space="preserve"> om åtgärder för en förstärkt samordning av verksamheten, </w:t>
      </w:r>
      <w:r w:rsidRPr="00AD6C48">
        <w:rPr>
          <w:i/>
        </w:rPr>
        <w:t>dels</w:t>
      </w:r>
      <w:r w:rsidRPr="00AD6C48">
        <w:t xml:space="preserve"> om möjligheterna till en ytterligare utglesning av den periodiska fo</w:t>
      </w:r>
      <w:r w:rsidRPr="00AD6C48">
        <w:t>r</w:t>
      </w:r>
      <w:r w:rsidRPr="00AD6C48">
        <w:t>donskontrollen. I regeringens aktuella redovisning anges följande inform</w:t>
      </w:r>
      <w:r w:rsidRPr="00AD6C48">
        <w:t>a</w:t>
      </w:r>
      <w:r w:rsidRPr="00AD6C48">
        <w:t xml:space="preserve">tion: ”Med utgångspunkt i Vägverkets förslag har ett samarbete </w:t>
      </w:r>
      <w:r w:rsidRPr="00AD6C48">
        <w:t>inletts mellan Vägverket och Rikspolisstyrelsen för att förbättra de flygande inspektione</w:t>
      </w:r>
      <w:r w:rsidRPr="00AD6C48">
        <w:t>r</w:t>
      </w:r>
      <w:r w:rsidRPr="00AD6C48">
        <w:t>na.” I motsvarande redovisning för år 2002 angavs att Vägverket presenterat en utredning i ärendet med förslag till åtgärder som bereds inom Regering</w:t>
      </w:r>
      <w:r w:rsidRPr="00AD6C48">
        <w:t>s</w:t>
      </w:r>
      <w:r w:rsidRPr="00AD6C48">
        <w:t>kansliet. Varken av årets eller fjolårets redovisning framgår dock vilka åtgä</w:t>
      </w:r>
      <w:r w:rsidRPr="00AD6C48">
        <w:t>r</w:t>
      </w:r>
      <w:r w:rsidRPr="00AD6C48">
        <w:t>der som övervägs och därmed inte heller vad riksdagens tillkännagivande mer konkret har r</w:t>
      </w:r>
      <w:r w:rsidRPr="00AD6C48">
        <w:t>e</w:t>
      </w:r>
      <w:r w:rsidRPr="00AD6C48">
        <w:t xml:space="preserve">sulterat i. </w:t>
      </w:r>
    </w:p>
    <w:p w:rsidR="0045208F" w:rsidRPr="00AD6C48" w:rsidRDefault="0045208F">
      <w:pPr>
        <w:pStyle w:val="Normaltindrag"/>
      </w:pPr>
      <w:r w:rsidRPr="00AD6C48">
        <w:t>Enligt utskottets mening är det mot denna bakgrund inte helt enkelt för riksdagen att få en</w:t>
      </w:r>
      <w:r w:rsidRPr="00AD6C48">
        <w:t xml:space="preserve"> samlad bild av vilka åtgärder som vidtagits med anledning av den aktuella riksdagsskrivelsen med fyra tillkännagivanden om bilpro</w:t>
      </w:r>
      <w:r w:rsidRPr="00AD6C48">
        <w:t>v</w:t>
      </w:r>
      <w:r w:rsidRPr="00AD6C48">
        <w:t>ningens verksamhet. Med tanke på att riksdagsbeslutet grundade sig på en samlad revisionsrapport från riksdagens revisorer bör enligt utskottets m</w:t>
      </w:r>
      <w:r w:rsidRPr="00AD6C48">
        <w:t>e</w:t>
      </w:r>
      <w:r w:rsidRPr="00AD6C48">
        <w:t>ning, inom ramen för den fortsatta utvecklingen av regeringens redogörelse, övervägas hur en mer sammanhållen och användarinriktad information for</w:t>
      </w:r>
      <w:r w:rsidRPr="00AD6C48">
        <w:t>t</w:t>
      </w:r>
      <w:r w:rsidRPr="00AD6C48">
        <w:t>sättningsvis kan ges av liknande riksdagsskrivelser med tillkännagiva</w:t>
      </w:r>
      <w:r w:rsidRPr="00AD6C48">
        <w:t>n</w:t>
      </w:r>
      <w:r w:rsidRPr="00AD6C48">
        <w:t xml:space="preserve">den. </w:t>
      </w:r>
    </w:p>
    <w:p w:rsidR="0045208F" w:rsidRPr="00AD6C48" w:rsidRDefault="0045208F"/>
    <w:p w:rsidR="0045208F" w:rsidRPr="00AD6C48" w:rsidRDefault="0045208F">
      <w:pPr>
        <w:pStyle w:val="Utskriftsdatum"/>
      </w:pPr>
      <w:r w:rsidRPr="00AD6C48">
        <w:t xml:space="preserve">Stockholm den 29 april 2003 </w:t>
      </w:r>
    </w:p>
    <w:p w:rsidR="0045208F" w:rsidRPr="00AD6C48" w:rsidRDefault="0045208F">
      <w:r w:rsidRPr="00AD6C48">
        <w:t>På trafikutskottets vägnar</w:t>
      </w:r>
    </w:p>
    <w:p w:rsidR="0045208F" w:rsidRPr="00AD6C48" w:rsidRDefault="0045208F">
      <w:pPr>
        <w:pStyle w:val="Ordfranden"/>
        <w:rPr>
          <w:noProof w:val="0"/>
        </w:rPr>
      </w:pPr>
      <w:r w:rsidRPr="00AD6C48">
        <w:rPr>
          <w:noProof w:val="0"/>
        </w:rPr>
        <w:t xml:space="preserve">Claes Roxbergh </w:t>
      </w:r>
    </w:p>
    <w:p w:rsidR="0045208F" w:rsidRPr="00AD6C48" w:rsidRDefault="0045208F">
      <w:pPr>
        <w:pStyle w:val="Deltagare"/>
        <w:rPr>
          <w:noProof w:val="0"/>
        </w:rPr>
      </w:pPr>
      <w:r w:rsidRPr="00AD6C48">
        <w:rPr>
          <w:noProof w:val="0"/>
        </w:rPr>
        <w:t>Följande ledamöter har deltagit i beslutet: Claes Roxbergh (mp), Carina Moberg (s), Elizabeth Nyström (m), Jarl Lander (s), Erling Bager (fp), Hans Stenberg (s), Krister Örnfjäder (s), Johnny Gylling (kd), Karin Svensson Smith (v), Claes-Göran Brandin (s), Monica Green (s), Sven Bergström (c), Kerstin Engle (s), Jan-Evert Rådhström (m), Christer Winbäck (fp) och Ulla Löfgren (m).</w:t>
      </w:r>
    </w:p>
    <w:p w:rsidR="0045208F" w:rsidRPr="00AD6C48" w:rsidRDefault="0045208F">
      <w:pPr>
        <w:sectPr w:rsidR="00000000" w:rsidRPr="00AD6C48">
          <w:headerReference w:type="even" r:id="rId104"/>
          <w:headerReference w:type="default" r:id="rId105"/>
          <w:footerReference w:type="even" r:id="rId106"/>
          <w:footerReference w:type="default" r:id="rId107"/>
          <w:headerReference w:type="first" r:id="rId108"/>
          <w:footerReference w:type="first" r:id="rId109"/>
          <w:pgSz w:w="11906" w:h="16838" w:code="9"/>
          <w:pgMar w:top="907" w:right="4649" w:bottom="4507" w:left="1304" w:header="340" w:footer="227" w:gutter="0"/>
          <w:cols w:space="720"/>
          <w:titlePg/>
        </w:sectPr>
      </w:pPr>
    </w:p>
    <w:p w:rsidR="0045208F" w:rsidRPr="00AD6C48" w:rsidRDefault="0045208F">
      <w:pPr>
        <w:pStyle w:val="Bilaga"/>
      </w:pPr>
      <w:r w:rsidRPr="00AD6C48">
        <w:t>Bilaga 13</w:t>
      </w:r>
    </w:p>
    <w:p w:rsidR="0045208F" w:rsidRPr="00AD6C48" w:rsidRDefault="0045208F">
      <w:pPr>
        <w:pStyle w:val="Rubrik1"/>
        <w:rPr>
          <w:noProof w:val="0"/>
        </w:rPr>
      </w:pPr>
      <w:bookmarkStart w:id="62" w:name="_Toc41451055"/>
      <w:r w:rsidRPr="00AD6C48">
        <w:rPr>
          <w:noProof w:val="0"/>
        </w:rPr>
        <w:t>Protokollsutdrag från Miljö- och jordbruksutskottet</w:t>
      </w:r>
      <w:bookmarkEnd w:id="62"/>
    </w:p>
    <w:p w:rsidR="0045208F" w:rsidRPr="00AD6C48" w:rsidRDefault="0045208F"/>
    <w:p w:rsidR="0045208F" w:rsidRPr="00AD6C48" w:rsidRDefault="0045208F">
      <w:pPr>
        <w:pStyle w:val="Normaltindrag"/>
        <w:sectPr w:rsidR="00000000" w:rsidRPr="00AD6C48">
          <w:headerReference w:type="even" r:id="rId110"/>
          <w:headerReference w:type="default" r:id="rId111"/>
          <w:footerReference w:type="even" r:id="rId112"/>
          <w:footerReference w:type="default" r:id="rId113"/>
          <w:headerReference w:type="first" r:id="rId114"/>
          <w:footerReference w:type="first" r:id="rId115"/>
          <w:pgSz w:w="11906" w:h="16838" w:code="9"/>
          <w:pgMar w:top="907" w:right="4649" w:bottom="4508" w:left="1304" w:header="340" w:footer="227" w:gutter="0"/>
          <w:cols w:space="720"/>
          <w:titlePg/>
        </w:sectPr>
      </w:pPr>
    </w:p>
    <w:p w:rsidR="0045208F" w:rsidRPr="00AD6C48" w:rsidRDefault="0045208F">
      <w:pPr>
        <w:pStyle w:val="Bilaga"/>
      </w:pPr>
      <w:r w:rsidRPr="00AD6C48">
        <w:t>Bilaga 14</w:t>
      </w:r>
    </w:p>
    <w:p w:rsidR="0045208F" w:rsidRPr="00AD6C48" w:rsidRDefault="0045208F">
      <w:pPr>
        <w:pStyle w:val="Rubrik1"/>
        <w:rPr>
          <w:noProof w:val="0"/>
        </w:rPr>
      </w:pPr>
      <w:bookmarkStart w:id="63" w:name="_Toc41451056"/>
      <w:r w:rsidRPr="00AD6C48">
        <w:rPr>
          <w:noProof w:val="0"/>
        </w:rPr>
        <w:t>Protokollsutdrag från Näringsutskottet</w:t>
      </w:r>
      <w:bookmarkEnd w:id="63"/>
    </w:p>
    <w:p w:rsidR="0045208F" w:rsidRPr="00AD6C48" w:rsidRDefault="0045208F"/>
    <w:p w:rsidR="0045208F" w:rsidRPr="00AD6C48" w:rsidRDefault="0045208F"/>
    <w:p w:rsidR="0045208F" w:rsidRPr="00AD6C48" w:rsidRDefault="0045208F">
      <w:pPr>
        <w:sectPr w:rsidR="00000000" w:rsidRPr="00AD6C48">
          <w:headerReference w:type="even" r:id="rId116"/>
          <w:headerReference w:type="default" r:id="rId117"/>
          <w:footerReference w:type="even" r:id="rId118"/>
          <w:footerReference w:type="default" r:id="rId119"/>
          <w:headerReference w:type="first" r:id="rId120"/>
          <w:footerReference w:type="first" r:id="rId121"/>
          <w:pgSz w:w="11906" w:h="16838" w:code="9"/>
          <w:pgMar w:top="907" w:right="4649" w:bottom="4507" w:left="1304" w:header="340" w:footer="227" w:gutter="0"/>
          <w:cols w:space="720"/>
          <w:titlePg/>
        </w:sectPr>
      </w:pPr>
    </w:p>
    <w:p w:rsidR="0045208F" w:rsidRPr="00AD6C48" w:rsidRDefault="0045208F">
      <w:pPr>
        <w:pStyle w:val="Bilaga"/>
      </w:pPr>
      <w:r w:rsidRPr="00AD6C48">
        <w:t>Bilaga 15</w:t>
      </w:r>
    </w:p>
    <w:p w:rsidR="0045208F" w:rsidRPr="00AD6C48" w:rsidRDefault="0045208F">
      <w:pPr>
        <w:pStyle w:val="Rubrik1"/>
        <w:rPr>
          <w:noProof w:val="0"/>
        </w:rPr>
      </w:pPr>
      <w:bookmarkStart w:id="64" w:name="_Toc41451057"/>
      <w:r w:rsidRPr="00AD6C48">
        <w:rPr>
          <w:noProof w:val="0"/>
        </w:rPr>
        <w:t>Arbetsmarknadsutskottets yttrande 2002/03:AU2y</w:t>
      </w:r>
      <w:bookmarkEnd w:id="64"/>
    </w:p>
    <w:p w:rsidR="0045208F" w:rsidRPr="00AD6C48" w:rsidRDefault="0045208F">
      <w:pPr>
        <w:pStyle w:val="R1"/>
        <w:spacing w:after="250"/>
      </w:pPr>
      <w:r w:rsidRPr="00AD6C48">
        <w:t>Till konstitutionsutskottet</w:t>
      </w:r>
    </w:p>
    <w:p w:rsidR="0045208F" w:rsidRPr="00AD6C48" w:rsidRDefault="0045208F">
      <w:r w:rsidRPr="00AD6C48">
        <w:t>Konstitutionsutskottet har den 20 mars 2003 anmodat övriga utskott att yttra sig över regeringens skrivelse 2002/03:75 Redogörelse för behandlingen av riksdagens skrivelser till regeringen. Två motioner har väckts med anledning av skrivelsen.</w:t>
      </w:r>
    </w:p>
    <w:p w:rsidR="0045208F" w:rsidRPr="00AD6C48" w:rsidRDefault="0045208F">
      <w:r w:rsidRPr="00AD6C48">
        <w:t>Konstitutionsutskottets anmodan föranleder följande yttrande från arbet</w:t>
      </w:r>
      <w:r w:rsidRPr="00AD6C48">
        <w:t>s</w:t>
      </w:r>
      <w:r w:rsidRPr="00AD6C48">
        <w:t>marknadsutskottet.</w:t>
      </w:r>
    </w:p>
    <w:p w:rsidR="0045208F" w:rsidRPr="00AD6C48" w:rsidRDefault="0045208F">
      <w:pPr>
        <w:pStyle w:val="R2"/>
      </w:pPr>
      <w:r w:rsidRPr="00AD6C48">
        <w:t>Utskottet</w:t>
      </w:r>
    </w:p>
    <w:p w:rsidR="0045208F" w:rsidRPr="00AD6C48" w:rsidRDefault="0045208F">
      <w:r w:rsidRPr="00AD6C48">
        <w:t>I skrivelse 2002/03:75 lämnar regeringen en redovisning för de åtgärder r</w:t>
      </w:r>
      <w:r w:rsidRPr="00AD6C48">
        <w:t>e</w:t>
      </w:r>
      <w:r w:rsidRPr="00AD6C48">
        <w:t>geringen vidtagit med anledning av de riksdagsbeslut som meddelats i riksd</w:t>
      </w:r>
      <w:r w:rsidRPr="00AD6C48">
        <w:t>a</w:t>
      </w:r>
      <w:r w:rsidRPr="00AD6C48">
        <w:t>gens skrivelser till regeringen. Redogörelsen omfattar huvudsakligen rege</w:t>
      </w:r>
      <w:r w:rsidRPr="00AD6C48">
        <w:t>r</w:t>
      </w:r>
      <w:r w:rsidRPr="00AD6C48">
        <w:t xml:space="preserve">ingsbeslut under tiden den 1 januari – den 31 december 2002. </w:t>
      </w:r>
    </w:p>
    <w:p w:rsidR="0045208F" w:rsidRPr="00AD6C48" w:rsidRDefault="0045208F">
      <w:pPr>
        <w:pStyle w:val="Normaltindrag"/>
      </w:pPr>
      <w:r w:rsidRPr="00AD6C48">
        <w:t>Totalt redovisas 15 skrivelser under Arbetsmarknadsutskottet. Av dessa rapporteras 9 som slutbehandlade och 6 som inte slutb</w:t>
      </w:r>
      <w:r w:rsidRPr="00AD6C48">
        <w:t>e</w:t>
      </w:r>
      <w:r w:rsidRPr="00AD6C48">
        <w:t>handlade.</w:t>
      </w:r>
    </w:p>
    <w:p w:rsidR="0045208F" w:rsidRPr="00AD6C48" w:rsidRDefault="0045208F">
      <w:pPr>
        <w:pStyle w:val="Normaltindrag"/>
      </w:pPr>
      <w:r w:rsidRPr="00AD6C48">
        <w:t xml:space="preserve">När det gäller de skrivelser som anges som </w:t>
      </w:r>
      <w:r w:rsidRPr="00AD6C48">
        <w:rPr>
          <w:i/>
        </w:rPr>
        <w:t>inte slutbehandlade</w:t>
      </w:r>
      <w:r w:rsidRPr="00AD6C48">
        <w:t xml:space="preserve"> kan följa</w:t>
      </w:r>
      <w:r w:rsidRPr="00AD6C48">
        <w:t>n</w:t>
      </w:r>
      <w:r w:rsidRPr="00AD6C48">
        <w:t>de kommentarer lämnas. Den punkt under vilken redovisningen sker i rege</w:t>
      </w:r>
      <w:r w:rsidRPr="00AD6C48">
        <w:t>r</w:t>
      </w:r>
      <w:r w:rsidRPr="00AD6C48">
        <w:t>ingens skrivelse återfinns inom parentes.</w:t>
      </w:r>
    </w:p>
    <w:p w:rsidR="0045208F" w:rsidRPr="00AD6C48" w:rsidRDefault="0045208F">
      <w:r w:rsidRPr="00AD6C48">
        <w:t xml:space="preserve">1. </w:t>
      </w:r>
      <w:r w:rsidRPr="00AD6C48">
        <w:rPr>
          <w:i/>
        </w:rPr>
        <w:t>(N11)</w:t>
      </w:r>
      <w:r w:rsidRPr="00AD6C48">
        <w:t xml:space="preserve"> Riksdagsskrivelse 1999/2000:83, betänkande 1999/2000:AU1, avser behandling av budgetpropositionen för år 2000, anslag för utgiftsområdena 13 och 14. Skrivelsen är inte slutbehandlad i två delar.</w:t>
      </w:r>
    </w:p>
    <w:p w:rsidR="0045208F" w:rsidRPr="00AD6C48" w:rsidRDefault="0045208F">
      <w:pPr>
        <w:pStyle w:val="Normaltindrag"/>
      </w:pPr>
      <w:r w:rsidRPr="00AD6C48">
        <w:t xml:space="preserve">Mom. 9 avser ett tillkännagivande om behovet av en </w:t>
      </w:r>
      <w:r w:rsidRPr="00AD6C48">
        <w:rPr>
          <w:i/>
        </w:rPr>
        <w:t>översyn av bema</w:t>
      </w:r>
      <w:r w:rsidRPr="00AD6C48">
        <w:rPr>
          <w:i/>
        </w:rPr>
        <w:t>n</w:t>
      </w:r>
      <w:r w:rsidRPr="00AD6C48">
        <w:rPr>
          <w:i/>
        </w:rPr>
        <w:t>ningsföretagen.</w:t>
      </w:r>
      <w:r w:rsidRPr="00AD6C48">
        <w:t xml:space="preserve"> Av redovisningen framgår att regeringen i september 2001 tillsatte en arbetsgrupp med uppdrag att inventera de problem som kan vara förknippade med en anställning i ett bemanningsföretag. Arbetsgruppen skulle ha redovisat sitt uppdrag senast den 30 november 2002. Med anledning av bl.a. att förhandlingar pågår om ett EU-direktiv om arbetsvillkoren för personal som hyrs ut av bemanningsföretag har arbetsgruppens uppdrag ännu inte avslutats. Ärendet bereds vidare. </w:t>
      </w:r>
    </w:p>
    <w:p w:rsidR="0045208F" w:rsidRPr="00AD6C48" w:rsidRDefault="0045208F">
      <w:pPr>
        <w:pStyle w:val="Normaltindrag"/>
      </w:pPr>
      <w:r w:rsidRPr="00AD6C48">
        <w:t>Mom. 37 om an</w:t>
      </w:r>
      <w:r w:rsidRPr="00AD6C48">
        <w:t xml:space="preserve">slag på utgiftsområde 14 för 2000, delmoment j, avser ett tillkännagivande om </w:t>
      </w:r>
      <w:r w:rsidRPr="00AD6C48">
        <w:rPr>
          <w:i/>
        </w:rPr>
        <w:t>lönebidrag i bestående anställningsförhållanden</w:t>
      </w:r>
      <w:r w:rsidRPr="00AD6C48">
        <w:t>. I b</w:t>
      </w:r>
      <w:r w:rsidRPr="00AD6C48">
        <w:t>e</w:t>
      </w:r>
      <w:r w:rsidRPr="00AD6C48">
        <w:t>tänkandet uttalade utskottet att man bör överväga om det finns situationer när det kan vara befogat med lönebidrag även i ett bestående anställningsförhå</w:t>
      </w:r>
      <w:r w:rsidRPr="00AD6C48">
        <w:t>l</w:t>
      </w:r>
      <w:r w:rsidRPr="00AD6C48">
        <w:t>lande men underströk samtidigt att en sådan möjlighet inte får innebära att arbetsgivarens allmänna ansvar för arbetstagarens rehabilitering minskar. Av skrivelsen framgår att regeringen i mars 2002 bemyndigade chefen för Nä</w:t>
      </w:r>
      <w:r w:rsidRPr="00AD6C48">
        <w:t>r</w:t>
      </w:r>
      <w:r w:rsidRPr="00AD6C48">
        <w:t>in</w:t>
      </w:r>
      <w:r w:rsidRPr="00AD6C48">
        <w:t>gsdepartementet att tillkalla en särskild utredare som bl.a. skall överväga frågan om lönebidrag i bestående anställningsförhållanden (dir. 2002:22). Uppdraget skall redovisas senast den 22 september 2003. Ärendet bereds vidare.</w:t>
      </w:r>
    </w:p>
    <w:p w:rsidR="0045208F" w:rsidRPr="00AD6C48" w:rsidRDefault="0045208F">
      <w:pPr>
        <w:pStyle w:val="Normaltindrag"/>
      </w:pPr>
      <w:r w:rsidRPr="00AD6C48">
        <w:rPr>
          <w:i/>
        </w:rPr>
        <w:t xml:space="preserve">Arbetsmarknadsutskottet </w:t>
      </w:r>
      <w:r w:rsidRPr="00AD6C48">
        <w:t>har ingen erinran mot att skrivelsen kvarstår som inte slutbehandlad.</w:t>
      </w:r>
    </w:p>
    <w:p w:rsidR="0045208F" w:rsidRPr="00AD6C48" w:rsidRDefault="0045208F">
      <w:r w:rsidRPr="00AD6C48">
        <w:t xml:space="preserve">2. </w:t>
      </w:r>
      <w:r w:rsidRPr="00AD6C48">
        <w:rPr>
          <w:i/>
        </w:rPr>
        <w:t>(N13)</w:t>
      </w:r>
      <w:r w:rsidRPr="00AD6C48">
        <w:t xml:space="preserve"> Riksdagsskrivelse 1999/2000:149, betänkande 1999/2000:AU5, avser i den del som inte är slutbehandlad ett tillkännagivande om en </w:t>
      </w:r>
      <w:r w:rsidRPr="00AD6C48">
        <w:rPr>
          <w:i/>
        </w:rPr>
        <w:t>utredning av arbetsrätten m.m</w:t>
      </w:r>
      <w:r w:rsidRPr="00AD6C48">
        <w:t>. Av skrivelsen framgår att regeringen i juli 2000 beslut</w:t>
      </w:r>
      <w:r w:rsidRPr="00AD6C48">
        <w:t>a</w:t>
      </w:r>
      <w:r w:rsidRPr="00AD6C48">
        <w:t>de om ett uppdrag åt Arbetslivsinstitutet om översyn av vissa arbetsrättsliga frågor. Den 12 december 2002 redovisades uppdraget, som har publicerats i Ds 2002:56 Hållfast arbetsrätt – ett föränderligt arbetsliv. Översynen har remitterats och remissvaren skall ha inkommit senast den 1 april</w:t>
      </w:r>
      <w:r w:rsidRPr="00AD6C48">
        <w:t xml:space="preserve"> 2003. Enligt underhandsuppgift från Näringsdepartementet har vissa instanser fått förlängd remisstid till den 15 april. Ärendet bereds vidare.</w:t>
      </w:r>
    </w:p>
    <w:p w:rsidR="0045208F" w:rsidRPr="00AD6C48" w:rsidRDefault="0045208F">
      <w:pPr>
        <w:pStyle w:val="Normaltindrag"/>
      </w:pPr>
      <w:r w:rsidRPr="00AD6C48">
        <w:rPr>
          <w:i/>
        </w:rPr>
        <w:t xml:space="preserve">Arbetsmarknadsutskottet </w:t>
      </w:r>
      <w:r w:rsidRPr="00AD6C48">
        <w:t>har ingen erinran mot att skrivelsen kvarstår som inte slutbehandlad.</w:t>
      </w:r>
    </w:p>
    <w:p w:rsidR="0045208F" w:rsidRPr="00AD6C48" w:rsidRDefault="0045208F">
      <w:r w:rsidRPr="00AD6C48">
        <w:t xml:space="preserve">3. </w:t>
      </w:r>
      <w:r w:rsidRPr="00AD6C48">
        <w:rPr>
          <w:i/>
        </w:rPr>
        <w:t>(N20)</w:t>
      </w:r>
      <w:r w:rsidRPr="00AD6C48">
        <w:t xml:space="preserve"> Riksdagsskrivelse 2000/01:145, betänkande 2000/01:AU7, avser två tillkännag</w:t>
      </w:r>
      <w:r w:rsidRPr="00AD6C48">
        <w:t>i</w:t>
      </w:r>
      <w:r w:rsidRPr="00AD6C48">
        <w:t>vanden.</w:t>
      </w:r>
    </w:p>
    <w:p w:rsidR="0045208F" w:rsidRPr="00AD6C48" w:rsidRDefault="0045208F">
      <w:pPr>
        <w:pStyle w:val="Normaltindrag"/>
      </w:pPr>
      <w:r w:rsidRPr="00AD6C48">
        <w:t xml:space="preserve">Mom. 7 avser ett tillkännagivande om </w:t>
      </w:r>
      <w:r w:rsidRPr="00AD6C48">
        <w:rPr>
          <w:i/>
        </w:rPr>
        <w:t>utredning om rätten till politisk i</w:t>
      </w:r>
      <w:r w:rsidRPr="00AD6C48">
        <w:rPr>
          <w:i/>
        </w:rPr>
        <w:t>n</w:t>
      </w:r>
      <w:r w:rsidRPr="00AD6C48">
        <w:rPr>
          <w:i/>
        </w:rPr>
        <w:t>formation på arbetsplatsen</w:t>
      </w:r>
      <w:r w:rsidRPr="00AD6C48">
        <w:t>. I betänkandet underströk utskottet vikten av att människor känner sig delaktiga i och har kunskap om politiska frågor och att arbetsplatsen kan vara en sådan arena där politiska budskap kan förmedlas och debatteras. Utskottet ansåg därför att frågan skulle övervägas av en utre</w:t>
      </w:r>
      <w:r w:rsidRPr="00AD6C48">
        <w:t>d</w:t>
      </w:r>
      <w:r w:rsidRPr="00AD6C48">
        <w:t xml:space="preserve">ning eller på annat sätt som regeringen fann lämpligt. </w:t>
      </w:r>
    </w:p>
    <w:p w:rsidR="0045208F" w:rsidRPr="00AD6C48" w:rsidRDefault="0045208F">
      <w:pPr>
        <w:pStyle w:val="Normaltindrag"/>
      </w:pPr>
      <w:r w:rsidRPr="00AD6C48">
        <w:t xml:space="preserve">Mom. 12 avser ett tillkännagivande om </w:t>
      </w:r>
      <w:r w:rsidRPr="00AD6C48">
        <w:rPr>
          <w:i/>
        </w:rPr>
        <w:t>AKU-statistik</w:t>
      </w:r>
      <w:r w:rsidRPr="00AD6C48">
        <w:t xml:space="preserve"> och mom. 13 avser </w:t>
      </w:r>
      <w:r w:rsidRPr="00AD6C48">
        <w:rPr>
          <w:i/>
        </w:rPr>
        <w:t>regeringens skrivelse 1999/2000:146 Anställningsformen överenskommen visstidsanställning</w:t>
      </w:r>
      <w:r w:rsidRPr="00AD6C48">
        <w:t>. I betänkandet ansåg utskottet att det skulle vara av stort värde om Statistiska centralbyråns (SCB) arbetskraftsundersökningar (AKU) även omfattar frågor om bruket av anställningsformen överenskommen vis</w:t>
      </w:r>
      <w:r w:rsidRPr="00AD6C48">
        <w:t>s</w:t>
      </w:r>
      <w:r w:rsidRPr="00AD6C48">
        <w:t>tidsanställning. Utskottet ansåg att regeringen borde undersöka möjligheten att i AKU även få med denna up</w:t>
      </w:r>
      <w:r w:rsidRPr="00AD6C48">
        <w:t>p</w:t>
      </w:r>
      <w:r w:rsidRPr="00AD6C48">
        <w:t xml:space="preserve">gift. </w:t>
      </w:r>
    </w:p>
    <w:p w:rsidR="0045208F" w:rsidRPr="00AD6C48" w:rsidRDefault="0045208F">
      <w:pPr>
        <w:pStyle w:val="Normaltindrag"/>
      </w:pPr>
      <w:r w:rsidRPr="00AD6C48">
        <w:t>Vid förra årets behandling av motsvarande regeringsskrivelse (2001/02:75</w:t>
      </w:r>
      <w:r w:rsidRPr="00AD6C48">
        <w:t>) förutsatte arbetsmarknadsutskottet i sitt yttrande till konstitutionsutskottet (2001/02:AU3y) att dessa frågor borde kunna behandlas utan ytterligare dröjsmål.</w:t>
      </w:r>
    </w:p>
    <w:p w:rsidR="0045208F" w:rsidRPr="00AD6C48" w:rsidRDefault="0045208F">
      <w:r w:rsidRPr="00AD6C48">
        <w:t xml:space="preserve">Av den nu aktuella regeringsskrivelsen framgår att ärendet om </w:t>
      </w:r>
      <w:r w:rsidRPr="00AD6C48">
        <w:rPr>
          <w:i/>
        </w:rPr>
        <w:t>utredning om rätten till politisk information på arbetsplatsen</w:t>
      </w:r>
      <w:r w:rsidRPr="00AD6C48">
        <w:t xml:space="preserve"> bereds och att regeringen har för avsikt att under våren 2003 inom departementet upprätta en promemoria, för att därefter ta ställning till om ytterligare åtgärder behöver vidtas.</w:t>
      </w:r>
    </w:p>
    <w:p w:rsidR="0045208F" w:rsidRPr="00AD6C48" w:rsidRDefault="0045208F">
      <w:pPr>
        <w:pStyle w:val="Normaltindrag"/>
      </w:pPr>
      <w:r w:rsidRPr="00AD6C48">
        <w:rPr>
          <w:i/>
        </w:rPr>
        <w:t xml:space="preserve">Arbetsmarknadsutskottet </w:t>
      </w:r>
      <w:r w:rsidRPr="00AD6C48">
        <w:t>vill understryka vikten av att regeringen åte</w:t>
      </w:r>
      <w:r w:rsidRPr="00AD6C48">
        <w:t>r</w:t>
      </w:r>
      <w:r w:rsidRPr="00AD6C48">
        <w:t>kommer utan ytterligare dröjsmål så att skrivelsen därmed kan bli slutb</w:t>
      </w:r>
      <w:r w:rsidRPr="00AD6C48">
        <w:t>e</w:t>
      </w:r>
      <w:r w:rsidRPr="00AD6C48">
        <w:t xml:space="preserve">handlad i denna del. </w:t>
      </w:r>
    </w:p>
    <w:p w:rsidR="0045208F" w:rsidRPr="00AD6C48" w:rsidRDefault="0045208F">
      <w:r w:rsidRPr="00AD6C48">
        <w:t xml:space="preserve">När det gäller </w:t>
      </w:r>
      <w:r w:rsidRPr="00AD6C48">
        <w:rPr>
          <w:i/>
        </w:rPr>
        <w:t>AKU-statistik</w:t>
      </w:r>
      <w:r w:rsidRPr="00AD6C48">
        <w:t xml:space="preserve"> redovisas att regeringen har undersökt möjligh</w:t>
      </w:r>
      <w:r w:rsidRPr="00AD6C48">
        <w:t>e</w:t>
      </w:r>
      <w:r w:rsidRPr="00AD6C48">
        <w:t>terna att i AKU-statistiken ta in uppgifter om överenskommen visstidsanstäl</w:t>
      </w:r>
      <w:r w:rsidRPr="00AD6C48">
        <w:t>l</w:t>
      </w:r>
      <w:r w:rsidRPr="00AD6C48">
        <w:t xml:space="preserve">ning. SCB har emellertid bedömt det som omöjligt att mäta förekomsten av överenskommen visstidsanställning och funnit att AKU inte kan utnyttjas för en meningsfull utvärdering. Den 6 februari 2003 beslutade regeringen att lägga riksdagens skrivelse till handlingarna i dessa delar. </w:t>
      </w:r>
    </w:p>
    <w:p w:rsidR="0045208F" w:rsidRPr="00AD6C48" w:rsidRDefault="0045208F">
      <w:pPr>
        <w:pStyle w:val="Normaltindrag"/>
      </w:pPr>
      <w:r w:rsidRPr="00AD6C48">
        <w:rPr>
          <w:i/>
        </w:rPr>
        <w:t xml:space="preserve">Arbetsmarknadsutskottet </w:t>
      </w:r>
      <w:r w:rsidRPr="00AD6C48">
        <w:t>kan acceptera regeringens bedömning och anser därmed att skrivelsen bör kunna betraktas som slutb</w:t>
      </w:r>
      <w:r w:rsidRPr="00AD6C48">
        <w:t>e</w:t>
      </w:r>
      <w:r w:rsidRPr="00AD6C48">
        <w:t>handlad.</w:t>
      </w:r>
    </w:p>
    <w:p w:rsidR="0045208F" w:rsidRPr="00AD6C48" w:rsidRDefault="0045208F">
      <w:r w:rsidRPr="00AD6C48">
        <w:t xml:space="preserve">4. </w:t>
      </w:r>
      <w:r w:rsidRPr="00AD6C48">
        <w:rPr>
          <w:i/>
        </w:rPr>
        <w:t>(N23)</w:t>
      </w:r>
      <w:r w:rsidRPr="00AD6C48">
        <w:t xml:space="preserve"> Riksdagsskrivelse 2000/01:179, betänkande 2000/01:AU4,  avser ett tillkännagivande om </w:t>
      </w:r>
      <w:r w:rsidRPr="00AD6C48">
        <w:rPr>
          <w:i/>
        </w:rPr>
        <w:t>förstärkt skydd för föräldralediga</w:t>
      </w:r>
      <w:r w:rsidRPr="00AD6C48">
        <w:t xml:space="preserve">. I betänkandet ansåg utskottet att det fanns starka skäl att överväga om det finns behov av att stärka skyddet för arbetstagare som väljer att utnyttja sin rätt till ledighet i samband med föräldraskap och att i första hand förändringar i föräldraledighetslagen och lagen om anställningsskydd borde övervägas. </w:t>
      </w:r>
    </w:p>
    <w:p w:rsidR="0045208F" w:rsidRPr="00AD6C48" w:rsidRDefault="0045208F">
      <w:pPr>
        <w:pStyle w:val="Normaltindrag"/>
      </w:pPr>
      <w:r w:rsidRPr="00AD6C48">
        <w:t>Av skrivelsen framgår att ärendet bereds. Regeringen beslutade i oktober 2</w:t>
      </w:r>
      <w:r w:rsidRPr="00AD6C48">
        <w:t>001 att ge Arbetslivsinstitutet i uppdrag att överväga om det finns behov av att stärka skyddet för de arbetstagare som väljer att utnyttja sin rätt till ledi</w:t>
      </w:r>
      <w:r w:rsidRPr="00AD6C48">
        <w:t>g</w:t>
      </w:r>
      <w:r w:rsidRPr="00AD6C48">
        <w:t>het i samband med föräldraskap. I december 2002 redovisades uppdraget, som publicerats i Ds 2002:56 Hållfast arbetsrätt – ett föränderligt arbetsliv. Översynen har remitterats och remissvaren skall ha inkommit senast den 1 april 2003. Enligt uppgift från Näringsdepartementet har vissa instanser fått förlängd remisstid till den 15 april. (jämför ovan v</w:t>
      </w:r>
      <w:r w:rsidRPr="00AD6C48">
        <w:t xml:space="preserve">id 2). </w:t>
      </w:r>
    </w:p>
    <w:p w:rsidR="0045208F" w:rsidRPr="00AD6C48" w:rsidRDefault="0045208F">
      <w:pPr>
        <w:pStyle w:val="Normaltindrag"/>
      </w:pPr>
      <w:r w:rsidRPr="00AD6C48">
        <w:rPr>
          <w:i/>
        </w:rPr>
        <w:t xml:space="preserve">Arbetsmarknadsutskottet </w:t>
      </w:r>
      <w:r w:rsidRPr="00AD6C48">
        <w:t>har ingen erinran mot att skrivelsen kvarstår som inte slutbehandlad.</w:t>
      </w:r>
    </w:p>
    <w:p w:rsidR="0045208F" w:rsidRPr="00AD6C48" w:rsidRDefault="0045208F">
      <w:r w:rsidRPr="00AD6C48">
        <w:t xml:space="preserve">5. </w:t>
      </w:r>
      <w:r w:rsidRPr="00AD6C48">
        <w:rPr>
          <w:i/>
        </w:rPr>
        <w:t>(N25)</w:t>
      </w:r>
      <w:r w:rsidRPr="00AD6C48">
        <w:t xml:space="preserve"> Riksdagsskrivelse 2000/01:211, betänkande 2000/01:AU10, avser ett tillkännagivande om </w:t>
      </w:r>
      <w:r w:rsidRPr="00AD6C48">
        <w:rPr>
          <w:i/>
        </w:rPr>
        <w:t>avskaffad åldersgräns för läkarvårdsersättning m.m.</w:t>
      </w:r>
      <w:r w:rsidRPr="00AD6C48">
        <w:t xml:space="preserve"> Ärendet, som anknöt till det nya pensionssystemet, avsåg rätten att arbeta till 67 års ålder, vilket genomfördes med ändringar i lagen om anställningsskydd (LAS). För att göra det möjligt för läkare, sjukgymnaster, tandläkare och tandhygienister att fortsätta förvärvsarbeta beslutade riksdagen enligt utsko</w:t>
      </w:r>
      <w:r w:rsidRPr="00AD6C48">
        <w:t>t</w:t>
      </w:r>
      <w:r w:rsidRPr="00AD6C48">
        <w:t>tets förslag om en höjd åldersgräns från 65 till 67 år för r</w:t>
      </w:r>
      <w:r w:rsidRPr="00AD6C48">
        <w:t>ätt till ersättning enligt lagen om läkarvårdsersättning, lagen om ersättning för sjukgymnastik och lagen om allmän försäkring. Utskottet ansåg att dessa åldersgränser i nästa steg borde avskaffas helt och att regeringen borde återkomma med ett sådant förslag</w:t>
      </w:r>
      <w:r w:rsidRPr="00AD6C48">
        <w:rPr>
          <w:b/>
        </w:rPr>
        <w:t>.</w:t>
      </w:r>
      <w:r w:rsidRPr="00AD6C48">
        <w:t xml:space="preserve"> De nämnda ersättningslagarna hör annars till socialutskottets beredning</w:t>
      </w:r>
      <w:r w:rsidRPr="00AD6C48">
        <w:t>s</w:t>
      </w:r>
      <w:r w:rsidRPr="00AD6C48">
        <w:t xml:space="preserve">område. </w:t>
      </w:r>
    </w:p>
    <w:p w:rsidR="0045208F" w:rsidRPr="00AD6C48" w:rsidRDefault="0045208F">
      <w:pPr>
        <w:pStyle w:val="Normaltindrag"/>
      </w:pPr>
      <w:r w:rsidRPr="00AD6C48">
        <w:t>Av regeringens motsvarande skrivelse förra året (2001/02:75) framgick att regeringen den 20 december 2001 bemyndigat chefen för Socialdepartementet att tillkalla en särsk</w:t>
      </w:r>
      <w:r w:rsidRPr="00AD6C48">
        <w:t>ild utredare (S 2001:10) med uppdrag att utreda kons</w:t>
      </w:r>
      <w:r w:rsidRPr="00AD6C48">
        <w:t>e</w:t>
      </w:r>
      <w:r w:rsidRPr="00AD6C48">
        <w:t>kvenserna av ett avskaffande av åldersgränser när det gäller offentlig ersät</w:t>
      </w:r>
      <w:r w:rsidRPr="00AD6C48">
        <w:t>t</w:t>
      </w:r>
      <w:r w:rsidRPr="00AD6C48">
        <w:t>ning till läkare, sjukgymnaster, tandläkare och tandhygienister m.m. (dir. 2001:119) och att skrivelsen var slutbehandlad.</w:t>
      </w:r>
    </w:p>
    <w:p w:rsidR="0045208F" w:rsidRPr="00AD6C48" w:rsidRDefault="0045208F">
      <w:pPr>
        <w:pStyle w:val="Normaltindrag"/>
      </w:pPr>
      <w:r w:rsidRPr="00AD6C48">
        <w:t>Arbetsmarknadsutskottet ifrågasatte i sitt yttrande (2002/03:AU3y) till konstitutionsutskottet om skrivelsen rätteligen borde ha angetts som slutb</w:t>
      </w:r>
      <w:r w:rsidRPr="00AD6C48">
        <w:t>e</w:t>
      </w:r>
      <w:r w:rsidRPr="00AD6C48">
        <w:t>handlad med hänsyn till att tillkännagivandet gick ut på att regeringen borde återkomma till riksdagen med ett förslag. Arbetsmarknadsutskottet förutsatte att regeringen skulle återkomma till riksdagen i enlighet med tillkännagiva</w:t>
      </w:r>
      <w:r w:rsidRPr="00AD6C48">
        <w:t>n</w:t>
      </w:r>
      <w:r w:rsidRPr="00AD6C48">
        <w:t xml:space="preserve">det. </w:t>
      </w:r>
    </w:p>
    <w:p w:rsidR="0045208F" w:rsidRPr="00AD6C48" w:rsidRDefault="0045208F">
      <w:pPr>
        <w:pStyle w:val="Normaltindrag"/>
      </w:pPr>
      <w:r w:rsidRPr="00AD6C48">
        <w:t>Konstitutionsutskottet fann i sitt av riksdagen godkända betänkande (2001/02:KU35) inte anledning att göra någon annan bedömning än arbet</w:t>
      </w:r>
      <w:r w:rsidRPr="00AD6C48">
        <w:t>s</w:t>
      </w:r>
      <w:r w:rsidRPr="00AD6C48">
        <w:t>marknadsutskottet. Konstitutionsutskottet förutsatte att regeringen hörsammar riksdagens tillkännagivanden.</w:t>
      </w:r>
    </w:p>
    <w:p w:rsidR="0045208F" w:rsidRPr="00AD6C48" w:rsidRDefault="0045208F">
      <w:pPr>
        <w:pStyle w:val="Normaltindrag"/>
      </w:pPr>
      <w:r w:rsidRPr="00AD6C48">
        <w:t xml:space="preserve">Av den nu berörda regeringsskrivelsen framgår att utredaren redovisat sitt uppdrag i betänkandet Åldersgränser och ersättningsetablering (SOU 2003:7) som överlämnades till regeringen den 6 februari 2003 och att ärendet kommer att beredas under 2003. </w:t>
      </w:r>
    </w:p>
    <w:p w:rsidR="0045208F" w:rsidRPr="00AD6C48" w:rsidRDefault="0045208F">
      <w:r w:rsidRPr="00AD6C48">
        <w:t>Arbetsmarknadsutskottet kan konstatera att regeringen i mars till riksdagen har överlämnat proposition 2002/03:73 Höjd åldersgräns för tandläkares och tandhygienisters rätt till offentlig ersättning. Där föreslås att åldersgränsen höjs från 67 år till 70 år när det gäller offentlig ersättning till tandläkare och tandhygienister. Det föreslås även att det skall vara möjligt för tandläkare och tandhygienister som har fyllt 70 år att, efter individuell prövning, arbeta vid</w:t>
      </w:r>
      <w:r w:rsidRPr="00AD6C48">
        <w:t>a</w:t>
      </w:r>
      <w:r w:rsidRPr="00AD6C48">
        <w:t>re inom tandvårdsförsäkrin</w:t>
      </w:r>
      <w:r w:rsidRPr="00AD6C48">
        <w:t>g</w:t>
      </w:r>
      <w:r w:rsidRPr="00AD6C48">
        <w:t>en.</w:t>
      </w:r>
    </w:p>
    <w:p w:rsidR="0045208F" w:rsidRPr="00AD6C48" w:rsidRDefault="0045208F">
      <w:r w:rsidRPr="00AD6C48">
        <w:t>Propositionen kommer att behandlas i socialutskottets betänkande 2002/03:SoU17.</w:t>
      </w:r>
    </w:p>
    <w:p w:rsidR="0045208F" w:rsidRPr="00AD6C48" w:rsidRDefault="0045208F">
      <w:pPr>
        <w:pStyle w:val="Normaltindrag"/>
      </w:pPr>
      <w:r w:rsidRPr="00AD6C48">
        <w:t>Av propositionen framgår att de delar av utredarens förslag som avser å</w:t>
      </w:r>
      <w:r w:rsidRPr="00AD6C48">
        <w:t>l</w:t>
      </w:r>
      <w:r w:rsidRPr="00AD6C48">
        <w:t xml:space="preserve">dersgränser för läkare och sjukgymnaster samt möjligheterna att överlåta en praktik, för närvarande bereds i Socialdepartementet. </w:t>
      </w:r>
    </w:p>
    <w:p w:rsidR="0045208F" w:rsidRPr="00AD6C48" w:rsidRDefault="0045208F">
      <w:pPr>
        <w:pStyle w:val="Normaltindrag"/>
      </w:pPr>
      <w:r w:rsidRPr="00AD6C48">
        <w:rPr>
          <w:i/>
        </w:rPr>
        <w:t xml:space="preserve">Arbetsmarknadsutskottet </w:t>
      </w:r>
      <w:r w:rsidRPr="00AD6C48">
        <w:t>har från de synpunkter utskottet har att iaktta in</w:t>
      </w:r>
      <w:r w:rsidRPr="00AD6C48">
        <w:t>g</w:t>
      </w:r>
      <w:r w:rsidRPr="00AD6C48">
        <w:t>en erinran mot att skrivelsen kvarstår som inte slutbehandlad.</w:t>
      </w:r>
    </w:p>
    <w:p w:rsidR="0045208F" w:rsidRPr="00AD6C48" w:rsidRDefault="0045208F">
      <w:r w:rsidRPr="00AD6C48">
        <w:t xml:space="preserve">6. </w:t>
      </w:r>
      <w:r w:rsidRPr="00AD6C48">
        <w:rPr>
          <w:i/>
        </w:rPr>
        <w:t>(N59)</w:t>
      </w:r>
      <w:r w:rsidRPr="00AD6C48">
        <w:t xml:space="preserve"> Riksdagsskrivelse 2001/02:322, betänkande 2001/02:AU10, avser ett system för </w:t>
      </w:r>
      <w:r w:rsidRPr="00AD6C48">
        <w:rPr>
          <w:i/>
        </w:rPr>
        <w:t>individuell kompetensutveckling</w:t>
      </w:r>
      <w:r w:rsidRPr="00AD6C48">
        <w:t>. Mom. 2 avser utgångspunkter m.m. för ett system för individuell kompetensutveckling och mom. 3 riktlinjer i övrigt för ett system för individuell kompetensutveckling. Av regeringens skrivelse framgår att dessa moment återstår att behandla och att ärendet b</w:t>
      </w:r>
      <w:r w:rsidRPr="00AD6C48">
        <w:t>e</w:t>
      </w:r>
      <w:r w:rsidRPr="00AD6C48">
        <w:t xml:space="preserve">reds. </w:t>
      </w:r>
    </w:p>
    <w:p w:rsidR="0045208F" w:rsidRPr="00AD6C48" w:rsidRDefault="0045208F">
      <w:pPr>
        <w:pStyle w:val="Normaltindrag"/>
      </w:pPr>
      <w:r w:rsidRPr="00AD6C48">
        <w:t>Arbetsmarknadsutskottet, som noterar att skrivelsens redogörelse huvu</w:t>
      </w:r>
      <w:r w:rsidRPr="00AD6C48">
        <w:t>d</w:t>
      </w:r>
      <w:r w:rsidRPr="00AD6C48">
        <w:t>sakligen omfattar regeringsbeslut under 2002, har under hand erfarit att det inom Regeringskansliet pågår arbete med att precisera det betydande antal öppna frågor som fanns i den riktlinjeproposition som riksdagen tog ställning till förra våren. I 2003 års vårproposition läggs det fram vissa förslag om medlen för individuell kompetensutveckling. Medlen placeras på visst sätt i avvaktan på ett beslut om hur de skall användas för kompetensutveckling i arbetsl</w:t>
      </w:r>
      <w:r w:rsidRPr="00AD6C48">
        <w:t>i</w:t>
      </w:r>
      <w:r w:rsidRPr="00AD6C48">
        <w:t xml:space="preserve">vet (prop. s. 190). </w:t>
      </w:r>
    </w:p>
    <w:p w:rsidR="0045208F" w:rsidRPr="00AD6C48" w:rsidRDefault="0045208F">
      <w:pPr>
        <w:pStyle w:val="Normaltindrag"/>
      </w:pPr>
      <w:r w:rsidRPr="00AD6C48">
        <w:rPr>
          <w:i/>
        </w:rPr>
        <w:t xml:space="preserve">Arbetsmarknadsutskottet </w:t>
      </w:r>
      <w:r w:rsidRPr="00AD6C48">
        <w:t>har förståelse för att frågan kräver omfattande b</w:t>
      </w:r>
      <w:r w:rsidRPr="00AD6C48">
        <w:t>e</w:t>
      </w:r>
      <w:r w:rsidRPr="00AD6C48">
        <w:t>redningsarbete och har mot denna bakgrund ingen erinran mot att skrivelsen kvarstår som inte slutb</w:t>
      </w:r>
      <w:r w:rsidRPr="00AD6C48">
        <w:t>e</w:t>
      </w:r>
      <w:r w:rsidRPr="00AD6C48">
        <w:t>handlad.</w:t>
      </w:r>
    </w:p>
    <w:p w:rsidR="0045208F" w:rsidRPr="00AD6C48" w:rsidRDefault="0045208F">
      <w:r w:rsidRPr="00AD6C48">
        <w:t xml:space="preserve">De skrivelser som anges som slutbehandlade föranleder inga kommentarer från utskottets sida. </w:t>
      </w:r>
    </w:p>
    <w:p w:rsidR="0045208F" w:rsidRPr="00AD6C48" w:rsidRDefault="0045208F"/>
    <w:p w:rsidR="0045208F" w:rsidRPr="00AD6C48" w:rsidRDefault="0045208F">
      <w:pPr>
        <w:pStyle w:val="Normaltindrag"/>
      </w:pPr>
    </w:p>
    <w:p w:rsidR="0045208F" w:rsidRPr="00AD6C48" w:rsidRDefault="0045208F">
      <w:pPr>
        <w:pStyle w:val="Utskriftsdatum"/>
      </w:pPr>
      <w:r w:rsidRPr="00AD6C48">
        <w:t xml:space="preserve">Stockholm den 29 april 2003 </w:t>
      </w:r>
    </w:p>
    <w:p w:rsidR="0045208F" w:rsidRPr="00AD6C48" w:rsidRDefault="0045208F">
      <w:r w:rsidRPr="00AD6C48">
        <w:t>På arbetsmarknadsutskottets vägnar</w:t>
      </w:r>
    </w:p>
    <w:p w:rsidR="0045208F" w:rsidRPr="00AD6C48" w:rsidRDefault="0045208F">
      <w:pPr>
        <w:pStyle w:val="Ordfranden"/>
        <w:rPr>
          <w:noProof w:val="0"/>
        </w:rPr>
      </w:pPr>
      <w:r w:rsidRPr="00AD6C48">
        <w:rPr>
          <w:noProof w:val="0"/>
        </w:rPr>
        <w:t xml:space="preserve">Anders Karlsson </w:t>
      </w:r>
    </w:p>
    <w:p w:rsidR="0045208F" w:rsidRPr="00AD6C48" w:rsidRDefault="0045208F">
      <w:pPr>
        <w:pStyle w:val="Deltagare"/>
        <w:rPr>
          <w:noProof w:val="0"/>
        </w:rPr>
      </w:pPr>
      <w:r w:rsidRPr="00AD6C48">
        <w:rPr>
          <w:noProof w:val="0"/>
        </w:rPr>
        <w:t>Följande ledamöter har deltagit i beslutet: Anders Karlsson (s), Margareta Andersson (c), Laila Bjurling (s), Anders G Högmark (m), Christer Skoog (s), Sonja Fransson (s), Stefan Attefall (kd), Camilla Sköld Jansson (v), Patrik Norinder (m), Lars Lilja (s), Tina Acketoft (fp), Berit Högman (s), Henrik Westman (m), Britta Lejon (s), Ulf Holm (mp), Mauricio Rojas (fp) och Mariam Osman Sherifay (s).</w:t>
      </w:r>
    </w:p>
    <w:p w:rsidR="0045208F" w:rsidRPr="00AD6C48" w:rsidRDefault="0045208F"/>
    <w:p w:rsidR="0045208F" w:rsidRPr="00AD6C48" w:rsidRDefault="0045208F">
      <w:pPr>
        <w:pStyle w:val="R1"/>
      </w:pPr>
      <w:r w:rsidRPr="00AD6C48">
        <w:br w:type="page"/>
      </w:r>
      <w:bookmarkStart w:id="65" w:name="_Toc37478503"/>
      <w:r w:rsidRPr="00AD6C48">
        <w:t>Avvikande mening</w:t>
      </w:r>
      <w:bookmarkEnd w:id="65"/>
    </w:p>
    <w:p w:rsidR="0045208F" w:rsidRPr="00AD6C48" w:rsidRDefault="0045208F">
      <w:pPr>
        <w:pStyle w:val="R3"/>
      </w:pPr>
      <w:r w:rsidRPr="00AD6C48">
        <w:t>Individuell kompetensutveckling (N59)</w:t>
      </w:r>
    </w:p>
    <w:p w:rsidR="0045208F" w:rsidRPr="00AD6C48" w:rsidRDefault="0045208F">
      <w:pPr>
        <w:pStyle w:val="Reservanter"/>
      </w:pPr>
      <w:r w:rsidRPr="00AD6C48">
        <w:t>av Margareta Andersson (c), Anders G Högmark (m), Stefan Attefall (kd), Patrik Norinder (m), Tina Acketoft (fp), Henrik Westman (m) och Mauricio Rojas (fp).</w:t>
      </w:r>
    </w:p>
    <w:p w:rsidR="0045208F" w:rsidRPr="00AD6C48" w:rsidRDefault="0045208F">
      <w:r w:rsidRPr="00AD6C48">
        <w:t>När det gäller regeringens behandling av riksdagens skrivelse 2001/02:322 vill vi anföra följande.</w:t>
      </w:r>
    </w:p>
    <w:p w:rsidR="0045208F" w:rsidRPr="00AD6C48" w:rsidRDefault="0045208F">
      <w:pPr>
        <w:pStyle w:val="Normaltindrag"/>
      </w:pPr>
      <w:r w:rsidRPr="00AD6C48">
        <w:t>I proposition 2001/02:175 Ett system för individuell kompetensutveckling som riksdagen tog ställning till förra våren uttalade regeringen att den under hösten 2002 avsåg att återkomma med förslag till den lagstiftning som behövs och att systemet var avsett att träda ikraft den 1 juli 2003. Något sådant fö</w:t>
      </w:r>
      <w:r w:rsidRPr="00AD6C48">
        <w:t>r</w:t>
      </w:r>
      <w:r w:rsidRPr="00AD6C48">
        <w:t>slag har ännu inte kommit till riksdagen och då tidsgränsen för regeringen att lägga förslag som kan behandlas av riksdagen under våren är passerad har möjligheten av ett ikraftträdande den 1 juli gått förlorad. Ett införande av ett system för individuell kompetensutveckling är en viktig reform som nu än en gång skjutits på framtiden. Vi anser och har också tidigare i reservationer (betänkande 2001/02:AU10 och 2002/03:AU2) ansett att regeringen förtjänar stark kritik för hela sin handläggning av frågan.</w:t>
      </w:r>
    </w:p>
    <w:p w:rsidR="0045208F" w:rsidRPr="00AD6C48" w:rsidRDefault="0045208F">
      <w:pPr>
        <w:pStyle w:val="Normaltindrag"/>
      </w:pPr>
      <w:r w:rsidRPr="00AD6C48">
        <w:t>Vi</w:t>
      </w:r>
      <w:r w:rsidRPr="00AD6C48">
        <w:t xml:space="preserve"> anser att den redovisning som lämnas i den nu aktuella skrivelsen, där regeringen endast hänvisar till att ärendet bereds, är ytterst bristfällig. Det borde rimligen varit möjligt att lämna en fylligare beskrivning av hur bere</w:t>
      </w:r>
      <w:r w:rsidRPr="00AD6C48">
        <w:t>d</w:t>
      </w:r>
      <w:r w:rsidRPr="00AD6C48">
        <w:t xml:space="preserve">ningsläget såg ut vid årsskiftet. Enligt vår mening borde regeringen också ha kunnat förutse att den tänkta tidsplanen inte kommer att kunna hållas. </w:t>
      </w:r>
    </w:p>
    <w:p w:rsidR="0045208F" w:rsidRPr="00AD6C48" w:rsidRDefault="0045208F">
      <w:pPr>
        <w:pStyle w:val="Normaltindrag"/>
      </w:pPr>
      <w:r w:rsidRPr="00AD6C48">
        <w:t>Konstitutionsutskottet har vid flera tillfällen framhållit att regeringens r</w:t>
      </w:r>
      <w:r w:rsidRPr="00AD6C48">
        <w:t>e</w:t>
      </w:r>
      <w:r w:rsidRPr="00AD6C48">
        <w:t>dogörelse för behandlingen av riksdagens skrivelser till regeringen fyller en viktig funktion i riksdagens uppföljnings- och utvärderingsarbete. Att endast hänvisa till att ett ärende bereds innebär att redogörelsen inte kan sägas up</w:t>
      </w:r>
      <w:r w:rsidRPr="00AD6C48">
        <w:t>p</w:t>
      </w:r>
      <w:r w:rsidRPr="00AD6C48">
        <w:t xml:space="preserve">fylla det syftet. </w:t>
      </w:r>
    </w:p>
    <w:p w:rsidR="0045208F" w:rsidRPr="00AD6C48" w:rsidRDefault="0045208F">
      <w:r w:rsidRPr="00AD6C48">
        <w:t>Vi finner att det finns anledning för konstitutionsutskottet att påpeka vad som ovan framförts.</w:t>
      </w:r>
    </w:p>
    <w:p w:rsidR="0045208F" w:rsidRPr="00AD6C48" w:rsidRDefault="0045208F"/>
    <w:p w:rsidR="0045208F" w:rsidRPr="00AD6C48" w:rsidRDefault="0045208F"/>
    <w:p w:rsidR="0045208F" w:rsidRPr="00AD6C48" w:rsidRDefault="0045208F">
      <w:pPr>
        <w:pStyle w:val="Normaltindrag"/>
        <w:sectPr w:rsidR="00000000" w:rsidRPr="00AD6C48">
          <w:headerReference w:type="even" r:id="rId122"/>
          <w:headerReference w:type="default" r:id="rId123"/>
          <w:footerReference w:type="even" r:id="rId124"/>
          <w:footerReference w:type="default" r:id="rId125"/>
          <w:headerReference w:type="first" r:id="rId126"/>
          <w:footerReference w:type="first" r:id="rId127"/>
          <w:pgSz w:w="11906" w:h="16838" w:code="9"/>
          <w:pgMar w:top="907" w:right="4649" w:bottom="4508" w:left="1304" w:header="340" w:footer="227" w:gutter="0"/>
          <w:cols w:space="720"/>
          <w:titlePg/>
        </w:sectPr>
      </w:pPr>
    </w:p>
    <w:p w:rsidR="0045208F" w:rsidRPr="00AD6C48" w:rsidRDefault="0045208F">
      <w:pPr>
        <w:pStyle w:val="Bilaga"/>
      </w:pPr>
      <w:r w:rsidRPr="00AD6C48">
        <w:t>Bilaga 16</w:t>
      </w:r>
    </w:p>
    <w:p w:rsidR="0045208F" w:rsidRPr="00AD6C48" w:rsidRDefault="0045208F">
      <w:pPr>
        <w:pStyle w:val="Rubrik1"/>
        <w:rPr>
          <w:noProof w:val="0"/>
        </w:rPr>
      </w:pPr>
      <w:bookmarkStart w:id="66" w:name="_Toc41451058"/>
      <w:r w:rsidRPr="00AD6C48">
        <w:rPr>
          <w:noProof w:val="0"/>
        </w:rPr>
        <w:t>Bostadsutskottets yttrande 2002/03:BoU2y</w:t>
      </w:r>
      <w:bookmarkEnd w:id="66"/>
    </w:p>
    <w:p w:rsidR="0045208F" w:rsidRPr="00AD6C48" w:rsidRDefault="0045208F">
      <w:pPr>
        <w:pStyle w:val="R1"/>
        <w:spacing w:after="250"/>
      </w:pPr>
      <w:r w:rsidRPr="00AD6C48">
        <w:t>Till konstitutionsutskottet</w:t>
      </w:r>
    </w:p>
    <w:p w:rsidR="0045208F" w:rsidRPr="00AD6C48" w:rsidRDefault="0045208F">
      <w:r w:rsidRPr="00AD6C48">
        <w:t>Konstitutionsutskottet har anmodat övriga utskott att yttra sig över regerin</w:t>
      </w:r>
      <w:r w:rsidRPr="00AD6C48">
        <w:t>g</w:t>
      </w:r>
      <w:r w:rsidRPr="00AD6C48">
        <w:t xml:space="preserve">ens skrivelse 2002/03:75 </w:t>
      </w:r>
      <w:r w:rsidRPr="00AD6C48">
        <w:rPr>
          <w:i/>
        </w:rPr>
        <w:t>Redogörelse för behandlingen av riksdagens skr</w:t>
      </w:r>
      <w:r w:rsidRPr="00AD6C48">
        <w:rPr>
          <w:i/>
        </w:rPr>
        <w:t>i</w:t>
      </w:r>
      <w:r w:rsidRPr="00AD6C48">
        <w:rPr>
          <w:i/>
        </w:rPr>
        <w:t>velser till regeringen</w:t>
      </w:r>
      <w:r w:rsidRPr="00AD6C48">
        <w:t xml:space="preserve"> samt de två motioner som väckts med anledning av regeringens skrive</w:t>
      </w:r>
      <w:r w:rsidRPr="00AD6C48">
        <w:t>l</w:t>
      </w:r>
      <w:r w:rsidRPr="00AD6C48">
        <w:t>se.</w:t>
      </w:r>
    </w:p>
    <w:p w:rsidR="0045208F" w:rsidRPr="00AD6C48" w:rsidRDefault="0045208F">
      <w:pPr>
        <w:pStyle w:val="Normaltindrag"/>
      </w:pPr>
      <w:r w:rsidRPr="00AD6C48">
        <w:t xml:space="preserve">Utskottet har granskat regeringens skrivelse i de delar den berör utskottets beredningsområde bl.a. mot bakgrund av vad motionärerna anfört. </w:t>
      </w:r>
    </w:p>
    <w:p w:rsidR="0045208F" w:rsidRPr="00AD6C48" w:rsidRDefault="0045208F">
      <w:pPr>
        <w:pStyle w:val="Normaltindrag"/>
      </w:pPr>
      <w:r w:rsidRPr="00AD6C48">
        <w:t>Denna granskning ger utskottet anledning att uppmärksamma vikten av att regeringen efter ett tillkännagivande av riksdagen utan något egentligt dröj</w:t>
      </w:r>
      <w:r w:rsidRPr="00AD6C48">
        <w:t>s</w:t>
      </w:r>
      <w:r w:rsidRPr="00AD6C48">
        <w:t>mål vidtar de åtgärder som är nödvändiga för att regeringen skall kunna efte</w:t>
      </w:r>
      <w:r w:rsidRPr="00AD6C48">
        <w:t>r</w:t>
      </w:r>
      <w:r w:rsidRPr="00AD6C48">
        <w:t>komma tillkännagivandet, t.ex. tillsätter en av riksdagen önskad utredning. I de undantagsfall regeringen, av ett eller annat skäl, avser att avvakta med vidare beredningsåtgärder bör regeringen för riksdagen skyndsamt redovisa sitt dröjsmål och skälen för detta. Motsvarande bör gälla om en pågående beredningsåtgärd alltför länge drar ut på tiden. Regeringens skyndsamhet i detta avseende är naturligtvis särskilt viktig i de fall r</w:t>
      </w:r>
      <w:r w:rsidRPr="00AD6C48">
        <w:t>iksdagen ansett att ett ärende är brådskande eller har angivit en tid inom vilken en efterfrågad åtgärd bör vidtas. Därutöver kan det vara en lämplig ordning att regeringen i sin årliga skrivelse till riksdagen på ett mer preciserat sätt anger orsaken till en längre tidsutdräkt.</w:t>
      </w:r>
    </w:p>
    <w:p w:rsidR="0045208F" w:rsidRPr="00AD6C48" w:rsidRDefault="0045208F">
      <w:pPr>
        <w:pStyle w:val="Normaltindrag"/>
      </w:pPr>
      <w:r w:rsidRPr="00AD6C48">
        <w:t>Utskottet har i övrigt inte något att anföra.</w:t>
      </w:r>
    </w:p>
    <w:p w:rsidR="0045208F" w:rsidRPr="00AD6C48" w:rsidRDefault="0045208F">
      <w:pPr>
        <w:pStyle w:val="Normaltindrag"/>
      </w:pPr>
    </w:p>
    <w:p w:rsidR="0045208F" w:rsidRPr="00AD6C48" w:rsidRDefault="0045208F">
      <w:pPr>
        <w:pStyle w:val="Normaltindrag"/>
      </w:pPr>
    </w:p>
    <w:p w:rsidR="0045208F" w:rsidRPr="00AD6C48" w:rsidRDefault="0045208F">
      <w:pPr>
        <w:pStyle w:val="Utskriftsdatum"/>
      </w:pPr>
      <w:r w:rsidRPr="00AD6C48">
        <w:br w:type="page"/>
        <w:t xml:space="preserve">Stockholm den 29 april 2003 </w:t>
      </w:r>
    </w:p>
    <w:p w:rsidR="0045208F" w:rsidRPr="00AD6C48" w:rsidRDefault="0045208F">
      <w:r w:rsidRPr="00AD6C48">
        <w:t>På bostadsutskottets vägnar</w:t>
      </w:r>
    </w:p>
    <w:p w:rsidR="0045208F" w:rsidRPr="00AD6C48" w:rsidRDefault="0045208F">
      <w:pPr>
        <w:pStyle w:val="Ordfranden"/>
        <w:rPr>
          <w:noProof w:val="0"/>
        </w:rPr>
      </w:pPr>
      <w:r w:rsidRPr="00AD6C48">
        <w:rPr>
          <w:noProof w:val="0"/>
        </w:rPr>
        <w:t xml:space="preserve">Göran Hägglund </w:t>
      </w:r>
    </w:p>
    <w:p w:rsidR="0045208F" w:rsidRPr="00AD6C48" w:rsidRDefault="0045208F">
      <w:pPr>
        <w:pStyle w:val="Deltagare"/>
        <w:rPr>
          <w:noProof w:val="0"/>
        </w:rPr>
      </w:pPr>
      <w:r w:rsidRPr="00AD6C48">
        <w:rPr>
          <w:noProof w:val="0"/>
        </w:rPr>
        <w:t>Följande ledamöter har deltagit i beslutet: Göran Hägglund (kd), Owe Hellberg (v), Anders Ygeman (s), Lilian Virgin (s), Marietta de Pourbaix-Lundin (m), Nina Lundström (fp), Siw Wittgren-Ahl (s), Hans Unander (s), Maria Öberg (s), Margareta Pålsson (m), Ingela Thalén (s), Lars Tysklind (fp), Rigmor Stenmark (c), Gunnar Sandberg (s), Peter Danielsson (m), Sten Lundström (v) och Helena Hillar Rosenqvist (mp).</w:t>
      </w:r>
    </w:p>
    <w:p w:rsidR="0045208F" w:rsidRPr="00AD6C48" w:rsidRDefault="0045208F">
      <w:pPr>
        <w:pStyle w:val="Deltagare"/>
        <w:rPr>
          <w:noProof w:val="0"/>
        </w:rPr>
      </w:pPr>
    </w:p>
    <w:p w:rsidR="0045208F" w:rsidRPr="00AD6C48" w:rsidRDefault="0045208F">
      <w:pPr>
        <w:pStyle w:val="Tryckort"/>
        <w:framePr w:wrap="around"/>
      </w:pPr>
      <w:r w:rsidRPr="00AD6C48">
        <w:t>Elanders Gotab, Stockholm  2003</w:t>
      </w:r>
    </w:p>
    <w:p w:rsidR="0045208F" w:rsidRPr="00AD6C48" w:rsidRDefault="0045208F">
      <w:pPr>
        <w:pStyle w:val="Normaltindrag"/>
      </w:pPr>
    </w:p>
    <w:sectPr w:rsidR="0045208F" w:rsidRPr="00AD6C48">
      <w:headerReference w:type="even" r:id="rId128"/>
      <w:headerReference w:type="default" r:id="rId129"/>
      <w:footerReference w:type="even" r:id="rId130"/>
      <w:footerReference w:type="default" r:id="rId131"/>
      <w:headerReference w:type="first" r:id="rId132"/>
      <w:footerReference w:type="first" r:id="rId13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08F" w:rsidRPr="00AD6C48" w:rsidRDefault="0045208F">
      <w:pPr>
        <w:spacing w:before="0" w:line="240" w:lineRule="auto"/>
      </w:pPr>
      <w:r w:rsidRPr="00AD6C48">
        <w:separator/>
      </w:r>
    </w:p>
  </w:endnote>
  <w:endnote w:type="continuationSeparator" w:id="0">
    <w:p w:rsidR="0045208F" w:rsidRPr="00AD6C48" w:rsidRDefault="0045208F">
      <w:pPr>
        <w:spacing w:before="0" w:line="240" w:lineRule="auto"/>
      </w:pPr>
      <w:r w:rsidRPr="00AD6C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w:t>
    </w:r>
    <w:r w:rsidRPr="00AD6C48">
      <w:fldChar w:fldCharType="end"/>
    </w:r>
  </w:p>
  <w:p w:rsidR="0045208F" w:rsidRPr="00AD6C48" w:rsidRDefault="0045208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20</w:t>
    </w:r>
    <w:r w:rsidRPr="00AD6C48">
      <w:fldChar w:fldCharType="end"/>
    </w:r>
  </w:p>
  <w:p w:rsidR="0045208F" w:rsidRPr="00AD6C48" w:rsidRDefault="0045208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21</w:t>
    </w:r>
    <w:r w:rsidRPr="00AD6C48">
      <w:fldChar w:fldCharType="end"/>
    </w:r>
  </w:p>
  <w:p w:rsidR="0045208F" w:rsidRPr="00AD6C48" w:rsidRDefault="0045208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4</w:instrText>
    </w:r>
    <w:r w:rsidRPr="00AD6C48">
      <w:fldChar w:fldCharType="end"/>
    </w:r>
    <w:r w:rsidRPr="00AD6C48">
      <w:instrText xml:space="preserve">/2 </w:instrText>
    </w:r>
    <w:r w:rsidRPr="00AD6C48">
      <w:fldChar w:fldCharType="separate"/>
    </w:r>
    <w:r w:rsidRPr="00AD6C48">
      <w:instrText>2</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4</w:instrText>
    </w:r>
    <w:r w:rsidRPr="00AD6C48">
      <w:fldChar w:fldCharType="end"/>
    </w:r>
    <w:r w:rsidRPr="00AD6C48">
      <w:instrText xml:space="preserve">/2) </w:instrText>
    </w:r>
    <w:r w:rsidRPr="00AD6C48">
      <w:fldChar w:fldCharType="separate"/>
    </w:r>
    <w:r w:rsidRPr="00AD6C48">
      <w:instrText>2</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4</w:instrText>
    </w:r>
    <w:r w:rsidRPr="00AD6C48">
      <w:fldChar w:fldCharType="end"/>
    </w:r>
  </w:p>
  <w:p w:rsidR="0045208F" w:rsidRPr="00AD6C48" w:rsidRDefault="0045208F">
    <w:pPr>
      <w:pStyle w:val="SidfotV"/>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5</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4</w:t>
    </w:r>
    <w:r w:rsidRPr="00AD6C48">
      <w:fldChar w:fldCharType="end"/>
    </w:r>
  </w:p>
  <w:p w:rsidR="0045208F" w:rsidRPr="00AD6C48" w:rsidRDefault="0045208F">
    <w:pPr>
      <w:pStyle w:val="SidfotH"/>
      <w:framePr w:w="8732" w:h="284" w:hRule="exact" w:hSpace="0" w:vSpace="0" w:wrap="around" w:xAlign="inside" w:y="13042" w:anchorLock="0"/>
    </w:pPr>
    <w:r w:rsidRPr="00AD6C48">
      <w:fldChar w:fldCharType="end"/>
    </w:r>
  </w:p>
  <w:p w:rsidR="0045208F" w:rsidRPr="00AD6C48" w:rsidRDefault="0045208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24</w:t>
    </w:r>
    <w:r w:rsidRPr="00AD6C48">
      <w:fldChar w:fldCharType="end"/>
    </w:r>
  </w:p>
  <w:p w:rsidR="0045208F" w:rsidRPr="00AD6C48" w:rsidRDefault="0045208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23</w:t>
    </w:r>
    <w:r w:rsidRPr="00AD6C48">
      <w:fldChar w:fldCharType="end"/>
    </w:r>
  </w:p>
  <w:p w:rsidR="0045208F" w:rsidRPr="00AD6C48" w:rsidRDefault="0045208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22</w:instrText>
    </w:r>
    <w:r w:rsidRPr="00AD6C48">
      <w:fldChar w:fldCharType="end"/>
    </w:r>
    <w:r w:rsidRPr="00AD6C48">
      <w:instrText xml:space="preserve">/2 </w:instrText>
    </w:r>
    <w:r w:rsidRPr="00AD6C48">
      <w:fldChar w:fldCharType="separate"/>
    </w:r>
    <w:r w:rsidRPr="00AD6C48">
      <w:instrText>11</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22</w:instrText>
    </w:r>
    <w:r w:rsidRPr="00AD6C48">
      <w:fldChar w:fldCharType="end"/>
    </w:r>
    <w:r w:rsidRPr="00AD6C48">
      <w:instrText xml:space="preserve">/2) </w:instrText>
    </w:r>
    <w:r w:rsidRPr="00AD6C48">
      <w:fldChar w:fldCharType="separate"/>
    </w:r>
    <w:r w:rsidRPr="00AD6C48">
      <w:instrText>11</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22</w:instrText>
    </w:r>
    <w:r w:rsidRPr="00AD6C48">
      <w:fldChar w:fldCharType="end"/>
    </w:r>
  </w:p>
  <w:p w:rsidR="0045208F" w:rsidRPr="00AD6C48" w:rsidRDefault="0045208F">
    <w:pPr>
      <w:pStyle w:val="SidfotV"/>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23</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22</w:t>
    </w:r>
    <w:r w:rsidRPr="00AD6C48">
      <w:fldChar w:fldCharType="end"/>
    </w:r>
  </w:p>
  <w:p w:rsidR="0045208F" w:rsidRPr="00AD6C48" w:rsidRDefault="0045208F">
    <w:pPr>
      <w:pStyle w:val="SidfotH"/>
      <w:framePr w:w="8732" w:h="284" w:hRule="exact" w:hSpace="0" w:vSpace="0" w:wrap="around" w:xAlign="inside" w:y="13042" w:anchorLock="0"/>
    </w:pPr>
    <w:r w:rsidRPr="00AD6C48">
      <w:fldChar w:fldCharType="end"/>
    </w:r>
  </w:p>
  <w:p w:rsidR="0045208F" w:rsidRPr="00AD6C48" w:rsidRDefault="0045208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26</w:t>
    </w:r>
    <w:r w:rsidRPr="00AD6C48">
      <w:fldChar w:fldCharType="end"/>
    </w:r>
  </w:p>
  <w:p w:rsidR="0045208F" w:rsidRPr="00AD6C48" w:rsidRDefault="0045208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27</w:t>
    </w:r>
    <w:r w:rsidRPr="00AD6C48">
      <w:fldChar w:fldCharType="end"/>
    </w:r>
  </w:p>
  <w:p w:rsidR="0045208F" w:rsidRPr="00AD6C48" w:rsidRDefault="0045208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24</w:instrText>
    </w:r>
    <w:r w:rsidRPr="00AD6C48">
      <w:fldChar w:fldCharType="end"/>
    </w:r>
    <w:r w:rsidRPr="00AD6C48">
      <w:instrText xml:space="preserve">/2 </w:instrText>
    </w:r>
    <w:r w:rsidRPr="00AD6C48">
      <w:fldChar w:fldCharType="separate"/>
    </w:r>
    <w:r w:rsidRPr="00AD6C48">
      <w:instrText>12</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24</w:instrText>
    </w:r>
    <w:r w:rsidRPr="00AD6C48">
      <w:fldChar w:fldCharType="end"/>
    </w:r>
    <w:r w:rsidRPr="00AD6C48">
      <w:instrText xml:space="preserve">/2) </w:instrText>
    </w:r>
    <w:r w:rsidRPr="00AD6C48">
      <w:fldChar w:fldCharType="separate"/>
    </w:r>
    <w:r w:rsidRPr="00AD6C48">
      <w:instrText>12</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24</w:instrText>
    </w:r>
    <w:r w:rsidRPr="00AD6C48">
      <w:fldChar w:fldCharType="end"/>
    </w:r>
  </w:p>
  <w:p w:rsidR="0045208F" w:rsidRPr="00AD6C48" w:rsidRDefault="0045208F">
    <w:pPr>
      <w:pStyle w:val="SidfotV"/>
      <w:framePr w:w="8957" w:h="283" w:hRule="exact" w:hSpace="0" w:vSpace="0" w:wrap="around" w:xAlign="inside" w:y="13040"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25</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24</w:t>
    </w:r>
    <w:r w:rsidRPr="00AD6C48">
      <w:fldChar w:fldCharType="end"/>
    </w:r>
  </w:p>
  <w:p w:rsidR="0045208F" w:rsidRPr="00AD6C48" w:rsidRDefault="0045208F">
    <w:pPr>
      <w:pStyle w:val="SidfotH"/>
      <w:framePr w:w="8957" w:h="283" w:hRule="exact" w:hSpace="0" w:vSpace="0" w:wrap="around" w:xAlign="inside" w:y="13040" w:anchorLock="0"/>
    </w:pPr>
    <w:r w:rsidRPr="00AD6C48">
      <w:fldChar w:fldCharType="end"/>
    </w:r>
  </w:p>
  <w:p w:rsidR="0045208F" w:rsidRPr="00AD6C48" w:rsidRDefault="0045208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26</w:t>
    </w:r>
    <w:r w:rsidRPr="00AD6C48">
      <w:fldChar w:fldCharType="end"/>
    </w:r>
  </w:p>
  <w:p w:rsidR="0045208F" w:rsidRPr="00AD6C48" w:rsidRDefault="004520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3</w:t>
    </w:r>
    <w:r w:rsidRPr="00AD6C48">
      <w:fldChar w:fldCharType="end"/>
    </w:r>
  </w:p>
  <w:p w:rsidR="0045208F" w:rsidRPr="00AD6C48" w:rsidRDefault="0045208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27</w:t>
    </w:r>
    <w:r w:rsidRPr="00AD6C48">
      <w:fldChar w:fldCharType="end"/>
    </w:r>
  </w:p>
  <w:p w:rsidR="0045208F" w:rsidRPr="00AD6C48" w:rsidRDefault="0045208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25</w:instrText>
    </w:r>
    <w:r w:rsidRPr="00AD6C48">
      <w:fldChar w:fldCharType="end"/>
    </w:r>
    <w:r w:rsidRPr="00AD6C48">
      <w:instrText xml:space="preserve">/2 </w:instrText>
    </w:r>
    <w:r w:rsidRPr="00AD6C48">
      <w:fldChar w:fldCharType="separate"/>
    </w:r>
    <w:r w:rsidRPr="00AD6C48">
      <w:instrText>12,5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25</w:instrText>
    </w:r>
    <w:r w:rsidRPr="00AD6C48">
      <w:fldChar w:fldCharType="end"/>
    </w:r>
    <w:r w:rsidRPr="00AD6C48">
      <w:instrText xml:space="preserve">/2) </w:instrText>
    </w:r>
    <w:r w:rsidRPr="00AD6C48">
      <w:fldChar w:fldCharType="separate"/>
    </w:r>
    <w:r w:rsidRPr="00AD6C48">
      <w:instrText>12</w:instrText>
    </w:r>
    <w:r w:rsidRPr="00AD6C48">
      <w:fldChar w:fldCharType="end"/>
    </w:r>
    <w:r w:rsidRPr="00AD6C48">
      <w:fldChar w:fldCharType="separate"/>
    </w:r>
    <w:r w:rsidRPr="00AD6C48">
      <w:instrText>0,5</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26</w:instrText>
    </w:r>
    <w:r w:rsidRPr="00AD6C48">
      <w:fldChar w:fldCharType="end"/>
    </w:r>
  </w:p>
  <w:p w:rsidR="0045208F" w:rsidRPr="00AD6C48" w:rsidRDefault="0045208F">
    <w:pPr>
      <w:pStyle w:val="SidfotH"/>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25</w:instrText>
    </w:r>
    <w:r w:rsidRPr="00AD6C48">
      <w:fldChar w:fldCharType="end"/>
    </w:r>
    <w:r w:rsidRPr="00AD6C48">
      <w:instrText>"</w:instrText>
    </w:r>
    <w:r w:rsidRPr="00AD6C48">
      <w:fldChar w:fldCharType="separate"/>
    </w:r>
    <w:r w:rsidRPr="00AD6C48">
      <w:t>25</w:t>
    </w:r>
    <w:r w:rsidRPr="00AD6C48">
      <w:fldChar w:fldCharType="end"/>
    </w:r>
  </w:p>
  <w:p w:rsidR="0045208F" w:rsidRPr="00AD6C48" w:rsidRDefault="0045208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34</w:t>
    </w:r>
    <w:r w:rsidRPr="00AD6C48">
      <w:fldChar w:fldCharType="end"/>
    </w:r>
  </w:p>
  <w:p w:rsidR="0045208F" w:rsidRPr="00AD6C48" w:rsidRDefault="0045208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33</w:t>
    </w:r>
    <w:r w:rsidRPr="00AD6C48">
      <w:fldChar w:fldCharType="end"/>
    </w:r>
  </w:p>
  <w:p w:rsidR="0045208F" w:rsidRPr="00AD6C48" w:rsidRDefault="0045208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28</w:instrText>
    </w:r>
    <w:r w:rsidRPr="00AD6C48">
      <w:fldChar w:fldCharType="end"/>
    </w:r>
    <w:r w:rsidRPr="00AD6C48">
      <w:instrText xml:space="preserve">/2 </w:instrText>
    </w:r>
    <w:r w:rsidRPr="00AD6C48">
      <w:fldChar w:fldCharType="separate"/>
    </w:r>
    <w:r w:rsidRPr="00AD6C48">
      <w:instrText>14</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28</w:instrText>
    </w:r>
    <w:r w:rsidRPr="00AD6C48">
      <w:fldChar w:fldCharType="end"/>
    </w:r>
    <w:r w:rsidRPr="00AD6C48">
      <w:instrText xml:space="preserve">/2) </w:instrText>
    </w:r>
    <w:r w:rsidRPr="00AD6C48">
      <w:fldChar w:fldCharType="separate"/>
    </w:r>
    <w:r w:rsidRPr="00AD6C48">
      <w:instrText>14</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28</w:instrText>
    </w:r>
    <w:r w:rsidRPr="00AD6C48">
      <w:fldChar w:fldCharType="end"/>
    </w:r>
  </w:p>
  <w:p w:rsidR="0045208F" w:rsidRPr="00AD6C48" w:rsidRDefault="0045208F">
    <w:pPr>
      <w:pStyle w:val="SidfotV"/>
      <w:framePr w:w="8957" w:h="283" w:hRule="exact" w:hSpace="0" w:vSpace="0" w:wrap="around" w:xAlign="inside" w:y="13040"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29</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28</w:t>
    </w:r>
    <w:r w:rsidRPr="00AD6C48">
      <w:fldChar w:fldCharType="end"/>
    </w:r>
  </w:p>
  <w:p w:rsidR="0045208F" w:rsidRPr="00AD6C48" w:rsidRDefault="0045208F">
    <w:pPr>
      <w:pStyle w:val="SidfotH"/>
      <w:framePr w:w="8957" w:h="283" w:hRule="exact" w:hSpace="0" w:vSpace="0" w:wrap="around" w:xAlign="inside" w:y="13040" w:anchorLock="0"/>
    </w:pPr>
    <w:r w:rsidRPr="00AD6C48">
      <w:fldChar w:fldCharType="end"/>
    </w:r>
  </w:p>
  <w:p w:rsidR="0045208F" w:rsidRPr="00AD6C48" w:rsidRDefault="0045208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46</w:t>
    </w:r>
    <w:r w:rsidRPr="00AD6C48">
      <w:fldChar w:fldCharType="end"/>
    </w:r>
  </w:p>
  <w:p w:rsidR="0045208F" w:rsidRPr="00AD6C48" w:rsidRDefault="0045208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45</w:t>
    </w:r>
    <w:r w:rsidRPr="00AD6C48">
      <w:fldChar w:fldCharType="end"/>
    </w:r>
  </w:p>
  <w:p w:rsidR="0045208F" w:rsidRPr="00AD6C48" w:rsidRDefault="0045208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35</w:instrText>
    </w:r>
    <w:r w:rsidRPr="00AD6C48">
      <w:fldChar w:fldCharType="end"/>
    </w:r>
    <w:r w:rsidRPr="00AD6C48">
      <w:instrText xml:space="preserve">/2 </w:instrText>
    </w:r>
    <w:r w:rsidRPr="00AD6C48">
      <w:fldChar w:fldCharType="separate"/>
    </w:r>
    <w:r w:rsidRPr="00AD6C48">
      <w:instrText>17,5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35</w:instrText>
    </w:r>
    <w:r w:rsidRPr="00AD6C48">
      <w:fldChar w:fldCharType="end"/>
    </w:r>
    <w:r w:rsidRPr="00AD6C48">
      <w:instrText xml:space="preserve">/2) </w:instrText>
    </w:r>
    <w:r w:rsidRPr="00AD6C48">
      <w:fldChar w:fldCharType="separate"/>
    </w:r>
    <w:r w:rsidRPr="00AD6C48">
      <w:instrText>17</w:instrText>
    </w:r>
    <w:r w:rsidRPr="00AD6C48">
      <w:fldChar w:fldCharType="end"/>
    </w:r>
    <w:r w:rsidRPr="00AD6C48">
      <w:fldChar w:fldCharType="separate"/>
    </w:r>
    <w:r w:rsidRPr="00AD6C48">
      <w:instrText>0,5</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36</w:instrText>
    </w:r>
    <w:r w:rsidRPr="00AD6C48">
      <w:fldChar w:fldCharType="end"/>
    </w:r>
  </w:p>
  <w:p w:rsidR="0045208F" w:rsidRPr="00AD6C48" w:rsidRDefault="0045208F">
    <w:pPr>
      <w:pStyle w:val="SidfotH"/>
      <w:framePr w:w="8957" w:h="283" w:hRule="exact" w:hSpace="0" w:vSpace="0" w:wrap="around" w:xAlign="inside" w:y="13040"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35</w:instrText>
    </w:r>
    <w:r w:rsidRPr="00AD6C48">
      <w:fldChar w:fldCharType="end"/>
    </w:r>
    <w:r w:rsidRPr="00AD6C48">
      <w:instrText>"</w:instrText>
    </w:r>
    <w:r w:rsidRPr="00AD6C48">
      <w:fldChar w:fldCharType="separate"/>
    </w:r>
    <w:r w:rsidRPr="00AD6C48">
      <w:t>35</w:t>
    </w:r>
    <w:r w:rsidRPr="00AD6C48">
      <w:fldChar w:fldCharType="end"/>
    </w:r>
  </w:p>
  <w:p w:rsidR="0045208F" w:rsidRPr="00AD6C48" w:rsidRDefault="0045208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50</w:t>
    </w:r>
    <w:r w:rsidRPr="00AD6C48">
      <w:fldChar w:fldCharType="end"/>
    </w:r>
  </w:p>
  <w:p w:rsidR="0045208F" w:rsidRPr="00AD6C48" w:rsidRDefault="0045208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49</w:t>
    </w:r>
    <w:r w:rsidRPr="00AD6C48">
      <w:fldChar w:fldCharType="end"/>
    </w:r>
  </w:p>
  <w:p w:rsidR="0045208F" w:rsidRPr="00AD6C48" w:rsidRDefault="004520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00AD6C48">
      <w:rPr>
        <w:noProof/>
      </w:rPr>
      <w:instrText>1</w:instrText>
    </w:r>
    <w:r w:rsidRPr="00AD6C48">
      <w:fldChar w:fldCharType="end"/>
    </w:r>
    <w:r w:rsidRPr="00AD6C48">
      <w:instrText xml:space="preserve">/2 </w:instrText>
    </w:r>
    <w:r w:rsidRPr="00AD6C48">
      <w:fldChar w:fldCharType="separate"/>
    </w:r>
    <w:r w:rsidR="00AD6C48">
      <w:rPr>
        <w:noProof/>
      </w:rPr>
      <w:instrText>0,5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00AD6C48">
      <w:rPr>
        <w:noProof/>
      </w:rPr>
      <w:instrText>1</w:instrText>
    </w:r>
    <w:r w:rsidRPr="00AD6C48">
      <w:fldChar w:fldCharType="end"/>
    </w:r>
    <w:r w:rsidRPr="00AD6C48">
      <w:instrText xml:space="preserve">/2) </w:instrText>
    </w:r>
    <w:r w:rsidRPr="00AD6C48">
      <w:fldChar w:fldCharType="separate"/>
    </w:r>
    <w:r w:rsidR="00AD6C48">
      <w:rPr>
        <w:noProof/>
      </w:rPr>
      <w:instrText>0</w:instrText>
    </w:r>
    <w:r w:rsidRPr="00AD6C48">
      <w:fldChar w:fldCharType="end"/>
    </w:r>
    <w:r w:rsidRPr="00AD6C48">
      <w:fldChar w:fldCharType="separate"/>
    </w:r>
    <w:r w:rsidR="00AD6C48">
      <w:rPr>
        <w:noProof/>
      </w:rPr>
      <w:instrText>0,5</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14</w:instrText>
    </w:r>
    <w:r w:rsidRPr="00AD6C48">
      <w:fldChar w:fldCharType="end"/>
    </w:r>
  </w:p>
  <w:p w:rsidR="0045208F" w:rsidRPr="00AD6C48" w:rsidRDefault="0045208F">
    <w:pPr>
      <w:pStyle w:val="SidfotH"/>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00AD6C48">
      <w:rPr>
        <w:noProof/>
      </w:rPr>
      <w:instrText>1</w:instrText>
    </w:r>
    <w:r w:rsidRPr="00AD6C48">
      <w:fldChar w:fldCharType="end"/>
    </w:r>
    <w:r w:rsidRPr="00AD6C48">
      <w:instrText>"</w:instrText>
    </w:r>
    <w:r w:rsidRPr="00AD6C48">
      <w:fldChar w:fldCharType="separate"/>
    </w:r>
    <w:r w:rsidR="00AD6C48">
      <w:rPr>
        <w:noProof/>
      </w:rPr>
      <w:t>1</w:t>
    </w:r>
    <w:r w:rsidRPr="00AD6C48">
      <w:fldChar w:fldCharType="end"/>
    </w:r>
  </w:p>
  <w:p w:rsidR="0045208F" w:rsidRPr="00AD6C48" w:rsidRDefault="0045208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47</w:instrText>
    </w:r>
    <w:r w:rsidRPr="00AD6C48">
      <w:fldChar w:fldCharType="end"/>
    </w:r>
    <w:r w:rsidRPr="00AD6C48">
      <w:instrText xml:space="preserve">/2 </w:instrText>
    </w:r>
    <w:r w:rsidRPr="00AD6C48">
      <w:fldChar w:fldCharType="separate"/>
    </w:r>
    <w:r w:rsidRPr="00AD6C48">
      <w:instrText>23,5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47</w:instrText>
    </w:r>
    <w:r w:rsidRPr="00AD6C48">
      <w:fldChar w:fldCharType="end"/>
    </w:r>
    <w:r w:rsidRPr="00AD6C48">
      <w:instrText xml:space="preserve">/2) </w:instrText>
    </w:r>
    <w:r w:rsidRPr="00AD6C48">
      <w:fldChar w:fldCharType="separate"/>
    </w:r>
    <w:r w:rsidRPr="00AD6C48">
      <w:instrText>23</w:instrText>
    </w:r>
    <w:r w:rsidRPr="00AD6C48">
      <w:fldChar w:fldCharType="end"/>
    </w:r>
    <w:r w:rsidRPr="00AD6C48">
      <w:fldChar w:fldCharType="separate"/>
    </w:r>
    <w:r w:rsidRPr="00AD6C48">
      <w:instrText>0,5</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48</w:instrText>
    </w:r>
    <w:r w:rsidRPr="00AD6C48">
      <w:fldChar w:fldCharType="end"/>
    </w:r>
  </w:p>
  <w:p w:rsidR="0045208F" w:rsidRPr="00AD6C48" w:rsidRDefault="0045208F">
    <w:pPr>
      <w:pStyle w:val="SidfotH"/>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47</w:instrText>
    </w:r>
    <w:r w:rsidRPr="00AD6C48">
      <w:fldChar w:fldCharType="end"/>
    </w:r>
    <w:r w:rsidRPr="00AD6C48">
      <w:instrText>"</w:instrText>
    </w:r>
    <w:r w:rsidRPr="00AD6C48">
      <w:fldChar w:fldCharType="separate"/>
    </w:r>
    <w:r w:rsidRPr="00AD6C48">
      <w:t>47</w:t>
    </w:r>
    <w:r w:rsidRPr="00AD6C48">
      <w:fldChar w:fldCharType="end"/>
    </w:r>
  </w:p>
  <w:p w:rsidR="0045208F" w:rsidRPr="00AD6C48" w:rsidRDefault="0045208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50</w:t>
    </w:r>
    <w:r w:rsidRPr="00AD6C48">
      <w:fldChar w:fldCharType="end"/>
    </w:r>
  </w:p>
  <w:p w:rsidR="0045208F" w:rsidRPr="00AD6C48" w:rsidRDefault="0045208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51</w:t>
    </w:r>
    <w:r w:rsidRPr="00AD6C48">
      <w:fldChar w:fldCharType="end"/>
    </w:r>
  </w:p>
  <w:p w:rsidR="0045208F" w:rsidRPr="00AD6C48" w:rsidRDefault="0045208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48</w:instrText>
    </w:r>
    <w:r w:rsidRPr="00AD6C48">
      <w:fldChar w:fldCharType="end"/>
    </w:r>
    <w:r w:rsidRPr="00AD6C48">
      <w:instrText xml:space="preserve">/2 </w:instrText>
    </w:r>
    <w:r w:rsidRPr="00AD6C48">
      <w:fldChar w:fldCharType="separate"/>
    </w:r>
    <w:r w:rsidRPr="00AD6C48">
      <w:instrText>24</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48</w:instrText>
    </w:r>
    <w:r w:rsidRPr="00AD6C48">
      <w:fldChar w:fldCharType="end"/>
    </w:r>
    <w:r w:rsidRPr="00AD6C48">
      <w:instrText xml:space="preserve">/2) </w:instrText>
    </w:r>
    <w:r w:rsidRPr="00AD6C48">
      <w:fldChar w:fldCharType="separate"/>
    </w:r>
    <w:r w:rsidRPr="00AD6C48">
      <w:instrText>24</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48</w:instrText>
    </w:r>
    <w:r w:rsidRPr="00AD6C48">
      <w:fldChar w:fldCharType="end"/>
    </w:r>
  </w:p>
  <w:p w:rsidR="0045208F" w:rsidRPr="00AD6C48" w:rsidRDefault="0045208F">
    <w:pPr>
      <w:pStyle w:val="SidfotV"/>
      <w:framePr w:w="8957" w:h="283" w:hRule="exact" w:hSpace="0" w:vSpace="0" w:wrap="around" w:xAlign="inside" w:y="13040"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49</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48</w:t>
    </w:r>
    <w:r w:rsidRPr="00AD6C48">
      <w:fldChar w:fldCharType="end"/>
    </w:r>
  </w:p>
  <w:p w:rsidR="0045208F" w:rsidRPr="00AD6C48" w:rsidRDefault="0045208F">
    <w:pPr>
      <w:pStyle w:val="SidfotH"/>
      <w:framePr w:w="8957" w:h="283" w:hRule="exact" w:hSpace="0" w:vSpace="0" w:wrap="around" w:xAlign="inside" w:y="13040" w:anchorLock="0"/>
    </w:pPr>
    <w:r w:rsidRPr="00AD6C48">
      <w:fldChar w:fldCharType="end"/>
    </w:r>
  </w:p>
  <w:p w:rsidR="0045208F" w:rsidRPr="00AD6C48" w:rsidRDefault="0045208F">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52</w:t>
    </w:r>
    <w:r w:rsidRPr="00AD6C48">
      <w:fldChar w:fldCharType="end"/>
    </w:r>
  </w:p>
  <w:p w:rsidR="0045208F" w:rsidRPr="00AD6C48" w:rsidRDefault="0045208F">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51</w:t>
    </w:r>
    <w:r w:rsidRPr="00AD6C48">
      <w:fldChar w:fldCharType="end"/>
    </w:r>
  </w:p>
  <w:p w:rsidR="0045208F" w:rsidRPr="00AD6C48" w:rsidRDefault="0045208F">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49</w:instrText>
    </w:r>
    <w:r w:rsidRPr="00AD6C48">
      <w:fldChar w:fldCharType="end"/>
    </w:r>
    <w:r w:rsidRPr="00AD6C48">
      <w:instrText xml:space="preserve">/2 </w:instrText>
    </w:r>
    <w:r w:rsidRPr="00AD6C48">
      <w:fldChar w:fldCharType="separate"/>
    </w:r>
    <w:r w:rsidRPr="00AD6C48">
      <w:instrText>24,5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49</w:instrText>
    </w:r>
    <w:r w:rsidRPr="00AD6C48">
      <w:fldChar w:fldCharType="end"/>
    </w:r>
    <w:r w:rsidRPr="00AD6C48">
      <w:instrText xml:space="preserve">/2) </w:instrText>
    </w:r>
    <w:r w:rsidRPr="00AD6C48">
      <w:fldChar w:fldCharType="separate"/>
    </w:r>
    <w:r w:rsidRPr="00AD6C48">
      <w:instrText>24</w:instrText>
    </w:r>
    <w:r w:rsidRPr="00AD6C48">
      <w:fldChar w:fldCharType="end"/>
    </w:r>
    <w:r w:rsidRPr="00AD6C48">
      <w:fldChar w:fldCharType="separate"/>
    </w:r>
    <w:r w:rsidRPr="00AD6C48">
      <w:instrText>0,5</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50</w:instrText>
    </w:r>
    <w:r w:rsidRPr="00AD6C48">
      <w:fldChar w:fldCharType="end"/>
    </w:r>
  </w:p>
  <w:p w:rsidR="0045208F" w:rsidRPr="00AD6C48" w:rsidRDefault="0045208F">
    <w:pPr>
      <w:pStyle w:val="SidfotH"/>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49</w:instrText>
    </w:r>
    <w:r w:rsidRPr="00AD6C48">
      <w:fldChar w:fldCharType="end"/>
    </w:r>
    <w:r w:rsidRPr="00AD6C48">
      <w:instrText>"</w:instrText>
    </w:r>
    <w:r w:rsidRPr="00AD6C48">
      <w:fldChar w:fldCharType="separate"/>
    </w:r>
    <w:r w:rsidRPr="00AD6C48">
      <w:t>49</w:t>
    </w:r>
    <w:r w:rsidRPr="00AD6C48">
      <w:fldChar w:fldCharType="end"/>
    </w:r>
  </w:p>
  <w:p w:rsidR="0045208F" w:rsidRPr="00AD6C48" w:rsidRDefault="0045208F">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52</w:t>
    </w:r>
    <w:r w:rsidRPr="00AD6C48">
      <w:fldChar w:fldCharType="end"/>
    </w:r>
  </w:p>
  <w:p w:rsidR="0045208F" w:rsidRPr="00AD6C48" w:rsidRDefault="0045208F">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53</w:t>
    </w:r>
    <w:r w:rsidRPr="00AD6C48">
      <w:fldChar w:fldCharType="end"/>
    </w:r>
  </w:p>
  <w:p w:rsidR="0045208F" w:rsidRPr="00AD6C48" w:rsidRDefault="0045208F">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50</w:instrText>
    </w:r>
    <w:r w:rsidRPr="00AD6C48">
      <w:fldChar w:fldCharType="end"/>
    </w:r>
    <w:r w:rsidRPr="00AD6C48">
      <w:instrText xml:space="preserve">/2 </w:instrText>
    </w:r>
    <w:r w:rsidRPr="00AD6C48">
      <w:fldChar w:fldCharType="separate"/>
    </w:r>
    <w:r w:rsidRPr="00AD6C48">
      <w:instrText>25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50</w:instrText>
    </w:r>
    <w:r w:rsidRPr="00AD6C48">
      <w:fldChar w:fldCharType="end"/>
    </w:r>
    <w:r w:rsidRPr="00AD6C48">
      <w:instrText xml:space="preserve">/2) </w:instrText>
    </w:r>
    <w:r w:rsidRPr="00AD6C48">
      <w:fldChar w:fldCharType="separate"/>
    </w:r>
    <w:r w:rsidRPr="00AD6C48">
      <w:instrText>25</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50</w:instrText>
    </w:r>
    <w:r w:rsidRPr="00AD6C48">
      <w:fldChar w:fldCharType="end"/>
    </w:r>
  </w:p>
  <w:p w:rsidR="0045208F" w:rsidRPr="00AD6C48" w:rsidRDefault="0045208F">
    <w:pPr>
      <w:pStyle w:val="SidfotV"/>
      <w:framePr w:w="8957" w:h="283" w:hRule="exact" w:hSpace="0" w:vSpace="0" w:wrap="around" w:xAlign="inside" w:y="13040"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51</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50</w:t>
    </w:r>
    <w:r w:rsidRPr="00AD6C48">
      <w:fldChar w:fldCharType="end"/>
    </w:r>
  </w:p>
  <w:p w:rsidR="0045208F" w:rsidRPr="00AD6C48" w:rsidRDefault="0045208F">
    <w:pPr>
      <w:pStyle w:val="SidfotH"/>
      <w:framePr w:w="8957" w:h="283" w:hRule="exact" w:hSpace="0" w:vSpace="0" w:wrap="around" w:xAlign="inside" w:y="13040" w:anchorLock="0"/>
    </w:pPr>
    <w:r w:rsidRPr="00AD6C48">
      <w:fldChar w:fldCharType="end"/>
    </w:r>
  </w:p>
  <w:p w:rsidR="0045208F" w:rsidRPr="00AD6C48" w:rsidRDefault="0045208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w:t>
    </w:r>
    <w:r w:rsidRPr="00AD6C48">
      <w:fldChar w:fldCharType="end"/>
    </w:r>
  </w:p>
  <w:p w:rsidR="0045208F" w:rsidRPr="00AD6C48" w:rsidRDefault="0045208F">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56</w:t>
    </w:r>
    <w:r w:rsidRPr="00AD6C48">
      <w:fldChar w:fldCharType="end"/>
    </w:r>
  </w:p>
  <w:p w:rsidR="0045208F" w:rsidRPr="00AD6C48" w:rsidRDefault="0045208F">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57</w:t>
    </w:r>
    <w:r w:rsidRPr="00AD6C48">
      <w:fldChar w:fldCharType="end"/>
    </w:r>
  </w:p>
  <w:p w:rsidR="0045208F" w:rsidRPr="00AD6C48" w:rsidRDefault="0045208F">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54</w:instrText>
    </w:r>
    <w:r w:rsidRPr="00AD6C48">
      <w:fldChar w:fldCharType="end"/>
    </w:r>
    <w:r w:rsidRPr="00AD6C48">
      <w:instrText xml:space="preserve">/2 </w:instrText>
    </w:r>
    <w:r w:rsidRPr="00AD6C48">
      <w:fldChar w:fldCharType="separate"/>
    </w:r>
    <w:r w:rsidRPr="00AD6C48">
      <w:instrText>27</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54</w:instrText>
    </w:r>
    <w:r w:rsidRPr="00AD6C48">
      <w:fldChar w:fldCharType="end"/>
    </w:r>
    <w:r w:rsidRPr="00AD6C48">
      <w:instrText xml:space="preserve">/2) </w:instrText>
    </w:r>
    <w:r w:rsidRPr="00AD6C48">
      <w:fldChar w:fldCharType="separate"/>
    </w:r>
    <w:r w:rsidRPr="00AD6C48">
      <w:instrText>27</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54</w:instrText>
    </w:r>
    <w:r w:rsidRPr="00AD6C48">
      <w:fldChar w:fldCharType="end"/>
    </w:r>
  </w:p>
  <w:p w:rsidR="0045208F" w:rsidRPr="00AD6C48" w:rsidRDefault="0045208F">
    <w:pPr>
      <w:pStyle w:val="SidfotV"/>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55</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54</w:t>
    </w:r>
    <w:r w:rsidRPr="00AD6C48">
      <w:fldChar w:fldCharType="end"/>
    </w:r>
  </w:p>
  <w:p w:rsidR="0045208F" w:rsidRPr="00AD6C48" w:rsidRDefault="0045208F">
    <w:pPr>
      <w:pStyle w:val="SidfotH"/>
      <w:framePr w:w="8732" w:h="284" w:hRule="exact" w:hSpace="0" w:vSpace="0" w:wrap="around" w:xAlign="inside" w:y="13042" w:anchorLock="0"/>
    </w:pPr>
    <w:r w:rsidRPr="00AD6C48">
      <w:fldChar w:fldCharType="end"/>
    </w:r>
  </w:p>
  <w:p w:rsidR="0045208F" w:rsidRPr="00AD6C48" w:rsidRDefault="0045208F">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66</w:t>
    </w:r>
    <w:r w:rsidRPr="00AD6C48">
      <w:fldChar w:fldCharType="end"/>
    </w:r>
  </w:p>
  <w:p w:rsidR="0045208F" w:rsidRPr="00AD6C48" w:rsidRDefault="0045208F">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65</w:t>
    </w:r>
    <w:r w:rsidRPr="00AD6C48">
      <w:fldChar w:fldCharType="end"/>
    </w:r>
  </w:p>
  <w:p w:rsidR="0045208F" w:rsidRPr="00AD6C48" w:rsidRDefault="0045208F">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55</w:instrText>
    </w:r>
    <w:r w:rsidRPr="00AD6C48">
      <w:fldChar w:fldCharType="end"/>
    </w:r>
    <w:r w:rsidRPr="00AD6C48">
      <w:instrText xml:space="preserve">/2 </w:instrText>
    </w:r>
    <w:r w:rsidRPr="00AD6C48">
      <w:fldChar w:fldCharType="separate"/>
    </w:r>
    <w:r w:rsidRPr="00AD6C48">
      <w:instrText>27,5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55</w:instrText>
    </w:r>
    <w:r w:rsidRPr="00AD6C48">
      <w:fldChar w:fldCharType="end"/>
    </w:r>
    <w:r w:rsidRPr="00AD6C48">
      <w:instrText xml:space="preserve">/2) </w:instrText>
    </w:r>
    <w:r w:rsidRPr="00AD6C48">
      <w:fldChar w:fldCharType="separate"/>
    </w:r>
    <w:r w:rsidRPr="00AD6C48">
      <w:instrText>27</w:instrText>
    </w:r>
    <w:r w:rsidRPr="00AD6C48">
      <w:fldChar w:fldCharType="end"/>
    </w:r>
    <w:r w:rsidRPr="00AD6C48">
      <w:fldChar w:fldCharType="separate"/>
    </w:r>
    <w:r w:rsidRPr="00AD6C48">
      <w:instrText>0,5</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56</w:instrText>
    </w:r>
    <w:r w:rsidRPr="00AD6C48">
      <w:fldChar w:fldCharType="end"/>
    </w:r>
  </w:p>
  <w:p w:rsidR="0045208F" w:rsidRPr="00AD6C48" w:rsidRDefault="0045208F">
    <w:pPr>
      <w:pStyle w:val="SidfotH"/>
      <w:framePr w:w="8957" w:h="283" w:hRule="exact" w:hSpace="0" w:vSpace="0" w:wrap="around" w:xAlign="inside" w:y="13040"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55</w:instrText>
    </w:r>
    <w:r w:rsidRPr="00AD6C48">
      <w:fldChar w:fldCharType="end"/>
    </w:r>
    <w:r w:rsidRPr="00AD6C48">
      <w:instrText>"</w:instrText>
    </w:r>
    <w:r w:rsidRPr="00AD6C48">
      <w:fldChar w:fldCharType="separate"/>
    </w:r>
    <w:r w:rsidRPr="00AD6C48">
      <w:t>55</w:t>
    </w:r>
    <w:r w:rsidRPr="00AD6C48">
      <w:fldChar w:fldCharType="end"/>
    </w:r>
  </w:p>
  <w:p w:rsidR="0045208F" w:rsidRPr="00AD6C48" w:rsidRDefault="0045208F">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68</w:t>
    </w:r>
    <w:r w:rsidRPr="00AD6C48">
      <w:fldChar w:fldCharType="end"/>
    </w:r>
  </w:p>
  <w:p w:rsidR="0045208F" w:rsidRPr="00AD6C48" w:rsidRDefault="0045208F">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69</w:t>
    </w:r>
    <w:r w:rsidRPr="00AD6C48">
      <w:fldChar w:fldCharType="end"/>
    </w:r>
  </w:p>
  <w:p w:rsidR="0045208F" w:rsidRPr="00AD6C48" w:rsidRDefault="0045208F">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67</w:instrText>
    </w:r>
    <w:r w:rsidRPr="00AD6C48">
      <w:fldChar w:fldCharType="end"/>
    </w:r>
    <w:r w:rsidRPr="00AD6C48">
      <w:instrText xml:space="preserve">/2 </w:instrText>
    </w:r>
    <w:r w:rsidRPr="00AD6C48">
      <w:fldChar w:fldCharType="separate"/>
    </w:r>
    <w:r w:rsidRPr="00AD6C48">
      <w:instrText>33,5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67</w:instrText>
    </w:r>
    <w:r w:rsidRPr="00AD6C48">
      <w:fldChar w:fldCharType="end"/>
    </w:r>
    <w:r w:rsidRPr="00AD6C48">
      <w:instrText xml:space="preserve">/2) </w:instrText>
    </w:r>
    <w:r w:rsidRPr="00AD6C48">
      <w:fldChar w:fldCharType="separate"/>
    </w:r>
    <w:r w:rsidRPr="00AD6C48">
      <w:instrText>33</w:instrText>
    </w:r>
    <w:r w:rsidRPr="00AD6C48">
      <w:fldChar w:fldCharType="end"/>
    </w:r>
    <w:r w:rsidRPr="00AD6C48">
      <w:fldChar w:fldCharType="separate"/>
    </w:r>
    <w:r w:rsidRPr="00AD6C48">
      <w:instrText>0,5</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68</w:instrText>
    </w:r>
    <w:r w:rsidRPr="00AD6C48">
      <w:fldChar w:fldCharType="end"/>
    </w:r>
  </w:p>
  <w:p w:rsidR="0045208F" w:rsidRPr="00AD6C48" w:rsidRDefault="0045208F">
    <w:pPr>
      <w:pStyle w:val="SidfotH"/>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67</w:instrText>
    </w:r>
    <w:r w:rsidRPr="00AD6C48">
      <w:fldChar w:fldCharType="end"/>
    </w:r>
    <w:r w:rsidRPr="00AD6C48">
      <w:instrText>"</w:instrText>
    </w:r>
    <w:r w:rsidRPr="00AD6C48">
      <w:fldChar w:fldCharType="separate"/>
    </w:r>
    <w:r w:rsidRPr="00AD6C48">
      <w:t>67</w:t>
    </w:r>
    <w:r w:rsidRPr="00AD6C48">
      <w:fldChar w:fldCharType="end"/>
    </w:r>
  </w:p>
  <w:p w:rsidR="0045208F" w:rsidRPr="00AD6C48" w:rsidRDefault="0045208F">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74</w:t>
    </w:r>
    <w:r w:rsidRPr="00AD6C48">
      <w:fldChar w:fldCharType="end"/>
    </w:r>
  </w:p>
  <w:p w:rsidR="0045208F" w:rsidRPr="00AD6C48" w:rsidRDefault="0045208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3</w:t>
    </w:r>
    <w:r w:rsidRPr="00AD6C48">
      <w:fldChar w:fldCharType="end"/>
    </w:r>
  </w:p>
  <w:p w:rsidR="0045208F" w:rsidRPr="00AD6C48" w:rsidRDefault="0045208F">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75</w:t>
    </w:r>
    <w:r w:rsidRPr="00AD6C48">
      <w:fldChar w:fldCharType="end"/>
    </w:r>
  </w:p>
  <w:p w:rsidR="0045208F" w:rsidRPr="00AD6C48" w:rsidRDefault="0045208F">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70</w:instrText>
    </w:r>
    <w:r w:rsidRPr="00AD6C48">
      <w:fldChar w:fldCharType="end"/>
    </w:r>
    <w:r w:rsidRPr="00AD6C48">
      <w:instrText xml:space="preserve">/2 </w:instrText>
    </w:r>
    <w:r w:rsidRPr="00AD6C48">
      <w:fldChar w:fldCharType="separate"/>
    </w:r>
    <w:r w:rsidRPr="00AD6C48">
      <w:instrText>35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70</w:instrText>
    </w:r>
    <w:r w:rsidRPr="00AD6C48">
      <w:fldChar w:fldCharType="end"/>
    </w:r>
    <w:r w:rsidRPr="00AD6C48">
      <w:instrText xml:space="preserve">/2) </w:instrText>
    </w:r>
    <w:r w:rsidRPr="00AD6C48">
      <w:fldChar w:fldCharType="separate"/>
    </w:r>
    <w:r w:rsidRPr="00AD6C48">
      <w:instrText>35</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70</w:instrText>
    </w:r>
    <w:r w:rsidRPr="00AD6C48">
      <w:fldChar w:fldCharType="end"/>
    </w:r>
  </w:p>
  <w:p w:rsidR="0045208F" w:rsidRPr="00AD6C48" w:rsidRDefault="0045208F">
    <w:pPr>
      <w:pStyle w:val="SidfotV"/>
      <w:framePr w:w="8957" w:h="283" w:hRule="exact" w:hSpace="0" w:vSpace="0" w:wrap="around" w:xAlign="inside" w:y="13040"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71</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70</w:t>
    </w:r>
    <w:r w:rsidRPr="00AD6C48">
      <w:fldChar w:fldCharType="end"/>
    </w:r>
  </w:p>
  <w:p w:rsidR="0045208F" w:rsidRPr="00AD6C48" w:rsidRDefault="0045208F">
    <w:pPr>
      <w:pStyle w:val="SidfotH"/>
      <w:framePr w:w="8957" w:h="283" w:hRule="exact" w:hSpace="0" w:vSpace="0" w:wrap="around" w:xAlign="inside" w:y="13040" w:anchorLock="0"/>
    </w:pPr>
    <w:r w:rsidRPr="00AD6C48">
      <w:fldChar w:fldCharType="end"/>
    </w:r>
  </w:p>
  <w:p w:rsidR="0045208F" w:rsidRPr="00AD6C48" w:rsidRDefault="0045208F">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78</w:t>
    </w:r>
    <w:r w:rsidRPr="00AD6C48">
      <w:fldChar w:fldCharType="end"/>
    </w:r>
  </w:p>
  <w:p w:rsidR="0045208F" w:rsidRPr="00AD6C48" w:rsidRDefault="0045208F">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79</w:t>
    </w:r>
    <w:r w:rsidRPr="00AD6C48">
      <w:fldChar w:fldCharType="end"/>
    </w:r>
  </w:p>
  <w:p w:rsidR="0045208F" w:rsidRPr="00AD6C48" w:rsidRDefault="0045208F">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76</w:instrText>
    </w:r>
    <w:r w:rsidRPr="00AD6C48">
      <w:fldChar w:fldCharType="end"/>
    </w:r>
    <w:r w:rsidRPr="00AD6C48">
      <w:instrText xml:space="preserve">/2 </w:instrText>
    </w:r>
    <w:r w:rsidRPr="00AD6C48">
      <w:fldChar w:fldCharType="separate"/>
    </w:r>
    <w:r w:rsidRPr="00AD6C48">
      <w:instrText>38</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76</w:instrText>
    </w:r>
    <w:r w:rsidRPr="00AD6C48">
      <w:fldChar w:fldCharType="end"/>
    </w:r>
    <w:r w:rsidRPr="00AD6C48">
      <w:instrText xml:space="preserve">/2) </w:instrText>
    </w:r>
    <w:r w:rsidRPr="00AD6C48">
      <w:fldChar w:fldCharType="separate"/>
    </w:r>
    <w:r w:rsidRPr="00AD6C48">
      <w:instrText>38</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76</w:instrText>
    </w:r>
    <w:r w:rsidRPr="00AD6C48">
      <w:fldChar w:fldCharType="end"/>
    </w:r>
  </w:p>
  <w:p w:rsidR="0045208F" w:rsidRPr="00AD6C48" w:rsidRDefault="0045208F">
    <w:pPr>
      <w:pStyle w:val="SidfotV"/>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77</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76</w:t>
    </w:r>
    <w:r w:rsidRPr="00AD6C48">
      <w:fldChar w:fldCharType="end"/>
    </w:r>
  </w:p>
  <w:p w:rsidR="0045208F" w:rsidRPr="00AD6C48" w:rsidRDefault="0045208F">
    <w:pPr>
      <w:pStyle w:val="SidfotH"/>
      <w:framePr w:w="8732" w:h="284" w:hRule="exact" w:hSpace="0" w:vSpace="0" w:wrap="around" w:xAlign="inside" w:y="13042" w:anchorLock="0"/>
    </w:pPr>
    <w:r w:rsidRPr="00AD6C48">
      <w:fldChar w:fldCharType="end"/>
    </w:r>
  </w:p>
  <w:p w:rsidR="0045208F" w:rsidRPr="00AD6C48" w:rsidRDefault="0045208F">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80</w:t>
    </w:r>
    <w:r w:rsidRPr="00AD6C48">
      <w:fldChar w:fldCharType="end"/>
    </w:r>
  </w:p>
  <w:p w:rsidR="0045208F" w:rsidRPr="00AD6C48" w:rsidRDefault="0045208F">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957" w:h="283" w:hRule="exact" w:hSpace="0" w:vSpace="0" w:wrap="around" w:xAlign="inside" w:y="13040"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79</w:t>
    </w:r>
    <w:r w:rsidRPr="00AD6C48">
      <w:fldChar w:fldCharType="end"/>
    </w:r>
  </w:p>
  <w:p w:rsidR="0045208F" w:rsidRPr="00AD6C48" w:rsidRDefault="0045208F">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957" w:h="283" w:hRule="exact" w:hSpace="0" w:vSpace="0" w:wrap="around" w:xAlign="inside" w:y="13040"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77</w:instrText>
    </w:r>
    <w:r w:rsidRPr="00AD6C48">
      <w:fldChar w:fldCharType="end"/>
    </w:r>
    <w:r w:rsidRPr="00AD6C48">
      <w:instrText xml:space="preserve">/2 </w:instrText>
    </w:r>
    <w:r w:rsidRPr="00AD6C48">
      <w:fldChar w:fldCharType="separate"/>
    </w:r>
    <w:r w:rsidRPr="00AD6C48">
      <w:instrText>38,5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77</w:instrText>
    </w:r>
    <w:r w:rsidRPr="00AD6C48">
      <w:fldChar w:fldCharType="end"/>
    </w:r>
    <w:r w:rsidRPr="00AD6C48">
      <w:instrText xml:space="preserve">/2) </w:instrText>
    </w:r>
    <w:r w:rsidRPr="00AD6C48">
      <w:fldChar w:fldCharType="separate"/>
    </w:r>
    <w:r w:rsidRPr="00AD6C48">
      <w:instrText>38</w:instrText>
    </w:r>
    <w:r w:rsidRPr="00AD6C48">
      <w:fldChar w:fldCharType="end"/>
    </w:r>
    <w:r w:rsidRPr="00AD6C48">
      <w:fldChar w:fldCharType="separate"/>
    </w:r>
    <w:r w:rsidRPr="00AD6C48">
      <w:instrText>0,5</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78</w:instrText>
    </w:r>
    <w:r w:rsidRPr="00AD6C48">
      <w:fldChar w:fldCharType="end"/>
    </w:r>
  </w:p>
  <w:p w:rsidR="0045208F" w:rsidRPr="00AD6C48" w:rsidRDefault="0045208F">
    <w:pPr>
      <w:pStyle w:val="SidfotH"/>
      <w:framePr w:w="8957" w:h="283" w:hRule="exact" w:hSpace="0" w:vSpace="0" w:wrap="around" w:xAlign="inside" w:y="13040"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77</w:instrText>
    </w:r>
    <w:r w:rsidRPr="00AD6C48">
      <w:fldChar w:fldCharType="end"/>
    </w:r>
    <w:r w:rsidRPr="00AD6C48">
      <w:instrText>"</w:instrText>
    </w:r>
    <w:r w:rsidRPr="00AD6C48">
      <w:fldChar w:fldCharType="separate"/>
    </w:r>
    <w:r w:rsidRPr="00AD6C48">
      <w:t>77</w:t>
    </w:r>
    <w:r w:rsidRPr="00AD6C48">
      <w:fldChar w:fldCharType="end"/>
    </w:r>
  </w:p>
  <w:p w:rsidR="0045208F" w:rsidRPr="00AD6C48" w:rsidRDefault="0045208F">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82</w:t>
    </w:r>
    <w:r w:rsidRPr="00AD6C48">
      <w:fldChar w:fldCharType="end"/>
    </w:r>
  </w:p>
  <w:p w:rsidR="0045208F" w:rsidRPr="00AD6C48" w:rsidRDefault="0045208F">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83</w:t>
    </w:r>
    <w:r w:rsidRPr="00AD6C48">
      <w:fldChar w:fldCharType="end"/>
    </w:r>
  </w:p>
  <w:p w:rsidR="0045208F" w:rsidRPr="00AD6C48" w:rsidRDefault="0045208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2</w:instrText>
    </w:r>
    <w:r w:rsidRPr="00AD6C48">
      <w:fldChar w:fldCharType="end"/>
    </w:r>
    <w:r w:rsidRPr="00AD6C48">
      <w:instrText xml:space="preserve">/2 </w:instrText>
    </w:r>
    <w:r w:rsidRPr="00AD6C48">
      <w:fldChar w:fldCharType="separate"/>
    </w:r>
    <w:r w:rsidRPr="00AD6C48">
      <w:instrText>1</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2</w:instrText>
    </w:r>
    <w:r w:rsidRPr="00AD6C48">
      <w:fldChar w:fldCharType="end"/>
    </w:r>
    <w:r w:rsidRPr="00AD6C48">
      <w:instrText xml:space="preserve">/2) </w:instrText>
    </w:r>
    <w:r w:rsidRPr="00AD6C48">
      <w:fldChar w:fldCharType="separate"/>
    </w:r>
    <w:r w:rsidRPr="00AD6C48">
      <w:instrText>1</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2</w:instrText>
    </w:r>
    <w:r w:rsidRPr="00AD6C48">
      <w:fldChar w:fldCharType="end"/>
    </w:r>
  </w:p>
  <w:p w:rsidR="0045208F" w:rsidRPr="00AD6C48" w:rsidRDefault="0045208F">
    <w:pPr>
      <w:pStyle w:val="SidfotV"/>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3</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w:t>
    </w:r>
    <w:r w:rsidRPr="00AD6C48">
      <w:fldChar w:fldCharType="end"/>
    </w:r>
  </w:p>
  <w:p w:rsidR="0045208F" w:rsidRPr="00AD6C48" w:rsidRDefault="0045208F">
    <w:pPr>
      <w:pStyle w:val="SidfotH"/>
      <w:framePr w:w="8732" w:h="284" w:hRule="exact" w:hSpace="0" w:vSpace="0" w:wrap="around" w:xAlign="inside" w:y="13042" w:anchorLock="0"/>
    </w:pPr>
    <w:r w:rsidRPr="00AD6C48">
      <w:fldChar w:fldCharType="end"/>
    </w:r>
  </w:p>
  <w:p w:rsidR="0045208F" w:rsidRPr="00AD6C48" w:rsidRDefault="0045208F">
    <w:pPr>
      <w:pStyle w:val="Sidfo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78</w:instrText>
    </w:r>
    <w:r w:rsidRPr="00AD6C48">
      <w:fldChar w:fldCharType="end"/>
    </w:r>
    <w:r w:rsidRPr="00AD6C48">
      <w:instrText xml:space="preserve">/2 </w:instrText>
    </w:r>
    <w:r w:rsidRPr="00AD6C48">
      <w:fldChar w:fldCharType="separate"/>
    </w:r>
    <w:r w:rsidRPr="00AD6C48">
      <w:instrText>39</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78</w:instrText>
    </w:r>
    <w:r w:rsidRPr="00AD6C48">
      <w:fldChar w:fldCharType="end"/>
    </w:r>
    <w:r w:rsidRPr="00AD6C48">
      <w:instrText xml:space="preserve">/2) </w:instrText>
    </w:r>
    <w:r w:rsidRPr="00AD6C48">
      <w:fldChar w:fldCharType="separate"/>
    </w:r>
    <w:r w:rsidRPr="00AD6C48">
      <w:instrText>39</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78</w:instrText>
    </w:r>
    <w:r w:rsidRPr="00AD6C48">
      <w:fldChar w:fldCharType="end"/>
    </w:r>
  </w:p>
  <w:p w:rsidR="0045208F" w:rsidRPr="00AD6C48" w:rsidRDefault="0045208F">
    <w:pPr>
      <w:pStyle w:val="SidfotV"/>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79</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78</w:t>
    </w:r>
    <w:r w:rsidRPr="00AD6C48">
      <w:fldChar w:fldCharType="end"/>
    </w:r>
  </w:p>
  <w:p w:rsidR="0045208F" w:rsidRPr="00AD6C48" w:rsidRDefault="0045208F">
    <w:pPr>
      <w:pStyle w:val="SidfotH"/>
      <w:framePr w:w="8732" w:h="284" w:hRule="exact" w:hSpace="0" w:vSpace="0" w:wrap="around" w:xAlign="inside" w:y="13042" w:anchorLock="0"/>
    </w:pPr>
    <w:r w:rsidRPr="00AD6C48">
      <w:fldChar w:fldCharType="end"/>
    </w:r>
  </w:p>
  <w:p w:rsidR="0045208F" w:rsidRPr="00AD6C48" w:rsidRDefault="0045208F">
    <w:pPr>
      <w:pStyle w:val="Sidfo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86</w:t>
    </w:r>
    <w:r w:rsidRPr="00AD6C48">
      <w:fldChar w:fldCharType="end"/>
    </w:r>
  </w:p>
  <w:p w:rsidR="0045208F" w:rsidRPr="00AD6C48" w:rsidRDefault="0045208F">
    <w:pPr>
      <w:pStyle w:val="Sidfot"/>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85</w:t>
    </w:r>
    <w:r w:rsidRPr="00AD6C48">
      <w:fldChar w:fldCharType="end"/>
    </w:r>
  </w:p>
  <w:p w:rsidR="0045208F" w:rsidRPr="00AD6C48" w:rsidRDefault="0045208F">
    <w:pPr>
      <w:pStyle w:val="Sidfot"/>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84</w:instrText>
    </w:r>
    <w:r w:rsidRPr="00AD6C48">
      <w:fldChar w:fldCharType="end"/>
    </w:r>
    <w:r w:rsidRPr="00AD6C48">
      <w:instrText xml:space="preserve">/2 </w:instrText>
    </w:r>
    <w:r w:rsidRPr="00AD6C48">
      <w:fldChar w:fldCharType="separate"/>
    </w:r>
    <w:r w:rsidRPr="00AD6C48">
      <w:instrText>42</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84</w:instrText>
    </w:r>
    <w:r w:rsidRPr="00AD6C48">
      <w:fldChar w:fldCharType="end"/>
    </w:r>
    <w:r w:rsidRPr="00AD6C48">
      <w:instrText xml:space="preserve">/2) </w:instrText>
    </w:r>
    <w:r w:rsidRPr="00AD6C48">
      <w:fldChar w:fldCharType="separate"/>
    </w:r>
    <w:r w:rsidRPr="00AD6C48">
      <w:instrText>42</w:instrText>
    </w:r>
    <w:r w:rsidRPr="00AD6C48">
      <w:fldChar w:fldCharType="end"/>
    </w:r>
    <w:r w:rsidRPr="00AD6C48">
      <w:fldChar w:fldCharType="separate"/>
    </w:r>
    <w:r w:rsidRPr="00AD6C48">
      <w:instrText>0</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84</w:instrText>
    </w:r>
    <w:r w:rsidRPr="00AD6C48">
      <w:fldChar w:fldCharType="end"/>
    </w:r>
  </w:p>
  <w:p w:rsidR="0045208F" w:rsidRPr="00AD6C48" w:rsidRDefault="0045208F">
    <w:pPr>
      <w:pStyle w:val="SidfotV"/>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85</w:instrText>
    </w:r>
    <w:r w:rsidRPr="00AD6C48">
      <w:fldChar w:fldCharType="end"/>
    </w:r>
    <w:r w:rsidRPr="00AD6C48">
      <w:instrText>"</w:instrText>
    </w:r>
    <w:r w:rsidRPr="00AD6C48">
      <w:fldChar w:fldCharType="separate"/>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84</w:t>
    </w:r>
    <w:r w:rsidRPr="00AD6C48">
      <w:fldChar w:fldCharType="end"/>
    </w:r>
  </w:p>
  <w:p w:rsidR="0045208F" w:rsidRPr="00AD6C48" w:rsidRDefault="0045208F">
    <w:pPr>
      <w:pStyle w:val="SidfotH"/>
      <w:framePr w:w="8732" w:h="284" w:hRule="exact" w:hSpace="0" w:vSpace="0" w:wrap="around" w:xAlign="inside" w:y="13042" w:anchorLock="0"/>
    </w:pPr>
    <w:r w:rsidRPr="00AD6C48">
      <w:fldChar w:fldCharType="end"/>
    </w:r>
  </w:p>
  <w:p w:rsidR="0045208F" w:rsidRPr="00AD6C48" w:rsidRDefault="0045208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2</w:t>
    </w:r>
    <w:r w:rsidRPr="00AD6C48">
      <w:fldChar w:fldCharType="end"/>
    </w:r>
  </w:p>
  <w:p w:rsidR="0045208F" w:rsidRPr="00AD6C48" w:rsidRDefault="0045208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H"/>
      <w:framePr w:w="8732" w:h="284" w:hRule="exact" w:hSpace="0" w:vSpace="0" w:wrap="around" w:xAlign="inside" w:y="13042" w:anchorLock="0"/>
    </w:pP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t>3</w:t>
    </w:r>
    <w:r w:rsidRPr="00AD6C48">
      <w:fldChar w:fldCharType="end"/>
    </w:r>
  </w:p>
  <w:p w:rsidR="0045208F" w:rsidRPr="00AD6C48" w:rsidRDefault="0045208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fotV"/>
      <w:framePr w:w="8732" w:h="284" w:hRule="exact" w:hSpace="0" w:vSpace="0" w:wrap="around" w:xAlign="inside" w:y="13042" w:anchorLock="0"/>
    </w:pPr>
    <w:r w:rsidRPr="00AD6C48">
      <w:fldChar w:fldCharType="begin" w:fldLock="1"/>
    </w:r>
    <w:r w:rsidRPr="00AD6C48">
      <w:instrText xml:space="preserve"> if </w:instrText>
    </w:r>
    <w:r w:rsidRPr="00AD6C48">
      <w:fldChar w:fldCharType="begin" w:fldLock="1"/>
    </w:r>
    <w:r w:rsidRPr="00AD6C48">
      <w:instrText xml:space="preserve"> = </w:instrText>
    </w:r>
    <w:r w:rsidRPr="00AD6C48">
      <w:fldChar w:fldCharType="begin" w:fldLock="1"/>
    </w:r>
    <w:r w:rsidRPr="00AD6C48">
      <w:instrText xml:space="preserve"> = </w:instrText>
    </w:r>
    <w:r w:rsidRPr="00AD6C48">
      <w:fldChar w:fldCharType="begin" w:fldLock="1"/>
    </w:r>
    <w:r w:rsidRPr="00AD6C48">
      <w:instrText xml:space="preserve"> page</w:instrText>
    </w:r>
    <w:r w:rsidRPr="00AD6C48">
      <w:fldChar w:fldCharType="separate"/>
    </w:r>
    <w:r w:rsidRPr="00AD6C48">
      <w:instrText>3</w:instrText>
    </w:r>
    <w:r w:rsidRPr="00AD6C48">
      <w:fldChar w:fldCharType="end"/>
    </w:r>
    <w:r w:rsidRPr="00AD6C48">
      <w:instrText xml:space="preserve">/2 </w:instrText>
    </w:r>
    <w:r w:rsidRPr="00AD6C48">
      <w:fldChar w:fldCharType="separate"/>
    </w:r>
    <w:r w:rsidRPr="00AD6C48">
      <w:instrText>1,5</w:instrText>
    </w:r>
    <w:r w:rsidRPr="00AD6C48">
      <w:fldChar w:fldCharType="end"/>
    </w:r>
    <w:r w:rsidRPr="00AD6C48">
      <w:instrText xml:space="preserve"> - </w:instrText>
    </w:r>
    <w:r w:rsidRPr="00AD6C48">
      <w:fldChar w:fldCharType="begin" w:fldLock="1"/>
    </w:r>
    <w:r w:rsidRPr="00AD6C48">
      <w:instrText xml:space="preserve"> = int(</w:instrText>
    </w:r>
    <w:r w:rsidRPr="00AD6C48">
      <w:fldChar w:fldCharType="begin" w:fldLock="1"/>
    </w:r>
    <w:r w:rsidRPr="00AD6C48">
      <w:instrText xml:space="preserve"> page</w:instrText>
    </w:r>
    <w:r w:rsidRPr="00AD6C48">
      <w:fldChar w:fldCharType="separate"/>
    </w:r>
    <w:r w:rsidRPr="00AD6C48">
      <w:instrText>3</w:instrText>
    </w:r>
    <w:r w:rsidRPr="00AD6C48">
      <w:fldChar w:fldCharType="end"/>
    </w:r>
    <w:r w:rsidRPr="00AD6C48">
      <w:instrText xml:space="preserve">/2) </w:instrText>
    </w:r>
    <w:r w:rsidRPr="00AD6C48">
      <w:fldChar w:fldCharType="separate"/>
    </w:r>
    <w:r w:rsidRPr="00AD6C48">
      <w:instrText>1</w:instrText>
    </w:r>
    <w:r w:rsidRPr="00AD6C48">
      <w:fldChar w:fldCharType="end"/>
    </w:r>
    <w:r w:rsidRPr="00AD6C48">
      <w:fldChar w:fldCharType="separate"/>
    </w:r>
    <w:r w:rsidRPr="00AD6C48">
      <w:instrText>0,5</w:instrText>
    </w:r>
    <w:r w:rsidRPr="00AD6C48">
      <w:fldChar w:fldCharType="end"/>
    </w:r>
    <w:r w:rsidRPr="00AD6C48">
      <w:instrText xml:space="preserve"> = 0 "</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4</w:instrText>
    </w:r>
    <w:r w:rsidRPr="00AD6C48">
      <w:fldChar w:fldCharType="end"/>
    </w:r>
  </w:p>
  <w:p w:rsidR="0045208F" w:rsidRPr="00AD6C48" w:rsidRDefault="0045208F">
    <w:pPr>
      <w:pStyle w:val="SidfotH"/>
      <w:framePr w:w="8732" w:h="284" w:hRule="exact" w:hSpace="0" w:vSpace="0" w:wrap="around" w:xAlign="inside" w:y="13042" w:anchorLock="0"/>
    </w:pPr>
    <w:r w:rsidRPr="00AD6C48">
      <w:instrText>""</w:instrText>
    </w:r>
    <w:r w:rsidRPr="00AD6C48">
      <w:fldChar w:fldCharType="begin" w:fldLock="1"/>
    </w:r>
    <w:r w:rsidRPr="00AD6C48">
      <w:instrText xml:space="preserve"> P</w:instrText>
    </w:r>
    <w:r w:rsidRPr="00AD6C48">
      <w:instrText>A</w:instrText>
    </w:r>
    <w:r w:rsidRPr="00AD6C48">
      <w:instrText xml:space="preserve">GE </w:instrText>
    </w:r>
    <w:r w:rsidRPr="00AD6C48">
      <w:fldChar w:fldCharType="separate"/>
    </w:r>
    <w:r w:rsidRPr="00AD6C48">
      <w:instrText>3</w:instrText>
    </w:r>
    <w:r w:rsidRPr="00AD6C48">
      <w:fldChar w:fldCharType="end"/>
    </w:r>
    <w:r w:rsidRPr="00AD6C48">
      <w:instrText>"</w:instrText>
    </w:r>
    <w:r w:rsidRPr="00AD6C48">
      <w:fldChar w:fldCharType="separate"/>
    </w:r>
    <w:r w:rsidRPr="00AD6C48">
      <w:t>3</w:t>
    </w:r>
    <w:r w:rsidRPr="00AD6C48">
      <w:fldChar w:fldCharType="end"/>
    </w:r>
  </w:p>
  <w:p w:rsidR="0045208F" w:rsidRPr="00AD6C48" w:rsidRDefault="00452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08F" w:rsidRPr="00AD6C48" w:rsidRDefault="0045208F">
      <w:pPr>
        <w:pStyle w:val="Sidfot"/>
      </w:pPr>
    </w:p>
  </w:footnote>
  <w:footnote w:type="continuationSeparator" w:id="0">
    <w:p w:rsidR="0045208F" w:rsidRPr="00AD6C48" w:rsidRDefault="0045208F">
      <w:pPr>
        <w:spacing w:before="0" w:line="240" w:lineRule="auto"/>
      </w:pPr>
      <w:r w:rsidRPr="00AD6C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Sammanfattning</w:t>
    </w:r>
    <w:r w:rsidRPr="00AD6C48">
      <w:rPr>
        <w:rStyle w:val="SidhuvudRubrikReferens"/>
      </w:rPr>
      <w:fldChar w:fldCharType="end"/>
    </w:r>
  </w:p>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r w:rsidRPr="00AD6C48">
      <w:rPr>
        <w:rStyle w:val="SidhuvudBilaga"/>
      </w:rPr>
      <w:t xml:space="preserve"> </w:t>
    </w:r>
    <w:r w:rsidRPr="00AD6C48">
      <w:rPr>
        <w:rStyle w:val="SidhuvudRubrikReferens"/>
      </w:rPr>
      <w:t>Redogörelse för ärendet</w:t>
    </w:r>
  </w:p>
  <w:p w:rsidR="0045208F" w:rsidRPr="00AD6C48" w:rsidRDefault="0045208F">
    <w:pPr>
      <w:pStyle w:val="SidhuvudKantJmn"/>
      <w:framePr w:w="8732" w:h="567" w:hRule="exact" w:vSpace="0" w:wrap="around" w:vAnchor="page" w:y="341" w:anchorLock="0"/>
    </w:pPr>
  </w:p>
  <w:p w:rsidR="0045208F" w:rsidRPr="00AD6C48" w:rsidRDefault="0045208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t>Redogörelse för ärendet</w:t>
    </w:r>
    <w:r w:rsidRPr="00AD6C48">
      <w:rPr>
        <w:rStyle w:val="SidhuvudBilaga"/>
      </w:rPr>
      <w:t xml:space="preserve"> </w:t>
    </w: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2" w:h="567" w:hRule="exact" w:vSpace="0" w:wrap="around" w:vAnchor="page" w:y="341" w:anchorLock="0"/>
    </w:pPr>
  </w:p>
  <w:p w:rsidR="0045208F" w:rsidRPr="00AD6C48" w:rsidRDefault="0045208F">
    <w:pPr>
      <w:pStyle w:val="SidhuvudKantUdda"/>
      <w:framePr w:w="8732"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Redogörelse för ärendet</w:t>
    </w:r>
    <w:r w:rsidRPr="00AD6C48">
      <w:rPr>
        <w:rStyle w:val="SidhuvudRubrikReferens"/>
      </w:rPr>
      <w:fldChar w:fldCharType="end"/>
    </w:r>
  </w:p>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t>Reservationer</w:t>
    </w:r>
    <w:r w:rsidRPr="00AD6C48">
      <w:rPr>
        <w:rStyle w:val="SidhuvudBilaga"/>
      </w:rPr>
      <w:t xml:space="preserve"> </w:t>
    </w: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2" w:h="567" w:hRule="exact" w:vSpace="0" w:wrap="around" w:vAnchor="page" w:y="341" w:anchorLock="0"/>
    </w:pPr>
  </w:p>
  <w:p w:rsidR="0045208F" w:rsidRPr="00AD6C48" w:rsidRDefault="0045208F">
    <w:pPr>
      <w:pStyle w:val="SidhuvudKantUdda"/>
      <w:framePr w:w="8732"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Bilaga 1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Reservationer</w:t>
    </w:r>
    <w:r w:rsidRPr="00AD6C48">
      <w:rPr>
        <w:rStyle w:val="SidhuvudRubrikReferens"/>
      </w:rPr>
      <w:fldChar w:fldCharType="end"/>
    </w:r>
  </w:p>
  <w:p w:rsidR="0045208F" w:rsidRPr="00AD6C48" w:rsidRDefault="0045208F">
    <w:pPr>
      <w:pStyle w:val="SidhuvudKantJmn"/>
      <w:framePr w:w="8731"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Reservationer</w:t>
    </w:r>
    <w:r w:rsidRPr="00AD6C48">
      <w:rPr>
        <w:rStyle w:val="SidhuvudRubrikReferens"/>
      </w:rPr>
      <w:fldChar w:fldCharType="end"/>
    </w:r>
    <w:r w:rsidRPr="00AD6C48">
      <w:rPr>
        <w:rStyle w:val="SidhuvudBilaga"/>
      </w:rPr>
      <w:t xml:space="preserve">   Bilaga 1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w:instrText>
    </w:r>
    <w:r w:rsidRPr="00AD6C48">
      <w:rPr>
        <w:rStyle w:val="SidhuvudUtskott"/>
      </w:rPr>
      <w:instrText>C</w:instrText>
    </w:r>
    <w:r w:rsidRPr="00AD6C48">
      <w:rPr>
        <w:rStyle w:val="SidhuvudUtskott"/>
      </w:rPr>
      <w:instrText>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1"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1" w:h="567" w:hRule="exact" w:vSpace="0" w:wrap="around" w:vAnchor="page" w:y="341" w:anchorLock="0"/>
    </w:pPr>
  </w:p>
  <w:p w:rsidR="0045208F" w:rsidRPr="00AD6C48" w:rsidRDefault="0045208F">
    <w:pPr>
      <w:pStyle w:val="SidhuvudKantUdda"/>
      <w:framePr w:w="8731"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r w:rsidRPr="00AD6C48">
      <w:rPr>
        <w:rStyle w:val="SidhuvudBilaga"/>
      </w:rPr>
      <w:t xml:space="preserve"> Bilaga 2   </w:t>
    </w:r>
    <w:r w:rsidRPr="00AD6C48">
      <w:rPr>
        <w:rStyle w:val="SidhuvudRubrikReferens"/>
      </w:rPr>
      <w:t>Finansutskottets yttrande 2002/03:FiU1y</w:t>
    </w:r>
  </w:p>
  <w:p w:rsidR="0045208F" w:rsidRPr="00AD6C48" w:rsidRDefault="0045208F">
    <w:pPr>
      <w:pStyle w:val="SidhuvudKantJmn"/>
      <w:framePr w:w="8732" w:h="567" w:hRule="exact" w:vSpace="0" w:wrap="around" w:vAnchor="page" w:y="341" w:anchorLock="0"/>
    </w:pPr>
  </w:p>
  <w:p w:rsidR="0045208F" w:rsidRPr="00AD6C48" w:rsidRDefault="0045208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Sammanfattning</w:t>
    </w:r>
    <w:r w:rsidRPr="00AD6C48">
      <w:rPr>
        <w:rStyle w:val="SidhuvudRubrikReferens"/>
      </w:rPr>
      <w:fldChar w:fldCharType="end"/>
    </w:r>
    <w:r w:rsidRPr="00AD6C48">
      <w:rPr>
        <w:rStyle w:val="SidhuvudBilaga"/>
      </w:rPr>
      <w:t xml:space="preserve">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2"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t>Finansutskottets yttrande 2002/03:FiU1y</w:t>
    </w:r>
    <w:r w:rsidRPr="00AD6C48">
      <w:rPr>
        <w:rStyle w:val="SidhuvudBilaga"/>
      </w:rPr>
      <w:t xml:space="preserve">   Bilaga 2 </w:t>
    </w: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r w:rsidRPr="00AD6C48">
      <w:rPr>
        <w:rStyle w:val="SidhuvudBilaga"/>
      </w:rPr>
      <w:t xml:space="preserve"> Bilaga 3   </w:t>
    </w:r>
    <w:r w:rsidRPr="00AD6C48">
      <w:rPr>
        <w:rStyle w:val="SidhuvudRubrikReferens"/>
      </w:rPr>
      <w:t>Skatteutskottets yttrande 2002/03:SkU3y</w:t>
    </w:r>
  </w:p>
  <w:p w:rsidR="0045208F" w:rsidRPr="00AD6C48" w:rsidRDefault="0045208F">
    <w:pPr>
      <w:pStyle w:val="SidhuvudKantJmn"/>
      <w:framePr w:w="8731" w:h="567" w:hRule="exact" w:vSpace="0" w:wrap="around" w:vAnchor="page" w:y="341" w:anchorLock="0"/>
    </w:pPr>
  </w:p>
  <w:p w:rsidR="0045208F" w:rsidRPr="00AD6C48" w:rsidRDefault="0045208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rPr>
        <w:rStyle w:val="SidhuvudRubrikReferens"/>
      </w:rPr>
      <w:t>Skatteutskottets yttrande 2002/03:SkU3y</w:t>
    </w:r>
    <w:r w:rsidRPr="00AD6C48">
      <w:rPr>
        <w:rStyle w:val="SidhuvudBilaga"/>
      </w:rPr>
      <w:t xml:space="preserve">   Bilaga 3 </w:t>
    </w:r>
    <w:r w:rsidRPr="00AD6C48">
      <w:t xml:space="preserve">     </w:t>
    </w:r>
    <w:r w:rsidRPr="00AD6C48">
      <w:rPr>
        <w:rStyle w:val="SidhuvudUtskott"/>
      </w:rPr>
      <w:t>2002/03:KU29</w:t>
    </w:r>
  </w:p>
  <w:p w:rsidR="0045208F" w:rsidRPr="00AD6C48" w:rsidRDefault="0045208F">
    <w:pPr>
      <w:pStyle w:val="SidhuvudKantUdda"/>
      <w:framePr w:w="8731" w:h="567" w:hRule="exact" w:vSpace="0" w:wrap="around" w:vAnchor="page" w:y="341" w:anchorLock="0"/>
    </w:pPr>
  </w:p>
  <w:p w:rsidR="0045208F" w:rsidRPr="00AD6C48" w:rsidRDefault="0045208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1" w:h="567" w:hRule="exact" w:vSpace="0" w:wrap="around" w:vAnchor="page" w:y="341" w:anchorLock="0"/>
    </w:pPr>
  </w:p>
  <w:p w:rsidR="0045208F" w:rsidRPr="00AD6C48" w:rsidRDefault="0045208F">
    <w:pPr>
      <w:pStyle w:val="SidhuvudKantUdda"/>
      <w:framePr w:w="8731"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r w:rsidRPr="00AD6C48">
      <w:rPr>
        <w:rStyle w:val="SidhuvudBilaga"/>
      </w:rPr>
      <w:t xml:space="preserve"> Bilaga 4   </w:t>
    </w:r>
    <w:r w:rsidRPr="00AD6C48">
      <w:rPr>
        <w:rStyle w:val="SidhuvudRubrikReferens"/>
      </w:rPr>
      <w:t>Protokollsutdrag från Justitieutskottet</w:t>
    </w:r>
  </w:p>
  <w:p w:rsidR="0045208F" w:rsidRPr="00AD6C48" w:rsidRDefault="0045208F">
    <w:pPr>
      <w:pStyle w:val="SidhuvudKantJmn"/>
      <w:framePr w:w="8731" w:h="567" w:hRule="exact" w:vSpace="0" w:wrap="around" w:vAnchor="page" w:y="341" w:anchorLock="0"/>
    </w:pPr>
  </w:p>
  <w:p w:rsidR="0045208F" w:rsidRPr="00AD6C48" w:rsidRDefault="0045208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rPr>
        <w:rStyle w:val="SidhuvudRubrikReferens"/>
      </w:rPr>
      <w:t>Protokollsutdrag från Justitieutskottet</w:t>
    </w:r>
    <w:r w:rsidRPr="00AD6C48">
      <w:rPr>
        <w:rStyle w:val="SidhuvudBilaga"/>
      </w:rPr>
      <w:t xml:space="preserve">   Bilaga 4 </w:t>
    </w:r>
    <w:r w:rsidRPr="00AD6C48">
      <w:t xml:space="preserve">     </w:t>
    </w:r>
    <w:r w:rsidRPr="00AD6C48">
      <w:rPr>
        <w:rStyle w:val="SidhuvudUtskott"/>
      </w:rPr>
      <w:t>2002/03:KU29</w:t>
    </w:r>
  </w:p>
  <w:p w:rsidR="0045208F" w:rsidRPr="00AD6C48" w:rsidRDefault="0045208F">
    <w:pPr>
      <w:pStyle w:val="SidhuvudKantUdda"/>
      <w:framePr w:w="8731" w:h="567" w:hRule="exact" w:vSpace="0" w:wrap="around" w:vAnchor="page" w:y="341" w:anchorLock="0"/>
    </w:pPr>
  </w:p>
  <w:p w:rsidR="0045208F" w:rsidRPr="00AD6C48" w:rsidRDefault="0045208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t xml:space="preserve">  </w:t>
    </w:r>
    <w:r w:rsidRPr="00AD6C48">
      <w:rPr>
        <w:rStyle w:val="SidhuvudUtskott"/>
      </w:rPr>
      <w:t>2002/03:KU29</w:t>
    </w:r>
  </w:p>
  <w:p w:rsidR="0045208F" w:rsidRPr="00AD6C48" w:rsidRDefault="0045208F">
    <w:pPr>
      <w:pStyle w:val="SidhuvudKantUdda"/>
      <w:framePr w:w="8731" w:h="567" w:hRule="exact" w:vSpace="0" w:wrap="around" w:vAnchor="page" w:y="341" w:anchorLock="0"/>
    </w:pPr>
  </w:p>
  <w:p w:rsidR="0045208F" w:rsidRPr="00AD6C48" w:rsidRDefault="0045208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Bilaga 5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Protokollsutdrag från Justitieutskottet</w:t>
    </w:r>
    <w:r w:rsidRPr="00AD6C48">
      <w:rPr>
        <w:rStyle w:val="SidhuvudRubrikReferens"/>
      </w:rPr>
      <w:fldChar w:fldCharType="end"/>
    </w:r>
  </w:p>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Protokollsutdrag från Justitieutskottet</w:t>
    </w:r>
    <w:r w:rsidRPr="00AD6C48">
      <w:rPr>
        <w:rStyle w:val="SidhuvudRubrikReferens"/>
      </w:rPr>
      <w:fldChar w:fldCharType="end"/>
    </w:r>
    <w:r w:rsidRPr="00AD6C48">
      <w:rPr>
        <w:rStyle w:val="SidhuvudBilaga"/>
      </w:rPr>
      <w:t xml:space="preserve">   Bilaga 5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2"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t xml:space="preserve"> </w:t>
    </w:r>
  </w:p>
  <w:p w:rsidR="0045208F" w:rsidRPr="00AD6C48" w:rsidRDefault="0045208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Bilaga 6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Protokollsutdrag från Lagutskottet</w:t>
    </w:r>
    <w:r w:rsidRPr="00AD6C48">
      <w:rPr>
        <w:rStyle w:val="SidhuvudRubrikReferens"/>
      </w:rPr>
      <w:fldChar w:fldCharType="end"/>
    </w:r>
  </w:p>
  <w:p w:rsidR="0045208F" w:rsidRPr="00AD6C48" w:rsidRDefault="0045208F">
    <w:pPr>
      <w:pStyle w:val="SidhuvudKantJmn"/>
      <w:framePr w:w="8731"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Protokollsutdrag från Lagutskottet</w:t>
    </w:r>
    <w:r w:rsidRPr="00AD6C48">
      <w:rPr>
        <w:rStyle w:val="SidhuvudRubrikReferens"/>
      </w:rPr>
      <w:fldChar w:fldCharType="end"/>
    </w:r>
    <w:r w:rsidRPr="00AD6C48">
      <w:rPr>
        <w:rStyle w:val="SidhuvudBilaga"/>
      </w:rPr>
      <w:t xml:space="preserve">   Bilaga 6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w:instrText>
    </w:r>
    <w:r w:rsidRPr="00AD6C48">
      <w:rPr>
        <w:rStyle w:val="SidhuvudUtskott"/>
      </w:rPr>
      <w:instrText>C</w:instrText>
    </w:r>
    <w:r w:rsidRPr="00AD6C48">
      <w:rPr>
        <w:rStyle w:val="SidhuvudUtskott"/>
      </w:rPr>
      <w:instrText>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1"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1" w:h="567" w:hRule="exact" w:vSpace="0" w:wrap="around" w:vAnchor="page" w:y="341" w:anchorLock="0"/>
    </w:pPr>
  </w:p>
  <w:p w:rsidR="0045208F" w:rsidRPr="00AD6C48" w:rsidRDefault="0045208F">
    <w:pPr>
      <w:pStyle w:val="SidhuvudKantUdda"/>
      <w:framePr w:w="8731"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Bilaga 7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Protkollsutdrag från Utrikesutskottet</w:t>
    </w:r>
    <w:r w:rsidRPr="00AD6C48">
      <w:rPr>
        <w:rStyle w:val="SidhuvudRubrikReferens"/>
      </w:rPr>
      <w:fldChar w:fldCharType="end"/>
    </w:r>
  </w:p>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Protkollsutdrag från Utrikesutskottet</w:t>
    </w:r>
    <w:r w:rsidRPr="00AD6C48">
      <w:rPr>
        <w:rStyle w:val="SidhuvudRubrikReferens"/>
      </w:rPr>
      <w:fldChar w:fldCharType="end"/>
    </w:r>
    <w:r w:rsidRPr="00AD6C48">
      <w:rPr>
        <w:rStyle w:val="SidhuvudBilaga"/>
      </w:rPr>
      <w:t xml:space="preserve">   Bilaga 7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2"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r w:rsidRPr="00AD6C48">
      <w:rPr>
        <w:rStyle w:val="SidhuvudBilaga"/>
      </w:rPr>
      <w:t xml:space="preserve"> Bilaga 8   </w:t>
    </w:r>
    <w:r w:rsidRPr="00AD6C48">
      <w:rPr>
        <w:rStyle w:val="SidhuvudRubrikReferens"/>
      </w:rPr>
      <w:t>Socialförsäkringsutskottets yttrande 2002/03:SfU2y</w:t>
    </w:r>
  </w:p>
  <w:p w:rsidR="0045208F" w:rsidRPr="00AD6C48" w:rsidRDefault="0045208F">
    <w:pPr>
      <w:pStyle w:val="SidhuvudKantJmn"/>
      <w:framePr w:w="8731" w:h="567" w:hRule="exact" w:vSpace="0" w:wrap="around" w:vAnchor="page" w:y="341" w:anchorLock="0"/>
    </w:pPr>
  </w:p>
  <w:p w:rsidR="0045208F" w:rsidRPr="00AD6C48" w:rsidRDefault="0045208F">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rPr>
        <w:rStyle w:val="SidhuvudRubrikReferens"/>
      </w:rPr>
      <w:t>Socialförsäkringsutskottets yttrande 2002/03:SfU2y</w:t>
    </w:r>
    <w:r w:rsidRPr="00AD6C48">
      <w:rPr>
        <w:rStyle w:val="SidhuvudBilaga"/>
      </w:rPr>
      <w:t xml:space="preserve">   Bilaga 8 </w:t>
    </w:r>
    <w:r w:rsidRPr="00AD6C48">
      <w:t xml:space="preserve">     </w:t>
    </w:r>
    <w:r w:rsidRPr="00AD6C48">
      <w:rPr>
        <w:rStyle w:val="SidhuvudUtskott"/>
      </w:rPr>
      <w:t>2002/03:KU29</w:t>
    </w:r>
  </w:p>
  <w:p w:rsidR="0045208F" w:rsidRPr="00AD6C48" w:rsidRDefault="0045208F">
    <w:pPr>
      <w:pStyle w:val="SidhuvudKantUdda"/>
      <w:framePr w:w="8731" w:h="567" w:hRule="exact" w:vSpace="0" w:wrap="around" w:vAnchor="page" w:y="341" w:anchorLock="0"/>
    </w:pPr>
  </w:p>
  <w:p w:rsidR="0045208F" w:rsidRPr="00AD6C48" w:rsidRDefault="0045208F">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1" w:h="567" w:hRule="exact" w:vSpace="0" w:wrap="around" w:vAnchor="page" w:y="341" w:anchorLock="0"/>
    </w:pPr>
  </w:p>
  <w:p w:rsidR="0045208F" w:rsidRPr="00AD6C48" w:rsidRDefault="0045208F">
    <w:pPr>
      <w:pStyle w:val="SidhuvudKantUdda"/>
      <w:framePr w:w="8731"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Sammanfattning</w:t>
    </w:r>
    <w:r w:rsidRPr="00AD6C48">
      <w:rPr>
        <w:rStyle w:val="SidhuvudRubrikReferens"/>
      </w:rPr>
      <w:fldChar w:fldCharType="end"/>
    </w:r>
  </w:p>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Bilaga 9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Socialförsäkringsutskottets yttrande 2002/03:SfU2y</w:t>
    </w:r>
    <w:r w:rsidRPr="00AD6C48">
      <w:rPr>
        <w:rStyle w:val="SidhuvudRubrikReferens"/>
      </w:rPr>
      <w:fldChar w:fldCharType="end"/>
    </w:r>
  </w:p>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Socialförsäkringsutskottets yttrande 2002/03:SfU2y</w:t>
    </w:r>
    <w:r w:rsidRPr="00AD6C48">
      <w:rPr>
        <w:rStyle w:val="SidhuvudRubrikReferens"/>
      </w:rPr>
      <w:fldChar w:fldCharType="end"/>
    </w:r>
    <w:r w:rsidRPr="00AD6C48">
      <w:rPr>
        <w:rStyle w:val="SidhuvudBilaga"/>
      </w:rPr>
      <w:t xml:space="preserve">   Bilaga 9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w:instrText>
    </w:r>
    <w:r w:rsidRPr="00AD6C48">
      <w:rPr>
        <w:rStyle w:val="SidhuvudUtskott"/>
      </w:rPr>
      <w:instrText>C</w:instrText>
    </w:r>
    <w:r w:rsidRPr="00AD6C48">
      <w:rPr>
        <w:rStyle w:val="SidhuvudUtskott"/>
      </w:rPr>
      <w:instrText>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2"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2" w:h="567" w:hRule="exact" w:vSpace="0" w:wrap="around" w:vAnchor="page" w:y="341" w:anchorLock="0"/>
    </w:pPr>
  </w:p>
  <w:p w:rsidR="0045208F" w:rsidRPr="00AD6C48" w:rsidRDefault="0045208F">
    <w:pPr>
      <w:pStyle w:val="SidhuvudKantUdda"/>
      <w:framePr w:w="8732"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r w:rsidRPr="00AD6C48">
      <w:rPr>
        <w:rStyle w:val="SidhuvudBilaga"/>
      </w:rPr>
      <w:t xml:space="preserve"> Bilaga 10   </w:t>
    </w:r>
    <w:r w:rsidRPr="00AD6C48">
      <w:rPr>
        <w:rStyle w:val="SidhuvudRubrikReferens"/>
      </w:rPr>
      <w:t>Protokollsutdrag från Kulturutskottet</w:t>
    </w:r>
  </w:p>
  <w:p w:rsidR="0045208F" w:rsidRPr="00AD6C48" w:rsidRDefault="0045208F">
    <w:pPr>
      <w:pStyle w:val="SidhuvudKantJmn"/>
      <w:framePr w:w="8731" w:h="567" w:hRule="exact" w:vSpace="0" w:wrap="around" w:vAnchor="page" w:y="341" w:anchorLock="0"/>
    </w:pPr>
  </w:p>
  <w:p w:rsidR="0045208F" w:rsidRPr="00AD6C48" w:rsidRDefault="0045208F">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rPr>
        <w:rStyle w:val="SidhuvudRubrikReferens"/>
      </w:rPr>
      <w:t>Protokollsutdrag från Kulturutskottet</w:t>
    </w:r>
    <w:r w:rsidRPr="00AD6C48">
      <w:rPr>
        <w:rStyle w:val="SidhuvudBilaga"/>
      </w:rPr>
      <w:t xml:space="preserve">   Bilaga 10 </w:t>
    </w:r>
    <w:r w:rsidRPr="00AD6C48">
      <w:t xml:space="preserve">     </w:t>
    </w:r>
    <w:r w:rsidRPr="00AD6C48">
      <w:rPr>
        <w:rStyle w:val="SidhuvudUtskott"/>
      </w:rPr>
      <w:t>2002/03:KU29</w:t>
    </w:r>
  </w:p>
  <w:p w:rsidR="0045208F" w:rsidRPr="00AD6C48" w:rsidRDefault="0045208F">
    <w:pPr>
      <w:pStyle w:val="SidhuvudKantUdda"/>
      <w:framePr w:w="8731" w:h="567" w:hRule="exact" w:vSpace="0" w:wrap="around" w:vAnchor="page" w:y="341" w:anchorLock="0"/>
    </w:pPr>
  </w:p>
  <w:p w:rsidR="0045208F" w:rsidRPr="00AD6C48" w:rsidRDefault="0045208F">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t xml:space="preserve">  </w:t>
    </w:r>
    <w:r w:rsidRPr="00AD6C48">
      <w:rPr>
        <w:rStyle w:val="SidhuvudUtskott"/>
      </w:rPr>
      <w:t>2002/03:KU29</w:t>
    </w:r>
  </w:p>
  <w:p w:rsidR="0045208F" w:rsidRPr="00AD6C48" w:rsidRDefault="0045208F">
    <w:pPr>
      <w:pStyle w:val="SidhuvudKantUdda"/>
      <w:framePr w:w="8731" w:h="567" w:hRule="exact" w:vSpace="0" w:wrap="around" w:vAnchor="page" w:y="341" w:anchorLock="0"/>
    </w:pPr>
  </w:p>
  <w:p w:rsidR="0045208F" w:rsidRPr="00AD6C48" w:rsidRDefault="0045208F">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r w:rsidRPr="00AD6C48">
      <w:rPr>
        <w:rStyle w:val="SidhuvudBilaga"/>
      </w:rPr>
      <w:t xml:space="preserve"> Bilaga 11   </w:t>
    </w:r>
    <w:r w:rsidRPr="00AD6C48">
      <w:rPr>
        <w:rStyle w:val="SidhuvudRubrikReferens"/>
      </w:rPr>
      <w:t>Protokollsutdrag från Utbildningsutskottet</w:t>
    </w:r>
  </w:p>
  <w:p w:rsidR="0045208F" w:rsidRPr="00AD6C48" w:rsidRDefault="0045208F">
    <w:pPr>
      <w:pStyle w:val="SidhuvudKantJmn"/>
      <w:framePr w:w="8732" w:h="567" w:hRule="exact" w:vSpace="0" w:wrap="around" w:vAnchor="page" w:y="341" w:anchorLock="0"/>
    </w:pPr>
  </w:p>
  <w:p w:rsidR="0045208F" w:rsidRPr="00AD6C48" w:rsidRDefault="0045208F">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t>Protokollsutdrag från Utbildningsutskottet</w:t>
    </w:r>
    <w:r w:rsidRPr="00AD6C48">
      <w:rPr>
        <w:rStyle w:val="SidhuvudBilaga"/>
      </w:rPr>
      <w:t xml:space="preserve">   Bilaga 11 </w:t>
    </w: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r w:rsidRPr="00AD6C48">
      <w:rPr>
        <w:rStyle w:val="SidhuvudBilaga"/>
      </w:rPr>
      <w:t xml:space="preserve"> Bilaga 12   </w:t>
    </w:r>
    <w:r w:rsidRPr="00AD6C48">
      <w:rPr>
        <w:rStyle w:val="SidhuvudRubrikReferens"/>
      </w:rPr>
      <w:t>Trafikutskottets yttrande 2002/03:TU2y</w:t>
    </w:r>
  </w:p>
  <w:p w:rsidR="0045208F" w:rsidRPr="00AD6C48" w:rsidRDefault="0045208F">
    <w:pPr>
      <w:pStyle w:val="SidhuvudKantJmn"/>
      <w:framePr w:w="8731" w:h="567" w:hRule="exact" w:vSpace="0" w:wrap="around" w:vAnchor="page" w:y="341" w:anchorLock="0"/>
    </w:pPr>
  </w:p>
  <w:p w:rsidR="0045208F" w:rsidRPr="00AD6C48" w:rsidRDefault="0045208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Sammanfattning</w:t>
    </w:r>
    <w:r w:rsidRPr="00AD6C48">
      <w:rPr>
        <w:rStyle w:val="SidhuvudRubrikReferens"/>
      </w:rPr>
      <w:fldChar w:fldCharType="end"/>
    </w:r>
    <w:r w:rsidRPr="00AD6C48">
      <w:rPr>
        <w:rStyle w:val="SidhuvudBilaga"/>
      </w:rPr>
      <w:t xml:space="preserve">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2"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rPr>
        <w:rStyle w:val="SidhuvudRubrikReferens"/>
      </w:rPr>
      <w:t>Trafikutskottets yttrande 2002/03:TU2y</w:t>
    </w:r>
    <w:r w:rsidRPr="00AD6C48">
      <w:rPr>
        <w:rStyle w:val="SidhuvudBilaga"/>
      </w:rPr>
      <w:t xml:space="preserve">   Bilaga 12 </w:t>
    </w:r>
    <w:r w:rsidRPr="00AD6C48">
      <w:t xml:space="preserve">     </w:t>
    </w:r>
    <w:r w:rsidRPr="00AD6C48">
      <w:rPr>
        <w:rStyle w:val="SidhuvudUtskott"/>
      </w:rPr>
      <w:t>2002/03:KU29</w:t>
    </w:r>
  </w:p>
  <w:p w:rsidR="0045208F" w:rsidRPr="00AD6C48" w:rsidRDefault="0045208F">
    <w:pPr>
      <w:pStyle w:val="SidhuvudKantUdda"/>
      <w:framePr w:w="8731" w:h="567" w:hRule="exact" w:vSpace="0" w:wrap="around" w:vAnchor="page" w:y="341" w:anchorLock="0"/>
    </w:pPr>
  </w:p>
  <w:p w:rsidR="0045208F" w:rsidRPr="00AD6C48" w:rsidRDefault="0045208F">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1" w:h="567" w:hRule="exact" w:vSpace="0" w:wrap="around" w:vAnchor="page" w:y="341" w:anchorLock="0"/>
    </w:pPr>
  </w:p>
  <w:p w:rsidR="0045208F" w:rsidRPr="00AD6C48" w:rsidRDefault="0045208F">
    <w:pPr>
      <w:pStyle w:val="SidhuvudKantUdda"/>
      <w:framePr w:w="8731"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Bilaga 13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Trafikutskottets yttrande 2002/03:TU2y</w:t>
    </w:r>
    <w:r w:rsidRPr="00AD6C48">
      <w:rPr>
        <w:rStyle w:val="SidhuvudRubrikReferens"/>
      </w:rPr>
      <w:fldChar w:fldCharType="end"/>
    </w:r>
  </w:p>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Trafikutskottets yttrande 2002/03:TU2y</w:t>
    </w:r>
    <w:r w:rsidRPr="00AD6C48">
      <w:rPr>
        <w:rStyle w:val="SidhuvudRubrikReferens"/>
      </w:rPr>
      <w:fldChar w:fldCharType="end"/>
    </w:r>
    <w:r w:rsidRPr="00AD6C48">
      <w:rPr>
        <w:rStyle w:val="SidhuvudBilaga"/>
      </w:rPr>
      <w:t xml:space="preserve">   Bilaga 13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w:instrText>
    </w:r>
    <w:r w:rsidRPr="00AD6C48">
      <w:rPr>
        <w:rStyle w:val="SidhuvudUtskott"/>
      </w:rPr>
      <w:instrText>C</w:instrText>
    </w:r>
    <w:r w:rsidRPr="00AD6C48">
      <w:rPr>
        <w:rStyle w:val="SidhuvudUtskott"/>
      </w:rPr>
      <w:instrText>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2"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2" w:h="567" w:hRule="exact" w:vSpace="0" w:wrap="around" w:vAnchor="page" w:y="341" w:anchorLock="0"/>
    </w:pPr>
  </w:p>
  <w:p w:rsidR="0045208F" w:rsidRPr="00AD6C48" w:rsidRDefault="0045208F">
    <w:pPr>
      <w:pStyle w:val="SidhuvudKantUdda"/>
      <w:framePr w:w="8732"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1"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Bilaga 14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Protokollsutdrag från Miljö- och jordbruksutskottet</w:t>
    </w:r>
    <w:r w:rsidRPr="00AD6C48">
      <w:rPr>
        <w:rStyle w:val="SidhuvudRubrikReferens"/>
      </w:rPr>
      <w:fldChar w:fldCharType="end"/>
    </w:r>
  </w:p>
  <w:p w:rsidR="0045208F" w:rsidRPr="00AD6C48" w:rsidRDefault="0045208F">
    <w:pPr>
      <w:pStyle w:val="SidhuvudKantJmn"/>
      <w:framePr w:w="8731"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Protokollsutdrag från Miljö- och jordbruksutskottet</w:t>
    </w:r>
    <w:r w:rsidRPr="00AD6C48">
      <w:rPr>
        <w:rStyle w:val="SidhuvudRubrikReferens"/>
      </w:rPr>
      <w:fldChar w:fldCharType="end"/>
    </w:r>
    <w:r w:rsidRPr="00AD6C48">
      <w:rPr>
        <w:rStyle w:val="SidhuvudBilaga"/>
      </w:rPr>
      <w:t xml:space="preserve">   Bilaga 14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1"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1" w:h="567" w:hRule="exact" w:vSpace="0" w:wrap="around" w:vAnchor="page" w:y="341" w:anchorLock="0"/>
    </w:pPr>
    <w:r w:rsidRPr="00AD6C48">
      <w:t xml:space="preserve">  </w:t>
    </w:r>
    <w:r w:rsidRPr="00AD6C48">
      <w:rPr>
        <w:rStyle w:val="SidhuvudUtskott"/>
      </w:rPr>
      <w:t>2002/03:KU29</w:t>
    </w:r>
  </w:p>
  <w:p w:rsidR="0045208F" w:rsidRPr="00AD6C48" w:rsidRDefault="0045208F">
    <w:pPr>
      <w:pStyle w:val="SidhuvudKantUdda"/>
      <w:framePr w:w="8731" w:h="567" w:hRule="exact" w:vSpace="0" w:wrap="around" w:vAnchor="page" w:y="341" w:anchorLock="0"/>
    </w:pPr>
  </w:p>
  <w:p w:rsidR="0045208F" w:rsidRPr="00AD6C48" w:rsidRDefault="0045208F">
    <w:pPr>
      <w:pStyle w:val="Sidhuvud"/>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r w:rsidRPr="00AD6C48">
      <w:rPr>
        <w:rStyle w:val="SidhuvudBilaga"/>
      </w:rPr>
      <w:t xml:space="preserve"> Bilaga 15   </w:t>
    </w:r>
    <w:r w:rsidRPr="00AD6C48">
      <w:rPr>
        <w:rStyle w:val="SidhuvudRubrikReferens"/>
      </w:rPr>
      <w:t>Arbetsmarknadsutskottets yttrande 2002/03:AU2y</w:t>
    </w:r>
  </w:p>
  <w:p w:rsidR="0045208F" w:rsidRPr="00AD6C48" w:rsidRDefault="0045208F">
    <w:pPr>
      <w:pStyle w:val="SidhuvudKantJmn"/>
      <w:framePr w:w="8732" w:h="567" w:hRule="exact" w:vSpace="0" w:wrap="around" w:vAnchor="page" w:y="341" w:anchorLock="0"/>
    </w:pPr>
  </w:p>
  <w:p w:rsidR="0045208F" w:rsidRPr="00AD6C48" w:rsidRDefault="0045208F">
    <w:pPr>
      <w:pStyle w:val="Sidhuvud"/>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t>Arbetsmarknadsutskottets yttrande 2002/03:AU2y</w:t>
    </w:r>
    <w:r w:rsidRPr="00AD6C48">
      <w:rPr>
        <w:rStyle w:val="SidhuvudBilaga"/>
      </w:rPr>
      <w:t xml:space="preserve">   Bilaga 15 </w:t>
    </w: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2" w:h="567" w:hRule="exact" w:vSpace="0" w:wrap="around" w:vAnchor="page" w:y="341" w:anchorLock="0"/>
    </w:pPr>
  </w:p>
  <w:p w:rsidR="0045208F" w:rsidRPr="00AD6C48" w:rsidRDefault="0045208F">
    <w:pPr>
      <w:pStyle w:val="SidhuvudKantUdda"/>
      <w:framePr w:w="8732"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2" w:h="567" w:hRule="exact" w:vSpace="0" w:wrap="around" w:vAnchor="page" w:y="341" w:anchorLock="0"/>
    </w:pPr>
  </w:p>
  <w:p w:rsidR="0045208F" w:rsidRPr="00AD6C48" w:rsidRDefault="0045208F">
    <w:pPr>
      <w:pStyle w:val="SidhuvudKantUdda"/>
      <w:framePr w:w="8732"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Bilaga 16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Arbetsmarknadsutskottets yttrande 2002/03:AU2y</w:t>
    </w:r>
    <w:r w:rsidRPr="00AD6C48">
      <w:rPr>
        <w:rStyle w:val="SidhuvudRubrikReferens"/>
      </w:rPr>
      <w:fldChar w:fldCharType="end"/>
    </w:r>
  </w:p>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t>Bostadsutskottets yttrande 2002/03:BoU2y</w:t>
    </w:r>
    <w:r w:rsidRPr="00AD6C48">
      <w:rPr>
        <w:rStyle w:val="SidhuvudBilaga"/>
      </w:rPr>
      <w:t xml:space="preserve">   Bilaga 16 </w:t>
    </w: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t>2002/03:KU29</w:t>
    </w:r>
    <w:r w:rsidRPr="00AD6C48">
      <w:t xml:space="preserve">    </w:t>
    </w:r>
  </w:p>
  <w:p w:rsidR="0045208F" w:rsidRPr="00AD6C48" w:rsidRDefault="0045208F">
    <w:pPr>
      <w:pStyle w:val="SidhuvudKantJmn"/>
      <w:framePr w:w="8732" w:h="567" w:hRule="exact" w:vSpace="0" w:wrap="around" w:vAnchor="page" w:y="341" w:anchorLock="0"/>
    </w:pPr>
  </w:p>
  <w:p w:rsidR="0045208F" w:rsidRPr="00AD6C48" w:rsidRDefault="0045208F">
    <w:pPr>
      <w:pStyle w:val="SidhuvudKantUdda"/>
      <w:framePr w:w="8732" w:h="567" w:hRule="exact" w:vSpace="0" w:wrap="around" w:vAnchor="page" w:y="341" w:anchorLock="0"/>
    </w:pPr>
    <w:r w:rsidRPr="00AD6C48">
      <w:rPr>
        <w:rStyle w:val="SidhuvudRubrikReferens"/>
        <w:smallCaps w:val="0"/>
        <w:spacing w:val="0"/>
        <w:sz w:val="19"/>
      </w:rPr>
      <w:t xml:space="preserve"> </w:t>
    </w:r>
  </w:p>
  <w:p w:rsidR="0045208F" w:rsidRPr="00AD6C48" w:rsidRDefault="0045208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 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BetänkandeNr</w:instrText>
    </w:r>
    <w:r w:rsidRPr="00AD6C48">
      <w:rPr>
        <w:rStyle w:val="SidhuvudUtskott"/>
      </w:rPr>
      <w:fldChar w:fldCharType="separate"/>
    </w:r>
    <w:r w:rsidRPr="00AD6C48">
      <w:rPr>
        <w:rStyle w:val="SidhuvudUtskott"/>
      </w:rPr>
      <w:t>29</w:t>
    </w:r>
    <w:r w:rsidRPr="00AD6C48">
      <w:rPr>
        <w:rStyle w:val="SidhuvudUtskott"/>
      </w:rPr>
      <w:fldChar w:fldCharType="end"/>
    </w:r>
    <w:r w:rsidRPr="00AD6C48">
      <w:t xml:space="preserve">     </w:t>
    </w:r>
    <w:r w:rsidRPr="00AD6C48">
      <w:rPr>
        <w:rStyle w:val="SidhuvudBilaga"/>
      </w:rPr>
      <w:t xml:space="preserve"> </w:t>
    </w: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Innehållsförteckning</w:t>
    </w:r>
    <w:r w:rsidRPr="00AD6C48">
      <w:rPr>
        <w:rStyle w:val="SidhuvudRubrikReferens"/>
      </w:rPr>
      <w:fldChar w:fldCharType="end"/>
    </w:r>
  </w:p>
  <w:p w:rsidR="0045208F" w:rsidRPr="00AD6C48" w:rsidRDefault="0045208F">
    <w:pPr>
      <w:pStyle w:val="SidhuvudKantJmn"/>
      <w:framePr w:w="8732" w:h="567" w:hRule="exact" w:vSpace="0" w:wrap="around" w:vAnchor="page" w:y="341" w:anchorLock="0"/>
    </w:pPr>
    <w:r w:rsidRPr="00AD6C48">
      <w:rPr>
        <w:rStyle w:val="SidhuvudUtskott"/>
      </w:rPr>
      <w:fldChar w:fldCharType="begin" w:fldLock="1"/>
    </w:r>
    <w:r w:rsidRPr="00AD6C48">
      <w:rPr>
        <w:rStyle w:val="SidhuvudUtskott"/>
      </w:rPr>
      <w:instrText xml:space="preserve"> DOCPROPERTY Status</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    </w:instrText>
    </w:r>
    <w:r w:rsidRPr="00AD6C48">
      <w:rPr>
        <w:rStyle w:val="SidhuvudUtskott"/>
      </w:rPr>
      <w:fldChar w:fldCharType="begin" w:fldLock="1"/>
    </w:r>
    <w:r w:rsidRPr="00AD6C48">
      <w:rPr>
        <w:rStyle w:val="SidhuvudUtskott"/>
      </w:rPr>
      <w:instrText xml:space="preserve"> PRINTDATE \@ "yyyy-MM-dd HH.mm"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p>
  <w:p w:rsidR="0045208F" w:rsidRPr="00AD6C48" w:rsidRDefault="0045208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rPr>
        <w:rStyle w:val="SidhuvudRubrikReferens"/>
      </w:rPr>
      <w:fldChar w:fldCharType="begin" w:fldLock="1"/>
    </w:r>
    <w:r w:rsidRPr="00AD6C48">
      <w:rPr>
        <w:rStyle w:val="SidhuvudRubrikReferens"/>
      </w:rPr>
      <w:instrText xml:space="preserve"> StyleREF "Rubrik 1" </w:instrText>
    </w:r>
    <w:r w:rsidRPr="00AD6C48">
      <w:rPr>
        <w:rStyle w:val="SidhuvudRubrikReferens"/>
      </w:rPr>
      <w:fldChar w:fldCharType="separate"/>
    </w:r>
    <w:r w:rsidRPr="00AD6C48">
      <w:rPr>
        <w:rStyle w:val="SidhuvudRubrikReferens"/>
      </w:rPr>
      <w:t>Innehållsförteckning</w:t>
    </w:r>
    <w:r w:rsidRPr="00AD6C48">
      <w:rPr>
        <w:rStyle w:val="SidhuvudRubrikReferens"/>
      </w:rPr>
      <w:fldChar w:fldCharType="end"/>
    </w:r>
    <w:r w:rsidRPr="00AD6C48">
      <w:rPr>
        <w:rStyle w:val="SidhuvudBilaga"/>
      </w:rPr>
      <w:t xml:space="preserve"> </w:t>
    </w:r>
    <w:r w:rsidRPr="00AD6C48">
      <w:t xml:space="preserve">     </w:t>
    </w:r>
    <w:r w:rsidRPr="00AD6C48">
      <w:rPr>
        <w:rStyle w:val="SidhuvudUtskott"/>
      </w:rPr>
      <w:fldChar w:fldCharType="begin" w:fldLock="1"/>
    </w:r>
    <w:r w:rsidRPr="00AD6C48">
      <w:rPr>
        <w:rStyle w:val="SidhuvudUtskott"/>
      </w:rPr>
      <w:instrText xml:space="preserve"> DOCPROPERTY BetänkandeÅr</w:instrText>
    </w:r>
    <w:r w:rsidRPr="00AD6C48">
      <w:rPr>
        <w:rStyle w:val="SidhuvudUtskott"/>
      </w:rPr>
      <w:fldChar w:fldCharType="separate"/>
    </w:r>
    <w:r w:rsidRPr="00AD6C48">
      <w:rPr>
        <w:rStyle w:val="SidhuvudUtskott"/>
      </w:rPr>
      <w:t>2002/03</w:t>
    </w:r>
    <w:r w:rsidRPr="00AD6C48">
      <w:rPr>
        <w:rStyle w:val="SidhuvudUtskott"/>
      </w:rPr>
      <w:fldChar w:fldCharType="end"/>
    </w:r>
    <w:r w:rsidRPr="00AD6C48">
      <w:rPr>
        <w:rStyle w:val="SidhuvudUtskott"/>
      </w:rPr>
      <w:t>:</w:t>
    </w:r>
    <w:r w:rsidRPr="00AD6C48">
      <w:rPr>
        <w:rStyle w:val="SidhuvudUtskott"/>
      </w:rPr>
      <w:fldChar w:fldCharType="begin" w:fldLock="1"/>
    </w:r>
    <w:r w:rsidRPr="00AD6C48">
      <w:rPr>
        <w:rStyle w:val="SidhuvudUtskott"/>
      </w:rPr>
      <w:instrText xml:space="preserve"> DOCPROPERTY</w:instrText>
    </w:r>
    <w:r w:rsidRPr="00AD6C48">
      <w:instrText xml:space="preserve"> </w:instrText>
    </w:r>
    <w:r w:rsidRPr="00AD6C48">
      <w:rPr>
        <w:rStyle w:val="SidhuvudUtskott"/>
      </w:rPr>
      <w:instrText>Utskott</w:instrText>
    </w:r>
    <w:r w:rsidRPr="00AD6C48">
      <w:rPr>
        <w:rStyle w:val="SidhuvudUtskott"/>
      </w:rPr>
      <w:fldChar w:fldCharType="separate"/>
    </w:r>
    <w:r w:rsidRPr="00AD6C48">
      <w:rPr>
        <w:rStyle w:val="SidhuvudUtskott"/>
      </w:rPr>
      <w:t>KU</w: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DOCPROPERTY Betä</w:instrText>
    </w:r>
    <w:r w:rsidRPr="00AD6C48">
      <w:rPr>
        <w:rStyle w:val="SidhuvudUtskott"/>
      </w:rPr>
      <w:instrText>n</w:instrText>
    </w:r>
    <w:r w:rsidRPr="00AD6C48">
      <w:rPr>
        <w:rStyle w:val="SidhuvudUtskott"/>
      </w:rPr>
      <w:instrText>kandeNr</w:instrText>
    </w:r>
    <w:r w:rsidRPr="00AD6C48">
      <w:rPr>
        <w:rStyle w:val="SidhuvudUtskott"/>
      </w:rPr>
      <w:fldChar w:fldCharType="separate"/>
    </w:r>
    <w:r w:rsidRPr="00AD6C48">
      <w:rPr>
        <w:rStyle w:val="SidhuvudUtskott"/>
      </w:rPr>
      <w:t>29</w:t>
    </w:r>
    <w:r w:rsidRPr="00AD6C48">
      <w:rPr>
        <w:rStyle w:val="SidhuvudUtskott"/>
      </w:rPr>
      <w:fldChar w:fldCharType="end"/>
    </w:r>
  </w:p>
  <w:p w:rsidR="0045208F" w:rsidRPr="00AD6C48" w:rsidRDefault="0045208F">
    <w:pPr>
      <w:pStyle w:val="SidhuvudKantUdda"/>
      <w:framePr w:w="8732" w:h="567" w:hRule="exact" w:vSpace="0" w:wrap="around" w:vAnchor="page" w:y="341" w:anchorLock="0"/>
    </w:pPr>
    <w:r w:rsidRPr="00AD6C48">
      <w:rPr>
        <w:rStyle w:val="SidhuvudUtskott"/>
      </w:rPr>
      <w:fldChar w:fldCharType="begin" w:fldLock="1"/>
    </w:r>
    <w:r w:rsidRPr="00AD6C48">
      <w:rPr>
        <w:rStyle w:val="SidhuvudUtskott"/>
      </w:rPr>
      <w:instrText xml:space="preserve"> if </w:instrText>
    </w:r>
    <w:r w:rsidRPr="00AD6C48">
      <w:rPr>
        <w:rStyle w:val="SidhuvudUtskott"/>
      </w:rPr>
      <w:fldChar w:fldCharType="begin" w:fldLock="1"/>
    </w:r>
    <w:r w:rsidRPr="00AD6C48">
      <w:rPr>
        <w:rStyle w:val="SidhuvudUtskott"/>
      </w:rPr>
      <w:instrText xml:space="preserve"> DOCPROPERTY "UtkastDatum"</w:instrText>
    </w:r>
    <w:r w:rsidRPr="00AD6C48">
      <w:rPr>
        <w:rStyle w:val="SidhuvudUtskott"/>
      </w:rPr>
      <w:fldChar w:fldCharType="separate"/>
    </w:r>
    <w:r w:rsidRPr="00AD6C48">
      <w:rPr>
        <w:rStyle w:val="SidhuvudUtskott"/>
      </w:rPr>
      <w:instrText>Nej</w:instrText>
    </w:r>
    <w:r w:rsidRPr="00AD6C48">
      <w:rPr>
        <w:rStyle w:val="SidhuvudUtskott"/>
      </w:rPr>
      <w:fldChar w:fldCharType="end"/>
    </w:r>
    <w:r w:rsidRPr="00AD6C48">
      <w:rPr>
        <w:rStyle w:val="SidhuvudUtskott"/>
      </w:rPr>
      <w:instrText xml:space="preserve"> = "Ja" "</w:instrText>
    </w:r>
    <w:r w:rsidRPr="00AD6C48">
      <w:rPr>
        <w:rStyle w:val="SidhuvudUtskott"/>
      </w:rPr>
      <w:fldChar w:fldCharType="begin" w:fldLock="1"/>
    </w:r>
    <w:r w:rsidRPr="00AD6C48">
      <w:rPr>
        <w:rStyle w:val="SidhuvudUtskott"/>
      </w:rPr>
      <w:instrText xml:space="preserve"> PRINTDATE \@ "yyyy-MM-dd HH.mm    " </w:instrText>
    </w:r>
    <w:r w:rsidRPr="00AD6C48">
      <w:rPr>
        <w:rStyle w:val="SidhuvudUtskott"/>
      </w:rPr>
      <w:fldChar w:fldCharType="separate"/>
    </w:r>
    <w:r w:rsidRPr="00AD6C48">
      <w:rPr>
        <w:rStyle w:val="SidhuvudUtskott"/>
      </w:rPr>
      <w:instrText>2000-08-11 16.42</w:instrText>
    </w:r>
    <w:r w:rsidRPr="00AD6C48">
      <w:rPr>
        <w:rStyle w:val="SidhuvudUtskott"/>
      </w:rPr>
      <w:fldChar w:fldCharType="end"/>
    </w:r>
    <w:r w:rsidRPr="00AD6C48">
      <w:rPr>
        <w:rStyle w:val="SidhuvudUtskott"/>
      </w:rPr>
      <w:instrText xml:space="preserve">" </w:instrText>
    </w:r>
    <w:r w:rsidRPr="00AD6C48">
      <w:rPr>
        <w:rStyle w:val="SidhuvudUtskott"/>
      </w:rPr>
      <w:fldChar w:fldCharType="end"/>
    </w:r>
    <w:r w:rsidRPr="00AD6C48">
      <w:rPr>
        <w:rStyle w:val="SidhuvudUtskott"/>
      </w:rPr>
      <w:fldChar w:fldCharType="begin" w:fldLock="1"/>
    </w:r>
    <w:r w:rsidRPr="00AD6C48">
      <w:rPr>
        <w:rStyle w:val="SidhuvudUtskott"/>
      </w:rPr>
      <w:instrText xml:space="preserve"> DOCPR</w:instrText>
    </w:r>
    <w:r w:rsidRPr="00AD6C48">
      <w:rPr>
        <w:rStyle w:val="SidhuvudUtskott"/>
      </w:rPr>
      <w:instrText>O</w:instrText>
    </w:r>
    <w:r w:rsidRPr="00AD6C48">
      <w:rPr>
        <w:rStyle w:val="SidhuvudUtskott"/>
      </w:rPr>
      <w:instrText>PERTY Status</w:instrText>
    </w:r>
    <w:r w:rsidRPr="00AD6C48">
      <w:rPr>
        <w:rStyle w:val="SidhuvudUtskott"/>
      </w:rPr>
      <w:fldChar w:fldCharType="end"/>
    </w:r>
  </w:p>
  <w:p w:rsidR="0045208F" w:rsidRPr="00AD6C48" w:rsidRDefault="0045208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F" w:rsidRPr="00AD6C48" w:rsidRDefault="0045208F">
    <w:pPr>
      <w:pStyle w:val="SidhuvudKantUdda"/>
      <w:framePr w:w="8732" w:h="567" w:hRule="exact" w:vSpace="0" w:wrap="around" w:vAnchor="page" w:y="341" w:anchorLock="0"/>
    </w:pPr>
    <w:r w:rsidRPr="00AD6C48">
      <w:t xml:space="preserve">  </w:t>
    </w:r>
    <w:r w:rsidRPr="00AD6C48">
      <w:rPr>
        <w:rStyle w:val="SidhuvudUtskott"/>
      </w:rPr>
      <w:t>2002/03:KU29</w:t>
    </w:r>
  </w:p>
  <w:p w:rsidR="0045208F" w:rsidRPr="00AD6C48" w:rsidRDefault="0045208F">
    <w:pPr>
      <w:pStyle w:val="SidhuvudKantUdda"/>
      <w:framePr w:w="8732" w:h="567" w:hRule="exact" w:vSpace="0" w:wrap="around" w:vAnchor="page" w:y="341" w:anchorLock="0"/>
    </w:pPr>
  </w:p>
  <w:p w:rsidR="0045208F" w:rsidRPr="00AD6C48" w:rsidRDefault="0045208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95F1262"/>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7C1209B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72798452">
    <w:abstractNumId w:val="0"/>
  </w:num>
  <w:num w:numId="2" w16cid:durableId="1448963342">
    <w:abstractNumId w:val="1"/>
  </w:num>
  <w:num w:numId="3" w16cid:durableId="32047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976D6E"/>
    <w:rsid w:val="0045208F"/>
    <w:rsid w:val="00976D6E"/>
    <w:rsid w:val="00AD6C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99088A-9649-4361-AB59-8771100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header" Target="header29.xml"/><Relationship Id="rId84" Type="http://schemas.openxmlformats.org/officeDocument/2006/relationships/header" Target="header39.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header" Target="header59.xml"/><Relationship Id="rId128" Type="http://schemas.openxmlformats.org/officeDocument/2006/relationships/header" Target="header61.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113" Type="http://schemas.openxmlformats.org/officeDocument/2006/relationships/footer" Target="footer53.xml"/><Relationship Id="rId118" Type="http://schemas.openxmlformats.org/officeDocument/2006/relationships/footer" Target="footer55.xml"/><Relationship Id="rId134" Type="http://schemas.openxmlformats.org/officeDocument/2006/relationships/fontTable" Target="fontTable.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124" Type="http://schemas.openxmlformats.org/officeDocument/2006/relationships/footer" Target="footer58.xml"/><Relationship Id="rId129" Type="http://schemas.openxmlformats.org/officeDocument/2006/relationships/header" Target="header62.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4.xml"/><Relationship Id="rId119" Type="http://schemas.openxmlformats.org/officeDocument/2006/relationships/footer" Target="footer56.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header" Target="header38.xml"/><Relationship Id="rId86" Type="http://schemas.openxmlformats.org/officeDocument/2006/relationships/header" Target="header40.xml"/><Relationship Id="rId130" Type="http://schemas.openxmlformats.org/officeDocument/2006/relationships/footer" Target="footer61.xml"/><Relationship Id="rId135"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2.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126" Type="http://schemas.openxmlformats.org/officeDocument/2006/relationships/header" Target="header6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header" Target="header55.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3.xml"/><Relationship Id="rId132" Type="http://schemas.openxmlformats.org/officeDocument/2006/relationships/header" Target="header63.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9.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header" Target="header58.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header" Target="header31.xml"/><Relationship Id="rId89" Type="http://schemas.openxmlformats.org/officeDocument/2006/relationships/footer" Target="footer41.xml"/><Relationship Id="rId112" Type="http://schemas.openxmlformats.org/officeDocument/2006/relationships/footer" Target="footer52.xml"/><Relationship Id="rId133" Type="http://schemas.openxmlformats.org/officeDocument/2006/relationships/footer" Target="footer6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16811</Words>
  <Characters>109608</Characters>
  <Application>Microsoft Office Word</Application>
  <DocSecurity>4</DocSecurity>
  <Lines>2107</Lines>
  <Paragraphs>547</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1999/2000:T1</vt:lpstr>
      <vt:lpstr>Sammanfattning</vt:lpstr>
      <vt:lpstr>Innehållsförteckning</vt:lpstr>
      <vt:lpstr>Utskottets förslag till riksdagsbeslut</vt:lpstr>
      <vt:lpstr>    Förslag till riksdagsbeslut</vt:lpstr>
      <vt:lpstr>Redogörelse för ärendet</vt:lpstr>
      <vt:lpstr>    Årets redogörelse</vt:lpstr>
      <vt:lpstr>    Konstitutionsutskottet</vt:lpstr>
      <vt:lpstr>    Motionerna</vt:lpstr>
      <vt:lpstr>    Bakgrund</vt:lpstr>
      <vt:lpstr>        Gällande regler</vt:lpstr>
      <vt:lpstr>        Tidigare riksdagsbehandling</vt:lpstr>
      <vt:lpstr>        Utskottets ställningstagande</vt:lpstr>
      <vt:lpstr>Reservationer</vt:lpstr>
      <vt:lpstr>    1.	Regeringens handläggning av tillkännagivande om lokala folkomröstningar (punk</vt:lpstr>
      <vt:lpstr>    2.	Redogörelse för behandlingen av riksdagens skrivelser till regeringen (punkt </vt:lpstr>
      <vt:lpstr>Förteckning över behandlade förslag</vt:lpstr>
      <vt:lpstr>    Skrivelsen</vt:lpstr>
      <vt:lpstr>    Följdmotioner</vt:lpstr>
      <vt:lpstr>Finansutskottets yttrande 2002/03:FiU1y</vt:lpstr>
      <vt:lpstr>Skatteutskottets yttrande 2002/03:SkU3y</vt:lpstr>
      <vt:lpstr>Protokollsutdrag från Justitieutskottet</vt:lpstr>
      <vt:lpstr>Protokollsutdrag från Lagutskottet</vt:lpstr>
      <vt:lpstr>Protkollsutdrag från Utrikesutskottet</vt:lpstr>
      <vt:lpstr>Protokollsutdrag från Försvarsutskottet</vt:lpstr>
      <vt:lpstr>Socialförsäkringsutskottets yttrande 2002/03:SfU2y</vt:lpstr>
      <vt:lpstr>Stockholm den 17 april 2003</vt:lpstr>
      <vt:lpstr>Protokollsutdrag från Socialutskottet</vt:lpstr>
      <vt:lpstr>Protokollsutdrag från Kulturutskottet</vt:lpstr>
      <vt:lpstr>Protokollsutdrag från Utbildningsutskottet</vt:lpstr>
      <vt:lpstr>Trafikutskottets yttrande 2002/03:TU2y</vt:lpstr>
    </vt:vector>
  </TitlesOfParts>
  <Company>Riksdagen</Company>
  <LinksUpToDate>false</LinksUpToDate>
  <CharactersWithSpaces>125872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2003-05-23T09:44:00Z</cp:lastPrinted>
  <dcterms:created xsi:type="dcterms:W3CDTF">2025-12-16T01:20:00Z</dcterms:created>
  <dcterms:modified xsi:type="dcterms:W3CDTF">2025-12-16T01:20:00Z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