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9EB53-4C5B-438E-BFBF-8646EF7F97A3}"/>
</file>

<file path=customXml/itemProps2.xml><?xml version="1.0" encoding="utf-8"?>
<ds:datastoreItem xmlns:ds="http://schemas.openxmlformats.org/officeDocument/2006/customXml" ds:itemID="{B4A818E1-633C-4214-A43B-86C85CC72ECC}"/>
</file>

<file path=customXml/itemProps3.xml><?xml version="1.0" encoding="utf-8"?>
<ds:datastoreItem xmlns:ds="http://schemas.openxmlformats.org/officeDocument/2006/customXml" ds:itemID="{5E5CD981-CFF0-4067-89D9-C70C9E660B4D}"/>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