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1DDDB450-661F-46E4-B068-56835070B791}"/>
</file>

<file path=customXml/itemProps3.xml><?xml version="1.0" encoding="utf-8"?>
<ds:datastoreItem xmlns:ds="http://schemas.openxmlformats.org/officeDocument/2006/customXml" ds:itemID="{8D82600C-9524-4EA5-B233-8A426A508F47}"/>
</file>

<file path=customXml/itemProps4.xml><?xml version="1.0" encoding="utf-8"?>
<ds:datastoreItem xmlns:ds="http://schemas.openxmlformats.org/officeDocument/2006/customXml" ds:itemID="{DBEB9409-42C9-4C06-B000-BC04ECB78240}"/>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