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A71F33">
        <w:tblPrEx>
          <w:tblCellMar>
            <w:top w:w="0" w:type="dxa"/>
            <w:bottom w:w="0" w:type="dxa"/>
          </w:tblCellMar>
        </w:tblPrEx>
        <w:trPr>
          <w:cantSplit/>
          <w:trHeight w:val="1720"/>
        </w:trPr>
        <w:tc>
          <w:tcPr>
            <w:tcW w:w="6024" w:type="dxa"/>
            <w:gridSpan w:val="2"/>
          </w:tcPr>
          <w:p w:rsidR="00F53A97" w:rsidRPr="00A71F33" w:rsidRDefault="0063583E">
            <w:pPr>
              <w:pStyle w:val="HuvudRubrik"/>
            </w:pPr>
            <w:r w:rsidRPr="00A71F33">
              <w:t>EU-nämndens yttrande</w:t>
            </w:r>
          </w:p>
          <w:p w:rsidR="00F53A97" w:rsidRPr="00A71F33" w:rsidRDefault="006C1C0F">
            <w:pPr>
              <w:pStyle w:val="HuvudRubrikRad2"/>
            </w:pPr>
            <w:bookmarkStart w:id="0" w:name="BetänkandeNr"/>
            <w:bookmarkEnd w:id="0"/>
            <w:r w:rsidRPr="00A71F33">
              <w:t>2004/05</w:t>
            </w:r>
            <w:r w:rsidR="00F53A97" w:rsidRPr="00A71F33">
              <w:t>:</w:t>
            </w:r>
            <w:r w:rsidRPr="00A71F33">
              <w:t>EUN1y</w:t>
            </w:r>
          </w:p>
        </w:tc>
        <w:tc>
          <w:tcPr>
            <w:tcW w:w="1418" w:type="dxa"/>
            <w:tcBorders>
              <w:bottom w:val="nil"/>
            </w:tcBorders>
          </w:tcPr>
          <w:p w:rsidR="00F53A97" w:rsidRPr="00A71F33" w:rsidRDefault="00A71F33">
            <w:pPr>
              <w:spacing w:line="230" w:lineRule="auto"/>
              <w:jc w:val="center"/>
            </w:pPr>
            <w:r w:rsidRPr="00A71F3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A71F33" w:rsidRDefault="00F53A97">
            <w:pPr>
              <w:pStyle w:val="Normaltindrag"/>
              <w:jc w:val="center"/>
            </w:pPr>
          </w:p>
          <w:p w:rsidR="00F53A97" w:rsidRPr="00A71F33" w:rsidRDefault="00F53A97">
            <w:pPr>
              <w:pStyle w:val="StatusSida1"/>
            </w:pPr>
          </w:p>
          <w:p w:rsidR="00F53A97" w:rsidRPr="00A71F33" w:rsidRDefault="00F53A97">
            <w:pPr>
              <w:pStyle w:val="UtskriftsdatumSida1"/>
              <w:framePr w:wrap="around"/>
            </w:pPr>
          </w:p>
        </w:tc>
      </w:tr>
      <w:tr w:rsidR="00F53A97" w:rsidRPr="00A71F33">
        <w:tblPrEx>
          <w:tblCellMar>
            <w:top w:w="0" w:type="dxa"/>
            <w:bottom w:w="0" w:type="dxa"/>
          </w:tblCellMar>
        </w:tblPrEx>
        <w:trPr>
          <w:cantSplit/>
        </w:trPr>
        <w:tc>
          <w:tcPr>
            <w:tcW w:w="6024" w:type="dxa"/>
            <w:gridSpan w:val="2"/>
            <w:tcBorders>
              <w:bottom w:val="single" w:sz="4" w:space="0" w:color="auto"/>
            </w:tcBorders>
          </w:tcPr>
          <w:p w:rsidR="00F53A97" w:rsidRPr="00A71F33" w:rsidRDefault="0063583E">
            <w:pPr>
              <w:pStyle w:val="DokumentRubrik"/>
              <w:rPr>
                <w:noProof w:val="0"/>
              </w:rPr>
            </w:pPr>
            <w:bookmarkStart w:id="1" w:name="Huvudrubrik"/>
            <w:bookmarkEnd w:id="1"/>
            <w:r w:rsidRPr="00A71F33">
              <w:rPr>
                <w:noProof w:val="0"/>
              </w:rPr>
              <w:t>Verksamheten i Europeiska unionen under 2004 (skr. 2004/05:60)</w:t>
            </w:r>
          </w:p>
        </w:tc>
        <w:tc>
          <w:tcPr>
            <w:tcW w:w="1418" w:type="dxa"/>
            <w:tcBorders>
              <w:bottom w:val="nil"/>
            </w:tcBorders>
          </w:tcPr>
          <w:p w:rsidR="00F53A97" w:rsidRPr="00A71F33" w:rsidRDefault="00F53A97"/>
        </w:tc>
      </w:tr>
      <w:tr w:rsidR="00F53A97" w:rsidRPr="00A71F33">
        <w:tblPrEx>
          <w:tblCellMar>
            <w:top w:w="0" w:type="dxa"/>
            <w:bottom w:w="0" w:type="dxa"/>
          </w:tblCellMar>
        </w:tblPrEx>
        <w:trPr>
          <w:cantSplit/>
          <w:trHeight w:hRule="exact" w:val="360"/>
        </w:trPr>
        <w:tc>
          <w:tcPr>
            <w:tcW w:w="3012" w:type="dxa"/>
          </w:tcPr>
          <w:p w:rsidR="00F53A97" w:rsidRPr="00A71F33" w:rsidRDefault="00F53A97"/>
        </w:tc>
        <w:tc>
          <w:tcPr>
            <w:tcW w:w="3012" w:type="dxa"/>
          </w:tcPr>
          <w:p w:rsidR="00F53A97" w:rsidRPr="00A71F33" w:rsidRDefault="00F53A97"/>
        </w:tc>
        <w:tc>
          <w:tcPr>
            <w:tcW w:w="1418" w:type="dxa"/>
          </w:tcPr>
          <w:p w:rsidR="00F53A97" w:rsidRPr="00A71F33" w:rsidRDefault="00F53A97"/>
        </w:tc>
      </w:tr>
    </w:tbl>
    <w:p w:rsidR="0063583E" w:rsidRPr="00A71F33" w:rsidRDefault="0063583E" w:rsidP="0063583E">
      <w:pPr>
        <w:pStyle w:val="R1"/>
        <w:spacing w:after="250"/>
      </w:pPr>
      <w:r w:rsidRPr="00A71F33">
        <w:t>Till utrikesutskottet</w:t>
      </w:r>
    </w:p>
    <w:p w:rsidR="00F53A97" w:rsidRPr="00A71F33" w:rsidRDefault="0053181D" w:rsidP="0063583E">
      <w:bookmarkStart w:id="2" w:name="TextStart"/>
      <w:bookmarkEnd w:id="2"/>
      <w:r w:rsidRPr="00A71F33">
        <w:t xml:space="preserve">Utrikesutskottet har den </w:t>
      </w:r>
      <w:r w:rsidR="005C5CE5" w:rsidRPr="00A71F33">
        <w:t>12</w:t>
      </w:r>
      <w:r w:rsidR="00B36CDA" w:rsidRPr="00A71F33">
        <w:t xml:space="preserve"> </w:t>
      </w:r>
      <w:r w:rsidR="00940D38" w:rsidRPr="00A71F33">
        <w:t>april</w:t>
      </w:r>
      <w:r w:rsidRPr="00A71F33">
        <w:t xml:space="preserve"> 2005 beslutat att ge EU-nämnden tillfä</w:t>
      </w:r>
      <w:r w:rsidRPr="00A71F33">
        <w:t>l</w:t>
      </w:r>
      <w:r w:rsidRPr="00A71F33">
        <w:t>le att yttra sig över regeringens skrivelse 2004/05:60 Berättelse om verksa</w:t>
      </w:r>
      <w:r w:rsidRPr="00A71F33">
        <w:t>m</w:t>
      </w:r>
      <w:r w:rsidRPr="00A71F33">
        <w:t>heten i Europeiska unionen under 2004.</w:t>
      </w:r>
    </w:p>
    <w:p w:rsidR="0053181D" w:rsidRPr="00A71F33" w:rsidRDefault="0053181D" w:rsidP="0053181D">
      <w:pPr>
        <w:pStyle w:val="Normaltindrag"/>
      </w:pPr>
      <w:r w:rsidRPr="00A71F33">
        <w:t xml:space="preserve">EU-nämnden behandlar i detta yttrande – liksom i tidigare yttranden </w:t>
      </w:r>
      <w:r w:rsidR="00664932" w:rsidRPr="00A71F33">
        <w:t>–</w:t>
      </w:r>
      <w:r w:rsidR="004804B8" w:rsidRPr="00A71F33">
        <w:t xml:space="preserve"> </w:t>
      </w:r>
      <w:r w:rsidRPr="00A71F33">
        <w:t>dels vissa övergripande frågor som gäller skrivelsens innehåll och regeringens samråd med riksdagen, dels vissa av de frågor som redovisas i skrivelsen och som nämnden velat särskilt uppmärksamma.</w:t>
      </w:r>
    </w:p>
    <w:p w:rsidR="0063583E" w:rsidRPr="00A71F33" w:rsidRDefault="0063583E" w:rsidP="004804B8">
      <w:pPr>
        <w:pStyle w:val="Normaltindrag"/>
      </w:pPr>
    </w:p>
    <w:p w:rsidR="00D939AD" w:rsidRPr="00A71F33" w:rsidRDefault="001E01C4" w:rsidP="00492CC1">
      <w:pPr>
        <w:pStyle w:val="Rubrik2"/>
        <w:spacing w:before="0"/>
      </w:pPr>
      <w:bookmarkStart w:id="3" w:name="_Toc101079323"/>
      <w:r w:rsidRPr="00A71F33">
        <w:t>R</w:t>
      </w:r>
      <w:r w:rsidR="00D939AD" w:rsidRPr="00A71F33">
        <w:t>egeringens skrivelse</w:t>
      </w:r>
      <w:bookmarkEnd w:id="3"/>
    </w:p>
    <w:p w:rsidR="00CB788C" w:rsidRPr="00A71F33" w:rsidRDefault="00CB788C" w:rsidP="00CB788C">
      <w:r w:rsidRPr="00A71F33">
        <w:t>I skrivelsen om verksamheten i Europeiska unionen under år 2004 behan</w:t>
      </w:r>
      <w:r w:rsidRPr="00A71F33">
        <w:t>d</w:t>
      </w:r>
      <w:r w:rsidRPr="00A71F33">
        <w:t>las Europeiska unionens övergripande utveckling (del 1), unionens förbinde</w:t>
      </w:r>
      <w:r w:rsidRPr="00A71F33">
        <w:t>l</w:t>
      </w:r>
      <w:r w:rsidRPr="00A71F33">
        <w:t>se med omvärlden (del 2), ekonomiska och finansiella frågor (del 3) och rättsliga och inrikes frågor (del 4). Vidare behandlas unionens övriga politi</w:t>
      </w:r>
      <w:r w:rsidRPr="00A71F33">
        <w:t>k</w:t>
      </w:r>
      <w:r w:rsidRPr="00A71F33">
        <w:t>områden (del 5</w:t>
      </w:r>
      <w:r w:rsidR="004804B8" w:rsidRPr="00A71F33">
        <w:t>–</w:t>
      </w:r>
      <w:r w:rsidRPr="00A71F33">
        <w:t>10). Slutligen redogörs för unionens institutioner m.m. (del 11).</w:t>
      </w:r>
    </w:p>
    <w:p w:rsidR="00B36CDA" w:rsidRPr="00A71F33" w:rsidRDefault="00B36CDA" w:rsidP="001E01C4">
      <w:pPr>
        <w:pStyle w:val="Normaltindrag"/>
      </w:pPr>
    </w:p>
    <w:p w:rsidR="00937122" w:rsidRPr="00A71F33" w:rsidRDefault="001E01C4" w:rsidP="00492CC1">
      <w:pPr>
        <w:pStyle w:val="Rubrik2"/>
        <w:spacing w:before="0"/>
      </w:pPr>
      <w:bookmarkStart w:id="4" w:name="_Toc101079324"/>
      <w:r w:rsidRPr="00A71F33">
        <w:t>EU-nämnden</w:t>
      </w:r>
      <w:bookmarkEnd w:id="4"/>
    </w:p>
    <w:p w:rsidR="00937122" w:rsidRPr="00A71F33" w:rsidRDefault="00937122" w:rsidP="004804B8">
      <w:pPr>
        <w:pStyle w:val="Rubrik3"/>
        <w:spacing w:before="235"/>
        <w:rPr>
          <w:noProof w:val="0"/>
        </w:rPr>
      </w:pPr>
      <w:bookmarkStart w:id="5" w:name="_Toc101078471"/>
      <w:bookmarkStart w:id="6" w:name="_Toc101079325"/>
      <w:r w:rsidRPr="00A71F33">
        <w:rPr>
          <w:noProof w:val="0"/>
        </w:rPr>
        <w:t>Allmänna synpunkter på innehållet i skrivelsen</w:t>
      </w:r>
      <w:bookmarkEnd w:id="5"/>
      <w:bookmarkEnd w:id="6"/>
    </w:p>
    <w:p w:rsidR="00D729CB" w:rsidRPr="00A71F33" w:rsidRDefault="00D729CB" w:rsidP="00D729CB">
      <w:pPr>
        <w:rPr>
          <w:sz w:val="24"/>
        </w:rPr>
      </w:pPr>
      <w:r w:rsidRPr="00A71F33">
        <w:t>Enligt 10 kap. 6 § regeringsformen skall regeringen fortlöpande informera riksdagen och samråda med organ som utses av riksdagen om vad som sker inom ramen för samarbetet i Europeiska unionen. Enligt 10 kap. 1 § riksdag</w:t>
      </w:r>
      <w:r w:rsidRPr="00A71F33">
        <w:t>s</w:t>
      </w:r>
      <w:r w:rsidRPr="00A71F33">
        <w:t>ordningen skall regeringen varje år till riksdagen lämna en skrive</w:t>
      </w:r>
      <w:r w:rsidRPr="00A71F33">
        <w:t>l</w:t>
      </w:r>
      <w:r w:rsidRPr="00A71F33">
        <w:t>se med berättelse över verksamheten i Europeiska unionen. Regeringen skall dessu</w:t>
      </w:r>
      <w:r w:rsidRPr="00A71F33">
        <w:t>t</w:t>
      </w:r>
      <w:r w:rsidRPr="00A71F33">
        <w:t>om redovisa sitt agerande i EU för riksdagen. Den första skrivelsen lä</w:t>
      </w:r>
      <w:r w:rsidRPr="00A71F33">
        <w:t>m</w:t>
      </w:r>
      <w:r w:rsidRPr="00A71F33">
        <w:t>nades i mars 1996, och detta är således den tionde skrivelsen som lämnas till riksd</w:t>
      </w:r>
      <w:r w:rsidRPr="00A71F33">
        <w:t>a</w:t>
      </w:r>
      <w:r w:rsidRPr="00A71F33">
        <w:t>gen.</w:t>
      </w:r>
    </w:p>
    <w:p w:rsidR="00D729CB" w:rsidRPr="00A71F33" w:rsidRDefault="00D729CB" w:rsidP="00D729CB">
      <w:pPr>
        <w:pStyle w:val="Normaltindrag"/>
      </w:pPr>
      <w:r w:rsidRPr="00A71F33">
        <w:t>EU-nämnden bereddes tillfälle att yttra sig över skrivelsen för första gån</w:t>
      </w:r>
      <w:r w:rsidRPr="00A71F33">
        <w:t>g</w:t>
      </w:r>
      <w:r w:rsidRPr="00A71F33">
        <w:t xml:space="preserve">en våren 1999 och har därefter yttrat sig över varje års skrivelse. Även i år kan konstateras att skrivelsens utformning och innehåll utgör en mycket </w:t>
      </w:r>
      <w:r w:rsidRPr="00A71F33">
        <w:lastRenderedPageBreak/>
        <w:t>vä</w:t>
      </w:r>
      <w:r w:rsidRPr="00A71F33">
        <w:t>r</w:t>
      </w:r>
      <w:r w:rsidRPr="00A71F33">
        <w:t>defull översikt över EU:s hela verksamhet. Som EU-nämnden tidigare påp</w:t>
      </w:r>
      <w:r w:rsidRPr="00A71F33">
        <w:t>e</w:t>
      </w:r>
      <w:r w:rsidRPr="00A71F33">
        <w:t>kat utgör den också en bekräftelse på att regeringen har fullgjort sin inform</w:t>
      </w:r>
      <w:r w:rsidRPr="00A71F33">
        <w:t>a</w:t>
      </w:r>
      <w:r w:rsidRPr="00A71F33">
        <w:t>tions- och samrådsskyldighet visavi riksdagen. Den utgör därmed ett verktyg som underlättar för riksdagen att utöva sin kontrol</w:t>
      </w:r>
      <w:r w:rsidRPr="00A71F33">
        <w:t>l</w:t>
      </w:r>
      <w:r w:rsidRPr="00A71F33">
        <w:t>makt. Liksom föregående år har i stort sett alla viktiga sakf</w:t>
      </w:r>
      <w:r w:rsidR="00633248" w:rsidRPr="00A71F33">
        <w:t xml:space="preserve">rågor som tas upp i skrivelsen </w:t>
      </w:r>
      <w:r w:rsidRPr="00A71F33">
        <w:t>behandlats av EU-nämnden. Flera frågor</w:t>
      </w:r>
      <w:r w:rsidR="00633248" w:rsidRPr="00A71F33">
        <w:t xml:space="preserve"> som behandlas i skrivelsen är </w:t>
      </w:r>
      <w:r w:rsidRPr="00A71F33">
        <w:t>a</w:t>
      </w:r>
      <w:r w:rsidRPr="00A71F33">
        <w:t>k</w:t>
      </w:r>
      <w:r w:rsidRPr="00A71F33">
        <w:t xml:space="preserve">tuella under flera år framöver, vilket medför att skrivelsen också är ett viktigt </w:t>
      </w:r>
      <w:r w:rsidR="00286340" w:rsidRPr="00A71F33">
        <w:t>redskap</w:t>
      </w:r>
      <w:r w:rsidRPr="00A71F33">
        <w:t xml:space="preserve"> i riksd</w:t>
      </w:r>
      <w:r w:rsidRPr="00A71F33">
        <w:t>a</w:t>
      </w:r>
      <w:r w:rsidR="00C92F31" w:rsidRPr="00A71F33">
        <w:t>gens löpande</w:t>
      </w:r>
      <w:r w:rsidRPr="00A71F33">
        <w:t xml:space="preserve"> arbete med EU-frågorna.</w:t>
      </w:r>
    </w:p>
    <w:p w:rsidR="00D729CB" w:rsidRPr="00A71F33" w:rsidRDefault="00D729CB" w:rsidP="002764F7">
      <w:pPr>
        <w:pStyle w:val="Normaltindrag"/>
      </w:pPr>
      <w:r w:rsidRPr="00A71F33">
        <w:t>När det gäller bilagorna till skrivelsen har ingen ändring skett i förhå</w:t>
      </w:r>
      <w:r w:rsidRPr="00A71F33">
        <w:t>l</w:t>
      </w:r>
      <w:r w:rsidRPr="00A71F33">
        <w:t>lande till 2002 och 2003 års skrivelser. Även i 2004 års skrivelse finns en bilaga med en lista över Inte</w:t>
      </w:r>
      <w:r w:rsidRPr="00A71F33">
        <w:t>r</w:t>
      </w:r>
      <w:r w:rsidRPr="00A71F33">
        <w:t>netadresser. Nämnden har emellertid tidigare efterlyst också en bilaga över viktigare förordningar, direktiv och beslut (dvs. binda</w:t>
      </w:r>
      <w:r w:rsidRPr="00A71F33">
        <w:t>n</w:t>
      </w:r>
      <w:r w:rsidRPr="00A71F33">
        <w:t>de rättsakter) antagna under verksamhetsåret, liksom uppgift om grönböc</w:t>
      </w:r>
      <w:r w:rsidRPr="00A71F33">
        <w:t>k</w:t>
      </w:r>
      <w:r w:rsidRPr="00A71F33">
        <w:t>er och vitböcker beslutade av kommissionen under året. Nämnden har fra</w:t>
      </w:r>
      <w:r w:rsidRPr="00A71F33">
        <w:t>m</w:t>
      </w:r>
      <w:r w:rsidRPr="00A71F33">
        <w:t>hållit att ett alternativ till en sådan bilaga kan vara att i stället hänvisa till Europei</w:t>
      </w:r>
      <w:r w:rsidRPr="00A71F33">
        <w:t>s</w:t>
      </w:r>
      <w:r w:rsidRPr="00A71F33">
        <w:t>ka kommissionens årliga allmänna rapport om EU:s verksamhet som ko</w:t>
      </w:r>
      <w:r w:rsidRPr="00A71F33">
        <w:t>m</w:t>
      </w:r>
      <w:r w:rsidRPr="00A71F33">
        <w:t>missionen i enlighet med artikel 212 i EG-fördraget offentliggör varje år senast en månad före öppnandet av Eur</w:t>
      </w:r>
      <w:r w:rsidRPr="00A71F33">
        <w:t>o</w:t>
      </w:r>
      <w:r w:rsidRPr="00A71F33">
        <w:t xml:space="preserve">paparlamentets session. I denna allmänna rapport – som finns tillgänglig på Internet – finns </w:t>
      </w:r>
      <w:r w:rsidR="00800080" w:rsidRPr="00A71F33">
        <w:t>en te</w:t>
      </w:r>
      <w:r w:rsidR="00800080" w:rsidRPr="00A71F33">
        <w:t>k</w:t>
      </w:r>
      <w:r w:rsidR="00800080" w:rsidRPr="00A71F33">
        <w:t xml:space="preserve">nisk bilaga med </w:t>
      </w:r>
      <w:r w:rsidRPr="00A71F33">
        <w:t>uppgifter om beslut i</w:t>
      </w:r>
      <w:r w:rsidR="00F0220C" w:rsidRPr="00A71F33">
        <w:t>nom ramen för GUSP-</w:t>
      </w:r>
      <w:r w:rsidR="002357B9" w:rsidRPr="00A71F33">
        <w:t>samarbetet</w:t>
      </w:r>
      <w:r w:rsidRPr="00A71F33">
        <w:t xml:space="preserve"> och tabeller med uppgifter om rättsakter och i</w:t>
      </w:r>
      <w:r w:rsidRPr="00A71F33">
        <w:t>n</w:t>
      </w:r>
      <w:r w:rsidRPr="00A71F33">
        <w:t>ternationella avtal. Likaså finns uppgifter om grön- och vitböcker utgivna under verksa</w:t>
      </w:r>
      <w:r w:rsidRPr="00A71F33">
        <w:t>m</w:t>
      </w:r>
      <w:r w:rsidRPr="00A71F33">
        <w:t>hetsåret.</w:t>
      </w:r>
    </w:p>
    <w:p w:rsidR="00D729CB" w:rsidRPr="00A71F33" w:rsidRDefault="00D729CB" w:rsidP="00D729CB">
      <w:pPr>
        <w:pStyle w:val="Normaltindrag"/>
      </w:pPr>
      <w:r w:rsidRPr="00A71F33">
        <w:t>EU-nämnden har också tidigare framhållit att det vore värdefullt om up</w:t>
      </w:r>
      <w:r w:rsidRPr="00A71F33">
        <w:t>p</w:t>
      </w:r>
      <w:r w:rsidRPr="00A71F33">
        <w:t>gifter om hur Sverige röstat i rådet redovisades inte bara i den löpande texten utan också samlat på ett ställe i skrivelsen så att riksdagen kan få en komplett och översiktlig bild av hur regeringen har agerat i EU i detta avseende.  N</w:t>
      </w:r>
      <w:r w:rsidRPr="00A71F33">
        <w:t>å</w:t>
      </w:r>
      <w:r w:rsidRPr="00A71F33">
        <w:t>gon sådan redovisning återfinns inte heller i årets skrivelse. Det är angel</w:t>
      </w:r>
      <w:r w:rsidRPr="00A71F33">
        <w:t>ä</w:t>
      </w:r>
      <w:r w:rsidRPr="00A71F33">
        <w:t>get att nästa års skrivelse innehåller en samlad redovisning för de fall där Sverige i rådet röstat nej eller avstått från att rösta.</w:t>
      </w:r>
    </w:p>
    <w:p w:rsidR="00D729CB" w:rsidRPr="00A71F33" w:rsidRDefault="00D729CB" w:rsidP="00D729CB">
      <w:pPr>
        <w:pStyle w:val="Normaltindrag"/>
      </w:pPr>
      <w:r w:rsidRPr="00A71F33">
        <w:t>I vissa fall kan det vara intressant att veta i vilken sammansättning mini</w:t>
      </w:r>
      <w:r w:rsidRPr="00A71F33">
        <w:t>s</w:t>
      </w:r>
      <w:r w:rsidRPr="00A71F33">
        <w:t>terrådet hanterar en viss fråga. Detta är i de flesta fall ganska klart men i vissa fall inte. Läsningen av skrivelsen och ytterligare inhämtning av fakta skulle underlättas om det i vissa fall angavs i vilken sammansättning rådet har hant</w:t>
      </w:r>
      <w:r w:rsidRPr="00A71F33">
        <w:t>e</w:t>
      </w:r>
      <w:r w:rsidRPr="00A71F33">
        <w:t xml:space="preserve">rat frågan och när det aktuella rådsmötet ägt rum. </w:t>
      </w:r>
    </w:p>
    <w:p w:rsidR="00D729CB" w:rsidRPr="00A71F33" w:rsidRDefault="00D729CB" w:rsidP="00D729CB">
      <w:pPr>
        <w:pStyle w:val="Normaltindrag"/>
      </w:pPr>
      <w:r w:rsidRPr="00A71F33">
        <w:t>Det välkomnas att det i skrivelsen hänvisas till faktapromemorior, vi</w:t>
      </w:r>
      <w:r w:rsidRPr="00A71F33">
        <w:t>l</w:t>
      </w:r>
      <w:r w:rsidRPr="00A71F33">
        <w:t>ket underlättar ytterligare inhämtning av fakta. I vissa frågor presenteras en kort framåtsyftande information, t.ex. att ett meddelande skall prese</w:t>
      </w:r>
      <w:r w:rsidRPr="00A71F33">
        <w:t>n</w:t>
      </w:r>
      <w:r w:rsidRPr="00A71F33">
        <w:t>teras under kommande år. Sådan information är värdefull för riksdagens plan</w:t>
      </w:r>
      <w:r w:rsidRPr="00A71F33">
        <w:t>e</w:t>
      </w:r>
      <w:r w:rsidRPr="00A71F33">
        <w:t>ring.</w:t>
      </w:r>
    </w:p>
    <w:p w:rsidR="004804B8" w:rsidRPr="00A71F33" w:rsidRDefault="005174CE" w:rsidP="00C06844">
      <w:pPr>
        <w:pStyle w:val="Rubrik3"/>
        <w:rPr>
          <w:noProof w:val="0"/>
        </w:rPr>
      </w:pPr>
      <w:bookmarkStart w:id="7" w:name="_Toc101078472"/>
      <w:bookmarkStart w:id="8" w:name="_Toc101079326"/>
      <w:r w:rsidRPr="00A71F33">
        <w:rPr>
          <w:noProof w:val="0"/>
        </w:rPr>
        <w:t>Den övergripande</w:t>
      </w:r>
      <w:r w:rsidR="004B02AA" w:rsidRPr="00A71F33">
        <w:rPr>
          <w:noProof w:val="0"/>
        </w:rPr>
        <w:t xml:space="preserve"> utvecklingen i Europeiska unionen (del 1)</w:t>
      </w:r>
      <w:bookmarkEnd w:id="7"/>
      <w:bookmarkEnd w:id="8"/>
    </w:p>
    <w:p w:rsidR="007F1BCB" w:rsidRPr="00A71F33" w:rsidRDefault="007F1BCB" w:rsidP="004804B8">
      <w:pPr>
        <w:spacing w:before="125"/>
      </w:pPr>
      <w:r w:rsidRPr="00A71F33">
        <w:t>I skrivelsen redogörs kortfattat för utvidgningen av unionen (avsnitt 3). Den 1 maj 2004 utvidgades unionen från 15 till 25 medlemsländer. A</w:t>
      </w:r>
      <w:r w:rsidRPr="00A71F33">
        <w:t>n</w:t>
      </w:r>
      <w:r w:rsidRPr="00A71F33">
        <w:t>slutningen av tio nya medlem</w:t>
      </w:r>
      <w:r w:rsidRPr="00A71F33">
        <w:t>s</w:t>
      </w:r>
      <w:r w:rsidRPr="00A71F33">
        <w:t>länder utgör den största utvidgningen i unionens historia. Under år 2004 har förhandlingarna med Rumänien och Bulgarien fortsatt. Vid Europeiska rådets möte den 17 december 2004 välkomnades förhandlingsa</w:t>
      </w:r>
      <w:r w:rsidRPr="00A71F33">
        <w:t>v</w:t>
      </w:r>
      <w:r w:rsidRPr="00A71F33">
        <w:t>slutet den 14 december med bägge länderna</w:t>
      </w:r>
      <w:r w:rsidR="004804B8" w:rsidRPr="00A71F33">
        <w:t>,</w:t>
      </w:r>
      <w:r w:rsidRPr="00A71F33">
        <w:t xml:space="preserve"> och man såg fram emot att ta emot de bägge länderna som medlemmar fr.o.m. janu</w:t>
      </w:r>
      <w:r w:rsidRPr="00A71F33">
        <w:t>a</w:t>
      </w:r>
      <w:r w:rsidRPr="00A71F33">
        <w:t xml:space="preserve">ri 2007. </w:t>
      </w:r>
    </w:p>
    <w:p w:rsidR="007F1BCB" w:rsidRPr="00A71F33" w:rsidRDefault="007F1BCB" w:rsidP="007F1BCB">
      <w:pPr>
        <w:pStyle w:val="Normaltindrag"/>
      </w:pPr>
      <w:r w:rsidRPr="00A71F33">
        <w:t>Kommissionen presenterade den 6 oktober 2004 sin översynsrapport för Turkiet samt en konsekvensstudie av ett turkiskt EU-medlemskap. Vid Eur</w:t>
      </w:r>
      <w:r w:rsidRPr="00A71F33">
        <w:t>o</w:t>
      </w:r>
      <w:r w:rsidRPr="00A71F33">
        <w:t>peiska rådets möte i december 2004 enades man om att inleda anslutningsfö</w:t>
      </w:r>
      <w:r w:rsidRPr="00A71F33">
        <w:t>r</w:t>
      </w:r>
      <w:r w:rsidRPr="00A71F33">
        <w:t xml:space="preserve">handlingarna med Turkiet i oktober 2005. </w:t>
      </w:r>
    </w:p>
    <w:p w:rsidR="007F1BCB" w:rsidRPr="00A71F33" w:rsidRDefault="007F1BCB" w:rsidP="007F1BCB">
      <w:pPr>
        <w:pStyle w:val="Normaltindrag"/>
      </w:pPr>
      <w:r w:rsidRPr="00A71F33">
        <w:t>I juni 2004 beviljade Europeiska rådet Kroatien kandidatlandssta</w:t>
      </w:r>
      <w:r w:rsidR="004804B8" w:rsidRPr="00A71F33">
        <w:t>t</w:t>
      </w:r>
      <w:r w:rsidRPr="00A71F33">
        <w:t>us samt</w:t>
      </w:r>
      <w:r w:rsidRPr="00A71F33">
        <w:t>i</w:t>
      </w:r>
      <w:r w:rsidRPr="00A71F33">
        <w:t>digt som rådet gav kommissionen i uppdrag att utforma ett förhandlingsra</w:t>
      </w:r>
      <w:r w:rsidRPr="00A71F33">
        <w:t>m</w:t>
      </w:r>
      <w:r w:rsidRPr="00A71F33">
        <w:t>verk som även inklud</w:t>
      </w:r>
      <w:r w:rsidRPr="00A71F33">
        <w:t>e</w:t>
      </w:r>
      <w:r w:rsidRPr="00A71F33">
        <w:t xml:space="preserve">rade förmedlemskapsstödet. </w:t>
      </w:r>
    </w:p>
    <w:p w:rsidR="007F1BCB" w:rsidRPr="00A71F33" w:rsidRDefault="007F1BCB" w:rsidP="007F1BCB">
      <w:pPr>
        <w:pStyle w:val="Normaltindrag"/>
      </w:pPr>
      <w:r w:rsidRPr="00A71F33">
        <w:t>EU-nämnden har under år 2004 ägnat stor uppmärksamhet åt den for</w:t>
      </w:r>
      <w:r w:rsidRPr="00A71F33">
        <w:t>t</w:t>
      </w:r>
      <w:r w:rsidRPr="00A71F33">
        <w:t>satta utvidgningen av unionen. Nämnden har således kontinuerligt följt utvid</w:t>
      </w:r>
      <w:r w:rsidRPr="00A71F33">
        <w:t>g</w:t>
      </w:r>
      <w:r w:rsidRPr="00A71F33">
        <w:t>ningsförhandlingarna avseende Rumänien och Bulgarien, varvid näm</w:t>
      </w:r>
      <w:r w:rsidRPr="00A71F33">
        <w:t>n</w:t>
      </w:r>
      <w:r w:rsidRPr="00A71F33">
        <w:t>den framhållit sitt fulla stöd för den fortsatta processen. Även frågan om medle</w:t>
      </w:r>
      <w:r w:rsidRPr="00A71F33">
        <w:t>m</w:t>
      </w:r>
      <w:r w:rsidRPr="00A71F33">
        <w:t>skap för Turkiet och Kroatien har diskuterats i nämnden vid ett flertal tillfä</w:t>
      </w:r>
      <w:r w:rsidRPr="00A71F33">
        <w:t>l</w:t>
      </w:r>
      <w:r w:rsidRPr="00A71F33">
        <w:t>len</w:t>
      </w:r>
      <w:r w:rsidR="00C526A2" w:rsidRPr="00A71F33">
        <w:t>,</w:t>
      </w:r>
      <w:r w:rsidRPr="00A71F33">
        <w:t xml:space="preserve"> bl.a. under två telefonsammanträden i december 2004 under det pågående toppmötet då EU-nämnden u</w:t>
      </w:r>
      <w:r w:rsidR="009F6D80" w:rsidRPr="00A71F33">
        <w:t>pprepade sitt stöd för de fortsa</w:t>
      </w:r>
      <w:r w:rsidRPr="00A71F33">
        <w:t>tta förhandlinga</w:t>
      </w:r>
      <w:r w:rsidRPr="00A71F33">
        <w:t>r</w:t>
      </w:r>
      <w:r w:rsidRPr="00A71F33">
        <w:t>na med kandidatlä</w:t>
      </w:r>
      <w:r w:rsidRPr="00A71F33">
        <w:t>n</w:t>
      </w:r>
      <w:r w:rsidRPr="00A71F33">
        <w:t>derna. En enig nämnd underströk i detta sammanhang att permanenta undantag från delar av EU-samarbetet inte kunde accepteras för någon medlemsstat, inte heller Turkiet. I slutsa</w:t>
      </w:r>
      <w:r w:rsidRPr="00A71F33">
        <w:t>t</w:t>
      </w:r>
      <w:r w:rsidRPr="00A71F33">
        <w:t>serna från toppmötet anges en möjlighet till permanenta skyddsklausuler, dvs. att klausulerna är permanent til</w:t>
      </w:r>
      <w:r w:rsidRPr="00A71F33">
        <w:t>l</w:t>
      </w:r>
      <w:r w:rsidRPr="00A71F33">
        <w:t>gängliga. När de utlöses är de mer eller mindre långvariga till sin karaktär, men de är per definition tillfälliga. Detta var vil</w:t>
      </w:r>
      <w:r w:rsidRPr="00A71F33">
        <w:t>l</w:t>
      </w:r>
      <w:r w:rsidRPr="00A71F33">
        <w:t>kor som Turkiet sade sig acceptera och som också EU-nämnden därmed kunde acceptera.</w:t>
      </w:r>
    </w:p>
    <w:p w:rsidR="007F1BCB" w:rsidRPr="00A71F33" w:rsidRDefault="007F1BCB" w:rsidP="007F1BCB">
      <w:pPr>
        <w:pStyle w:val="Normaltindrag"/>
      </w:pPr>
      <w:r w:rsidRPr="00A71F33">
        <w:t xml:space="preserve">Under året har regeringen vid ett flertal tillfällen samrått med EU-nämnden om de svenska positionerna i regeringskonferensen om ett </w:t>
      </w:r>
      <w:r w:rsidR="0045087B" w:rsidRPr="00A71F33">
        <w:t>konst</w:t>
      </w:r>
      <w:r w:rsidR="0045087B" w:rsidRPr="00A71F33">
        <w:t>i</w:t>
      </w:r>
      <w:r w:rsidR="0045087B" w:rsidRPr="00A71F33">
        <w:t>tutionellt fördrag</w:t>
      </w:r>
      <w:r w:rsidRPr="00A71F33">
        <w:t xml:space="preserve"> för Europa. Utgångspunkten för regeringens förhan</w:t>
      </w:r>
      <w:r w:rsidRPr="00A71F33">
        <w:t>d</w:t>
      </w:r>
      <w:r w:rsidRPr="00A71F33">
        <w:t>lingar var det mandat som gavs genom riksdagens beslut i anledning av det sa</w:t>
      </w:r>
      <w:r w:rsidRPr="00A71F33">
        <w:t>m</w:t>
      </w:r>
      <w:r w:rsidRPr="00A71F33">
        <w:t>mansatta konstitutions- och utrikesutskottets betänkande om Europeiska konventet och EU:s framtidsfrågor (bet.</w:t>
      </w:r>
      <w:r w:rsidR="004804B8" w:rsidRPr="00A71F33">
        <w:t xml:space="preserve"> </w:t>
      </w:r>
      <w:r w:rsidRPr="00A71F33">
        <w:t>2003/04:KUU1). Riksdagen besl</w:t>
      </w:r>
      <w:r w:rsidRPr="00A71F33">
        <w:t>u</w:t>
      </w:r>
      <w:r w:rsidRPr="00A71F33">
        <w:t>tade samtidigt att kompromisser och avsteg från dessa utgångspunkter ku</w:t>
      </w:r>
      <w:r w:rsidRPr="00A71F33">
        <w:t>n</w:t>
      </w:r>
      <w:r w:rsidRPr="00A71F33">
        <w:t>de behöva göras under förhandlingarnas gång och att detta skulle ske g</w:t>
      </w:r>
      <w:r w:rsidRPr="00A71F33">
        <w:t>e</w:t>
      </w:r>
      <w:r w:rsidRPr="00A71F33">
        <w:t>nom samrådet i EU-nämnden. Under slutförhandlingarna stämde utrikesm</w:t>
      </w:r>
      <w:r w:rsidRPr="00A71F33">
        <w:t>i</w:t>
      </w:r>
      <w:r w:rsidRPr="00A71F33">
        <w:t xml:space="preserve">nistern och nämnden av förhandlingsläget </w:t>
      </w:r>
      <w:r w:rsidR="005C5CE5" w:rsidRPr="00A71F33">
        <w:t>vid tel</w:t>
      </w:r>
      <w:r w:rsidR="005C5CE5" w:rsidRPr="00A71F33">
        <w:t>e</w:t>
      </w:r>
      <w:r w:rsidR="005C5CE5" w:rsidRPr="00A71F33">
        <w:t>fonsammanträden</w:t>
      </w:r>
      <w:r w:rsidRPr="00A71F33">
        <w:t>. En klar majoritet i nämnden fanns för att acceptera framförhandlade kompromisser för att få en eni</w:t>
      </w:r>
      <w:r w:rsidRPr="00A71F33">
        <w:t>g</w:t>
      </w:r>
      <w:r w:rsidRPr="00A71F33">
        <w:t>het om en helhetslösning samtidigt som nämnden ansåg det viktigt att få till stånd ett s</w:t>
      </w:r>
      <w:r w:rsidRPr="00A71F33">
        <w:t>y</w:t>
      </w:r>
      <w:r w:rsidRPr="00A71F33">
        <w:t>stem som garanterar alla länder insyn i kommissionens arbete. EU-nämnden välkomnar det ökande inflytande som i förslaget till det konstituti</w:t>
      </w:r>
      <w:r w:rsidRPr="00A71F33">
        <w:t>o</w:t>
      </w:r>
      <w:r w:rsidRPr="00A71F33">
        <w:t>nella fördraget ges de nationella parlamenten i fråga om tillämpningen av proportionali</w:t>
      </w:r>
      <w:r w:rsidR="00C3272A" w:rsidRPr="00A71F33">
        <w:t xml:space="preserve">tets- </w:t>
      </w:r>
      <w:r w:rsidRPr="00A71F33">
        <w:t>och subsidiar</w:t>
      </w:r>
      <w:r w:rsidRPr="00A71F33">
        <w:t>i</w:t>
      </w:r>
      <w:r w:rsidRPr="00A71F33">
        <w:t>tetsprincipen.</w:t>
      </w:r>
    </w:p>
    <w:p w:rsidR="007F1BCB" w:rsidRPr="00A71F33" w:rsidRDefault="007F1BCB" w:rsidP="007F1BCB">
      <w:pPr>
        <w:pStyle w:val="Normaltindrag"/>
      </w:pPr>
      <w:r w:rsidRPr="00A71F33">
        <w:t>I skrivelsen nämns det nya konstitutionella fördraget i samband med red</w:t>
      </w:r>
      <w:r w:rsidRPr="00A71F33">
        <w:t>o</w:t>
      </w:r>
      <w:r w:rsidR="000516CF" w:rsidRPr="00A71F33">
        <w:t>görelsen</w:t>
      </w:r>
      <w:r w:rsidRPr="00A71F33">
        <w:t xml:space="preserve"> för två </w:t>
      </w:r>
      <w:r w:rsidR="00800080" w:rsidRPr="00A71F33">
        <w:t xml:space="preserve">enstaka </w:t>
      </w:r>
      <w:r w:rsidRPr="00A71F33">
        <w:t>sakområden. Det gäller turism (avsnitt 32) och energi (avsnitt 37). Det vore att föredra att</w:t>
      </w:r>
      <w:r w:rsidR="004804B8" w:rsidRPr="00A71F33">
        <w:t>,</w:t>
      </w:r>
      <w:r w:rsidR="00E31EBE" w:rsidRPr="00A71F33">
        <w:t xml:space="preserve"> om delar av förslaget till ett</w:t>
      </w:r>
      <w:r w:rsidRPr="00A71F33">
        <w:t xml:space="preserve"> ny</w:t>
      </w:r>
      <w:r w:rsidR="001123EA" w:rsidRPr="00A71F33">
        <w:t>tt konst</w:t>
      </w:r>
      <w:r w:rsidR="001123EA" w:rsidRPr="00A71F33">
        <w:t>i</w:t>
      </w:r>
      <w:r w:rsidR="001123EA" w:rsidRPr="00A71F33">
        <w:t>tutionellt fördrag</w:t>
      </w:r>
      <w:r w:rsidRPr="00A71F33">
        <w:t xml:space="preserve"> skall beskrivas</w:t>
      </w:r>
      <w:r w:rsidR="004804B8" w:rsidRPr="00A71F33">
        <w:t xml:space="preserve">, </w:t>
      </w:r>
      <w:r w:rsidRPr="00A71F33">
        <w:t>detta skedde i skrivelsen</w:t>
      </w:r>
      <w:r w:rsidR="00800080" w:rsidRPr="00A71F33">
        <w:t xml:space="preserve"> även i fråga om övriga sakområden</w:t>
      </w:r>
      <w:r w:rsidRPr="00A71F33">
        <w:t>, och att det tydliggjordes att</w:t>
      </w:r>
      <w:r w:rsidR="00AE4CF4" w:rsidRPr="00A71F33">
        <w:t xml:space="preserve"> det nya konstitutionella</w:t>
      </w:r>
      <w:r w:rsidRPr="00A71F33">
        <w:t xml:space="preserve"> fö</w:t>
      </w:r>
      <w:r w:rsidRPr="00A71F33">
        <w:t>r</w:t>
      </w:r>
      <w:r w:rsidRPr="00A71F33">
        <w:t>draget ännu inte har trätt i kraft.</w:t>
      </w:r>
    </w:p>
    <w:p w:rsidR="007F1BCB" w:rsidRPr="00A71F33" w:rsidRDefault="007F1BCB" w:rsidP="007F1BCB">
      <w:pPr>
        <w:pStyle w:val="Normaltindrag"/>
      </w:pPr>
      <w:r w:rsidRPr="00A71F33">
        <w:t>En viktig fråga under året har också varit diskussionerna om EU:s finans</w:t>
      </w:r>
      <w:r w:rsidRPr="00A71F33">
        <w:t>i</w:t>
      </w:r>
      <w:r w:rsidRPr="00A71F33">
        <w:t>ella perspektiv (avsnitt 5). Diskussionerna fortsätter under 2005. EU-nämnden behandlar frågan dels i samband med det sedvanliga samrådet inför Allmänna rådet och Ekofin, dels i en beredningsgrupp med företrädare för varje rik</w:t>
      </w:r>
      <w:r w:rsidRPr="00A71F33">
        <w:t>s</w:t>
      </w:r>
      <w:r w:rsidRPr="00A71F33">
        <w:t>dagsparti. I februari 2004 framhöll ledamöter i näm</w:t>
      </w:r>
      <w:r w:rsidRPr="00A71F33">
        <w:t>n</w:t>
      </w:r>
      <w:r w:rsidRPr="00A71F33">
        <w:t xml:space="preserve">den att den ståndpunkt som bl.a. Sverige framfört om att införa ett utgiftstak på </w:t>
      </w:r>
      <w:r w:rsidR="00E31EBE" w:rsidRPr="00A71F33">
        <w:t>1 %</w:t>
      </w:r>
      <w:r w:rsidRPr="00A71F33">
        <w:t xml:space="preserve"> av EU-ländernas samlade BNI inte får leda till omprioriteringar i budgeten som drabbar u</w:t>
      </w:r>
      <w:r w:rsidRPr="00A71F33">
        <w:t>t</w:t>
      </w:r>
      <w:r w:rsidRPr="00A71F33">
        <w:t>vidgningen. Vidare har EU-nämnden i detta sa</w:t>
      </w:r>
      <w:r w:rsidRPr="00A71F33">
        <w:t>m</w:t>
      </w:r>
      <w:r w:rsidRPr="00A71F33">
        <w:t>manhang uttalat stöd för regeringens ståndpunkt att oförutsedda utgifter i EU-budgeten skall säkerstä</w:t>
      </w:r>
      <w:r w:rsidRPr="00A71F33">
        <w:t>l</w:t>
      </w:r>
      <w:r w:rsidRPr="00A71F33">
        <w:t>las genom tydliga prioriteringar och tillräckliga marginaler till u</w:t>
      </w:r>
      <w:r w:rsidRPr="00A71F33">
        <w:t>t</w:t>
      </w:r>
      <w:r w:rsidRPr="00A71F33">
        <w:t xml:space="preserve">giftstaken. </w:t>
      </w:r>
    </w:p>
    <w:p w:rsidR="007F1BCB" w:rsidRPr="00A71F33" w:rsidRDefault="007F1BCB" w:rsidP="007F1BCB">
      <w:pPr>
        <w:pStyle w:val="Normaltindrag"/>
      </w:pPr>
      <w:r w:rsidRPr="00A71F33">
        <w:t xml:space="preserve">I skrivelsen redogörs </w:t>
      </w:r>
      <w:r w:rsidR="00576B11" w:rsidRPr="00A71F33">
        <w:t>vidare för arbetet med Lissabon</w:t>
      </w:r>
      <w:r w:rsidRPr="00A71F33">
        <w:t>strategin (avsnitt 6). Regeringen har kontinuerligt informerat och samrått med EU-nämnden om arbetet på olika sätt. Inför Europeiska rådets vårmöte 2004 hade EU-nämnden som brukligt ett offentligt sa</w:t>
      </w:r>
      <w:r w:rsidRPr="00A71F33">
        <w:t>m</w:t>
      </w:r>
      <w:r w:rsidRPr="00A71F33">
        <w:t>råd med regeringen. Regeringen har vidare samrått med EU-nämnden beträffande de olika rådssammansät</w:t>
      </w:r>
      <w:r w:rsidRPr="00A71F33">
        <w:t>t</w:t>
      </w:r>
      <w:r w:rsidRPr="00A71F33">
        <w:t xml:space="preserve">ningarnas bidrag till vårtoppmötet. Arbetet med Lissabonstrategin har under </w:t>
      </w:r>
      <w:r w:rsidR="00173B32" w:rsidRPr="00A71F33">
        <w:t xml:space="preserve">hösten </w:t>
      </w:r>
      <w:r w:rsidRPr="00A71F33">
        <w:t>2004 framför allt handlat om halvtidsöversynen av strat</w:t>
      </w:r>
      <w:r w:rsidRPr="00A71F33">
        <w:t>e</w:t>
      </w:r>
      <w:r w:rsidRPr="00A71F33">
        <w:t>gin. EU-nämnden har diskuterat de olika delar som rör halvtidsöversynen av Liss</w:t>
      </w:r>
      <w:r w:rsidRPr="00A71F33">
        <w:t>a</w:t>
      </w:r>
      <w:r w:rsidRPr="00A71F33">
        <w:t>bonstrategin</w:t>
      </w:r>
      <w:r w:rsidR="00216620" w:rsidRPr="00A71F33">
        <w:t>,</w:t>
      </w:r>
      <w:r w:rsidRPr="00A71F33">
        <w:t xml:space="preserve"> såsom den s.k. Kok-rapporten. Genom att EU-nämnden b</w:t>
      </w:r>
      <w:r w:rsidRPr="00A71F33">
        <w:t>e</w:t>
      </w:r>
      <w:r w:rsidRPr="00A71F33">
        <w:t>handlat strategin i samband med de skilda rådssammansät</w:t>
      </w:r>
      <w:r w:rsidRPr="00A71F33">
        <w:t>t</w:t>
      </w:r>
      <w:r w:rsidRPr="00A71F33">
        <w:t>ningarna har EU-nämnden kunnat få överblick över regeringens och rådets behan</w:t>
      </w:r>
      <w:r w:rsidRPr="00A71F33">
        <w:t>d</w:t>
      </w:r>
      <w:r w:rsidRPr="00A71F33">
        <w:t>ling av strategin.</w:t>
      </w:r>
    </w:p>
    <w:p w:rsidR="007F1BCB" w:rsidRPr="00A71F33" w:rsidRDefault="007F1BCB" w:rsidP="00646263">
      <w:pPr>
        <w:pStyle w:val="Normaltindrag"/>
      </w:pPr>
      <w:r w:rsidRPr="00A71F33">
        <w:t>Regeringen redovisar vidare i denna del resultaten av Europeiska rådets möten under året. Europeiska rådet, som inte är en institution i fördragens mening, har utvecklats till ett av unionens viktigaste organ. I regeringskonf</w:t>
      </w:r>
      <w:r w:rsidRPr="00A71F33">
        <w:t>e</w:t>
      </w:r>
      <w:r w:rsidRPr="00A71F33">
        <w:t>rensen om ett nytt</w:t>
      </w:r>
      <w:r w:rsidR="001E7913" w:rsidRPr="00A71F33">
        <w:t xml:space="preserve"> konstitutionellt fördrag för Europa</w:t>
      </w:r>
      <w:r w:rsidRPr="00A71F33">
        <w:t xml:space="preserve"> har föreslagits att Eur</w:t>
      </w:r>
      <w:r w:rsidRPr="00A71F33">
        <w:t>o</w:t>
      </w:r>
      <w:r w:rsidRPr="00A71F33">
        <w:t>peiska rådet skall vara en institution och kunna fatta vissa formella beslut. Den i riksdagsordningen reglerade formella samrådsskyldigheten gentemot riksdagen gäller beslut som fattas av Europeiska unionens råd (ministerr</w:t>
      </w:r>
      <w:r w:rsidRPr="00A71F33">
        <w:t>å</w:t>
      </w:r>
      <w:r w:rsidRPr="00A71F33">
        <w:t xml:space="preserve">det), men enligt av riksdagen fastställd praxis har regeringen också samrått med EU-nämnden inför Europeiska rådets möten. </w:t>
      </w:r>
    </w:p>
    <w:p w:rsidR="002831B3" w:rsidRPr="00A71F33" w:rsidRDefault="007F1BCB" w:rsidP="000D5FB1">
      <w:pPr>
        <w:pStyle w:val="Normaltindrag"/>
      </w:pPr>
      <w:r w:rsidRPr="00A71F33">
        <w:t>I EU-nämndens besöksutbyte och övriga kontakter med kolleger i andra parlament i medlemsländerna och anslutningsländerna har utvidgningsfrågo</w:t>
      </w:r>
      <w:r w:rsidRPr="00A71F33">
        <w:t>r</w:t>
      </w:r>
      <w:r w:rsidRPr="00A71F33">
        <w:t>na tidigare varit ett dominerande diskussionstema. Frågor om förhan</w:t>
      </w:r>
      <w:r w:rsidRPr="00A71F33">
        <w:t>d</w:t>
      </w:r>
      <w:r w:rsidRPr="00A71F33">
        <w:t>lingarna om ett nytt konstitutionellt fördrag och om hur medlem</w:t>
      </w:r>
      <w:r w:rsidRPr="00A71F33">
        <w:t>s</w:t>
      </w:r>
      <w:r w:rsidRPr="00A71F33">
        <w:t>staternas nationella parlament kan arbeta med EU-frågorna har fått fortsatt up</w:t>
      </w:r>
      <w:r w:rsidRPr="00A71F33">
        <w:t>p</w:t>
      </w:r>
      <w:r w:rsidRPr="00A71F33">
        <w:t>märksamhet under året. Efter undertecknandet i oktober 2004 har up</w:t>
      </w:r>
      <w:r w:rsidRPr="00A71F33">
        <w:t>p</w:t>
      </w:r>
      <w:r w:rsidRPr="00A71F33">
        <w:t>märksamheten kommit att gälla ratifikationsprocessen och den folkliga förankringen av förslaget, liksom hur den framtida subsidiaritet</w:t>
      </w:r>
      <w:r w:rsidRPr="00A71F33">
        <w:t>s</w:t>
      </w:r>
      <w:r w:rsidRPr="00A71F33">
        <w:t>kontrollen skall organiseras. Diskussionerna har ofta, liksom under tidigare år, rört sig på ett mycket konkret, praktiskt plan och gällt bl.a. hur man i den svenska riksdagen utformat ett system för mandatgivning till regeringen och för kontroll och uppföl</w:t>
      </w:r>
      <w:r w:rsidRPr="00A71F33">
        <w:t>j</w:t>
      </w:r>
      <w:r w:rsidRPr="00A71F33">
        <w:t xml:space="preserve">ning av regeringens agerande i EU. </w:t>
      </w:r>
    </w:p>
    <w:p w:rsidR="00ED77B9" w:rsidRPr="00A71F33" w:rsidRDefault="00285AFD" w:rsidP="002831B3">
      <w:pPr>
        <w:pStyle w:val="Rubrik3"/>
        <w:rPr>
          <w:noProof w:val="0"/>
        </w:rPr>
      </w:pPr>
      <w:bookmarkStart w:id="9" w:name="_Toc101078473"/>
      <w:bookmarkStart w:id="10" w:name="_Toc101079327"/>
      <w:r w:rsidRPr="00A71F33">
        <w:rPr>
          <w:noProof w:val="0"/>
        </w:rPr>
        <w:t>EU:s förbindelser med omvärlden (del 2)</w:t>
      </w:r>
      <w:bookmarkEnd w:id="9"/>
      <w:bookmarkEnd w:id="10"/>
    </w:p>
    <w:p w:rsidR="001D3967" w:rsidRPr="00A71F33" w:rsidRDefault="001D3967" w:rsidP="001D3967">
      <w:r w:rsidRPr="00A71F33">
        <w:t>Under denna rubrik behandlas i skrivelsen huvudsakligen frågor som berör regeringens samråd med EU-nämnden inom ramen för den gemensamma utrikes- och säkerhetspol</w:t>
      </w:r>
      <w:r w:rsidRPr="00A71F33">
        <w:t>i</w:t>
      </w:r>
      <w:r w:rsidRPr="00A71F33">
        <w:t>tiken (GUSP). Ministerrådet, och därmed EU-nämnden, har kontinuerligt följt utvecklingen i bl.a. Iran, Irak, Mellanö</w:t>
      </w:r>
      <w:r w:rsidRPr="00A71F33">
        <w:t>s</w:t>
      </w:r>
      <w:r w:rsidR="00D8032B" w:rsidRPr="00A71F33">
        <w:t>tern och Afrika</w:t>
      </w:r>
      <w:r w:rsidR="00AA2455" w:rsidRPr="00A71F33">
        <w:t>;</w:t>
      </w:r>
      <w:r w:rsidRPr="00A71F33">
        <w:t xml:space="preserve"> inte minst situationen i Sudan. </w:t>
      </w:r>
    </w:p>
    <w:p w:rsidR="00645058" w:rsidRPr="00A71F33" w:rsidRDefault="001D3967" w:rsidP="001D3967">
      <w:pPr>
        <w:pStyle w:val="Normaltindrag"/>
      </w:pPr>
      <w:r w:rsidRPr="00A71F33">
        <w:t>I skrivelsen redogör regeringen även för EU:s uppförandekod för vapene</w:t>
      </w:r>
      <w:r w:rsidRPr="00A71F33">
        <w:t>x</w:t>
      </w:r>
      <w:r w:rsidRPr="00A71F33">
        <w:t>port (avsnitt 8.9) samt EU:s vapenembargo mot Kina (avsnitt 11.9.1), som EU-nämnden har ägnat stor uppmärksamhet åt under året. Regeringen har vid flera tillfällen, framför allt under hösten 2004, samrått med näm</w:t>
      </w:r>
      <w:r w:rsidRPr="00A71F33">
        <w:t>n</w:t>
      </w:r>
      <w:r w:rsidRPr="00A71F33">
        <w:t>den i denna fråga. Under Europeiska rådets möte i d</w:t>
      </w:r>
      <w:r w:rsidRPr="00A71F33">
        <w:t>e</w:t>
      </w:r>
      <w:r w:rsidRPr="00A71F33">
        <w:t>cember 2004 hade EU-nämnden även två extra sammanträden med telefonup</w:t>
      </w:r>
      <w:r w:rsidRPr="00A71F33">
        <w:t>p</w:t>
      </w:r>
      <w:r w:rsidRPr="00A71F33">
        <w:t>kopplingar bl.a. i denna fråga. EU-nämnden ställde sig efter ingående diskussioner slutligen bakom rege</w:t>
      </w:r>
      <w:r w:rsidRPr="00A71F33">
        <w:t>r</w:t>
      </w:r>
      <w:r w:rsidRPr="00A71F33">
        <w:t>ingens ståndpunkt. Utrikesministern informerade nämnden fortlöpande om förhandling</w:t>
      </w:r>
      <w:r w:rsidRPr="00A71F33">
        <w:t>s</w:t>
      </w:r>
      <w:r w:rsidRPr="00A71F33">
        <w:t>läget.</w:t>
      </w:r>
    </w:p>
    <w:p w:rsidR="00D74E49" w:rsidRPr="00A71F33" w:rsidRDefault="00D74E49" w:rsidP="005174CE">
      <w:pPr>
        <w:pStyle w:val="Rubrik3"/>
        <w:rPr>
          <w:noProof w:val="0"/>
        </w:rPr>
      </w:pPr>
      <w:bookmarkStart w:id="11" w:name="_Toc101078474"/>
      <w:bookmarkStart w:id="12" w:name="_Toc101079328"/>
      <w:r w:rsidRPr="00A71F33">
        <w:rPr>
          <w:noProof w:val="0"/>
        </w:rPr>
        <w:t>Ekonomiska och finansiella frågor (del 3)</w:t>
      </w:r>
      <w:bookmarkEnd w:id="11"/>
      <w:bookmarkEnd w:id="12"/>
    </w:p>
    <w:p w:rsidR="00557053" w:rsidRPr="00A71F33" w:rsidRDefault="00557053" w:rsidP="00557053">
      <w:r w:rsidRPr="00A71F33">
        <w:t>Samrådet i fråga om den fortsatta reformeringen av stabilitets- och tillväx</w:t>
      </w:r>
      <w:r w:rsidRPr="00A71F33">
        <w:t>t</w:t>
      </w:r>
      <w:r w:rsidRPr="00A71F33">
        <w:t>pakten behandla</w:t>
      </w:r>
      <w:r w:rsidR="00216620" w:rsidRPr="00A71F33">
        <w:t xml:space="preserve">s i skrivelsen under avsnittet </w:t>
      </w:r>
      <w:r w:rsidR="00173B32" w:rsidRPr="00A71F33">
        <w:t>D</w:t>
      </w:r>
      <w:r w:rsidRPr="00A71F33">
        <w:t>en ekonomiska och mon</w:t>
      </w:r>
      <w:r w:rsidRPr="00A71F33">
        <w:t>e</w:t>
      </w:r>
      <w:r w:rsidRPr="00A71F33">
        <w:t>tära uni</w:t>
      </w:r>
      <w:r w:rsidRPr="00A71F33">
        <w:t>o</w:t>
      </w:r>
      <w:r w:rsidRPr="00A71F33">
        <w:t xml:space="preserve">nen – EMU (avsnitt 12.2). Regeringen har fortlöpande samrått med EU-nämnden i denna fråga. Nämnden har då bl.a. framhållit </w:t>
      </w:r>
      <w:r w:rsidR="00173B32" w:rsidRPr="00A71F33">
        <w:t>hållbarheten i fina</w:t>
      </w:r>
      <w:r w:rsidR="00173B32" w:rsidRPr="00A71F33">
        <w:t>n</w:t>
      </w:r>
      <w:r w:rsidR="00173B32" w:rsidRPr="00A71F33">
        <w:t>serna, förstärkning av den förebyggande kontrollen samt konsol</w:t>
      </w:r>
      <w:r w:rsidR="00173B32" w:rsidRPr="00A71F33">
        <w:t>i</w:t>
      </w:r>
      <w:r w:rsidR="00173B32" w:rsidRPr="00A71F33">
        <w:t xml:space="preserve">dering i goda tider. Nämnden har också </w:t>
      </w:r>
      <w:r w:rsidR="00800080" w:rsidRPr="00A71F33">
        <w:t xml:space="preserve">under våren 2005 </w:t>
      </w:r>
      <w:r w:rsidR="00173B32" w:rsidRPr="00A71F33">
        <w:t xml:space="preserve">poängterat </w:t>
      </w:r>
      <w:r w:rsidRPr="00A71F33">
        <w:t>att systemmäss</w:t>
      </w:r>
      <w:r w:rsidRPr="00A71F33">
        <w:t>i</w:t>
      </w:r>
      <w:r w:rsidRPr="00A71F33">
        <w:t>ga pensionsreformer skall beaktas vid alltför stora underskott. Det bör påp</w:t>
      </w:r>
      <w:r w:rsidRPr="00A71F33">
        <w:t>e</w:t>
      </w:r>
      <w:r w:rsidRPr="00A71F33">
        <w:t>kas i sammanhanget att huvuddelen av arbetet i denna fråga har skett i den s.k. eur</w:t>
      </w:r>
      <w:r w:rsidRPr="00A71F33">
        <w:t>o</w:t>
      </w:r>
      <w:r w:rsidRPr="00A71F33">
        <w:t xml:space="preserve">gruppen. Beredningen av förslaget fortsätter under år 2005. </w:t>
      </w:r>
    </w:p>
    <w:p w:rsidR="00D74E49" w:rsidRPr="00A71F33" w:rsidRDefault="00D74E49" w:rsidP="005174CE">
      <w:pPr>
        <w:pStyle w:val="Rubrik3"/>
        <w:rPr>
          <w:noProof w:val="0"/>
        </w:rPr>
      </w:pPr>
      <w:bookmarkStart w:id="13" w:name="_Toc101078475"/>
      <w:bookmarkStart w:id="14" w:name="_Toc101079329"/>
      <w:r w:rsidRPr="00A71F33">
        <w:rPr>
          <w:noProof w:val="0"/>
        </w:rPr>
        <w:t>Rättsliga och inrikes frågor (del 4)</w:t>
      </w:r>
      <w:bookmarkEnd w:id="13"/>
      <w:bookmarkEnd w:id="14"/>
    </w:p>
    <w:p w:rsidR="00BE42D9" w:rsidRPr="00A71F33" w:rsidRDefault="00BE42D9" w:rsidP="00BE42D9">
      <w:r w:rsidRPr="00A71F33">
        <w:t>Som nämns i skrivelsen (avsnitt 18.1.4) kom terroristattackerna i Madrid den 11 mars 2004 att medföra att samarbetet för att förebygga och bekämpa terr</w:t>
      </w:r>
      <w:r w:rsidRPr="00A71F33">
        <w:t>o</w:t>
      </w:r>
      <w:r w:rsidRPr="00A71F33">
        <w:t>rism intensifierades. Inför det extrainsatta rådsmötet med justitie- och utr</w:t>
      </w:r>
      <w:r w:rsidRPr="00A71F33">
        <w:t>i</w:t>
      </w:r>
      <w:r w:rsidRPr="00A71F33">
        <w:t>kesministrarna hade EU-nämnden ett extra sammanträde vid vilket regerin</w:t>
      </w:r>
      <w:r w:rsidRPr="00A71F33">
        <w:t>g</w:t>
      </w:r>
      <w:r w:rsidRPr="00A71F33">
        <w:t>en samrådde med nämnden om ett förslag till åtgärd</w:t>
      </w:r>
      <w:r w:rsidRPr="00A71F33">
        <w:t>s</w:t>
      </w:r>
      <w:r w:rsidRPr="00A71F33">
        <w:t>paket mot terrorism. EU-nämnden instämde i regeringens ståndpunkt att nya fö</w:t>
      </w:r>
      <w:r w:rsidRPr="00A71F33">
        <w:t>r</w:t>
      </w:r>
      <w:r w:rsidRPr="00A71F33">
        <w:t>slag måste balanseras med krav på att effektivt genomföra redan beslutade åtgärder samt att rättss</w:t>
      </w:r>
      <w:r w:rsidRPr="00A71F33">
        <w:t>ä</w:t>
      </w:r>
      <w:r w:rsidRPr="00A71F33">
        <w:t>kerheten måste garanteras i alla åtgä</w:t>
      </w:r>
      <w:r w:rsidRPr="00A71F33">
        <w:t>r</w:t>
      </w:r>
      <w:r w:rsidRPr="00A71F33">
        <w:t>der.</w:t>
      </w:r>
    </w:p>
    <w:p w:rsidR="00BE42D9" w:rsidRPr="00A71F33" w:rsidRDefault="00BE42D9" w:rsidP="00646263">
      <w:pPr>
        <w:pStyle w:val="Normaltindrag"/>
      </w:pPr>
      <w:r w:rsidRPr="00A71F33">
        <w:t>Inom området för materiell straffrätt sker tillnämning av medlemsstate</w:t>
      </w:r>
      <w:r w:rsidRPr="00A71F33">
        <w:t>r</w:t>
      </w:r>
      <w:r w:rsidRPr="00A71F33">
        <w:t>nas lagar genom att rådet antar rambeslut (avsnitt 18.2 och 18.3). Det svenska genomförandet av ra</w:t>
      </w:r>
      <w:r w:rsidRPr="00A71F33">
        <w:t>m</w:t>
      </w:r>
      <w:r w:rsidRPr="00A71F33">
        <w:t>beslut sker regelmässigt i två steg – först godkännandet av själva beslutet och vid en senare tidpunkt antagandet av den eventuella lagstiftning som krävs för att genomföra rambeslutet i Sverige. Liksom fra</w:t>
      </w:r>
      <w:r w:rsidRPr="00A71F33">
        <w:t>m</w:t>
      </w:r>
      <w:r w:rsidRPr="00A71F33">
        <w:t>hållits i tid</w:t>
      </w:r>
      <w:r w:rsidRPr="00A71F33">
        <w:t>i</w:t>
      </w:r>
      <w:r w:rsidRPr="00A71F33">
        <w:t>gare års yttrande från EU-nämnden har det, även om en majoritet har gett stöd åt regeringens ståndpunkter, sa</w:t>
      </w:r>
      <w:r w:rsidRPr="00A71F33">
        <w:t>m</w:t>
      </w:r>
      <w:r w:rsidRPr="00A71F33">
        <w:t>tidigt uttryckts oro över att konsekvenserna för det svenska rättssystemet av rambeslut kan vara svåra att öve</w:t>
      </w:r>
      <w:r w:rsidRPr="00A71F33">
        <w:t>r</w:t>
      </w:r>
      <w:r w:rsidRPr="00A71F33">
        <w:t>blicka.</w:t>
      </w:r>
    </w:p>
    <w:p w:rsidR="00BE42D9" w:rsidRPr="00A71F33" w:rsidRDefault="00BE42D9" w:rsidP="00BE42D9">
      <w:pPr>
        <w:pStyle w:val="Normaltindrag"/>
      </w:pPr>
      <w:r w:rsidRPr="00A71F33">
        <w:t>EU-nämnden har understrukit vikten av rättssäkerhetsgarantier och bl.a. givit stöd för att sträva efter tydligare skrivningar om rättssäkerhet</w:t>
      </w:r>
      <w:r w:rsidRPr="00A71F33">
        <w:t>s</w:t>
      </w:r>
      <w:r w:rsidRPr="00A71F33">
        <w:t>garantier inför antagandet av Haagprogrammet. Att rättssäkerheten må</w:t>
      </w:r>
      <w:r w:rsidRPr="00A71F33">
        <w:t>s</w:t>
      </w:r>
      <w:r w:rsidRPr="00A71F33">
        <w:t>te garanteras framfördes också vid behandlingen av åtgärdspaketet mot terrorism. Sky</w:t>
      </w:r>
      <w:r w:rsidRPr="00A71F33">
        <w:t>d</w:t>
      </w:r>
      <w:r w:rsidRPr="00A71F33">
        <w:t>det för den personliga integriteten har bl.a. framhållits i nämnden vid diskussi</w:t>
      </w:r>
      <w:r w:rsidRPr="00A71F33">
        <w:t>o</w:t>
      </w:r>
      <w:r w:rsidRPr="00A71F33">
        <w:t xml:space="preserve">ner om rambeslutet om lagring av Internet- och teletrafikuppgifter. </w:t>
      </w:r>
    </w:p>
    <w:p w:rsidR="00BE42D9" w:rsidRPr="00A71F33" w:rsidRDefault="00BE42D9" w:rsidP="00BE42D9">
      <w:pPr>
        <w:pStyle w:val="Normaltindrag"/>
        <w:rPr>
          <w:snapToGrid w:val="0"/>
        </w:rPr>
      </w:pPr>
      <w:r w:rsidRPr="00A71F33">
        <w:rPr>
          <w:snapToGrid w:val="0"/>
        </w:rPr>
        <w:t>Ett svenskt initiativ till rambeslut om förenklat utbyte av information och underrättelser mellan bro</w:t>
      </w:r>
      <w:r w:rsidR="00216620" w:rsidRPr="00A71F33">
        <w:rPr>
          <w:snapToGrid w:val="0"/>
        </w:rPr>
        <w:t>ttsbekämpande myndigheter i EU:</w:t>
      </w:r>
      <w:r w:rsidRPr="00A71F33">
        <w:rPr>
          <w:snapToGrid w:val="0"/>
        </w:rPr>
        <w:t>s me</w:t>
      </w:r>
      <w:r w:rsidRPr="00A71F33">
        <w:rPr>
          <w:snapToGrid w:val="0"/>
        </w:rPr>
        <w:t>d</w:t>
      </w:r>
      <w:r w:rsidRPr="00A71F33">
        <w:rPr>
          <w:snapToGrid w:val="0"/>
        </w:rPr>
        <w:t>lemsstater presenterades av Sv</w:t>
      </w:r>
      <w:r w:rsidRPr="00A71F33">
        <w:rPr>
          <w:snapToGrid w:val="0"/>
        </w:rPr>
        <w:t>e</w:t>
      </w:r>
      <w:r w:rsidRPr="00A71F33">
        <w:rPr>
          <w:snapToGrid w:val="0"/>
        </w:rPr>
        <w:t xml:space="preserve">rige vid </w:t>
      </w:r>
      <w:r w:rsidR="004804B8" w:rsidRPr="00A71F33">
        <w:rPr>
          <w:snapToGrid w:val="0"/>
        </w:rPr>
        <w:t xml:space="preserve">ett </w:t>
      </w:r>
      <w:r w:rsidRPr="00A71F33">
        <w:rPr>
          <w:snapToGrid w:val="0"/>
        </w:rPr>
        <w:t>rådsmöte i juni. EU-nämnden informerades vid sammanträdet inför rådsmötet</w:t>
      </w:r>
      <w:r w:rsidR="004804B8" w:rsidRPr="00A71F33">
        <w:rPr>
          <w:snapToGrid w:val="0"/>
        </w:rPr>
        <w:t>,</w:t>
      </w:r>
      <w:r w:rsidRPr="00A71F33">
        <w:rPr>
          <w:snapToGrid w:val="0"/>
        </w:rPr>
        <w:t xml:space="preserve"> och en inom Regering</w:t>
      </w:r>
      <w:r w:rsidRPr="00A71F33">
        <w:rPr>
          <w:snapToGrid w:val="0"/>
        </w:rPr>
        <w:t>s</w:t>
      </w:r>
      <w:r w:rsidR="00D665E7" w:rsidRPr="00A71F33">
        <w:rPr>
          <w:snapToGrid w:val="0"/>
        </w:rPr>
        <w:t xml:space="preserve">kansliet utarbetad text </w:t>
      </w:r>
      <w:r w:rsidR="008867F5" w:rsidRPr="00A71F33">
        <w:rPr>
          <w:snapToGrid w:val="0"/>
        </w:rPr>
        <w:t>överlämnades till näm</w:t>
      </w:r>
      <w:r w:rsidR="008867F5" w:rsidRPr="00A71F33">
        <w:rPr>
          <w:snapToGrid w:val="0"/>
        </w:rPr>
        <w:t>n</w:t>
      </w:r>
      <w:r w:rsidR="008867F5" w:rsidRPr="00A71F33">
        <w:rPr>
          <w:snapToGrid w:val="0"/>
        </w:rPr>
        <w:t>den</w:t>
      </w:r>
      <w:r w:rsidRPr="00A71F33">
        <w:rPr>
          <w:snapToGrid w:val="0"/>
        </w:rPr>
        <w:t xml:space="preserve">. Regeringen fick stöd för initiativet. I EU-nämnden diskuterades dock </w:t>
      </w:r>
      <w:r w:rsidR="00684B9B" w:rsidRPr="00A71F33">
        <w:rPr>
          <w:snapToGrid w:val="0"/>
        </w:rPr>
        <w:t xml:space="preserve">såväl </w:t>
      </w:r>
      <w:r w:rsidRPr="00A71F33">
        <w:rPr>
          <w:snapToGrid w:val="0"/>
        </w:rPr>
        <w:t xml:space="preserve">formella </w:t>
      </w:r>
      <w:r w:rsidR="00C06844" w:rsidRPr="00A71F33">
        <w:rPr>
          <w:snapToGrid w:val="0"/>
        </w:rPr>
        <w:t xml:space="preserve">aspekter </w:t>
      </w:r>
      <w:r w:rsidRPr="00A71F33">
        <w:rPr>
          <w:snapToGrid w:val="0"/>
        </w:rPr>
        <w:t>som lämplighet</w:t>
      </w:r>
      <w:r w:rsidRPr="00A71F33">
        <w:rPr>
          <w:snapToGrid w:val="0"/>
        </w:rPr>
        <w:t>s</w:t>
      </w:r>
      <w:r w:rsidRPr="00A71F33">
        <w:rPr>
          <w:snapToGrid w:val="0"/>
        </w:rPr>
        <w:t>aspekter på att initiativet lades fram muntligen vid samma</w:t>
      </w:r>
      <w:r w:rsidRPr="00A71F33">
        <w:rPr>
          <w:snapToGrid w:val="0"/>
        </w:rPr>
        <w:t>n</w:t>
      </w:r>
      <w:r w:rsidRPr="00A71F33">
        <w:rPr>
          <w:snapToGrid w:val="0"/>
        </w:rPr>
        <w:t xml:space="preserve">trädet. </w:t>
      </w:r>
    </w:p>
    <w:p w:rsidR="00BE42D9" w:rsidRPr="00A71F33" w:rsidRDefault="00BE42D9" w:rsidP="00BE42D9">
      <w:pPr>
        <w:pStyle w:val="Normaltindrag"/>
      </w:pPr>
      <w:r w:rsidRPr="00A71F33">
        <w:t>En fråga som flera gånger diskuterats i nämnden är utnämningen av Eur</w:t>
      </w:r>
      <w:r w:rsidRPr="00A71F33">
        <w:t>o</w:t>
      </w:r>
      <w:r w:rsidRPr="00A71F33">
        <w:t>pols direktör (avsnitt 18.4.1). Diskussionen har främst gällt regerin</w:t>
      </w:r>
      <w:r w:rsidRPr="00A71F33">
        <w:t>g</w:t>
      </w:r>
      <w:r w:rsidRPr="00A71F33">
        <w:t>ens ståndpunkt och nämnden har efterfrågat information om regeringens stäl</w:t>
      </w:r>
      <w:r w:rsidRPr="00A71F33">
        <w:t>l</w:t>
      </w:r>
      <w:r w:rsidRPr="00A71F33">
        <w:t>ningstagande vad gäller val av kandidat. Vad gäller den europeiska polisak</w:t>
      </w:r>
      <w:r w:rsidRPr="00A71F33">
        <w:t>a</w:t>
      </w:r>
      <w:r w:rsidRPr="00A71F33">
        <w:t>demin (CEPOL) (avsnitt 18.4.2) har nämnden uttalat att sama</w:t>
      </w:r>
      <w:r w:rsidRPr="00A71F33">
        <w:t>r</w:t>
      </w:r>
      <w:r w:rsidRPr="00A71F33">
        <w:t>betet mellan polismyndigheterna inom CEPOL är värdefullt men att utvecklingen av ver</w:t>
      </w:r>
      <w:r w:rsidRPr="00A71F33">
        <w:t>k</w:t>
      </w:r>
      <w:r w:rsidRPr="00A71F33">
        <w:t>samheten inte får leda till en gemensam poliskår. När det gäller den europei</w:t>
      </w:r>
      <w:r w:rsidRPr="00A71F33">
        <w:t>s</w:t>
      </w:r>
      <w:r w:rsidRPr="00A71F33">
        <w:t>ka gränskontrollbyrån (avsnitt 18.4.3) kunde EU-nämnden i mars 2004 ko</w:t>
      </w:r>
      <w:r w:rsidRPr="00A71F33">
        <w:t>n</w:t>
      </w:r>
      <w:r w:rsidRPr="00A71F33">
        <w:t>statera att de svenska kraven på nationellt självbestämmande över gränsfö</w:t>
      </w:r>
      <w:r w:rsidRPr="00A71F33">
        <w:t>r</w:t>
      </w:r>
      <w:r w:rsidRPr="00A71F33">
        <w:t>valtningen beaktas i råd</w:t>
      </w:r>
      <w:r w:rsidRPr="00A71F33">
        <w:t>s</w:t>
      </w:r>
      <w:r w:rsidRPr="00A71F33">
        <w:t>förordningen.</w:t>
      </w:r>
    </w:p>
    <w:p w:rsidR="00BE42D9" w:rsidRPr="00A71F33" w:rsidRDefault="00BE42D9" w:rsidP="00BE42D9">
      <w:pPr>
        <w:pStyle w:val="Normaltindrag"/>
      </w:pPr>
      <w:r w:rsidRPr="00A71F33">
        <w:t>Skyddsgrundsdirektivet och asylprocedurdirektivet har båda varit vi</w:t>
      </w:r>
      <w:r w:rsidRPr="00A71F33">
        <w:t>k</w:t>
      </w:r>
      <w:r w:rsidRPr="00A71F33">
        <w:t>tiga frågor som diskuterats i nämnden (avsnitt 19.2). Inför Haagpr</w:t>
      </w:r>
      <w:r w:rsidRPr="00A71F33">
        <w:t>o</w:t>
      </w:r>
      <w:r w:rsidRPr="00A71F33">
        <w:t>grammets antagande framförde EU-nämnden i fråga om utvecklingen av en geme</w:t>
      </w:r>
      <w:r w:rsidRPr="00A71F33">
        <w:t>n</w:t>
      </w:r>
      <w:r w:rsidRPr="00A71F33">
        <w:t>sam asyl- och migrationspolitik stöd för att avfärda skrivningar om han</w:t>
      </w:r>
      <w:r w:rsidRPr="00A71F33">
        <w:t>d</w:t>
      </w:r>
      <w:r w:rsidRPr="00A71F33">
        <w:t>läggning av asylärenden utanför EU. Nämnden framförde också att det skall vara ty</w:t>
      </w:r>
      <w:r w:rsidRPr="00A71F33">
        <w:t>d</w:t>
      </w:r>
      <w:r w:rsidRPr="00A71F33">
        <w:t>ligt att EU:s stöd till ursprungsländerna syftar till att avhjälpa de problem som driver människor att fly därifrån.</w:t>
      </w:r>
    </w:p>
    <w:p w:rsidR="00BE42D9" w:rsidRPr="00A71F33" w:rsidRDefault="00BE42D9" w:rsidP="003C5746">
      <w:pPr>
        <w:pStyle w:val="Normaltindrag"/>
      </w:pPr>
      <w:r w:rsidRPr="00A71F33">
        <w:t>I skrivelsen anges att kommissionen i juli presenterade ett meddelande om ett sammanhållet asylförfarande</w:t>
      </w:r>
      <w:r w:rsidRPr="00A71F33">
        <w:rPr>
          <w:b/>
        </w:rPr>
        <w:t xml:space="preserve"> </w:t>
      </w:r>
      <w:r w:rsidRPr="00A71F33">
        <w:t>(avsnitt 1</w:t>
      </w:r>
      <w:r w:rsidR="00173B32" w:rsidRPr="00A71F33">
        <w:t>9</w:t>
      </w:r>
      <w:r w:rsidRPr="00A71F33">
        <w:t>.2). Det framgår vidare att rådet har tillstyrkt de inledande delarna av förslag</w:t>
      </w:r>
      <w:r w:rsidR="00E87ED4" w:rsidRPr="00A71F33">
        <w:t>et</w:t>
      </w:r>
      <w:r w:rsidRPr="00A71F33">
        <w:t xml:space="preserve">. Vid </w:t>
      </w:r>
      <w:r w:rsidR="00E87ED4" w:rsidRPr="00A71F33">
        <w:t>sammantr</w:t>
      </w:r>
      <w:r w:rsidR="00E87ED4" w:rsidRPr="00A71F33">
        <w:t>ä</w:t>
      </w:r>
      <w:r w:rsidR="00E87ED4" w:rsidRPr="00A71F33">
        <w:t>det</w:t>
      </w:r>
      <w:r w:rsidRPr="00A71F33">
        <w:t xml:space="preserve"> med EU-nämnden den 16 juli var meddelandet dock ännu inte til</w:t>
      </w:r>
      <w:r w:rsidRPr="00A71F33">
        <w:t>l</w:t>
      </w:r>
      <w:r w:rsidRPr="00A71F33">
        <w:t>gängligt. Samråd har inte skett inför rådets slutsatser.</w:t>
      </w:r>
    </w:p>
    <w:p w:rsidR="00BE42D9" w:rsidRPr="00A71F33" w:rsidRDefault="00BE42D9" w:rsidP="003C5746">
      <w:pPr>
        <w:pStyle w:val="Normaltindrag"/>
        <w:rPr>
          <w:i/>
        </w:rPr>
      </w:pPr>
      <w:r w:rsidRPr="00A71F33">
        <w:t>Skydd och beredskap (räddningstjänsten) är ett område vars betydelse har aktualiserats inte minst till följd av flodvågskatastrofen i Sydostasien (avsnitt 20). Utvecklings- och effektiviseringsarbete pågår också inom detta område. Frågornas ökade prioritet bör komma att avspeglas i sa</w:t>
      </w:r>
      <w:r w:rsidRPr="00A71F33">
        <w:t>m</w:t>
      </w:r>
      <w:r w:rsidRPr="00A71F33">
        <w:t xml:space="preserve">råden i EU-nämnden. </w:t>
      </w:r>
    </w:p>
    <w:p w:rsidR="00D74E49" w:rsidRPr="00A71F33" w:rsidRDefault="00D74E49" w:rsidP="005174CE">
      <w:pPr>
        <w:pStyle w:val="Rubrik3"/>
        <w:rPr>
          <w:noProof w:val="0"/>
        </w:rPr>
      </w:pPr>
      <w:bookmarkStart w:id="15" w:name="_Toc101078476"/>
      <w:bookmarkStart w:id="16" w:name="_Toc101079330"/>
      <w:r w:rsidRPr="00A71F33">
        <w:rPr>
          <w:noProof w:val="0"/>
        </w:rPr>
        <w:t>Sysselsättning och socialpolitik, hälso- och sjukvård, konsumentfrågor (del 5)</w:t>
      </w:r>
      <w:bookmarkEnd w:id="15"/>
      <w:bookmarkEnd w:id="16"/>
    </w:p>
    <w:p w:rsidR="000509AC" w:rsidRPr="00A71F33" w:rsidRDefault="000509AC" w:rsidP="000509AC">
      <w:r w:rsidRPr="00A71F33">
        <w:t>I skrivelsen under detta kapitel redogörs för bl.a. tillväxt och sysselsät</w:t>
      </w:r>
      <w:r w:rsidRPr="00A71F33">
        <w:t>t</w:t>
      </w:r>
      <w:r w:rsidRPr="00A71F33">
        <w:t>ning, arbetsmarknadsfrågor, jämställdhet, folkhälsa, hälso- och sjukvård och ko</w:t>
      </w:r>
      <w:r w:rsidRPr="00A71F33">
        <w:t>n</w:t>
      </w:r>
      <w:r w:rsidRPr="00A71F33">
        <w:t>sumentpolitik.</w:t>
      </w:r>
    </w:p>
    <w:p w:rsidR="000509AC" w:rsidRPr="00A71F33" w:rsidRDefault="000509AC" w:rsidP="00697989">
      <w:pPr>
        <w:pStyle w:val="Normaltindrag"/>
      </w:pPr>
      <w:r w:rsidRPr="00A71F33">
        <w:t>Kapitlet om tillväxt och sysselsättning (avsnitt 21) skulle bli mer lättil</w:t>
      </w:r>
      <w:r w:rsidRPr="00A71F33">
        <w:t>l</w:t>
      </w:r>
      <w:r w:rsidRPr="00A71F33">
        <w:t>gängligt om det inleddes med en kort beskrivning av arbetet med och de olika momenten som ingår i sysselsättningsstrategin. I övrigt kan konstat</w:t>
      </w:r>
      <w:r w:rsidRPr="00A71F33">
        <w:t>e</w:t>
      </w:r>
      <w:r w:rsidRPr="00A71F33">
        <w:t>ras att regeringen har samrått med EU-nämnden i relevanta delmoment i sysselsät</w:t>
      </w:r>
      <w:r w:rsidRPr="00A71F33">
        <w:t>t</w:t>
      </w:r>
      <w:r w:rsidRPr="00A71F33">
        <w:t>ningsstrategin under året.</w:t>
      </w:r>
    </w:p>
    <w:p w:rsidR="000509AC" w:rsidRPr="00A71F33" w:rsidRDefault="000509AC" w:rsidP="000509AC">
      <w:pPr>
        <w:pStyle w:val="Normaltindrag"/>
      </w:pPr>
      <w:r w:rsidRPr="00A71F33">
        <w:t>Även de andra frågorna som tas upp i kapitlet har varit föremål för sa</w:t>
      </w:r>
      <w:r w:rsidRPr="00A71F33">
        <w:t>m</w:t>
      </w:r>
      <w:r w:rsidRPr="00A71F33">
        <w:t>råd med EU-nämnden. Flera av dem har behandlats av EU-nämnden flera gånger under förhandlinga</w:t>
      </w:r>
      <w:r w:rsidRPr="00A71F33">
        <w:t>r</w:t>
      </w:r>
      <w:r w:rsidRPr="00A71F33">
        <w:t>nas gång i ministerrådet. Vissa frågor har också givit upphov till mer omfattande diskussioner</w:t>
      </w:r>
      <w:r w:rsidR="00C06844" w:rsidRPr="00A71F33">
        <w:t>,</w:t>
      </w:r>
      <w:r w:rsidRPr="00A71F33">
        <w:t xml:space="preserve"> såsom t.ex. förhan</w:t>
      </w:r>
      <w:r w:rsidRPr="00A71F33">
        <w:t>d</w:t>
      </w:r>
      <w:r w:rsidRPr="00A71F33">
        <w:t>lingarna om översyn av direktivet om arbetstidens förläg</w:t>
      </w:r>
      <w:r w:rsidRPr="00A71F33">
        <w:t>g</w:t>
      </w:r>
      <w:r w:rsidRPr="00A71F33">
        <w:t>ning i vissa fall.</w:t>
      </w:r>
    </w:p>
    <w:p w:rsidR="00A867D0" w:rsidRPr="00A71F33" w:rsidRDefault="00D62BEC" w:rsidP="005174CE">
      <w:pPr>
        <w:pStyle w:val="Rubrik3"/>
        <w:rPr>
          <w:noProof w:val="0"/>
        </w:rPr>
      </w:pPr>
      <w:bookmarkStart w:id="17" w:name="_Toc101078477"/>
      <w:bookmarkStart w:id="18" w:name="_Toc101079331"/>
      <w:r w:rsidRPr="00A71F33">
        <w:rPr>
          <w:noProof w:val="0"/>
        </w:rPr>
        <w:t>Konkurrenskraftsfrågor (del</w:t>
      </w:r>
      <w:r w:rsidR="00A867D0" w:rsidRPr="00A71F33">
        <w:rPr>
          <w:noProof w:val="0"/>
        </w:rPr>
        <w:t xml:space="preserve"> 6)</w:t>
      </w:r>
      <w:bookmarkEnd w:id="17"/>
      <w:bookmarkEnd w:id="18"/>
    </w:p>
    <w:p w:rsidR="00DB77B2" w:rsidRPr="00A71F33" w:rsidRDefault="00DB77B2" w:rsidP="00DB77B2">
      <w:r w:rsidRPr="00A71F33">
        <w:t>Av skrivelsens framställning om direktivet om legala mätinstrument fra</w:t>
      </w:r>
      <w:r w:rsidRPr="00A71F33">
        <w:t>m</w:t>
      </w:r>
      <w:r w:rsidRPr="00A71F33">
        <w:t>går inte att frågan har behandlats sedan år 2000 och att direktivet besl</w:t>
      </w:r>
      <w:r w:rsidRPr="00A71F33">
        <w:t>u</w:t>
      </w:r>
      <w:r w:rsidRPr="00A71F33">
        <w:t>tades som en A-punkt på rådet för utbildning, ungdomsfrågor och kultur i februari 2004. EU-nämnden behandlade frågan den 16 maj 2003 (avsnitt 27.7).</w:t>
      </w:r>
    </w:p>
    <w:p w:rsidR="00DB77B2" w:rsidRPr="00A71F33" w:rsidRDefault="00173B32" w:rsidP="00DB77B2">
      <w:pPr>
        <w:pStyle w:val="Normaltindrag"/>
      </w:pPr>
      <w:r w:rsidRPr="00A71F33">
        <w:t>Förslaget till d</w:t>
      </w:r>
      <w:r w:rsidR="00DB77B2" w:rsidRPr="00A71F33">
        <w:t>irektivet om tjänster på den inre marknaden (tjänstedirekt</w:t>
      </w:r>
      <w:r w:rsidR="00DB77B2" w:rsidRPr="00A71F33">
        <w:t>i</w:t>
      </w:r>
      <w:r w:rsidR="00DB77B2" w:rsidRPr="00A71F33">
        <w:t>vet) har varit föremål för diskussioner vid flera tillfällen i EU-nämnden u</w:t>
      </w:r>
      <w:r w:rsidR="00DB77B2" w:rsidRPr="00A71F33">
        <w:t>n</w:t>
      </w:r>
      <w:r w:rsidR="00DB77B2" w:rsidRPr="00A71F33">
        <w:t>der året (avsnitt 29.1). Även vissa imm</w:t>
      </w:r>
      <w:r w:rsidR="00DB77B2" w:rsidRPr="00A71F33">
        <w:t>a</w:t>
      </w:r>
      <w:r w:rsidR="00DB77B2" w:rsidRPr="00A71F33">
        <w:t>terialrättsliga frågor (avsnitt 32) som förordningen om gemenskapspatent och direktivet om patenterbarhet för datorrelaterade uppfinningar (mju</w:t>
      </w:r>
      <w:r w:rsidR="00DB77B2" w:rsidRPr="00A71F33">
        <w:t>k</w:t>
      </w:r>
      <w:r w:rsidR="00DB77B2" w:rsidRPr="00A71F33">
        <w:t xml:space="preserve">varupatentet) har varit viktiga frågor. </w:t>
      </w:r>
    </w:p>
    <w:p w:rsidR="00AB752A" w:rsidRPr="00A71F33" w:rsidRDefault="00DB77B2" w:rsidP="000D4DC2">
      <w:pPr>
        <w:pStyle w:val="Normaltindrag"/>
      </w:pPr>
      <w:r w:rsidRPr="00A71F33">
        <w:t>Kemikalieförordningen, Reach, har diskuterats i EU-nämnden både i</w:t>
      </w:r>
      <w:r w:rsidRPr="00A71F33">
        <w:t>n</w:t>
      </w:r>
      <w:r w:rsidRPr="00A71F33">
        <w:t>för Konkurrenskraftsrådet, där frågan formellt sorterar (avsnitt 31.1.5), och Mi</w:t>
      </w:r>
      <w:r w:rsidRPr="00A71F33">
        <w:t>l</w:t>
      </w:r>
      <w:r w:rsidRPr="00A71F33">
        <w:t>jörådet. I EU-nämnden har framförts att miljöministrarna i Milj</w:t>
      </w:r>
      <w:r w:rsidRPr="00A71F33">
        <w:t>ö</w:t>
      </w:r>
      <w:r w:rsidRPr="00A71F33">
        <w:t>rådet med sin sakkunskap borde ha haft det främsta ansvaret för frågans hante</w:t>
      </w:r>
      <w:r w:rsidRPr="00A71F33">
        <w:t>r</w:t>
      </w:r>
      <w:r w:rsidRPr="00A71F33">
        <w:t>ing.</w:t>
      </w:r>
    </w:p>
    <w:p w:rsidR="00D62BEC" w:rsidRPr="00A71F33" w:rsidRDefault="00D62BEC" w:rsidP="005174CE">
      <w:pPr>
        <w:pStyle w:val="Rubrik3"/>
        <w:rPr>
          <w:noProof w:val="0"/>
        </w:rPr>
      </w:pPr>
      <w:bookmarkStart w:id="19" w:name="_Toc101078478"/>
      <w:bookmarkStart w:id="20" w:name="_Toc101079332"/>
      <w:r w:rsidRPr="00A71F33">
        <w:rPr>
          <w:noProof w:val="0"/>
        </w:rPr>
        <w:t>Transport, telekommunikation och energi (del 7)</w:t>
      </w:r>
      <w:bookmarkEnd w:id="19"/>
      <w:bookmarkEnd w:id="20"/>
    </w:p>
    <w:p w:rsidR="00E45285" w:rsidRPr="00A71F33" w:rsidRDefault="00E45285" w:rsidP="00E45285">
      <w:pPr>
        <w:rPr>
          <w:szCs w:val="19"/>
        </w:rPr>
      </w:pPr>
      <w:r w:rsidRPr="00A71F33">
        <w:t>I skrivelsen ges en grundlig redovisning av arbetet inom områdena tran</w:t>
      </w:r>
      <w:r w:rsidRPr="00A71F33">
        <w:t>s</w:t>
      </w:r>
      <w:r w:rsidRPr="00A71F33">
        <w:t>port, telekommunikation och energi. Frågorna som redovisas har varit föremål för samråd med EU-nämnden.</w:t>
      </w:r>
    </w:p>
    <w:p w:rsidR="00E45285" w:rsidRPr="00A71F33" w:rsidRDefault="00E45285" w:rsidP="00E45285">
      <w:pPr>
        <w:pStyle w:val="Normaltindrag"/>
      </w:pPr>
      <w:r w:rsidRPr="00A71F33">
        <w:t xml:space="preserve">På transportområdet har EU-nämnden </w:t>
      </w:r>
      <w:r w:rsidR="00C06844" w:rsidRPr="00A71F33">
        <w:t>bl.a.</w:t>
      </w:r>
      <w:r w:rsidRPr="00A71F33">
        <w:t xml:space="preserve"> särskilt uppmär</w:t>
      </w:r>
      <w:r w:rsidRPr="00A71F33">
        <w:t>k</w:t>
      </w:r>
      <w:r w:rsidRPr="00A71F33">
        <w:t>sammat det s.k. Eurovinjettdirektivet (beskattning av tunga lastbilar). Förslaget har disk</w:t>
      </w:r>
      <w:r w:rsidRPr="00A71F33">
        <w:t>u</w:t>
      </w:r>
      <w:r w:rsidRPr="00A71F33">
        <w:t>terats vid flera rådsmöten och vid flera samråd med EU-nämnden. EU-nämnden har därvid uttryckt att det är angeläget att en överen</w:t>
      </w:r>
      <w:r w:rsidRPr="00A71F33">
        <w:t>s</w:t>
      </w:r>
      <w:r w:rsidRPr="00A71F33">
        <w:t>kommelse nås och att regeringen bör vara beredd på att kompr</w:t>
      </w:r>
      <w:r w:rsidRPr="00A71F33">
        <w:t>o</w:t>
      </w:r>
      <w:r w:rsidRPr="00A71F33">
        <w:t>missa.</w:t>
      </w:r>
    </w:p>
    <w:p w:rsidR="00A26B47" w:rsidRPr="00A71F33" w:rsidRDefault="00A26B47" w:rsidP="00E45285">
      <w:pPr>
        <w:pStyle w:val="Normaltindrag"/>
        <w:rPr>
          <w:szCs w:val="19"/>
        </w:rPr>
      </w:pPr>
      <w:r w:rsidRPr="00A71F33">
        <w:t>När det gäller telekommunikationsområdet har regeringen informerat och samrått med EU-nämnden om diskussionerna kring den framtida IT-politiken inom EU. Olika dokument har presenterats i arbetet med att anta en ny IT-strategi efter det att handlingsplanen e-Europa löper ut 2005.</w:t>
      </w:r>
    </w:p>
    <w:p w:rsidR="00D62BEC" w:rsidRPr="00A71F33" w:rsidRDefault="00D62BEC" w:rsidP="005174CE">
      <w:pPr>
        <w:pStyle w:val="Rubrik3"/>
        <w:rPr>
          <w:noProof w:val="0"/>
        </w:rPr>
      </w:pPr>
      <w:bookmarkStart w:id="21" w:name="_Toc101078479"/>
      <w:bookmarkStart w:id="22" w:name="_Toc101079333"/>
      <w:r w:rsidRPr="00A71F33">
        <w:rPr>
          <w:noProof w:val="0"/>
        </w:rPr>
        <w:t>Jordbruk och fiske (del 8)</w:t>
      </w:r>
      <w:bookmarkEnd w:id="21"/>
      <w:bookmarkEnd w:id="22"/>
    </w:p>
    <w:p w:rsidR="004B4E14" w:rsidRPr="00A71F33" w:rsidRDefault="004B4E14" w:rsidP="004B4E14">
      <w:r w:rsidRPr="00A71F33">
        <w:t>I sitt yttrande över förra årets skrivelse tog EU-nämnden upp det stöd som regeringen fick i mars 2004 för att acceptera en kompromiss som innebär full frikoppling av tobaksstödet (avsnitt 38.2.5). EU-nämnden slog samt</w:t>
      </w:r>
      <w:r w:rsidRPr="00A71F33">
        <w:t>i</w:t>
      </w:r>
      <w:r w:rsidRPr="00A71F33">
        <w:t>digt fast att Sverige skulle deklarera sitt principiella motstånd mot tobak</w:t>
      </w:r>
      <w:r w:rsidRPr="00A71F33">
        <w:t>s</w:t>
      </w:r>
      <w:r w:rsidRPr="00A71F33">
        <w:t>stödet genom en röstförklaring till rådets beslut. Det framgår dock inte av skrive</w:t>
      </w:r>
      <w:r w:rsidRPr="00A71F33">
        <w:t>l</w:t>
      </w:r>
      <w:r w:rsidRPr="00A71F33">
        <w:t>sen att Sverige röstade emot förslaget och att röstförklaring därför blev ina</w:t>
      </w:r>
      <w:r w:rsidRPr="00A71F33">
        <w:t>k</w:t>
      </w:r>
      <w:r w:rsidRPr="00A71F33">
        <w:t>tuell.</w:t>
      </w:r>
    </w:p>
    <w:p w:rsidR="004B4E14" w:rsidRPr="00A71F33" w:rsidRDefault="004B4E14" w:rsidP="004B4E14">
      <w:pPr>
        <w:pStyle w:val="Normaltindrag"/>
      </w:pPr>
      <w:r w:rsidRPr="00A71F33">
        <w:t>Inom jordbruksområdet har bl.a. skydd av djur under transport, där en b</w:t>
      </w:r>
      <w:r w:rsidRPr="00A71F33">
        <w:t>e</w:t>
      </w:r>
      <w:r w:rsidRPr="00A71F33">
        <w:t>gränsad förordning nu antagits, varit en viktig fråga i EU-nämnden (a</w:t>
      </w:r>
      <w:r w:rsidRPr="00A71F33">
        <w:t>v</w:t>
      </w:r>
      <w:r w:rsidRPr="00A71F33">
        <w:t>snitt 38.5.3). Nämnden gav jordbruksministern i uppdrag att försöka förmå rådet att up</w:t>
      </w:r>
      <w:r w:rsidRPr="00A71F33">
        <w:t>p</w:t>
      </w:r>
      <w:r w:rsidRPr="00A71F33">
        <w:t xml:space="preserve">mana kommissionen att snarast ta fram nya förslag. </w:t>
      </w:r>
    </w:p>
    <w:p w:rsidR="004B4E14" w:rsidRPr="00A71F33" w:rsidRDefault="004B4E14" w:rsidP="004B4E14">
      <w:pPr>
        <w:pStyle w:val="Normaltindrag"/>
      </w:pPr>
      <w:r w:rsidRPr="00A71F33">
        <w:t>Inom området för den gemensamma fiskeripolitiken har nämnden lagt vikt vid kontrollfrågor och diskuterat bl.a. fiskekvoter för 2005 och fö</w:t>
      </w:r>
      <w:r w:rsidRPr="00A71F33">
        <w:t>r</w:t>
      </w:r>
      <w:r w:rsidRPr="00A71F33">
        <w:t>slaget att inrätta regionala rådgivande nämnder för att involvera intressenter i utfor</w:t>
      </w:r>
      <w:r w:rsidRPr="00A71F33">
        <w:t>m</w:t>
      </w:r>
      <w:r w:rsidRPr="00A71F33">
        <w:t>ningen av fiskeripolitiken (avsnitt 39). Vidare har nämnden ställt sig bakom att ansvaret för att utföra kontroller vilar på medlemsländerna</w:t>
      </w:r>
      <w:r w:rsidR="00C06844" w:rsidRPr="00A71F33">
        <w:t>,</w:t>
      </w:r>
      <w:r w:rsidRPr="00A71F33">
        <w:t xml:space="preserve"> va</w:t>
      </w:r>
      <w:r w:rsidRPr="00A71F33">
        <w:t>r</w:t>
      </w:r>
      <w:r w:rsidRPr="00A71F33">
        <w:t>för ett gemensamt kontrollorgan för fiskeripolitiken ska</w:t>
      </w:r>
      <w:r w:rsidR="00C06844" w:rsidRPr="00A71F33">
        <w:t>ll</w:t>
      </w:r>
      <w:r w:rsidRPr="00A71F33">
        <w:t xml:space="preserve"> ha enbart en samordna</w:t>
      </w:r>
      <w:r w:rsidRPr="00A71F33">
        <w:t>n</w:t>
      </w:r>
      <w:r w:rsidRPr="00A71F33">
        <w:t xml:space="preserve">de roll. </w:t>
      </w:r>
    </w:p>
    <w:p w:rsidR="00C8513A" w:rsidRPr="00A71F33" w:rsidRDefault="00C8513A" w:rsidP="00C8513A">
      <w:pPr>
        <w:pStyle w:val="Rubrik3"/>
        <w:rPr>
          <w:noProof w:val="0"/>
        </w:rPr>
      </w:pPr>
      <w:bookmarkStart w:id="23" w:name="_Toc101078480"/>
      <w:bookmarkStart w:id="24" w:name="_Toc101079334"/>
      <w:r w:rsidRPr="00A71F33">
        <w:rPr>
          <w:noProof w:val="0"/>
        </w:rPr>
        <w:t>Miljö (del 9)</w:t>
      </w:r>
      <w:bookmarkEnd w:id="23"/>
      <w:bookmarkEnd w:id="24"/>
    </w:p>
    <w:p w:rsidR="005B39F9" w:rsidRPr="00A71F33" w:rsidRDefault="005B39F9" w:rsidP="005B39F9">
      <w:r w:rsidRPr="00A71F33">
        <w:t>Flera av de frågor som redogörs för inom miljöområdet har varit föremål för längre diskussioner vid regeringens samråd med EU-nämnden. Inför antaga</w:t>
      </w:r>
      <w:r w:rsidRPr="00A71F33">
        <w:t>n</w:t>
      </w:r>
      <w:r w:rsidRPr="00A71F33">
        <w:t>det av en gemensam ståndpunkt avseende förordning</w:t>
      </w:r>
      <w:r w:rsidR="00C06844" w:rsidRPr="00A71F33">
        <w:t>en</w:t>
      </w:r>
      <w:r w:rsidRPr="00A71F33">
        <w:t xml:space="preserve"> om fluorerade väx</w:t>
      </w:r>
      <w:r w:rsidRPr="00A71F33">
        <w:t>t</w:t>
      </w:r>
      <w:r w:rsidRPr="00A71F33">
        <w:t>husgaser samt direktivet om dessa gaser fick regeringen ett öppet ma</w:t>
      </w:r>
      <w:r w:rsidRPr="00A71F33">
        <w:t>n</w:t>
      </w:r>
      <w:r w:rsidRPr="00A71F33">
        <w:t>dat från nämnden. Sverige lade vid förhandlingarna ner sin röst och lämnade en rös</w:t>
      </w:r>
      <w:r w:rsidRPr="00A71F33">
        <w:t>t</w:t>
      </w:r>
      <w:r w:rsidRPr="00A71F33">
        <w:t xml:space="preserve">förklaring. </w:t>
      </w:r>
    </w:p>
    <w:p w:rsidR="00467B3D" w:rsidRPr="00A71F33" w:rsidRDefault="005174CE" w:rsidP="005174CE">
      <w:pPr>
        <w:pStyle w:val="Rubrik3"/>
        <w:rPr>
          <w:noProof w:val="0"/>
        </w:rPr>
      </w:pPr>
      <w:bookmarkStart w:id="25" w:name="_Toc101078481"/>
      <w:bookmarkStart w:id="26" w:name="_Toc101079335"/>
      <w:r w:rsidRPr="00A71F33">
        <w:rPr>
          <w:noProof w:val="0"/>
        </w:rPr>
        <w:t>Utbildning</w:t>
      </w:r>
      <w:r w:rsidR="00467B3D" w:rsidRPr="00A71F33">
        <w:rPr>
          <w:noProof w:val="0"/>
        </w:rPr>
        <w:t>, ungdom och kultur (del 10)</w:t>
      </w:r>
      <w:bookmarkEnd w:id="25"/>
      <w:bookmarkEnd w:id="26"/>
    </w:p>
    <w:p w:rsidR="001344B3" w:rsidRPr="00A71F33" w:rsidRDefault="001344B3" w:rsidP="001344B3">
      <w:r w:rsidRPr="00A71F33">
        <w:t>Förutom under det sedvanliga samrådet inför varje rådsmöte har EU-näm</w:t>
      </w:r>
      <w:r w:rsidRPr="00A71F33">
        <w:t>n</w:t>
      </w:r>
      <w:r w:rsidRPr="00A71F33">
        <w:t>den i samband med Lissabonstrategin också uppmärksammat de frågor som tagits upp i skrivelsen under denna rubrik. Det gäller bl.a. liv</w:t>
      </w:r>
      <w:r w:rsidRPr="00A71F33">
        <w:t>s</w:t>
      </w:r>
      <w:r w:rsidRPr="00A71F33">
        <w:t>långt lärande och ungdomars förutsättningar.</w:t>
      </w:r>
    </w:p>
    <w:p w:rsidR="00DF490B" w:rsidRPr="00A71F33" w:rsidRDefault="0060441C" w:rsidP="00DF490B">
      <w:pPr>
        <w:pStyle w:val="Rubrik3"/>
        <w:rPr>
          <w:noProof w:val="0"/>
        </w:rPr>
      </w:pPr>
      <w:bookmarkStart w:id="27" w:name="_Toc101078482"/>
      <w:bookmarkStart w:id="28" w:name="_Toc101079336"/>
      <w:r w:rsidRPr="00A71F33">
        <w:rPr>
          <w:noProof w:val="0"/>
        </w:rPr>
        <w:t>EU:s institutioner (del 11)</w:t>
      </w:r>
      <w:bookmarkEnd w:id="27"/>
      <w:bookmarkEnd w:id="28"/>
    </w:p>
    <w:p w:rsidR="0081032C" w:rsidRPr="00A71F33" w:rsidRDefault="0081032C" w:rsidP="0081032C">
      <w:r w:rsidRPr="00A71F33">
        <w:t>I detta avsnitt redogörs, liksom i tidigare skrivelser, för institutionernas och olika organs verksamhet, öppenhet och insyn, personalpolitik i EU:s instit</w:t>
      </w:r>
      <w:r w:rsidRPr="00A71F33">
        <w:t>u</w:t>
      </w:r>
      <w:r w:rsidRPr="00A71F33">
        <w:t>tioner samt svenska språket och regelförenkling. Vidare r</w:t>
      </w:r>
      <w:r w:rsidRPr="00A71F33">
        <w:t>e</w:t>
      </w:r>
      <w:r w:rsidRPr="00A71F33">
        <w:t xml:space="preserve">dogörs för s.k. överträdelseärenden. </w:t>
      </w:r>
    </w:p>
    <w:p w:rsidR="0081032C" w:rsidRPr="00A71F33" w:rsidRDefault="0081032C" w:rsidP="0081032C">
      <w:pPr>
        <w:pStyle w:val="Normaltindrag"/>
      </w:pPr>
      <w:r w:rsidRPr="00A71F33">
        <w:t>Beskrivningen av institutionernas verksamhet präglas av utvidgningen med tio nya medlemsstater och av det förhållandet att en ny kommission tillträtt och ett nytt Europaparlament valts. I förra årets yttrande uppmär</w:t>
      </w:r>
      <w:r w:rsidRPr="00A71F33">
        <w:t>k</w:t>
      </w:r>
      <w:r w:rsidRPr="00A71F33">
        <w:t>sammade nämnden rådets nya uppförandekod om att ingen fråga skulle placeras på rådets dagordning enbart för presentation från kommissionens eller en me</w:t>
      </w:r>
      <w:r w:rsidRPr="00A71F33">
        <w:t>d</w:t>
      </w:r>
      <w:r w:rsidRPr="00A71F33">
        <w:t>lemsstats sida, om inte en debatt om nya väsentliga initiativ planeras. EU-nämnden kan konstatera att den nya uppförand</w:t>
      </w:r>
      <w:r w:rsidRPr="00A71F33">
        <w:t>e</w:t>
      </w:r>
      <w:r w:rsidRPr="00A71F33">
        <w:t>koden inte tycks ha medfört någon nämnvärd förändring av rådets da</w:t>
      </w:r>
      <w:r w:rsidRPr="00A71F33">
        <w:t>g</w:t>
      </w:r>
      <w:r w:rsidRPr="00A71F33">
        <w:t>ordningar. En påtaglig</w:t>
      </w:r>
      <w:r w:rsidR="00E92CD7" w:rsidRPr="00A71F33">
        <w:t>,</w:t>
      </w:r>
      <w:r w:rsidRPr="00A71F33">
        <w:t xml:space="preserve"> mindre önskvärd</w:t>
      </w:r>
      <w:r w:rsidR="00E92CD7" w:rsidRPr="00A71F33">
        <w:t>,</w:t>
      </w:r>
      <w:r w:rsidRPr="00A71F33">
        <w:t xml:space="preserve"> förändring är däremot att dagordningarna numera i större utsträc</w:t>
      </w:r>
      <w:r w:rsidRPr="00A71F33">
        <w:t>k</w:t>
      </w:r>
      <w:r w:rsidRPr="00A71F33">
        <w:t>ning än förut b</w:t>
      </w:r>
      <w:r w:rsidRPr="00A71F33">
        <w:t>e</w:t>
      </w:r>
      <w:r w:rsidRPr="00A71F33">
        <w:t>lastas med frågor som olika delegationer önskar ta upp under dagordningspunkten Övriga frågor och att dessa fr</w:t>
      </w:r>
      <w:r w:rsidRPr="00A71F33">
        <w:t>å</w:t>
      </w:r>
      <w:r w:rsidRPr="00A71F33">
        <w:t xml:space="preserve">gor ofta förs upp på ett mycket sent stadium och utan att bakgrunden är känd. </w:t>
      </w:r>
    </w:p>
    <w:p w:rsidR="00DC3E95" w:rsidRPr="00A71F33" w:rsidRDefault="00FA528F" w:rsidP="0081032C">
      <w:pPr>
        <w:pStyle w:val="Normaltindrag"/>
      </w:pPr>
      <w:r w:rsidRPr="00A71F33">
        <w:t xml:space="preserve">Liksom i yttrandena över de två senaste skrivelserna välkomnar EU-nämnden att samarbetet mellan ordförandeskapen resulterar i långsiktiga gemensamma program </w:t>
      </w:r>
      <w:r w:rsidR="00514FEC" w:rsidRPr="00A71F33">
        <w:t xml:space="preserve">och </w:t>
      </w:r>
      <w:r w:rsidRPr="00A71F33">
        <w:t>att kommissionen numera publicerar strat</w:t>
      </w:r>
      <w:r w:rsidRPr="00A71F33">
        <w:t>e</w:t>
      </w:r>
      <w:r w:rsidRPr="00A71F33">
        <w:t>giska prioriteringar för en längre period. Sådana program och prioriteringar gör det möjligt för de nationella parlamenten att bättre planera arbetet med EU-frågorna.</w:t>
      </w:r>
      <w:r w:rsidR="00DC3E95" w:rsidRPr="00A71F33">
        <w:t xml:space="preserve"> </w:t>
      </w:r>
    </w:p>
    <w:p w:rsidR="0081032C" w:rsidRPr="00A71F33" w:rsidRDefault="0081032C" w:rsidP="0081032C">
      <w:pPr>
        <w:pStyle w:val="Normaltindrag"/>
      </w:pPr>
      <w:r w:rsidRPr="00A71F33">
        <w:t>EU-nämnden har tidigare redovisat vissa svårigheter förknippade med r</w:t>
      </w:r>
      <w:r w:rsidRPr="00A71F33">
        <w:t>e</w:t>
      </w:r>
      <w:r w:rsidRPr="00A71F33">
        <w:t>formen om de nya rådssammansättningarna som genomfördes u</w:t>
      </w:r>
      <w:r w:rsidRPr="00A71F33">
        <w:t>n</w:t>
      </w:r>
      <w:r w:rsidRPr="00A71F33">
        <w:t>der år 2002. Denna reform har medfört att ett stort antal frågor av skiftande slag som so</w:t>
      </w:r>
      <w:r w:rsidRPr="00A71F33">
        <w:t>r</w:t>
      </w:r>
      <w:r w:rsidRPr="00A71F33">
        <w:t>terar under ett antal olika departement och statsråd behandlas på ett och sa</w:t>
      </w:r>
      <w:r w:rsidRPr="00A71F33">
        <w:t>m</w:t>
      </w:r>
      <w:r w:rsidRPr="00A71F33">
        <w:t>ma rådsmöte. Nämnden har i det sammanhanget tid</w:t>
      </w:r>
      <w:r w:rsidRPr="00A71F33">
        <w:t>i</w:t>
      </w:r>
      <w:r w:rsidRPr="00A71F33">
        <w:t>gare framhållit att det är angeläget att det statsråd som svarar för aktuella sa</w:t>
      </w:r>
      <w:r w:rsidRPr="00A71F33">
        <w:t>k</w:t>
      </w:r>
      <w:r w:rsidRPr="00A71F33">
        <w:t>frågor också närvarar vid nämndens samma</w:t>
      </w:r>
      <w:r w:rsidRPr="00A71F33">
        <w:t>n</w:t>
      </w:r>
      <w:r w:rsidRPr="00A71F33">
        <w:t xml:space="preserve">träden. </w:t>
      </w:r>
    </w:p>
    <w:p w:rsidR="000B455D" w:rsidRPr="00A71F33" w:rsidRDefault="0081032C" w:rsidP="0081032C">
      <w:pPr>
        <w:pStyle w:val="Normaltindrag"/>
      </w:pPr>
      <w:r w:rsidRPr="00A71F33">
        <w:t>Nämnden har också tidigare kunnat konstatera att rådsreformen inte me</w:t>
      </w:r>
      <w:r w:rsidRPr="00A71F33">
        <w:t>d</w:t>
      </w:r>
      <w:r w:rsidRPr="00A71F33">
        <w:t>fört någon förändring i övrigt av beredningen av rådets möten med t.ex. län</w:t>
      </w:r>
      <w:r w:rsidRPr="00A71F33">
        <w:t>g</w:t>
      </w:r>
      <w:r w:rsidRPr="00A71F33">
        <w:t>re tidsfrister för beredningen av frågorna, vilket innebär svårigheter för nati</w:t>
      </w:r>
      <w:r w:rsidRPr="00A71F33">
        <w:t>o</w:t>
      </w:r>
      <w:r w:rsidRPr="00A71F33">
        <w:t>nella parlamentariker att hinna sätta sig in i frågorna. Någon förbättring hä</w:t>
      </w:r>
      <w:r w:rsidRPr="00A71F33">
        <w:t>r</w:t>
      </w:r>
      <w:r w:rsidRPr="00A71F33">
        <w:t>vidlag har inte skett under 2004.</w:t>
      </w:r>
    </w:p>
    <w:p w:rsidR="0081032C" w:rsidRPr="00A71F33" w:rsidRDefault="000B455D" w:rsidP="0081032C">
      <w:pPr>
        <w:pStyle w:val="Normaltindrag"/>
      </w:pPr>
      <w:r w:rsidRPr="00A71F33">
        <w:t>Regeringen bör enligt nämndens uppfattning verka inom EU för att r</w:t>
      </w:r>
      <w:r w:rsidRPr="00A71F33">
        <w:t>å</w:t>
      </w:r>
      <w:r w:rsidRPr="00A71F33">
        <w:t>dets arbetsformer gör det möjligt för de nationella parlamenten att bereda fr</w:t>
      </w:r>
      <w:r w:rsidRPr="00A71F33">
        <w:t>å</w:t>
      </w:r>
      <w:r w:rsidRPr="00A71F33">
        <w:t>gorna och överlägga med sina respektive regeringar före rådsmötena. Det är viktigt att EU:s institutioner skapar utrymme för de nationella pa</w:t>
      </w:r>
      <w:r w:rsidRPr="00A71F33">
        <w:t>r</w:t>
      </w:r>
      <w:r w:rsidRPr="00A71F33">
        <w:t>lamenten att vara aktiva. EU:s legitimitet ökar om det sker en demokratisk förankring i me</w:t>
      </w:r>
      <w:r w:rsidRPr="00A71F33">
        <w:t>d</w:t>
      </w:r>
      <w:r w:rsidRPr="00A71F33">
        <w:t>lemsstaterna av de frågor som hanteras geme</w:t>
      </w:r>
      <w:r w:rsidRPr="00A71F33">
        <w:t>n</w:t>
      </w:r>
      <w:r w:rsidRPr="00A71F33">
        <w:t>samt på EU-nivå.</w:t>
      </w:r>
      <w:r w:rsidR="0081032C" w:rsidRPr="00A71F33">
        <w:t xml:space="preserve">  </w:t>
      </w:r>
    </w:p>
    <w:p w:rsidR="0081032C" w:rsidRPr="00A71F33" w:rsidRDefault="0081032C" w:rsidP="0081032C">
      <w:pPr>
        <w:pStyle w:val="Normaltindrag"/>
      </w:pPr>
      <w:r w:rsidRPr="00A71F33">
        <w:t>När det gäller beredningen i EU-nämnden av de frågor som skall besl</w:t>
      </w:r>
      <w:r w:rsidRPr="00A71F33">
        <w:t>u</w:t>
      </w:r>
      <w:r w:rsidRPr="00A71F33">
        <w:t>tas av ministerrådet vill nämnden upprepa vikten av att relevanta skriftliga unde</w:t>
      </w:r>
      <w:r w:rsidRPr="00A71F33">
        <w:t>r</w:t>
      </w:r>
      <w:r w:rsidRPr="00A71F33">
        <w:t>lag i form av utkast på svenska finns tillgängliga inför EU-nämndens sa</w:t>
      </w:r>
      <w:r w:rsidRPr="00A71F33">
        <w:t>m</w:t>
      </w:r>
      <w:r w:rsidRPr="00A71F33">
        <w:t>manträden så att samrådet kan ske på ett meningsfullt sätt. Översät</w:t>
      </w:r>
      <w:r w:rsidRPr="00A71F33">
        <w:t>t</w:t>
      </w:r>
      <w:r w:rsidRPr="00A71F33">
        <w:t>ning till svenska av dokument bör föreligga redan då mini</w:t>
      </w:r>
      <w:r w:rsidRPr="00A71F33">
        <w:t>s</w:t>
      </w:r>
      <w:r w:rsidRPr="00A71F33">
        <w:t>terrådet avses fatta någon form av politiskt beslut i ärendet. I samband med att franskt</w:t>
      </w:r>
      <w:r w:rsidRPr="00A71F33">
        <w:t>a</w:t>
      </w:r>
      <w:r w:rsidRPr="00A71F33">
        <w:t xml:space="preserve">lande länders regeringar innehar ordförandeskapet i EU sänds ofta ut utkast och rapporter </w:t>
      </w:r>
      <w:r w:rsidR="00800080" w:rsidRPr="00A71F33">
        <w:t xml:space="preserve">endast </w:t>
      </w:r>
      <w:r w:rsidRPr="00A71F33">
        <w:t>på franska, vilket är synnerligen otillfredsställande.</w:t>
      </w:r>
      <w:r w:rsidR="000B455D" w:rsidRPr="00A71F33">
        <w:t xml:space="preserve"> Nämnden förutsä</w:t>
      </w:r>
      <w:r w:rsidR="000B455D" w:rsidRPr="00A71F33">
        <w:t>t</w:t>
      </w:r>
      <w:r w:rsidR="000B455D" w:rsidRPr="00A71F33">
        <w:t>ter att regeringen inom EU verkar för att dokument som skall behandlas vid möten i ministerrådet finns öve</w:t>
      </w:r>
      <w:r w:rsidR="000B455D" w:rsidRPr="00A71F33">
        <w:t>r</w:t>
      </w:r>
      <w:r w:rsidR="000B455D" w:rsidRPr="00A71F33">
        <w:t>satta till samtliga språk i god tid före mötena.</w:t>
      </w:r>
      <w:r w:rsidRPr="00A71F33">
        <w:t xml:space="preserve">     </w:t>
      </w:r>
    </w:p>
    <w:p w:rsidR="0081032C" w:rsidRPr="00A71F33" w:rsidRDefault="0081032C" w:rsidP="0081032C">
      <w:pPr>
        <w:pStyle w:val="Normaltindrag"/>
      </w:pPr>
      <w:r w:rsidRPr="00A71F33">
        <w:t>I årets skrivelse tas i avsnittet om Europaparlamentet inte upp frågan om förslaget till ledamotssta</w:t>
      </w:r>
      <w:r w:rsidRPr="00A71F33">
        <w:t>d</w:t>
      </w:r>
      <w:r w:rsidRPr="00A71F33">
        <w:t>ga. Här kan dock nämnas att en majoritet i EU-nämnden i januari 2004 ställde sig bakom regeringens ståndpunkt att välko</w:t>
      </w:r>
      <w:r w:rsidRPr="00A71F33">
        <w:t>m</w:t>
      </w:r>
      <w:r w:rsidRPr="00A71F33">
        <w:t>na Europaparlamentets kompromissförslag med undantag av den för</w:t>
      </w:r>
      <w:r w:rsidRPr="00A71F33">
        <w:t>e</w:t>
      </w:r>
      <w:r w:rsidRPr="00A71F33">
        <w:t>slagna arvo</w:t>
      </w:r>
      <w:r w:rsidR="002764F7" w:rsidRPr="00A71F33">
        <w:t>desnivån som en enig EU-näm</w:t>
      </w:r>
      <w:r w:rsidRPr="00A71F33">
        <w:t>nd, liksom regeringen, a</w:t>
      </w:r>
      <w:r w:rsidRPr="00A71F33">
        <w:t>n</w:t>
      </w:r>
      <w:r w:rsidRPr="00A71F33">
        <w:t>såg vara alltför hög. För förslaget till ledamotsstadga fanns inte nödvändig kvalificerad maj</w:t>
      </w:r>
      <w:r w:rsidRPr="00A71F33">
        <w:t>o</w:t>
      </w:r>
      <w:r w:rsidRPr="00A71F33">
        <w:t>ritet</w:t>
      </w:r>
      <w:r w:rsidR="00C06844" w:rsidRPr="00A71F33">
        <w:t>,</w:t>
      </w:r>
      <w:r w:rsidRPr="00A71F33">
        <w:t xml:space="preserve"> varför förslaget inte kunde </w:t>
      </w:r>
      <w:r w:rsidR="00800080" w:rsidRPr="00A71F33">
        <w:t xml:space="preserve">godkännas </w:t>
      </w:r>
      <w:r w:rsidRPr="00A71F33">
        <w:t>vid rådsmötet. Förslaget lär åte</w:t>
      </w:r>
      <w:r w:rsidRPr="00A71F33">
        <w:t>r</w:t>
      </w:r>
      <w:r w:rsidRPr="00A71F33">
        <w:t>komma under 2005.</w:t>
      </w:r>
    </w:p>
    <w:p w:rsidR="0081032C" w:rsidRPr="00A71F33" w:rsidRDefault="0081032C" w:rsidP="0081032C">
      <w:pPr>
        <w:pStyle w:val="Normaltindrag"/>
      </w:pPr>
      <w:r w:rsidRPr="00A71F33">
        <w:t>Beträffande öppenheten och insynen (avsnitt 45.7) är det glädjande att fle</w:t>
      </w:r>
      <w:r w:rsidRPr="00A71F33">
        <w:t>r</w:t>
      </w:r>
      <w:r w:rsidRPr="00A71F33">
        <w:t>talet, som sägs i skrivelsen, handlingar i rådet finns tillgängliga på Inte</w:t>
      </w:r>
      <w:r w:rsidRPr="00A71F33">
        <w:t>r</w:t>
      </w:r>
      <w:r w:rsidRPr="00A71F33">
        <w:t>net. För EU-nämndens del kan dock konstateras att det dröjer innan han</w:t>
      </w:r>
      <w:r w:rsidRPr="00A71F33">
        <w:t>d</w:t>
      </w:r>
      <w:r w:rsidRPr="00A71F33">
        <w:t>lingarna finns på svenska och att dokument som behövs inför EU-nämndens överläg</w:t>
      </w:r>
      <w:r w:rsidRPr="00A71F33">
        <w:t>g</w:t>
      </w:r>
      <w:r w:rsidRPr="00A71F33">
        <w:t>ningar med regeringen (utkast etc.) inte finns tillgängl</w:t>
      </w:r>
      <w:r w:rsidRPr="00A71F33">
        <w:t>i</w:t>
      </w:r>
      <w:r w:rsidRPr="00A71F33">
        <w:t>ga. För de nationella parlamenten vore det värdefullt om tillgång fanns till rådets och andra instit</w:t>
      </w:r>
      <w:r w:rsidRPr="00A71F33">
        <w:t>u</w:t>
      </w:r>
      <w:r w:rsidRPr="00A71F33">
        <w:t>tioners intranät. Vad gäller öppenheten i ministe</w:t>
      </w:r>
      <w:r w:rsidRPr="00A71F33">
        <w:t>r</w:t>
      </w:r>
      <w:r w:rsidRPr="00A71F33">
        <w:t xml:space="preserve">rådets möten välkomnar EU-nämnden att dessa, enligt förslaget till </w:t>
      </w:r>
      <w:r w:rsidR="005C5CE5" w:rsidRPr="00A71F33">
        <w:t xml:space="preserve">konstitutionellt </w:t>
      </w:r>
      <w:r w:rsidRPr="00A71F33">
        <w:t xml:space="preserve">fördrag för Europa, skall vara offentliga när det överlägger och röstar om </w:t>
      </w:r>
      <w:r w:rsidR="00800080" w:rsidRPr="00A71F33">
        <w:t xml:space="preserve">alla </w:t>
      </w:r>
      <w:r w:rsidRPr="00A71F33">
        <w:t>utkast till lagstif</w:t>
      </w:r>
      <w:r w:rsidRPr="00A71F33">
        <w:t>t</w:t>
      </w:r>
      <w:r w:rsidRPr="00A71F33">
        <w:t>ningsakt</w:t>
      </w:r>
      <w:r w:rsidR="00800080" w:rsidRPr="00A71F33">
        <w:t>er</w:t>
      </w:r>
      <w:r w:rsidRPr="00A71F33">
        <w:t>.</w:t>
      </w:r>
    </w:p>
    <w:p w:rsidR="0081032C" w:rsidRPr="00A71F33" w:rsidRDefault="0081032C" w:rsidP="0081032C">
      <w:pPr>
        <w:pStyle w:val="Normaltindrag"/>
      </w:pPr>
      <w:r w:rsidRPr="00A71F33">
        <w:t>I detta sammanhang nämns också i skrivelsen</w:t>
      </w:r>
      <w:r w:rsidR="001B3FD8" w:rsidRPr="00A71F33">
        <w:t xml:space="preserve"> (avsnitt 45.8)</w:t>
      </w:r>
      <w:r w:rsidRPr="00A71F33">
        <w:t xml:space="preserve"> att Sverige med fra</w:t>
      </w:r>
      <w:r w:rsidRPr="00A71F33">
        <w:t>m</w:t>
      </w:r>
      <w:r w:rsidRPr="00A71F33">
        <w:t>gång drivit frågan om stärkt yttrandefrihet för EU-tjänstemännen inom ramen för EU:s nya tjänsteföreskrifter. Detta är glädjande</w:t>
      </w:r>
      <w:r w:rsidR="001B3FD8" w:rsidRPr="00A71F33">
        <w:t>.</w:t>
      </w:r>
    </w:p>
    <w:p w:rsidR="0081032C" w:rsidRPr="00A71F33" w:rsidRDefault="0081032C" w:rsidP="0081032C">
      <w:pPr>
        <w:pStyle w:val="Normaltindrag"/>
      </w:pPr>
      <w:r w:rsidRPr="00A71F33">
        <w:t>Nämnden konstaterar med tillfredsställelse att regeringen fortsätter sitt a</w:t>
      </w:r>
      <w:r w:rsidRPr="00A71F33">
        <w:t>r</w:t>
      </w:r>
      <w:r w:rsidRPr="00A71F33">
        <w:t>bete med att befrämja begripligare EU-texter och utveckla EU-språkvå</w:t>
      </w:r>
      <w:r w:rsidRPr="00A71F33">
        <w:t>r</w:t>
      </w:r>
      <w:r w:rsidRPr="00A71F33">
        <w:t>den och anser att arbetet bör fortsätta med oförminskad styrka. Enhetlighet i EU-terminologin på svenska och mer lättillgängliga och begripliga texter är vikt</w:t>
      </w:r>
      <w:r w:rsidRPr="00A71F33">
        <w:t>i</w:t>
      </w:r>
      <w:r w:rsidRPr="00A71F33">
        <w:t>ga mål, bl. a. ur tillgänglighetssynpunkt och demokratisy</w:t>
      </w:r>
      <w:r w:rsidRPr="00A71F33">
        <w:t>n</w:t>
      </w:r>
      <w:r w:rsidRPr="00A71F33">
        <w:t>punkt .</w:t>
      </w:r>
    </w:p>
    <w:p w:rsidR="0081032C" w:rsidRPr="00A71F33" w:rsidRDefault="0081032C" w:rsidP="0081032C">
      <w:pPr>
        <w:pStyle w:val="Normaltindrag"/>
      </w:pPr>
      <w:r w:rsidRPr="00A71F33">
        <w:t>Nämnden vill än en gång betona vikten av att arbeta för att bibehålla och stärka det svenska språkets ställning i EU, både när det gäller tolkning och översättning. Detta är ofta ett problem i synnerhet vid franskspråkiga ordf</w:t>
      </w:r>
      <w:r w:rsidRPr="00A71F33">
        <w:t>ö</w:t>
      </w:r>
      <w:r w:rsidRPr="00A71F33">
        <w:t>randeskap i ministerrådet. Vad gäller tol</w:t>
      </w:r>
      <w:r w:rsidRPr="00A71F33">
        <w:t>k</w:t>
      </w:r>
      <w:r w:rsidRPr="00A71F33">
        <w:t>ning till och från svenska vid möten på politisk nivå har EU-nämnden fullföljt sin linje vid COSAC-mötena</w:t>
      </w:r>
      <w:r w:rsidR="008867F5" w:rsidRPr="00A71F33">
        <w:t xml:space="preserve"> </w:t>
      </w:r>
      <w:r w:rsidRPr="00A71F33">
        <w:t xml:space="preserve"> </w:t>
      </w:r>
      <w:r w:rsidR="000B455D" w:rsidRPr="00A71F33">
        <w:t>(Ko</w:t>
      </w:r>
      <w:r w:rsidR="000B455D" w:rsidRPr="00A71F33">
        <w:t>n</w:t>
      </w:r>
      <w:r w:rsidR="000B455D" w:rsidRPr="00A71F33">
        <w:t xml:space="preserve">ferensen mellan organen för gemenskaps- och EU-frågor vid Europeiska unionens parlament), </w:t>
      </w:r>
      <w:r w:rsidRPr="00A71F33">
        <w:t>att det vid dessa möten måste finnas ful</w:t>
      </w:r>
      <w:r w:rsidRPr="00A71F33">
        <w:t>l</w:t>
      </w:r>
      <w:r w:rsidRPr="00A71F33">
        <w:t>ständig tolkning till och från alla medlemsstaters språk, utan unda</w:t>
      </w:r>
      <w:r w:rsidRPr="00A71F33">
        <w:t>n</w:t>
      </w:r>
      <w:r w:rsidRPr="00A71F33">
        <w:t>tag. Förslag i riktning att minska antalet språk vid mötena har framförts av fler ordförandeskap i C</w:t>
      </w:r>
      <w:r w:rsidRPr="00A71F33">
        <w:t>O</w:t>
      </w:r>
      <w:r w:rsidRPr="00A71F33">
        <w:t>SAC, men inte vunnit någon major</w:t>
      </w:r>
      <w:r w:rsidRPr="00A71F33">
        <w:t>i</w:t>
      </w:r>
      <w:r w:rsidRPr="00A71F33">
        <w:t>tet. Frågan är för närvarande vilande.</w:t>
      </w:r>
    </w:p>
    <w:p w:rsidR="0060441C" w:rsidRPr="00A71F33" w:rsidRDefault="0081032C" w:rsidP="0081032C">
      <w:pPr>
        <w:pStyle w:val="Normaltindrag"/>
      </w:pPr>
      <w:r w:rsidRPr="00A71F33">
        <w:t>I skrivelsen redovisas också liksom föregående år s.k. överträdelseäre</w:t>
      </w:r>
      <w:r w:rsidRPr="00A71F33">
        <w:t>n</w:t>
      </w:r>
      <w:r w:rsidRPr="00A71F33">
        <w:t>den mot Sverige och mål av svenskt intresse vid EG-domstolen och EG:s förstai</w:t>
      </w:r>
      <w:r w:rsidRPr="00A71F33">
        <w:t>n</w:t>
      </w:r>
      <w:r w:rsidRPr="00A71F33">
        <w:t>stansrätt under år 2004. Det saknas dock i skrivelsen en analys av hur läget är i förhållande till föregående år. I övrigt vore det, som EU-nämnden tidigare påpekat, av intresse att som en jämförelse få information om antalet övertr</w:t>
      </w:r>
      <w:r w:rsidRPr="00A71F33">
        <w:t>ä</w:t>
      </w:r>
      <w:r w:rsidRPr="00A71F33">
        <w:t>delseärenden och fällande domar mot övriga medlem</w:t>
      </w:r>
      <w:r w:rsidRPr="00A71F33">
        <w:t>s</w:t>
      </w:r>
      <w:r w:rsidRPr="00A71F33">
        <w:t>länder.</w:t>
      </w:r>
    </w:p>
    <w:p w:rsidR="00FC0410" w:rsidRPr="00A71F33" w:rsidRDefault="00FC0410" w:rsidP="00FC0410"/>
    <w:p w:rsidR="0063583E" w:rsidRPr="00A71F33" w:rsidRDefault="006C1C0F" w:rsidP="006C1C0F">
      <w:pPr>
        <w:pStyle w:val="Utskriftsdatum"/>
      </w:pPr>
      <w:r w:rsidRPr="00A71F33">
        <w:br w:type="page"/>
      </w:r>
      <w:r w:rsidR="0063583E" w:rsidRPr="00A71F33">
        <w:t xml:space="preserve">Stockholm den </w:t>
      </w:r>
      <w:r w:rsidR="0036083B" w:rsidRPr="00A71F33">
        <w:t>8 april 2005</w:t>
      </w:r>
    </w:p>
    <w:p w:rsidR="0036083B" w:rsidRPr="00A71F33" w:rsidRDefault="00467602" w:rsidP="006C1C0F">
      <w:pPr>
        <w:pStyle w:val="Pxx-utskottetsvgnar"/>
      </w:pPr>
      <w:r w:rsidRPr="00A71F33">
        <w:t>På EU</w:t>
      </w:r>
      <w:r w:rsidR="0063583E" w:rsidRPr="00A71F33">
        <w:t>-nämndens vägnar</w:t>
      </w:r>
    </w:p>
    <w:p w:rsidR="0036083B" w:rsidRPr="00A71F33" w:rsidRDefault="0036083B" w:rsidP="006C1C0F">
      <w:pPr>
        <w:pStyle w:val="Ordfranden"/>
        <w:rPr>
          <w:noProof w:val="0"/>
        </w:rPr>
      </w:pPr>
      <w:r w:rsidRPr="00A71F33">
        <w:rPr>
          <w:noProof w:val="0"/>
        </w:rPr>
        <w:t>Tommy Waidelich</w:t>
      </w:r>
    </w:p>
    <w:p w:rsidR="0036083B" w:rsidRPr="00A71F33" w:rsidRDefault="0036083B" w:rsidP="006C1C0F">
      <w:pPr>
        <w:pStyle w:val="Deltagare"/>
        <w:rPr>
          <w:noProof w:val="0"/>
        </w:rPr>
      </w:pPr>
      <w:r w:rsidRPr="00A71F33">
        <w:rPr>
          <w:noProof w:val="0"/>
        </w:rPr>
        <w:t>Följande ledamöter har deltagit i beslutet:</w:t>
      </w:r>
      <w:r w:rsidR="00D75FC6" w:rsidRPr="00A71F33">
        <w:rPr>
          <w:noProof w:val="0"/>
        </w:rPr>
        <w:t xml:space="preserve"> Tommy Waidelich (s), Carl B Hamilton (fp), Sonia Karlsson (s), Lars Lindblad (m), Joe Frans (s), Hillevi Larsson (s), Lennart Hedquist (m), Fredrik Olovsson (s), Eva Arvidsson (s), Eskil Erlandsson (c), Börje Vestlund (s), Agneta Lun</w:t>
      </w:r>
      <w:r w:rsidR="00D75FC6" w:rsidRPr="00A71F33">
        <w:rPr>
          <w:noProof w:val="0"/>
        </w:rPr>
        <w:t>d</w:t>
      </w:r>
      <w:r w:rsidR="00D75FC6" w:rsidRPr="00A71F33">
        <w:rPr>
          <w:noProof w:val="0"/>
        </w:rPr>
        <w:t>berg (s), Anders G Högmark (m), Karin Pilsäter (fp), Gustav Fridolin (mp)</w:t>
      </w:r>
      <w:r w:rsidR="00C06844" w:rsidRPr="00A71F33">
        <w:rPr>
          <w:noProof w:val="0"/>
        </w:rPr>
        <w:t xml:space="preserve"> och</w:t>
      </w:r>
      <w:r w:rsidR="00D75FC6" w:rsidRPr="00A71F33">
        <w:rPr>
          <w:noProof w:val="0"/>
        </w:rPr>
        <w:t xml:space="preserve"> Sermin Özü</w:t>
      </w:r>
      <w:r w:rsidR="00D75FC6" w:rsidRPr="00A71F33">
        <w:rPr>
          <w:noProof w:val="0"/>
        </w:rPr>
        <w:t>r</w:t>
      </w:r>
      <w:r w:rsidR="00D75FC6" w:rsidRPr="00A71F33">
        <w:rPr>
          <w:noProof w:val="0"/>
        </w:rPr>
        <w:t>küt (v).</w:t>
      </w:r>
      <w:r w:rsidRPr="00A71F33">
        <w:rPr>
          <w:noProof w:val="0"/>
        </w:rPr>
        <w:t xml:space="preserve"> </w:t>
      </w:r>
    </w:p>
    <w:p w:rsidR="0063583E" w:rsidRPr="00A71F33" w:rsidRDefault="0063583E" w:rsidP="0063583E">
      <w:pPr>
        <w:pStyle w:val="Normaltindrag"/>
        <w:rPr>
          <w:u w:val="single"/>
        </w:rPr>
      </w:pPr>
      <w:bookmarkStart w:id="29" w:name="Ordförande"/>
      <w:bookmarkEnd w:id="29"/>
    </w:p>
    <w:p w:rsidR="0063583E" w:rsidRPr="00A71F33" w:rsidRDefault="0063583E" w:rsidP="0063583E">
      <w:pPr>
        <w:pStyle w:val="Normaltindrag"/>
      </w:pPr>
      <w:bookmarkStart w:id="30" w:name="Deltagare"/>
      <w:bookmarkEnd w:id="30"/>
    </w:p>
    <w:p w:rsidR="0063583E" w:rsidRPr="00A71F33" w:rsidRDefault="0063583E" w:rsidP="0063583E">
      <w:pPr>
        <w:pStyle w:val="Normaltindrag"/>
        <w:sectPr w:rsidR="0063583E" w:rsidRPr="00A71F3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3583E" w:rsidRPr="00A71F33" w:rsidRDefault="0063583E" w:rsidP="0063583E">
      <w:pPr>
        <w:pStyle w:val="Rubrik1"/>
        <w:rPr>
          <w:noProof w:val="0"/>
        </w:rPr>
      </w:pPr>
      <w:bookmarkStart w:id="31" w:name="_Toc101078483"/>
      <w:bookmarkStart w:id="32" w:name="_Toc101079337"/>
      <w:r w:rsidRPr="00A71F33">
        <w:rPr>
          <w:noProof w:val="0"/>
        </w:rPr>
        <w:t>Innehållsförteckning</w:t>
      </w:r>
      <w:bookmarkEnd w:id="31"/>
      <w:bookmarkEnd w:id="32"/>
    </w:p>
    <w:p w:rsidR="00492CC1" w:rsidRPr="00A71F33" w:rsidRDefault="00492CC1">
      <w:pPr>
        <w:pStyle w:val="Innehll2"/>
        <w:rPr>
          <w:sz w:val="24"/>
          <w:szCs w:val="24"/>
        </w:rPr>
      </w:pPr>
      <w:r w:rsidRPr="00A71F33">
        <w:rPr>
          <w:rStyle w:val="Hyperlnk"/>
        </w:rPr>
        <w:t>Regeringens skrivelse</w:t>
      </w:r>
      <w:r w:rsidRPr="00A71F33">
        <w:rPr>
          <w:webHidden/>
        </w:rPr>
        <w:tab/>
      </w:r>
      <w:r w:rsidR="00E20CAD" w:rsidRPr="00A71F33">
        <w:rPr>
          <w:webHidden/>
        </w:rPr>
        <w:t>1</w:t>
      </w:r>
    </w:p>
    <w:p w:rsidR="00492CC1" w:rsidRPr="00A71F33" w:rsidRDefault="00492CC1">
      <w:pPr>
        <w:pStyle w:val="Innehll2"/>
        <w:rPr>
          <w:sz w:val="24"/>
          <w:szCs w:val="24"/>
        </w:rPr>
      </w:pPr>
      <w:r w:rsidRPr="00A71F33">
        <w:rPr>
          <w:rStyle w:val="Hyperlnk"/>
        </w:rPr>
        <w:t>EU-nämnden</w:t>
      </w:r>
      <w:r w:rsidRPr="00A71F33">
        <w:rPr>
          <w:webHidden/>
        </w:rPr>
        <w:tab/>
      </w:r>
      <w:r w:rsidR="00E20CAD" w:rsidRPr="00A71F33">
        <w:rPr>
          <w:webHidden/>
        </w:rPr>
        <w:t>1</w:t>
      </w:r>
    </w:p>
    <w:p w:rsidR="00492CC1" w:rsidRPr="00A71F33" w:rsidRDefault="00492CC1">
      <w:pPr>
        <w:pStyle w:val="Innehll3"/>
        <w:rPr>
          <w:sz w:val="24"/>
          <w:szCs w:val="24"/>
        </w:rPr>
      </w:pPr>
      <w:r w:rsidRPr="00A71F33">
        <w:rPr>
          <w:rStyle w:val="Hyperlnk"/>
        </w:rPr>
        <w:t>Allmänna synpunkter på innehållet i skrivelsen</w:t>
      </w:r>
      <w:r w:rsidRPr="00A71F33">
        <w:rPr>
          <w:webHidden/>
        </w:rPr>
        <w:tab/>
      </w:r>
      <w:r w:rsidR="00E20CAD" w:rsidRPr="00A71F33">
        <w:rPr>
          <w:webHidden/>
        </w:rPr>
        <w:t>1</w:t>
      </w:r>
    </w:p>
    <w:p w:rsidR="00492CC1" w:rsidRPr="00A71F33" w:rsidRDefault="00492CC1">
      <w:pPr>
        <w:pStyle w:val="Innehll3"/>
        <w:rPr>
          <w:sz w:val="24"/>
          <w:szCs w:val="24"/>
        </w:rPr>
      </w:pPr>
      <w:r w:rsidRPr="00A71F33">
        <w:rPr>
          <w:rStyle w:val="Hyperlnk"/>
        </w:rPr>
        <w:t>Den övergripande utvecklingen i Europeiska unionen (del 1)</w:t>
      </w:r>
      <w:r w:rsidRPr="00A71F33">
        <w:rPr>
          <w:webHidden/>
        </w:rPr>
        <w:tab/>
      </w:r>
      <w:r w:rsidR="00E20CAD" w:rsidRPr="00A71F33">
        <w:rPr>
          <w:webHidden/>
        </w:rPr>
        <w:t>2</w:t>
      </w:r>
    </w:p>
    <w:p w:rsidR="00492CC1" w:rsidRPr="00A71F33" w:rsidRDefault="00492CC1">
      <w:pPr>
        <w:pStyle w:val="Innehll3"/>
        <w:rPr>
          <w:sz w:val="24"/>
          <w:szCs w:val="24"/>
        </w:rPr>
      </w:pPr>
      <w:r w:rsidRPr="00A71F33">
        <w:rPr>
          <w:rStyle w:val="Hyperlnk"/>
        </w:rPr>
        <w:t>EU:s förbindelser med omvärlden (del 2)</w:t>
      </w:r>
      <w:r w:rsidRPr="00A71F33">
        <w:rPr>
          <w:webHidden/>
        </w:rPr>
        <w:tab/>
      </w:r>
      <w:r w:rsidR="00E20CAD" w:rsidRPr="00A71F33">
        <w:rPr>
          <w:webHidden/>
        </w:rPr>
        <w:t>5</w:t>
      </w:r>
    </w:p>
    <w:p w:rsidR="00492CC1" w:rsidRPr="00A71F33" w:rsidRDefault="00492CC1">
      <w:pPr>
        <w:pStyle w:val="Innehll3"/>
        <w:rPr>
          <w:sz w:val="24"/>
          <w:szCs w:val="24"/>
        </w:rPr>
      </w:pPr>
      <w:r w:rsidRPr="00A71F33">
        <w:rPr>
          <w:rStyle w:val="Hyperlnk"/>
        </w:rPr>
        <w:t>Ekonomiska och finansiella frågor (del 3)</w:t>
      </w:r>
      <w:r w:rsidRPr="00A71F33">
        <w:rPr>
          <w:webHidden/>
        </w:rPr>
        <w:tab/>
      </w:r>
      <w:r w:rsidR="00E20CAD" w:rsidRPr="00A71F33">
        <w:rPr>
          <w:webHidden/>
        </w:rPr>
        <w:t>5</w:t>
      </w:r>
    </w:p>
    <w:p w:rsidR="00492CC1" w:rsidRPr="00A71F33" w:rsidRDefault="00492CC1">
      <w:pPr>
        <w:pStyle w:val="Innehll3"/>
        <w:rPr>
          <w:sz w:val="24"/>
          <w:szCs w:val="24"/>
        </w:rPr>
      </w:pPr>
      <w:r w:rsidRPr="00A71F33">
        <w:rPr>
          <w:rStyle w:val="Hyperlnk"/>
        </w:rPr>
        <w:t>Rättsliga och inrikes frågor (del 4)</w:t>
      </w:r>
      <w:r w:rsidRPr="00A71F33">
        <w:rPr>
          <w:webHidden/>
        </w:rPr>
        <w:tab/>
      </w:r>
      <w:r w:rsidR="00E20CAD" w:rsidRPr="00A71F33">
        <w:rPr>
          <w:webHidden/>
        </w:rPr>
        <w:t>5</w:t>
      </w:r>
    </w:p>
    <w:p w:rsidR="00492CC1" w:rsidRPr="00A71F33" w:rsidRDefault="00492CC1">
      <w:pPr>
        <w:pStyle w:val="Innehll3"/>
        <w:rPr>
          <w:sz w:val="24"/>
          <w:szCs w:val="24"/>
        </w:rPr>
      </w:pPr>
      <w:r w:rsidRPr="00A71F33">
        <w:rPr>
          <w:rStyle w:val="Hyperlnk"/>
        </w:rPr>
        <w:t>Sysselsättning och socialpolitik, hälso- och sjukvård, konsumentfrågor (del 5)</w:t>
      </w:r>
      <w:r w:rsidRPr="00A71F33">
        <w:rPr>
          <w:webHidden/>
        </w:rPr>
        <w:tab/>
      </w:r>
      <w:r w:rsidR="00E20CAD" w:rsidRPr="00A71F33">
        <w:rPr>
          <w:webHidden/>
        </w:rPr>
        <w:t>7</w:t>
      </w:r>
    </w:p>
    <w:p w:rsidR="00492CC1" w:rsidRPr="00A71F33" w:rsidRDefault="00492CC1">
      <w:pPr>
        <w:pStyle w:val="Innehll3"/>
        <w:rPr>
          <w:sz w:val="24"/>
          <w:szCs w:val="24"/>
        </w:rPr>
      </w:pPr>
      <w:r w:rsidRPr="00A71F33">
        <w:rPr>
          <w:rStyle w:val="Hyperlnk"/>
        </w:rPr>
        <w:t>Konkurrenskraftsfrågor (del 6)</w:t>
      </w:r>
      <w:r w:rsidRPr="00A71F33">
        <w:rPr>
          <w:webHidden/>
        </w:rPr>
        <w:tab/>
      </w:r>
      <w:r w:rsidR="00E20CAD" w:rsidRPr="00A71F33">
        <w:rPr>
          <w:webHidden/>
        </w:rPr>
        <w:t>7</w:t>
      </w:r>
    </w:p>
    <w:p w:rsidR="00492CC1" w:rsidRPr="00A71F33" w:rsidRDefault="00492CC1">
      <w:pPr>
        <w:pStyle w:val="Innehll3"/>
        <w:rPr>
          <w:sz w:val="24"/>
          <w:szCs w:val="24"/>
        </w:rPr>
      </w:pPr>
      <w:r w:rsidRPr="00A71F33">
        <w:rPr>
          <w:rStyle w:val="Hyperlnk"/>
        </w:rPr>
        <w:t>Transport, telekommunikation och energi (del 7)</w:t>
      </w:r>
      <w:r w:rsidRPr="00A71F33">
        <w:rPr>
          <w:webHidden/>
        </w:rPr>
        <w:tab/>
      </w:r>
      <w:r w:rsidR="00E20CAD" w:rsidRPr="00A71F33">
        <w:rPr>
          <w:webHidden/>
        </w:rPr>
        <w:t>7</w:t>
      </w:r>
    </w:p>
    <w:p w:rsidR="00492CC1" w:rsidRPr="00A71F33" w:rsidRDefault="00492CC1">
      <w:pPr>
        <w:pStyle w:val="Innehll3"/>
        <w:rPr>
          <w:sz w:val="24"/>
          <w:szCs w:val="24"/>
        </w:rPr>
      </w:pPr>
      <w:r w:rsidRPr="00A71F33">
        <w:rPr>
          <w:rStyle w:val="Hyperlnk"/>
        </w:rPr>
        <w:t>Jordbruk och fiske (del 8)</w:t>
      </w:r>
      <w:r w:rsidRPr="00A71F33">
        <w:rPr>
          <w:webHidden/>
        </w:rPr>
        <w:tab/>
      </w:r>
      <w:r w:rsidR="00E20CAD" w:rsidRPr="00A71F33">
        <w:rPr>
          <w:webHidden/>
        </w:rPr>
        <w:t>8</w:t>
      </w:r>
    </w:p>
    <w:p w:rsidR="00492CC1" w:rsidRPr="00A71F33" w:rsidRDefault="00492CC1">
      <w:pPr>
        <w:pStyle w:val="Innehll3"/>
        <w:rPr>
          <w:sz w:val="24"/>
          <w:szCs w:val="24"/>
        </w:rPr>
      </w:pPr>
      <w:r w:rsidRPr="00A71F33">
        <w:rPr>
          <w:rStyle w:val="Hyperlnk"/>
        </w:rPr>
        <w:t>Miljö (del 9)</w:t>
      </w:r>
      <w:r w:rsidRPr="00A71F33">
        <w:rPr>
          <w:webHidden/>
        </w:rPr>
        <w:tab/>
      </w:r>
      <w:r w:rsidR="00E20CAD" w:rsidRPr="00A71F33">
        <w:rPr>
          <w:webHidden/>
        </w:rPr>
        <w:t>8</w:t>
      </w:r>
    </w:p>
    <w:p w:rsidR="00492CC1" w:rsidRPr="00A71F33" w:rsidRDefault="00492CC1">
      <w:pPr>
        <w:pStyle w:val="Innehll3"/>
        <w:rPr>
          <w:sz w:val="24"/>
          <w:szCs w:val="24"/>
        </w:rPr>
      </w:pPr>
      <w:r w:rsidRPr="00A71F33">
        <w:rPr>
          <w:rStyle w:val="Hyperlnk"/>
        </w:rPr>
        <w:t>Utbildning, ungdom och kultur (del 10)</w:t>
      </w:r>
      <w:r w:rsidRPr="00A71F33">
        <w:rPr>
          <w:webHidden/>
        </w:rPr>
        <w:tab/>
      </w:r>
      <w:r w:rsidR="00E20CAD" w:rsidRPr="00A71F33">
        <w:rPr>
          <w:webHidden/>
        </w:rPr>
        <w:t>8</w:t>
      </w:r>
    </w:p>
    <w:p w:rsidR="00492CC1" w:rsidRPr="00A71F33" w:rsidRDefault="00492CC1">
      <w:pPr>
        <w:pStyle w:val="Innehll3"/>
        <w:rPr>
          <w:sz w:val="24"/>
          <w:szCs w:val="24"/>
        </w:rPr>
      </w:pPr>
      <w:r w:rsidRPr="00A71F33">
        <w:rPr>
          <w:rStyle w:val="Hyperlnk"/>
        </w:rPr>
        <w:t>EU:s institutioner (del 11)</w:t>
      </w:r>
      <w:r w:rsidRPr="00A71F33">
        <w:rPr>
          <w:webHidden/>
        </w:rPr>
        <w:tab/>
      </w:r>
      <w:r w:rsidR="00E20CAD" w:rsidRPr="00A71F33">
        <w:rPr>
          <w:webHidden/>
        </w:rPr>
        <w:t>8</w:t>
      </w:r>
    </w:p>
    <w:p w:rsidR="00F418A5" w:rsidRPr="00A71F33" w:rsidRDefault="00F418A5" w:rsidP="0063583E"/>
    <w:p w:rsidR="00F418A5" w:rsidRPr="00A71F33" w:rsidRDefault="00F418A5" w:rsidP="00F418A5">
      <w:pPr>
        <w:pStyle w:val="Tryckort"/>
        <w:framePr w:wrap="around"/>
        <w:jc w:val="right"/>
      </w:pPr>
      <w:r w:rsidRPr="00A71F33">
        <w:t>Elanders Gotab, Stockholm  2005</w:t>
      </w:r>
    </w:p>
    <w:p w:rsidR="0063583E" w:rsidRPr="00A71F33" w:rsidRDefault="0063583E" w:rsidP="00F418A5">
      <w:pPr>
        <w:pStyle w:val="Normaltindrag"/>
      </w:pPr>
    </w:p>
    <w:sectPr w:rsidR="0063583E" w:rsidRPr="00A71F3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51A2" w:rsidRPr="00A71F33" w:rsidRDefault="000151A2">
      <w:r w:rsidRPr="00A71F33">
        <w:separator/>
      </w:r>
    </w:p>
  </w:endnote>
  <w:endnote w:type="continuationSeparator" w:id="0">
    <w:p w:rsidR="000151A2" w:rsidRPr="00A71F33" w:rsidRDefault="000151A2">
      <w:r w:rsidRPr="00A71F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C39" w:rsidRPr="00A71F33" w:rsidRDefault="00144C39">
    <w:pPr>
      <w:pStyle w:val="SidfotV"/>
      <w:framePr w:w="8732" w:h="284" w:hRule="exact" w:hSpace="0" w:vSpace="0" w:wrap="around" w:xAlign="inside" w:y="13042" w:anchorLock="0"/>
    </w:pPr>
    <w:r w:rsidRPr="00A71F33">
      <w:fldChar w:fldCharType="begin" w:fldLock="1"/>
    </w:r>
    <w:r w:rsidRPr="00A71F33">
      <w:instrText xml:space="preserve"> P</w:instrText>
    </w:r>
    <w:r w:rsidRPr="00A71F33">
      <w:instrText>A</w:instrText>
    </w:r>
    <w:r w:rsidRPr="00A71F33">
      <w:instrText xml:space="preserve">GE </w:instrText>
    </w:r>
    <w:r w:rsidRPr="00A71F33">
      <w:fldChar w:fldCharType="separate"/>
    </w:r>
    <w:r w:rsidR="0087621D" w:rsidRPr="00A71F33">
      <w:t>10</w:t>
    </w:r>
    <w:r w:rsidRPr="00A71F33">
      <w:fldChar w:fldCharType="end"/>
    </w:r>
  </w:p>
  <w:p w:rsidR="00144C39" w:rsidRPr="00A71F33" w:rsidRDefault="00144C3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C39" w:rsidRPr="00A71F33" w:rsidRDefault="00144C39">
    <w:pPr>
      <w:pStyle w:val="SidfotH"/>
      <w:framePr w:w="8732" w:h="284" w:hRule="exact" w:hSpace="0" w:vSpace="0" w:wrap="around" w:xAlign="inside" w:y="13042" w:anchorLock="0"/>
    </w:pPr>
    <w:r w:rsidRPr="00A71F33">
      <w:fldChar w:fldCharType="begin" w:fldLock="1"/>
    </w:r>
    <w:r w:rsidRPr="00A71F33">
      <w:instrText xml:space="preserve"> P</w:instrText>
    </w:r>
    <w:r w:rsidRPr="00A71F33">
      <w:instrText>A</w:instrText>
    </w:r>
    <w:r w:rsidRPr="00A71F33">
      <w:instrText xml:space="preserve">GE </w:instrText>
    </w:r>
    <w:r w:rsidRPr="00A71F33">
      <w:fldChar w:fldCharType="separate"/>
    </w:r>
    <w:r w:rsidR="0087621D" w:rsidRPr="00A71F33">
      <w:t>11</w:t>
    </w:r>
    <w:r w:rsidRPr="00A71F33">
      <w:fldChar w:fldCharType="end"/>
    </w:r>
  </w:p>
  <w:p w:rsidR="00144C39" w:rsidRPr="00A71F33" w:rsidRDefault="00144C3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C39" w:rsidRPr="00A71F33" w:rsidRDefault="00144C39">
    <w:pPr>
      <w:pStyle w:val="SidfotV"/>
      <w:framePr w:w="8732" w:h="284" w:hRule="exact" w:hSpace="0" w:vSpace="0" w:wrap="around" w:xAlign="inside" w:y="13042" w:anchorLock="0"/>
    </w:pPr>
    <w:r w:rsidRPr="00A71F33">
      <w:fldChar w:fldCharType="begin" w:fldLock="1"/>
    </w:r>
    <w:r w:rsidRPr="00A71F33">
      <w:instrText xml:space="preserve"> if </w:instrText>
    </w:r>
    <w:r w:rsidRPr="00A71F33">
      <w:fldChar w:fldCharType="begin" w:fldLock="1"/>
    </w:r>
    <w:r w:rsidRPr="00A71F33">
      <w:instrText xml:space="preserve"> = </w:instrText>
    </w:r>
    <w:r w:rsidRPr="00A71F33">
      <w:fldChar w:fldCharType="begin" w:fldLock="1"/>
    </w:r>
    <w:r w:rsidRPr="00A71F33">
      <w:instrText xml:space="preserve"> = </w:instrText>
    </w:r>
    <w:r w:rsidRPr="00A71F33">
      <w:fldChar w:fldCharType="begin" w:fldLock="1"/>
    </w:r>
    <w:r w:rsidRPr="00A71F33">
      <w:instrText xml:space="preserve"> page</w:instrText>
    </w:r>
    <w:r w:rsidRPr="00A71F33">
      <w:fldChar w:fldCharType="separate"/>
    </w:r>
    <w:r w:rsidR="00A71F33">
      <w:rPr>
        <w:noProof/>
      </w:rPr>
      <w:instrText>1</w:instrText>
    </w:r>
    <w:r w:rsidRPr="00A71F33">
      <w:fldChar w:fldCharType="end"/>
    </w:r>
    <w:r w:rsidRPr="00A71F33">
      <w:instrText xml:space="preserve">/2 </w:instrText>
    </w:r>
    <w:r w:rsidRPr="00A71F33">
      <w:fldChar w:fldCharType="separate"/>
    </w:r>
    <w:r w:rsidR="00A71F33">
      <w:rPr>
        <w:noProof/>
      </w:rPr>
      <w:instrText>0,5</w:instrText>
    </w:r>
    <w:r w:rsidRPr="00A71F33">
      <w:fldChar w:fldCharType="end"/>
    </w:r>
    <w:r w:rsidRPr="00A71F33">
      <w:instrText xml:space="preserve"> - </w:instrText>
    </w:r>
    <w:r w:rsidRPr="00A71F33">
      <w:fldChar w:fldCharType="begin" w:fldLock="1"/>
    </w:r>
    <w:r w:rsidRPr="00A71F33">
      <w:instrText xml:space="preserve"> = int(</w:instrText>
    </w:r>
    <w:r w:rsidRPr="00A71F33">
      <w:fldChar w:fldCharType="begin" w:fldLock="1"/>
    </w:r>
    <w:r w:rsidRPr="00A71F33">
      <w:instrText xml:space="preserve"> page</w:instrText>
    </w:r>
    <w:r w:rsidRPr="00A71F33">
      <w:fldChar w:fldCharType="separate"/>
    </w:r>
    <w:r w:rsidR="00A71F33">
      <w:rPr>
        <w:noProof/>
      </w:rPr>
      <w:instrText>1</w:instrText>
    </w:r>
    <w:r w:rsidRPr="00A71F33">
      <w:fldChar w:fldCharType="end"/>
    </w:r>
    <w:r w:rsidRPr="00A71F33">
      <w:instrText xml:space="preserve">/2) </w:instrText>
    </w:r>
    <w:r w:rsidRPr="00A71F33">
      <w:fldChar w:fldCharType="separate"/>
    </w:r>
    <w:r w:rsidR="00A71F33">
      <w:rPr>
        <w:noProof/>
      </w:rPr>
      <w:instrText>0</w:instrText>
    </w:r>
    <w:r w:rsidRPr="00A71F33">
      <w:fldChar w:fldCharType="end"/>
    </w:r>
    <w:r w:rsidRPr="00A71F33">
      <w:fldChar w:fldCharType="separate"/>
    </w:r>
    <w:r w:rsidR="00A71F33">
      <w:rPr>
        <w:noProof/>
      </w:rPr>
      <w:instrText>0,5</w:instrText>
    </w:r>
    <w:r w:rsidRPr="00A71F33">
      <w:fldChar w:fldCharType="end"/>
    </w:r>
    <w:r w:rsidRPr="00A71F33">
      <w:instrText xml:space="preserve"> = 0 "</w:instrText>
    </w:r>
    <w:r w:rsidRPr="00A71F33">
      <w:fldChar w:fldCharType="begin" w:fldLock="1"/>
    </w:r>
    <w:r w:rsidRPr="00A71F33">
      <w:instrText xml:space="preserve"> P</w:instrText>
    </w:r>
    <w:r w:rsidRPr="00A71F33">
      <w:instrText>A</w:instrText>
    </w:r>
    <w:r w:rsidRPr="00A71F33">
      <w:instrText xml:space="preserve">GE </w:instrText>
    </w:r>
    <w:r w:rsidRPr="00A71F33">
      <w:fldChar w:fldCharType="separate"/>
    </w:r>
    <w:r w:rsidRPr="00A71F33">
      <w:instrText>4</w:instrText>
    </w:r>
    <w:r w:rsidRPr="00A71F33">
      <w:fldChar w:fldCharType="end"/>
    </w:r>
  </w:p>
  <w:p w:rsidR="00144C39" w:rsidRPr="00A71F33" w:rsidRDefault="00144C39">
    <w:pPr>
      <w:pStyle w:val="SidfotH"/>
      <w:framePr w:w="8732" w:h="284" w:hRule="exact" w:hSpace="0" w:vSpace="0" w:wrap="around" w:xAlign="inside" w:y="13042" w:anchorLock="0"/>
    </w:pPr>
    <w:r w:rsidRPr="00A71F33">
      <w:instrText>""</w:instrText>
    </w:r>
    <w:r w:rsidRPr="00A71F33">
      <w:fldChar w:fldCharType="begin" w:fldLock="1"/>
    </w:r>
    <w:r w:rsidRPr="00A71F33">
      <w:instrText xml:space="preserve"> P</w:instrText>
    </w:r>
    <w:r w:rsidRPr="00A71F33">
      <w:instrText>A</w:instrText>
    </w:r>
    <w:r w:rsidRPr="00A71F33">
      <w:instrText xml:space="preserve">GE </w:instrText>
    </w:r>
    <w:r w:rsidRPr="00A71F33">
      <w:fldChar w:fldCharType="separate"/>
    </w:r>
    <w:r w:rsidR="00A71F33">
      <w:rPr>
        <w:noProof/>
      </w:rPr>
      <w:instrText>1</w:instrText>
    </w:r>
    <w:r w:rsidRPr="00A71F33">
      <w:fldChar w:fldCharType="end"/>
    </w:r>
    <w:r w:rsidRPr="00A71F33">
      <w:instrText>"</w:instrText>
    </w:r>
    <w:r w:rsidR="0087621D" w:rsidRPr="00A71F33">
      <w:fldChar w:fldCharType="separate"/>
    </w:r>
    <w:r w:rsidR="00A71F33">
      <w:rPr>
        <w:noProof/>
      </w:rPr>
      <w:t>1</w:t>
    </w:r>
    <w:r w:rsidRPr="00A71F33">
      <w:fldChar w:fldCharType="end"/>
    </w:r>
  </w:p>
  <w:p w:rsidR="00144C39" w:rsidRPr="00A71F33" w:rsidRDefault="00144C3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C39" w:rsidRPr="00A71F33" w:rsidRDefault="00144C39">
    <w:pPr>
      <w:pStyle w:val="SidfotV"/>
      <w:framePr w:w="8732" w:h="284" w:hRule="exact" w:hSpace="0" w:vSpace="0" w:wrap="around" w:xAlign="inside" w:y="13042" w:anchorLock="0"/>
    </w:pPr>
    <w:r w:rsidRPr="00A71F33">
      <w:fldChar w:fldCharType="begin" w:fldLock="1"/>
    </w:r>
    <w:r w:rsidRPr="00A71F33">
      <w:instrText xml:space="preserve"> P</w:instrText>
    </w:r>
    <w:r w:rsidRPr="00A71F33">
      <w:instrText>A</w:instrText>
    </w:r>
    <w:r w:rsidRPr="00A71F33">
      <w:instrText xml:space="preserve">GE </w:instrText>
    </w:r>
    <w:r w:rsidRPr="00A71F33">
      <w:fldChar w:fldCharType="separate"/>
    </w:r>
    <w:r w:rsidRPr="00A71F33">
      <w:t>11</w:t>
    </w:r>
    <w:r w:rsidRPr="00A71F33">
      <w:fldChar w:fldCharType="end"/>
    </w:r>
  </w:p>
  <w:p w:rsidR="00144C39" w:rsidRPr="00A71F33" w:rsidRDefault="00144C39">
    <w:pPr>
      <w:pStyle w:val="Sidfot"/>
    </w:pPr>
  </w:p>
  <w:p w:rsidR="00144C39" w:rsidRPr="00A71F33" w:rsidRDefault="00144C3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C39" w:rsidRPr="00A71F33" w:rsidRDefault="00144C39">
    <w:pPr>
      <w:pStyle w:val="SidfotH"/>
      <w:framePr w:w="8732" w:h="284" w:hRule="exact" w:hSpace="0" w:vSpace="0" w:wrap="around" w:xAlign="inside" w:y="13042" w:anchorLock="0"/>
    </w:pPr>
    <w:r w:rsidRPr="00A71F33">
      <w:fldChar w:fldCharType="begin" w:fldLock="1"/>
    </w:r>
    <w:r w:rsidRPr="00A71F33">
      <w:instrText xml:space="preserve"> P</w:instrText>
    </w:r>
    <w:r w:rsidRPr="00A71F33">
      <w:instrText>A</w:instrText>
    </w:r>
    <w:r w:rsidRPr="00A71F33">
      <w:instrText xml:space="preserve">GE </w:instrText>
    </w:r>
    <w:r w:rsidRPr="00A71F33">
      <w:fldChar w:fldCharType="separate"/>
    </w:r>
    <w:r w:rsidRPr="00A71F33">
      <w:t>11</w:t>
    </w:r>
    <w:r w:rsidRPr="00A71F33">
      <w:fldChar w:fldCharType="end"/>
    </w:r>
  </w:p>
  <w:p w:rsidR="00144C39" w:rsidRPr="00A71F33" w:rsidRDefault="00144C39">
    <w:pPr>
      <w:pStyle w:val="Sidfot"/>
    </w:pPr>
  </w:p>
  <w:p w:rsidR="00144C39" w:rsidRPr="00A71F33" w:rsidRDefault="00144C3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C39" w:rsidRPr="00A71F33" w:rsidRDefault="00144C39">
    <w:pPr>
      <w:pStyle w:val="SidfotV"/>
      <w:framePr w:w="8732" w:h="284" w:hRule="exact" w:hSpace="0" w:vSpace="0" w:wrap="around" w:xAlign="inside" w:y="13042" w:anchorLock="0"/>
    </w:pPr>
    <w:r w:rsidRPr="00A71F33">
      <w:fldChar w:fldCharType="begin" w:fldLock="1"/>
    </w:r>
    <w:r w:rsidRPr="00A71F33">
      <w:instrText xml:space="preserve"> if </w:instrText>
    </w:r>
    <w:r w:rsidRPr="00A71F33">
      <w:fldChar w:fldCharType="begin" w:fldLock="1"/>
    </w:r>
    <w:r w:rsidRPr="00A71F33">
      <w:instrText xml:space="preserve"> = </w:instrText>
    </w:r>
    <w:r w:rsidRPr="00A71F33">
      <w:fldChar w:fldCharType="begin" w:fldLock="1"/>
    </w:r>
    <w:r w:rsidRPr="00A71F33">
      <w:instrText xml:space="preserve"> = </w:instrText>
    </w:r>
    <w:r w:rsidRPr="00A71F33">
      <w:fldChar w:fldCharType="begin" w:fldLock="1"/>
    </w:r>
    <w:r w:rsidRPr="00A71F33">
      <w:instrText xml:space="preserve"> page</w:instrText>
    </w:r>
    <w:r w:rsidRPr="00A71F33">
      <w:fldChar w:fldCharType="separate"/>
    </w:r>
    <w:r w:rsidR="0087621D" w:rsidRPr="00A71F33">
      <w:instrText>12</w:instrText>
    </w:r>
    <w:r w:rsidRPr="00A71F33">
      <w:fldChar w:fldCharType="end"/>
    </w:r>
    <w:r w:rsidRPr="00A71F33">
      <w:instrText xml:space="preserve">/2 </w:instrText>
    </w:r>
    <w:r w:rsidRPr="00A71F33">
      <w:fldChar w:fldCharType="separate"/>
    </w:r>
    <w:r w:rsidR="0087621D" w:rsidRPr="00A71F33">
      <w:instrText>6</w:instrText>
    </w:r>
    <w:r w:rsidRPr="00A71F33">
      <w:fldChar w:fldCharType="end"/>
    </w:r>
    <w:r w:rsidRPr="00A71F33">
      <w:instrText xml:space="preserve"> - </w:instrText>
    </w:r>
    <w:r w:rsidRPr="00A71F33">
      <w:fldChar w:fldCharType="begin" w:fldLock="1"/>
    </w:r>
    <w:r w:rsidRPr="00A71F33">
      <w:instrText xml:space="preserve"> = int(</w:instrText>
    </w:r>
    <w:r w:rsidRPr="00A71F33">
      <w:fldChar w:fldCharType="begin" w:fldLock="1"/>
    </w:r>
    <w:r w:rsidRPr="00A71F33">
      <w:instrText xml:space="preserve"> page</w:instrText>
    </w:r>
    <w:r w:rsidRPr="00A71F33">
      <w:fldChar w:fldCharType="separate"/>
    </w:r>
    <w:r w:rsidR="0087621D" w:rsidRPr="00A71F33">
      <w:instrText>12</w:instrText>
    </w:r>
    <w:r w:rsidRPr="00A71F33">
      <w:fldChar w:fldCharType="end"/>
    </w:r>
    <w:r w:rsidRPr="00A71F33">
      <w:instrText xml:space="preserve">/2) </w:instrText>
    </w:r>
    <w:r w:rsidRPr="00A71F33">
      <w:fldChar w:fldCharType="separate"/>
    </w:r>
    <w:r w:rsidR="0087621D" w:rsidRPr="00A71F33">
      <w:instrText>6</w:instrText>
    </w:r>
    <w:r w:rsidRPr="00A71F33">
      <w:fldChar w:fldCharType="end"/>
    </w:r>
    <w:r w:rsidRPr="00A71F33">
      <w:fldChar w:fldCharType="separate"/>
    </w:r>
    <w:r w:rsidR="0087621D" w:rsidRPr="00A71F33">
      <w:instrText>0</w:instrText>
    </w:r>
    <w:r w:rsidRPr="00A71F33">
      <w:fldChar w:fldCharType="end"/>
    </w:r>
    <w:r w:rsidRPr="00A71F33">
      <w:instrText xml:space="preserve"> = 0 "</w:instrText>
    </w:r>
    <w:r w:rsidRPr="00A71F33">
      <w:fldChar w:fldCharType="begin" w:fldLock="1"/>
    </w:r>
    <w:r w:rsidRPr="00A71F33">
      <w:instrText xml:space="preserve"> P</w:instrText>
    </w:r>
    <w:r w:rsidRPr="00A71F33">
      <w:instrText>A</w:instrText>
    </w:r>
    <w:r w:rsidRPr="00A71F33">
      <w:instrText xml:space="preserve">GE </w:instrText>
    </w:r>
    <w:r w:rsidRPr="00A71F33">
      <w:fldChar w:fldCharType="separate"/>
    </w:r>
    <w:r w:rsidR="0087621D" w:rsidRPr="00A71F33">
      <w:instrText>12</w:instrText>
    </w:r>
    <w:r w:rsidRPr="00A71F33">
      <w:fldChar w:fldCharType="end"/>
    </w:r>
  </w:p>
  <w:p w:rsidR="0087621D" w:rsidRPr="00A71F33" w:rsidRDefault="00144C39">
    <w:pPr>
      <w:pStyle w:val="SidfotV"/>
      <w:framePr w:w="8732" w:h="284" w:hRule="exact" w:hSpace="0" w:vSpace="0" w:wrap="around" w:xAlign="inside" w:y="13042" w:anchorLock="0"/>
    </w:pPr>
    <w:r w:rsidRPr="00A71F33">
      <w:instrText>""</w:instrText>
    </w:r>
    <w:r w:rsidRPr="00A71F33">
      <w:fldChar w:fldCharType="begin" w:fldLock="1"/>
    </w:r>
    <w:r w:rsidRPr="00A71F33">
      <w:instrText xml:space="preserve"> P</w:instrText>
    </w:r>
    <w:r w:rsidRPr="00A71F33">
      <w:instrText>A</w:instrText>
    </w:r>
    <w:r w:rsidRPr="00A71F33">
      <w:instrText xml:space="preserve">GE </w:instrText>
    </w:r>
    <w:r w:rsidRPr="00A71F33">
      <w:fldChar w:fldCharType="separate"/>
    </w:r>
    <w:r w:rsidRPr="00A71F33">
      <w:instrText>11</w:instrText>
    </w:r>
    <w:r w:rsidRPr="00A71F33">
      <w:fldChar w:fldCharType="end"/>
    </w:r>
    <w:r w:rsidRPr="00A71F33">
      <w:instrText>"</w:instrText>
    </w:r>
    <w:r w:rsidR="0087621D" w:rsidRPr="00A71F33">
      <w:fldChar w:fldCharType="separate"/>
    </w:r>
    <w:r w:rsidR="0087621D" w:rsidRPr="00A71F33">
      <w:t>12</w:t>
    </w:r>
  </w:p>
  <w:p w:rsidR="00144C39" w:rsidRPr="00A71F33" w:rsidRDefault="00144C39">
    <w:pPr>
      <w:pStyle w:val="SidfotH"/>
      <w:framePr w:w="8732" w:h="284" w:hRule="exact" w:hSpace="0" w:vSpace="0" w:wrap="around" w:xAlign="inside" w:y="13042" w:anchorLock="0"/>
    </w:pPr>
    <w:r w:rsidRPr="00A71F33">
      <w:fldChar w:fldCharType="end"/>
    </w:r>
  </w:p>
  <w:p w:rsidR="00144C39" w:rsidRPr="00A71F33" w:rsidRDefault="00144C39">
    <w:pPr>
      <w:pStyle w:val="Sidfot"/>
    </w:pPr>
  </w:p>
  <w:p w:rsidR="00144C39" w:rsidRPr="00A71F33" w:rsidRDefault="00144C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51A2" w:rsidRPr="00A71F33" w:rsidRDefault="000151A2">
      <w:r w:rsidRPr="00A71F33">
        <w:separator/>
      </w:r>
    </w:p>
  </w:footnote>
  <w:footnote w:type="continuationSeparator" w:id="0">
    <w:p w:rsidR="000151A2" w:rsidRPr="00A71F33" w:rsidRDefault="000151A2">
      <w:r w:rsidRPr="00A71F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C39" w:rsidRPr="00A71F33" w:rsidRDefault="00144C39">
    <w:pPr>
      <w:pStyle w:val="SidhuvudKantJmn"/>
      <w:framePr w:w="8732" w:h="567" w:hRule="exact" w:vSpace="0" w:wrap="around" w:vAnchor="page" w:y="341" w:anchorLock="0"/>
    </w:pPr>
    <w:r w:rsidRPr="00A71F33">
      <w:rPr>
        <w:rStyle w:val="SidhuvudUtskott"/>
      </w:rPr>
      <w:fldChar w:fldCharType="begin" w:fldLock="1"/>
    </w:r>
    <w:r w:rsidRPr="00A71F33">
      <w:rPr>
        <w:rStyle w:val="SidhuvudUtskott"/>
      </w:rPr>
      <w:instrText xml:space="preserve"> DOCPROPERTY BetänkandeÅr</w:instrText>
    </w:r>
    <w:r w:rsidRPr="00A71F33">
      <w:rPr>
        <w:rStyle w:val="SidhuvudUtskott"/>
      </w:rPr>
      <w:fldChar w:fldCharType="separate"/>
    </w:r>
    <w:r w:rsidRPr="00A71F33">
      <w:rPr>
        <w:rStyle w:val="SidhuvudUtskott"/>
      </w:rPr>
      <w:t>2004/05</w:t>
    </w:r>
    <w:r w:rsidRPr="00A71F33">
      <w:rPr>
        <w:rStyle w:val="SidhuvudUtskott"/>
      </w:rPr>
      <w:fldChar w:fldCharType="end"/>
    </w:r>
    <w:r w:rsidRPr="00A71F33">
      <w:rPr>
        <w:rStyle w:val="SidhuvudUtskott"/>
      </w:rPr>
      <w:t>:</w:t>
    </w:r>
    <w:r w:rsidRPr="00A71F33">
      <w:rPr>
        <w:rStyle w:val="SidhuvudUtskott"/>
      </w:rPr>
      <w:fldChar w:fldCharType="begin" w:fldLock="1"/>
    </w:r>
    <w:r w:rsidRPr="00A71F33">
      <w:rPr>
        <w:rStyle w:val="SidhuvudUtskott"/>
      </w:rPr>
      <w:instrText xml:space="preserve"> DOCPROPERTY Utskott</w:instrText>
    </w:r>
    <w:r w:rsidRPr="00A71F33">
      <w:rPr>
        <w:rStyle w:val="SidhuvudUtskott"/>
      </w:rPr>
      <w:fldChar w:fldCharType="separate"/>
    </w:r>
    <w:r w:rsidRPr="00A71F33">
      <w:rPr>
        <w:rStyle w:val="SidhuvudUtskott"/>
      </w:rPr>
      <w:t>EUN</w:t>
    </w:r>
    <w:r w:rsidRPr="00A71F33">
      <w:rPr>
        <w:rStyle w:val="SidhuvudUtskott"/>
      </w:rPr>
      <w:fldChar w:fldCharType="end"/>
    </w:r>
    <w:r w:rsidRPr="00A71F33">
      <w:rPr>
        <w:rStyle w:val="SidhuvudUtskott"/>
      </w:rPr>
      <w:fldChar w:fldCharType="begin" w:fldLock="1"/>
    </w:r>
    <w:r w:rsidRPr="00A71F33">
      <w:rPr>
        <w:rStyle w:val="SidhuvudUtskott"/>
      </w:rPr>
      <w:instrText xml:space="preserve"> DOCPROPERTY BetänkandeNr</w:instrText>
    </w:r>
    <w:r w:rsidRPr="00A71F33">
      <w:rPr>
        <w:rStyle w:val="SidhuvudUtskott"/>
      </w:rPr>
      <w:fldChar w:fldCharType="separate"/>
    </w:r>
    <w:r w:rsidRPr="00A71F33">
      <w:rPr>
        <w:rStyle w:val="SidhuvudUtskott"/>
      </w:rPr>
      <w:t>1y</w:t>
    </w:r>
    <w:r w:rsidRPr="00A71F33">
      <w:rPr>
        <w:rStyle w:val="SidhuvudUtskott"/>
      </w:rPr>
      <w:fldChar w:fldCharType="end"/>
    </w:r>
    <w:r w:rsidRPr="00A71F33">
      <w:t xml:space="preserve">     </w:t>
    </w:r>
    <w:r w:rsidRPr="00A71F33">
      <w:rPr>
        <w:rStyle w:val="SidhuvudBilaga"/>
      </w:rPr>
      <w:t xml:space="preserve"> </w:t>
    </w:r>
  </w:p>
  <w:p w:rsidR="00144C39" w:rsidRPr="00A71F33" w:rsidRDefault="00144C39">
    <w:pPr>
      <w:pStyle w:val="SidhuvudKantJmn"/>
      <w:framePr w:w="8732" w:h="567" w:hRule="exact" w:vSpace="0" w:wrap="around" w:vAnchor="page" w:y="341" w:anchorLock="0"/>
    </w:pPr>
    <w:r w:rsidRPr="00A71F33">
      <w:rPr>
        <w:rStyle w:val="SidhuvudUtskott"/>
      </w:rPr>
      <w:fldChar w:fldCharType="begin" w:fldLock="1"/>
    </w:r>
    <w:r w:rsidRPr="00A71F33">
      <w:rPr>
        <w:rStyle w:val="SidhuvudUtskott"/>
      </w:rPr>
      <w:instrText xml:space="preserve"> DOCPROPERTY Status</w:instrText>
    </w:r>
    <w:r w:rsidRPr="00A71F33">
      <w:rPr>
        <w:rStyle w:val="SidhuvudUtskott"/>
      </w:rPr>
      <w:fldChar w:fldCharType="end"/>
    </w:r>
    <w:r w:rsidRPr="00A71F33">
      <w:rPr>
        <w:rStyle w:val="SidhuvudUtskott"/>
      </w:rPr>
      <w:fldChar w:fldCharType="begin" w:fldLock="1"/>
    </w:r>
    <w:r w:rsidRPr="00A71F33">
      <w:rPr>
        <w:rStyle w:val="SidhuvudUtskott"/>
      </w:rPr>
      <w:instrText xml:space="preserve"> if </w:instrText>
    </w:r>
    <w:r w:rsidRPr="00A71F33">
      <w:rPr>
        <w:rStyle w:val="SidhuvudUtskott"/>
      </w:rPr>
      <w:fldChar w:fldCharType="begin" w:fldLock="1"/>
    </w:r>
    <w:r w:rsidRPr="00A71F33">
      <w:rPr>
        <w:rStyle w:val="SidhuvudUtskott"/>
      </w:rPr>
      <w:instrText xml:space="preserve"> DOCPROPERTY "UtkastDatum"</w:instrText>
    </w:r>
    <w:r w:rsidRPr="00A71F33">
      <w:rPr>
        <w:rStyle w:val="SidhuvudUtskott"/>
      </w:rPr>
      <w:fldChar w:fldCharType="separate"/>
    </w:r>
    <w:r w:rsidRPr="00A71F33">
      <w:rPr>
        <w:rStyle w:val="SidhuvudUtskott"/>
      </w:rPr>
      <w:instrText>Nej</w:instrText>
    </w:r>
    <w:r w:rsidRPr="00A71F33">
      <w:rPr>
        <w:rStyle w:val="SidhuvudUtskott"/>
      </w:rPr>
      <w:fldChar w:fldCharType="end"/>
    </w:r>
    <w:r w:rsidRPr="00A71F33">
      <w:rPr>
        <w:rStyle w:val="SidhuvudUtskott"/>
      </w:rPr>
      <w:instrText xml:space="preserve"> = "Ja" "    </w:instrText>
    </w:r>
    <w:r w:rsidRPr="00A71F33">
      <w:rPr>
        <w:rStyle w:val="SidhuvudUtskott"/>
      </w:rPr>
      <w:fldChar w:fldCharType="begin" w:fldLock="1"/>
    </w:r>
    <w:r w:rsidRPr="00A71F33">
      <w:rPr>
        <w:rStyle w:val="SidhuvudUtskott"/>
      </w:rPr>
      <w:instrText xml:space="preserve"> PRINTDATE \@ "yyyy-MM-dd HH.mm" </w:instrText>
    </w:r>
    <w:r w:rsidRPr="00A71F33">
      <w:rPr>
        <w:rStyle w:val="SidhuvudUtskott"/>
      </w:rPr>
      <w:fldChar w:fldCharType="separate"/>
    </w:r>
    <w:r w:rsidRPr="00A71F33">
      <w:rPr>
        <w:rStyle w:val="SidhuvudUtskott"/>
      </w:rPr>
      <w:instrText>2000-08-11 16.42</w:instrText>
    </w:r>
    <w:r w:rsidRPr="00A71F33">
      <w:rPr>
        <w:rStyle w:val="SidhuvudUtskott"/>
      </w:rPr>
      <w:fldChar w:fldCharType="end"/>
    </w:r>
    <w:r w:rsidRPr="00A71F33">
      <w:rPr>
        <w:rStyle w:val="SidhuvudUtskott"/>
      </w:rPr>
      <w:instrText xml:space="preserve">" </w:instrText>
    </w:r>
    <w:r w:rsidRPr="00A71F33">
      <w:rPr>
        <w:rStyle w:val="SidhuvudUtskott"/>
      </w:rPr>
      <w:fldChar w:fldCharType="end"/>
    </w:r>
  </w:p>
  <w:p w:rsidR="00144C39" w:rsidRPr="00A71F33" w:rsidRDefault="00144C3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C39" w:rsidRPr="00A71F33" w:rsidRDefault="00144C39">
    <w:pPr>
      <w:pStyle w:val="SidhuvudKantUdda"/>
      <w:framePr w:w="8732" w:h="567" w:hRule="exact" w:vSpace="0" w:wrap="around" w:vAnchor="page" w:y="341" w:anchorLock="0"/>
    </w:pPr>
    <w:r w:rsidRPr="00A71F33">
      <w:rPr>
        <w:rStyle w:val="SidhuvudBilaga"/>
      </w:rPr>
      <w:t xml:space="preserve"> </w:t>
    </w:r>
    <w:r w:rsidRPr="00A71F33">
      <w:t xml:space="preserve">     </w:t>
    </w:r>
    <w:r w:rsidRPr="00A71F33">
      <w:rPr>
        <w:rStyle w:val="SidhuvudUtskott"/>
      </w:rPr>
      <w:t>2004/05:EUN1y</w:t>
    </w:r>
  </w:p>
  <w:p w:rsidR="00144C39" w:rsidRPr="00A71F33" w:rsidRDefault="00144C39">
    <w:pPr>
      <w:pStyle w:val="SidhuvudKantUdda"/>
      <w:framePr w:w="8732" w:h="567" w:hRule="exact" w:vSpace="0" w:wrap="around" w:vAnchor="page" w:y="341" w:anchorLock="0"/>
    </w:pPr>
  </w:p>
  <w:p w:rsidR="00144C39" w:rsidRPr="00A71F33" w:rsidRDefault="00144C3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C39" w:rsidRPr="00A71F33" w:rsidRDefault="00144C39">
    <w:pPr>
      <w:pStyle w:val="SidhuvudKantJmn"/>
      <w:framePr w:w="8732" w:h="567" w:hRule="exact" w:vSpace="0" w:wrap="around" w:vAnchor="page" w:y="341" w:anchorLock="0"/>
    </w:pPr>
    <w:r w:rsidRPr="00A71F33">
      <w:fldChar w:fldCharType="begin" w:fldLock="1"/>
    </w:r>
    <w:r w:rsidRPr="00A71F33">
      <w:instrText xml:space="preserve"> if </w:instrText>
    </w:r>
    <w:r w:rsidRPr="00A71F33">
      <w:fldChar w:fldCharType="begin" w:fldLock="1"/>
    </w:r>
    <w:r w:rsidRPr="00A71F33">
      <w:instrText xml:space="preserve"> page</w:instrText>
    </w:r>
    <w:r w:rsidRPr="00A71F33">
      <w:fldChar w:fldCharType="separate"/>
    </w:r>
    <w:r w:rsidR="00A71F33">
      <w:rPr>
        <w:noProof/>
      </w:rPr>
      <w:instrText>1</w:instrText>
    </w:r>
    <w:r w:rsidRPr="00A71F33">
      <w:fldChar w:fldCharType="end"/>
    </w:r>
    <w:r w:rsidRPr="00A71F33">
      <w:instrText xml:space="preserve"> &gt; 1 "</w:instrText>
    </w:r>
    <w:r w:rsidRPr="00A71F33">
      <w:fldChar w:fldCharType="begin" w:fldLock="1"/>
    </w:r>
    <w:r w:rsidRPr="00A71F33">
      <w:instrText xml:space="preserve"> if </w:instrText>
    </w:r>
    <w:r w:rsidRPr="00A71F33">
      <w:fldChar w:fldCharType="begin" w:fldLock="1"/>
    </w:r>
    <w:r w:rsidRPr="00A71F33">
      <w:instrText xml:space="preserve"> = </w:instrText>
    </w:r>
    <w:r w:rsidRPr="00A71F33">
      <w:fldChar w:fldCharType="begin" w:fldLock="1"/>
    </w:r>
    <w:r w:rsidRPr="00A71F33">
      <w:instrText xml:space="preserve"> = </w:instrText>
    </w:r>
    <w:r w:rsidRPr="00A71F33">
      <w:fldChar w:fldCharType="begin" w:fldLock="1"/>
    </w:r>
    <w:r w:rsidRPr="00A71F33">
      <w:instrText xml:space="preserve"> page</w:instrText>
    </w:r>
    <w:r w:rsidRPr="00A71F33">
      <w:fldChar w:fldCharType="separate"/>
    </w:r>
    <w:r w:rsidRPr="00A71F33">
      <w:instrText>11</w:instrText>
    </w:r>
    <w:r w:rsidRPr="00A71F33">
      <w:fldChar w:fldCharType="end"/>
    </w:r>
    <w:r w:rsidRPr="00A71F33">
      <w:instrText xml:space="preserve">/2 </w:instrText>
    </w:r>
    <w:r w:rsidRPr="00A71F33">
      <w:fldChar w:fldCharType="separate"/>
    </w:r>
    <w:r w:rsidRPr="00A71F33">
      <w:instrText>5,5</w:instrText>
    </w:r>
    <w:r w:rsidRPr="00A71F33">
      <w:fldChar w:fldCharType="end"/>
    </w:r>
    <w:r w:rsidRPr="00A71F33">
      <w:instrText xml:space="preserve"> - </w:instrText>
    </w:r>
    <w:r w:rsidRPr="00A71F33">
      <w:fldChar w:fldCharType="begin" w:fldLock="1"/>
    </w:r>
    <w:r w:rsidRPr="00A71F33">
      <w:instrText xml:space="preserve"> = int(</w:instrText>
    </w:r>
    <w:r w:rsidRPr="00A71F33">
      <w:fldChar w:fldCharType="begin" w:fldLock="1"/>
    </w:r>
    <w:r w:rsidRPr="00A71F33">
      <w:instrText xml:space="preserve"> page</w:instrText>
    </w:r>
    <w:r w:rsidRPr="00A71F33">
      <w:fldChar w:fldCharType="separate"/>
    </w:r>
    <w:r w:rsidRPr="00A71F33">
      <w:instrText>11</w:instrText>
    </w:r>
    <w:r w:rsidRPr="00A71F33">
      <w:fldChar w:fldCharType="end"/>
    </w:r>
    <w:r w:rsidRPr="00A71F33">
      <w:instrText xml:space="preserve">/2) </w:instrText>
    </w:r>
    <w:r w:rsidRPr="00A71F33">
      <w:fldChar w:fldCharType="separate"/>
    </w:r>
    <w:r w:rsidRPr="00A71F33">
      <w:instrText>5</w:instrText>
    </w:r>
    <w:r w:rsidRPr="00A71F33">
      <w:fldChar w:fldCharType="end"/>
    </w:r>
    <w:r w:rsidRPr="00A71F33">
      <w:fldChar w:fldCharType="separate"/>
    </w:r>
    <w:r w:rsidRPr="00A71F33">
      <w:instrText>0,5</w:instrText>
    </w:r>
    <w:r w:rsidRPr="00A71F33">
      <w:fldChar w:fldCharType="end"/>
    </w:r>
    <w:r w:rsidRPr="00A71F33">
      <w:instrText xml:space="preserve"> = 0 "</w:instrText>
    </w:r>
    <w:r w:rsidRPr="00A71F33">
      <w:rPr>
        <w:rStyle w:val="SidhuvudUtskott"/>
      </w:rPr>
      <w:fldChar w:fldCharType="begin" w:fldLock="1"/>
    </w:r>
    <w:r w:rsidRPr="00A71F33">
      <w:rPr>
        <w:rStyle w:val="SidhuvudUtskott"/>
      </w:rPr>
      <w:instrText xml:space="preserve"> DOCPROPERTY BetänkandeÅr</w:instrText>
    </w:r>
    <w:r w:rsidRPr="00A71F33">
      <w:rPr>
        <w:rStyle w:val="SidhuvudUtskott"/>
      </w:rPr>
      <w:fldChar w:fldCharType="separate"/>
    </w:r>
    <w:r w:rsidRPr="00A71F33">
      <w:rPr>
        <w:rStyle w:val="SidhuvudUtskott"/>
      </w:rPr>
      <w:instrText>2004/05</w:instrText>
    </w:r>
    <w:r w:rsidRPr="00A71F33">
      <w:rPr>
        <w:rStyle w:val="SidhuvudUtskott"/>
      </w:rPr>
      <w:fldChar w:fldCharType="end"/>
    </w:r>
    <w:r w:rsidRPr="00A71F33">
      <w:rPr>
        <w:rStyle w:val="SidhuvudUtskott"/>
      </w:rPr>
      <w:instrText>:</w:instrText>
    </w:r>
    <w:r w:rsidRPr="00A71F33">
      <w:rPr>
        <w:rStyle w:val="SidhuvudUtskott"/>
      </w:rPr>
      <w:fldChar w:fldCharType="begin" w:fldLock="1"/>
    </w:r>
    <w:r w:rsidRPr="00A71F33">
      <w:rPr>
        <w:rStyle w:val="SidhuvudUtskott"/>
      </w:rPr>
      <w:instrText xml:space="preserve"> DOCPR</w:instrText>
    </w:r>
    <w:r w:rsidRPr="00A71F33">
      <w:rPr>
        <w:rStyle w:val="SidhuvudUtskott"/>
      </w:rPr>
      <w:instrText>O</w:instrText>
    </w:r>
    <w:r w:rsidRPr="00A71F33">
      <w:rPr>
        <w:rStyle w:val="SidhuvudUtskott"/>
      </w:rPr>
      <w:instrText>PE</w:instrText>
    </w:r>
    <w:r w:rsidRPr="00A71F33">
      <w:rPr>
        <w:rStyle w:val="SidhuvudUtskott"/>
      </w:rPr>
      <w:instrText>R</w:instrText>
    </w:r>
    <w:r w:rsidRPr="00A71F33">
      <w:rPr>
        <w:rStyle w:val="SidhuvudUtskott"/>
      </w:rPr>
      <w:instrText>TY Utskott</w:instrText>
    </w:r>
    <w:r w:rsidRPr="00A71F33">
      <w:rPr>
        <w:rStyle w:val="SidhuvudUtskott"/>
      </w:rPr>
      <w:fldChar w:fldCharType="separate"/>
    </w:r>
    <w:r w:rsidRPr="00A71F33">
      <w:rPr>
        <w:rStyle w:val="SidhuvudUtskott"/>
      </w:rPr>
      <w:instrText>EUN</w:instrText>
    </w:r>
    <w:r w:rsidRPr="00A71F33">
      <w:rPr>
        <w:rStyle w:val="SidhuvudUtskott"/>
      </w:rPr>
      <w:fldChar w:fldCharType="end"/>
    </w:r>
    <w:r w:rsidRPr="00A71F33">
      <w:rPr>
        <w:rStyle w:val="SidhuvudUtskott"/>
      </w:rPr>
      <w:fldChar w:fldCharType="begin" w:fldLock="1"/>
    </w:r>
    <w:r w:rsidRPr="00A71F33">
      <w:rPr>
        <w:rStyle w:val="SidhuvudUtskott"/>
      </w:rPr>
      <w:instrText xml:space="preserve"> DOCPROPERTY BetänkandeNr</w:instrText>
    </w:r>
    <w:r w:rsidRPr="00A71F33">
      <w:rPr>
        <w:rStyle w:val="SidhuvudUtskott"/>
      </w:rPr>
      <w:fldChar w:fldCharType="separate"/>
    </w:r>
    <w:r w:rsidRPr="00A71F33">
      <w:rPr>
        <w:rStyle w:val="SidhuvudUtskott"/>
      </w:rPr>
      <w:instrText>1y</w:instrText>
    </w:r>
    <w:r w:rsidRPr="00A71F33">
      <w:rPr>
        <w:rStyle w:val="SidhuvudUtskott"/>
      </w:rPr>
      <w:fldChar w:fldCharType="end"/>
    </w:r>
    <w:r w:rsidRPr="00A71F33">
      <w:instrText xml:space="preserve">    </w:instrText>
    </w:r>
  </w:p>
  <w:p w:rsidR="00144C39" w:rsidRPr="00A71F33" w:rsidRDefault="00144C39">
    <w:pPr>
      <w:pStyle w:val="SidhuvudKantJmn"/>
      <w:framePr w:w="8732" w:h="567" w:hRule="exact" w:vSpace="0" w:wrap="around" w:vAnchor="page" w:y="341" w:anchorLock="0"/>
    </w:pPr>
    <w:r w:rsidRPr="00A71F33">
      <w:rPr>
        <w:rStyle w:val="SidhuvudUtskott"/>
      </w:rPr>
      <w:fldChar w:fldCharType="begin" w:fldLock="1"/>
    </w:r>
    <w:r w:rsidRPr="00A71F33">
      <w:rPr>
        <w:rStyle w:val="SidhuvudUtskott"/>
      </w:rPr>
      <w:instrText xml:space="preserve"> DOCPROPERTY Status</w:instrText>
    </w:r>
    <w:r w:rsidRPr="00A71F33">
      <w:rPr>
        <w:rStyle w:val="SidhuvudUtskott"/>
      </w:rPr>
      <w:fldChar w:fldCharType="separate"/>
    </w:r>
    <w:r w:rsidRPr="00A71F33">
      <w:rPr>
        <w:rStyle w:val="SidhuvudUtskott"/>
      </w:rPr>
      <w:instrText>Utkast</w:instrText>
    </w:r>
    <w:r w:rsidRPr="00A71F33">
      <w:rPr>
        <w:rStyle w:val="SidhuvudUtskott"/>
      </w:rPr>
      <w:fldChar w:fldCharType="end"/>
    </w:r>
    <w:r w:rsidRPr="00A71F33">
      <w:rPr>
        <w:rStyle w:val="SidhuvudUtskott"/>
      </w:rPr>
      <w:fldChar w:fldCharType="begin" w:fldLock="1"/>
    </w:r>
    <w:r w:rsidRPr="00A71F33">
      <w:rPr>
        <w:rStyle w:val="SidhuvudUtskott"/>
      </w:rPr>
      <w:instrText xml:space="preserve"> if </w:instrText>
    </w:r>
    <w:r w:rsidRPr="00A71F33">
      <w:rPr>
        <w:rStyle w:val="SidhuvudUtskott"/>
      </w:rPr>
      <w:fldChar w:fldCharType="begin" w:fldLock="1"/>
    </w:r>
    <w:r w:rsidRPr="00A71F33">
      <w:rPr>
        <w:rStyle w:val="SidhuvudUtskott"/>
      </w:rPr>
      <w:instrText xml:space="preserve"> DOCPROPERTY "UtkastDatum"</w:instrText>
    </w:r>
    <w:r w:rsidRPr="00A71F33">
      <w:rPr>
        <w:rStyle w:val="SidhuvudUtskott"/>
      </w:rPr>
      <w:fldChar w:fldCharType="separate"/>
    </w:r>
    <w:r w:rsidRPr="00A71F33">
      <w:rPr>
        <w:rStyle w:val="SidhuvudUtskott"/>
      </w:rPr>
      <w:instrText>Nej</w:instrText>
    </w:r>
    <w:r w:rsidRPr="00A71F33">
      <w:rPr>
        <w:rStyle w:val="SidhuvudUtskott"/>
      </w:rPr>
      <w:fldChar w:fldCharType="end"/>
    </w:r>
    <w:r w:rsidRPr="00A71F33">
      <w:rPr>
        <w:rStyle w:val="SidhuvudUtskott"/>
      </w:rPr>
      <w:instrText xml:space="preserve"> = "Ja" "    </w:instrText>
    </w:r>
    <w:r w:rsidRPr="00A71F33">
      <w:rPr>
        <w:rStyle w:val="SidhuvudUtskott"/>
      </w:rPr>
      <w:fldChar w:fldCharType="begin" w:fldLock="1"/>
    </w:r>
    <w:r w:rsidRPr="00A71F33">
      <w:rPr>
        <w:rStyle w:val="SidhuvudUtskott"/>
      </w:rPr>
      <w:instrText xml:space="preserve"> PRINTDATE \@ "yyyy-MM-dd HH.mm" </w:instrText>
    </w:r>
    <w:r w:rsidRPr="00A71F33">
      <w:rPr>
        <w:rStyle w:val="SidhuvudUtskott"/>
      </w:rPr>
      <w:fldChar w:fldCharType="separate"/>
    </w:r>
    <w:r w:rsidRPr="00A71F33">
      <w:rPr>
        <w:rStyle w:val="SidhuvudUtskott"/>
      </w:rPr>
      <w:instrText>2000-08-11 16.42</w:instrText>
    </w:r>
    <w:r w:rsidRPr="00A71F33">
      <w:rPr>
        <w:rStyle w:val="SidhuvudUtskott"/>
      </w:rPr>
      <w:fldChar w:fldCharType="end"/>
    </w:r>
    <w:r w:rsidRPr="00A71F33">
      <w:rPr>
        <w:rStyle w:val="SidhuvudUtskott"/>
      </w:rPr>
      <w:instrText xml:space="preserve">" </w:instrText>
    </w:r>
    <w:r w:rsidRPr="00A71F33">
      <w:rPr>
        <w:rStyle w:val="SidhuvudUtskott"/>
      </w:rPr>
      <w:fldChar w:fldCharType="end"/>
    </w:r>
  </w:p>
  <w:p w:rsidR="00144C39" w:rsidRPr="00A71F33" w:rsidRDefault="00144C39">
    <w:pPr>
      <w:pStyle w:val="SidhuvudKantUdda"/>
      <w:framePr w:w="8732" w:h="567" w:hRule="exact" w:vSpace="0" w:wrap="around" w:vAnchor="page" w:y="341" w:anchorLock="0"/>
    </w:pPr>
    <w:r w:rsidRPr="00A71F33">
      <w:rPr>
        <w:rStyle w:val="SidhuvudRubrikReferens"/>
        <w:smallCaps w:val="0"/>
      </w:rPr>
      <w:instrText xml:space="preserve"> </w:instrText>
    </w:r>
    <w:r w:rsidRPr="00A71F33">
      <w:instrText xml:space="preserve">"  "  </w:instrText>
    </w:r>
    <w:r w:rsidRPr="00A71F33">
      <w:rPr>
        <w:rStyle w:val="SidhuvudUtskott"/>
      </w:rPr>
      <w:fldChar w:fldCharType="begin" w:fldLock="1"/>
    </w:r>
    <w:r w:rsidRPr="00A71F33">
      <w:rPr>
        <w:rStyle w:val="SidhuvudUtskott"/>
      </w:rPr>
      <w:instrText xml:space="preserve"> DOCPROPERTY BetänkandeÅr</w:instrText>
    </w:r>
    <w:r w:rsidRPr="00A71F33">
      <w:rPr>
        <w:rStyle w:val="SidhuvudUtskott"/>
      </w:rPr>
      <w:fldChar w:fldCharType="separate"/>
    </w:r>
    <w:r w:rsidRPr="00A71F33">
      <w:rPr>
        <w:rStyle w:val="SidhuvudUtskott"/>
      </w:rPr>
      <w:instrText>2004/05</w:instrText>
    </w:r>
    <w:r w:rsidRPr="00A71F33">
      <w:rPr>
        <w:rStyle w:val="SidhuvudUtskott"/>
      </w:rPr>
      <w:fldChar w:fldCharType="end"/>
    </w:r>
    <w:r w:rsidRPr="00A71F33">
      <w:rPr>
        <w:rStyle w:val="SidhuvudUtskott"/>
      </w:rPr>
      <w:instrText>:</w:instrText>
    </w:r>
    <w:r w:rsidRPr="00A71F33">
      <w:rPr>
        <w:rStyle w:val="SidhuvudUtskott"/>
      </w:rPr>
      <w:fldChar w:fldCharType="begin" w:fldLock="1"/>
    </w:r>
    <w:r w:rsidRPr="00A71F33">
      <w:rPr>
        <w:rStyle w:val="SidhuvudUtskott"/>
      </w:rPr>
      <w:instrText xml:space="preserve"> DOCPROPERTY Utskott</w:instrText>
    </w:r>
    <w:r w:rsidRPr="00A71F33">
      <w:rPr>
        <w:rStyle w:val="SidhuvudUtskott"/>
      </w:rPr>
      <w:fldChar w:fldCharType="separate"/>
    </w:r>
    <w:r w:rsidRPr="00A71F33">
      <w:rPr>
        <w:rStyle w:val="SidhuvudUtskott"/>
      </w:rPr>
      <w:instrText>EUN</w:instrText>
    </w:r>
    <w:r w:rsidRPr="00A71F33">
      <w:rPr>
        <w:rStyle w:val="SidhuvudUtskott"/>
      </w:rPr>
      <w:fldChar w:fldCharType="end"/>
    </w:r>
    <w:r w:rsidRPr="00A71F33">
      <w:rPr>
        <w:rStyle w:val="SidhuvudUtskott"/>
      </w:rPr>
      <w:fldChar w:fldCharType="begin" w:fldLock="1"/>
    </w:r>
    <w:r w:rsidRPr="00A71F33">
      <w:rPr>
        <w:rStyle w:val="SidhuvudUtskott"/>
      </w:rPr>
      <w:instrText xml:space="preserve"> DOCPROPERTY BetänkandeNr</w:instrText>
    </w:r>
    <w:r w:rsidRPr="00A71F33">
      <w:rPr>
        <w:rStyle w:val="SidhuvudUtskott"/>
      </w:rPr>
      <w:fldChar w:fldCharType="separate"/>
    </w:r>
    <w:r w:rsidRPr="00A71F33">
      <w:rPr>
        <w:rStyle w:val="SidhuvudUtskott"/>
      </w:rPr>
      <w:instrText>1y</w:instrText>
    </w:r>
    <w:r w:rsidRPr="00A71F33">
      <w:rPr>
        <w:rStyle w:val="SidhuvudUtskott"/>
      </w:rPr>
      <w:fldChar w:fldCharType="end"/>
    </w:r>
  </w:p>
  <w:p w:rsidR="00144C39" w:rsidRPr="00A71F33" w:rsidRDefault="00144C39">
    <w:pPr>
      <w:pStyle w:val="SidhuvudKantUdda"/>
      <w:framePr w:w="8732" w:h="567" w:hRule="exact" w:vSpace="0" w:wrap="around" w:vAnchor="page" w:y="341" w:anchorLock="0"/>
    </w:pPr>
    <w:r w:rsidRPr="00A71F33">
      <w:rPr>
        <w:rStyle w:val="SidhuvudUtskott"/>
      </w:rPr>
      <w:fldChar w:fldCharType="begin" w:fldLock="1"/>
    </w:r>
    <w:r w:rsidRPr="00A71F33">
      <w:rPr>
        <w:rStyle w:val="SidhuvudUtskott"/>
      </w:rPr>
      <w:instrText xml:space="preserve"> if </w:instrText>
    </w:r>
    <w:r w:rsidRPr="00A71F33">
      <w:rPr>
        <w:rStyle w:val="SidhuvudUtskott"/>
      </w:rPr>
      <w:fldChar w:fldCharType="begin" w:fldLock="1"/>
    </w:r>
    <w:r w:rsidRPr="00A71F33">
      <w:rPr>
        <w:rStyle w:val="SidhuvudUtskott"/>
      </w:rPr>
      <w:instrText xml:space="preserve"> DOCPROPERTY "UtkastDatum"</w:instrText>
    </w:r>
    <w:r w:rsidRPr="00A71F33">
      <w:rPr>
        <w:rStyle w:val="SidhuvudUtskott"/>
      </w:rPr>
      <w:fldChar w:fldCharType="separate"/>
    </w:r>
    <w:r w:rsidRPr="00A71F33">
      <w:rPr>
        <w:rStyle w:val="SidhuvudUtskott"/>
      </w:rPr>
      <w:instrText>Nej</w:instrText>
    </w:r>
    <w:r w:rsidRPr="00A71F33">
      <w:rPr>
        <w:rStyle w:val="SidhuvudUtskott"/>
      </w:rPr>
      <w:fldChar w:fldCharType="end"/>
    </w:r>
    <w:r w:rsidRPr="00A71F33">
      <w:rPr>
        <w:rStyle w:val="SidhuvudUtskott"/>
      </w:rPr>
      <w:instrText xml:space="preserve"> = "Ja" "</w:instrText>
    </w:r>
    <w:r w:rsidRPr="00A71F33">
      <w:rPr>
        <w:rStyle w:val="SidhuvudUtskott"/>
      </w:rPr>
      <w:fldChar w:fldCharType="begin" w:fldLock="1"/>
    </w:r>
    <w:r w:rsidRPr="00A71F33">
      <w:rPr>
        <w:rStyle w:val="SidhuvudUtskott"/>
      </w:rPr>
      <w:instrText xml:space="preserve"> PRINTDATE \@ "yyyy-MM-dd HH.mm    " </w:instrText>
    </w:r>
    <w:r w:rsidRPr="00A71F33">
      <w:rPr>
        <w:rStyle w:val="SidhuvudUtskott"/>
      </w:rPr>
      <w:fldChar w:fldCharType="separate"/>
    </w:r>
    <w:r w:rsidRPr="00A71F33">
      <w:rPr>
        <w:rStyle w:val="SidhuvudUtskott"/>
      </w:rPr>
      <w:instrText>2000-08-11 16.42</w:instrText>
    </w:r>
    <w:r w:rsidRPr="00A71F33">
      <w:rPr>
        <w:rStyle w:val="SidhuvudUtskott"/>
      </w:rPr>
      <w:fldChar w:fldCharType="end"/>
    </w:r>
    <w:r w:rsidRPr="00A71F33">
      <w:rPr>
        <w:rStyle w:val="SidhuvudUtskott"/>
      </w:rPr>
      <w:instrText xml:space="preserve">" </w:instrText>
    </w:r>
    <w:r w:rsidRPr="00A71F33">
      <w:rPr>
        <w:rStyle w:val="SidhuvudUtskott"/>
      </w:rPr>
      <w:fldChar w:fldCharType="end"/>
    </w:r>
    <w:r w:rsidRPr="00A71F33">
      <w:rPr>
        <w:rStyle w:val="SidhuvudUtskott"/>
      </w:rPr>
      <w:fldChar w:fldCharType="begin" w:fldLock="1"/>
    </w:r>
    <w:r w:rsidRPr="00A71F33">
      <w:rPr>
        <w:rStyle w:val="SidhuvudUtskott"/>
      </w:rPr>
      <w:instrText xml:space="preserve"> DOCPR</w:instrText>
    </w:r>
    <w:r w:rsidRPr="00A71F33">
      <w:rPr>
        <w:rStyle w:val="SidhuvudUtskott"/>
      </w:rPr>
      <w:instrText>O</w:instrText>
    </w:r>
    <w:r w:rsidRPr="00A71F33">
      <w:rPr>
        <w:rStyle w:val="SidhuvudUtskott"/>
      </w:rPr>
      <w:instrText>PERTY Status</w:instrText>
    </w:r>
    <w:r w:rsidRPr="00A71F33">
      <w:rPr>
        <w:rStyle w:val="SidhuvudUtskott"/>
      </w:rPr>
      <w:fldChar w:fldCharType="separate"/>
    </w:r>
    <w:r w:rsidRPr="00A71F33">
      <w:rPr>
        <w:rStyle w:val="SidhuvudUtskott"/>
      </w:rPr>
      <w:instrText>Utkast</w:instrText>
    </w:r>
    <w:r w:rsidRPr="00A71F33">
      <w:rPr>
        <w:rStyle w:val="SidhuvudUtskott"/>
      </w:rPr>
      <w:fldChar w:fldCharType="end"/>
    </w:r>
    <w:r w:rsidRPr="00A71F33">
      <w:instrText>"</w:instrText>
    </w:r>
    <w:r w:rsidRPr="00A71F33">
      <w:fldChar w:fldCharType="separate"/>
    </w:r>
    <w:r w:rsidRPr="00A71F33">
      <w:instrText xml:space="preserve">  </w:instrText>
    </w:r>
    <w:r w:rsidRPr="00A71F33">
      <w:rPr>
        <w:rStyle w:val="SidhuvudUtskott"/>
      </w:rPr>
      <w:instrText>2004/05</w:instrText>
    </w:r>
    <w:r w:rsidRPr="00A71F33" w:rsidDel="006D6DAB">
      <w:rPr>
        <w:rStyle w:val="SidhuvudUtskott"/>
      </w:rPr>
      <w:instrText>1999/2000</w:instrText>
    </w:r>
    <w:r w:rsidRPr="00A71F33">
      <w:rPr>
        <w:rStyle w:val="SidhuvudUtskott"/>
      </w:rPr>
      <w:instrText>:EUN</w:instrText>
    </w:r>
    <w:r w:rsidRPr="00A71F33" w:rsidDel="006D6DAB">
      <w:rPr>
        <w:rStyle w:val="SidhuvudUtskott"/>
      </w:rPr>
      <w:instrText>BoU</w:instrText>
    </w:r>
    <w:r w:rsidRPr="00A71F33">
      <w:rPr>
        <w:rStyle w:val="SidhuvudUtskott"/>
      </w:rPr>
      <w:instrText>1y</w:instrText>
    </w:r>
    <w:r w:rsidRPr="00A71F33" w:rsidDel="006D6DAB">
      <w:rPr>
        <w:rStyle w:val="SidhuvudUtskott"/>
      </w:rPr>
      <w:instrText>6678</w:instrText>
    </w:r>
  </w:p>
  <w:p w:rsidR="00144C39" w:rsidRPr="00A71F33" w:rsidRDefault="00144C39">
    <w:pPr>
      <w:pStyle w:val="SidhuvudKantUdda"/>
      <w:framePr w:w="8732" w:h="567" w:hRule="exact" w:vSpace="0" w:wrap="around" w:vAnchor="page" w:y="341" w:anchorLock="0"/>
    </w:pPr>
    <w:r w:rsidRPr="00A71F33">
      <w:rPr>
        <w:rStyle w:val="SidhuvudUtskott"/>
      </w:rPr>
      <w:instrText>Utkast</w:instrText>
    </w:r>
    <w:r w:rsidRPr="00A71F33" w:rsidDel="006D6DAB">
      <w:rPr>
        <w:rStyle w:val="SidhuvudUtskott"/>
      </w:rPr>
      <w:instrText>Utkast 2</w:instrText>
    </w:r>
    <w:r w:rsidRPr="00A71F33">
      <w:fldChar w:fldCharType="end"/>
    </w:r>
    <w:r w:rsidRPr="00A71F33">
      <w:instrText>" " "</w:instrText>
    </w:r>
    <w:r w:rsidR="0087621D" w:rsidRPr="00A71F33">
      <w:fldChar w:fldCharType="separate"/>
    </w:r>
    <w:r w:rsidR="00A71F33" w:rsidRPr="00A71F33">
      <w:rPr>
        <w:noProof/>
      </w:rPr>
      <w:t xml:space="preserve"> </w:t>
    </w:r>
    <w:r w:rsidRPr="00A71F33">
      <w:fldChar w:fldCharType="end"/>
    </w:r>
  </w:p>
  <w:p w:rsidR="00144C39" w:rsidRPr="00A71F33" w:rsidRDefault="00144C3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C39" w:rsidRPr="00A71F33" w:rsidRDefault="00144C39">
    <w:pPr>
      <w:pStyle w:val="SidhuvudKantJmn"/>
      <w:framePr w:w="8732" w:h="567" w:hRule="exact" w:vSpace="0" w:wrap="around" w:vAnchor="page" w:y="341" w:anchorLock="0"/>
    </w:pPr>
    <w:r w:rsidRPr="00A71F33">
      <w:rPr>
        <w:rStyle w:val="SidhuvudUtskott"/>
      </w:rPr>
      <w:fldChar w:fldCharType="begin" w:fldLock="1"/>
    </w:r>
    <w:r w:rsidRPr="00A71F33">
      <w:rPr>
        <w:rStyle w:val="SidhuvudUtskott"/>
      </w:rPr>
      <w:instrText xml:space="preserve"> DOCPROPERTY BetänkandeÅr</w:instrText>
    </w:r>
    <w:r w:rsidRPr="00A71F33">
      <w:rPr>
        <w:rStyle w:val="SidhuvudUtskott"/>
      </w:rPr>
      <w:fldChar w:fldCharType="separate"/>
    </w:r>
    <w:r w:rsidRPr="00A71F33">
      <w:rPr>
        <w:rStyle w:val="SidhuvudUtskott"/>
      </w:rPr>
      <w:t>2004/05</w:t>
    </w:r>
    <w:r w:rsidRPr="00A71F33">
      <w:rPr>
        <w:rStyle w:val="SidhuvudUtskott"/>
      </w:rPr>
      <w:fldChar w:fldCharType="end"/>
    </w:r>
    <w:r w:rsidRPr="00A71F33">
      <w:rPr>
        <w:rStyle w:val="SidhuvudUtskott"/>
      </w:rPr>
      <w:t>:</w:t>
    </w:r>
    <w:r w:rsidRPr="00A71F33">
      <w:rPr>
        <w:rStyle w:val="SidhuvudUtskott"/>
      </w:rPr>
      <w:fldChar w:fldCharType="begin" w:fldLock="1"/>
    </w:r>
    <w:r w:rsidRPr="00A71F33">
      <w:rPr>
        <w:rStyle w:val="SidhuvudUtskott"/>
      </w:rPr>
      <w:instrText xml:space="preserve"> DOCPROPERTY Utskott</w:instrText>
    </w:r>
    <w:r w:rsidRPr="00A71F33">
      <w:rPr>
        <w:rStyle w:val="SidhuvudUtskott"/>
      </w:rPr>
      <w:fldChar w:fldCharType="separate"/>
    </w:r>
    <w:r w:rsidRPr="00A71F33">
      <w:rPr>
        <w:rStyle w:val="SidhuvudUtskott"/>
      </w:rPr>
      <w:t>EUN</w:t>
    </w:r>
    <w:r w:rsidRPr="00A71F33">
      <w:rPr>
        <w:rStyle w:val="SidhuvudUtskott"/>
      </w:rPr>
      <w:fldChar w:fldCharType="end"/>
    </w:r>
    <w:r w:rsidRPr="00A71F33">
      <w:rPr>
        <w:rStyle w:val="SidhuvudUtskott"/>
      </w:rPr>
      <w:fldChar w:fldCharType="begin" w:fldLock="1"/>
    </w:r>
    <w:r w:rsidRPr="00A71F33">
      <w:rPr>
        <w:rStyle w:val="SidhuvudUtskott"/>
      </w:rPr>
      <w:instrText xml:space="preserve"> DOCPROPERTY BetänkandeNr</w:instrText>
    </w:r>
    <w:r w:rsidRPr="00A71F33">
      <w:rPr>
        <w:rStyle w:val="SidhuvudUtskott"/>
      </w:rPr>
      <w:fldChar w:fldCharType="separate"/>
    </w:r>
    <w:r w:rsidRPr="00A71F33">
      <w:rPr>
        <w:rStyle w:val="SidhuvudUtskott"/>
      </w:rPr>
      <w:t>1y</w:t>
    </w:r>
    <w:r w:rsidRPr="00A71F33">
      <w:rPr>
        <w:rStyle w:val="SidhuvudUtskott"/>
      </w:rPr>
      <w:fldChar w:fldCharType="end"/>
    </w:r>
    <w:r w:rsidRPr="00A71F33">
      <w:t xml:space="preserve">     </w:t>
    </w:r>
    <w:r w:rsidRPr="00A71F33">
      <w:rPr>
        <w:rStyle w:val="SidhuvudBilaga"/>
      </w:rPr>
      <w:t xml:space="preserve"> </w:t>
    </w:r>
    <w:r w:rsidRPr="00A71F33">
      <w:rPr>
        <w:rStyle w:val="SidhuvudRubrikReferens"/>
      </w:rPr>
      <w:fldChar w:fldCharType="begin" w:fldLock="1"/>
    </w:r>
    <w:r w:rsidRPr="00A71F33">
      <w:rPr>
        <w:rStyle w:val="SidhuvudRubrikReferens"/>
      </w:rPr>
      <w:instrText xml:space="preserve"> StyleREF "Rubrik 1" </w:instrText>
    </w:r>
    <w:r w:rsidRPr="00A71F33">
      <w:rPr>
        <w:rStyle w:val="SidhuvudRubrikReferens"/>
      </w:rPr>
      <w:fldChar w:fldCharType="separate"/>
    </w:r>
    <w:r w:rsidRPr="00A71F33">
      <w:rPr>
        <w:rStyle w:val="SidhuvudRubrikReferens"/>
      </w:rPr>
      <w:t>Innehållsförteckning</w:t>
    </w:r>
    <w:r w:rsidRPr="00A71F33">
      <w:rPr>
        <w:rStyle w:val="SidhuvudRubrikReferens"/>
      </w:rPr>
      <w:fldChar w:fldCharType="end"/>
    </w:r>
  </w:p>
  <w:p w:rsidR="00144C39" w:rsidRPr="00A71F33" w:rsidRDefault="00144C39">
    <w:pPr>
      <w:pStyle w:val="SidhuvudKantJmn"/>
      <w:framePr w:w="8732" w:h="567" w:hRule="exact" w:vSpace="0" w:wrap="around" w:vAnchor="page" w:y="341" w:anchorLock="0"/>
    </w:pPr>
    <w:r w:rsidRPr="00A71F33">
      <w:rPr>
        <w:rStyle w:val="SidhuvudUtskott"/>
      </w:rPr>
      <w:fldChar w:fldCharType="begin" w:fldLock="1"/>
    </w:r>
    <w:r w:rsidRPr="00A71F33">
      <w:rPr>
        <w:rStyle w:val="SidhuvudUtskott"/>
      </w:rPr>
      <w:instrText xml:space="preserve"> DOCPROPERTY Status</w:instrText>
    </w:r>
    <w:r w:rsidRPr="00A71F33">
      <w:rPr>
        <w:rStyle w:val="SidhuvudUtskott"/>
      </w:rPr>
      <w:fldChar w:fldCharType="end"/>
    </w:r>
    <w:r w:rsidRPr="00A71F33">
      <w:rPr>
        <w:rStyle w:val="SidhuvudUtskott"/>
      </w:rPr>
      <w:fldChar w:fldCharType="begin" w:fldLock="1"/>
    </w:r>
    <w:r w:rsidRPr="00A71F33">
      <w:rPr>
        <w:rStyle w:val="SidhuvudUtskott"/>
      </w:rPr>
      <w:instrText xml:space="preserve"> if </w:instrText>
    </w:r>
    <w:r w:rsidRPr="00A71F33">
      <w:rPr>
        <w:rStyle w:val="SidhuvudUtskott"/>
      </w:rPr>
      <w:fldChar w:fldCharType="begin" w:fldLock="1"/>
    </w:r>
    <w:r w:rsidRPr="00A71F33">
      <w:rPr>
        <w:rStyle w:val="SidhuvudUtskott"/>
      </w:rPr>
      <w:instrText xml:space="preserve"> DOCPROPERTY "UtkastDatum"</w:instrText>
    </w:r>
    <w:r w:rsidRPr="00A71F33">
      <w:rPr>
        <w:rStyle w:val="SidhuvudUtskott"/>
      </w:rPr>
      <w:fldChar w:fldCharType="separate"/>
    </w:r>
    <w:r w:rsidRPr="00A71F33">
      <w:rPr>
        <w:rStyle w:val="SidhuvudUtskott"/>
      </w:rPr>
      <w:instrText>Nej</w:instrText>
    </w:r>
    <w:r w:rsidRPr="00A71F33">
      <w:rPr>
        <w:rStyle w:val="SidhuvudUtskott"/>
      </w:rPr>
      <w:fldChar w:fldCharType="end"/>
    </w:r>
    <w:r w:rsidRPr="00A71F33">
      <w:rPr>
        <w:rStyle w:val="SidhuvudUtskott"/>
      </w:rPr>
      <w:instrText xml:space="preserve"> = "Ja" "    </w:instrText>
    </w:r>
    <w:r w:rsidRPr="00A71F33">
      <w:rPr>
        <w:rStyle w:val="SidhuvudUtskott"/>
      </w:rPr>
      <w:fldChar w:fldCharType="begin" w:fldLock="1"/>
    </w:r>
    <w:r w:rsidRPr="00A71F33">
      <w:rPr>
        <w:rStyle w:val="SidhuvudUtskott"/>
      </w:rPr>
      <w:instrText xml:space="preserve"> PRINTDATE \@ "yyyy-MM-dd HH.mm" </w:instrText>
    </w:r>
    <w:r w:rsidRPr="00A71F33">
      <w:rPr>
        <w:rStyle w:val="SidhuvudUtskott"/>
      </w:rPr>
      <w:fldChar w:fldCharType="separate"/>
    </w:r>
    <w:r w:rsidRPr="00A71F33">
      <w:rPr>
        <w:rStyle w:val="SidhuvudUtskott"/>
      </w:rPr>
      <w:instrText>2000-08-11 16.42</w:instrText>
    </w:r>
    <w:r w:rsidRPr="00A71F33">
      <w:rPr>
        <w:rStyle w:val="SidhuvudUtskott"/>
      </w:rPr>
      <w:fldChar w:fldCharType="end"/>
    </w:r>
    <w:r w:rsidRPr="00A71F33">
      <w:rPr>
        <w:rStyle w:val="SidhuvudUtskott"/>
      </w:rPr>
      <w:instrText xml:space="preserve">" </w:instrText>
    </w:r>
    <w:r w:rsidRPr="00A71F33">
      <w:rPr>
        <w:rStyle w:val="SidhuvudUtskott"/>
      </w:rPr>
      <w:fldChar w:fldCharType="end"/>
    </w:r>
  </w:p>
  <w:p w:rsidR="00144C39" w:rsidRPr="00A71F33" w:rsidRDefault="00144C39">
    <w:pPr>
      <w:pStyle w:val="Sidhuvud"/>
      <w:rPr>
        <w:sz w:val="2"/>
      </w:rPr>
    </w:pPr>
  </w:p>
  <w:p w:rsidR="00144C39" w:rsidRPr="00A71F33" w:rsidRDefault="00144C3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C39" w:rsidRPr="00A71F33" w:rsidRDefault="00144C39">
    <w:pPr>
      <w:pStyle w:val="SidhuvudKantUdda"/>
      <w:framePr w:w="8732" w:h="567" w:hRule="exact" w:vSpace="0" w:wrap="around" w:vAnchor="page" w:y="341" w:anchorLock="0"/>
    </w:pPr>
    <w:r w:rsidRPr="00A71F33">
      <w:rPr>
        <w:rStyle w:val="SidhuvudRubrikReferens"/>
      </w:rPr>
      <w:fldChar w:fldCharType="begin" w:fldLock="1"/>
    </w:r>
    <w:r w:rsidRPr="00A71F33">
      <w:rPr>
        <w:rStyle w:val="SidhuvudRubrikReferens"/>
      </w:rPr>
      <w:instrText xml:space="preserve"> StyleREF "Rubrik 1" </w:instrText>
    </w:r>
    <w:r w:rsidRPr="00A71F33">
      <w:rPr>
        <w:rStyle w:val="SidhuvudRubrikReferens"/>
      </w:rPr>
      <w:fldChar w:fldCharType="separate"/>
    </w:r>
    <w:r w:rsidRPr="00A71F33">
      <w:rPr>
        <w:rStyle w:val="SidhuvudRubrikReferens"/>
      </w:rPr>
      <w:t>Innehållsförteckning</w:t>
    </w:r>
    <w:r w:rsidRPr="00A71F33">
      <w:rPr>
        <w:rStyle w:val="SidhuvudRubrikReferens"/>
      </w:rPr>
      <w:fldChar w:fldCharType="end"/>
    </w:r>
    <w:r w:rsidRPr="00A71F33">
      <w:rPr>
        <w:rStyle w:val="SidhuvudBilaga"/>
      </w:rPr>
      <w:t xml:space="preserve"> </w:t>
    </w:r>
    <w:r w:rsidRPr="00A71F33">
      <w:t xml:space="preserve">     </w:t>
    </w:r>
    <w:r w:rsidRPr="00A71F33">
      <w:rPr>
        <w:rStyle w:val="SidhuvudUtskott"/>
      </w:rPr>
      <w:fldChar w:fldCharType="begin" w:fldLock="1"/>
    </w:r>
    <w:r w:rsidRPr="00A71F33">
      <w:rPr>
        <w:rStyle w:val="SidhuvudUtskott"/>
      </w:rPr>
      <w:instrText xml:space="preserve"> DOCPROPERTY BetänkandeÅr</w:instrText>
    </w:r>
    <w:r w:rsidRPr="00A71F33">
      <w:rPr>
        <w:rStyle w:val="SidhuvudUtskott"/>
      </w:rPr>
      <w:fldChar w:fldCharType="separate"/>
    </w:r>
    <w:r w:rsidRPr="00A71F33">
      <w:rPr>
        <w:rStyle w:val="SidhuvudUtskott"/>
      </w:rPr>
      <w:t>2004/05</w:t>
    </w:r>
    <w:r w:rsidRPr="00A71F33">
      <w:rPr>
        <w:rStyle w:val="SidhuvudUtskott"/>
      </w:rPr>
      <w:fldChar w:fldCharType="end"/>
    </w:r>
    <w:r w:rsidRPr="00A71F33">
      <w:rPr>
        <w:rStyle w:val="SidhuvudUtskott"/>
      </w:rPr>
      <w:t>:</w:t>
    </w:r>
    <w:r w:rsidRPr="00A71F33">
      <w:rPr>
        <w:rStyle w:val="SidhuvudUtskott"/>
      </w:rPr>
      <w:fldChar w:fldCharType="begin" w:fldLock="1"/>
    </w:r>
    <w:r w:rsidRPr="00A71F33">
      <w:rPr>
        <w:rStyle w:val="SidhuvudUtskott"/>
      </w:rPr>
      <w:instrText xml:space="preserve"> DOCPROPERTY</w:instrText>
    </w:r>
    <w:r w:rsidRPr="00A71F33">
      <w:instrText xml:space="preserve"> </w:instrText>
    </w:r>
    <w:r w:rsidRPr="00A71F33">
      <w:rPr>
        <w:rStyle w:val="SidhuvudUtskott"/>
      </w:rPr>
      <w:instrText>Utskott</w:instrText>
    </w:r>
    <w:r w:rsidRPr="00A71F33">
      <w:rPr>
        <w:rStyle w:val="SidhuvudUtskott"/>
      </w:rPr>
      <w:fldChar w:fldCharType="separate"/>
    </w:r>
    <w:r w:rsidRPr="00A71F33">
      <w:rPr>
        <w:rStyle w:val="SidhuvudUtskott"/>
      </w:rPr>
      <w:t>EUN</w:t>
    </w:r>
    <w:r w:rsidRPr="00A71F33">
      <w:rPr>
        <w:rStyle w:val="SidhuvudUtskott"/>
      </w:rPr>
      <w:fldChar w:fldCharType="end"/>
    </w:r>
    <w:r w:rsidRPr="00A71F33">
      <w:rPr>
        <w:rStyle w:val="SidhuvudUtskott"/>
      </w:rPr>
      <w:fldChar w:fldCharType="begin" w:fldLock="1"/>
    </w:r>
    <w:r w:rsidRPr="00A71F33">
      <w:rPr>
        <w:rStyle w:val="SidhuvudUtskott"/>
      </w:rPr>
      <w:instrText xml:space="preserve"> DOCPROPERTY Betä</w:instrText>
    </w:r>
    <w:r w:rsidRPr="00A71F33">
      <w:rPr>
        <w:rStyle w:val="SidhuvudUtskott"/>
      </w:rPr>
      <w:instrText>n</w:instrText>
    </w:r>
    <w:r w:rsidRPr="00A71F33">
      <w:rPr>
        <w:rStyle w:val="SidhuvudUtskott"/>
      </w:rPr>
      <w:instrText>kandeNr</w:instrText>
    </w:r>
    <w:r w:rsidRPr="00A71F33">
      <w:rPr>
        <w:rStyle w:val="SidhuvudUtskott"/>
      </w:rPr>
      <w:fldChar w:fldCharType="separate"/>
    </w:r>
    <w:r w:rsidRPr="00A71F33">
      <w:rPr>
        <w:rStyle w:val="SidhuvudUtskott"/>
      </w:rPr>
      <w:t>1y</w:t>
    </w:r>
    <w:r w:rsidRPr="00A71F33">
      <w:rPr>
        <w:rStyle w:val="SidhuvudUtskott"/>
      </w:rPr>
      <w:fldChar w:fldCharType="end"/>
    </w:r>
  </w:p>
  <w:p w:rsidR="00144C39" w:rsidRPr="00A71F33" w:rsidRDefault="00144C39">
    <w:pPr>
      <w:pStyle w:val="SidhuvudKantUdda"/>
      <w:framePr w:w="8732" w:h="567" w:hRule="exact" w:vSpace="0" w:wrap="around" w:vAnchor="page" w:y="341" w:anchorLock="0"/>
    </w:pPr>
    <w:r w:rsidRPr="00A71F33">
      <w:rPr>
        <w:rStyle w:val="SidhuvudUtskott"/>
      </w:rPr>
      <w:fldChar w:fldCharType="begin" w:fldLock="1"/>
    </w:r>
    <w:r w:rsidRPr="00A71F33">
      <w:rPr>
        <w:rStyle w:val="SidhuvudUtskott"/>
      </w:rPr>
      <w:instrText xml:space="preserve"> if </w:instrText>
    </w:r>
    <w:r w:rsidRPr="00A71F33">
      <w:rPr>
        <w:rStyle w:val="SidhuvudUtskott"/>
      </w:rPr>
      <w:fldChar w:fldCharType="begin" w:fldLock="1"/>
    </w:r>
    <w:r w:rsidRPr="00A71F33">
      <w:rPr>
        <w:rStyle w:val="SidhuvudUtskott"/>
      </w:rPr>
      <w:instrText xml:space="preserve"> DOCPROPERTY "UtkastDatum"</w:instrText>
    </w:r>
    <w:r w:rsidRPr="00A71F33">
      <w:rPr>
        <w:rStyle w:val="SidhuvudUtskott"/>
      </w:rPr>
      <w:fldChar w:fldCharType="separate"/>
    </w:r>
    <w:r w:rsidRPr="00A71F33">
      <w:rPr>
        <w:rStyle w:val="SidhuvudUtskott"/>
      </w:rPr>
      <w:instrText>Nej</w:instrText>
    </w:r>
    <w:r w:rsidRPr="00A71F33">
      <w:rPr>
        <w:rStyle w:val="SidhuvudUtskott"/>
      </w:rPr>
      <w:fldChar w:fldCharType="end"/>
    </w:r>
    <w:r w:rsidRPr="00A71F33">
      <w:rPr>
        <w:rStyle w:val="SidhuvudUtskott"/>
      </w:rPr>
      <w:instrText xml:space="preserve"> = "Ja" "</w:instrText>
    </w:r>
    <w:r w:rsidRPr="00A71F33">
      <w:rPr>
        <w:rStyle w:val="SidhuvudUtskott"/>
      </w:rPr>
      <w:fldChar w:fldCharType="begin" w:fldLock="1"/>
    </w:r>
    <w:r w:rsidRPr="00A71F33">
      <w:rPr>
        <w:rStyle w:val="SidhuvudUtskott"/>
      </w:rPr>
      <w:instrText xml:space="preserve"> PRINTDATE \@ "yyyy-MM-dd HH.mm    " </w:instrText>
    </w:r>
    <w:r w:rsidRPr="00A71F33">
      <w:rPr>
        <w:rStyle w:val="SidhuvudUtskott"/>
      </w:rPr>
      <w:fldChar w:fldCharType="separate"/>
    </w:r>
    <w:r w:rsidRPr="00A71F33">
      <w:rPr>
        <w:rStyle w:val="SidhuvudUtskott"/>
      </w:rPr>
      <w:instrText>2000-08-11 16.42</w:instrText>
    </w:r>
    <w:r w:rsidRPr="00A71F33">
      <w:rPr>
        <w:rStyle w:val="SidhuvudUtskott"/>
      </w:rPr>
      <w:fldChar w:fldCharType="end"/>
    </w:r>
    <w:r w:rsidRPr="00A71F33">
      <w:rPr>
        <w:rStyle w:val="SidhuvudUtskott"/>
      </w:rPr>
      <w:instrText xml:space="preserve">" </w:instrText>
    </w:r>
    <w:r w:rsidRPr="00A71F33">
      <w:rPr>
        <w:rStyle w:val="SidhuvudUtskott"/>
      </w:rPr>
      <w:fldChar w:fldCharType="end"/>
    </w:r>
    <w:r w:rsidRPr="00A71F33">
      <w:rPr>
        <w:rStyle w:val="SidhuvudUtskott"/>
      </w:rPr>
      <w:fldChar w:fldCharType="begin" w:fldLock="1"/>
    </w:r>
    <w:r w:rsidRPr="00A71F33">
      <w:rPr>
        <w:rStyle w:val="SidhuvudUtskott"/>
      </w:rPr>
      <w:instrText xml:space="preserve"> DOCPR</w:instrText>
    </w:r>
    <w:r w:rsidRPr="00A71F33">
      <w:rPr>
        <w:rStyle w:val="SidhuvudUtskott"/>
      </w:rPr>
      <w:instrText>O</w:instrText>
    </w:r>
    <w:r w:rsidRPr="00A71F33">
      <w:rPr>
        <w:rStyle w:val="SidhuvudUtskott"/>
      </w:rPr>
      <w:instrText>PERTY Status</w:instrText>
    </w:r>
    <w:r w:rsidRPr="00A71F33">
      <w:rPr>
        <w:rStyle w:val="SidhuvudUtskott"/>
      </w:rPr>
      <w:fldChar w:fldCharType="end"/>
    </w:r>
  </w:p>
  <w:p w:rsidR="00144C39" w:rsidRPr="00A71F33" w:rsidRDefault="00144C39">
    <w:pPr>
      <w:pStyle w:val="Sidhuvud"/>
      <w:rPr>
        <w:sz w:val="2"/>
      </w:rPr>
    </w:pPr>
  </w:p>
  <w:p w:rsidR="00144C39" w:rsidRPr="00A71F33" w:rsidRDefault="00144C3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21D" w:rsidRPr="00A71F33" w:rsidRDefault="0087621D">
    <w:pPr>
      <w:pStyle w:val="SidhuvudKantJmn"/>
      <w:framePr w:w="8732" w:h="567" w:hRule="exact" w:vSpace="0" w:wrap="around" w:vAnchor="page" w:y="341" w:anchorLock="0"/>
    </w:pPr>
    <w:r w:rsidRPr="00A71F33">
      <w:rPr>
        <w:rStyle w:val="SidhuvudUtskott"/>
      </w:rPr>
      <w:t>2004/05:EUN1y</w:t>
    </w:r>
    <w:r w:rsidRPr="00A71F33">
      <w:t xml:space="preserve">    </w:t>
    </w:r>
  </w:p>
  <w:p w:rsidR="0087621D" w:rsidRPr="00A71F33" w:rsidRDefault="0087621D">
    <w:pPr>
      <w:pStyle w:val="SidhuvudKantJmn"/>
      <w:framePr w:w="8732" w:h="567" w:hRule="exact" w:vSpace="0" w:wrap="around" w:vAnchor="page" w:y="341" w:anchorLock="0"/>
    </w:pPr>
  </w:p>
  <w:p w:rsidR="00144C39" w:rsidRPr="00A71F33" w:rsidRDefault="0087621D">
    <w:pPr>
      <w:pStyle w:val="SidhuvudKantUdda"/>
      <w:framePr w:w="8732" w:h="567" w:hRule="exact" w:vSpace="0" w:wrap="around" w:vAnchor="page" w:y="341" w:anchorLock="0"/>
    </w:pPr>
    <w:r w:rsidRPr="00A71F33">
      <w:rPr>
        <w:rStyle w:val="SidhuvudRubrikReferens"/>
        <w:smallCaps w:val="0"/>
      </w:rPr>
      <w:t xml:space="preserve"> </w:t>
    </w:r>
  </w:p>
  <w:p w:rsidR="00144C39" w:rsidRPr="00A71F33" w:rsidRDefault="00144C39">
    <w:pPr>
      <w:pStyle w:val="Sidhuvud"/>
      <w:rPr>
        <w:sz w:val="2"/>
      </w:rPr>
    </w:pPr>
  </w:p>
  <w:p w:rsidR="00144C39" w:rsidRPr="00A71F33" w:rsidRDefault="00144C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525707703">
    <w:abstractNumId w:val="10"/>
  </w:num>
  <w:num w:numId="2" w16cid:durableId="297689437">
    <w:abstractNumId w:val="8"/>
  </w:num>
  <w:num w:numId="3" w16cid:durableId="2048336761">
    <w:abstractNumId w:val="3"/>
  </w:num>
  <w:num w:numId="4" w16cid:durableId="278689335">
    <w:abstractNumId w:val="2"/>
  </w:num>
  <w:num w:numId="5" w16cid:durableId="2025787875">
    <w:abstractNumId w:val="1"/>
  </w:num>
  <w:num w:numId="6" w16cid:durableId="1823741534">
    <w:abstractNumId w:val="0"/>
  </w:num>
  <w:num w:numId="7" w16cid:durableId="1284387685">
    <w:abstractNumId w:val="9"/>
  </w:num>
  <w:num w:numId="8" w16cid:durableId="2044134361">
    <w:abstractNumId w:val="7"/>
  </w:num>
  <w:num w:numId="9" w16cid:durableId="1064253958">
    <w:abstractNumId w:val="6"/>
  </w:num>
  <w:num w:numId="10" w16cid:durableId="808590922">
    <w:abstractNumId w:val="5"/>
  </w:num>
  <w:num w:numId="11" w16cid:durableId="825897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eu-nämndens"/>
    <w:docVar w:name="Skapår" w:val="0405"/>
  </w:docVars>
  <w:rsids>
    <w:rsidRoot w:val="0053181D"/>
    <w:rsid w:val="000151A2"/>
    <w:rsid w:val="00043F7D"/>
    <w:rsid w:val="000509AC"/>
    <w:rsid w:val="000516CF"/>
    <w:rsid w:val="000844EE"/>
    <w:rsid w:val="00086FD3"/>
    <w:rsid w:val="000B18D7"/>
    <w:rsid w:val="000B455D"/>
    <w:rsid w:val="000D4DC2"/>
    <w:rsid w:val="000D5FB1"/>
    <w:rsid w:val="001123EA"/>
    <w:rsid w:val="001344B3"/>
    <w:rsid w:val="00135A85"/>
    <w:rsid w:val="00137FE0"/>
    <w:rsid w:val="00144C39"/>
    <w:rsid w:val="001450A1"/>
    <w:rsid w:val="00172F9D"/>
    <w:rsid w:val="00173B32"/>
    <w:rsid w:val="001B3FD8"/>
    <w:rsid w:val="001D3967"/>
    <w:rsid w:val="001E01C4"/>
    <w:rsid w:val="001E0444"/>
    <w:rsid w:val="001E7913"/>
    <w:rsid w:val="001F1828"/>
    <w:rsid w:val="00216620"/>
    <w:rsid w:val="00234DD2"/>
    <w:rsid w:val="002357B9"/>
    <w:rsid w:val="00242476"/>
    <w:rsid w:val="0026337E"/>
    <w:rsid w:val="002708D3"/>
    <w:rsid w:val="002764F7"/>
    <w:rsid w:val="00276A38"/>
    <w:rsid w:val="002831B3"/>
    <w:rsid w:val="00285AFD"/>
    <w:rsid w:val="00286340"/>
    <w:rsid w:val="002F3109"/>
    <w:rsid w:val="00326402"/>
    <w:rsid w:val="0036083B"/>
    <w:rsid w:val="003B4DE8"/>
    <w:rsid w:val="003C5746"/>
    <w:rsid w:val="003F2A4A"/>
    <w:rsid w:val="003F6249"/>
    <w:rsid w:val="0045087B"/>
    <w:rsid w:val="00467602"/>
    <w:rsid w:val="00467B3D"/>
    <w:rsid w:val="00471DF6"/>
    <w:rsid w:val="004772E1"/>
    <w:rsid w:val="004804B8"/>
    <w:rsid w:val="0048663D"/>
    <w:rsid w:val="00492CC1"/>
    <w:rsid w:val="004B02AA"/>
    <w:rsid w:val="004B4E14"/>
    <w:rsid w:val="004B5C92"/>
    <w:rsid w:val="005027F5"/>
    <w:rsid w:val="00514FEC"/>
    <w:rsid w:val="005174CE"/>
    <w:rsid w:val="005267A9"/>
    <w:rsid w:val="0053181D"/>
    <w:rsid w:val="00557053"/>
    <w:rsid w:val="00564E6D"/>
    <w:rsid w:val="00576B11"/>
    <w:rsid w:val="00581FA2"/>
    <w:rsid w:val="005929F1"/>
    <w:rsid w:val="005A233D"/>
    <w:rsid w:val="005B39F9"/>
    <w:rsid w:val="005C5CE5"/>
    <w:rsid w:val="005F18EF"/>
    <w:rsid w:val="0060441C"/>
    <w:rsid w:val="006215CA"/>
    <w:rsid w:val="00633248"/>
    <w:rsid w:val="00634A51"/>
    <w:rsid w:val="0063583E"/>
    <w:rsid w:val="00645058"/>
    <w:rsid w:val="00646263"/>
    <w:rsid w:val="00664932"/>
    <w:rsid w:val="00684B9B"/>
    <w:rsid w:val="00697989"/>
    <w:rsid w:val="006A7F46"/>
    <w:rsid w:val="006C1C0F"/>
    <w:rsid w:val="006D0E31"/>
    <w:rsid w:val="006D6DAB"/>
    <w:rsid w:val="007254AB"/>
    <w:rsid w:val="00736CE1"/>
    <w:rsid w:val="007572B6"/>
    <w:rsid w:val="00764822"/>
    <w:rsid w:val="00766668"/>
    <w:rsid w:val="007C7D75"/>
    <w:rsid w:val="007E2F64"/>
    <w:rsid w:val="007F1BCB"/>
    <w:rsid w:val="00800080"/>
    <w:rsid w:val="0080435E"/>
    <w:rsid w:val="0081032C"/>
    <w:rsid w:val="0081748A"/>
    <w:rsid w:val="00831C73"/>
    <w:rsid w:val="008506EF"/>
    <w:rsid w:val="0086682C"/>
    <w:rsid w:val="0087621D"/>
    <w:rsid w:val="00885728"/>
    <w:rsid w:val="008867F5"/>
    <w:rsid w:val="008B5CAB"/>
    <w:rsid w:val="008B77CB"/>
    <w:rsid w:val="008E2930"/>
    <w:rsid w:val="00910FC7"/>
    <w:rsid w:val="0093169A"/>
    <w:rsid w:val="00937122"/>
    <w:rsid w:val="00940D38"/>
    <w:rsid w:val="009A1A2B"/>
    <w:rsid w:val="009B0C7A"/>
    <w:rsid w:val="009D3A5D"/>
    <w:rsid w:val="009F6D80"/>
    <w:rsid w:val="00A14A2A"/>
    <w:rsid w:val="00A164F1"/>
    <w:rsid w:val="00A26B47"/>
    <w:rsid w:val="00A31C57"/>
    <w:rsid w:val="00A66A96"/>
    <w:rsid w:val="00A71F33"/>
    <w:rsid w:val="00A77C49"/>
    <w:rsid w:val="00A867D0"/>
    <w:rsid w:val="00AA2455"/>
    <w:rsid w:val="00AA27B0"/>
    <w:rsid w:val="00AB1758"/>
    <w:rsid w:val="00AB752A"/>
    <w:rsid w:val="00AC0090"/>
    <w:rsid w:val="00AD3ABB"/>
    <w:rsid w:val="00AE4CF4"/>
    <w:rsid w:val="00B12CBF"/>
    <w:rsid w:val="00B36CDA"/>
    <w:rsid w:val="00B5778E"/>
    <w:rsid w:val="00BB179C"/>
    <w:rsid w:val="00BC544A"/>
    <w:rsid w:val="00BE367D"/>
    <w:rsid w:val="00BE42D9"/>
    <w:rsid w:val="00BF523B"/>
    <w:rsid w:val="00BF76E0"/>
    <w:rsid w:val="00C06844"/>
    <w:rsid w:val="00C158A9"/>
    <w:rsid w:val="00C20CB6"/>
    <w:rsid w:val="00C27901"/>
    <w:rsid w:val="00C3272A"/>
    <w:rsid w:val="00C421F1"/>
    <w:rsid w:val="00C526A2"/>
    <w:rsid w:val="00C70744"/>
    <w:rsid w:val="00C8236F"/>
    <w:rsid w:val="00C8513A"/>
    <w:rsid w:val="00C92F31"/>
    <w:rsid w:val="00CA3E95"/>
    <w:rsid w:val="00CB6D39"/>
    <w:rsid w:val="00CB788C"/>
    <w:rsid w:val="00CC3D4A"/>
    <w:rsid w:val="00CF72FC"/>
    <w:rsid w:val="00D13BC6"/>
    <w:rsid w:val="00D2073D"/>
    <w:rsid w:val="00D23CD8"/>
    <w:rsid w:val="00D40F90"/>
    <w:rsid w:val="00D447E3"/>
    <w:rsid w:val="00D62BEC"/>
    <w:rsid w:val="00D665E7"/>
    <w:rsid w:val="00D729CB"/>
    <w:rsid w:val="00D74E49"/>
    <w:rsid w:val="00D75FC6"/>
    <w:rsid w:val="00D8032B"/>
    <w:rsid w:val="00D939AD"/>
    <w:rsid w:val="00DB0764"/>
    <w:rsid w:val="00DB77B2"/>
    <w:rsid w:val="00DC3E95"/>
    <w:rsid w:val="00DE78A6"/>
    <w:rsid w:val="00DF46D5"/>
    <w:rsid w:val="00DF490B"/>
    <w:rsid w:val="00E12BEE"/>
    <w:rsid w:val="00E20CAD"/>
    <w:rsid w:val="00E263C0"/>
    <w:rsid w:val="00E31EBE"/>
    <w:rsid w:val="00E45285"/>
    <w:rsid w:val="00E61B1E"/>
    <w:rsid w:val="00E62173"/>
    <w:rsid w:val="00E732A6"/>
    <w:rsid w:val="00E87ED4"/>
    <w:rsid w:val="00E92CD7"/>
    <w:rsid w:val="00EB1033"/>
    <w:rsid w:val="00EB15CD"/>
    <w:rsid w:val="00EC4C00"/>
    <w:rsid w:val="00ED6F2B"/>
    <w:rsid w:val="00ED77B9"/>
    <w:rsid w:val="00F0220C"/>
    <w:rsid w:val="00F418A5"/>
    <w:rsid w:val="00F4206C"/>
    <w:rsid w:val="00F53A97"/>
    <w:rsid w:val="00F5440B"/>
    <w:rsid w:val="00F84E25"/>
    <w:rsid w:val="00FA528F"/>
    <w:rsid w:val="00FB2FDC"/>
    <w:rsid w:val="00FC0410"/>
    <w:rsid w:val="00FC57FE"/>
    <w:rsid w:val="00FF0898"/>
    <w:rsid w:val="00FF4E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560886-72D8-4077-B220-853A93BC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link w:val="R2Char"/>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character" w:customStyle="1" w:styleId="R2Char">
    <w:name w:val="R2 Char"/>
    <w:basedOn w:val="Standardstycketeckensnitt"/>
    <w:link w:val="R2"/>
    <w:rsid w:val="005174CE"/>
    <w:rPr>
      <w:sz w:val="27"/>
      <w:lang w:val="sv-SE" w:eastAsia="sv-SE" w:bidi="ar-SA"/>
    </w:rPr>
  </w:style>
  <w:style w:type="paragraph" w:styleId="Normalwebb">
    <w:name w:val="Normal (Web)"/>
    <w:basedOn w:val="Normal"/>
    <w:rsid w:val="00BF76E0"/>
    <w:pPr>
      <w:spacing w:before="100" w:beforeAutospacing="1" w:after="100" w:afterAutospacing="1" w:line="240" w:lineRule="auto"/>
      <w:jc w:val="left"/>
    </w:pPr>
    <w:rPr>
      <w:color w:val="000000"/>
      <w:sz w:val="24"/>
      <w:szCs w:val="24"/>
    </w:rPr>
  </w:style>
  <w:style w:type="paragraph" w:styleId="Ballongtext">
    <w:name w:val="Balloon Text"/>
    <w:basedOn w:val="Normal"/>
    <w:semiHidden/>
    <w:rsid w:val="00F84E25"/>
    <w:rPr>
      <w:rFonts w:ascii="Tahoma" w:hAnsi="Tahoma" w:cs="Tahoma"/>
      <w:sz w:val="16"/>
      <w:szCs w:val="16"/>
    </w:rPr>
  </w:style>
  <w:style w:type="character" w:styleId="Hyperlnk">
    <w:name w:val="Hyperlink"/>
    <w:basedOn w:val="Standardstycketeckensnitt"/>
    <w:rsid w:val="00492C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4068</Words>
  <Characters>25185</Characters>
  <Application>Microsoft Office Word</Application>
  <DocSecurity>4</DocSecurity>
  <Lines>457</Lines>
  <Paragraphs>110</Paragraphs>
  <ScaleCrop>false</ScaleCrop>
  <HeadingPairs>
    <vt:vector size="2" baseType="variant">
      <vt:variant>
        <vt:lpstr>Rubrik</vt:lpstr>
      </vt:variant>
      <vt:variant>
        <vt:i4>1</vt:i4>
      </vt:variant>
    </vt:vector>
  </HeadingPairs>
  <TitlesOfParts>
    <vt:vector size="1" baseType="lpstr">
      <vt:lpstr>EU-nämndens yttrande</vt:lpstr>
    </vt:vector>
  </TitlesOfParts>
  <Company>Riksdagen</Company>
  <LinksUpToDate>false</LinksUpToDate>
  <CharactersWithSpaces>29143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EU-nämndens yttrande</dc:title>
  <dc:subject>EU-nämndens yttrande</dc:subject>
  <dc:creator>Riksdagen</dc:creator>
  <cp:keywords>Riksdagen</cp:keywords>
  <dc:description/>
  <cp:lastModifiedBy>Lars Brink</cp:lastModifiedBy>
  <cp:revision>2</cp:revision>
  <cp:lastPrinted>2005-04-18T14:22:00Z</cp:lastPrinted>
  <dcterms:created xsi:type="dcterms:W3CDTF">2025-12-16T18:39:00Z</dcterms:created>
  <dcterms:modified xsi:type="dcterms:W3CDTF">2025-12-16T18:39:00Z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EUN</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