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48A64184"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4EB3BB58" w:rsidR="00F65DF8" w:rsidRPr="0012669A" w:rsidRDefault="00197781" w:rsidP="00F65DF8">
            <w:pPr>
              <w:rPr>
                <w:b/>
              </w:rPr>
            </w:pPr>
            <w:r w:rsidRPr="0012669A">
              <w:rPr>
                <w:b/>
              </w:rPr>
              <w:t>UTSKOTTSSAMMANTRÄDE 20</w:t>
            </w:r>
            <w:r w:rsidR="002C5A9C">
              <w:rPr>
                <w:b/>
              </w:rPr>
              <w:t>2</w:t>
            </w:r>
            <w:r w:rsidR="009F42FA">
              <w:rPr>
                <w:b/>
              </w:rPr>
              <w:t>4</w:t>
            </w:r>
            <w:r w:rsidRPr="0012669A">
              <w:rPr>
                <w:b/>
              </w:rPr>
              <w:t>/</w:t>
            </w:r>
            <w:r w:rsidR="00113C2E" w:rsidRPr="0012669A">
              <w:rPr>
                <w:b/>
              </w:rPr>
              <w:t>2</w:t>
            </w:r>
            <w:r w:rsidR="009F42FA">
              <w:rPr>
                <w:b/>
              </w:rPr>
              <w:t>5</w:t>
            </w:r>
            <w:r w:rsidR="0060686F">
              <w:rPr>
                <w:b/>
              </w:rPr>
              <w:t>:</w:t>
            </w:r>
            <w:r w:rsidR="00B61274">
              <w:rPr>
                <w:b/>
              </w:rPr>
              <w:t>7</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7974BF33" w:rsidR="00F65DF8" w:rsidRPr="0012669A" w:rsidRDefault="00D46F51" w:rsidP="005F596C">
            <w:r w:rsidRPr="0012669A">
              <w:t>20</w:t>
            </w:r>
            <w:r w:rsidR="00F053F8" w:rsidRPr="0012669A">
              <w:t>2</w:t>
            </w:r>
            <w:r w:rsidR="00093F5C">
              <w:t>4</w:t>
            </w:r>
            <w:r w:rsidRPr="0012669A">
              <w:t>-</w:t>
            </w:r>
            <w:r w:rsidR="00C6145E">
              <w:t>1</w:t>
            </w:r>
            <w:r w:rsidR="00B61274">
              <w:t>1</w:t>
            </w:r>
            <w:r w:rsidR="004D2A50">
              <w:t>-</w:t>
            </w:r>
            <w:r w:rsidR="00B61274">
              <w:t>05</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58D559D0" w:rsidR="00393315" w:rsidRPr="0012669A" w:rsidRDefault="0069776B" w:rsidP="00920FCA">
            <w:r>
              <w:t>1</w:t>
            </w:r>
            <w:r w:rsidR="00B61274">
              <w:t>1</w:t>
            </w:r>
            <w:r w:rsidR="006A30F1">
              <w:t>.</w:t>
            </w:r>
            <w:r w:rsidR="002E12E4">
              <w:t>0</w:t>
            </w:r>
            <w:r w:rsidR="00AC75E3">
              <w:t>0</w:t>
            </w:r>
            <w:r w:rsidR="0073639C">
              <w:t>–</w:t>
            </w:r>
            <w:r w:rsidR="00875A96">
              <w:t>12.00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1FCE6AF8" w14:textId="3DC16C60" w:rsidR="00523CB0" w:rsidRDefault="00523CB0"/>
    <w:p w14:paraId="4067641C" w14:textId="5896D78C" w:rsidR="00300D60" w:rsidRDefault="00300D60"/>
    <w:p w14:paraId="2DD7ED9A" w14:textId="77777777" w:rsidR="00B338B9" w:rsidRDefault="00B338B9"/>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986202" w:rsidRPr="0012669A" w14:paraId="69F3D324" w14:textId="77777777" w:rsidTr="001324AA">
        <w:trPr>
          <w:trHeight w:val="950"/>
        </w:trPr>
        <w:tc>
          <w:tcPr>
            <w:tcW w:w="567" w:type="dxa"/>
          </w:tcPr>
          <w:p w14:paraId="0184F9C6" w14:textId="14F51C9F" w:rsidR="00986202" w:rsidRDefault="00986202" w:rsidP="00DC0D46">
            <w:pPr>
              <w:tabs>
                <w:tab w:val="left" w:pos="1701"/>
              </w:tabs>
              <w:rPr>
                <w:b/>
                <w:snapToGrid w:val="0"/>
              </w:rPr>
            </w:pPr>
            <w:r>
              <w:rPr>
                <w:b/>
                <w:snapToGrid w:val="0"/>
              </w:rPr>
              <w:t>§ 1</w:t>
            </w:r>
          </w:p>
        </w:tc>
        <w:tc>
          <w:tcPr>
            <w:tcW w:w="7162" w:type="dxa"/>
          </w:tcPr>
          <w:p w14:paraId="08E8EE1E" w14:textId="77777777" w:rsidR="00986202" w:rsidRPr="00920FCA" w:rsidRDefault="00986202" w:rsidP="00986202">
            <w:pPr>
              <w:widowControl w:val="0"/>
              <w:tabs>
                <w:tab w:val="left" w:pos="1701"/>
              </w:tabs>
              <w:rPr>
                <w:b/>
                <w:bCs/>
                <w:szCs w:val="23"/>
              </w:rPr>
            </w:pPr>
            <w:r w:rsidRPr="00920FCA">
              <w:rPr>
                <w:b/>
                <w:bCs/>
                <w:szCs w:val="23"/>
              </w:rPr>
              <w:t>Justering av protokoll</w:t>
            </w:r>
          </w:p>
          <w:p w14:paraId="6B03A2AD" w14:textId="77777777" w:rsidR="00986202" w:rsidRPr="00920FCA" w:rsidRDefault="00986202" w:rsidP="00986202">
            <w:pPr>
              <w:widowControl w:val="0"/>
              <w:tabs>
                <w:tab w:val="left" w:pos="1701"/>
              </w:tabs>
              <w:rPr>
                <w:b/>
                <w:bCs/>
                <w:szCs w:val="23"/>
              </w:rPr>
            </w:pPr>
          </w:p>
          <w:p w14:paraId="540211F5" w14:textId="1C327135" w:rsidR="00986202" w:rsidRDefault="00986202" w:rsidP="00986202">
            <w:pPr>
              <w:widowControl w:val="0"/>
              <w:tabs>
                <w:tab w:val="left" w:pos="1701"/>
              </w:tabs>
              <w:rPr>
                <w:szCs w:val="23"/>
              </w:rPr>
            </w:pPr>
            <w:r w:rsidRPr="00920FCA">
              <w:rPr>
                <w:szCs w:val="23"/>
              </w:rPr>
              <w:t>Utskottet justerade protokoll 202</w:t>
            </w:r>
            <w:r>
              <w:rPr>
                <w:szCs w:val="23"/>
              </w:rPr>
              <w:t>4</w:t>
            </w:r>
            <w:r w:rsidRPr="00920FCA">
              <w:rPr>
                <w:szCs w:val="23"/>
              </w:rPr>
              <w:t>/2</w:t>
            </w:r>
            <w:r>
              <w:rPr>
                <w:szCs w:val="23"/>
              </w:rPr>
              <w:t>5</w:t>
            </w:r>
            <w:r w:rsidRPr="00920FCA">
              <w:rPr>
                <w:szCs w:val="23"/>
              </w:rPr>
              <w:t>:</w:t>
            </w:r>
            <w:r w:rsidR="00B61274">
              <w:rPr>
                <w:szCs w:val="23"/>
              </w:rPr>
              <w:t>6</w:t>
            </w:r>
            <w:r w:rsidR="00E67025">
              <w:rPr>
                <w:szCs w:val="23"/>
              </w:rPr>
              <w:t>.</w:t>
            </w:r>
          </w:p>
          <w:p w14:paraId="656EE27D" w14:textId="1E984E57" w:rsidR="00986202" w:rsidRPr="00103FCA" w:rsidRDefault="00986202" w:rsidP="00986202">
            <w:pPr>
              <w:widowControl w:val="0"/>
              <w:tabs>
                <w:tab w:val="left" w:pos="1701"/>
              </w:tabs>
              <w:rPr>
                <w:b/>
                <w:bCs/>
              </w:rPr>
            </w:pPr>
            <w:r>
              <w:rPr>
                <w:szCs w:val="23"/>
              </w:rPr>
              <w:t xml:space="preserve"> </w:t>
            </w:r>
          </w:p>
        </w:tc>
      </w:tr>
      <w:tr w:rsidR="00B61274" w:rsidRPr="0012669A" w14:paraId="6186D3B6" w14:textId="77777777" w:rsidTr="001324AA">
        <w:trPr>
          <w:trHeight w:val="950"/>
        </w:trPr>
        <w:tc>
          <w:tcPr>
            <w:tcW w:w="567" w:type="dxa"/>
          </w:tcPr>
          <w:p w14:paraId="573D4BAB" w14:textId="46CFD75F" w:rsidR="00B61274" w:rsidRDefault="00B61274" w:rsidP="00DC0D46">
            <w:pPr>
              <w:tabs>
                <w:tab w:val="left" w:pos="1701"/>
              </w:tabs>
              <w:rPr>
                <w:b/>
                <w:snapToGrid w:val="0"/>
              </w:rPr>
            </w:pPr>
            <w:r>
              <w:rPr>
                <w:b/>
                <w:snapToGrid w:val="0"/>
              </w:rPr>
              <w:t>§ 2</w:t>
            </w:r>
          </w:p>
        </w:tc>
        <w:tc>
          <w:tcPr>
            <w:tcW w:w="7162" w:type="dxa"/>
          </w:tcPr>
          <w:p w14:paraId="0F382572" w14:textId="77777777" w:rsidR="00B61274" w:rsidRDefault="00B61274" w:rsidP="00B61274">
            <w:pPr>
              <w:spacing w:after="200" w:line="280" w:lineRule="exact"/>
              <w:rPr>
                <w:b/>
              </w:rPr>
            </w:pPr>
            <w:r w:rsidRPr="00F919A1">
              <w:rPr>
                <w:b/>
              </w:rPr>
              <w:t>Nationell säkerhetsstrategi</w:t>
            </w:r>
            <w:r>
              <w:rPr>
                <w:b/>
              </w:rPr>
              <w:t xml:space="preserve"> (NU2y)</w:t>
            </w:r>
          </w:p>
          <w:p w14:paraId="780143ED" w14:textId="14BF7F8D" w:rsidR="00B61274" w:rsidRDefault="00B61274" w:rsidP="00B61274">
            <w:pPr>
              <w:spacing w:after="200" w:line="280" w:lineRule="exact"/>
              <w:rPr>
                <w:szCs w:val="23"/>
              </w:rPr>
            </w:pPr>
            <w:r w:rsidRPr="00456895">
              <w:rPr>
                <w:color w:val="1B1B1B"/>
                <w:szCs w:val="23"/>
                <w:shd w:val="clear" w:color="auto" w:fill="FFFFFF"/>
              </w:rPr>
              <w:t xml:space="preserve">Utskottet </w:t>
            </w:r>
            <w:r>
              <w:rPr>
                <w:color w:val="1B1B1B"/>
                <w:szCs w:val="23"/>
                <w:shd w:val="clear" w:color="auto" w:fill="FFFFFF"/>
              </w:rPr>
              <w:t>fortsatte behandlingen av</w:t>
            </w:r>
            <w:r w:rsidRPr="00456895">
              <w:rPr>
                <w:color w:val="1B1B1B"/>
                <w:szCs w:val="23"/>
                <w:shd w:val="clear" w:color="auto" w:fill="FFFFFF"/>
              </w:rPr>
              <w:t xml:space="preserve"> fråga</w:t>
            </w:r>
            <w:r>
              <w:rPr>
                <w:color w:val="1B1B1B"/>
                <w:szCs w:val="23"/>
                <w:shd w:val="clear" w:color="auto" w:fill="FFFFFF"/>
              </w:rPr>
              <w:t>n</w:t>
            </w:r>
            <w:r w:rsidRPr="00456895">
              <w:rPr>
                <w:color w:val="1B1B1B"/>
                <w:szCs w:val="23"/>
                <w:shd w:val="clear" w:color="auto" w:fill="FFFFFF"/>
              </w:rPr>
              <w:t xml:space="preserve"> om yttrande till </w:t>
            </w:r>
            <w:r>
              <w:rPr>
                <w:color w:val="1B1B1B"/>
                <w:szCs w:val="23"/>
                <w:shd w:val="clear" w:color="auto" w:fill="FFFFFF"/>
              </w:rPr>
              <w:t>utrikes</w:t>
            </w:r>
            <w:r w:rsidRPr="001D4FF7">
              <w:rPr>
                <w:color w:val="1B1B1B"/>
                <w:szCs w:val="23"/>
                <w:shd w:val="clear" w:color="auto" w:fill="FFFFFF"/>
              </w:rPr>
              <w:t>utskottet</w:t>
            </w:r>
            <w:r>
              <w:rPr>
                <w:color w:val="1B1B1B"/>
                <w:szCs w:val="23"/>
                <w:shd w:val="clear" w:color="auto" w:fill="FFFFFF"/>
              </w:rPr>
              <w:t xml:space="preserve"> över </w:t>
            </w:r>
            <w:r>
              <w:rPr>
                <w:szCs w:val="23"/>
              </w:rPr>
              <w:t>s</w:t>
            </w:r>
            <w:r w:rsidRPr="00F919A1">
              <w:rPr>
                <w:szCs w:val="23"/>
              </w:rPr>
              <w:t>krivelse​ 2023/24:163</w:t>
            </w:r>
            <w:r>
              <w:rPr>
                <w:szCs w:val="23"/>
              </w:rPr>
              <w:t xml:space="preserve"> och motioner.</w:t>
            </w:r>
          </w:p>
          <w:p w14:paraId="30E46A7D" w14:textId="156FB038" w:rsidR="00B61274" w:rsidRDefault="00B61274" w:rsidP="00B61274">
            <w:pPr>
              <w:spacing w:after="200" w:line="280" w:lineRule="exact"/>
            </w:pPr>
            <w:r w:rsidRPr="00E118EC">
              <w:t xml:space="preserve">Utskottet justerade </w:t>
            </w:r>
            <w:r>
              <w:t>yttrande</w:t>
            </w:r>
            <w:r w:rsidRPr="00E118EC">
              <w:t xml:space="preserve"> 2024/25:NU</w:t>
            </w:r>
            <w:r>
              <w:t>2y</w:t>
            </w:r>
            <w:r w:rsidRPr="00E118EC">
              <w:t>.</w:t>
            </w:r>
          </w:p>
          <w:p w14:paraId="118D0B1C" w14:textId="233A44BF" w:rsidR="00B61274" w:rsidRDefault="00B61274" w:rsidP="00B61274">
            <w:pPr>
              <w:spacing w:after="200" w:line="280" w:lineRule="exact"/>
            </w:pPr>
            <w:r>
              <w:t>S</w:t>
            </w:r>
            <w:r w:rsidRPr="00E118EC">
              <w:t>-ledamöterna anmälde avvikande mening</w:t>
            </w:r>
            <w:r>
              <w:t>.</w:t>
            </w:r>
          </w:p>
          <w:p w14:paraId="658CB19D" w14:textId="60E36A16" w:rsidR="00B61274" w:rsidRPr="00B61274" w:rsidRDefault="00B61274" w:rsidP="00B61274">
            <w:pPr>
              <w:spacing w:after="200" w:line="280" w:lineRule="exact"/>
              <w:rPr>
                <w:szCs w:val="23"/>
              </w:rPr>
            </w:pPr>
            <w:r>
              <w:rPr>
                <w:szCs w:val="23"/>
              </w:rPr>
              <w:t>V-, C- och MP</w:t>
            </w:r>
            <w:r w:rsidRPr="00B61274">
              <w:rPr>
                <w:szCs w:val="23"/>
              </w:rPr>
              <w:t>-ledamöterna anmälde särskilda yttranden.</w:t>
            </w:r>
          </w:p>
        </w:tc>
      </w:tr>
      <w:tr w:rsidR="00C6145E" w:rsidRPr="0012669A" w14:paraId="2DD5D5B1" w14:textId="77777777" w:rsidTr="00C6145E">
        <w:trPr>
          <w:trHeight w:val="1881"/>
        </w:trPr>
        <w:tc>
          <w:tcPr>
            <w:tcW w:w="567" w:type="dxa"/>
          </w:tcPr>
          <w:p w14:paraId="6568777D" w14:textId="513F8536" w:rsidR="00C6145E" w:rsidRDefault="00C6145E" w:rsidP="00DC0D46">
            <w:pPr>
              <w:tabs>
                <w:tab w:val="left" w:pos="1701"/>
              </w:tabs>
              <w:rPr>
                <w:b/>
                <w:snapToGrid w:val="0"/>
              </w:rPr>
            </w:pPr>
            <w:r>
              <w:rPr>
                <w:b/>
                <w:snapToGrid w:val="0"/>
              </w:rPr>
              <w:t>§ 3</w:t>
            </w:r>
          </w:p>
        </w:tc>
        <w:tc>
          <w:tcPr>
            <w:tcW w:w="7162" w:type="dxa"/>
          </w:tcPr>
          <w:p w14:paraId="420C3960" w14:textId="1CB8C422" w:rsidR="00E8434D" w:rsidRDefault="00E8434D" w:rsidP="00E8434D">
            <w:pPr>
              <w:widowControl w:val="0"/>
              <w:tabs>
                <w:tab w:val="left" w:pos="1701"/>
              </w:tabs>
              <w:rPr>
                <w:b/>
                <w:bCs/>
                <w:szCs w:val="23"/>
              </w:rPr>
            </w:pPr>
            <w:r w:rsidRPr="00B056D9">
              <w:rPr>
                <w:b/>
                <w:bCs/>
                <w:szCs w:val="23"/>
              </w:rPr>
              <w:t>Utgiftsramar för utgiftsområdena 19 Regional utveckling, 21 Energi och 24 Näringsliv</w:t>
            </w:r>
            <w:r>
              <w:rPr>
                <w:b/>
                <w:bCs/>
                <w:szCs w:val="23"/>
              </w:rPr>
              <w:t xml:space="preserve"> (NU3y)</w:t>
            </w:r>
          </w:p>
          <w:p w14:paraId="6A01F010" w14:textId="03B185B2" w:rsidR="00E8434D" w:rsidRDefault="00E8434D" w:rsidP="00E8434D">
            <w:pPr>
              <w:widowControl w:val="0"/>
              <w:tabs>
                <w:tab w:val="left" w:pos="1701"/>
              </w:tabs>
              <w:rPr>
                <w:iCs/>
              </w:rPr>
            </w:pPr>
            <w:r>
              <w:rPr>
                <w:szCs w:val="23"/>
              </w:rPr>
              <w:br/>
            </w:r>
            <w:r w:rsidRPr="00E2595C">
              <w:rPr>
                <w:iCs/>
              </w:rPr>
              <w:t xml:space="preserve">Utskottet </w:t>
            </w:r>
            <w:r>
              <w:rPr>
                <w:iCs/>
              </w:rPr>
              <w:t>fortsatte behandlingen av frågan om ett yttrande</w:t>
            </w:r>
            <w:r w:rsidRPr="00E2595C">
              <w:rPr>
                <w:iCs/>
              </w:rPr>
              <w:t xml:space="preserve"> till finansutskottet över proposition 202</w:t>
            </w:r>
            <w:r>
              <w:rPr>
                <w:iCs/>
              </w:rPr>
              <w:t>4</w:t>
            </w:r>
            <w:r w:rsidRPr="00E2595C">
              <w:rPr>
                <w:iCs/>
              </w:rPr>
              <w:t>/2</w:t>
            </w:r>
            <w:r>
              <w:rPr>
                <w:iCs/>
              </w:rPr>
              <w:t>5</w:t>
            </w:r>
            <w:r w:rsidRPr="00E2595C">
              <w:rPr>
                <w:iCs/>
              </w:rPr>
              <w:t xml:space="preserve">:1 (budgetpropositionen) såvitt gäller budgetens utgiftsramar och motioner. </w:t>
            </w:r>
          </w:p>
          <w:p w14:paraId="4C62A2D4" w14:textId="7F0D7C73" w:rsidR="00FF10BB" w:rsidRDefault="00FF10BB" w:rsidP="00E8434D">
            <w:pPr>
              <w:widowControl w:val="0"/>
              <w:tabs>
                <w:tab w:val="left" w:pos="1701"/>
              </w:tabs>
              <w:rPr>
                <w:iCs/>
              </w:rPr>
            </w:pPr>
          </w:p>
          <w:p w14:paraId="293AFABA" w14:textId="71894BFB" w:rsidR="00FF10BB" w:rsidRDefault="00FF10BB" w:rsidP="00FF10BB">
            <w:pPr>
              <w:spacing w:after="200" w:line="280" w:lineRule="exact"/>
            </w:pPr>
            <w:r w:rsidRPr="00E118EC">
              <w:t xml:space="preserve">Utskottet justerade </w:t>
            </w:r>
            <w:r>
              <w:t>yttrande</w:t>
            </w:r>
            <w:r w:rsidRPr="00E118EC">
              <w:t xml:space="preserve"> 2024/25:NU</w:t>
            </w:r>
            <w:r>
              <w:t>3y</w:t>
            </w:r>
            <w:r w:rsidRPr="00E118EC">
              <w:t>.</w:t>
            </w:r>
          </w:p>
          <w:p w14:paraId="14AFD524" w14:textId="77777777" w:rsidR="00E8434D" w:rsidRDefault="00B61274" w:rsidP="00E8434D">
            <w:pPr>
              <w:widowControl w:val="0"/>
              <w:rPr>
                <w:bCs/>
              </w:rPr>
            </w:pPr>
            <w:r w:rsidRPr="00B61274">
              <w:rPr>
                <w:bCs/>
              </w:rPr>
              <w:t>S</w:t>
            </w:r>
            <w:r>
              <w:rPr>
                <w:bCs/>
              </w:rPr>
              <w:t xml:space="preserve">-, </w:t>
            </w:r>
            <w:r w:rsidRPr="00B61274">
              <w:rPr>
                <w:bCs/>
              </w:rPr>
              <w:t>V</w:t>
            </w:r>
            <w:r>
              <w:rPr>
                <w:bCs/>
              </w:rPr>
              <w:t xml:space="preserve">-, </w:t>
            </w:r>
            <w:r w:rsidRPr="00B61274">
              <w:rPr>
                <w:bCs/>
              </w:rPr>
              <w:t>C</w:t>
            </w:r>
            <w:r>
              <w:rPr>
                <w:bCs/>
              </w:rPr>
              <w:t xml:space="preserve">- och </w:t>
            </w:r>
            <w:r w:rsidRPr="00B61274">
              <w:rPr>
                <w:bCs/>
              </w:rPr>
              <w:t>MP</w:t>
            </w:r>
            <w:r>
              <w:rPr>
                <w:bCs/>
              </w:rPr>
              <w:t xml:space="preserve">-ledamöterna anmälde </w:t>
            </w:r>
            <w:r w:rsidRPr="00B61274">
              <w:rPr>
                <w:bCs/>
              </w:rPr>
              <w:t>avvikande meningar</w:t>
            </w:r>
            <w:r>
              <w:rPr>
                <w:bCs/>
              </w:rPr>
              <w:t>.</w:t>
            </w:r>
          </w:p>
          <w:p w14:paraId="73BCD21F" w14:textId="4D71755A" w:rsidR="00B61274" w:rsidRPr="00E8434D" w:rsidRDefault="00B61274" w:rsidP="00E8434D">
            <w:pPr>
              <w:widowControl w:val="0"/>
              <w:rPr>
                <w:bCs/>
              </w:rPr>
            </w:pPr>
          </w:p>
        </w:tc>
      </w:tr>
      <w:tr w:rsidR="00B07E00" w:rsidRPr="0012669A" w14:paraId="0D50976C" w14:textId="77777777" w:rsidTr="00C6145E">
        <w:trPr>
          <w:trHeight w:val="1881"/>
        </w:trPr>
        <w:tc>
          <w:tcPr>
            <w:tcW w:w="567" w:type="dxa"/>
          </w:tcPr>
          <w:p w14:paraId="6BF762D0" w14:textId="427E48AA" w:rsidR="00B07E00" w:rsidRDefault="00B07E00" w:rsidP="00DC0D46">
            <w:pPr>
              <w:tabs>
                <w:tab w:val="left" w:pos="1701"/>
              </w:tabs>
              <w:rPr>
                <w:b/>
                <w:snapToGrid w:val="0"/>
              </w:rPr>
            </w:pPr>
            <w:r>
              <w:rPr>
                <w:b/>
                <w:snapToGrid w:val="0"/>
              </w:rPr>
              <w:t>§ 4</w:t>
            </w:r>
          </w:p>
        </w:tc>
        <w:tc>
          <w:tcPr>
            <w:tcW w:w="7162" w:type="dxa"/>
          </w:tcPr>
          <w:p w14:paraId="5FC56F7E" w14:textId="77777777" w:rsidR="00B07E00" w:rsidRDefault="00B07E00" w:rsidP="00375A41">
            <w:pPr>
              <w:widowControl w:val="0"/>
              <w:tabs>
                <w:tab w:val="left" w:pos="1701"/>
              </w:tabs>
              <w:rPr>
                <w:b/>
                <w:bCs/>
                <w:szCs w:val="23"/>
              </w:rPr>
            </w:pPr>
            <w:r>
              <w:rPr>
                <w:b/>
                <w:bCs/>
                <w:szCs w:val="23"/>
              </w:rPr>
              <w:t>Utkast till rådslutsatser om den europeiska konkurrenskraftens framtid</w:t>
            </w:r>
          </w:p>
          <w:p w14:paraId="73081BD3" w14:textId="77777777" w:rsidR="00B07E00" w:rsidRDefault="00B07E00" w:rsidP="003D2018">
            <w:pPr>
              <w:widowControl w:val="0"/>
              <w:tabs>
                <w:tab w:val="left" w:pos="1701"/>
              </w:tabs>
              <w:ind w:left="570"/>
              <w:rPr>
                <w:b/>
                <w:bCs/>
                <w:szCs w:val="23"/>
              </w:rPr>
            </w:pPr>
          </w:p>
          <w:p w14:paraId="5A3F5B96" w14:textId="747294A3" w:rsidR="00FF10BB" w:rsidRDefault="00FF10BB" w:rsidP="00375A41">
            <w:pPr>
              <w:widowControl w:val="0"/>
              <w:tabs>
                <w:tab w:val="left" w:pos="1701"/>
              </w:tabs>
              <w:rPr>
                <w:szCs w:val="23"/>
              </w:rPr>
            </w:pPr>
            <w:r w:rsidRPr="00EC1072">
              <w:rPr>
                <w:szCs w:val="23"/>
              </w:rPr>
              <w:t xml:space="preserve">Utskottet överlade med statssekreterare </w:t>
            </w:r>
            <w:r>
              <w:rPr>
                <w:szCs w:val="23"/>
              </w:rPr>
              <w:t>Sara Modig</w:t>
            </w:r>
            <w:r w:rsidRPr="00EC1072">
              <w:rPr>
                <w:szCs w:val="23"/>
              </w:rPr>
              <w:t xml:space="preserve">, biträdd av medarbetare från </w:t>
            </w:r>
            <w:r>
              <w:rPr>
                <w:szCs w:val="23"/>
              </w:rPr>
              <w:t>Klimat- och näringslivsdepartemen</w:t>
            </w:r>
            <w:r w:rsidRPr="00EC1072">
              <w:rPr>
                <w:szCs w:val="23"/>
              </w:rPr>
              <w:t>t</w:t>
            </w:r>
            <w:r>
              <w:rPr>
                <w:szCs w:val="23"/>
              </w:rPr>
              <w:t>et</w:t>
            </w:r>
            <w:r w:rsidR="00375A41">
              <w:rPr>
                <w:szCs w:val="23"/>
              </w:rPr>
              <w:t xml:space="preserve">, Utrikesdepartementet och Statsrådsberedningen. </w:t>
            </w:r>
          </w:p>
          <w:p w14:paraId="6FE089E3" w14:textId="77777777" w:rsidR="00B07E00" w:rsidRDefault="00B07E00" w:rsidP="00375A41">
            <w:pPr>
              <w:widowControl w:val="0"/>
              <w:tabs>
                <w:tab w:val="left" w:pos="1701"/>
              </w:tabs>
              <w:rPr>
                <w:b/>
                <w:bCs/>
                <w:szCs w:val="23"/>
              </w:rPr>
            </w:pPr>
          </w:p>
          <w:p w14:paraId="1416BC7C" w14:textId="158BF25B" w:rsidR="00FF10BB" w:rsidRDefault="00FF10BB" w:rsidP="00375A41">
            <w:pPr>
              <w:widowControl w:val="0"/>
              <w:tabs>
                <w:tab w:val="left" w:pos="1701"/>
              </w:tabs>
              <w:rPr>
                <w:szCs w:val="23"/>
              </w:rPr>
            </w:pPr>
            <w:r w:rsidRPr="00EC1072">
              <w:rPr>
                <w:szCs w:val="23"/>
              </w:rPr>
              <w:t xml:space="preserve">Statssekreterare </w:t>
            </w:r>
            <w:r>
              <w:rPr>
                <w:szCs w:val="23"/>
              </w:rPr>
              <w:t>Sara Modig</w:t>
            </w:r>
            <w:r w:rsidRPr="00EC1072">
              <w:rPr>
                <w:szCs w:val="23"/>
              </w:rPr>
              <w:t xml:space="preserve"> redogjorde för regeringens ståndpunkt i enlighet med </w:t>
            </w:r>
            <w:r>
              <w:rPr>
                <w:szCs w:val="23"/>
              </w:rPr>
              <w:t>överläggningspromemorian:</w:t>
            </w:r>
            <w:r w:rsidR="00361F93">
              <w:rPr>
                <w:szCs w:val="23"/>
              </w:rPr>
              <w:t xml:space="preserve"> </w:t>
            </w:r>
            <w:r w:rsidR="00361F93" w:rsidRPr="00361F93">
              <w:rPr>
                <w:szCs w:val="23"/>
              </w:rPr>
              <w:t>(dnr. NU-1.8.4-</w:t>
            </w:r>
            <w:r w:rsidR="00973A7E">
              <w:rPr>
                <w:szCs w:val="23"/>
              </w:rPr>
              <w:t>466</w:t>
            </w:r>
            <w:r w:rsidR="00361F93" w:rsidRPr="00361F93">
              <w:rPr>
                <w:szCs w:val="23"/>
              </w:rPr>
              <w:t>-202</w:t>
            </w:r>
            <w:r w:rsidR="00361F93">
              <w:rPr>
                <w:szCs w:val="23"/>
              </w:rPr>
              <w:t>4</w:t>
            </w:r>
            <w:r w:rsidR="00361F93" w:rsidRPr="00361F93">
              <w:rPr>
                <w:szCs w:val="23"/>
              </w:rPr>
              <w:t>/2</w:t>
            </w:r>
            <w:r w:rsidR="00361F93">
              <w:rPr>
                <w:szCs w:val="23"/>
              </w:rPr>
              <w:t>5</w:t>
            </w:r>
            <w:r w:rsidR="00361F93" w:rsidRPr="00361F93">
              <w:rPr>
                <w:szCs w:val="23"/>
              </w:rPr>
              <w:t>).</w:t>
            </w:r>
          </w:p>
          <w:p w14:paraId="79494921" w14:textId="0B876DFA" w:rsidR="003D2018" w:rsidRDefault="003D2018" w:rsidP="003D2018">
            <w:pPr>
              <w:widowControl w:val="0"/>
              <w:tabs>
                <w:tab w:val="left" w:pos="1701"/>
              </w:tabs>
              <w:ind w:left="570"/>
              <w:rPr>
                <w:szCs w:val="23"/>
              </w:rPr>
            </w:pPr>
          </w:p>
          <w:p w14:paraId="2FCE4834" w14:textId="78DD7AA2" w:rsidR="003D2018" w:rsidRDefault="003D2018" w:rsidP="003D2018">
            <w:pPr>
              <w:widowControl w:val="0"/>
              <w:tabs>
                <w:tab w:val="left" w:pos="1701"/>
              </w:tabs>
              <w:ind w:left="570"/>
              <w:rPr>
                <w:szCs w:val="23"/>
              </w:rPr>
            </w:pPr>
            <w:r w:rsidRPr="003D2018">
              <w:rPr>
                <w:szCs w:val="23"/>
              </w:rPr>
              <w:t>Det är för regeringen fortsatt prioriterat att EU arbetar målmed</w:t>
            </w:r>
            <w:r w:rsidR="00655DB0">
              <w:rPr>
                <w:szCs w:val="23"/>
              </w:rPr>
              <w:softHyphen/>
            </w:r>
            <w:r w:rsidRPr="003D2018">
              <w:rPr>
                <w:szCs w:val="23"/>
              </w:rPr>
              <w:t>vetet med att stärka sin konkurrenskraft och produktivitet, därige</w:t>
            </w:r>
            <w:r w:rsidR="00655DB0">
              <w:rPr>
                <w:szCs w:val="23"/>
              </w:rPr>
              <w:softHyphen/>
            </w:r>
            <w:r w:rsidRPr="003D2018">
              <w:rPr>
                <w:szCs w:val="23"/>
              </w:rPr>
              <w:t>nom skapas ekonomisk tillväxt.</w:t>
            </w:r>
          </w:p>
          <w:p w14:paraId="1F270850" w14:textId="77777777" w:rsidR="003D2018" w:rsidRPr="003D2018" w:rsidRDefault="003D2018" w:rsidP="003D2018">
            <w:pPr>
              <w:widowControl w:val="0"/>
              <w:tabs>
                <w:tab w:val="left" w:pos="1701"/>
              </w:tabs>
              <w:ind w:left="570"/>
              <w:rPr>
                <w:szCs w:val="23"/>
              </w:rPr>
            </w:pPr>
          </w:p>
          <w:p w14:paraId="17B4C2C4" w14:textId="047C0DA8" w:rsidR="003D2018" w:rsidRPr="003D2018" w:rsidRDefault="003D2018" w:rsidP="003D2018">
            <w:pPr>
              <w:widowControl w:val="0"/>
              <w:tabs>
                <w:tab w:val="left" w:pos="1701"/>
              </w:tabs>
              <w:ind w:left="570"/>
              <w:rPr>
                <w:szCs w:val="23"/>
              </w:rPr>
            </w:pPr>
            <w:r w:rsidRPr="003D2018">
              <w:rPr>
                <w:szCs w:val="23"/>
              </w:rPr>
              <w:t xml:space="preserve">Sverige är en stark innovations- och industrination som har mycket </w:t>
            </w:r>
            <w:r w:rsidRPr="003D2018">
              <w:rPr>
                <w:szCs w:val="23"/>
              </w:rPr>
              <w:lastRenderedPageBreak/>
              <w:t>att bidra med i omställningsarbetet, exempelvis när det gäller rå</w:t>
            </w:r>
            <w:r w:rsidR="00655DB0">
              <w:rPr>
                <w:szCs w:val="23"/>
              </w:rPr>
              <w:softHyphen/>
            </w:r>
            <w:r w:rsidRPr="003D2018">
              <w:rPr>
                <w:szCs w:val="23"/>
              </w:rPr>
              <w:t xml:space="preserve">material, </w:t>
            </w:r>
            <w:proofErr w:type="spellStart"/>
            <w:r w:rsidRPr="003D2018">
              <w:rPr>
                <w:szCs w:val="23"/>
              </w:rPr>
              <w:t>nettonolltekniker</w:t>
            </w:r>
            <w:proofErr w:type="spellEnd"/>
            <w:r w:rsidRPr="003D2018">
              <w:rPr>
                <w:szCs w:val="23"/>
              </w:rPr>
              <w:t xml:space="preserve"> och basindustri, liksom erfarenheter av hur den gröna omställningen och stärkt konkurrenskraft är ömsesi</w:t>
            </w:r>
            <w:r w:rsidR="00655DB0">
              <w:rPr>
                <w:szCs w:val="23"/>
              </w:rPr>
              <w:softHyphen/>
            </w:r>
            <w:r w:rsidRPr="003D2018">
              <w:rPr>
                <w:szCs w:val="23"/>
              </w:rPr>
              <w:t>digt förstärkande. Regeringen är därför positiv till att omställ</w:t>
            </w:r>
            <w:r w:rsidR="00655DB0">
              <w:rPr>
                <w:szCs w:val="23"/>
              </w:rPr>
              <w:softHyphen/>
            </w:r>
            <w:r w:rsidRPr="003D2018">
              <w:rPr>
                <w:szCs w:val="23"/>
              </w:rPr>
              <w:t>ningen lyfts fram liksom att en koppling görs mellan innovation, forskning, digitalisering, inre marknaden och industri för stärkt konkurrenskraft. Det är likaså bra att behovet av att skydda och kommersialisera innovation betonas.</w:t>
            </w:r>
          </w:p>
          <w:p w14:paraId="0CA0A4CF" w14:textId="136E9F2A" w:rsidR="003D2018" w:rsidRPr="003D2018" w:rsidRDefault="003D2018" w:rsidP="003D2018">
            <w:pPr>
              <w:widowControl w:val="0"/>
              <w:tabs>
                <w:tab w:val="left" w:pos="1701"/>
              </w:tabs>
              <w:ind w:left="570"/>
              <w:rPr>
                <w:szCs w:val="23"/>
              </w:rPr>
            </w:pPr>
          </w:p>
          <w:p w14:paraId="09DF573E" w14:textId="0F68AA3C" w:rsidR="003D2018" w:rsidRDefault="003D2018" w:rsidP="003D2018">
            <w:pPr>
              <w:widowControl w:val="0"/>
              <w:tabs>
                <w:tab w:val="left" w:pos="1701"/>
              </w:tabs>
              <w:ind w:left="570"/>
              <w:rPr>
                <w:szCs w:val="23"/>
              </w:rPr>
            </w:pPr>
            <w:r w:rsidRPr="003D2018">
              <w:rPr>
                <w:szCs w:val="23"/>
              </w:rPr>
              <w:t>Regeringen välkomnar att den inre marknaden lyfts fram som en hörnsten för att stärka konkurrenskraften, och i synnerhet planerna på en ny inre marknadsstrategi där regeringen kommer verka för konkreta åtgärder inom inre marknadens kärnområden, där till ex</w:t>
            </w:r>
            <w:r w:rsidR="00655DB0">
              <w:rPr>
                <w:szCs w:val="23"/>
              </w:rPr>
              <w:softHyphen/>
            </w:r>
            <w:r w:rsidRPr="003D2018">
              <w:rPr>
                <w:szCs w:val="23"/>
              </w:rPr>
              <w:t>empel tjänstesektorn och tjänstehindersarbetet behöver betonas där omotiverade hinder fortfarande består. Regeringen är också positiv till att ordförandeskapet lyfter behovet av regelförenkling och minskade rapporteringskrav för företag. Det ligger i linje med den utfästelse som kommissionens ordförande har gjort om minskade rapporteringskrav i EU-lagstiftningen med 25 procent. På energisi</w:t>
            </w:r>
            <w:r w:rsidR="00655DB0">
              <w:rPr>
                <w:szCs w:val="23"/>
              </w:rPr>
              <w:softHyphen/>
            </w:r>
            <w:r w:rsidRPr="003D2018">
              <w:rPr>
                <w:szCs w:val="23"/>
              </w:rPr>
              <w:t>dan vore det önskvärt att dra detta ännu längre till att även inklu</w:t>
            </w:r>
            <w:r w:rsidR="00655DB0">
              <w:rPr>
                <w:szCs w:val="23"/>
              </w:rPr>
              <w:softHyphen/>
            </w:r>
            <w:r w:rsidRPr="003D2018">
              <w:rPr>
                <w:szCs w:val="23"/>
              </w:rPr>
              <w:t>dera mindre detaljreglering i energilagstiftning.</w:t>
            </w:r>
          </w:p>
          <w:p w14:paraId="52402C9D" w14:textId="77777777" w:rsidR="003D2018" w:rsidRPr="003D2018" w:rsidRDefault="003D2018" w:rsidP="003D2018">
            <w:pPr>
              <w:widowControl w:val="0"/>
              <w:tabs>
                <w:tab w:val="left" w:pos="1701"/>
              </w:tabs>
              <w:ind w:left="570"/>
              <w:rPr>
                <w:szCs w:val="23"/>
              </w:rPr>
            </w:pPr>
          </w:p>
          <w:p w14:paraId="5822A849" w14:textId="0C913CDE" w:rsidR="003D2018" w:rsidRDefault="003D2018" w:rsidP="003D2018">
            <w:pPr>
              <w:widowControl w:val="0"/>
              <w:tabs>
                <w:tab w:val="left" w:pos="1701"/>
              </w:tabs>
              <w:ind w:left="570"/>
              <w:rPr>
                <w:szCs w:val="23"/>
              </w:rPr>
            </w:pPr>
            <w:r w:rsidRPr="003D2018">
              <w:rPr>
                <w:szCs w:val="23"/>
              </w:rPr>
              <w:t>Det är för regeringen viktigt att konkurrenskraftsfrågorna beaktas i arbete med ny och ändrad lagstiftning där det kan vara relevant. Koherens bör eftersträvas. Regeringen kommer även verka för skrivningar som understryker vikten av att genomföra existerande lagstiftning och att framtida strategier som bygger på befintlig lag</w:t>
            </w:r>
            <w:r w:rsidR="00655DB0">
              <w:rPr>
                <w:szCs w:val="23"/>
              </w:rPr>
              <w:softHyphen/>
            </w:r>
            <w:r w:rsidRPr="003D2018">
              <w:rPr>
                <w:szCs w:val="23"/>
              </w:rPr>
              <w:t>stiftning på området, som exempelvis den aviserade nya planen för kvantchips.</w:t>
            </w:r>
          </w:p>
          <w:p w14:paraId="26E2AAC8" w14:textId="77777777" w:rsidR="003D2018" w:rsidRPr="003D2018" w:rsidRDefault="003D2018" w:rsidP="003D2018">
            <w:pPr>
              <w:widowControl w:val="0"/>
              <w:tabs>
                <w:tab w:val="left" w:pos="1701"/>
              </w:tabs>
              <w:ind w:left="570"/>
              <w:rPr>
                <w:szCs w:val="23"/>
              </w:rPr>
            </w:pPr>
          </w:p>
          <w:p w14:paraId="449ECC4A" w14:textId="639C5519" w:rsidR="003D2018" w:rsidRDefault="003D2018" w:rsidP="003D2018">
            <w:pPr>
              <w:widowControl w:val="0"/>
              <w:tabs>
                <w:tab w:val="left" w:pos="1701"/>
              </w:tabs>
              <w:ind w:left="570"/>
              <w:rPr>
                <w:szCs w:val="23"/>
              </w:rPr>
            </w:pPr>
            <w:r w:rsidRPr="003D2018">
              <w:rPr>
                <w:szCs w:val="23"/>
              </w:rPr>
              <w:t>För regeringen är det viktigt att framtida initiativ fokuserar på att stärka ramvillkoren för företag att verka och växa inom EU. Om företagen ska lyckas med den gröna och digitala omställningen måste fossila bränslen fasas ut och tillgången till stabil och billig energi öka. Därför avser regeringen verka för skrivningar som även beaktar energiomställningen och företagens behov av tillgång till fossilfri energi, inklusive kärnkraft. En teknikneutral ansats är nödvändig och fossilfri energi bidrar även till ett mer motstånds</w:t>
            </w:r>
            <w:r w:rsidR="00655DB0">
              <w:rPr>
                <w:szCs w:val="23"/>
              </w:rPr>
              <w:softHyphen/>
            </w:r>
            <w:r w:rsidRPr="003D2018">
              <w:rPr>
                <w:szCs w:val="23"/>
              </w:rPr>
              <w:t>kraftigt EU.</w:t>
            </w:r>
          </w:p>
          <w:p w14:paraId="072079AC" w14:textId="77777777" w:rsidR="003D2018" w:rsidRPr="003D2018" w:rsidRDefault="003D2018" w:rsidP="003D2018">
            <w:pPr>
              <w:widowControl w:val="0"/>
              <w:tabs>
                <w:tab w:val="left" w:pos="1701"/>
              </w:tabs>
              <w:ind w:left="570"/>
              <w:rPr>
                <w:szCs w:val="23"/>
              </w:rPr>
            </w:pPr>
          </w:p>
          <w:p w14:paraId="1B100F92" w14:textId="03E87D0D" w:rsidR="003D2018" w:rsidRDefault="003D2018" w:rsidP="003D2018">
            <w:pPr>
              <w:widowControl w:val="0"/>
              <w:tabs>
                <w:tab w:val="left" w:pos="1701"/>
              </w:tabs>
              <w:ind w:left="570"/>
              <w:rPr>
                <w:szCs w:val="23"/>
              </w:rPr>
            </w:pPr>
            <w:r w:rsidRPr="003D2018">
              <w:rPr>
                <w:szCs w:val="23"/>
              </w:rPr>
              <w:t>Regeringen noterar att slutsatserna lägger tonvikt vid att stärka den europeiska fordonsindustrin, med särskilt fokus på elektrifiering. Regeringen ska verka för att även för att inkludera skrivningar om goda ramvillkor som främjar grön omställning, till exempel en europeisk batteriproduktion och dess värdekedja.</w:t>
            </w:r>
          </w:p>
          <w:p w14:paraId="09120CBB" w14:textId="77777777" w:rsidR="003D2018" w:rsidRPr="003D2018" w:rsidRDefault="003D2018" w:rsidP="003D2018">
            <w:pPr>
              <w:widowControl w:val="0"/>
              <w:tabs>
                <w:tab w:val="left" w:pos="1701"/>
              </w:tabs>
              <w:ind w:left="570"/>
              <w:rPr>
                <w:szCs w:val="23"/>
              </w:rPr>
            </w:pPr>
          </w:p>
          <w:p w14:paraId="0D3CEAEC" w14:textId="6EAFD931" w:rsidR="003D2018" w:rsidRDefault="003D2018" w:rsidP="003D2018">
            <w:pPr>
              <w:widowControl w:val="0"/>
              <w:tabs>
                <w:tab w:val="left" w:pos="1701"/>
              </w:tabs>
              <w:ind w:left="570"/>
              <w:rPr>
                <w:szCs w:val="23"/>
              </w:rPr>
            </w:pPr>
            <w:r w:rsidRPr="003D2018">
              <w:rPr>
                <w:szCs w:val="23"/>
              </w:rPr>
              <w:t>Regeringen noterar att slutsatserna lyfter fram behovet av ökade privata och offentliga investeringar för att främja konkurrenskraf</w:t>
            </w:r>
            <w:r w:rsidR="00655DB0">
              <w:rPr>
                <w:szCs w:val="23"/>
              </w:rPr>
              <w:softHyphen/>
            </w:r>
            <w:r w:rsidRPr="003D2018">
              <w:rPr>
                <w:szCs w:val="23"/>
              </w:rPr>
              <w:t>ten inom EU, och särskilt inom sektorer som anses strategiskt vik</w:t>
            </w:r>
            <w:r w:rsidR="00655DB0">
              <w:rPr>
                <w:szCs w:val="23"/>
              </w:rPr>
              <w:softHyphen/>
            </w:r>
            <w:r w:rsidRPr="003D2018">
              <w:rPr>
                <w:szCs w:val="23"/>
              </w:rPr>
              <w:t>tiga. Regeringen instämmer i att EU behöver skapa bättre förutsätt</w:t>
            </w:r>
            <w:r w:rsidR="00655DB0">
              <w:rPr>
                <w:szCs w:val="23"/>
              </w:rPr>
              <w:softHyphen/>
            </w:r>
            <w:r w:rsidRPr="003D2018">
              <w:rPr>
                <w:szCs w:val="23"/>
              </w:rPr>
              <w:t>ningar för företag verksamma i EU att vara konkurrenskraftiga i viktiga framtidssektorer, särskild sådana som handlar om den gröna och digitala omställningen. Samtidigt behöver en struktur</w:t>
            </w:r>
            <w:r w:rsidR="00655DB0">
              <w:rPr>
                <w:szCs w:val="23"/>
              </w:rPr>
              <w:softHyphen/>
            </w:r>
            <w:r w:rsidRPr="003D2018">
              <w:rPr>
                <w:szCs w:val="23"/>
              </w:rPr>
              <w:t>omvandling även ske i medlemsländerna. Regeringen instämmer</w:t>
            </w:r>
            <w:r>
              <w:rPr>
                <w:szCs w:val="23"/>
              </w:rPr>
              <w:t xml:space="preserve"> </w:t>
            </w:r>
            <w:r w:rsidRPr="003D2018">
              <w:rPr>
                <w:szCs w:val="23"/>
              </w:rPr>
              <w:t xml:space="preserve">vidare i att EU behöver minska sina strategiska beroenden för att </w:t>
            </w:r>
            <w:r w:rsidRPr="003D2018">
              <w:rPr>
                <w:szCs w:val="23"/>
              </w:rPr>
              <w:lastRenderedPageBreak/>
              <w:t>bli mer motståndskraftigt. Fokus för arbetet bör ligga på särskilt skadliga beroenden. Marknadsorienterade lösningar bör så långt som möjligt sökas för att begränsa dessa. För regeringen är det dock viktigt att understryka att inte alla beroenden är skadliga och att det behöver göras en tydlig avvägning mellan beroenden som kan anses som strategiska eller skadliga och inte.</w:t>
            </w:r>
          </w:p>
          <w:p w14:paraId="1E11ACE4" w14:textId="77777777" w:rsidR="003D2018" w:rsidRPr="003D2018" w:rsidRDefault="003D2018" w:rsidP="003D2018">
            <w:pPr>
              <w:widowControl w:val="0"/>
              <w:tabs>
                <w:tab w:val="left" w:pos="1701"/>
              </w:tabs>
              <w:ind w:left="570"/>
              <w:rPr>
                <w:szCs w:val="23"/>
              </w:rPr>
            </w:pPr>
          </w:p>
          <w:p w14:paraId="750D18C0" w14:textId="176E564A" w:rsidR="003D2018" w:rsidRDefault="003D2018" w:rsidP="003D2018">
            <w:pPr>
              <w:widowControl w:val="0"/>
              <w:tabs>
                <w:tab w:val="left" w:pos="1701"/>
              </w:tabs>
              <w:ind w:left="570"/>
              <w:rPr>
                <w:szCs w:val="23"/>
              </w:rPr>
            </w:pPr>
            <w:r w:rsidRPr="003D2018">
              <w:rPr>
                <w:szCs w:val="23"/>
              </w:rPr>
              <w:t>Regeringen instämmer även i behovet av ökade privata investe</w:t>
            </w:r>
            <w:r w:rsidR="00655DB0">
              <w:rPr>
                <w:szCs w:val="23"/>
              </w:rPr>
              <w:softHyphen/>
            </w:r>
            <w:r w:rsidRPr="003D2018">
              <w:rPr>
                <w:szCs w:val="23"/>
              </w:rPr>
              <w:t>ringar för att driva på den gröna och digitala omställningen. Rege</w:t>
            </w:r>
            <w:r w:rsidR="00655DB0">
              <w:rPr>
                <w:szCs w:val="23"/>
              </w:rPr>
              <w:softHyphen/>
            </w:r>
            <w:r w:rsidRPr="003D2018">
              <w:rPr>
                <w:szCs w:val="23"/>
              </w:rPr>
              <w:t>ringen välkomnar fortsatt arbete med kapitalmarknadsunionen i syfte att stärka och ytterligare integrera EU:s kapitalmarknader. Regeringen ser att det finns ett finansieringsbehov i att främja gröna och digitala teknologier men vill att investeringar i huvud</w:t>
            </w:r>
            <w:r w:rsidR="00655DB0">
              <w:rPr>
                <w:szCs w:val="23"/>
              </w:rPr>
              <w:softHyphen/>
            </w:r>
            <w:r w:rsidRPr="003D2018">
              <w:rPr>
                <w:szCs w:val="23"/>
              </w:rPr>
              <w:t>sak sker genom privata medel och kommer att verka för att slutsat</w:t>
            </w:r>
            <w:r w:rsidR="00655DB0">
              <w:rPr>
                <w:szCs w:val="23"/>
              </w:rPr>
              <w:softHyphen/>
            </w:r>
            <w:r w:rsidRPr="003D2018">
              <w:rPr>
                <w:szCs w:val="23"/>
              </w:rPr>
              <w:t>serna undviker skrivningar som kan uppfattas förekomma förhand</w:t>
            </w:r>
            <w:r w:rsidR="00655DB0">
              <w:rPr>
                <w:szCs w:val="23"/>
              </w:rPr>
              <w:softHyphen/>
            </w:r>
            <w:r w:rsidRPr="003D2018">
              <w:rPr>
                <w:szCs w:val="23"/>
              </w:rPr>
              <w:t>lingarna av nästa fleråriga budgetram (MFF). Vidare kommer re</w:t>
            </w:r>
            <w:r w:rsidR="00655DB0">
              <w:rPr>
                <w:szCs w:val="23"/>
              </w:rPr>
              <w:softHyphen/>
            </w:r>
            <w:r w:rsidRPr="003D2018">
              <w:rPr>
                <w:szCs w:val="23"/>
              </w:rPr>
              <w:t>geringen verka för att medel från EU inte bör kopplas till specifika instrument som IPCEI utan fonderna ska ha specifika syften och sökas separat.</w:t>
            </w:r>
          </w:p>
          <w:p w14:paraId="385CFAE6" w14:textId="77777777" w:rsidR="003D2018" w:rsidRPr="003D2018" w:rsidRDefault="003D2018" w:rsidP="003D2018">
            <w:pPr>
              <w:widowControl w:val="0"/>
              <w:tabs>
                <w:tab w:val="left" w:pos="1701"/>
              </w:tabs>
              <w:ind w:left="570"/>
              <w:rPr>
                <w:szCs w:val="23"/>
              </w:rPr>
            </w:pPr>
          </w:p>
          <w:p w14:paraId="6592D461" w14:textId="1BD2E14E" w:rsidR="003D2018" w:rsidRDefault="003D2018" w:rsidP="003D2018">
            <w:pPr>
              <w:widowControl w:val="0"/>
              <w:tabs>
                <w:tab w:val="left" w:pos="1701"/>
              </w:tabs>
              <w:ind w:left="570"/>
              <w:rPr>
                <w:szCs w:val="23"/>
              </w:rPr>
            </w:pPr>
            <w:r w:rsidRPr="003D2018">
              <w:rPr>
                <w:szCs w:val="23"/>
              </w:rPr>
              <w:t>Regeringen vidhåller en restriktiv hållning till statsstöd med åter</w:t>
            </w:r>
            <w:r w:rsidR="00655DB0">
              <w:rPr>
                <w:szCs w:val="23"/>
              </w:rPr>
              <w:softHyphen/>
            </w:r>
            <w:r w:rsidRPr="003D2018">
              <w:rPr>
                <w:szCs w:val="23"/>
              </w:rPr>
              <w:t>gång till ett strikt statsstödsregelverk och kontroll. Regeringen av</w:t>
            </w:r>
            <w:r w:rsidR="00655DB0">
              <w:rPr>
                <w:szCs w:val="23"/>
              </w:rPr>
              <w:softHyphen/>
            </w:r>
            <w:r w:rsidRPr="003D2018">
              <w:rPr>
                <w:szCs w:val="23"/>
              </w:rPr>
              <w:t>ser därför även verka för att slutsatserna balanseras i de delar som rör statligt stöd i syfte att undvika skrivningar som öppnar upp för fortsatta tillfälliga regelverk eller förlängning av</w:t>
            </w:r>
            <w:r>
              <w:rPr>
                <w:szCs w:val="23"/>
              </w:rPr>
              <w:t xml:space="preserve"> sådana.</w:t>
            </w:r>
          </w:p>
          <w:p w14:paraId="581760B9" w14:textId="13E68F5F" w:rsidR="003D2018" w:rsidRDefault="003D2018" w:rsidP="003D2018">
            <w:pPr>
              <w:widowControl w:val="0"/>
              <w:tabs>
                <w:tab w:val="left" w:pos="1701"/>
              </w:tabs>
              <w:ind w:left="570"/>
              <w:rPr>
                <w:szCs w:val="23"/>
              </w:rPr>
            </w:pPr>
          </w:p>
          <w:p w14:paraId="0F16F426" w14:textId="6ED1A508" w:rsidR="003D2018" w:rsidRDefault="003D2018" w:rsidP="003D2018">
            <w:pPr>
              <w:widowControl w:val="0"/>
              <w:tabs>
                <w:tab w:val="left" w:pos="1701"/>
              </w:tabs>
              <w:ind w:left="570" w:hanging="570"/>
              <w:rPr>
                <w:szCs w:val="23"/>
              </w:rPr>
            </w:pPr>
            <w:r w:rsidRPr="003D2018">
              <w:rPr>
                <w:szCs w:val="23"/>
              </w:rPr>
              <w:t>Ordföranden konstaterade att det fanns stöd för regeringens ståndpunkt</w:t>
            </w:r>
            <w:r>
              <w:rPr>
                <w:szCs w:val="23"/>
              </w:rPr>
              <w:t>.</w:t>
            </w:r>
          </w:p>
          <w:p w14:paraId="7BB5139F" w14:textId="6CBEB45E" w:rsidR="007D3424" w:rsidRDefault="007D3424" w:rsidP="003D2018">
            <w:pPr>
              <w:widowControl w:val="0"/>
              <w:tabs>
                <w:tab w:val="left" w:pos="1701"/>
              </w:tabs>
              <w:ind w:left="570" w:hanging="570"/>
              <w:rPr>
                <w:szCs w:val="23"/>
              </w:rPr>
            </w:pPr>
          </w:p>
          <w:p w14:paraId="6B1A72DB" w14:textId="041A350C" w:rsidR="007D3424" w:rsidRDefault="007D3424" w:rsidP="003D2018">
            <w:pPr>
              <w:widowControl w:val="0"/>
              <w:tabs>
                <w:tab w:val="left" w:pos="1701"/>
              </w:tabs>
              <w:ind w:left="570" w:hanging="570"/>
              <w:rPr>
                <w:szCs w:val="23"/>
              </w:rPr>
            </w:pPr>
            <w:r>
              <w:rPr>
                <w:szCs w:val="23"/>
              </w:rPr>
              <w:t>S</w:t>
            </w:r>
            <w:r w:rsidRPr="007D3424">
              <w:rPr>
                <w:szCs w:val="23"/>
              </w:rPr>
              <w:t>-ledam</w:t>
            </w:r>
            <w:r>
              <w:rPr>
                <w:szCs w:val="23"/>
              </w:rPr>
              <w:t>öterna</w:t>
            </w:r>
            <w:r w:rsidRPr="007D3424">
              <w:rPr>
                <w:szCs w:val="23"/>
              </w:rPr>
              <w:t xml:space="preserve"> anmälde följande avvikande ståndpunkt: </w:t>
            </w:r>
          </w:p>
          <w:p w14:paraId="37413DF1" w14:textId="5CF2074A" w:rsidR="007D3424" w:rsidRDefault="007D3424" w:rsidP="003D2018">
            <w:pPr>
              <w:widowControl w:val="0"/>
              <w:tabs>
                <w:tab w:val="left" w:pos="1701"/>
              </w:tabs>
              <w:ind w:left="570" w:hanging="570"/>
              <w:rPr>
                <w:szCs w:val="23"/>
              </w:rPr>
            </w:pPr>
          </w:p>
          <w:p w14:paraId="0F82F211" w14:textId="77777777" w:rsidR="00655DB0" w:rsidRDefault="007D3424" w:rsidP="00655DB0">
            <w:pPr>
              <w:ind w:left="570"/>
            </w:pPr>
            <w:r>
              <w:t xml:space="preserve">Vi välkomnar att regeringen fortsatt prioriterar EU:s konkurrenskraft och produktivitet. Sverige har, som en ledande innovations- och industrination, en unik möjlighet att bidra till det gröna och </w:t>
            </w:r>
          </w:p>
          <w:p w14:paraId="226EDB1F" w14:textId="59DD07D9" w:rsidR="007D3424" w:rsidRDefault="007D3424" w:rsidP="00655DB0">
            <w:pPr>
              <w:ind w:left="570"/>
              <w:rPr>
                <w:sz w:val="22"/>
                <w:szCs w:val="22"/>
              </w:rPr>
            </w:pPr>
            <w:r>
              <w:t>digitala omställningsarbetet. Dock anser vi att regeringens ståndpunkt kan förstärkas genom tydligare betoning på följande aspekter.</w:t>
            </w:r>
          </w:p>
          <w:p w14:paraId="11D8E8CA" w14:textId="77777777" w:rsidR="007D3424" w:rsidRDefault="007D3424" w:rsidP="00655DB0">
            <w:pPr>
              <w:ind w:left="570"/>
            </w:pPr>
          </w:p>
          <w:p w14:paraId="49674D85" w14:textId="7E174C08" w:rsidR="007D3424" w:rsidRDefault="007D3424" w:rsidP="00655DB0">
            <w:pPr>
              <w:ind w:left="570"/>
            </w:pPr>
            <w:r>
              <w:t xml:space="preserve">För det första vill vi understryka att handel, utvecklingssamarbete samt skydd av arbetstagares rättigheter, miljön och folkhälsan bör vara ömsesidigt stödjande och samstämmiga. Detta är avgörande för att skapa hållbar och långsiktig tillväxt. Regeringen bör därför i sin ståndpunkt </w:t>
            </w:r>
            <w:r w:rsidR="00655DB0">
              <w:t xml:space="preserve">ge uttryck för ambitionen att </w:t>
            </w:r>
            <w:r>
              <w:t>verka för att EU aktivt främjar en fri, hållbar och rättvis handel.</w:t>
            </w:r>
          </w:p>
          <w:p w14:paraId="1B15D3BD" w14:textId="77777777" w:rsidR="007D3424" w:rsidRDefault="007D3424" w:rsidP="00655DB0">
            <w:pPr>
              <w:ind w:left="570"/>
            </w:pPr>
          </w:p>
          <w:p w14:paraId="2F68CD22" w14:textId="77777777" w:rsidR="007D3424" w:rsidRDefault="007D3424" w:rsidP="00655DB0">
            <w:pPr>
              <w:ind w:left="570"/>
            </w:pPr>
            <w:r>
              <w:t>För att stärka EU:s konkurrenskraft behöver regeringen vidare vara pådrivande för att EU sluter fler frihandelsavtal och slutför pågående förhandlingar. Frihandelsavtal är ett centralt verktyg för att bygga öppna, robusta och hållbara handelsförbindelser, och detta arbete behöver följaktligen intensifieras.</w:t>
            </w:r>
          </w:p>
          <w:p w14:paraId="6292522A" w14:textId="77777777" w:rsidR="007D3424" w:rsidRDefault="007D3424" w:rsidP="00655DB0">
            <w:pPr>
              <w:ind w:left="570"/>
            </w:pPr>
          </w:p>
          <w:p w14:paraId="1C4454AD" w14:textId="77777777" w:rsidR="00655DB0" w:rsidRDefault="007D3424" w:rsidP="00655DB0">
            <w:pPr>
              <w:ind w:left="570"/>
            </w:pPr>
            <w:r>
              <w:t xml:space="preserve">Vi vill även att regeringen verkar för att EU stärker sin konkurrenskraft och innovationskraft inom artificiell intelligens (AI). Detta förutsätter att EU bygger ut sin digitala infrastruktur och </w:t>
            </w:r>
          </w:p>
          <w:p w14:paraId="2266F3AB" w14:textId="2D8D2EAC" w:rsidR="007D3424" w:rsidRDefault="007D3424" w:rsidP="00655DB0">
            <w:pPr>
              <w:ind w:left="570"/>
            </w:pPr>
            <w:r>
              <w:lastRenderedPageBreak/>
              <w:t>säkerställer fria dataflöden inom den inre marknaden. Dessutom är det viktigt att EU utvecklar en harmoniserad reglering för digitala tjänster.</w:t>
            </w:r>
          </w:p>
          <w:p w14:paraId="629EBBDD" w14:textId="77777777" w:rsidR="007D3424" w:rsidRDefault="007D3424" w:rsidP="00655DB0">
            <w:pPr>
              <w:ind w:left="570"/>
            </w:pPr>
          </w:p>
          <w:p w14:paraId="7E99F7D4" w14:textId="43C94C5B" w:rsidR="007D3424" w:rsidRDefault="007D3424" w:rsidP="00655DB0">
            <w:pPr>
              <w:ind w:left="570"/>
            </w:pPr>
            <w:r>
              <w:t>Avslutningsvis anser vi att Sverige, genom sitt ställningstagande i dessa frågor, kan bidra till en mer innovativ, hållbar och rättvis europeisk marknad. Vi vill därför att regeringen i linje med ovanstående tydligare lyfter dessa aspekter i den svenska ståndpunkten inför de kommande diskussionerna inom EU.</w:t>
            </w:r>
          </w:p>
          <w:p w14:paraId="4C0E7953" w14:textId="77777777" w:rsidR="007D3424" w:rsidRDefault="007D3424" w:rsidP="00655DB0">
            <w:pPr>
              <w:widowControl w:val="0"/>
              <w:tabs>
                <w:tab w:val="left" w:pos="1701"/>
              </w:tabs>
              <w:ind w:left="570" w:hanging="570"/>
              <w:rPr>
                <w:szCs w:val="23"/>
              </w:rPr>
            </w:pPr>
          </w:p>
          <w:p w14:paraId="5B54E3A1" w14:textId="5ECCB93A" w:rsidR="007D3424" w:rsidRDefault="007D3424" w:rsidP="002347C7">
            <w:pPr>
              <w:widowControl w:val="0"/>
              <w:tabs>
                <w:tab w:val="left" w:pos="1701"/>
              </w:tabs>
              <w:ind w:left="3"/>
              <w:rPr>
                <w:szCs w:val="23"/>
              </w:rPr>
            </w:pPr>
            <w:r w:rsidRPr="007D3424">
              <w:rPr>
                <w:szCs w:val="23"/>
              </w:rPr>
              <w:t>V-</w:t>
            </w:r>
            <w:r>
              <w:rPr>
                <w:szCs w:val="23"/>
              </w:rPr>
              <w:t>ledamoten</w:t>
            </w:r>
            <w:r w:rsidRPr="007D3424">
              <w:rPr>
                <w:szCs w:val="23"/>
              </w:rPr>
              <w:t xml:space="preserve"> anmälde följande avvikande ståndpunkt: </w:t>
            </w:r>
          </w:p>
          <w:p w14:paraId="1B2A99AB" w14:textId="77777777" w:rsidR="007D3424" w:rsidRDefault="007D3424" w:rsidP="00655DB0">
            <w:pPr>
              <w:widowControl w:val="0"/>
              <w:tabs>
                <w:tab w:val="left" w:pos="1701"/>
              </w:tabs>
              <w:ind w:left="570" w:hanging="570"/>
              <w:rPr>
                <w:szCs w:val="23"/>
              </w:rPr>
            </w:pPr>
          </w:p>
          <w:p w14:paraId="08178173" w14:textId="77777777" w:rsidR="00655DB0" w:rsidRDefault="007D3424" w:rsidP="00655DB0">
            <w:pPr>
              <w:ind w:left="570"/>
            </w:pPr>
            <w:r>
              <w:t xml:space="preserve">Jag anser att Sveriges linje i diskussionerna om rådslutsatserna gällande EU:s framtida konkurrenskraft bör präglas av en tydlig betoning på den gröna omställningen, med ett starkt fokus på </w:t>
            </w:r>
          </w:p>
          <w:p w14:paraId="7B9EFA02" w14:textId="047142AC" w:rsidR="007D3424" w:rsidRDefault="007D3424" w:rsidP="00655DB0">
            <w:pPr>
              <w:ind w:left="570"/>
              <w:rPr>
                <w:sz w:val="22"/>
                <w:szCs w:val="22"/>
              </w:rPr>
            </w:pPr>
            <w:r>
              <w:t xml:space="preserve">sociala rättigheter och miljöhänsyn. En hållbar tillväxt kan bara uppnås om hänsyn tas till mänskliga rättigheter, arbetstagares villkor, miljöskydd och folkhälsan. </w:t>
            </w:r>
          </w:p>
          <w:p w14:paraId="1CEA1DF5" w14:textId="77777777" w:rsidR="007D3424" w:rsidRDefault="007D3424" w:rsidP="00655DB0">
            <w:pPr>
              <w:ind w:left="570"/>
            </w:pPr>
          </w:p>
          <w:p w14:paraId="5CE7AB57" w14:textId="77777777" w:rsidR="00655DB0" w:rsidRDefault="007D3424" w:rsidP="00655DB0">
            <w:pPr>
              <w:ind w:left="570"/>
            </w:pPr>
            <w:r>
              <w:t xml:space="preserve">Omställningen till en fossilfri ekonomi är inte bara avgörande för att bekämpa klimatförändringarna utan fungerar även som en pådrivare för teknisk innovation och affärsutveckling. En trygg tillgång till kostnadseffektiv och hållbar energi är en avgörande samhällsfråga. Jag ser därför med oro på att regeringen försvårat </w:t>
            </w:r>
          </w:p>
          <w:p w14:paraId="5DF962F4" w14:textId="77777777" w:rsidR="00655DB0" w:rsidRDefault="007D3424" w:rsidP="00655DB0">
            <w:pPr>
              <w:ind w:left="570"/>
            </w:pPr>
            <w:r>
              <w:t xml:space="preserve">möjligheterna för en snabb utbyggnad av förnybar energiproduktion, samtidigt som fossila bränslen fortsatt ges utrymme. Den </w:t>
            </w:r>
          </w:p>
          <w:p w14:paraId="5C8C03F6" w14:textId="3EA513E7" w:rsidR="007D3424" w:rsidRDefault="007D3424" w:rsidP="00655DB0">
            <w:pPr>
              <w:ind w:left="570"/>
            </w:pPr>
            <w:r>
              <w:t>nationella politiken riskerar att motverka den gröna omställningen och företagens behov av hållbara energilösningar på kort sikt.</w:t>
            </w:r>
          </w:p>
          <w:p w14:paraId="0280EAE8" w14:textId="77777777" w:rsidR="007D3424" w:rsidRDefault="007D3424" w:rsidP="00655DB0">
            <w:pPr>
              <w:ind w:left="570"/>
            </w:pPr>
          </w:p>
          <w:p w14:paraId="55BA5712" w14:textId="77777777" w:rsidR="00655DB0" w:rsidRDefault="007D3424" w:rsidP="00655DB0">
            <w:pPr>
              <w:ind w:left="570"/>
            </w:pPr>
            <w:r>
              <w:t xml:space="preserve">Vidare anser jag att staten har ett tydligt samhällsansvar att vara drivande i den gröna omställningen. Staten bör ta en aktiv roll i att skapa långsiktiga och stabila förutsättningar för en hållbar tillväxt som utvecklar hållbara affärsmodeller och investeringar i grön </w:t>
            </w:r>
          </w:p>
          <w:p w14:paraId="0A79D5BF" w14:textId="6EEADCAE" w:rsidR="00655DB0" w:rsidRDefault="007D3424" w:rsidP="00655DB0">
            <w:pPr>
              <w:ind w:left="570"/>
            </w:pPr>
            <w:r>
              <w:t xml:space="preserve">infrastruktur. Jag anser att statligt stöd som underlättar offentliga investeringar i fossilfri energi, grön teknik och innovativa </w:t>
            </w:r>
          </w:p>
          <w:p w14:paraId="26C08765" w14:textId="68AB30BE" w:rsidR="007D3424" w:rsidRDefault="007D3424" w:rsidP="00655DB0">
            <w:pPr>
              <w:ind w:left="570"/>
            </w:pPr>
            <w:r>
              <w:t>lösningar som bidrar till klimatmålen bör främjas, och vill att regeringen verkar för det i de fortsatta diskussionerna om rådslutsatserna.</w:t>
            </w:r>
          </w:p>
          <w:p w14:paraId="4317019D" w14:textId="77777777" w:rsidR="007D3424" w:rsidRDefault="007D3424" w:rsidP="00655DB0">
            <w:pPr>
              <w:ind w:left="570"/>
            </w:pPr>
          </w:p>
          <w:p w14:paraId="64A5BF4C" w14:textId="62DED492" w:rsidR="007D3424" w:rsidRDefault="007D3424" w:rsidP="00655DB0">
            <w:pPr>
              <w:ind w:left="570"/>
            </w:pPr>
            <w:r>
              <w:t>Avslutningsvis anser jag att rådslutsatserna behöver sträva efter att minska beroendet av importerad fossil energi för att stärka motståndskraften och minska sårbarheten. Att minska beroendet av fossila bränslen skulle gynna hela EU:s framtida konkurrenskraft.</w:t>
            </w:r>
          </w:p>
          <w:p w14:paraId="198DC71F" w14:textId="77777777" w:rsidR="007D3424" w:rsidRDefault="007D3424" w:rsidP="00655DB0">
            <w:pPr>
              <w:ind w:left="570"/>
            </w:pPr>
          </w:p>
          <w:p w14:paraId="64259577" w14:textId="33B3D38A" w:rsidR="007D3424" w:rsidRDefault="007D3424" w:rsidP="002347C7">
            <w:r>
              <w:t xml:space="preserve">MP-ledamoten </w:t>
            </w:r>
            <w:r w:rsidRPr="007D3424">
              <w:t xml:space="preserve">anmälde följande avvikande ståndpunkt: </w:t>
            </w:r>
          </w:p>
          <w:p w14:paraId="0F5BAC95" w14:textId="77777777" w:rsidR="007D3424" w:rsidRDefault="007D3424" w:rsidP="00655DB0">
            <w:pPr>
              <w:ind w:left="570"/>
            </w:pPr>
          </w:p>
          <w:p w14:paraId="5072BD4C" w14:textId="356990D7" w:rsidR="007D3424" w:rsidRDefault="007D3424" w:rsidP="00655DB0">
            <w:pPr>
              <w:ind w:left="570"/>
            </w:pPr>
            <w:r>
              <w:t>Sverige har lång erfarenhet av hur den gröna omställningen och ökad konkurrenskraft kan stärka varandra ömsesidigt. Den gröna omställningen är idag, utöver en nödvändighet för att hejda den globala uppvärmningen, en drivkraft för innovation, teknikutveckling, affärsutveckling och stärkt konkurrenskraft.</w:t>
            </w:r>
            <w:r w:rsidR="00655DB0">
              <w:t xml:space="preserve"> Jag</w:t>
            </w:r>
            <w:r>
              <w:t xml:space="preserve"> anser därför att Sveriges ställningstagande i </w:t>
            </w:r>
            <w:proofErr w:type="spellStart"/>
            <w:r>
              <w:t>rådsslutsatserna</w:t>
            </w:r>
            <w:proofErr w:type="spellEnd"/>
            <w:r>
              <w:t xml:space="preserve"> om EU:s framtida konkurrenskraft bör betona vikten av att påskynda den gröna om</w:t>
            </w:r>
            <w:r>
              <w:lastRenderedPageBreak/>
              <w:t>ställningen. Centrala internationella överenskommelser, såsom Parisavtalet, Kunming-Montréal-avtalet, Agenda 2030 och respekten för mänskliga rättigheter, måste vara vägledande i detta arbete.</w:t>
            </w:r>
          </w:p>
          <w:p w14:paraId="38A19C66" w14:textId="77777777" w:rsidR="00655DB0" w:rsidRDefault="00655DB0" w:rsidP="00655DB0">
            <w:pPr>
              <w:ind w:left="570"/>
            </w:pPr>
          </w:p>
          <w:p w14:paraId="357EF1D7" w14:textId="77777777" w:rsidR="00655DB0" w:rsidRDefault="007D3424" w:rsidP="00655DB0">
            <w:pPr>
              <w:ind w:left="570"/>
            </w:pPr>
            <w:r>
              <w:t>Det är viktigt att</w:t>
            </w:r>
            <w:r w:rsidRPr="001048A6">
              <w:t xml:space="preserve"> bygga vidare på</w:t>
            </w:r>
            <w:r>
              <w:t xml:space="preserve"> befintlig lagstiftning och säkerställa att EU:s strategi för framtida konkurrenskraft integrerar </w:t>
            </w:r>
          </w:p>
          <w:p w14:paraId="339A30FB" w14:textId="2A8284D0" w:rsidR="00655DB0" w:rsidRDefault="007D3424" w:rsidP="00655DB0">
            <w:pPr>
              <w:ind w:left="570"/>
            </w:pPr>
            <w:r>
              <w:t xml:space="preserve">synergier med inte minst Fit for 55. För att företagen ska lyckas med både den gröna och digitala omställningen krävs en avveckling av fossila bränslen och ökad tillgång till stabil och billig förnybar energi. </w:t>
            </w:r>
            <w:r w:rsidR="00655DB0">
              <w:t>Jag</w:t>
            </w:r>
            <w:r>
              <w:t xml:space="preserve"> ser allvarligt på att regeringen vidtagit </w:t>
            </w:r>
          </w:p>
          <w:p w14:paraId="5CD4E88C" w14:textId="6C2DD61C" w:rsidR="007D3424" w:rsidRDefault="007D3424" w:rsidP="00655DB0">
            <w:pPr>
              <w:ind w:left="570"/>
            </w:pPr>
            <w:r>
              <w:t>åtgärder som hämmar utbyggnaden av förnybar och billig elproduktion på kort sikt samt ökat andelen fossila drivmedel inom transportsektorn. Regeringens agerande nationellt står i totalt motsatsförhållande till vad regeringen säger sig vilja uppnå på EU-nivå.</w:t>
            </w:r>
          </w:p>
          <w:p w14:paraId="357BD301" w14:textId="77777777" w:rsidR="00655DB0" w:rsidRDefault="00655DB0" w:rsidP="00655DB0">
            <w:pPr>
              <w:ind w:left="570"/>
            </w:pPr>
          </w:p>
          <w:p w14:paraId="6EEA17D3" w14:textId="67DF8447" w:rsidR="007D3424" w:rsidRDefault="00655DB0" w:rsidP="00655DB0">
            <w:pPr>
              <w:ind w:left="570"/>
            </w:pPr>
            <w:r>
              <w:t>Jag</w:t>
            </w:r>
            <w:r w:rsidR="007D3424">
              <w:t xml:space="preserve"> anser också att det är problematiskt att regeringen i detta sammanhang lägger så stor vikt vid kärnkraft framför andra energislag, eftersom kärnkraft är kostsamt och kan byggas ut först på lång sikt. Kärnkraft möter således inte näringslivets behov av billig, fossilfri energi på kort sikt, vilket är nödvändigt för att stärka EU:s konkurrenskraft. </w:t>
            </w:r>
            <w:r>
              <w:t>Jag</w:t>
            </w:r>
            <w:r w:rsidR="007D3424">
              <w:t xml:space="preserve"> bedömer därför att regeringens prioritering är kontraproduktiv i förhållande till strategins syfte om en starkare konkurrenskraft inom EU.</w:t>
            </w:r>
          </w:p>
          <w:p w14:paraId="04E285DE" w14:textId="77777777" w:rsidR="00655DB0" w:rsidRDefault="00655DB0" w:rsidP="00655DB0">
            <w:pPr>
              <w:ind w:left="570"/>
            </w:pPr>
          </w:p>
          <w:p w14:paraId="249516F5" w14:textId="58DC5567" w:rsidR="00655DB0" w:rsidRDefault="007D3424" w:rsidP="00655DB0">
            <w:pPr>
              <w:ind w:left="570"/>
            </w:pPr>
            <w:r>
              <w:t xml:space="preserve">EU behöver minska sina strategiska beroenden för att bli mer motståndskraftigt. </w:t>
            </w:r>
            <w:r w:rsidR="00655DB0">
              <w:t>Jag</w:t>
            </w:r>
            <w:r>
              <w:t xml:space="preserve"> vill att den svenska ståndpunkten </w:t>
            </w:r>
            <w:r w:rsidR="002347C7" w:rsidRPr="002347C7">
              <w:t>understryker</w:t>
            </w:r>
          </w:p>
          <w:p w14:paraId="25A0F91B" w14:textId="17C53234" w:rsidR="007D3424" w:rsidRDefault="007D3424" w:rsidP="00655DB0">
            <w:pPr>
              <w:ind w:left="570"/>
            </w:pPr>
            <w:r>
              <w:t>att importen av fossil energi är ett sådant skadligt beroende som EU snarast bör frigöra sig från. Sverige är i</w:t>
            </w:r>
            <w:r w:rsidR="00655DB0">
              <w:t xml:space="preserve"> </w:t>
            </w:r>
            <w:r>
              <w:t>dag nettoexportör av (nästintill) fossilfri elproduktion, och har till stor del löst uppvärmningen av fastigheter utan importberoende. Däremot är Sverige fortfarande beroende av import av fossilt kol, olja och gas för vår industri, arbetsmaskiner och transportsektorn. Ett EU-gemensamt arbete för att bryta detta importberoende, även kopplat till EU:s framtida konkurrenskraft, skulle stärka både Sveriges och EU:s konkurrenskraft, samtidigt som det skulle bidra till förbättrad krisberedskap, ökad säkerhet och minskad klimatpåverkan.</w:t>
            </w:r>
          </w:p>
          <w:p w14:paraId="342EE630" w14:textId="06418726" w:rsidR="007D3424" w:rsidRDefault="007D3424" w:rsidP="003D2018">
            <w:pPr>
              <w:widowControl w:val="0"/>
              <w:tabs>
                <w:tab w:val="left" w:pos="1701"/>
              </w:tabs>
              <w:ind w:left="570" w:hanging="570"/>
              <w:rPr>
                <w:szCs w:val="23"/>
              </w:rPr>
            </w:pPr>
          </w:p>
          <w:p w14:paraId="4D863C0A" w14:textId="76425AAF" w:rsidR="003D2018" w:rsidRDefault="003D2018" w:rsidP="00361F93">
            <w:pPr>
              <w:widowControl w:val="0"/>
              <w:tabs>
                <w:tab w:val="left" w:pos="1701"/>
              </w:tabs>
              <w:rPr>
                <w:szCs w:val="23"/>
              </w:rPr>
            </w:pPr>
            <w:r w:rsidRPr="003D2018">
              <w:rPr>
                <w:szCs w:val="23"/>
              </w:rPr>
              <w:t>Under överläggningen närvarade även en tjänsteman från EU-nämndens kansli.</w:t>
            </w:r>
          </w:p>
          <w:p w14:paraId="0C96B955" w14:textId="2C05A6E6" w:rsidR="00FF10BB" w:rsidRPr="00B056D9" w:rsidRDefault="00FF10BB" w:rsidP="003D2018">
            <w:pPr>
              <w:widowControl w:val="0"/>
              <w:tabs>
                <w:tab w:val="left" w:pos="1701"/>
              </w:tabs>
              <w:ind w:left="570"/>
              <w:rPr>
                <w:b/>
                <w:bCs/>
                <w:szCs w:val="23"/>
              </w:rPr>
            </w:pPr>
          </w:p>
        </w:tc>
      </w:tr>
      <w:tr w:rsidR="00C47A22" w:rsidRPr="0012669A" w14:paraId="3FCA3BD5" w14:textId="77777777" w:rsidTr="00882DFC">
        <w:trPr>
          <w:trHeight w:val="1897"/>
        </w:trPr>
        <w:tc>
          <w:tcPr>
            <w:tcW w:w="567" w:type="dxa"/>
          </w:tcPr>
          <w:p w14:paraId="4F84C4FF" w14:textId="39AAFFA3" w:rsidR="00C47A22" w:rsidRDefault="00C47A22" w:rsidP="00DC0D46">
            <w:pPr>
              <w:tabs>
                <w:tab w:val="left" w:pos="1701"/>
              </w:tabs>
              <w:rPr>
                <w:b/>
                <w:snapToGrid w:val="0"/>
              </w:rPr>
            </w:pPr>
            <w:r>
              <w:rPr>
                <w:b/>
                <w:snapToGrid w:val="0"/>
              </w:rPr>
              <w:lastRenderedPageBreak/>
              <w:t xml:space="preserve">§ </w:t>
            </w:r>
            <w:r w:rsidR="00FF10BB">
              <w:rPr>
                <w:b/>
                <w:snapToGrid w:val="0"/>
              </w:rPr>
              <w:t>5</w:t>
            </w:r>
          </w:p>
        </w:tc>
        <w:tc>
          <w:tcPr>
            <w:tcW w:w="7162" w:type="dxa"/>
          </w:tcPr>
          <w:p w14:paraId="09AD780C" w14:textId="77777777" w:rsidR="00FF10BB" w:rsidRDefault="00FF10BB" w:rsidP="00C47A22">
            <w:pPr>
              <w:widowControl w:val="0"/>
              <w:tabs>
                <w:tab w:val="left" w:pos="1701"/>
              </w:tabs>
              <w:rPr>
                <w:b/>
                <w:bCs/>
                <w:iCs/>
              </w:rPr>
            </w:pPr>
            <w:r w:rsidRPr="00A559A8">
              <w:rPr>
                <w:b/>
                <w:bCs/>
                <w:iCs/>
              </w:rPr>
              <w:t>Utgiftsområde 24 Näringsliv</w:t>
            </w:r>
            <w:r>
              <w:rPr>
                <w:b/>
                <w:bCs/>
                <w:iCs/>
              </w:rPr>
              <w:t xml:space="preserve"> (NU1)</w:t>
            </w:r>
          </w:p>
          <w:p w14:paraId="08F72B31" w14:textId="0D057147" w:rsidR="00FF10BB" w:rsidRPr="00FF10BB" w:rsidRDefault="00FF10BB" w:rsidP="00FF10BB">
            <w:pPr>
              <w:widowControl w:val="0"/>
              <w:tabs>
                <w:tab w:val="left" w:pos="1701"/>
              </w:tabs>
              <w:rPr>
                <w:bCs/>
                <w:iCs/>
              </w:rPr>
            </w:pPr>
            <w:r w:rsidRPr="00A559A8">
              <w:rPr>
                <w:b/>
                <w:bCs/>
                <w:szCs w:val="23"/>
              </w:rPr>
              <w:br/>
            </w:r>
            <w:r w:rsidRPr="00FF10BB">
              <w:rPr>
                <w:bCs/>
                <w:iCs/>
              </w:rPr>
              <w:t>Utskottet inledde beredningen av proposition 202</w:t>
            </w:r>
            <w:r>
              <w:rPr>
                <w:bCs/>
                <w:iCs/>
              </w:rPr>
              <w:t>4</w:t>
            </w:r>
            <w:r w:rsidRPr="00FF10BB">
              <w:rPr>
                <w:bCs/>
                <w:iCs/>
              </w:rPr>
              <w:t>/2</w:t>
            </w:r>
            <w:r>
              <w:rPr>
                <w:bCs/>
                <w:iCs/>
              </w:rPr>
              <w:t>5</w:t>
            </w:r>
            <w:r w:rsidRPr="00FF10BB">
              <w:rPr>
                <w:bCs/>
                <w:iCs/>
              </w:rPr>
              <w:t>:1 (budgetpropositionen) såvitt gäller utgiftsområde 24 Näringsliv och motioner.</w:t>
            </w:r>
          </w:p>
          <w:p w14:paraId="0D40B5F8" w14:textId="77777777" w:rsidR="00FF10BB" w:rsidRPr="00FF10BB" w:rsidRDefault="00FF10BB" w:rsidP="00FF10BB">
            <w:pPr>
              <w:widowControl w:val="0"/>
              <w:tabs>
                <w:tab w:val="left" w:pos="1701"/>
              </w:tabs>
              <w:rPr>
                <w:bCs/>
                <w:iCs/>
              </w:rPr>
            </w:pPr>
          </w:p>
          <w:p w14:paraId="567F461F" w14:textId="77777777" w:rsidR="00FF10BB" w:rsidRDefault="00FF10BB" w:rsidP="00FF10BB">
            <w:pPr>
              <w:widowControl w:val="0"/>
              <w:tabs>
                <w:tab w:val="left" w:pos="1701"/>
              </w:tabs>
              <w:rPr>
                <w:bCs/>
                <w:iCs/>
              </w:rPr>
            </w:pPr>
            <w:r w:rsidRPr="00FF10BB">
              <w:rPr>
                <w:bCs/>
                <w:iCs/>
              </w:rPr>
              <w:t>Ärendet bordlades.</w:t>
            </w:r>
          </w:p>
          <w:p w14:paraId="33863C76" w14:textId="3B76C563" w:rsidR="00F5193F" w:rsidRPr="00882DFC" w:rsidRDefault="00F5193F" w:rsidP="00FF10BB">
            <w:pPr>
              <w:widowControl w:val="0"/>
              <w:tabs>
                <w:tab w:val="left" w:pos="1701"/>
              </w:tabs>
              <w:rPr>
                <w:bCs/>
                <w:iCs/>
              </w:rPr>
            </w:pPr>
          </w:p>
        </w:tc>
      </w:tr>
      <w:tr w:rsidR="00FF10BB" w:rsidRPr="0012669A" w14:paraId="38DBFF57" w14:textId="77777777" w:rsidTr="00FF10BB">
        <w:trPr>
          <w:trHeight w:val="993"/>
        </w:trPr>
        <w:tc>
          <w:tcPr>
            <w:tcW w:w="567" w:type="dxa"/>
          </w:tcPr>
          <w:p w14:paraId="0221802D" w14:textId="3ABC3E3D" w:rsidR="00FF10BB" w:rsidRDefault="00FF10BB" w:rsidP="00DC0D46">
            <w:pPr>
              <w:tabs>
                <w:tab w:val="left" w:pos="1701"/>
              </w:tabs>
              <w:rPr>
                <w:b/>
                <w:snapToGrid w:val="0"/>
              </w:rPr>
            </w:pPr>
            <w:r>
              <w:rPr>
                <w:b/>
                <w:snapToGrid w:val="0"/>
              </w:rPr>
              <w:t>§ 6</w:t>
            </w:r>
          </w:p>
        </w:tc>
        <w:tc>
          <w:tcPr>
            <w:tcW w:w="7162" w:type="dxa"/>
          </w:tcPr>
          <w:p w14:paraId="7EB2335B" w14:textId="77777777" w:rsidR="00FF10BB" w:rsidRDefault="00FF10BB" w:rsidP="00C47A22">
            <w:pPr>
              <w:widowControl w:val="0"/>
              <w:tabs>
                <w:tab w:val="left" w:pos="1701"/>
              </w:tabs>
              <w:rPr>
                <w:b/>
                <w:bCs/>
                <w:iCs/>
              </w:rPr>
            </w:pPr>
            <w:r w:rsidRPr="00A559A8">
              <w:rPr>
                <w:b/>
                <w:bCs/>
                <w:iCs/>
              </w:rPr>
              <w:t>Utgiftsområde 19 Regional utveckling</w:t>
            </w:r>
            <w:r>
              <w:rPr>
                <w:b/>
                <w:bCs/>
                <w:szCs w:val="23"/>
              </w:rPr>
              <w:t xml:space="preserve"> (</w:t>
            </w:r>
            <w:r>
              <w:rPr>
                <w:b/>
                <w:bCs/>
                <w:iCs/>
              </w:rPr>
              <w:t>NU2)</w:t>
            </w:r>
          </w:p>
          <w:p w14:paraId="47DDA33B" w14:textId="4F173DB2" w:rsidR="00FF10BB" w:rsidRPr="00FF10BB" w:rsidRDefault="00FF10BB" w:rsidP="00FF10BB">
            <w:pPr>
              <w:widowControl w:val="0"/>
              <w:tabs>
                <w:tab w:val="left" w:pos="1701"/>
              </w:tabs>
              <w:rPr>
                <w:szCs w:val="23"/>
              </w:rPr>
            </w:pPr>
            <w:r>
              <w:rPr>
                <w:b/>
                <w:bCs/>
                <w:iCs/>
              </w:rPr>
              <w:br/>
            </w:r>
            <w:r w:rsidRPr="00FF10BB">
              <w:rPr>
                <w:szCs w:val="23"/>
              </w:rPr>
              <w:t>Utskottet inledde beredningen av proposition 202</w:t>
            </w:r>
            <w:r>
              <w:rPr>
                <w:szCs w:val="23"/>
              </w:rPr>
              <w:t>4</w:t>
            </w:r>
            <w:r w:rsidRPr="00FF10BB">
              <w:rPr>
                <w:szCs w:val="23"/>
              </w:rPr>
              <w:t>/2</w:t>
            </w:r>
            <w:r>
              <w:rPr>
                <w:szCs w:val="23"/>
              </w:rPr>
              <w:t>5</w:t>
            </w:r>
            <w:r w:rsidRPr="00FF10BB">
              <w:rPr>
                <w:szCs w:val="23"/>
              </w:rPr>
              <w:t>:1 (budgetpropositionen) såvitt gäller utgiftsområde 19 Regional utveckling och motioner.</w:t>
            </w:r>
          </w:p>
          <w:p w14:paraId="1CCBFB02" w14:textId="77777777" w:rsidR="00FF10BB" w:rsidRPr="00FF10BB" w:rsidRDefault="00FF10BB" w:rsidP="00FF10BB">
            <w:pPr>
              <w:widowControl w:val="0"/>
              <w:tabs>
                <w:tab w:val="left" w:pos="1701"/>
              </w:tabs>
              <w:rPr>
                <w:szCs w:val="23"/>
              </w:rPr>
            </w:pPr>
          </w:p>
          <w:p w14:paraId="5A3EDE1E" w14:textId="510305DF" w:rsidR="00FF10BB" w:rsidRPr="00A559A8" w:rsidRDefault="00FF10BB" w:rsidP="00FF10BB">
            <w:pPr>
              <w:widowControl w:val="0"/>
              <w:tabs>
                <w:tab w:val="left" w:pos="1701"/>
              </w:tabs>
              <w:rPr>
                <w:b/>
                <w:bCs/>
                <w:iCs/>
              </w:rPr>
            </w:pPr>
            <w:r w:rsidRPr="00FF10BB">
              <w:rPr>
                <w:szCs w:val="23"/>
              </w:rPr>
              <w:t>Ärendet bordlades.</w:t>
            </w:r>
          </w:p>
        </w:tc>
      </w:tr>
      <w:tr w:rsidR="00FF10BB" w:rsidRPr="0012669A" w14:paraId="5983D787" w14:textId="77777777" w:rsidTr="00FF10BB">
        <w:trPr>
          <w:trHeight w:val="993"/>
        </w:trPr>
        <w:tc>
          <w:tcPr>
            <w:tcW w:w="567" w:type="dxa"/>
          </w:tcPr>
          <w:p w14:paraId="3459A9A2" w14:textId="6542428A" w:rsidR="00FF10BB" w:rsidRDefault="00FF10BB" w:rsidP="00DC0D46">
            <w:pPr>
              <w:tabs>
                <w:tab w:val="left" w:pos="1701"/>
              </w:tabs>
              <w:rPr>
                <w:b/>
                <w:snapToGrid w:val="0"/>
              </w:rPr>
            </w:pPr>
            <w:r>
              <w:rPr>
                <w:b/>
                <w:snapToGrid w:val="0"/>
              </w:rPr>
              <w:lastRenderedPageBreak/>
              <w:t>§ 7</w:t>
            </w:r>
          </w:p>
        </w:tc>
        <w:tc>
          <w:tcPr>
            <w:tcW w:w="7162" w:type="dxa"/>
          </w:tcPr>
          <w:p w14:paraId="1D8E1813" w14:textId="77777777" w:rsidR="00FF10BB" w:rsidRDefault="00FF10BB" w:rsidP="00C47A22">
            <w:pPr>
              <w:widowControl w:val="0"/>
              <w:tabs>
                <w:tab w:val="left" w:pos="1701"/>
              </w:tabs>
              <w:rPr>
                <w:b/>
                <w:bCs/>
              </w:rPr>
            </w:pPr>
            <w:r w:rsidRPr="004B59D0">
              <w:rPr>
                <w:b/>
                <w:bCs/>
              </w:rPr>
              <w:t>2024 års redogörelse för företag med statligt ägande (NU4)</w:t>
            </w:r>
          </w:p>
          <w:p w14:paraId="6D4878EC" w14:textId="46E53EE8" w:rsidR="00FF10BB" w:rsidRDefault="00FF10BB" w:rsidP="00FF10BB">
            <w:pPr>
              <w:widowControl w:val="0"/>
              <w:tabs>
                <w:tab w:val="left" w:pos="1701"/>
              </w:tabs>
            </w:pPr>
            <w:r w:rsidRPr="004B59D0">
              <w:rPr>
                <w:b/>
                <w:bCs/>
              </w:rPr>
              <w:br/>
            </w:r>
            <w:r>
              <w:t>Utskottet inledde beredningen av skrivelse 2023/24:140 och motioner.</w:t>
            </w:r>
          </w:p>
          <w:p w14:paraId="1053DF89" w14:textId="77777777" w:rsidR="00FF10BB" w:rsidRDefault="00FF10BB" w:rsidP="00FF10BB">
            <w:pPr>
              <w:widowControl w:val="0"/>
              <w:tabs>
                <w:tab w:val="left" w:pos="1701"/>
              </w:tabs>
            </w:pPr>
          </w:p>
          <w:p w14:paraId="6ECD6AB7" w14:textId="7CB35086" w:rsidR="00FF10BB" w:rsidRPr="00A559A8" w:rsidRDefault="00FF10BB" w:rsidP="00FF10BB">
            <w:pPr>
              <w:widowControl w:val="0"/>
              <w:tabs>
                <w:tab w:val="left" w:pos="1701"/>
              </w:tabs>
              <w:rPr>
                <w:b/>
                <w:bCs/>
                <w:iCs/>
              </w:rPr>
            </w:pPr>
            <w:r>
              <w:t>Ärendet bordlades.</w:t>
            </w:r>
            <w:r>
              <w:br/>
            </w:r>
          </w:p>
        </w:tc>
      </w:tr>
      <w:tr w:rsidR="00FF10BB" w:rsidRPr="0012669A" w14:paraId="70C58BFD" w14:textId="77777777" w:rsidTr="00FF10BB">
        <w:trPr>
          <w:trHeight w:val="993"/>
        </w:trPr>
        <w:tc>
          <w:tcPr>
            <w:tcW w:w="567" w:type="dxa"/>
          </w:tcPr>
          <w:p w14:paraId="2C96AB92" w14:textId="149760A6" w:rsidR="00FF10BB" w:rsidRDefault="00FF10BB" w:rsidP="00DC0D46">
            <w:pPr>
              <w:tabs>
                <w:tab w:val="left" w:pos="1701"/>
              </w:tabs>
              <w:rPr>
                <w:b/>
                <w:snapToGrid w:val="0"/>
              </w:rPr>
            </w:pPr>
            <w:r>
              <w:rPr>
                <w:b/>
                <w:snapToGrid w:val="0"/>
              </w:rPr>
              <w:t>§ 8</w:t>
            </w:r>
          </w:p>
        </w:tc>
        <w:tc>
          <w:tcPr>
            <w:tcW w:w="7162" w:type="dxa"/>
          </w:tcPr>
          <w:p w14:paraId="0FF9598F" w14:textId="77777777" w:rsidR="00FF10BB" w:rsidRDefault="00FF10BB" w:rsidP="00C47A22">
            <w:pPr>
              <w:widowControl w:val="0"/>
              <w:tabs>
                <w:tab w:val="left" w:pos="1701"/>
              </w:tabs>
              <w:rPr>
                <w:b/>
                <w:bCs/>
              </w:rPr>
            </w:pPr>
            <w:r w:rsidRPr="004B59D0">
              <w:rPr>
                <w:b/>
                <w:bCs/>
              </w:rPr>
              <w:t>Avskaffat krav på tillstånd för hotell- och pensionatsrörelser</w:t>
            </w:r>
            <w:r>
              <w:rPr>
                <w:b/>
                <w:bCs/>
              </w:rPr>
              <w:t xml:space="preserve"> (NU8)</w:t>
            </w:r>
          </w:p>
          <w:p w14:paraId="13577D92" w14:textId="2397AEE4" w:rsidR="00FF10BB" w:rsidRDefault="00FF10BB" w:rsidP="00C47A22">
            <w:pPr>
              <w:widowControl w:val="0"/>
              <w:tabs>
                <w:tab w:val="left" w:pos="1701"/>
              </w:tabs>
            </w:pPr>
            <w:r>
              <w:rPr>
                <w:b/>
                <w:bCs/>
              </w:rPr>
              <w:br/>
            </w:r>
            <w:r>
              <w:t xml:space="preserve">Utskottet inledde beredningen av proposition </w:t>
            </w:r>
            <w:r w:rsidRPr="001A7979">
              <w:t>202</w:t>
            </w:r>
            <w:r>
              <w:t>4</w:t>
            </w:r>
            <w:r w:rsidRPr="001A7979">
              <w:t>/2</w:t>
            </w:r>
            <w:r>
              <w:t>5</w:t>
            </w:r>
            <w:r w:rsidRPr="001A7979">
              <w:t>:</w:t>
            </w:r>
            <w:r>
              <w:t>27 och motioner.</w:t>
            </w:r>
          </w:p>
          <w:p w14:paraId="0D1D247E" w14:textId="320DAA13" w:rsidR="00FF10BB" w:rsidRDefault="00FF10BB" w:rsidP="00C47A22">
            <w:pPr>
              <w:widowControl w:val="0"/>
              <w:tabs>
                <w:tab w:val="left" w:pos="1701"/>
              </w:tabs>
            </w:pPr>
          </w:p>
          <w:p w14:paraId="51426C80" w14:textId="144557A2" w:rsidR="00FF10BB" w:rsidRDefault="00FF10BB" w:rsidP="00C47A22">
            <w:pPr>
              <w:widowControl w:val="0"/>
              <w:tabs>
                <w:tab w:val="left" w:pos="1701"/>
              </w:tabs>
            </w:pPr>
            <w:r>
              <w:t>Ärendet bordlades.</w:t>
            </w:r>
          </w:p>
          <w:p w14:paraId="2B40D203" w14:textId="6BED8D6D" w:rsidR="00FF10BB" w:rsidRPr="004B59D0" w:rsidRDefault="00FF10BB" w:rsidP="00C47A22">
            <w:pPr>
              <w:widowControl w:val="0"/>
              <w:tabs>
                <w:tab w:val="left" w:pos="1701"/>
              </w:tabs>
              <w:rPr>
                <w:b/>
                <w:bCs/>
              </w:rPr>
            </w:pPr>
          </w:p>
        </w:tc>
      </w:tr>
      <w:tr w:rsidR="00FF10BB" w:rsidRPr="0012669A" w14:paraId="29606FAE" w14:textId="77777777" w:rsidTr="00FF10BB">
        <w:trPr>
          <w:trHeight w:val="993"/>
        </w:trPr>
        <w:tc>
          <w:tcPr>
            <w:tcW w:w="567" w:type="dxa"/>
          </w:tcPr>
          <w:p w14:paraId="652088DB" w14:textId="5876C2D9" w:rsidR="00FF10BB" w:rsidRDefault="00FF10BB" w:rsidP="00DC0D46">
            <w:pPr>
              <w:tabs>
                <w:tab w:val="left" w:pos="1701"/>
              </w:tabs>
              <w:rPr>
                <w:b/>
                <w:snapToGrid w:val="0"/>
              </w:rPr>
            </w:pPr>
            <w:r>
              <w:rPr>
                <w:b/>
                <w:snapToGrid w:val="0"/>
              </w:rPr>
              <w:t>§ 9</w:t>
            </w:r>
          </w:p>
        </w:tc>
        <w:tc>
          <w:tcPr>
            <w:tcW w:w="7162" w:type="dxa"/>
          </w:tcPr>
          <w:p w14:paraId="3E712DCD" w14:textId="77777777" w:rsidR="00FF10BB" w:rsidRDefault="00FF10BB" w:rsidP="00C47A22">
            <w:pPr>
              <w:widowControl w:val="0"/>
              <w:tabs>
                <w:tab w:val="left" w:pos="1701"/>
              </w:tabs>
              <w:rPr>
                <w:b/>
                <w:bCs/>
                <w:iCs/>
              </w:rPr>
            </w:pPr>
            <w:r w:rsidRPr="004B59D0">
              <w:rPr>
                <w:b/>
                <w:bCs/>
                <w:iCs/>
              </w:rPr>
              <w:t>Tillgång till mät- och förbrukningsuppgifter på elmarknaden</w:t>
            </w:r>
            <w:r>
              <w:rPr>
                <w:b/>
                <w:bCs/>
                <w:iCs/>
              </w:rPr>
              <w:t xml:space="preserve"> (NU9)</w:t>
            </w:r>
          </w:p>
          <w:p w14:paraId="3A6BCCB1" w14:textId="3238E9D3" w:rsidR="00FF10BB" w:rsidRDefault="00FF10BB" w:rsidP="00C47A22">
            <w:pPr>
              <w:widowControl w:val="0"/>
              <w:tabs>
                <w:tab w:val="left" w:pos="1701"/>
              </w:tabs>
            </w:pPr>
            <w:r>
              <w:rPr>
                <w:b/>
                <w:bCs/>
                <w:iCs/>
              </w:rPr>
              <w:br/>
            </w:r>
            <w:r w:rsidRPr="00FF10BB">
              <w:t xml:space="preserve">Utskottet inledde beredningen av </w:t>
            </w:r>
            <w:r>
              <w:t>p</w:t>
            </w:r>
            <w:r w:rsidRPr="009438E3">
              <w:t>rop</w:t>
            </w:r>
            <w:r>
              <w:t>osition 2024/25:32 och motioner.</w:t>
            </w:r>
          </w:p>
          <w:p w14:paraId="1E9B7312" w14:textId="4C9A485D" w:rsidR="00FF10BB" w:rsidRDefault="00FF10BB" w:rsidP="00C47A22">
            <w:pPr>
              <w:widowControl w:val="0"/>
              <w:tabs>
                <w:tab w:val="left" w:pos="1701"/>
              </w:tabs>
            </w:pPr>
          </w:p>
          <w:p w14:paraId="55D6F4EC" w14:textId="517C8CF8" w:rsidR="00FF10BB" w:rsidRDefault="00FF10BB" w:rsidP="00C47A22">
            <w:pPr>
              <w:widowControl w:val="0"/>
              <w:tabs>
                <w:tab w:val="left" w:pos="1701"/>
              </w:tabs>
            </w:pPr>
            <w:r>
              <w:t>Ärendet bordlades.</w:t>
            </w:r>
          </w:p>
          <w:p w14:paraId="2C2F3065" w14:textId="33A0C9D5" w:rsidR="00FF10BB" w:rsidRPr="004B59D0" w:rsidRDefault="00FF10BB" w:rsidP="00C47A22">
            <w:pPr>
              <w:widowControl w:val="0"/>
              <w:tabs>
                <w:tab w:val="left" w:pos="1701"/>
              </w:tabs>
              <w:rPr>
                <w:b/>
                <w:bCs/>
              </w:rPr>
            </w:pPr>
          </w:p>
        </w:tc>
      </w:tr>
      <w:tr w:rsidR="00FF10BB" w:rsidRPr="0012669A" w14:paraId="29C03C8D" w14:textId="77777777" w:rsidTr="00FF10BB">
        <w:trPr>
          <w:trHeight w:val="993"/>
        </w:trPr>
        <w:tc>
          <w:tcPr>
            <w:tcW w:w="567" w:type="dxa"/>
          </w:tcPr>
          <w:p w14:paraId="03B37AAE" w14:textId="57CA757E" w:rsidR="00FF10BB" w:rsidRDefault="00FF10BB" w:rsidP="00DC0D46">
            <w:pPr>
              <w:tabs>
                <w:tab w:val="left" w:pos="1701"/>
              </w:tabs>
              <w:rPr>
                <w:b/>
                <w:snapToGrid w:val="0"/>
              </w:rPr>
            </w:pPr>
            <w:r>
              <w:rPr>
                <w:b/>
                <w:snapToGrid w:val="0"/>
              </w:rPr>
              <w:t>§ 10</w:t>
            </w:r>
          </w:p>
        </w:tc>
        <w:tc>
          <w:tcPr>
            <w:tcW w:w="7162" w:type="dxa"/>
          </w:tcPr>
          <w:p w14:paraId="5C6F6C18" w14:textId="77777777" w:rsidR="00FF10BB" w:rsidRDefault="00FF10BB" w:rsidP="00C47A22">
            <w:pPr>
              <w:widowControl w:val="0"/>
              <w:tabs>
                <w:tab w:val="left" w:pos="1701"/>
              </w:tabs>
              <w:rPr>
                <w:b/>
                <w:bCs/>
              </w:rPr>
            </w:pPr>
            <w:r w:rsidRPr="004B59D0">
              <w:rPr>
                <w:b/>
                <w:bCs/>
              </w:rPr>
              <w:t>Totalförsvaret 2025–2030</w:t>
            </w:r>
          </w:p>
          <w:p w14:paraId="7E893856" w14:textId="3EBAD509" w:rsidR="00FF10BB" w:rsidRDefault="00FF10BB" w:rsidP="00C47A22">
            <w:pPr>
              <w:widowControl w:val="0"/>
              <w:tabs>
                <w:tab w:val="left" w:pos="1701"/>
              </w:tabs>
            </w:pPr>
            <w:r w:rsidRPr="004B59D0">
              <w:rPr>
                <w:b/>
                <w:bCs/>
              </w:rPr>
              <w:br/>
            </w:r>
            <w:r>
              <w:t>Utskottet behandlade frågan om yttrande till försvarsutskottet över proposition 2024/25:34 och motioner.</w:t>
            </w:r>
          </w:p>
          <w:p w14:paraId="387AD68C" w14:textId="77777777" w:rsidR="00FF10BB" w:rsidRDefault="00FF10BB" w:rsidP="00C47A22">
            <w:pPr>
              <w:widowControl w:val="0"/>
              <w:tabs>
                <w:tab w:val="left" w:pos="1701"/>
              </w:tabs>
            </w:pPr>
          </w:p>
          <w:p w14:paraId="6AF5F50A" w14:textId="671204AD" w:rsidR="00FF10BB" w:rsidRDefault="00FF10BB" w:rsidP="00C47A22">
            <w:pPr>
              <w:widowControl w:val="0"/>
              <w:tabs>
                <w:tab w:val="left" w:pos="1701"/>
              </w:tabs>
            </w:pPr>
            <w:r>
              <w:t>Utskottet beslutade att yttra sig.</w:t>
            </w:r>
          </w:p>
          <w:p w14:paraId="17762042" w14:textId="492C1315" w:rsidR="00FF10BB" w:rsidRPr="004B59D0" w:rsidRDefault="00FF10BB" w:rsidP="00C47A22">
            <w:pPr>
              <w:widowControl w:val="0"/>
              <w:tabs>
                <w:tab w:val="left" w:pos="1701"/>
              </w:tabs>
              <w:rPr>
                <w:b/>
                <w:bCs/>
                <w:iCs/>
              </w:rPr>
            </w:pPr>
          </w:p>
        </w:tc>
      </w:tr>
      <w:tr w:rsidR="00FF10BB" w:rsidRPr="0012669A" w14:paraId="1AE8CAA2" w14:textId="77777777" w:rsidTr="00FF10BB">
        <w:trPr>
          <w:trHeight w:val="993"/>
        </w:trPr>
        <w:tc>
          <w:tcPr>
            <w:tcW w:w="567" w:type="dxa"/>
          </w:tcPr>
          <w:p w14:paraId="69424562" w14:textId="6EFAB05A" w:rsidR="00FF10BB" w:rsidRDefault="00FF10BB" w:rsidP="00DC0D46">
            <w:pPr>
              <w:tabs>
                <w:tab w:val="left" w:pos="1701"/>
              </w:tabs>
              <w:rPr>
                <w:b/>
                <w:snapToGrid w:val="0"/>
              </w:rPr>
            </w:pPr>
            <w:r>
              <w:rPr>
                <w:b/>
                <w:snapToGrid w:val="0"/>
              </w:rPr>
              <w:t>§ 11</w:t>
            </w:r>
          </w:p>
        </w:tc>
        <w:tc>
          <w:tcPr>
            <w:tcW w:w="7162" w:type="dxa"/>
          </w:tcPr>
          <w:p w14:paraId="380955F4" w14:textId="77777777" w:rsidR="00FF10BB" w:rsidRDefault="00FF10BB" w:rsidP="00C47A22">
            <w:pPr>
              <w:widowControl w:val="0"/>
              <w:tabs>
                <w:tab w:val="left" w:pos="1701"/>
              </w:tabs>
              <w:rPr>
                <w:b/>
              </w:rPr>
            </w:pPr>
            <w:r w:rsidRPr="00CD175B">
              <w:rPr>
                <w:b/>
              </w:rPr>
              <w:t>Fråga om utskottsinitiativ om en utbyggnad av transmissionsnätet till havs</w:t>
            </w:r>
          </w:p>
          <w:p w14:paraId="5EBB2F20" w14:textId="3BB2D71B" w:rsidR="00FF10BB" w:rsidRDefault="00FF10BB" w:rsidP="00FF10BB">
            <w:pPr>
              <w:widowControl w:val="0"/>
              <w:tabs>
                <w:tab w:val="left" w:pos="1701"/>
              </w:tabs>
            </w:pPr>
            <w:r>
              <w:rPr>
                <w:b/>
              </w:rPr>
              <w:br/>
            </w:r>
            <w:r w:rsidR="003C2D14">
              <w:t>U</w:t>
            </w:r>
            <w:r w:rsidRPr="00A20D05">
              <w:t xml:space="preserve">tskottet </w:t>
            </w:r>
            <w:r w:rsidR="003C2D14">
              <w:t>fortsatte behandlingen av frågan om ett initiativ om en utbyggnad av transmissionsnätet till havs, se bilaga 2.</w:t>
            </w:r>
          </w:p>
          <w:p w14:paraId="24D21273" w14:textId="2A1A97D3" w:rsidR="00FF10BB" w:rsidRDefault="00FF10BB" w:rsidP="00FF10BB">
            <w:pPr>
              <w:widowControl w:val="0"/>
              <w:tabs>
                <w:tab w:val="left" w:pos="1701"/>
              </w:tabs>
            </w:pPr>
          </w:p>
          <w:p w14:paraId="28121C05" w14:textId="77777777" w:rsidR="00FF10BB" w:rsidRDefault="00FF10BB" w:rsidP="00C47A22">
            <w:pPr>
              <w:widowControl w:val="0"/>
              <w:tabs>
                <w:tab w:val="left" w:pos="1701"/>
              </w:tabs>
            </w:pPr>
            <w:r>
              <w:t>Utskottet beslutade att inte ta något initiativ.</w:t>
            </w:r>
          </w:p>
          <w:p w14:paraId="27BA08DE" w14:textId="77777777" w:rsidR="00FF10BB" w:rsidRDefault="00FF10BB" w:rsidP="00C47A22">
            <w:pPr>
              <w:widowControl w:val="0"/>
              <w:tabs>
                <w:tab w:val="left" w:pos="1701"/>
              </w:tabs>
            </w:pPr>
          </w:p>
          <w:p w14:paraId="2E6CB1AB" w14:textId="31BE7C68" w:rsidR="00FF10BB" w:rsidRPr="004B59D0" w:rsidRDefault="00FF10BB" w:rsidP="00C47A22">
            <w:pPr>
              <w:widowControl w:val="0"/>
              <w:tabs>
                <w:tab w:val="left" w:pos="1701"/>
              </w:tabs>
              <w:rPr>
                <w:b/>
                <w:bCs/>
              </w:rPr>
            </w:pPr>
            <w:r w:rsidRPr="00FF10BB">
              <w:t>S-, V-, C- och MP</w:t>
            </w:r>
            <w:r>
              <w:t>-ledamöterna reserverade sig mot beslutet och ansåg att utskottet borde ha inlett ett beredningsarbete i syfte att kunna ta ett i</w:t>
            </w:r>
            <w:r w:rsidRPr="00FF10BB">
              <w:t>nitiativ i frågan.</w:t>
            </w:r>
            <w:r w:rsidRPr="00CD175B">
              <w:rPr>
                <w:bCs/>
                <w:szCs w:val="23"/>
              </w:rPr>
              <w:br/>
            </w:r>
          </w:p>
        </w:tc>
      </w:tr>
      <w:tr w:rsidR="00FF10BB" w:rsidRPr="0012669A" w14:paraId="73A942BB" w14:textId="77777777" w:rsidTr="00D536F5">
        <w:trPr>
          <w:trHeight w:val="567"/>
        </w:trPr>
        <w:tc>
          <w:tcPr>
            <w:tcW w:w="567" w:type="dxa"/>
          </w:tcPr>
          <w:p w14:paraId="07341874" w14:textId="3EECD536" w:rsidR="00FF10BB" w:rsidRDefault="00FF10BB" w:rsidP="00DC0D46">
            <w:pPr>
              <w:tabs>
                <w:tab w:val="left" w:pos="1701"/>
              </w:tabs>
              <w:rPr>
                <w:b/>
                <w:snapToGrid w:val="0"/>
              </w:rPr>
            </w:pPr>
            <w:r>
              <w:rPr>
                <w:b/>
                <w:snapToGrid w:val="0"/>
              </w:rPr>
              <w:t>§ 12</w:t>
            </w:r>
          </w:p>
        </w:tc>
        <w:tc>
          <w:tcPr>
            <w:tcW w:w="7162" w:type="dxa"/>
          </w:tcPr>
          <w:p w14:paraId="1F64959A" w14:textId="77777777" w:rsidR="00FF10BB" w:rsidRDefault="00FF10BB" w:rsidP="00C47A22">
            <w:pPr>
              <w:widowControl w:val="0"/>
              <w:tabs>
                <w:tab w:val="left" w:pos="1701"/>
              </w:tabs>
              <w:rPr>
                <w:b/>
                <w:bCs/>
              </w:rPr>
            </w:pPr>
            <w:r w:rsidRPr="00BF4706">
              <w:rPr>
                <w:b/>
                <w:bCs/>
              </w:rPr>
              <w:t>Förslag till förordning om regionalt krisstöd för återuppbyggnad och om ändring av förordning (EU) 2021/1058 och förordning (EU) 2021/1057</w:t>
            </w:r>
          </w:p>
          <w:p w14:paraId="5E1E152D" w14:textId="77777777" w:rsidR="00FF10BB" w:rsidRDefault="00FF10BB" w:rsidP="00C47A22">
            <w:pPr>
              <w:widowControl w:val="0"/>
              <w:tabs>
                <w:tab w:val="left" w:pos="1701"/>
              </w:tabs>
              <w:rPr>
                <w:b/>
                <w:bCs/>
              </w:rPr>
            </w:pPr>
          </w:p>
          <w:p w14:paraId="25C2328D" w14:textId="77777777" w:rsidR="00FF10BB" w:rsidRDefault="00FF10BB" w:rsidP="00C47A22">
            <w:pPr>
              <w:widowControl w:val="0"/>
              <w:tabs>
                <w:tab w:val="left" w:pos="1701"/>
              </w:tabs>
            </w:pPr>
            <w:r>
              <w:t xml:space="preserve">Utskottet inledde subsidiaritetsprövningen av </w:t>
            </w:r>
            <w:proofErr w:type="gramStart"/>
            <w:r>
              <w:t>COM(</w:t>
            </w:r>
            <w:proofErr w:type="gramEnd"/>
            <w:r>
              <w:t xml:space="preserve">2024) 496. </w:t>
            </w:r>
          </w:p>
          <w:p w14:paraId="50DC4D36" w14:textId="77777777" w:rsidR="00FF10BB" w:rsidRDefault="00FF10BB" w:rsidP="00C47A22">
            <w:pPr>
              <w:widowControl w:val="0"/>
              <w:tabs>
                <w:tab w:val="left" w:pos="1701"/>
              </w:tabs>
            </w:pPr>
          </w:p>
          <w:p w14:paraId="74271AD5" w14:textId="77777777" w:rsidR="00D536F5" w:rsidRDefault="00D536F5" w:rsidP="00C47A22">
            <w:pPr>
              <w:widowControl w:val="0"/>
              <w:tabs>
                <w:tab w:val="left" w:pos="1701"/>
              </w:tabs>
            </w:pPr>
            <w:r>
              <w:t xml:space="preserve">Utskottet beslutade att begära information om regeringens bedömning av tillämpningen av subsidiaritetsprincipen i förslaget. </w:t>
            </w:r>
          </w:p>
          <w:p w14:paraId="18A41843" w14:textId="77777777" w:rsidR="00D536F5" w:rsidRDefault="00D536F5" w:rsidP="00C47A22">
            <w:pPr>
              <w:widowControl w:val="0"/>
              <w:tabs>
                <w:tab w:val="left" w:pos="1701"/>
              </w:tabs>
            </w:pPr>
          </w:p>
          <w:p w14:paraId="3C2DA084" w14:textId="6BB20753" w:rsidR="00D536F5" w:rsidRDefault="00D536F5" w:rsidP="00C47A22">
            <w:pPr>
              <w:widowControl w:val="0"/>
              <w:tabs>
                <w:tab w:val="left" w:pos="1701"/>
              </w:tabs>
            </w:pPr>
            <w:r>
              <w:t xml:space="preserve">Ärendet bordlades. </w:t>
            </w:r>
          </w:p>
          <w:p w14:paraId="27CFE2DB" w14:textId="77777777" w:rsidR="00F5193F" w:rsidRDefault="00F5193F" w:rsidP="00C47A22">
            <w:pPr>
              <w:widowControl w:val="0"/>
              <w:tabs>
                <w:tab w:val="left" w:pos="1701"/>
              </w:tabs>
            </w:pPr>
          </w:p>
          <w:p w14:paraId="749AD9FA" w14:textId="6A438AB8" w:rsidR="00FF10BB" w:rsidRPr="00CD175B" w:rsidRDefault="00D536F5" w:rsidP="00C47A22">
            <w:pPr>
              <w:widowControl w:val="0"/>
              <w:tabs>
                <w:tab w:val="left" w:pos="1701"/>
              </w:tabs>
              <w:rPr>
                <w:b/>
              </w:rPr>
            </w:pPr>
            <w:r>
              <w:t xml:space="preserve">Denna paragraf förklarades omedelbart justerad. </w:t>
            </w:r>
            <w:r w:rsidR="00FF10BB" w:rsidRPr="00BF4706">
              <w:rPr>
                <w:b/>
                <w:bCs/>
              </w:rPr>
              <w:br/>
            </w:r>
          </w:p>
        </w:tc>
      </w:tr>
      <w:tr w:rsidR="00E118EC" w:rsidRPr="0012669A" w14:paraId="7B91A30C" w14:textId="77777777" w:rsidTr="0056325B">
        <w:trPr>
          <w:trHeight w:val="571"/>
        </w:trPr>
        <w:tc>
          <w:tcPr>
            <w:tcW w:w="567" w:type="dxa"/>
          </w:tcPr>
          <w:p w14:paraId="4F633BB3" w14:textId="0FC4ADBE" w:rsidR="00E118EC" w:rsidRDefault="00E118EC" w:rsidP="00DC0D46">
            <w:pPr>
              <w:tabs>
                <w:tab w:val="left" w:pos="1701"/>
              </w:tabs>
              <w:rPr>
                <w:b/>
                <w:snapToGrid w:val="0"/>
              </w:rPr>
            </w:pPr>
            <w:r>
              <w:rPr>
                <w:b/>
                <w:snapToGrid w:val="0"/>
              </w:rPr>
              <w:t xml:space="preserve">§ </w:t>
            </w:r>
            <w:r w:rsidR="00FF10BB">
              <w:rPr>
                <w:b/>
                <w:snapToGrid w:val="0"/>
              </w:rPr>
              <w:t>13</w:t>
            </w:r>
          </w:p>
        </w:tc>
        <w:tc>
          <w:tcPr>
            <w:tcW w:w="7162" w:type="dxa"/>
          </w:tcPr>
          <w:p w14:paraId="7DB51FDA" w14:textId="20C90563" w:rsidR="00E118EC" w:rsidRDefault="00E118EC" w:rsidP="0056325B">
            <w:pPr>
              <w:widowControl w:val="0"/>
              <w:tabs>
                <w:tab w:val="left" w:pos="1701"/>
              </w:tabs>
              <w:rPr>
                <w:b/>
                <w:bCs/>
                <w:szCs w:val="23"/>
              </w:rPr>
            </w:pPr>
            <w:r>
              <w:rPr>
                <w:b/>
                <w:bCs/>
                <w:szCs w:val="23"/>
              </w:rPr>
              <w:t>I</w:t>
            </w:r>
            <w:r w:rsidRPr="00E118EC">
              <w:rPr>
                <w:b/>
                <w:bCs/>
                <w:szCs w:val="23"/>
              </w:rPr>
              <w:t>nkomna EU-dokument</w:t>
            </w:r>
          </w:p>
          <w:p w14:paraId="5AE07557" w14:textId="7002644B" w:rsidR="00E118EC" w:rsidRDefault="00E118EC" w:rsidP="0056325B">
            <w:pPr>
              <w:widowControl w:val="0"/>
              <w:tabs>
                <w:tab w:val="left" w:pos="1701"/>
              </w:tabs>
              <w:rPr>
                <w:b/>
                <w:bCs/>
                <w:szCs w:val="23"/>
              </w:rPr>
            </w:pPr>
          </w:p>
          <w:p w14:paraId="26CE7B59" w14:textId="58BB8696" w:rsidR="00E118EC" w:rsidRPr="00E118EC" w:rsidRDefault="00E118EC" w:rsidP="0056325B">
            <w:pPr>
              <w:widowControl w:val="0"/>
              <w:tabs>
                <w:tab w:val="left" w:pos="1701"/>
              </w:tabs>
              <w:rPr>
                <w:szCs w:val="23"/>
              </w:rPr>
            </w:pPr>
            <w:r w:rsidRPr="00E118EC">
              <w:rPr>
                <w:szCs w:val="23"/>
              </w:rPr>
              <w:t>Anmäldes sammanställning över inkomna EU-dokument.</w:t>
            </w:r>
          </w:p>
          <w:p w14:paraId="2CF62FB9" w14:textId="2893F5D1" w:rsidR="00E118EC" w:rsidRDefault="00E118EC" w:rsidP="0056325B">
            <w:pPr>
              <w:widowControl w:val="0"/>
              <w:tabs>
                <w:tab w:val="left" w:pos="1701"/>
              </w:tabs>
              <w:rPr>
                <w:b/>
                <w:bCs/>
                <w:szCs w:val="23"/>
              </w:rPr>
            </w:pPr>
          </w:p>
        </w:tc>
      </w:tr>
      <w:tr w:rsidR="00D536F5" w:rsidRPr="0012669A" w14:paraId="60D4D24A" w14:textId="77777777" w:rsidTr="0056325B">
        <w:trPr>
          <w:trHeight w:val="571"/>
        </w:trPr>
        <w:tc>
          <w:tcPr>
            <w:tcW w:w="567" w:type="dxa"/>
          </w:tcPr>
          <w:p w14:paraId="6BE2C8E6" w14:textId="2CE73E1E" w:rsidR="00D536F5" w:rsidRDefault="00D536F5" w:rsidP="00DC0D46">
            <w:pPr>
              <w:tabs>
                <w:tab w:val="left" w:pos="1701"/>
              </w:tabs>
              <w:rPr>
                <w:b/>
                <w:snapToGrid w:val="0"/>
              </w:rPr>
            </w:pPr>
            <w:r>
              <w:rPr>
                <w:b/>
                <w:snapToGrid w:val="0"/>
              </w:rPr>
              <w:lastRenderedPageBreak/>
              <w:t>§ 14</w:t>
            </w:r>
          </w:p>
        </w:tc>
        <w:tc>
          <w:tcPr>
            <w:tcW w:w="7162" w:type="dxa"/>
          </w:tcPr>
          <w:p w14:paraId="335DDE5A" w14:textId="77777777" w:rsidR="00D536F5" w:rsidRDefault="00D536F5" w:rsidP="0056325B">
            <w:pPr>
              <w:widowControl w:val="0"/>
              <w:tabs>
                <w:tab w:val="left" w:pos="1701"/>
              </w:tabs>
              <w:rPr>
                <w:b/>
                <w:bCs/>
                <w:szCs w:val="23"/>
              </w:rPr>
            </w:pPr>
            <w:r w:rsidRPr="00D536F5">
              <w:rPr>
                <w:b/>
                <w:bCs/>
                <w:szCs w:val="23"/>
              </w:rPr>
              <w:t>Överläggning om EU-fråga</w:t>
            </w:r>
          </w:p>
          <w:p w14:paraId="1EB6F4F6" w14:textId="77777777" w:rsidR="00D536F5" w:rsidRDefault="00D536F5" w:rsidP="0056325B">
            <w:pPr>
              <w:widowControl w:val="0"/>
              <w:tabs>
                <w:tab w:val="left" w:pos="1701"/>
              </w:tabs>
              <w:rPr>
                <w:b/>
                <w:bCs/>
                <w:szCs w:val="23"/>
              </w:rPr>
            </w:pPr>
          </w:p>
          <w:p w14:paraId="371531AC" w14:textId="2F466E65" w:rsidR="00D536F5" w:rsidRDefault="00D536F5" w:rsidP="0056325B">
            <w:pPr>
              <w:widowControl w:val="0"/>
              <w:tabs>
                <w:tab w:val="left" w:pos="1701"/>
              </w:tabs>
            </w:pPr>
            <w:r>
              <w:t>Utskottet beslutade att överlägga med regeringen om u</w:t>
            </w:r>
            <w:r w:rsidRPr="00D536F5">
              <w:t xml:space="preserve">tkast </w:t>
            </w:r>
            <w:r w:rsidR="00294F5B">
              <w:t xml:space="preserve">till </w:t>
            </w:r>
            <w:r w:rsidRPr="00D536F5">
              <w:t>rådslutsatser om sammanhållningspolitikens roll i att adressera demografiska utmaningar i EU</w:t>
            </w:r>
            <w:r>
              <w:t xml:space="preserve">, WK </w:t>
            </w:r>
            <w:proofErr w:type="gramStart"/>
            <w:r>
              <w:t>11184</w:t>
            </w:r>
            <w:proofErr w:type="gramEnd"/>
            <w:r>
              <w:t>/24.</w:t>
            </w:r>
          </w:p>
          <w:p w14:paraId="270B2254" w14:textId="77777777" w:rsidR="00D536F5" w:rsidRDefault="00D536F5" w:rsidP="0056325B">
            <w:pPr>
              <w:widowControl w:val="0"/>
              <w:tabs>
                <w:tab w:val="left" w:pos="1701"/>
              </w:tabs>
            </w:pPr>
          </w:p>
          <w:p w14:paraId="0A3B4D1C" w14:textId="77777777" w:rsidR="00D536F5" w:rsidRDefault="00D536F5" w:rsidP="00F5193F">
            <w:pPr>
              <w:widowControl w:val="0"/>
              <w:tabs>
                <w:tab w:val="left" w:pos="1701"/>
              </w:tabs>
            </w:pPr>
            <w:r>
              <w:t xml:space="preserve">Denna paragraf förklarades omedelbart justerad. </w:t>
            </w:r>
          </w:p>
          <w:p w14:paraId="76421963" w14:textId="0323A9F2" w:rsidR="002347C7" w:rsidRDefault="002347C7" w:rsidP="00F5193F">
            <w:pPr>
              <w:widowControl w:val="0"/>
              <w:tabs>
                <w:tab w:val="left" w:pos="1701"/>
              </w:tabs>
              <w:rPr>
                <w:b/>
                <w:bCs/>
                <w:szCs w:val="23"/>
              </w:rPr>
            </w:pPr>
          </w:p>
        </w:tc>
      </w:tr>
      <w:tr w:rsidR="00E7594E" w:rsidRPr="0012669A" w14:paraId="33046147" w14:textId="77777777" w:rsidTr="001324AA">
        <w:trPr>
          <w:trHeight w:val="950"/>
        </w:trPr>
        <w:tc>
          <w:tcPr>
            <w:tcW w:w="567" w:type="dxa"/>
          </w:tcPr>
          <w:p w14:paraId="226051D7" w14:textId="57667CCE" w:rsidR="00E7594E" w:rsidRDefault="00E7594E" w:rsidP="00E7594E">
            <w:pPr>
              <w:tabs>
                <w:tab w:val="left" w:pos="1701"/>
              </w:tabs>
              <w:rPr>
                <w:b/>
                <w:snapToGrid w:val="0"/>
              </w:rPr>
            </w:pPr>
            <w:r>
              <w:rPr>
                <w:b/>
                <w:snapToGrid w:val="0"/>
              </w:rPr>
              <w:t xml:space="preserve">§ </w:t>
            </w:r>
            <w:r w:rsidR="008A32BA">
              <w:rPr>
                <w:b/>
                <w:snapToGrid w:val="0"/>
              </w:rPr>
              <w:t>1</w:t>
            </w:r>
            <w:r w:rsidR="00D536F5">
              <w:rPr>
                <w:b/>
                <w:snapToGrid w:val="0"/>
              </w:rPr>
              <w:t>5</w:t>
            </w:r>
          </w:p>
        </w:tc>
        <w:tc>
          <w:tcPr>
            <w:tcW w:w="7162" w:type="dxa"/>
          </w:tcPr>
          <w:p w14:paraId="78E623B5" w14:textId="60B853BD" w:rsidR="001B2BF4" w:rsidRDefault="00E7594E" w:rsidP="00E7594E">
            <w:pPr>
              <w:widowControl w:val="0"/>
              <w:tabs>
                <w:tab w:val="left" w:pos="1701"/>
              </w:tabs>
              <w:rPr>
                <w:b/>
              </w:rPr>
            </w:pPr>
            <w:r w:rsidRPr="00F42793">
              <w:rPr>
                <w:b/>
              </w:rPr>
              <w:t>Nästa sammanträde</w:t>
            </w:r>
          </w:p>
          <w:p w14:paraId="1A717359" w14:textId="77777777" w:rsidR="001B2BF4" w:rsidRDefault="001B2BF4" w:rsidP="00E7594E">
            <w:pPr>
              <w:widowControl w:val="0"/>
              <w:tabs>
                <w:tab w:val="left" w:pos="1701"/>
              </w:tabs>
              <w:rPr>
                <w:b/>
              </w:rPr>
            </w:pPr>
          </w:p>
          <w:p w14:paraId="48A9CF00" w14:textId="514A5A95" w:rsidR="00103FCA" w:rsidRPr="00CF4B74" w:rsidRDefault="00103FCA" w:rsidP="00103FCA">
            <w:pPr>
              <w:spacing w:after="200" w:line="280" w:lineRule="exact"/>
            </w:pPr>
            <w:r>
              <w:t xml:space="preserve">Nästa sammanträde äger rum </w:t>
            </w:r>
            <w:r w:rsidR="008C59A1">
              <w:t>tis</w:t>
            </w:r>
            <w:r w:rsidRPr="00630A76">
              <w:t xml:space="preserve">dagen den </w:t>
            </w:r>
            <w:r w:rsidR="00B07E00">
              <w:t>12</w:t>
            </w:r>
            <w:r w:rsidR="00E8434D">
              <w:t xml:space="preserve"> november</w:t>
            </w:r>
            <w:r w:rsidRPr="00630A76">
              <w:t xml:space="preserve"> 202</w:t>
            </w:r>
            <w:r>
              <w:t>4</w:t>
            </w:r>
            <w:r w:rsidR="001B2BF4">
              <w:br/>
            </w:r>
            <w:r w:rsidRPr="00630A76">
              <w:t>kl. 1</w:t>
            </w:r>
            <w:r w:rsidR="008C59A1">
              <w:t>1</w:t>
            </w:r>
            <w:r w:rsidRPr="00630A76">
              <w:t>.00.</w:t>
            </w:r>
          </w:p>
          <w:p w14:paraId="64307BA5" w14:textId="43A3DF86" w:rsidR="00E7594E" w:rsidRPr="0077189E" w:rsidRDefault="00E7594E" w:rsidP="00E7594E">
            <w:pPr>
              <w:widowControl w:val="0"/>
              <w:tabs>
                <w:tab w:val="left" w:pos="1701"/>
              </w:tabs>
              <w:rPr>
                <w:bCs/>
              </w:rPr>
            </w:pPr>
          </w:p>
        </w:tc>
      </w:tr>
      <w:tr w:rsidR="00E7594E" w:rsidRPr="0012669A" w14:paraId="448A3638" w14:textId="77777777" w:rsidTr="001324AA">
        <w:tc>
          <w:tcPr>
            <w:tcW w:w="7729" w:type="dxa"/>
            <w:gridSpan w:val="2"/>
          </w:tcPr>
          <w:p w14:paraId="2FEDC8BF" w14:textId="08668C64" w:rsidR="00E7594E" w:rsidRDefault="00E7594E" w:rsidP="00E7594E">
            <w:pPr>
              <w:tabs>
                <w:tab w:val="left" w:pos="1701"/>
              </w:tabs>
            </w:pPr>
          </w:p>
          <w:p w14:paraId="00DBC1D3" w14:textId="77777777" w:rsidR="00B56E86" w:rsidRDefault="00B56E86" w:rsidP="00B56E86">
            <w:pPr>
              <w:tabs>
                <w:tab w:val="left" w:pos="1701"/>
              </w:tabs>
            </w:pPr>
            <w:r w:rsidRPr="0012669A">
              <w:t>Vid protokollet</w:t>
            </w:r>
          </w:p>
          <w:p w14:paraId="09A7756D" w14:textId="77777777" w:rsidR="00B56E86" w:rsidRDefault="00B56E86" w:rsidP="00B56E86">
            <w:pPr>
              <w:tabs>
                <w:tab w:val="left" w:pos="1701"/>
              </w:tabs>
            </w:pPr>
          </w:p>
          <w:p w14:paraId="78508BCB" w14:textId="77777777" w:rsidR="00B56E86" w:rsidRPr="0012669A" w:rsidRDefault="00B56E86" w:rsidP="00B56E86">
            <w:pPr>
              <w:tabs>
                <w:tab w:val="left" w:pos="1701"/>
              </w:tabs>
            </w:pPr>
          </w:p>
          <w:p w14:paraId="103ABC8B" w14:textId="77777777" w:rsidR="00B56E86" w:rsidRDefault="00B56E86" w:rsidP="00B56E86">
            <w:pPr>
              <w:tabs>
                <w:tab w:val="left" w:pos="1701"/>
              </w:tabs>
            </w:pPr>
          </w:p>
          <w:p w14:paraId="385FC8A9" w14:textId="77777777" w:rsidR="00B56E86" w:rsidRDefault="00B56E86" w:rsidP="00B56E86">
            <w:pPr>
              <w:tabs>
                <w:tab w:val="left" w:pos="1701"/>
              </w:tabs>
            </w:pPr>
          </w:p>
          <w:p w14:paraId="4DA1BCA8" w14:textId="2732D127" w:rsidR="00B56E86" w:rsidRPr="0012669A" w:rsidRDefault="00B56E86" w:rsidP="00B56E86">
            <w:pPr>
              <w:tabs>
                <w:tab w:val="left" w:pos="1701"/>
              </w:tabs>
            </w:pPr>
            <w:r w:rsidRPr="0012669A">
              <w:t xml:space="preserve">Justeras den </w:t>
            </w:r>
            <w:r w:rsidR="00FF10BB">
              <w:t>12</w:t>
            </w:r>
            <w:r>
              <w:t xml:space="preserve"> november 2024</w:t>
            </w:r>
          </w:p>
          <w:p w14:paraId="50CF5AE3" w14:textId="77777777" w:rsidR="00B56E86" w:rsidRDefault="00B56E86" w:rsidP="00B56E86">
            <w:pPr>
              <w:tabs>
                <w:tab w:val="left" w:pos="1701"/>
              </w:tabs>
            </w:pPr>
          </w:p>
          <w:p w14:paraId="3DDE98D9" w14:textId="77777777" w:rsidR="00B56E86" w:rsidRPr="0012669A" w:rsidRDefault="00B56E86" w:rsidP="00B56E86">
            <w:pPr>
              <w:tabs>
                <w:tab w:val="left" w:pos="1701"/>
              </w:tabs>
            </w:pPr>
          </w:p>
          <w:p w14:paraId="540E52C5" w14:textId="39670133" w:rsidR="00E7594E" w:rsidRPr="00355D1B" w:rsidRDefault="00E7594E" w:rsidP="00E7594E">
            <w:pPr>
              <w:tabs>
                <w:tab w:val="left" w:pos="1701"/>
              </w:tabs>
            </w:pPr>
          </w:p>
        </w:tc>
      </w:tr>
    </w:tbl>
    <w:p w14:paraId="5E0AE7DB" w14:textId="55333757" w:rsidR="008C59A1" w:rsidRDefault="008C59A1">
      <w:bookmarkStart w:id="0" w:name="_Hlk97030853"/>
      <w:bookmarkStart w:id="1" w:name="_Hlk146185070"/>
    </w:p>
    <w:p w14:paraId="28DEE723" w14:textId="77777777" w:rsidR="008C59A1" w:rsidRDefault="008C59A1">
      <w:r>
        <w:br w:type="page"/>
      </w:r>
    </w:p>
    <w:p w14:paraId="5ACBBD8A" w14:textId="77777777" w:rsidR="00141DEF" w:rsidRDefault="00141DEF"/>
    <w:tbl>
      <w:tblPr>
        <w:tblW w:w="958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402"/>
        <w:gridCol w:w="284"/>
        <w:gridCol w:w="425"/>
        <w:gridCol w:w="425"/>
        <w:gridCol w:w="426"/>
        <w:gridCol w:w="425"/>
        <w:gridCol w:w="22"/>
        <w:gridCol w:w="582"/>
        <w:gridCol w:w="388"/>
        <w:gridCol w:w="11"/>
      </w:tblGrid>
      <w:tr w:rsidR="001D165A" w14:paraId="66CEFB4D" w14:textId="77777777" w:rsidTr="00520D18">
        <w:tc>
          <w:tcPr>
            <w:tcW w:w="3190" w:type="dxa"/>
            <w:tcBorders>
              <w:top w:val="nil"/>
              <w:left w:val="nil"/>
              <w:bottom w:val="nil"/>
              <w:right w:val="nil"/>
            </w:tcBorders>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111" w:type="dxa"/>
            <w:gridSpan w:val="11"/>
            <w:tcBorders>
              <w:top w:val="nil"/>
              <w:left w:val="nil"/>
              <w:bottom w:val="nil"/>
              <w:right w:val="nil"/>
            </w:tcBorders>
          </w:tcPr>
          <w:p w14:paraId="0B188CF5" w14:textId="77777777" w:rsidR="001D165A" w:rsidRDefault="001D165A" w:rsidP="00FD0762">
            <w:pPr>
              <w:tabs>
                <w:tab w:val="left" w:pos="1701"/>
              </w:tabs>
              <w:rPr>
                <w:b/>
                <w:sz w:val="22"/>
                <w:szCs w:val="22"/>
              </w:rPr>
            </w:pPr>
            <w:r>
              <w:rPr>
                <w:b/>
                <w:sz w:val="22"/>
                <w:szCs w:val="22"/>
              </w:rPr>
              <w:t>NÄRVAROFÖRTECKNING</w:t>
            </w:r>
          </w:p>
        </w:tc>
        <w:tc>
          <w:tcPr>
            <w:tcW w:w="425" w:type="dxa"/>
            <w:tcBorders>
              <w:top w:val="nil"/>
              <w:left w:val="nil"/>
              <w:bottom w:val="nil"/>
              <w:right w:val="nil"/>
            </w:tcBorders>
          </w:tcPr>
          <w:p w14:paraId="7CF80EFD" w14:textId="77777777" w:rsidR="001D165A" w:rsidRDefault="001D165A" w:rsidP="00FD0762">
            <w:pPr>
              <w:tabs>
                <w:tab w:val="left" w:pos="1701"/>
              </w:tabs>
              <w:rPr>
                <w:b/>
                <w:sz w:val="20"/>
              </w:rPr>
            </w:pPr>
          </w:p>
        </w:tc>
        <w:tc>
          <w:tcPr>
            <w:tcW w:w="1854" w:type="dxa"/>
            <w:gridSpan w:val="6"/>
            <w:tcBorders>
              <w:top w:val="nil"/>
              <w:left w:val="nil"/>
              <w:bottom w:val="nil"/>
              <w:right w:val="nil"/>
            </w:tcBorders>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0F54496E" w:rsidR="001D165A" w:rsidRDefault="001D165A" w:rsidP="00FD0762">
            <w:pPr>
              <w:tabs>
                <w:tab w:val="left" w:pos="1701"/>
              </w:tabs>
            </w:pPr>
            <w:r>
              <w:rPr>
                <w:sz w:val="20"/>
              </w:rPr>
              <w:t>202</w:t>
            </w:r>
            <w:r w:rsidR="009F42FA">
              <w:rPr>
                <w:sz w:val="20"/>
              </w:rPr>
              <w:t>4</w:t>
            </w:r>
            <w:r>
              <w:rPr>
                <w:sz w:val="20"/>
              </w:rPr>
              <w:t>/2</w:t>
            </w:r>
            <w:r w:rsidR="009F42FA">
              <w:rPr>
                <w:sz w:val="20"/>
              </w:rPr>
              <w:t>5</w:t>
            </w:r>
            <w:r>
              <w:rPr>
                <w:sz w:val="20"/>
              </w:rPr>
              <w:t>:</w:t>
            </w:r>
            <w:r w:rsidR="00B07E00">
              <w:rPr>
                <w:sz w:val="20"/>
              </w:rPr>
              <w:t>7</w:t>
            </w:r>
          </w:p>
        </w:tc>
      </w:tr>
      <w:tr w:rsidR="001D165A" w14:paraId="0DF86746" w14:textId="77777777" w:rsidTr="00C47A22">
        <w:tc>
          <w:tcPr>
            <w:tcW w:w="3190" w:type="dxa"/>
            <w:tcBorders>
              <w:top w:val="single" w:sz="6" w:space="0" w:color="auto"/>
              <w:left w:val="single" w:sz="6" w:space="0" w:color="auto"/>
              <w:bottom w:val="single" w:sz="6" w:space="0" w:color="auto"/>
              <w:right w:val="single" w:sz="6" w:space="0" w:color="auto"/>
            </w:tcBorders>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Borders>
              <w:top w:val="single" w:sz="6" w:space="0" w:color="auto"/>
              <w:left w:val="single" w:sz="6" w:space="0" w:color="auto"/>
              <w:bottom w:val="single" w:sz="6" w:space="0" w:color="auto"/>
              <w:right w:val="single" w:sz="6" w:space="0" w:color="auto"/>
            </w:tcBorders>
          </w:tcPr>
          <w:p w14:paraId="606EF182" w14:textId="3B7D9C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E8434D">
              <w:rPr>
                <w:sz w:val="22"/>
                <w:szCs w:val="22"/>
              </w:rPr>
              <w:t>–</w:t>
            </w:r>
            <w:r w:rsidR="00D536F5">
              <w:rPr>
                <w:sz w:val="22"/>
                <w:szCs w:val="22"/>
              </w:rPr>
              <w:t>15</w:t>
            </w:r>
          </w:p>
        </w:tc>
        <w:tc>
          <w:tcPr>
            <w:tcW w:w="818" w:type="dxa"/>
            <w:gridSpan w:val="2"/>
            <w:tcBorders>
              <w:top w:val="single" w:sz="6" w:space="0" w:color="auto"/>
              <w:left w:val="single" w:sz="6" w:space="0" w:color="auto"/>
              <w:bottom w:val="single" w:sz="6" w:space="0" w:color="auto"/>
              <w:right w:val="single" w:sz="6" w:space="0" w:color="auto"/>
            </w:tcBorders>
          </w:tcPr>
          <w:p w14:paraId="1B33DFD2" w14:textId="5D01D6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301E3BBB" w14:textId="702F2DE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12E63081" w14:textId="729C45D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tcPr>
          <w:p w14:paraId="23DF87DA" w14:textId="50D8FABC"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0F452F" w14:textId="35BA0F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3" w:type="dxa"/>
            <w:gridSpan w:val="3"/>
            <w:tcBorders>
              <w:top w:val="single" w:sz="6" w:space="0" w:color="auto"/>
              <w:left w:val="single" w:sz="6" w:space="0" w:color="auto"/>
              <w:bottom w:val="single" w:sz="6" w:space="0" w:color="auto"/>
              <w:right w:val="single" w:sz="6" w:space="0" w:color="auto"/>
            </w:tcBorders>
          </w:tcPr>
          <w:p w14:paraId="516B7882" w14:textId="3E0495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81" w:type="dxa"/>
            <w:gridSpan w:val="3"/>
            <w:tcBorders>
              <w:top w:val="single" w:sz="6" w:space="0" w:color="auto"/>
              <w:left w:val="single" w:sz="6" w:space="0" w:color="auto"/>
              <w:bottom w:val="single" w:sz="6" w:space="0" w:color="auto"/>
              <w:right w:val="single" w:sz="6" w:space="0" w:color="auto"/>
            </w:tcBorders>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Borders>
              <w:top w:val="single" w:sz="6" w:space="0" w:color="auto"/>
              <w:left w:val="single" w:sz="6" w:space="0" w:color="auto"/>
              <w:bottom w:val="single" w:sz="6" w:space="0" w:color="auto"/>
              <w:right w:val="single" w:sz="6" w:space="0" w:color="auto"/>
            </w:tcBorders>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Borders>
              <w:top w:val="single" w:sz="6" w:space="0" w:color="auto"/>
              <w:left w:val="single" w:sz="6" w:space="0" w:color="auto"/>
              <w:bottom w:val="single" w:sz="6" w:space="0" w:color="auto"/>
              <w:right w:val="single" w:sz="6" w:space="0" w:color="auto"/>
            </w:tcBorders>
          </w:tcPr>
          <w:p w14:paraId="0D94B8A1" w14:textId="7032AAD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D7BAB4B" w14:textId="62D16873"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6" w:type="dxa"/>
            <w:tcBorders>
              <w:top w:val="single" w:sz="6" w:space="0" w:color="auto"/>
              <w:left w:val="single" w:sz="6" w:space="0" w:color="auto"/>
              <w:bottom w:val="single" w:sz="6" w:space="0" w:color="auto"/>
              <w:right w:val="single" w:sz="6" w:space="0" w:color="auto"/>
            </w:tcBorders>
          </w:tcPr>
          <w:p w14:paraId="2C671591" w14:textId="16A0FC57"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9B333CC" w14:textId="38FD530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48" w:type="dxa"/>
            <w:tcBorders>
              <w:top w:val="single" w:sz="6" w:space="0" w:color="auto"/>
              <w:left w:val="single" w:sz="6" w:space="0" w:color="auto"/>
              <w:bottom w:val="single" w:sz="6" w:space="0" w:color="auto"/>
              <w:right w:val="single" w:sz="6" w:space="0" w:color="auto"/>
            </w:tcBorders>
          </w:tcPr>
          <w:p w14:paraId="3AD6BD9A" w14:textId="6967CB19"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02" w:type="dxa"/>
            <w:tcBorders>
              <w:top w:val="single" w:sz="6" w:space="0" w:color="auto"/>
              <w:left w:val="single" w:sz="6" w:space="0" w:color="auto"/>
              <w:bottom w:val="single" w:sz="6" w:space="0" w:color="auto"/>
              <w:right w:val="single" w:sz="6" w:space="0" w:color="auto"/>
            </w:tcBorders>
          </w:tcPr>
          <w:p w14:paraId="5B348207" w14:textId="4DE772D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4" w:type="dxa"/>
            <w:tcBorders>
              <w:top w:val="single" w:sz="6" w:space="0" w:color="auto"/>
              <w:left w:val="single" w:sz="6" w:space="0" w:color="auto"/>
              <w:bottom w:val="single" w:sz="6" w:space="0" w:color="auto"/>
              <w:right w:val="single" w:sz="6" w:space="0" w:color="auto"/>
            </w:tcBorders>
          </w:tcPr>
          <w:p w14:paraId="086D3285" w14:textId="432CBBF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6037C1FA" w14:textId="26344FE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5" w:type="dxa"/>
            <w:tcBorders>
              <w:top w:val="single" w:sz="6" w:space="0" w:color="auto"/>
              <w:left w:val="single" w:sz="6" w:space="0" w:color="auto"/>
              <w:bottom w:val="single" w:sz="6" w:space="0" w:color="auto"/>
              <w:right w:val="single" w:sz="6" w:space="0" w:color="auto"/>
            </w:tcBorders>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196D5C" w14:textId="3FD31EA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28853E96" w14:textId="214C479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604" w:type="dxa"/>
            <w:gridSpan w:val="2"/>
            <w:tcBorders>
              <w:top w:val="single" w:sz="6" w:space="0" w:color="auto"/>
              <w:left w:val="single" w:sz="6" w:space="0" w:color="auto"/>
              <w:bottom w:val="single" w:sz="6" w:space="0" w:color="auto"/>
              <w:right w:val="single" w:sz="6" w:space="0" w:color="auto"/>
            </w:tcBorders>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Borders>
              <w:top w:val="single" w:sz="6" w:space="0" w:color="auto"/>
              <w:left w:val="single" w:sz="6" w:space="0" w:color="auto"/>
              <w:bottom w:val="single" w:sz="6" w:space="0" w:color="auto"/>
              <w:right w:val="single" w:sz="6" w:space="0" w:color="auto"/>
            </w:tcBorders>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Borders>
              <w:top w:val="single" w:sz="6" w:space="0" w:color="auto"/>
              <w:left w:val="single" w:sz="6" w:space="0" w:color="auto"/>
              <w:bottom w:val="single" w:sz="6" w:space="0" w:color="auto"/>
              <w:right w:val="single" w:sz="6" w:space="0" w:color="auto"/>
            </w:tcBorders>
          </w:tcPr>
          <w:p w14:paraId="5F24ACA1" w14:textId="05480C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0C436AC" w14:textId="21740C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9DC392" w14:textId="1CEBE9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1C98D9F" w14:textId="609DB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C0846F6" w14:textId="4A7976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F0562EF" w14:textId="014497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6D42468" w14:textId="0D09C2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772FEE" w14:paraId="1D2BC9BA"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0C50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w:t>
            </w:r>
          </w:p>
          <w:p w14:paraId="08E24F7B" w14:textId="57B54B08" w:rsidR="001D165A" w:rsidRPr="008F6BFD"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449" w:type="dxa"/>
            <w:tcBorders>
              <w:top w:val="single" w:sz="6" w:space="0" w:color="auto"/>
              <w:left w:val="single" w:sz="6" w:space="0" w:color="auto"/>
              <w:bottom w:val="single" w:sz="6" w:space="0" w:color="auto"/>
              <w:right w:val="single" w:sz="6" w:space="0" w:color="auto"/>
            </w:tcBorders>
          </w:tcPr>
          <w:p w14:paraId="6D0FCABF" w14:textId="5CEF10CD" w:rsidR="001D165A" w:rsidRPr="00772FEE" w:rsidRDefault="00D536F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1E1E08A"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16FCCB3" w14:textId="0532D8CE"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90CBC34"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9CF42D" w14:textId="13FDA86B"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85041A9"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9F3A5AB" w14:textId="51931E49"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73277094"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B16C757" w14:textId="4AA24EF2"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3EA2BE6"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C974C0" w14:textId="3F6344CE"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9A2E17D" w14:textId="7A272423"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B11E19"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4DDC8CEF" w14:textId="0733F52F"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1177D39"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21485D" w14:paraId="2D0DBF34"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366335F" w14:textId="5A645E6A" w:rsidR="001D165A" w:rsidRDefault="00D536F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6" w:space="0" w:color="auto"/>
              <w:left w:val="single" w:sz="6" w:space="0" w:color="auto"/>
              <w:bottom w:val="single" w:sz="6" w:space="0" w:color="auto"/>
              <w:right w:val="single" w:sz="6" w:space="0" w:color="auto"/>
            </w:tcBorders>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6" w:space="0" w:color="auto"/>
              <w:left w:val="single" w:sz="6" w:space="0" w:color="auto"/>
              <w:bottom w:val="single" w:sz="6" w:space="0" w:color="auto"/>
              <w:right w:val="single" w:sz="6" w:space="0" w:color="auto"/>
            </w:tcBorders>
          </w:tcPr>
          <w:p w14:paraId="563F8A2D" w14:textId="6CEC16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70B5930A" w14:textId="1F4D20B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6" w:space="0" w:color="auto"/>
              <w:left w:val="single" w:sz="6" w:space="0" w:color="auto"/>
              <w:bottom w:val="single" w:sz="6" w:space="0" w:color="auto"/>
              <w:right w:val="single" w:sz="6" w:space="0" w:color="auto"/>
            </w:tcBorders>
          </w:tcPr>
          <w:p w14:paraId="4B2F61DB" w14:textId="3A2457E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02" w:type="dxa"/>
            <w:tcBorders>
              <w:top w:val="single" w:sz="6" w:space="0" w:color="auto"/>
              <w:left w:val="single" w:sz="6" w:space="0" w:color="auto"/>
              <w:bottom w:val="single" w:sz="6" w:space="0" w:color="auto"/>
              <w:right w:val="single" w:sz="6" w:space="0" w:color="auto"/>
            </w:tcBorders>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14:paraId="25E2374D" w14:textId="4157214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CB771FD" w14:textId="5E537B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5A9932C1" w14:textId="60629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6" w:space="0" w:color="auto"/>
              <w:left w:val="single" w:sz="6" w:space="0" w:color="auto"/>
              <w:bottom w:val="single" w:sz="6" w:space="0" w:color="auto"/>
              <w:right w:val="single" w:sz="6" w:space="0" w:color="auto"/>
            </w:tcBorders>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6" w:space="0" w:color="auto"/>
              <w:left w:val="single" w:sz="6" w:space="0" w:color="auto"/>
              <w:bottom w:val="single" w:sz="6" w:space="0" w:color="auto"/>
              <w:right w:val="single" w:sz="6" w:space="0" w:color="auto"/>
            </w:tcBorders>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36CE6C4" w14:textId="7E8AE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Pr="00D36206">
              <w:rPr>
                <w:sz w:val="20"/>
              </w:rPr>
              <w:t xml:space="preserve"> (M)</w:t>
            </w:r>
          </w:p>
        </w:tc>
        <w:tc>
          <w:tcPr>
            <w:tcW w:w="449" w:type="dxa"/>
            <w:tcBorders>
              <w:top w:val="single" w:sz="6" w:space="0" w:color="auto"/>
              <w:left w:val="single" w:sz="6" w:space="0" w:color="auto"/>
              <w:bottom w:val="single" w:sz="6" w:space="0" w:color="auto"/>
              <w:right w:val="single" w:sz="6" w:space="0" w:color="auto"/>
            </w:tcBorders>
          </w:tcPr>
          <w:p w14:paraId="03DD9B83" w14:textId="5786EF75" w:rsidR="001D165A" w:rsidRDefault="00D536F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0D4FA10A" w14:textId="7BEBD1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50724A" w14:textId="6AEC079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4D34E95" w14:textId="1CAE6F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973B1CE" w14:textId="582DCF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850A75" w14:textId="3B722C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Borders>
              <w:top w:val="single" w:sz="6" w:space="0" w:color="auto"/>
              <w:left w:val="single" w:sz="6" w:space="0" w:color="auto"/>
              <w:bottom w:val="single" w:sz="6" w:space="0" w:color="auto"/>
              <w:right w:val="single" w:sz="6" w:space="0" w:color="auto"/>
            </w:tcBorders>
          </w:tcPr>
          <w:p w14:paraId="4CE452AC" w14:textId="6E9D4B5F" w:rsidR="001D165A" w:rsidRDefault="00D536F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073920D" w14:textId="4613B8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32B0EC" w14:textId="12F7C38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C4657E0" w14:textId="3713F0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CB8D627" w14:textId="56E139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1597CC5" w14:textId="521707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8EC7013"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Jessica Stegrud (SD)</w:t>
            </w:r>
          </w:p>
        </w:tc>
        <w:tc>
          <w:tcPr>
            <w:tcW w:w="449" w:type="dxa"/>
            <w:tcBorders>
              <w:top w:val="single" w:sz="6" w:space="0" w:color="auto"/>
              <w:left w:val="single" w:sz="6" w:space="0" w:color="auto"/>
              <w:bottom w:val="single" w:sz="6" w:space="0" w:color="auto"/>
              <w:right w:val="single" w:sz="6" w:space="0" w:color="auto"/>
            </w:tcBorders>
          </w:tcPr>
          <w:p w14:paraId="119454CF" w14:textId="23615C9F" w:rsidR="001D165A" w:rsidRDefault="00D536F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72D56A63" w14:textId="0293B0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16FA42" w14:textId="238D66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7E4E4C8" w14:textId="241A647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08EC02F" w14:textId="56E9838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888E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54300B" w14:textId="6F2419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Borders>
              <w:top w:val="single" w:sz="6" w:space="0" w:color="auto"/>
              <w:left w:val="single" w:sz="6" w:space="0" w:color="auto"/>
              <w:bottom w:val="single" w:sz="6" w:space="0" w:color="auto"/>
              <w:right w:val="single" w:sz="6" w:space="0" w:color="auto"/>
            </w:tcBorders>
          </w:tcPr>
          <w:p w14:paraId="723B6279" w14:textId="692B02D2" w:rsidR="001D165A" w:rsidRDefault="00D536F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7B0A1F0" w14:textId="2FE83C7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B526917" w14:textId="48F90F1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1D12B3F" w14:textId="532B8E2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5813955" w14:textId="35B3F0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58EAAD3" w14:textId="576433E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C4ABBD" w14:textId="223DBE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Borders>
              <w:top w:val="single" w:sz="6" w:space="0" w:color="auto"/>
              <w:left w:val="single" w:sz="6" w:space="0" w:color="auto"/>
              <w:bottom w:val="single" w:sz="6" w:space="0" w:color="auto"/>
              <w:right w:val="single" w:sz="6" w:space="0" w:color="auto"/>
            </w:tcBorders>
          </w:tcPr>
          <w:p w14:paraId="7F2A689D" w14:textId="321821EF" w:rsidR="001D165A" w:rsidRDefault="00D536F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27E68A7" w14:textId="60EFDF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287A17" w14:textId="3888534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390579A9" w14:textId="1A40870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7CA9A69" w14:textId="2A65198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9F79CE" w14:textId="55136E9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AD0BC35" w14:textId="0E2B33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Borders>
              <w:top w:val="single" w:sz="6" w:space="0" w:color="auto"/>
              <w:left w:val="single" w:sz="6" w:space="0" w:color="auto"/>
              <w:bottom w:val="single" w:sz="6" w:space="0" w:color="auto"/>
              <w:right w:val="single" w:sz="6" w:space="0" w:color="auto"/>
            </w:tcBorders>
          </w:tcPr>
          <w:p w14:paraId="37DC03D7" w14:textId="62DA9A06" w:rsidR="001D165A" w:rsidRDefault="00D536F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24ADABE" w14:textId="7D2DAFE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EBFCC9" w14:textId="4CD0B14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27B14CD" w14:textId="4A3776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F4A1DDC" w14:textId="1A7A92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CBB0262" w14:textId="1B89D3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714F27C" w14:textId="401256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D69477D" w14:textId="55AA5C8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Josef Fransson (SD)</w:t>
            </w:r>
          </w:p>
        </w:tc>
        <w:tc>
          <w:tcPr>
            <w:tcW w:w="449" w:type="dxa"/>
            <w:tcBorders>
              <w:top w:val="single" w:sz="6" w:space="0" w:color="auto"/>
              <w:left w:val="single" w:sz="6" w:space="0" w:color="auto"/>
              <w:bottom w:val="single" w:sz="6" w:space="0" w:color="auto"/>
              <w:right w:val="single" w:sz="6" w:space="0" w:color="auto"/>
            </w:tcBorders>
          </w:tcPr>
          <w:p w14:paraId="3AE85469" w14:textId="4A5C87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5A20467" w14:textId="4477FE1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7829684" w14:textId="107DC84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76264B" w14:textId="7E0E952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0B5BB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F09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Borders>
              <w:top w:val="single" w:sz="6" w:space="0" w:color="auto"/>
              <w:left w:val="single" w:sz="6" w:space="0" w:color="auto"/>
              <w:bottom w:val="single" w:sz="6" w:space="0" w:color="auto"/>
              <w:right w:val="single" w:sz="6" w:space="0" w:color="auto"/>
            </w:tcBorders>
          </w:tcPr>
          <w:p w14:paraId="6FE2AD41" w14:textId="591EC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57AE0EB" w14:textId="5CAA2E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E8CC899" w14:textId="1EC3E8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98CC2C8" w14:textId="5ACA524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9CFC165" w14:textId="233779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BA65DC0" w14:textId="6FA189F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Kjell Jansson (M)</w:t>
            </w:r>
          </w:p>
        </w:tc>
        <w:tc>
          <w:tcPr>
            <w:tcW w:w="449" w:type="dxa"/>
            <w:tcBorders>
              <w:top w:val="single" w:sz="6" w:space="0" w:color="auto"/>
              <w:left w:val="single" w:sz="6" w:space="0" w:color="auto"/>
              <w:bottom w:val="single" w:sz="6" w:space="0" w:color="auto"/>
              <w:right w:val="single" w:sz="6" w:space="0" w:color="auto"/>
            </w:tcBorders>
          </w:tcPr>
          <w:p w14:paraId="162330C2" w14:textId="7753CDF7" w:rsidR="001D165A" w:rsidRDefault="00D536F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8C8234" w14:textId="1219CC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01B1D47" w14:textId="33FD28F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6F1FFF2" w14:textId="37B4F3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2C1D2BC" w14:textId="37098F6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C805E2" w14:textId="06F9D62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2540685" w14:textId="5E8F35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Borders>
              <w:top w:val="single" w:sz="6" w:space="0" w:color="auto"/>
              <w:left w:val="single" w:sz="6" w:space="0" w:color="auto"/>
              <w:bottom w:val="single" w:sz="6" w:space="0" w:color="auto"/>
              <w:right w:val="single" w:sz="6" w:space="0" w:color="auto"/>
            </w:tcBorders>
          </w:tcPr>
          <w:p w14:paraId="3506A5F9" w14:textId="65116B3F" w:rsidR="001D165A" w:rsidRDefault="00D536F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35F66BE" w14:textId="6AB3ABA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3FD303B" w14:textId="518B5E7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AA41324" w14:textId="2829401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157091A" w14:textId="5197292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1E63E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Borders>
              <w:top w:val="single" w:sz="6" w:space="0" w:color="auto"/>
              <w:left w:val="single" w:sz="6" w:space="0" w:color="auto"/>
              <w:bottom w:val="single" w:sz="6" w:space="0" w:color="auto"/>
              <w:right w:val="single" w:sz="6" w:space="0" w:color="auto"/>
            </w:tcBorders>
          </w:tcPr>
          <w:p w14:paraId="7F8A02B2" w14:textId="684C4D17" w:rsidR="001D165A" w:rsidRDefault="00D536F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63146BE0" w14:textId="39DEC11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5CEC422" w14:textId="58F3E6C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7D3EE0D" w14:textId="1885E0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D1293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Eric Palmqvist (SD)</w:t>
            </w:r>
          </w:p>
        </w:tc>
        <w:tc>
          <w:tcPr>
            <w:tcW w:w="449" w:type="dxa"/>
            <w:tcBorders>
              <w:top w:val="single" w:sz="6" w:space="0" w:color="auto"/>
              <w:left w:val="single" w:sz="6" w:space="0" w:color="auto"/>
              <w:bottom w:val="single" w:sz="6" w:space="0" w:color="auto"/>
              <w:right w:val="single" w:sz="6" w:space="0" w:color="auto"/>
            </w:tcBorders>
          </w:tcPr>
          <w:p w14:paraId="7CA30006" w14:textId="52365933" w:rsidR="001D165A" w:rsidRDefault="00D536F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0306767" w14:textId="21AE45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31C6FB2" w14:textId="402334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F457081" w14:textId="7DA864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B606DE8" w14:textId="0FC2CE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CA3C7B" w14:textId="6D4411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ED57E7" w14:textId="472C76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3BF86C9"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Elin Söderberg (MP)</w:t>
            </w:r>
          </w:p>
        </w:tc>
        <w:tc>
          <w:tcPr>
            <w:tcW w:w="449" w:type="dxa"/>
            <w:tcBorders>
              <w:top w:val="single" w:sz="6" w:space="0" w:color="auto"/>
              <w:left w:val="single" w:sz="6" w:space="0" w:color="auto"/>
              <w:bottom w:val="single" w:sz="6" w:space="0" w:color="auto"/>
              <w:right w:val="single" w:sz="6" w:space="0" w:color="auto"/>
            </w:tcBorders>
          </w:tcPr>
          <w:p w14:paraId="25A2B47F" w14:textId="0A08DE4F" w:rsidR="001D165A" w:rsidRDefault="00D536F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7ED43B6" w14:textId="1180634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B1D0955" w14:textId="0B48C6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4A1001F" w14:textId="4B01488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55360CA" w14:textId="47A975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6DF164" w14:textId="6EDE9D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78E5A7B" w14:textId="71CC5A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Borders>
              <w:top w:val="single" w:sz="6" w:space="0" w:color="auto"/>
              <w:left w:val="single" w:sz="6" w:space="0" w:color="auto"/>
              <w:bottom w:val="single" w:sz="6" w:space="0" w:color="auto"/>
              <w:right w:val="single" w:sz="6" w:space="0" w:color="auto"/>
            </w:tcBorders>
          </w:tcPr>
          <w:p w14:paraId="25A2BC52" w14:textId="11453BF1" w:rsidR="001D165A" w:rsidRDefault="00D536F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EE2E086" w14:textId="6E8041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4E2448C" w14:textId="180257D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7D0EEB4" w14:textId="26F4CA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6F94A19" w14:textId="686FE0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ABC95B" w14:textId="5B9F5DF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02D780A" w14:textId="4FD639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Borders>
              <w:top w:val="single" w:sz="6" w:space="0" w:color="auto"/>
              <w:left w:val="single" w:sz="6" w:space="0" w:color="auto"/>
              <w:bottom w:val="single" w:sz="6" w:space="0" w:color="auto"/>
              <w:right w:val="single" w:sz="6" w:space="0" w:color="auto"/>
            </w:tcBorders>
          </w:tcPr>
          <w:p w14:paraId="5DAA8E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3E383F2" w14:textId="1DD39101" w:rsidR="001D165A" w:rsidRDefault="001D165A" w:rsidP="00FD0762">
            <w:pPr>
              <w:tabs>
                <w:tab w:val="left" w:pos="1985"/>
              </w:tabs>
              <w:rPr>
                <w:snapToGrid w:val="0"/>
                <w:color w:val="000000"/>
                <w:sz w:val="20"/>
              </w:rPr>
            </w:pPr>
            <w:r>
              <w:rPr>
                <w:snapToGrid w:val="0"/>
                <w:color w:val="000000"/>
                <w:sz w:val="20"/>
              </w:rPr>
              <w:t>Johnny Svedin (SD)</w:t>
            </w:r>
          </w:p>
        </w:tc>
        <w:tc>
          <w:tcPr>
            <w:tcW w:w="449" w:type="dxa"/>
            <w:tcBorders>
              <w:top w:val="single" w:sz="6" w:space="0" w:color="auto"/>
              <w:left w:val="single" w:sz="6" w:space="0" w:color="auto"/>
              <w:bottom w:val="single" w:sz="6" w:space="0" w:color="auto"/>
              <w:right w:val="single" w:sz="6" w:space="0" w:color="auto"/>
            </w:tcBorders>
          </w:tcPr>
          <w:p w14:paraId="2A49C47D" w14:textId="28194BB8" w:rsidR="001D165A" w:rsidRDefault="00D536F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AE7D274" w14:textId="16B8E13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CE12A0" w14:textId="5A3037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5E7F2F79" w14:textId="08E527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34AEA9" w14:textId="172F33D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4D705" w14:textId="32879A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6E1D174" w14:textId="77777777" w:rsidR="001D165A" w:rsidRPr="005C4C7B" w:rsidRDefault="001D165A" w:rsidP="00FD0762">
            <w:pPr>
              <w:tabs>
                <w:tab w:val="left" w:pos="1985"/>
              </w:tabs>
              <w:rPr>
                <w:snapToGrid w:val="0"/>
                <w:color w:val="000000"/>
                <w:sz w:val="20"/>
              </w:rPr>
            </w:pPr>
            <w:r>
              <w:rPr>
                <w:snapToGrid w:val="0"/>
                <w:color w:val="000000"/>
                <w:sz w:val="20"/>
              </w:rPr>
              <w:t xml:space="preserve">Aida </w:t>
            </w:r>
            <w:proofErr w:type="spellStart"/>
            <w:r>
              <w:rPr>
                <w:snapToGrid w:val="0"/>
                <w:color w:val="000000"/>
                <w:sz w:val="20"/>
              </w:rPr>
              <w:t>Birinxhiku</w:t>
            </w:r>
            <w:proofErr w:type="spellEnd"/>
            <w:r>
              <w:rPr>
                <w:snapToGrid w:val="0"/>
                <w:color w:val="000000"/>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202D0A56" w14:textId="6D7A8A0A" w:rsidR="001D165A" w:rsidRDefault="00D536F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C50DBAB" w14:textId="6C2165E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97AAB3" w14:textId="62E0FB9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BC7F996" w14:textId="4D4ECB7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CDD2EF7" w14:textId="76A130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54F1CE" w14:textId="356D14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0E275A" w14:textId="0C781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E353A1" w14:paraId="2A0CF4BE"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Daniel </w:t>
            </w:r>
            <w:proofErr w:type="spellStart"/>
            <w:r>
              <w:rPr>
                <w:snapToGrid w:val="0"/>
                <w:color w:val="000000"/>
                <w:sz w:val="20"/>
                <w:lang w:val="en-US"/>
              </w:rPr>
              <w:t>Vencu</w:t>
            </w:r>
            <w:proofErr w:type="spellEnd"/>
            <w:r>
              <w:rPr>
                <w:snapToGrid w:val="0"/>
                <w:color w:val="000000"/>
                <w:sz w:val="20"/>
                <w:lang w:val="en-US"/>
              </w:rPr>
              <w:t xml:space="preserve"> Velasquez Castro (S)</w:t>
            </w:r>
          </w:p>
        </w:tc>
        <w:tc>
          <w:tcPr>
            <w:tcW w:w="449" w:type="dxa"/>
            <w:tcBorders>
              <w:top w:val="single" w:sz="6" w:space="0" w:color="auto"/>
              <w:left w:val="single" w:sz="6" w:space="0" w:color="auto"/>
              <w:bottom w:val="single" w:sz="6" w:space="0" w:color="auto"/>
              <w:right w:val="single" w:sz="6" w:space="0" w:color="auto"/>
            </w:tcBorders>
          </w:tcPr>
          <w:p w14:paraId="7EF91ABC" w14:textId="110E8451" w:rsidR="001D165A" w:rsidRPr="00F8082F" w:rsidRDefault="00D536F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O</w:t>
            </w:r>
          </w:p>
        </w:tc>
        <w:tc>
          <w:tcPr>
            <w:tcW w:w="434" w:type="dxa"/>
            <w:gridSpan w:val="2"/>
            <w:tcBorders>
              <w:top w:val="single" w:sz="6" w:space="0" w:color="auto"/>
              <w:left w:val="single" w:sz="6" w:space="0" w:color="auto"/>
              <w:bottom w:val="single" w:sz="6" w:space="0" w:color="auto"/>
              <w:right w:val="single" w:sz="6" w:space="0" w:color="auto"/>
            </w:tcBorders>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Borders>
              <w:top w:val="single" w:sz="6" w:space="0" w:color="auto"/>
              <w:left w:val="single" w:sz="6" w:space="0" w:color="auto"/>
              <w:bottom w:val="single" w:sz="6" w:space="0" w:color="auto"/>
              <w:right w:val="single" w:sz="6" w:space="0" w:color="auto"/>
            </w:tcBorders>
          </w:tcPr>
          <w:p w14:paraId="16B1D73F" w14:textId="33D2669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5EE1583" w14:textId="1659050A"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Borders>
              <w:top w:val="single" w:sz="6" w:space="0" w:color="auto"/>
              <w:left w:val="single" w:sz="6" w:space="0" w:color="auto"/>
              <w:bottom w:val="single" w:sz="6" w:space="0" w:color="auto"/>
              <w:right w:val="single" w:sz="6" w:space="0" w:color="auto"/>
            </w:tcBorders>
          </w:tcPr>
          <w:p w14:paraId="2092DA06" w14:textId="658ABBF1"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2" w:type="dxa"/>
            <w:tcBorders>
              <w:top w:val="single" w:sz="6" w:space="0" w:color="auto"/>
              <w:left w:val="single" w:sz="6" w:space="0" w:color="auto"/>
              <w:bottom w:val="single" w:sz="6" w:space="0" w:color="auto"/>
              <w:right w:val="single" w:sz="6" w:space="0" w:color="auto"/>
            </w:tcBorders>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19D4C925" w14:textId="44615871"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45E0046" w14:textId="51347AD0"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CF4461E" w14:textId="1A8D938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gridSpan w:val="2"/>
            <w:tcBorders>
              <w:top w:val="single" w:sz="6" w:space="0" w:color="auto"/>
              <w:left w:val="single" w:sz="6" w:space="0" w:color="auto"/>
              <w:bottom w:val="single" w:sz="6" w:space="0" w:color="auto"/>
              <w:right w:val="single" w:sz="6" w:space="0" w:color="auto"/>
            </w:tcBorders>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Borders>
              <w:top w:val="single" w:sz="6" w:space="0" w:color="auto"/>
              <w:left w:val="single" w:sz="6" w:space="0" w:color="auto"/>
              <w:bottom w:val="single" w:sz="6" w:space="0" w:color="auto"/>
              <w:right w:val="single" w:sz="6" w:space="0" w:color="auto"/>
            </w:tcBorders>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Borders>
              <w:top w:val="single" w:sz="6" w:space="0" w:color="auto"/>
              <w:left w:val="single" w:sz="6" w:space="0" w:color="auto"/>
              <w:bottom w:val="single" w:sz="6" w:space="0" w:color="auto"/>
              <w:right w:val="single" w:sz="6" w:space="0" w:color="auto"/>
            </w:tcBorders>
          </w:tcPr>
          <w:p w14:paraId="3B253F8A" w14:textId="746678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DD5EA8A" w14:textId="407F72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2A91B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Borders>
              <w:top w:val="single" w:sz="6" w:space="0" w:color="auto"/>
              <w:left w:val="single" w:sz="6" w:space="0" w:color="auto"/>
              <w:bottom w:val="single" w:sz="6" w:space="0" w:color="auto"/>
              <w:right w:val="single" w:sz="6" w:space="0" w:color="auto"/>
            </w:tcBorders>
          </w:tcPr>
          <w:p w14:paraId="0A695F37" w14:textId="21FB90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42557C8" w14:textId="567F11B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Borders>
              <w:top w:val="single" w:sz="6" w:space="0" w:color="auto"/>
              <w:left w:val="single" w:sz="6" w:space="0" w:color="auto"/>
              <w:bottom w:val="single" w:sz="6" w:space="0" w:color="auto"/>
              <w:right w:val="single" w:sz="6" w:space="0" w:color="auto"/>
            </w:tcBorders>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Borders>
              <w:top w:val="single" w:sz="6" w:space="0" w:color="auto"/>
              <w:left w:val="single" w:sz="6" w:space="0" w:color="auto"/>
              <w:bottom w:val="single" w:sz="6" w:space="0" w:color="auto"/>
              <w:right w:val="single" w:sz="6" w:space="0" w:color="auto"/>
            </w:tcBorders>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449" w:type="dxa"/>
            <w:tcBorders>
              <w:top w:val="single" w:sz="6" w:space="0" w:color="auto"/>
              <w:left w:val="single" w:sz="6" w:space="0" w:color="auto"/>
              <w:bottom w:val="single" w:sz="6" w:space="0" w:color="auto"/>
              <w:right w:val="single" w:sz="6" w:space="0" w:color="auto"/>
            </w:tcBorders>
          </w:tcPr>
          <w:p w14:paraId="500DFB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22642B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9CCD6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48EEBC2" w14:textId="77777777" w:rsidR="001D165A" w:rsidRDefault="001D165A" w:rsidP="00FD0762">
            <w:pPr>
              <w:tabs>
                <w:tab w:val="left" w:pos="1985"/>
              </w:tabs>
              <w:rPr>
                <w:snapToGrid w:val="0"/>
                <w:color w:val="000000"/>
                <w:sz w:val="20"/>
              </w:rPr>
            </w:pPr>
            <w:r w:rsidRPr="005C4C7B">
              <w:rPr>
                <w:snapToGrid w:val="0"/>
                <w:color w:val="000000"/>
                <w:sz w:val="20"/>
              </w:rPr>
              <w:t>Lorena Delgado Varas (V)</w:t>
            </w:r>
          </w:p>
        </w:tc>
        <w:tc>
          <w:tcPr>
            <w:tcW w:w="449" w:type="dxa"/>
            <w:tcBorders>
              <w:top w:val="single" w:sz="6" w:space="0" w:color="auto"/>
              <w:left w:val="single" w:sz="6" w:space="0" w:color="auto"/>
              <w:bottom w:val="single" w:sz="6" w:space="0" w:color="auto"/>
              <w:right w:val="single" w:sz="6" w:space="0" w:color="auto"/>
            </w:tcBorders>
          </w:tcPr>
          <w:p w14:paraId="39F75129" w14:textId="4253DAE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B7CBFF1" w14:textId="09F2592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28019C" w14:textId="017F41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92BF33" w14:textId="191878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975E8A" w14:textId="133FFE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29F2C3" w14:textId="5470AD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E1CA93" w14:textId="0AD472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Borders>
              <w:top w:val="single" w:sz="6" w:space="0" w:color="auto"/>
              <w:left w:val="single" w:sz="6" w:space="0" w:color="auto"/>
              <w:bottom w:val="single" w:sz="6" w:space="0" w:color="auto"/>
              <w:right w:val="single" w:sz="6" w:space="0" w:color="auto"/>
            </w:tcBorders>
          </w:tcPr>
          <w:p w14:paraId="736FB1DE" w14:textId="26027B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EE0BC0B" w14:textId="61D1D9F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7DF282" w14:textId="10F6A98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DE72812" w14:textId="6F3CF7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5827E5" w14:textId="3053B2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8BB7C" w14:textId="717463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2D49C3" w14:textId="4DA0E3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Borders>
              <w:top w:val="single" w:sz="6" w:space="0" w:color="auto"/>
              <w:left w:val="single" w:sz="6" w:space="0" w:color="auto"/>
              <w:bottom w:val="single" w:sz="6" w:space="0" w:color="auto"/>
              <w:right w:val="single" w:sz="6" w:space="0" w:color="auto"/>
            </w:tcBorders>
          </w:tcPr>
          <w:p w14:paraId="0CE1085D" w14:textId="74F6D371" w:rsidR="001D165A" w:rsidRDefault="00D536F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6" w:space="0" w:color="auto"/>
              <w:left w:val="single" w:sz="6" w:space="0" w:color="auto"/>
              <w:bottom w:val="single" w:sz="6" w:space="0" w:color="auto"/>
              <w:right w:val="single" w:sz="6" w:space="0" w:color="auto"/>
            </w:tcBorders>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3111289" w14:textId="22B966A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B55B5F" w14:textId="0683FF4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44F5E3BF" w14:textId="42E92D8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71B3D6" w14:textId="54F81B6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7748C9F" w14:textId="77777777" w:rsidR="001D165A" w:rsidRDefault="001D165A" w:rsidP="00FD0762">
            <w:pPr>
              <w:tabs>
                <w:tab w:val="left" w:pos="1985"/>
              </w:tabs>
              <w:rPr>
                <w:snapToGrid w:val="0"/>
                <w:color w:val="000000"/>
                <w:sz w:val="20"/>
              </w:rPr>
            </w:pPr>
            <w:r>
              <w:rPr>
                <w:snapToGrid w:val="0"/>
                <w:color w:val="000000"/>
                <w:sz w:val="20"/>
              </w:rPr>
              <w:t xml:space="preserve">Linus </w:t>
            </w:r>
            <w:proofErr w:type="spellStart"/>
            <w:r>
              <w:rPr>
                <w:snapToGrid w:val="0"/>
                <w:color w:val="000000"/>
                <w:sz w:val="20"/>
              </w:rPr>
              <w:t>Lakso</w:t>
            </w:r>
            <w:proofErr w:type="spellEnd"/>
            <w:r>
              <w:rPr>
                <w:snapToGrid w:val="0"/>
                <w:color w:val="000000"/>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4D439C68" w14:textId="27D8C5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767DB16" w14:textId="33E308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606572" w14:textId="48B070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0A5F84DF" w14:textId="6B650D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5CE760" w14:textId="35F9DA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7992EDE"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9EB056B" w14:textId="16D8B506" w:rsidR="001D165A" w:rsidRDefault="001D165A" w:rsidP="00FD0762">
            <w:pPr>
              <w:rPr>
                <w:sz w:val="20"/>
              </w:rPr>
            </w:pPr>
            <w:r w:rsidRPr="00093F5C">
              <w:rPr>
                <w:sz w:val="20"/>
              </w:rPr>
              <w:t xml:space="preserve">Anna </w:t>
            </w:r>
            <w:proofErr w:type="spellStart"/>
            <w:r w:rsidRPr="00093F5C">
              <w:rPr>
                <w:sz w:val="20"/>
              </w:rPr>
              <w:t>af</w:t>
            </w:r>
            <w:proofErr w:type="spellEnd"/>
            <w:r w:rsidRPr="00093F5C">
              <w:rPr>
                <w:sz w:val="20"/>
              </w:rPr>
              <w:t xml:space="preserve"> Sillén </w:t>
            </w:r>
            <w:r>
              <w:rPr>
                <w:sz w:val="20"/>
              </w:rPr>
              <w:t>(M)</w:t>
            </w:r>
          </w:p>
        </w:tc>
        <w:tc>
          <w:tcPr>
            <w:tcW w:w="449" w:type="dxa"/>
            <w:tcBorders>
              <w:top w:val="single" w:sz="6" w:space="0" w:color="auto"/>
              <w:left w:val="single" w:sz="6" w:space="0" w:color="auto"/>
              <w:bottom w:val="single" w:sz="6" w:space="0" w:color="auto"/>
              <w:right w:val="single" w:sz="6" w:space="0" w:color="auto"/>
            </w:tcBorders>
          </w:tcPr>
          <w:p w14:paraId="783BC6F7" w14:textId="3C1A82D9" w:rsidR="001D165A" w:rsidRDefault="00D536F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6" w:space="0" w:color="auto"/>
              <w:left w:val="single" w:sz="6" w:space="0" w:color="auto"/>
              <w:bottom w:val="single" w:sz="6" w:space="0" w:color="auto"/>
              <w:right w:val="single" w:sz="6" w:space="0" w:color="auto"/>
            </w:tcBorders>
          </w:tcPr>
          <w:p w14:paraId="284CDD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7DC52C0" w14:textId="783D898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5F5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DEE002" w14:textId="316E86F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4477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7AF3415" w14:textId="422571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476DF17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D5CC14" w14:textId="2238BE1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0317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DE5E2B" w14:textId="0ADC56F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F02DD" w14:textId="308CBCE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D9DA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7668A9B" w14:textId="51B501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3E01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AA7EF15" w14:textId="77777777" w:rsidR="001D165A" w:rsidRDefault="001D165A" w:rsidP="00FD0762">
            <w:pPr>
              <w:rPr>
                <w:sz w:val="20"/>
              </w:rPr>
            </w:pPr>
            <w:r w:rsidRPr="007E2968">
              <w:rPr>
                <w:sz w:val="20"/>
              </w:rPr>
              <w:t>Mattias Karlsson i Norrhult (SD)</w:t>
            </w:r>
          </w:p>
        </w:tc>
        <w:tc>
          <w:tcPr>
            <w:tcW w:w="449" w:type="dxa"/>
            <w:tcBorders>
              <w:top w:val="single" w:sz="6" w:space="0" w:color="auto"/>
              <w:left w:val="single" w:sz="6" w:space="0" w:color="auto"/>
              <w:bottom w:val="single" w:sz="6" w:space="0" w:color="auto"/>
              <w:right w:val="single" w:sz="6" w:space="0" w:color="auto"/>
            </w:tcBorders>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CABCE56" w14:textId="77777777" w:rsidR="001D165A" w:rsidRDefault="001D165A" w:rsidP="00FD0762">
            <w:pPr>
              <w:rPr>
                <w:sz w:val="20"/>
              </w:rPr>
            </w:pPr>
            <w:r w:rsidRPr="007E2968">
              <w:rPr>
                <w:sz w:val="20"/>
              </w:rPr>
              <w:t>Ulf Lindholm (SD)</w:t>
            </w:r>
          </w:p>
        </w:tc>
        <w:tc>
          <w:tcPr>
            <w:tcW w:w="449" w:type="dxa"/>
            <w:tcBorders>
              <w:top w:val="single" w:sz="6" w:space="0" w:color="auto"/>
              <w:left w:val="single" w:sz="6" w:space="0" w:color="auto"/>
              <w:bottom w:val="single" w:sz="6" w:space="0" w:color="auto"/>
              <w:right w:val="single" w:sz="6" w:space="0" w:color="auto"/>
            </w:tcBorders>
          </w:tcPr>
          <w:p w14:paraId="061783F3" w14:textId="601A8EC7" w:rsidR="001D165A" w:rsidRDefault="00D536F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F44BAC5"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E7F42F1" w14:textId="77777777" w:rsidR="001D165A" w:rsidRDefault="001D165A" w:rsidP="00FD0762">
            <w:pPr>
              <w:rPr>
                <w:sz w:val="20"/>
              </w:rPr>
            </w:pPr>
            <w:r w:rsidRPr="007E2968">
              <w:rPr>
                <w:sz w:val="20"/>
              </w:rPr>
              <w:t xml:space="preserve">Daniel </w:t>
            </w:r>
            <w:proofErr w:type="spellStart"/>
            <w:r w:rsidRPr="007E2968">
              <w:rPr>
                <w:sz w:val="20"/>
              </w:rPr>
              <w:t>Riazat</w:t>
            </w:r>
            <w:proofErr w:type="spellEnd"/>
            <w:r w:rsidRPr="007E2968">
              <w:rPr>
                <w:sz w:val="20"/>
              </w:rPr>
              <w:t xml:space="preserve"> (V)</w:t>
            </w:r>
          </w:p>
        </w:tc>
        <w:tc>
          <w:tcPr>
            <w:tcW w:w="449" w:type="dxa"/>
            <w:tcBorders>
              <w:top w:val="single" w:sz="6" w:space="0" w:color="auto"/>
              <w:left w:val="single" w:sz="6" w:space="0" w:color="auto"/>
              <w:bottom w:val="single" w:sz="6" w:space="0" w:color="auto"/>
              <w:right w:val="single" w:sz="6" w:space="0" w:color="auto"/>
            </w:tcBorders>
          </w:tcPr>
          <w:p w14:paraId="533806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75656E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6514F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727B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A55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D6C97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CFC461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51A4C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E865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9D4B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ECE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568355" w14:textId="66C96A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F8FC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5EF852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7861E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C7B747E"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ABE1945" w14:textId="1FECE588" w:rsidR="001D165A" w:rsidRDefault="001D165A" w:rsidP="00FD0762">
            <w:pPr>
              <w:rPr>
                <w:sz w:val="20"/>
              </w:rPr>
            </w:pPr>
            <w:r w:rsidRPr="00F37A03">
              <w:rPr>
                <w:sz w:val="20"/>
              </w:rPr>
              <w:t xml:space="preserve">Anders Ådahl </w:t>
            </w:r>
            <w:r w:rsidRPr="007E2968">
              <w:rPr>
                <w:sz w:val="20"/>
              </w:rPr>
              <w:t>(C)</w:t>
            </w:r>
          </w:p>
        </w:tc>
        <w:tc>
          <w:tcPr>
            <w:tcW w:w="449" w:type="dxa"/>
            <w:tcBorders>
              <w:top w:val="single" w:sz="6" w:space="0" w:color="auto"/>
              <w:left w:val="single" w:sz="6" w:space="0" w:color="auto"/>
              <w:bottom w:val="single" w:sz="6" w:space="0" w:color="auto"/>
              <w:right w:val="single" w:sz="6" w:space="0" w:color="auto"/>
            </w:tcBorders>
          </w:tcPr>
          <w:p w14:paraId="29DC2FBA" w14:textId="741F39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F1FCD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2114866" w14:textId="4533ED3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131D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5393C1" w14:textId="4E97C8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831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6DD6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47CCCD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0388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99A80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2AA8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D07149" w14:textId="4B09B3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6B5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5BD70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6F9399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Borders>
              <w:top w:val="single" w:sz="6" w:space="0" w:color="auto"/>
              <w:left w:val="single" w:sz="6" w:space="0" w:color="auto"/>
              <w:bottom w:val="single" w:sz="6" w:space="0" w:color="auto"/>
              <w:right w:val="single" w:sz="6" w:space="0" w:color="auto"/>
            </w:tcBorders>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29D9785" w14:textId="77777777" w:rsidR="001D165A" w:rsidRDefault="001D165A" w:rsidP="00FD0762">
            <w:pPr>
              <w:rPr>
                <w:sz w:val="20"/>
              </w:rPr>
            </w:pPr>
            <w:r w:rsidRPr="007E2968">
              <w:rPr>
                <w:sz w:val="20"/>
              </w:rPr>
              <w:t>Cecilia Engström (KD)</w:t>
            </w:r>
          </w:p>
        </w:tc>
        <w:tc>
          <w:tcPr>
            <w:tcW w:w="449" w:type="dxa"/>
            <w:tcBorders>
              <w:top w:val="single" w:sz="6" w:space="0" w:color="auto"/>
              <w:left w:val="single" w:sz="6" w:space="0" w:color="auto"/>
              <w:bottom w:val="single" w:sz="6" w:space="0" w:color="auto"/>
              <w:right w:val="single" w:sz="6" w:space="0" w:color="auto"/>
            </w:tcBorders>
          </w:tcPr>
          <w:p w14:paraId="32CA92AC" w14:textId="3078EC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F5E226C" w14:textId="2ED8041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ED451E6" w14:textId="77777777" w:rsidR="001D165A" w:rsidRPr="007E2968" w:rsidRDefault="001D165A"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256C0A4" w14:textId="1970BEC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4923E9" w14:textId="51FB5353" w:rsidR="001D165A" w:rsidRPr="007E2968" w:rsidRDefault="00C47A22" w:rsidP="00FD0762">
            <w:pPr>
              <w:rPr>
                <w:sz w:val="20"/>
              </w:rPr>
            </w:pPr>
            <w:r>
              <w:rPr>
                <w:sz w:val="20"/>
              </w:rPr>
              <w:t>Cecilia Rönn</w:t>
            </w:r>
            <w:r w:rsidR="001D165A" w:rsidRPr="007E2968">
              <w:rPr>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4DF384C6" w14:textId="467EBC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3CA57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26D8B8D" w14:textId="4AADA599" w:rsidR="001D165A" w:rsidRPr="007E2968" w:rsidRDefault="00C47A22" w:rsidP="00FD0762">
            <w:pPr>
              <w:rPr>
                <w:sz w:val="20"/>
              </w:rPr>
            </w:pPr>
            <w:r>
              <w:rPr>
                <w:sz w:val="20"/>
              </w:rPr>
              <w:t xml:space="preserve">Camilla </w:t>
            </w:r>
            <w:proofErr w:type="spellStart"/>
            <w:r>
              <w:rPr>
                <w:sz w:val="20"/>
              </w:rPr>
              <w:t>Mårtensen</w:t>
            </w:r>
            <w:proofErr w:type="spellEnd"/>
            <w:r w:rsidR="001D165A">
              <w:rPr>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0478B7C" w14:textId="0CC827D0" w:rsidR="001D165A" w:rsidRPr="00A139B7" w:rsidRDefault="001D165A" w:rsidP="00FD0762">
            <w:pPr>
              <w:rPr>
                <w:sz w:val="20"/>
              </w:rPr>
            </w:pPr>
            <w:r>
              <w:rPr>
                <w:sz w:val="20"/>
              </w:rPr>
              <w:t>Andrea Andersson Tay (V)</w:t>
            </w:r>
          </w:p>
        </w:tc>
        <w:tc>
          <w:tcPr>
            <w:tcW w:w="449" w:type="dxa"/>
            <w:tcBorders>
              <w:top w:val="single" w:sz="6" w:space="0" w:color="auto"/>
              <w:left w:val="single" w:sz="6" w:space="0" w:color="auto"/>
              <w:bottom w:val="single" w:sz="6" w:space="0" w:color="auto"/>
              <w:right w:val="single" w:sz="6" w:space="0" w:color="auto"/>
            </w:tcBorders>
          </w:tcPr>
          <w:p w14:paraId="23BEBE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FF12AD">
        <w:trPr>
          <w:trHeight w:val="263"/>
        </w:trPr>
        <w:tc>
          <w:tcPr>
            <w:tcW w:w="3190" w:type="dxa"/>
            <w:tcBorders>
              <w:top w:val="nil"/>
              <w:left w:val="nil"/>
              <w:bottom w:val="nil"/>
              <w:right w:val="nil"/>
            </w:tcBorders>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Borders>
              <w:top w:val="nil"/>
              <w:left w:val="nil"/>
              <w:bottom w:val="nil"/>
              <w:right w:val="nil"/>
            </w:tcBorders>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FF12AD">
        <w:trPr>
          <w:trHeight w:val="262"/>
        </w:trPr>
        <w:tc>
          <w:tcPr>
            <w:tcW w:w="3190" w:type="dxa"/>
            <w:tcBorders>
              <w:top w:val="nil"/>
              <w:left w:val="nil"/>
              <w:bottom w:val="nil"/>
              <w:right w:val="nil"/>
            </w:tcBorders>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Borders>
              <w:top w:val="nil"/>
              <w:left w:val="nil"/>
              <w:bottom w:val="nil"/>
              <w:right w:val="nil"/>
            </w:tcBorders>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790B2574" w:rsidR="00655DB0" w:rsidRDefault="00655DB0" w:rsidP="00BE3F54"/>
    <w:sectPr w:rsidR="00655DB0" w:rsidSect="00A74BB7">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AD2D0" w14:textId="77777777" w:rsidR="0033706E" w:rsidRDefault="0033706E" w:rsidP="002130F1">
      <w:r>
        <w:separator/>
      </w:r>
    </w:p>
  </w:endnote>
  <w:endnote w:type="continuationSeparator" w:id="0">
    <w:p w14:paraId="2BE454BE" w14:textId="77777777" w:rsidR="0033706E" w:rsidRDefault="0033706E"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E3877" w14:textId="77777777" w:rsidR="0033706E" w:rsidRDefault="0033706E" w:rsidP="002130F1">
      <w:r>
        <w:separator/>
      </w:r>
    </w:p>
  </w:footnote>
  <w:footnote w:type="continuationSeparator" w:id="0">
    <w:p w14:paraId="7E8D55DD" w14:textId="77777777" w:rsidR="0033706E" w:rsidRDefault="0033706E"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2814868"/>
    <w:multiLevelType w:val="hybridMultilevel"/>
    <w:tmpl w:val="FDD8092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6FB4036"/>
    <w:multiLevelType w:val="hybridMultilevel"/>
    <w:tmpl w:val="A684B9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8"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9" w15:restartNumberingAfterBreak="0">
    <w:nsid w:val="5D46180F"/>
    <w:multiLevelType w:val="hybridMultilevel"/>
    <w:tmpl w:val="DFE02A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EC91B4E"/>
    <w:multiLevelType w:val="hybridMultilevel"/>
    <w:tmpl w:val="57DE69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8"/>
  </w:num>
  <w:num w:numId="5">
    <w:abstractNumId w:val="2"/>
  </w:num>
  <w:num w:numId="6">
    <w:abstractNumId w:val="3"/>
  </w:num>
  <w:num w:numId="7">
    <w:abstractNumId w:val="1"/>
  </w:num>
  <w:num w:numId="8">
    <w:abstractNumId w:val="11"/>
  </w:num>
  <w:num w:numId="9">
    <w:abstractNumId w:val="12"/>
  </w:num>
  <w:num w:numId="10">
    <w:abstractNumId w:val="9"/>
  </w:num>
  <w:num w:numId="11">
    <w:abstractNumId w:val="6"/>
  </w:num>
  <w:num w:numId="12">
    <w:abstractNumId w:val="4"/>
  </w:num>
  <w:num w:numId="1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0E9F"/>
    <w:rsid w:val="0002124A"/>
    <w:rsid w:val="00023C91"/>
    <w:rsid w:val="00023D44"/>
    <w:rsid w:val="0002438C"/>
    <w:rsid w:val="0002508C"/>
    <w:rsid w:val="000253C1"/>
    <w:rsid w:val="000255B5"/>
    <w:rsid w:val="0002654B"/>
    <w:rsid w:val="00026615"/>
    <w:rsid w:val="00026DBB"/>
    <w:rsid w:val="0002763F"/>
    <w:rsid w:val="000305E7"/>
    <w:rsid w:val="00030B7F"/>
    <w:rsid w:val="00031133"/>
    <w:rsid w:val="000319C2"/>
    <w:rsid w:val="00032D19"/>
    <w:rsid w:val="0003355B"/>
    <w:rsid w:val="0003414D"/>
    <w:rsid w:val="0003427E"/>
    <w:rsid w:val="00036024"/>
    <w:rsid w:val="000401E7"/>
    <w:rsid w:val="00040301"/>
    <w:rsid w:val="00041F79"/>
    <w:rsid w:val="00042475"/>
    <w:rsid w:val="000427D7"/>
    <w:rsid w:val="00043B99"/>
    <w:rsid w:val="000442DA"/>
    <w:rsid w:val="00044E80"/>
    <w:rsid w:val="00044F5A"/>
    <w:rsid w:val="00045281"/>
    <w:rsid w:val="00045A8A"/>
    <w:rsid w:val="00050A20"/>
    <w:rsid w:val="00052598"/>
    <w:rsid w:val="00052937"/>
    <w:rsid w:val="00053421"/>
    <w:rsid w:val="000536D9"/>
    <w:rsid w:val="0005439B"/>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75E21"/>
    <w:rsid w:val="00075E59"/>
    <w:rsid w:val="00080A73"/>
    <w:rsid w:val="00080E7B"/>
    <w:rsid w:val="000816C5"/>
    <w:rsid w:val="00083B5C"/>
    <w:rsid w:val="00084198"/>
    <w:rsid w:val="00084B36"/>
    <w:rsid w:val="00085A2B"/>
    <w:rsid w:val="000861A8"/>
    <w:rsid w:val="0008637D"/>
    <w:rsid w:val="000915AB"/>
    <w:rsid w:val="00092337"/>
    <w:rsid w:val="00093F5C"/>
    <w:rsid w:val="000941E8"/>
    <w:rsid w:val="0009483B"/>
    <w:rsid w:val="00096F01"/>
    <w:rsid w:val="000A052E"/>
    <w:rsid w:val="000A094B"/>
    <w:rsid w:val="000A129A"/>
    <w:rsid w:val="000A13C3"/>
    <w:rsid w:val="000A200A"/>
    <w:rsid w:val="000A2CE1"/>
    <w:rsid w:val="000A41FA"/>
    <w:rsid w:val="000A4EB1"/>
    <w:rsid w:val="000A5556"/>
    <w:rsid w:val="000A5ADC"/>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2A40"/>
    <w:rsid w:val="000D3377"/>
    <w:rsid w:val="000D40B2"/>
    <w:rsid w:val="000D4BDB"/>
    <w:rsid w:val="000D6392"/>
    <w:rsid w:val="000D783C"/>
    <w:rsid w:val="000E0864"/>
    <w:rsid w:val="000E0EAC"/>
    <w:rsid w:val="000E0FE8"/>
    <w:rsid w:val="000E11B6"/>
    <w:rsid w:val="000E121E"/>
    <w:rsid w:val="000E22F1"/>
    <w:rsid w:val="000E3D3D"/>
    <w:rsid w:val="000E680A"/>
    <w:rsid w:val="000E723A"/>
    <w:rsid w:val="000F159A"/>
    <w:rsid w:val="000F2706"/>
    <w:rsid w:val="000F2962"/>
    <w:rsid w:val="000F381A"/>
    <w:rsid w:val="000F4271"/>
    <w:rsid w:val="000F49A4"/>
    <w:rsid w:val="000F5289"/>
    <w:rsid w:val="000F5E38"/>
    <w:rsid w:val="000F62A2"/>
    <w:rsid w:val="000F692D"/>
    <w:rsid w:val="0010025E"/>
    <w:rsid w:val="00100761"/>
    <w:rsid w:val="00100BB1"/>
    <w:rsid w:val="001012C4"/>
    <w:rsid w:val="00102850"/>
    <w:rsid w:val="00103B78"/>
    <w:rsid w:val="00103FCA"/>
    <w:rsid w:val="00104B70"/>
    <w:rsid w:val="00105706"/>
    <w:rsid w:val="001060D0"/>
    <w:rsid w:val="0010618F"/>
    <w:rsid w:val="00106202"/>
    <w:rsid w:val="001063FC"/>
    <w:rsid w:val="00107BCC"/>
    <w:rsid w:val="00107FF8"/>
    <w:rsid w:val="001103C7"/>
    <w:rsid w:val="00110897"/>
    <w:rsid w:val="00110B0C"/>
    <w:rsid w:val="001118AC"/>
    <w:rsid w:val="001119A1"/>
    <w:rsid w:val="00113C2E"/>
    <w:rsid w:val="00113EA6"/>
    <w:rsid w:val="00114FC3"/>
    <w:rsid w:val="00115492"/>
    <w:rsid w:val="00115E59"/>
    <w:rsid w:val="00116397"/>
    <w:rsid w:val="00116963"/>
    <w:rsid w:val="00116F15"/>
    <w:rsid w:val="00117C67"/>
    <w:rsid w:val="00120819"/>
    <w:rsid w:val="001210A1"/>
    <w:rsid w:val="00121B0A"/>
    <w:rsid w:val="00122AA3"/>
    <w:rsid w:val="001231EB"/>
    <w:rsid w:val="001235FB"/>
    <w:rsid w:val="00123797"/>
    <w:rsid w:val="00123D07"/>
    <w:rsid w:val="00125439"/>
    <w:rsid w:val="0012669A"/>
    <w:rsid w:val="00126738"/>
    <w:rsid w:val="00127707"/>
    <w:rsid w:val="00127A75"/>
    <w:rsid w:val="00127B08"/>
    <w:rsid w:val="0013080B"/>
    <w:rsid w:val="001312B5"/>
    <w:rsid w:val="0013203F"/>
    <w:rsid w:val="001324AA"/>
    <w:rsid w:val="00133616"/>
    <w:rsid w:val="00133A31"/>
    <w:rsid w:val="00134171"/>
    <w:rsid w:val="00134D73"/>
    <w:rsid w:val="001351D5"/>
    <w:rsid w:val="00136ADC"/>
    <w:rsid w:val="0013727F"/>
    <w:rsid w:val="00137616"/>
    <w:rsid w:val="001377FD"/>
    <w:rsid w:val="00137A4C"/>
    <w:rsid w:val="00140798"/>
    <w:rsid w:val="00140C4F"/>
    <w:rsid w:val="00140CA8"/>
    <w:rsid w:val="00141DA2"/>
    <w:rsid w:val="00141DEF"/>
    <w:rsid w:val="0014252C"/>
    <w:rsid w:val="00142669"/>
    <w:rsid w:val="00143749"/>
    <w:rsid w:val="00143C5E"/>
    <w:rsid w:val="001448E9"/>
    <w:rsid w:val="00144E22"/>
    <w:rsid w:val="00145F5A"/>
    <w:rsid w:val="001460BD"/>
    <w:rsid w:val="00146222"/>
    <w:rsid w:val="001462A7"/>
    <w:rsid w:val="00147035"/>
    <w:rsid w:val="00150706"/>
    <w:rsid w:val="00151239"/>
    <w:rsid w:val="00151D22"/>
    <w:rsid w:val="0015234D"/>
    <w:rsid w:val="001527D1"/>
    <w:rsid w:val="001544CD"/>
    <w:rsid w:val="00154751"/>
    <w:rsid w:val="00155095"/>
    <w:rsid w:val="00156311"/>
    <w:rsid w:val="001567BC"/>
    <w:rsid w:val="0015720C"/>
    <w:rsid w:val="00157329"/>
    <w:rsid w:val="00157791"/>
    <w:rsid w:val="001577E4"/>
    <w:rsid w:val="001603B4"/>
    <w:rsid w:val="00161C62"/>
    <w:rsid w:val="00161CC2"/>
    <w:rsid w:val="00163E80"/>
    <w:rsid w:val="00164FB6"/>
    <w:rsid w:val="001655C7"/>
    <w:rsid w:val="00165662"/>
    <w:rsid w:val="001662E4"/>
    <w:rsid w:val="001673BD"/>
    <w:rsid w:val="00170C7E"/>
    <w:rsid w:val="001710C0"/>
    <w:rsid w:val="00171EA9"/>
    <w:rsid w:val="0017416D"/>
    <w:rsid w:val="00174597"/>
    <w:rsid w:val="00175E5F"/>
    <w:rsid w:val="00176050"/>
    <w:rsid w:val="0017737F"/>
    <w:rsid w:val="0018013C"/>
    <w:rsid w:val="0018740A"/>
    <w:rsid w:val="00187936"/>
    <w:rsid w:val="00187C01"/>
    <w:rsid w:val="00187D30"/>
    <w:rsid w:val="00187F17"/>
    <w:rsid w:val="0019256F"/>
    <w:rsid w:val="001925F5"/>
    <w:rsid w:val="00192F1B"/>
    <w:rsid w:val="001933CF"/>
    <w:rsid w:val="00193522"/>
    <w:rsid w:val="00193A4A"/>
    <w:rsid w:val="00193D38"/>
    <w:rsid w:val="00195DE9"/>
    <w:rsid w:val="00196B2D"/>
    <w:rsid w:val="00196CFE"/>
    <w:rsid w:val="00196E22"/>
    <w:rsid w:val="00196F9A"/>
    <w:rsid w:val="00197761"/>
    <w:rsid w:val="00197781"/>
    <w:rsid w:val="001A19D4"/>
    <w:rsid w:val="001A2B87"/>
    <w:rsid w:val="001A3257"/>
    <w:rsid w:val="001A4B24"/>
    <w:rsid w:val="001A5515"/>
    <w:rsid w:val="001A7140"/>
    <w:rsid w:val="001B04DF"/>
    <w:rsid w:val="001B0AEF"/>
    <w:rsid w:val="001B0F3C"/>
    <w:rsid w:val="001B2054"/>
    <w:rsid w:val="001B209A"/>
    <w:rsid w:val="001B2BF4"/>
    <w:rsid w:val="001B3B27"/>
    <w:rsid w:val="001B4298"/>
    <w:rsid w:val="001B43F9"/>
    <w:rsid w:val="001B4700"/>
    <w:rsid w:val="001B5342"/>
    <w:rsid w:val="001B5FB6"/>
    <w:rsid w:val="001B61B8"/>
    <w:rsid w:val="001B6579"/>
    <w:rsid w:val="001B679D"/>
    <w:rsid w:val="001B6CAE"/>
    <w:rsid w:val="001C0623"/>
    <w:rsid w:val="001C2B7B"/>
    <w:rsid w:val="001C3257"/>
    <w:rsid w:val="001C33DC"/>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58E6"/>
    <w:rsid w:val="001D5957"/>
    <w:rsid w:val="001D627A"/>
    <w:rsid w:val="001D6526"/>
    <w:rsid w:val="001E047E"/>
    <w:rsid w:val="001E0BA2"/>
    <w:rsid w:val="001E10D7"/>
    <w:rsid w:val="001E1147"/>
    <w:rsid w:val="001E191C"/>
    <w:rsid w:val="001E1CC3"/>
    <w:rsid w:val="001E625D"/>
    <w:rsid w:val="001E682F"/>
    <w:rsid w:val="001E6EE5"/>
    <w:rsid w:val="001F0CF0"/>
    <w:rsid w:val="001F11CE"/>
    <w:rsid w:val="001F23DE"/>
    <w:rsid w:val="001F24AF"/>
    <w:rsid w:val="001F294A"/>
    <w:rsid w:val="001F38DE"/>
    <w:rsid w:val="001F3C7B"/>
    <w:rsid w:val="001F4A9E"/>
    <w:rsid w:val="001F5EA6"/>
    <w:rsid w:val="001F61FD"/>
    <w:rsid w:val="001F6A18"/>
    <w:rsid w:val="001F6AC9"/>
    <w:rsid w:val="001F7E84"/>
    <w:rsid w:val="002006D8"/>
    <w:rsid w:val="00201383"/>
    <w:rsid w:val="00201442"/>
    <w:rsid w:val="002029F3"/>
    <w:rsid w:val="0020368B"/>
    <w:rsid w:val="0020387B"/>
    <w:rsid w:val="00204401"/>
    <w:rsid w:val="002054AD"/>
    <w:rsid w:val="002056F1"/>
    <w:rsid w:val="00206555"/>
    <w:rsid w:val="002073AB"/>
    <w:rsid w:val="00207671"/>
    <w:rsid w:val="00210C6F"/>
    <w:rsid w:val="00210FD3"/>
    <w:rsid w:val="00211F78"/>
    <w:rsid w:val="00212ECE"/>
    <w:rsid w:val="002130F1"/>
    <w:rsid w:val="00213831"/>
    <w:rsid w:val="0021394E"/>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6607"/>
    <w:rsid w:val="00227526"/>
    <w:rsid w:val="002314D5"/>
    <w:rsid w:val="00231D5D"/>
    <w:rsid w:val="0023263C"/>
    <w:rsid w:val="002327AE"/>
    <w:rsid w:val="00234344"/>
    <w:rsid w:val="002347C7"/>
    <w:rsid w:val="00234A48"/>
    <w:rsid w:val="0023595D"/>
    <w:rsid w:val="00235FA3"/>
    <w:rsid w:val="0023601A"/>
    <w:rsid w:val="00236769"/>
    <w:rsid w:val="00241084"/>
    <w:rsid w:val="00241781"/>
    <w:rsid w:val="00241FF0"/>
    <w:rsid w:val="0024203D"/>
    <w:rsid w:val="00242D8C"/>
    <w:rsid w:val="00243F79"/>
    <w:rsid w:val="002443EF"/>
    <w:rsid w:val="00247064"/>
    <w:rsid w:val="00247BF2"/>
    <w:rsid w:val="0025002F"/>
    <w:rsid w:val="002528F8"/>
    <w:rsid w:val="00253354"/>
    <w:rsid w:val="00253858"/>
    <w:rsid w:val="00253AD1"/>
    <w:rsid w:val="00255734"/>
    <w:rsid w:val="00256C9C"/>
    <w:rsid w:val="00257715"/>
    <w:rsid w:val="00257D2B"/>
    <w:rsid w:val="0026023A"/>
    <w:rsid w:val="00261CB9"/>
    <w:rsid w:val="00263B38"/>
    <w:rsid w:val="002644D4"/>
    <w:rsid w:val="00265027"/>
    <w:rsid w:val="00266857"/>
    <w:rsid w:val="00267CE1"/>
    <w:rsid w:val="00267EB1"/>
    <w:rsid w:val="00271E64"/>
    <w:rsid w:val="0027247F"/>
    <w:rsid w:val="0027291D"/>
    <w:rsid w:val="00273580"/>
    <w:rsid w:val="00274EC7"/>
    <w:rsid w:val="00276EED"/>
    <w:rsid w:val="002770CB"/>
    <w:rsid w:val="00277214"/>
    <w:rsid w:val="002779BC"/>
    <w:rsid w:val="00280FBF"/>
    <w:rsid w:val="0028147A"/>
    <w:rsid w:val="00284178"/>
    <w:rsid w:val="0028509B"/>
    <w:rsid w:val="0028572B"/>
    <w:rsid w:val="0028679C"/>
    <w:rsid w:val="00287BE1"/>
    <w:rsid w:val="00291D94"/>
    <w:rsid w:val="0029208A"/>
    <w:rsid w:val="00292B8E"/>
    <w:rsid w:val="0029304D"/>
    <w:rsid w:val="002937DC"/>
    <w:rsid w:val="00294F5B"/>
    <w:rsid w:val="002951C3"/>
    <w:rsid w:val="002959B7"/>
    <w:rsid w:val="00297258"/>
    <w:rsid w:val="00297761"/>
    <w:rsid w:val="00297ABD"/>
    <w:rsid w:val="002A02E7"/>
    <w:rsid w:val="002A057E"/>
    <w:rsid w:val="002A1912"/>
    <w:rsid w:val="002A2024"/>
    <w:rsid w:val="002A20D3"/>
    <w:rsid w:val="002A294F"/>
    <w:rsid w:val="002A3009"/>
    <w:rsid w:val="002A4104"/>
    <w:rsid w:val="002A61C3"/>
    <w:rsid w:val="002A6687"/>
    <w:rsid w:val="002A6E1A"/>
    <w:rsid w:val="002A6F34"/>
    <w:rsid w:val="002A7966"/>
    <w:rsid w:val="002B00B4"/>
    <w:rsid w:val="002B0571"/>
    <w:rsid w:val="002B0AE2"/>
    <w:rsid w:val="002B226F"/>
    <w:rsid w:val="002B2BDC"/>
    <w:rsid w:val="002B3794"/>
    <w:rsid w:val="002B4785"/>
    <w:rsid w:val="002B50FE"/>
    <w:rsid w:val="002B6776"/>
    <w:rsid w:val="002B779D"/>
    <w:rsid w:val="002C0577"/>
    <w:rsid w:val="002C1501"/>
    <w:rsid w:val="002C444F"/>
    <w:rsid w:val="002C45C4"/>
    <w:rsid w:val="002C496D"/>
    <w:rsid w:val="002C4A3B"/>
    <w:rsid w:val="002C4C1E"/>
    <w:rsid w:val="002C57F9"/>
    <w:rsid w:val="002C5A9C"/>
    <w:rsid w:val="002C5B13"/>
    <w:rsid w:val="002C6713"/>
    <w:rsid w:val="002C69DE"/>
    <w:rsid w:val="002C76F2"/>
    <w:rsid w:val="002C7948"/>
    <w:rsid w:val="002C7F50"/>
    <w:rsid w:val="002D0CCA"/>
    <w:rsid w:val="002D0FA3"/>
    <w:rsid w:val="002D1551"/>
    <w:rsid w:val="002D1DB8"/>
    <w:rsid w:val="002D3C34"/>
    <w:rsid w:val="002D3D49"/>
    <w:rsid w:val="002D4C87"/>
    <w:rsid w:val="002D522B"/>
    <w:rsid w:val="002D5288"/>
    <w:rsid w:val="002D58EB"/>
    <w:rsid w:val="002D6A7D"/>
    <w:rsid w:val="002D7754"/>
    <w:rsid w:val="002D7DA8"/>
    <w:rsid w:val="002E0319"/>
    <w:rsid w:val="002E095F"/>
    <w:rsid w:val="002E1159"/>
    <w:rsid w:val="002E12E4"/>
    <w:rsid w:val="002E23EC"/>
    <w:rsid w:val="002E24EE"/>
    <w:rsid w:val="002E2BF0"/>
    <w:rsid w:val="002E489D"/>
    <w:rsid w:val="002E70A1"/>
    <w:rsid w:val="002E7359"/>
    <w:rsid w:val="002E766A"/>
    <w:rsid w:val="002E7D83"/>
    <w:rsid w:val="002F053B"/>
    <w:rsid w:val="002F211F"/>
    <w:rsid w:val="002F2740"/>
    <w:rsid w:val="002F72BA"/>
    <w:rsid w:val="00300673"/>
    <w:rsid w:val="00300D60"/>
    <w:rsid w:val="003012A5"/>
    <w:rsid w:val="00302C89"/>
    <w:rsid w:val="00302CA0"/>
    <w:rsid w:val="00303925"/>
    <w:rsid w:val="003054F6"/>
    <w:rsid w:val="00305BEC"/>
    <w:rsid w:val="00305ED2"/>
    <w:rsid w:val="00306668"/>
    <w:rsid w:val="00306680"/>
    <w:rsid w:val="00307413"/>
    <w:rsid w:val="00307E10"/>
    <w:rsid w:val="00310EFE"/>
    <w:rsid w:val="00311C95"/>
    <w:rsid w:val="00312470"/>
    <w:rsid w:val="00313162"/>
    <w:rsid w:val="003146D5"/>
    <w:rsid w:val="00316738"/>
    <w:rsid w:val="00317369"/>
    <w:rsid w:val="00317A58"/>
    <w:rsid w:val="00320856"/>
    <w:rsid w:val="0032171A"/>
    <w:rsid w:val="0032221D"/>
    <w:rsid w:val="003249B7"/>
    <w:rsid w:val="00324C1A"/>
    <w:rsid w:val="00324D85"/>
    <w:rsid w:val="0032557B"/>
    <w:rsid w:val="00326C95"/>
    <w:rsid w:val="00327B57"/>
    <w:rsid w:val="00327BCB"/>
    <w:rsid w:val="00327F5B"/>
    <w:rsid w:val="003307F3"/>
    <w:rsid w:val="00330813"/>
    <w:rsid w:val="0033084F"/>
    <w:rsid w:val="00330EF2"/>
    <w:rsid w:val="00331936"/>
    <w:rsid w:val="003329A3"/>
    <w:rsid w:val="00332FB6"/>
    <w:rsid w:val="003333D8"/>
    <w:rsid w:val="003334A3"/>
    <w:rsid w:val="003336A9"/>
    <w:rsid w:val="00333F6D"/>
    <w:rsid w:val="00334ACF"/>
    <w:rsid w:val="003365A2"/>
    <w:rsid w:val="0033706E"/>
    <w:rsid w:val="00337531"/>
    <w:rsid w:val="003409E3"/>
    <w:rsid w:val="00341ECB"/>
    <w:rsid w:val="00342684"/>
    <w:rsid w:val="0034326C"/>
    <w:rsid w:val="00345871"/>
    <w:rsid w:val="0034605A"/>
    <w:rsid w:val="003469A0"/>
    <w:rsid w:val="00347C08"/>
    <w:rsid w:val="003504FF"/>
    <w:rsid w:val="0035111E"/>
    <w:rsid w:val="00351127"/>
    <w:rsid w:val="00351535"/>
    <w:rsid w:val="00351ADA"/>
    <w:rsid w:val="00351EE5"/>
    <w:rsid w:val="0035203C"/>
    <w:rsid w:val="0035223E"/>
    <w:rsid w:val="0035348E"/>
    <w:rsid w:val="00353DB2"/>
    <w:rsid w:val="00353DE9"/>
    <w:rsid w:val="003545BA"/>
    <w:rsid w:val="00354753"/>
    <w:rsid w:val="00355D1B"/>
    <w:rsid w:val="003569EB"/>
    <w:rsid w:val="00360156"/>
    <w:rsid w:val="00360512"/>
    <w:rsid w:val="00360F8A"/>
    <w:rsid w:val="00361296"/>
    <w:rsid w:val="00361D62"/>
    <w:rsid w:val="00361F93"/>
    <w:rsid w:val="00362063"/>
    <w:rsid w:val="003624EB"/>
    <w:rsid w:val="00362DC0"/>
    <w:rsid w:val="00364210"/>
    <w:rsid w:val="00365A3F"/>
    <w:rsid w:val="00365DFA"/>
    <w:rsid w:val="00367B20"/>
    <w:rsid w:val="00370585"/>
    <w:rsid w:val="00370A13"/>
    <w:rsid w:val="00371796"/>
    <w:rsid w:val="00372C94"/>
    <w:rsid w:val="00372E60"/>
    <w:rsid w:val="00372E9D"/>
    <w:rsid w:val="00372F6A"/>
    <w:rsid w:val="003731B4"/>
    <w:rsid w:val="0037329D"/>
    <w:rsid w:val="003735A8"/>
    <w:rsid w:val="00373988"/>
    <w:rsid w:val="00373C98"/>
    <w:rsid w:val="00373CDE"/>
    <w:rsid w:val="0037439C"/>
    <w:rsid w:val="003747EA"/>
    <w:rsid w:val="00375A41"/>
    <w:rsid w:val="00376908"/>
    <w:rsid w:val="00381B13"/>
    <w:rsid w:val="00383280"/>
    <w:rsid w:val="00384E0C"/>
    <w:rsid w:val="00386485"/>
    <w:rsid w:val="0038796E"/>
    <w:rsid w:val="00390520"/>
    <w:rsid w:val="003908D2"/>
    <w:rsid w:val="00391552"/>
    <w:rsid w:val="00392F9B"/>
    <w:rsid w:val="00393315"/>
    <w:rsid w:val="003937B2"/>
    <w:rsid w:val="00393C41"/>
    <w:rsid w:val="00395611"/>
    <w:rsid w:val="00395D3B"/>
    <w:rsid w:val="003977B2"/>
    <w:rsid w:val="00397E10"/>
    <w:rsid w:val="003A0707"/>
    <w:rsid w:val="003A09E2"/>
    <w:rsid w:val="003A0C53"/>
    <w:rsid w:val="003A0E86"/>
    <w:rsid w:val="003A0ECC"/>
    <w:rsid w:val="003A0F50"/>
    <w:rsid w:val="003A19F2"/>
    <w:rsid w:val="003A2CAF"/>
    <w:rsid w:val="003A33A5"/>
    <w:rsid w:val="003A4229"/>
    <w:rsid w:val="003A5140"/>
    <w:rsid w:val="003A54BB"/>
    <w:rsid w:val="003A5D52"/>
    <w:rsid w:val="003A5E05"/>
    <w:rsid w:val="003A769B"/>
    <w:rsid w:val="003B2611"/>
    <w:rsid w:val="003B2E37"/>
    <w:rsid w:val="003B2E56"/>
    <w:rsid w:val="003B3B53"/>
    <w:rsid w:val="003B489B"/>
    <w:rsid w:val="003B4F9D"/>
    <w:rsid w:val="003B64D6"/>
    <w:rsid w:val="003B6520"/>
    <w:rsid w:val="003B6A6B"/>
    <w:rsid w:val="003B72FF"/>
    <w:rsid w:val="003B792B"/>
    <w:rsid w:val="003B7F4F"/>
    <w:rsid w:val="003C01E4"/>
    <w:rsid w:val="003C0AB7"/>
    <w:rsid w:val="003C0D5F"/>
    <w:rsid w:val="003C1056"/>
    <w:rsid w:val="003C1199"/>
    <w:rsid w:val="003C23FC"/>
    <w:rsid w:val="003C24C9"/>
    <w:rsid w:val="003C275D"/>
    <w:rsid w:val="003C2D14"/>
    <w:rsid w:val="003C2E20"/>
    <w:rsid w:val="003C3197"/>
    <w:rsid w:val="003C3B92"/>
    <w:rsid w:val="003C46EE"/>
    <w:rsid w:val="003C5CB9"/>
    <w:rsid w:val="003C60F8"/>
    <w:rsid w:val="003C620C"/>
    <w:rsid w:val="003C6535"/>
    <w:rsid w:val="003C76D7"/>
    <w:rsid w:val="003D065A"/>
    <w:rsid w:val="003D1A99"/>
    <w:rsid w:val="003D1F8B"/>
    <w:rsid w:val="003D2018"/>
    <w:rsid w:val="003D2D24"/>
    <w:rsid w:val="003D32DA"/>
    <w:rsid w:val="003D39CC"/>
    <w:rsid w:val="003D5258"/>
    <w:rsid w:val="003D581F"/>
    <w:rsid w:val="003D676C"/>
    <w:rsid w:val="003D7AE3"/>
    <w:rsid w:val="003D7D53"/>
    <w:rsid w:val="003E001A"/>
    <w:rsid w:val="003E2BEE"/>
    <w:rsid w:val="003E2D25"/>
    <w:rsid w:val="003E30C7"/>
    <w:rsid w:val="003E3B62"/>
    <w:rsid w:val="003E49D2"/>
    <w:rsid w:val="003E4F9A"/>
    <w:rsid w:val="003E5390"/>
    <w:rsid w:val="003E6CAA"/>
    <w:rsid w:val="003F2AF0"/>
    <w:rsid w:val="003F2C61"/>
    <w:rsid w:val="003F2EE8"/>
    <w:rsid w:val="003F36F6"/>
    <w:rsid w:val="003F46CF"/>
    <w:rsid w:val="003F4CCA"/>
    <w:rsid w:val="003F6142"/>
    <w:rsid w:val="00400D3D"/>
    <w:rsid w:val="00403845"/>
    <w:rsid w:val="0040476C"/>
    <w:rsid w:val="00405A90"/>
    <w:rsid w:val="00405D42"/>
    <w:rsid w:val="00407018"/>
    <w:rsid w:val="00410E09"/>
    <w:rsid w:val="004110BF"/>
    <w:rsid w:val="004123D7"/>
    <w:rsid w:val="00413802"/>
    <w:rsid w:val="00413E7B"/>
    <w:rsid w:val="004148DA"/>
    <w:rsid w:val="00414CA2"/>
    <w:rsid w:val="00415034"/>
    <w:rsid w:val="00416A4C"/>
    <w:rsid w:val="00417D9F"/>
    <w:rsid w:val="004206EF"/>
    <w:rsid w:val="00420F5B"/>
    <w:rsid w:val="0042141D"/>
    <w:rsid w:val="004214EA"/>
    <w:rsid w:val="0042152D"/>
    <w:rsid w:val="004225A9"/>
    <w:rsid w:val="004225BB"/>
    <w:rsid w:val="00422B85"/>
    <w:rsid w:val="00423168"/>
    <w:rsid w:val="004233A7"/>
    <w:rsid w:val="00423E2A"/>
    <w:rsid w:val="00425098"/>
    <w:rsid w:val="004250D2"/>
    <w:rsid w:val="004252B7"/>
    <w:rsid w:val="004259BF"/>
    <w:rsid w:val="00426377"/>
    <w:rsid w:val="00426A43"/>
    <w:rsid w:val="00427039"/>
    <w:rsid w:val="0042756E"/>
    <w:rsid w:val="004277B3"/>
    <w:rsid w:val="0042782B"/>
    <w:rsid w:val="00427FFB"/>
    <w:rsid w:val="004316D5"/>
    <w:rsid w:val="00433281"/>
    <w:rsid w:val="004337A4"/>
    <w:rsid w:val="00435318"/>
    <w:rsid w:val="00435433"/>
    <w:rsid w:val="0043545F"/>
    <w:rsid w:val="00437F79"/>
    <w:rsid w:val="00440513"/>
    <w:rsid w:val="00440A71"/>
    <w:rsid w:val="00441C92"/>
    <w:rsid w:val="00441F92"/>
    <w:rsid w:val="00443033"/>
    <w:rsid w:val="0044326A"/>
    <w:rsid w:val="00443A3C"/>
    <w:rsid w:val="004446A8"/>
    <w:rsid w:val="00444C32"/>
    <w:rsid w:val="0044542E"/>
    <w:rsid w:val="0044751B"/>
    <w:rsid w:val="0044770B"/>
    <w:rsid w:val="004531D2"/>
    <w:rsid w:val="00453A1B"/>
    <w:rsid w:val="004541EF"/>
    <w:rsid w:val="00454AB8"/>
    <w:rsid w:val="00454B1A"/>
    <w:rsid w:val="00456895"/>
    <w:rsid w:val="00457D11"/>
    <w:rsid w:val="004606D5"/>
    <w:rsid w:val="00461F9F"/>
    <w:rsid w:val="00463253"/>
    <w:rsid w:val="00466D16"/>
    <w:rsid w:val="00466FE2"/>
    <w:rsid w:val="00470E15"/>
    <w:rsid w:val="00471B89"/>
    <w:rsid w:val="004724D5"/>
    <w:rsid w:val="00472EF8"/>
    <w:rsid w:val="00473648"/>
    <w:rsid w:val="00474B88"/>
    <w:rsid w:val="00474FBA"/>
    <w:rsid w:val="004752EA"/>
    <w:rsid w:val="004758C0"/>
    <w:rsid w:val="00475D00"/>
    <w:rsid w:val="004765C9"/>
    <w:rsid w:val="00477B37"/>
    <w:rsid w:val="0048011F"/>
    <w:rsid w:val="0048197A"/>
    <w:rsid w:val="00482258"/>
    <w:rsid w:val="0048614E"/>
    <w:rsid w:val="00486ECA"/>
    <w:rsid w:val="0048740A"/>
    <w:rsid w:val="00487CEC"/>
    <w:rsid w:val="00491DBB"/>
    <w:rsid w:val="00492095"/>
    <w:rsid w:val="0049238F"/>
    <w:rsid w:val="00492AC9"/>
    <w:rsid w:val="004930B5"/>
    <w:rsid w:val="00493BD5"/>
    <w:rsid w:val="004940A0"/>
    <w:rsid w:val="004940EE"/>
    <w:rsid w:val="004949A9"/>
    <w:rsid w:val="00494D85"/>
    <w:rsid w:val="00495FB2"/>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0DDC"/>
    <w:rsid w:val="004B12B6"/>
    <w:rsid w:val="004B12C1"/>
    <w:rsid w:val="004B1C51"/>
    <w:rsid w:val="004B215F"/>
    <w:rsid w:val="004B260F"/>
    <w:rsid w:val="004B333D"/>
    <w:rsid w:val="004B6A61"/>
    <w:rsid w:val="004B7D90"/>
    <w:rsid w:val="004C0612"/>
    <w:rsid w:val="004C16AC"/>
    <w:rsid w:val="004C280A"/>
    <w:rsid w:val="004C2BE4"/>
    <w:rsid w:val="004C5367"/>
    <w:rsid w:val="004C5BE5"/>
    <w:rsid w:val="004C73F9"/>
    <w:rsid w:val="004D0256"/>
    <w:rsid w:val="004D057E"/>
    <w:rsid w:val="004D078A"/>
    <w:rsid w:val="004D0817"/>
    <w:rsid w:val="004D09A0"/>
    <w:rsid w:val="004D13A9"/>
    <w:rsid w:val="004D15DF"/>
    <w:rsid w:val="004D18B4"/>
    <w:rsid w:val="004D211B"/>
    <w:rsid w:val="004D24D5"/>
    <w:rsid w:val="004D27C8"/>
    <w:rsid w:val="004D2A50"/>
    <w:rsid w:val="004D2EA0"/>
    <w:rsid w:val="004D48A7"/>
    <w:rsid w:val="004D53E8"/>
    <w:rsid w:val="004D6235"/>
    <w:rsid w:val="004D71D6"/>
    <w:rsid w:val="004D7B37"/>
    <w:rsid w:val="004D7E3A"/>
    <w:rsid w:val="004E08C8"/>
    <w:rsid w:val="004E0E9F"/>
    <w:rsid w:val="004E0FA4"/>
    <w:rsid w:val="004E1DB6"/>
    <w:rsid w:val="004E2370"/>
    <w:rsid w:val="004E23F2"/>
    <w:rsid w:val="004E25C1"/>
    <w:rsid w:val="004E2A17"/>
    <w:rsid w:val="004E3123"/>
    <w:rsid w:val="004E3196"/>
    <w:rsid w:val="004E3212"/>
    <w:rsid w:val="004E3CA8"/>
    <w:rsid w:val="004E3CC2"/>
    <w:rsid w:val="004E4B8A"/>
    <w:rsid w:val="004E7F67"/>
    <w:rsid w:val="004F2EE1"/>
    <w:rsid w:val="004F43CB"/>
    <w:rsid w:val="004F4AC8"/>
    <w:rsid w:val="004F5D52"/>
    <w:rsid w:val="004F6070"/>
    <w:rsid w:val="0050042C"/>
    <w:rsid w:val="00500B6A"/>
    <w:rsid w:val="00500D6F"/>
    <w:rsid w:val="005012DB"/>
    <w:rsid w:val="00501C3F"/>
    <w:rsid w:val="00502380"/>
    <w:rsid w:val="00502903"/>
    <w:rsid w:val="00503730"/>
    <w:rsid w:val="00504A31"/>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79C"/>
    <w:rsid w:val="00515A76"/>
    <w:rsid w:val="00516300"/>
    <w:rsid w:val="00516584"/>
    <w:rsid w:val="00516FF9"/>
    <w:rsid w:val="005201F5"/>
    <w:rsid w:val="005204D0"/>
    <w:rsid w:val="00520D18"/>
    <w:rsid w:val="005216BE"/>
    <w:rsid w:val="00523B38"/>
    <w:rsid w:val="00523CB0"/>
    <w:rsid w:val="005242EE"/>
    <w:rsid w:val="00524421"/>
    <w:rsid w:val="00525094"/>
    <w:rsid w:val="00525C18"/>
    <w:rsid w:val="00527783"/>
    <w:rsid w:val="00527FE0"/>
    <w:rsid w:val="00533167"/>
    <w:rsid w:val="005332C9"/>
    <w:rsid w:val="0053358C"/>
    <w:rsid w:val="0053369E"/>
    <w:rsid w:val="00533EE5"/>
    <w:rsid w:val="00534A8F"/>
    <w:rsid w:val="00534B36"/>
    <w:rsid w:val="0053589E"/>
    <w:rsid w:val="00536378"/>
    <w:rsid w:val="0053677A"/>
    <w:rsid w:val="00536E3E"/>
    <w:rsid w:val="005372A7"/>
    <w:rsid w:val="00540C42"/>
    <w:rsid w:val="0054319F"/>
    <w:rsid w:val="00544E5D"/>
    <w:rsid w:val="00544ED2"/>
    <w:rsid w:val="00545D9F"/>
    <w:rsid w:val="0054639F"/>
    <w:rsid w:val="0054689B"/>
    <w:rsid w:val="0054697F"/>
    <w:rsid w:val="00546FD2"/>
    <w:rsid w:val="00552D94"/>
    <w:rsid w:val="00553952"/>
    <w:rsid w:val="00553D8C"/>
    <w:rsid w:val="005545F9"/>
    <w:rsid w:val="005562F4"/>
    <w:rsid w:val="00556956"/>
    <w:rsid w:val="005606BF"/>
    <w:rsid w:val="00560A6B"/>
    <w:rsid w:val="0056244F"/>
    <w:rsid w:val="0056325B"/>
    <w:rsid w:val="00563720"/>
    <w:rsid w:val="005640CE"/>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DEF"/>
    <w:rsid w:val="00584A73"/>
    <w:rsid w:val="00584D50"/>
    <w:rsid w:val="00587C15"/>
    <w:rsid w:val="0059057B"/>
    <w:rsid w:val="00590786"/>
    <w:rsid w:val="00591D06"/>
    <w:rsid w:val="00592B67"/>
    <w:rsid w:val="00592C11"/>
    <w:rsid w:val="00593E7E"/>
    <w:rsid w:val="00594389"/>
    <w:rsid w:val="00594C5F"/>
    <w:rsid w:val="00595B59"/>
    <w:rsid w:val="0059689F"/>
    <w:rsid w:val="00597A95"/>
    <w:rsid w:val="005A083F"/>
    <w:rsid w:val="005A0B16"/>
    <w:rsid w:val="005A1A51"/>
    <w:rsid w:val="005A1B58"/>
    <w:rsid w:val="005A1EC1"/>
    <w:rsid w:val="005A2D95"/>
    <w:rsid w:val="005A437A"/>
    <w:rsid w:val="005A4515"/>
    <w:rsid w:val="005A483C"/>
    <w:rsid w:val="005A48E6"/>
    <w:rsid w:val="005A5CBA"/>
    <w:rsid w:val="005A6173"/>
    <w:rsid w:val="005A6F68"/>
    <w:rsid w:val="005A7765"/>
    <w:rsid w:val="005A7BA9"/>
    <w:rsid w:val="005B12F1"/>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93E"/>
    <w:rsid w:val="005C73CC"/>
    <w:rsid w:val="005D012B"/>
    <w:rsid w:val="005D01ED"/>
    <w:rsid w:val="005D0920"/>
    <w:rsid w:val="005D0BF8"/>
    <w:rsid w:val="005D24C3"/>
    <w:rsid w:val="005D378B"/>
    <w:rsid w:val="005D50DB"/>
    <w:rsid w:val="005D608A"/>
    <w:rsid w:val="005D670F"/>
    <w:rsid w:val="005D75D5"/>
    <w:rsid w:val="005D7E97"/>
    <w:rsid w:val="005E06EA"/>
    <w:rsid w:val="005E0863"/>
    <w:rsid w:val="005E0A9F"/>
    <w:rsid w:val="005E0FAD"/>
    <w:rsid w:val="005E17AF"/>
    <w:rsid w:val="005E187A"/>
    <w:rsid w:val="005E1C9E"/>
    <w:rsid w:val="005E2AF0"/>
    <w:rsid w:val="005E4341"/>
    <w:rsid w:val="005E5B0E"/>
    <w:rsid w:val="005E5BAB"/>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26B4"/>
    <w:rsid w:val="00604293"/>
    <w:rsid w:val="00604400"/>
    <w:rsid w:val="0060455C"/>
    <w:rsid w:val="00605232"/>
    <w:rsid w:val="006055E9"/>
    <w:rsid w:val="0060686F"/>
    <w:rsid w:val="0060694D"/>
    <w:rsid w:val="00607A80"/>
    <w:rsid w:val="00607C3C"/>
    <w:rsid w:val="00611A84"/>
    <w:rsid w:val="00612E31"/>
    <w:rsid w:val="00613548"/>
    <w:rsid w:val="006144E3"/>
    <w:rsid w:val="00614FC8"/>
    <w:rsid w:val="0061673D"/>
    <w:rsid w:val="00617056"/>
    <w:rsid w:val="00617E5F"/>
    <w:rsid w:val="00617E79"/>
    <w:rsid w:val="00620408"/>
    <w:rsid w:val="00621FB0"/>
    <w:rsid w:val="00625EE7"/>
    <w:rsid w:val="00625EF0"/>
    <w:rsid w:val="0062608C"/>
    <w:rsid w:val="006272EA"/>
    <w:rsid w:val="0062734D"/>
    <w:rsid w:val="00627B8E"/>
    <w:rsid w:val="00631263"/>
    <w:rsid w:val="00631285"/>
    <w:rsid w:val="0063143F"/>
    <w:rsid w:val="00631646"/>
    <w:rsid w:val="006326B2"/>
    <w:rsid w:val="00632E52"/>
    <w:rsid w:val="00633103"/>
    <w:rsid w:val="00634EDF"/>
    <w:rsid w:val="00640471"/>
    <w:rsid w:val="006416E2"/>
    <w:rsid w:val="0064175B"/>
    <w:rsid w:val="00641F49"/>
    <w:rsid w:val="0064286F"/>
    <w:rsid w:val="00642E1E"/>
    <w:rsid w:val="0064466B"/>
    <w:rsid w:val="006454AD"/>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DB0"/>
    <w:rsid w:val="00655ED3"/>
    <w:rsid w:val="006569DD"/>
    <w:rsid w:val="006570E7"/>
    <w:rsid w:val="0065759A"/>
    <w:rsid w:val="00657D80"/>
    <w:rsid w:val="0066092E"/>
    <w:rsid w:val="00660B4D"/>
    <w:rsid w:val="00660D81"/>
    <w:rsid w:val="00662303"/>
    <w:rsid w:val="0066516C"/>
    <w:rsid w:val="00665F4E"/>
    <w:rsid w:val="00666BF5"/>
    <w:rsid w:val="00667AE0"/>
    <w:rsid w:val="00667D71"/>
    <w:rsid w:val="0067110F"/>
    <w:rsid w:val="006712DB"/>
    <w:rsid w:val="006712DF"/>
    <w:rsid w:val="00671B72"/>
    <w:rsid w:val="00671BAC"/>
    <w:rsid w:val="00672115"/>
    <w:rsid w:val="00672AA5"/>
    <w:rsid w:val="00673716"/>
    <w:rsid w:val="0067437C"/>
    <w:rsid w:val="00674E2D"/>
    <w:rsid w:val="0067504F"/>
    <w:rsid w:val="006758D6"/>
    <w:rsid w:val="00675C7C"/>
    <w:rsid w:val="00675DE4"/>
    <w:rsid w:val="00676B07"/>
    <w:rsid w:val="00677699"/>
    <w:rsid w:val="00677B0A"/>
    <w:rsid w:val="00677C11"/>
    <w:rsid w:val="006804F1"/>
    <w:rsid w:val="00682C95"/>
    <w:rsid w:val="00683FA8"/>
    <w:rsid w:val="00684611"/>
    <w:rsid w:val="00684658"/>
    <w:rsid w:val="00684C45"/>
    <w:rsid w:val="00684CF7"/>
    <w:rsid w:val="00684FF3"/>
    <w:rsid w:val="00685425"/>
    <w:rsid w:val="00685546"/>
    <w:rsid w:val="006855A0"/>
    <w:rsid w:val="00690237"/>
    <w:rsid w:val="006902CA"/>
    <w:rsid w:val="0069055B"/>
    <w:rsid w:val="00690981"/>
    <w:rsid w:val="0069335E"/>
    <w:rsid w:val="00693929"/>
    <w:rsid w:val="00693DC7"/>
    <w:rsid w:val="00695816"/>
    <w:rsid w:val="00695D22"/>
    <w:rsid w:val="006960D4"/>
    <w:rsid w:val="00696210"/>
    <w:rsid w:val="00696516"/>
    <w:rsid w:val="00696F59"/>
    <w:rsid w:val="0069776B"/>
    <w:rsid w:val="006A0110"/>
    <w:rsid w:val="006A01ED"/>
    <w:rsid w:val="006A0435"/>
    <w:rsid w:val="006A09BE"/>
    <w:rsid w:val="006A2402"/>
    <w:rsid w:val="006A30F1"/>
    <w:rsid w:val="006A3D2D"/>
    <w:rsid w:val="006A445E"/>
    <w:rsid w:val="006A4C76"/>
    <w:rsid w:val="006A4CE1"/>
    <w:rsid w:val="006A5185"/>
    <w:rsid w:val="006A582F"/>
    <w:rsid w:val="006A6FFC"/>
    <w:rsid w:val="006A7E23"/>
    <w:rsid w:val="006B08BA"/>
    <w:rsid w:val="006B0BC3"/>
    <w:rsid w:val="006B0C02"/>
    <w:rsid w:val="006B1090"/>
    <w:rsid w:val="006B19ED"/>
    <w:rsid w:val="006B1FA1"/>
    <w:rsid w:val="006B3962"/>
    <w:rsid w:val="006B5D9E"/>
    <w:rsid w:val="006B5E16"/>
    <w:rsid w:val="006B77E1"/>
    <w:rsid w:val="006C1585"/>
    <w:rsid w:val="006C17F9"/>
    <w:rsid w:val="006C1F0D"/>
    <w:rsid w:val="006C3067"/>
    <w:rsid w:val="006C3ADA"/>
    <w:rsid w:val="006C4B9F"/>
    <w:rsid w:val="006C5854"/>
    <w:rsid w:val="006C68DD"/>
    <w:rsid w:val="006C7B6B"/>
    <w:rsid w:val="006D05D3"/>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4D26"/>
    <w:rsid w:val="006E75D3"/>
    <w:rsid w:val="006E7615"/>
    <w:rsid w:val="006E7CA6"/>
    <w:rsid w:val="006E7CB3"/>
    <w:rsid w:val="006F0526"/>
    <w:rsid w:val="006F0B70"/>
    <w:rsid w:val="006F1859"/>
    <w:rsid w:val="006F1914"/>
    <w:rsid w:val="006F1EF9"/>
    <w:rsid w:val="006F2692"/>
    <w:rsid w:val="006F2F2C"/>
    <w:rsid w:val="006F3398"/>
    <w:rsid w:val="006F423C"/>
    <w:rsid w:val="006F432A"/>
    <w:rsid w:val="006F49DB"/>
    <w:rsid w:val="006F4F00"/>
    <w:rsid w:val="006F7B9C"/>
    <w:rsid w:val="0070143E"/>
    <w:rsid w:val="00702446"/>
    <w:rsid w:val="00702AC4"/>
    <w:rsid w:val="007030D7"/>
    <w:rsid w:val="0070503A"/>
    <w:rsid w:val="00705D76"/>
    <w:rsid w:val="00706EDE"/>
    <w:rsid w:val="0070729C"/>
    <w:rsid w:val="007077FA"/>
    <w:rsid w:val="00710069"/>
    <w:rsid w:val="00710C0F"/>
    <w:rsid w:val="00710D63"/>
    <w:rsid w:val="00710E1A"/>
    <w:rsid w:val="007112B7"/>
    <w:rsid w:val="007114CA"/>
    <w:rsid w:val="007119C9"/>
    <w:rsid w:val="00711CCB"/>
    <w:rsid w:val="007120CC"/>
    <w:rsid w:val="007122FA"/>
    <w:rsid w:val="00712720"/>
    <w:rsid w:val="00712B19"/>
    <w:rsid w:val="0071542B"/>
    <w:rsid w:val="007171A5"/>
    <w:rsid w:val="00720924"/>
    <w:rsid w:val="0072119B"/>
    <w:rsid w:val="00721D54"/>
    <w:rsid w:val="0072255C"/>
    <w:rsid w:val="007229F0"/>
    <w:rsid w:val="00722AE3"/>
    <w:rsid w:val="00723D2E"/>
    <w:rsid w:val="007242CC"/>
    <w:rsid w:val="00725833"/>
    <w:rsid w:val="00725D72"/>
    <w:rsid w:val="0072640B"/>
    <w:rsid w:val="00726CFA"/>
    <w:rsid w:val="007276F4"/>
    <w:rsid w:val="007278D7"/>
    <w:rsid w:val="00727AF8"/>
    <w:rsid w:val="007323BF"/>
    <w:rsid w:val="0073273E"/>
    <w:rsid w:val="00732C84"/>
    <w:rsid w:val="007338B1"/>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1E0C"/>
    <w:rsid w:val="00752E7E"/>
    <w:rsid w:val="00754001"/>
    <w:rsid w:val="0075403C"/>
    <w:rsid w:val="007541AA"/>
    <w:rsid w:val="007555BA"/>
    <w:rsid w:val="00756B01"/>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5EB8"/>
    <w:rsid w:val="007763E9"/>
    <w:rsid w:val="00776992"/>
    <w:rsid w:val="00777079"/>
    <w:rsid w:val="0077731E"/>
    <w:rsid w:val="007801E1"/>
    <w:rsid w:val="00780281"/>
    <w:rsid w:val="0078029A"/>
    <w:rsid w:val="00780B55"/>
    <w:rsid w:val="00782516"/>
    <w:rsid w:val="00782A18"/>
    <w:rsid w:val="00782D0A"/>
    <w:rsid w:val="007834AB"/>
    <w:rsid w:val="00784F5E"/>
    <w:rsid w:val="00784FBB"/>
    <w:rsid w:val="0078539E"/>
    <w:rsid w:val="007859A4"/>
    <w:rsid w:val="00790096"/>
    <w:rsid w:val="00791BF8"/>
    <w:rsid w:val="00792435"/>
    <w:rsid w:val="007938E4"/>
    <w:rsid w:val="00793991"/>
    <w:rsid w:val="00793CE5"/>
    <w:rsid w:val="00794374"/>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7CB"/>
    <w:rsid w:val="007B0B98"/>
    <w:rsid w:val="007B0E2D"/>
    <w:rsid w:val="007B1677"/>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B19"/>
    <w:rsid w:val="007C74B4"/>
    <w:rsid w:val="007C750D"/>
    <w:rsid w:val="007D12E5"/>
    <w:rsid w:val="007D2AD8"/>
    <w:rsid w:val="007D3424"/>
    <w:rsid w:val="007D34ED"/>
    <w:rsid w:val="007D3A7D"/>
    <w:rsid w:val="007D3AB0"/>
    <w:rsid w:val="007D3ACA"/>
    <w:rsid w:val="007D3F1C"/>
    <w:rsid w:val="007D3F4E"/>
    <w:rsid w:val="007D4C86"/>
    <w:rsid w:val="007D4D49"/>
    <w:rsid w:val="007D5D8E"/>
    <w:rsid w:val="007D776A"/>
    <w:rsid w:val="007D7C70"/>
    <w:rsid w:val="007D7F7D"/>
    <w:rsid w:val="007E01FD"/>
    <w:rsid w:val="007E1600"/>
    <w:rsid w:val="007E1650"/>
    <w:rsid w:val="007E1B92"/>
    <w:rsid w:val="007E2A55"/>
    <w:rsid w:val="007E3CE5"/>
    <w:rsid w:val="007E4560"/>
    <w:rsid w:val="007E45E6"/>
    <w:rsid w:val="007E54B7"/>
    <w:rsid w:val="007E576E"/>
    <w:rsid w:val="007E5E7C"/>
    <w:rsid w:val="007E6A87"/>
    <w:rsid w:val="007E7823"/>
    <w:rsid w:val="007F1893"/>
    <w:rsid w:val="007F1B8A"/>
    <w:rsid w:val="007F2B4F"/>
    <w:rsid w:val="007F375B"/>
    <w:rsid w:val="007F3CB9"/>
    <w:rsid w:val="007F3EBF"/>
    <w:rsid w:val="007F3FE4"/>
    <w:rsid w:val="007F406C"/>
    <w:rsid w:val="007F43FE"/>
    <w:rsid w:val="007F45B2"/>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5281"/>
    <w:rsid w:val="008069B0"/>
    <w:rsid w:val="00806C05"/>
    <w:rsid w:val="00806C28"/>
    <w:rsid w:val="00806EC1"/>
    <w:rsid w:val="008076AA"/>
    <w:rsid w:val="008078B4"/>
    <w:rsid w:val="0081030A"/>
    <w:rsid w:val="00810891"/>
    <w:rsid w:val="008111BD"/>
    <w:rsid w:val="0081157E"/>
    <w:rsid w:val="008142A7"/>
    <w:rsid w:val="008145C4"/>
    <w:rsid w:val="00814CD5"/>
    <w:rsid w:val="008153DC"/>
    <w:rsid w:val="008224FD"/>
    <w:rsid w:val="00823636"/>
    <w:rsid w:val="00823B30"/>
    <w:rsid w:val="008248B5"/>
    <w:rsid w:val="008250FA"/>
    <w:rsid w:val="00825DB9"/>
    <w:rsid w:val="008268A4"/>
    <w:rsid w:val="008304CE"/>
    <w:rsid w:val="00831F2D"/>
    <w:rsid w:val="00832DE5"/>
    <w:rsid w:val="008353E6"/>
    <w:rsid w:val="00835D99"/>
    <w:rsid w:val="00836598"/>
    <w:rsid w:val="00837950"/>
    <w:rsid w:val="008408F1"/>
    <w:rsid w:val="00840EC6"/>
    <w:rsid w:val="00841D45"/>
    <w:rsid w:val="008422A2"/>
    <w:rsid w:val="008434BB"/>
    <w:rsid w:val="00843719"/>
    <w:rsid w:val="00843F06"/>
    <w:rsid w:val="00844333"/>
    <w:rsid w:val="008445B7"/>
    <w:rsid w:val="00844725"/>
    <w:rsid w:val="00844A7A"/>
    <w:rsid w:val="00844CD4"/>
    <w:rsid w:val="00845241"/>
    <w:rsid w:val="0084769B"/>
    <w:rsid w:val="008479CA"/>
    <w:rsid w:val="00847A6A"/>
    <w:rsid w:val="00847F94"/>
    <w:rsid w:val="008510F6"/>
    <w:rsid w:val="00852168"/>
    <w:rsid w:val="00852EB8"/>
    <w:rsid w:val="008536B0"/>
    <w:rsid w:val="00853825"/>
    <w:rsid w:val="00853B12"/>
    <w:rsid w:val="00853E8B"/>
    <w:rsid w:val="00854314"/>
    <w:rsid w:val="00854A24"/>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87"/>
    <w:rsid w:val="00866781"/>
    <w:rsid w:val="00866D4A"/>
    <w:rsid w:val="00870234"/>
    <w:rsid w:val="00870848"/>
    <w:rsid w:val="008716F1"/>
    <w:rsid w:val="00871EA3"/>
    <w:rsid w:val="00871F68"/>
    <w:rsid w:val="008727AB"/>
    <w:rsid w:val="00872D3C"/>
    <w:rsid w:val="00872DC2"/>
    <w:rsid w:val="008733C2"/>
    <w:rsid w:val="0087455C"/>
    <w:rsid w:val="00874E53"/>
    <w:rsid w:val="00875307"/>
    <w:rsid w:val="008755DD"/>
    <w:rsid w:val="00875A96"/>
    <w:rsid w:val="00876913"/>
    <w:rsid w:val="00876D3E"/>
    <w:rsid w:val="00880882"/>
    <w:rsid w:val="00880DF6"/>
    <w:rsid w:val="00880F61"/>
    <w:rsid w:val="00881EA5"/>
    <w:rsid w:val="008822B7"/>
    <w:rsid w:val="008825AF"/>
    <w:rsid w:val="00882DFC"/>
    <w:rsid w:val="00882F65"/>
    <w:rsid w:val="00883F1F"/>
    <w:rsid w:val="0088453D"/>
    <w:rsid w:val="00884750"/>
    <w:rsid w:val="008849EA"/>
    <w:rsid w:val="00885502"/>
    <w:rsid w:val="00885FE2"/>
    <w:rsid w:val="00886F64"/>
    <w:rsid w:val="0088727B"/>
    <w:rsid w:val="008876F0"/>
    <w:rsid w:val="00890B4F"/>
    <w:rsid w:val="00890ED8"/>
    <w:rsid w:val="00890F9C"/>
    <w:rsid w:val="0089142E"/>
    <w:rsid w:val="008916AA"/>
    <w:rsid w:val="00893C2D"/>
    <w:rsid w:val="008951B1"/>
    <w:rsid w:val="008966EA"/>
    <w:rsid w:val="00897380"/>
    <w:rsid w:val="008A03E0"/>
    <w:rsid w:val="008A0508"/>
    <w:rsid w:val="008A278E"/>
    <w:rsid w:val="008A2C3F"/>
    <w:rsid w:val="008A32BA"/>
    <w:rsid w:val="008A33B3"/>
    <w:rsid w:val="008A3A72"/>
    <w:rsid w:val="008A3B81"/>
    <w:rsid w:val="008A3BD7"/>
    <w:rsid w:val="008A4611"/>
    <w:rsid w:val="008A67DD"/>
    <w:rsid w:val="008A7C86"/>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D6D"/>
    <w:rsid w:val="008C355D"/>
    <w:rsid w:val="008C4947"/>
    <w:rsid w:val="008C4FD1"/>
    <w:rsid w:val="008C5385"/>
    <w:rsid w:val="008C57B9"/>
    <w:rsid w:val="008C59A1"/>
    <w:rsid w:val="008C607E"/>
    <w:rsid w:val="008C68A5"/>
    <w:rsid w:val="008C6CC5"/>
    <w:rsid w:val="008D0376"/>
    <w:rsid w:val="008D058C"/>
    <w:rsid w:val="008D1AA3"/>
    <w:rsid w:val="008D1B1B"/>
    <w:rsid w:val="008D1BD7"/>
    <w:rsid w:val="008D2343"/>
    <w:rsid w:val="008D2698"/>
    <w:rsid w:val="008D3FB5"/>
    <w:rsid w:val="008D419B"/>
    <w:rsid w:val="008D4335"/>
    <w:rsid w:val="008D52DA"/>
    <w:rsid w:val="008D5685"/>
    <w:rsid w:val="008D649E"/>
    <w:rsid w:val="008D6FE2"/>
    <w:rsid w:val="008D717C"/>
    <w:rsid w:val="008D7422"/>
    <w:rsid w:val="008D7A19"/>
    <w:rsid w:val="008E2536"/>
    <w:rsid w:val="008E2702"/>
    <w:rsid w:val="008E3BA3"/>
    <w:rsid w:val="008E4900"/>
    <w:rsid w:val="008E6577"/>
    <w:rsid w:val="008E6CAF"/>
    <w:rsid w:val="008E77C4"/>
    <w:rsid w:val="008F0507"/>
    <w:rsid w:val="008F0875"/>
    <w:rsid w:val="008F0C2C"/>
    <w:rsid w:val="008F0C8C"/>
    <w:rsid w:val="008F0F47"/>
    <w:rsid w:val="008F1145"/>
    <w:rsid w:val="008F1797"/>
    <w:rsid w:val="008F3027"/>
    <w:rsid w:val="008F3A08"/>
    <w:rsid w:val="008F41E3"/>
    <w:rsid w:val="008F65C3"/>
    <w:rsid w:val="008F6A10"/>
    <w:rsid w:val="008F6BFD"/>
    <w:rsid w:val="008F6C57"/>
    <w:rsid w:val="008F7F3A"/>
    <w:rsid w:val="009019F0"/>
    <w:rsid w:val="00901C5F"/>
    <w:rsid w:val="009029D3"/>
    <w:rsid w:val="00902BAF"/>
    <w:rsid w:val="00902E0C"/>
    <w:rsid w:val="00903064"/>
    <w:rsid w:val="00903CAF"/>
    <w:rsid w:val="00904357"/>
    <w:rsid w:val="0090492E"/>
    <w:rsid w:val="009051C7"/>
    <w:rsid w:val="009068AD"/>
    <w:rsid w:val="00906DD7"/>
    <w:rsid w:val="0090760E"/>
    <w:rsid w:val="009102CD"/>
    <w:rsid w:val="009106E1"/>
    <w:rsid w:val="00910F3B"/>
    <w:rsid w:val="00911655"/>
    <w:rsid w:val="00912018"/>
    <w:rsid w:val="00913178"/>
    <w:rsid w:val="00914B0A"/>
    <w:rsid w:val="00915006"/>
    <w:rsid w:val="00915DA2"/>
    <w:rsid w:val="00916459"/>
    <w:rsid w:val="0091742B"/>
    <w:rsid w:val="00920FCA"/>
    <w:rsid w:val="00922B60"/>
    <w:rsid w:val="00922D50"/>
    <w:rsid w:val="00923350"/>
    <w:rsid w:val="009233D0"/>
    <w:rsid w:val="009246A6"/>
    <w:rsid w:val="00925DF9"/>
    <w:rsid w:val="00926022"/>
    <w:rsid w:val="00930083"/>
    <w:rsid w:val="00930144"/>
    <w:rsid w:val="0093041C"/>
    <w:rsid w:val="0093107A"/>
    <w:rsid w:val="00931266"/>
    <w:rsid w:val="00933792"/>
    <w:rsid w:val="009338DF"/>
    <w:rsid w:val="00933CC5"/>
    <w:rsid w:val="00934E8C"/>
    <w:rsid w:val="009351B3"/>
    <w:rsid w:val="00935D95"/>
    <w:rsid w:val="00937719"/>
    <w:rsid w:val="009379EF"/>
    <w:rsid w:val="009401AB"/>
    <w:rsid w:val="00940910"/>
    <w:rsid w:val="009425AD"/>
    <w:rsid w:val="00942D90"/>
    <w:rsid w:val="009435A4"/>
    <w:rsid w:val="00944EFE"/>
    <w:rsid w:val="00945F30"/>
    <w:rsid w:val="00945FAF"/>
    <w:rsid w:val="00950557"/>
    <w:rsid w:val="0095088F"/>
    <w:rsid w:val="0095093C"/>
    <w:rsid w:val="00951C9C"/>
    <w:rsid w:val="00952C72"/>
    <w:rsid w:val="00952F58"/>
    <w:rsid w:val="009538FE"/>
    <w:rsid w:val="009541B3"/>
    <w:rsid w:val="0095434B"/>
    <w:rsid w:val="00956A74"/>
    <w:rsid w:val="009578C3"/>
    <w:rsid w:val="00957C1F"/>
    <w:rsid w:val="00957C21"/>
    <w:rsid w:val="00957FEC"/>
    <w:rsid w:val="009614A7"/>
    <w:rsid w:val="009619BA"/>
    <w:rsid w:val="009639F9"/>
    <w:rsid w:val="00964A2A"/>
    <w:rsid w:val="00964FE8"/>
    <w:rsid w:val="00965288"/>
    <w:rsid w:val="00965875"/>
    <w:rsid w:val="00965A84"/>
    <w:rsid w:val="00965B7A"/>
    <w:rsid w:val="00965E43"/>
    <w:rsid w:val="00966DFD"/>
    <w:rsid w:val="009678A0"/>
    <w:rsid w:val="00970071"/>
    <w:rsid w:val="009706AF"/>
    <w:rsid w:val="00972FB0"/>
    <w:rsid w:val="009738D1"/>
    <w:rsid w:val="00973A7E"/>
    <w:rsid w:val="0097401D"/>
    <w:rsid w:val="00975BA0"/>
    <w:rsid w:val="0097618B"/>
    <w:rsid w:val="00976F60"/>
    <w:rsid w:val="0097727B"/>
    <w:rsid w:val="0098056C"/>
    <w:rsid w:val="009811E8"/>
    <w:rsid w:val="00982EC7"/>
    <w:rsid w:val="009831AB"/>
    <w:rsid w:val="00983205"/>
    <w:rsid w:val="009837EC"/>
    <w:rsid w:val="009846AA"/>
    <w:rsid w:val="00984C93"/>
    <w:rsid w:val="00986202"/>
    <w:rsid w:val="00986A35"/>
    <w:rsid w:val="009906F2"/>
    <w:rsid w:val="00993231"/>
    <w:rsid w:val="00993873"/>
    <w:rsid w:val="009940A2"/>
    <w:rsid w:val="009940E9"/>
    <w:rsid w:val="00994329"/>
    <w:rsid w:val="00994AA3"/>
    <w:rsid w:val="00994ECE"/>
    <w:rsid w:val="009A1763"/>
    <w:rsid w:val="009A1A9C"/>
    <w:rsid w:val="009A1BFD"/>
    <w:rsid w:val="009A26AA"/>
    <w:rsid w:val="009A5B64"/>
    <w:rsid w:val="009A60B5"/>
    <w:rsid w:val="009A62F0"/>
    <w:rsid w:val="009A62F8"/>
    <w:rsid w:val="009B0293"/>
    <w:rsid w:val="009B0587"/>
    <w:rsid w:val="009B23C1"/>
    <w:rsid w:val="009B27B8"/>
    <w:rsid w:val="009B3D3D"/>
    <w:rsid w:val="009B4288"/>
    <w:rsid w:val="009B51F2"/>
    <w:rsid w:val="009B53E2"/>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74DB"/>
    <w:rsid w:val="009C7D7C"/>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252"/>
    <w:rsid w:val="009F0412"/>
    <w:rsid w:val="009F07E6"/>
    <w:rsid w:val="009F1808"/>
    <w:rsid w:val="009F1843"/>
    <w:rsid w:val="009F2C18"/>
    <w:rsid w:val="009F3914"/>
    <w:rsid w:val="009F42DE"/>
    <w:rsid w:val="009F42FA"/>
    <w:rsid w:val="009F450C"/>
    <w:rsid w:val="009F4948"/>
    <w:rsid w:val="009F50B8"/>
    <w:rsid w:val="009F52C7"/>
    <w:rsid w:val="009F592C"/>
    <w:rsid w:val="009F5F90"/>
    <w:rsid w:val="009F62E0"/>
    <w:rsid w:val="009F6836"/>
    <w:rsid w:val="009F7472"/>
    <w:rsid w:val="009F74F7"/>
    <w:rsid w:val="009F7E39"/>
    <w:rsid w:val="009F7E47"/>
    <w:rsid w:val="00A00009"/>
    <w:rsid w:val="00A02494"/>
    <w:rsid w:val="00A02AD1"/>
    <w:rsid w:val="00A03524"/>
    <w:rsid w:val="00A03A03"/>
    <w:rsid w:val="00A06186"/>
    <w:rsid w:val="00A06DDC"/>
    <w:rsid w:val="00A06F10"/>
    <w:rsid w:val="00A07620"/>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0D05"/>
    <w:rsid w:val="00A21E8C"/>
    <w:rsid w:val="00A236E3"/>
    <w:rsid w:val="00A239E4"/>
    <w:rsid w:val="00A23CF7"/>
    <w:rsid w:val="00A24521"/>
    <w:rsid w:val="00A25DBE"/>
    <w:rsid w:val="00A26186"/>
    <w:rsid w:val="00A26F01"/>
    <w:rsid w:val="00A27057"/>
    <w:rsid w:val="00A3322D"/>
    <w:rsid w:val="00A33717"/>
    <w:rsid w:val="00A342BD"/>
    <w:rsid w:val="00A34330"/>
    <w:rsid w:val="00A3477C"/>
    <w:rsid w:val="00A3598F"/>
    <w:rsid w:val="00A35E86"/>
    <w:rsid w:val="00A376B8"/>
    <w:rsid w:val="00A37A2E"/>
    <w:rsid w:val="00A40614"/>
    <w:rsid w:val="00A40931"/>
    <w:rsid w:val="00A40DFB"/>
    <w:rsid w:val="00A43801"/>
    <w:rsid w:val="00A44399"/>
    <w:rsid w:val="00A453B3"/>
    <w:rsid w:val="00A468CD"/>
    <w:rsid w:val="00A46EA5"/>
    <w:rsid w:val="00A471CD"/>
    <w:rsid w:val="00A50E10"/>
    <w:rsid w:val="00A51A3A"/>
    <w:rsid w:val="00A52529"/>
    <w:rsid w:val="00A52BF0"/>
    <w:rsid w:val="00A52DB0"/>
    <w:rsid w:val="00A5384D"/>
    <w:rsid w:val="00A539EF"/>
    <w:rsid w:val="00A56776"/>
    <w:rsid w:val="00A56C8C"/>
    <w:rsid w:val="00A57E03"/>
    <w:rsid w:val="00A606D7"/>
    <w:rsid w:val="00A619DC"/>
    <w:rsid w:val="00A627A6"/>
    <w:rsid w:val="00A6311B"/>
    <w:rsid w:val="00A63874"/>
    <w:rsid w:val="00A64150"/>
    <w:rsid w:val="00A642E5"/>
    <w:rsid w:val="00A64789"/>
    <w:rsid w:val="00A6563E"/>
    <w:rsid w:val="00A65DD2"/>
    <w:rsid w:val="00A65DD7"/>
    <w:rsid w:val="00A662C1"/>
    <w:rsid w:val="00A6636F"/>
    <w:rsid w:val="00A6686A"/>
    <w:rsid w:val="00A66964"/>
    <w:rsid w:val="00A66C14"/>
    <w:rsid w:val="00A675D1"/>
    <w:rsid w:val="00A676E1"/>
    <w:rsid w:val="00A7009F"/>
    <w:rsid w:val="00A701ED"/>
    <w:rsid w:val="00A7078E"/>
    <w:rsid w:val="00A718BD"/>
    <w:rsid w:val="00A7277C"/>
    <w:rsid w:val="00A737ED"/>
    <w:rsid w:val="00A73AE2"/>
    <w:rsid w:val="00A73B1C"/>
    <w:rsid w:val="00A74486"/>
    <w:rsid w:val="00A7449E"/>
    <w:rsid w:val="00A74A3A"/>
    <w:rsid w:val="00A74BB7"/>
    <w:rsid w:val="00A74EB6"/>
    <w:rsid w:val="00A75E66"/>
    <w:rsid w:val="00A76108"/>
    <w:rsid w:val="00A769E6"/>
    <w:rsid w:val="00A76AD4"/>
    <w:rsid w:val="00A81062"/>
    <w:rsid w:val="00A81205"/>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04ED"/>
    <w:rsid w:val="00AA10DC"/>
    <w:rsid w:val="00AA1CCE"/>
    <w:rsid w:val="00AA2DEF"/>
    <w:rsid w:val="00AA2F04"/>
    <w:rsid w:val="00AA3C4B"/>
    <w:rsid w:val="00AA4B18"/>
    <w:rsid w:val="00AA4FB8"/>
    <w:rsid w:val="00AA5602"/>
    <w:rsid w:val="00AA5C5C"/>
    <w:rsid w:val="00AA63F9"/>
    <w:rsid w:val="00AB01D0"/>
    <w:rsid w:val="00AB0726"/>
    <w:rsid w:val="00AB2394"/>
    <w:rsid w:val="00AB3A55"/>
    <w:rsid w:val="00AB3B3E"/>
    <w:rsid w:val="00AB46EA"/>
    <w:rsid w:val="00AB49A4"/>
    <w:rsid w:val="00AB6205"/>
    <w:rsid w:val="00AB62EF"/>
    <w:rsid w:val="00AB63D6"/>
    <w:rsid w:val="00AB677E"/>
    <w:rsid w:val="00AB6859"/>
    <w:rsid w:val="00AB6F1B"/>
    <w:rsid w:val="00AB7252"/>
    <w:rsid w:val="00AB7256"/>
    <w:rsid w:val="00AB75D0"/>
    <w:rsid w:val="00AB7E86"/>
    <w:rsid w:val="00AC07FD"/>
    <w:rsid w:val="00AC138C"/>
    <w:rsid w:val="00AC2E3E"/>
    <w:rsid w:val="00AC3144"/>
    <w:rsid w:val="00AC3762"/>
    <w:rsid w:val="00AC4696"/>
    <w:rsid w:val="00AC4877"/>
    <w:rsid w:val="00AC5B01"/>
    <w:rsid w:val="00AC70CA"/>
    <w:rsid w:val="00AC75E3"/>
    <w:rsid w:val="00AC76E0"/>
    <w:rsid w:val="00AC7B3A"/>
    <w:rsid w:val="00AC7F49"/>
    <w:rsid w:val="00AD0048"/>
    <w:rsid w:val="00AD05B4"/>
    <w:rsid w:val="00AD2C9F"/>
    <w:rsid w:val="00AD355C"/>
    <w:rsid w:val="00AD431B"/>
    <w:rsid w:val="00AD4CC4"/>
    <w:rsid w:val="00AD5CC2"/>
    <w:rsid w:val="00AD5E3D"/>
    <w:rsid w:val="00AD5FE5"/>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27D4"/>
    <w:rsid w:val="00AF48C2"/>
    <w:rsid w:val="00AF4967"/>
    <w:rsid w:val="00B0112B"/>
    <w:rsid w:val="00B01F49"/>
    <w:rsid w:val="00B02C69"/>
    <w:rsid w:val="00B02F60"/>
    <w:rsid w:val="00B03DB2"/>
    <w:rsid w:val="00B0455B"/>
    <w:rsid w:val="00B048E9"/>
    <w:rsid w:val="00B049F9"/>
    <w:rsid w:val="00B04D07"/>
    <w:rsid w:val="00B05427"/>
    <w:rsid w:val="00B059B8"/>
    <w:rsid w:val="00B06022"/>
    <w:rsid w:val="00B07E00"/>
    <w:rsid w:val="00B1048D"/>
    <w:rsid w:val="00B10617"/>
    <w:rsid w:val="00B1092E"/>
    <w:rsid w:val="00B10A71"/>
    <w:rsid w:val="00B114B6"/>
    <w:rsid w:val="00B119E9"/>
    <w:rsid w:val="00B12B3F"/>
    <w:rsid w:val="00B12F54"/>
    <w:rsid w:val="00B1376F"/>
    <w:rsid w:val="00B14D10"/>
    <w:rsid w:val="00B17478"/>
    <w:rsid w:val="00B2137D"/>
    <w:rsid w:val="00B21709"/>
    <w:rsid w:val="00B21979"/>
    <w:rsid w:val="00B21BF5"/>
    <w:rsid w:val="00B21FC2"/>
    <w:rsid w:val="00B224A5"/>
    <w:rsid w:val="00B225AE"/>
    <w:rsid w:val="00B22878"/>
    <w:rsid w:val="00B229B4"/>
    <w:rsid w:val="00B23050"/>
    <w:rsid w:val="00B23884"/>
    <w:rsid w:val="00B2547A"/>
    <w:rsid w:val="00B25D09"/>
    <w:rsid w:val="00B26A1C"/>
    <w:rsid w:val="00B26C1F"/>
    <w:rsid w:val="00B276E4"/>
    <w:rsid w:val="00B27CED"/>
    <w:rsid w:val="00B303F1"/>
    <w:rsid w:val="00B308E5"/>
    <w:rsid w:val="00B30D75"/>
    <w:rsid w:val="00B33138"/>
    <w:rsid w:val="00B3356F"/>
    <w:rsid w:val="00B338B9"/>
    <w:rsid w:val="00B35D99"/>
    <w:rsid w:val="00B371CD"/>
    <w:rsid w:val="00B37289"/>
    <w:rsid w:val="00B37318"/>
    <w:rsid w:val="00B403C6"/>
    <w:rsid w:val="00B40E6A"/>
    <w:rsid w:val="00B42703"/>
    <w:rsid w:val="00B4288F"/>
    <w:rsid w:val="00B4307E"/>
    <w:rsid w:val="00B43157"/>
    <w:rsid w:val="00B432F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56E86"/>
    <w:rsid w:val="00B61274"/>
    <w:rsid w:val="00B62FE1"/>
    <w:rsid w:val="00B6555F"/>
    <w:rsid w:val="00B65826"/>
    <w:rsid w:val="00B66664"/>
    <w:rsid w:val="00B66723"/>
    <w:rsid w:val="00B670B4"/>
    <w:rsid w:val="00B67165"/>
    <w:rsid w:val="00B7168F"/>
    <w:rsid w:val="00B7186A"/>
    <w:rsid w:val="00B72482"/>
    <w:rsid w:val="00B72A8E"/>
    <w:rsid w:val="00B72DB6"/>
    <w:rsid w:val="00B7332F"/>
    <w:rsid w:val="00B7455D"/>
    <w:rsid w:val="00B74D7C"/>
    <w:rsid w:val="00B751B7"/>
    <w:rsid w:val="00B75C33"/>
    <w:rsid w:val="00B7665B"/>
    <w:rsid w:val="00B769DA"/>
    <w:rsid w:val="00B76C70"/>
    <w:rsid w:val="00B77228"/>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2B17"/>
    <w:rsid w:val="00BA2F1A"/>
    <w:rsid w:val="00BA4196"/>
    <w:rsid w:val="00BA4321"/>
    <w:rsid w:val="00BA6207"/>
    <w:rsid w:val="00BA67CE"/>
    <w:rsid w:val="00BA67EF"/>
    <w:rsid w:val="00BA7441"/>
    <w:rsid w:val="00BB0239"/>
    <w:rsid w:val="00BB1538"/>
    <w:rsid w:val="00BB1DE8"/>
    <w:rsid w:val="00BB21D1"/>
    <w:rsid w:val="00BB2742"/>
    <w:rsid w:val="00BB48B9"/>
    <w:rsid w:val="00BB6D9F"/>
    <w:rsid w:val="00BB70C5"/>
    <w:rsid w:val="00BB7A0A"/>
    <w:rsid w:val="00BC014F"/>
    <w:rsid w:val="00BC09DE"/>
    <w:rsid w:val="00BC0BCC"/>
    <w:rsid w:val="00BC137A"/>
    <w:rsid w:val="00BC1695"/>
    <w:rsid w:val="00BC1D7A"/>
    <w:rsid w:val="00BC1EE9"/>
    <w:rsid w:val="00BC2E5A"/>
    <w:rsid w:val="00BC2E9F"/>
    <w:rsid w:val="00BC34CA"/>
    <w:rsid w:val="00BC3A1D"/>
    <w:rsid w:val="00BC3FCB"/>
    <w:rsid w:val="00BC6C1A"/>
    <w:rsid w:val="00BC771A"/>
    <w:rsid w:val="00BC7BCC"/>
    <w:rsid w:val="00BC7D45"/>
    <w:rsid w:val="00BD04EA"/>
    <w:rsid w:val="00BD061A"/>
    <w:rsid w:val="00BD0FEC"/>
    <w:rsid w:val="00BD11C8"/>
    <w:rsid w:val="00BD1AC2"/>
    <w:rsid w:val="00BD24CA"/>
    <w:rsid w:val="00BD2613"/>
    <w:rsid w:val="00BD2704"/>
    <w:rsid w:val="00BD28ED"/>
    <w:rsid w:val="00BD2D33"/>
    <w:rsid w:val="00BD352C"/>
    <w:rsid w:val="00BD3923"/>
    <w:rsid w:val="00BD3EED"/>
    <w:rsid w:val="00BD5712"/>
    <w:rsid w:val="00BD7885"/>
    <w:rsid w:val="00BE0F75"/>
    <w:rsid w:val="00BE2142"/>
    <w:rsid w:val="00BE22A1"/>
    <w:rsid w:val="00BE2377"/>
    <w:rsid w:val="00BE2DF5"/>
    <w:rsid w:val="00BE3F54"/>
    <w:rsid w:val="00BE4161"/>
    <w:rsid w:val="00BE5C45"/>
    <w:rsid w:val="00BE61AF"/>
    <w:rsid w:val="00BE6536"/>
    <w:rsid w:val="00BE78C9"/>
    <w:rsid w:val="00BE7CB3"/>
    <w:rsid w:val="00BE7D42"/>
    <w:rsid w:val="00BE7F46"/>
    <w:rsid w:val="00BF1D1C"/>
    <w:rsid w:val="00BF2842"/>
    <w:rsid w:val="00BF2FAE"/>
    <w:rsid w:val="00BF3421"/>
    <w:rsid w:val="00BF4A20"/>
    <w:rsid w:val="00C00831"/>
    <w:rsid w:val="00C00C6D"/>
    <w:rsid w:val="00C00E97"/>
    <w:rsid w:val="00C01F32"/>
    <w:rsid w:val="00C028F3"/>
    <w:rsid w:val="00C02B6B"/>
    <w:rsid w:val="00C02F5A"/>
    <w:rsid w:val="00C04269"/>
    <w:rsid w:val="00C04875"/>
    <w:rsid w:val="00C0488A"/>
    <w:rsid w:val="00C054A4"/>
    <w:rsid w:val="00C058C5"/>
    <w:rsid w:val="00C05B27"/>
    <w:rsid w:val="00C06330"/>
    <w:rsid w:val="00C06CD1"/>
    <w:rsid w:val="00C06F92"/>
    <w:rsid w:val="00C10C6A"/>
    <w:rsid w:val="00C10D58"/>
    <w:rsid w:val="00C159ED"/>
    <w:rsid w:val="00C17912"/>
    <w:rsid w:val="00C20634"/>
    <w:rsid w:val="00C21FEC"/>
    <w:rsid w:val="00C2207E"/>
    <w:rsid w:val="00C22964"/>
    <w:rsid w:val="00C22CBA"/>
    <w:rsid w:val="00C22E32"/>
    <w:rsid w:val="00C2307C"/>
    <w:rsid w:val="00C23F65"/>
    <w:rsid w:val="00C24532"/>
    <w:rsid w:val="00C2465B"/>
    <w:rsid w:val="00C24AF7"/>
    <w:rsid w:val="00C26001"/>
    <w:rsid w:val="00C2771E"/>
    <w:rsid w:val="00C27C8C"/>
    <w:rsid w:val="00C3083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47A22"/>
    <w:rsid w:val="00C50B34"/>
    <w:rsid w:val="00C51E52"/>
    <w:rsid w:val="00C52FC8"/>
    <w:rsid w:val="00C53816"/>
    <w:rsid w:val="00C53C6F"/>
    <w:rsid w:val="00C55010"/>
    <w:rsid w:val="00C565ED"/>
    <w:rsid w:val="00C569E6"/>
    <w:rsid w:val="00C56F1D"/>
    <w:rsid w:val="00C57AE2"/>
    <w:rsid w:val="00C57FB5"/>
    <w:rsid w:val="00C60D45"/>
    <w:rsid w:val="00C60E34"/>
    <w:rsid w:val="00C6145E"/>
    <w:rsid w:val="00C6215E"/>
    <w:rsid w:val="00C630C1"/>
    <w:rsid w:val="00C63928"/>
    <w:rsid w:val="00C65886"/>
    <w:rsid w:val="00C66D10"/>
    <w:rsid w:val="00C705A5"/>
    <w:rsid w:val="00C705CD"/>
    <w:rsid w:val="00C71F02"/>
    <w:rsid w:val="00C73EBF"/>
    <w:rsid w:val="00C74A2D"/>
    <w:rsid w:val="00C75056"/>
    <w:rsid w:val="00C7540A"/>
    <w:rsid w:val="00C75BD7"/>
    <w:rsid w:val="00C76190"/>
    <w:rsid w:val="00C77557"/>
    <w:rsid w:val="00C776FC"/>
    <w:rsid w:val="00C8032C"/>
    <w:rsid w:val="00C80F07"/>
    <w:rsid w:val="00C8161B"/>
    <w:rsid w:val="00C824B8"/>
    <w:rsid w:val="00C82878"/>
    <w:rsid w:val="00C83BA0"/>
    <w:rsid w:val="00C861F4"/>
    <w:rsid w:val="00C87801"/>
    <w:rsid w:val="00C87922"/>
    <w:rsid w:val="00C87EC7"/>
    <w:rsid w:val="00C9305C"/>
    <w:rsid w:val="00C94F91"/>
    <w:rsid w:val="00C9538D"/>
    <w:rsid w:val="00C96555"/>
    <w:rsid w:val="00C97083"/>
    <w:rsid w:val="00C97189"/>
    <w:rsid w:val="00CA3C45"/>
    <w:rsid w:val="00CA41CC"/>
    <w:rsid w:val="00CA4A64"/>
    <w:rsid w:val="00CA4B8D"/>
    <w:rsid w:val="00CA4BBA"/>
    <w:rsid w:val="00CA5AB1"/>
    <w:rsid w:val="00CA5B50"/>
    <w:rsid w:val="00CA627F"/>
    <w:rsid w:val="00CA6365"/>
    <w:rsid w:val="00CA6B81"/>
    <w:rsid w:val="00CA764E"/>
    <w:rsid w:val="00CA7AC2"/>
    <w:rsid w:val="00CB0696"/>
    <w:rsid w:val="00CB1CC1"/>
    <w:rsid w:val="00CB27C4"/>
    <w:rsid w:val="00CB310B"/>
    <w:rsid w:val="00CB3317"/>
    <w:rsid w:val="00CB379C"/>
    <w:rsid w:val="00CB3DD7"/>
    <w:rsid w:val="00CB3FFE"/>
    <w:rsid w:val="00CB494F"/>
    <w:rsid w:val="00CB56DF"/>
    <w:rsid w:val="00CB7122"/>
    <w:rsid w:val="00CC0155"/>
    <w:rsid w:val="00CC02FD"/>
    <w:rsid w:val="00CC0470"/>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219"/>
    <w:rsid w:val="00CD1393"/>
    <w:rsid w:val="00CD70F2"/>
    <w:rsid w:val="00CD777A"/>
    <w:rsid w:val="00CD79A1"/>
    <w:rsid w:val="00CE0DCC"/>
    <w:rsid w:val="00CE1A34"/>
    <w:rsid w:val="00CE2965"/>
    <w:rsid w:val="00CE3C3B"/>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35C5"/>
    <w:rsid w:val="00D03DDC"/>
    <w:rsid w:val="00D04011"/>
    <w:rsid w:val="00D04756"/>
    <w:rsid w:val="00D04CE6"/>
    <w:rsid w:val="00D061BA"/>
    <w:rsid w:val="00D06AE1"/>
    <w:rsid w:val="00D10A59"/>
    <w:rsid w:val="00D122C4"/>
    <w:rsid w:val="00D1483F"/>
    <w:rsid w:val="00D1487E"/>
    <w:rsid w:val="00D14A56"/>
    <w:rsid w:val="00D14CF1"/>
    <w:rsid w:val="00D14D98"/>
    <w:rsid w:val="00D15646"/>
    <w:rsid w:val="00D1635B"/>
    <w:rsid w:val="00D165A9"/>
    <w:rsid w:val="00D1675A"/>
    <w:rsid w:val="00D16D31"/>
    <w:rsid w:val="00D17389"/>
    <w:rsid w:val="00D20968"/>
    <w:rsid w:val="00D250BC"/>
    <w:rsid w:val="00D25315"/>
    <w:rsid w:val="00D255F7"/>
    <w:rsid w:val="00D266CC"/>
    <w:rsid w:val="00D26829"/>
    <w:rsid w:val="00D269F1"/>
    <w:rsid w:val="00D26D90"/>
    <w:rsid w:val="00D273B9"/>
    <w:rsid w:val="00D27745"/>
    <w:rsid w:val="00D30B3B"/>
    <w:rsid w:val="00D31BB3"/>
    <w:rsid w:val="00D31C7E"/>
    <w:rsid w:val="00D329FA"/>
    <w:rsid w:val="00D33744"/>
    <w:rsid w:val="00D3400D"/>
    <w:rsid w:val="00D34ADC"/>
    <w:rsid w:val="00D357C1"/>
    <w:rsid w:val="00D36206"/>
    <w:rsid w:val="00D366B8"/>
    <w:rsid w:val="00D4082E"/>
    <w:rsid w:val="00D40900"/>
    <w:rsid w:val="00D40DDD"/>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36F5"/>
    <w:rsid w:val="00D55234"/>
    <w:rsid w:val="00D554B4"/>
    <w:rsid w:val="00D5740C"/>
    <w:rsid w:val="00D60610"/>
    <w:rsid w:val="00D60778"/>
    <w:rsid w:val="00D60CCC"/>
    <w:rsid w:val="00D612C8"/>
    <w:rsid w:val="00D61342"/>
    <w:rsid w:val="00D61427"/>
    <w:rsid w:val="00D617AF"/>
    <w:rsid w:val="00D623B0"/>
    <w:rsid w:val="00D63DDB"/>
    <w:rsid w:val="00D63FF7"/>
    <w:rsid w:val="00D645C2"/>
    <w:rsid w:val="00D668A9"/>
    <w:rsid w:val="00D6691D"/>
    <w:rsid w:val="00D6765B"/>
    <w:rsid w:val="00D678EB"/>
    <w:rsid w:val="00D71021"/>
    <w:rsid w:val="00D7181F"/>
    <w:rsid w:val="00D71A8B"/>
    <w:rsid w:val="00D72982"/>
    <w:rsid w:val="00D73977"/>
    <w:rsid w:val="00D741CB"/>
    <w:rsid w:val="00D7441E"/>
    <w:rsid w:val="00D74CD3"/>
    <w:rsid w:val="00D75471"/>
    <w:rsid w:val="00D7630C"/>
    <w:rsid w:val="00D7662F"/>
    <w:rsid w:val="00D76C23"/>
    <w:rsid w:val="00D7734A"/>
    <w:rsid w:val="00D77B56"/>
    <w:rsid w:val="00D80A7E"/>
    <w:rsid w:val="00D80E3C"/>
    <w:rsid w:val="00D81390"/>
    <w:rsid w:val="00D81979"/>
    <w:rsid w:val="00D82291"/>
    <w:rsid w:val="00D829BA"/>
    <w:rsid w:val="00D82EB2"/>
    <w:rsid w:val="00D83921"/>
    <w:rsid w:val="00D8460A"/>
    <w:rsid w:val="00D849EC"/>
    <w:rsid w:val="00D84E78"/>
    <w:rsid w:val="00D84EAF"/>
    <w:rsid w:val="00D85A3E"/>
    <w:rsid w:val="00D869A2"/>
    <w:rsid w:val="00D9119E"/>
    <w:rsid w:val="00D915A9"/>
    <w:rsid w:val="00D91D4F"/>
    <w:rsid w:val="00D923E0"/>
    <w:rsid w:val="00D92961"/>
    <w:rsid w:val="00D92D19"/>
    <w:rsid w:val="00D92EE0"/>
    <w:rsid w:val="00D93300"/>
    <w:rsid w:val="00D93CDC"/>
    <w:rsid w:val="00D94682"/>
    <w:rsid w:val="00D95125"/>
    <w:rsid w:val="00D962C6"/>
    <w:rsid w:val="00D97971"/>
    <w:rsid w:val="00DA00DC"/>
    <w:rsid w:val="00DA12AC"/>
    <w:rsid w:val="00DA4267"/>
    <w:rsid w:val="00DA4308"/>
    <w:rsid w:val="00DA4F9A"/>
    <w:rsid w:val="00DA5A31"/>
    <w:rsid w:val="00DA7002"/>
    <w:rsid w:val="00DB1AE5"/>
    <w:rsid w:val="00DB28EE"/>
    <w:rsid w:val="00DB4445"/>
    <w:rsid w:val="00DB5BD3"/>
    <w:rsid w:val="00DB7849"/>
    <w:rsid w:val="00DB79DB"/>
    <w:rsid w:val="00DC0D46"/>
    <w:rsid w:val="00DC12B5"/>
    <w:rsid w:val="00DC2572"/>
    <w:rsid w:val="00DC3521"/>
    <w:rsid w:val="00DC3C52"/>
    <w:rsid w:val="00DC445D"/>
    <w:rsid w:val="00DC493B"/>
    <w:rsid w:val="00DC4AD6"/>
    <w:rsid w:val="00DC570C"/>
    <w:rsid w:val="00DC5B99"/>
    <w:rsid w:val="00DC62C5"/>
    <w:rsid w:val="00DC73EB"/>
    <w:rsid w:val="00DC76BA"/>
    <w:rsid w:val="00DC7760"/>
    <w:rsid w:val="00DC7AA9"/>
    <w:rsid w:val="00DD02CB"/>
    <w:rsid w:val="00DD04DA"/>
    <w:rsid w:val="00DD0BC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267C"/>
    <w:rsid w:val="00DE36F5"/>
    <w:rsid w:val="00DE4291"/>
    <w:rsid w:val="00DE44DE"/>
    <w:rsid w:val="00DE491B"/>
    <w:rsid w:val="00DE4CC5"/>
    <w:rsid w:val="00DE515B"/>
    <w:rsid w:val="00DE537F"/>
    <w:rsid w:val="00DE5C3F"/>
    <w:rsid w:val="00DE633D"/>
    <w:rsid w:val="00DE6783"/>
    <w:rsid w:val="00DF0395"/>
    <w:rsid w:val="00DF0C2E"/>
    <w:rsid w:val="00DF155C"/>
    <w:rsid w:val="00DF2126"/>
    <w:rsid w:val="00DF232F"/>
    <w:rsid w:val="00DF2A03"/>
    <w:rsid w:val="00DF2A1F"/>
    <w:rsid w:val="00DF47D6"/>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8EC"/>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2DF"/>
    <w:rsid w:val="00E2564A"/>
    <w:rsid w:val="00E2595C"/>
    <w:rsid w:val="00E26580"/>
    <w:rsid w:val="00E27232"/>
    <w:rsid w:val="00E27443"/>
    <w:rsid w:val="00E276C4"/>
    <w:rsid w:val="00E305C3"/>
    <w:rsid w:val="00E30E2C"/>
    <w:rsid w:val="00E314B0"/>
    <w:rsid w:val="00E317E7"/>
    <w:rsid w:val="00E317FB"/>
    <w:rsid w:val="00E32413"/>
    <w:rsid w:val="00E3251D"/>
    <w:rsid w:val="00E32563"/>
    <w:rsid w:val="00E332F6"/>
    <w:rsid w:val="00E335AD"/>
    <w:rsid w:val="00E3409B"/>
    <w:rsid w:val="00E34884"/>
    <w:rsid w:val="00E34A7F"/>
    <w:rsid w:val="00E34F12"/>
    <w:rsid w:val="00E353A1"/>
    <w:rsid w:val="00E35865"/>
    <w:rsid w:val="00E37B40"/>
    <w:rsid w:val="00E37FA2"/>
    <w:rsid w:val="00E42495"/>
    <w:rsid w:val="00E4249A"/>
    <w:rsid w:val="00E425F4"/>
    <w:rsid w:val="00E42ECE"/>
    <w:rsid w:val="00E44959"/>
    <w:rsid w:val="00E44B43"/>
    <w:rsid w:val="00E44B95"/>
    <w:rsid w:val="00E45F9E"/>
    <w:rsid w:val="00E460F6"/>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67025"/>
    <w:rsid w:val="00E70150"/>
    <w:rsid w:val="00E70B24"/>
    <w:rsid w:val="00E711E2"/>
    <w:rsid w:val="00E7144D"/>
    <w:rsid w:val="00E71BA3"/>
    <w:rsid w:val="00E71FA7"/>
    <w:rsid w:val="00E72840"/>
    <w:rsid w:val="00E72E69"/>
    <w:rsid w:val="00E737B8"/>
    <w:rsid w:val="00E75236"/>
    <w:rsid w:val="00E7551D"/>
    <w:rsid w:val="00E7594E"/>
    <w:rsid w:val="00E76ABD"/>
    <w:rsid w:val="00E76F1A"/>
    <w:rsid w:val="00E80DEC"/>
    <w:rsid w:val="00E818C0"/>
    <w:rsid w:val="00E82448"/>
    <w:rsid w:val="00E83BD3"/>
    <w:rsid w:val="00E83C14"/>
    <w:rsid w:val="00E8434D"/>
    <w:rsid w:val="00E84C9B"/>
    <w:rsid w:val="00E856B7"/>
    <w:rsid w:val="00E85EF0"/>
    <w:rsid w:val="00E911EA"/>
    <w:rsid w:val="00E91F79"/>
    <w:rsid w:val="00E9263F"/>
    <w:rsid w:val="00E9297D"/>
    <w:rsid w:val="00E92BC5"/>
    <w:rsid w:val="00E92CD8"/>
    <w:rsid w:val="00E93352"/>
    <w:rsid w:val="00E9414B"/>
    <w:rsid w:val="00E944DD"/>
    <w:rsid w:val="00E945B6"/>
    <w:rsid w:val="00E94652"/>
    <w:rsid w:val="00E94C32"/>
    <w:rsid w:val="00E9545E"/>
    <w:rsid w:val="00E95B5D"/>
    <w:rsid w:val="00E95C8D"/>
    <w:rsid w:val="00E96262"/>
    <w:rsid w:val="00E9631D"/>
    <w:rsid w:val="00EA0C08"/>
    <w:rsid w:val="00EA1031"/>
    <w:rsid w:val="00EA1822"/>
    <w:rsid w:val="00EA182F"/>
    <w:rsid w:val="00EA20F7"/>
    <w:rsid w:val="00EA2CEF"/>
    <w:rsid w:val="00EA2D27"/>
    <w:rsid w:val="00EA4307"/>
    <w:rsid w:val="00EA43A9"/>
    <w:rsid w:val="00EA5038"/>
    <w:rsid w:val="00EA5B50"/>
    <w:rsid w:val="00EA6ACA"/>
    <w:rsid w:val="00EB0BB3"/>
    <w:rsid w:val="00EB354F"/>
    <w:rsid w:val="00EB3A71"/>
    <w:rsid w:val="00EB53E3"/>
    <w:rsid w:val="00EB56A5"/>
    <w:rsid w:val="00EB583E"/>
    <w:rsid w:val="00EB5A37"/>
    <w:rsid w:val="00EB5B96"/>
    <w:rsid w:val="00EB61B4"/>
    <w:rsid w:val="00EB69EB"/>
    <w:rsid w:val="00EB6D11"/>
    <w:rsid w:val="00EB7534"/>
    <w:rsid w:val="00EC06B7"/>
    <w:rsid w:val="00EC0BB8"/>
    <w:rsid w:val="00EC1072"/>
    <w:rsid w:val="00EC139E"/>
    <w:rsid w:val="00EC2F92"/>
    <w:rsid w:val="00EC35A2"/>
    <w:rsid w:val="00EC3E07"/>
    <w:rsid w:val="00EC4F5D"/>
    <w:rsid w:val="00EC5D7B"/>
    <w:rsid w:val="00EC6162"/>
    <w:rsid w:val="00EC61EB"/>
    <w:rsid w:val="00EC71C7"/>
    <w:rsid w:val="00EC7C2C"/>
    <w:rsid w:val="00EC7F4F"/>
    <w:rsid w:val="00ED0585"/>
    <w:rsid w:val="00ED0CAB"/>
    <w:rsid w:val="00ED0E00"/>
    <w:rsid w:val="00ED1096"/>
    <w:rsid w:val="00ED2E4F"/>
    <w:rsid w:val="00ED44A6"/>
    <w:rsid w:val="00ED4E77"/>
    <w:rsid w:val="00ED5715"/>
    <w:rsid w:val="00ED5EB9"/>
    <w:rsid w:val="00ED610A"/>
    <w:rsid w:val="00ED6990"/>
    <w:rsid w:val="00ED75FB"/>
    <w:rsid w:val="00EE172A"/>
    <w:rsid w:val="00EE1FB1"/>
    <w:rsid w:val="00EE263F"/>
    <w:rsid w:val="00EE281E"/>
    <w:rsid w:val="00EE29BF"/>
    <w:rsid w:val="00EE2F86"/>
    <w:rsid w:val="00EE3637"/>
    <w:rsid w:val="00EE4103"/>
    <w:rsid w:val="00EE48C1"/>
    <w:rsid w:val="00EE4970"/>
    <w:rsid w:val="00EE4DA6"/>
    <w:rsid w:val="00EE50CB"/>
    <w:rsid w:val="00EE5677"/>
    <w:rsid w:val="00EE56C2"/>
    <w:rsid w:val="00EE56EA"/>
    <w:rsid w:val="00EE59B0"/>
    <w:rsid w:val="00EE68CF"/>
    <w:rsid w:val="00EE6D7D"/>
    <w:rsid w:val="00EE734D"/>
    <w:rsid w:val="00EE7631"/>
    <w:rsid w:val="00EE7680"/>
    <w:rsid w:val="00EE76D8"/>
    <w:rsid w:val="00EF035C"/>
    <w:rsid w:val="00EF0407"/>
    <w:rsid w:val="00EF1561"/>
    <w:rsid w:val="00EF15C7"/>
    <w:rsid w:val="00EF1FBC"/>
    <w:rsid w:val="00EF25D4"/>
    <w:rsid w:val="00EF2CF4"/>
    <w:rsid w:val="00EF35A1"/>
    <w:rsid w:val="00EF4529"/>
    <w:rsid w:val="00EF49D1"/>
    <w:rsid w:val="00EF5215"/>
    <w:rsid w:val="00EF5C97"/>
    <w:rsid w:val="00EF5D18"/>
    <w:rsid w:val="00EF6AC8"/>
    <w:rsid w:val="00EF7BDB"/>
    <w:rsid w:val="00F004A9"/>
    <w:rsid w:val="00F00990"/>
    <w:rsid w:val="00F016B5"/>
    <w:rsid w:val="00F01758"/>
    <w:rsid w:val="00F01F8F"/>
    <w:rsid w:val="00F043CC"/>
    <w:rsid w:val="00F045EE"/>
    <w:rsid w:val="00F0503F"/>
    <w:rsid w:val="00F053F8"/>
    <w:rsid w:val="00F065F0"/>
    <w:rsid w:val="00F06771"/>
    <w:rsid w:val="00F0689F"/>
    <w:rsid w:val="00F07286"/>
    <w:rsid w:val="00F1051E"/>
    <w:rsid w:val="00F11EDB"/>
    <w:rsid w:val="00F12FAE"/>
    <w:rsid w:val="00F14591"/>
    <w:rsid w:val="00F15BC0"/>
    <w:rsid w:val="00F1726C"/>
    <w:rsid w:val="00F176B4"/>
    <w:rsid w:val="00F1776F"/>
    <w:rsid w:val="00F21135"/>
    <w:rsid w:val="00F21733"/>
    <w:rsid w:val="00F21A13"/>
    <w:rsid w:val="00F2235F"/>
    <w:rsid w:val="00F2241D"/>
    <w:rsid w:val="00F23E4E"/>
    <w:rsid w:val="00F24843"/>
    <w:rsid w:val="00F24D8E"/>
    <w:rsid w:val="00F25075"/>
    <w:rsid w:val="00F2577B"/>
    <w:rsid w:val="00F262D2"/>
    <w:rsid w:val="00F266BB"/>
    <w:rsid w:val="00F26BFF"/>
    <w:rsid w:val="00F2706A"/>
    <w:rsid w:val="00F30136"/>
    <w:rsid w:val="00F30C62"/>
    <w:rsid w:val="00F30DD2"/>
    <w:rsid w:val="00F32420"/>
    <w:rsid w:val="00F32421"/>
    <w:rsid w:val="00F333E1"/>
    <w:rsid w:val="00F35502"/>
    <w:rsid w:val="00F35CFA"/>
    <w:rsid w:val="00F35D4C"/>
    <w:rsid w:val="00F36237"/>
    <w:rsid w:val="00F36715"/>
    <w:rsid w:val="00F36DF3"/>
    <w:rsid w:val="00F37A03"/>
    <w:rsid w:val="00F37EFC"/>
    <w:rsid w:val="00F40ADD"/>
    <w:rsid w:val="00F41018"/>
    <w:rsid w:val="00F41B6D"/>
    <w:rsid w:val="00F42793"/>
    <w:rsid w:val="00F428E6"/>
    <w:rsid w:val="00F42F77"/>
    <w:rsid w:val="00F448B7"/>
    <w:rsid w:val="00F45BAA"/>
    <w:rsid w:val="00F45CCC"/>
    <w:rsid w:val="00F45FFD"/>
    <w:rsid w:val="00F46E23"/>
    <w:rsid w:val="00F46E94"/>
    <w:rsid w:val="00F471FA"/>
    <w:rsid w:val="00F473F3"/>
    <w:rsid w:val="00F50216"/>
    <w:rsid w:val="00F511F5"/>
    <w:rsid w:val="00F5193F"/>
    <w:rsid w:val="00F532FD"/>
    <w:rsid w:val="00F5338C"/>
    <w:rsid w:val="00F53585"/>
    <w:rsid w:val="00F5408F"/>
    <w:rsid w:val="00F55CCC"/>
    <w:rsid w:val="00F55F5C"/>
    <w:rsid w:val="00F572EB"/>
    <w:rsid w:val="00F57734"/>
    <w:rsid w:val="00F57885"/>
    <w:rsid w:val="00F60274"/>
    <w:rsid w:val="00F602BF"/>
    <w:rsid w:val="00F605EB"/>
    <w:rsid w:val="00F61602"/>
    <w:rsid w:val="00F617C4"/>
    <w:rsid w:val="00F62DAB"/>
    <w:rsid w:val="00F63BF0"/>
    <w:rsid w:val="00F6561B"/>
    <w:rsid w:val="00F65DF8"/>
    <w:rsid w:val="00F67641"/>
    <w:rsid w:val="00F71145"/>
    <w:rsid w:val="00F717BD"/>
    <w:rsid w:val="00F722A8"/>
    <w:rsid w:val="00F72DB1"/>
    <w:rsid w:val="00F73627"/>
    <w:rsid w:val="00F74625"/>
    <w:rsid w:val="00F74B91"/>
    <w:rsid w:val="00F74BDC"/>
    <w:rsid w:val="00F7706D"/>
    <w:rsid w:val="00F8010F"/>
    <w:rsid w:val="00F8082F"/>
    <w:rsid w:val="00F81959"/>
    <w:rsid w:val="00F82018"/>
    <w:rsid w:val="00F8236C"/>
    <w:rsid w:val="00F82938"/>
    <w:rsid w:val="00F82CFF"/>
    <w:rsid w:val="00F84493"/>
    <w:rsid w:val="00F8498C"/>
    <w:rsid w:val="00F84BB1"/>
    <w:rsid w:val="00F8661E"/>
    <w:rsid w:val="00F91D45"/>
    <w:rsid w:val="00F91EA7"/>
    <w:rsid w:val="00F923B5"/>
    <w:rsid w:val="00F94973"/>
    <w:rsid w:val="00F95F3F"/>
    <w:rsid w:val="00F97547"/>
    <w:rsid w:val="00FA0259"/>
    <w:rsid w:val="00FA0CA1"/>
    <w:rsid w:val="00FA3BEA"/>
    <w:rsid w:val="00FA52A5"/>
    <w:rsid w:val="00FA5D1B"/>
    <w:rsid w:val="00FA6778"/>
    <w:rsid w:val="00FA6F32"/>
    <w:rsid w:val="00FB08AE"/>
    <w:rsid w:val="00FB0C27"/>
    <w:rsid w:val="00FB0F23"/>
    <w:rsid w:val="00FB1090"/>
    <w:rsid w:val="00FB1442"/>
    <w:rsid w:val="00FB1B12"/>
    <w:rsid w:val="00FB1F94"/>
    <w:rsid w:val="00FB2813"/>
    <w:rsid w:val="00FB2DAE"/>
    <w:rsid w:val="00FB40C0"/>
    <w:rsid w:val="00FB4849"/>
    <w:rsid w:val="00FB4B61"/>
    <w:rsid w:val="00FB4D72"/>
    <w:rsid w:val="00FB59F5"/>
    <w:rsid w:val="00FB612A"/>
    <w:rsid w:val="00FB6F20"/>
    <w:rsid w:val="00FB731E"/>
    <w:rsid w:val="00FB744F"/>
    <w:rsid w:val="00FB7D91"/>
    <w:rsid w:val="00FB7DC5"/>
    <w:rsid w:val="00FC077E"/>
    <w:rsid w:val="00FC0A04"/>
    <w:rsid w:val="00FC1B7D"/>
    <w:rsid w:val="00FC29F0"/>
    <w:rsid w:val="00FC2B04"/>
    <w:rsid w:val="00FC33C5"/>
    <w:rsid w:val="00FC383C"/>
    <w:rsid w:val="00FC3BEB"/>
    <w:rsid w:val="00FC473A"/>
    <w:rsid w:val="00FC5660"/>
    <w:rsid w:val="00FC59EA"/>
    <w:rsid w:val="00FC5CCF"/>
    <w:rsid w:val="00FC5DBC"/>
    <w:rsid w:val="00FC690A"/>
    <w:rsid w:val="00FC696A"/>
    <w:rsid w:val="00FC6EEE"/>
    <w:rsid w:val="00FC6FB0"/>
    <w:rsid w:val="00FC7545"/>
    <w:rsid w:val="00FC7B23"/>
    <w:rsid w:val="00FD0D99"/>
    <w:rsid w:val="00FD17CD"/>
    <w:rsid w:val="00FD3946"/>
    <w:rsid w:val="00FD7B69"/>
    <w:rsid w:val="00FE2179"/>
    <w:rsid w:val="00FE2804"/>
    <w:rsid w:val="00FE2984"/>
    <w:rsid w:val="00FE3B74"/>
    <w:rsid w:val="00FE3D96"/>
    <w:rsid w:val="00FE3EAC"/>
    <w:rsid w:val="00FE418D"/>
    <w:rsid w:val="00FE58C1"/>
    <w:rsid w:val="00FE5979"/>
    <w:rsid w:val="00FE7BEF"/>
    <w:rsid w:val="00FE7E2D"/>
    <w:rsid w:val="00FE7ED5"/>
    <w:rsid w:val="00FF0198"/>
    <w:rsid w:val="00FF04EE"/>
    <w:rsid w:val="00FF0520"/>
    <w:rsid w:val="00FF10BB"/>
    <w:rsid w:val="00FF12AD"/>
    <w:rsid w:val="00FF16FC"/>
    <w:rsid w:val="00FF17DE"/>
    <w:rsid w:val="00FF29CE"/>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D18"/>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06920644">
      <w:bodyDiv w:val="1"/>
      <w:marLeft w:val="0"/>
      <w:marRight w:val="0"/>
      <w:marTop w:val="0"/>
      <w:marBottom w:val="0"/>
      <w:divBdr>
        <w:top w:val="none" w:sz="0" w:space="0" w:color="auto"/>
        <w:left w:val="none" w:sz="0" w:space="0" w:color="auto"/>
        <w:bottom w:val="none" w:sz="0" w:space="0" w:color="auto"/>
        <w:right w:val="none" w:sz="0" w:space="0" w:color="auto"/>
      </w:divBdr>
    </w:div>
    <w:div w:id="222757180">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4773052">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32055117">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2178</Words>
  <Characters>14581</Characters>
  <Application>Microsoft Office Word</Application>
  <DocSecurity>0</DocSecurity>
  <Lines>1121</Lines>
  <Paragraphs>214</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2024-11-07T09:16:00Z</cp:lastPrinted>
  <dcterms:created xsi:type="dcterms:W3CDTF">2024-11-13T08:19:00Z</dcterms:created>
  <dcterms:modified xsi:type="dcterms:W3CDTF">2024-11-13T08:19:00Z</dcterms:modified>
</cp:coreProperties>
</file>