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3352C" w:rsidRDefault="0003352C">
            <w:pPr>
              <w:pStyle w:val="HuvudRubrik"/>
            </w:pPr>
            <w:bookmarkStart w:id="0" w:name="BetänkandeRubrik"/>
            <w:bookmarkEnd w:id="0"/>
            <w:r>
              <w:t>Näringsutskottets betänkande</w:t>
            </w:r>
            <w:r w:rsidR="001834C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7241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3352C" w:rsidRDefault="000335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8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3352C" w:rsidRDefault="0003352C">
                            <w:pPr>
                              <w:pStyle w:val="Logo"/>
                            </w:pPr>
                            <w:r>
                              <w:object w:dxaOrig="840" w:dyaOrig="1545">
                                <v:shape id="_x0000_i1025" type="#_x0000_t75" style="width:41.55pt;height:77.15pt" fillcolor="window">
                                  <v:imagedata r:id="rId7" o:title=""/>
                                </v:shape>
                                <o:OLEObject Type="Embed" ProgID="Word.Picture.8" ShapeID="_x0000_i1025" DrawAspect="Content" ObjectID="_1827336182" r:id="rId9"/>
                              </w:object>
                            </w:r>
                          </w:p>
                        </w:txbxContent>
                      </v:textbox>
                      <w10:wrap anchorx="page" anchory="page"/>
                    </v:shape>
                  </w:pict>
                </mc:Fallback>
              </mc:AlternateContent>
            </w:r>
          </w:p>
          <w:p w:rsidR="0003352C" w:rsidRDefault="0003352C">
            <w:pPr>
              <w:pStyle w:val="HuvudRubrikRad2"/>
            </w:pPr>
            <w:bookmarkStart w:id="15" w:name="BetänkandeNr"/>
            <w:bookmarkEnd w:id="15"/>
            <w:r>
              <w:t>1998/99:NU10</w:t>
            </w:r>
          </w:p>
          <w:p w:rsidR="0003352C" w:rsidRDefault="0003352C">
            <w:pPr>
              <w:pStyle w:val="BetnkandeRubrik"/>
            </w:pPr>
            <w:bookmarkStart w:id="16" w:name="Huvudrubrik"/>
            <w:bookmarkEnd w:id="16"/>
            <w:r>
              <w:t>Vissa mineralpolitiska frågor</w:t>
            </w:r>
          </w:p>
        </w:tc>
        <w:tc>
          <w:tcPr>
            <w:tcW w:w="1559" w:type="dxa"/>
            <w:tcBorders>
              <w:bottom w:val="nil"/>
            </w:tcBorders>
          </w:tcPr>
          <w:p w:rsidR="0003352C" w:rsidRDefault="0003352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3352C" w:rsidRDefault="0003352C">
            <w:pPr>
              <w:spacing w:before="40" w:after="900" w:line="280" w:lineRule="exact"/>
              <w:jc w:val="left"/>
              <w:rPr>
                <w:sz w:val="28"/>
              </w:rPr>
            </w:pPr>
          </w:p>
        </w:tc>
        <w:tc>
          <w:tcPr>
            <w:tcW w:w="1559" w:type="dxa"/>
          </w:tcPr>
          <w:p w:rsidR="0003352C" w:rsidRDefault="0003352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3352C" w:rsidRDefault="0003352C">
            <w:pPr>
              <w:spacing w:before="40" w:after="900" w:line="280" w:lineRule="exact"/>
              <w:jc w:val="left"/>
              <w:rPr>
                <w:sz w:val="28"/>
              </w:rPr>
            </w:pPr>
          </w:p>
        </w:tc>
        <w:tc>
          <w:tcPr>
            <w:tcW w:w="1559" w:type="dxa"/>
            <w:tcBorders>
              <w:bottom w:val="single" w:sz="6" w:space="0" w:color="auto"/>
            </w:tcBorders>
          </w:tcPr>
          <w:p w:rsidR="0003352C" w:rsidRDefault="0003352C">
            <w:pPr>
              <w:pStyle w:val="rtal"/>
            </w:pPr>
            <w:r>
              <w:t>NU10</w:t>
            </w:r>
          </w:p>
        </w:tc>
      </w:tr>
      <w:tr w:rsidR="00000000">
        <w:tblPrEx>
          <w:tblCellMar>
            <w:top w:w="0" w:type="dxa"/>
            <w:bottom w:w="0" w:type="dxa"/>
          </w:tblCellMar>
        </w:tblPrEx>
        <w:trPr>
          <w:cantSplit/>
          <w:trHeight w:hRule="exact" w:val="660"/>
        </w:trPr>
        <w:tc>
          <w:tcPr>
            <w:tcW w:w="3012" w:type="dxa"/>
          </w:tcPr>
          <w:p w:rsidR="0003352C" w:rsidRDefault="0003352C">
            <w:pPr>
              <w:pStyle w:val="StatusSida1"/>
            </w:pPr>
          </w:p>
        </w:tc>
        <w:tc>
          <w:tcPr>
            <w:tcW w:w="3012" w:type="dxa"/>
          </w:tcPr>
          <w:p w:rsidR="0003352C" w:rsidRDefault="0003352C">
            <w:pPr>
              <w:pStyle w:val="UtskriftsdatumSida1"/>
              <w:rPr>
                <w:b/>
                <w:sz w:val="28"/>
              </w:rPr>
            </w:pPr>
          </w:p>
        </w:tc>
        <w:tc>
          <w:tcPr>
            <w:tcW w:w="1559" w:type="dxa"/>
          </w:tcPr>
          <w:p w:rsidR="0003352C" w:rsidRDefault="0003352C"/>
        </w:tc>
      </w:tr>
    </w:tbl>
    <w:p w:rsidR="0003352C" w:rsidRDefault="0003352C">
      <w:pPr>
        <w:pStyle w:val="Rubrik1"/>
        <w:spacing w:before="0"/>
      </w:pPr>
      <w:bookmarkStart w:id="17" w:name="_Toc447531223"/>
      <w:r>
        <w:t>Ärendet</w:t>
      </w:r>
      <w:bookmarkEnd w:id="17"/>
    </w:p>
    <w:p w:rsidR="0003352C" w:rsidRDefault="0003352C">
      <w:r>
        <w:t>I detta betänkande behandlas 13 motioner från allmänna motionstiden med yrkanden som berör olika frågor om mineralpolitik.</w:t>
      </w:r>
    </w:p>
    <w:p w:rsidR="0003352C" w:rsidRDefault="0003352C">
      <w:r>
        <w:t xml:space="preserve">Upplysningar i ärendet har inför utskottet lämnats av bergmästare Jan-Olof Hedström vid Bergsstaten. Skrivelser har inkommit från aktionsgruppen för en rättvis minerallag (ARM) och från Miljöjuristerna Lex Terra HB. </w:t>
      </w:r>
    </w:p>
    <w:p w:rsidR="0003352C" w:rsidRDefault="0003352C">
      <w:pPr>
        <w:pStyle w:val="Rubrik1"/>
      </w:pPr>
      <w:bookmarkStart w:id="18" w:name="_Toc447531224"/>
      <w:r>
        <w:t>Sammanfattning</w:t>
      </w:r>
      <w:bookmarkEnd w:id="18"/>
    </w:p>
    <w:p w:rsidR="0003352C" w:rsidRDefault="0003352C">
      <w:bookmarkStart w:id="19" w:name="Textstart"/>
      <w:bookmarkEnd w:id="19"/>
      <w:r>
        <w:t>Utskottet behandlar i betänkandet 26 motionsyrkanden om olika mineralp</w:t>
      </w:r>
      <w:r>
        <w:t>o</w:t>
      </w:r>
      <w:r>
        <w:t xml:space="preserve">litiska frågor. Den nyligen beslutade utredningen om markägarnas rättigheter m.m. i minerallagen välkomnas av utskottet. </w:t>
      </w:r>
    </w:p>
    <w:p w:rsidR="0003352C" w:rsidRDefault="0003352C">
      <w:pPr>
        <w:pStyle w:val="Normaltindrag"/>
      </w:pPr>
      <w:r>
        <w:t>De motionsyrkanden som behandlas berör på flera sätt balansen mellan olika krav och intressen i fråga om en gammal svensk basnäring. Samtliga motionsyrkanden på detta område avstyrks av utskottet med hänvisning till den nya utredningen. Utskottet förutsätter att även frågan om äganderättens innehåll för markägarna behandlas av utredningen. Miljöpartiets företrädare framhåller i en reser</w:t>
      </w:r>
      <w:r>
        <w:t>vation att utredningen bör syfta till en ny ordning med vetorätt för markägarna mot pr</w:t>
      </w:r>
      <w:r>
        <w:t>o</w:t>
      </w:r>
      <w:r>
        <w:t xml:space="preserve">spektering. </w:t>
      </w:r>
    </w:p>
    <w:p w:rsidR="0003352C" w:rsidRDefault="0003352C">
      <w:pPr>
        <w:pStyle w:val="Normaltindrag"/>
      </w:pPr>
      <w:r>
        <w:t>Utskottet avstyrker vidare motionsyrkanden som rör forskningsfrågor på det mineralpolitiska området.</w:t>
      </w:r>
    </w:p>
    <w:p w:rsidR="0003352C" w:rsidRDefault="0003352C">
      <w:pPr>
        <w:pStyle w:val="Rubrik1"/>
      </w:pPr>
      <w:bookmarkStart w:id="20" w:name="_Toc447531225"/>
      <w:r>
        <w:t>Motionerna</w:t>
      </w:r>
      <w:bookmarkEnd w:id="20"/>
    </w:p>
    <w:p w:rsidR="0003352C" w:rsidRDefault="0003352C">
      <w:r>
        <w:t>De motioner som behandlas här är följande:</w:t>
      </w:r>
    </w:p>
    <w:p w:rsidR="0003352C" w:rsidRDefault="0003352C">
      <w:r>
        <w:t>1998/99:MJ777 av Göte Jonsson m.fl. (m) såvitt gäller yrkandet (3) att rik</w:t>
      </w:r>
      <w:r>
        <w:t>s</w:t>
      </w:r>
      <w:r>
        <w:t xml:space="preserve">dagen som sin mening ger regeringen till känna vad i motionen anförts om översyn av minerallagar. </w:t>
      </w:r>
    </w:p>
    <w:p w:rsidR="0003352C" w:rsidRDefault="0003352C">
      <w:r>
        <w:t>1998/99:N201 av Eskil Erlandsson (c) vari yrkas att riksdagen hos regerin</w:t>
      </w:r>
      <w:r>
        <w:t>g</w:t>
      </w:r>
      <w:r>
        <w:t>en begär en utredning av minerallagstiftningen i enlighet med vad som a</w:t>
      </w:r>
      <w:r>
        <w:t>n</w:t>
      </w:r>
      <w:r>
        <w:t xml:space="preserve">förts i motionen. </w:t>
      </w:r>
    </w:p>
    <w:p w:rsidR="0003352C" w:rsidRDefault="0003352C">
      <w:r>
        <w:t>1998/99:N204 av Birger Schlaug m.fl. (mp) vari yrkas att riksdagen</w:t>
      </w:r>
    </w:p>
    <w:p w:rsidR="0003352C" w:rsidRDefault="0003352C">
      <w:pPr>
        <w:pStyle w:val="Normaltindrag"/>
      </w:pPr>
      <w:r>
        <w:lastRenderedPageBreak/>
        <w:t xml:space="preserve">1. som sin mening ger regeringen till känna vad i motionen anförts om vetorätt i minerallagen mot undersökningstillstånd för markägare, kommun och stat, var för sig, </w:t>
      </w:r>
    </w:p>
    <w:p w:rsidR="0003352C" w:rsidRDefault="0003352C">
      <w:pPr>
        <w:pStyle w:val="Normaltindrag"/>
      </w:pPr>
      <w:r>
        <w:t>2. som sin mening ger regeringen till känna vad i motionen anförts om att i minerallagen införa att del av uppkommen vinst vid exploatering skall til</w:t>
      </w:r>
      <w:r>
        <w:t>l</w:t>
      </w:r>
      <w:r>
        <w:t xml:space="preserve">falla staten, kommunen och/eller markägaren, </w:t>
      </w:r>
    </w:p>
    <w:p w:rsidR="0003352C" w:rsidRDefault="0003352C">
      <w:pPr>
        <w:pStyle w:val="Normaltindrag"/>
      </w:pPr>
      <w:r>
        <w:t>3. som sin mening ger regeringen till känna vad i motionen anförts om att försiktighetsprincipen skall gälla vid prövning enligt minera</w:t>
      </w:r>
      <w:r>
        <w:t>l</w:t>
      </w:r>
      <w:r>
        <w:t xml:space="preserve">lagen. </w:t>
      </w:r>
    </w:p>
    <w:p w:rsidR="0003352C" w:rsidRDefault="0003352C">
      <w:r>
        <w:t xml:space="preserve">1998/99:N209 av Anders G Högmark (m) vari yrkas att riksdagen som sin mening ger regeringen till känna vad i motionen anförts om en skyndsam översyn av minerallagen i syfte att stärka den enskilda äganderätten. </w:t>
      </w:r>
    </w:p>
    <w:p w:rsidR="0003352C" w:rsidRDefault="0003352C">
      <w:r>
        <w:t>1998/99:N211 av Siw Persson (fp) vari yrkas att riksdagen</w:t>
      </w:r>
    </w:p>
    <w:p w:rsidR="0003352C" w:rsidRDefault="0003352C">
      <w:pPr>
        <w:pStyle w:val="Normaltindrag"/>
      </w:pPr>
      <w:r>
        <w:t xml:space="preserve">1. som sin mening ger regeringen till känna vad i motionen anförts om att hänsyn till allmänna intressen och enskild rätt skall tas oavsett vilken mineral som eftersöks, </w:t>
      </w:r>
    </w:p>
    <w:p w:rsidR="0003352C" w:rsidRDefault="0003352C">
      <w:pPr>
        <w:pStyle w:val="Normaltindrag"/>
      </w:pPr>
      <w:r>
        <w:t xml:space="preserve">2. som sin mening ger regeringen till känna vad i motionen anförts om skydd av natur- och kulturvärden i hela landet, </w:t>
      </w:r>
    </w:p>
    <w:p w:rsidR="0003352C" w:rsidRDefault="0003352C">
      <w:pPr>
        <w:pStyle w:val="Normaltindrag"/>
      </w:pPr>
      <w:r>
        <w:t>3. som sin mening ger regeringen till känna vad i motionen anförts om u</w:t>
      </w:r>
      <w:r>
        <w:t>t</w:t>
      </w:r>
      <w:r>
        <w:t xml:space="preserve">ökad kommunal talerätt, </w:t>
      </w:r>
    </w:p>
    <w:p w:rsidR="0003352C" w:rsidRDefault="0003352C">
      <w:pPr>
        <w:pStyle w:val="Normaltindrag"/>
      </w:pPr>
      <w:r>
        <w:t xml:space="preserve">4. som sin mening ger regeringen till känna vad i motionen anförts om krav på laga kraft före undersökningsarbetets startande. </w:t>
      </w:r>
    </w:p>
    <w:p w:rsidR="0003352C" w:rsidRDefault="0003352C">
      <w:r>
        <w:t>1998/99:N223 av Hans Andersson m.fl. (v) vari yrkas att riksdagen</w:t>
      </w:r>
    </w:p>
    <w:p w:rsidR="0003352C" w:rsidRDefault="0003352C">
      <w:pPr>
        <w:pStyle w:val="Normaltindrag"/>
      </w:pPr>
      <w:r>
        <w:t>1. som sin mening ger regeringen till känna vad i motionen anförts om b</w:t>
      </w:r>
      <w:r>
        <w:t>e</w:t>
      </w:r>
      <w:r>
        <w:t xml:space="preserve">hovet av uppföljning av minerallagstiftning m.m., </w:t>
      </w:r>
    </w:p>
    <w:p w:rsidR="0003352C" w:rsidRDefault="0003352C">
      <w:pPr>
        <w:pStyle w:val="Normaltindrag"/>
      </w:pPr>
      <w:r>
        <w:t>2. hos regeringen begär en utredning om royalty i samband med gruvbry</w:t>
      </w:r>
      <w:r>
        <w:t>t</w:t>
      </w:r>
      <w:r>
        <w:t xml:space="preserve">ning enligt vad i motionen anförts, </w:t>
      </w:r>
    </w:p>
    <w:p w:rsidR="0003352C" w:rsidRDefault="0003352C">
      <w:pPr>
        <w:pStyle w:val="Normaltindrag"/>
      </w:pPr>
      <w:r>
        <w:t>3. som sin mening ger regeringen till känna vad i motionen anförts om b</w:t>
      </w:r>
      <w:r>
        <w:t>e</w:t>
      </w:r>
      <w:r>
        <w:t xml:space="preserve">hovet av att digitalisera analoga data, </w:t>
      </w:r>
    </w:p>
    <w:p w:rsidR="0003352C" w:rsidRDefault="0003352C">
      <w:pPr>
        <w:pStyle w:val="Normaltindrag"/>
      </w:pPr>
      <w:r>
        <w:t>4. hos regeringen begär förslag om sådan ändring av minerallagen att ha</w:t>
      </w:r>
      <w:r>
        <w:t>n</w:t>
      </w:r>
      <w:r>
        <w:t>teringen av gruvdokumentation tydliggörs enligt vad i moti</w:t>
      </w:r>
      <w:r>
        <w:t>o</w:t>
      </w:r>
      <w:r>
        <w:t xml:space="preserve">nen anförts, </w:t>
      </w:r>
    </w:p>
    <w:p w:rsidR="0003352C" w:rsidRDefault="0003352C">
      <w:pPr>
        <w:pStyle w:val="Normaltindrag"/>
      </w:pPr>
      <w:r>
        <w:t xml:space="preserve">5. som sin mening ger regeringen till känna vad i motionen anförts om att noga följa aktuell forskning, </w:t>
      </w:r>
    </w:p>
    <w:p w:rsidR="0003352C" w:rsidRDefault="0003352C">
      <w:pPr>
        <w:pStyle w:val="Normaltindrag"/>
      </w:pPr>
      <w:r>
        <w:t xml:space="preserve">6. som sin mening ger regeringen till känna vad i motionen anförts om strategi för framtida utbildning och forskning. </w:t>
      </w:r>
    </w:p>
    <w:p w:rsidR="0003352C" w:rsidRDefault="0003352C">
      <w:r>
        <w:t>1998/99:N243 av Lennart Värmby m.fl. (v) vari yrkas att riksdagen</w:t>
      </w:r>
    </w:p>
    <w:p w:rsidR="0003352C" w:rsidRDefault="0003352C">
      <w:pPr>
        <w:pStyle w:val="Normaltindrag"/>
      </w:pPr>
      <w:r>
        <w:t>1. som sin mening ger regeringen till känna vad i motionen anförts om b</w:t>
      </w:r>
      <w:r>
        <w:t>e</w:t>
      </w:r>
      <w:r>
        <w:t xml:space="preserve">hovet av en ny minerallag, </w:t>
      </w:r>
    </w:p>
    <w:p w:rsidR="0003352C" w:rsidRDefault="0003352C">
      <w:pPr>
        <w:pStyle w:val="Normaltindrag"/>
      </w:pPr>
      <w:r>
        <w:t>2. som sin mening ger regeringen till känna vad i motionen anförts om b</w:t>
      </w:r>
      <w:r>
        <w:t>e</w:t>
      </w:r>
      <w:r>
        <w:t xml:space="preserve">hovet av en utredning, </w:t>
      </w:r>
    </w:p>
    <w:p w:rsidR="0003352C" w:rsidRDefault="0003352C">
      <w:pPr>
        <w:pStyle w:val="Normaltindrag"/>
      </w:pPr>
      <w:r>
        <w:t xml:space="preserve">3. som sin mening ger regeringen till känna vad i motionen anförts om Sveriges agerande internationellt vad gäller naturtillgångar. </w:t>
      </w:r>
    </w:p>
    <w:p w:rsidR="0003352C" w:rsidRDefault="0003352C">
      <w:r>
        <w:t>1998/99:N262 av Åke Sandström m.fl. (c) vari yrkas att riksdagen hos reg</w:t>
      </w:r>
      <w:r>
        <w:t>e</w:t>
      </w:r>
      <w:r>
        <w:t xml:space="preserve">ringen begär en utredning av förändringar i minerallagstiftningen i enlighet med vad i motionen anförts. </w:t>
      </w:r>
    </w:p>
    <w:p w:rsidR="0003352C" w:rsidRDefault="0003352C">
      <w:r>
        <w:t xml:space="preserve">1998/99:N276 av Tomas Eneroth m.fl. (s) vari yrkas att riksdagen som sin mening ger regeringen till känna vad i motionen anförts om behovet av en översyn av minerallagen. </w:t>
      </w:r>
    </w:p>
    <w:p w:rsidR="0003352C" w:rsidRDefault="0003352C">
      <w:r>
        <w:t xml:space="preserve">1998/99:N304 av Bengt Silfverstrand (s) vari yrkas att riksdagen som sin mening ger regeringen till känna vad i motionen anförts om en översyn av minerallagen. </w:t>
      </w:r>
    </w:p>
    <w:p w:rsidR="0003352C" w:rsidRDefault="0003352C">
      <w:r>
        <w:t xml:space="preserve">1998/99:N309 av Ingvar Eriksson och Ewa Thalén Finné (m) vari yrkas att riksdagen av regeringen begär en översyn av minerallagen i enlighet med vad som anförts i motionen. </w:t>
      </w:r>
    </w:p>
    <w:p w:rsidR="0003352C" w:rsidRDefault="0003352C">
      <w:r>
        <w:t>1998/99:N318 av Kaj Larsson m.fl. (s) vari yrkas att riksdagen som sin m</w:t>
      </w:r>
      <w:r>
        <w:t>e</w:t>
      </w:r>
      <w:r>
        <w:t>ning ger regeringen till känna vad i motionen anförts om översyn av min</w:t>
      </w:r>
      <w:r>
        <w:t>e</w:t>
      </w:r>
      <w:r>
        <w:t xml:space="preserve">rallagen. </w:t>
      </w:r>
    </w:p>
    <w:p w:rsidR="0003352C" w:rsidRDefault="0003352C">
      <w:r>
        <w:t>1998/99:N324 av Harald Bergström m.fl. (kd) vari yrkas att riksdagen</w:t>
      </w:r>
    </w:p>
    <w:p w:rsidR="0003352C" w:rsidRDefault="0003352C">
      <w:pPr>
        <w:pStyle w:val="Normaltindrag"/>
      </w:pPr>
      <w:r>
        <w:t xml:space="preserve">1. hos regeringen begär en översyn av minerallagen, </w:t>
      </w:r>
    </w:p>
    <w:p w:rsidR="0003352C" w:rsidRDefault="0003352C">
      <w:pPr>
        <w:pStyle w:val="Normaltindrag"/>
      </w:pPr>
      <w:r>
        <w:t>2. hos regeringen begär ett skyndsamt förslag om ändring av mineralfö</w:t>
      </w:r>
      <w:r>
        <w:t>r</w:t>
      </w:r>
      <w:r>
        <w:t xml:space="preserve">ordningen i enlighet med vad som anförts i motionen.  </w:t>
      </w:r>
    </w:p>
    <w:p w:rsidR="0003352C" w:rsidRDefault="0003352C">
      <w:pPr>
        <w:pStyle w:val="Rubrik1"/>
      </w:pPr>
      <w:bookmarkStart w:id="21" w:name="_Toc447531226"/>
      <w:r>
        <w:t>Utskottet</w:t>
      </w:r>
      <w:bookmarkStart w:id="22" w:name="_Toc445694105"/>
      <w:bookmarkEnd w:id="21"/>
    </w:p>
    <w:p w:rsidR="0003352C" w:rsidRDefault="0003352C">
      <w:pPr>
        <w:pStyle w:val="Rubrik2"/>
        <w:spacing w:before="123"/>
      </w:pPr>
      <w:bookmarkStart w:id="23" w:name="_Toc447531227"/>
      <w:r>
        <w:t>Bakgrund</w:t>
      </w:r>
      <w:bookmarkEnd w:id="22"/>
      <w:bookmarkEnd w:id="23"/>
      <w:r>
        <w:t xml:space="preserve"> </w:t>
      </w:r>
    </w:p>
    <w:p w:rsidR="0003352C" w:rsidRDefault="0003352C">
      <w:pPr>
        <w:pStyle w:val="Rubrik3"/>
        <w:spacing w:before="123"/>
      </w:pPr>
      <w:bookmarkStart w:id="24" w:name="_Toc447531228"/>
      <w:r>
        <w:t>Lagstiftningen på mineralområdet</w:t>
      </w:r>
      <w:bookmarkEnd w:id="24"/>
    </w:p>
    <w:p w:rsidR="0003352C" w:rsidRDefault="0003352C">
      <w:pPr>
        <w:pStyle w:val="R4"/>
        <w:spacing w:before="123"/>
      </w:pPr>
      <w:r>
        <w:t>Principer</w:t>
      </w:r>
    </w:p>
    <w:p w:rsidR="0003352C" w:rsidRDefault="0003352C">
      <w:r>
        <w:t>Grundläggande för lagstiftningen har varit och är ett gemensamt nationellt intresse av gruvhantering och mineralindustri. I grunden finns det sedan gammalt tre olika rättsliga system i Sverige för regler om mineralutvinning.</w:t>
      </w:r>
    </w:p>
    <w:p w:rsidR="0003352C" w:rsidRDefault="0003352C">
      <w:pPr>
        <w:pStyle w:val="Normaltindrag"/>
      </w:pPr>
      <w:r>
        <w:t xml:space="preserve">Principen i </w:t>
      </w:r>
      <w:r>
        <w:rPr>
          <w:i/>
        </w:rPr>
        <w:t xml:space="preserve">jordäganderättssystemet </w:t>
      </w:r>
      <w:r>
        <w:t>är att mineralen tillkommer markäg</w:t>
      </w:r>
      <w:r>
        <w:t>a</w:t>
      </w:r>
      <w:r>
        <w:t xml:space="preserve">ren där tillgångarna finns. Detta system tillämpas fortfarande i dag för alla mineral som inte omfattas av minerallagstiftningen, t.ex. granit, kalksten, grus och sten. </w:t>
      </w:r>
    </w:p>
    <w:p w:rsidR="0003352C" w:rsidRDefault="0003352C">
      <w:pPr>
        <w:pStyle w:val="Normaltindrag"/>
      </w:pPr>
      <w:r>
        <w:t xml:space="preserve">Enligt </w:t>
      </w:r>
      <w:r>
        <w:rPr>
          <w:i/>
        </w:rPr>
        <w:t xml:space="preserve">inmutningssystemet </w:t>
      </w:r>
      <w:r>
        <w:t>får i princip den som först anmäler att han vill utnyttja en fyndighet – innehållande järn, koppar, bly eller något annat s.k. inmutningsbart mineral – rätten att undersöka och bearbeta denna fyndighet. Den svenska inmutningsrätten innebar tillstånd att utföra undersökningsa</w:t>
      </w:r>
      <w:r>
        <w:t>r</w:t>
      </w:r>
      <w:r>
        <w:t>bete inom det inmutade området. Bearbetning förutsatte att inmutaren fått sig anvisat ett s.k. utmål, dvs. ett arbetsområde där han under vissa förutsät</w:t>
      </w:r>
      <w:r>
        <w:t>t</w:t>
      </w:r>
      <w:r>
        <w:t xml:space="preserve">ningar fick bedriva gruvdrift under viss tid. </w:t>
      </w:r>
    </w:p>
    <w:p w:rsidR="0003352C" w:rsidRDefault="0003352C">
      <w:pPr>
        <w:pStyle w:val="Normaltindrag"/>
      </w:pPr>
      <w:r>
        <w:t xml:space="preserve">Ett </w:t>
      </w:r>
      <w:r>
        <w:rPr>
          <w:i/>
        </w:rPr>
        <w:t>koncessionssystem</w:t>
      </w:r>
      <w:r>
        <w:t>,</w:t>
      </w:r>
      <w:r>
        <w:rPr>
          <w:i/>
        </w:rPr>
        <w:t xml:space="preserve"> </w:t>
      </w:r>
      <w:r>
        <w:t>slutligen, innebär att rätten att eftersöka och bea</w:t>
      </w:r>
      <w:r>
        <w:t>r</w:t>
      </w:r>
      <w:r>
        <w:t>beta mineralfyndigheter upplåts efter prövning av statlig myndighet. Denna princip har i Sverige tillämpats för bl.a. gas och olja.</w:t>
      </w:r>
    </w:p>
    <w:p w:rsidR="0003352C" w:rsidRDefault="0003352C">
      <w:pPr>
        <w:pStyle w:val="R4"/>
      </w:pPr>
      <w:r>
        <w:t>Tidigare lagstiftning</w:t>
      </w:r>
    </w:p>
    <w:p w:rsidR="0003352C" w:rsidRDefault="0003352C">
      <w:r>
        <w:t>Den 1 juli 1974 infördes en ny gruvlag (1974:342) och den 1 januari 1975 infördes lagen (1974:890) om vissa mineralfyndigheter. Gruvlagen gick tillbaka på inmutningssystemet, medan lagen om vissa mineralfyndigheter (1974 års minerallag) byggde på koncessionssystemet. Den sistnämnda lagen gällde fyndigheter av bl.a. olja, gas och stenkol. Olika slags villkor kunde uppställas från statens sida. För en koncession kunde det föreskrivas att fyndigheten skulle undersökas och bearbetas i viss omfattning eller att</w:t>
      </w:r>
      <w:r>
        <w:t xml:space="preserve"> staten skulle ha rätt att delta i verksamheten. Förklaringen till att olika system ti</w:t>
      </w:r>
      <w:r>
        <w:t>l</w:t>
      </w:r>
      <w:r>
        <w:t>lämpades var ursprungligen att de mineral som omfattades av koncession</w:t>
      </w:r>
      <w:r>
        <w:t>s</w:t>
      </w:r>
      <w:r>
        <w:t>systemet förekommer i ytutbredda fyndigheter med större risk för konkurrens med annan markanvändning än för övriga mineral. Senare tillkom också motivet att få bättre statlig kontroll över utvi</w:t>
      </w:r>
      <w:r>
        <w:t>n</w:t>
      </w:r>
      <w:r>
        <w:t>ningen av vissa fyndigheter.</w:t>
      </w:r>
    </w:p>
    <w:p w:rsidR="0003352C" w:rsidRDefault="0003352C">
      <w:pPr>
        <w:pStyle w:val="Normaltindrag"/>
      </w:pPr>
      <w:r>
        <w:t>Redan år 1757 hade stadgats att upptäckaren och jordägaren skulle ”njuta rätt” med hälften vardera i nya gruvor. Regler om att stat</w:t>
      </w:r>
      <w:r>
        <w:t>en skulle ha rätt till en hälftenandel i gruvföretagen (kronoandel) infördes genom 1938 års gru</w:t>
      </w:r>
      <w:r>
        <w:t>v</w:t>
      </w:r>
      <w:r>
        <w:t>lag och kvarstod med mindre ändring i 1974 års gruvlag. Kronoandelen innebar att den rätt till hälftenandel i gruvföretag som fastighetsägaren enligt den tidigare lagstiftningen varit berättigad till, jordägarandelen, överflyttades till staten. Ett av de bärande motiven för införandet av systemet med kron</w:t>
      </w:r>
      <w:r>
        <w:t>o</w:t>
      </w:r>
      <w:r>
        <w:t>andel var behovet av samhällsinflytande över gruvnäringen. I detta system hade staten också ett s.k. brytning</w:t>
      </w:r>
      <w:r>
        <w:t xml:space="preserve">svitsord, dvs. rätt att mot andelshavares vilja påbörja eller påskynda bearbetning. </w:t>
      </w:r>
    </w:p>
    <w:p w:rsidR="0003352C" w:rsidRDefault="0003352C">
      <w:pPr>
        <w:pStyle w:val="Normaltindrag"/>
      </w:pPr>
      <w:r>
        <w:t>Som en kompensation för fastighetsägarens förlust av jordägarandelen i</w:t>
      </w:r>
      <w:r>
        <w:t>n</w:t>
      </w:r>
      <w:r>
        <w:t>fördes en rätt för fastighetsägaren att under högst 20 år få viss ersättning, s.k. jordägaravgäld, av gruvinnehavaren. Jordägaravgälden motsvarade 1 % av värdet av alla de inmutningsbara mineral som brutits inom utmålet och var – när den avskaffades – maximerad till 10 000 kr per år. Jordägaravgälden upphävdes i 1974 års gruvlag. Argumentet för slopandet var att fastighet</w:t>
      </w:r>
      <w:r>
        <w:t>s</w:t>
      </w:r>
      <w:r>
        <w:t>ägaren sällan hade möjlighet att använda den substans vari mineralen ingick för annat ändamål än gruvdrift. Prospekteringen inriktade si</w:t>
      </w:r>
      <w:r>
        <w:t>g i allt större utsträckning på djupmalmer. Enligt regeringens uppfattning, som riksdagen anslöt sig till (bet. NU 1974:39), fanns det därför inget rimligt skäl för att fastighetsägaren utan egen insats skulle vara berättigad att erhålla ersättning av gruvägaren med bet</w:t>
      </w:r>
      <w:r>
        <w:t>y</w:t>
      </w:r>
      <w:r>
        <w:t>dande belopp.</w:t>
      </w:r>
    </w:p>
    <w:p w:rsidR="0003352C" w:rsidRDefault="0003352C">
      <w:pPr>
        <w:pStyle w:val="Normaltindrag"/>
      </w:pPr>
      <w:r>
        <w:t>Enligt den äldre gruvlagen (1938:314) utgick ersättning för skada och i</w:t>
      </w:r>
      <w:r>
        <w:t>n</w:t>
      </w:r>
      <w:r>
        <w:t xml:space="preserve">trång motsvarande 150 % av full gottgörelse till markägaren. Genom 1974 års gruvlag slopades emellertid regeln om förhöjning, och ersättningen kom därefter att motsvara skada och intrång, vilket gäller än i dag.  </w:t>
      </w:r>
    </w:p>
    <w:p w:rsidR="0003352C" w:rsidRDefault="0003352C">
      <w:pPr>
        <w:pStyle w:val="R4"/>
      </w:pPr>
      <w:r>
        <w:t>Nuvarande lagstiftning</w:t>
      </w:r>
    </w:p>
    <w:p w:rsidR="0003352C" w:rsidRDefault="0003352C">
      <w:r>
        <w:t>Den 1 juli 1992 infördes en ny minerallag (1991:45), som ersatte gruvlagen och lagen om vissa mineralfyndigheter (prop. 1988/89:92, bet. 1990/91: NU7). Den gruvrättsliga lagstiftningen blev enhetlig för de mineral som omfattas av lagen. En annan nyhet var att minerallagen direkt anknöts till lagen (1987:12) om hushållning med naturresurser m.m. (den s.k. naturr</w:t>
      </w:r>
      <w:r>
        <w:t>e</w:t>
      </w:r>
      <w:r>
        <w:t>surslagen). Listan över mineral som skulle omfattas bestämdes av tre kriter</w:t>
      </w:r>
      <w:r>
        <w:t>i</w:t>
      </w:r>
      <w:r>
        <w:t>er. Det skulle vara fråga om mineral som är industriellt användbara. De skulle med viss sannolikhet förekomma i Sverige i sådan omfattning och på sådant sätt att utvinning tedde sig meningsfull. Vidare skulle det krävas systematisk letning och undersökning för att träffa på dem. I detta kriterium låg också att de inte skulle vara alltför allmänt förekommande. De mineral som inte nämns i lagen förbehålls markägaren. Det nya systemet</w:t>
      </w:r>
      <w:r>
        <w:t xml:space="preserve"> baseras på koncessionsprincipen men har inmutningsrättsliga inslag. Tillståndsgivning enligt den nya minerallagen sker i två etapper, nämligen för undersökning</w:t>
      </w:r>
      <w:r>
        <w:t>s</w:t>
      </w:r>
      <w:r>
        <w:t>arbete och för bearbetning. Liksom tidigare skall undersökningsarbetet utf</w:t>
      </w:r>
      <w:r>
        <w:t>ö</w:t>
      </w:r>
      <w:r>
        <w:t>ras så, att minsta skada och intrång vållas. Statens kronoandel vid bearbe</w:t>
      </w:r>
      <w:r>
        <w:t>t</w:t>
      </w:r>
      <w:r>
        <w:t>ningskoncession bibehölls enligt den tidig</w:t>
      </w:r>
      <w:r>
        <w:t>a</w:t>
      </w:r>
      <w:r>
        <w:t xml:space="preserve">re gruvlagen. </w:t>
      </w:r>
    </w:p>
    <w:p w:rsidR="0003352C" w:rsidRDefault="0003352C">
      <w:pPr>
        <w:pStyle w:val="Normaltindrag"/>
      </w:pPr>
      <w:r>
        <w:t>Våren 1992 ställde sig riksdagen bakom regeringens förslag om att pr</w:t>
      </w:r>
      <w:r>
        <w:t>o</w:t>
      </w:r>
      <w:r>
        <w:t>spektering inte längre skulle äga rum i statlig regi eller med statliga medel (prop. 1991/92:100 bilaga 13, bet. 1991/92:NU18). Som övergripande motiv anfördes bl.a. att statens roll på det näringspolitiska området skulle vara att skapa generellt goda förutsättningar för näringslivet. Såvitt gällde gruvn</w:t>
      </w:r>
      <w:r>
        <w:t>ä</w:t>
      </w:r>
      <w:r>
        <w:t>ringen innebar detta att staten skulle tillhandahålla en för prospektering efte</w:t>
      </w:r>
      <w:r>
        <w:t>r</w:t>
      </w:r>
      <w:r>
        <w:t>frågad och adekvat basinformation men inte särskilt stöd till prospekt</w:t>
      </w:r>
      <w:r>
        <w:t>e</w:t>
      </w:r>
      <w:r>
        <w:t>ring.</w:t>
      </w:r>
    </w:p>
    <w:p w:rsidR="0003352C" w:rsidRDefault="0003352C">
      <w:pPr>
        <w:pStyle w:val="Normaltindrag"/>
      </w:pPr>
      <w:r>
        <w:t>Systemet med kronoandel avskaffades den 1 juli 1</w:t>
      </w:r>
      <w:r>
        <w:t xml:space="preserve">993 (prop. 1992/93:238, bet. 1992/93:NU33). Näringsutskottet ansåg bl.a. att ett slopande av institutet kronoandel skulle främja prospekteringen i landet och därmed komma att bidra till utvecklingen av en livskraftig mineralindustri i Sverige. </w:t>
      </w:r>
    </w:p>
    <w:p w:rsidR="0003352C" w:rsidRDefault="0003352C">
      <w:pPr>
        <w:pStyle w:val="Normaltindrag"/>
      </w:pPr>
      <w:r>
        <w:t>Våren 1998 behandlade riksdagen proposition 1997/98:47 om ändring i minerallagen. På utskottets förslag (bet. 1997/98:NU7) beslutade riksdagen om ett antal ändringar i minerallagen. Ändringarna trädde i kraft den 1 juli 1998. Enligt de nya reglerna får prospektörer y</w:t>
      </w:r>
      <w:r>
        <w:t>tterligare en möjlighet till förlängning av undersökningstiden. Därigenom förlängdes den maximala giltighetstiden för undersökningstillstånd från 10 år till 15 år. Vidare infördes en ordning med en enhetlig karenstid på ett år – för såväl tidigare tillstånd</w:t>
      </w:r>
      <w:r>
        <w:t>s</w:t>
      </w:r>
      <w:r>
        <w:t>havare som andra prospektörer – från det att ett undersökningstillstånd eller en bearbetning</w:t>
      </w:r>
      <w:r>
        <w:t>s</w:t>
      </w:r>
      <w:r>
        <w:t>koncession upphört att gälla.</w:t>
      </w:r>
    </w:p>
    <w:p w:rsidR="0003352C" w:rsidRDefault="0003352C">
      <w:pPr>
        <w:pStyle w:val="Normaltindrag"/>
      </w:pPr>
      <w:r>
        <w:t>För att skydda fyndigheterna hos gruvor som är i drift infördes en skydd</w:t>
      </w:r>
      <w:r>
        <w:t>s</w:t>
      </w:r>
      <w:r>
        <w:t>zon på 1 000 meter runt en bearbetningskoncession. Vidare innebar rik</w:t>
      </w:r>
      <w:r>
        <w:t>s</w:t>
      </w:r>
      <w:r>
        <w:t>dagsbeslutet att det infördes en skyldighet för en prospektör att redovisa resultat i form av rådata när ett undersökningstillstånd inte lett till bearbe</w:t>
      </w:r>
      <w:r>
        <w:t>t</w:t>
      </w:r>
      <w:r>
        <w:t>ningskoncession. Vidare förtydligades de tidigare gällande reglerna om miljöskydd. Bergsstatens dåvarande distriktsindelning avskaffades och en enda bergmästare svarar numera för tillståndsgivning och tillsyn i hela la</w:t>
      </w:r>
      <w:r>
        <w:t>n</w:t>
      </w:r>
      <w:r>
        <w:t>det.</w:t>
      </w:r>
    </w:p>
    <w:p w:rsidR="0003352C" w:rsidRDefault="0003352C">
      <w:pPr>
        <w:pStyle w:val="Normaltindrag"/>
      </w:pPr>
      <w:r>
        <w:t>Införandet av miljöbalken den 1 januari 1999 innebär att ytterl</w:t>
      </w:r>
      <w:r>
        <w:t>igare milj</w:t>
      </w:r>
      <w:r>
        <w:t>ö</w:t>
      </w:r>
      <w:r>
        <w:t>hänsyn måste tas inom ett antal olika områden. Det nya övergripande sy</w:t>
      </w:r>
      <w:r>
        <w:t>n</w:t>
      </w:r>
      <w:r>
        <w:t>sättet på miljön kom till stånd dels via miljöbalken, dels via följdlagstiftning och kompletteringar inom en rad olika lagar, däribland minerallagen. Milj</w:t>
      </w:r>
      <w:r>
        <w:t>ö</w:t>
      </w:r>
      <w:r>
        <w:t>balken innehåller bl.a. allmänna hänsynsregler med krav på att alla som bedriver eller avser att bedriva en verksamhet skall utföra de skyddsåtgärder och vidta de försiktighetsmått i övrigt som behövs för att förebygga, hindra eller motverka att verksamheten medför skador el</w:t>
      </w:r>
      <w:r>
        <w:t>ler olägenheter för männ</w:t>
      </w:r>
      <w:r>
        <w:t>i</w:t>
      </w:r>
      <w:r>
        <w:t>skors hälsa eller miljön. Försiktighetsprincipen skall gälla. Bestämmelserna i den tidigare nämnda naturresurslagen är inarbetade i miljöbalken. Minerall</w:t>
      </w:r>
      <w:r>
        <w:t>a</w:t>
      </w:r>
      <w:r>
        <w:t>gen och miljöbalken gäller parallellt. Bergmästaren skall i ärenden om bea</w:t>
      </w:r>
      <w:r>
        <w:t>r</w:t>
      </w:r>
      <w:r>
        <w:t>betningskoncession samråda med länsstyrelsen såvitt avser tillämpningen av miljöbalken. Om bergmästaren och länsstyrelsen har olika uppfattning om tillämpningen av hushållningsbestämmelserna, skall ärendet hänskjutas till regeringen.</w:t>
      </w:r>
    </w:p>
    <w:p w:rsidR="0003352C" w:rsidRDefault="0003352C">
      <w:pPr>
        <w:pStyle w:val="Normaltindrag"/>
      </w:pPr>
      <w:r>
        <w:t>Den årliga prospektering</w:t>
      </w:r>
      <w:r>
        <w:t>sverksamheten i Sverige låg under 1980-talet med hjälp av statligt stöd och speciella projekt på en nivå motsvarande uppåt 200 miljoner kronor, men sjönk i början på 1990-talet till nära 100 miljoner kr</w:t>
      </w:r>
      <w:r>
        <w:t>o</w:t>
      </w:r>
      <w:r>
        <w:t>nor år 1993. Ett trendbrott inträffade år 1994, då prospekteringen ökade till 146 miljoner kronor. Ökningen har fortsatt och för år 1998 beräknas pr</w:t>
      </w:r>
      <w:r>
        <w:t>o</w:t>
      </w:r>
      <w:r>
        <w:t>spekteringen till ca 220 miljoner kronor.</w:t>
      </w:r>
    </w:p>
    <w:p w:rsidR="0003352C" w:rsidRDefault="0003352C">
      <w:r>
        <w:t>Utvecklingen har vidare medfört en trendmässig uppgång beträffande antalet utfärdade undersökningstillstånd enligt föl</w:t>
      </w:r>
      <w:r>
        <w:t>jande tablå.</w:t>
      </w:r>
    </w:p>
    <w:p w:rsidR="0003352C" w:rsidRDefault="0003352C">
      <w:pPr>
        <w:pStyle w:val="Normaltindrag"/>
      </w:pPr>
    </w:p>
    <w:p w:rsidR="0003352C" w:rsidRDefault="0003352C">
      <w:pPr>
        <w:rPr>
          <w:b/>
        </w:rPr>
      </w:pPr>
      <w:r>
        <w:rPr>
          <w:b/>
        </w:rPr>
        <w:t>Antal utfärdade undersökningstillstånd</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984"/>
        <w:gridCol w:w="2268"/>
      </w:tblGrid>
      <w:tr w:rsidR="00000000">
        <w:tblPrEx>
          <w:tblCellMar>
            <w:top w:w="0" w:type="dxa"/>
            <w:bottom w:w="0" w:type="dxa"/>
          </w:tblCellMar>
        </w:tblPrEx>
        <w:tc>
          <w:tcPr>
            <w:tcW w:w="1063" w:type="dxa"/>
          </w:tcPr>
          <w:p w:rsidR="0003352C" w:rsidRDefault="0003352C">
            <w:pPr>
              <w:pStyle w:val="Normaltindrag"/>
              <w:ind w:firstLine="0"/>
            </w:pPr>
            <w:r>
              <w:t>År</w:t>
            </w:r>
          </w:p>
        </w:tc>
        <w:tc>
          <w:tcPr>
            <w:tcW w:w="1984" w:type="dxa"/>
          </w:tcPr>
          <w:p w:rsidR="0003352C" w:rsidRDefault="0003352C">
            <w:pPr>
              <w:pStyle w:val="Normaltindrag"/>
              <w:ind w:firstLine="0"/>
            </w:pPr>
            <w:r>
              <w:t>Antal nya tillstånd</w:t>
            </w:r>
          </w:p>
        </w:tc>
        <w:tc>
          <w:tcPr>
            <w:tcW w:w="2268" w:type="dxa"/>
          </w:tcPr>
          <w:p w:rsidR="0003352C" w:rsidRDefault="0003352C">
            <w:pPr>
              <w:pStyle w:val="Normaltindrag"/>
              <w:ind w:firstLine="0"/>
            </w:pPr>
            <w:r>
              <w:t>Antal förlängda til</w:t>
            </w:r>
            <w:r>
              <w:t>l</w:t>
            </w:r>
            <w:r>
              <w:t>stånd</w:t>
            </w:r>
          </w:p>
        </w:tc>
      </w:tr>
      <w:tr w:rsidR="00000000">
        <w:tblPrEx>
          <w:tblCellMar>
            <w:top w:w="0" w:type="dxa"/>
            <w:bottom w:w="0" w:type="dxa"/>
          </w:tblCellMar>
        </w:tblPrEx>
        <w:tc>
          <w:tcPr>
            <w:tcW w:w="1063" w:type="dxa"/>
          </w:tcPr>
          <w:p w:rsidR="0003352C" w:rsidRDefault="0003352C">
            <w:pPr>
              <w:pStyle w:val="Normaltindrag"/>
              <w:ind w:firstLine="0"/>
            </w:pPr>
            <w:r>
              <w:t>1993</w:t>
            </w:r>
          </w:p>
        </w:tc>
        <w:tc>
          <w:tcPr>
            <w:tcW w:w="1984" w:type="dxa"/>
          </w:tcPr>
          <w:p w:rsidR="0003352C" w:rsidRDefault="0003352C">
            <w:pPr>
              <w:pStyle w:val="Normaltindrag"/>
              <w:ind w:firstLine="0"/>
            </w:pPr>
            <w:r>
              <w:t xml:space="preserve">  83</w:t>
            </w:r>
          </w:p>
        </w:tc>
        <w:tc>
          <w:tcPr>
            <w:tcW w:w="2268" w:type="dxa"/>
          </w:tcPr>
          <w:p w:rsidR="0003352C" w:rsidRDefault="0003352C">
            <w:pPr>
              <w:pStyle w:val="Normaltindrag"/>
              <w:ind w:firstLine="0"/>
            </w:pPr>
            <w:r>
              <w:t xml:space="preserve">  66</w:t>
            </w:r>
          </w:p>
        </w:tc>
      </w:tr>
      <w:tr w:rsidR="00000000">
        <w:tblPrEx>
          <w:tblCellMar>
            <w:top w:w="0" w:type="dxa"/>
            <w:bottom w:w="0" w:type="dxa"/>
          </w:tblCellMar>
        </w:tblPrEx>
        <w:tc>
          <w:tcPr>
            <w:tcW w:w="1063" w:type="dxa"/>
          </w:tcPr>
          <w:p w:rsidR="0003352C" w:rsidRDefault="0003352C">
            <w:pPr>
              <w:pStyle w:val="Normaltindrag"/>
              <w:ind w:firstLine="0"/>
            </w:pPr>
            <w:r>
              <w:t>1994</w:t>
            </w:r>
          </w:p>
        </w:tc>
        <w:tc>
          <w:tcPr>
            <w:tcW w:w="1984" w:type="dxa"/>
          </w:tcPr>
          <w:p w:rsidR="0003352C" w:rsidRDefault="0003352C">
            <w:pPr>
              <w:pStyle w:val="Normaltindrag"/>
              <w:ind w:firstLine="0"/>
            </w:pPr>
            <w:r>
              <w:t>136</w:t>
            </w:r>
          </w:p>
        </w:tc>
        <w:tc>
          <w:tcPr>
            <w:tcW w:w="2268" w:type="dxa"/>
          </w:tcPr>
          <w:p w:rsidR="0003352C" w:rsidRDefault="0003352C">
            <w:pPr>
              <w:pStyle w:val="Normaltindrag"/>
              <w:ind w:firstLine="0"/>
            </w:pPr>
            <w:r>
              <w:t xml:space="preserve">  63</w:t>
            </w:r>
          </w:p>
        </w:tc>
      </w:tr>
      <w:tr w:rsidR="00000000">
        <w:tblPrEx>
          <w:tblCellMar>
            <w:top w:w="0" w:type="dxa"/>
            <w:bottom w:w="0" w:type="dxa"/>
          </w:tblCellMar>
        </w:tblPrEx>
        <w:tc>
          <w:tcPr>
            <w:tcW w:w="1063" w:type="dxa"/>
          </w:tcPr>
          <w:p w:rsidR="0003352C" w:rsidRDefault="0003352C">
            <w:pPr>
              <w:pStyle w:val="Normaltindrag"/>
              <w:ind w:firstLine="0"/>
            </w:pPr>
            <w:r>
              <w:t>1995</w:t>
            </w:r>
          </w:p>
        </w:tc>
        <w:tc>
          <w:tcPr>
            <w:tcW w:w="1984" w:type="dxa"/>
          </w:tcPr>
          <w:p w:rsidR="0003352C" w:rsidRDefault="0003352C">
            <w:pPr>
              <w:pStyle w:val="Normaltindrag"/>
              <w:ind w:firstLine="0"/>
            </w:pPr>
            <w:r>
              <w:t>180</w:t>
            </w:r>
          </w:p>
        </w:tc>
        <w:tc>
          <w:tcPr>
            <w:tcW w:w="2268" w:type="dxa"/>
          </w:tcPr>
          <w:p w:rsidR="0003352C" w:rsidRDefault="0003352C">
            <w:pPr>
              <w:pStyle w:val="Normaltindrag"/>
              <w:ind w:firstLine="0"/>
            </w:pPr>
            <w:r>
              <w:t xml:space="preserve">  55</w:t>
            </w:r>
          </w:p>
        </w:tc>
      </w:tr>
      <w:tr w:rsidR="00000000">
        <w:tblPrEx>
          <w:tblCellMar>
            <w:top w:w="0" w:type="dxa"/>
            <w:bottom w:w="0" w:type="dxa"/>
          </w:tblCellMar>
        </w:tblPrEx>
        <w:tc>
          <w:tcPr>
            <w:tcW w:w="1063" w:type="dxa"/>
          </w:tcPr>
          <w:p w:rsidR="0003352C" w:rsidRDefault="0003352C">
            <w:pPr>
              <w:pStyle w:val="Normaltindrag"/>
              <w:ind w:firstLine="0"/>
            </w:pPr>
            <w:r>
              <w:t>1996</w:t>
            </w:r>
          </w:p>
        </w:tc>
        <w:tc>
          <w:tcPr>
            <w:tcW w:w="1984" w:type="dxa"/>
          </w:tcPr>
          <w:p w:rsidR="0003352C" w:rsidRDefault="0003352C">
            <w:pPr>
              <w:pStyle w:val="Normaltindrag"/>
              <w:ind w:firstLine="0"/>
            </w:pPr>
            <w:r>
              <w:t>232</w:t>
            </w:r>
          </w:p>
        </w:tc>
        <w:tc>
          <w:tcPr>
            <w:tcW w:w="2268" w:type="dxa"/>
          </w:tcPr>
          <w:p w:rsidR="0003352C" w:rsidRDefault="0003352C">
            <w:pPr>
              <w:pStyle w:val="Normaltindrag"/>
              <w:ind w:firstLine="0"/>
            </w:pPr>
            <w:r>
              <w:t xml:space="preserve">  78</w:t>
            </w:r>
          </w:p>
        </w:tc>
      </w:tr>
      <w:tr w:rsidR="00000000">
        <w:tblPrEx>
          <w:tblCellMar>
            <w:top w:w="0" w:type="dxa"/>
            <w:bottom w:w="0" w:type="dxa"/>
          </w:tblCellMar>
        </w:tblPrEx>
        <w:tc>
          <w:tcPr>
            <w:tcW w:w="1063" w:type="dxa"/>
          </w:tcPr>
          <w:p w:rsidR="0003352C" w:rsidRDefault="0003352C">
            <w:pPr>
              <w:pStyle w:val="Normaltindrag"/>
              <w:ind w:firstLine="0"/>
            </w:pPr>
            <w:r>
              <w:t>1997</w:t>
            </w:r>
          </w:p>
        </w:tc>
        <w:tc>
          <w:tcPr>
            <w:tcW w:w="1984" w:type="dxa"/>
          </w:tcPr>
          <w:p w:rsidR="0003352C" w:rsidRDefault="0003352C">
            <w:pPr>
              <w:pStyle w:val="Normaltindrag"/>
              <w:ind w:firstLine="0"/>
            </w:pPr>
            <w:r>
              <w:t>218</w:t>
            </w:r>
          </w:p>
        </w:tc>
        <w:tc>
          <w:tcPr>
            <w:tcW w:w="2268" w:type="dxa"/>
          </w:tcPr>
          <w:p w:rsidR="0003352C" w:rsidRDefault="0003352C">
            <w:pPr>
              <w:pStyle w:val="Normaltindrag"/>
              <w:ind w:firstLine="0"/>
            </w:pPr>
            <w:r>
              <w:t xml:space="preserve">  79</w:t>
            </w:r>
          </w:p>
        </w:tc>
      </w:tr>
      <w:tr w:rsidR="00000000">
        <w:tblPrEx>
          <w:tblCellMar>
            <w:top w:w="0" w:type="dxa"/>
            <w:bottom w:w="0" w:type="dxa"/>
          </w:tblCellMar>
        </w:tblPrEx>
        <w:tc>
          <w:tcPr>
            <w:tcW w:w="1063" w:type="dxa"/>
          </w:tcPr>
          <w:p w:rsidR="0003352C" w:rsidRDefault="0003352C">
            <w:pPr>
              <w:pStyle w:val="Normaltindrag"/>
              <w:ind w:firstLine="0"/>
            </w:pPr>
            <w:r>
              <w:t>1998</w:t>
            </w:r>
          </w:p>
        </w:tc>
        <w:tc>
          <w:tcPr>
            <w:tcW w:w="1984" w:type="dxa"/>
          </w:tcPr>
          <w:p w:rsidR="0003352C" w:rsidRDefault="0003352C">
            <w:pPr>
              <w:pStyle w:val="Normaltindrag"/>
              <w:ind w:firstLine="0"/>
            </w:pPr>
            <w:r>
              <w:t>313</w:t>
            </w:r>
          </w:p>
        </w:tc>
        <w:tc>
          <w:tcPr>
            <w:tcW w:w="2268" w:type="dxa"/>
          </w:tcPr>
          <w:p w:rsidR="0003352C" w:rsidRDefault="0003352C">
            <w:pPr>
              <w:pStyle w:val="Normaltindrag"/>
              <w:ind w:firstLine="0"/>
            </w:pPr>
            <w:r>
              <w:t>101</w:t>
            </w:r>
          </w:p>
        </w:tc>
      </w:tr>
    </w:tbl>
    <w:p w:rsidR="0003352C" w:rsidRDefault="0003352C">
      <w:pPr>
        <w:pStyle w:val="Normaltindrag"/>
      </w:pPr>
    </w:p>
    <w:p w:rsidR="0003352C" w:rsidRDefault="0003352C">
      <w:pPr>
        <w:pStyle w:val="Rubrik3"/>
      </w:pPr>
      <w:bookmarkStart w:id="25" w:name="_Toc445694106"/>
      <w:bookmarkStart w:id="26" w:name="_Toc447531229"/>
      <w:r>
        <w:t>Utredning om markägarnas rättigheter m.m. i minerallagen</w:t>
      </w:r>
      <w:bookmarkEnd w:id="26"/>
      <w:r>
        <w:t xml:space="preserve"> </w:t>
      </w:r>
      <w:bookmarkEnd w:id="25"/>
    </w:p>
    <w:p w:rsidR="0003352C" w:rsidRDefault="0003352C">
      <w:r>
        <w:t>Regeringen beslutade i februari 1999 att tillkalla en särskild utredare med uppdrag att studera vissa frågor som gäller äganderätten till mark och hur denna äganderätt förhåller sig till bl.a. gruvnäringens behov och minerall</w:t>
      </w:r>
      <w:r>
        <w:t>a</w:t>
      </w:r>
      <w:r>
        <w:t>gen. Vidare skall behovet av ett förstärkt skydd för värdefulla natur- och kulturmiljöer utredas i samband med dels prövning av undersökningstil</w:t>
      </w:r>
      <w:r>
        <w:t>l</w:t>
      </w:r>
      <w:r>
        <w:t xml:space="preserve">stånd, dels undersökningsarbeten. </w:t>
      </w:r>
    </w:p>
    <w:p w:rsidR="0003352C" w:rsidRDefault="0003352C">
      <w:pPr>
        <w:pStyle w:val="Normaltindrag"/>
      </w:pPr>
      <w:r>
        <w:t>Utredaren skall redovisa sitt uppdrag till regeringen senast den 1 maj 2000. I det följande redovisas en sammanfattning av direktiven.</w:t>
      </w:r>
    </w:p>
    <w:p w:rsidR="0003352C" w:rsidRDefault="0003352C">
      <w:pPr>
        <w:pStyle w:val="R4"/>
      </w:pPr>
      <w:r>
        <w:t xml:space="preserve">Minerallagstiftningen </w:t>
      </w:r>
    </w:p>
    <w:p w:rsidR="0003352C" w:rsidRDefault="0003352C">
      <w:r>
        <w:t>Minerallagen har som ett viktigt syfte att stimulera till prospektering efter mineral, anförs det i direktiven. I övrigt skall tillstånd ges så att en från al</w:t>
      </w:r>
      <w:r>
        <w:t>l</w:t>
      </w:r>
      <w:r>
        <w:t xml:space="preserve">män synpunkt ändamålsenlig undersökning eller utvinning kan komma till stånd samtidigt som lagen innebär att konkurrerande markanvändning och andra motstående intressen skall prövas och kan tillgodoses. </w:t>
      </w:r>
    </w:p>
    <w:p w:rsidR="0003352C" w:rsidRDefault="0003352C">
      <w:pPr>
        <w:pStyle w:val="Normaltindrag"/>
      </w:pPr>
      <w:r>
        <w:t>En utredning behövs nu för genomgång och analys av frågor om ägandet av berggrunden.</w:t>
      </w:r>
    </w:p>
    <w:p w:rsidR="0003352C" w:rsidRDefault="0003352C">
      <w:pPr>
        <w:pStyle w:val="R4"/>
      </w:pPr>
      <w:r>
        <w:t>Prospektering</w:t>
      </w:r>
    </w:p>
    <w:p w:rsidR="0003352C" w:rsidRDefault="0003352C">
      <w:r>
        <w:t>I direktiven omtalas att prospekteringen i Sverige har mer än fördubblats sedan år 1993 samt att prospekteringsverksamheten blir alltmer internati</w:t>
      </w:r>
      <w:r>
        <w:t>o</w:t>
      </w:r>
      <w:r>
        <w:t>nell. I Gruvkommitténs slutbetänkande Gruvorna och framtiden (SOU 1996:152) gjordes bedömningen att Sverige behöver en prospektering för ungefär 240 miljoner kronor om året för att landet skall behålla nuvarande malmbas, dvs. kunskapen om känd och i vissa fall sannolik malm, och för att på lång sikt kunna hålla i gång befintliga gruvor och smältverk. Gruvnärin</w:t>
      </w:r>
      <w:r>
        <w:t>g</w:t>
      </w:r>
      <w:r>
        <w:t>en har ca 5 000 anställda i Sverige och mineral- och metallindustrin ca 50 000 anställda.</w:t>
      </w:r>
    </w:p>
    <w:p w:rsidR="0003352C" w:rsidRDefault="0003352C">
      <w:pPr>
        <w:pStyle w:val="Normaltindrag"/>
      </w:pPr>
      <w:r>
        <w:t xml:space="preserve">Prospektering sägs vara en högriskverksamhet då endast en </w:t>
      </w:r>
      <w:r>
        <w:t>liten del av verksamheten leder till brytvärda fyndigheter. Sedan år 1990 har ca 1 300 undersökningstillstånd beviljats men endast 3 bearbetningskoncessioner för nya gr</w:t>
      </w:r>
      <w:r>
        <w:t>u</w:t>
      </w:r>
      <w:r>
        <w:t>vor.</w:t>
      </w:r>
    </w:p>
    <w:p w:rsidR="0003352C" w:rsidRDefault="0003352C">
      <w:pPr>
        <w:pStyle w:val="Normaltindrag"/>
      </w:pPr>
      <w:r>
        <w:t>I direktiven slås fast att det är viktigt att prospektörer och gruvbolag up</w:t>
      </w:r>
      <w:r>
        <w:t>p</w:t>
      </w:r>
      <w:r>
        <w:t>träder på ett sådant sätt att det allmänna förtroendet för verksamheten inte rubbas och att värdefulla natur- och kulturmiljöer beaktas.</w:t>
      </w:r>
    </w:p>
    <w:p w:rsidR="0003352C" w:rsidRDefault="0003352C">
      <w:pPr>
        <w:pStyle w:val="R4"/>
      </w:pPr>
      <w:r>
        <w:t>Markägarnas behov</w:t>
      </w:r>
    </w:p>
    <w:p w:rsidR="0003352C" w:rsidRDefault="0003352C">
      <w:r>
        <w:t>Minerallagen är en exploateringslag som skall avväga konkurrerande ma</w:t>
      </w:r>
      <w:r>
        <w:t>r</w:t>
      </w:r>
      <w:r>
        <w:t>k-anspråk på ett rättvist sätt. Markägaren får ersättning för skada och intrång både vid undersökning och vid bearbetning. Enligt minerallagen har berörda mark- och sakägare överklaganderätt och rätt till information och till ersät</w:t>
      </w:r>
      <w:r>
        <w:t>t</w:t>
      </w:r>
      <w:r>
        <w:t>ning för skada och intrång i huvudsak på samma grunder som i expropri</w:t>
      </w:r>
      <w:r>
        <w:t>a</w:t>
      </w:r>
      <w:r>
        <w:t>tionsla</w:t>
      </w:r>
      <w:r>
        <w:t>g</w:t>
      </w:r>
      <w:r>
        <w:t xml:space="preserve">stiftningen. </w:t>
      </w:r>
    </w:p>
    <w:p w:rsidR="0003352C" w:rsidRDefault="0003352C">
      <w:pPr>
        <w:pStyle w:val="Normaltindrag"/>
      </w:pPr>
      <w:r>
        <w:t>Det nämns i direktiven att det ökande intresset för att söka efter mineral har lett till prospektering också i sådana mer tätbefolkade områden där min</w:t>
      </w:r>
      <w:r>
        <w:t>e</w:t>
      </w:r>
      <w:r>
        <w:t>ralprospektering och gruvverksamhet tidigare varit relativt ovanlig. Ett stort antal naturreservat och andra värdefulla kultur- och naturmiljöer har kommit att omfattas av undersökningstillstånd. Också många enskilda markägare, framför allt i södra Sverige, har kommit att beröras av undersökningstil</w:t>
      </w:r>
      <w:r>
        <w:t>l</w:t>
      </w:r>
      <w:r>
        <w:t>stånd. Från dessa håll har uttryckts farhågor för att gruvverksamhet skall ändra förutsättningarna för boende och arbete i bygden. Hänsynen till äga</w:t>
      </w:r>
      <w:r>
        <w:t>n</w:t>
      </w:r>
      <w:r>
        <w:t>derätten upplevs som alltför svag i minerallagen och ersättni</w:t>
      </w:r>
      <w:r>
        <w:t>ngen för skada och intrång som otil</w:t>
      </w:r>
      <w:r>
        <w:t>l</w:t>
      </w:r>
      <w:r>
        <w:t>räcklig.</w:t>
      </w:r>
    </w:p>
    <w:p w:rsidR="0003352C" w:rsidRDefault="0003352C">
      <w:pPr>
        <w:pStyle w:val="Normaltindrag"/>
      </w:pPr>
      <w:r>
        <w:t>Behovet av och lämpliga former för ersättning till markägare, kommun, länsstyrelse eller staten behöver mot denna bakgrund utredas, anförs det i direktiven. Det behövs också en genomgång av behovet av och formerna för samråd och information till mark- och sakägare vid undersökningstillstånd och bearbetningskoncessioner. Bergmästarens uppgifter och tillståndshav</w:t>
      </w:r>
      <w:r>
        <w:t>a</w:t>
      </w:r>
      <w:r>
        <w:t>rens ansvar för denna information bör därvid analyseras. Vidare skall behov av och lämpliga former för en förstärkning av skyddet för värdefulla natur- och kulturmiljöer utredas i samband med dels prövning av undersökningstil</w:t>
      </w:r>
      <w:r>
        <w:t>l</w:t>
      </w:r>
      <w:r>
        <w:t>stånd, dels vid undersö</w:t>
      </w:r>
      <w:r>
        <w:t>k</w:t>
      </w:r>
      <w:r>
        <w:t>ningsarbeten.</w:t>
      </w:r>
    </w:p>
    <w:p w:rsidR="0003352C" w:rsidRDefault="0003352C">
      <w:pPr>
        <w:pStyle w:val="R4"/>
      </w:pPr>
      <w:r>
        <w:t>Internationell lagstiftning</w:t>
      </w:r>
    </w:p>
    <w:p w:rsidR="0003352C" w:rsidRDefault="0003352C">
      <w:r>
        <w:t>I den allmänna debatten har det på senare tid framförts att Sverige har den mest liberala minerallagstiftningen i världen. Ur näringspolitisk synvinkel är det enligt direktiven angeläget att utländska investerare väljer att prospektera i Sverige i stället för i andra länder. En allmän jämförelse mellan Sveriges och konkurrerande gruvländers lagstiftning är därför angelägen, särskilt med betoning på hur markägares och exploatörers behov och rättigheter avvägs samt med avseende på skyddet för värd</w:t>
      </w:r>
      <w:r>
        <w:t>e</w:t>
      </w:r>
      <w:r>
        <w:t>fulla natur- och kulturmiljöer.</w:t>
      </w:r>
    </w:p>
    <w:p w:rsidR="0003352C" w:rsidRDefault="0003352C">
      <w:pPr>
        <w:pStyle w:val="R4"/>
      </w:pPr>
      <w:r>
        <w:t>Uppdraget</w:t>
      </w:r>
    </w:p>
    <w:p w:rsidR="0003352C" w:rsidRDefault="0003352C">
      <w:r>
        <w:t>Utredaren skall göra en översyn av om markägarnas rättigheter behöver utvidgas och hur detta på lämpligt sätt skall balanseras mot exploatörens behov och samhällets krav. Utredaren skall särskilt ta ställning till om ersät</w:t>
      </w:r>
      <w:r>
        <w:t>t</w:t>
      </w:r>
      <w:r>
        <w:t>ningen till markägare bör bestämmas på annat sätt än i dag samt om det finns behov av att utöka det antal objekt eller områden som bör ha särskilda skyddsregler vid undersökningsarbete. Vidare skall utredaren studera beh</w:t>
      </w:r>
      <w:r>
        <w:t>o</w:t>
      </w:r>
      <w:r>
        <w:t>vet av en förstärkning och utvidgning av skyddet för värdefulla natur- och kulturmiljöer vid prövning av undersökningstillstånd och vid undersökning</w:t>
      </w:r>
      <w:r>
        <w:t>s</w:t>
      </w:r>
      <w:r>
        <w:t>arbeten. Därvid skall utredaren ta ställning till behovet av att differentiera kraven för undersökningstillstånd vad avser tiden för tillstån</w:t>
      </w:r>
      <w:r>
        <w:t xml:space="preserve">det m.m. En internationell jämförelse skall också </w:t>
      </w:r>
      <w:bookmarkStart w:id="27" w:name="_Toc445694107"/>
      <w:r>
        <w:t>göras.</w:t>
      </w:r>
    </w:p>
    <w:p w:rsidR="0003352C" w:rsidRDefault="0003352C">
      <w:pPr>
        <w:pStyle w:val="Rubrik2"/>
      </w:pPr>
      <w:bookmarkStart w:id="28" w:name="_Toc447531230"/>
      <w:r>
        <w:t>Intressebalansen mellan minerallagen och enskilda och allmänna intressen</w:t>
      </w:r>
      <w:bookmarkEnd w:id="27"/>
      <w:bookmarkEnd w:id="28"/>
    </w:p>
    <w:p w:rsidR="0003352C" w:rsidRDefault="0003352C">
      <w:pPr>
        <w:pStyle w:val="Rubrik3"/>
        <w:spacing w:before="123"/>
      </w:pPr>
      <w:bookmarkStart w:id="29" w:name="_Toc445694108"/>
      <w:bookmarkStart w:id="30" w:name="_Toc447531231"/>
      <w:r>
        <w:t>Motionerna</w:t>
      </w:r>
      <w:bookmarkEnd w:id="29"/>
      <w:bookmarkEnd w:id="30"/>
    </w:p>
    <w:p w:rsidR="0003352C" w:rsidRDefault="0003352C">
      <w:r>
        <w:t>Miljöpartiet anför i motion 1998/99:N204 att bergmästaren får avgöra äre</w:t>
      </w:r>
      <w:r>
        <w:t>n</w:t>
      </w:r>
      <w:r>
        <w:t>den om undersökningstillstånd utan att någon annan än sökanden haft tillfälle att yttra sig. Någon laglig rätt att stoppa prospekteringen har varken mar</w:t>
      </w:r>
      <w:r>
        <w:t>k</w:t>
      </w:r>
      <w:r>
        <w:t>ägare eller kommun. Bergmästarens beslut meddelas i ortstidningen, och fastighetsägaren skall ges kopia. Fastighetsägaren kan överklaga ett unde</w:t>
      </w:r>
      <w:r>
        <w:t>r</w:t>
      </w:r>
      <w:r>
        <w:t>sökningstillstånd till allmän förvaltningsdomstol, medan kommunen endast kan överklaga om det gäller ett detaljplanelagt område. Enligt motionärerna bör ordningen vara den att markägare, kommun och stat, var för s</w:t>
      </w:r>
      <w:r>
        <w:t>ig, skall kunna säga nej till ett sökt undersökningstillstånd.</w:t>
      </w:r>
    </w:p>
    <w:p w:rsidR="0003352C" w:rsidRDefault="0003352C">
      <w:pPr>
        <w:pStyle w:val="Normaltindrag"/>
      </w:pPr>
      <w:r>
        <w:t>Den svenska gruvdriften beräknas ha omsatt ungefär 9 miljarder kronor år 1996, konstateras det. Mineral- och gruvföretagen går generellt sett mycket bra. Därför bör enligt motionärerna en del av den uppkomna vinsten vid exploatering tillfalla staten, kommunen och/eller markägaren.</w:t>
      </w:r>
    </w:p>
    <w:p w:rsidR="0003352C" w:rsidRDefault="0003352C">
      <w:pPr>
        <w:pStyle w:val="Normaltindrag"/>
      </w:pPr>
      <w:r>
        <w:t>Vidare begär motionärerna att försiktighetsprincipen skall gälla vid prö</w:t>
      </w:r>
      <w:r>
        <w:t>v</w:t>
      </w:r>
      <w:r>
        <w:t>ning enligt minerallagen. Finns hot mot t.ex. grundvattnet, den biologiska mångfalden eller liknande skall tillstånd inte ges.</w:t>
      </w:r>
    </w:p>
    <w:p w:rsidR="0003352C" w:rsidRDefault="0003352C">
      <w:pPr>
        <w:pStyle w:val="Normaltindrag"/>
      </w:pPr>
      <w:r>
        <w:t>I motion 1998/99:N276 (s) framhålls att det finns behov av en översyn av minerallagen, eftersom den nuvarande lagen inte är anpassad för sådana situationer som har uppstått i södra Sverige. Även om man kan anlägga nationella aspekter bakom nuvarande lag, anförs det, borde de lokala företr</w:t>
      </w:r>
      <w:r>
        <w:t>ä</w:t>
      </w:r>
      <w:r>
        <w:t>da</w:t>
      </w:r>
      <w:r>
        <w:t>r</w:t>
      </w:r>
      <w:r>
        <w:t>na ha större möjligheter att värna sin miljö.</w:t>
      </w:r>
    </w:p>
    <w:p w:rsidR="0003352C" w:rsidRDefault="0003352C">
      <w:pPr>
        <w:pStyle w:val="Normaltindrag"/>
      </w:pPr>
      <w:r>
        <w:t>Motionären i motion 1998/99:N304 (s) menar att minerallagen måste ses över mot bakgrund av mineralföretagens allt aggressivare marknadsföring och metoder. Översynen bör enligt motionen inriktas på att markägarens och kommunens ställning stärks och att de berörda får garanti för skälig ersät</w:t>
      </w:r>
      <w:r>
        <w:t>t</w:t>
      </w:r>
      <w:r>
        <w:t xml:space="preserve">ning. </w:t>
      </w:r>
    </w:p>
    <w:p w:rsidR="0003352C" w:rsidRDefault="0003352C">
      <w:pPr>
        <w:pStyle w:val="Normaltindrag"/>
      </w:pPr>
      <w:r>
        <w:t>Även i motion 1998/99:N318 (s) begärs en översyn av minerallagen, nä</w:t>
      </w:r>
      <w:r>
        <w:t>m</w:t>
      </w:r>
      <w:r>
        <w:t>ligen i den del som rör undersökningsarbete. Markägare, kommuner och länsstyrelser har störst kunskaper om områden som är känsliga ur miljösy</w:t>
      </w:r>
      <w:r>
        <w:t>n</w:t>
      </w:r>
      <w:r>
        <w:t>punkt och de borde därför få större möjlighet att påverka undersökningsa</w:t>
      </w:r>
      <w:r>
        <w:t>r</w:t>
      </w:r>
      <w:r>
        <w:t>betet eller åtminstone bli informerade i förhand, sägs det i motionen.</w:t>
      </w:r>
    </w:p>
    <w:p w:rsidR="0003352C" w:rsidRDefault="0003352C">
      <w:pPr>
        <w:pStyle w:val="Normaltindrag"/>
      </w:pPr>
      <w:r>
        <w:t>I motion 1998/99:MJ777 (m) anförs att minerallagen och dess nuvarande tillämpning har mötts med starka protester från markägarhåll på grund av att markägarna anser att äganderätten kränks. Den som har undersökningstil</w:t>
      </w:r>
      <w:r>
        <w:t>l</w:t>
      </w:r>
      <w:r>
        <w:t>stånd har stora befogenheter, men det enda markägaren erhåller i kompens</w:t>
      </w:r>
      <w:r>
        <w:t>a</w:t>
      </w:r>
      <w:r>
        <w:t>tion är ersättning för intrång och skada. För övriga olägenheter utgår ingen ersättning. Ännu allvarligare, anser motionärerna, är att undersökningstil</w:t>
      </w:r>
      <w:r>
        <w:t>l</w:t>
      </w:r>
      <w:r>
        <w:t>ståndet medför att fastighetsägare kan ha svårigheter att avyttra sin egendom. Minerallagen bör därför ses över i syfte att stärka markägarens ställning.</w:t>
      </w:r>
    </w:p>
    <w:p w:rsidR="0003352C" w:rsidRDefault="0003352C">
      <w:pPr>
        <w:pStyle w:val="Normaltindrag"/>
      </w:pPr>
      <w:r>
        <w:t>I motion 1998/99:N209 (m) framhålls att den enskilda äganderätten på ett oacceptabelt sätt träds för när i den nuvarande minerallage</w:t>
      </w:r>
      <w:r>
        <w:t>n. Därför bör lagen ses över i syfte att stärka den enskilda äganderätten i förhållande till prospekteringsintresset.</w:t>
      </w:r>
    </w:p>
    <w:p w:rsidR="0003352C" w:rsidRDefault="0003352C">
      <w:pPr>
        <w:pStyle w:val="Normaltindrag"/>
      </w:pPr>
      <w:r>
        <w:t>Motionärerna i motion 1998/99:N309 (m) konstaterar att det i många fall förefaller vara stora skillnader vid tillämpningen av minerallagen mellan områden som är belägna i ödebygder och i tätbebyggda områden. Minerall</w:t>
      </w:r>
      <w:r>
        <w:t>a</w:t>
      </w:r>
      <w:r>
        <w:t>gen måste ses över i syfte att stärka äganderätten, anförs det i moti</w:t>
      </w:r>
      <w:r>
        <w:t>o</w:t>
      </w:r>
      <w:r>
        <w:t>nen.</w:t>
      </w:r>
    </w:p>
    <w:p w:rsidR="0003352C" w:rsidRDefault="0003352C">
      <w:pPr>
        <w:pStyle w:val="Normaltindrag"/>
      </w:pPr>
      <w:r>
        <w:t>Enligt vad som sägs i motion 1998/99:N223 (v) har vissa prospektörer u</w:t>
      </w:r>
      <w:r>
        <w:t>n</w:t>
      </w:r>
      <w:r>
        <w:t>der den senaste tiden agerat på ett sätt som gör det angeläget att följa upp aktuella lagar, inte minst vad gäller miljöhänsyn. Samhället har ett intresse av att gruvnäringen bedrivs med långsiktighet och miljöhänsyn samt att näringen utvecklas. Vidare bör frågan om att införa någon form av royalty i samband med gruvbry</w:t>
      </w:r>
      <w:r>
        <w:t>t</w:t>
      </w:r>
      <w:r>
        <w:t>ning utredas.</w:t>
      </w:r>
    </w:p>
    <w:p w:rsidR="0003352C" w:rsidRDefault="0003352C">
      <w:pPr>
        <w:pStyle w:val="Normaltindrag"/>
      </w:pPr>
      <w:r>
        <w:t>I motion 1998/99:N243 (v) uttalas att minerallagstiftningen bör ändras så att berörd kommun, markägare och företag ges större möjligheter att redan i ett tidigt skede stoppa e</w:t>
      </w:r>
      <w:r>
        <w:t>n prospektering. Att de drabbade kan få ersättning för uppkomna skador räcker inte för att kompensera de nackdelar som intrången leder till för utvecklingen av hela bygder. Det behövs en utredning, anser motionärerna. Vidare bör Sverige agera internationellt för att sprida synsättet att exploatering av naturtillgångar skall grundas på en försiktighetspri</w:t>
      </w:r>
      <w:r>
        <w:t>n</w:t>
      </w:r>
      <w:r>
        <w:t>cip.</w:t>
      </w:r>
    </w:p>
    <w:p w:rsidR="0003352C" w:rsidRDefault="0003352C">
      <w:pPr>
        <w:pStyle w:val="Normaltindrag"/>
      </w:pPr>
      <w:r>
        <w:t>Enligt motionärerna bakom motion 1998/99:N324 (kd) bör minerallagen ses över i syfte att stärka markägares intressen och andra lokala intressen. Därvi</w:t>
      </w:r>
      <w:r>
        <w:t>d bör frågor om ersättning till samhälle och markägare ses över vad gäller såväl ersättningen för intrång och skada som införande av viss andel av utbytet vid en eventuell brytning. En omedelbar ändring bör genomföras som innebär att Bergsstaten skall inhämta markägarens och länsstyrelsens yttrande över ansökan om unde</w:t>
      </w:r>
      <w:r>
        <w:t>r</w:t>
      </w:r>
      <w:r>
        <w:t>sökningstillstånd.</w:t>
      </w:r>
    </w:p>
    <w:p w:rsidR="0003352C" w:rsidRDefault="0003352C">
      <w:pPr>
        <w:pStyle w:val="Normaltindrag"/>
      </w:pPr>
      <w:r>
        <w:t>En statlig utredning bör tillsättas för att se över hur äganderätten och makten över lokala resurser skall värnas inom minerallagstiftningen, sägs det i motionerna 1998/99:</w:t>
      </w:r>
      <w:r>
        <w:t>N201 (c) och 1998/99:N262 (c). Avvägningen mellan den enskildes, det allmännas och exploatörens intressen måste göras med stor omsorg; äganderätten måste respekteras. Återinförande av jordägaravgäld bör övervägas, samtidigt som hänsyn tas till att naturresurserna utnyttjas på ett ekologiskt hållbart sätt. Vidare bör det lokala inflytandet öka.</w:t>
      </w:r>
    </w:p>
    <w:p w:rsidR="0003352C" w:rsidRDefault="0003352C">
      <w:pPr>
        <w:pStyle w:val="Normaltindrag"/>
      </w:pPr>
      <w:r>
        <w:t>I motion 1998/99:N211 (fp) anförs att mineralutvinning uppfattas som en medborgerlig rättighet, vilken är starkare än egendomsskyddet till marken. Vid undersökningsti</w:t>
      </w:r>
      <w:r>
        <w:t>llstånd gäller strängare regler för olja, gas och diamant än för andra mineral. Enligt motionären bör samma hänsyn tas till allmänna intressen oavsett vilket mineral som eftersöks. Vidare kräver motionären samma regler för skydd av natur- och kulturvärden i hela landet. Komm</w:t>
      </w:r>
      <w:r>
        <w:t>u</w:t>
      </w:r>
      <w:r>
        <w:t>nens talerätt bör utökas. Undersökningsarbete bör inte kunna få starta innan beslutet om u</w:t>
      </w:r>
      <w:r>
        <w:t>n</w:t>
      </w:r>
      <w:r>
        <w:t>dersökningstillstånd vunnit laga kraft, anförs det.</w:t>
      </w:r>
    </w:p>
    <w:p w:rsidR="0003352C" w:rsidRDefault="0003352C">
      <w:pPr>
        <w:pStyle w:val="Rubrik3"/>
      </w:pPr>
      <w:bookmarkStart w:id="31" w:name="_Toc447531232"/>
      <w:r>
        <w:t>Vissa kompletterande uppgifter</w:t>
      </w:r>
      <w:bookmarkEnd w:id="31"/>
    </w:p>
    <w:p w:rsidR="0003352C" w:rsidRDefault="0003352C">
      <w:pPr>
        <w:pStyle w:val="R4"/>
        <w:spacing w:before="123"/>
      </w:pPr>
      <w:r>
        <w:t>Information m.m. i samband med beslut om undersökningstillstånd</w:t>
      </w:r>
    </w:p>
    <w:p w:rsidR="0003352C" w:rsidRDefault="0003352C">
      <w:r>
        <w:t>För att det skall vara möjligt att definiera ett intressant område i en ansökan om undersökningstillstånd måste vissa förundersökningar ha gett indikati</w:t>
      </w:r>
      <w:r>
        <w:t>o</w:t>
      </w:r>
      <w:r>
        <w:t>ner på att det kan finnas en fyndighet. I detta skede föreligger inget unde</w:t>
      </w:r>
      <w:r>
        <w:t>r</w:t>
      </w:r>
      <w:r>
        <w:t>sökningstillstånd. Normalt börjar prospekteringsbolagen att studera ber</w:t>
      </w:r>
      <w:r>
        <w:t>g</w:t>
      </w:r>
      <w:r>
        <w:t>grunden med hjälp av geologiska, geofysiska eller geokemiska kartor. Många uppgifter finns redan insamlade och kan studeras vid Sveriges geologiska undersöknings (SGU:s) mineralinformationskontor i Malå. Vissa prospekt</w:t>
      </w:r>
      <w:r>
        <w:t>e</w:t>
      </w:r>
      <w:r>
        <w:t>ringsbolag kan känna behov av att göra egna mark- eller flygmätningar, men detta görs – bl.a. av kostnadsskäl – först när man fått undersöknings</w:t>
      </w:r>
      <w:r>
        <w:t>tillstånd. Därutöver förekommer det att prospekteringsbolagets personal, t.ex. geol</w:t>
      </w:r>
      <w:r>
        <w:t>o</w:t>
      </w:r>
      <w:r>
        <w:t>ger, går ut i naturen för att få en uppfattning om huruvida ett område är til</w:t>
      </w:r>
      <w:r>
        <w:t>l</w:t>
      </w:r>
      <w:r>
        <w:t>räckligt intressant för att bolaget skall söka undersökningstillstånd. Sådan personal kan exempelvis ta med sig stenar från intressanta områden. För prospekteringsbolaget kan det vara av intresse att genomföra dylika föru</w:t>
      </w:r>
      <w:r>
        <w:t>n</w:t>
      </w:r>
      <w:r>
        <w:t>dersökningar under diskretion eftersom det finns ett affärsmässigt motiv av att vara ensam på platsen tills en ansökan om unders</w:t>
      </w:r>
      <w:r>
        <w:t>ökningstillstånd har lämnats in. Dock finns det också exempel på bolag som informerar mar</w:t>
      </w:r>
      <w:r>
        <w:t>k</w:t>
      </w:r>
      <w:r>
        <w:t>ägarna i detta skede. Enskilda personer, t.ex. amatörgeologer, kan också leta mineral, t.ex. inom ramen för den s.k. Mineraljakten. Även i detta fall tar mineralletarna med sig stenar för att styrka eventuell mineralförekomst.</w:t>
      </w:r>
    </w:p>
    <w:p w:rsidR="0003352C" w:rsidRDefault="0003352C">
      <w:pPr>
        <w:pStyle w:val="Normaltindrag"/>
      </w:pPr>
      <w:r>
        <w:t>Allemansrätten innebär att man kan gå över marker och mäta med olika handinstrument utan att det, normalt sett, kräver tillstånd. Detta förutsätter dock att någon skada eller åverkan inte sker oc</w:t>
      </w:r>
      <w:r>
        <w:t xml:space="preserve">h att intrång i någons rätt inte heller vållas. </w:t>
      </w:r>
    </w:p>
    <w:p w:rsidR="0003352C" w:rsidRDefault="0003352C">
      <w:pPr>
        <w:pStyle w:val="Normaltindrag"/>
      </w:pPr>
      <w:r>
        <w:t>Fastighetsägaren eller annan efter dennes medgivande har utan undersö</w:t>
      </w:r>
      <w:r>
        <w:t>k</w:t>
      </w:r>
      <w:r>
        <w:t>ningstillstånd möjlighet att bedriva undersökning beträffande alla konce</w:t>
      </w:r>
      <w:r>
        <w:t>s</w:t>
      </w:r>
      <w:r>
        <w:t>sionsmineral utom olja, gas och diamant, dock inte där någon annan har tillstånd eller koncession (minerallagen 3 kap. 2 §).</w:t>
      </w:r>
    </w:p>
    <w:p w:rsidR="0003352C" w:rsidRDefault="0003352C">
      <w:pPr>
        <w:pStyle w:val="Normaltindrag"/>
      </w:pPr>
      <w:r>
        <w:t>I mineralförordningen (1992:285) regleras hur ansökan om undersö</w:t>
      </w:r>
      <w:r>
        <w:t>k</w:t>
      </w:r>
      <w:r>
        <w:t>ningstillstånd går till. Ansökan skall ges in till bergmästaren. Ansökning</w:t>
      </w:r>
      <w:r>
        <w:t>s</w:t>
      </w:r>
      <w:r>
        <w:t>handlin</w:t>
      </w:r>
      <w:r>
        <w:t>g</w:t>
      </w:r>
      <w:r>
        <w:t>arna skall bl.a. innehålla uppgifter om</w:t>
      </w:r>
    </w:p>
    <w:p w:rsidR="0003352C" w:rsidRDefault="0003352C">
      <w:pPr>
        <w:numPr>
          <w:ilvl w:val="0"/>
          <w:numId w:val="3"/>
        </w:numPr>
        <w:spacing w:before="0"/>
      </w:pPr>
      <w:r>
        <w:t>sökandens namn och adress,</w:t>
      </w:r>
    </w:p>
    <w:p w:rsidR="0003352C" w:rsidRDefault="0003352C">
      <w:pPr>
        <w:numPr>
          <w:ilvl w:val="0"/>
          <w:numId w:val="3"/>
        </w:numPr>
        <w:spacing w:before="0"/>
      </w:pPr>
      <w:r>
        <w:t>det eller de koncessionsmineral som ansökningen avser,</w:t>
      </w:r>
    </w:p>
    <w:p w:rsidR="0003352C" w:rsidRDefault="0003352C">
      <w:pPr>
        <w:numPr>
          <w:ilvl w:val="0"/>
          <w:numId w:val="3"/>
        </w:numPr>
        <w:spacing w:before="0"/>
      </w:pPr>
      <w:r>
        <w:t>det eller de områden som avses med ansökan,</w:t>
      </w:r>
    </w:p>
    <w:p w:rsidR="0003352C" w:rsidRDefault="0003352C">
      <w:pPr>
        <w:numPr>
          <w:ilvl w:val="0"/>
          <w:numId w:val="3"/>
        </w:numPr>
        <w:spacing w:before="0"/>
      </w:pPr>
      <w:r>
        <w:t>de fastigheter som berörs av ansökan samt namn och adress på fastighet</w:t>
      </w:r>
      <w:r>
        <w:t>s</w:t>
      </w:r>
      <w:r>
        <w:t>ägare och övriga berörda (endast om ansökan avser annat mineral än alu</w:t>
      </w:r>
      <w:r>
        <w:t>n</w:t>
      </w:r>
      <w:r>
        <w:t>skiffer, gas, olja eller diamant),</w:t>
      </w:r>
    </w:p>
    <w:p w:rsidR="0003352C" w:rsidRDefault="0003352C">
      <w:pPr>
        <w:numPr>
          <w:ilvl w:val="0"/>
          <w:numId w:val="3"/>
        </w:numPr>
        <w:spacing w:before="0"/>
      </w:pPr>
      <w:r>
        <w:t>det sökta området omfattar nationalpark, naturreservat m.m., vilket medför att unde</w:t>
      </w:r>
      <w:r>
        <w:t>r</w:t>
      </w:r>
      <w:r>
        <w:t>sökningsarbete inte får äga rum enligt minerallagen,</w:t>
      </w:r>
    </w:p>
    <w:p w:rsidR="0003352C" w:rsidRDefault="0003352C">
      <w:pPr>
        <w:numPr>
          <w:ilvl w:val="0"/>
          <w:numId w:val="3"/>
        </w:numPr>
        <w:spacing w:before="0"/>
      </w:pPr>
      <w:r>
        <w:t>det sökta området omfattar befästningsområde, kyrkogård eller de obrutna fjällen (undersökningsarbete får inte äga rum där utan medgivande av län</w:t>
      </w:r>
      <w:r>
        <w:t>s</w:t>
      </w:r>
      <w:r>
        <w:t>styrelsen; medgivandet kan förenas med villkor för att förhindra skador på natur- och kulturvärden),</w:t>
      </w:r>
    </w:p>
    <w:p w:rsidR="0003352C" w:rsidRDefault="0003352C">
      <w:pPr>
        <w:numPr>
          <w:ilvl w:val="0"/>
          <w:numId w:val="3"/>
        </w:numPr>
        <w:spacing w:before="0"/>
      </w:pPr>
      <w:r>
        <w:t>det sökta området omfattar områden inom omedelbar närhet av allmän väg och järnväg m.m., ligger mindre än 100 m från en tomt med permanentb</w:t>
      </w:r>
      <w:r>
        <w:t>o</w:t>
      </w:r>
      <w:r>
        <w:t>ende eller avser områden med detaljplan m.m. (undersökningsarbete får, med vissa undantag, inte äga rum där utan medgivande av bergmästaren; medgivandet kan fö</w:t>
      </w:r>
      <w:r>
        <w:t>r</w:t>
      </w:r>
      <w:r>
        <w:t>enas med villkor),</w:t>
      </w:r>
    </w:p>
    <w:p w:rsidR="0003352C" w:rsidRDefault="0003352C">
      <w:pPr>
        <w:numPr>
          <w:ilvl w:val="0"/>
          <w:numId w:val="3"/>
        </w:numPr>
        <w:spacing w:before="0"/>
      </w:pPr>
      <w:r>
        <w:t>den planerade verksamhetens inverkan på allmänna och enskilda intressen samt sökandens uppfattning om vilka åtgärder som behövs för att skydda dessa intressen (endast om ansökan avser alunskiffer, olja, gas eller di</w:t>
      </w:r>
      <w:r>
        <w:t>a</w:t>
      </w:r>
      <w:r>
        <w:t>mant),</w:t>
      </w:r>
    </w:p>
    <w:p w:rsidR="0003352C" w:rsidRDefault="0003352C">
      <w:pPr>
        <w:numPr>
          <w:ilvl w:val="0"/>
          <w:numId w:val="3"/>
        </w:numPr>
        <w:spacing w:before="0"/>
      </w:pPr>
      <w:r>
        <w:t>de omständigheter som talar för att undersökning i området kan leda till fynd av koncessionsmaterial.</w:t>
      </w:r>
    </w:p>
    <w:p w:rsidR="0003352C" w:rsidRDefault="0003352C">
      <w:r>
        <w:t>När det gäller undersökningsarbete inom område med detaljplan skall ber</w:t>
      </w:r>
      <w:r>
        <w:t>g</w:t>
      </w:r>
      <w:r>
        <w:t>mästaren i</w:t>
      </w:r>
      <w:r>
        <w:t>n</w:t>
      </w:r>
      <w:r>
        <w:t>hämta yttrande från kommunen.</w:t>
      </w:r>
    </w:p>
    <w:p w:rsidR="0003352C" w:rsidRDefault="0003352C">
      <w:pPr>
        <w:pStyle w:val="Normaltindrag"/>
      </w:pPr>
      <w:r>
        <w:t>Om ansökan avser alunskiffer, olja, gas eller diamant skall bergmästaren inhämta yttrande från länsstyrelsen och kommunen. Beträffande en sådan ansökan skall bergmästaren införa kungörelse om ansökan i Post- och Inrikes Tidningar och i ortstidning. Erinringar mot ansökan skall göras skriftligen till bergmästaren inom en viss tid minst uppgående till fyra veckor efter det att kungörelsen var införd i Post- och Inr</w:t>
      </w:r>
      <w:r>
        <w:t>i</w:t>
      </w:r>
      <w:r>
        <w:t>kes Tidningar.</w:t>
      </w:r>
    </w:p>
    <w:p w:rsidR="0003352C" w:rsidRDefault="0003352C">
      <w:pPr>
        <w:pStyle w:val="Normaltindrag"/>
      </w:pPr>
      <w:r>
        <w:t xml:space="preserve">Enligt minerallagen (2 kap. 10 §) skall undersökningstillstånd för olja, gas eller diamant förenas med de villkor som behövs för att skydda allmänna intressen eller enskild rätt. Det kan exempelvis gälla miljöintressen. </w:t>
      </w:r>
    </w:p>
    <w:p w:rsidR="0003352C" w:rsidRDefault="0003352C">
      <w:pPr>
        <w:pStyle w:val="Normaltindrag"/>
      </w:pPr>
      <w:r>
        <w:t>När ett undersökningstillstånd har beslutats skall bergmästaren meddela detta till – förutom den sökande – SGU, länsstyrelsen och kommunen samt inom två månader informera ortsbefolkningen genom Post- och Inrikes Ti</w:t>
      </w:r>
      <w:r>
        <w:t>d</w:t>
      </w:r>
      <w:r>
        <w:t>ningar och genom ortstidning. För sådana mineral som järn, guld osv. skickar bergmästaren ut beslut om undersökningstillstånd samt information om vad detta innebär brevledes till var och en av markägarna och andra berörda sakägare. Om det inte går att nå en person på annat sätt överlämnas ett i</w:t>
      </w:r>
      <w:r>
        <w:t>n</w:t>
      </w:r>
      <w:r>
        <w:t>formationsbrev personligen av en delgivningsman. För mineral som gas, olja och diamant, vilka ligger i horisontella lager över stora landområden, info</w:t>
      </w:r>
      <w:r>
        <w:t>r</w:t>
      </w:r>
      <w:r>
        <w:t>meras emellertid inte markägarna individuellt, utan – som nyss n</w:t>
      </w:r>
      <w:r>
        <w:t>ämnts – genom tidning och eventuellt på annat sätt, t.ex. genom anslag på kommunal anslagstavla (s.k. kungörelsede</w:t>
      </w:r>
      <w:r>
        <w:t>l</w:t>
      </w:r>
      <w:r>
        <w:t>givning).</w:t>
      </w:r>
    </w:p>
    <w:p w:rsidR="0003352C" w:rsidRDefault="0003352C">
      <w:pPr>
        <w:pStyle w:val="Normaltindrag"/>
      </w:pPr>
      <w:r>
        <w:t>Markägarna och övriga berörda kan överklaga bergmästarbeslut om unde</w:t>
      </w:r>
      <w:r>
        <w:t>r</w:t>
      </w:r>
      <w:r>
        <w:t>sökningstillstånd och samtidigt begära inhibition av beslutet, dvs. att unde</w:t>
      </w:r>
      <w:r>
        <w:t>r</w:t>
      </w:r>
      <w:r>
        <w:t xml:space="preserve">sökningsarbete inte får äga rum förrän överklagandet har behandlats. Ett överklagande skall göras inom tre veckor från den dag då klaganden fick del av beslutet om undersökningstillstånd (förvaltningslagen 1986:223) och skickas till bergmästaren. Därvid kan bergmästaren finna att beslutet bör ändras. I övriga fall vidarebefordrar han skrivelsen med överklagande till allmän förvaltningsdomstol. </w:t>
      </w:r>
    </w:p>
    <w:p w:rsidR="0003352C" w:rsidRDefault="0003352C">
      <w:pPr>
        <w:pStyle w:val="Normaltindrag"/>
      </w:pPr>
      <w:r>
        <w:t>Enligt bergmästaren är ansökan om in</w:t>
      </w:r>
      <w:r>
        <w:t xml:space="preserve">hibition ovanlig. </w:t>
      </w:r>
    </w:p>
    <w:p w:rsidR="0003352C" w:rsidRDefault="0003352C">
      <w:pPr>
        <w:pStyle w:val="Normaltindrag"/>
      </w:pPr>
      <w:r>
        <w:t>Prospektören och markägaren måste vara överens om ersättning för fra</w:t>
      </w:r>
      <w:r>
        <w:t>m</w:t>
      </w:r>
      <w:r>
        <w:t>tida skador vid eventuellt undersökningsarbete. I de fall parterna inte ko</w:t>
      </w:r>
      <w:r>
        <w:t>m</w:t>
      </w:r>
      <w:r>
        <w:t>mer överens har bergmästaren att pröva dessa frågor. Enligt uppgift meddelar bergmästaren inte beslut i ersättningsfrågorna innan undersökningstillståndet har vunnit laga kraft i förhållande till aktuell markägare.</w:t>
      </w:r>
    </w:p>
    <w:p w:rsidR="0003352C" w:rsidRDefault="0003352C">
      <w:pPr>
        <w:pStyle w:val="Normaltindrag"/>
      </w:pPr>
      <w:r>
        <w:t>Minst två veckor innan undersökningsarbetet rent faktiskt påbörjas måste prospektören informera bergmästaren, markägare och övriga sakägare om tidpunkten när arbetet skall påbörjas. Underrättelse till andra än bergmäst</w:t>
      </w:r>
      <w:r>
        <w:t>a</w:t>
      </w:r>
      <w:r>
        <w:t>ren skall delges.</w:t>
      </w:r>
    </w:p>
    <w:p w:rsidR="0003352C" w:rsidRDefault="0003352C">
      <w:pPr>
        <w:pStyle w:val="R4"/>
      </w:pPr>
      <w:r>
        <w:t>Aktuella regler angående äganderätten</w:t>
      </w:r>
    </w:p>
    <w:p w:rsidR="0003352C" w:rsidRDefault="0003352C">
      <w:r>
        <w:t xml:space="preserve">I 1 kap. 1 § </w:t>
      </w:r>
      <w:r>
        <w:rPr>
          <w:i/>
        </w:rPr>
        <w:t xml:space="preserve">jordabalken (JB) </w:t>
      </w:r>
      <w:r>
        <w:t>anges att fast egendom är jord och att jorden är indelad i fastigheter. JB innehåller inte någon uttrycklig definition av b</w:t>
      </w:r>
      <w:r>
        <w:t>e</w:t>
      </w:r>
      <w:r>
        <w:t>greppet fastigheter. JB utgår från den innebörd av begreppet som ansetts gälla redan före jordabalkens tillkomst år 1970. I förarbetena till 1 kap. hä</w:t>
      </w:r>
      <w:r>
        <w:t>n</w:t>
      </w:r>
      <w:r>
        <w:t xml:space="preserve">visas till tidigare lagstiftning (prop. 1970:20). </w:t>
      </w:r>
    </w:p>
    <w:p w:rsidR="0003352C" w:rsidRDefault="0003352C">
      <w:pPr>
        <w:pStyle w:val="Normaltindrag"/>
      </w:pPr>
      <w:r>
        <w:t>I en proposition år 1966 (prop.1966:24) reglerades gränsdragningen mellan fast och lös egendom i väntan på att arbetet med den nya jordabalken skulle bli färdig. Reglern</w:t>
      </w:r>
      <w:r>
        <w:t>a överfördes senare till den nya jordaba</w:t>
      </w:r>
      <w:r>
        <w:t>l</w:t>
      </w:r>
      <w:r>
        <w:t>ken.</w:t>
      </w:r>
    </w:p>
    <w:p w:rsidR="0003352C" w:rsidRDefault="0003352C">
      <w:pPr>
        <w:pStyle w:val="Normaltindrag"/>
      </w:pPr>
      <w:r>
        <w:t>Departementschefen uttalade därvid följande (s. 58):</w:t>
      </w:r>
    </w:p>
    <w:p w:rsidR="0003352C" w:rsidRDefault="0003352C">
      <w:pPr>
        <w:pStyle w:val="Citat"/>
      </w:pPr>
      <w:r>
        <w:t>Även vad som finns under själva jordytan innefattas i begreppet jord och utgör del av den fasta egendomen, såvida det inte gjorts till föremål för sä</w:t>
      </w:r>
      <w:r>
        <w:t>r</w:t>
      </w:r>
      <w:r>
        <w:t xml:space="preserve">skilt besittningstagande, såsom fallet kan vara med gruvfyndigheter. </w:t>
      </w:r>
    </w:p>
    <w:p w:rsidR="0003352C" w:rsidRDefault="0003352C">
      <w:r>
        <w:t>I enlighet med proposition 1993/94:117 om inkorporering av Europakonve</w:t>
      </w:r>
      <w:r>
        <w:t>n</w:t>
      </w:r>
      <w:r>
        <w:t>tionen och andra fri- och rättighetsfrågor beslutade riksdagen våren 1994 (bet. 1993/94:KU24) om ett utvidgat skydd för grundläggande fri- och rätti</w:t>
      </w:r>
      <w:r>
        <w:t>g</w:t>
      </w:r>
      <w:r>
        <w:t xml:space="preserve">heter i </w:t>
      </w:r>
      <w:r>
        <w:rPr>
          <w:i/>
        </w:rPr>
        <w:t xml:space="preserve">regeringsformen (RF). </w:t>
      </w:r>
      <w:r>
        <w:t>Beslutet innebar en närmare precisering av det egendomsskydd som Europakonventionen anger. Förutom ett skydd mot tvångsöverföring genom expropriation m.m. gavs även ett motsvarande skydd mot inskränkningar i användningen av mark och byggnader. I grun</w:t>
      </w:r>
      <w:r>
        <w:t>d</w:t>
      </w:r>
      <w:r>
        <w:t>lagsbestämmelsen om egendomsskyddet gjordes ett uttryckligt förbehåll för alleman</w:t>
      </w:r>
      <w:r>
        <w:t>srätten (2 kap. 18 § RF). Lagändringarna trädde i kraft den 1 januari 1995.</w:t>
      </w:r>
    </w:p>
    <w:p w:rsidR="0003352C" w:rsidRDefault="0003352C">
      <w:pPr>
        <w:pStyle w:val="Normaltindrag"/>
      </w:pPr>
      <w:r>
        <w:t>I regeringens författningskommentar till 2 kap. 18 § RF redovisas bl.a. följande i a</w:t>
      </w:r>
      <w:r>
        <w:t>n</w:t>
      </w:r>
      <w:r>
        <w:t>slutning till den nämnda paragrafen (s. 48):</w:t>
      </w:r>
    </w:p>
    <w:p w:rsidR="0003352C" w:rsidRDefault="0003352C">
      <w:pPr>
        <w:pStyle w:val="Citat"/>
      </w:pPr>
      <w:r>
        <w:t>Den enskildes egendom kan av det allmänna inte ovillkorligt tryggas. Sa</w:t>
      </w:r>
      <w:r>
        <w:t>m</w:t>
      </w:r>
      <w:r>
        <w:t>hällets behov av mark för naturvårds- och miljöintressen, totalförsvarsänd</w:t>
      </w:r>
      <w:r>
        <w:t>a</w:t>
      </w:r>
      <w:r>
        <w:t xml:space="preserve">mål och för bostadsbyggande, trafikleder, rekreation och andra liknande ändamål måste självfallet kunna tillgodoses. För sådana särskilt angelägna ändamål måste som en sista utväg finnas möjlighet att tvångsvis ta i anspråk annans egendom eller begränsa ägarens möjligheter att fritt använda sin egendom. Det måste även vara möjligt att kunna vidta sådana åtgärder till förmån för enskild för att t.ex. anordna lämplig utfartsväg eller </w:t>
      </w:r>
      <w:r>
        <w:t>förhindra olämplig eller störande bebyggelse i grannskapet. Sådana ingrepp i annans egendom får emellertid ske endast när det krävs för att tillgodose angelägna allmänna intressen, vilket framgår av sista meningen av första stycket. Detta kriterium skall vara uppfyllt för att ingrepp genom lagstiftning eller myndi</w:t>
      </w:r>
      <w:r>
        <w:t>g</w:t>
      </w:r>
      <w:r>
        <w:t>hetsbeslut i enskilds egendom över huvud taget skall få ske. Den närmare innebörden av uttrycket angelägna allmänna intressen är det inte möjligt att i detalj beskriva. Det är emellertid sådana in</w:t>
      </w:r>
      <w:r>
        <w:t>grepp som är motiverade med hänsyn till intresset av att kunna tillgodose allmänhetens berättigade krav på en god miljö och möjligheterna att kunna bevara och skydda områden som är av särskild betydelse från naturvårdssynpunkt som i första hand åsyftas, liksom intresset av att kunna ge allmänheten tillgång till naturen för rekre</w:t>
      </w:r>
      <w:r>
        <w:t>a</w:t>
      </w:r>
      <w:r>
        <w:t>tion och friluftsliv. Även samhällets behov av mark för anläggande av vägar och andra kommunikationsleder m.m. måste givetvis kunna tillgodoses. Vad som är ett angeläget allmänt int</w:t>
      </w:r>
      <w:r>
        <w:t>resse måste till slut i viss mån bli föremål för en politisk värdering där hänsyn då även måste tas till vad som är godtagbart från rättssäkerhetssynpunkt i ett modernt och demokratiskt samhälle. Det skall även framhållas att uttrycket anknyter till vad som gäller i fråga om egendomsskyddet enligt Europakonventionen.</w:t>
      </w:r>
    </w:p>
    <w:p w:rsidR="0003352C" w:rsidRDefault="0003352C">
      <w:r>
        <w:t xml:space="preserve">Sedan århundraden har bedömningen gjorts att mineralutvinning är så viktig för staten och samhället att det krävs särskild reglering av hur och under vilka förhållanden utvinning skall få ske. </w:t>
      </w:r>
      <w:r>
        <w:t>I proposition 1988/89:92 om ny minerallagstiftning m.m. sägs följande (s. 35):</w:t>
      </w:r>
    </w:p>
    <w:p w:rsidR="0003352C" w:rsidRDefault="0003352C">
      <w:pPr>
        <w:pStyle w:val="Citat"/>
      </w:pPr>
      <w:r>
        <w:t>Gruv- och mineralindustrin i Sverige är en samhällsekonomiskt viktig basn</w:t>
      </w:r>
      <w:r>
        <w:t>ä</w:t>
      </w:r>
      <w:r>
        <w:t>ring. Den inhemska mineralutvinningen, som är basen för produktion och export av viktiga insatsvaror, är viktig från såväl försörjnings- och sysse</w:t>
      </w:r>
      <w:r>
        <w:t>l</w:t>
      </w:r>
      <w:r>
        <w:t>sättningssynpunkt som industriell synpunkt. Gruv- och mineralindustrin försörjer industrin med viktiga metaller och mineral. Mineralsektorn är helt avgörande för sysselsättningen i vissa regioner. Landets gruv- och mineral-industri har även betydelse för utvecklingen av gruvutrustningsindustrin. En konkurrenskraftig gruv- och mineralindustri är således av väsent</w:t>
      </w:r>
      <w:r>
        <w:t>lig betydelse för utvec</w:t>
      </w:r>
      <w:r>
        <w:t>k</w:t>
      </w:r>
      <w:r>
        <w:t>lingen av svenskt näringsliv.</w:t>
      </w:r>
    </w:p>
    <w:p w:rsidR="0003352C" w:rsidRDefault="0003352C">
      <w:r>
        <w:t>I boken Grundlagen och fastighetsrätten (1996) finner f.d. justitierådet, pr</w:t>
      </w:r>
      <w:r>
        <w:t>o</w:t>
      </w:r>
      <w:r>
        <w:t>fessor Bertil Bengtsson att minerallagen av år 1991 kan antas bygga på ta</w:t>
      </w:r>
      <w:r>
        <w:t>n</w:t>
      </w:r>
      <w:r>
        <w:t>ken att utvinning av mineral över huvud taget är av samhälleligt värde och att detta understryks på flera ställen i förarbetena. Enligt författaren måste min</w:t>
      </w:r>
      <w:r>
        <w:t>e</w:t>
      </w:r>
      <w:r>
        <w:t xml:space="preserve">rallagen tolkas som att ingreppen i enskild rätt motiveras av ett </w:t>
      </w:r>
      <w:r>
        <w:rPr>
          <w:i/>
        </w:rPr>
        <w:t xml:space="preserve">angeläget </w:t>
      </w:r>
      <w:r>
        <w:t>allmänt intresse.</w:t>
      </w:r>
    </w:p>
    <w:p w:rsidR="0003352C" w:rsidRDefault="0003352C">
      <w:pPr>
        <w:pStyle w:val="Normaltindrag"/>
      </w:pPr>
      <w:r>
        <w:t>Våren 1998 behandlade konstitutionsutskottet motioner som rörde frågor om egendomsskyddet (bet. 1997/98:KU30). Bland annat togs upp rätten till ersättning vid ingripanden av det allmänn</w:t>
      </w:r>
      <w:r>
        <w:t>a (2 kap. 18 § andra stycket RF). Enligt konstitutionsutskottets mening var det otillfredsställande att bestä</w:t>
      </w:r>
      <w:r>
        <w:t>m</w:t>
      </w:r>
      <w:r>
        <w:t>melsens ordalydelse var sådan att tolkningen av den kunde bli föremål för diskussion. Det fanns därför anledning att se över dess lydelse. Regeringen uppmanades i betänkandet att, i lämpligt sammanhang och under parlament</w:t>
      </w:r>
      <w:r>
        <w:t>a</w:t>
      </w:r>
      <w:r>
        <w:t xml:space="preserve">risk medverkan, utreda frågan om lydelsen av 2 kap. 18 § regeringsformen och i god tid före valet år 2002 återkomma till riksdagen med förslag i detta avseende. </w:t>
      </w:r>
    </w:p>
    <w:p w:rsidR="0003352C" w:rsidRDefault="0003352C">
      <w:pPr>
        <w:pStyle w:val="Normaltindrag"/>
      </w:pPr>
      <w:r>
        <w:t>I vilket sammanhan</w:t>
      </w:r>
      <w:r>
        <w:t xml:space="preserve">g frågan kommer att utredas är ännu inte klart. </w:t>
      </w:r>
    </w:p>
    <w:p w:rsidR="0003352C" w:rsidRDefault="0003352C">
      <w:pPr>
        <w:pStyle w:val="Rubrik3"/>
      </w:pPr>
      <w:bookmarkStart w:id="32" w:name="_Toc447531233"/>
      <w:r>
        <w:t>Utskottets ställningstagande</w:t>
      </w:r>
      <w:bookmarkEnd w:id="32"/>
    </w:p>
    <w:p w:rsidR="0003352C" w:rsidRDefault="0003352C">
      <w:r>
        <w:t xml:space="preserve">Utskottet konstaterar att de här upptagna motionsyrkandena på flera sätt berör balansen mellan olika krav och intressen i fråga om en gammal svensk basnäring. </w:t>
      </w:r>
    </w:p>
    <w:p w:rsidR="0003352C" w:rsidRDefault="0003352C">
      <w:pPr>
        <w:pStyle w:val="Normaltindrag"/>
      </w:pPr>
      <w:r>
        <w:t>I grunden finns ett nationellt intresse av gruvhantering och mineralindustri. Som redovisats i det föregående har den inhemska mineralutvinningen b</w:t>
      </w:r>
      <w:r>
        <w:t>e</w:t>
      </w:r>
      <w:r>
        <w:t xml:space="preserve">dömts vara viktig från såväl försörjnings- och sysselsättningssynpunkt som industriell synpunkt. Värdet av den samlade svenska mineralproduktionen uppgår till ca 15 miljarder kronor per år. Gruvnäringen har – som redan påpekats – ca 5 000 anställda i Sverige och mineral- och metallindustrin ca 50 000 anställda. Också ur ett regionalpolitiskt perspektiv har näringen stort värde. Av de 16 malmgruvor som nu är i drift är 12 belägna i Norrbottens och Västerbottens län. </w:t>
      </w:r>
    </w:p>
    <w:p w:rsidR="0003352C" w:rsidRDefault="0003352C">
      <w:pPr>
        <w:pStyle w:val="Normaltindrag"/>
      </w:pPr>
      <w:r>
        <w:t>Prospekteringen har, som tidigare nämnts</w:t>
      </w:r>
      <w:r>
        <w:t>, ökat väsentligt sedan år 1993, då systemet med kronoandel avskaffades. För närvarande är 20 % av Nor</w:t>
      </w:r>
      <w:r>
        <w:t>r</w:t>
      </w:r>
      <w:r>
        <w:t>bottens yta och 7,5 % av hela Sveriges yta föremål för undersökningstil</w:t>
      </w:r>
      <w:r>
        <w:t>l</w:t>
      </w:r>
      <w:r>
        <w:t>stånd. Undersökningstillstånd avseende enbart diamant täcker ca 4 % av Sveriges yta, med övervägande delen i Norrbotten. Det ökade intresset för prospektering har medfört att även mer tätbefolkade områden, t.ex. i södra Sverige, har blivit berörda av undersökningstillstånd. Samtidigt bör det eri</w:t>
      </w:r>
      <w:r>
        <w:t>n</w:t>
      </w:r>
      <w:r>
        <w:t>ras om att prospektering är en högriskve</w:t>
      </w:r>
      <w:r>
        <w:t>rksamhet, där en ytterst liten del av alla undersökningstillstånd leder vidare till bearbetningskoncession för en ny gruva.</w:t>
      </w:r>
    </w:p>
    <w:p w:rsidR="0003352C" w:rsidRDefault="0003352C">
      <w:pPr>
        <w:pStyle w:val="Normaltindrag"/>
      </w:pPr>
      <w:r>
        <w:t>Den utökade prospekteringen – inom delvis nya områden i Sverige – har medfört ökade spänningar mellan markägare, prospekteringsföretag och allmänna intressen. En förklaring härtill kan vara att de konkurrerande mark- intressena är fler och starkare i de nya prospekt</w:t>
      </w:r>
      <w:r>
        <w:t>e</w:t>
      </w:r>
      <w:r>
        <w:t>ringsområdena.</w:t>
      </w:r>
    </w:p>
    <w:p w:rsidR="0003352C" w:rsidRDefault="0003352C">
      <w:pPr>
        <w:pStyle w:val="Normaltindrag"/>
      </w:pPr>
      <w:r>
        <w:t>I det föregående har utskottet redovisat den av regeringen nyligen beslut</w:t>
      </w:r>
      <w:r>
        <w:t>a</w:t>
      </w:r>
      <w:r>
        <w:t>de utredningen om markägarnas rättigheter m.m. i minerallagen. Utredningen välkomnas av utskottet. Som framgått av den inledande redovisningen av direktiven till utredningen kommer många av de frågor om markägarnas rättigheter m.m. som tas upp i motionerna att bli belysta genom utrednin</w:t>
      </w:r>
      <w:r>
        <w:t>g</w:t>
      </w:r>
      <w:r>
        <w:t xml:space="preserve">en. </w:t>
      </w:r>
    </w:p>
    <w:p w:rsidR="0003352C" w:rsidRDefault="0003352C">
      <w:pPr>
        <w:pStyle w:val="Normaltindrag"/>
      </w:pPr>
      <w:r>
        <w:t>Frågan om prospektörens ersättning till markägare, kommun, länsstyrelse eller staten är ett viktigt led vid avvägningar av balansen mellan olika intre</w:t>
      </w:r>
      <w:r>
        <w:t>s</w:t>
      </w:r>
      <w:r>
        <w:t xml:space="preserve">sen. Tidigare mer generösa ersättning från prospektören till markägarna kan ha skapat en större acceptans hos markägarna att tåla intrång på den egna marken. Nuvarande ersättning för skada och intrång upptar schematiska belopp och har inte något samband med affektionsvärdet av marken (och vad däri ingår) för ägaren. </w:t>
      </w:r>
    </w:p>
    <w:p w:rsidR="0003352C" w:rsidRDefault="0003352C">
      <w:pPr>
        <w:pStyle w:val="Normaltindrag"/>
      </w:pPr>
      <w:r>
        <w:t>Mineralföretagens utveckling är beroende av prospektering. Minerallagen har just till syfte att stimulera till prospektering. Enligt utskottets uppfattning är det positivt att mineralbranschen</w:t>
      </w:r>
      <w:r>
        <w:t xml:space="preserve"> tagit egna initiativ till en gemensam uppförandekod inom branschen för att få till stånd enhetliga rutiner för pr</w:t>
      </w:r>
      <w:r>
        <w:t>o</w:t>
      </w:r>
      <w:r>
        <w:t>spe</w:t>
      </w:r>
      <w:r>
        <w:t>k</w:t>
      </w:r>
      <w:r>
        <w:t xml:space="preserve">törernas kontakter med markägarna. </w:t>
      </w:r>
    </w:p>
    <w:p w:rsidR="0003352C" w:rsidRDefault="0003352C">
      <w:pPr>
        <w:pStyle w:val="Normaltindrag"/>
      </w:pPr>
      <w:r>
        <w:t>Vidare är det viktigt att bygdens intresse och allmänintresset – bl.a. sky</w:t>
      </w:r>
      <w:r>
        <w:t>d</w:t>
      </w:r>
      <w:r>
        <w:t xml:space="preserve">det för värdefulla natur- och kulturmiljöer – kan tillvaratas på ett riktigt sätt i samband med mineralhantering. </w:t>
      </w:r>
    </w:p>
    <w:p w:rsidR="0003352C" w:rsidRDefault="0003352C">
      <w:pPr>
        <w:pStyle w:val="Normaltindrag"/>
      </w:pPr>
      <w:r>
        <w:t>Miljöaspekterna – såväl på kort som på lång sikt – måste tas på allvar. Fö</w:t>
      </w:r>
      <w:r>
        <w:t>r</w:t>
      </w:r>
      <w:r>
        <w:t xml:space="preserve">siktighetsprincipen gäller för verksamhet enligt minerallagen. Utskottet förutsätter att regeringen även fortsättningsvis driver försiktighetsprincipen i olika internationella sammanhang. </w:t>
      </w:r>
    </w:p>
    <w:p w:rsidR="0003352C" w:rsidRDefault="0003352C">
      <w:pPr>
        <w:pStyle w:val="Normaltindrag"/>
      </w:pPr>
      <w:r>
        <w:t>Inom Europa är Sverige ett stort gruvland. Räknat på metallinnehåll hade Sverige år 1995 den största gruvproduktionen i EU av bly-, guld-, silver- och järnmalm. Utskottet konstaterar att det internationella intresset för minera</w:t>
      </w:r>
      <w:r>
        <w:t>l</w:t>
      </w:r>
      <w:r>
        <w:t>prospektering i Sverige har ökat. Om och hur detta intresse har samband med den svenska minerallagstiftningens utformning, malmförekomsterna eller den svenska kompetensen på området är däremot inte klart. Därför är det angeläget med en allmän jämförelse mellan vår och konkurrerande gruvlä</w:t>
      </w:r>
      <w:r>
        <w:t>n</w:t>
      </w:r>
      <w:r>
        <w:t>ders lagstiftning, särskilt med betoning på hur markägares och exploatörers behov och rättigheter avvägs samt med avseende på skyddet för värdefulla natur- och kulturmiljöer. Utskottet ser således positivt på att dessa fr</w:t>
      </w:r>
      <w:r>
        <w:t>ågor tas upp av utre</w:t>
      </w:r>
      <w:r>
        <w:t>d</w:t>
      </w:r>
      <w:r>
        <w:t>ningen.</w:t>
      </w:r>
    </w:p>
    <w:p w:rsidR="0003352C" w:rsidRDefault="0003352C">
      <w:pPr>
        <w:pStyle w:val="Normaltindrag"/>
      </w:pPr>
      <w:r>
        <w:t>En fråga i anslutning till utredningsdirektiven gäller äganderättens innehåll för markägarna. Utskottet förutsätter att även den frågan kommer att b</w:t>
      </w:r>
      <w:r>
        <w:t>e</w:t>
      </w:r>
      <w:r>
        <w:t>handlas av utredningen. Det är nödvändigt att se över avvägningen mellan markägarnas intresse, intresset av att mineralnäringen kan utvecklas och begreppet angeläget allmänt intresse. Informationen till markägarna och möjligheterna för dessa att göra sina synpunkter kända i samband med u</w:t>
      </w:r>
      <w:r>
        <w:t>n</w:t>
      </w:r>
      <w:r>
        <w:t>dersökningstillstånd är andra aspekter på balansen mellan markägare och mineralföretag. Utskottet utgår från att samtliga informationsfrågor kommer att belysas av utrednin</w:t>
      </w:r>
      <w:r>
        <w:t>g</w:t>
      </w:r>
      <w:r>
        <w:t>en.</w:t>
      </w:r>
    </w:p>
    <w:p w:rsidR="0003352C" w:rsidRDefault="0003352C">
      <w:pPr>
        <w:pStyle w:val="Normaltindrag"/>
      </w:pPr>
      <w:r>
        <w:t>Med hänvisning till vad som anförts kan de här</w:t>
      </w:r>
      <w:r>
        <w:t xml:space="preserve"> behandlade motionsyrka</w:t>
      </w:r>
      <w:r>
        <w:t>n</w:t>
      </w:r>
      <w:r>
        <w:t>dena i det väsentliga anses vara tillgodosedda, varför de a</w:t>
      </w:r>
      <w:r>
        <w:t>v</w:t>
      </w:r>
      <w:r>
        <w:t>styrks.</w:t>
      </w:r>
    </w:p>
    <w:p w:rsidR="0003352C" w:rsidRDefault="0003352C">
      <w:pPr>
        <w:pStyle w:val="Rubrik2"/>
      </w:pPr>
      <w:bookmarkStart w:id="33" w:name="_Toc445694110"/>
      <w:bookmarkStart w:id="34" w:name="_Toc447531234"/>
      <w:r>
        <w:t>Vissa forskningsfrågor</w:t>
      </w:r>
      <w:bookmarkEnd w:id="33"/>
      <w:bookmarkEnd w:id="34"/>
    </w:p>
    <w:p w:rsidR="0003352C" w:rsidRDefault="0003352C">
      <w:pPr>
        <w:pStyle w:val="Rubrik3"/>
        <w:spacing w:before="123"/>
      </w:pPr>
      <w:bookmarkStart w:id="35" w:name="_Toc447531235"/>
      <w:r>
        <w:t>Motionen</w:t>
      </w:r>
      <w:bookmarkEnd w:id="35"/>
    </w:p>
    <w:p w:rsidR="0003352C" w:rsidRDefault="0003352C">
      <w:r>
        <w:t>I motion 1998/99:N223 (v) tas även upp olika forskningsfrågor. Motionäre</w:t>
      </w:r>
      <w:r>
        <w:t>r</w:t>
      </w:r>
      <w:r>
        <w:t>na anför att den insamlade och lagrade informationsmängden på det geol</w:t>
      </w:r>
      <w:r>
        <w:t>o</w:t>
      </w:r>
      <w:r>
        <w:t xml:space="preserve">giska området är enorm och att det är av största nationella intresse att säkra geologisk information för framtiden genom att digitalisera analoga data. Förutom prospekteringsföretag är bl.a. universitetsforskningen intresserad av sådan geologisk information. Vidare är hanteringen av gruvdokumentation efter en gruvas stängning av betydelse. Det är också av största vikt, enligt motionärerna, att följa den aktuella forskningen på området, </w:t>
      </w:r>
      <w:r>
        <w:t>bl.a. forskningen om metoder för att motverka miljöproblem vid gruvhantering. Eftersom Sverige har unika förutsättningar att vara ledande i fråga om geologisk ko</w:t>
      </w:r>
      <w:r>
        <w:t>m</w:t>
      </w:r>
      <w:r>
        <w:t>petens behövs en strategi för framtida utbildning och forskning på området.</w:t>
      </w:r>
    </w:p>
    <w:p w:rsidR="0003352C" w:rsidRDefault="0003352C">
      <w:pPr>
        <w:pStyle w:val="Rubrik3"/>
      </w:pPr>
      <w:bookmarkStart w:id="36" w:name="_Toc445694112"/>
      <w:bookmarkStart w:id="37" w:name="_Toc447531236"/>
      <w:r>
        <w:t>Vissa kompletterande uppgifter</w:t>
      </w:r>
      <w:bookmarkEnd w:id="36"/>
      <w:bookmarkEnd w:id="37"/>
    </w:p>
    <w:p w:rsidR="0003352C" w:rsidRDefault="0003352C">
      <w:pPr>
        <w:pStyle w:val="R4"/>
        <w:spacing w:before="123"/>
      </w:pPr>
      <w:r>
        <w:t>Forskningsläget</w:t>
      </w:r>
    </w:p>
    <w:p w:rsidR="0003352C" w:rsidRDefault="0003352C">
      <w:r>
        <w:t>I betänkandet Gruvorna och framtiden (SOU 1996:152) redovisade Gru</w:t>
      </w:r>
      <w:r>
        <w:t>v</w:t>
      </w:r>
      <w:r>
        <w:t>kommittén (särskild utredare: f.d. landshövdingen Görel Bohlin) bl.a. läget beträffande forskning och utveckling inom gruvnäringen och lade fram vissa förslag på detta område. Här följer en kort sammanfattning av Gruvkommi</w:t>
      </w:r>
      <w:r>
        <w:t>t</w:t>
      </w:r>
      <w:r>
        <w:t>téns betänkande i denna del (s. 77 f).</w:t>
      </w:r>
    </w:p>
    <w:p w:rsidR="0003352C" w:rsidRDefault="0003352C">
      <w:pPr>
        <w:pStyle w:val="Normaltindrag"/>
      </w:pPr>
      <w:r>
        <w:t>Kompetensförsörjningen på högskolenivå till gruv- och mineralindustrin finns dels vid Tekniska högskolan i Luleå (numera Luleå tekniska univers</w:t>
      </w:r>
      <w:r>
        <w:t>i</w:t>
      </w:r>
      <w:r>
        <w:t>tet), dels vid Bergsskolan i Filipstad. År 1992 lades emellertid den samma</w:t>
      </w:r>
      <w:r>
        <w:t>n</w:t>
      </w:r>
      <w:r>
        <w:t>hållna bergsingenjörsutbildningen vid geoteknologilinjen i Luleå ned ber</w:t>
      </w:r>
      <w:r>
        <w:t>o</w:t>
      </w:r>
      <w:r>
        <w:t>ende på att elevunderlaget sviktat. Motsvarande ämnen kom därefter att ingå i ett antal olika civilingenjörsutbildningar. Huvudman för Bergsskolan i Filipstad var Jernkontoret, Landstinget i Värmland och Filipstads kommun. Numera ingår högskoleutbildningen inom Bergsskolan i Högskolan Dalarna, är treårig och finansieras med statliga m</w:t>
      </w:r>
      <w:r>
        <w:t>e</w:t>
      </w:r>
      <w:r>
        <w:t>del.</w:t>
      </w:r>
    </w:p>
    <w:p w:rsidR="0003352C" w:rsidRDefault="0003352C">
      <w:pPr>
        <w:pStyle w:val="Normaltindrag"/>
      </w:pPr>
      <w:r>
        <w:t>I betänkandet redovis</w:t>
      </w:r>
      <w:r>
        <w:t>as den dåvarande forskningen för prospektering, bergteknik och mineralteknik-metallurgi samt forskningen kring restprodu</w:t>
      </w:r>
      <w:r>
        <w:t>k</w:t>
      </w:r>
      <w:r>
        <w:t>ter och recirkulation. I Sverige fanns det enligt kommittén brister inom forskningen för prospektering. Tre internationella utvärderingsgrupper hade samstämmigt konstaterat brister i den svenska malmgeologiska forskningen. Dels borde den geologiska karteringen bedrivas i en högre takt, dels borde den malmgeologiska forskningen förstärkas, framhölls det i betänka</w:t>
      </w:r>
      <w:r>
        <w:t>n</w:t>
      </w:r>
      <w:r>
        <w:t xml:space="preserve">det. </w:t>
      </w:r>
    </w:p>
    <w:p w:rsidR="0003352C" w:rsidRDefault="0003352C">
      <w:pPr>
        <w:pStyle w:val="Normaltindrag"/>
      </w:pPr>
      <w:r>
        <w:t>Bland de förändringa</w:t>
      </w:r>
      <w:r>
        <w:t>r som just var på gång nämns i betänkandet upprä</w:t>
      </w:r>
      <w:r>
        <w:t>t</w:t>
      </w:r>
      <w:r>
        <w:t>tandet av ett malmgeologiskt centrum i Luleå. Detta centrum bygger på ett avtal mellan Tekniska högskolan i Luleå och Stiftelsen Mineralindustrins teknikutveckling (bildat av ett antal företag inom gruvnäringen). Avsikten är att förbättra den svenska kompetensen på det malmgeologiska området. Verksamheten, som startade under år 1996, har inledningsvis även fått stöd från Närings- och teknikutvecklingsverket (NUTEK). För verksamheten efter år 1999 är finansier</w:t>
      </w:r>
      <w:r>
        <w:t>ingsfrågan inte ordnad.</w:t>
      </w:r>
    </w:p>
    <w:p w:rsidR="0003352C" w:rsidRDefault="0003352C">
      <w:pPr>
        <w:pStyle w:val="Normaltindrag"/>
      </w:pPr>
      <w:r>
        <w:t>Det nämns vidare i betänkandet att Tekniska högskolan i Luleå – vid en jämförelse med andra gruvskolor i Europa – hade bra resurser och god ele</w:t>
      </w:r>
      <w:r>
        <w:t>v</w:t>
      </w:r>
      <w:r>
        <w:t>tillströmning. Högskolan utpekade i sin långsiktiga strategi råvaruutvinning och återvinning som en strategisk s.k. forskningsar</w:t>
      </w:r>
      <w:r>
        <w:t>e</w:t>
      </w:r>
      <w:r>
        <w:t>na.</w:t>
      </w:r>
    </w:p>
    <w:p w:rsidR="0003352C" w:rsidRDefault="0003352C">
      <w:pPr>
        <w:pStyle w:val="Normaltindrag"/>
      </w:pPr>
      <w:r>
        <w:t>Utredningens förslag innebar bl.a. att en professur i malmgeologi skulle inrättas och att professuren i tillämpad geofysik skulle återinrättas vid Te</w:t>
      </w:r>
      <w:r>
        <w:t>k</w:t>
      </w:r>
      <w:r>
        <w:t>niska högskolan i Luleå samt att ett särskilt forskningsprogram i anslutning till forskarutbildningen skulle utarbetas i samverkan mellan gruvnäringen och högskolan.</w:t>
      </w:r>
    </w:p>
    <w:p w:rsidR="0003352C" w:rsidRDefault="0003352C">
      <w:pPr>
        <w:pStyle w:val="Normaltindrag"/>
      </w:pPr>
      <w:r>
        <w:t>Förslagen beträffande forskning och utveckling inom malmgeologi har ä</w:t>
      </w:r>
      <w:r>
        <w:t>n</w:t>
      </w:r>
      <w:r>
        <w:t xml:space="preserve">nu inte genomförts. Enligt information från SGU är Sverige – trots att vi intar en ledande ställning inom EU som råvaruproducent på detta område – ett av de få gruvländer i världen som saknar en professur i malmgeologi. Någon framtida långsiktig strategi för den malmgeologiska forskningen i landet har inte presenterats enligt uppgift från SGU. </w:t>
      </w:r>
    </w:p>
    <w:p w:rsidR="0003352C" w:rsidRDefault="0003352C">
      <w:pPr>
        <w:pStyle w:val="Normaltindrag"/>
      </w:pPr>
      <w:r>
        <w:t xml:space="preserve">Vissa forskningsmedel på det geovetenskapliga området handhas av SGU. Dessa forskningsmedel har behandlats i utskottets betänkanden 1997/98:NU1 och 1998/99:NU1 och </w:t>
      </w:r>
      <w:r>
        <w:t>rör anslaget till geovetenskaplig forskning under utgiftsområde 24 Näringsliv. Anslaget – på 4,7 miljoner kronor år 1998 respektive 4,8 miljoner kronor år 1999 – avser att främja och stödja riktad geovetenskaplig grundforskning och tillämpad forskning. Enligt vad som sades i det förstnämnda utskottsbetänkandet bör det övergripande målet för den berörda forskningen vara att förstärka möjligheterna att tillgodose sa</w:t>
      </w:r>
      <w:r>
        <w:t>m</w:t>
      </w:r>
      <w:r>
        <w:t>hällets behov av geovetenskaplig information om berg, jord och grundvatten inom SGU:s ansvarso</w:t>
      </w:r>
      <w:r>
        <w:t>mråde. Vidare redovisades att det var regeringens mening att 1 miljon kronor av anslaget borde användas för stöd till prospe</w:t>
      </w:r>
      <w:r>
        <w:t>k</w:t>
      </w:r>
      <w:r>
        <w:t>teringsinriktad, malmgeologisk forskning. I det sistnämnda betänkandet konstateras att genom de medel som år 1998 avsatts för prospekteringsinri</w:t>
      </w:r>
      <w:r>
        <w:t>k</w:t>
      </w:r>
      <w:r>
        <w:t>tad malmgeologisk forskning kan viss verksamhet på detta område stimul</w:t>
      </w:r>
      <w:r>
        <w:t>e</w:t>
      </w:r>
      <w:r>
        <w:t xml:space="preserve">ras under år 1999. </w:t>
      </w:r>
    </w:p>
    <w:p w:rsidR="0003352C" w:rsidRDefault="0003352C">
      <w:pPr>
        <w:pStyle w:val="Normaltindrag"/>
      </w:pPr>
      <w:r>
        <w:t xml:space="preserve">Enligt information från SGU har myndigheten under åren 1998 och 1999 delat ut 1 miljon kronor vardera året för detta ändamål. </w:t>
      </w:r>
    </w:p>
    <w:p w:rsidR="0003352C" w:rsidRDefault="0003352C">
      <w:pPr>
        <w:pStyle w:val="R4"/>
      </w:pPr>
      <w:r>
        <w:t xml:space="preserve">Digitalisering </w:t>
      </w:r>
    </w:p>
    <w:p w:rsidR="0003352C" w:rsidRDefault="0003352C">
      <w:r>
        <w:t>I det tidigare nämnda utredningsbetänkandet Gruvorna och framtiden erinras om att det finns ett mycket stort arkiv med geovetenskaplig information hos SGU. Arkivet är i viss utsträckning digitaliserat. Även borrkärnearkivet hos SGU:s informationskontor i Malå föreligger i ökande utsträckning i digital form. Enligt information som nu inhämtats från SGU finns trots detta ett stort inform</w:t>
      </w:r>
      <w:r>
        <w:t>a</w:t>
      </w:r>
      <w:r>
        <w:t xml:space="preserve">tionsmaterial i SGU:s arkiv som ännu inte är digitaliserat. </w:t>
      </w:r>
    </w:p>
    <w:p w:rsidR="0003352C" w:rsidRDefault="0003352C">
      <w:pPr>
        <w:pStyle w:val="Normaltindrag"/>
      </w:pPr>
      <w:r>
        <w:t>Regeringen uppdrog i februari 1998 åt SGU att under år 1998 genomföra ökad baskartering i regionalpolitiskt prioriterade områden motsvarande en kostnad på 6 miljoner kronor. Detta uppdrag har i slutet av februari 1999 avrapporterats till regeringen. Ett antal av de ingående projekten inom up</w:t>
      </w:r>
      <w:r>
        <w:t>p</w:t>
      </w:r>
      <w:r>
        <w:t>dragets ram har resulterat i uppbyggnad av databaser med digitalisering av kartor. I första hand har dessa projekt omfattat norra Norrbotten, Skelleft</w:t>
      </w:r>
      <w:r>
        <w:t>e</w:t>
      </w:r>
      <w:r>
        <w:t>fältet och Bergslagen. Digitaliseringsarbete har även utförts för att få en översiktlig rikstäckande fyndighetsdatabas. Denna databas handhas av SGU:s inform</w:t>
      </w:r>
      <w:r>
        <w:t>a</w:t>
      </w:r>
      <w:r>
        <w:t>tionskontor i Malå.</w:t>
      </w:r>
    </w:p>
    <w:p w:rsidR="0003352C" w:rsidRDefault="0003352C">
      <w:pPr>
        <w:pStyle w:val="Normaltindrag"/>
      </w:pPr>
      <w:r>
        <w:t xml:space="preserve">I regleringsbrevet för SGU för år 1999 anges att målet är att det år 2008 skall finnas digitala baser med geologisk information om berggrunden i hela landet. Denna information skall </w:t>
      </w:r>
      <w:r>
        <w:t>vidare innehålla uppgifter om olika jorda</w:t>
      </w:r>
      <w:r>
        <w:t>r</w:t>
      </w:r>
      <w:r>
        <w:t>ters förekomst och utbredning i hela landet, inklusive kontinentalsockeln, om viktigare grundvattenmagasin i hela landet m.m.</w:t>
      </w:r>
    </w:p>
    <w:p w:rsidR="0003352C" w:rsidRDefault="0003352C">
      <w:pPr>
        <w:pStyle w:val="R4"/>
      </w:pPr>
      <w:r>
        <w:t>Dokumentation av gruvdrift</w:t>
      </w:r>
    </w:p>
    <w:p w:rsidR="0003352C" w:rsidRDefault="0003352C">
      <w:r>
        <w:t>Minerallagen (14 kap.) innehåller regler angående skyldigheten att upprätta karta och föra journal m.m. vid gruvhantering. Efterhand som gruvarbetet framskrider skall gruvdriften successivt dokumenteras genom att gruvkartor upprättas av koncessionshavaren. Gruvkartorna visar dels vilka hålrum som gjorts i berget, dels geologin.</w:t>
      </w:r>
    </w:p>
    <w:p w:rsidR="0003352C" w:rsidRDefault="0003352C">
      <w:pPr>
        <w:pStyle w:val="Normaltindrag"/>
      </w:pPr>
      <w:r>
        <w:t>När brytningen i en gruva avslutats skall en slutlig gruvkarta lämnas till bergmästaren. Den innehåller en mängd kartor i olika snitt genom gruvan, vilket ger en tredimensionell bild. Därutöver finns en beskrivande del med ytterligare dokumentation om gruvdriften, geologin m.m. Gruvor och mo</w:t>
      </w:r>
      <w:r>
        <w:t>t</w:t>
      </w:r>
      <w:r>
        <w:t>svarande anläggningar får inte utan tillstånd läggas ned förrän alla gruvarb</w:t>
      </w:r>
      <w:r>
        <w:t>e</w:t>
      </w:r>
      <w:r>
        <w:t>ten har blivit inmätta och inlagda på karta.</w:t>
      </w:r>
    </w:p>
    <w:p w:rsidR="0003352C" w:rsidRDefault="0003352C">
      <w:pPr>
        <w:pStyle w:val="Rubrik3"/>
      </w:pPr>
      <w:bookmarkStart w:id="38" w:name="_Toc447531237"/>
      <w:r>
        <w:t>Utskottets ställningstagande</w:t>
      </w:r>
      <w:bookmarkEnd w:id="38"/>
    </w:p>
    <w:p w:rsidR="0003352C" w:rsidRDefault="0003352C">
      <w:r>
        <w:t>Utskottet anser i likhet med de uppfattningar som förs fram i motion 1998/99:N223 (v) att forskningsfrågorna kring mineralhanteringen är viktiga. Med hänsyn till Sveriges starka ställning som gruvnation inom Europa är det nödvändigt med forskning och utveckling för att bibehålla kompetens och konkurrenskraft på sikt. I ett europeiskt och internationellt perspektiv har Sverige unika förutsättningar att vara ledande i fråga om geologisk komp</w:t>
      </w:r>
      <w:r>
        <w:t>e</w:t>
      </w:r>
      <w:r>
        <w:t>tens. Detta förhållande bör rimligen beaktas i fråga om den framtida inrik</w:t>
      </w:r>
      <w:r>
        <w:t>t</w:t>
      </w:r>
      <w:r>
        <w:t xml:space="preserve">ningen av forskningspolitiken, där geovetenskap bör ha ett givet utrymme. Samma sak bör gälla frågan om miljöforskning i gruvsammanhang. I detta avseende bör det forskningsprogram som Stiftelsen för Miljöstrategisk forskning (MISTRA) har initierat, noga följas. Frågor som tas upp i den här aktuella motionen är också under utveckling enligt vad som tidigare har redovisats. Inte minst nya datatekniker gör att den ökande kunskaps- och </w:t>
      </w:r>
      <w:r>
        <w:t>informationsmängden kan systematiseras och göras tillgänglig till lägre kostnader än tid</w:t>
      </w:r>
      <w:r>
        <w:t>i</w:t>
      </w:r>
      <w:r>
        <w:t>gare.</w:t>
      </w:r>
    </w:p>
    <w:p w:rsidR="0003352C" w:rsidRDefault="0003352C">
      <w:pPr>
        <w:pStyle w:val="Normaltindrag"/>
      </w:pPr>
      <w:r>
        <w:t>Utskottet vill slutligen peka på att frågan om ökad kompetens i geovete</w:t>
      </w:r>
      <w:r>
        <w:t>n</w:t>
      </w:r>
      <w:r>
        <w:t>skap nyligen varit föremål för en fråga (1998/99:303) i riksdagen av Lennart Gustavsson (v). Statsrådet Mona Sahlin svarade bl.a. att det finns ett bra samarbete mellan Luleå tekniska universitet, industrin och olika forskning</w:t>
      </w:r>
      <w:r>
        <w:t>s</w:t>
      </w:r>
      <w:r>
        <w:t>stiftelser som stärker kompetensutvecklingen i malmgeologi, mineralteknik, metallurgi och bergteknik vid universitetet. Vidare informerade statsrådet om att regeringen kommer att överväga den nationella kompetensen inom ge</w:t>
      </w:r>
      <w:r>
        <w:t>o</w:t>
      </w:r>
      <w:r>
        <w:t xml:space="preserve">vetenskap, bl.a. för gruvnäringens behov. Denna fråga kommer </w:t>
      </w:r>
      <w:r>
        <w:t>enligt stat</w:t>
      </w:r>
      <w:r>
        <w:t>s</w:t>
      </w:r>
      <w:r>
        <w:t>rådet att beredas i samband med den forskningspolitiska proposition som planeras till våren 2000.</w:t>
      </w:r>
    </w:p>
    <w:p w:rsidR="0003352C" w:rsidRDefault="0003352C">
      <w:pPr>
        <w:pStyle w:val="Normaltindrag"/>
      </w:pPr>
      <w:r>
        <w:t>Något behov av ett riksdagsuttalande beträffande det här aktuella området kan utskottet inte se och a</w:t>
      </w:r>
      <w:r>
        <w:t>v</w:t>
      </w:r>
      <w:r>
        <w:t>styrker därmed motionen i berörda delar.</w:t>
      </w:r>
    </w:p>
    <w:p w:rsidR="0003352C" w:rsidRDefault="0003352C">
      <w:pPr>
        <w:pStyle w:val="Rubrik2"/>
      </w:pPr>
      <w:bookmarkStart w:id="39" w:name="_Toc447531238"/>
      <w:r>
        <w:t>Hemställan</w:t>
      </w:r>
      <w:bookmarkEnd w:id="39"/>
    </w:p>
    <w:p w:rsidR="0003352C" w:rsidRDefault="0003352C">
      <w:r>
        <w:t>Utskottet hemställer</w:t>
      </w:r>
    </w:p>
    <w:p w:rsidR="0003352C" w:rsidRDefault="0003352C">
      <w:pPr>
        <w:pStyle w:val="hembetr"/>
        <w:rPr>
          <w:i/>
        </w:rPr>
      </w:pPr>
      <w:r>
        <w:t xml:space="preserve">1. beträffande </w:t>
      </w:r>
      <w:r>
        <w:rPr>
          <w:i/>
        </w:rPr>
        <w:t>i</w:t>
      </w:r>
      <w:r>
        <w:rPr>
          <w:i/>
          <w:noProof/>
        </w:rPr>
        <w:t>ntressebalansen mellan minerallagen och enskilda och allmänna intressen</w:t>
      </w:r>
    </w:p>
    <w:p w:rsidR="0003352C" w:rsidRDefault="0003352C">
      <w:pPr>
        <w:pStyle w:val="hemtext"/>
      </w:pPr>
      <w:bookmarkStart w:id="40" w:name="Nästa_Hpunkt"/>
      <w:bookmarkEnd w:id="40"/>
      <w:r>
        <w:t>att riksdagen avslår motionerna 1998/99:MJ777 yrkande 3, 1998/99: N201, 1998/99:N204, 1998/99:N209, 1998/99:N211, 1998/99:N223 yrkandena 1 och 2, 1998/99:N243, 1998/99:N262, 1998/99:N276, 1998/99:N304, 1998/99:N309, 1998/99:N318 och 1998/99:N324,</w:t>
      </w:r>
    </w:p>
    <w:p w:rsidR="0003352C" w:rsidRDefault="0003352C">
      <w:pPr>
        <w:pStyle w:val="Reseftermom"/>
      </w:pPr>
      <w:r>
        <w:t>res. (mp)</w:t>
      </w:r>
    </w:p>
    <w:p w:rsidR="0003352C" w:rsidRDefault="0003352C">
      <w:pPr>
        <w:pStyle w:val="hembetr"/>
        <w:rPr>
          <w:i/>
        </w:rPr>
      </w:pPr>
      <w:r>
        <w:t xml:space="preserve">2. beträffande </w:t>
      </w:r>
      <w:r>
        <w:rPr>
          <w:i/>
        </w:rPr>
        <w:t>vissa forskningsfrågor</w:t>
      </w:r>
    </w:p>
    <w:p w:rsidR="0003352C" w:rsidRDefault="0003352C">
      <w:pPr>
        <w:pStyle w:val="hemtext"/>
      </w:pPr>
      <w:r>
        <w:t>att riksdagen avslår motion 1998/99:N223 yrkandena 3–6.</w:t>
      </w:r>
    </w:p>
    <w:p w:rsidR="0003352C" w:rsidRDefault="0003352C">
      <w:pPr>
        <w:pStyle w:val="Stockholm"/>
      </w:pPr>
      <w:r>
        <w:t>Stockholm den 25 mars 1999</w:t>
      </w:r>
    </w:p>
    <w:p w:rsidR="0003352C" w:rsidRDefault="0003352C">
      <w:pPr>
        <w:pStyle w:val="Vgnar"/>
      </w:pPr>
      <w:r>
        <w:t>På näringsutskottets vägnar</w:t>
      </w:r>
    </w:p>
    <w:p w:rsidR="0003352C" w:rsidRDefault="0003352C">
      <w:pPr>
        <w:pStyle w:val="Ordfnamn"/>
      </w:pPr>
      <w:bookmarkStart w:id="41" w:name="Ordförande"/>
      <w:bookmarkEnd w:id="41"/>
      <w:r>
        <w:t xml:space="preserve">Per Westerberg </w:t>
      </w:r>
    </w:p>
    <w:p w:rsidR="0003352C" w:rsidRDefault="0003352C">
      <w:pPr>
        <w:pStyle w:val="Deltagare"/>
        <w:spacing w:before="400"/>
      </w:pPr>
      <w:bookmarkStart w:id="42" w:name="Deltagare"/>
      <w:bookmarkEnd w:id="42"/>
      <w:r>
        <w:t>I beslutet har deltagit: Per Westerberg (m), Barbro Andersson Öhrn (s), Mats Lindberg (s), Lennart Beijer (v), Göran Hägglund (kd), Karin Falkmer (m), Ola Karlsson (m), Nils-Göran Holmqvist (s), Marie Granlund (s), Ola Su</w:t>
      </w:r>
      <w:r>
        <w:t>n</w:t>
      </w:r>
      <w:r>
        <w:t>dell (m), Ingegerd Saarinen (mp), Anne Ludvigsson (s), Karl Gustav Abramsson (s), Harald Bergström (kd), Lennart Gustavsson (v), Birgitta Carlsson (c) och Runar Patriksson (fp).</w:t>
      </w:r>
    </w:p>
    <w:p w:rsidR="0003352C" w:rsidRDefault="0003352C">
      <w:pPr>
        <w:pStyle w:val="Rubrik1"/>
      </w:pPr>
      <w:bookmarkStart w:id="43" w:name="_Toc447531239"/>
      <w:r>
        <w:t>Reservation</w:t>
      </w:r>
      <w:bookmarkEnd w:id="43"/>
    </w:p>
    <w:p w:rsidR="0003352C" w:rsidRDefault="0003352C">
      <w:pPr>
        <w:pStyle w:val="Rubrik2"/>
        <w:spacing w:before="123"/>
      </w:pPr>
      <w:bookmarkStart w:id="44" w:name="_Toc447531240"/>
      <w:r>
        <w:t>Intressebalansen mellan minerallagen och enskilda och allmänna intressen (mom. 1)</w:t>
      </w:r>
      <w:bookmarkEnd w:id="44"/>
    </w:p>
    <w:p w:rsidR="0003352C" w:rsidRDefault="0003352C">
      <w:r>
        <w:t>Ingegerd Saarinen (mp) anser</w:t>
      </w:r>
    </w:p>
    <w:p w:rsidR="0003352C" w:rsidRDefault="0003352C">
      <w:r>
        <w:rPr>
          <w:i/>
        </w:rPr>
        <w:t>dels</w:t>
      </w:r>
      <w:r>
        <w:t xml:space="preserve"> att utskottets ställningstagande i avsnittet om intressebalansen mellan minerallagen och enskilda och allmänna intressen bort ha följande lydelse:</w:t>
      </w:r>
    </w:p>
    <w:p w:rsidR="0003352C" w:rsidRDefault="0003352C">
      <w:pPr>
        <w:pStyle w:val="Normaltindrag"/>
      </w:pPr>
      <w:r>
        <w:t xml:space="preserve">Utskottet konstaterar att de här upptagna motionsyrkandena på flera sätt berör balansen mellan olika krav och intressen i fråga om en gammal svensk basnäring. </w:t>
      </w:r>
    </w:p>
    <w:p w:rsidR="0003352C" w:rsidRDefault="0003352C">
      <w:pPr>
        <w:pStyle w:val="Normaltindrag"/>
      </w:pPr>
      <w:r>
        <w:t>Sedan gammalt har det funnits ett nationellt intresse av gruvhantering och mineralindustri. Som har redovisats i det föregående har den inhemska min</w:t>
      </w:r>
      <w:r>
        <w:t>e</w:t>
      </w:r>
      <w:r>
        <w:t>ralutvinningen bedömts vara viktig från såväl försörjnings- och sysselsät</w:t>
      </w:r>
      <w:r>
        <w:t>t</w:t>
      </w:r>
      <w:r>
        <w:t>ningssynpunkt som industriell synpunkt. Värdet av den samlade svenska mineralproduktionen uppgår till ca 15 miljarder kronor per år. Gruvnäringen har – som tidigare nämnts – ca 5 000 anställda i Sverige och mineral- och metallindustrin ca 50 000 anställda. Också ur ett regionalpolitiskt perspektiv har näringen stort värde. Av de 16 malmgruvor som nu är i drift är 12 belä</w:t>
      </w:r>
      <w:r>
        <w:t>g</w:t>
      </w:r>
      <w:r>
        <w:t>na i Norrbottens och Västerbo</w:t>
      </w:r>
      <w:r>
        <w:t>t</w:t>
      </w:r>
      <w:r>
        <w:t>tens län.</w:t>
      </w:r>
    </w:p>
    <w:p w:rsidR="0003352C" w:rsidRDefault="0003352C">
      <w:pPr>
        <w:pStyle w:val="Normaltindrag"/>
      </w:pPr>
      <w:r>
        <w:t>Markägarnas rätt att rå</w:t>
      </w:r>
      <w:r>
        <w:t>da över sin egendom och bedriva verksamhet där är odiskutabel och kan endast begränsas av angelägna allmänna intressen. E</w:t>
      </w:r>
      <w:r>
        <w:t>n</w:t>
      </w:r>
      <w:r>
        <w:t>ligt utskottets mening utgör emellertid inte prospektering och mineralhant</w:t>
      </w:r>
      <w:r>
        <w:t>e</w:t>
      </w:r>
      <w:r>
        <w:t>ring något angeläget allmänt intresse. Den nu beslutade utredningen om markägarnas rättigheter m.m. i minerallagen bör därför syfta till en ny or</w:t>
      </w:r>
      <w:r>
        <w:t>d</w:t>
      </w:r>
      <w:r>
        <w:t>ning med vetorätt för markägarna mot pr</w:t>
      </w:r>
      <w:r>
        <w:t>o</w:t>
      </w:r>
      <w:r>
        <w:t>spektering.</w:t>
      </w:r>
    </w:p>
    <w:p w:rsidR="0003352C" w:rsidRDefault="0003352C">
      <w:pPr>
        <w:pStyle w:val="Normaltindrag"/>
      </w:pPr>
      <w:r>
        <w:t>Vid sidan av äganderättsfrågorna är frågan om ersättning såväl till mar</w:t>
      </w:r>
      <w:r>
        <w:t>k</w:t>
      </w:r>
      <w:r>
        <w:t>ägare som till kommun, länsstyrelse och staten en viktig fråga vid avvä</w:t>
      </w:r>
      <w:r>
        <w:t>g</w:t>
      </w:r>
      <w:r>
        <w:t>ningar av intressebalansen. Utredningen bör se på hur stora andelar av den uppkomna vinsten från exploatering som skall tillfalla staten, kommunen och/eller mar</w:t>
      </w:r>
      <w:r>
        <w:t>k</w:t>
      </w:r>
      <w:r>
        <w:t>ägaren.</w:t>
      </w:r>
    </w:p>
    <w:p w:rsidR="0003352C" w:rsidRDefault="0003352C">
      <w:pPr>
        <w:pStyle w:val="Normaltindrag"/>
      </w:pPr>
      <w:r>
        <w:t>Vidare är det viktigt att bygdens intresse och allmänintresset – bl.a. sky</w:t>
      </w:r>
      <w:r>
        <w:t>d</w:t>
      </w:r>
      <w:r>
        <w:t>det för värdefulla natur- och kulturmiljöer – kan tillvaratas på ett riktigt sätt i samband med mineralhantering. Utöver markägarnas vetorätt bör därför även stat och kommun, var och en för sig, ha vetorätt mot undersökningstil</w:t>
      </w:r>
      <w:r>
        <w:t>l</w:t>
      </w:r>
      <w:r>
        <w:t>stånd.</w:t>
      </w:r>
    </w:p>
    <w:p w:rsidR="0003352C" w:rsidRDefault="0003352C">
      <w:pPr>
        <w:pStyle w:val="Normaltindrag"/>
      </w:pPr>
      <w:r>
        <w:t>Miljöaspekterna – såväl på kort som på lång sikt – måste tas på allvar. Fö</w:t>
      </w:r>
      <w:r>
        <w:t>r</w:t>
      </w:r>
      <w:r>
        <w:t>siktighetsprincipen skall gälla fullt ut. Finns det hot mot t.ex. grundvattnet, den biologiska mångfalden eller liknande skall tillstånd inte ges. Vid sidan av de nationella intressena bör även de globala hushållningsaspekterna b</w:t>
      </w:r>
      <w:r>
        <w:t>e</w:t>
      </w:r>
      <w:r>
        <w:t>aktas.</w:t>
      </w:r>
    </w:p>
    <w:p w:rsidR="0003352C" w:rsidRDefault="0003352C">
      <w:pPr>
        <w:pStyle w:val="Normaltindrag"/>
      </w:pPr>
      <w:r>
        <w:t>Utskottet anser att utredningen bör få tilläggsdirektiv enligt ovan angivna riktlinjer, vilket regeringen bör ges till känna. Med hänvisning till vad som anförts tillstyrker utskottet motion 1998/99:N204 (mp). Övriga motioner avstyrks i den mån de inte tillgodoses genom uts</w:t>
      </w:r>
      <w:r>
        <w:t>kottets ställningstagande.</w:t>
      </w:r>
    </w:p>
    <w:p w:rsidR="0003352C" w:rsidRDefault="0003352C">
      <w:r>
        <w:rPr>
          <w:i/>
        </w:rPr>
        <w:t>del</w:t>
      </w:r>
      <w:r>
        <w:t>s att utskottets hemställan under 1 bort ha följande lydelse:</w:t>
      </w:r>
    </w:p>
    <w:p w:rsidR="0003352C" w:rsidRDefault="0003352C">
      <w:pPr>
        <w:pStyle w:val="hembetr"/>
        <w:rPr>
          <w:i/>
        </w:rPr>
      </w:pPr>
      <w:r>
        <w:t xml:space="preserve">1. beträffande </w:t>
      </w:r>
      <w:r>
        <w:rPr>
          <w:i/>
        </w:rPr>
        <w:t>i</w:t>
      </w:r>
      <w:r>
        <w:rPr>
          <w:i/>
          <w:noProof/>
        </w:rPr>
        <w:t>ntressebalansen mellan minerallagen och enskilda och allmänna intressen</w:t>
      </w:r>
    </w:p>
    <w:p w:rsidR="0003352C" w:rsidRDefault="0003352C">
      <w:pPr>
        <w:pStyle w:val="hemtext"/>
      </w:pPr>
      <w:r>
        <w:t>att riksdagen med bifall till motion 1998/99:N204 och med avslag på motionerna 1998/99:MJ777 yrkande 3, 1998/99:N201, 1998/99:N209, 1998/99:N211, 1998/99:N223 yrkandena 1 och 2, 1998/99:N243, 1998/99:N262, 1998/99:N276, 1998/99:N304, 1998/99:N309, 1998/99:N318 och 1998/99:N324 som sin mening ger regeringen till känna vad utskottet anfört.</w:t>
      </w:r>
    </w:p>
    <w:p w:rsidR="0003352C" w:rsidRDefault="0003352C">
      <w:pPr>
        <w:pStyle w:val="Normaltindrag"/>
      </w:pPr>
    </w:p>
    <w:p w:rsidR="0003352C" w:rsidRDefault="0003352C">
      <w:bookmarkStart w:id="45" w:name="Nästa_Reservation"/>
      <w:bookmarkEnd w:id="45"/>
    </w:p>
    <w:p w:rsidR="0003352C" w:rsidRDefault="0003352C">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03352C" w:rsidRDefault="0003352C">
      <w:pPr>
        <w:pStyle w:val="Innehll"/>
      </w:pPr>
      <w:r>
        <w:t>Innehållsförteckning</w:t>
      </w:r>
    </w:p>
    <w:p w:rsidR="0003352C" w:rsidRDefault="0003352C">
      <w:pPr>
        <w:pStyle w:val="Innehll1"/>
        <w:rPr>
          <w:noProof/>
        </w:rPr>
      </w:pPr>
      <w:r>
        <w:rPr>
          <w:noProof/>
        </w:rPr>
        <w:t>Ärendet</w:t>
      </w:r>
      <w:r>
        <w:rPr>
          <w:noProof/>
        </w:rPr>
        <w:tab/>
        <w:t>1</w:t>
      </w:r>
    </w:p>
    <w:p w:rsidR="0003352C" w:rsidRDefault="0003352C">
      <w:pPr>
        <w:pStyle w:val="Innehll1"/>
        <w:rPr>
          <w:noProof/>
        </w:rPr>
      </w:pPr>
      <w:r>
        <w:rPr>
          <w:noProof/>
        </w:rPr>
        <w:t>Sammanfattning</w:t>
      </w:r>
      <w:r>
        <w:rPr>
          <w:noProof/>
        </w:rPr>
        <w:tab/>
        <w:t>1</w:t>
      </w:r>
    </w:p>
    <w:p w:rsidR="0003352C" w:rsidRDefault="0003352C">
      <w:pPr>
        <w:pStyle w:val="Innehll1"/>
        <w:rPr>
          <w:noProof/>
        </w:rPr>
      </w:pPr>
      <w:r>
        <w:rPr>
          <w:noProof/>
        </w:rPr>
        <w:t>Motionerna</w:t>
      </w:r>
      <w:r>
        <w:rPr>
          <w:noProof/>
        </w:rPr>
        <w:tab/>
        <w:t>1</w:t>
      </w:r>
    </w:p>
    <w:p w:rsidR="0003352C" w:rsidRDefault="0003352C">
      <w:pPr>
        <w:pStyle w:val="Innehll1"/>
        <w:rPr>
          <w:noProof/>
        </w:rPr>
      </w:pPr>
      <w:r>
        <w:rPr>
          <w:noProof/>
        </w:rPr>
        <w:t>Utskottet</w:t>
      </w:r>
      <w:r>
        <w:rPr>
          <w:noProof/>
        </w:rPr>
        <w:tab/>
        <w:t>3</w:t>
      </w:r>
    </w:p>
    <w:p w:rsidR="0003352C" w:rsidRDefault="0003352C">
      <w:pPr>
        <w:pStyle w:val="Innehll2"/>
        <w:rPr>
          <w:noProof/>
        </w:rPr>
      </w:pPr>
      <w:r>
        <w:rPr>
          <w:noProof/>
        </w:rPr>
        <w:t>Bakgrund</w:t>
      </w:r>
      <w:r>
        <w:rPr>
          <w:noProof/>
        </w:rPr>
        <w:tab/>
        <w:t>3</w:t>
      </w:r>
    </w:p>
    <w:p w:rsidR="0003352C" w:rsidRDefault="0003352C">
      <w:pPr>
        <w:pStyle w:val="Innehll3"/>
        <w:rPr>
          <w:noProof/>
        </w:rPr>
      </w:pPr>
      <w:r>
        <w:rPr>
          <w:noProof/>
        </w:rPr>
        <w:t>Lagstiftningen på mineralområdet</w:t>
      </w:r>
      <w:r>
        <w:rPr>
          <w:noProof/>
        </w:rPr>
        <w:tab/>
        <w:t>3</w:t>
      </w:r>
    </w:p>
    <w:p w:rsidR="0003352C" w:rsidRDefault="0003352C">
      <w:pPr>
        <w:pStyle w:val="Innehll3"/>
        <w:rPr>
          <w:noProof/>
        </w:rPr>
      </w:pPr>
      <w:r>
        <w:rPr>
          <w:noProof/>
        </w:rPr>
        <w:t>Utredning om markägarnas rättigheter m.m. i minerallagen</w:t>
      </w:r>
      <w:r>
        <w:rPr>
          <w:noProof/>
        </w:rPr>
        <w:tab/>
        <w:t>6</w:t>
      </w:r>
    </w:p>
    <w:p w:rsidR="0003352C" w:rsidRDefault="0003352C">
      <w:pPr>
        <w:pStyle w:val="Innehll2"/>
        <w:rPr>
          <w:noProof/>
        </w:rPr>
      </w:pPr>
      <w:r>
        <w:rPr>
          <w:noProof/>
        </w:rPr>
        <w:t>Intressebalansen mellan minerallagen och enskilda och allmänna intressen</w:t>
      </w:r>
      <w:r>
        <w:rPr>
          <w:noProof/>
        </w:rPr>
        <w:tab/>
        <w:t>8</w:t>
      </w:r>
    </w:p>
    <w:p w:rsidR="0003352C" w:rsidRDefault="0003352C">
      <w:pPr>
        <w:pStyle w:val="Innehll3"/>
        <w:rPr>
          <w:noProof/>
        </w:rPr>
      </w:pPr>
      <w:r>
        <w:rPr>
          <w:noProof/>
        </w:rPr>
        <w:t>Motionerna</w:t>
      </w:r>
      <w:r>
        <w:rPr>
          <w:noProof/>
        </w:rPr>
        <w:tab/>
        <w:t>8</w:t>
      </w:r>
    </w:p>
    <w:p w:rsidR="0003352C" w:rsidRDefault="0003352C">
      <w:pPr>
        <w:pStyle w:val="Innehll3"/>
        <w:rPr>
          <w:noProof/>
        </w:rPr>
      </w:pPr>
      <w:r>
        <w:rPr>
          <w:noProof/>
        </w:rPr>
        <w:t>Vissa kompletterande uppgifter</w:t>
      </w:r>
      <w:r>
        <w:rPr>
          <w:noProof/>
        </w:rPr>
        <w:tab/>
        <w:t>10</w:t>
      </w:r>
    </w:p>
    <w:p w:rsidR="0003352C" w:rsidRDefault="0003352C">
      <w:pPr>
        <w:pStyle w:val="Innehll3"/>
        <w:rPr>
          <w:noProof/>
        </w:rPr>
      </w:pPr>
      <w:r>
        <w:rPr>
          <w:noProof/>
        </w:rPr>
        <w:t>Utskottets ställningstagande</w:t>
      </w:r>
      <w:r>
        <w:rPr>
          <w:noProof/>
        </w:rPr>
        <w:tab/>
        <w:t>14</w:t>
      </w:r>
    </w:p>
    <w:p w:rsidR="0003352C" w:rsidRDefault="0003352C">
      <w:pPr>
        <w:pStyle w:val="Innehll2"/>
        <w:rPr>
          <w:noProof/>
        </w:rPr>
      </w:pPr>
      <w:r>
        <w:rPr>
          <w:noProof/>
        </w:rPr>
        <w:t>Vissa forskningsfrågor</w:t>
      </w:r>
      <w:r>
        <w:rPr>
          <w:noProof/>
        </w:rPr>
        <w:tab/>
        <w:t>15</w:t>
      </w:r>
    </w:p>
    <w:p w:rsidR="0003352C" w:rsidRDefault="0003352C">
      <w:pPr>
        <w:pStyle w:val="Innehll3"/>
        <w:rPr>
          <w:noProof/>
        </w:rPr>
      </w:pPr>
      <w:r>
        <w:rPr>
          <w:noProof/>
        </w:rPr>
        <w:t>Motionen</w:t>
      </w:r>
      <w:r>
        <w:rPr>
          <w:noProof/>
        </w:rPr>
        <w:tab/>
        <w:t>15</w:t>
      </w:r>
    </w:p>
    <w:p w:rsidR="0003352C" w:rsidRDefault="0003352C">
      <w:pPr>
        <w:pStyle w:val="Innehll3"/>
        <w:rPr>
          <w:noProof/>
        </w:rPr>
      </w:pPr>
      <w:r>
        <w:rPr>
          <w:noProof/>
        </w:rPr>
        <w:t>Vissa kompletterande uppgifter</w:t>
      </w:r>
      <w:r>
        <w:rPr>
          <w:noProof/>
        </w:rPr>
        <w:tab/>
        <w:t>16</w:t>
      </w:r>
    </w:p>
    <w:p w:rsidR="0003352C" w:rsidRDefault="0003352C">
      <w:pPr>
        <w:pStyle w:val="Innehll3"/>
        <w:rPr>
          <w:noProof/>
        </w:rPr>
      </w:pPr>
      <w:r>
        <w:rPr>
          <w:noProof/>
        </w:rPr>
        <w:t>Utskottets ställningstagande</w:t>
      </w:r>
      <w:r>
        <w:rPr>
          <w:noProof/>
        </w:rPr>
        <w:tab/>
        <w:t>18</w:t>
      </w:r>
    </w:p>
    <w:p w:rsidR="0003352C" w:rsidRDefault="0003352C">
      <w:pPr>
        <w:pStyle w:val="Innehll2"/>
        <w:rPr>
          <w:noProof/>
        </w:rPr>
      </w:pPr>
      <w:r>
        <w:rPr>
          <w:noProof/>
        </w:rPr>
        <w:t>Hemställan</w:t>
      </w:r>
      <w:r>
        <w:rPr>
          <w:noProof/>
        </w:rPr>
        <w:tab/>
        <w:t>18</w:t>
      </w:r>
    </w:p>
    <w:p w:rsidR="0003352C" w:rsidRDefault="0003352C">
      <w:pPr>
        <w:pStyle w:val="Innehll1"/>
        <w:rPr>
          <w:noProof/>
        </w:rPr>
      </w:pPr>
      <w:r>
        <w:rPr>
          <w:noProof/>
        </w:rPr>
        <w:t>Reservation</w:t>
      </w:r>
      <w:r>
        <w:rPr>
          <w:noProof/>
        </w:rPr>
        <w:tab/>
        <w:t>19</w:t>
      </w:r>
    </w:p>
    <w:p w:rsidR="0003352C" w:rsidRDefault="0003352C">
      <w:pPr>
        <w:pStyle w:val="Innehll2"/>
        <w:rPr>
          <w:noProof/>
        </w:rPr>
      </w:pPr>
      <w:r>
        <w:rPr>
          <w:noProof/>
        </w:rPr>
        <w:t>Intressebalansen mellan minerallagen och enskilda och allmänna intressen (mp)</w:t>
      </w:r>
      <w:r>
        <w:rPr>
          <w:noProof/>
        </w:rPr>
        <w:tab/>
        <w:t>19</w:t>
      </w:r>
    </w:p>
    <w:p w:rsidR="0003352C" w:rsidRDefault="0003352C"/>
    <w:p w:rsidR="0003352C" w:rsidRDefault="0003352C">
      <w:pPr>
        <w:pStyle w:val="Normaltindrag"/>
      </w:pPr>
    </w:p>
    <w:p w:rsidR="0003352C" w:rsidRDefault="0003352C">
      <w:pPr>
        <w:pStyle w:val="Tryckort"/>
        <w:framePr w:wrap="around"/>
      </w:pPr>
      <w:r>
        <w:t>Elanders Gotab, Stockholm  1999</w:t>
      </w:r>
    </w:p>
    <w:p w:rsidR="0003352C" w:rsidRDefault="0003352C">
      <w:pPr>
        <w:pStyle w:val="Normaltindrag"/>
      </w:pPr>
    </w:p>
    <w:sectPr w:rsidR="0003352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52C" w:rsidRDefault="0003352C">
      <w:pPr>
        <w:spacing w:before="0" w:line="240" w:lineRule="auto"/>
      </w:pPr>
      <w:r>
        <w:separator/>
      </w:r>
    </w:p>
  </w:endnote>
  <w:endnote w:type="continuationSeparator" w:id="0">
    <w:p w:rsidR="0003352C" w:rsidRDefault="000335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C" w:rsidRDefault="0003352C">
    <w:pPr>
      <w:pStyle w:val="SidfotH"/>
      <w:framePr w:wrap="around"/>
    </w:pPr>
    <w:r>
      <w:fldChar w:fldCharType="begin" w:fldLock="1"/>
    </w:r>
    <w:r>
      <w:instrText xml:space="preserve"> PAGE </w:instrText>
    </w:r>
    <w:r>
      <w:fldChar w:fldCharType="separate"/>
    </w:r>
    <w:r>
      <w:rPr>
        <w:noProof/>
      </w:rPr>
      <w:t>20</w:t>
    </w:r>
    <w:r>
      <w:fldChar w:fldCharType="end"/>
    </w:r>
  </w:p>
  <w:p w:rsidR="0003352C" w:rsidRDefault="000335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C" w:rsidRDefault="0003352C">
    <w:pPr>
      <w:pStyle w:val="SidfotH"/>
      <w:framePr w:wrap="around"/>
    </w:pPr>
    <w:r>
      <w:fldChar w:fldCharType="begin" w:fldLock="1"/>
    </w:r>
    <w:r>
      <w:instrText xml:space="preserve"> PAGE </w:instrText>
    </w:r>
    <w:r>
      <w:fldChar w:fldCharType="separate"/>
    </w:r>
    <w:r>
      <w:rPr>
        <w:noProof/>
      </w:rPr>
      <w:t>21</w:t>
    </w:r>
    <w:r>
      <w:fldChar w:fldCharType="end"/>
    </w:r>
  </w:p>
  <w:p w:rsidR="0003352C" w:rsidRDefault="00033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52C" w:rsidRDefault="0003352C">
      <w:pPr>
        <w:spacing w:before="0" w:line="240" w:lineRule="auto"/>
      </w:pPr>
      <w:r>
        <w:separator/>
      </w:r>
    </w:p>
  </w:footnote>
  <w:footnote w:type="continuationSeparator" w:id="0">
    <w:p w:rsidR="0003352C" w:rsidRDefault="000335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C" w:rsidRDefault="0003352C">
    <w:pPr>
      <w:pStyle w:val="SidhuvudKant"/>
      <w:framePr w:w="1985" w:h="2743" w:hRule="exact" w:wrap="around" w:vAnchor="page" w:hAnchor="page" w:x="7372" w:y="568" w:anchorLock="0"/>
      <w:rPr>
        <w:noProof/>
      </w:rPr>
    </w:pPr>
    <w:r>
      <w:rPr>
        <w:noProof/>
      </w:rPr>
      <w:t>1998/99:NU10</w:t>
    </w:r>
  </w:p>
  <w:p w:rsidR="0003352C" w:rsidRDefault="0003352C">
    <w:pPr>
      <w:pStyle w:val="SidhuvudKantBilaga"/>
      <w:framePr w:w="1985" w:h="2743" w:hRule="exact" w:wrap="around" w:vAnchor="page" w:hAnchor="page" w:x="7372" w:y="568" w:anchorLock="0"/>
      <w:rPr>
        <w:noProof/>
      </w:rPr>
    </w:pPr>
  </w:p>
  <w:p w:rsidR="0003352C" w:rsidRDefault="0003352C">
    <w:pPr>
      <w:pStyle w:val="SidhuvudKant"/>
      <w:framePr w:w="1985" w:h="2743" w:hRule="exact" w:wrap="around" w:vAnchor="page" w:hAnchor="page" w:x="7372" w:y="568" w:anchorLock="0"/>
    </w:pPr>
  </w:p>
  <w:p w:rsidR="0003352C" w:rsidRDefault="000335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C" w:rsidRDefault="0003352C">
    <w:pPr>
      <w:pStyle w:val="SidhuvudKant"/>
      <w:framePr w:w="1985" w:h="2743" w:hRule="exact" w:wrap="around" w:vAnchor="page" w:hAnchor="page" w:x="7372" w:y="568" w:anchorLock="0"/>
      <w:rPr>
        <w:noProof/>
      </w:rPr>
    </w:pPr>
    <w:r>
      <w:rPr>
        <w:noProof/>
      </w:rPr>
      <w:t>1998/99:NU10</w:t>
    </w:r>
  </w:p>
  <w:p w:rsidR="0003352C" w:rsidRDefault="0003352C">
    <w:pPr>
      <w:pStyle w:val="SidhuvudKantBilaga"/>
      <w:framePr w:w="1985" w:h="2743" w:hRule="exact" w:wrap="around" w:vAnchor="page" w:hAnchor="page" w:x="7372" w:y="568" w:anchorLock="0"/>
      <w:rPr>
        <w:noProof/>
      </w:rPr>
    </w:pPr>
  </w:p>
  <w:p w:rsidR="0003352C" w:rsidRDefault="0003352C">
    <w:pPr>
      <w:pStyle w:val="SidhuvudKant"/>
      <w:framePr w:w="1985" w:h="2743" w:hRule="exact" w:wrap="around" w:vAnchor="page" w:hAnchor="page" w:x="7372" w:y="568" w:anchorLock="0"/>
    </w:pPr>
  </w:p>
  <w:p w:rsidR="0003352C" w:rsidRDefault="000335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1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8CA79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59E6173E"/>
    <w:multiLevelType w:val="singleLevel"/>
    <w:tmpl w:val="B58A1246"/>
    <w:lvl w:ilvl="0">
      <w:numFmt w:val="bullet"/>
      <w:lvlText w:val="–"/>
      <w:lvlJc w:val="left"/>
      <w:pPr>
        <w:tabs>
          <w:tab w:val="num" w:pos="360"/>
        </w:tabs>
        <w:ind w:left="360" w:hanging="360"/>
      </w:pPr>
      <w:rPr>
        <w:rFonts w:hint="default"/>
      </w:rPr>
    </w:lvl>
  </w:abstractNum>
  <w:abstractNum w:abstractNumId="3" w15:restartNumberingAfterBreak="0">
    <w:nsid w:val="62AA5385"/>
    <w:multiLevelType w:val="singleLevel"/>
    <w:tmpl w:val="B6A8F630"/>
    <w:lvl w:ilvl="0">
      <w:numFmt w:val="bullet"/>
      <w:lvlText w:val="–"/>
      <w:lvlJc w:val="left"/>
      <w:pPr>
        <w:tabs>
          <w:tab w:val="num" w:pos="360"/>
        </w:tabs>
        <w:ind w:left="360" w:hanging="360"/>
      </w:pPr>
      <w:rPr>
        <w:rFonts w:hint="default"/>
      </w:rPr>
    </w:lvl>
  </w:abstractNum>
  <w:num w:numId="1" w16cid:durableId="989483144">
    <w:abstractNumId w:val="1"/>
  </w:num>
  <w:num w:numId="2" w16cid:durableId="1161196493">
    <w:abstractNumId w:val="3"/>
  </w:num>
  <w:num w:numId="3" w16cid:durableId="1465778771">
    <w:abstractNumId w:val="0"/>
  </w:num>
  <w:num w:numId="4" w16cid:durableId="177212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172808"/>
    <w:rsid w:val="0003352C"/>
    <w:rsid w:val="00172808"/>
    <w:rsid w:val="001834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BBAF0-549F-4216-9841-D4523C42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7840</Words>
  <Characters>48611</Characters>
  <Application>Microsoft Office Word</Application>
  <DocSecurity>4</DocSecurity>
  <Lines>917</Lines>
  <Paragraphs>280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Näringsutskottets betänkande</vt:lpstr>
      <vt:lpstr>Ärendet</vt:lpstr>
      <vt:lpstr>Sammanfattning</vt:lpstr>
      <vt:lpstr>Motionerna</vt:lpstr>
      <vt:lpstr>Utskottet</vt:lpstr>
      <vt:lpstr>    Bakgrund </vt:lpstr>
      <vt:lpstr>        Lagstiftningen på mineralområdet</vt:lpstr>
      <vt:lpstr>        Utredning om markägarnas rättigheter m.m. i minerallagen </vt:lpstr>
      <vt:lpstr>    Intressebalansen mellan minerallagen och enskilda och allmänna intressen</vt:lpstr>
      <vt:lpstr>        Motionerna</vt:lpstr>
      <vt:lpstr>        Vissa kompletterande uppgifter</vt:lpstr>
      <vt:lpstr>        Utskottets ställningstagande</vt:lpstr>
      <vt:lpstr>    Vissa forskningsfrågor</vt:lpstr>
      <vt:lpstr>        Motionen</vt:lpstr>
      <vt:lpstr>        Vissa kompletterande uppgifter</vt:lpstr>
      <vt:lpstr>        Utskottets ställningstagande</vt:lpstr>
      <vt:lpstr>    Hemställan</vt:lpstr>
      <vt:lpstr>Reservation</vt:lpstr>
      <vt:lpstr>    Intressebalansen mellan minerallagen och enskilda och allmänna intressen (mom. 1</vt:lpstr>
    </vt:vector>
  </TitlesOfParts>
  <Company>Riksdagen</Company>
  <LinksUpToDate>false</LinksUpToDate>
  <CharactersWithSpaces>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1999-04-23T22:10:00Z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