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026" w:rsidRPr="00E4759B" w:rsidRDefault="00876026">
      <w:pPr>
        <w:pStyle w:val="Hemstlrubrik"/>
        <w:shd w:val="clear" w:color="000000" w:fill="auto"/>
      </w:pPr>
      <w:r w:rsidRPr="00E4759B">
        <w:t>Förslag till riksdagsbeslut</w:t>
      </w:r>
    </w:p>
    <w:p w:rsidR="00A72D0C" w:rsidRPr="00E4759B" w:rsidRDefault="00A72D0C">
      <w:pPr>
        <w:pStyle w:val="Hemstlatt"/>
        <w:numPr>
          <w:ilvl w:val="0"/>
          <w:numId w:val="0"/>
        </w:numPr>
        <w:shd w:val="clear" w:color="000000" w:fill="auto"/>
      </w:pPr>
      <w:r w:rsidRPr="00E4759B">
        <w:t>Riksdagen anvisar med följande ändringar i förhålla</w:t>
      </w:r>
      <w:r w:rsidRPr="00E4759B">
        <w:t>n</w:t>
      </w:r>
      <w:r w:rsidRPr="00E4759B">
        <w:t>de till regeringens förslag anslagen under utgiftsområde 8 Migration enligt uppställning:</w:t>
      </w:r>
    </w:p>
    <w:tbl>
      <w:tblPr>
        <w:tblW w:w="5655" w:type="dxa"/>
        <w:tblInd w:w="55" w:type="dxa"/>
        <w:tblLayout w:type="fixed"/>
        <w:tblCellMar>
          <w:left w:w="70" w:type="dxa"/>
          <w:right w:w="70" w:type="dxa"/>
        </w:tblCellMar>
        <w:tblLook w:val="0000" w:firstRow="0" w:lastRow="0" w:firstColumn="0" w:lastColumn="0" w:noHBand="0" w:noVBand="0"/>
      </w:tblPr>
      <w:tblGrid>
        <w:gridCol w:w="586"/>
        <w:gridCol w:w="2909"/>
        <w:gridCol w:w="1077"/>
        <w:gridCol w:w="1083"/>
      </w:tblGrid>
      <w:tr w:rsidR="002C0A4C" w:rsidRPr="00E4759B">
        <w:tc>
          <w:tcPr>
            <w:tcW w:w="586" w:type="dxa"/>
            <w:tcBorders>
              <w:top w:val="single" w:sz="4" w:space="0" w:color="auto"/>
              <w:left w:val="nil"/>
              <w:bottom w:val="single" w:sz="8" w:space="0" w:color="000000"/>
              <w:right w:val="nil"/>
            </w:tcBorders>
            <w:vAlign w:val="bottom"/>
          </w:tcPr>
          <w:p w:rsidR="00A72D0C" w:rsidRPr="00E4759B" w:rsidRDefault="00A72D0C">
            <w:pPr>
              <w:pStyle w:val="Normaltindrag"/>
              <w:shd w:val="clear" w:color="000000" w:fill="auto"/>
              <w:spacing w:line="200" w:lineRule="exact"/>
              <w:ind w:firstLine="0"/>
              <w:rPr>
                <w:b/>
                <w:bCs/>
                <w:color w:val="000000"/>
                <w:sz w:val="18"/>
                <w:szCs w:val="18"/>
              </w:rPr>
            </w:pPr>
            <w:r w:rsidRPr="00E4759B">
              <w:rPr>
                <w:b/>
                <w:bCs/>
                <w:color w:val="000000"/>
                <w:sz w:val="18"/>
                <w:szCs w:val="18"/>
              </w:rPr>
              <w:t>UO 8</w:t>
            </w:r>
          </w:p>
        </w:tc>
        <w:tc>
          <w:tcPr>
            <w:tcW w:w="2909" w:type="dxa"/>
            <w:tcBorders>
              <w:top w:val="single" w:sz="4" w:space="0" w:color="auto"/>
              <w:left w:val="nil"/>
              <w:bottom w:val="single" w:sz="8" w:space="0" w:color="000000"/>
              <w:right w:val="nil"/>
            </w:tcBorders>
            <w:vAlign w:val="bottom"/>
          </w:tcPr>
          <w:p w:rsidR="00A72D0C" w:rsidRPr="00E4759B" w:rsidRDefault="00A72D0C">
            <w:pPr>
              <w:pStyle w:val="Normaltindrag"/>
              <w:shd w:val="clear" w:color="000000" w:fill="auto"/>
              <w:spacing w:line="200" w:lineRule="exact"/>
              <w:ind w:firstLine="0"/>
              <w:rPr>
                <w:b/>
                <w:bCs/>
                <w:color w:val="000000"/>
                <w:sz w:val="18"/>
                <w:szCs w:val="18"/>
              </w:rPr>
            </w:pPr>
            <w:r w:rsidRPr="00E4759B">
              <w:rPr>
                <w:b/>
                <w:bCs/>
                <w:color w:val="000000"/>
                <w:sz w:val="18"/>
                <w:szCs w:val="18"/>
              </w:rPr>
              <w:t>Migration</w:t>
            </w:r>
          </w:p>
        </w:tc>
        <w:tc>
          <w:tcPr>
            <w:tcW w:w="1077" w:type="dxa"/>
            <w:tcBorders>
              <w:top w:val="single" w:sz="4" w:space="0" w:color="auto"/>
              <w:left w:val="nil"/>
              <w:bottom w:val="single" w:sz="8" w:space="0" w:color="000000"/>
              <w:right w:val="nil"/>
            </w:tcBorders>
            <w:vAlign w:val="bottom"/>
          </w:tcPr>
          <w:p w:rsidR="00A72D0C" w:rsidRPr="00E4759B" w:rsidRDefault="00A72D0C">
            <w:pPr>
              <w:pStyle w:val="Normaltindrag"/>
              <w:shd w:val="clear" w:color="000000" w:fill="auto"/>
              <w:spacing w:line="200" w:lineRule="exact"/>
              <w:ind w:hanging="1424"/>
              <w:jc w:val="right"/>
              <w:rPr>
                <w:sz w:val="18"/>
                <w:szCs w:val="18"/>
              </w:rPr>
            </w:pPr>
            <w:r w:rsidRPr="00E4759B">
              <w:rPr>
                <w:b/>
                <w:bCs/>
                <w:color w:val="000000"/>
                <w:sz w:val="18"/>
                <w:szCs w:val="18"/>
              </w:rPr>
              <w:t xml:space="preserve">Regeringens </w:t>
            </w:r>
            <w:r w:rsidRPr="00E4759B">
              <w:rPr>
                <w:b/>
                <w:bCs/>
                <w:color w:val="000000"/>
                <w:sz w:val="18"/>
                <w:szCs w:val="18"/>
              </w:rPr>
              <w:br/>
              <w:t xml:space="preserve">förslag </w:t>
            </w:r>
            <w:r w:rsidRPr="00E4759B">
              <w:rPr>
                <w:b/>
                <w:sz w:val="18"/>
                <w:szCs w:val="18"/>
              </w:rPr>
              <w:t>(tkr)</w:t>
            </w:r>
          </w:p>
        </w:tc>
        <w:tc>
          <w:tcPr>
            <w:tcW w:w="1083" w:type="dxa"/>
            <w:tcBorders>
              <w:top w:val="single" w:sz="4" w:space="0" w:color="auto"/>
              <w:left w:val="nil"/>
              <w:bottom w:val="single" w:sz="8" w:space="0" w:color="000000"/>
              <w:right w:val="nil"/>
            </w:tcBorders>
            <w:vAlign w:val="bottom"/>
          </w:tcPr>
          <w:p w:rsidR="00A72D0C" w:rsidRPr="00E4759B" w:rsidRDefault="00A72D0C">
            <w:pPr>
              <w:pStyle w:val="Normaltindrag"/>
              <w:shd w:val="clear" w:color="000000" w:fill="auto"/>
              <w:spacing w:line="200" w:lineRule="exact"/>
              <w:ind w:hanging="1424"/>
              <w:jc w:val="right"/>
              <w:rPr>
                <w:b/>
                <w:bCs/>
                <w:color w:val="000000"/>
                <w:sz w:val="18"/>
                <w:szCs w:val="18"/>
              </w:rPr>
            </w:pPr>
            <w:r w:rsidRPr="00E4759B">
              <w:rPr>
                <w:b/>
                <w:bCs/>
                <w:color w:val="000000"/>
                <w:sz w:val="18"/>
                <w:szCs w:val="18"/>
              </w:rPr>
              <w:t xml:space="preserve">Förändring </w:t>
            </w:r>
            <w:r w:rsidRPr="00E4759B">
              <w:rPr>
                <w:b/>
                <w:bCs/>
                <w:color w:val="000000"/>
                <w:sz w:val="18"/>
                <w:szCs w:val="18"/>
              </w:rPr>
              <w:br/>
              <w:t>(tkr)</w:t>
            </w:r>
          </w:p>
        </w:tc>
      </w:tr>
      <w:tr w:rsidR="002C0A4C" w:rsidRPr="00E4759B">
        <w:tc>
          <w:tcPr>
            <w:tcW w:w="586" w:type="dxa"/>
            <w:tcBorders>
              <w:top w:val="nil"/>
              <w:left w:val="nil"/>
              <w:bottom w:val="nil"/>
              <w:right w:val="nil"/>
            </w:tcBorders>
          </w:tcPr>
          <w:p w:rsidR="00A72D0C" w:rsidRPr="00E4759B" w:rsidRDefault="00A72D0C">
            <w:pPr>
              <w:shd w:val="clear" w:color="000000" w:fill="auto"/>
              <w:spacing w:before="60" w:line="200" w:lineRule="exact"/>
              <w:rPr>
                <w:color w:val="000000"/>
                <w:sz w:val="18"/>
                <w:szCs w:val="18"/>
              </w:rPr>
            </w:pPr>
            <w:r w:rsidRPr="00E4759B">
              <w:rPr>
                <w:color w:val="000000"/>
                <w:sz w:val="18"/>
                <w:szCs w:val="18"/>
              </w:rPr>
              <w:t>12:1</w:t>
            </w:r>
          </w:p>
        </w:tc>
        <w:tc>
          <w:tcPr>
            <w:tcW w:w="2909" w:type="dxa"/>
            <w:tcBorders>
              <w:top w:val="nil"/>
              <w:left w:val="nil"/>
              <w:bottom w:val="nil"/>
              <w:right w:val="nil"/>
            </w:tcBorders>
          </w:tcPr>
          <w:p w:rsidR="00A72D0C" w:rsidRPr="00E4759B" w:rsidRDefault="00A72D0C">
            <w:pPr>
              <w:pStyle w:val="Normaltindrag"/>
              <w:shd w:val="clear" w:color="000000" w:fill="auto"/>
              <w:spacing w:before="60" w:line="200" w:lineRule="exact"/>
              <w:ind w:firstLine="0"/>
              <w:jc w:val="left"/>
              <w:rPr>
                <w:color w:val="000000"/>
                <w:sz w:val="18"/>
                <w:szCs w:val="18"/>
              </w:rPr>
            </w:pPr>
            <w:r w:rsidRPr="00E4759B">
              <w:rPr>
                <w:sz w:val="16"/>
                <w:szCs w:val="16"/>
              </w:rPr>
              <w:t>Migrationsverket</w:t>
            </w:r>
          </w:p>
        </w:tc>
        <w:tc>
          <w:tcPr>
            <w:tcW w:w="1077" w:type="dxa"/>
            <w:tcBorders>
              <w:top w:val="nil"/>
              <w:left w:val="nil"/>
              <w:bottom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1 657 784</w:t>
            </w:r>
          </w:p>
        </w:tc>
        <w:tc>
          <w:tcPr>
            <w:tcW w:w="1083" w:type="dxa"/>
            <w:tcBorders>
              <w:top w:val="nil"/>
              <w:left w:val="nil"/>
              <w:bottom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–260 000</w:t>
            </w:r>
          </w:p>
        </w:tc>
      </w:tr>
      <w:tr w:rsidR="002C0A4C" w:rsidRPr="00E4759B">
        <w:tc>
          <w:tcPr>
            <w:tcW w:w="586" w:type="dxa"/>
            <w:tcBorders>
              <w:top w:val="nil"/>
              <w:left w:val="nil"/>
              <w:bottom w:val="nil"/>
              <w:right w:val="nil"/>
            </w:tcBorders>
          </w:tcPr>
          <w:p w:rsidR="00A72D0C" w:rsidRPr="00E4759B" w:rsidRDefault="00A72D0C">
            <w:pPr>
              <w:shd w:val="clear" w:color="000000" w:fill="auto"/>
              <w:spacing w:before="60" w:line="200" w:lineRule="exact"/>
              <w:rPr>
                <w:color w:val="000000"/>
                <w:sz w:val="18"/>
                <w:szCs w:val="18"/>
              </w:rPr>
            </w:pPr>
            <w:r w:rsidRPr="00E4759B">
              <w:rPr>
                <w:color w:val="000000"/>
                <w:sz w:val="18"/>
                <w:szCs w:val="18"/>
              </w:rPr>
              <w:t>12:2</w:t>
            </w:r>
          </w:p>
        </w:tc>
        <w:tc>
          <w:tcPr>
            <w:tcW w:w="2909" w:type="dxa"/>
            <w:tcBorders>
              <w:top w:val="nil"/>
              <w:left w:val="nil"/>
              <w:bottom w:val="nil"/>
              <w:right w:val="nil"/>
            </w:tcBorders>
          </w:tcPr>
          <w:p w:rsidR="00A72D0C" w:rsidRPr="00E4759B" w:rsidRDefault="00A72D0C">
            <w:pPr>
              <w:pStyle w:val="Normaltindrag"/>
              <w:shd w:val="clear" w:color="000000" w:fill="auto"/>
              <w:spacing w:before="60" w:line="200" w:lineRule="exact"/>
              <w:ind w:firstLine="0"/>
              <w:jc w:val="left"/>
              <w:rPr>
                <w:sz w:val="16"/>
                <w:szCs w:val="16"/>
              </w:rPr>
            </w:pPr>
            <w:r w:rsidRPr="00E4759B">
              <w:rPr>
                <w:sz w:val="16"/>
                <w:szCs w:val="16"/>
              </w:rPr>
              <w:t>Ersättningar och bostadskostnader</w:t>
            </w:r>
          </w:p>
        </w:tc>
        <w:tc>
          <w:tcPr>
            <w:tcW w:w="1077" w:type="dxa"/>
            <w:tcBorders>
              <w:top w:val="nil"/>
              <w:left w:val="nil"/>
              <w:bottom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1 999 950</w:t>
            </w:r>
          </w:p>
        </w:tc>
        <w:tc>
          <w:tcPr>
            <w:tcW w:w="1083" w:type="dxa"/>
            <w:tcBorders>
              <w:top w:val="nil"/>
              <w:left w:val="nil"/>
              <w:bottom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492 000</w:t>
            </w:r>
          </w:p>
        </w:tc>
      </w:tr>
      <w:tr w:rsidR="002C0A4C" w:rsidRPr="00E4759B">
        <w:tc>
          <w:tcPr>
            <w:tcW w:w="586" w:type="dxa"/>
            <w:tcBorders>
              <w:top w:val="nil"/>
              <w:left w:val="nil"/>
              <w:bottom w:val="nil"/>
              <w:right w:val="nil"/>
            </w:tcBorders>
          </w:tcPr>
          <w:p w:rsidR="00A72D0C" w:rsidRPr="00E4759B" w:rsidRDefault="00A72D0C">
            <w:pPr>
              <w:shd w:val="clear" w:color="000000" w:fill="auto"/>
              <w:spacing w:before="60" w:line="200" w:lineRule="exact"/>
              <w:rPr>
                <w:color w:val="000000"/>
                <w:sz w:val="18"/>
                <w:szCs w:val="18"/>
              </w:rPr>
            </w:pPr>
            <w:r w:rsidRPr="00E4759B">
              <w:rPr>
                <w:color w:val="000000"/>
                <w:sz w:val="18"/>
                <w:szCs w:val="18"/>
              </w:rPr>
              <w:t>12:4</w:t>
            </w:r>
          </w:p>
        </w:tc>
        <w:tc>
          <w:tcPr>
            <w:tcW w:w="2909" w:type="dxa"/>
            <w:tcBorders>
              <w:top w:val="nil"/>
              <w:left w:val="nil"/>
              <w:bottom w:val="nil"/>
              <w:right w:val="nil"/>
            </w:tcBorders>
          </w:tcPr>
          <w:p w:rsidR="00A72D0C" w:rsidRPr="00E4759B" w:rsidRDefault="00A72D0C">
            <w:pPr>
              <w:pStyle w:val="Normaltindrag"/>
              <w:shd w:val="clear" w:color="000000" w:fill="auto"/>
              <w:spacing w:before="60" w:line="200" w:lineRule="exact"/>
              <w:ind w:firstLine="0"/>
              <w:jc w:val="left"/>
              <w:rPr>
                <w:sz w:val="16"/>
                <w:szCs w:val="16"/>
              </w:rPr>
            </w:pPr>
            <w:r w:rsidRPr="00E4759B">
              <w:rPr>
                <w:sz w:val="16"/>
                <w:szCs w:val="16"/>
              </w:rPr>
              <w:t>Domstolsprövning i utlänningsärenden</w:t>
            </w:r>
          </w:p>
        </w:tc>
        <w:tc>
          <w:tcPr>
            <w:tcW w:w="1077" w:type="dxa"/>
            <w:tcBorders>
              <w:top w:val="nil"/>
              <w:left w:val="nil"/>
              <w:bottom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198 800</w:t>
            </w:r>
          </w:p>
        </w:tc>
        <w:tc>
          <w:tcPr>
            <w:tcW w:w="1083" w:type="dxa"/>
            <w:tcBorders>
              <w:top w:val="nil"/>
              <w:left w:val="nil"/>
              <w:bottom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50 000</w:t>
            </w:r>
          </w:p>
        </w:tc>
      </w:tr>
      <w:tr w:rsidR="002C0A4C" w:rsidRPr="00E4759B">
        <w:tc>
          <w:tcPr>
            <w:tcW w:w="586" w:type="dxa"/>
            <w:tcBorders>
              <w:top w:val="nil"/>
              <w:left w:val="nil"/>
              <w:right w:val="nil"/>
            </w:tcBorders>
          </w:tcPr>
          <w:p w:rsidR="00A72D0C" w:rsidRPr="00E4759B" w:rsidRDefault="00A72D0C">
            <w:pPr>
              <w:shd w:val="clear" w:color="000000" w:fill="auto"/>
              <w:spacing w:before="60" w:line="200" w:lineRule="exact"/>
              <w:rPr>
                <w:color w:val="000000"/>
                <w:sz w:val="18"/>
                <w:szCs w:val="18"/>
              </w:rPr>
            </w:pPr>
            <w:r w:rsidRPr="00E4759B">
              <w:rPr>
                <w:color w:val="000000"/>
                <w:sz w:val="18"/>
                <w:szCs w:val="18"/>
              </w:rPr>
              <w:t>12:7</w:t>
            </w:r>
          </w:p>
        </w:tc>
        <w:tc>
          <w:tcPr>
            <w:tcW w:w="2909" w:type="dxa"/>
            <w:tcBorders>
              <w:top w:val="nil"/>
              <w:left w:val="nil"/>
              <w:right w:val="nil"/>
            </w:tcBorders>
          </w:tcPr>
          <w:p w:rsidR="00A72D0C" w:rsidRPr="00E4759B" w:rsidRDefault="00A72D0C">
            <w:pPr>
              <w:pStyle w:val="Normaltindrag"/>
              <w:shd w:val="clear" w:color="000000" w:fill="auto"/>
              <w:spacing w:before="60" w:line="200" w:lineRule="exact"/>
              <w:ind w:firstLine="0"/>
              <w:jc w:val="left"/>
              <w:rPr>
                <w:sz w:val="16"/>
                <w:szCs w:val="16"/>
              </w:rPr>
            </w:pPr>
            <w:r w:rsidRPr="00E4759B">
              <w:rPr>
                <w:sz w:val="16"/>
                <w:szCs w:val="16"/>
              </w:rPr>
              <w:t>Utresor för avvisade och utvisade</w:t>
            </w:r>
          </w:p>
        </w:tc>
        <w:tc>
          <w:tcPr>
            <w:tcW w:w="1077" w:type="dxa"/>
            <w:tcBorders>
              <w:top w:val="nil"/>
              <w:left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204 202</w:t>
            </w:r>
          </w:p>
        </w:tc>
        <w:tc>
          <w:tcPr>
            <w:tcW w:w="1083" w:type="dxa"/>
            <w:tcBorders>
              <w:top w:val="nil"/>
              <w:left w:val="nil"/>
              <w:right w:val="nil"/>
            </w:tcBorders>
            <w:vAlign w:val="bottom"/>
          </w:tcPr>
          <w:p w:rsidR="00A72D0C" w:rsidRPr="00E4759B" w:rsidRDefault="00A72D0C">
            <w:pPr>
              <w:pStyle w:val="Normaltindrag"/>
              <w:shd w:val="clear" w:color="000000" w:fill="auto"/>
              <w:spacing w:before="60" w:line="200" w:lineRule="exact"/>
              <w:jc w:val="right"/>
              <w:rPr>
                <w:sz w:val="16"/>
                <w:szCs w:val="16"/>
              </w:rPr>
            </w:pPr>
            <w:r w:rsidRPr="00E4759B">
              <w:rPr>
                <w:sz w:val="16"/>
                <w:szCs w:val="16"/>
              </w:rPr>
              <w:t>–100 000</w:t>
            </w:r>
          </w:p>
        </w:tc>
      </w:tr>
      <w:tr w:rsidR="002C0A4C" w:rsidRPr="00E4759B">
        <w:tc>
          <w:tcPr>
            <w:tcW w:w="586" w:type="dxa"/>
            <w:tcBorders>
              <w:top w:val="nil"/>
              <w:left w:val="nil"/>
              <w:bottom w:val="single" w:sz="4" w:space="0" w:color="auto"/>
              <w:right w:val="nil"/>
            </w:tcBorders>
          </w:tcPr>
          <w:p w:rsidR="00A72D0C" w:rsidRPr="00E4759B" w:rsidRDefault="00A72D0C">
            <w:pPr>
              <w:shd w:val="clear" w:color="000000" w:fill="auto"/>
              <w:spacing w:before="60" w:line="200" w:lineRule="exact"/>
              <w:rPr>
                <w:b/>
                <w:bCs/>
                <w:color w:val="000000"/>
                <w:sz w:val="18"/>
                <w:szCs w:val="18"/>
              </w:rPr>
            </w:pPr>
          </w:p>
        </w:tc>
        <w:tc>
          <w:tcPr>
            <w:tcW w:w="2909" w:type="dxa"/>
            <w:tcBorders>
              <w:top w:val="nil"/>
              <w:left w:val="nil"/>
              <w:bottom w:val="single" w:sz="4" w:space="0" w:color="auto"/>
              <w:right w:val="nil"/>
            </w:tcBorders>
            <w:vAlign w:val="bottom"/>
          </w:tcPr>
          <w:p w:rsidR="00A72D0C" w:rsidRPr="00E4759B" w:rsidRDefault="00A72D0C">
            <w:pPr>
              <w:pStyle w:val="Normaltindrag"/>
              <w:shd w:val="clear" w:color="000000" w:fill="auto"/>
              <w:spacing w:before="60" w:line="200" w:lineRule="exact"/>
              <w:ind w:firstLine="0"/>
              <w:rPr>
                <w:b/>
                <w:sz w:val="16"/>
                <w:szCs w:val="16"/>
              </w:rPr>
            </w:pPr>
            <w:r w:rsidRPr="00E4759B">
              <w:rPr>
                <w:b/>
                <w:sz w:val="16"/>
                <w:szCs w:val="16"/>
              </w:rPr>
              <w:t>Summa</w:t>
            </w:r>
          </w:p>
        </w:tc>
        <w:tc>
          <w:tcPr>
            <w:tcW w:w="1077" w:type="dxa"/>
            <w:tcBorders>
              <w:top w:val="nil"/>
              <w:left w:val="nil"/>
              <w:bottom w:val="single" w:sz="4" w:space="0" w:color="auto"/>
              <w:right w:val="nil"/>
            </w:tcBorders>
            <w:vAlign w:val="bottom"/>
          </w:tcPr>
          <w:p w:rsidR="00A72D0C" w:rsidRPr="00E4759B" w:rsidRDefault="00A72D0C">
            <w:pPr>
              <w:pStyle w:val="Normaltindrag"/>
              <w:shd w:val="clear" w:color="000000" w:fill="auto"/>
              <w:spacing w:before="60" w:line="200" w:lineRule="exact"/>
              <w:jc w:val="right"/>
              <w:rPr>
                <w:sz w:val="16"/>
                <w:szCs w:val="16"/>
              </w:rPr>
            </w:pPr>
          </w:p>
        </w:tc>
        <w:tc>
          <w:tcPr>
            <w:tcW w:w="1083" w:type="dxa"/>
            <w:tcBorders>
              <w:top w:val="nil"/>
              <w:left w:val="nil"/>
              <w:bottom w:val="single" w:sz="4" w:space="0" w:color="auto"/>
              <w:right w:val="nil"/>
            </w:tcBorders>
            <w:vAlign w:val="bottom"/>
          </w:tcPr>
          <w:p w:rsidR="00A72D0C" w:rsidRPr="00E4759B" w:rsidRDefault="00A72D0C">
            <w:pPr>
              <w:pStyle w:val="Normaltindrag"/>
              <w:shd w:val="clear" w:color="000000" w:fill="auto"/>
              <w:spacing w:before="60" w:line="200" w:lineRule="exact"/>
              <w:jc w:val="right"/>
              <w:rPr>
                <w:b/>
                <w:sz w:val="16"/>
                <w:szCs w:val="16"/>
              </w:rPr>
            </w:pPr>
            <w:r w:rsidRPr="00E4759B">
              <w:rPr>
                <w:b/>
                <w:sz w:val="16"/>
                <w:szCs w:val="16"/>
              </w:rPr>
              <w:t>182 000</w:t>
            </w:r>
          </w:p>
        </w:tc>
      </w:tr>
    </w:tbl>
    <w:p w:rsidR="00A72D0C" w:rsidRPr="00E4759B" w:rsidRDefault="00A72D0C">
      <w:pPr>
        <w:shd w:val="clear" w:color="000000" w:fill="auto"/>
      </w:pPr>
    </w:p>
    <w:p w:rsidR="00BE2415" w:rsidRPr="00E4759B" w:rsidRDefault="005D2401">
      <w:pPr>
        <w:pStyle w:val="Rubrik1"/>
        <w:shd w:val="clear" w:color="000000" w:fill="auto"/>
        <w:spacing w:before="360"/>
      </w:pPr>
      <w:r w:rsidRPr="00E4759B">
        <w:t>Sammanfattning av Vänsterpartiets förslag</w:t>
      </w:r>
    </w:p>
    <w:p w:rsidR="00876026" w:rsidRPr="00E4759B" w:rsidRDefault="00701683">
      <w:pPr>
        <w:shd w:val="clear" w:color="000000" w:fill="auto"/>
      </w:pPr>
      <w:r w:rsidRPr="00E4759B">
        <w:t xml:space="preserve">Vänsterpartiets viktigaste krav </w:t>
      </w:r>
      <w:r w:rsidR="00C0655B" w:rsidRPr="00E4759B">
        <w:t xml:space="preserve">inom detta område </w:t>
      </w:r>
      <w:r w:rsidRPr="00E4759B">
        <w:t xml:space="preserve">handlar </w:t>
      </w:r>
      <w:r w:rsidR="006763C7" w:rsidRPr="00E4759B">
        <w:t xml:space="preserve">om </w:t>
      </w:r>
      <w:r w:rsidR="00C0655B" w:rsidRPr="00E4759B">
        <w:t>att genomföra en</w:t>
      </w:r>
      <w:r w:rsidRPr="00E4759B">
        <w:t xml:space="preserve"> amnesti för de</w:t>
      </w:r>
      <w:r w:rsidR="00C0655B" w:rsidRPr="00E4759B">
        <w:t>m</w:t>
      </w:r>
      <w:r w:rsidRPr="00E4759B">
        <w:t xml:space="preserve"> som fått avslag på den tillfälliga asyllag som </w:t>
      </w:r>
      <w:r w:rsidR="00C0655B" w:rsidRPr="00E4759B">
        <w:t>gällde me</w:t>
      </w:r>
      <w:r w:rsidR="00C0655B" w:rsidRPr="00E4759B">
        <w:t>l</w:t>
      </w:r>
      <w:r w:rsidR="00C0655B" w:rsidRPr="00E4759B">
        <w:t xml:space="preserve">lan </w:t>
      </w:r>
      <w:r w:rsidR="006763C7" w:rsidRPr="00E4759B">
        <w:t xml:space="preserve">den </w:t>
      </w:r>
      <w:r w:rsidR="00C0655B" w:rsidRPr="00E4759B">
        <w:t xml:space="preserve">15 november 2005 och 31 mars 2006. </w:t>
      </w:r>
      <w:r w:rsidRPr="00E4759B">
        <w:t>Denna reform innebär en kra</w:t>
      </w:r>
      <w:r w:rsidRPr="00E4759B">
        <w:t>f</w:t>
      </w:r>
      <w:r w:rsidRPr="00E4759B">
        <w:t>tig besparing för Migrations</w:t>
      </w:r>
      <w:r w:rsidR="00C0655B" w:rsidRPr="00E4759B">
        <w:t xml:space="preserve">verket under de närmaste åren. Vi föreslår också en nödvändig höjning och värdesäkring av dagersättningen för asylsökande </w:t>
      </w:r>
      <w:r w:rsidR="002862F2" w:rsidRPr="00E4759B">
        <w:t xml:space="preserve">och </w:t>
      </w:r>
      <w:r w:rsidR="00C0655B" w:rsidRPr="00E4759B">
        <w:t>en utvidgning och förstärkning av asylsökandes rätt till sjukvård. Vidare föreslår vi att bostadsersättningen vid eget boende skall återinföras och höjas jämfört med tidigare nivå. Vi föreslår att satsningar på att höja kvaliteten på Migrationsverkets grundutredningar skall genomföras utan att riskera kvalit</w:t>
      </w:r>
      <w:r w:rsidR="00C0655B" w:rsidRPr="00E4759B">
        <w:t>e</w:t>
      </w:r>
      <w:r w:rsidR="00C0655B" w:rsidRPr="00E4759B">
        <w:t>ten i domstolsförfarandet. För att värna humaniteten och rättssäkerheten i asylprocessen föreslår vi även minskningar av kostnaderna för förvarstaga</w:t>
      </w:r>
      <w:r w:rsidR="00C0655B" w:rsidRPr="00E4759B">
        <w:t>n</w:t>
      </w:r>
      <w:r w:rsidR="00C0655B" w:rsidRPr="00E4759B">
        <w:t>de, avvisningar och utvisningar.</w:t>
      </w:r>
    </w:p>
    <w:p w:rsidR="00876026" w:rsidRPr="00E4759B" w:rsidRDefault="00FE5EE7">
      <w:pPr>
        <w:pStyle w:val="Rubrik2"/>
        <w:shd w:val="clear" w:color="000000" w:fill="auto"/>
      </w:pPr>
      <w:r w:rsidRPr="00E4759B">
        <w:lastRenderedPageBreak/>
        <w:t>Migrationsverket</w:t>
      </w:r>
    </w:p>
    <w:p w:rsidR="00A72868" w:rsidRPr="00E4759B" w:rsidRDefault="00FE5EE7">
      <w:pPr>
        <w:shd w:val="clear" w:color="000000" w:fill="auto"/>
      </w:pPr>
      <w:r w:rsidRPr="00E4759B">
        <w:t>Vänsterpartiet drev under vintern och våren 2005 tillsammans med en bred och massiv utom- och inomparlamentarisk rörelse förslaget om att genomföra en nollställning av asylprocessen inför övergången till ny instans- och pr</w:t>
      </w:r>
      <w:r w:rsidRPr="00E4759B">
        <w:t>o</w:t>
      </w:r>
      <w:r w:rsidRPr="00E4759B">
        <w:t>cessordning</w:t>
      </w:r>
      <w:r w:rsidR="006763C7" w:rsidRPr="00E4759B">
        <w:t>,</w:t>
      </w:r>
      <w:r w:rsidR="00FD25A7" w:rsidRPr="00E4759B">
        <w:t xml:space="preserve"> </w:t>
      </w:r>
      <w:r w:rsidR="006763C7" w:rsidRPr="00E4759B">
        <w:t>d</w:t>
      </w:r>
      <w:r w:rsidR="00FD25A7" w:rsidRPr="00E4759B">
        <w:t>etta</w:t>
      </w:r>
      <w:r w:rsidRPr="00E4759B">
        <w:t xml:space="preserve"> för att ge upprättelse och uppehållstillstånd till alla dem som missbehandlats i den tidigare asylprocessen. </w:t>
      </w:r>
      <w:r w:rsidR="00FD25A7" w:rsidRPr="00E4759B">
        <w:t xml:space="preserve">Förslaget </w:t>
      </w:r>
      <w:r w:rsidRPr="00E4759B">
        <w:t xml:space="preserve">gick inte igenom. Däremot genomfördes en tillfällig asyllag som gällde mellan </w:t>
      </w:r>
      <w:r w:rsidR="006763C7" w:rsidRPr="00E4759B">
        <w:t xml:space="preserve">den </w:t>
      </w:r>
      <w:r w:rsidRPr="00E4759B">
        <w:t>15 nove</w:t>
      </w:r>
      <w:r w:rsidRPr="00E4759B">
        <w:t>m</w:t>
      </w:r>
      <w:r w:rsidRPr="00E4759B">
        <w:t>ber 2005 och 31 mars 2006 och gav möjlighet till ny prövning och för vissa grupper en mer generös prövning. Den tillfälliga lagen var ett viktigt erkä</w:t>
      </w:r>
      <w:r w:rsidRPr="00E4759B">
        <w:t>n</w:t>
      </w:r>
      <w:r w:rsidRPr="00E4759B">
        <w:t>nande av bristerna i den rätt</w:t>
      </w:r>
      <w:r w:rsidR="006763C7" w:rsidRPr="00E4759B">
        <w:t>s</w:t>
      </w:r>
      <w:r w:rsidRPr="00E4759B">
        <w:t>osä</w:t>
      </w:r>
      <w:r w:rsidR="00FD25A7" w:rsidRPr="00E4759B">
        <w:t>kra och inhumana asylprocessen</w:t>
      </w:r>
      <w:r w:rsidR="006763C7" w:rsidRPr="00E4759B">
        <w:t>,</w:t>
      </w:r>
      <w:r w:rsidR="00FD25A7" w:rsidRPr="00E4759B">
        <w:t xml:space="preserve"> och </w:t>
      </w:r>
      <w:r w:rsidRPr="00E4759B">
        <w:t>Vän</w:t>
      </w:r>
      <w:r w:rsidRPr="00E4759B">
        <w:t>s</w:t>
      </w:r>
      <w:r w:rsidRPr="00E4759B">
        <w:t>terpartiet välk</w:t>
      </w:r>
      <w:r w:rsidR="002862F2" w:rsidRPr="00E4759B">
        <w:t>omnar var och en av de drygt 17 </w:t>
      </w:r>
      <w:r w:rsidRPr="00E4759B">
        <w:t xml:space="preserve">000 personer som härigenom alltså fått stanna. </w:t>
      </w:r>
      <w:r w:rsidR="00FD25A7" w:rsidRPr="00E4759B">
        <w:t>Vi är dock kritiska till tillämpningen av lagen i flera avsee</w:t>
      </w:r>
      <w:r w:rsidR="00FD25A7" w:rsidRPr="00E4759B">
        <w:t>n</w:t>
      </w:r>
      <w:r w:rsidR="00FD25A7" w:rsidRPr="00E4759B">
        <w:t>den. G</w:t>
      </w:r>
      <w:r w:rsidRPr="00E4759B">
        <w:t>rundkravet om generell amnesti handlade om att ge upprättelse åt dem som felbehandlats i den tidigare processen. Detta har därmed fortsatt giltighet.</w:t>
      </w:r>
    </w:p>
    <w:p w:rsidR="00A72868" w:rsidRPr="00E4759B" w:rsidRDefault="00FE5EE7">
      <w:pPr>
        <w:pStyle w:val="Normaltindrag"/>
        <w:shd w:val="clear" w:color="000000" w:fill="auto"/>
      </w:pPr>
      <w:r w:rsidRPr="00E4759B">
        <w:t xml:space="preserve">Mot denna bakgrund föreslår </w:t>
      </w:r>
      <w:r w:rsidR="006763C7" w:rsidRPr="00E4759B">
        <w:t xml:space="preserve">Vänsterpartiet </w:t>
      </w:r>
      <w:r w:rsidRPr="00E4759B">
        <w:t xml:space="preserve">att en amnesti genomförs i asylprocessen den 1 januari 2007 för dem som fått avslag på sina ansökningar på den tillfälliga asyllagen. </w:t>
      </w:r>
      <w:r w:rsidR="00DA5A2C" w:rsidRPr="00E4759B">
        <w:t xml:space="preserve">Vi preciserar detta i vår motion Flykting- och immigrationspolitiken. </w:t>
      </w:r>
      <w:r w:rsidRPr="00E4759B">
        <w:t>Sammantaget rör det sig om ca 13 000 personer. B</w:t>
      </w:r>
      <w:r w:rsidRPr="00E4759B">
        <w:t>e</w:t>
      </w:r>
      <w:r w:rsidRPr="00E4759B">
        <w:t>räkningen av kostnaderna för anslaget bygger på en uppskattning om att kommunplaceringen av dessa personer i genomsnitt kommer att ta sex mån</w:t>
      </w:r>
      <w:r w:rsidRPr="00E4759B">
        <w:t>a</w:t>
      </w:r>
      <w:r w:rsidRPr="00E4759B">
        <w:t>der efter det att uppehållstillstånd beviljats. Förslaget innebä</w:t>
      </w:r>
      <w:r w:rsidR="006763C7" w:rsidRPr="00E4759B">
        <w:t>r en tvåårig kos</w:t>
      </w:r>
      <w:r w:rsidR="006763C7" w:rsidRPr="00E4759B">
        <w:t>t</w:t>
      </w:r>
      <w:r w:rsidR="006763C7" w:rsidRPr="00E4759B">
        <w:t>nad på anslag</w:t>
      </w:r>
      <w:r w:rsidRPr="00E4759B">
        <w:t xml:space="preserve"> </w:t>
      </w:r>
      <w:r w:rsidR="00A72868" w:rsidRPr="00E4759B">
        <w:t>10:3 K</w:t>
      </w:r>
      <w:r w:rsidRPr="00E4759B">
        <w:t>ommunersättni</w:t>
      </w:r>
      <w:r w:rsidR="006763C7" w:rsidRPr="00E4759B">
        <w:t>ngar vid flyktingmottagande på u</w:t>
      </w:r>
      <w:r w:rsidRPr="00E4759B">
        <w:t>tgift</w:t>
      </w:r>
      <w:r w:rsidRPr="00E4759B">
        <w:t>s</w:t>
      </w:r>
      <w:r w:rsidRPr="00E4759B">
        <w:t>område 13 med början halvårsskiftet 2007.</w:t>
      </w:r>
    </w:p>
    <w:p w:rsidR="00C15693" w:rsidRPr="00E4759B" w:rsidRDefault="00FE5EE7">
      <w:pPr>
        <w:pStyle w:val="Normaltindrag"/>
        <w:shd w:val="clear" w:color="000000" w:fill="auto"/>
      </w:pPr>
      <w:r w:rsidRPr="00E4759B">
        <w:t>Samtidigt sker en besparing på anslaget för Migrationsverket.</w:t>
      </w:r>
      <w:r w:rsidR="00A72868" w:rsidRPr="00E4759B">
        <w:t xml:space="preserve"> </w:t>
      </w:r>
      <w:r w:rsidR="00C15693" w:rsidRPr="00E4759B">
        <w:t xml:space="preserve">Beräkningen av kostnaderna för anslaget bygger på </w:t>
      </w:r>
      <w:r w:rsidR="00A72868" w:rsidRPr="00E4759B">
        <w:t>en</w:t>
      </w:r>
      <w:r w:rsidR="00C15693" w:rsidRPr="00E4759B">
        <w:t xml:space="preserve"> uppskattning om att samtliga ca 8 000 personer som i</w:t>
      </w:r>
      <w:r w:rsidR="002E2007" w:rsidRPr="00E4759B">
        <w:t xml:space="preserve"> </w:t>
      </w:r>
      <w:r w:rsidR="00C15693" w:rsidRPr="00E4759B">
        <w:t>dag befinner sig i mottagningssystemet blir kommu</w:t>
      </w:r>
      <w:r w:rsidR="00C15693" w:rsidRPr="00E4759B">
        <w:t>n</w:t>
      </w:r>
      <w:r w:rsidR="00C15693" w:rsidRPr="00E4759B">
        <w:t>placerade i genomsnitt sex månader efter att uppehållstillståndet beviljats</w:t>
      </w:r>
      <w:r w:rsidR="00A72868" w:rsidRPr="00E4759B">
        <w:t xml:space="preserve">. </w:t>
      </w:r>
      <w:r w:rsidR="00C15693" w:rsidRPr="00E4759B">
        <w:t xml:space="preserve">Till detta kommer ytterligare ca 1 500 personer av dem som fått avslag, som </w:t>
      </w:r>
      <w:r w:rsidR="002E2007" w:rsidRPr="00E4759B">
        <w:t>i dag</w:t>
      </w:r>
      <w:r w:rsidR="00C15693" w:rsidRPr="00E4759B">
        <w:t xml:space="preserve"> lever som gömda och som kan beräknas träda fram vid ett beslut om amnesti. </w:t>
      </w:r>
      <w:r w:rsidR="00A72868" w:rsidRPr="00E4759B">
        <w:t xml:space="preserve">Inräknat kostnaderna för Migrationsverkets prövning innebär förslaget om </w:t>
      </w:r>
      <w:r w:rsidR="006763C7" w:rsidRPr="00E4759B">
        <w:t>amnesti en besparing på anslag</w:t>
      </w:r>
      <w:r w:rsidR="00A72868" w:rsidRPr="00E4759B">
        <w:t xml:space="preserve"> 12:1 Migrationsverket på 260 miljoner kronor 2007 och 700 miljoner </w:t>
      </w:r>
      <w:r w:rsidR="006763C7" w:rsidRPr="00E4759B">
        <w:t xml:space="preserve">kronor </w:t>
      </w:r>
      <w:r w:rsidR="00A72868" w:rsidRPr="00E4759B">
        <w:t>kommande år.</w:t>
      </w:r>
    </w:p>
    <w:p w:rsidR="00876026" w:rsidRPr="00E4759B" w:rsidRDefault="00A72868">
      <w:pPr>
        <w:pStyle w:val="Rubrik2"/>
        <w:shd w:val="clear" w:color="000000" w:fill="auto"/>
      </w:pPr>
      <w:r w:rsidRPr="00E4759B">
        <w:t>Ersättningar och bostadskostnader</w:t>
      </w:r>
    </w:p>
    <w:p w:rsidR="007C11DA" w:rsidRPr="00E4759B" w:rsidRDefault="00A72868">
      <w:pPr>
        <w:shd w:val="clear" w:color="000000" w:fill="auto"/>
        <w:rPr>
          <w:szCs w:val="24"/>
        </w:rPr>
      </w:pPr>
      <w:r w:rsidRPr="00E4759B">
        <w:t xml:space="preserve">I vår </w:t>
      </w:r>
      <w:r w:rsidR="00DA5A2C" w:rsidRPr="00E4759B">
        <w:t xml:space="preserve">motion Förbättrat flyktingmottagande </w:t>
      </w:r>
      <w:r w:rsidR="007C11DA" w:rsidRPr="00E4759B">
        <w:t xml:space="preserve">preciserar vi våra </w:t>
      </w:r>
      <w:r w:rsidR="009002A7" w:rsidRPr="00E4759B">
        <w:t xml:space="preserve">förslag på hur </w:t>
      </w:r>
      <w:r w:rsidR="00DA5A2C" w:rsidRPr="00E4759B">
        <w:t xml:space="preserve">det svenska flyktingmottagandet </w:t>
      </w:r>
      <w:r w:rsidR="009002A7" w:rsidRPr="00E4759B">
        <w:t xml:space="preserve">skall förbättras. Vi föreslår bl.a. en höjning av dagersättningen till asylsökande med 30 kronor/dag. </w:t>
      </w:r>
      <w:r w:rsidR="00DA5A2C" w:rsidRPr="00E4759B">
        <w:rPr>
          <w:szCs w:val="24"/>
        </w:rPr>
        <w:t>Dagersättningen li</w:t>
      </w:r>
      <w:r w:rsidR="00DA5A2C" w:rsidRPr="00E4759B">
        <w:rPr>
          <w:szCs w:val="24"/>
        </w:rPr>
        <w:t>g</w:t>
      </w:r>
      <w:r w:rsidR="00DA5A2C" w:rsidRPr="00E4759B">
        <w:rPr>
          <w:szCs w:val="24"/>
        </w:rPr>
        <w:t>ger redan på en nivå långt under möjligheten till skälig levnadsstandard och ersättningen riskerar att urholkas ytterligare</w:t>
      </w:r>
      <w:r w:rsidR="009002A7" w:rsidRPr="00E4759B">
        <w:rPr>
          <w:szCs w:val="24"/>
        </w:rPr>
        <w:t xml:space="preserve">. Förutom att höja dagersättningen föreslår vi att den värdesäkras i förhållande till prisutvecklingen genom att knytas till index. </w:t>
      </w:r>
      <w:r w:rsidR="007C11DA" w:rsidRPr="00E4759B">
        <w:rPr>
          <w:szCs w:val="24"/>
        </w:rPr>
        <w:t xml:space="preserve">Vänsterpartiet anvisar därför </w:t>
      </w:r>
      <w:r w:rsidR="009002A7" w:rsidRPr="00E4759B">
        <w:rPr>
          <w:szCs w:val="24"/>
        </w:rPr>
        <w:t>345 miljoner</w:t>
      </w:r>
      <w:r w:rsidR="007C11DA" w:rsidRPr="00E4759B">
        <w:rPr>
          <w:szCs w:val="24"/>
        </w:rPr>
        <w:t xml:space="preserve"> kronor på ansl</w:t>
      </w:r>
      <w:r w:rsidR="007C11DA" w:rsidRPr="00E4759B">
        <w:rPr>
          <w:szCs w:val="24"/>
        </w:rPr>
        <w:t>a</w:t>
      </w:r>
      <w:r w:rsidR="007C11DA" w:rsidRPr="00E4759B">
        <w:rPr>
          <w:szCs w:val="24"/>
        </w:rPr>
        <w:t>get</w:t>
      </w:r>
      <w:r w:rsidR="009002A7" w:rsidRPr="00E4759B">
        <w:rPr>
          <w:szCs w:val="24"/>
        </w:rPr>
        <w:t>.</w:t>
      </w:r>
    </w:p>
    <w:p w:rsidR="007C11DA" w:rsidRPr="00E4759B" w:rsidRDefault="007C11DA">
      <w:pPr>
        <w:pStyle w:val="Normaltindrag"/>
        <w:shd w:val="clear" w:color="000000" w:fill="auto"/>
      </w:pPr>
      <w:r w:rsidRPr="00E4759B">
        <w:t>Vidare driver vi att asylsökandes rätt till sjukvård skall stärkas så att även icke akuta sjukdomstillstånd skall omfattas. Som ett steg mot en sådan or</w:t>
      </w:r>
      <w:r w:rsidRPr="00E4759B">
        <w:t>d</w:t>
      </w:r>
      <w:r w:rsidRPr="00E4759B">
        <w:t>ning bör tortyr- och traumaskador räknas som akuta tillstånd. Vidare finns det generellt ett behov av ökade medel för att landstingens kostnader skall ersä</w:t>
      </w:r>
      <w:r w:rsidRPr="00E4759B">
        <w:t>t</w:t>
      </w:r>
      <w:r w:rsidRPr="00E4759B">
        <w:t>tas. Vänsterpartiet tillför i detta syfte 100 miljoner kronor på anslaget.</w:t>
      </w:r>
    </w:p>
    <w:p w:rsidR="00ED2813" w:rsidRPr="00E4759B" w:rsidRDefault="007C11DA">
      <w:pPr>
        <w:pStyle w:val="Normaltindrag"/>
        <w:shd w:val="clear" w:color="000000" w:fill="auto"/>
        <w:rPr>
          <w:snapToGrid w:val="0"/>
        </w:rPr>
      </w:pPr>
      <w:r w:rsidRPr="00E4759B">
        <w:t xml:space="preserve">Vi föreslår </w:t>
      </w:r>
      <w:r w:rsidR="00FD25A7" w:rsidRPr="00E4759B">
        <w:t>dessutom</w:t>
      </w:r>
      <w:r w:rsidRPr="00E4759B">
        <w:t xml:space="preserve"> att </w:t>
      </w:r>
      <w:r w:rsidRPr="00E4759B">
        <w:rPr>
          <w:snapToGrid w:val="0"/>
        </w:rPr>
        <w:t>bostadsersättningen till asylsökande skall återinf</w:t>
      </w:r>
      <w:r w:rsidRPr="00E4759B">
        <w:rPr>
          <w:snapToGrid w:val="0"/>
        </w:rPr>
        <w:t>ö</w:t>
      </w:r>
      <w:r w:rsidRPr="00E4759B">
        <w:rPr>
          <w:snapToGrid w:val="0"/>
        </w:rPr>
        <w:t xml:space="preserve">ras samt att ersättningsnivån </w:t>
      </w:r>
      <w:r w:rsidRPr="00E4759B">
        <w:t>återställs till tidigare nivåer om 500 kronor för ensamstående och 1</w:t>
      </w:r>
      <w:r w:rsidR="00FD25A7" w:rsidRPr="00E4759B">
        <w:t> </w:t>
      </w:r>
      <w:r w:rsidRPr="00E4759B">
        <w:t xml:space="preserve">000 kronor för familjer. </w:t>
      </w:r>
      <w:r w:rsidRPr="00E4759B">
        <w:rPr>
          <w:snapToGrid w:val="0"/>
        </w:rPr>
        <w:t>Avskaffandet av</w:t>
      </w:r>
      <w:r w:rsidR="00FD25A7" w:rsidRPr="00E4759B">
        <w:rPr>
          <w:snapToGrid w:val="0"/>
        </w:rPr>
        <w:t xml:space="preserve"> bostadsersät</w:t>
      </w:r>
      <w:r w:rsidR="00FD25A7" w:rsidRPr="00E4759B">
        <w:rPr>
          <w:snapToGrid w:val="0"/>
        </w:rPr>
        <w:t>t</w:t>
      </w:r>
      <w:r w:rsidR="00FD25A7" w:rsidRPr="00E4759B">
        <w:rPr>
          <w:snapToGrid w:val="0"/>
        </w:rPr>
        <w:t>ningen vid eget boende har</w:t>
      </w:r>
      <w:r w:rsidRPr="00E4759B">
        <w:rPr>
          <w:snapToGrid w:val="0"/>
        </w:rPr>
        <w:t xml:space="preserve"> inte inneburit att asylsökande valt att bosätta sig i eget boende i någon mindre utsträckning än tidigare</w:t>
      </w:r>
      <w:r w:rsidR="00FD25A7" w:rsidRPr="00E4759B">
        <w:rPr>
          <w:snapToGrid w:val="0"/>
        </w:rPr>
        <w:t>,</w:t>
      </w:r>
      <w:r w:rsidRPr="00E4759B">
        <w:rPr>
          <w:snapToGrid w:val="0"/>
        </w:rPr>
        <w:t xml:space="preserve"> utan enbart att redan fattiga människor blivit ännu fattigare. </w:t>
      </w:r>
      <w:r w:rsidR="00F55600" w:rsidRPr="00E4759B">
        <w:rPr>
          <w:snapToGrid w:val="0"/>
        </w:rPr>
        <w:t xml:space="preserve">Förslaget innebär att anslaget ökas med </w:t>
      </w:r>
      <w:r w:rsidRPr="00E4759B">
        <w:rPr>
          <w:snapToGrid w:val="0"/>
        </w:rPr>
        <w:t>87 miljoner kronor.</w:t>
      </w:r>
    </w:p>
    <w:p w:rsidR="00F55600" w:rsidRPr="00E4759B" w:rsidRDefault="00F55600">
      <w:pPr>
        <w:pStyle w:val="Normaltindrag"/>
        <w:shd w:val="clear" w:color="000000" w:fill="auto"/>
        <w:rPr>
          <w:snapToGrid w:val="0"/>
        </w:rPr>
      </w:pPr>
      <w:r w:rsidRPr="00E4759B">
        <w:t>Med anledning av att antalet asylsökande minskar kommande år bör även den del av anslaget som motsvarar utgifterna för förvar minskas. Genom införandet av ny instans- och processordning har också behovet av förvar</w:t>
      </w:r>
      <w:r w:rsidRPr="00E4759B">
        <w:t>s</w:t>
      </w:r>
      <w:r w:rsidRPr="00E4759B">
        <w:t>platser minskat något</w:t>
      </w:r>
      <w:r w:rsidRPr="00E4759B">
        <w:rPr>
          <w:color w:val="000000"/>
        </w:rPr>
        <w:t xml:space="preserve">. Förvarstagande skall vara noggrant preciserat och ske endast i undantagsfall och med tydlig tidsbegränsning. Mot denna bakgrund föreslår vi en minskning av anslaget med </w:t>
      </w:r>
      <w:r w:rsidR="00ED2813" w:rsidRPr="00E4759B">
        <w:rPr>
          <w:color w:val="000000"/>
        </w:rPr>
        <w:t>40 miljoner</w:t>
      </w:r>
      <w:r w:rsidR="00621D55" w:rsidRPr="00E4759B">
        <w:rPr>
          <w:color w:val="000000"/>
        </w:rPr>
        <w:t xml:space="preserve"> kronor</w:t>
      </w:r>
      <w:r w:rsidR="00ED2813" w:rsidRPr="00E4759B">
        <w:rPr>
          <w:color w:val="000000"/>
        </w:rPr>
        <w:t>.</w:t>
      </w:r>
    </w:p>
    <w:p w:rsidR="00F55600" w:rsidRPr="00E4759B" w:rsidRDefault="00F55600">
      <w:pPr>
        <w:pStyle w:val="Normaltindrag"/>
        <w:shd w:val="clear" w:color="000000" w:fill="auto"/>
      </w:pPr>
      <w:r w:rsidRPr="00E4759B">
        <w:rPr>
          <w:snapToGrid w:val="0"/>
        </w:rPr>
        <w:t xml:space="preserve">Sammantaget </w:t>
      </w:r>
      <w:r w:rsidRPr="00E4759B">
        <w:t xml:space="preserve">föreslår </w:t>
      </w:r>
      <w:r w:rsidR="006763C7" w:rsidRPr="00E4759B">
        <w:t xml:space="preserve">Vänsterpartiet </w:t>
      </w:r>
      <w:r w:rsidRPr="00E4759B">
        <w:t>en ökning av anslag 12:2 Ersättningar och bostadskostnader med 492 miljoner</w:t>
      </w:r>
      <w:r w:rsidR="006763C7" w:rsidRPr="00E4759B">
        <w:t xml:space="preserve"> kronor</w:t>
      </w:r>
      <w:r w:rsidR="00ED2813" w:rsidRPr="00E4759B">
        <w:t xml:space="preserve"> för 2007</w:t>
      </w:r>
      <w:r w:rsidRPr="00E4759B">
        <w:t>.</w:t>
      </w:r>
    </w:p>
    <w:p w:rsidR="00876026" w:rsidRPr="00E4759B" w:rsidRDefault="00ED2813">
      <w:pPr>
        <w:pStyle w:val="Rubrik2"/>
        <w:shd w:val="clear" w:color="000000" w:fill="auto"/>
      </w:pPr>
      <w:r w:rsidRPr="00E4759B">
        <w:t>Domstolsprövning i utlänningsärenden</w:t>
      </w:r>
    </w:p>
    <w:p w:rsidR="00876026" w:rsidRPr="00E4759B" w:rsidRDefault="00ED2813">
      <w:pPr>
        <w:shd w:val="clear" w:color="000000" w:fill="auto"/>
      </w:pPr>
      <w:r w:rsidRPr="00E4759B">
        <w:t xml:space="preserve">I </w:t>
      </w:r>
      <w:r w:rsidR="00FD25A7" w:rsidRPr="00E4759B">
        <w:t>b</w:t>
      </w:r>
      <w:r w:rsidRPr="00E4759B">
        <w:t xml:space="preserve">udgetpropositionen föreslås en engångsvis satsning på Migrationsverket för att höja kvaliteten på grundutredningarna. Vänsterpartiet välkomnar denna satsning men avvisar förslaget till finansiering </w:t>
      </w:r>
      <w:r w:rsidR="00FD25A7" w:rsidRPr="00E4759B">
        <w:t xml:space="preserve">om </w:t>
      </w:r>
      <w:r w:rsidRPr="00E4759B">
        <w:t>att minska på anslaget för domstolsprövning motsvarande. Därmed f</w:t>
      </w:r>
      <w:r w:rsidR="006763C7" w:rsidRPr="00E4759B">
        <w:t>öreslår vi en ökning av anslag</w:t>
      </w:r>
      <w:r w:rsidRPr="00E4759B">
        <w:t xml:space="preserve"> 12:4 Domstolsprövning i utlänningsärenden med 50 miljoner kronor 2007.</w:t>
      </w:r>
    </w:p>
    <w:p w:rsidR="00876026" w:rsidRPr="00E4759B" w:rsidRDefault="00ED2813">
      <w:pPr>
        <w:pStyle w:val="Rubrik2"/>
        <w:shd w:val="clear" w:color="000000" w:fill="auto"/>
      </w:pPr>
      <w:r w:rsidRPr="00E4759B">
        <w:t>Utresor för avvisade och utvisade</w:t>
      </w:r>
    </w:p>
    <w:p w:rsidR="00AA6404" w:rsidRPr="00E4759B" w:rsidRDefault="00ED2813">
      <w:pPr>
        <w:shd w:val="clear" w:color="000000" w:fill="auto"/>
      </w:pPr>
      <w:r w:rsidRPr="00E4759B">
        <w:t>Med anledning av att antalet asylsökande minskar bör en minskning på ansl</w:t>
      </w:r>
      <w:r w:rsidRPr="00E4759B">
        <w:t>a</w:t>
      </w:r>
      <w:r w:rsidRPr="00E4759B">
        <w:t>get följa. Sedan ny instans- och processordning genomfördes i asylprocessen har behovet av bevakade utresor för avvisade och utvisade minskat något. Vidare är det inte motiverat att som regeringen anslå medel för att kunna genomföra avvisningar av personer som är i så dåligt skick att de skall skic</w:t>
      </w:r>
      <w:r w:rsidRPr="00E4759B">
        <w:t>k</w:t>
      </w:r>
      <w:r w:rsidRPr="00E4759B">
        <w:t xml:space="preserve">as ut med ambulans och medföljande medicinsk personal. Detta är inte i linje med regeringens uttalade ambitioner att föra en human flyktingpolitik som inte bryter mot internationella konventioner om mänskliga rättigheter. Därför föreslår </w:t>
      </w:r>
      <w:r w:rsidR="006763C7" w:rsidRPr="00E4759B">
        <w:t>Vänsterpartiet att anslag</w:t>
      </w:r>
      <w:r w:rsidRPr="00E4759B">
        <w:t xml:space="preserve"> 12:7 Utresor för avvisade och utvisade minskas med 100 miljoner</w:t>
      </w:r>
      <w:r w:rsidR="006763C7" w:rsidRPr="00E4759B">
        <w:t xml:space="preserve"> kronor</w:t>
      </w:r>
      <w:r w:rsidRPr="00E4759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59B">
        <w:trPr>
          <w:cantSplit/>
        </w:trPr>
        <w:tc>
          <w:tcPr>
            <w:tcW w:w="3046" w:type="dxa"/>
          </w:tcPr>
          <w:p w:rsidR="00A72D0C" w:rsidRPr="00E4759B" w:rsidRDefault="00A72D0C">
            <w:pPr>
              <w:pStyle w:val="UnderskriftDatum"/>
              <w:shd w:val="clear" w:color="000000" w:fill="auto"/>
              <w:spacing w:before="240"/>
            </w:pPr>
            <w:r w:rsidRPr="00E4759B">
              <w:t>Stockholm den 30 oktober 2006</w:t>
            </w:r>
          </w:p>
        </w:tc>
        <w:tc>
          <w:tcPr>
            <w:tcW w:w="3047" w:type="dxa"/>
          </w:tcPr>
          <w:p w:rsidR="00A72D0C" w:rsidRPr="00E4759B" w:rsidRDefault="00A72D0C">
            <w:pPr>
              <w:pStyle w:val="Underskrifter"/>
              <w:shd w:val="clear" w:color="000000" w:fill="auto"/>
              <w:spacing w:before="240"/>
            </w:pPr>
          </w:p>
        </w:tc>
      </w:tr>
      <w:tr w:rsidR="00000000" w:rsidRPr="00E4759B">
        <w:trPr>
          <w:cantSplit/>
        </w:trPr>
        <w:tc>
          <w:tcPr>
            <w:tcW w:w="3046" w:type="dxa"/>
          </w:tcPr>
          <w:p w:rsidR="00A72D0C" w:rsidRPr="00E4759B" w:rsidRDefault="00A72D0C">
            <w:pPr>
              <w:pStyle w:val="Underskrifter"/>
              <w:shd w:val="clear" w:color="000000" w:fill="auto"/>
            </w:pPr>
            <w:r w:rsidRPr="00E4759B">
              <w:t>Lars Ohly (v)</w:t>
            </w:r>
          </w:p>
        </w:tc>
        <w:tc>
          <w:tcPr>
            <w:tcW w:w="3046" w:type="dxa"/>
          </w:tcPr>
          <w:p w:rsidR="00A72D0C" w:rsidRPr="00E4759B" w:rsidRDefault="00A72D0C">
            <w:pPr>
              <w:pStyle w:val="Underskrifter"/>
              <w:shd w:val="clear" w:color="000000" w:fill="auto"/>
            </w:pPr>
          </w:p>
        </w:tc>
      </w:tr>
      <w:tr w:rsidR="00000000" w:rsidRPr="00E4759B">
        <w:trPr>
          <w:cantSplit/>
        </w:trPr>
        <w:tc>
          <w:tcPr>
            <w:tcW w:w="3046" w:type="dxa"/>
          </w:tcPr>
          <w:p w:rsidR="00A72D0C" w:rsidRPr="00E4759B" w:rsidRDefault="00A72D0C">
            <w:pPr>
              <w:pStyle w:val="Underskrifter"/>
              <w:shd w:val="clear" w:color="000000" w:fill="auto"/>
            </w:pPr>
            <w:r w:rsidRPr="00E4759B">
              <w:t>Marie Engström (v)</w:t>
            </w:r>
          </w:p>
        </w:tc>
        <w:tc>
          <w:tcPr>
            <w:tcW w:w="3046" w:type="dxa"/>
          </w:tcPr>
          <w:p w:rsidR="00A72D0C" w:rsidRPr="00E4759B" w:rsidRDefault="00A72D0C">
            <w:pPr>
              <w:pStyle w:val="Underskrifter"/>
              <w:shd w:val="clear" w:color="000000" w:fill="auto"/>
            </w:pPr>
            <w:r w:rsidRPr="00E4759B">
              <w:t>Wiwi-Anne Johansson (v)</w:t>
            </w:r>
          </w:p>
        </w:tc>
      </w:tr>
      <w:tr w:rsidR="00000000" w:rsidRPr="00E4759B">
        <w:trPr>
          <w:cantSplit/>
        </w:trPr>
        <w:tc>
          <w:tcPr>
            <w:tcW w:w="3046" w:type="dxa"/>
          </w:tcPr>
          <w:p w:rsidR="00A72D0C" w:rsidRPr="00E4759B" w:rsidRDefault="00A72D0C">
            <w:pPr>
              <w:pStyle w:val="Underskrifter"/>
              <w:shd w:val="clear" w:color="000000" w:fill="auto"/>
            </w:pPr>
            <w:r w:rsidRPr="00E4759B">
              <w:t>Elina Linna (v)</w:t>
            </w:r>
          </w:p>
        </w:tc>
        <w:tc>
          <w:tcPr>
            <w:tcW w:w="3046" w:type="dxa"/>
          </w:tcPr>
          <w:p w:rsidR="00A72D0C" w:rsidRPr="00E4759B" w:rsidRDefault="00A72D0C">
            <w:pPr>
              <w:pStyle w:val="Underskrifter"/>
              <w:shd w:val="clear" w:color="000000" w:fill="auto"/>
            </w:pPr>
            <w:r w:rsidRPr="00E4759B">
              <w:t>Peter Pedersen (v)</w:t>
            </w:r>
          </w:p>
        </w:tc>
      </w:tr>
      <w:tr w:rsidR="00000000" w:rsidRPr="00E4759B">
        <w:trPr>
          <w:cantSplit/>
        </w:trPr>
        <w:tc>
          <w:tcPr>
            <w:tcW w:w="3046" w:type="dxa"/>
          </w:tcPr>
          <w:p w:rsidR="00A72D0C" w:rsidRPr="00E4759B" w:rsidRDefault="00A72D0C">
            <w:pPr>
              <w:pStyle w:val="Underskrifter"/>
              <w:shd w:val="clear" w:color="000000" w:fill="auto"/>
            </w:pPr>
            <w:r w:rsidRPr="00E4759B">
              <w:t>Kent Persson (v)</w:t>
            </w:r>
          </w:p>
        </w:tc>
        <w:tc>
          <w:tcPr>
            <w:tcW w:w="3046" w:type="dxa"/>
          </w:tcPr>
          <w:p w:rsidR="00A72D0C" w:rsidRPr="00E4759B" w:rsidRDefault="00A72D0C">
            <w:pPr>
              <w:pStyle w:val="Underskrifter"/>
              <w:shd w:val="clear" w:color="000000" w:fill="auto"/>
            </w:pPr>
            <w:r w:rsidRPr="00E4759B">
              <w:t>Alice Åström (v)</w:t>
            </w:r>
          </w:p>
        </w:tc>
      </w:tr>
      <w:tr w:rsidR="00000000" w:rsidRPr="00E4759B">
        <w:trPr>
          <w:cantSplit/>
        </w:trPr>
        <w:tc>
          <w:tcPr>
            <w:tcW w:w="3046" w:type="dxa"/>
          </w:tcPr>
          <w:p w:rsidR="00A72D0C" w:rsidRPr="00E4759B" w:rsidRDefault="00A72D0C">
            <w:pPr>
              <w:pStyle w:val="Underskrifter"/>
              <w:shd w:val="clear" w:color="000000" w:fill="auto"/>
            </w:pPr>
            <w:r w:rsidRPr="00E4759B">
              <w:t>Kalle Larsson (v)</w:t>
            </w:r>
          </w:p>
        </w:tc>
        <w:tc>
          <w:tcPr>
            <w:tcW w:w="3046" w:type="dxa"/>
          </w:tcPr>
          <w:p w:rsidR="00A72D0C" w:rsidRPr="00E4759B" w:rsidRDefault="00A72D0C">
            <w:pPr>
              <w:pStyle w:val="Underskrifter"/>
              <w:shd w:val="clear" w:color="000000" w:fill="auto"/>
            </w:pPr>
          </w:p>
        </w:tc>
      </w:tr>
    </w:tbl>
    <w:p w:rsidR="00ED2813" w:rsidRPr="00E4759B" w:rsidRDefault="00ED2813">
      <w:pPr>
        <w:pStyle w:val="Normaltindrag"/>
        <w:shd w:val="clear" w:color="000000" w:fill="auto"/>
      </w:pPr>
    </w:p>
    <w:sectPr w:rsidR="00ED2813" w:rsidRPr="00E4759B" w:rsidSect="004E1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D0C" w:rsidRPr="00E4759B" w:rsidRDefault="00A72D0C">
      <w:r w:rsidRPr="00E4759B">
        <w:separator/>
      </w:r>
    </w:p>
  </w:endnote>
  <w:endnote w:type="continuationSeparator" w:id="0">
    <w:p w:rsidR="00A72D0C" w:rsidRPr="00E4759B" w:rsidRDefault="00A72D0C">
      <w:r w:rsidRPr="00E47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D6" w:rsidRPr="00E4759B" w:rsidRDefault="00E4759B" w:rsidP="004E1BAD">
    <w:pPr>
      <w:pStyle w:val="Sidfot"/>
    </w:pPr>
    <w:r w:rsidRPr="00E47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0663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BAD" w:rsidRDefault="00A72D0C">
                          <w:pPr>
                            <w:pStyle w:val="NormalS5sidnrV"/>
                          </w:pPr>
                          <w:r>
                            <w:fldChar w:fldCharType="begin"/>
                          </w:r>
                          <w:r w:rsidR="004E1B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BAD" w:rsidRDefault="00A72D0C">
                    <w:pPr>
                      <w:pStyle w:val="NormalS5sidnrV"/>
                    </w:pPr>
                    <w:r>
                      <w:fldChar w:fldCharType="begin"/>
                    </w:r>
                    <w:r w:rsidR="004E1B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AD" w:rsidRPr="00E4759B" w:rsidRDefault="00E4759B" w:rsidP="004E1BAD">
    <w:pPr>
      <w:pStyle w:val="Sidfot"/>
    </w:pPr>
    <w:r w:rsidRPr="00E47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0211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BAD" w:rsidRDefault="00A72D0C">
                          <w:pPr>
                            <w:pStyle w:val="NormalS5sidnrH"/>
                            <w:ind w:right="0"/>
                          </w:pPr>
                          <w:r>
                            <w:fldChar w:fldCharType="begin"/>
                          </w:r>
                          <w:r w:rsidR="004E1BAD">
                            <w:instrText xml:space="preserve"> PAGE *\charformat</w:instrText>
                          </w:r>
                          <w:r>
                            <w:fldChar w:fldCharType="separate"/>
                          </w:r>
                          <w:r w:rsidR="00B441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BAD" w:rsidRDefault="00A72D0C">
                    <w:pPr>
                      <w:pStyle w:val="NormalS5sidnrH"/>
                      <w:ind w:right="0"/>
                    </w:pPr>
                    <w:r>
                      <w:fldChar w:fldCharType="begin"/>
                    </w:r>
                    <w:r w:rsidR="004E1BAD">
                      <w:instrText xml:space="preserve"> PAGE *\charformat</w:instrText>
                    </w:r>
                    <w:r>
                      <w:fldChar w:fldCharType="separate"/>
                    </w:r>
                    <w:r w:rsidR="00B441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D6" w:rsidRPr="00E4759B" w:rsidRDefault="00E4759B" w:rsidP="004E1BAD">
    <w:pPr>
      <w:pStyle w:val="Sidfot"/>
    </w:pPr>
    <w:r w:rsidRPr="00E47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513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BAD" w:rsidRDefault="00A72D0C">
                          <w:pPr>
                            <w:pStyle w:val="NormalS5sidnrH"/>
                            <w:ind w:right="0"/>
                          </w:pPr>
                          <w:r>
                            <w:fldChar w:fldCharType="begin"/>
                          </w:r>
                          <w:r w:rsidR="004E1B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BAD" w:rsidRDefault="00A72D0C">
                    <w:pPr>
                      <w:pStyle w:val="NormalS5sidnrH"/>
                      <w:ind w:right="0"/>
                    </w:pPr>
                    <w:r>
                      <w:fldChar w:fldCharType="begin"/>
                    </w:r>
                    <w:r w:rsidR="004E1B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D0C" w:rsidRPr="00E4759B" w:rsidRDefault="00A72D0C">
      <w:r w:rsidRPr="00E4759B">
        <w:separator/>
      </w:r>
    </w:p>
  </w:footnote>
  <w:footnote w:type="continuationSeparator" w:id="0">
    <w:p w:rsidR="00A72D0C" w:rsidRPr="00E4759B" w:rsidRDefault="00A72D0C">
      <w:r w:rsidRPr="00E47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D6" w:rsidRPr="00E4759B" w:rsidRDefault="00E4759B" w:rsidP="004E1BAD">
    <w:pPr>
      <w:pStyle w:val="Sidhuvud"/>
    </w:pPr>
    <w:r w:rsidRPr="00E47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8999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BAD" w:rsidRDefault="00A72D0C">
                          <w:pPr>
                            <w:pStyle w:val="KantRubrikS5V"/>
                          </w:pPr>
                          <w:r>
                            <w:fldChar w:fldCharType="begin"/>
                          </w:r>
                          <w:r w:rsidR="004E1BAD">
                            <w:instrText xml:space="preserve"> DOCPROPERTY "YearUser" *\charformat </w:instrText>
                          </w:r>
                          <w:r>
                            <w:fldChar w:fldCharType="separate"/>
                          </w:r>
                          <w:r w:rsidR="00B4415B">
                            <w:t>2006/07</w:t>
                          </w:r>
                          <w:r>
                            <w:fldChar w:fldCharType="end"/>
                          </w:r>
                          <w:r w:rsidR="004E1BAD">
                            <w:t>:</w:t>
                          </w:r>
                          <w:r>
                            <w:fldChar w:fldCharType="begin"/>
                          </w:r>
                          <w:r w:rsidR="004E1BAD">
                            <w:instrText xml:space="preserve"> DOCPROPERTY "Motionsnummer" *\charformat </w:instrText>
                          </w:r>
                          <w:r>
                            <w:fldChar w:fldCharType="separate"/>
                          </w:r>
                          <w:r w:rsidR="00B4415B">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BAD" w:rsidRDefault="00A72D0C">
                    <w:pPr>
                      <w:pStyle w:val="KantRubrikS5V"/>
                    </w:pPr>
                    <w:r>
                      <w:fldChar w:fldCharType="begin"/>
                    </w:r>
                    <w:r w:rsidR="004E1BAD">
                      <w:instrText xml:space="preserve"> DOCPROPERTY "YearUser" *\charformat </w:instrText>
                    </w:r>
                    <w:r>
                      <w:fldChar w:fldCharType="separate"/>
                    </w:r>
                    <w:r w:rsidR="00B4415B">
                      <w:t>2006/07</w:t>
                    </w:r>
                    <w:r>
                      <w:fldChar w:fldCharType="end"/>
                    </w:r>
                    <w:r w:rsidR="004E1BAD">
                      <w:t>:</w:t>
                    </w:r>
                    <w:r>
                      <w:fldChar w:fldCharType="begin"/>
                    </w:r>
                    <w:r w:rsidR="004E1BAD">
                      <w:instrText xml:space="preserve"> DOCPROPERTY "Motionsnummer" *\charformat </w:instrText>
                    </w:r>
                    <w:r>
                      <w:fldChar w:fldCharType="separate"/>
                    </w:r>
                    <w:r w:rsidR="00B4415B">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AD" w:rsidRPr="00E4759B" w:rsidRDefault="00E4759B" w:rsidP="004E1BAD">
    <w:pPr>
      <w:pStyle w:val="Sidhuvud"/>
    </w:pPr>
    <w:r w:rsidRPr="00E47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57345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BAD" w:rsidRDefault="00A72D0C">
                          <w:pPr>
                            <w:pStyle w:val="KantRubrikS5H"/>
                            <w:ind w:right="0"/>
                          </w:pPr>
                          <w:r>
                            <w:fldChar w:fldCharType="begin"/>
                          </w:r>
                          <w:r w:rsidR="004E1BAD">
                            <w:instrText xml:space="preserve"> DOCPROPERTY "YearUser" *\charformat </w:instrText>
                          </w:r>
                          <w:r>
                            <w:fldChar w:fldCharType="separate"/>
                          </w:r>
                          <w:r w:rsidR="00B4415B">
                            <w:t>2006/07</w:t>
                          </w:r>
                          <w:r>
                            <w:fldChar w:fldCharType="end"/>
                          </w:r>
                          <w:r w:rsidR="004E1BAD">
                            <w:t>:</w:t>
                          </w:r>
                          <w:r>
                            <w:fldChar w:fldCharType="begin"/>
                          </w:r>
                          <w:r w:rsidR="004E1BAD">
                            <w:instrText xml:space="preserve"> DOCPROPERTY "Motionsnummer" *\charformat </w:instrText>
                          </w:r>
                          <w:r>
                            <w:fldChar w:fldCharType="separate"/>
                          </w:r>
                          <w:r w:rsidR="00B4415B">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BAD" w:rsidRDefault="00A72D0C">
                    <w:pPr>
                      <w:pStyle w:val="KantRubrikS5H"/>
                      <w:ind w:right="0"/>
                    </w:pPr>
                    <w:r>
                      <w:fldChar w:fldCharType="begin"/>
                    </w:r>
                    <w:r w:rsidR="004E1BAD">
                      <w:instrText xml:space="preserve"> DOCPROPERTY "YearUser" *\charformat </w:instrText>
                    </w:r>
                    <w:r>
                      <w:fldChar w:fldCharType="separate"/>
                    </w:r>
                    <w:r w:rsidR="00B4415B">
                      <w:t>2006/07</w:t>
                    </w:r>
                    <w:r>
                      <w:fldChar w:fldCharType="end"/>
                    </w:r>
                    <w:r w:rsidR="004E1BAD">
                      <w:t>:</w:t>
                    </w:r>
                    <w:r>
                      <w:fldChar w:fldCharType="begin"/>
                    </w:r>
                    <w:r w:rsidR="004E1BAD">
                      <w:instrText xml:space="preserve"> DOCPROPERTY "Motionsnummer" *\charformat </w:instrText>
                    </w:r>
                    <w:r>
                      <w:fldChar w:fldCharType="separate"/>
                    </w:r>
                    <w:r w:rsidR="00B4415B">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D0C" w:rsidRPr="00E4759B" w:rsidRDefault="00A72D0C">
    <w:pPr>
      <w:pStyle w:val="FSHNormal"/>
      <w:tabs>
        <w:tab w:val="right" w:pos="5840"/>
      </w:tabs>
    </w:pPr>
    <w:r w:rsidRPr="00E4759B">
      <w:br/>
    </w:r>
    <w:r w:rsidRPr="00E4759B">
      <w:fldChar w:fldCharType="begin" w:fldLock="1"/>
    </w:r>
    <w:r w:rsidRPr="00E4759B">
      <w:instrText xml:space="preserve"> DOCPROPERTY</w:instrText>
    </w:r>
    <w:r w:rsidRPr="00E4759B">
      <w:rPr>
        <w:sz w:val="18"/>
      </w:rPr>
      <w:instrText xml:space="preserve"> "YearUser" *\charformat </w:instrText>
    </w:r>
    <w:r w:rsidRPr="00E4759B">
      <w:fldChar w:fldCharType="separate"/>
    </w:r>
    <w:r w:rsidRPr="00E4759B">
      <w:t>2006/07</w:t>
    </w:r>
    <w:r w:rsidRPr="00E4759B">
      <w:fldChar w:fldCharType="end"/>
    </w:r>
    <w:r w:rsidRPr="00E4759B">
      <w:t xml:space="preserve"> </w:t>
    </w:r>
    <w:r w:rsidRPr="00E4759B">
      <w:tab/>
      <w:t xml:space="preserve">mnr: </w:t>
    </w:r>
    <w:r w:rsidRPr="00E4759B">
      <w:fldChar w:fldCharType="begin" w:fldLock="1"/>
    </w:r>
    <w:r w:rsidRPr="00E4759B">
      <w:instrText xml:space="preserve"> DOCPROPERTY</w:instrText>
    </w:r>
    <w:r w:rsidRPr="00E4759B">
      <w:rPr>
        <w:sz w:val="18"/>
      </w:rPr>
      <w:instrText xml:space="preserve"> "Motionsnummer" *\charformat </w:instrText>
    </w:r>
    <w:r w:rsidRPr="00E4759B">
      <w:fldChar w:fldCharType="separate"/>
    </w:r>
    <w:r w:rsidRPr="00E4759B">
      <w:t>Sf285</w:t>
    </w:r>
    <w:r w:rsidRPr="00E4759B">
      <w:fldChar w:fldCharType="end"/>
    </w:r>
    <w:r w:rsidRPr="00E4759B">
      <w:br/>
    </w:r>
    <w:r w:rsidRPr="00E4759B">
      <w:fldChar w:fldCharType="begin" w:fldLock="1"/>
    </w:r>
    <w:r w:rsidRPr="00E4759B">
      <w:instrText xml:space="preserve"> DOCPROPERTY</w:instrText>
    </w:r>
    <w:r w:rsidRPr="00E4759B">
      <w:rPr>
        <w:sz w:val="18"/>
      </w:rPr>
      <w:instrText xml:space="preserve"> "Samling" *\charformat </w:instrText>
    </w:r>
    <w:r w:rsidRPr="00E4759B">
      <w:fldChar w:fldCharType="end"/>
    </w:r>
    <w:r w:rsidRPr="00E4759B">
      <w:tab/>
      <w:t xml:space="preserve">pnr: </w:t>
    </w:r>
    <w:r w:rsidRPr="00E4759B">
      <w:fldChar w:fldCharType="begin" w:fldLock="1"/>
    </w:r>
    <w:r w:rsidRPr="00E4759B">
      <w:instrText xml:space="preserve"> DOCPROPERTY</w:instrText>
    </w:r>
    <w:r w:rsidRPr="00E4759B">
      <w:rPr>
        <w:sz w:val="18"/>
      </w:rPr>
      <w:instrText xml:space="preserve"> "Partinummer" *\charformat </w:instrText>
    </w:r>
    <w:r w:rsidRPr="00E4759B">
      <w:fldChar w:fldCharType="separate"/>
    </w:r>
    <w:r w:rsidRPr="00E4759B">
      <w:t>v462</w:t>
    </w:r>
    <w:r w:rsidRPr="00E4759B">
      <w:fldChar w:fldCharType="end"/>
    </w:r>
  </w:p>
  <w:p w:rsidR="00A72D0C" w:rsidRPr="00E4759B" w:rsidRDefault="00A72D0C">
    <w:pPr>
      <w:pStyle w:val="FSHRub1"/>
    </w:pPr>
    <w:r w:rsidRPr="00E4759B">
      <w:t>Motion till riksdagen</w:t>
    </w:r>
    <w:r w:rsidRPr="00E4759B">
      <w:br/>
    </w:r>
    <w:r w:rsidRPr="00E4759B">
      <w:fldChar w:fldCharType="begin" w:fldLock="1"/>
    </w:r>
    <w:r w:rsidRPr="00E4759B">
      <w:instrText xml:space="preserve"> DOCPROPERTY "YearUser" *\charformat </w:instrText>
    </w:r>
    <w:r w:rsidRPr="00E4759B">
      <w:fldChar w:fldCharType="separate"/>
    </w:r>
    <w:r w:rsidRPr="00E4759B">
      <w:t>2006/07</w:t>
    </w:r>
    <w:r w:rsidRPr="00E4759B">
      <w:fldChar w:fldCharType="end"/>
    </w:r>
    <w:r w:rsidRPr="00E4759B">
      <w:t>:</w:t>
    </w:r>
    <w:r w:rsidRPr="00E4759B">
      <w:fldChar w:fldCharType="begin" w:fldLock="1"/>
    </w:r>
    <w:r w:rsidRPr="00E4759B">
      <w:instrText xml:space="preserve"> DOCPROPERTY "Motionsnummer" *\charformat </w:instrText>
    </w:r>
    <w:r w:rsidRPr="00E4759B">
      <w:fldChar w:fldCharType="separate"/>
    </w:r>
    <w:r w:rsidRPr="00E4759B">
      <w:t>Sf285</w:t>
    </w:r>
    <w:r w:rsidRPr="00E4759B">
      <w:fldChar w:fldCharType="end"/>
    </w:r>
  </w:p>
  <w:p w:rsidR="00A72D0C" w:rsidRPr="00E4759B" w:rsidRDefault="00A72D0C">
    <w:pPr>
      <w:pStyle w:val="FSHNormalS5"/>
    </w:pPr>
    <w:r w:rsidRPr="00E4759B">
      <w:fldChar w:fldCharType="begin" w:fldLock="1"/>
    </w:r>
    <w:r w:rsidRPr="00E4759B">
      <w:instrText xml:space="preserve"> DOCPROPERTY "MotionarText" *\charformat </w:instrText>
    </w:r>
    <w:r w:rsidRPr="00E4759B">
      <w:fldChar w:fldCharType="separate"/>
    </w:r>
    <w:r w:rsidRPr="00E4759B">
      <w:t>av Lars Ohly m.fl. (v)</w:t>
    </w:r>
    <w:r w:rsidRPr="00E4759B">
      <w:fldChar w:fldCharType="end"/>
    </w:r>
    <w:r w:rsidRPr="00E4759B">
      <w:br/>
    </w:r>
    <w:r w:rsidRPr="00E4759B">
      <w:fldChar w:fldCharType="begin" w:fldLock="1"/>
    </w:r>
    <w:r w:rsidRPr="00E4759B">
      <w:instrText xml:space="preserve"> DOCPROPERTY "SvarFrasKort" *\charformat </w:instrText>
    </w:r>
    <w:r w:rsidRPr="00E4759B">
      <w:fldChar w:fldCharType="end"/>
    </w:r>
  </w:p>
  <w:p w:rsidR="00A72D0C" w:rsidRPr="00E4759B" w:rsidRDefault="00A72D0C">
    <w:pPr>
      <w:pStyle w:val="FSHTitel"/>
    </w:pPr>
    <w:r w:rsidRPr="00E4759B">
      <w:fldChar w:fldCharType="begin" w:fldLock="1"/>
    </w:r>
    <w:r w:rsidRPr="00E4759B">
      <w:instrText xml:space="preserve"> DOCPROPERTY</w:instrText>
    </w:r>
    <w:r w:rsidRPr="00E4759B">
      <w:rPr>
        <w:sz w:val="18"/>
      </w:rPr>
      <w:instrText xml:space="preserve"> "RubrikSvar" *\charformat </w:instrText>
    </w:r>
    <w:r w:rsidRPr="00E4759B">
      <w:fldChar w:fldCharType="separate"/>
    </w:r>
    <w:r w:rsidRPr="00E4759B">
      <w:t>Utgiftsområde 8 Migration</w:t>
    </w:r>
    <w:r w:rsidRPr="00E4759B">
      <w:fldChar w:fldCharType="end"/>
    </w:r>
  </w:p>
  <w:p w:rsidR="00A72D0C" w:rsidRPr="00E4759B" w:rsidRDefault="00A72D0C">
    <w:pPr>
      <w:pStyle w:val="Normal00"/>
    </w:pPr>
  </w:p>
  <w:p w:rsidR="004E1BAD" w:rsidRPr="00E4759B" w:rsidRDefault="004E1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0D6E02"/>
    <w:multiLevelType w:val="hybridMultilevel"/>
    <w:tmpl w:val="23CEF88E"/>
    <w:lvl w:ilvl="0" w:tplc="14C2A0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7B2BFC"/>
    <w:multiLevelType w:val="hybridMultilevel"/>
    <w:tmpl w:val="A2808448"/>
    <w:lvl w:ilvl="0" w:tplc="BF0849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A703478"/>
    <w:multiLevelType w:val="hybridMultilevel"/>
    <w:tmpl w:val="21D0A764"/>
    <w:lvl w:ilvl="0" w:tplc="6B9CBF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127153"/>
    <w:multiLevelType w:val="hybridMultilevel"/>
    <w:tmpl w:val="FFDEAF1E"/>
    <w:lvl w:ilvl="0" w:tplc="0409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4A561C8"/>
    <w:multiLevelType w:val="hybridMultilevel"/>
    <w:tmpl w:val="4BDEE150"/>
    <w:lvl w:ilvl="0" w:tplc="7BAE58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964090">
    <w:abstractNumId w:val="18"/>
  </w:num>
  <w:num w:numId="2" w16cid:durableId="467627178">
    <w:abstractNumId w:val="10"/>
  </w:num>
  <w:num w:numId="3" w16cid:durableId="2104916842">
    <w:abstractNumId w:val="14"/>
  </w:num>
  <w:num w:numId="4" w16cid:durableId="1953316888">
    <w:abstractNumId w:val="17"/>
  </w:num>
  <w:num w:numId="5" w16cid:durableId="307512305">
    <w:abstractNumId w:val="8"/>
  </w:num>
  <w:num w:numId="6" w16cid:durableId="760292749">
    <w:abstractNumId w:val="3"/>
  </w:num>
  <w:num w:numId="7" w16cid:durableId="1456604521">
    <w:abstractNumId w:val="2"/>
  </w:num>
  <w:num w:numId="8" w16cid:durableId="728384975">
    <w:abstractNumId w:val="1"/>
  </w:num>
  <w:num w:numId="9" w16cid:durableId="1332568517">
    <w:abstractNumId w:val="0"/>
  </w:num>
  <w:num w:numId="10" w16cid:durableId="391084141">
    <w:abstractNumId w:val="9"/>
  </w:num>
  <w:num w:numId="11" w16cid:durableId="899942150">
    <w:abstractNumId w:val="7"/>
  </w:num>
  <w:num w:numId="12" w16cid:durableId="878664460">
    <w:abstractNumId w:val="6"/>
  </w:num>
  <w:num w:numId="13" w16cid:durableId="800154832">
    <w:abstractNumId w:val="5"/>
  </w:num>
  <w:num w:numId="14" w16cid:durableId="969168415">
    <w:abstractNumId w:val="4"/>
  </w:num>
  <w:num w:numId="15" w16cid:durableId="728772600">
    <w:abstractNumId w:val="12"/>
  </w:num>
  <w:num w:numId="16" w16cid:durableId="1964648511">
    <w:abstractNumId w:val="15"/>
  </w:num>
  <w:num w:numId="17" w16cid:durableId="779229238">
    <w:abstractNumId w:val="16"/>
  </w:num>
  <w:num w:numId="18" w16cid:durableId="298875488">
    <w:abstractNumId w:val="11"/>
  </w:num>
  <w:num w:numId="19" w16cid:durableId="2054887956">
    <w:abstractNumId w:val="19"/>
  </w:num>
  <w:num w:numId="20" w16cid:durableId="570389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1A2565D-4D2F-4887-9B1D-3D7BE825DA8C},{494960E9-BA36-4AC1-BBDB-126FB51B6387},{93F71F64-B3B2-464F-BCC5-C49DA1B8F0E4},{8B923F15-4996-4696-A089-6A5BE8BF8E1B},{B0181D35-2F7D-4D23-BD15-5E0324552287},{CBCE2632-605E-484A-97AC-47C334EA7100},{7E0BF71E-CD03-4DBF-9F51-3B5B798F2741},{7719F267-5625-4124-AC19-C21B84EE23A7}"/>
  </w:docVars>
  <w:rsids>
    <w:rsidRoot w:val="00E4759B"/>
    <w:rsid w:val="00002742"/>
    <w:rsid w:val="00006D27"/>
    <w:rsid w:val="000220F8"/>
    <w:rsid w:val="00034058"/>
    <w:rsid w:val="00040D14"/>
    <w:rsid w:val="0004381F"/>
    <w:rsid w:val="000533B1"/>
    <w:rsid w:val="00055DFD"/>
    <w:rsid w:val="00064BC3"/>
    <w:rsid w:val="00066474"/>
    <w:rsid w:val="000665E6"/>
    <w:rsid w:val="00066775"/>
    <w:rsid w:val="0007047E"/>
    <w:rsid w:val="00072FB9"/>
    <w:rsid w:val="0007598F"/>
    <w:rsid w:val="00097256"/>
    <w:rsid w:val="000B2040"/>
    <w:rsid w:val="000D391E"/>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516A"/>
    <w:rsid w:val="001E0043"/>
    <w:rsid w:val="00201DFB"/>
    <w:rsid w:val="00204A63"/>
    <w:rsid w:val="00212FF1"/>
    <w:rsid w:val="00230193"/>
    <w:rsid w:val="002335F8"/>
    <w:rsid w:val="00244D0B"/>
    <w:rsid w:val="0025068A"/>
    <w:rsid w:val="002818D3"/>
    <w:rsid w:val="002854D4"/>
    <w:rsid w:val="002862F2"/>
    <w:rsid w:val="002911A7"/>
    <w:rsid w:val="002943C8"/>
    <w:rsid w:val="00295E6D"/>
    <w:rsid w:val="002A295A"/>
    <w:rsid w:val="002A2A6B"/>
    <w:rsid w:val="002B64CD"/>
    <w:rsid w:val="002C2373"/>
    <w:rsid w:val="002D11A8"/>
    <w:rsid w:val="002D60BE"/>
    <w:rsid w:val="002E2007"/>
    <w:rsid w:val="0030550A"/>
    <w:rsid w:val="00305F62"/>
    <w:rsid w:val="00314F87"/>
    <w:rsid w:val="0032051D"/>
    <w:rsid w:val="003303B5"/>
    <w:rsid w:val="003366E9"/>
    <w:rsid w:val="00342FB4"/>
    <w:rsid w:val="00343BF9"/>
    <w:rsid w:val="0036065A"/>
    <w:rsid w:val="003866EC"/>
    <w:rsid w:val="00391AF5"/>
    <w:rsid w:val="003B418B"/>
    <w:rsid w:val="003C250A"/>
    <w:rsid w:val="003F100A"/>
    <w:rsid w:val="00430A0E"/>
    <w:rsid w:val="00435C24"/>
    <w:rsid w:val="00445271"/>
    <w:rsid w:val="00447A04"/>
    <w:rsid w:val="004527C3"/>
    <w:rsid w:val="00460838"/>
    <w:rsid w:val="00482AC0"/>
    <w:rsid w:val="004837DC"/>
    <w:rsid w:val="00487F7A"/>
    <w:rsid w:val="004971B2"/>
    <w:rsid w:val="004A0504"/>
    <w:rsid w:val="004B5278"/>
    <w:rsid w:val="004E1BAD"/>
    <w:rsid w:val="004E38D9"/>
    <w:rsid w:val="005000F2"/>
    <w:rsid w:val="00531020"/>
    <w:rsid w:val="00545150"/>
    <w:rsid w:val="00545421"/>
    <w:rsid w:val="0055072A"/>
    <w:rsid w:val="005525A5"/>
    <w:rsid w:val="005544CE"/>
    <w:rsid w:val="00585D79"/>
    <w:rsid w:val="005B145B"/>
    <w:rsid w:val="005D2401"/>
    <w:rsid w:val="005D299A"/>
    <w:rsid w:val="005D3F50"/>
    <w:rsid w:val="00601C6D"/>
    <w:rsid w:val="00603CD4"/>
    <w:rsid w:val="00621D55"/>
    <w:rsid w:val="00623108"/>
    <w:rsid w:val="006346C1"/>
    <w:rsid w:val="00653DD0"/>
    <w:rsid w:val="006763C7"/>
    <w:rsid w:val="006A3E89"/>
    <w:rsid w:val="006B029F"/>
    <w:rsid w:val="006B6262"/>
    <w:rsid w:val="00701683"/>
    <w:rsid w:val="00727C6F"/>
    <w:rsid w:val="00740D6D"/>
    <w:rsid w:val="00743F76"/>
    <w:rsid w:val="00770030"/>
    <w:rsid w:val="00774959"/>
    <w:rsid w:val="007852B2"/>
    <w:rsid w:val="00794149"/>
    <w:rsid w:val="0079647E"/>
    <w:rsid w:val="007B67A7"/>
    <w:rsid w:val="007C11DA"/>
    <w:rsid w:val="007C6092"/>
    <w:rsid w:val="007D70EB"/>
    <w:rsid w:val="007E119E"/>
    <w:rsid w:val="00846903"/>
    <w:rsid w:val="00871C9A"/>
    <w:rsid w:val="00876026"/>
    <w:rsid w:val="008B1A18"/>
    <w:rsid w:val="008D048C"/>
    <w:rsid w:val="008D2D39"/>
    <w:rsid w:val="008F0A96"/>
    <w:rsid w:val="009002A7"/>
    <w:rsid w:val="009062A0"/>
    <w:rsid w:val="009451E7"/>
    <w:rsid w:val="00956E7F"/>
    <w:rsid w:val="00970D4F"/>
    <w:rsid w:val="00971D70"/>
    <w:rsid w:val="00975151"/>
    <w:rsid w:val="00997836"/>
    <w:rsid w:val="009A4377"/>
    <w:rsid w:val="009A6043"/>
    <w:rsid w:val="009A7FBB"/>
    <w:rsid w:val="009C0AC1"/>
    <w:rsid w:val="009D0673"/>
    <w:rsid w:val="009F5563"/>
    <w:rsid w:val="00A053C6"/>
    <w:rsid w:val="00A055B3"/>
    <w:rsid w:val="00A15D71"/>
    <w:rsid w:val="00A21BC5"/>
    <w:rsid w:val="00A304E8"/>
    <w:rsid w:val="00A72868"/>
    <w:rsid w:val="00A72D0C"/>
    <w:rsid w:val="00A736FF"/>
    <w:rsid w:val="00AA1434"/>
    <w:rsid w:val="00AA6404"/>
    <w:rsid w:val="00AB5000"/>
    <w:rsid w:val="00AC4310"/>
    <w:rsid w:val="00AC63D9"/>
    <w:rsid w:val="00AC6BCA"/>
    <w:rsid w:val="00AE2EF8"/>
    <w:rsid w:val="00AF5881"/>
    <w:rsid w:val="00B0352E"/>
    <w:rsid w:val="00B13BF0"/>
    <w:rsid w:val="00B33C81"/>
    <w:rsid w:val="00B34666"/>
    <w:rsid w:val="00B4415B"/>
    <w:rsid w:val="00B67E5B"/>
    <w:rsid w:val="00B944B7"/>
    <w:rsid w:val="00BA4894"/>
    <w:rsid w:val="00BA6BE0"/>
    <w:rsid w:val="00BB5EAA"/>
    <w:rsid w:val="00BB6D75"/>
    <w:rsid w:val="00BD43A8"/>
    <w:rsid w:val="00BE2415"/>
    <w:rsid w:val="00BE5008"/>
    <w:rsid w:val="00BE76B7"/>
    <w:rsid w:val="00C0655B"/>
    <w:rsid w:val="00C1285C"/>
    <w:rsid w:val="00C15693"/>
    <w:rsid w:val="00C21A37"/>
    <w:rsid w:val="00C27B7D"/>
    <w:rsid w:val="00C32A06"/>
    <w:rsid w:val="00C44394"/>
    <w:rsid w:val="00C45007"/>
    <w:rsid w:val="00C533BA"/>
    <w:rsid w:val="00C630B3"/>
    <w:rsid w:val="00C902E9"/>
    <w:rsid w:val="00C92208"/>
    <w:rsid w:val="00CB5B24"/>
    <w:rsid w:val="00CD4B2B"/>
    <w:rsid w:val="00CE2202"/>
    <w:rsid w:val="00CE3037"/>
    <w:rsid w:val="00CF7A43"/>
    <w:rsid w:val="00D01775"/>
    <w:rsid w:val="00D063A6"/>
    <w:rsid w:val="00D1174F"/>
    <w:rsid w:val="00D1289C"/>
    <w:rsid w:val="00D44527"/>
    <w:rsid w:val="00D47ABA"/>
    <w:rsid w:val="00D52681"/>
    <w:rsid w:val="00D53D04"/>
    <w:rsid w:val="00D55EF7"/>
    <w:rsid w:val="00D631D0"/>
    <w:rsid w:val="00D84C3B"/>
    <w:rsid w:val="00D927BD"/>
    <w:rsid w:val="00DA5A2C"/>
    <w:rsid w:val="00DB7F26"/>
    <w:rsid w:val="00DC0DF0"/>
    <w:rsid w:val="00DC25A2"/>
    <w:rsid w:val="00DC6A9F"/>
    <w:rsid w:val="00DC6C70"/>
    <w:rsid w:val="00DF39D6"/>
    <w:rsid w:val="00DF5ACD"/>
    <w:rsid w:val="00E079B3"/>
    <w:rsid w:val="00E22893"/>
    <w:rsid w:val="00E349C2"/>
    <w:rsid w:val="00E360DE"/>
    <w:rsid w:val="00E4759B"/>
    <w:rsid w:val="00E5074A"/>
    <w:rsid w:val="00E521CB"/>
    <w:rsid w:val="00E65502"/>
    <w:rsid w:val="00E728F6"/>
    <w:rsid w:val="00E75D28"/>
    <w:rsid w:val="00E84F25"/>
    <w:rsid w:val="00EA100B"/>
    <w:rsid w:val="00EC007B"/>
    <w:rsid w:val="00ED2813"/>
    <w:rsid w:val="00ED468A"/>
    <w:rsid w:val="00F21B30"/>
    <w:rsid w:val="00F26906"/>
    <w:rsid w:val="00F273EA"/>
    <w:rsid w:val="00F30798"/>
    <w:rsid w:val="00F42CB9"/>
    <w:rsid w:val="00F55600"/>
    <w:rsid w:val="00F73E9E"/>
    <w:rsid w:val="00F87D14"/>
    <w:rsid w:val="00FA3374"/>
    <w:rsid w:val="00FB2435"/>
    <w:rsid w:val="00FB26A9"/>
    <w:rsid w:val="00FB6490"/>
    <w:rsid w:val="00FC53D4"/>
    <w:rsid w:val="00FC7246"/>
    <w:rsid w:val="00FC7E79"/>
    <w:rsid w:val="00FD2531"/>
    <w:rsid w:val="00FD25A7"/>
    <w:rsid w:val="00FD4573"/>
    <w:rsid w:val="00FE5EE7"/>
    <w:rsid w:val="00FE6E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F62546-5145-4F8B-9871-6C243BB1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E1BAD"/>
    <w:pPr>
      <w:spacing w:before="125" w:line="250" w:lineRule="atLeast"/>
      <w:jc w:val="both"/>
    </w:pPr>
    <w:rPr>
      <w:sz w:val="19"/>
      <w:lang w:val="sv-SE" w:eastAsia="sv-SE"/>
    </w:rPr>
  </w:style>
  <w:style w:type="paragraph" w:styleId="Rubrik1">
    <w:name w:val="heading 1"/>
    <w:basedOn w:val="Normal"/>
    <w:next w:val="Normal"/>
    <w:qFormat/>
    <w:rsid w:val="004E1B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E1BAD"/>
    <w:pPr>
      <w:spacing w:before="500" w:line="250" w:lineRule="exact"/>
      <w:outlineLvl w:val="1"/>
    </w:pPr>
    <w:rPr>
      <w:sz w:val="27"/>
    </w:rPr>
  </w:style>
  <w:style w:type="paragraph" w:styleId="Rubrik3">
    <w:name w:val="heading 3"/>
    <w:aliases w:val="Mellanrubrik"/>
    <w:basedOn w:val="Rubrik2"/>
    <w:next w:val="Normal"/>
    <w:qFormat/>
    <w:rsid w:val="004E1BAD"/>
    <w:pPr>
      <w:spacing w:before="250" w:after="0"/>
      <w:outlineLvl w:val="2"/>
    </w:pPr>
    <w:rPr>
      <w:b/>
      <w:sz w:val="21"/>
    </w:rPr>
  </w:style>
  <w:style w:type="paragraph" w:styleId="Rubrik4">
    <w:name w:val="heading 4"/>
    <w:aliases w:val="KursivRubrik"/>
    <w:basedOn w:val="Rubrik3"/>
    <w:next w:val="Normal"/>
    <w:qFormat/>
    <w:rsid w:val="004E1BAD"/>
    <w:pPr>
      <w:outlineLvl w:val="3"/>
    </w:pPr>
    <w:rPr>
      <w:b w:val="0"/>
      <w:i/>
    </w:rPr>
  </w:style>
  <w:style w:type="paragraph" w:styleId="Rubrik5">
    <w:name w:val="heading 5"/>
    <w:aliases w:val="PackadFetRubrik,PackadKursivRubrik"/>
    <w:basedOn w:val="Rubrik4"/>
    <w:next w:val="Normal"/>
    <w:qFormat/>
    <w:rsid w:val="004E1BAD"/>
    <w:pPr>
      <w:spacing w:before="125"/>
      <w:outlineLvl w:val="4"/>
    </w:pPr>
    <w:rPr>
      <w:i w:val="0"/>
      <w:sz w:val="19"/>
    </w:rPr>
  </w:style>
  <w:style w:type="paragraph" w:styleId="Rubrik6">
    <w:name w:val="heading 6"/>
    <w:basedOn w:val="Rubrik5"/>
    <w:next w:val="Normal"/>
    <w:qFormat/>
    <w:rsid w:val="004E1BAD"/>
    <w:pPr>
      <w:spacing w:before="50" w:line="200" w:lineRule="exact"/>
      <w:outlineLvl w:val="5"/>
    </w:pPr>
    <w:rPr>
      <w:caps/>
      <w:sz w:val="14"/>
    </w:rPr>
  </w:style>
  <w:style w:type="paragraph" w:styleId="Rubrik7">
    <w:name w:val="heading 7"/>
    <w:basedOn w:val="Rubrik6"/>
    <w:next w:val="Normal"/>
    <w:qFormat/>
    <w:rsid w:val="004E1BAD"/>
    <w:pPr>
      <w:spacing w:before="0"/>
      <w:outlineLvl w:val="6"/>
    </w:pPr>
  </w:style>
  <w:style w:type="paragraph" w:styleId="Rubrik8">
    <w:name w:val="heading 8"/>
    <w:basedOn w:val="Rubrik7"/>
    <w:next w:val="Normal"/>
    <w:qFormat/>
    <w:rsid w:val="004E1BAD"/>
    <w:pPr>
      <w:outlineLvl w:val="7"/>
    </w:pPr>
  </w:style>
  <w:style w:type="paragraph" w:styleId="Rubrik9">
    <w:name w:val="heading 9"/>
    <w:basedOn w:val="Rubrik8"/>
    <w:next w:val="Normal"/>
    <w:qFormat/>
    <w:rsid w:val="004E1BA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E1BAD"/>
    <w:pPr>
      <w:spacing w:before="0"/>
      <w:ind w:firstLine="227"/>
    </w:pPr>
  </w:style>
  <w:style w:type="paragraph" w:styleId="Citat">
    <w:name w:val="Quote"/>
    <w:basedOn w:val="Normal"/>
    <w:next w:val="Normal"/>
    <w:qFormat/>
    <w:rsid w:val="004E1BAD"/>
    <w:pPr>
      <w:spacing w:line="200" w:lineRule="exact"/>
      <w:ind w:left="340"/>
    </w:pPr>
  </w:style>
  <w:style w:type="paragraph" w:customStyle="1" w:styleId="Citatindrag">
    <w:name w:val="Citat_indrag"/>
    <w:aliases w:val="Packad"/>
    <w:basedOn w:val="Citat"/>
    <w:rsid w:val="004E1BAD"/>
    <w:pPr>
      <w:spacing w:before="0"/>
      <w:ind w:firstLine="227"/>
    </w:pPr>
  </w:style>
  <w:style w:type="paragraph" w:customStyle="1" w:styleId="FSHNormal">
    <w:name w:val="FSH_Normal"/>
    <w:semiHidden/>
    <w:rsid w:val="004E1B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E1BAD"/>
    <w:pPr>
      <w:spacing w:line="240" w:lineRule="auto"/>
    </w:pPr>
  </w:style>
  <w:style w:type="paragraph" w:customStyle="1" w:styleId="FSHNormalS5">
    <w:name w:val="FSH_NormalS5"/>
    <w:basedOn w:val="FSHNormal"/>
    <w:next w:val="FSHNormal"/>
    <w:semiHidden/>
    <w:rsid w:val="004E1BAD"/>
    <w:pPr>
      <w:keepNext/>
      <w:keepLines/>
      <w:widowControl/>
      <w:spacing w:before="230" w:after="520" w:line="250" w:lineRule="exact"/>
    </w:pPr>
    <w:rPr>
      <w:b/>
      <w:sz w:val="27"/>
    </w:rPr>
  </w:style>
  <w:style w:type="paragraph" w:customStyle="1" w:styleId="FSHNormL">
    <w:name w:val="FSH_NormLÖ"/>
    <w:basedOn w:val="FSHNormal"/>
    <w:next w:val="FSHNormal"/>
    <w:semiHidden/>
    <w:rsid w:val="004E1BAD"/>
    <w:pPr>
      <w:pBdr>
        <w:top w:val="single" w:sz="12" w:space="1" w:color="auto"/>
      </w:pBdr>
    </w:pPr>
  </w:style>
  <w:style w:type="paragraph" w:customStyle="1" w:styleId="FSHRub1">
    <w:name w:val="FSH_Rub1"/>
    <w:aliases w:val="Rubrik1_S5,Huvudrubrik"/>
    <w:basedOn w:val="FSHNormal"/>
    <w:next w:val="FSHNormal"/>
    <w:semiHidden/>
    <w:rsid w:val="004E1B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E1BAD"/>
    <w:pPr>
      <w:spacing w:before="240" w:after="80" w:line="360" w:lineRule="exact"/>
    </w:pPr>
    <w:rPr>
      <w:sz w:val="36"/>
    </w:rPr>
  </w:style>
  <w:style w:type="paragraph" w:customStyle="1" w:styleId="FSHTitel">
    <w:name w:val="FSH_Titel"/>
    <w:aliases w:val="Dokumentrubrik"/>
    <w:basedOn w:val="FSHRub1"/>
    <w:next w:val="FSHNormal"/>
    <w:semiHidden/>
    <w:rsid w:val="004E1BAD"/>
    <w:pPr>
      <w:pBdr>
        <w:bottom w:val="single" w:sz="4" w:space="3" w:color="auto"/>
      </w:pBdr>
      <w:spacing w:before="0" w:after="80" w:line="400" w:lineRule="exact"/>
    </w:pPr>
    <w:rPr>
      <w:sz w:val="40"/>
    </w:rPr>
  </w:style>
  <w:style w:type="paragraph" w:customStyle="1" w:styleId="Hemstlrubrik">
    <w:name w:val="Hemstl_rubrik"/>
    <w:basedOn w:val="Rubrik1"/>
    <w:next w:val="Normal"/>
    <w:rsid w:val="004E1BAD"/>
    <w:pPr>
      <w:spacing w:after="250"/>
    </w:pPr>
  </w:style>
  <w:style w:type="paragraph" w:customStyle="1" w:styleId="Autokorrigering">
    <w:name w:val="Autokorrigering"/>
    <w:rsid w:val="004E1BAD"/>
    <w:rPr>
      <w:sz w:val="24"/>
      <w:szCs w:val="24"/>
      <w:lang w:val="sv-SE" w:eastAsia="sv-SE"/>
    </w:rPr>
  </w:style>
  <w:style w:type="paragraph" w:customStyle="1" w:styleId="Yrkandehnv">
    <w:name w:val="Yrkandehänv"/>
    <w:semiHidden/>
    <w:rsid w:val="004E1BAD"/>
    <w:pPr>
      <w:keepNext/>
      <w:keepLines/>
      <w:suppressAutoHyphens/>
    </w:pPr>
    <w:rPr>
      <w:noProof/>
      <w:sz w:val="16"/>
      <w:lang w:val="sv-SE" w:eastAsia="sv-SE"/>
    </w:rPr>
  </w:style>
  <w:style w:type="paragraph" w:customStyle="1" w:styleId="KantRubrikS5H">
    <w:name w:val="KantRubrikS5H"/>
    <w:semiHidden/>
    <w:rsid w:val="004E1B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E1BAD"/>
    <w:pPr>
      <w:spacing w:line="200" w:lineRule="exact"/>
    </w:pPr>
  </w:style>
  <w:style w:type="paragraph" w:customStyle="1" w:styleId="KantRubrikS5V">
    <w:name w:val="KantRubrikS5V"/>
    <w:basedOn w:val="KantRubrikS5H"/>
    <w:semiHidden/>
    <w:rsid w:val="004E1BAD"/>
    <w:pPr>
      <w:tabs>
        <w:tab w:val="right" w:pos="1814"/>
        <w:tab w:val="left" w:pos="1899"/>
      </w:tabs>
      <w:ind w:right="0"/>
      <w:jc w:val="left"/>
    </w:pPr>
  </w:style>
  <w:style w:type="paragraph" w:customStyle="1" w:styleId="KantRubrikS5Vrad2">
    <w:name w:val="KantRubrikS5Vrad2"/>
    <w:basedOn w:val="KantRubrikS5V"/>
    <w:semiHidden/>
    <w:rsid w:val="004E1BAD"/>
    <w:pPr>
      <w:tabs>
        <w:tab w:val="clear" w:pos="1814"/>
        <w:tab w:val="clear" w:pos="1899"/>
        <w:tab w:val="right" w:pos="1418"/>
        <w:tab w:val="left" w:pos="1503"/>
      </w:tabs>
    </w:pPr>
  </w:style>
  <w:style w:type="paragraph" w:customStyle="1" w:styleId="Lagtext">
    <w:name w:val="Lagtext"/>
    <w:basedOn w:val="Lagtextrubrik"/>
    <w:next w:val="Lagtextindrag"/>
    <w:rsid w:val="004E1BAD"/>
    <w:pPr>
      <w:spacing w:before="0"/>
    </w:pPr>
    <w:rPr>
      <w:sz w:val="19"/>
    </w:rPr>
  </w:style>
  <w:style w:type="paragraph" w:customStyle="1" w:styleId="Lagtextrubrik">
    <w:name w:val="Lagtext_rubrik"/>
    <w:basedOn w:val="Normal"/>
    <w:next w:val="Normal"/>
    <w:rsid w:val="004E1BAD"/>
    <w:pPr>
      <w:suppressAutoHyphens/>
      <w:spacing w:line="220" w:lineRule="exact"/>
    </w:pPr>
    <w:rPr>
      <w:i/>
      <w:sz w:val="21"/>
    </w:rPr>
  </w:style>
  <w:style w:type="paragraph" w:customStyle="1" w:styleId="Lagtextindrag">
    <w:name w:val="Lagtext_indrag"/>
    <w:basedOn w:val="Lagtext"/>
    <w:rsid w:val="004E1BAD"/>
    <w:pPr>
      <w:ind w:firstLine="170"/>
    </w:pPr>
  </w:style>
  <w:style w:type="paragraph" w:customStyle="1" w:styleId="NormalA4fot">
    <w:name w:val="Normal_A4fot"/>
    <w:basedOn w:val="Normal"/>
    <w:semiHidden/>
    <w:rsid w:val="004E1BAD"/>
    <w:pPr>
      <w:spacing w:before="240" w:line="240" w:lineRule="auto"/>
      <w:jc w:val="center"/>
    </w:pPr>
  </w:style>
  <w:style w:type="paragraph" w:customStyle="1" w:styleId="NormalA4sidnr">
    <w:name w:val="Normal_A4sidnr"/>
    <w:basedOn w:val="Normal"/>
    <w:semiHidden/>
    <w:rsid w:val="004E1BAD"/>
    <w:pPr>
      <w:spacing w:after="240"/>
      <w:jc w:val="center"/>
    </w:pPr>
  </w:style>
  <w:style w:type="paragraph" w:customStyle="1" w:styleId="NormalS5sidnrH">
    <w:name w:val="Normal_S5sidnrH"/>
    <w:basedOn w:val="Normal"/>
    <w:semiHidden/>
    <w:rsid w:val="004E1BAD"/>
    <w:pPr>
      <w:spacing w:before="0" w:line="240" w:lineRule="auto"/>
      <w:ind w:right="57"/>
      <w:jc w:val="right"/>
    </w:pPr>
  </w:style>
  <w:style w:type="paragraph" w:customStyle="1" w:styleId="NormalS5sidnrV">
    <w:name w:val="Normal_S5sidnrV"/>
    <w:basedOn w:val="NormalS5sidnrH"/>
    <w:semiHidden/>
    <w:rsid w:val="004E1BAD"/>
    <w:pPr>
      <w:tabs>
        <w:tab w:val="right" w:pos="1814"/>
        <w:tab w:val="left" w:pos="1899"/>
      </w:tabs>
      <w:ind w:right="0"/>
      <w:jc w:val="left"/>
    </w:pPr>
  </w:style>
  <w:style w:type="paragraph" w:customStyle="1" w:styleId="Normal00">
    <w:name w:val="Normal00"/>
    <w:basedOn w:val="Normal"/>
    <w:semiHidden/>
    <w:rsid w:val="004E1BAD"/>
    <w:pPr>
      <w:spacing w:before="0" w:line="240" w:lineRule="auto"/>
      <w:jc w:val="left"/>
    </w:pPr>
  </w:style>
  <w:style w:type="paragraph" w:customStyle="1" w:styleId="PunktlistaBomb">
    <w:name w:val="Punktlista_Bomb"/>
    <w:aliases w:val="Bomb"/>
    <w:basedOn w:val="Normal"/>
    <w:rsid w:val="004E1BAD"/>
    <w:pPr>
      <w:numPr>
        <w:numId w:val="2"/>
      </w:numPr>
    </w:pPr>
  </w:style>
  <w:style w:type="paragraph" w:customStyle="1" w:styleId="PunktlistaNummer">
    <w:name w:val="Punktlista_Nummer"/>
    <w:aliases w:val="Nummerlista"/>
    <w:basedOn w:val="Normal"/>
    <w:rsid w:val="004E1BAD"/>
    <w:pPr>
      <w:numPr>
        <w:numId w:val="3"/>
      </w:numPr>
    </w:pPr>
  </w:style>
  <w:style w:type="paragraph" w:customStyle="1" w:styleId="PunktlistaTankstreck">
    <w:name w:val="Punktlista_Tankstreck"/>
    <w:aliases w:val="Tankstreck"/>
    <w:basedOn w:val="Normal"/>
    <w:rsid w:val="004E1BAD"/>
    <w:pPr>
      <w:numPr>
        <w:numId w:val="4"/>
      </w:numPr>
    </w:pPr>
  </w:style>
  <w:style w:type="paragraph" w:customStyle="1" w:styleId="RubrikSammanf">
    <w:name w:val="RubrikSammanf"/>
    <w:basedOn w:val="Rubrik1"/>
    <w:next w:val="Normal"/>
    <w:rsid w:val="004E1BAD"/>
  </w:style>
  <w:style w:type="paragraph" w:customStyle="1" w:styleId="RubrikInnehllsf">
    <w:name w:val="RubrikInnehållsf"/>
    <w:basedOn w:val="RubrikSammanf"/>
    <w:next w:val="Normal"/>
    <w:rsid w:val="004E1BAD"/>
  </w:style>
  <w:style w:type="paragraph" w:customStyle="1" w:styleId="Tabellochbildrubrik">
    <w:name w:val="Tabell och bildrubrik"/>
    <w:basedOn w:val="Normal"/>
    <w:next w:val="Normal"/>
    <w:rsid w:val="004E1BAD"/>
    <w:pPr>
      <w:suppressAutoHyphens/>
      <w:spacing w:before="300" w:line="200" w:lineRule="exact"/>
      <w:jc w:val="left"/>
    </w:pPr>
    <w:rPr>
      <w:caps/>
      <w:sz w:val="14"/>
    </w:rPr>
  </w:style>
  <w:style w:type="paragraph" w:customStyle="1" w:styleId="Underskrifter">
    <w:name w:val="Underskrifter"/>
    <w:basedOn w:val="Normal"/>
    <w:rsid w:val="004E1BAD"/>
    <w:pPr>
      <w:keepNext/>
      <w:keepLines/>
      <w:suppressAutoHyphens/>
      <w:spacing w:before="0" w:after="40" w:line="250" w:lineRule="exact"/>
    </w:pPr>
    <w:rPr>
      <w:i/>
    </w:rPr>
  </w:style>
  <w:style w:type="paragraph" w:customStyle="1" w:styleId="UnderskriftDatum">
    <w:name w:val="UnderskriftDatum"/>
    <w:basedOn w:val="Underskrifter"/>
    <w:next w:val="Underskrifter"/>
    <w:rsid w:val="004E1BAD"/>
    <w:pPr>
      <w:spacing w:before="250" w:after="125"/>
    </w:pPr>
    <w:rPr>
      <w:i w:val="0"/>
    </w:rPr>
  </w:style>
  <w:style w:type="paragraph" w:styleId="Sidhuvud">
    <w:name w:val="header"/>
    <w:basedOn w:val="Normal"/>
    <w:semiHidden/>
    <w:rsid w:val="004E1BAD"/>
    <w:pPr>
      <w:tabs>
        <w:tab w:val="center" w:pos="4536"/>
        <w:tab w:val="right" w:pos="9072"/>
      </w:tabs>
    </w:pPr>
  </w:style>
  <w:style w:type="paragraph" w:styleId="Sidfot">
    <w:name w:val="footer"/>
    <w:basedOn w:val="Normal"/>
    <w:semiHidden/>
    <w:rsid w:val="004E1BAD"/>
    <w:pPr>
      <w:tabs>
        <w:tab w:val="center" w:pos="4536"/>
        <w:tab w:val="right" w:pos="9072"/>
      </w:tabs>
    </w:pPr>
  </w:style>
  <w:style w:type="paragraph" w:styleId="Innehll1">
    <w:name w:val="toc 1"/>
    <w:basedOn w:val="Normal"/>
    <w:next w:val="Innehll2"/>
    <w:semiHidden/>
    <w:rsid w:val="004E1BAD"/>
    <w:pPr>
      <w:tabs>
        <w:tab w:val="right" w:leader="dot" w:pos="5953"/>
      </w:tabs>
      <w:suppressAutoHyphens/>
      <w:spacing w:before="0"/>
      <w:ind w:right="567"/>
      <w:jc w:val="left"/>
    </w:pPr>
  </w:style>
  <w:style w:type="paragraph" w:styleId="Innehll2">
    <w:name w:val="toc 2"/>
    <w:basedOn w:val="Innehll1"/>
    <w:next w:val="Innehll3"/>
    <w:semiHidden/>
    <w:rsid w:val="004E1BAD"/>
    <w:pPr>
      <w:ind w:left="284"/>
    </w:pPr>
  </w:style>
  <w:style w:type="paragraph" w:styleId="Innehll3">
    <w:name w:val="toc 3"/>
    <w:basedOn w:val="Innehll2"/>
    <w:next w:val="Innehll4"/>
    <w:semiHidden/>
    <w:rsid w:val="004E1BAD"/>
    <w:pPr>
      <w:ind w:left="567"/>
    </w:pPr>
  </w:style>
  <w:style w:type="paragraph" w:styleId="Innehll4">
    <w:name w:val="toc 4"/>
    <w:basedOn w:val="Innehll3"/>
    <w:next w:val="Normal"/>
    <w:semiHidden/>
    <w:rsid w:val="004E1BAD"/>
  </w:style>
  <w:style w:type="paragraph" w:customStyle="1" w:styleId="Hemstlatt">
    <w:name w:val="Hemstl_att"/>
    <w:aliases w:val="HemstPunkt,HemstPunktFlera,HemställansPunkt,Förslagstext"/>
    <w:basedOn w:val="Normal"/>
    <w:next w:val="Normal"/>
    <w:rsid w:val="004E1BAD"/>
    <w:pPr>
      <w:keepLines/>
      <w:numPr>
        <w:numId w:val="20"/>
      </w:numPr>
      <w:spacing w:before="0"/>
    </w:pPr>
  </w:style>
  <w:style w:type="paragraph" w:styleId="Datum">
    <w:name w:val="Date"/>
    <w:basedOn w:val="Normal"/>
    <w:next w:val="Normal"/>
    <w:semiHidden/>
    <w:rsid w:val="004E1BAD"/>
  </w:style>
  <w:style w:type="character" w:styleId="Hyperlnk">
    <w:name w:val="Hyperlink"/>
    <w:basedOn w:val="Standardstycketeckensnitt"/>
    <w:semiHidden/>
    <w:rsid w:val="004E1BAD"/>
    <w:rPr>
      <w:color w:val="0000FF"/>
      <w:u w:val="single"/>
    </w:rPr>
  </w:style>
  <w:style w:type="paragraph" w:styleId="Indragetstycke">
    <w:name w:val="Block Text"/>
    <w:basedOn w:val="Normal"/>
    <w:semiHidden/>
    <w:rsid w:val="004E1BAD"/>
    <w:pPr>
      <w:spacing w:after="120"/>
      <w:ind w:left="1440" w:right="1440"/>
    </w:pPr>
  </w:style>
  <w:style w:type="paragraph" w:styleId="Innehll5">
    <w:name w:val="toc 5"/>
    <w:basedOn w:val="Innehll4"/>
    <w:next w:val="Normal"/>
    <w:semiHidden/>
    <w:rsid w:val="004E1BAD"/>
  </w:style>
  <w:style w:type="paragraph" w:styleId="Lista">
    <w:name w:val="List"/>
    <w:basedOn w:val="Normal"/>
    <w:semiHidden/>
    <w:rsid w:val="004E1BAD"/>
    <w:pPr>
      <w:ind w:left="283" w:hanging="283"/>
    </w:pPr>
  </w:style>
  <w:style w:type="paragraph" w:styleId="Normalwebb">
    <w:name w:val="Normal (Web)"/>
    <w:basedOn w:val="Normal"/>
    <w:semiHidden/>
    <w:rsid w:val="004E1BAD"/>
    <w:rPr>
      <w:szCs w:val="24"/>
    </w:rPr>
  </w:style>
  <w:style w:type="paragraph" w:styleId="Numreradlista">
    <w:name w:val="List Number"/>
    <w:basedOn w:val="Normal"/>
    <w:semiHidden/>
    <w:rsid w:val="004E1BAD"/>
    <w:pPr>
      <w:numPr>
        <w:numId w:val="5"/>
      </w:numPr>
    </w:pPr>
  </w:style>
  <w:style w:type="paragraph" w:styleId="Punktlista">
    <w:name w:val="List Bullet"/>
    <w:basedOn w:val="Normal"/>
    <w:semiHidden/>
    <w:rsid w:val="004E1BAD"/>
    <w:pPr>
      <w:numPr>
        <w:numId w:val="10"/>
      </w:numPr>
    </w:pPr>
  </w:style>
  <w:style w:type="character" w:styleId="Radnummer">
    <w:name w:val="line number"/>
    <w:basedOn w:val="Standardstycketeckensnitt"/>
    <w:semiHidden/>
    <w:rsid w:val="004E1BAD"/>
  </w:style>
  <w:style w:type="character" w:styleId="Sidnummer">
    <w:name w:val="page number"/>
    <w:basedOn w:val="Standardstycketeckensnitt"/>
    <w:semiHidden/>
    <w:rsid w:val="004E1BAD"/>
  </w:style>
  <w:style w:type="paragraph" w:styleId="Signatur">
    <w:name w:val="Signature"/>
    <w:basedOn w:val="Normal"/>
    <w:semiHidden/>
    <w:rsid w:val="004E1BAD"/>
    <w:pPr>
      <w:ind w:left="4252"/>
    </w:pPr>
  </w:style>
  <w:style w:type="paragraph" w:styleId="Underrubrik">
    <w:name w:val="Subtitle"/>
    <w:basedOn w:val="Normal"/>
    <w:qFormat/>
    <w:rsid w:val="004E1BA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460">
      <w:bodyDiv w:val="1"/>
      <w:marLeft w:val="0"/>
      <w:marRight w:val="0"/>
      <w:marTop w:val="0"/>
      <w:marBottom w:val="0"/>
      <w:divBdr>
        <w:top w:val="none" w:sz="0" w:space="0" w:color="auto"/>
        <w:left w:val="none" w:sz="0" w:space="0" w:color="auto"/>
        <w:bottom w:val="none" w:sz="0" w:space="0" w:color="auto"/>
        <w:right w:val="none" w:sz="0" w:space="0" w:color="auto"/>
      </w:divBdr>
    </w:div>
    <w:div w:id="184947505">
      <w:bodyDiv w:val="1"/>
      <w:marLeft w:val="0"/>
      <w:marRight w:val="0"/>
      <w:marTop w:val="0"/>
      <w:marBottom w:val="0"/>
      <w:divBdr>
        <w:top w:val="none" w:sz="0" w:space="0" w:color="auto"/>
        <w:left w:val="none" w:sz="0" w:space="0" w:color="auto"/>
        <w:bottom w:val="none" w:sz="0" w:space="0" w:color="auto"/>
        <w:right w:val="none" w:sz="0" w:space="0" w:color="auto"/>
      </w:divBdr>
    </w:div>
    <w:div w:id="136460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5998</Characters>
  <Application>Microsoft Office Word</Application>
  <DocSecurity>4</DocSecurity>
  <Lines>136</Lines>
  <Paragraphs>56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2007-03-05T14:45:00Z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20062007000000000118000004620080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20062007000000000118000004620080</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{33B29FDA-D7B5-4ED1-B8DF-E0ECD06B7A02}</vt:lpwstr>
  </property>
  <property fmtid="{D5CDD505-2E9C-101B-9397-08002B2CF9AE}" pid="53" name="Överföringar">
    <vt:i4>0</vt:i4>
  </property>
  <property fmtid="{D5CDD505-2E9C-101B-9397-08002B2CF9AE}" pid="54" name="Checksum">
    <vt:lpwstr>*0010013477195*</vt:lpwstr>
  </property>
  <property fmtid="{D5CDD505-2E9C-101B-9397-08002B2CF9AE}" pid="55" name="IdNummer">
    <vt:lpwstr>297418</vt:lpwstr>
  </property>
  <property fmtid="{D5CDD505-2E9C-101B-9397-08002B2CF9AE}" pid="56" name="urixOrigin">
    <vt:lpwstr>070305 15:46:04.151</vt:lpwstr>
  </property>
  <property fmtid="{D5CDD505-2E9C-101B-9397-08002B2CF9AE}" pid="57" name="skuggnummer">
    <vt:lpwstr>1942</vt:lpwstr>
  </property>
  <property fmtid="{D5CDD505-2E9C-101B-9397-08002B2CF9AE}" pid="58" name="urixVersion">
    <vt:lpwstr>3.1.4.1</vt:lpwstr>
  </property>
  <property fmtid="{D5CDD505-2E9C-101B-9397-08002B2CF9AE}" pid="59" name="urixGuid">
    <vt:lpwstr>{AD556314-655A-498A-A5F3-B2D7F7F5998D}</vt:lpwstr>
  </property>
</Properties>
</file>