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7B21AF">
              <w:rPr>
                <w:b/>
              </w:rPr>
              <w:t>02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7B21AF">
              <w:t>10</w:t>
            </w:r>
            <w:r w:rsidR="00520D71">
              <w:t>-</w:t>
            </w:r>
            <w:r w:rsidR="007B21AF">
              <w:t>01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7B21AF">
            <w:r>
              <w:t>09</w:t>
            </w:r>
            <w:r w:rsidR="00BF5F58">
              <w:t>:</w:t>
            </w:r>
            <w:r>
              <w:t>3</w:t>
            </w:r>
            <w:r w:rsidR="00B2693D">
              <w:t>0</w:t>
            </w:r>
            <w:r w:rsidR="00FA543D">
              <w:t>–</w:t>
            </w:r>
            <w:r w:rsidR="003F0FCF">
              <w:t>10.20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874D99">
        <w:tc>
          <w:tcPr>
            <w:tcW w:w="567" w:type="dxa"/>
          </w:tcPr>
          <w:p w:rsidR="00480347" w:rsidRDefault="0048034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  <w:p w:rsidR="00480347" w:rsidRPr="00480347" w:rsidRDefault="00480347" w:rsidP="00480347"/>
          <w:p w:rsidR="00480347" w:rsidRPr="00480347" w:rsidRDefault="00480347" w:rsidP="00480347"/>
          <w:p w:rsidR="00480347" w:rsidRPr="00480347" w:rsidRDefault="00480347" w:rsidP="00480347"/>
          <w:p w:rsidR="00480347" w:rsidRPr="00480347" w:rsidRDefault="00480347" w:rsidP="00480347"/>
          <w:p w:rsidR="00480347" w:rsidRPr="00480347" w:rsidRDefault="00480347" w:rsidP="00480347"/>
          <w:p w:rsidR="00480347" w:rsidRPr="00480347" w:rsidRDefault="00480347" w:rsidP="00480347"/>
          <w:p w:rsidR="00480347" w:rsidRDefault="00480347" w:rsidP="00480347"/>
          <w:p w:rsidR="00480347" w:rsidRPr="00480347" w:rsidRDefault="00480347" w:rsidP="00480347"/>
          <w:p w:rsidR="00480347" w:rsidRPr="00480347" w:rsidRDefault="00480347" w:rsidP="00480347"/>
          <w:p w:rsidR="003B4DE8" w:rsidRPr="00480347" w:rsidRDefault="003B4DE8" w:rsidP="00480347"/>
        </w:tc>
        <w:tc>
          <w:tcPr>
            <w:tcW w:w="6946" w:type="dxa"/>
            <w:gridSpan w:val="2"/>
          </w:tcPr>
          <w:p w:rsidR="009C30AD" w:rsidRPr="004A423E" w:rsidRDefault="009C30AD" w:rsidP="009C30A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4A423E">
              <w:rPr>
                <w:b/>
                <w:bCs/>
                <w:color w:val="000000"/>
                <w:szCs w:val="24"/>
              </w:rPr>
              <w:t>EU-överläggningar</w:t>
            </w:r>
          </w:p>
          <w:p w:rsidR="009C30AD" w:rsidRPr="004A423E" w:rsidRDefault="009C30AD" w:rsidP="009C30A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C30AD" w:rsidRPr="004A423E" w:rsidRDefault="009C30AD" w:rsidP="009C30A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A423E">
              <w:rPr>
                <w:bCs/>
                <w:color w:val="000000"/>
                <w:szCs w:val="24"/>
              </w:rPr>
              <w:t>Utskottet beslutade enligt 7 kap. 12 § RO att överlägga med regeringen om:</w:t>
            </w:r>
          </w:p>
          <w:p w:rsidR="009C30AD" w:rsidRPr="009C30AD" w:rsidRDefault="009C30AD" w:rsidP="009C30AD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C30AD">
              <w:rPr>
                <w:rFonts w:eastAsiaTheme="minorHAnsi"/>
                <w:bCs/>
                <w:color w:val="000000"/>
                <w:szCs w:val="24"/>
                <w:lang w:eastAsia="en-US"/>
              </w:rPr>
              <w:t>att investera i befolkningens kompetens som grund för ökad tillväxt och välbefinnande i EU</w:t>
            </w:r>
          </w:p>
          <w:p w:rsidR="009C30AD" w:rsidRPr="009C30AD" w:rsidRDefault="009C30AD" w:rsidP="009C30AD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C30AD">
              <w:rPr>
                <w:rFonts w:eastAsiaTheme="minorHAnsi"/>
                <w:bCs/>
                <w:color w:val="000000"/>
                <w:szCs w:val="24"/>
                <w:lang w:eastAsia="en-US"/>
              </w:rPr>
              <w:t>att främja livslångt lärande genom att utveckla strategier för kontinuerligt lärande</w:t>
            </w:r>
          </w:p>
          <w:p w:rsidR="0079594F" w:rsidRPr="00BA6939" w:rsidRDefault="009C30AD" w:rsidP="00874D99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30AD"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 utveckling av det europeiska utbildningsområdet för att främja framtidsorienterade utbildningssystem</w:t>
            </w:r>
          </w:p>
        </w:tc>
      </w:tr>
      <w:tr w:rsidR="00874D99" w:rsidTr="00874D99">
        <w:tc>
          <w:tcPr>
            <w:tcW w:w="567" w:type="dxa"/>
          </w:tcPr>
          <w:p w:rsidR="00874D99" w:rsidRPr="003B4DE8" w:rsidRDefault="00874D99" w:rsidP="00874D9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EU-överläggning med regeringen enligt RO 7 kap. 12 § om att investera i befolkningens kompetens som grund för ökad tillväxt och välbefinnande i EU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9C30AD">
              <w:rPr>
                <w:snapToGrid w:val="0"/>
              </w:rPr>
              <w:t xml:space="preserve">Utskottet överlade med statssekreteraren Erik Nilsson med medarbetare från Utbildningsdepartementet om </w:t>
            </w:r>
            <w:r w:rsidRPr="009C30AD">
              <w:rPr>
                <w:rFonts w:eastAsiaTheme="minorHAnsi"/>
                <w:bCs/>
                <w:color w:val="000000"/>
                <w:szCs w:val="24"/>
                <w:lang w:eastAsia="en-US"/>
              </w:rPr>
              <w:t>att investera i befolkningens kompetens som grund för ökad tillväxt och välbefinnande i EU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Underlag för överläggningen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Promemoria från Utbildningsdepartementet (</w:t>
            </w:r>
            <w:r w:rsidRPr="002D1B9D"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157</w:t>
            </w:r>
            <w:r w:rsidRPr="002D1B9D">
              <w:rPr>
                <w:snapToGrid w:val="0"/>
              </w:rPr>
              <w:t>-2018</w:t>
            </w:r>
            <w:proofErr w:type="gramEnd"/>
            <w:r w:rsidRPr="002D1B9D">
              <w:rPr>
                <w:snapToGrid w:val="0"/>
              </w:rPr>
              <w:t>/19</w:t>
            </w:r>
            <w:r>
              <w:rPr>
                <w:snapToGrid w:val="0"/>
              </w:rPr>
              <w:t>)</w:t>
            </w:r>
          </w:p>
          <w:p w:rsidR="00874D99" w:rsidRPr="002D1B9D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Pr="007B361A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>Regeringens förslag till svensk ståndpunkt</w:t>
            </w:r>
            <w:r>
              <w:rPr>
                <w:i/>
                <w:snapToGrid w:val="0"/>
              </w:rPr>
              <w:br/>
            </w:r>
            <w:r w:rsidRPr="007B361A">
              <w:rPr>
                <w:snapToGrid w:val="0"/>
              </w:rPr>
              <w:t>Regeringen välkomnar temat för riktlinjedebatten och att frågan om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7B361A">
              <w:rPr>
                <w:snapToGrid w:val="0"/>
              </w:rPr>
              <w:t>investeringar i utbildning lyfts. Satsningar på utbildning av god kvalitet för</w:t>
            </w:r>
            <w:r>
              <w:rPr>
                <w:snapToGrid w:val="0"/>
              </w:rPr>
              <w:t xml:space="preserve"> </w:t>
            </w:r>
            <w:r w:rsidRPr="007B361A">
              <w:rPr>
                <w:snapToGrid w:val="0"/>
              </w:rPr>
              <w:t>alla är av stor vikt både för samhället och för den enskilda individen.</w:t>
            </w:r>
            <w:r>
              <w:rPr>
                <w:snapToGrid w:val="0"/>
              </w:rPr>
              <w:br/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7B361A">
              <w:rPr>
                <w:snapToGrid w:val="0"/>
              </w:rPr>
              <w:t>Regeringen anser att det är viktigt att hänsyn tas till utbildningens dubbla målsättningar – dels att förse arbetsmarknaden med rätt utbildad arbetskraft, dels som ett verktyg för individens egen utveckling.</w:t>
            </w:r>
          </w:p>
          <w:p w:rsidR="00874D99" w:rsidRPr="007B361A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Pr="007B361A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7B361A">
              <w:rPr>
                <w:snapToGrid w:val="0"/>
              </w:rPr>
              <w:t>Vidare är livslångt lärande och vikten av kompetensförsörjning för dagens och framtidens behov ytterligare områden som regeringen anser kan lyftas i diskussionen.</w:t>
            </w:r>
          </w:p>
          <w:p w:rsidR="00874D99" w:rsidRPr="007B361A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br/>
              <w:t>Utskottet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2D1B9D">
              <w:rPr>
                <w:snapToGrid w:val="0"/>
              </w:rPr>
              <w:lastRenderedPageBreak/>
              <w:t xml:space="preserve">Ordföranden konstaterade att det fanns </w:t>
            </w:r>
            <w:r>
              <w:rPr>
                <w:snapToGrid w:val="0"/>
              </w:rPr>
              <w:t>stöd</w:t>
            </w:r>
            <w:r w:rsidRPr="002D1B9D">
              <w:rPr>
                <w:snapToGrid w:val="0"/>
              </w:rPr>
              <w:t xml:space="preserve"> i utskottet för</w:t>
            </w:r>
            <w:r>
              <w:rPr>
                <w:snapToGrid w:val="0"/>
              </w:rPr>
              <w:t xml:space="preserve"> regeringens ståndpunkt. 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Pr="00BA6939" w:rsidRDefault="00874D99" w:rsidP="00874D9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Denna paragraf förklarades omedelbart justerad. 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74D99" w:rsidTr="00874D99">
        <w:tc>
          <w:tcPr>
            <w:tcW w:w="567" w:type="dxa"/>
          </w:tcPr>
          <w:p w:rsidR="00874D99" w:rsidRPr="003B4DE8" w:rsidRDefault="00874D99" w:rsidP="00874D9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EU-överläggning med regeringen enligt RO 7 kap. 12 § om att främja livslångt lärande genom att utveckla strategier för kontinuerligt lärande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Pr="009C30AD" w:rsidRDefault="00874D99" w:rsidP="00874D9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C30AD">
              <w:rPr>
                <w:snapToGrid w:val="0"/>
              </w:rPr>
              <w:t xml:space="preserve">Utskottet överlade med statssekreteraren Erik Nilsson med medarbetare från Utbildningsdepartementet om </w:t>
            </w:r>
            <w:r w:rsidRPr="009C30AD">
              <w:rPr>
                <w:rFonts w:eastAsiaTheme="minorHAnsi"/>
                <w:bCs/>
                <w:color w:val="000000"/>
                <w:szCs w:val="24"/>
                <w:lang w:eastAsia="en-US"/>
              </w:rPr>
              <w:t>att främja livslångt lärande genom att utveckla strategier för kontinuerligt lärande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Underlag för överläggningen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Promemoria från Utbildningsdepartementet (</w:t>
            </w:r>
            <w:r w:rsidRPr="002D1B9D"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155</w:t>
            </w:r>
            <w:r w:rsidRPr="002D1B9D">
              <w:rPr>
                <w:snapToGrid w:val="0"/>
              </w:rPr>
              <w:t>-2018</w:t>
            </w:r>
            <w:proofErr w:type="gramEnd"/>
            <w:r w:rsidRPr="002D1B9D">
              <w:rPr>
                <w:snapToGrid w:val="0"/>
              </w:rPr>
              <w:t>/19</w:t>
            </w:r>
            <w:r>
              <w:rPr>
                <w:snapToGrid w:val="0"/>
              </w:rPr>
              <w:t>)</w:t>
            </w:r>
            <w:r>
              <w:rPr>
                <w:snapToGrid w:val="0"/>
              </w:rPr>
              <w:br/>
            </w:r>
            <w:r w:rsidRPr="007B361A">
              <w:rPr>
                <w:snapToGrid w:val="0"/>
              </w:rPr>
              <w:t>Rådsdokument 11760/19</w:t>
            </w:r>
          </w:p>
          <w:p w:rsidR="00874D99" w:rsidRPr="002D1B9D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Pr="00480347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>Regeringens förslag till svensk ståndpunkt</w:t>
            </w:r>
            <w:r>
              <w:rPr>
                <w:i/>
                <w:snapToGrid w:val="0"/>
              </w:rPr>
              <w:br/>
            </w:r>
            <w:r w:rsidRPr="00480347">
              <w:rPr>
                <w:snapToGrid w:val="0"/>
              </w:rPr>
              <w:t xml:space="preserve">Regeringen kan välkomna </w:t>
            </w:r>
            <w:proofErr w:type="spellStart"/>
            <w:r w:rsidRPr="00480347">
              <w:rPr>
                <w:snapToGrid w:val="0"/>
              </w:rPr>
              <w:t>rådsslutsatserna</w:t>
            </w:r>
            <w:proofErr w:type="spellEnd"/>
            <w:r w:rsidRPr="00480347">
              <w:rPr>
                <w:snapToGrid w:val="0"/>
              </w:rPr>
              <w:t xml:space="preserve"> som belyser den för regeringen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prioriterade frågan om livslångt lärande och vikten av kontinuerligt lärande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för alla genom livet, och strategiska förhållningssätt för att säkerställa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framtidens kompetensbehov. Livslångt lärande och vidare- och fortbildning,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inte minst för grupper med låg utbildningsbakgrund och svag ställning på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arbetsmarknaden, är en prioriterad fråga för regeringen.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480347">
              <w:rPr>
                <w:snapToGrid w:val="0"/>
              </w:rPr>
              <w:t>Regeringen kan välkomna att utkastet tar upp risken för ökade klyftor mellan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hög- och lågkvalificerade arbetstagare, liksom utmaningar för socialt utsatta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grupper.</w:t>
            </w:r>
            <w:r>
              <w:rPr>
                <w:snapToGrid w:val="0"/>
              </w:rPr>
              <w:t xml:space="preserve"> 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Pr="00480347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480347">
              <w:rPr>
                <w:snapToGrid w:val="0"/>
              </w:rPr>
              <w:t xml:space="preserve">Regeringens bedömning är att de föreslagna </w:t>
            </w:r>
            <w:proofErr w:type="spellStart"/>
            <w:r w:rsidRPr="00480347">
              <w:rPr>
                <w:snapToGrid w:val="0"/>
              </w:rPr>
              <w:t>rådsslutsatserna</w:t>
            </w:r>
            <w:proofErr w:type="spellEnd"/>
            <w:r w:rsidRPr="00480347">
              <w:rPr>
                <w:snapToGrid w:val="0"/>
              </w:rPr>
              <w:t xml:space="preserve"> håller sig inom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EU:s kompetens på utbildningsområdet.</w:t>
            </w:r>
          </w:p>
          <w:p w:rsidR="00874D99" w:rsidRPr="007B361A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br/>
              <w:t>Utskottet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2D1B9D">
              <w:rPr>
                <w:snapToGrid w:val="0"/>
              </w:rPr>
              <w:t xml:space="preserve">Ordföranden konstaterade att det fanns </w:t>
            </w:r>
            <w:r>
              <w:rPr>
                <w:snapToGrid w:val="0"/>
              </w:rPr>
              <w:t>stöd</w:t>
            </w:r>
            <w:r w:rsidRPr="002D1B9D">
              <w:rPr>
                <w:snapToGrid w:val="0"/>
              </w:rPr>
              <w:t xml:space="preserve"> i utskottet för</w:t>
            </w:r>
            <w:r>
              <w:rPr>
                <w:snapToGrid w:val="0"/>
              </w:rPr>
              <w:t xml:space="preserve"> regeringens ståndpunkt. 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Pr="00480347" w:rsidRDefault="00874D99" w:rsidP="00874D9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Denna paragraf förklarades omedelbart justerad. 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74D99" w:rsidTr="00874D99">
        <w:tc>
          <w:tcPr>
            <w:tcW w:w="567" w:type="dxa"/>
          </w:tcPr>
          <w:p w:rsidR="00874D99" w:rsidRPr="003B4DE8" w:rsidRDefault="00874D99" w:rsidP="00874D9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EU-överläggning med regeringen enligt RO 7 kap. 12 § om fortsatt utveckling av det europeiska utbildningsområdet för att främja framtidsorienterade utbildningssystem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Pr="009C30AD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30AD">
              <w:rPr>
                <w:snapToGrid w:val="0"/>
              </w:rPr>
              <w:t xml:space="preserve">Utskottet överlade med statssekreteraren Erik Nilsson med medarbetare från Utbildningsdepartementet om </w:t>
            </w:r>
            <w:r w:rsidRPr="009C30AD"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 utveckling av det europeiska utbildningsområdet för att främja framtidsorienterade utbildningssystem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Underlag för överläggningen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Promemoria från Utbildningsdepartementet (</w:t>
            </w:r>
            <w:r w:rsidRPr="002D1B9D"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156</w:t>
            </w:r>
            <w:r w:rsidRPr="002D1B9D">
              <w:rPr>
                <w:snapToGrid w:val="0"/>
              </w:rPr>
              <w:t>-2018</w:t>
            </w:r>
            <w:proofErr w:type="gramEnd"/>
            <w:r w:rsidRPr="002D1B9D">
              <w:rPr>
                <w:snapToGrid w:val="0"/>
              </w:rPr>
              <w:t>/19</w:t>
            </w:r>
            <w:r>
              <w:rPr>
                <w:snapToGrid w:val="0"/>
              </w:rPr>
              <w:t>)</w:t>
            </w:r>
            <w:r>
              <w:rPr>
                <w:snapToGrid w:val="0"/>
              </w:rPr>
              <w:br/>
            </w:r>
            <w:r w:rsidRPr="007B361A">
              <w:rPr>
                <w:snapToGrid w:val="0"/>
              </w:rPr>
              <w:t>Rådsdokument 11912/19</w:t>
            </w:r>
          </w:p>
          <w:p w:rsidR="00874D99" w:rsidRPr="002D1B9D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>Regeringens förslag till svensk ståndpunkt</w:t>
            </w:r>
            <w:r>
              <w:rPr>
                <w:i/>
                <w:snapToGrid w:val="0"/>
              </w:rPr>
              <w:br/>
            </w:r>
            <w:r w:rsidRPr="00480347">
              <w:rPr>
                <w:snapToGrid w:val="0"/>
              </w:rPr>
              <w:t>Regeringen välkomnar förslaget till resolution om fortsatt utveckling av det europeiska utbildningsområdet för att främja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framtidsorienterade utbildningssystem. Det är en prioriterad fråga för regeringen att medborgarna i EU ska kunna studera, arbeta, resa och utbyta idéer utan att hindras av administrativa eller byråkratiska svårigheter.</w:t>
            </w:r>
          </w:p>
          <w:p w:rsidR="00874D99" w:rsidRPr="00480347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480347">
              <w:rPr>
                <w:snapToGrid w:val="0"/>
              </w:rPr>
              <w:t>Regeringen välkomnar att förslaget till resolution innehåller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skrivningar om demokrati och utbildningens dubbla målsättningar och ser positivt på framtagande av data, uppföljning och analys i syfte att underlätta evidensbaserade policybeslut.</w:t>
            </w:r>
          </w:p>
          <w:p w:rsidR="00874D99" w:rsidRPr="00480347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Pr="00480347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480347">
              <w:rPr>
                <w:snapToGrid w:val="0"/>
              </w:rPr>
              <w:t>Regeringen välkomnar initiativet till det europeiska</w:t>
            </w:r>
            <w:r>
              <w:rPr>
                <w:snapToGrid w:val="0"/>
              </w:rPr>
              <w:t xml:space="preserve"> </w:t>
            </w:r>
            <w:r w:rsidRPr="00480347">
              <w:rPr>
                <w:snapToGrid w:val="0"/>
              </w:rPr>
              <w:t>universitetsnätverket och att medlemsstaterna ska välkomma nationellt deltagande. Regeringen anser att det är viktigt att det tydliggörs att beslut om finansiering och politik inom utbildning är nationella beslut.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Pr="007B361A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480347">
              <w:rPr>
                <w:snapToGrid w:val="0"/>
              </w:rPr>
              <w:t>Regeringens bedömning är att den föreslagna rådsresolutionen håller sig inom EU:s kompetens på utbildningsområdet.</w:t>
            </w:r>
            <w:r>
              <w:rPr>
                <w:snapToGrid w:val="0"/>
              </w:rPr>
              <w:br/>
            </w:r>
            <w:r>
              <w:rPr>
                <w:i/>
                <w:snapToGrid w:val="0"/>
              </w:rPr>
              <w:br/>
              <w:t>Utskottet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 w:rsidRPr="002D1B9D">
              <w:rPr>
                <w:snapToGrid w:val="0"/>
              </w:rPr>
              <w:t xml:space="preserve">Ordföranden konstaterade att det fanns </w:t>
            </w:r>
            <w:r>
              <w:rPr>
                <w:snapToGrid w:val="0"/>
              </w:rPr>
              <w:t>stöd</w:t>
            </w:r>
            <w:r w:rsidRPr="002D1B9D">
              <w:rPr>
                <w:snapToGrid w:val="0"/>
              </w:rPr>
              <w:t xml:space="preserve"> i utskottet för</w:t>
            </w:r>
            <w:r>
              <w:rPr>
                <w:snapToGrid w:val="0"/>
              </w:rPr>
              <w:t xml:space="preserve"> regeringens ståndpunkt. 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Pr="00BA6939" w:rsidRDefault="00874D99" w:rsidP="00874D9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Denna paragraf förklarades omedelbart justerad. 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74D99" w:rsidTr="00874D99">
        <w:tc>
          <w:tcPr>
            <w:tcW w:w="567" w:type="dxa"/>
          </w:tcPr>
          <w:p w:rsidR="00874D99" w:rsidRPr="003B4DE8" w:rsidRDefault="00874D99" w:rsidP="00874D9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EU-information om den fortsatta förhandlingen av förordningen om ett nytt Erasmusprogram för perioden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2021-2027</w:t>
            </w:r>
            <w:proofErr w:type="gramEnd"/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30A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informerades av</w:t>
            </w:r>
            <w:r w:rsidRPr="009C30AD">
              <w:rPr>
                <w:snapToGrid w:val="0"/>
              </w:rPr>
              <w:t xml:space="preserve"> statssekreteraren Erik Nilsson med medarbetare från Utbildningsdepartementet </w:t>
            </w:r>
            <w:r w:rsidRPr="007B361A">
              <w:rPr>
                <w:snapToGrid w:val="0"/>
              </w:rPr>
              <w:t xml:space="preserve">om den fortsatta förhandlingen av förordningen om ett nytt Erasmusprogram för perioden </w:t>
            </w:r>
            <w:proofErr w:type="gramStart"/>
            <w:r w:rsidRPr="007B361A">
              <w:rPr>
                <w:snapToGrid w:val="0"/>
              </w:rPr>
              <w:t>2021-2027</w:t>
            </w:r>
            <w:proofErr w:type="gramEnd"/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Underlag för överläggningen</w:t>
            </w:r>
          </w:p>
          <w:p w:rsidR="00874D99" w:rsidRPr="007B361A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Promemoria från Utbildningsdepartementet (</w:t>
            </w:r>
            <w:r w:rsidRPr="002D1B9D"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158</w:t>
            </w:r>
            <w:r w:rsidRPr="002D1B9D">
              <w:rPr>
                <w:snapToGrid w:val="0"/>
              </w:rPr>
              <w:t>-2018</w:t>
            </w:r>
            <w:proofErr w:type="gramEnd"/>
            <w:r w:rsidRPr="002D1B9D">
              <w:rPr>
                <w:snapToGrid w:val="0"/>
              </w:rPr>
              <w:t>/19</w:t>
            </w:r>
            <w:r>
              <w:rPr>
                <w:snapToGrid w:val="0"/>
              </w:rPr>
              <w:t>)</w:t>
            </w:r>
            <w:r>
              <w:rPr>
                <w:snapToGrid w:val="0"/>
              </w:rPr>
              <w:br/>
            </w:r>
          </w:p>
          <w:p w:rsidR="00874D99" w:rsidRPr="00BA6939" w:rsidRDefault="00874D99" w:rsidP="00874D9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Denna paragraf förklarades omedelbart justerad. 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74D99" w:rsidTr="00874D99">
        <w:tc>
          <w:tcPr>
            <w:tcW w:w="567" w:type="dxa"/>
          </w:tcPr>
          <w:p w:rsidR="00874D99" w:rsidRPr="003B4DE8" w:rsidRDefault="00874D99" w:rsidP="00874D9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4D99" w:rsidRDefault="00874D99" w:rsidP="00874D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2019/20:01.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74D99" w:rsidTr="00874D99">
        <w:tc>
          <w:tcPr>
            <w:tcW w:w="567" w:type="dxa"/>
          </w:tcPr>
          <w:p w:rsidR="00874D99" w:rsidRPr="003B4DE8" w:rsidRDefault="00874D99" w:rsidP="00874D9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4D99" w:rsidRDefault="00874D99" w:rsidP="00874D9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bilaga 2.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74D99" w:rsidTr="00874D99">
        <w:tc>
          <w:tcPr>
            <w:tcW w:w="567" w:type="dxa"/>
          </w:tcPr>
          <w:p w:rsidR="00874D99" w:rsidRPr="003B4DE8" w:rsidRDefault="00874D99" w:rsidP="00874D9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4D99" w:rsidRDefault="00874D99" w:rsidP="00874D9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szCs w:val="24"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lastRenderedPageBreak/>
              <w:t>Nästa sammanträde äger rum torsdagen den 10 oktober 2019 kl. 10.00.</w:t>
            </w:r>
          </w:p>
        </w:tc>
      </w:tr>
      <w:tr w:rsidR="00874D99" w:rsidTr="00874D99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74D99" w:rsidRDefault="00874D99" w:rsidP="00874D99">
            <w:pPr>
              <w:tabs>
                <w:tab w:val="left" w:pos="1701"/>
              </w:tabs>
              <w:rPr>
                <w:b/>
              </w:rPr>
            </w:pPr>
          </w:p>
          <w:p w:rsidR="00F26F42" w:rsidRDefault="00F26F42" w:rsidP="00874D99">
            <w:pPr>
              <w:tabs>
                <w:tab w:val="left" w:pos="1701"/>
              </w:tabs>
            </w:pPr>
          </w:p>
          <w:p w:rsidR="00874D99" w:rsidRDefault="00874D99" w:rsidP="00874D99">
            <w:pPr>
              <w:tabs>
                <w:tab w:val="left" w:pos="1701"/>
              </w:tabs>
            </w:pPr>
            <w:r>
              <w:t>Vid protokollet</w:t>
            </w:r>
          </w:p>
          <w:p w:rsidR="00874D99" w:rsidRDefault="00874D99" w:rsidP="00874D99">
            <w:pPr>
              <w:tabs>
                <w:tab w:val="left" w:pos="1701"/>
              </w:tabs>
            </w:pPr>
          </w:p>
          <w:p w:rsidR="00874D99" w:rsidRDefault="00874D99" w:rsidP="00874D99">
            <w:pPr>
              <w:tabs>
                <w:tab w:val="left" w:pos="1701"/>
              </w:tabs>
            </w:pPr>
          </w:p>
          <w:p w:rsidR="00874D99" w:rsidRDefault="00874D99" w:rsidP="00874D99">
            <w:pPr>
              <w:tabs>
                <w:tab w:val="left" w:pos="1701"/>
              </w:tabs>
            </w:pPr>
            <w:r>
              <w:t>Jonas Brynhildsen</w:t>
            </w:r>
          </w:p>
          <w:p w:rsidR="00874D99" w:rsidRDefault="00874D99" w:rsidP="00874D99">
            <w:pPr>
              <w:tabs>
                <w:tab w:val="left" w:pos="1701"/>
              </w:tabs>
            </w:pPr>
          </w:p>
          <w:p w:rsidR="00874D99" w:rsidRDefault="00874D99" w:rsidP="00874D99">
            <w:pPr>
              <w:tabs>
                <w:tab w:val="left" w:pos="1701"/>
              </w:tabs>
            </w:pPr>
          </w:p>
          <w:p w:rsidR="00874D99" w:rsidRDefault="00874D99" w:rsidP="00874D99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tors</w:t>
            </w:r>
            <w:r w:rsidRPr="00C56172">
              <w:t xml:space="preserve">dagen </w:t>
            </w:r>
            <w:r>
              <w:t>den 10 oktober 2019</w:t>
            </w:r>
          </w:p>
          <w:p w:rsidR="00874D99" w:rsidRDefault="00874D99" w:rsidP="00874D99">
            <w:pPr>
              <w:tabs>
                <w:tab w:val="left" w:pos="1701"/>
              </w:tabs>
            </w:pPr>
          </w:p>
          <w:p w:rsidR="00874D99" w:rsidRDefault="00874D99" w:rsidP="00874D99">
            <w:pPr>
              <w:tabs>
                <w:tab w:val="left" w:pos="1701"/>
              </w:tabs>
            </w:pPr>
          </w:p>
          <w:p w:rsidR="00874D99" w:rsidRDefault="00874D99" w:rsidP="00874D99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874D99" w:rsidRDefault="00874D99" w:rsidP="00874D99">
            <w:pPr>
              <w:tabs>
                <w:tab w:val="left" w:pos="1701"/>
              </w:tabs>
              <w:rPr>
                <w:b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b/>
              </w:rPr>
            </w:pPr>
          </w:p>
          <w:p w:rsidR="00874D99" w:rsidRDefault="00874D99" w:rsidP="00874D99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7B21AF">
              <w:t>02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6B76C6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B76C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B76C6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6110B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00117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EC27A5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6B76C6" w:rsidP="00F26F42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26F4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26F4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9E1FCA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26F42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26F42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402D5D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Pr="003D41A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F26F4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F26F42" w:rsidRPr="003D41A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F26F42" w:rsidRDefault="00F26F42" w:rsidP="00F26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Pr="007B361A" w:rsidRDefault="00AB2E46" w:rsidP="00D7424D">
      <w:pPr>
        <w:tabs>
          <w:tab w:val="left" w:pos="1276"/>
        </w:tabs>
        <w:ind w:left="-1134" w:firstLine="1134"/>
        <w:rPr>
          <w:lang w:val="en-AU"/>
        </w:rPr>
      </w:pPr>
      <w:bookmarkStart w:id="0" w:name="_GoBack"/>
      <w:bookmarkEnd w:id="0"/>
    </w:p>
    <w:sectPr w:rsidR="00AB2E46" w:rsidRPr="007B361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CA2A2B"/>
    <w:multiLevelType w:val="multilevel"/>
    <w:tmpl w:val="FA1224A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3A8825DB"/>
    <w:multiLevelType w:val="hybridMultilevel"/>
    <w:tmpl w:val="E4180148"/>
    <w:lvl w:ilvl="0" w:tplc="A4888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1F71"/>
    <w:multiLevelType w:val="hybridMultilevel"/>
    <w:tmpl w:val="DAB03524"/>
    <w:lvl w:ilvl="0" w:tplc="A4888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12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4009"/>
    <w:rsid w:val="00135412"/>
    <w:rsid w:val="00143656"/>
    <w:rsid w:val="00161A87"/>
    <w:rsid w:val="001634B9"/>
    <w:rsid w:val="001671DE"/>
    <w:rsid w:val="001712BC"/>
    <w:rsid w:val="001814D5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0FCF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0347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069D9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6C6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9594F"/>
    <w:rsid w:val="007A1350"/>
    <w:rsid w:val="007A2471"/>
    <w:rsid w:val="007B21AF"/>
    <w:rsid w:val="007B32E2"/>
    <w:rsid w:val="007B361A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4D99"/>
    <w:rsid w:val="00876835"/>
    <w:rsid w:val="00886BA6"/>
    <w:rsid w:val="008929D2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0324"/>
    <w:rsid w:val="00985715"/>
    <w:rsid w:val="009A1313"/>
    <w:rsid w:val="009A164A"/>
    <w:rsid w:val="009A1CEC"/>
    <w:rsid w:val="009B52FA"/>
    <w:rsid w:val="009C30AD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1612"/>
    <w:rsid w:val="00B73227"/>
    <w:rsid w:val="00B734EF"/>
    <w:rsid w:val="00BA1F9C"/>
    <w:rsid w:val="00BA404C"/>
    <w:rsid w:val="00BA6939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7424D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B577E"/>
    <w:rsid w:val="00EC27A5"/>
    <w:rsid w:val="00EC418A"/>
    <w:rsid w:val="00EC757C"/>
    <w:rsid w:val="00EE4C8A"/>
    <w:rsid w:val="00EE73D8"/>
    <w:rsid w:val="00F12574"/>
    <w:rsid w:val="00F23954"/>
    <w:rsid w:val="00F26F42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2277C-6F19-45D4-9877-ADA917B6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6</Pages>
  <Words>957</Words>
  <Characters>6679</Characters>
  <Application>Microsoft Office Word</Application>
  <DocSecurity>0</DocSecurity>
  <Lines>445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2019-10-10T12:03:00Z</dcterms:created>
  <dcterms:modified xsi:type="dcterms:W3CDTF">2019-10-10T12:04:00Z</dcterms:modified>
</cp:coreProperties>
</file>