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BC0A27538AD44E9B5CC7943D146A231"/>
        </w:placeholder>
        <w:text/>
      </w:sdtPr>
      <w:sdtEndPr/>
      <w:sdtContent>
        <w:p w:rsidRPr="009B062B" w:rsidR="00AF30DD" w:rsidP="00DA28CE" w:rsidRDefault="00AF30DD" w14:paraId="0775DCC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c5b747a-4afb-4d4d-8a7b-d026e467a6c7"/>
        <w:id w:val="1088737010"/>
        <w:lock w:val="sdtLocked"/>
      </w:sdtPr>
      <w:sdtEndPr/>
      <w:sdtContent>
        <w:p w:rsidR="00716583" w:rsidRDefault="006C1841" w14:paraId="4FA2DEF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dubbelspår på Malmbanan samt att projekt Malmporten bör realiseras,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66519B004D74FA78E03A79194DCF5CF"/>
        </w:placeholder>
        <w:text/>
      </w:sdtPr>
      <w:sdtEndPr/>
      <w:sdtContent>
        <w:p w:rsidRPr="009B062B" w:rsidR="006D79C9" w:rsidP="00333E95" w:rsidRDefault="006D79C9" w14:paraId="36514197" w14:textId="77777777">
          <w:pPr>
            <w:pStyle w:val="Rubrik1"/>
          </w:pPr>
          <w:r>
            <w:t>Motivering</w:t>
          </w:r>
        </w:p>
      </w:sdtContent>
    </w:sdt>
    <w:p w:rsidRPr="004A36D9" w:rsidR="002A06F5" w:rsidP="004A36D9" w:rsidRDefault="002A06F5" w14:paraId="664E01BD" w14:textId="77777777">
      <w:pPr>
        <w:pStyle w:val="Normalutanindragellerluft"/>
      </w:pPr>
      <w:r w:rsidRPr="004A36D9">
        <w:t xml:space="preserve">Malmbanan är vår tyngst trafikerade järnväg och en av Sveriges viktigaste järnvägar för transport av </w:t>
      </w:r>
      <w:r w:rsidRPr="004A36D9" w:rsidR="00981F4D">
        <w:t xml:space="preserve">gods och </w:t>
      </w:r>
      <w:r w:rsidRPr="004A36D9">
        <w:t>människor.</w:t>
      </w:r>
    </w:p>
    <w:p w:rsidRPr="004A36D9" w:rsidR="00422B9E" w:rsidP="004A36D9" w:rsidRDefault="002A06F5" w14:paraId="41DA5FAB" w14:textId="0989B121">
      <w:r w:rsidRPr="004A36D9">
        <w:t xml:space="preserve">Persontåg, godståg och malmtåg kör på den 50 mil långa sträckan mellan Boden och Riksgränsen och vidare till Narvik i Norge. Malmbanan är den enda järnvägen i Sverige som tillåter 30 </w:t>
      </w:r>
      <w:r w:rsidRPr="004A36D9" w:rsidR="00A66689">
        <w:t>tons axellast, vilket innebär 8 </w:t>
      </w:r>
      <w:r w:rsidRPr="004A36D9">
        <w:t>600 ton tunga och 750 meter långa tåg med totalt 68 vagnar. Mellan Kiruna och Narvik går det idag sammanlagt 22 malmtåg per dygn i båda riktningarna</w:t>
      </w:r>
      <w:r w:rsidRPr="004A36D9" w:rsidR="00A66689">
        <w:t>,</w:t>
      </w:r>
      <w:r w:rsidRPr="004A36D9">
        <w:t xml:space="preserve"> och mellan Malmberget och Luleå tio tåg per dygn. Kraven ökar med längre och tyngre tåg på sträckan. </w:t>
      </w:r>
      <w:r w:rsidRPr="004A36D9" w:rsidR="003B222C">
        <w:t xml:space="preserve">För att öka robustheten och minska </w:t>
      </w:r>
      <w:r w:rsidRPr="004A36D9" w:rsidR="003B222C">
        <w:lastRenderedPageBreak/>
        <w:t xml:space="preserve">de dyra stillestånden när malmtrafiken ibland drabbas av avbrott och störningar, är det angeläget att det snarast införs dubbelspår på Malmbanan. </w:t>
      </w:r>
    </w:p>
    <w:p w:rsidRPr="004A36D9" w:rsidR="00BB6339" w:rsidP="004A36D9" w:rsidRDefault="003B222C" w14:paraId="7AC7C5E6" w14:textId="0C518B41">
      <w:r w:rsidRPr="004A36D9">
        <w:t xml:space="preserve">En annan flaskhals i </w:t>
      </w:r>
      <w:r w:rsidRPr="004A36D9" w:rsidR="004D0634">
        <w:t>flödet av produkter</w:t>
      </w:r>
      <w:r w:rsidRPr="004A36D9" w:rsidR="00A66689">
        <w:t xml:space="preserve"> från gruvorna i bl </w:t>
      </w:r>
      <w:r w:rsidRPr="004A36D9">
        <w:t>a Malmfälten är hamn</w:t>
      </w:r>
      <w:r w:rsidR="004A36D9">
        <w:softHyphen/>
      </w:r>
      <w:r w:rsidRPr="004A36D9">
        <w:t>kapaciteten. Luleå hamn är en av EU:s strategiskt viktiga hamnar och för att trans</w:t>
      </w:r>
      <w:r w:rsidR="004A36D9">
        <w:softHyphen/>
      </w:r>
      <w:bookmarkStart w:name="_GoBack" w:id="1"/>
      <w:bookmarkEnd w:id="1"/>
      <w:r w:rsidRPr="004A36D9">
        <w:t xml:space="preserve">portera malmen till stålverk i Europa </w:t>
      </w:r>
      <w:r w:rsidRPr="004A36D9" w:rsidR="00A66689">
        <w:t>och världen</w:t>
      </w:r>
      <w:r w:rsidRPr="004A36D9">
        <w:t xml:space="preserve"> behövs fungerande sjövägar från Luleå och Narvik. Kapaciteten för utskeppning i Luleå hamn behöver därför öka liksom förmågan att ta emot fartyg med hög lastkapacitet</w:t>
      </w:r>
      <w:r w:rsidRPr="004A36D9" w:rsidR="00A66689">
        <w:t>,</w:t>
      </w:r>
      <w:r w:rsidRPr="004A36D9">
        <w:t xml:space="preserve"> och därför är </w:t>
      </w:r>
      <w:r w:rsidRPr="004A36D9" w:rsidR="00A66689">
        <w:t>bl </w:t>
      </w:r>
      <w:r w:rsidRPr="004A36D9" w:rsidR="004D0634">
        <w:t xml:space="preserve">a </w:t>
      </w:r>
      <w:r w:rsidRPr="004A36D9">
        <w:t xml:space="preserve">muddringsåtgärder såväl i farleden i Luleå hamn som i Norra Kvarken nödvändiga. Att Luleå hamn kan ta emot även de största fartygen ger stora nyttor klimatmässigt och samhällsekonomiskt. För att Sverige ska fortsätta att vara </w:t>
      </w:r>
      <w:r w:rsidRPr="004A36D9" w:rsidR="004D0634">
        <w:t>en stark exportör inom gruv- och miner</w:t>
      </w:r>
      <w:r w:rsidRPr="004A36D9" w:rsidR="00A66689">
        <w:t>alnäringen liksom stålindustrin</w:t>
      </w:r>
      <w:r w:rsidRPr="004A36D9" w:rsidR="004D0634">
        <w:t xml:space="preserve"> är det därför mycket angeläget att investeringar i dubbelspår på Malmbanan liksom projektet Malmporten realiseras.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436AF04C824B9B965EF8E6F898066D"/>
        </w:placeholder>
      </w:sdtPr>
      <w:sdtEndPr>
        <w:rPr>
          <w:i w:val="0"/>
          <w:noProof w:val="0"/>
        </w:rPr>
      </w:sdtEndPr>
      <w:sdtContent>
        <w:p w:rsidR="004F3907" w:rsidP="004F3F49" w:rsidRDefault="004F3907" w14:paraId="5D00095B" w14:textId="77777777"/>
        <w:p w:rsidRPr="008E0FE2" w:rsidR="004801AC" w:rsidP="004F3F49" w:rsidRDefault="004A36D9" w14:paraId="6573CB3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Linda Ylivainio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Lindahl (C)</w:t>
            </w:r>
          </w:p>
        </w:tc>
      </w:tr>
    </w:tbl>
    <w:p w:rsidR="00FF422B" w:rsidRDefault="00FF422B" w14:paraId="7C817739" w14:textId="77777777"/>
    <w:sectPr w:rsidR="00FF422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4F458" w14:textId="77777777" w:rsidR="00B679D5" w:rsidRDefault="00B679D5" w:rsidP="000C1CAD">
      <w:pPr>
        <w:spacing w:line="240" w:lineRule="auto"/>
      </w:pPr>
      <w:r>
        <w:separator/>
      </w:r>
    </w:p>
  </w:endnote>
  <w:endnote w:type="continuationSeparator" w:id="0">
    <w:p w14:paraId="5A26867C" w14:textId="77777777" w:rsidR="00B679D5" w:rsidRDefault="00B679D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0B2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04DF" w14:textId="39B9CB2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A36D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421B3" w14:textId="77777777" w:rsidR="00B679D5" w:rsidRDefault="00B679D5" w:rsidP="000C1CAD">
      <w:pPr>
        <w:spacing w:line="240" w:lineRule="auto"/>
      </w:pPr>
      <w:r>
        <w:separator/>
      </w:r>
    </w:p>
  </w:footnote>
  <w:footnote w:type="continuationSeparator" w:id="0">
    <w:p w14:paraId="03BB021B" w14:textId="77777777" w:rsidR="00B679D5" w:rsidRDefault="00B679D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6A1998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07F3E6" wp14:anchorId="7C2E308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A36D9" w14:paraId="0D9C2BA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90B7638E4A54F5D9559ED34BB75FC03"/>
                              </w:placeholder>
                              <w:text/>
                            </w:sdtPr>
                            <w:sdtEndPr/>
                            <w:sdtContent>
                              <w:r w:rsidR="002A06F5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010CEA5E6E4AD984A5DBD336CDC90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2E308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A36D9" w14:paraId="0D9C2BA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90B7638E4A54F5D9559ED34BB75FC03"/>
                        </w:placeholder>
                        <w:text/>
                      </w:sdtPr>
                      <w:sdtEndPr/>
                      <w:sdtContent>
                        <w:r w:rsidR="002A06F5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010CEA5E6E4AD984A5DBD336CDC90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8BB3C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5D562E2" w14:textId="77777777">
    <w:pPr>
      <w:jc w:val="right"/>
    </w:pPr>
  </w:p>
  <w:p w:rsidR="00262EA3" w:rsidP="00776B74" w:rsidRDefault="00262EA3" w14:paraId="163F77C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4A36D9" w14:paraId="230050A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A0359E3" wp14:anchorId="33247E0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A36D9" w14:paraId="5E23B38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06F5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A36D9" w14:paraId="1AABCC4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A36D9" w14:paraId="4BC80E5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:2221</w:t>
        </w:r>
      </w:sdtContent>
    </w:sdt>
  </w:p>
  <w:p w:rsidR="00262EA3" w:rsidP="00E03A3D" w:rsidRDefault="004A36D9" w14:paraId="54DAFDF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Linda Ylivainio och Helena Lindahl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A06F5" w14:paraId="704CD453" w14:textId="77777777">
        <w:pPr>
          <w:pStyle w:val="FSHRub2"/>
        </w:pPr>
        <w:r>
          <w:t>Förbättrad infrastruktur för den norrbottniska gruvnäringen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E7A62D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2A06F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7E0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6F5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1241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22C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6D9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634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907"/>
    <w:rsid w:val="004F3F49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17A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C95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1841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583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122F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49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5E1A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6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1F4D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689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9D5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C69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92B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2B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28C3BD"/>
  <w15:chartTrackingRefBased/>
  <w15:docId w15:val="{1B2BD38E-37C3-4015-B4D0-51B6A930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448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C0A27538AD44E9B5CC7943D146A2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AC3EC9-323D-457B-88F1-EE960336EF8F}"/>
      </w:docPartPr>
      <w:docPartBody>
        <w:p w:rsidR="00885B69" w:rsidRDefault="00967ED1">
          <w:pPr>
            <w:pStyle w:val="1BC0A27538AD44E9B5CC7943D146A23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66519B004D74FA78E03A79194DCF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6BDE71-7103-4BF8-956A-164CFB6602A1}"/>
      </w:docPartPr>
      <w:docPartBody>
        <w:p w:rsidR="00885B69" w:rsidRDefault="00967ED1">
          <w:pPr>
            <w:pStyle w:val="066519B004D74FA78E03A79194DCF5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90B7638E4A54F5D9559ED34BB75FC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B953E-BA7B-420A-80F2-6F84076D5EC8}"/>
      </w:docPartPr>
      <w:docPartBody>
        <w:p w:rsidR="00885B69" w:rsidRDefault="00967ED1">
          <w:pPr>
            <w:pStyle w:val="190B7638E4A54F5D9559ED34BB75FC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010CEA5E6E4AD984A5DBD336CDC9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257BB-8B13-4CDF-9E04-C9553411EB04}"/>
      </w:docPartPr>
      <w:docPartBody>
        <w:p w:rsidR="00885B69" w:rsidRDefault="00967ED1">
          <w:pPr>
            <w:pStyle w:val="7C010CEA5E6E4AD984A5DBD336CDC90D"/>
          </w:pPr>
          <w:r>
            <w:t xml:space="preserve"> </w:t>
          </w:r>
        </w:p>
      </w:docPartBody>
    </w:docPart>
    <w:docPart>
      <w:docPartPr>
        <w:name w:val="66436AF04C824B9B965EF8E6F8980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FC371E-2775-43AC-BDC1-907D4C4C694E}"/>
      </w:docPartPr>
      <w:docPartBody>
        <w:p w:rsidR="002F61DE" w:rsidRDefault="002F61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D1"/>
    <w:rsid w:val="002F61DE"/>
    <w:rsid w:val="00360AD0"/>
    <w:rsid w:val="00885B69"/>
    <w:rsid w:val="00967ED1"/>
    <w:rsid w:val="00B14867"/>
    <w:rsid w:val="00CD5629"/>
    <w:rsid w:val="00E7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BC0A27538AD44E9B5CC7943D146A231">
    <w:name w:val="1BC0A27538AD44E9B5CC7943D146A231"/>
  </w:style>
  <w:style w:type="paragraph" w:customStyle="1" w:styleId="D9BE405E180148BA9F39EB810A9C5FB8">
    <w:name w:val="D9BE405E180148BA9F39EB810A9C5FB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82D5F479FD04587AFE02631A37CA71E">
    <w:name w:val="B82D5F479FD04587AFE02631A37CA71E"/>
  </w:style>
  <w:style w:type="paragraph" w:customStyle="1" w:styleId="066519B004D74FA78E03A79194DCF5CF">
    <w:name w:val="066519B004D74FA78E03A79194DCF5CF"/>
  </w:style>
  <w:style w:type="paragraph" w:customStyle="1" w:styleId="1ACD8BC0A24443B8AD6CC62B9AA57E37">
    <w:name w:val="1ACD8BC0A24443B8AD6CC62B9AA57E37"/>
  </w:style>
  <w:style w:type="paragraph" w:customStyle="1" w:styleId="3DF6A9CB52FC4DDA9C77E7604F8604F3">
    <w:name w:val="3DF6A9CB52FC4DDA9C77E7604F8604F3"/>
  </w:style>
  <w:style w:type="paragraph" w:customStyle="1" w:styleId="190B7638E4A54F5D9559ED34BB75FC03">
    <w:name w:val="190B7638E4A54F5D9559ED34BB75FC03"/>
  </w:style>
  <w:style w:type="paragraph" w:customStyle="1" w:styleId="7C010CEA5E6E4AD984A5DBD336CDC90D">
    <w:name w:val="7C010CEA5E6E4AD984A5DBD336CDC9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AFE28C-B39C-4410-9292-7F3D7B5B2870}"/>
</file>

<file path=customXml/itemProps2.xml><?xml version="1.0" encoding="utf-8"?>
<ds:datastoreItem xmlns:ds="http://schemas.openxmlformats.org/officeDocument/2006/customXml" ds:itemID="{91D52CDC-E813-4B45-A326-E9E0F48304AC}"/>
</file>

<file path=customXml/itemProps3.xml><?xml version="1.0" encoding="utf-8"?>
<ds:datastoreItem xmlns:ds="http://schemas.openxmlformats.org/officeDocument/2006/customXml" ds:itemID="{9B692F6E-9064-44D5-BF86-2F88BCBB96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1569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Förbättrad infrastruktur för den norrbottniska gruvnäringen</vt:lpstr>
      <vt:lpstr>
      </vt:lpstr>
    </vt:vector>
  </TitlesOfParts>
  <Company>Sveriges riksdag</Company>
  <LinksUpToDate>false</LinksUpToDate>
  <CharactersWithSpaces>1849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