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C2A1C" w:rsidTr="002703D8">
        <w:tblPrEx>
          <w:tblCellMar>
            <w:top w:w="0" w:type="dxa"/>
            <w:bottom w:w="0" w:type="dxa"/>
          </w:tblCellMar>
        </w:tblPrEx>
        <w:tc>
          <w:tcPr>
            <w:tcW w:w="2268" w:type="dxa"/>
          </w:tcPr>
          <w:p w:rsidR="006E4E11" w:rsidRPr="006C2A1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C2A1C" w:rsidRDefault="006E4E11" w:rsidP="007242A3">
            <w:pPr>
              <w:framePr w:w="5035" w:h="1644" w:wrap="notBeside" w:vAnchor="page" w:hAnchor="page" w:x="6573" w:y="721"/>
              <w:rPr>
                <w:rFonts w:ascii="TradeGothic" w:hAnsi="TradeGothic"/>
                <w:i/>
                <w:sz w:val="18"/>
              </w:rPr>
            </w:pPr>
          </w:p>
        </w:tc>
      </w:tr>
      <w:tr w:rsidR="002703D8" w:rsidRPr="006C2A1C" w:rsidTr="002703D8">
        <w:tblPrEx>
          <w:tblCellMar>
            <w:top w:w="0" w:type="dxa"/>
            <w:bottom w:w="0" w:type="dxa"/>
          </w:tblCellMar>
        </w:tblPrEx>
        <w:tc>
          <w:tcPr>
            <w:tcW w:w="5267" w:type="dxa"/>
            <w:gridSpan w:val="3"/>
          </w:tcPr>
          <w:p w:rsidR="002703D8" w:rsidRPr="006C2A1C" w:rsidRDefault="002703D8" w:rsidP="007242A3">
            <w:pPr>
              <w:framePr w:w="5035" w:h="1644" w:wrap="notBeside" w:vAnchor="page" w:hAnchor="page" w:x="6573" w:y="721"/>
              <w:rPr>
                <w:rFonts w:ascii="TradeGothic" w:hAnsi="TradeGothic"/>
                <w:b/>
                <w:sz w:val="22"/>
              </w:rPr>
            </w:pPr>
            <w:r w:rsidRPr="006C2A1C">
              <w:rPr>
                <w:rFonts w:ascii="TradeGothic" w:hAnsi="TradeGothic"/>
                <w:b/>
                <w:sz w:val="22"/>
              </w:rPr>
              <w:t>Kommenterad dagordning</w:t>
            </w:r>
          </w:p>
        </w:tc>
      </w:tr>
      <w:tr w:rsidR="006E4E11" w:rsidRPr="006C2A1C" w:rsidTr="002703D8">
        <w:tblPrEx>
          <w:tblCellMar>
            <w:top w:w="0" w:type="dxa"/>
            <w:bottom w:w="0" w:type="dxa"/>
          </w:tblCellMar>
        </w:tblPrEx>
        <w:tc>
          <w:tcPr>
            <w:tcW w:w="3402" w:type="dxa"/>
            <w:gridSpan w:val="2"/>
          </w:tcPr>
          <w:p w:rsidR="006E4E11" w:rsidRPr="006C2A1C" w:rsidRDefault="002703D8" w:rsidP="007242A3">
            <w:pPr>
              <w:framePr w:w="5035" w:h="1644" w:wrap="notBeside" w:vAnchor="page" w:hAnchor="page" w:x="6573" w:y="721"/>
              <w:rPr>
                <w:rFonts w:ascii="TradeGothic" w:hAnsi="TradeGothic"/>
                <w:b/>
                <w:sz w:val="22"/>
              </w:rPr>
            </w:pPr>
            <w:r w:rsidRPr="006C2A1C">
              <w:rPr>
                <w:rFonts w:ascii="TradeGothic" w:hAnsi="TradeGothic"/>
                <w:b/>
                <w:sz w:val="22"/>
              </w:rPr>
              <w:t>rådet</w:t>
            </w:r>
          </w:p>
        </w:tc>
        <w:tc>
          <w:tcPr>
            <w:tcW w:w="1865" w:type="dxa"/>
          </w:tcPr>
          <w:p w:rsidR="006E4E11" w:rsidRPr="006C2A1C" w:rsidRDefault="006E4E11" w:rsidP="007242A3">
            <w:pPr>
              <w:framePr w:w="5035" w:h="1644" w:wrap="notBeside" w:vAnchor="page" w:hAnchor="page" w:x="6573" w:y="721"/>
            </w:pPr>
          </w:p>
        </w:tc>
      </w:tr>
      <w:tr w:rsidR="006E4E11" w:rsidRPr="006C2A1C" w:rsidTr="002703D8">
        <w:tblPrEx>
          <w:tblCellMar>
            <w:top w:w="0" w:type="dxa"/>
            <w:bottom w:w="0" w:type="dxa"/>
          </w:tblCellMar>
        </w:tblPrEx>
        <w:tc>
          <w:tcPr>
            <w:tcW w:w="2268" w:type="dxa"/>
          </w:tcPr>
          <w:p w:rsidR="006E4E11" w:rsidRPr="006C2A1C" w:rsidRDefault="00F378CF" w:rsidP="007242A3">
            <w:pPr>
              <w:framePr w:w="5035" w:h="1644" w:wrap="notBeside" w:vAnchor="page" w:hAnchor="page" w:x="6573" w:y="721"/>
            </w:pPr>
            <w:r w:rsidRPr="006C2A1C">
              <w:t>2012-02-01</w:t>
            </w:r>
          </w:p>
        </w:tc>
        <w:tc>
          <w:tcPr>
            <w:tcW w:w="2999" w:type="dxa"/>
            <w:gridSpan w:val="2"/>
          </w:tcPr>
          <w:p w:rsidR="006E4E11" w:rsidRPr="006C2A1C" w:rsidRDefault="006E4E11" w:rsidP="007242A3">
            <w:pPr>
              <w:framePr w:w="5035" w:h="1644" w:wrap="notBeside" w:vAnchor="page" w:hAnchor="page" w:x="6573" w:y="721"/>
              <w:rPr>
                <w:sz w:val="20"/>
              </w:rPr>
            </w:pPr>
          </w:p>
        </w:tc>
      </w:tr>
      <w:tr w:rsidR="006E4E11" w:rsidRPr="006C2A1C" w:rsidTr="002703D8">
        <w:tblPrEx>
          <w:tblCellMar>
            <w:top w:w="0" w:type="dxa"/>
            <w:bottom w:w="0" w:type="dxa"/>
          </w:tblCellMar>
        </w:tblPrEx>
        <w:tc>
          <w:tcPr>
            <w:tcW w:w="2268" w:type="dxa"/>
          </w:tcPr>
          <w:p w:rsidR="006E4E11" w:rsidRPr="006C2A1C" w:rsidRDefault="006E4E11" w:rsidP="007242A3">
            <w:pPr>
              <w:framePr w:w="5035" w:h="1644" w:wrap="notBeside" w:vAnchor="page" w:hAnchor="page" w:x="6573" w:y="721"/>
            </w:pPr>
          </w:p>
        </w:tc>
        <w:tc>
          <w:tcPr>
            <w:tcW w:w="2999" w:type="dxa"/>
            <w:gridSpan w:val="2"/>
          </w:tcPr>
          <w:p w:rsidR="006E4E11" w:rsidRPr="006C2A1C" w:rsidRDefault="006E4E11" w:rsidP="007242A3">
            <w:pPr>
              <w:framePr w:w="5035" w:h="1644" w:wrap="notBeside" w:vAnchor="page" w:hAnchor="page" w:x="6573" w:y="721"/>
            </w:pPr>
          </w:p>
        </w:tc>
      </w:tr>
    </w:tbl>
    <w:p w:rsidR="00132563" w:rsidRPr="006C2A1C" w:rsidRDefault="00132563" w:rsidP="00132563">
      <w:pPr>
        <w:rPr>
          <w:vanish/>
        </w:rPr>
      </w:pPr>
    </w:p>
    <w:tbl>
      <w:tblPr>
        <w:tblW w:w="0" w:type="auto"/>
        <w:tblLayout w:type="fixed"/>
        <w:tblLook w:val="0000" w:firstRow="0" w:lastRow="0" w:firstColumn="0" w:lastColumn="0" w:noHBand="0" w:noVBand="0"/>
      </w:tblPr>
      <w:tblGrid>
        <w:gridCol w:w="4911"/>
      </w:tblGrid>
      <w:tr w:rsidR="006E4E11" w:rsidRPr="006C2A1C">
        <w:tblPrEx>
          <w:tblCellMar>
            <w:top w:w="0" w:type="dxa"/>
            <w:bottom w:w="0" w:type="dxa"/>
          </w:tblCellMar>
        </w:tblPrEx>
        <w:trPr>
          <w:trHeight w:val="284"/>
        </w:trPr>
        <w:tc>
          <w:tcPr>
            <w:tcW w:w="4911" w:type="dxa"/>
          </w:tcPr>
          <w:p w:rsidR="006E4E11" w:rsidRPr="006C2A1C" w:rsidRDefault="002703D8">
            <w:pPr>
              <w:pStyle w:val="Avsndare"/>
              <w:framePr w:h="2483" w:wrap="notBeside" w:x="1504"/>
              <w:rPr>
                <w:b/>
                <w:i w:val="0"/>
                <w:sz w:val="22"/>
              </w:rPr>
            </w:pPr>
            <w:r w:rsidRPr="006C2A1C">
              <w:rPr>
                <w:b/>
                <w:i w:val="0"/>
                <w:sz w:val="22"/>
              </w:rPr>
              <w:t>Näringsdepartementet</w:t>
            </w: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r w:rsidR="006E4E11" w:rsidRPr="006C2A1C">
        <w:tblPrEx>
          <w:tblCellMar>
            <w:top w:w="0" w:type="dxa"/>
            <w:bottom w:w="0" w:type="dxa"/>
          </w:tblCellMar>
        </w:tblPrEx>
        <w:trPr>
          <w:trHeight w:val="284"/>
        </w:trPr>
        <w:tc>
          <w:tcPr>
            <w:tcW w:w="4911" w:type="dxa"/>
          </w:tcPr>
          <w:p w:rsidR="006E4E11" w:rsidRPr="006C2A1C" w:rsidRDefault="002703D8">
            <w:pPr>
              <w:pStyle w:val="Avsndare"/>
              <w:framePr w:h="2483" w:wrap="notBeside" w:x="1504"/>
              <w:rPr>
                <w:bCs/>
                <w:iCs/>
              </w:rPr>
            </w:pPr>
            <w:r w:rsidRPr="006C2A1C">
              <w:rPr>
                <w:bCs/>
                <w:iCs/>
              </w:rPr>
              <w:t>Entreprenörskap</w:t>
            </w: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r w:rsidR="006E4E11" w:rsidRPr="006C2A1C">
        <w:tblPrEx>
          <w:tblCellMar>
            <w:top w:w="0" w:type="dxa"/>
            <w:bottom w:w="0" w:type="dxa"/>
          </w:tblCellMar>
        </w:tblPrEx>
        <w:trPr>
          <w:trHeight w:val="284"/>
        </w:trPr>
        <w:tc>
          <w:tcPr>
            <w:tcW w:w="4911" w:type="dxa"/>
          </w:tcPr>
          <w:p w:rsidR="006E4E11" w:rsidRPr="006C2A1C" w:rsidRDefault="006E4E11">
            <w:pPr>
              <w:pStyle w:val="Avsndare"/>
              <w:framePr w:h="2483" w:wrap="notBeside" w:x="1504"/>
              <w:rPr>
                <w:bCs/>
                <w:iCs/>
              </w:rPr>
            </w:pPr>
          </w:p>
        </w:tc>
      </w:tr>
    </w:tbl>
    <w:p w:rsidR="006E4E11" w:rsidRPr="006C2A1C" w:rsidRDefault="006E4E11">
      <w:pPr>
        <w:framePr w:w="4400" w:h="2523" w:wrap="notBeside" w:vAnchor="page" w:hAnchor="page" w:x="6453" w:y="2445"/>
        <w:ind w:left="142"/>
        <w:rPr>
          <w:b/>
        </w:rPr>
      </w:pPr>
    </w:p>
    <w:p w:rsidR="00D47C32" w:rsidRPr="006C2A1C" w:rsidRDefault="00D47C32" w:rsidP="00D47C32">
      <w:pPr>
        <w:pStyle w:val="RKrubrik"/>
        <w:pBdr>
          <w:bottom w:val="single" w:sz="6" w:space="1" w:color="auto"/>
        </w:pBdr>
      </w:pPr>
      <w:bookmarkStart w:id="0" w:name="bRubrik"/>
      <w:bookmarkEnd w:id="0"/>
      <w:r w:rsidRPr="006C2A1C">
        <w:t xml:space="preserve">Konkurrenskraftsrådet den </w:t>
      </w:r>
      <w:r w:rsidR="00F378CF" w:rsidRPr="006C2A1C">
        <w:t>20 februari</w:t>
      </w:r>
      <w:r w:rsidRPr="006C2A1C">
        <w:t xml:space="preserve"> 2011</w:t>
      </w:r>
    </w:p>
    <w:p w:rsidR="007175BC" w:rsidRPr="006C2A1C" w:rsidRDefault="002703D8" w:rsidP="007175BC">
      <w:pPr>
        <w:pStyle w:val="RKrubrik"/>
      </w:pPr>
      <w:r w:rsidRPr="006C2A1C">
        <w:t>Kommenterad dagordning</w:t>
      </w:r>
      <w:r w:rsidR="007175BC" w:rsidRPr="006C2A1C">
        <w:t xml:space="preserve"> inför samråd med EU-nämnden och information till Näringsutskottet</w:t>
      </w:r>
    </w:p>
    <w:p w:rsidR="00F91A7A" w:rsidRPr="006C2A1C" w:rsidRDefault="00644546" w:rsidP="00F91A7A">
      <w:pPr>
        <w:spacing w:line="240" w:lineRule="auto"/>
        <w:ind w:left="567" w:hanging="567"/>
        <w:jc w:val="both"/>
        <w:rPr>
          <w:b/>
          <w:bCs/>
          <w:color w:val="000000"/>
        </w:rPr>
      </w:pPr>
      <w:r w:rsidRPr="006C2A1C">
        <w:rPr>
          <w:b/>
          <w:iCs/>
        </w:rPr>
        <w:t>2.</w:t>
      </w:r>
      <w:r w:rsidRPr="006C2A1C">
        <w:rPr>
          <w:b/>
          <w:iCs/>
        </w:rPr>
        <w:tab/>
      </w:r>
      <w:r w:rsidR="00E20C2C" w:rsidRPr="006C2A1C">
        <w:rPr>
          <w:b/>
          <w:bCs/>
          <w:color w:val="000000"/>
        </w:rPr>
        <w:t>Europa 2020 st</w:t>
      </w:r>
      <w:r w:rsidRPr="006C2A1C">
        <w:rPr>
          <w:b/>
          <w:bCs/>
          <w:color w:val="000000"/>
        </w:rPr>
        <w:t>r</w:t>
      </w:r>
      <w:r w:rsidR="00E20C2C" w:rsidRPr="006C2A1C">
        <w:rPr>
          <w:b/>
          <w:bCs/>
          <w:color w:val="000000"/>
        </w:rPr>
        <w:t>ategin</w:t>
      </w:r>
    </w:p>
    <w:p w:rsidR="00F91A7A" w:rsidRPr="006C2A1C" w:rsidRDefault="00F91A7A" w:rsidP="00F91A7A">
      <w:pPr>
        <w:spacing w:line="240" w:lineRule="auto"/>
        <w:ind w:left="567" w:hanging="567"/>
        <w:jc w:val="both"/>
        <w:rPr>
          <w:i/>
          <w:color w:val="000000"/>
        </w:rPr>
      </w:pPr>
    </w:p>
    <w:p w:rsidR="00644546" w:rsidRPr="006C2A1C" w:rsidRDefault="00E20C2C" w:rsidP="00F91A7A">
      <w:pPr>
        <w:spacing w:line="240" w:lineRule="auto"/>
        <w:ind w:left="567" w:hanging="567"/>
        <w:jc w:val="both"/>
        <w:rPr>
          <w:i/>
          <w:iCs/>
        </w:rPr>
      </w:pPr>
      <w:r w:rsidRPr="006C2A1C">
        <w:rPr>
          <w:i/>
          <w:color w:val="000000"/>
        </w:rPr>
        <w:t>-</w:t>
      </w:r>
      <w:r w:rsidRPr="006C2A1C">
        <w:rPr>
          <w:i/>
          <w:color w:val="000000"/>
        </w:rPr>
        <w:tab/>
        <w:t>Policydebatt (inre marknad och industri</w:t>
      </w:r>
      <w:r w:rsidR="00644546" w:rsidRPr="006C2A1C">
        <w:rPr>
          <w:i/>
          <w:color w:val="000000"/>
        </w:rPr>
        <w:t>)</w:t>
      </w:r>
      <w:r w:rsidR="00644546" w:rsidRPr="006C2A1C">
        <w:rPr>
          <w:i/>
          <w:iCs/>
        </w:rPr>
        <w:t xml:space="preserve"> </w:t>
      </w:r>
    </w:p>
    <w:p w:rsidR="00644546" w:rsidRPr="006C2A1C" w:rsidRDefault="00644546" w:rsidP="00644546">
      <w:pPr>
        <w:spacing w:line="240" w:lineRule="auto"/>
        <w:ind w:left="-567"/>
      </w:pPr>
    </w:p>
    <w:p w:rsidR="00F91A7A" w:rsidRPr="006C2A1C" w:rsidRDefault="00F91A7A" w:rsidP="00F91A7A">
      <w:pPr>
        <w:pStyle w:val="RKnormal"/>
      </w:pPr>
      <w:r w:rsidRPr="006C2A1C">
        <w:t>Ansvarigt statsråd</w:t>
      </w:r>
    </w:p>
    <w:p w:rsidR="00F91A7A" w:rsidRPr="006C2A1C" w:rsidRDefault="00F91A7A" w:rsidP="00F91A7A">
      <w:pPr>
        <w:pStyle w:val="RKnormal"/>
      </w:pPr>
      <w:r w:rsidRPr="006C2A1C">
        <w:t>Annie Lööf</w:t>
      </w:r>
    </w:p>
    <w:p w:rsidR="00A82BF2" w:rsidRPr="006C2A1C" w:rsidRDefault="00A82BF2" w:rsidP="00F91A7A">
      <w:pPr>
        <w:pStyle w:val="RKnormal"/>
      </w:pPr>
    </w:p>
    <w:p w:rsidR="00C70D70" w:rsidRPr="006C2A1C" w:rsidRDefault="00C70D70" w:rsidP="00C70D70">
      <w:pPr>
        <w:pStyle w:val="RKnormal"/>
      </w:pPr>
      <w:r w:rsidRPr="006C2A1C">
        <w:t xml:space="preserve">Den europeiska terminen utgör från och med januari 2011 EU:s årscykel för granskning och närmare samordning av medlemsstaternas ekonomiska politik och sysselsättningspolitik. Den 23 november presenterade kommissionen sin årliga tillväxtrapport för 2012 som anger förslag till övergripande prioriteringar för den ekonomiska och sysselsättningspolitiken för de kommande 12 månaderna inom ramen för den andra europeiska terminen. </w:t>
      </w:r>
    </w:p>
    <w:p w:rsidR="00C70D70" w:rsidRPr="006C2A1C" w:rsidRDefault="00C70D70" w:rsidP="00C70D70">
      <w:pPr>
        <w:pStyle w:val="RKnormal"/>
      </w:pPr>
    </w:p>
    <w:p w:rsidR="00C70D70" w:rsidRPr="006C2A1C" w:rsidRDefault="00C70D70" w:rsidP="00C70D70">
      <w:pPr>
        <w:pStyle w:val="RKnormal"/>
      </w:pPr>
      <w:r w:rsidRPr="006C2A1C">
        <w:t>Rapporten utgör ett underlag för rådets diskussioner inför Europeiska rådets vårtoppmöte den 1-2 mars 2012, då stats- och regeringscheferna ska lämna vägledning inför medlemsstaternas rapportering inom Europa 2020-strategin och stabilitets- och tillväxtpakten.</w:t>
      </w:r>
    </w:p>
    <w:p w:rsidR="00C70D70" w:rsidRPr="006C2A1C" w:rsidRDefault="00C70D70" w:rsidP="00C70D70">
      <w:pPr>
        <w:pStyle w:val="RKnormal"/>
      </w:pPr>
    </w:p>
    <w:p w:rsidR="00C70D70" w:rsidRPr="006C2A1C" w:rsidRDefault="00C70D70" w:rsidP="00C70D70">
      <w:pPr>
        <w:pStyle w:val="RKnormal"/>
      </w:pPr>
      <w:r w:rsidRPr="006C2A1C">
        <w:t xml:space="preserve">Rapporten har även behandlats inom Allmänna rådet, EPSCO och TTE och ska behandlas i EKOFIN den 21 februari. Rapporten diskuteras också på forskningsministrarnas del av KKR (dp 10). </w:t>
      </w:r>
    </w:p>
    <w:p w:rsidR="00C70D70" w:rsidRPr="006C2A1C" w:rsidRDefault="00C70D70" w:rsidP="00C70D70">
      <w:pPr>
        <w:pStyle w:val="RKnormal"/>
      </w:pPr>
    </w:p>
    <w:p w:rsidR="00C70D70" w:rsidRPr="006C2A1C" w:rsidRDefault="00C70D70" w:rsidP="00C70D70">
      <w:pPr>
        <w:pStyle w:val="RKnormal"/>
      </w:pPr>
      <w:r w:rsidRPr="006C2A1C">
        <w:t>Ordförandeskapet har skickat ut ett så kallat ”icke-papper” med den engelska titeln ”Presidency non-paper - Competitiveness Council and the Annual Growth Survey 2012” som ska utgöra diskussionsunderlag</w:t>
      </w:r>
      <w:r w:rsidR="002843AB" w:rsidRPr="006C2A1C">
        <w:t xml:space="preserve"> </w:t>
      </w:r>
      <w:r w:rsidRPr="006C2A1C">
        <w:t xml:space="preserve">för ministrarna med ansvar för industri och inre marknad på Konkurrenskraftrådet. </w:t>
      </w:r>
    </w:p>
    <w:p w:rsidR="00C70D70" w:rsidRPr="006C2A1C" w:rsidRDefault="00C70D70" w:rsidP="00C70D70">
      <w:pPr>
        <w:pStyle w:val="RKnormal"/>
      </w:pPr>
    </w:p>
    <w:p w:rsidR="00C70D70" w:rsidRPr="006C2A1C" w:rsidRDefault="00C70D70" w:rsidP="00C70D70">
      <w:pPr>
        <w:pStyle w:val="RKnormal"/>
        <w:rPr>
          <w:u w:val="single"/>
        </w:rPr>
      </w:pPr>
      <w:r w:rsidRPr="006C2A1C">
        <w:rPr>
          <w:u w:val="single"/>
        </w:rPr>
        <w:t xml:space="preserve">Förslag till svensk ståndpunkt: </w:t>
      </w:r>
    </w:p>
    <w:p w:rsidR="00C70D70" w:rsidRPr="006C2A1C" w:rsidRDefault="00C70D70" w:rsidP="00C70D70">
      <w:pPr>
        <w:pStyle w:val="RKnormal"/>
      </w:pPr>
      <w:r w:rsidRPr="006C2A1C">
        <w:t xml:space="preserve">Regeringen föreslås, som den tidigare gjort vid flera tillfällen, välkomna tillväxtrapporten i stort och stödja dess övergripande budskapen om vikten av att genomföra vad som redan överenskommits inom ramen för den första </w:t>
      </w:r>
      <w:r w:rsidRPr="006C2A1C">
        <w:lastRenderedPageBreak/>
        <w:t>europeiska terminen och det nya lagstiftningspaketet för ekonomisk styrning.</w:t>
      </w:r>
    </w:p>
    <w:p w:rsidR="002843AB" w:rsidRPr="006C2A1C" w:rsidRDefault="002843AB" w:rsidP="00C70D70">
      <w:pPr>
        <w:pStyle w:val="RKnormal"/>
      </w:pPr>
    </w:p>
    <w:p w:rsidR="00C70D70" w:rsidRPr="006C2A1C" w:rsidRDefault="00C70D70" w:rsidP="00C70D70">
      <w:pPr>
        <w:pStyle w:val="RKnormal"/>
      </w:pPr>
      <w:r w:rsidRPr="006C2A1C">
        <w:t xml:space="preserve">Vad gäller de åtgärder som nämns i ordförandeskapets icke-papper så föreslås regeringen ställa sig bakom dessa och särskilt stödja ett skyndsamt genomförande av tillväxtfrämjande åtgärder i inremarknadsakten (Single Market Act) med fokus på etablerandet av en digital inre marknad, fullbordandet av en inre marknad för tjänster, öppen handel och konkurrensneutralitet, samt formuleringen om tillväxtmöjligheter i innovativa lösningar som främjar omställningen till en grön ekonomi.  </w:t>
      </w:r>
    </w:p>
    <w:p w:rsidR="00054FA8" w:rsidRPr="006C2A1C" w:rsidRDefault="00054FA8" w:rsidP="00644546">
      <w:pPr>
        <w:rPr>
          <w:szCs w:val="24"/>
        </w:rPr>
      </w:pPr>
    </w:p>
    <w:p w:rsidR="00644546" w:rsidRPr="006C2A1C" w:rsidRDefault="00644546" w:rsidP="00644546">
      <w:pPr>
        <w:rPr>
          <w:szCs w:val="24"/>
        </w:rPr>
      </w:pPr>
    </w:p>
    <w:p w:rsidR="00054FA8" w:rsidRPr="006C2A1C" w:rsidRDefault="00054FA8" w:rsidP="00054FA8">
      <w:pPr>
        <w:spacing w:line="240" w:lineRule="auto"/>
        <w:ind w:left="567" w:hanging="567"/>
        <w:jc w:val="both"/>
        <w:rPr>
          <w:b/>
          <w:bCs/>
          <w:color w:val="000000"/>
        </w:rPr>
      </w:pPr>
      <w:r w:rsidRPr="006C2A1C">
        <w:rPr>
          <w:b/>
          <w:bCs/>
          <w:color w:val="000000"/>
        </w:rPr>
        <w:t>5. Förslag till Europaparlamentets och rådets direktiv om offentlig upphandling.</w:t>
      </w:r>
      <w:r w:rsidR="00F91A7A" w:rsidRPr="006C2A1C">
        <w:rPr>
          <w:b/>
          <w:bCs/>
          <w:color w:val="000000"/>
        </w:rPr>
        <w:t xml:space="preserve"> </w:t>
      </w:r>
    </w:p>
    <w:p w:rsidR="00054FA8" w:rsidRPr="006C2A1C" w:rsidRDefault="00054FA8" w:rsidP="00054FA8">
      <w:pPr>
        <w:spacing w:line="240" w:lineRule="auto"/>
        <w:ind w:left="1134" w:hanging="567"/>
        <w:outlineLvl w:val="0"/>
        <w:rPr>
          <w:i/>
        </w:rPr>
      </w:pPr>
      <w:r w:rsidRPr="006C2A1C">
        <w:rPr>
          <w:i/>
          <w:color w:val="000000"/>
        </w:rPr>
        <w:t>- Riktlinjedebatt</w:t>
      </w:r>
    </w:p>
    <w:p w:rsidR="00054FA8" w:rsidRPr="006C2A1C" w:rsidRDefault="00054FA8" w:rsidP="00054FA8">
      <w:pPr>
        <w:pStyle w:val="RKnormal"/>
        <w:rPr>
          <w:i/>
        </w:rPr>
      </w:pPr>
    </w:p>
    <w:p w:rsidR="00054FA8" w:rsidRPr="006C2A1C" w:rsidRDefault="00054FA8" w:rsidP="00054FA8">
      <w:pPr>
        <w:pStyle w:val="RKnormal"/>
      </w:pPr>
      <w:r w:rsidRPr="006C2A1C">
        <w:t>Dokument</w:t>
      </w:r>
    </w:p>
    <w:p w:rsidR="00054FA8" w:rsidRPr="006C2A1C" w:rsidRDefault="00054FA8" w:rsidP="00054FA8">
      <w:pPr>
        <w:pStyle w:val="RKnormal"/>
      </w:pPr>
      <w:r w:rsidRPr="006C2A1C">
        <w:t>18966/11 MAP 10 MI 686</w:t>
      </w:r>
    </w:p>
    <w:p w:rsidR="00054FA8" w:rsidRPr="006C2A1C" w:rsidRDefault="00054FA8" w:rsidP="00054FA8">
      <w:pPr>
        <w:pStyle w:val="RKnormal"/>
      </w:pPr>
    </w:p>
    <w:p w:rsidR="00054FA8" w:rsidRPr="006C2A1C" w:rsidRDefault="00054FA8" w:rsidP="00054FA8">
      <w:pPr>
        <w:pStyle w:val="RKnormal"/>
      </w:pPr>
      <w:r w:rsidRPr="006C2A1C">
        <w:t>Ansvarigt statsråd</w:t>
      </w:r>
    </w:p>
    <w:p w:rsidR="00054FA8" w:rsidRPr="006C2A1C" w:rsidRDefault="00054FA8" w:rsidP="00054FA8">
      <w:pPr>
        <w:pStyle w:val="RKnormal"/>
      </w:pPr>
      <w:r w:rsidRPr="006C2A1C">
        <w:t>Stefan Attefall</w:t>
      </w:r>
    </w:p>
    <w:p w:rsidR="00054FA8" w:rsidRPr="006C2A1C" w:rsidRDefault="00054FA8" w:rsidP="00054FA8">
      <w:pPr>
        <w:pStyle w:val="RKnormal"/>
      </w:pPr>
    </w:p>
    <w:p w:rsidR="00054FA8" w:rsidRPr="006C2A1C" w:rsidRDefault="00054FA8" w:rsidP="00054FA8">
      <w:pPr>
        <w:pStyle w:val="RKnormal"/>
      </w:pPr>
      <w:r w:rsidRPr="006C2A1C">
        <w:t>Kommissionen presenterade den 20 december 2011 förslag till nya direktiv om offentlig upphandling som ska ersätta det s.k. klassiska och försörjningsdirektivet och ett förslag till direktiv om koncessioner. Dessa förslag förhandlas nu i rådsarbetsgruppen. Inför ministermötet har det danska ordförandeskapet tagit fram ett par frågor som ministrarna inbjuds att kommentera. Ordförandeskapet avser fokusera den planerade riktlinjedebatten på det klassiska direktivet och ställer följande frågor:</w:t>
      </w:r>
    </w:p>
    <w:p w:rsidR="00054FA8" w:rsidRPr="006C2A1C" w:rsidRDefault="00054FA8" w:rsidP="00054FA8">
      <w:pPr>
        <w:pStyle w:val="RKnormal"/>
        <w:rPr>
          <w:color w:val="000000"/>
        </w:rPr>
      </w:pPr>
    </w:p>
    <w:p w:rsidR="00054FA8" w:rsidRPr="006C2A1C" w:rsidRDefault="00054FA8" w:rsidP="00054FA8">
      <w:pPr>
        <w:pStyle w:val="RKnormal"/>
        <w:rPr>
          <w:i/>
          <w:iCs/>
        </w:rPr>
      </w:pPr>
      <w:r w:rsidRPr="006C2A1C">
        <w:rPr>
          <w:i/>
          <w:iCs/>
        </w:rPr>
        <w:t>Does the Commission’s proposal provide procuring entities sufficient access to the competitive procedure with negotiation? If not, should access be generalized as much as possible? How do we secure that more flexibility does not lead to unequal treatment?</w:t>
      </w:r>
    </w:p>
    <w:p w:rsidR="00054FA8" w:rsidRPr="006C2A1C" w:rsidRDefault="00054FA8" w:rsidP="00054FA8">
      <w:pPr>
        <w:pStyle w:val="RKnormal"/>
        <w:rPr>
          <w:i/>
          <w:iCs/>
        </w:rPr>
      </w:pPr>
    </w:p>
    <w:p w:rsidR="00054FA8" w:rsidRPr="006C2A1C" w:rsidRDefault="00054FA8" w:rsidP="00054FA8">
      <w:pPr>
        <w:pStyle w:val="RKnormal"/>
        <w:rPr>
          <w:i/>
          <w:iCs/>
        </w:rPr>
      </w:pPr>
      <w:r w:rsidRPr="006C2A1C">
        <w:rPr>
          <w:i/>
          <w:iCs/>
        </w:rPr>
        <w:t>Is the Commission right in proposing a lighter regime for certain social, cultural, educational and health services? Should other services also benefit from special treatment? Has the Commission struck the right balance between promoting efficiency through competition and delivering on the objective of lighter Public Procurement rules?</w:t>
      </w:r>
    </w:p>
    <w:p w:rsidR="00054FA8" w:rsidRPr="006C2A1C" w:rsidRDefault="00054FA8" w:rsidP="00054FA8">
      <w:pPr>
        <w:pStyle w:val="RKnormal"/>
      </w:pPr>
    </w:p>
    <w:p w:rsidR="00054FA8" w:rsidRPr="006C2A1C" w:rsidRDefault="00054FA8" w:rsidP="00054FA8">
      <w:pPr>
        <w:pStyle w:val="RKnormal"/>
      </w:pPr>
      <w:r w:rsidRPr="006C2A1C">
        <w:rPr>
          <w:u w:val="single"/>
        </w:rPr>
        <w:t>Förslag till svensk ståndpunkt</w:t>
      </w:r>
      <w:r w:rsidRPr="006C2A1C">
        <w:t xml:space="preserve">: Regeringen välkomnar möjligheten att diskutera det nya förslaget till direktiv för upphandling. Regeringen ser i huvudsak positivt på förslagen till revidering av direktiven som i många delar ligger i linje med Sveriges svar på den grönbok som legat till grund för översynen. </w:t>
      </w:r>
    </w:p>
    <w:p w:rsidR="00054FA8" w:rsidRPr="006C2A1C" w:rsidRDefault="00054FA8" w:rsidP="00054FA8">
      <w:pPr>
        <w:pStyle w:val="RKnormal"/>
      </w:pPr>
    </w:p>
    <w:p w:rsidR="00054FA8" w:rsidRPr="006C2A1C" w:rsidRDefault="00054FA8" w:rsidP="00054FA8">
      <w:pPr>
        <w:pStyle w:val="RKnormal"/>
        <w:rPr>
          <w:i/>
        </w:rPr>
      </w:pPr>
      <w:r w:rsidRPr="006C2A1C">
        <w:rPr>
          <w:i/>
        </w:rPr>
        <w:t>Se vidare rådspromemoria.</w:t>
      </w:r>
    </w:p>
    <w:p w:rsidR="00F91A7A" w:rsidRPr="006C2A1C" w:rsidRDefault="00F91A7A" w:rsidP="00054FA8">
      <w:pPr>
        <w:pStyle w:val="RKnormal"/>
        <w:rPr>
          <w:i/>
        </w:rPr>
      </w:pPr>
    </w:p>
    <w:p w:rsidR="00F91A7A" w:rsidRPr="006C2A1C" w:rsidRDefault="00F91A7A" w:rsidP="00F91A7A">
      <w:pPr>
        <w:spacing w:line="240" w:lineRule="auto"/>
        <w:rPr>
          <w:b/>
        </w:rPr>
      </w:pPr>
      <w:r w:rsidRPr="006C2A1C">
        <w:rPr>
          <w:b/>
        </w:rPr>
        <w:t>6.</w:t>
      </w:r>
      <w:r w:rsidRPr="006C2A1C">
        <w:rPr>
          <w:b/>
        </w:rPr>
        <w:tab/>
        <w:t>Europaparlamentets och rådets direktiv om årsbokslut, sammanställda redovisningar och rapporter i vissa typer av företag – land-för-land redovisning</w:t>
      </w:r>
    </w:p>
    <w:p w:rsidR="00F91A7A" w:rsidRPr="006C2A1C" w:rsidRDefault="00F91A7A" w:rsidP="00F91A7A">
      <w:pPr>
        <w:spacing w:line="240" w:lineRule="auto"/>
        <w:rPr>
          <w:i/>
        </w:rPr>
      </w:pPr>
      <w:r w:rsidRPr="006C2A1C">
        <w:rPr>
          <w:i/>
        </w:rPr>
        <w:sym w:font="Symbol" w:char="F02D"/>
      </w:r>
      <w:r w:rsidRPr="006C2A1C">
        <w:rPr>
          <w:i/>
        </w:rPr>
        <w:tab/>
        <w:t xml:space="preserve">Riktlinjedebatt </w:t>
      </w:r>
    </w:p>
    <w:p w:rsidR="00F91A7A" w:rsidRPr="006C2A1C" w:rsidRDefault="00F91A7A" w:rsidP="00F91A7A">
      <w:pPr>
        <w:spacing w:line="240" w:lineRule="auto"/>
        <w:rPr>
          <w:i/>
        </w:rPr>
      </w:pPr>
    </w:p>
    <w:p w:rsidR="00F91A7A" w:rsidRPr="006C2A1C" w:rsidRDefault="00F91A7A" w:rsidP="00F91A7A">
      <w:pPr>
        <w:pStyle w:val="RKnormal"/>
      </w:pPr>
      <w:r w:rsidRPr="006C2A1C">
        <w:t>Ansvarigt statsråd</w:t>
      </w:r>
    </w:p>
    <w:p w:rsidR="00F91A7A" w:rsidRPr="006C2A1C" w:rsidRDefault="00F91A7A" w:rsidP="00F91A7A">
      <w:pPr>
        <w:pStyle w:val="RKnormal"/>
      </w:pPr>
      <w:r w:rsidRPr="006C2A1C">
        <w:t>Beatrice Ask</w:t>
      </w:r>
    </w:p>
    <w:p w:rsidR="00F91A7A" w:rsidRPr="006C2A1C" w:rsidRDefault="00F91A7A" w:rsidP="00F91A7A">
      <w:pPr>
        <w:spacing w:line="240" w:lineRule="auto"/>
      </w:pPr>
    </w:p>
    <w:p w:rsidR="00F91A7A" w:rsidRPr="006C2A1C" w:rsidRDefault="00F91A7A" w:rsidP="00F91A7A">
      <w:pPr>
        <w:spacing w:line="240" w:lineRule="auto"/>
      </w:pPr>
      <w:r w:rsidRPr="006C2A1C">
        <w:t>Kommissionen fattade den 25 oktober beslut om ett förslag till ett nytt direktiv om företagens offentliga redovisning som ska ersätta de två direktiv som nu finns på området. Förslaget syftar främst till att förenkla tillvaron för små företag, öka de finansiella rapporternas tydlighet för medelstora och stora företag, värna om grundläggande användarintressen och öka öppenheten om betalningar till offentliga förvaltningar från utvinnings</w:t>
      </w:r>
      <w:r w:rsidRPr="006C2A1C">
        <w:softHyphen/>
        <w:t>industrin och avverkare av primärskog. Förhandlingarna i rådsarbetsgruppen påbörjades i december 2011.</w:t>
      </w:r>
    </w:p>
    <w:p w:rsidR="00F91A7A" w:rsidRPr="006C2A1C" w:rsidRDefault="00F91A7A" w:rsidP="00F91A7A">
      <w:pPr>
        <w:spacing w:line="240" w:lineRule="auto"/>
      </w:pPr>
    </w:p>
    <w:p w:rsidR="00F91A7A" w:rsidRPr="006C2A1C" w:rsidRDefault="00F91A7A" w:rsidP="00F91A7A">
      <w:pPr>
        <w:spacing w:line="240" w:lineRule="auto"/>
      </w:pPr>
      <w:r w:rsidRPr="006C2A1C">
        <w:t>Den särskilda fråga som nu är aktuell är införandet av ett nytt rapporteringskrav för företag som är verksamma inom utvinnings</w:t>
      </w:r>
      <w:r w:rsidRPr="006C2A1C">
        <w:softHyphen/>
        <w:t>industrin och med avverkning av primärskog, s.k. land-för-land redovisning. Avsikten är att dels på ett allmänt plan diskutera om förslaget innebär någonting positivt, dels kommer tre frågor av mer teknisk natur kopplade till förslagets omfattning att diskuteras.</w:t>
      </w:r>
    </w:p>
    <w:p w:rsidR="00F91A7A" w:rsidRPr="006C2A1C" w:rsidRDefault="00F91A7A" w:rsidP="00F91A7A">
      <w:pPr>
        <w:spacing w:line="240" w:lineRule="auto"/>
      </w:pPr>
    </w:p>
    <w:p w:rsidR="00F91A7A" w:rsidRPr="006C2A1C" w:rsidRDefault="00F91A7A" w:rsidP="00F91A7A">
      <w:pPr>
        <w:spacing w:line="240" w:lineRule="auto"/>
      </w:pPr>
      <w:r w:rsidRPr="006C2A1C">
        <w:t xml:space="preserve">Frågan har inte tidigare behandlats i EU-nämnden. </w:t>
      </w:r>
    </w:p>
    <w:p w:rsidR="00F91A7A" w:rsidRPr="006C2A1C" w:rsidRDefault="00F91A7A" w:rsidP="00F91A7A">
      <w:pPr>
        <w:spacing w:line="240" w:lineRule="auto"/>
      </w:pPr>
    </w:p>
    <w:p w:rsidR="00F91A7A" w:rsidRPr="006C2A1C" w:rsidRDefault="00F91A7A" w:rsidP="00F91A7A">
      <w:pPr>
        <w:spacing w:line="240" w:lineRule="auto"/>
      </w:pPr>
      <w:r w:rsidRPr="006C2A1C">
        <w:rPr>
          <w:u w:val="single"/>
        </w:rPr>
        <w:t>Förslag till svensk ståndpunkt</w:t>
      </w:r>
      <w:r w:rsidRPr="006C2A1C">
        <w:t xml:space="preserve">: Sverige stödjer förslaget. Det kommer att leda till en ökad transparens i vilka utbetalningar europeiska företag gör för att tillförsäkra sig utvinningsrättigheter och öka utvinningsländernas insyn i hur de inhemska naturtillgångarna disponeras.  </w:t>
      </w:r>
    </w:p>
    <w:p w:rsidR="00F91A7A" w:rsidRPr="006C2A1C" w:rsidRDefault="00F91A7A" w:rsidP="00F91A7A">
      <w:pPr>
        <w:spacing w:line="240" w:lineRule="auto"/>
      </w:pPr>
    </w:p>
    <w:p w:rsidR="00F91A7A" w:rsidRPr="006C2A1C" w:rsidRDefault="00F91A7A" w:rsidP="00F91A7A">
      <w:pPr>
        <w:spacing w:line="240" w:lineRule="auto"/>
      </w:pPr>
      <w:r w:rsidRPr="006C2A1C">
        <w:rPr>
          <w:i/>
          <w:iCs/>
        </w:rPr>
        <w:t>Se vidare rådspromemoria</w:t>
      </w:r>
    </w:p>
    <w:p w:rsidR="00F91A7A" w:rsidRPr="006C2A1C" w:rsidRDefault="00F91A7A" w:rsidP="00054FA8">
      <w:pPr>
        <w:pStyle w:val="RKnormal"/>
      </w:pPr>
    </w:p>
    <w:p w:rsidR="00644546" w:rsidRPr="006C2A1C" w:rsidRDefault="00644546" w:rsidP="00644546">
      <w:pPr>
        <w:rPr>
          <w:szCs w:val="24"/>
        </w:rPr>
      </w:pPr>
    </w:p>
    <w:p w:rsidR="00783F28" w:rsidRPr="006C2A1C" w:rsidRDefault="00783F28" w:rsidP="00783F28">
      <w:pPr>
        <w:pStyle w:val="RKrubrik"/>
        <w:ind w:left="360" w:hanging="360"/>
      </w:pPr>
      <w:r w:rsidRPr="006C2A1C">
        <w:t>7(a).</w:t>
      </w:r>
      <w:r w:rsidRPr="006C2A1C">
        <w:tab/>
        <w:t>Förslag till förordning om europeiska riskkapitalfonder</w:t>
      </w:r>
    </w:p>
    <w:p w:rsidR="00783F28" w:rsidRPr="006C2A1C" w:rsidRDefault="00783F28" w:rsidP="00783F28">
      <w:pPr>
        <w:pStyle w:val="RKnormal"/>
        <w:numPr>
          <w:ilvl w:val="0"/>
          <w:numId w:val="1"/>
        </w:numPr>
        <w:rPr>
          <w:i/>
        </w:rPr>
      </w:pPr>
      <w:r w:rsidRPr="006C2A1C">
        <w:rPr>
          <w:i/>
        </w:rPr>
        <w:t xml:space="preserve">Diskussion </w:t>
      </w:r>
    </w:p>
    <w:p w:rsidR="00054FA8" w:rsidRPr="006C2A1C" w:rsidRDefault="00054FA8" w:rsidP="00054FA8">
      <w:pPr>
        <w:pStyle w:val="RKnormal"/>
        <w:ind w:left="720"/>
        <w:rPr>
          <w:i/>
        </w:rPr>
      </w:pPr>
    </w:p>
    <w:p w:rsidR="00F91A7A" w:rsidRPr="006C2A1C" w:rsidRDefault="00F91A7A" w:rsidP="00F91A7A">
      <w:pPr>
        <w:pStyle w:val="RKnormal"/>
      </w:pPr>
      <w:r w:rsidRPr="006C2A1C">
        <w:t>Ansvarigt statsråd</w:t>
      </w:r>
    </w:p>
    <w:p w:rsidR="00F91A7A" w:rsidRPr="006C2A1C" w:rsidRDefault="005F5DBF" w:rsidP="00F91A7A">
      <w:pPr>
        <w:pStyle w:val="RKnormal"/>
      </w:pPr>
      <w:r w:rsidRPr="006C2A1C">
        <w:t>Peter Norman</w:t>
      </w:r>
    </w:p>
    <w:p w:rsidR="00F91A7A" w:rsidRPr="006C2A1C" w:rsidRDefault="00F91A7A" w:rsidP="00054FA8">
      <w:pPr>
        <w:pStyle w:val="RKnormal"/>
        <w:ind w:left="720"/>
        <w:rPr>
          <w:i/>
        </w:rPr>
      </w:pPr>
    </w:p>
    <w:p w:rsidR="00783F28" w:rsidRPr="006C2A1C" w:rsidRDefault="00783F28" w:rsidP="00783F28">
      <w:pPr>
        <w:rPr>
          <w:szCs w:val="24"/>
        </w:rPr>
      </w:pPr>
      <w:r w:rsidRPr="006C2A1C">
        <w:rPr>
          <w:szCs w:val="24"/>
        </w:rPr>
        <w:t>Kommissionen lade den 7 december 2011 fram ett förslag till frivilligt regelverk för europeiska riskkapitalfonder som förvaltar belopp understigande bestämda tröskelvärden och som använder minst 70 procent av kapitalet för att finansiera små och medelstora företag i tidiga skeden av sin utveckling. Förslaget förhandlas i rådets arbetsgrupp för finansiella tjänster. Ordförandeskapet håller ett högt tempo och har därför redan nu tagit upp frågan för en orienterande diskussion i konkurrenskraftsrådet (som är beslutande). Frågan har tidigare inte behandlats i nämnden.</w:t>
      </w:r>
    </w:p>
    <w:p w:rsidR="00783F28" w:rsidRPr="006C2A1C" w:rsidRDefault="00783F28" w:rsidP="00783F28">
      <w:pPr>
        <w:rPr>
          <w:szCs w:val="24"/>
        </w:rPr>
      </w:pPr>
      <w:r w:rsidRPr="006C2A1C">
        <w:rPr>
          <w:szCs w:val="24"/>
          <w:u w:val="single"/>
        </w:rPr>
        <w:t>Förslag till svensk ståndpunkt</w:t>
      </w:r>
      <w:r w:rsidRPr="006C2A1C">
        <w:rPr>
          <w:szCs w:val="24"/>
        </w:rPr>
        <w:t>: Sverige stödjer förslaget och verkar för att de berörda riskkapitalfonderna ska omges av proportionerliga regler som inte utan goda skäl begränsar deras finansieringsaktiviteter. Kretsen av godtagbara investerare i fonderna bör vara begränsad mot bakgrund av underliggande risker i samband med finansiering av små och medelstora företag i tidiga skeden.</w:t>
      </w:r>
    </w:p>
    <w:p w:rsidR="00783F28" w:rsidRPr="006C2A1C" w:rsidRDefault="00783F28" w:rsidP="00783F28">
      <w:pPr>
        <w:spacing w:line="240" w:lineRule="auto"/>
        <w:rPr>
          <w:i/>
          <w:lang w:eastAsia="fi-FI"/>
        </w:rPr>
      </w:pPr>
    </w:p>
    <w:p w:rsidR="00783F28" w:rsidRPr="006C2A1C" w:rsidRDefault="00783F28" w:rsidP="00783F28">
      <w:pPr>
        <w:spacing w:line="240" w:lineRule="auto"/>
        <w:rPr>
          <w:i/>
          <w:lang w:eastAsia="fi-FI"/>
        </w:rPr>
      </w:pPr>
      <w:r w:rsidRPr="006C2A1C">
        <w:rPr>
          <w:i/>
          <w:iCs/>
        </w:rPr>
        <w:t>Se vidare rådspromemoria respektive Fakta-PM 2011/12:FPM91 Europeiska riskkapitalfonder</w:t>
      </w:r>
    </w:p>
    <w:p w:rsidR="00783F28" w:rsidRPr="006C2A1C" w:rsidRDefault="00783F28" w:rsidP="00783F28">
      <w:pPr>
        <w:spacing w:line="240" w:lineRule="auto"/>
        <w:ind w:left="-567"/>
        <w:rPr>
          <w:lang w:eastAsia="fi-FI"/>
        </w:rPr>
      </w:pPr>
    </w:p>
    <w:p w:rsidR="00644546" w:rsidRPr="006C2A1C" w:rsidRDefault="00644546" w:rsidP="00644546">
      <w:pPr>
        <w:pStyle w:val="RKrubrik"/>
        <w:ind w:left="360" w:hanging="360"/>
      </w:pPr>
      <w:r w:rsidRPr="006C2A1C">
        <w:t>7b.</w:t>
      </w:r>
      <w:r w:rsidRPr="006C2A1C">
        <w:tab/>
        <w:t>Förslag till Europaparlamentets och rådets förordning om Europeiska sociala entreprenörskapsfonder</w:t>
      </w:r>
    </w:p>
    <w:p w:rsidR="00644546" w:rsidRPr="006C2A1C" w:rsidRDefault="00644546" w:rsidP="00644546">
      <w:pPr>
        <w:pStyle w:val="RKnormal"/>
        <w:numPr>
          <w:ilvl w:val="0"/>
          <w:numId w:val="1"/>
        </w:numPr>
        <w:rPr>
          <w:i/>
        </w:rPr>
      </w:pPr>
      <w:r w:rsidRPr="006C2A1C">
        <w:rPr>
          <w:i/>
        </w:rPr>
        <w:t>Riktlinjedebatt (orientation debate)</w:t>
      </w:r>
    </w:p>
    <w:p w:rsidR="00F91A7A" w:rsidRPr="006C2A1C" w:rsidRDefault="00F91A7A" w:rsidP="00F91A7A">
      <w:pPr>
        <w:pStyle w:val="RKnormal"/>
        <w:ind w:left="720"/>
        <w:rPr>
          <w:i/>
        </w:rPr>
      </w:pPr>
    </w:p>
    <w:p w:rsidR="00F91A7A" w:rsidRPr="006C2A1C" w:rsidRDefault="00F91A7A" w:rsidP="00F91A7A">
      <w:pPr>
        <w:pStyle w:val="RKnormal"/>
      </w:pPr>
      <w:r w:rsidRPr="006C2A1C">
        <w:t>Ansvarigt statsråd</w:t>
      </w:r>
    </w:p>
    <w:p w:rsidR="00F91A7A" w:rsidRPr="006C2A1C" w:rsidRDefault="00F91A7A" w:rsidP="00F91A7A">
      <w:pPr>
        <w:pStyle w:val="RKnormal"/>
      </w:pPr>
      <w:r w:rsidRPr="006C2A1C">
        <w:t>Annie Lööf</w:t>
      </w:r>
    </w:p>
    <w:p w:rsidR="00F91A7A" w:rsidRPr="006C2A1C" w:rsidRDefault="00F91A7A" w:rsidP="00F91A7A">
      <w:pPr>
        <w:pStyle w:val="RKnormal"/>
        <w:rPr>
          <w:i/>
        </w:rPr>
      </w:pPr>
    </w:p>
    <w:p w:rsidR="00644546" w:rsidRPr="006C2A1C" w:rsidRDefault="00644546" w:rsidP="00644546">
      <w:pPr>
        <w:rPr>
          <w:szCs w:val="24"/>
        </w:rPr>
      </w:pPr>
      <w:r w:rsidRPr="006C2A1C">
        <w:rPr>
          <w:szCs w:val="24"/>
        </w:rPr>
        <w:t>Kommissionen lämnade i december 2011 ett förslag till förordning som ska bidra till att förbättra och tydliggöra ramvillkor för privata investeringsfonder med inriktning på sociala företag.</w:t>
      </w:r>
      <w:r w:rsidRPr="006C2A1C">
        <w:rPr>
          <w:szCs w:val="24"/>
          <w:lang w:eastAsia="en-GB"/>
        </w:rPr>
        <w:t xml:space="preserve"> Förslaget</w:t>
      </w:r>
      <w:r w:rsidRPr="006C2A1C">
        <w:rPr>
          <w:szCs w:val="24"/>
        </w:rPr>
        <w:t xml:space="preserve"> syftar till att stärka utvecklingen av sociala företag genom att skapa förutsättningar för en mer effektiv kapitalanskaffning för investeringsfonder som verkar med inriktning på dessa företag. </w:t>
      </w:r>
    </w:p>
    <w:p w:rsidR="00644546" w:rsidRPr="006C2A1C" w:rsidRDefault="00644546" w:rsidP="00644546">
      <w:pPr>
        <w:rPr>
          <w:szCs w:val="24"/>
        </w:rPr>
      </w:pPr>
    </w:p>
    <w:p w:rsidR="00644546" w:rsidRPr="006C2A1C" w:rsidRDefault="00644546" w:rsidP="00644546">
      <w:r w:rsidRPr="006C2A1C">
        <w:t xml:space="preserve">Bakgrunden till förslaget är bl.a. KOM:s åtagande inom ramen för Inremarknadsakten (SMA) att vidta åtgärder för att främja sektorn för socialt företagande i Europa, samt en del av handlingsplanen i meddelandet ”Initiativ för socialt företagande” (KOM (2011) 682/2). </w:t>
      </w:r>
    </w:p>
    <w:p w:rsidR="00644546" w:rsidRPr="006C2A1C" w:rsidRDefault="00644546" w:rsidP="00644546"/>
    <w:p w:rsidR="00644546" w:rsidRPr="006C2A1C" w:rsidRDefault="00644546" w:rsidP="00644546">
      <w:pPr>
        <w:rPr>
          <w:szCs w:val="24"/>
          <w:lang w:eastAsia="en-GB"/>
        </w:rPr>
      </w:pPr>
      <w:r w:rsidRPr="006C2A1C">
        <w:t>Förslaget förhandlas nu parallellt med förslaget om Europeiska riskkapitalfonder (7a) i rådets arbetsgrupp för finansiella tjänster. Målet är ett slutligt antagande till sommaren.</w:t>
      </w:r>
    </w:p>
    <w:p w:rsidR="00644546" w:rsidRPr="006C2A1C" w:rsidRDefault="00644546" w:rsidP="00644546">
      <w:pPr>
        <w:rPr>
          <w:szCs w:val="24"/>
        </w:rPr>
      </w:pPr>
    </w:p>
    <w:p w:rsidR="00644546" w:rsidRPr="006C2A1C" w:rsidRDefault="00644546" w:rsidP="00644546">
      <w:pPr>
        <w:rPr>
          <w:color w:val="000000"/>
          <w:szCs w:val="24"/>
        </w:rPr>
      </w:pPr>
      <w:r w:rsidRPr="006C2A1C">
        <w:rPr>
          <w:i/>
          <w:color w:val="000000"/>
          <w:szCs w:val="24"/>
          <w:u w:val="single"/>
        </w:rPr>
        <w:t>Svensk ståndpunkt:</w:t>
      </w:r>
      <w:r w:rsidRPr="006C2A1C">
        <w:rPr>
          <w:color w:val="000000"/>
          <w:szCs w:val="24"/>
        </w:rPr>
        <w:t xml:space="preserve"> Regeringen är i grunden positiv till förslaget. Att kommissionen lägger förslag som syftar till att förbättra och tydliggöra ramvillkor för investeringsfonder är en princip som regeringen stödjer. Regeringen har tidigare gett sitt stöd till kommissionens arbete med att förbättra möjligheterna till s.k. gränsöverskridande riskkapitalinvesteringar och gör bedömningen att detta förslag har samma inriktning men när det gäller fonder med investeringsinriktning mot sociala investeringar. </w:t>
      </w:r>
    </w:p>
    <w:p w:rsidR="00644546" w:rsidRPr="006C2A1C" w:rsidRDefault="00644546" w:rsidP="00644546">
      <w:pPr>
        <w:rPr>
          <w:color w:val="000000"/>
          <w:szCs w:val="24"/>
        </w:rPr>
      </w:pPr>
    </w:p>
    <w:p w:rsidR="00644546" w:rsidRPr="006C2A1C" w:rsidRDefault="00644546" w:rsidP="00644546">
      <w:pPr>
        <w:rPr>
          <w:szCs w:val="24"/>
        </w:rPr>
      </w:pPr>
      <w:r w:rsidRPr="006C2A1C">
        <w:rPr>
          <w:color w:val="000000"/>
          <w:szCs w:val="24"/>
        </w:rPr>
        <w:t>Regeringen delar kommissionens uppfattning om vikten av att skapa goda förutsättningar för utveckling av den sociala sektorn och att förbättrade ramvillkor i syfte att underlätta kapitaltillgången för sociala företag är en relevant och motiverad insats i detta sammanhang.</w:t>
      </w:r>
      <w:r w:rsidRPr="006C2A1C">
        <w:rPr>
          <w:szCs w:val="24"/>
        </w:rPr>
        <w:t xml:space="preserve"> </w:t>
      </w:r>
    </w:p>
    <w:p w:rsidR="00644546" w:rsidRPr="006C2A1C" w:rsidRDefault="00644546" w:rsidP="00644546">
      <w:pPr>
        <w:pStyle w:val="Normaltindrag"/>
        <w:ind w:firstLine="0"/>
        <w:rPr>
          <w:sz w:val="24"/>
          <w:szCs w:val="24"/>
        </w:rPr>
      </w:pPr>
    </w:p>
    <w:p w:rsidR="00644546" w:rsidRPr="006C2A1C" w:rsidRDefault="00644546" w:rsidP="00644546">
      <w:pPr>
        <w:rPr>
          <w:szCs w:val="24"/>
        </w:rPr>
      </w:pPr>
      <w:r w:rsidRPr="006C2A1C">
        <w:rPr>
          <w:color w:val="000000"/>
          <w:szCs w:val="24"/>
        </w:rPr>
        <w:t>Även om regeringen är positiv till förslaget verkar vi för att vissa delar i förslaget ska tydliggöras, bland annat bör detaljeringsgraden i definitionen av sociala företag och vilka verksamheter som omfattas öka liksom tydligheten i definitionen av sociala effekter och hur dessa följs upp. Vissa andra specifika frågor som exempelvis att en gräns på just 70 procent av kapitalet ska användas till sociala företag behöver analyseras närmare. Det är bra med ett initiativ som kvalitetssäkrar sociala investeringsfonder men ambitionen för de enskilda fonderna ska samtidigt inte vara så hög att det riskerar hämma intresset för fonder att kvalificera sig som ”EU Social Entrepreneurship Fund”.</w:t>
      </w:r>
      <w:r w:rsidRPr="006C2A1C">
        <w:rPr>
          <w:szCs w:val="24"/>
        </w:rPr>
        <w:t xml:space="preserve"> </w:t>
      </w:r>
    </w:p>
    <w:p w:rsidR="00054FA8" w:rsidRPr="006C2A1C" w:rsidRDefault="00054FA8" w:rsidP="00644546">
      <w:pPr>
        <w:rPr>
          <w:color w:val="000000"/>
          <w:szCs w:val="24"/>
        </w:rPr>
      </w:pPr>
    </w:p>
    <w:p w:rsidR="007175BC" w:rsidRPr="006C2A1C" w:rsidRDefault="00F378CF" w:rsidP="007175BC">
      <w:pPr>
        <w:pStyle w:val="RKrubrik"/>
      </w:pPr>
      <w:r w:rsidRPr="006C2A1C">
        <w:t>8</w:t>
      </w:r>
      <w:r w:rsidR="007175BC" w:rsidRPr="006C2A1C">
        <w:t>.</w:t>
      </w:r>
      <w:r w:rsidR="007175BC" w:rsidRPr="006C2A1C">
        <w:tab/>
      </w:r>
      <w:r w:rsidRPr="006C2A1C">
        <w:t>Smart regulation</w:t>
      </w:r>
    </w:p>
    <w:p w:rsidR="002703D8" w:rsidRPr="006C2A1C" w:rsidRDefault="00FB765F" w:rsidP="00577008">
      <w:pPr>
        <w:pStyle w:val="RKnormal"/>
        <w:numPr>
          <w:ilvl w:val="0"/>
          <w:numId w:val="1"/>
        </w:numPr>
      </w:pPr>
      <w:r w:rsidRPr="006C2A1C">
        <w:rPr>
          <w:i/>
        </w:rPr>
        <w:t>antagande av rådsslutsatser</w:t>
      </w:r>
    </w:p>
    <w:p w:rsidR="00F91A7A" w:rsidRPr="006C2A1C" w:rsidRDefault="00F91A7A" w:rsidP="00F91A7A">
      <w:pPr>
        <w:pStyle w:val="RKnormal"/>
        <w:ind w:left="720"/>
      </w:pPr>
    </w:p>
    <w:p w:rsidR="00F91A7A" w:rsidRPr="006C2A1C" w:rsidRDefault="00F91A7A" w:rsidP="00F91A7A">
      <w:pPr>
        <w:pStyle w:val="RKnormal"/>
        <w:tabs>
          <w:tab w:val="num" w:pos="0"/>
        </w:tabs>
      </w:pPr>
      <w:r w:rsidRPr="006C2A1C">
        <w:t>Ansvarigt statsråd</w:t>
      </w:r>
    </w:p>
    <w:p w:rsidR="00F91A7A" w:rsidRPr="006C2A1C" w:rsidRDefault="00F91A7A" w:rsidP="00F91A7A">
      <w:pPr>
        <w:pStyle w:val="RKnormal"/>
        <w:tabs>
          <w:tab w:val="num" w:pos="0"/>
        </w:tabs>
      </w:pPr>
      <w:r w:rsidRPr="006C2A1C">
        <w:t>Annie Lööf</w:t>
      </w:r>
    </w:p>
    <w:p w:rsidR="00F91A7A" w:rsidRPr="006C2A1C" w:rsidRDefault="00F91A7A" w:rsidP="00F91A7A">
      <w:pPr>
        <w:pStyle w:val="RKnormal"/>
      </w:pPr>
    </w:p>
    <w:p w:rsidR="00577008" w:rsidRPr="006C2A1C" w:rsidRDefault="00577008" w:rsidP="00577008">
      <w:pPr>
        <w:pStyle w:val="RKnormal"/>
      </w:pPr>
    </w:p>
    <w:p w:rsidR="00577008" w:rsidRPr="006C2A1C" w:rsidRDefault="00577008" w:rsidP="00F91A7A">
      <w:pPr>
        <w:pStyle w:val="RKnormal"/>
        <w:tabs>
          <w:tab w:val="num" w:pos="0"/>
        </w:tabs>
        <w:rPr>
          <w:szCs w:val="24"/>
        </w:rPr>
      </w:pPr>
      <w:r w:rsidRPr="006C2A1C">
        <w:t xml:space="preserve">Rådslutsatserna syftar till att stärka arbetet med </w:t>
      </w:r>
      <w:r w:rsidR="004952EE" w:rsidRPr="006C2A1C">
        <w:t>smart lagstiftning</w:t>
      </w:r>
      <w:r w:rsidRPr="006C2A1C">
        <w:t xml:space="preserve"> inom EU</w:t>
      </w:r>
      <w:r w:rsidR="004952EE" w:rsidRPr="006C2A1C">
        <w:t>.</w:t>
      </w:r>
      <w:r w:rsidRPr="006C2A1C">
        <w:t xml:space="preserve"> Slutsatserna stödjer kommissionens nya arbetssätt </w:t>
      </w:r>
      <w:r w:rsidRPr="006C2A1C">
        <w:rPr>
          <w:szCs w:val="24"/>
        </w:rPr>
        <w:t xml:space="preserve">för att underlätta för </w:t>
      </w:r>
      <w:r w:rsidR="004952EE" w:rsidRPr="006C2A1C">
        <w:rPr>
          <w:szCs w:val="24"/>
        </w:rPr>
        <w:t>små och medelstora företag (</w:t>
      </w:r>
      <w:r w:rsidRPr="006C2A1C">
        <w:rPr>
          <w:szCs w:val="24"/>
        </w:rPr>
        <w:t>SMF</w:t>
      </w:r>
      <w:r w:rsidR="004952EE" w:rsidRPr="006C2A1C">
        <w:rPr>
          <w:szCs w:val="24"/>
        </w:rPr>
        <w:t>)</w:t>
      </w:r>
      <w:r w:rsidRPr="006C2A1C">
        <w:rPr>
          <w:szCs w:val="24"/>
        </w:rPr>
        <w:t>. I</w:t>
      </w:r>
      <w:r w:rsidRPr="006C2A1C">
        <w:t>nsatser som särskilt lyfts fram är bl.a. principen att tänka småskaligt först vid utformning av regler</w:t>
      </w:r>
      <w:r w:rsidR="00491AB1" w:rsidRPr="006C2A1C">
        <w:t xml:space="preserve">, </w:t>
      </w:r>
      <w:r w:rsidRPr="006C2A1C">
        <w:t>bättre former för att involvera SMF i lagstiftningsprocessen</w:t>
      </w:r>
      <w:r w:rsidR="00491AB1" w:rsidRPr="006C2A1C">
        <w:t xml:space="preserve"> samt att fortsätta minska bördor för SMF</w:t>
      </w:r>
      <w:r w:rsidRPr="006C2A1C">
        <w:t>. S</w:t>
      </w:r>
      <w:r w:rsidRPr="006C2A1C">
        <w:rPr>
          <w:lang w:eastAsia="sv-SE"/>
        </w:rPr>
        <w:t xml:space="preserve">lutsatserna lyfter även fram att arbetet med smart lagstiftning måste förbättras ytterligare om det ska bli möjligt att </w:t>
      </w:r>
      <w:r w:rsidRPr="006C2A1C">
        <w:rPr>
          <w:szCs w:val="24"/>
          <w:lang w:eastAsia="sv-SE"/>
        </w:rPr>
        <w:t xml:space="preserve">nå målen </w:t>
      </w:r>
      <w:r w:rsidRPr="006C2A1C">
        <w:rPr>
          <w:szCs w:val="24"/>
        </w:rPr>
        <w:t>i Europa 2020-strategin. Slutsatserna uppmanar därför kommissionen att fortsätta utveckla arbetet med smart lagstiftning, bl.a. genom att utveckla arbetet med utvärderingar av lagstiftningen samt öka transparens och information kring arbetet med smart lagstiftning. Rådet uppmanar även kommissionen att innan 2012</w:t>
      </w:r>
      <w:r w:rsidR="004952EE" w:rsidRPr="006C2A1C">
        <w:rPr>
          <w:szCs w:val="24"/>
        </w:rPr>
        <w:t xml:space="preserve"> </w:t>
      </w:r>
      <w:r w:rsidRPr="006C2A1C">
        <w:rPr>
          <w:szCs w:val="24"/>
        </w:rPr>
        <w:t xml:space="preserve">års slut rapportera om hur de i framtiden avser </w:t>
      </w:r>
      <w:r w:rsidR="00560CA2" w:rsidRPr="006C2A1C">
        <w:rPr>
          <w:szCs w:val="24"/>
        </w:rPr>
        <w:t xml:space="preserve">att </w:t>
      </w:r>
      <w:r w:rsidRPr="006C2A1C">
        <w:rPr>
          <w:szCs w:val="24"/>
        </w:rPr>
        <w:t xml:space="preserve">arbeta med smart lagstiftning och att minska bördor för företag. </w:t>
      </w:r>
    </w:p>
    <w:p w:rsidR="007175BC" w:rsidRPr="006C2A1C" w:rsidRDefault="007175BC" w:rsidP="007175BC">
      <w:pPr>
        <w:pStyle w:val="RKnormal"/>
      </w:pPr>
    </w:p>
    <w:p w:rsidR="00D42FE7" w:rsidRPr="006C2A1C" w:rsidRDefault="007175BC" w:rsidP="00661EFE">
      <w:pPr>
        <w:pStyle w:val="RKnormal"/>
        <w:jc w:val="both"/>
      </w:pPr>
      <w:r w:rsidRPr="006C2A1C">
        <w:rPr>
          <w:u w:val="single"/>
        </w:rPr>
        <w:t>Förslag till svensk ståndpunkt:</w:t>
      </w:r>
      <w:r w:rsidRPr="006C2A1C">
        <w:t xml:space="preserve"> </w:t>
      </w:r>
    </w:p>
    <w:p w:rsidR="00F378CF" w:rsidRPr="006C2A1C" w:rsidRDefault="00F378CF" w:rsidP="00661EFE">
      <w:pPr>
        <w:pStyle w:val="RKnormal"/>
        <w:jc w:val="both"/>
      </w:pPr>
      <w:r w:rsidRPr="006C2A1C">
        <w:t>SE föreslås välkomna föreliggande förslag till rådsslutsatser.</w:t>
      </w:r>
    </w:p>
    <w:p w:rsidR="00054FA8" w:rsidRPr="006C2A1C" w:rsidRDefault="00054FA8" w:rsidP="00661EFE">
      <w:pPr>
        <w:pStyle w:val="RKnormal"/>
        <w:jc w:val="both"/>
      </w:pPr>
    </w:p>
    <w:p w:rsidR="00B20D54" w:rsidRPr="006C2A1C" w:rsidRDefault="00B20D54" w:rsidP="00661EFE">
      <w:pPr>
        <w:pStyle w:val="RKnormal"/>
        <w:jc w:val="both"/>
      </w:pPr>
    </w:p>
    <w:p w:rsidR="00B20D54" w:rsidRPr="006C2A1C" w:rsidRDefault="00B20D54" w:rsidP="00B20D54">
      <w:pPr>
        <w:spacing w:line="240" w:lineRule="auto"/>
        <w:rPr>
          <w:bCs/>
          <w:color w:val="000000"/>
          <w:u w:val="single"/>
        </w:rPr>
      </w:pPr>
      <w:r w:rsidRPr="006C2A1C">
        <w:rPr>
          <w:bCs/>
          <w:color w:val="000000"/>
          <w:u w:val="single"/>
        </w:rPr>
        <w:t>RYMDFRÅGOR</w:t>
      </w:r>
    </w:p>
    <w:p w:rsidR="00B20D54" w:rsidRPr="006C2A1C" w:rsidRDefault="00B20D54" w:rsidP="00B20D54">
      <w:pPr>
        <w:spacing w:line="240" w:lineRule="auto"/>
        <w:rPr>
          <w:bCs/>
          <w:iCs/>
          <w:u w:val="single"/>
        </w:rPr>
      </w:pPr>
    </w:p>
    <w:p w:rsidR="00B20D54" w:rsidRPr="006C2A1C" w:rsidRDefault="00B20D54" w:rsidP="00B20D54">
      <w:pPr>
        <w:spacing w:line="240" w:lineRule="auto"/>
        <w:rPr>
          <w:bCs/>
          <w:iCs/>
          <w:u w:val="single"/>
        </w:rPr>
      </w:pPr>
    </w:p>
    <w:p w:rsidR="00B20D54" w:rsidRPr="006C2A1C" w:rsidRDefault="00B20D54" w:rsidP="00B20D54">
      <w:pPr>
        <w:spacing w:line="240" w:lineRule="auto"/>
        <w:rPr>
          <w:b/>
          <w:bCs/>
          <w:iCs/>
          <w:u w:val="single"/>
        </w:rPr>
      </w:pPr>
      <w:r w:rsidRPr="006C2A1C">
        <w:rPr>
          <w:b/>
          <w:bCs/>
          <w:iCs/>
          <w:u w:val="single"/>
        </w:rPr>
        <w:t>Icke lagstiftande verksamhet</w:t>
      </w:r>
    </w:p>
    <w:p w:rsidR="00B20D54" w:rsidRPr="006C2A1C" w:rsidRDefault="00B20D54" w:rsidP="00B20D54">
      <w:pPr>
        <w:spacing w:line="240" w:lineRule="auto"/>
        <w:rPr>
          <w:bCs/>
          <w:iCs/>
        </w:rPr>
      </w:pPr>
    </w:p>
    <w:p w:rsidR="00B20D54" w:rsidRPr="006C2A1C" w:rsidRDefault="00B20D54" w:rsidP="00B20D54">
      <w:pPr>
        <w:spacing w:line="240" w:lineRule="auto"/>
        <w:rPr>
          <w:bCs/>
          <w:iCs/>
        </w:rPr>
      </w:pPr>
    </w:p>
    <w:p w:rsidR="00B20D54" w:rsidRPr="006C2A1C" w:rsidRDefault="00B20D54" w:rsidP="00B20D54">
      <w:pPr>
        <w:spacing w:line="240" w:lineRule="auto"/>
        <w:ind w:left="567" w:hanging="567"/>
        <w:rPr>
          <w:b/>
          <w:bCs/>
          <w:iCs/>
        </w:rPr>
      </w:pPr>
      <w:r w:rsidRPr="006C2A1C">
        <w:rPr>
          <w:b/>
          <w:bCs/>
          <w:iCs/>
        </w:rPr>
        <w:t>9.</w:t>
      </w:r>
      <w:r w:rsidRPr="006C2A1C">
        <w:rPr>
          <w:b/>
          <w:bCs/>
          <w:iCs/>
        </w:rPr>
        <w:tab/>
        <w:t>Meddelande från kommissionen till Europaparlamentet, rådet, Europeiska ekonomiska och sociala kommittén och Regionkommittén om det europeiska jordövervakningsprogrammet (GMES) och dess drift (från 2014) (ansvarig för frågan: sr Jan Björlund)</w:t>
      </w:r>
    </w:p>
    <w:p w:rsidR="00B20D54" w:rsidRPr="006C2A1C" w:rsidRDefault="00B20D54" w:rsidP="00B20D54">
      <w:pPr>
        <w:spacing w:line="240" w:lineRule="auto"/>
        <w:ind w:left="567"/>
        <w:rPr>
          <w:b/>
          <w:iCs/>
        </w:rPr>
      </w:pPr>
      <w:r w:rsidRPr="006C2A1C">
        <w:rPr>
          <w:b/>
          <w:iCs/>
        </w:rPr>
        <w:sym w:font="Symbol" w:char="F02D"/>
      </w:r>
      <w:r w:rsidRPr="006C2A1C">
        <w:rPr>
          <w:b/>
          <w:iCs/>
        </w:rPr>
        <w:tab/>
        <w:t>Diskussion</w:t>
      </w:r>
    </w:p>
    <w:p w:rsidR="00B20D54" w:rsidRPr="006C2A1C" w:rsidRDefault="00B20D54" w:rsidP="00B20D54">
      <w:pPr>
        <w:spacing w:line="240" w:lineRule="auto"/>
        <w:rPr>
          <w:bCs/>
        </w:rPr>
      </w:pPr>
    </w:p>
    <w:p w:rsidR="00B20D54" w:rsidRPr="006C2A1C" w:rsidRDefault="00B20D54" w:rsidP="00B20D54">
      <w:pPr>
        <w:spacing w:line="240" w:lineRule="auto"/>
        <w:ind w:left="1"/>
      </w:pPr>
      <w:r w:rsidRPr="006C2A1C">
        <w:t>KOM presenterade den 30 november 2011 ett meddelande om jordövervakningssystemet GMES, vilket går in i en operativ fas fr.o.m. 2014. Meddelandet utgår från KOM:s förslag till nästa långtidsbudget i vilket finansieringen av GMES för perioden 2014-20 föreslås finansieras utanför EU-budgeten.</w:t>
      </w:r>
    </w:p>
    <w:p w:rsidR="00B20D54" w:rsidRPr="006C2A1C" w:rsidRDefault="00B20D54" w:rsidP="00B20D54">
      <w:pPr>
        <w:spacing w:line="240" w:lineRule="auto"/>
        <w:ind w:left="1"/>
      </w:pPr>
    </w:p>
    <w:p w:rsidR="00B20D54" w:rsidRPr="006C2A1C" w:rsidRDefault="00B20D54" w:rsidP="00B20D54">
      <w:pPr>
        <w:spacing w:line="240" w:lineRule="auto"/>
        <w:ind w:left="1"/>
      </w:pPr>
      <w:r w:rsidRPr="006C2A1C">
        <w:rPr>
          <w:u w:val="single"/>
        </w:rPr>
        <w:t>Svensk ståndpunkt:</w:t>
      </w:r>
      <w:r w:rsidRPr="006C2A1C">
        <w:t xml:space="preserve"> Regeringen anser att GMES bör finansieras inom ramen för nästa långtidsbudget. Regeringen motsätter sig därför KOM:s finansieringsförslag.</w:t>
      </w:r>
    </w:p>
    <w:p w:rsidR="00B20D54" w:rsidRPr="006C2A1C" w:rsidRDefault="00B20D54" w:rsidP="00B20D54">
      <w:pPr>
        <w:spacing w:line="240" w:lineRule="auto"/>
        <w:rPr>
          <w:bCs/>
        </w:rPr>
      </w:pPr>
    </w:p>
    <w:p w:rsidR="00B20D54" w:rsidRPr="006C2A1C" w:rsidRDefault="00B20D54" w:rsidP="00B20D54">
      <w:pPr>
        <w:spacing w:line="240" w:lineRule="auto"/>
        <w:rPr>
          <w:bCs/>
        </w:rPr>
      </w:pPr>
      <w:r w:rsidRPr="006C2A1C">
        <w:rPr>
          <w:bCs/>
        </w:rPr>
        <w:t>Se vidare fakta-pm om GMES.</w:t>
      </w:r>
    </w:p>
    <w:p w:rsidR="00B20D54" w:rsidRPr="006C2A1C" w:rsidRDefault="00B20D54" w:rsidP="00B20D54">
      <w:pPr>
        <w:spacing w:line="240" w:lineRule="auto"/>
        <w:rPr>
          <w:bCs/>
          <w:color w:val="000000"/>
        </w:rPr>
      </w:pPr>
    </w:p>
    <w:p w:rsidR="00B20D54" w:rsidRPr="006C2A1C" w:rsidRDefault="00B20D54" w:rsidP="00B20D54">
      <w:pPr>
        <w:spacing w:line="240" w:lineRule="auto"/>
        <w:rPr>
          <w:bCs/>
          <w:u w:val="single"/>
        </w:rPr>
      </w:pPr>
    </w:p>
    <w:p w:rsidR="00B20D54" w:rsidRPr="006C2A1C" w:rsidRDefault="00B20D54" w:rsidP="00B20D54">
      <w:pPr>
        <w:spacing w:line="240" w:lineRule="auto"/>
        <w:rPr>
          <w:bCs/>
          <w:u w:val="single"/>
        </w:rPr>
      </w:pPr>
    </w:p>
    <w:p w:rsidR="00B20D54" w:rsidRPr="006C2A1C" w:rsidRDefault="00B20D54" w:rsidP="00B20D54">
      <w:pPr>
        <w:spacing w:line="240" w:lineRule="auto"/>
        <w:rPr>
          <w:bCs/>
          <w:u w:val="single"/>
        </w:rPr>
      </w:pPr>
    </w:p>
    <w:p w:rsidR="00B20D54" w:rsidRPr="006C2A1C" w:rsidRDefault="00B20D54" w:rsidP="00B20D54">
      <w:pPr>
        <w:spacing w:line="240" w:lineRule="auto"/>
        <w:rPr>
          <w:bCs/>
          <w:u w:val="single"/>
        </w:rPr>
      </w:pPr>
    </w:p>
    <w:p w:rsidR="00B20D54" w:rsidRPr="006C2A1C" w:rsidRDefault="00B20D54" w:rsidP="00B20D54">
      <w:pPr>
        <w:spacing w:line="240" w:lineRule="auto"/>
        <w:rPr>
          <w:bCs/>
          <w:u w:val="single"/>
        </w:rPr>
      </w:pPr>
      <w:r w:rsidRPr="006C2A1C">
        <w:rPr>
          <w:bCs/>
          <w:u w:val="single"/>
        </w:rPr>
        <w:t>FORSKNING</w:t>
      </w:r>
    </w:p>
    <w:p w:rsidR="00B20D54" w:rsidRPr="006C2A1C" w:rsidRDefault="00B20D54" w:rsidP="00B20D54">
      <w:pPr>
        <w:spacing w:line="240" w:lineRule="auto"/>
        <w:rPr>
          <w:bCs/>
          <w:u w:val="single"/>
        </w:rPr>
      </w:pPr>
    </w:p>
    <w:p w:rsidR="00B20D54" w:rsidRPr="006C2A1C" w:rsidRDefault="00B20D54" w:rsidP="00B20D54">
      <w:pPr>
        <w:spacing w:line="240" w:lineRule="auto"/>
        <w:rPr>
          <w:b/>
          <w:bCs/>
          <w:iCs/>
          <w:u w:val="single"/>
        </w:rPr>
      </w:pPr>
      <w:r w:rsidRPr="006C2A1C">
        <w:rPr>
          <w:b/>
          <w:bCs/>
          <w:iCs/>
          <w:u w:val="single"/>
        </w:rPr>
        <w:t>Icke lagstiftande verksamhet</w:t>
      </w:r>
    </w:p>
    <w:p w:rsidR="00B20D54" w:rsidRPr="006C2A1C" w:rsidRDefault="00B20D54" w:rsidP="00B20D54">
      <w:pPr>
        <w:spacing w:line="240" w:lineRule="auto"/>
        <w:rPr>
          <w:bCs/>
        </w:rPr>
      </w:pPr>
    </w:p>
    <w:p w:rsidR="00B20D54" w:rsidRPr="006C2A1C" w:rsidRDefault="00B20D54" w:rsidP="00B20D54">
      <w:pPr>
        <w:spacing w:line="240" w:lineRule="auto"/>
        <w:rPr>
          <w:bCs/>
        </w:rPr>
      </w:pPr>
    </w:p>
    <w:p w:rsidR="00B20D54" w:rsidRPr="006C2A1C" w:rsidRDefault="00B20D54" w:rsidP="00B20D54">
      <w:pPr>
        <w:spacing w:line="240" w:lineRule="auto"/>
        <w:rPr>
          <w:b/>
          <w:bCs/>
          <w:color w:val="000000"/>
        </w:rPr>
      </w:pPr>
      <w:r w:rsidRPr="006C2A1C">
        <w:rPr>
          <w:b/>
          <w:bCs/>
        </w:rPr>
        <w:t>10.</w:t>
      </w:r>
      <w:r w:rsidRPr="006C2A1C">
        <w:rPr>
          <w:b/>
          <w:bCs/>
        </w:rPr>
        <w:tab/>
      </w:r>
      <w:r w:rsidRPr="006C2A1C">
        <w:rPr>
          <w:b/>
        </w:rPr>
        <w:t>Europa 2020-strategin</w:t>
      </w:r>
    </w:p>
    <w:p w:rsidR="00B20D54" w:rsidRPr="006C2A1C" w:rsidRDefault="00B20D54" w:rsidP="00B20D54">
      <w:pPr>
        <w:spacing w:line="240" w:lineRule="auto"/>
        <w:ind w:left="567"/>
        <w:rPr>
          <w:b/>
          <w:iCs/>
        </w:rPr>
      </w:pPr>
      <w:r w:rsidRPr="006C2A1C">
        <w:rPr>
          <w:b/>
          <w:iCs/>
        </w:rPr>
        <w:t xml:space="preserve">(Offentlig debatt i enlighet med artikel 8.2 i rådets arbetsordning [förslag från ordförandeskapet]) </w:t>
      </w:r>
      <w:r w:rsidRPr="006C2A1C">
        <w:rPr>
          <w:b/>
          <w:bCs/>
          <w:iCs/>
        </w:rPr>
        <w:t>(ansvarig för frågan: sr Jan Björlund)</w:t>
      </w:r>
    </w:p>
    <w:p w:rsidR="00B20D54" w:rsidRPr="006C2A1C" w:rsidRDefault="00B20D54" w:rsidP="00B20D54">
      <w:pPr>
        <w:spacing w:line="240" w:lineRule="auto"/>
        <w:rPr>
          <w:b/>
          <w:iCs/>
        </w:rPr>
      </w:pPr>
    </w:p>
    <w:p w:rsidR="00B20D54" w:rsidRPr="006C2A1C" w:rsidRDefault="00B20D54" w:rsidP="00B20D54">
      <w:pPr>
        <w:spacing w:line="240" w:lineRule="auto"/>
        <w:ind w:left="567"/>
        <w:rPr>
          <w:b/>
          <w:bCs/>
        </w:rPr>
      </w:pPr>
      <w:r w:rsidRPr="006C2A1C">
        <w:rPr>
          <w:b/>
          <w:bCs/>
        </w:rPr>
        <w:t>a)</w:t>
      </w:r>
      <w:r w:rsidRPr="006C2A1C">
        <w:rPr>
          <w:b/>
          <w:bCs/>
        </w:rPr>
        <w:tab/>
        <w:t>Uppföljning av Europeiska rådets möte i februari 2011</w:t>
      </w:r>
    </w:p>
    <w:p w:rsidR="00B20D54" w:rsidRPr="006C2A1C" w:rsidRDefault="00B20D54" w:rsidP="00B20D54">
      <w:pPr>
        <w:spacing w:line="240" w:lineRule="auto"/>
        <w:ind w:left="1134"/>
        <w:rPr>
          <w:b/>
          <w:bCs/>
        </w:rPr>
      </w:pPr>
      <w:r w:rsidRPr="006C2A1C">
        <w:rPr>
          <w:b/>
          <w:bCs/>
        </w:rPr>
        <w:sym w:font="Symbol" w:char="F02D"/>
      </w:r>
      <w:r w:rsidRPr="006C2A1C">
        <w:rPr>
          <w:b/>
          <w:bCs/>
        </w:rPr>
        <w:tab/>
        <w:t>Lägesrapport</w:t>
      </w: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bCs/>
          <w:szCs w:val="24"/>
        </w:rPr>
      </w:pPr>
      <w:r w:rsidRPr="006C2A1C">
        <w:rPr>
          <w:bCs/>
          <w:szCs w:val="24"/>
        </w:rPr>
        <w:t>ER antog i februari slutsatser om forskning och innovation. En lägesrapport kommer att redovisas under denna dagordningspunkt.</w:t>
      </w:r>
    </w:p>
    <w:p w:rsidR="00B20D54" w:rsidRPr="006C2A1C" w:rsidRDefault="00B20D54" w:rsidP="00B20D54">
      <w:pPr>
        <w:spacing w:line="240" w:lineRule="auto"/>
        <w:ind w:left="567"/>
        <w:rPr>
          <w:bCs/>
          <w:szCs w:val="24"/>
        </w:rPr>
      </w:pPr>
    </w:p>
    <w:p w:rsidR="00B20D54" w:rsidRPr="006C2A1C" w:rsidRDefault="00B20D54" w:rsidP="00B20D54">
      <w:pPr>
        <w:spacing w:line="240" w:lineRule="auto"/>
        <w:ind w:left="567"/>
        <w:rPr>
          <w:iCs/>
        </w:rPr>
      </w:pPr>
      <w:r w:rsidRPr="006C2A1C">
        <w:rPr>
          <w:bCs/>
          <w:szCs w:val="24"/>
          <w:u w:val="single"/>
        </w:rPr>
        <w:t>Förslag till svensk ståndpunkt</w:t>
      </w:r>
      <w:r w:rsidRPr="006C2A1C">
        <w:rPr>
          <w:bCs/>
          <w:szCs w:val="24"/>
        </w:rPr>
        <w:t>: SE kan välkomna rapporten.</w:t>
      </w: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b/>
          <w:bCs/>
        </w:rPr>
      </w:pPr>
      <w:r w:rsidRPr="006C2A1C">
        <w:rPr>
          <w:b/>
          <w:bCs/>
        </w:rPr>
        <w:t>b)</w:t>
      </w:r>
      <w:r w:rsidRPr="006C2A1C">
        <w:rPr>
          <w:b/>
          <w:bCs/>
        </w:rPr>
        <w:tab/>
        <w:t>Den årliga tillväxtöversikten</w:t>
      </w:r>
    </w:p>
    <w:p w:rsidR="00B20D54" w:rsidRPr="006C2A1C" w:rsidRDefault="00B20D54" w:rsidP="00B20D54">
      <w:pPr>
        <w:spacing w:line="240" w:lineRule="auto"/>
        <w:ind w:left="1134"/>
        <w:rPr>
          <w:b/>
          <w:color w:val="000000"/>
        </w:rPr>
      </w:pPr>
      <w:r w:rsidRPr="006C2A1C">
        <w:rPr>
          <w:b/>
          <w:iCs/>
        </w:rPr>
        <w:sym w:font="Symbol" w:char="F02D"/>
      </w:r>
      <w:r w:rsidRPr="006C2A1C">
        <w:rPr>
          <w:b/>
          <w:iCs/>
        </w:rPr>
        <w:tab/>
      </w:r>
      <w:r w:rsidRPr="006C2A1C">
        <w:rPr>
          <w:b/>
          <w:color w:val="000000"/>
        </w:rPr>
        <w:t>Riktlinjedebatt</w:t>
      </w:r>
    </w:p>
    <w:p w:rsidR="00B20D54" w:rsidRPr="006C2A1C" w:rsidRDefault="00B20D54" w:rsidP="00B20D54">
      <w:pPr>
        <w:spacing w:line="240" w:lineRule="auto"/>
        <w:rPr>
          <w:bCs/>
        </w:rPr>
      </w:pPr>
    </w:p>
    <w:p w:rsidR="00B20D54" w:rsidRPr="006C2A1C" w:rsidRDefault="00B20D54" w:rsidP="00B20D54">
      <w:pPr>
        <w:spacing w:line="240" w:lineRule="auto"/>
        <w:rPr>
          <w:bCs/>
          <w:szCs w:val="24"/>
        </w:rPr>
      </w:pPr>
      <w:r w:rsidRPr="006C2A1C">
        <w:rPr>
          <w:bCs/>
          <w:szCs w:val="24"/>
        </w:rPr>
        <w:t>I slutet av november 2011 presenterade KOM sin årliga tillväxtöversikt, vilken inleder den Europeiska terminen. KOM rekommenderar bl.a. att medlemsstaterna prioriterar tillväxtfrämjande utgifter t.ex. forskning, innovation, utbildning och energi. Ordförandeskapet kommer att ta fram diskussionsfrågor för denna dagordningspunkt.</w:t>
      </w:r>
    </w:p>
    <w:p w:rsidR="00B20D54" w:rsidRPr="006C2A1C" w:rsidRDefault="00B20D54" w:rsidP="00B20D54">
      <w:pPr>
        <w:spacing w:line="240" w:lineRule="auto"/>
        <w:rPr>
          <w:bCs/>
          <w:szCs w:val="24"/>
        </w:rPr>
      </w:pPr>
    </w:p>
    <w:p w:rsidR="00B20D54" w:rsidRPr="006C2A1C" w:rsidRDefault="00B20D54" w:rsidP="00B20D54">
      <w:pPr>
        <w:spacing w:line="240" w:lineRule="auto"/>
        <w:rPr>
          <w:bCs/>
        </w:rPr>
      </w:pPr>
      <w:r w:rsidRPr="006C2A1C">
        <w:rPr>
          <w:bCs/>
          <w:szCs w:val="24"/>
          <w:u w:val="single"/>
        </w:rPr>
        <w:t>Förslag till svensk ståndpunkt:</w:t>
      </w:r>
      <w:r w:rsidRPr="006C2A1C">
        <w:rPr>
          <w:bCs/>
          <w:szCs w:val="24"/>
        </w:rPr>
        <w:t xml:space="preserve"> SE välkomnar en diskussion om den årliga tillväxtöversikten.</w:t>
      </w:r>
    </w:p>
    <w:p w:rsidR="00B20D54" w:rsidRPr="006C2A1C" w:rsidRDefault="00B20D54" w:rsidP="00B20D54">
      <w:pPr>
        <w:spacing w:line="240" w:lineRule="auto"/>
        <w:rPr>
          <w:b/>
          <w:bCs/>
          <w:color w:val="000000"/>
          <w:u w:val="single"/>
        </w:rPr>
      </w:pPr>
    </w:p>
    <w:p w:rsidR="00B20D54" w:rsidRPr="006C2A1C" w:rsidRDefault="00B20D54" w:rsidP="00B20D54">
      <w:pPr>
        <w:spacing w:line="240" w:lineRule="auto"/>
        <w:rPr>
          <w:b/>
          <w:bCs/>
          <w:color w:val="000000"/>
          <w:u w:val="single"/>
        </w:rPr>
      </w:pPr>
      <w:r w:rsidRPr="006C2A1C">
        <w:rPr>
          <w:b/>
          <w:bCs/>
          <w:color w:val="000000"/>
          <w:u w:val="single"/>
        </w:rPr>
        <w:t>Lagstiftningsöverläggningar</w:t>
      </w:r>
    </w:p>
    <w:p w:rsidR="00B20D54" w:rsidRPr="006C2A1C" w:rsidRDefault="00B20D54" w:rsidP="00B20D54">
      <w:pPr>
        <w:spacing w:line="240" w:lineRule="auto"/>
        <w:rPr>
          <w:b/>
          <w:bCs/>
          <w:color w:val="000000"/>
        </w:rPr>
      </w:pPr>
      <w:r w:rsidRPr="006C2A1C">
        <w:rPr>
          <w:b/>
          <w:bCs/>
          <w:color w:val="000000"/>
        </w:rPr>
        <w:t>(Offentlig överläggning i enlighet med artikel 16.8 i fördraget om Europeiska unionen)</w:t>
      </w:r>
    </w:p>
    <w:p w:rsidR="00B20D54" w:rsidRPr="006C2A1C" w:rsidRDefault="00B20D54" w:rsidP="00B20D54">
      <w:pPr>
        <w:spacing w:line="240" w:lineRule="auto"/>
        <w:rPr>
          <w:bCs/>
        </w:rPr>
      </w:pPr>
    </w:p>
    <w:p w:rsidR="00B20D54" w:rsidRPr="006C2A1C" w:rsidRDefault="00B20D54" w:rsidP="00B20D54">
      <w:pPr>
        <w:spacing w:line="240" w:lineRule="auto"/>
        <w:rPr>
          <w:bCs/>
        </w:rPr>
      </w:pPr>
    </w:p>
    <w:p w:rsidR="00B20D54" w:rsidRPr="006C2A1C" w:rsidRDefault="00B20D54" w:rsidP="00B20D54">
      <w:pPr>
        <w:spacing w:line="240" w:lineRule="auto"/>
        <w:rPr>
          <w:b/>
          <w:bCs/>
        </w:rPr>
      </w:pPr>
      <w:r w:rsidRPr="006C2A1C">
        <w:rPr>
          <w:b/>
          <w:bCs/>
        </w:rPr>
        <w:t>11.</w:t>
      </w:r>
      <w:r w:rsidRPr="006C2A1C">
        <w:rPr>
          <w:b/>
          <w:bCs/>
        </w:rPr>
        <w:tab/>
        <w:t xml:space="preserve">Europeiska institutet för innovation och teknik </w:t>
      </w:r>
      <w:r w:rsidRPr="006C2A1C">
        <w:rPr>
          <w:b/>
        </w:rPr>
        <w:t xml:space="preserve">(EIT) </w:t>
      </w:r>
      <w:r w:rsidRPr="006C2A1C">
        <w:rPr>
          <w:b/>
          <w:bCs/>
          <w:iCs/>
        </w:rPr>
        <w:t>(ansvarig för frågan: sr Annie Lööf, bereder frågan i nämnden Jan Björlund)</w:t>
      </w:r>
    </w:p>
    <w:p w:rsidR="00B20D54" w:rsidRPr="006C2A1C" w:rsidRDefault="00B20D54" w:rsidP="00B20D54">
      <w:pPr>
        <w:spacing w:line="240" w:lineRule="auto"/>
        <w:rPr>
          <w:bCs/>
        </w:rPr>
      </w:pPr>
    </w:p>
    <w:p w:rsidR="00B20D54" w:rsidRPr="006C2A1C" w:rsidRDefault="00B20D54" w:rsidP="00B20D54">
      <w:pPr>
        <w:spacing w:line="240" w:lineRule="auto"/>
        <w:ind w:left="1134" w:hanging="567"/>
      </w:pPr>
      <w:r w:rsidRPr="006C2A1C">
        <w:rPr>
          <w:bCs/>
        </w:rPr>
        <w:t>a)</w:t>
      </w:r>
      <w:r w:rsidRPr="006C2A1C">
        <w:rPr>
          <w:bCs/>
        </w:rPr>
        <w:tab/>
      </w:r>
      <w:r w:rsidRPr="006C2A1C">
        <w:t>Förslag till Europaparlamentets och rådets beslut om det strategiska innovationsprogrammet för Europeiska institutet för innovation och teknik (EIT): institutets bidrag till ett mer innovativt Europa</w:t>
      </w:r>
    </w:p>
    <w:p w:rsidR="00B20D54" w:rsidRPr="006C2A1C" w:rsidRDefault="00B20D54" w:rsidP="00B20D54">
      <w:pPr>
        <w:spacing w:line="240" w:lineRule="auto"/>
        <w:ind w:left="567"/>
      </w:pPr>
    </w:p>
    <w:p w:rsidR="00B20D54" w:rsidRPr="006C2A1C" w:rsidRDefault="00B20D54" w:rsidP="00B20D54">
      <w:pPr>
        <w:spacing w:line="240" w:lineRule="auto"/>
        <w:ind w:left="1134" w:hanging="567"/>
      </w:pPr>
      <w:r w:rsidRPr="006C2A1C">
        <w:rPr>
          <w:bCs/>
        </w:rPr>
        <w:t>b)</w:t>
      </w:r>
      <w:r w:rsidRPr="006C2A1C">
        <w:rPr>
          <w:bCs/>
        </w:rPr>
        <w:tab/>
      </w:r>
      <w:r w:rsidRPr="006C2A1C">
        <w:t>Förslag till Europaparlamentets och rådets förordning om ändring av förordning (EG) nr 294/2008 om inrättande av Europeiska institutet för innovation och teknik</w:t>
      </w:r>
    </w:p>
    <w:p w:rsidR="00B20D54" w:rsidRPr="006C2A1C" w:rsidRDefault="00B20D54" w:rsidP="00B20D54">
      <w:pPr>
        <w:spacing w:line="240" w:lineRule="auto"/>
        <w:ind w:left="567"/>
      </w:pPr>
    </w:p>
    <w:p w:rsidR="00B20D54" w:rsidRPr="006C2A1C" w:rsidRDefault="00B20D54" w:rsidP="00B20D54">
      <w:pPr>
        <w:spacing w:line="240" w:lineRule="auto"/>
        <w:ind w:left="567"/>
        <w:rPr>
          <w:iCs/>
        </w:rPr>
      </w:pPr>
      <w:r w:rsidRPr="006C2A1C">
        <w:rPr>
          <w:iCs/>
        </w:rPr>
        <w:sym w:font="Symbol" w:char="F02D"/>
      </w:r>
      <w:r w:rsidRPr="006C2A1C">
        <w:rPr>
          <w:iCs/>
        </w:rPr>
        <w:tab/>
        <w:t>Föredragning av kommissionen</w:t>
      </w:r>
    </w:p>
    <w:p w:rsidR="00B20D54" w:rsidRPr="006C2A1C" w:rsidRDefault="00B20D54" w:rsidP="00B20D54">
      <w:pPr>
        <w:spacing w:line="240" w:lineRule="auto"/>
        <w:ind w:left="567"/>
        <w:rPr>
          <w:szCs w:val="24"/>
        </w:rPr>
      </w:pPr>
    </w:p>
    <w:p w:rsidR="00B20D54" w:rsidRPr="006C2A1C" w:rsidRDefault="00B20D54" w:rsidP="00B20D54">
      <w:pPr>
        <w:spacing w:line="240" w:lineRule="auto"/>
        <w:ind w:left="1"/>
      </w:pPr>
      <w:r w:rsidRPr="006C2A1C">
        <w:t>KOM kommer att presentera sina förslag om det Europeiska institutet för innovation och teknik (EIT). EIT har bildats med målsättningen att främja innovation genom full integration av kunskapstriangeln; forskning, innovation och utbildning. Kommissionen föreslår att EIT ska bli en integrerad del i nästa ramprogram för forskning och innovation, Horisont 2020. Förslaget innebär en ytterligare satsning på att utveckla de etablerade kunskaps- och innovationsplattformarna (KIC:s) inom energi, klimatförändringar och IKT samt skapande av sex nya plattformar.</w:t>
      </w:r>
    </w:p>
    <w:p w:rsidR="00B20D54" w:rsidRPr="006C2A1C" w:rsidRDefault="00B20D54" w:rsidP="00B20D54">
      <w:pPr>
        <w:spacing w:line="240" w:lineRule="auto"/>
        <w:ind w:left="1"/>
      </w:pPr>
    </w:p>
    <w:p w:rsidR="00B20D54" w:rsidRPr="006C2A1C" w:rsidRDefault="00B20D54" w:rsidP="00B20D54">
      <w:pPr>
        <w:spacing w:line="240" w:lineRule="auto"/>
        <w:ind w:left="1"/>
      </w:pPr>
      <w:r w:rsidRPr="006C2A1C">
        <w:rPr>
          <w:u w:val="single"/>
        </w:rPr>
        <w:t>Förslag till svensk ståndpunkt:</w:t>
      </w:r>
      <w:r w:rsidRPr="006C2A1C">
        <w:t xml:space="preserve"> SE kan på ett övergripande plan välkomna kommissionens förslag, som överensstämmer med många av de ståndpunkter som SE fört fram tidigare.</w:t>
      </w:r>
    </w:p>
    <w:p w:rsidR="00B20D54" w:rsidRPr="006C2A1C" w:rsidRDefault="00B20D54" w:rsidP="00B20D54">
      <w:pPr>
        <w:spacing w:line="240" w:lineRule="auto"/>
      </w:pPr>
    </w:p>
    <w:p w:rsidR="00B20D54" w:rsidRPr="006C2A1C" w:rsidRDefault="00B20D54" w:rsidP="00B20D54">
      <w:pPr>
        <w:spacing w:line="240" w:lineRule="auto"/>
        <w:rPr>
          <w:bCs/>
        </w:rPr>
      </w:pPr>
      <w:r w:rsidRPr="006C2A1C">
        <w:rPr>
          <w:bCs/>
        </w:rPr>
        <w:t>Se vidare fakta-pm om EIT.</w:t>
      </w:r>
    </w:p>
    <w:p w:rsidR="00B20D54" w:rsidRPr="006C2A1C" w:rsidRDefault="00B20D54" w:rsidP="00B20D54">
      <w:pPr>
        <w:spacing w:line="240" w:lineRule="auto"/>
        <w:rPr>
          <w:szCs w:val="24"/>
        </w:rPr>
      </w:pPr>
    </w:p>
    <w:p w:rsidR="00B20D54" w:rsidRPr="006C2A1C" w:rsidRDefault="00B20D54" w:rsidP="00B20D54">
      <w:pPr>
        <w:spacing w:line="240" w:lineRule="auto"/>
        <w:rPr>
          <w:szCs w:val="24"/>
        </w:rPr>
      </w:pPr>
    </w:p>
    <w:p w:rsidR="00B20D54" w:rsidRPr="006C2A1C" w:rsidRDefault="00B20D54" w:rsidP="00B20D54">
      <w:pPr>
        <w:spacing w:line="240" w:lineRule="auto"/>
        <w:rPr>
          <w:b/>
        </w:rPr>
      </w:pPr>
      <w:r w:rsidRPr="006C2A1C">
        <w:rPr>
          <w:b/>
          <w:szCs w:val="24"/>
        </w:rPr>
        <w:t>12</w:t>
      </w:r>
      <w:r w:rsidRPr="006C2A1C">
        <w:rPr>
          <w:b/>
        </w:rPr>
        <w:t>.</w:t>
      </w:r>
      <w:r w:rsidRPr="006C2A1C">
        <w:rPr>
          <w:b/>
        </w:rPr>
        <w:tab/>
        <w:t xml:space="preserve">Horisont 2020 </w:t>
      </w:r>
      <w:r w:rsidRPr="006C2A1C">
        <w:rPr>
          <w:b/>
          <w:bCs/>
          <w:iCs/>
        </w:rPr>
        <w:t>(ansvarig för frågan: sr Jan Björlund)</w:t>
      </w:r>
    </w:p>
    <w:p w:rsidR="00B20D54" w:rsidRPr="006C2A1C" w:rsidRDefault="00B20D54" w:rsidP="00B20D54">
      <w:pPr>
        <w:spacing w:line="240" w:lineRule="auto"/>
        <w:rPr>
          <w:b/>
          <w:lang w:eastAsia="en-GB"/>
        </w:rPr>
      </w:pPr>
    </w:p>
    <w:p w:rsidR="00B20D54" w:rsidRPr="006C2A1C" w:rsidRDefault="00B20D54" w:rsidP="00B20D54">
      <w:pPr>
        <w:spacing w:line="240" w:lineRule="auto"/>
        <w:ind w:left="1134" w:hanging="567"/>
        <w:rPr>
          <w:b/>
        </w:rPr>
      </w:pPr>
      <w:r w:rsidRPr="006C2A1C">
        <w:rPr>
          <w:b/>
        </w:rPr>
        <w:t>a)</w:t>
      </w:r>
      <w:r w:rsidRPr="006C2A1C">
        <w:rPr>
          <w:b/>
        </w:rPr>
        <w:tab/>
        <w:t>Förslag till Europaparlamentets och rådets förordning om inrättande av Horisont 2020 – ramprogrammet för forskning och innovation (2014–2020)</w:t>
      </w:r>
    </w:p>
    <w:p w:rsidR="00B20D54" w:rsidRPr="006C2A1C" w:rsidRDefault="00B20D54" w:rsidP="00B20D54">
      <w:pPr>
        <w:spacing w:line="240" w:lineRule="auto"/>
        <w:ind w:left="1134" w:hanging="567"/>
        <w:rPr>
          <w:b/>
        </w:rPr>
      </w:pPr>
    </w:p>
    <w:p w:rsidR="00B20D54" w:rsidRPr="006C2A1C" w:rsidRDefault="00B20D54" w:rsidP="00B20D54">
      <w:pPr>
        <w:spacing w:line="240" w:lineRule="auto"/>
        <w:ind w:left="1134" w:hanging="567"/>
        <w:rPr>
          <w:b/>
        </w:rPr>
      </w:pPr>
      <w:r w:rsidRPr="006C2A1C">
        <w:rPr>
          <w:b/>
        </w:rPr>
        <w:t>b)</w:t>
      </w:r>
      <w:r w:rsidRPr="006C2A1C">
        <w:rPr>
          <w:b/>
        </w:rPr>
        <w:tab/>
        <w:t>Förslag till Europaparlamentets och rådets förordning om reglerna för deltagande och spridning i Horisont 2020 – ramprogrammet för forskning och innovation (2014–2020)</w:t>
      </w:r>
    </w:p>
    <w:p w:rsidR="00B20D54" w:rsidRPr="006C2A1C" w:rsidRDefault="00B20D54" w:rsidP="00B20D54">
      <w:pPr>
        <w:spacing w:line="240" w:lineRule="auto"/>
        <w:ind w:left="567"/>
        <w:rPr>
          <w:b/>
          <w:lang w:eastAsia="en-GB"/>
        </w:rPr>
      </w:pPr>
    </w:p>
    <w:p w:rsidR="00B20D54" w:rsidRPr="006C2A1C" w:rsidRDefault="00B20D54" w:rsidP="00B20D54">
      <w:pPr>
        <w:spacing w:line="240" w:lineRule="auto"/>
        <w:ind w:left="1134" w:hanging="567"/>
        <w:rPr>
          <w:b/>
        </w:rPr>
      </w:pPr>
      <w:r w:rsidRPr="006C2A1C">
        <w:rPr>
          <w:b/>
        </w:rPr>
        <w:t>c)</w:t>
      </w:r>
      <w:r w:rsidRPr="006C2A1C">
        <w:rPr>
          <w:b/>
        </w:rPr>
        <w:tab/>
        <w:t xml:space="preserve">Förslag till rådets beslut om inrättande av det särskilda programmet för genomförande av Horisont 2020 </w:t>
      </w:r>
      <w:r w:rsidRPr="006C2A1C">
        <w:rPr>
          <w:b/>
        </w:rPr>
        <w:sym w:font="Symbol" w:char="F02D"/>
      </w:r>
      <w:r w:rsidRPr="006C2A1C">
        <w:rPr>
          <w:b/>
        </w:rPr>
        <w:t xml:space="preserve"> ramprogrammet för forskning och innovation (2014–2020)</w:t>
      </w:r>
    </w:p>
    <w:p w:rsidR="00B20D54" w:rsidRPr="006C2A1C" w:rsidRDefault="00B20D54" w:rsidP="00B20D54">
      <w:pPr>
        <w:spacing w:line="240" w:lineRule="auto"/>
        <w:ind w:left="567"/>
        <w:rPr>
          <w:b/>
          <w:lang w:eastAsia="en-GB"/>
        </w:rPr>
      </w:pPr>
    </w:p>
    <w:p w:rsidR="00B20D54" w:rsidRPr="006C2A1C" w:rsidRDefault="00B20D54" w:rsidP="00B20D54">
      <w:pPr>
        <w:spacing w:line="240" w:lineRule="auto"/>
        <w:ind w:left="1134" w:hanging="567"/>
        <w:rPr>
          <w:b/>
        </w:rPr>
      </w:pPr>
      <w:r w:rsidRPr="006C2A1C">
        <w:rPr>
          <w:b/>
        </w:rPr>
        <w:t>d)</w:t>
      </w:r>
      <w:r w:rsidRPr="006C2A1C">
        <w:rPr>
          <w:b/>
        </w:rPr>
        <w:tab/>
        <w:t>Förslag till rådets förordning om Europeiska atomenergigemenskapens forsknings- och utbildningsprogram (2014–2018) som kompletterar Horisont 2020 – ramprogrammet för forskning och innovation</w:t>
      </w:r>
    </w:p>
    <w:p w:rsidR="00B20D54" w:rsidRPr="006C2A1C" w:rsidRDefault="00B20D54" w:rsidP="00B20D54">
      <w:pPr>
        <w:spacing w:line="240" w:lineRule="auto"/>
        <w:rPr>
          <w:b/>
          <w:iCs/>
        </w:rPr>
      </w:pPr>
    </w:p>
    <w:p w:rsidR="00B20D54" w:rsidRPr="006C2A1C" w:rsidRDefault="00B20D54" w:rsidP="00B20D54">
      <w:pPr>
        <w:spacing w:line="240" w:lineRule="auto"/>
        <w:ind w:left="567"/>
        <w:rPr>
          <w:b/>
          <w:bCs/>
        </w:rPr>
      </w:pPr>
      <w:r w:rsidRPr="006C2A1C">
        <w:rPr>
          <w:b/>
          <w:iCs/>
        </w:rPr>
        <w:sym w:font="Symbol" w:char="F02D"/>
      </w:r>
      <w:r w:rsidRPr="006C2A1C">
        <w:rPr>
          <w:b/>
          <w:iCs/>
        </w:rPr>
        <w:tab/>
      </w:r>
      <w:r w:rsidRPr="006C2A1C">
        <w:rPr>
          <w:b/>
          <w:color w:val="000000"/>
        </w:rPr>
        <w:t>Riktlinjedebatt</w:t>
      </w:r>
    </w:p>
    <w:p w:rsidR="00B20D54" w:rsidRPr="006C2A1C" w:rsidRDefault="00B20D54" w:rsidP="00B20D54">
      <w:pPr>
        <w:spacing w:line="240" w:lineRule="auto"/>
        <w:rPr>
          <w:iCs/>
        </w:rPr>
      </w:pPr>
    </w:p>
    <w:p w:rsidR="00B20D54" w:rsidRPr="006C2A1C" w:rsidRDefault="00B20D54" w:rsidP="00B20D54">
      <w:pPr>
        <w:spacing w:line="240" w:lineRule="auto"/>
        <w:ind w:left="1"/>
      </w:pPr>
      <w:r w:rsidRPr="006C2A1C">
        <w:t>Rådet kommer att föra en diskussion om KOM:s förslag till nytt ramprogram för forskning och innovation, Horisont 2020, för perioden 2014-2020. Ordförandeskapet kommer att ta fram ett antal frågor för att strukturera diskussionen.</w:t>
      </w:r>
    </w:p>
    <w:p w:rsidR="00B20D54" w:rsidRPr="006C2A1C" w:rsidRDefault="00B20D54" w:rsidP="00B20D54">
      <w:pPr>
        <w:spacing w:line="240" w:lineRule="auto"/>
        <w:ind w:left="1"/>
      </w:pPr>
    </w:p>
    <w:p w:rsidR="00B20D54" w:rsidRPr="006C2A1C" w:rsidRDefault="00B20D54" w:rsidP="00B20D54">
      <w:pPr>
        <w:spacing w:line="240" w:lineRule="auto"/>
        <w:ind w:left="1"/>
      </w:pPr>
      <w:r w:rsidRPr="006C2A1C">
        <w:rPr>
          <w:u w:val="single"/>
        </w:rPr>
        <w:t>Förslag till svensk ståndpunkt:</w:t>
      </w:r>
      <w:r w:rsidRPr="006C2A1C">
        <w:t xml:space="preserve"> SE kan på ett övergripande plan välkomna KOM:s förslag som överensstämmer med många av de ståndpunkter som SE fört fram tidigare.</w:t>
      </w:r>
    </w:p>
    <w:p w:rsidR="00B20D54" w:rsidRPr="006C2A1C" w:rsidRDefault="00B20D54" w:rsidP="00B20D54">
      <w:pPr>
        <w:spacing w:line="240" w:lineRule="auto"/>
        <w:ind w:left="1"/>
      </w:pPr>
    </w:p>
    <w:p w:rsidR="00B20D54" w:rsidRPr="006C2A1C" w:rsidRDefault="00B20D54" w:rsidP="00B20D54">
      <w:pPr>
        <w:spacing w:line="240" w:lineRule="auto"/>
        <w:rPr>
          <w:bCs/>
        </w:rPr>
      </w:pPr>
      <w:r w:rsidRPr="006C2A1C">
        <w:rPr>
          <w:bCs/>
        </w:rPr>
        <w:t>Se vidare fakta-pm om Horisont 2020.</w:t>
      </w:r>
    </w:p>
    <w:p w:rsidR="00B20D54" w:rsidRPr="006C2A1C" w:rsidRDefault="00B20D54" w:rsidP="00661EFE">
      <w:pPr>
        <w:pStyle w:val="RKnormal"/>
        <w:jc w:val="both"/>
      </w:pPr>
    </w:p>
    <w:p w:rsidR="00054FA8" w:rsidRPr="006C2A1C" w:rsidRDefault="00054FA8" w:rsidP="00661EFE">
      <w:pPr>
        <w:pStyle w:val="RKnormal"/>
        <w:jc w:val="both"/>
      </w:pPr>
    </w:p>
    <w:p w:rsidR="00054FA8" w:rsidRPr="006C2A1C" w:rsidRDefault="00054FA8" w:rsidP="00054FA8">
      <w:pPr>
        <w:spacing w:line="240" w:lineRule="auto"/>
        <w:rPr>
          <w:b/>
        </w:rPr>
      </w:pPr>
      <w:r w:rsidRPr="006C2A1C">
        <w:rPr>
          <w:b/>
        </w:rPr>
        <w:t>13.</w:t>
      </w:r>
      <w:r w:rsidRPr="006C2A1C">
        <w:rPr>
          <w:b/>
        </w:rPr>
        <w:tab/>
        <w:t>Övriga frågor</w:t>
      </w:r>
    </w:p>
    <w:p w:rsidR="00054FA8" w:rsidRPr="006C2A1C" w:rsidRDefault="00054FA8" w:rsidP="00054FA8">
      <w:pPr>
        <w:spacing w:line="240" w:lineRule="auto"/>
      </w:pPr>
    </w:p>
    <w:p w:rsidR="00054FA8" w:rsidRPr="006C2A1C" w:rsidRDefault="00054FA8" w:rsidP="00054FA8">
      <w:pPr>
        <w:spacing w:line="240" w:lineRule="auto"/>
        <w:rPr>
          <w:b/>
        </w:rPr>
      </w:pPr>
      <w:r w:rsidRPr="006C2A1C">
        <w:rPr>
          <w:b/>
        </w:rPr>
        <w:t>a)</w:t>
      </w:r>
      <w:r w:rsidRPr="006C2A1C">
        <w:rPr>
          <w:b/>
        </w:rPr>
        <w:tab/>
        <w:t>Patentpaketet</w:t>
      </w:r>
    </w:p>
    <w:p w:rsidR="00054FA8" w:rsidRPr="006C2A1C" w:rsidRDefault="00054FA8" w:rsidP="00054FA8">
      <w:pPr>
        <w:spacing w:line="240" w:lineRule="auto"/>
        <w:rPr>
          <w:i/>
        </w:rPr>
      </w:pPr>
      <w:r w:rsidRPr="006C2A1C">
        <w:rPr>
          <w:i/>
        </w:rPr>
        <w:sym w:font="Symbol" w:char="F02D"/>
      </w:r>
      <w:r w:rsidRPr="006C2A1C">
        <w:rPr>
          <w:i/>
        </w:rPr>
        <w:tab/>
        <w:t xml:space="preserve">Information från ordförandeskapet </w:t>
      </w:r>
    </w:p>
    <w:p w:rsidR="00F91A7A" w:rsidRPr="006C2A1C" w:rsidRDefault="00F91A7A" w:rsidP="00054FA8">
      <w:pPr>
        <w:spacing w:line="240" w:lineRule="auto"/>
        <w:rPr>
          <w:i/>
        </w:rPr>
      </w:pPr>
    </w:p>
    <w:p w:rsidR="00F91A7A" w:rsidRPr="006C2A1C" w:rsidRDefault="00F91A7A" w:rsidP="00F91A7A">
      <w:pPr>
        <w:pStyle w:val="RKnormal"/>
        <w:tabs>
          <w:tab w:val="num" w:pos="0"/>
        </w:tabs>
      </w:pPr>
      <w:r w:rsidRPr="006C2A1C">
        <w:t>Ansvarigt statsråd</w:t>
      </w:r>
    </w:p>
    <w:p w:rsidR="00F91A7A" w:rsidRPr="006C2A1C" w:rsidRDefault="00F91A7A" w:rsidP="00F91A7A">
      <w:pPr>
        <w:pStyle w:val="RKnormal"/>
        <w:tabs>
          <w:tab w:val="num" w:pos="0"/>
        </w:tabs>
      </w:pPr>
      <w:r w:rsidRPr="006C2A1C">
        <w:t>Beatrice Ask</w:t>
      </w:r>
    </w:p>
    <w:p w:rsidR="00054FA8" w:rsidRPr="006C2A1C" w:rsidRDefault="00054FA8" w:rsidP="00054FA8">
      <w:pPr>
        <w:spacing w:line="240" w:lineRule="auto"/>
      </w:pPr>
    </w:p>
    <w:p w:rsidR="00054FA8" w:rsidRPr="006C2A1C" w:rsidRDefault="00054FA8" w:rsidP="00054FA8">
      <w:pPr>
        <w:pStyle w:val="RKnormal"/>
        <w:rPr>
          <w:szCs w:val="24"/>
        </w:rPr>
      </w:pPr>
      <w:r w:rsidRPr="006C2A1C">
        <w:rPr>
          <w:szCs w:val="24"/>
        </w:rPr>
        <w:t xml:space="preserve">Patentpaketet, dvs. ett förbättrat patentsystem med ett enhetligt patentskydd och en enhetlig patentdomstol, är en viktig tillväxtfrämjande åtgärd. Konkurrenskraftsrådet var den 5 december 2011 nära en överenskommelse om patentpaketet. Den enda utestående frågan är placeringen av den enhetliga patentdomstolens viktigaste institution, den centrala avdelningen i första instans. Tyskland och Storbritannien blockerade en överenskommelse eftersom Paris föreslogs som säte. Endast en relevant fråga kvarstår alltså. </w:t>
      </w:r>
    </w:p>
    <w:p w:rsidR="00054FA8" w:rsidRPr="006C2A1C" w:rsidRDefault="00054FA8" w:rsidP="00054FA8">
      <w:pPr>
        <w:pStyle w:val="RKnormal"/>
        <w:rPr>
          <w:szCs w:val="24"/>
        </w:rPr>
      </w:pPr>
      <w:r w:rsidRPr="006C2A1C">
        <w:rPr>
          <w:szCs w:val="24"/>
        </w:rPr>
        <w:t>Vid det informella toppmötet den 30 januari bekräftade berörda medlems</w:t>
      </w:r>
      <w:r w:rsidRPr="006C2A1C">
        <w:rPr>
          <w:szCs w:val="24"/>
        </w:rPr>
        <w:softHyphen/>
        <w:t xml:space="preserve">stater sin ambition att nå en slutlig överenskommelse om den enda utestående frågan i patentpaketet senast i juni. Vid konkurrenskraftsrådet förväntas det danska ordförandeskapet informera om förhandlingsläget. </w:t>
      </w:r>
    </w:p>
    <w:p w:rsidR="00054FA8" w:rsidRPr="006C2A1C" w:rsidRDefault="00054FA8" w:rsidP="00054FA8">
      <w:pPr>
        <w:pStyle w:val="RKnormal"/>
        <w:rPr>
          <w:szCs w:val="24"/>
        </w:rPr>
      </w:pPr>
    </w:p>
    <w:p w:rsidR="00054FA8" w:rsidRPr="006C2A1C" w:rsidRDefault="00054FA8" w:rsidP="00054FA8">
      <w:pPr>
        <w:pStyle w:val="RKnormal"/>
        <w:rPr>
          <w:szCs w:val="24"/>
        </w:rPr>
      </w:pPr>
      <w:r w:rsidRPr="006C2A1C">
        <w:rPr>
          <w:szCs w:val="24"/>
        </w:rPr>
        <w:t>Frågan har varit uppe i EU-nämnden vid flertalet tillfällen, senast den 23 september och den 2 december 2011.</w:t>
      </w:r>
    </w:p>
    <w:p w:rsidR="00054FA8" w:rsidRPr="006C2A1C" w:rsidRDefault="00054FA8" w:rsidP="00054FA8">
      <w:pPr>
        <w:spacing w:line="240" w:lineRule="auto"/>
      </w:pPr>
    </w:p>
    <w:p w:rsidR="00054FA8" w:rsidRPr="006C2A1C" w:rsidRDefault="00054FA8" w:rsidP="00054FA8">
      <w:pPr>
        <w:spacing w:line="240" w:lineRule="auto"/>
      </w:pPr>
      <w:r w:rsidRPr="006C2A1C">
        <w:rPr>
          <w:u w:val="single"/>
        </w:rPr>
        <w:t>Förslag till svensk ståndpunkt</w:t>
      </w:r>
      <w:r w:rsidRPr="006C2A1C">
        <w:t xml:space="preserve">: Sverige välkomnar arbetet för att nå en slutlig överenskommelse om patentpaketet så snart som möjligt. </w:t>
      </w:r>
    </w:p>
    <w:p w:rsidR="00B20D54" w:rsidRPr="006C2A1C" w:rsidRDefault="00B20D54" w:rsidP="00054FA8">
      <w:pPr>
        <w:spacing w:line="240" w:lineRule="auto"/>
      </w:pPr>
    </w:p>
    <w:p w:rsidR="00B20D54" w:rsidRPr="006C2A1C" w:rsidRDefault="00B20D54" w:rsidP="00B20D54">
      <w:pPr>
        <w:spacing w:line="240" w:lineRule="auto"/>
        <w:rPr>
          <w:color w:val="000000"/>
          <w:szCs w:val="24"/>
          <w:u w:val="single"/>
        </w:rPr>
      </w:pPr>
      <w:r w:rsidRPr="006C2A1C">
        <w:rPr>
          <w:color w:val="000000"/>
          <w:szCs w:val="24"/>
          <w:u w:val="single"/>
        </w:rPr>
        <w:t>Forskning</w:t>
      </w:r>
    </w:p>
    <w:p w:rsidR="00B20D54" w:rsidRPr="006C2A1C" w:rsidRDefault="00B20D54" w:rsidP="00B20D54">
      <w:pPr>
        <w:spacing w:line="240" w:lineRule="auto"/>
        <w:rPr>
          <w:bCs/>
        </w:rPr>
      </w:pPr>
    </w:p>
    <w:p w:rsidR="00B20D54" w:rsidRPr="006C2A1C" w:rsidRDefault="00B20D54" w:rsidP="00B20D54">
      <w:pPr>
        <w:spacing w:line="240" w:lineRule="auto"/>
        <w:ind w:left="567"/>
        <w:rPr>
          <w:b/>
        </w:rPr>
      </w:pPr>
      <w:r w:rsidRPr="006C2A1C">
        <w:rPr>
          <w:b/>
          <w:bCs/>
        </w:rPr>
        <w:t>b)</w:t>
      </w:r>
      <w:r w:rsidRPr="006C2A1C">
        <w:rPr>
          <w:b/>
          <w:bCs/>
        </w:rPr>
        <w:tab/>
      </w:r>
      <w:r w:rsidRPr="006C2A1C">
        <w:rPr>
          <w:b/>
        </w:rPr>
        <w:t>Innovation för hållbar tillväxt: en europeisk bioekonomi</w:t>
      </w:r>
    </w:p>
    <w:p w:rsidR="00B20D54" w:rsidRPr="006C2A1C" w:rsidRDefault="00B20D54" w:rsidP="00B20D54">
      <w:pPr>
        <w:spacing w:line="240" w:lineRule="auto"/>
        <w:ind w:left="1134"/>
        <w:rPr>
          <w:b/>
          <w:bCs/>
        </w:rPr>
      </w:pPr>
      <w:r w:rsidRPr="006C2A1C">
        <w:rPr>
          <w:b/>
          <w:bCs/>
        </w:rPr>
        <w:sym w:font="Symbol" w:char="F02D"/>
      </w:r>
      <w:r w:rsidRPr="006C2A1C">
        <w:rPr>
          <w:b/>
          <w:bCs/>
        </w:rPr>
        <w:tab/>
        <w:t>Information från kommissionen</w:t>
      </w:r>
    </w:p>
    <w:p w:rsidR="00B20D54" w:rsidRPr="006C2A1C" w:rsidRDefault="00B20D54" w:rsidP="00B20D54">
      <w:pPr>
        <w:spacing w:line="240" w:lineRule="auto"/>
        <w:ind w:left="1134"/>
        <w:rPr>
          <w:iCs/>
        </w:rPr>
      </w:pPr>
    </w:p>
    <w:p w:rsidR="00B20D54" w:rsidRPr="006C2A1C" w:rsidRDefault="00B20D54" w:rsidP="00B20D54">
      <w:pPr>
        <w:spacing w:line="240" w:lineRule="auto"/>
        <w:ind w:left="567"/>
        <w:rPr>
          <w:iCs/>
        </w:rPr>
      </w:pPr>
      <w:r w:rsidRPr="006C2A1C">
        <w:rPr>
          <w:iCs/>
        </w:rPr>
        <w:t>KOM avser att presentera sitt meddelande om bioekonomi, vilket bl.a. inbegriper forskning och innovation.</w:t>
      </w:r>
    </w:p>
    <w:p w:rsidR="00B20D54" w:rsidRPr="006C2A1C" w:rsidRDefault="00B20D54" w:rsidP="00B20D54">
      <w:pPr>
        <w:spacing w:line="240" w:lineRule="auto"/>
        <w:ind w:left="1134"/>
        <w:rPr>
          <w:iCs/>
        </w:rPr>
      </w:pPr>
    </w:p>
    <w:p w:rsidR="00B20D54" w:rsidRPr="006C2A1C" w:rsidRDefault="00B20D54" w:rsidP="00B20D54">
      <w:pPr>
        <w:spacing w:line="240" w:lineRule="auto"/>
        <w:ind w:left="567"/>
        <w:rPr>
          <w:bCs/>
        </w:rPr>
      </w:pPr>
    </w:p>
    <w:p w:rsidR="00B20D54" w:rsidRPr="006C2A1C" w:rsidRDefault="00B20D54" w:rsidP="00B20D54">
      <w:pPr>
        <w:spacing w:line="240" w:lineRule="auto"/>
        <w:ind w:left="1134" w:hanging="567"/>
        <w:rPr>
          <w:b/>
          <w:bCs/>
        </w:rPr>
      </w:pPr>
      <w:r w:rsidRPr="006C2A1C">
        <w:rPr>
          <w:bCs/>
        </w:rPr>
        <w:t>c)</w:t>
      </w:r>
      <w:r w:rsidRPr="006C2A1C">
        <w:rPr>
          <w:bCs/>
        </w:rPr>
        <w:tab/>
      </w:r>
      <w:r w:rsidRPr="006C2A1C">
        <w:rPr>
          <w:b/>
        </w:rPr>
        <w:t>Det europeiska forskningsområdets ramverk: Områden med outnyttjad potential för utvecklingen av det europeiska forskningsområdet – resultat från det offentliga samrådet</w:t>
      </w:r>
    </w:p>
    <w:p w:rsidR="00B20D54" w:rsidRPr="006C2A1C" w:rsidRDefault="00B20D54" w:rsidP="00B20D54">
      <w:pPr>
        <w:spacing w:line="240" w:lineRule="auto"/>
        <w:ind w:left="1134"/>
        <w:rPr>
          <w:b/>
          <w:iCs/>
        </w:rPr>
      </w:pPr>
      <w:r w:rsidRPr="006C2A1C">
        <w:rPr>
          <w:b/>
          <w:bCs/>
        </w:rPr>
        <w:sym w:font="Symbol" w:char="F02D"/>
      </w:r>
      <w:r w:rsidRPr="006C2A1C">
        <w:rPr>
          <w:b/>
          <w:bCs/>
        </w:rPr>
        <w:tab/>
        <w:t>Information från kommissionen</w:t>
      </w: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iCs/>
        </w:rPr>
      </w:pPr>
      <w:r w:rsidRPr="006C2A1C">
        <w:rPr>
          <w:iCs/>
        </w:rPr>
        <w:t>Under hösten 2011 har KOM haft en konsultation om hur det Europeiska forskningsområdet kan förverkligas. KOM avser att presentera resultaten från konsultationen.</w:t>
      </w: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b/>
          <w:iCs/>
        </w:rPr>
      </w:pPr>
      <w:r w:rsidRPr="006C2A1C">
        <w:rPr>
          <w:b/>
          <w:iCs/>
        </w:rPr>
        <w:t>d)</w:t>
      </w:r>
      <w:r w:rsidRPr="006C2A1C">
        <w:rPr>
          <w:b/>
          <w:iCs/>
        </w:rPr>
        <w:tab/>
        <w:t xml:space="preserve">ITER </w:t>
      </w:r>
      <w:r w:rsidRPr="006C2A1C">
        <w:rPr>
          <w:b/>
          <w:iCs/>
        </w:rPr>
        <w:sym w:font="Symbol" w:char="F02D"/>
      </w:r>
      <w:r w:rsidRPr="006C2A1C">
        <w:rPr>
          <w:b/>
          <w:iCs/>
        </w:rPr>
        <w:t xml:space="preserve"> Lägesrapport</w:t>
      </w:r>
    </w:p>
    <w:p w:rsidR="00B20D54" w:rsidRPr="006C2A1C" w:rsidRDefault="00B20D54" w:rsidP="00B20D54">
      <w:pPr>
        <w:spacing w:line="240" w:lineRule="auto"/>
        <w:ind w:left="1134"/>
        <w:rPr>
          <w:b/>
          <w:iCs/>
        </w:rPr>
      </w:pPr>
      <w:r w:rsidRPr="006C2A1C">
        <w:rPr>
          <w:b/>
          <w:bCs/>
        </w:rPr>
        <w:sym w:font="Symbol" w:char="F02D"/>
      </w:r>
      <w:r w:rsidRPr="006C2A1C">
        <w:rPr>
          <w:b/>
          <w:bCs/>
        </w:rPr>
        <w:tab/>
        <w:t>Information från kommissionen</w:t>
      </w: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iCs/>
        </w:rPr>
      </w:pPr>
      <w:r w:rsidRPr="006C2A1C">
        <w:rPr>
          <w:iCs/>
        </w:rPr>
        <w:t>KOM avser att ge en uppdatering vad gäller ITER.</w:t>
      </w:r>
    </w:p>
    <w:p w:rsidR="00B20D54" w:rsidRPr="006C2A1C" w:rsidRDefault="00B20D54" w:rsidP="00B20D54">
      <w:pPr>
        <w:spacing w:line="240" w:lineRule="auto"/>
        <w:ind w:left="567"/>
        <w:rPr>
          <w:iCs/>
        </w:rPr>
      </w:pPr>
    </w:p>
    <w:p w:rsidR="00B20D54" w:rsidRPr="006C2A1C" w:rsidRDefault="00B20D54" w:rsidP="00B20D54">
      <w:pPr>
        <w:spacing w:line="240" w:lineRule="auto"/>
        <w:ind w:left="567"/>
        <w:rPr>
          <w:b/>
          <w:iCs/>
        </w:rPr>
      </w:pPr>
      <w:r w:rsidRPr="006C2A1C">
        <w:rPr>
          <w:b/>
          <w:color w:val="000000"/>
        </w:rPr>
        <w:t>e)</w:t>
      </w:r>
      <w:r w:rsidRPr="006C2A1C">
        <w:rPr>
          <w:b/>
          <w:color w:val="000000"/>
        </w:rPr>
        <w:tab/>
      </w:r>
      <w:r w:rsidRPr="006C2A1C">
        <w:rPr>
          <w:b/>
          <w:iCs/>
        </w:rPr>
        <w:t>Resultat av konkurrenskraftsrådets informella möte</w:t>
      </w:r>
    </w:p>
    <w:p w:rsidR="00B20D54" w:rsidRPr="006C2A1C" w:rsidRDefault="00B20D54" w:rsidP="00B20D54">
      <w:pPr>
        <w:spacing w:line="240" w:lineRule="auto"/>
        <w:ind w:left="1134"/>
        <w:rPr>
          <w:b/>
          <w:color w:val="000000"/>
        </w:rPr>
      </w:pPr>
      <w:r w:rsidRPr="006C2A1C">
        <w:rPr>
          <w:b/>
          <w:color w:val="000000"/>
        </w:rPr>
        <w:t>(Köpenhamn den 1–2 februari 2012)</w:t>
      </w:r>
    </w:p>
    <w:p w:rsidR="00B20D54" w:rsidRPr="006C2A1C" w:rsidRDefault="00B20D54" w:rsidP="00B20D54">
      <w:pPr>
        <w:spacing w:line="240" w:lineRule="auto"/>
        <w:ind w:left="567"/>
        <w:rPr>
          <w:b/>
          <w:color w:val="000000"/>
          <w:szCs w:val="24"/>
        </w:rPr>
      </w:pPr>
      <w:r w:rsidRPr="006C2A1C">
        <w:rPr>
          <w:b/>
          <w:color w:val="000000"/>
          <w:szCs w:val="24"/>
        </w:rPr>
        <w:tab/>
      </w:r>
      <w:r w:rsidRPr="006C2A1C">
        <w:rPr>
          <w:b/>
          <w:color w:val="000000"/>
          <w:szCs w:val="24"/>
        </w:rPr>
        <w:sym w:font="Symbol" w:char="F02D"/>
      </w:r>
      <w:r w:rsidRPr="006C2A1C">
        <w:rPr>
          <w:b/>
          <w:color w:val="000000"/>
          <w:szCs w:val="24"/>
        </w:rPr>
        <w:tab/>
        <w:t>Information från ordförandeskapet</w:t>
      </w:r>
    </w:p>
    <w:p w:rsidR="00B20D54" w:rsidRPr="006C2A1C" w:rsidRDefault="00B20D54" w:rsidP="00B20D54">
      <w:pPr>
        <w:spacing w:line="240" w:lineRule="auto"/>
        <w:ind w:left="567"/>
        <w:rPr>
          <w:color w:val="000000"/>
          <w:szCs w:val="24"/>
        </w:rPr>
      </w:pPr>
    </w:p>
    <w:p w:rsidR="00B20D54" w:rsidRPr="006C2A1C" w:rsidRDefault="00B20D54" w:rsidP="00B20D54">
      <w:pPr>
        <w:spacing w:line="240" w:lineRule="auto"/>
        <w:ind w:left="567"/>
        <w:rPr>
          <w:color w:val="000000"/>
          <w:szCs w:val="24"/>
        </w:rPr>
      </w:pPr>
      <w:r w:rsidRPr="006C2A1C">
        <w:rPr>
          <w:color w:val="000000"/>
          <w:szCs w:val="24"/>
        </w:rPr>
        <w:t>Ordförandeskapet avser att redovisa utfallet av diskussionerna vid informella KKR i Köpenhamn den 1-2 februari där Horisont 2020 diskuterades.</w:t>
      </w:r>
    </w:p>
    <w:p w:rsidR="00B20D54" w:rsidRPr="006C2A1C" w:rsidRDefault="00B20D54" w:rsidP="00B20D54">
      <w:pPr>
        <w:spacing w:line="240" w:lineRule="auto"/>
        <w:rPr>
          <w:iCs/>
        </w:rPr>
      </w:pPr>
    </w:p>
    <w:p w:rsidR="00B20D54" w:rsidRPr="006C2A1C" w:rsidRDefault="00B20D54" w:rsidP="00B20D54">
      <w:pPr>
        <w:spacing w:line="240" w:lineRule="auto"/>
        <w:ind w:left="1"/>
      </w:pPr>
    </w:p>
    <w:p w:rsidR="00B20D54" w:rsidRPr="006C2A1C" w:rsidRDefault="00B20D54" w:rsidP="00054FA8">
      <w:pPr>
        <w:spacing w:line="240" w:lineRule="auto"/>
      </w:pPr>
    </w:p>
    <w:p w:rsidR="00054FA8" w:rsidRPr="006C2A1C" w:rsidRDefault="00054FA8" w:rsidP="00054FA8">
      <w:pPr>
        <w:pStyle w:val="RKnormal"/>
        <w:jc w:val="both"/>
      </w:pPr>
    </w:p>
    <w:sectPr w:rsidR="00054FA8" w:rsidRPr="006C2A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551" w:rsidRPr="006C2A1C" w:rsidRDefault="00FE0551">
      <w:r w:rsidRPr="006C2A1C">
        <w:separator/>
      </w:r>
    </w:p>
  </w:endnote>
  <w:endnote w:type="continuationSeparator" w:id="0">
    <w:p w:rsidR="00FE0551" w:rsidRPr="006C2A1C" w:rsidRDefault="00FE0551">
      <w:r w:rsidRPr="006C2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551" w:rsidRPr="006C2A1C" w:rsidRDefault="00FE0551">
      <w:r w:rsidRPr="006C2A1C">
        <w:separator/>
      </w:r>
    </w:p>
  </w:footnote>
  <w:footnote w:type="continuationSeparator" w:id="0">
    <w:p w:rsidR="00FE0551" w:rsidRPr="006C2A1C" w:rsidRDefault="00FE0551">
      <w:r w:rsidRPr="006C2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C2C" w:rsidRPr="006C2A1C" w:rsidRDefault="00E20C2C">
    <w:pPr>
      <w:pStyle w:val="Sidhuvud"/>
      <w:framePr w:wrap="around" w:vAnchor="text" w:hAnchor="margin" w:xAlign="right" w:y="1"/>
      <w:rPr>
        <w:rStyle w:val="Sidnummer"/>
      </w:rPr>
    </w:pPr>
    <w:r w:rsidRPr="006C2A1C">
      <w:rPr>
        <w:rStyle w:val="Sidnummer"/>
      </w:rPr>
      <w:fldChar w:fldCharType="begin" w:fldLock="1"/>
    </w:r>
    <w:r w:rsidRPr="006C2A1C">
      <w:rPr>
        <w:rStyle w:val="Sidnummer"/>
      </w:rPr>
      <w:instrText xml:space="preserve">PAGE  </w:instrText>
    </w:r>
    <w:r w:rsidRPr="006C2A1C">
      <w:rPr>
        <w:rStyle w:val="Sidnummer"/>
      </w:rPr>
      <w:fldChar w:fldCharType="separate"/>
    </w:r>
    <w:r w:rsidR="007F0FF9" w:rsidRPr="006C2A1C">
      <w:rPr>
        <w:rStyle w:val="Sidnummer"/>
      </w:rPr>
      <w:t>2</w:t>
    </w:r>
    <w:r w:rsidRPr="006C2A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20C2C" w:rsidRPr="006C2A1C">
      <w:tblPrEx>
        <w:tblCellMar>
          <w:top w:w="0" w:type="dxa"/>
          <w:bottom w:w="0" w:type="dxa"/>
        </w:tblCellMar>
      </w:tblPrEx>
      <w:trPr>
        <w:cantSplit/>
      </w:trPr>
      <w:tc>
        <w:tcPr>
          <w:tcW w:w="3119" w:type="dxa"/>
        </w:tcPr>
        <w:p w:rsidR="00E20C2C" w:rsidRPr="006C2A1C" w:rsidRDefault="00E20C2C">
          <w:pPr>
            <w:pStyle w:val="Sidhuvud"/>
            <w:spacing w:line="200" w:lineRule="atLeast"/>
            <w:ind w:right="357"/>
            <w:rPr>
              <w:rFonts w:ascii="TradeGothic" w:hAnsi="TradeGothic"/>
              <w:b/>
              <w:bCs/>
              <w:sz w:val="16"/>
            </w:rPr>
          </w:pPr>
        </w:p>
      </w:tc>
      <w:tc>
        <w:tcPr>
          <w:tcW w:w="4111" w:type="dxa"/>
          <w:tcMar>
            <w:left w:w="567" w:type="dxa"/>
          </w:tcMar>
        </w:tcPr>
        <w:p w:rsidR="00E20C2C" w:rsidRPr="006C2A1C" w:rsidRDefault="00E20C2C">
          <w:pPr>
            <w:pStyle w:val="Sidhuvud"/>
            <w:ind w:right="360"/>
          </w:pPr>
        </w:p>
      </w:tc>
      <w:tc>
        <w:tcPr>
          <w:tcW w:w="1525" w:type="dxa"/>
        </w:tcPr>
        <w:p w:rsidR="00E20C2C" w:rsidRPr="006C2A1C" w:rsidRDefault="00E20C2C">
          <w:pPr>
            <w:pStyle w:val="Sidhuvud"/>
            <w:ind w:right="360"/>
          </w:pPr>
        </w:p>
      </w:tc>
    </w:tr>
  </w:tbl>
  <w:p w:rsidR="00E20C2C" w:rsidRPr="006C2A1C" w:rsidRDefault="00E20C2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C2C" w:rsidRPr="006C2A1C" w:rsidRDefault="00E20C2C">
    <w:pPr>
      <w:pStyle w:val="Sidhuvud"/>
      <w:framePr w:wrap="around" w:vAnchor="text" w:hAnchor="margin" w:xAlign="right" w:y="1"/>
      <w:rPr>
        <w:rStyle w:val="Sidnummer"/>
      </w:rPr>
    </w:pPr>
    <w:r w:rsidRPr="006C2A1C">
      <w:rPr>
        <w:rStyle w:val="Sidnummer"/>
      </w:rPr>
      <w:fldChar w:fldCharType="begin" w:fldLock="1"/>
    </w:r>
    <w:r w:rsidRPr="006C2A1C">
      <w:rPr>
        <w:rStyle w:val="Sidnummer"/>
      </w:rPr>
      <w:instrText xml:space="preserve">PAGE  </w:instrText>
    </w:r>
    <w:r w:rsidRPr="006C2A1C">
      <w:rPr>
        <w:rStyle w:val="Sidnummer"/>
      </w:rPr>
      <w:fldChar w:fldCharType="separate"/>
    </w:r>
    <w:r w:rsidR="007F0FF9" w:rsidRPr="006C2A1C">
      <w:rPr>
        <w:rStyle w:val="Sidnummer"/>
      </w:rPr>
      <w:t>3</w:t>
    </w:r>
    <w:r w:rsidRPr="006C2A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20C2C" w:rsidRPr="006C2A1C">
      <w:tblPrEx>
        <w:tblCellMar>
          <w:top w:w="0" w:type="dxa"/>
          <w:bottom w:w="0" w:type="dxa"/>
        </w:tblCellMar>
      </w:tblPrEx>
      <w:trPr>
        <w:cantSplit/>
      </w:trPr>
      <w:tc>
        <w:tcPr>
          <w:tcW w:w="3119" w:type="dxa"/>
        </w:tcPr>
        <w:p w:rsidR="00E20C2C" w:rsidRPr="006C2A1C" w:rsidRDefault="00E20C2C">
          <w:pPr>
            <w:pStyle w:val="Sidhuvud"/>
            <w:spacing w:line="200" w:lineRule="atLeast"/>
            <w:ind w:right="357"/>
            <w:rPr>
              <w:rFonts w:ascii="TradeGothic" w:hAnsi="TradeGothic"/>
              <w:b/>
              <w:bCs/>
              <w:sz w:val="16"/>
            </w:rPr>
          </w:pPr>
        </w:p>
      </w:tc>
      <w:tc>
        <w:tcPr>
          <w:tcW w:w="4111" w:type="dxa"/>
          <w:tcMar>
            <w:left w:w="567" w:type="dxa"/>
          </w:tcMar>
        </w:tcPr>
        <w:p w:rsidR="00E20C2C" w:rsidRPr="006C2A1C" w:rsidRDefault="00E20C2C">
          <w:pPr>
            <w:pStyle w:val="Sidhuvud"/>
            <w:ind w:right="360"/>
          </w:pPr>
        </w:p>
      </w:tc>
      <w:tc>
        <w:tcPr>
          <w:tcW w:w="1525" w:type="dxa"/>
        </w:tcPr>
        <w:p w:rsidR="00E20C2C" w:rsidRPr="006C2A1C" w:rsidRDefault="00E20C2C">
          <w:pPr>
            <w:pStyle w:val="Sidhuvud"/>
            <w:ind w:right="360"/>
          </w:pPr>
        </w:p>
      </w:tc>
    </w:tr>
  </w:tbl>
  <w:p w:rsidR="00E20C2C" w:rsidRPr="006C2A1C" w:rsidRDefault="00E20C2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C2C" w:rsidRPr="006C2A1C" w:rsidRDefault="006C2A1C">
    <w:pPr>
      <w:framePr w:w="2948" w:h="1321" w:hRule="exact" w:wrap="notBeside" w:vAnchor="page" w:hAnchor="page" w:x="1362" w:y="653"/>
    </w:pPr>
    <w:r w:rsidRPr="006C2A1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20C2C" w:rsidRPr="006C2A1C" w:rsidRDefault="00E20C2C">
    <w:pPr>
      <w:pStyle w:val="RKrubrik"/>
      <w:keepNext w:val="0"/>
      <w:tabs>
        <w:tab w:val="clear" w:pos="1134"/>
        <w:tab w:val="clear" w:pos="2835"/>
      </w:tabs>
      <w:spacing w:before="0" w:after="0" w:line="320" w:lineRule="atLeast"/>
      <w:rPr>
        <w:bCs/>
      </w:rPr>
    </w:pPr>
  </w:p>
  <w:p w:rsidR="00E20C2C" w:rsidRPr="006C2A1C" w:rsidRDefault="00E20C2C">
    <w:pPr>
      <w:rPr>
        <w:rFonts w:ascii="TradeGothic" w:hAnsi="TradeGothic"/>
        <w:b/>
        <w:bCs/>
        <w:spacing w:val="12"/>
        <w:sz w:val="22"/>
      </w:rPr>
    </w:pPr>
  </w:p>
  <w:p w:rsidR="00E20C2C" w:rsidRPr="006C2A1C" w:rsidRDefault="00E20C2C">
    <w:pPr>
      <w:pStyle w:val="RKrubrik"/>
      <w:keepNext w:val="0"/>
      <w:tabs>
        <w:tab w:val="clear" w:pos="1134"/>
        <w:tab w:val="clear" w:pos="2835"/>
      </w:tabs>
      <w:spacing w:before="0" w:after="0" w:line="320" w:lineRule="atLeast"/>
      <w:rPr>
        <w:bCs/>
      </w:rPr>
    </w:pPr>
  </w:p>
  <w:p w:rsidR="00E20C2C" w:rsidRPr="006C2A1C" w:rsidRDefault="00E20C2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F2E"/>
    <w:multiLevelType w:val="hybridMultilevel"/>
    <w:tmpl w:val="EC0E98A2"/>
    <w:lvl w:ilvl="0" w:tplc="B3681D70">
      <w:numFmt w:val="bullet"/>
      <w:lvlText w:val="-"/>
      <w:lvlJc w:val="left"/>
      <w:pPr>
        <w:tabs>
          <w:tab w:val="num" w:pos="420"/>
        </w:tabs>
        <w:ind w:left="4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C97A6B"/>
    <w:multiLevelType w:val="hybridMultilevel"/>
    <w:tmpl w:val="CD8AE4E4"/>
    <w:lvl w:ilvl="0" w:tplc="DE64447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2431723">
    <w:abstractNumId w:val="1"/>
  </w:num>
  <w:num w:numId="2" w16cid:durableId="109100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703D8"/>
    <w:rsid w:val="00006096"/>
    <w:rsid w:val="00054FA8"/>
    <w:rsid w:val="000A052A"/>
    <w:rsid w:val="000E0E8A"/>
    <w:rsid w:val="00117671"/>
    <w:rsid w:val="00132563"/>
    <w:rsid w:val="00143878"/>
    <w:rsid w:val="00150384"/>
    <w:rsid w:val="001805B7"/>
    <w:rsid w:val="002358AF"/>
    <w:rsid w:val="002703D8"/>
    <w:rsid w:val="002843AB"/>
    <w:rsid w:val="002D480A"/>
    <w:rsid w:val="003704BA"/>
    <w:rsid w:val="00491AB1"/>
    <w:rsid w:val="004952EE"/>
    <w:rsid w:val="004A328D"/>
    <w:rsid w:val="00560CA2"/>
    <w:rsid w:val="00577008"/>
    <w:rsid w:val="0058066A"/>
    <w:rsid w:val="0058762B"/>
    <w:rsid w:val="005F5DBF"/>
    <w:rsid w:val="00632B74"/>
    <w:rsid w:val="00644546"/>
    <w:rsid w:val="00661EFE"/>
    <w:rsid w:val="00681783"/>
    <w:rsid w:val="00682F24"/>
    <w:rsid w:val="006C2A1C"/>
    <w:rsid w:val="006C7F1E"/>
    <w:rsid w:val="006D3155"/>
    <w:rsid w:val="006E4E11"/>
    <w:rsid w:val="00707C71"/>
    <w:rsid w:val="007175BC"/>
    <w:rsid w:val="00720C52"/>
    <w:rsid w:val="007242A3"/>
    <w:rsid w:val="00783F28"/>
    <w:rsid w:val="00784378"/>
    <w:rsid w:val="007A6855"/>
    <w:rsid w:val="007F0FF9"/>
    <w:rsid w:val="008C6EA2"/>
    <w:rsid w:val="009A53E0"/>
    <w:rsid w:val="009D683F"/>
    <w:rsid w:val="00A20BAA"/>
    <w:rsid w:val="00A82BF2"/>
    <w:rsid w:val="00A86D8C"/>
    <w:rsid w:val="00AD4937"/>
    <w:rsid w:val="00B20D54"/>
    <w:rsid w:val="00B43660"/>
    <w:rsid w:val="00C05E48"/>
    <w:rsid w:val="00C26D54"/>
    <w:rsid w:val="00C70D70"/>
    <w:rsid w:val="00D133D7"/>
    <w:rsid w:val="00D25EF4"/>
    <w:rsid w:val="00D33496"/>
    <w:rsid w:val="00D42FE7"/>
    <w:rsid w:val="00D47C32"/>
    <w:rsid w:val="00D5307E"/>
    <w:rsid w:val="00D77113"/>
    <w:rsid w:val="00E14FA0"/>
    <w:rsid w:val="00E20C2C"/>
    <w:rsid w:val="00E40F96"/>
    <w:rsid w:val="00E86282"/>
    <w:rsid w:val="00EC25F9"/>
    <w:rsid w:val="00ED583F"/>
    <w:rsid w:val="00F378CF"/>
    <w:rsid w:val="00F63643"/>
    <w:rsid w:val="00F74F91"/>
    <w:rsid w:val="00F91A7A"/>
    <w:rsid w:val="00F94876"/>
    <w:rsid w:val="00FB765F"/>
    <w:rsid w:val="00FE05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1E33C-75E1-409B-BB1E-2B6E217C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58066A"/>
    <w:rPr>
      <w:rFonts w:ascii="Tahoma" w:hAnsi="Tahoma" w:cs="Tahoma"/>
      <w:sz w:val="16"/>
      <w:szCs w:val="16"/>
    </w:rPr>
  </w:style>
  <w:style w:type="character" w:customStyle="1" w:styleId="RKnormalChar">
    <w:name w:val="RKnormal Char"/>
    <w:link w:val="RKnormal"/>
    <w:rsid w:val="00FB765F"/>
    <w:rPr>
      <w:rFonts w:ascii="OrigGarmnd BT" w:hAnsi="OrigGarmnd BT"/>
      <w:sz w:val="24"/>
      <w:lang w:val="sv-SE" w:eastAsia="en-US" w:bidi="ar-SA"/>
    </w:rPr>
  </w:style>
  <w:style w:type="paragraph" w:styleId="Normaltindrag">
    <w:name w:val="Normal Indent"/>
    <w:basedOn w:val="Normal"/>
    <w:rsid w:val="00644546"/>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2235</Words>
  <Characters>14417</Characters>
  <Application>Microsoft Office Word</Application>
  <DocSecurity>4</DocSecurity>
  <Lines>424</Lines>
  <Paragraphs>141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2011-09-21T09:45:00Z</cp:lastPrinted>
  <dcterms:created xsi:type="dcterms:W3CDTF">2025-12-17T21:41:00Z</dcterms:created>
  <dcterms:modified xsi:type="dcterms:W3CDTF">2025-12-17T21:41:00Z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Sofia Hercules</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Sofia Hercules</vt:lpwstr>
  </property>
  <property fmtid="{D5CDD505-2E9C-101B-9397-08002B2CF9AE}" pid="18" name="RKOrdnaDepartement2">
    <vt:lpwstr>Näringsdepartementet</vt:lpwstr>
  </property>
  <property fmtid="{D5CDD505-2E9C-101B-9397-08002B2CF9AE}" pid="19" name="RKOrdnaActivityCategory2">
    <vt:lpwstr>4.1.2. Rådsarbete</vt:lpwstr>
  </property>
  <property fmtid="{D5CDD505-2E9C-101B-9397-08002B2CF9AE}" pid="20" name="ContentTypeId">
    <vt:lpwstr>0x010100D4E2D80DC721422ABBDF033BB3857F49030036606E08A0126A4D909FD60C9B421A9B</vt:lpwstr>
  </property>
  <property fmtid="{D5CDD505-2E9C-101B-9397-08002B2CF9AE}" pid="21" name="QFMSP source name">
    <vt:lpwstr/>
  </property>
</Properties>
</file>