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D5E" w:rsidRPr="00F67906" w:rsidRDefault="003E3D5E">
      <w:pPr>
        <w:pStyle w:val="Rubrik1"/>
        <w:shd w:val="clear" w:color="000000" w:fill="auto"/>
      </w:pPr>
      <w:r w:rsidRPr="00F67906">
        <w:t>Sammanfattning</w:t>
      </w:r>
    </w:p>
    <w:p w:rsidR="003E3D5E" w:rsidRPr="00F67906" w:rsidRDefault="003E3D5E">
      <w:pPr>
        <w:shd w:val="clear" w:color="000000" w:fill="auto"/>
      </w:pPr>
      <w:r w:rsidRPr="00F67906">
        <w:t>Genom att minska stödet inom energiområdet underlättas inte omställningen av det svenska energisystemet. Vänsterpartiet vill att investeringar i det svenska energisystemet ska bidra till att underlätta miljö- och klimatomstäl</w:t>
      </w:r>
      <w:r w:rsidRPr="00F67906">
        <w:t>l</w:t>
      </w:r>
      <w:r w:rsidRPr="00F67906">
        <w:t>ningen i Sverige. Mot den bakgrunden är en fortsatt satsning på förnybar elproduktion nödvändig för att nå målet till ett ekologiskt hållbart samhälle.</w:t>
      </w:r>
    </w:p>
    <w:p w:rsidR="003E3D5E" w:rsidRPr="00F67906" w:rsidRDefault="003E3D5E">
      <w:pPr>
        <w:pStyle w:val="Frslagsrubrik"/>
        <w:shd w:val="clear" w:color="000000" w:fill="auto"/>
      </w:pPr>
      <w:r w:rsidRPr="00F67906">
        <w:t>Förslag till riksdagsbeslut</w:t>
      </w:r>
    </w:p>
    <w:p w:rsidR="003E3D5E" w:rsidRPr="00F67906" w:rsidRDefault="003E3D5E">
      <w:pPr>
        <w:pStyle w:val="Hemstlatt"/>
        <w:shd w:val="clear" w:color="000000" w:fill="auto"/>
        <w:ind w:left="0"/>
      </w:pPr>
      <w:r w:rsidRPr="00F67906">
        <w:t>Riksdagen anvisar med följande ändringar i förhålla</w:t>
      </w:r>
      <w:r w:rsidRPr="00F67906">
        <w:t>n</w:t>
      </w:r>
      <w:r w:rsidRPr="00F67906">
        <w:t>de till regeringens förslag anslagen under utgiftsområde 21 Energi enligt uppställning:</w:t>
      </w:r>
    </w:p>
    <w:tbl>
      <w:tblPr>
        <w:tblW w:w="6124" w:type="dxa"/>
        <w:tblInd w:w="55" w:type="dxa"/>
        <w:tblLayout w:type="fixed"/>
        <w:tblCellMar>
          <w:left w:w="70" w:type="dxa"/>
          <w:right w:w="70" w:type="dxa"/>
        </w:tblCellMar>
        <w:tblLook w:val="0000" w:firstRow="0" w:lastRow="0" w:firstColumn="0" w:lastColumn="0" w:noHBand="0" w:noVBand="0"/>
      </w:tblPr>
      <w:tblGrid>
        <w:gridCol w:w="719"/>
        <w:gridCol w:w="2160"/>
        <w:gridCol w:w="1939"/>
        <w:gridCol w:w="1306"/>
      </w:tblGrid>
      <w:tr w:rsidR="00000000" w:rsidRPr="00F67906">
        <w:trPr>
          <w:trHeight w:val="420"/>
        </w:trPr>
        <w:tc>
          <w:tcPr>
            <w:tcW w:w="719" w:type="dxa"/>
            <w:tcBorders>
              <w:top w:val="nil"/>
              <w:left w:val="nil"/>
              <w:bottom w:val="single" w:sz="8" w:space="0" w:color="000000"/>
              <w:right w:val="nil"/>
            </w:tcBorders>
          </w:tcPr>
          <w:p w:rsidR="003E3D5E" w:rsidRPr="00F67906" w:rsidRDefault="003E3D5E">
            <w:pPr>
              <w:shd w:val="clear" w:color="000000" w:fill="auto"/>
              <w:spacing w:line="200" w:lineRule="exact"/>
              <w:rPr>
                <w:sz w:val="18"/>
                <w:szCs w:val="18"/>
              </w:rPr>
            </w:pPr>
            <w:r w:rsidRPr="00F67906">
              <w:rPr>
                <w:sz w:val="18"/>
                <w:szCs w:val="18"/>
              </w:rPr>
              <w:t>Anslag</w:t>
            </w:r>
          </w:p>
        </w:tc>
        <w:tc>
          <w:tcPr>
            <w:tcW w:w="2160" w:type="dxa"/>
            <w:tcBorders>
              <w:top w:val="nil"/>
              <w:left w:val="nil"/>
              <w:bottom w:val="single" w:sz="8" w:space="0" w:color="000000"/>
              <w:right w:val="nil"/>
            </w:tcBorders>
          </w:tcPr>
          <w:p w:rsidR="003E3D5E" w:rsidRPr="00F67906" w:rsidRDefault="003E3D5E">
            <w:pPr>
              <w:shd w:val="clear" w:color="000000" w:fill="auto"/>
              <w:spacing w:line="200" w:lineRule="exact"/>
              <w:rPr>
                <w:sz w:val="18"/>
                <w:szCs w:val="18"/>
              </w:rPr>
            </w:pPr>
          </w:p>
        </w:tc>
        <w:tc>
          <w:tcPr>
            <w:tcW w:w="1939" w:type="dxa"/>
            <w:tcBorders>
              <w:top w:val="nil"/>
              <w:left w:val="nil"/>
              <w:bottom w:val="single" w:sz="8" w:space="0" w:color="000000"/>
              <w:right w:val="nil"/>
            </w:tcBorders>
          </w:tcPr>
          <w:p w:rsidR="003E3D5E" w:rsidRPr="00F67906" w:rsidRDefault="003E3D5E">
            <w:pPr>
              <w:shd w:val="clear" w:color="000000" w:fill="auto"/>
              <w:spacing w:line="200" w:lineRule="exact"/>
              <w:rPr>
                <w:sz w:val="18"/>
                <w:szCs w:val="18"/>
              </w:rPr>
            </w:pPr>
            <w:r w:rsidRPr="00F67906">
              <w:rPr>
                <w:sz w:val="18"/>
                <w:szCs w:val="18"/>
              </w:rPr>
              <w:t>Regeringens förslag (tkr)</w:t>
            </w:r>
          </w:p>
        </w:tc>
        <w:tc>
          <w:tcPr>
            <w:tcW w:w="1306" w:type="dxa"/>
            <w:tcBorders>
              <w:top w:val="nil"/>
              <w:left w:val="nil"/>
              <w:bottom w:val="single" w:sz="8" w:space="0" w:color="000000"/>
              <w:right w:val="nil"/>
            </w:tcBorders>
          </w:tcPr>
          <w:p w:rsidR="003E3D5E" w:rsidRPr="00F67906" w:rsidRDefault="003E3D5E">
            <w:pPr>
              <w:shd w:val="clear" w:color="000000" w:fill="auto"/>
              <w:spacing w:line="200" w:lineRule="exact"/>
              <w:rPr>
                <w:sz w:val="18"/>
                <w:szCs w:val="18"/>
              </w:rPr>
            </w:pPr>
            <w:r w:rsidRPr="00F67906">
              <w:rPr>
                <w:sz w:val="18"/>
                <w:szCs w:val="18"/>
              </w:rPr>
              <w:t>Anslagsförän</w:t>
            </w:r>
            <w:r w:rsidRPr="00F67906">
              <w:rPr>
                <w:sz w:val="18"/>
                <w:szCs w:val="18"/>
              </w:rPr>
              <w:t>d</w:t>
            </w:r>
            <w:r w:rsidRPr="00F67906">
              <w:rPr>
                <w:sz w:val="18"/>
                <w:szCs w:val="18"/>
              </w:rPr>
              <w:t>ring (tkr)</w:t>
            </w:r>
          </w:p>
        </w:tc>
      </w:tr>
      <w:tr w:rsidR="00000000" w:rsidRPr="00F67906">
        <w:trPr>
          <w:trHeight w:val="319"/>
        </w:trPr>
        <w:tc>
          <w:tcPr>
            <w:tcW w:w="719" w:type="dxa"/>
            <w:tcBorders>
              <w:top w:val="nil"/>
              <w:left w:val="nil"/>
              <w:bottom w:val="nil"/>
              <w:right w:val="nil"/>
            </w:tcBorders>
          </w:tcPr>
          <w:p w:rsidR="003E3D5E" w:rsidRPr="00F67906" w:rsidRDefault="003E3D5E">
            <w:pPr>
              <w:shd w:val="clear" w:color="000000" w:fill="auto"/>
              <w:spacing w:line="200" w:lineRule="exact"/>
              <w:rPr>
                <w:sz w:val="18"/>
                <w:szCs w:val="18"/>
              </w:rPr>
            </w:pPr>
            <w:r w:rsidRPr="00F67906">
              <w:rPr>
                <w:sz w:val="18"/>
                <w:szCs w:val="18"/>
              </w:rPr>
              <w:t>Nytt</w:t>
            </w:r>
          </w:p>
        </w:tc>
        <w:tc>
          <w:tcPr>
            <w:tcW w:w="2160" w:type="dxa"/>
            <w:tcBorders>
              <w:top w:val="nil"/>
              <w:left w:val="nil"/>
              <w:bottom w:val="nil"/>
              <w:right w:val="nil"/>
            </w:tcBorders>
          </w:tcPr>
          <w:p w:rsidR="003E3D5E" w:rsidRPr="00F67906" w:rsidRDefault="003E3D5E">
            <w:pPr>
              <w:shd w:val="clear" w:color="000000" w:fill="auto"/>
              <w:spacing w:line="200" w:lineRule="exact"/>
              <w:rPr>
                <w:sz w:val="18"/>
                <w:szCs w:val="18"/>
              </w:rPr>
            </w:pPr>
            <w:r w:rsidRPr="00F67906">
              <w:rPr>
                <w:sz w:val="18"/>
                <w:szCs w:val="18"/>
              </w:rPr>
              <w:t>Stöd för marknadsintrodu</w:t>
            </w:r>
            <w:r w:rsidRPr="00F67906">
              <w:rPr>
                <w:sz w:val="18"/>
                <w:szCs w:val="18"/>
              </w:rPr>
              <w:t>k</w:t>
            </w:r>
            <w:r w:rsidRPr="00F67906">
              <w:rPr>
                <w:sz w:val="18"/>
                <w:szCs w:val="18"/>
              </w:rPr>
              <w:t>tion av vindkraft på land och till havs</w:t>
            </w:r>
          </w:p>
        </w:tc>
        <w:tc>
          <w:tcPr>
            <w:tcW w:w="1939" w:type="dxa"/>
            <w:tcBorders>
              <w:top w:val="nil"/>
              <w:left w:val="nil"/>
              <w:bottom w:val="nil"/>
              <w:right w:val="nil"/>
            </w:tcBorders>
          </w:tcPr>
          <w:p w:rsidR="003E3D5E" w:rsidRPr="00F67906" w:rsidRDefault="003E3D5E">
            <w:pPr>
              <w:shd w:val="clear" w:color="000000" w:fill="auto"/>
              <w:spacing w:line="200" w:lineRule="exact"/>
              <w:jc w:val="right"/>
              <w:rPr>
                <w:sz w:val="18"/>
                <w:szCs w:val="18"/>
              </w:rPr>
            </w:pPr>
          </w:p>
        </w:tc>
        <w:tc>
          <w:tcPr>
            <w:tcW w:w="1306" w:type="dxa"/>
            <w:tcBorders>
              <w:top w:val="nil"/>
              <w:left w:val="nil"/>
              <w:bottom w:val="nil"/>
              <w:right w:val="nil"/>
            </w:tcBorders>
          </w:tcPr>
          <w:p w:rsidR="003E3D5E" w:rsidRPr="00F67906" w:rsidRDefault="003E3D5E">
            <w:pPr>
              <w:shd w:val="clear" w:color="000000" w:fill="auto"/>
              <w:spacing w:line="200" w:lineRule="exact"/>
              <w:jc w:val="right"/>
              <w:rPr>
                <w:sz w:val="18"/>
                <w:szCs w:val="18"/>
              </w:rPr>
            </w:pPr>
            <w:r w:rsidRPr="00F67906">
              <w:rPr>
                <w:sz w:val="18"/>
                <w:szCs w:val="18"/>
              </w:rPr>
              <w:t>+560 000</w:t>
            </w:r>
          </w:p>
        </w:tc>
      </w:tr>
      <w:tr w:rsidR="00000000" w:rsidRPr="00F67906">
        <w:trPr>
          <w:trHeight w:val="319"/>
        </w:trPr>
        <w:tc>
          <w:tcPr>
            <w:tcW w:w="719" w:type="dxa"/>
            <w:tcBorders>
              <w:top w:val="nil"/>
              <w:left w:val="nil"/>
              <w:bottom w:val="nil"/>
              <w:right w:val="nil"/>
            </w:tcBorders>
          </w:tcPr>
          <w:p w:rsidR="003E3D5E" w:rsidRPr="00F67906" w:rsidRDefault="003E3D5E">
            <w:pPr>
              <w:shd w:val="clear" w:color="000000" w:fill="auto"/>
              <w:spacing w:line="200" w:lineRule="exact"/>
              <w:rPr>
                <w:sz w:val="18"/>
                <w:szCs w:val="18"/>
              </w:rPr>
            </w:pPr>
            <w:r w:rsidRPr="00F67906">
              <w:rPr>
                <w:sz w:val="18"/>
                <w:szCs w:val="18"/>
              </w:rPr>
              <w:t>1:9</w:t>
            </w:r>
          </w:p>
        </w:tc>
        <w:tc>
          <w:tcPr>
            <w:tcW w:w="2160" w:type="dxa"/>
            <w:tcBorders>
              <w:top w:val="nil"/>
              <w:left w:val="nil"/>
              <w:bottom w:val="nil"/>
              <w:right w:val="nil"/>
            </w:tcBorders>
          </w:tcPr>
          <w:p w:rsidR="003E3D5E" w:rsidRPr="00F67906" w:rsidRDefault="003E3D5E">
            <w:pPr>
              <w:shd w:val="clear" w:color="000000" w:fill="auto"/>
              <w:spacing w:line="200" w:lineRule="exact"/>
              <w:rPr>
                <w:sz w:val="18"/>
                <w:szCs w:val="18"/>
              </w:rPr>
            </w:pPr>
            <w:r w:rsidRPr="00F67906">
              <w:rPr>
                <w:sz w:val="18"/>
                <w:szCs w:val="18"/>
              </w:rPr>
              <w:t>Energiteknik</w:t>
            </w:r>
          </w:p>
        </w:tc>
        <w:tc>
          <w:tcPr>
            <w:tcW w:w="1939" w:type="dxa"/>
            <w:tcBorders>
              <w:top w:val="nil"/>
              <w:left w:val="nil"/>
              <w:bottom w:val="nil"/>
              <w:right w:val="nil"/>
            </w:tcBorders>
          </w:tcPr>
          <w:p w:rsidR="003E3D5E" w:rsidRPr="00F67906" w:rsidRDefault="003E3D5E">
            <w:pPr>
              <w:shd w:val="clear" w:color="000000" w:fill="auto"/>
              <w:spacing w:line="200" w:lineRule="exact"/>
              <w:jc w:val="right"/>
              <w:rPr>
                <w:sz w:val="18"/>
                <w:szCs w:val="18"/>
              </w:rPr>
            </w:pPr>
            <w:r w:rsidRPr="00F67906">
              <w:rPr>
                <w:sz w:val="18"/>
                <w:szCs w:val="18"/>
              </w:rPr>
              <w:t>120 000</w:t>
            </w:r>
          </w:p>
        </w:tc>
        <w:tc>
          <w:tcPr>
            <w:tcW w:w="1306" w:type="dxa"/>
            <w:tcBorders>
              <w:top w:val="nil"/>
              <w:left w:val="nil"/>
              <w:bottom w:val="nil"/>
              <w:right w:val="nil"/>
            </w:tcBorders>
          </w:tcPr>
          <w:p w:rsidR="003E3D5E" w:rsidRPr="00F67906" w:rsidRDefault="003E3D5E">
            <w:pPr>
              <w:shd w:val="clear" w:color="000000" w:fill="auto"/>
              <w:spacing w:line="200" w:lineRule="exact"/>
              <w:jc w:val="right"/>
              <w:rPr>
                <w:sz w:val="18"/>
                <w:szCs w:val="18"/>
              </w:rPr>
            </w:pPr>
            <w:r w:rsidRPr="00F67906">
              <w:rPr>
                <w:sz w:val="18"/>
                <w:szCs w:val="18"/>
              </w:rPr>
              <w:t>+120 000</w:t>
            </w:r>
          </w:p>
        </w:tc>
      </w:tr>
      <w:tr w:rsidR="00000000" w:rsidRPr="00F67906">
        <w:trPr>
          <w:trHeight w:val="319"/>
        </w:trPr>
        <w:tc>
          <w:tcPr>
            <w:tcW w:w="719" w:type="dxa"/>
            <w:tcBorders>
              <w:top w:val="nil"/>
              <w:left w:val="nil"/>
              <w:bottom w:val="nil"/>
              <w:right w:val="nil"/>
            </w:tcBorders>
          </w:tcPr>
          <w:p w:rsidR="003E3D5E" w:rsidRPr="00F67906" w:rsidRDefault="003E3D5E">
            <w:pPr>
              <w:shd w:val="clear" w:color="000000" w:fill="auto"/>
              <w:spacing w:line="200" w:lineRule="exact"/>
              <w:rPr>
                <w:sz w:val="18"/>
                <w:szCs w:val="18"/>
              </w:rPr>
            </w:pPr>
            <w:r w:rsidRPr="00F67906">
              <w:rPr>
                <w:sz w:val="18"/>
                <w:szCs w:val="18"/>
              </w:rPr>
              <w:t>1:11</w:t>
            </w:r>
          </w:p>
        </w:tc>
        <w:tc>
          <w:tcPr>
            <w:tcW w:w="2160" w:type="dxa"/>
            <w:tcBorders>
              <w:top w:val="nil"/>
              <w:left w:val="nil"/>
              <w:bottom w:val="nil"/>
              <w:right w:val="nil"/>
            </w:tcBorders>
          </w:tcPr>
          <w:p w:rsidR="003E3D5E" w:rsidRPr="00F67906" w:rsidRDefault="003E3D5E">
            <w:pPr>
              <w:shd w:val="clear" w:color="000000" w:fill="auto"/>
              <w:spacing w:line="200" w:lineRule="exact"/>
              <w:rPr>
                <w:sz w:val="18"/>
                <w:szCs w:val="18"/>
              </w:rPr>
            </w:pPr>
            <w:r w:rsidRPr="00F67906">
              <w:rPr>
                <w:sz w:val="18"/>
                <w:szCs w:val="18"/>
              </w:rPr>
              <w:t>Stöd för konvertering från direktverkande el</w:t>
            </w:r>
          </w:p>
        </w:tc>
        <w:tc>
          <w:tcPr>
            <w:tcW w:w="1939" w:type="dxa"/>
            <w:tcBorders>
              <w:top w:val="nil"/>
              <w:left w:val="nil"/>
              <w:bottom w:val="nil"/>
              <w:right w:val="nil"/>
            </w:tcBorders>
          </w:tcPr>
          <w:p w:rsidR="003E3D5E" w:rsidRPr="00F67906" w:rsidRDefault="003E3D5E">
            <w:pPr>
              <w:shd w:val="clear" w:color="000000" w:fill="auto"/>
              <w:spacing w:line="200" w:lineRule="exact"/>
              <w:jc w:val="right"/>
              <w:rPr>
                <w:sz w:val="18"/>
                <w:szCs w:val="18"/>
              </w:rPr>
            </w:pPr>
            <w:r w:rsidRPr="00F67906">
              <w:rPr>
                <w:sz w:val="18"/>
                <w:szCs w:val="18"/>
              </w:rPr>
              <w:t>0</w:t>
            </w:r>
          </w:p>
        </w:tc>
        <w:tc>
          <w:tcPr>
            <w:tcW w:w="1306" w:type="dxa"/>
            <w:tcBorders>
              <w:top w:val="nil"/>
              <w:left w:val="nil"/>
              <w:bottom w:val="nil"/>
              <w:right w:val="nil"/>
            </w:tcBorders>
          </w:tcPr>
          <w:p w:rsidR="003E3D5E" w:rsidRPr="00F67906" w:rsidRDefault="003E3D5E">
            <w:pPr>
              <w:shd w:val="clear" w:color="000000" w:fill="auto"/>
              <w:spacing w:line="200" w:lineRule="exact"/>
              <w:jc w:val="right"/>
              <w:rPr>
                <w:sz w:val="18"/>
                <w:szCs w:val="18"/>
              </w:rPr>
            </w:pPr>
            <w:r w:rsidRPr="00F67906">
              <w:rPr>
                <w:sz w:val="18"/>
                <w:szCs w:val="18"/>
              </w:rPr>
              <w:t>+500 000</w:t>
            </w:r>
          </w:p>
        </w:tc>
      </w:tr>
      <w:tr w:rsidR="00000000" w:rsidRPr="00F67906">
        <w:trPr>
          <w:trHeight w:val="319"/>
        </w:trPr>
        <w:tc>
          <w:tcPr>
            <w:tcW w:w="719" w:type="dxa"/>
            <w:tcBorders>
              <w:top w:val="nil"/>
              <w:left w:val="nil"/>
              <w:bottom w:val="nil"/>
              <w:right w:val="nil"/>
            </w:tcBorders>
          </w:tcPr>
          <w:p w:rsidR="003E3D5E" w:rsidRPr="00F67906" w:rsidRDefault="003E3D5E">
            <w:pPr>
              <w:shd w:val="clear" w:color="000000" w:fill="auto"/>
              <w:spacing w:line="200" w:lineRule="exact"/>
              <w:rPr>
                <w:sz w:val="18"/>
                <w:szCs w:val="18"/>
              </w:rPr>
            </w:pPr>
            <w:r w:rsidRPr="00F67906">
              <w:rPr>
                <w:sz w:val="18"/>
                <w:szCs w:val="18"/>
              </w:rPr>
              <w:t>1:11</w:t>
            </w:r>
          </w:p>
        </w:tc>
        <w:tc>
          <w:tcPr>
            <w:tcW w:w="2160" w:type="dxa"/>
            <w:tcBorders>
              <w:top w:val="nil"/>
              <w:left w:val="nil"/>
              <w:bottom w:val="nil"/>
              <w:right w:val="nil"/>
            </w:tcBorders>
          </w:tcPr>
          <w:p w:rsidR="003E3D5E" w:rsidRPr="00F67906" w:rsidRDefault="003E3D5E">
            <w:pPr>
              <w:shd w:val="clear" w:color="000000" w:fill="auto"/>
              <w:spacing w:line="200" w:lineRule="exact"/>
              <w:rPr>
                <w:sz w:val="18"/>
                <w:szCs w:val="18"/>
              </w:rPr>
            </w:pPr>
            <w:r w:rsidRPr="00F67906">
              <w:rPr>
                <w:sz w:val="18"/>
                <w:szCs w:val="18"/>
              </w:rPr>
              <w:t>Stöd för installation av solenergi</w:t>
            </w:r>
          </w:p>
        </w:tc>
        <w:tc>
          <w:tcPr>
            <w:tcW w:w="1939" w:type="dxa"/>
            <w:tcBorders>
              <w:top w:val="nil"/>
              <w:left w:val="nil"/>
              <w:bottom w:val="nil"/>
              <w:right w:val="nil"/>
            </w:tcBorders>
          </w:tcPr>
          <w:p w:rsidR="003E3D5E" w:rsidRPr="00F67906" w:rsidRDefault="003E3D5E">
            <w:pPr>
              <w:shd w:val="clear" w:color="000000" w:fill="auto"/>
              <w:spacing w:line="200" w:lineRule="exact"/>
              <w:jc w:val="right"/>
              <w:rPr>
                <w:sz w:val="18"/>
                <w:szCs w:val="18"/>
              </w:rPr>
            </w:pPr>
            <w:r w:rsidRPr="00F67906">
              <w:rPr>
                <w:sz w:val="18"/>
                <w:szCs w:val="18"/>
              </w:rPr>
              <w:t>0</w:t>
            </w:r>
          </w:p>
        </w:tc>
        <w:tc>
          <w:tcPr>
            <w:tcW w:w="1306" w:type="dxa"/>
            <w:tcBorders>
              <w:top w:val="nil"/>
              <w:left w:val="nil"/>
              <w:bottom w:val="nil"/>
              <w:right w:val="nil"/>
            </w:tcBorders>
          </w:tcPr>
          <w:p w:rsidR="003E3D5E" w:rsidRPr="00F67906" w:rsidRDefault="003E3D5E">
            <w:pPr>
              <w:shd w:val="clear" w:color="000000" w:fill="auto"/>
              <w:spacing w:line="200" w:lineRule="exact"/>
              <w:jc w:val="right"/>
              <w:rPr>
                <w:sz w:val="18"/>
                <w:szCs w:val="18"/>
              </w:rPr>
            </w:pPr>
            <w:r w:rsidRPr="00F67906">
              <w:rPr>
                <w:sz w:val="18"/>
                <w:szCs w:val="18"/>
              </w:rPr>
              <w:t>+100 000</w:t>
            </w:r>
          </w:p>
        </w:tc>
      </w:tr>
      <w:tr w:rsidR="00000000" w:rsidRPr="00F67906">
        <w:trPr>
          <w:trHeight w:val="319"/>
        </w:trPr>
        <w:tc>
          <w:tcPr>
            <w:tcW w:w="719" w:type="dxa"/>
            <w:tcBorders>
              <w:top w:val="nil"/>
              <w:left w:val="nil"/>
              <w:bottom w:val="nil"/>
              <w:right w:val="nil"/>
            </w:tcBorders>
          </w:tcPr>
          <w:p w:rsidR="003E3D5E" w:rsidRPr="00F67906" w:rsidRDefault="003E3D5E">
            <w:pPr>
              <w:shd w:val="clear" w:color="000000" w:fill="auto"/>
              <w:spacing w:line="200" w:lineRule="exact"/>
              <w:rPr>
                <w:sz w:val="18"/>
                <w:szCs w:val="18"/>
              </w:rPr>
            </w:pPr>
          </w:p>
        </w:tc>
        <w:tc>
          <w:tcPr>
            <w:tcW w:w="2160" w:type="dxa"/>
            <w:tcBorders>
              <w:top w:val="nil"/>
              <w:left w:val="nil"/>
              <w:bottom w:val="nil"/>
              <w:right w:val="nil"/>
            </w:tcBorders>
          </w:tcPr>
          <w:p w:rsidR="003E3D5E" w:rsidRPr="00F67906" w:rsidRDefault="003E3D5E">
            <w:pPr>
              <w:shd w:val="clear" w:color="000000" w:fill="auto"/>
              <w:spacing w:line="200" w:lineRule="exact"/>
              <w:rPr>
                <w:b/>
                <w:sz w:val="18"/>
                <w:szCs w:val="18"/>
              </w:rPr>
            </w:pPr>
            <w:r w:rsidRPr="00F67906">
              <w:rPr>
                <w:b/>
                <w:sz w:val="18"/>
                <w:szCs w:val="18"/>
              </w:rPr>
              <w:t>Summa</w:t>
            </w:r>
          </w:p>
        </w:tc>
        <w:tc>
          <w:tcPr>
            <w:tcW w:w="1939" w:type="dxa"/>
            <w:tcBorders>
              <w:top w:val="nil"/>
              <w:left w:val="nil"/>
              <w:bottom w:val="nil"/>
              <w:right w:val="nil"/>
            </w:tcBorders>
          </w:tcPr>
          <w:p w:rsidR="003E3D5E" w:rsidRPr="00F67906" w:rsidRDefault="003E3D5E">
            <w:pPr>
              <w:shd w:val="clear" w:color="000000" w:fill="auto"/>
              <w:spacing w:line="200" w:lineRule="exact"/>
              <w:jc w:val="right"/>
              <w:rPr>
                <w:b/>
                <w:sz w:val="18"/>
                <w:szCs w:val="18"/>
              </w:rPr>
            </w:pPr>
            <w:r w:rsidRPr="00F67906">
              <w:rPr>
                <w:b/>
                <w:sz w:val="18"/>
                <w:szCs w:val="18"/>
              </w:rPr>
              <w:t>120 000</w:t>
            </w:r>
          </w:p>
        </w:tc>
        <w:tc>
          <w:tcPr>
            <w:tcW w:w="1306" w:type="dxa"/>
            <w:tcBorders>
              <w:top w:val="nil"/>
              <w:left w:val="nil"/>
              <w:bottom w:val="nil"/>
              <w:right w:val="nil"/>
            </w:tcBorders>
          </w:tcPr>
          <w:p w:rsidR="003E3D5E" w:rsidRPr="00F67906" w:rsidRDefault="003E3D5E">
            <w:pPr>
              <w:shd w:val="clear" w:color="000000" w:fill="auto"/>
              <w:spacing w:line="200" w:lineRule="exact"/>
              <w:jc w:val="right"/>
              <w:rPr>
                <w:b/>
                <w:sz w:val="18"/>
                <w:szCs w:val="18"/>
              </w:rPr>
            </w:pPr>
            <w:r w:rsidRPr="00F67906">
              <w:rPr>
                <w:b/>
                <w:sz w:val="18"/>
                <w:szCs w:val="18"/>
              </w:rPr>
              <w:t>1 280 000</w:t>
            </w:r>
          </w:p>
        </w:tc>
      </w:tr>
    </w:tbl>
    <w:p w:rsidR="003E3D5E" w:rsidRPr="00F67906" w:rsidRDefault="003E3D5E">
      <w:pPr>
        <w:shd w:val="clear" w:color="000000" w:fill="auto"/>
      </w:pPr>
    </w:p>
    <w:p w:rsidR="003E3D5E" w:rsidRPr="00F67906" w:rsidRDefault="003E3D5E">
      <w:pPr>
        <w:pStyle w:val="Rubrik1"/>
        <w:shd w:val="clear" w:color="000000" w:fill="auto"/>
      </w:pPr>
      <w:r w:rsidRPr="00F67906">
        <w:lastRenderedPageBreak/>
        <w:t>Nytt anslag: Stöd för marknadsintroduktion av vindkraft på land och till havs</w:t>
      </w:r>
    </w:p>
    <w:p w:rsidR="003E3D5E" w:rsidRPr="00F67906" w:rsidRDefault="003E3D5E">
      <w:pPr>
        <w:shd w:val="clear" w:color="000000" w:fill="auto"/>
      </w:pPr>
      <w:r w:rsidRPr="00F67906">
        <w:t>Vänsterpartiet vill slå ihop anslagen 1:4 och 1:7 för att skapa ett nytt anslag – Stöd för marknadsintroduktion av vindkraft på land och till havs. Ett bransc</w:t>
      </w:r>
      <w:r w:rsidRPr="00F67906">
        <w:t>h</w:t>
      </w:r>
      <w:r w:rsidRPr="00F67906">
        <w:t>program inrättas för att främja forskning och utveckling, marknadsintrodu</w:t>
      </w:r>
      <w:r w:rsidRPr="00F67906">
        <w:t>k</w:t>
      </w:r>
      <w:r w:rsidRPr="00F67906">
        <w:t>tion och informationsinsatser. Satsningen avser huvudsakligen havsbaserad vindkraft.</w:t>
      </w:r>
    </w:p>
    <w:p w:rsidR="003E3D5E" w:rsidRPr="00F67906" w:rsidRDefault="003E3D5E">
      <w:pPr>
        <w:pStyle w:val="Normaltindrag"/>
        <w:shd w:val="clear" w:color="000000" w:fill="auto"/>
      </w:pPr>
      <w:r w:rsidRPr="00F67906">
        <w:t xml:space="preserve">Sammantaget föreslår Vänsterpartiet en ökning av anslaget Nytt med 560 miljoner kronor 2012 jämfört med regeringens förslag. </w:t>
      </w:r>
    </w:p>
    <w:p w:rsidR="003E3D5E" w:rsidRPr="00F67906" w:rsidRDefault="003E3D5E">
      <w:pPr>
        <w:pStyle w:val="Rubrik1"/>
        <w:shd w:val="clear" w:color="000000" w:fill="auto"/>
      </w:pPr>
      <w:r w:rsidRPr="00F67906">
        <w:t>1:9 Energiteknik</w:t>
      </w:r>
    </w:p>
    <w:p w:rsidR="003E3D5E" w:rsidRPr="00F67906" w:rsidRDefault="003E3D5E">
      <w:pPr>
        <w:shd w:val="clear" w:color="000000" w:fill="auto"/>
      </w:pPr>
      <w:r w:rsidRPr="00F67906">
        <w:t>Satsningar på klimatvänlig energiteknik är nödvändiga för att genomföra en grön omställning i samhället. Vänsterpartiet vill därför ytterligare stimulera användandet av exempelvis solceller och biogas. Under perioden 2012–2014 satsar Vänsterpartiet 360 miljoner kronor på anslaget.</w:t>
      </w:r>
    </w:p>
    <w:p w:rsidR="003E3D5E" w:rsidRPr="00F67906" w:rsidRDefault="003E3D5E">
      <w:pPr>
        <w:pStyle w:val="Normaltindrag"/>
        <w:shd w:val="clear" w:color="000000" w:fill="auto"/>
      </w:pPr>
      <w:r w:rsidRPr="00F67906">
        <w:t>Sammantaget föreslår Vänsterpartiet en ökning av anslaget 1:9 med 120 miljoner kronor 2012 jämfört med regeringens förslag.</w:t>
      </w:r>
    </w:p>
    <w:p w:rsidR="003E3D5E" w:rsidRPr="00F67906" w:rsidRDefault="003E3D5E">
      <w:pPr>
        <w:pStyle w:val="Rubrik1"/>
        <w:shd w:val="clear" w:color="000000" w:fill="auto"/>
      </w:pPr>
      <w:r w:rsidRPr="00F67906">
        <w:t>1:11 Energieffektiviseringsprogram</w:t>
      </w:r>
    </w:p>
    <w:p w:rsidR="003E3D5E" w:rsidRPr="00F67906" w:rsidRDefault="003E3D5E">
      <w:pPr>
        <w:shd w:val="clear" w:color="000000" w:fill="auto"/>
      </w:pPr>
      <w:r w:rsidRPr="00F67906">
        <w:t>Solenergi, alltså solvärme och solel, utgör i allra högsta grad en viktig del av framtidens energiförsörjning. Regeringen avvecklar dock stödet till install</w:t>
      </w:r>
      <w:r w:rsidRPr="00F67906">
        <w:t>a</w:t>
      </w:r>
      <w:r w:rsidRPr="00F67906">
        <w:t>tion av solenergi i årets budgetproposition. Vänsterpartiet anser att detta stöd borde fortgå, samt ökas från 2011 års nivå. Under perioden 2012–2014 satsar Vänsterpartiet 300 miljoner kronor på stöd till solenergi. För 2012 satsar vi 100 miljoner kronor.</w:t>
      </w:r>
    </w:p>
    <w:p w:rsidR="003E3D5E" w:rsidRPr="00F67906" w:rsidRDefault="003E3D5E">
      <w:pPr>
        <w:pStyle w:val="Normaltindrag"/>
        <w:shd w:val="clear" w:color="000000" w:fill="auto"/>
      </w:pPr>
      <w:r w:rsidRPr="00F67906">
        <w:t>Vidare har regeringen i årets budgetproposition avvecklat stödet för ko</w:t>
      </w:r>
      <w:r w:rsidRPr="00F67906">
        <w:t>n</w:t>
      </w:r>
      <w:r w:rsidRPr="00F67906">
        <w:t>vertering från direktverkande el. Vänsterpartiet anser att detta stöd borde fortgå, samt ökas från 2011 års nivå. Under perioden 2012–2014 satsar Vän</w:t>
      </w:r>
      <w:r w:rsidRPr="00F67906">
        <w:t>s</w:t>
      </w:r>
      <w:r w:rsidRPr="00F67906">
        <w:t xml:space="preserve">terpartiet 1 200 miljoner kronor på stöd för konvertering av direktverkande el. </w:t>
      </w:r>
    </w:p>
    <w:p w:rsidR="003E3D5E" w:rsidRPr="00F67906" w:rsidRDefault="003E3D5E">
      <w:pPr>
        <w:pStyle w:val="Normaltindrag"/>
        <w:shd w:val="clear" w:color="000000" w:fill="auto"/>
      </w:pPr>
      <w:r w:rsidRPr="00F67906">
        <w:t>Sammantaget föreslår Vänsterpartiet en ökning av anslaget med 600 mi</w:t>
      </w:r>
      <w:r w:rsidRPr="00F67906">
        <w:t>l</w:t>
      </w:r>
      <w:r w:rsidRPr="00F67906">
        <w:t xml:space="preserve">joner kronor 2012 jämfört med regeringens förslag.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7906">
        <w:trPr>
          <w:cantSplit/>
        </w:trPr>
        <w:tc>
          <w:tcPr>
            <w:tcW w:w="3046" w:type="dxa"/>
          </w:tcPr>
          <w:p w:rsidR="003E3D5E" w:rsidRPr="00F67906" w:rsidRDefault="003E3D5E">
            <w:pPr>
              <w:pStyle w:val="UnderskriftDatum"/>
              <w:shd w:val="clear" w:color="000000" w:fill="auto"/>
              <w:spacing w:before="240"/>
            </w:pPr>
            <w:r w:rsidRPr="00F67906">
              <w:t>Stockholm den 4 oktober 2011</w:t>
            </w:r>
          </w:p>
        </w:tc>
        <w:tc>
          <w:tcPr>
            <w:tcW w:w="3047" w:type="dxa"/>
          </w:tcPr>
          <w:p w:rsidR="003E3D5E" w:rsidRPr="00F67906" w:rsidRDefault="003E3D5E">
            <w:pPr>
              <w:pStyle w:val="Underskrifter"/>
              <w:shd w:val="clear" w:color="000000" w:fill="auto"/>
              <w:spacing w:before="240"/>
            </w:pPr>
          </w:p>
        </w:tc>
      </w:tr>
      <w:tr w:rsidR="00000000" w:rsidRPr="00F67906">
        <w:trPr>
          <w:cantSplit/>
        </w:trPr>
        <w:tc>
          <w:tcPr>
            <w:tcW w:w="3046" w:type="dxa"/>
          </w:tcPr>
          <w:p w:rsidR="003E3D5E" w:rsidRPr="00F67906" w:rsidRDefault="003E3D5E">
            <w:pPr>
              <w:pStyle w:val="Underskrifter"/>
              <w:shd w:val="clear" w:color="000000" w:fill="auto"/>
            </w:pPr>
            <w:r w:rsidRPr="00F67906">
              <w:t>Lars Ohly (V)</w:t>
            </w:r>
          </w:p>
        </w:tc>
        <w:tc>
          <w:tcPr>
            <w:tcW w:w="3046" w:type="dxa"/>
          </w:tcPr>
          <w:p w:rsidR="003E3D5E" w:rsidRPr="00F67906" w:rsidRDefault="003E3D5E">
            <w:pPr>
              <w:pStyle w:val="Underskrifter"/>
              <w:shd w:val="clear" w:color="000000" w:fill="auto"/>
            </w:pPr>
          </w:p>
        </w:tc>
      </w:tr>
      <w:tr w:rsidR="00000000" w:rsidRPr="00F67906">
        <w:trPr>
          <w:cantSplit/>
        </w:trPr>
        <w:tc>
          <w:tcPr>
            <w:tcW w:w="3046" w:type="dxa"/>
          </w:tcPr>
          <w:p w:rsidR="003E3D5E" w:rsidRPr="00F67906" w:rsidRDefault="003E3D5E">
            <w:pPr>
              <w:pStyle w:val="Underskrifter"/>
              <w:shd w:val="clear" w:color="000000" w:fill="auto"/>
            </w:pPr>
            <w:r w:rsidRPr="00F67906">
              <w:t>Ulla Andersson (V)</w:t>
            </w:r>
          </w:p>
        </w:tc>
        <w:tc>
          <w:tcPr>
            <w:tcW w:w="3046" w:type="dxa"/>
          </w:tcPr>
          <w:p w:rsidR="003E3D5E" w:rsidRPr="00F67906" w:rsidRDefault="003E3D5E">
            <w:pPr>
              <w:pStyle w:val="Underskrifter"/>
              <w:shd w:val="clear" w:color="000000" w:fill="auto"/>
            </w:pPr>
            <w:r w:rsidRPr="00F67906">
              <w:t>Hans Linde (V)</w:t>
            </w:r>
          </w:p>
        </w:tc>
      </w:tr>
      <w:tr w:rsidR="00000000" w:rsidRPr="00F67906">
        <w:trPr>
          <w:cantSplit/>
        </w:trPr>
        <w:tc>
          <w:tcPr>
            <w:tcW w:w="3046" w:type="dxa"/>
          </w:tcPr>
          <w:p w:rsidR="003E3D5E" w:rsidRPr="00F67906" w:rsidRDefault="003E3D5E">
            <w:pPr>
              <w:pStyle w:val="Underskrifter"/>
              <w:shd w:val="clear" w:color="000000" w:fill="auto"/>
            </w:pPr>
            <w:r w:rsidRPr="00F67906">
              <w:t>Eva Olofsson (V)</w:t>
            </w:r>
          </w:p>
        </w:tc>
        <w:tc>
          <w:tcPr>
            <w:tcW w:w="3046" w:type="dxa"/>
          </w:tcPr>
          <w:p w:rsidR="003E3D5E" w:rsidRPr="00F67906" w:rsidRDefault="003E3D5E">
            <w:pPr>
              <w:pStyle w:val="Underskrifter"/>
              <w:shd w:val="clear" w:color="000000" w:fill="auto"/>
            </w:pPr>
            <w:r w:rsidRPr="00F67906">
              <w:t>Jonas Sjöstedt (V)</w:t>
            </w:r>
          </w:p>
        </w:tc>
      </w:tr>
      <w:tr w:rsidR="00000000" w:rsidRPr="00F67906">
        <w:trPr>
          <w:cantSplit/>
        </w:trPr>
        <w:tc>
          <w:tcPr>
            <w:tcW w:w="3046" w:type="dxa"/>
          </w:tcPr>
          <w:p w:rsidR="003E3D5E" w:rsidRPr="00F67906" w:rsidRDefault="003E3D5E">
            <w:pPr>
              <w:pStyle w:val="Underskrifter"/>
              <w:shd w:val="clear" w:color="000000" w:fill="auto"/>
            </w:pPr>
            <w:r w:rsidRPr="00F67906">
              <w:t>Mia Sydow Mölleby (V)</w:t>
            </w:r>
          </w:p>
        </w:tc>
        <w:tc>
          <w:tcPr>
            <w:tcW w:w="3046" w:type="dxa"/>
          </w:tcPr>
          <w:p w:rsidR="003E3D5E" w:rsidRPr="00F67906" w:rsidRDefault="003E3D5E">
            <w:pPr>
              <w:pStyle w:val="Underskrifter"/>
              <w:shd w:val="clear" w:color="000000" w:fill="auto"/>
            </w:pPr>
            <w:r w:rsidRPr="00F67906">
              <w:t>Kent Persson (V)</w:t>
            </w:r>
          </w:p>
        </w:tc>
      </w:tr>
    </w:tbl>
    <w:p w:rsidR="003E3D5E" w:rsidRPr="00F67906" w:rsidRDefault="003E3D5E">
      <w:pPr>
        <w:pStyle w:val="Normaltindrag"/>
        <w:shd w:val="clear" w:color="000000" w:fill="auto"/>
      </w:pPr>
    </w:p>
    <w:sectPr w:rsidR="003E3D5E" w:rsidRPr="00F679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D5E" w:rsidRPr="00F67906" w:rsidRDefault="003E3D5E">
      <w:r w:rsidRPr="00F67906">
        <w:separator/>
      </w:r>
    </w:p>
  </w:endnote>
  <w:endnote w:type="continuationSeparator" w:id="0">
    <w:p w:rsidR="003E3D5E" w:rsidRPr="00F67906" w:rsidRDefault="003E3D5E">
      <w:r w:rsidRPr="00F679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D5E" w:rsidRPr="00F67906" w:rsidRDefault="00F67906">
    <w:pPr>
      <w:pStyle w:val="Sidfot"/>
    </w:pPr>
    <w:r w:rsidRPr="00F679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3928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D5E" w:rsidRDefault="003E3D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3D5E" w:rsidRDefault="003E3D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D5E" w:rsidRPr="00F67906" w:rsidRDefault="00F67906">
    <w:pPr>
      <w:pStyle w:val="Sidfot"/>
    </w:pPr>
    <w:r w:rsidRPr="00F679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2431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D5E" w:rsidRDefault="003E3D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3D5E" w:rsidRDefault="003E3D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D5E" w:rsidRPr="00F67906" w:rsidRDefault="00F67906">
    <w:pPr>
      <w:pStyle w:val="Sidfot"/>
    </w:pPr>
    <w:r w:rsidRPr="00F679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735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D5E" w:rsidRDefault="003E3D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3D5E" w:rsidRDefault="003E3D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D5E" w:rsidRPr="00F67906" w:rsidRDefault="003E3D5E">
      <w:r w:rsidRPr="00F67906">
        <w:separator/>
      </w:r>
    </w:p>
  </w:footnote>
  <w:footnote w:type="continuationSeparator" w:id="0">
    <w:p w:rsidR="003E3D5E" w:rsidRPr="00F67906" w:rsidRDefault="003E3D5E">
      <w:r w:rsidRPr="00F679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D5E" w:rsidRPr="00F67906" w:rsidRDefault="00F67906">
    <w:pPr>
      <w:pStyle w:val="Sidhuvud"/>
    </w:pPr>
    <w:r w:rsidRPr="00F679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7316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D5E" w:rsidRDefault="003E3D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3D5E" w:rsidRDefault="003E3D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D5E" w:rsidRPr="00F67906" w:rsidRDefault="00F67906">
    <w:pPr>
      <w:pStyle w:val="Sidhuvud"/>
    </w:pPr>
    <w:r w:rsidRPr="00F679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3469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D5E" w:rsidRDefault="003E3D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3D5E" w:rsidRDefault="003E3D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D5E" w:rsidRPr="00F67906" w:rsidRDefault="003E3D5E">
    <w:pPr>
      <w:pStyle w:val="FSHNormal"/>
      <w:tabs>
        <w:tab w:val="right" w:pos="5840"/>
      </w:tabs>
    </w:pPr>
    <w:r w:rsidRPr="00F67906">
      <w:br/>
    </w:r>
    <w:r w:rsidRPr="00F67906">
      <w:fldChar w:fldCharType="begin" w:fldLock="1"/>
    </w:r>
    <w:r w:rsidRPr="00F67906">
      <w:instrText xml:space="preserve"> DOCPROPERTY</w:instrText>
    </w:r>
    <w:r w:rsidRPr="00F67906">
      <w:rPr>
        <w:sz w:val="18"/>
      </w:rPr>
      <w:instrText xml:space="preserve"> "YearUser" *\charformat </w:instrText>
    </w:r>
    <w:r w:rsidRPr="00F67906">
      <w:fldChar w:fldCharType="separate"/>
    </w:r>
    <w:r w:rsidRPr="00F67906">
      <w:t>2011/12</w:t>
    </w:r>
    <w:r w:rsidRPr="00F67906">
      <w:fldChar w:fldCharType="end"/>
    </w:r>
    <w:r w:rsidRPr="00F67906">
      <w:t xml:space="preserve"> </w:t>
    </w:r>
    <w:r w:rsidRPr="00F67906">
      <w:tab/>
      <w:t xml:space="preserve">mnr: </w:t>
    </w:r>
    <w:r w:rsidRPr="00F67906">
      <w:fldChar w:fldCharType="begin" w:fldLock="1"/>
    </w:r>
    <w:r w:rsidRPr="00F67906">
      <w:instrText xml:space="preserve"> DOCPROPERTY</w:instrText>
    </w:r>
    <w:r w:rsidRPr="00F67906">
      <w:rPr>
        <w:sz w:val="18"/>
      </w:rPr>
      <w:instrText xml:space="preserve"> "Motionsnummer" *\charformat </w:instrText>
    </w:r>
    <w:r w:rsidRPr="00F67906">
      <w:fldChar w:fldCharType="separate"/>
    </w:r>
    <w:r w:rsidRPr="00F67906">
      <w:t>N367</w:t>
    </w:r>
    <w:r w:rsidRPr="00F67906">
      <w:fldChar w:fldCharType="end"/>
    </w:r>
    <w:r w:rsidRPr="00F67906">
      <w:br/>
    </w:r>
    <w:r w:rsidRPr="00F67906">
      <w:fldChar w:fldCharType="begin" w:fldLock="1"/>
    </w:r>
    <w:r w:rsidRPr="00F67906">
      <w:instrText xml:space="preserve"> DOCPROPERTY</w:instrText>
    </w:r>
    <w:r w:rsidRPr="00F67906">
      <w:rPr>
        <w:sz w:val="18"/>
      </w:rPr>
      <w:instrText xml:space="preserve"> "Samling" *\charformat </w:instrText>
    </w:r>
    <w:r w:rsidRPr="00F67906">
      <w:fldChar w:fldCharType="end"/>
    </w:r>
    <w:r w:rsidRPr="00F67906">
      <w:tab/>
      <w:t xml:space="preserve">pnr: </w:t>
    </w:r>
    <w:r w:rsidRPr="00F67906">
      <w:fldChar w:fldCharType="begin" w:fldLock="1"/>
    </w:r>
    <w:r w:rsidRPr="00F67906">
      <w:instrText xml:space="preserve"> DOCPROPERTY</w:instrText>
    </w:r>
    <w:r w:rsidRPr="00F67906">
      <w:rPr>
        <w:sz w:val="18"/>
      </w:rPr>
      <w:instrText xml:space="preserve"> "Partinummer" *\charformat </w:instrText>
    </w:r>
    <w:r w:rsidRPr="00F67906">
      <w:fldChar w:fldCharType="separate"/>
    </w:r>
    <w:r w:rsidRPr="00F67906">
      <w:t>V230</w:t>
    </w:r>
    <w:r w:rsidRPr="00F67906">
      <w:fldChar w:fldCharType="end"/>
    </w:r>
  </w:p>
  <w:p w:rsidR="003E3D5E" w:rsidRPr="00F67906" w:rsidRDefault="003E3D5E">
    <w:pPr>
      <w:pStyle w:val="FSHRub1"/>
    </w:pPr>
    <w:r w:rsidRPr="00F67906">
      <w:t>Motion till riksdagen</w:t>
    </w:r>
    <w:r w:rsidRPr="00F67906">
      <w:br/>
    </w:r>
    <w:r w:rsidRPr="00F67906">
      <w:fldChar w:fldCharType="begin" w:fldLock="1"/>
    </w:r>
    <w:r w:rsidRPr="00F67906">
      <w:instrText xml:space="preserve"> DOCPROPERTY "YearUser" *\charformat </w:instrText>
    </w:r>
    <w:r w:rsidRPr="00F67906">
      <w:fldChar w:fldCharType="separate"/>
    </w:r>
    <w:r w:rsidRPr="00F67906">
      <w:t>2011/12</w:t>
    </w:r>
    <w:r w:rsidRPr="00F67906">
      <w:fldChar w:fldCharType="end"/>
    </w:r>
    <w:r w:rsidRPr="00F67906">
      <w:t>:</w:t>
    </w:r>
    <w:r w:rsidRPr="00F67906">
      <w:fldChar w:fldCharType="begin" w:fldLock="1"/>
    </w:r>
    <w:r w:rsidRPr="00F67906">
      <w:instrText xml:space="preserve"> DOCPROPERTY "Motionsnummer" *\charformat </w:instrText>
    </w:r>
    <w:r w:rsidRPr="00F67906">
      <w:fldChar w:fldCharType="separate"/>
    </w:r>
    <w:r w:rsidRPr="00F67906">
      <w:t>N367</w:t>
    </w:r>
    <w:r w:rsidRPr="00F67906">
      <w:fldChar w:fldCharType="end"/>
    </w:r>
  </w:p>
  <w:p w:rsidR="003E3D5E" w:rsidRPr="00F67906" w:rsidRDefault="003E3D5E">
    <w:pPr>
      <w:pStyle w:val="FSHNormalS5"/>
    </w:pPr>
    <w:r w:rsidRPr="00F67906">
      <w:fldChar w:fldCharType="begin" w:fldLock="1"/>
    </w:r>
    <w:r w:rsidRPr="00F67906">
      <w:instrText xml:space="preserve"> DOCPROPERTY "MotionarText" *\charformat </w:instrText>
    </w:r>
    <w:r w:rsidRPr="00F67906">
      <w:fldChar w:fldCharType="separate"/>
    </w:r>
    <w:r w:rsidRPr="00F67906">
      <w:t>av Lars Ohly m.fl. (V)</w:t>
    </w:r>
    <w:r w:rsidRPr="00F67906">
      <w:fldChar w:fldCharType="end"/>
    </w:r>
    <w:r w:rsidRPr="00F67906">
      <w:br/>
    </w:r>
    <w:r w:rsidRPr="00F67906">
      <w:fldChar w:fldCharType="begin" w:fldLock="1"/>
    </w:r>
    <w:r w:rsidRPr="00F67906">
      <w:instrText xml:space="preserve"> DOCPROPERTY "SvarFrasKort" *\charformat </w:instrText>
    </w:r>
    <w:r w:rsidRPr="00F67906">
      <w:fldChar w:fldCharType="end"/>
    </w:r>
  </w:p>
  <w:p w:rsidR="003E3D5E" w:rsidRPr="00F67906" w:rsidRDefault="003E3D5E">
    <w:pPr>
      <w:pStyle w:val="FSHTitel"/>
    </w:pPr>
    <w:r w:rsidRPr="00F67906">
      <w:fldChar w:fldCharType="begin" w:fldLock="1"/>
    </w:r>
    <w:r w:rsidRPr="00F67906">
      <w:instrText xml:space="preserve"> DOCPROPERTY</w:instrText>
    </w:r>
    <w:r w:rsidRPr="00F67906">
      <w:rPr>
        <w:sz w:val="18"/>
      </w:rPr>
      <w:instrText xml:space="preserve"> "RubrikSvar" *\charformat </w:instrText>
    </w:r>
    <w:r w:rsidRPr="00F67906">
      <w:fldChar w:fldCharType="separate"/>
    </w:r>
    <w:r w:rsidRPr="00F67906">
      <w:t>Utgiftsområde 21 Energi</w:t>
    </w:r>
    <w:r w:rsidRPr="00F67906">
      <w:fldChar w:fldCharType="end"/>
    </w:r>
  </w:p>
  <w:p w:rsidR="003E3D5E" w:rsidRPr="00F67906" w:rsidRDefault="003E3D5E">
    <w:pPr>
      <w:pStyle w:val="Normal00"/>
    </w:pPr>
  </w:p>
  <w:p w:rsidR="003E3D5E" w:rsidRPr="00F67906" w:rsidRDefault="003E3D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481A5512"/>
    <w:multiLevelType w:val="hybridMultilevel"/>
    <w:tmpl w:val="9E3015E0"/>
    <w:lvl w:ilvl="0" w:tplc="DEC612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2950233">
    <w:abstractNumId w:val="8"/>
  </w:num>
  <w:num w:numId="2" w16cid:durableId="875190981">
    <w:abstractNumId w:val="9"/>
  </w:num>
  <w:num w:numId="3" w16cid:durableId="2074695880">
    <w:abstractNumId w:val="8"/>
  </w:num>
  <w:num w:numId="4" w16cid:durableId="943222536">
    <w:abstractNumId w:val="9"/>
  </w:num>
  <w:num w:numId="5" w16cid:durableId="1732340989">
    <w:abstractNumId w:val="14"/>
  </w:num>
  <w:num w:numId="6" w16cid:durableId="2050101487">
    <w:abstractNumId w:val="10"/>
  </w:num>
  <w:num w:numId="7" w16cid:durableId="1331063770">
    <w:abstractNumId w:val="11"/>
  </w:num>
  <w:num w:numId="8" w16cid:durableId="1634872352">
    <w:abstractNumId w:val="12"/>
  </w:num>
  <w:num w:numId="9" w16cid:durableId="2125343340">
    <w:abstractNumId w:val="8"/>
  </w:num>
  <w:num w:numId="10" w16cid:durableId="779298252">
    <w:abstractNumId w:val="3"/>
  </w:num>
  <w:num w:numId="11" w16cid:durableId="1107312086">
    <w:abstractNumId w:val="2"/>
  </w:num>
  <w:num w:numId="12" w16cid:durableId="1774545637">
    <w:abstractNumId w:val="1"/>
  </w:num>
  <w:num w:numId="13" w16cid:durableId="793252017">
    <w:abstractNumId w:val="0"/>
  </w:num>
  <w:num w:numId="14" w16cid:durableId="358891560">
    <w:abstractNumId w:val="9"/>
  </w:num>
  <w:num w:numId="15" w16cid:durableId="1892306500">
    <w:abstractNumId w:val="7"/>
  </w:num>
  <w:num w:numId="16" w16cid:durableId="1092581142">
    <w:abstractNumId w:val="6"/>
  </w:num>
  <w:num w:numId="17" w16cid:durableId="1511217594">
    <w:abstractNumId w:val="5"/>
  </w:num>
  <w:num w:numId="18" w16cid:durableId="2048139394">
    <w:abstractNumId w:val="4"/>
  </w:num>
  <w:num w:numId="19" w16cid:durableId="1584071872">
    <w:abstractNumId w:val="13"/>
  </w:num>
  <w:num w:numId="20" w16cid:durableId="1994290666">
    <w:abstractNumId w:val="11"/>
  </w:num>
  <w:num w:numId="21" w16cid:durableId="1836070895">
    <w:abstractNumId w:val="10"/>
  </w:num>
  <w:num w:numId="22" w16cid:durableId="4286223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653F0F50-6F1F-4A36-9FEB-9B3CE8CAF153},{9757EBE9-5352-471C-B04A-E35C112BD16A},{00468181-7122-42C5-877E-69489063FE94},{A3B7BC79-15BA-4C82-9CD3-12632F50DBA0},{DA248C4D-AFF6-4AC5-94CA-AED252C8C8C8},{A7313DCE-0B34-4C27-86F8-BEBB9AB9F316},{3EA40B84-2474-4E42-A764-D13EB4E0906F}"/>
  </w:docVars>
  <w:rsids>
    <w:rsidRoot w:val="00187E7E"/>
    <w:rsid w:val="00187E7E"/>
    <w:rsid w:val="003E3D5E"/>
    <w:rsid w:val="00F679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EF4502-19FC-441E-A043-F66482F6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06850">
      <w:bodyDiv w:val="1"/>
      <w:marLeft w:val="0"/>
      <w:marRight w:val="0"/>
      <w:marTop w:val="0"/>
      <w:marBottom w:val="0"/>
      <w:divBdr>
        <w:top w:val="none" w:sz="0" w:space="0" w:color="auto"/>
        <w:left w:val="none" w:sz="0" w:space="0" w:color="auto"/>
        <w:bottom w:val="none" w:sz="0" w:space="0" w:color="auto"/>
        <w:right w:val="none" w:sz="0" w:space="0" w:color="auto"/>
      </w:divBdr>
    </w:div>
    <w:div w:id="706027313">
      <w:bodyDiv w:val="1"/>
      <w:marLeft w:val="0"/>
      <w:marRight w:val="0"/>
      <w:marTop w:val="0"/>
      <w:marBottom w:val="0"/>
      <w:divBdr>
        <w:top w:val="none" w:sz="0" w:space="0" w:color="auto"/>
        <w:left w:val="none" w:sz="0" w:space="0" w:color="auto"/>
        <w:bottom w:val="none" w:sz="0" w:space="0" w:color="auto"/>
        <w:right w:val="none" w:sz="0" w:space="0" w:color="auto"/>
      </w:divBdr>
    </w:div>
    <w:div w:id="89720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2456</Characters>
  <Application>Microsoft Office Word</Application>
  <DocSecurity>4</DocSecurity>
  <Lines>81</Lines>
  <Paragraphs>50</Paragraphs>
  <ScaleCrop>false</ScaleCrop>
  <HeadingPairs>
    <vt:vector size="2" baseType="variant">
      <vt:variant>
        <vt:lpstr>Rubrik</vt:lpstr>
      </vt:variant>
      <vt:variant>
        <vt:i4>1</vt:i4>
      </vt:variant>
    </vt:vector>
  </HeadingPairs>
  <TitlesOfParts>
    <vt:vector size="1" baseType="lpstr">
      <vt:lpstr>V230</vt:lpstr>
    </vt:vector>
  </TitlesOfParts>
  <Company>Riksdagen</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V230</dc:title>
  <dc:subject>V230</dc:subject>
  <dc:creator>Riksdagen</dc:creator>
  <cp:keywords>Riksdagen</cp:keywords>
  <dc:description>Nya formatmallshantering för förslag+urix bakåtkomp+könamn</dc:description>
  <cp:lastModifiedBy>Lars Brink</cp:lastModifiedBy>
  <cp:revision>2</cp:revision>
  <cp:lastPrinted>2011-10-28T06:38:00Z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2009/10</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21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21 Energi</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V230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20112012000000000086000002300080</vt:lpwstr>
  </property>
  <property fmtid="{D5CDD505-2E9C-101B-9397-08002B2CF9AE}" pid="47" name="datum">
    <vt:lpwstr>111004</vt:lpwstr>
  </property>
  <property fmtid="{D5CDD505-2E9C-101B-9397-08002B2CF9AE}" pid="48" name="avsändar-e-post">
    <vt:lpwstr>maya.ek@riksdagen.se</vt:lpwstr>
  </property>
  <property fmtid="{D5CDD505-2E9C-101B-9397-08002B2CF9AE}" pid="49" name="id">
    <vt:lpwstr>20112012000000000086000002300080</vt:lpwstr>
  </property>
  <property fmtid="{D5CDD505-2E9C-101B-9397-08002B2CF9AE}" pid="50" name="nummer">
    <vt:lpwstr>367</vt:lpwstr>
  </property>
  <property fmtid="{D5CDD505-2E9C-101B-9397-08002B2CF9AE}" pid="51" name="utskottsbeteckning">
    <vt:lpwstr>N</vt:lpwstr>
  </property>
  <property fmtid="{D5CDD505-2E9C-101B-9397-08002B2CF9AE}" pid="52" name="GlobalUID">
    <vt:lpwstr>{7213CA54-35A6-4D8E-9AEB-CCA1F37B4415}</vt:lpwstr>
  </property>
  <property fmtid="{D5CDD505-2E9C-101B-9397-08002B2CF9AE}" pid="53" name="Överföringar">
    <vt:i4>0</vt:i4>
  </property>
  <property fmtid="{D5CDD505-2E9C-101B-9397-08002B2CF9AE}" pid="54" name="Checksum">
    <vt:lpwstr>*0018174670943*</vt:lpwstr>
  </property>
  <property fmtid="{D5CDD505-2E9C-101B-9397-08002B2CF9AE}" pid="55" name="skuggnummer">
    <vt:lpwstr>2446</vt:lpwstr>
  </property>
  <property fmtid="{D5CDD505-2E9C-101B-9397-08002B2CF9AE}" pid="56" name="urixVersion">
    <vt:lpwstr>4.5.0.25</vt:lpwstr>
  </property>
  <property fmtid="{D5CDD505-2E9C-101B-9397-08002B2CF9AE}" pid="57" name="urixOrigin">
    <vt:lpwstr>111028 12:47:41.266</vt:lpwstr>
  </property>
  <property fmtid="{D5CDD505-2E9C-101B-9397-08002B2CF9AE}" pid="58" name="urixGuid">
    <vt:lpwstr>{51DD2E3D-6E60-44E8-9733-8B5B86DF86A8}</vt:lpwstr>
  </property>
</Properties>
</file>