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808FF" w14:textId="77777777" w:rsidR="005077A4" w:rsidRDefault="005077A4" w:rsidP="005077A4">
      <w:pPr>
        <w:pStyle w:val="UDrubrik"/>
        <w:tabs>
          <w:tab w:val="left" w:pos="1701"/>
          <w:tab w:val="left" w:pos="1985"/>
        </w:tabs>
        <w:rPr>
          <w:rFonts w:cs="Arial"/>
          <w:sz w:val="28"/>
        </w:rPr>
      </w:pPr>
    </w:p>
    <w:p w14:paraId="67380900" w14:textId="77777777" w:rsidR="005077A4" w:rsidRDefault="005077A4" w:rsidP="005077A4">
      <w:pPr>
        <w:pStyle w:val="UDrubrik"/>
        <w:tabs>
          <w:tab w:val="left" w:pos="1701"/>
          <w:tab w:val="left" w:pos="1985"/>
        </w:tabs>
        <w:rPr>
          <w:rFonts w:cs="Arial"/>
          <w:sz w:val="28"/>
        </w:rPr>
      </w:pPr>
    </w:p>
    <w:p w14:paraId="67380901" w14:textId="77777777" w:rsidR="005077A4" w:rsidRDefault="005077A4" w:rsidP="005077A4">
      <w:pPr>
        <w:pStyle w:val="UDrubrik"/>
        <w:tabs>
          <w:tab w:val="left" w:pos="1701"/>
          <w:tab w:val="left" w:pos="1985"/>
        </w:tabs>
        <w:rPr>
          <w:rFonts w:cs="Arial"/>
          <w:sz w:val="28"/>
        </w:rPr>
      </w:pPr>
    </w:p>
    <w:p w14:paraId="67380902" w14:textId="77777777" w:rsidR="005077A4" w:rsidRDefault="005077A4" w:rsidP="005077A4">
      <w:pPr>
        <w:pStyle w:val="UDrubrik"/>
        <w:tabs>
          <w:tab w:val="left" w:pos="1701"/>
          <w:tab w:val="left" w:pos="1985"/>
        </w:tabs>
        <w:rPr>
          <w:rFonts w:cs="Arial"/>
          <w:sz w:val="28"/>
        </w:rPr>
      </w:pPr>
    </w:p>
    <w:p w14:paraId="67380903" w14:textId="350EBEC6" w:rsidR="005077A4" w:rsidRDefault="005077A4" w:rsidP="005077A4">
      <w:pPr>
        <w:pStyle w:val="UDrubrik"/>
        <w:tabs>
          <w:tab w:val="left" w:pos="1701"/>
          <w:tab w:val="left" w:pos="1985"/>
        </w:tabs>
        <w:rPr>
          <w:rFonts w:cs="Arial"/>
          <w:sz w:val="28"/>
        </w:rPr>
      </w:pPr>
      <w:r>
        <w:rPr>
          <w:rFonts w:cs="Arial"/>
          <w:sz w:val="28"/>
        </w:rPr>
        <w:t xml:space="preserve">Troliga A-punkter inför kommande rådsmöten som </w:t>
      </w:r>
      <w:r w:rsidR="00886B06">
        <w:rPr>
          <w:rFonts w:cs="Arial"/>
          <w:sz w:val="28"/>
        </w:rPr>
        <w:t>godkändes</w:t>
      </w:r>
      <w:r>
        <w:rPr>
          <w:rFonts w:cs="Arial"/>
          <w:sz w:val="28"/>
        </w:rPr>
        <w:t xml:space="preserve"> vid Coreper II den 21 juni 2016.</w:t>
      </w:r>
    </w:p>
    <w:p w14:paraId="67380904" w14:textId="77777777" w:rsidR="005077A4" w:rsidRDefault="005077A4" w:rsidP="005077A4">
      <w:pPr>
        <w:pStyle w:val="Brdtext"/>
      </w:pPr>
    </w:p>
    <w:p w14:paraId="67380906" w14:textId="77777777" w:rsidR="005077A4" w:rsidRDefault="005077A4">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7380907" w14:textId="77777777" w:rsidR="005077A4" w:rsidRPr="00283DF3" w:rsidRDefault="005077A4">
          <w:pPr>
            <w:pStyle w:val="Innehllsfrteckningsrubrik"/>
            <w:rPr>
              <w:color w:val="auto"/>
              <w:lang w:val="sv-SE"/>
            </w:rPr>
          </w:pPr>
          <w:r w:rsidRPr="00283DF3">
            <w:rPr>
              <w:color w:val="auto"/>
              <w:lang w:val="sv-SE"/>
            </w:rPr>
            <w:t>Innehållsförteckning</w:t>
          </w:r>
        </w:p>
        <w:p w14:paraId="67380908" w14:textId="77777777" w:rsidR="005077A4" w:rsidRPr="00283DF3" w:rsidRDefault="005077A4" w:rsidP="005077A4">
          <w:pPr>
            <w:rPr>
              <w:lang w:eastAsia="ja-JP"/>
            </w:rPr>
          </w:pPr>
        </w:p>
        <w:bookmarkStart w:id="0" w:name="_GoBack"/>
        <w:bookmarkEnd w:id="0"/>
        <w:p w14:paraId="01E5A826" w14:textId="77777777" w:rsidR="00886B06" w:rsidRDefault="005077A4">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54346958" w:history="1">
            <w:r w:rsidR="00886B06" w:rsidRPr="00080380">
              <w:rPr>
                <w:rStyle w:val="Hyperlnk"/>
                <w:noProof/>
                <w:lang w:val="en-US"/>
              </w:rPr>
              <w:t>1.</w:t>
            </w:r>
            <w:r w:rsidR="00886B06">
              <w:rPr>
                <w:rFonts w:asciiTheme="minorHAnsi" w:eastAsiaTheme="minorEastAsia" w:hAnsiTheme="minorHAnsi" w:cstheme="minorBidi"/>
                <w:noProof/>
                <w:lang w:eastAsia="sv-SE"/>
              </w:rPr>
              <w:tab/>
            </w:r>
            <w:r w:rsidR="00886B06" w:rsidRPr="00080380">
              <w:rPr>
                <w:rStyle w:val="Hyperlnk"/>
                <w:noProof/>
                <w:lang w:val="en-US"/>
              </w:rPr>
              <w:t>Resolutions, Decisions and Opinions adopted by the European Parliament at its part-sessions in Strasbourg from 6 - 9 June 2016 and in Brussels on 25 - 26 May 2016</w:t>
            </w:r>
            <w:r w:rsidR="00886B06">
              <w:rPr>
                <w:noProof/>
                <w:webHidden/>
              </w:rPr>
              <w:tab/>
            </w:r>
            <w:r w:rsidR="00886B06">
              <w:rPr>
                <w:noProof/>
                <w:webHidden/>
              </w:rPr>
              <w:fldChar w:fldCharType="begin"/>
            </w:r>
            <w:r w:rsidR="00886B06">
              <w:rPr>
                <w:noProof/>
                <w:webHidden/>
              </w:rPr>
              <w:instrText xml:space="preserve"> PAGEREF _Toc454346958 \h </w:instrText>
            </w:r>
            <w:r w:rsidR="00886B06">
              <w:rPr>
                <w:noProof/>
                <w:webHidden/>
              </w:rPr>
            </w:r>
            <w:r w:rsidR="00886B06">
              <w:rPr>
                <w:noProof/>
                <w:webHidden/>
              </w:rPr>
              <w:fldChar w:fldCharType="separate"/>
            </w:r>
            <w:r w:rsidR="00886B06">
              <w:rPr>
                <w:noProof/>
                <w:webHidden/>
              </w:rPr>
              <w:t>5</w:t>
            </w:r>
            <w:r w:rsidR="00886B06">
              <w:rPr>
                <w:noProof/>
                <w:webHidden/>
              </w:rPr>
              <w:fldChar w:fldCharType="end"/>
            </w:r>
          </w:hyperlink>
        </w:p>
        <w:p w14:paraId="62707BD1" w14:textId="77777777" w:rsidR="00886B06" w:rsidRDefault="00886B06">
          <w:pPr>
            <w:pStyle w:val="Innehll1"/>
            <w:tabs>
              <w:tab w:val="left" w:pos="440"/>
              <w:tab w:val="right" w:leader="dot" w:pos="9062"/>
            </w:tabs>
            <w:rPr>
              <w:rFonts w:asciiTheme="minorHAnsi" w:eastAsiaTheme="minorEastAsia" w:hAnsiTheme="minorHAnsi" w:cstheme="minorBidi"/>
              <w:noProof/>
              <w:lang w:eastAsia="sv-SE"/>
            </w:rPr>
          </w:pPr>
          <w:hyperlink w:anchor="_Toc454346959" w:history="1">
            <w:r w:rsidRPr="00080380">
              <w:rPr>
                <w:rStyle w:val="Hyperlnk"/>
                <w:noProof/>
                <w:lang w:val="en-US"/>
              </w:rPr>
              <w:t>2.</w:t>
            </w:r>
            <w:r>
              <w:rPr>
                <w:rFonts w:asciiTheme="minorHAnsi" w:eastAsiaTheme="minorEastAsia" w:hAnsiTheme="minorHAnsi" w:cstheme="minorBidi"/>
                <w:noProof/>
                <w:lang w:eastAsia="sv-SE"/>
              </w:rPr>
              <w:tab/>
            </w:r>
            <w:r w:rsidRPr="00080380">
              <w:rPr>
                <w:rStyle w:val="Hyperlnk"/>
                <w:noProof/>
                <w:lang w:val="en-US"/>
              </w:rPr>
              <w:t>Proposal for a Council Directive amending Directive 2006/112/EC on the common system of value added tax, as regards the treatment of vouchers</w:t>
            </w:r>
            <w:r>
              <w:rPr>
                <w:noProof/>
                <w:webHidden/>
              </w:rPr>
              <w:tab/>
            </w:r>
            <w:r>
              <w:rPr>
                <w:noProof/>
                <w:webHidden/>
              </w:rPr>
              <w:fldChar w:fldCharType="begin"/>
            </w:r>
            <w:r>
              <w:rPr>
                <w:noProof/>
                <w:webHidden/>
              </w:rPr>
              <w:instrText xml:space="preserve"> PAGEREF _Toc454346959 \h </w:instrText>
            </w:r>
            <w:r>
              <w:rPr>
                <w:noProof/>
                <w:webHidden/>
              </w:rPr>
            </w:r>
            <w:r>
              <w:rPr>
                <w:noProof/>
                <w:webHidden/>
              </w:rPr>
              <w:fldChar w:fldCharType="separate"/>
            </w:r>
            <w:r>
              <w:rPr>
                <w:noProof/>
                <w:webHidden/>
              </w:rPr>
              <w:t>5</w:t>
            </w:r>
            <w:r>
              <w:rPr>
                <w:noProof/>
                <w:webHidden/>
              </w:rPr>
              <w:fldChar w:fldCharType="end"/>
            </w:r>
          </w:hyperlink>
        </w:p>
        <w:p w14:paraId="104ADBBF" w14:textId="77777777" w:rsidR="00886B06" w:rsidRDefault="00886B06">
          <w:pPr>
            <w:pStyle w:val="Innehll1"/>
            <w:tabs>
              <w:tab w:val="left" w:pos="440"/>
              <w:tab w:val="right" w:leader="dot" w:pos="9062"/>
            </w:tabs>
            <w:rPr>
              <w:rFonts w:asciiTheme="minorHAnsi" w:eastAsiaTheme="minorEastAsia" w:hAnsiTheme="minorHAnsi" w:cstheme="minorBidi"/>
              <w:noProof/>
              <w:lang w:eastAsia="sv-SE"/>
            </w:rPr>
          </w:pPr>
          <w:hyperlink w:anchor="_Toc454346960" w:history="1">
            <w:r w:rsidRPr="00080380">
              <w:rPr>
                <w:rStyle w:val="Hyperlnk"/>
                <w:noProof/>
                <w:lang w:val="en-US"/>
              </w:rPr>
              <w:t>3.</w:t>
            </w:r>
            <w:r>
              <w:rPr>
                <w:rFonts w:asciiTheme="minorHAnsi" w:eastAsiaTheme="minorEastAsia" w:hAnsiTheme="minorHAnsi" w:cstheme="minorBidi"/>
                <w:noProof/>
                <w:lang w:eastAsia="sv-SE"/>
              </w:rPr>
              <w:tab/>
            </w:r>
            <w:r w:rsidRPr="00080380">
              <w:rPr>
                <w:rStyle w:val="Hyperlnk"/>
                <w:noProof/>
                <w:lang w:val="en-US"/>
              </w:rPr>
              <w:t>Commission delegated Regulation (EU) …/... of 2.6.2016 supplementing Directive 2014/65/EU of the European Parliament and of the Council with regard to regulatory technical standards on the authorization, organisational requirements and the publication of transactions for data reporting services providers</w:t>
            </w:r>
            <w:r>
              <w:rPr>
                <w:noProof/>
                <w:webHidden/>
              </w:rPr>
              <w:tab/>
            </w:r>
            <w:r>
              <w:rPr>
                <w:noProof/>
                <w:webHidden/>
              </w:rPr>
              <w:fldChar w:fldCharType="begin"/>
            </w:r>
            <w:r>
              <w:rPr>
                <w:noProof/>
                <w:webHidden/>
              </w:rPr>
              <w:instrText xml:space="preserve"> PAGEREF _Toc454346960 \h </w:instrText>
            </w:r>
            <w:r>
              <w:rPr>
                <w:noProof/>
                <w:webHidden/>
              </w:rPr>
            </w:r>
            <w:r>
              <w:rPr>
                <w:noProof/>
                <w:webHidden/>
              </w:rPr>
              <w:fldChar w:fldCharType="separate"/>
            </w:r>
            <w:r>
              <w:rPr>
                <w:noProof/>
                <w:webHidden/>
              </w:rPr>
              <w:t>6</w:t>
            </w:r>
            <w:r>
              <w:rPr>
                <w:noProof/>
                <w:webHidden/>
              </w:rPr>
              <w:fldChar w:fldCharType="end"/>
            </w:r>
          </w:hyperlink>
        </w:p>
        <w:p w14:paraId="22DCD833" w14:textId="77777777" w:rsidR="00886B06" w:rsidRDefault="00886B06">
          <w:pPr>
            <w:pStyle w:val="Innehll1"/>
            <w:tabs>
              <w:tab w:val="left" w:pos="440"/>
              <w:tab w:val="right" w:leader="dot" w:pos="9062"/>
            </w:tabs>
            <w:rPr>
              <w:rFonts w:asciiTheme="minorHAnsi" w:eastAsiaTheme="minorEastAsia" w:hAnsiTheme="minorHAnsi" w:cstheme="minorBidi"/>
              <w:noProof/>
              <w:lang w:eastAsia="sv-SE"/>
            </w:rPr>
          </w:pPr>
          <w:hyperlink w:anchor="_Toc454346961" w:history="1">
            <w:r w:rsidRPr="00080380">
              <w:rPr>
                <w:rStyle w:val="Hyperlnk"/>
                <w:noProof/>
                <w:lang w:val="en-US"/>
              </w:rPr>
              <w:t>4.</w:t>
            </w:r>
            <w:r>
              <w:rPr>
                <w:rFonts w:asciiTheme="minorHAnsi" w:eastAsiaTheme="minorEastAsia" w:hAnsiTheme="minorHAnsi" w:cstheme="minorBidi"/>
                <w:noProof/>
                <w:lang w:eastAsia="sv-SE"/>
              </w:rPr>
              <w:tab/>
            </w:r>
            <w:r w:rsidRPr="00080380">
              <w:rPr>
                <w:rStyle w:val="Hyperlnk"/>
                <w:noProof/>
                <w:lang w:val="en-US"/>
              </w:rPr>
              <w:t>Commission delegated Regulation (EU) …/... of 2.6.2016 supplementing Regulation (EU) No 600/2014 of the European Parliament and of the Council with regard to regulatory technical standards on the specification of the offering of pre-and post-trade data and the level of disaggregation of data</w:t>
            </w:r>
            <w:r>
              <w:rPr>
                <w:noProof/>
                <w:webHidden/>
              </w:rPr>
              <w:tab/>
            </w:r>
            <w:r>
              <w:rPr>
                <w:noProof/>
                <w:webHidden/>
              </w:rPr>
              <w:fldChar w:fldCharType="begin"/>
            </w:r>
            <w:r>
              <w:rPr>
                <w:noProof/>
                <w:webHidden/>
              </w:rPr>
              <w:instrText xml:space="preserve"> PAGEREF _Toc454346961 \h </w:instrText>
            </w:r>
            <w:r>
              <w:rPr>
                <w:noProof/>
                <w:webHidden/>
              </w:rPr>
            </w:r>
            <w:r>
              <w:rPr>
                <w:noProof/>
                <w:webHidden/>
              </w:rPr>
              <w:fldChar w:fldCharType="separate"/>
            </w:r>
            <w:r>
              <w:rPr>
                <w:noProof/>
                <w:webHidden/>
              </w:rPr>
              <w:t>6</w:t>
            </w:r>
            <w:r>
              <w:rPr>
                <w:noProof/>
                <w:webHidden/>
              </w:rPr>
              <w:fldChar w:fldCharType="end"/>
            </w:r>
          </w:hyperlink>
        </w:p>
        <w:p w14:paraId="0D5EDDA5" w14:textId="77777777" w:rsidR="00886B06" w:rsidRDefault="00886B06">
          <w:pPr>
            <w:pStyle w:val="Innehll1"/>
            <w:tabs>
              <w:tab w:val="left" w:pos="440"/>
              <w:tab w:val="right" w:leader="dot" w:pos="9062"/>
            </w:tabs>
            <w:rPr>
              <w:rFonts w:asciiTheme="minorHAnsi" w:eastAsiaTheme="minorEastAsia" w:hAnsiTheme="minorHAnsi" w:cstheme="minorBidi"/>
              <w:noProof/>
              <w:lang w:eastAsia="sv-SE"/>
            </w:rPr>
          </w:pPr>
          <w:hyperlink w:anchor="_Toc454346962" w:history="1">
            <w:r w:rsidRPr="00080380">
              <w:rPr>
                <w:rStyle w:val="Hyperlnk"/>
                <w:noProof/>
                <w:lang w:val="en-US"/>
              </w:rPr>
              <w:t>5.</w:t>
            </w:r>
            <w:r>
              <w:rPr>
                <w:rFonts w:asciiTheme="minorHAnsi" w:eastAsiaTheme="minorEastAsia" w:hAnsiTheme="minorHAnsi" w:cstheme="minorBidi"/>
                <w:noProof/>
                <w:lang w:eastAsia="sv-SE"/>
              </w:rPr>
              <w:tab/>
            </w:r>
            <w:r w:rsidRPr="00080380">
              <w:rPr>
                <w:rStyle w:val="Hyperlnk"/>
                <w:noProof/>
                <w:lang w:val="en-US"/>
              </w:rPr>
              <w:t>Commission delegated Regulation (EU) …/... of 2.6.2016 supplementing Regulation (EU) No 600/2014 of the European Parliament and of the Council on markets in financial instruments with regard to regulatory technical standards on access in respect of benchmarks</w:t>
            </w:r>
            <w:r>
              <w:rPr>
                <w:noProof/>
                <w:webHidden/>
              </w:rPr>
              <w:tab/>
            </w:r>
            <w:r>
              <w:rPr>
                <w:noProof/>
                <w:webHidden/>
              </w:rPr>
              <w:fldChar w:fldCharType="begin"/>
            </w:r>
            <w:r>
              <w:rPr>
                <w:noProof/>
                <w:webHidden/>
              </w:rPr>
              <w:instrText xml:space="preserve"> PAGEREF _Toc454346962 \h </w:instrText>
            </w:r>
            <w:r>
              <w:rPr>
                <w:noProof/>
                <w:webHidden/>
              </w:rPr>
            </w:r>
            <w:r>
              <w:rPr>
                <w:noProof/>
                <w:webHidden/>
              </w:rPr>
              <w:fldChar w:fldCharType="separate"/>
            </w:r>
            <w:r>
              <w:rPr>
                <w:noProof/>
                <w:webHidden/>
              </w:rPr>
              <w:t>7</w:t>
            </w:r>
            <w:r>
              <w:rPr>
                <w:noProof/>
                <w:webHidden/>
              </w:rPr>
              <w:fldChar w:fldCharType="end"/>
            </w:r>
          </w:hyperlink>
        </w:p>
        <w:p w14:paraId="0B69B080" w14:textId="77777777" w:rsidR="00886B06" w:rsidRDefault="00886B06">
          <w:pPr>
            <w:pStyle w:val="Innehll1"/>
            <w:tabs>
              <w:tab w:val="left" w:pos="440"/>
              <w:tab w:val="right" w:leader="dot" w:pos="9062"/>
            </w:tabs>
            <w:rPr>
              <w:rFonts w:asciiTheme="minorHAnsi" w:eastAsiaTheme="minorEastAsia" w:hAnsiTheme="minorHAnsi" w:cstheme="minorBidi"/>
              <w:noProof/>
              <w:lang w:eastAsia="sv-SE"/>
            </w:rPr>
          </w:pPr>
          <w:hyperlink w:anchor="_Toc454346963" w:history="1">
            <w:r w:rsidRPr="00080380">
              <w:rPr>
                <w:rStyle w:val="Hyperlnk"/>
                <w:noProof/>
                <w:lang w:val="en-US"/>
              </w:rPr>
              <w:t>6.</w:t>
            </w:r>
            <w:r>
              <w:rPr>
                <w:rFonts w:asciiTheme="minorHAnsi" w:eastAsiaTheme="minorEastAsia" w:hAnsiTheme="minorHAnsi" w:cstheme="minorBidi"/>
                <w:noProof/>
                <w:lang w:eastAsia="sv-SE"/>
              </w:rPr>
              <w:tab/>
            </w:r>
            <w:r w:rsidRPr="00080380">
              <w:rPr>
                <w:rStyle w:val="Hyperlnk"/>
                <w:noProof/>
                <w:lang w:val="en-US"/>
              </w:rPr>
              <w:t>Commission delegated Regulation (EU) …/... of 6.6.2016 supplementing Directive 2014/65/EU of the European Parliament and of the Council on markets in financial instruments with regard to regulatory technical standards on requirements to ensure fair and non-discriminatory co-location services and fee structures</w:t>
            </w:r>
            <w:r>
              <w:rPr>
                <w:noProof/>
                <w:webHidden/>
              </w:rPr>
              <w:tab/>
            </w:r>
            <w:r>
              <w:rPr>
                <w:noProof/>
                <w:webHidden/>
              </w:rPr>
              <w:fldChar w:fldCharType="begin"/>
            </w:r>
            <w:r>
              <w:rPr>
                <w:noProof/>
                <w:webHidden/>
              </w:rPr>
              <w:instrText xml:space="preserve"> PAGEREF _Toc454346963 \h </w:instrText>
            </w:r>
            <w:r>
              <w:rPr>
                <w:noProof/>
                <w:webHidden/>
              </w:rPr>
            </w:r>
            <w:r>
              <w:rPr>
                <w:noProof/>
                <w:webHidden/>
              </w:rPr>
              <w:fldChar w:fldCharType="separate"/>
            </w:r>
            <w:r>
              <w:rPr>
                <w:noProof/>
                <w:webHidden/>
              </w:rPr>
              <w:t>8</w:t>
            </w:r>
            <w:r>
              <w:rPr>
                <w:noProof/>
                <w:webHidden/>
              </w:rPr>
              <w:fldChar w:fldCharType="end"/>
            </w:r>
          </w:hyperlink>
        </w:p>
        <w:p w14:paraId="70A4E2C2" w14:textId="77777777" w:rsidR="00886B06" w:rsidRDefault="00886B06">
          <w:pPr>
            <w:pStyle w:val="Innehll1"/>
            <w:tabs>
              <w:tab w:val="left" w:pos="440"/>
              <w:tab w:val="right" w:leader="dot" w:pos="9062"/>
            </w:tabs>
            <w:rPr>
              <w:rFonts w:asciiTheme="minorHAnsi" w:eastAsiaTheme="minorEastAsia" w:hAnsiTheme="minorHAnsi" w:cstheme="minorBidi"/>
              <w:noProof/>
              <w:lang w:eastAsia="sv-SE"/>
            </w:rPr>
          </w:pPr>
          <w:hyperlink w:anchor="_Toc454346964" w:history="1">
            <w:r w:rsidRPr="00080380">
              <w:rPr>
                <w:rStyle w:val="Hyperlnk"/>
                <w:noProof/>
                <w:lang w:val="en-US"/>
              </w:rPr>
              <w:t>7.</w:t>
            </w:r>
            <w:r>
              <w:rPr>
                <w:rFonts w:asciiTheme="minorHAnsi" w:eastAsiaTheme="minorEastAsia" w:hAnsiTheme="minorHAnsi" w:cstheme="minorBidi"/>
                <w:noProof/>
                <w:lang w:eastAsia="sv-SE"/>
              </w:rPr>
              <w:tab/>
            </w:r>
            <w:r w:rsidRPr="00080380">
              <w:rPr>
                <w:rStyle w:val="Hyperlnk"/>
                <w:noProof/>
                <w:lang w:val="en-US"/>
              </w:rPr>
              <w:t>Commission delegated Regulation (EU) No …/.. of 7.6.2016 supplementing Directive 2014/59/EU of the European Parliament and of the Council establishing a framework for the recovery and resolution of credit institutions and investment firms with regard to regulatory technical standards specifying a minimum set of the information on financial contracts that should be contained in the detailed records and the circumstances in which the requirement should be imposed</w:t>
            </w:r>
            <w:r>
              <w:rPr>
                <w:noProof/>
                <w:webHidden/>
              </w:rPr>
              <w:tab/>
            </w:r>
            <w:r>
              <w:rPr>
                <w:noProof/>
                <w:webHidden/>
              </w:rPr>
              <w:fldChar w:fldCharType="begin"/>
            </w:r>
            <w:r>
              <w:rPr>
                <w:noProof/>
                <w:webHidden/>
              </w:rPr>
              <w:instrText xml:space="preserve"> PAGEREF _Toc454346964 \h </w:instrText>
            </w:r>
            <w:r>
              <w:rPr>
                <w:noProof/>
                <w:webHidden/>
              </w:rPr>
            </w:r>
            <w:r>
              <w:rPr>
                <w:noProof/>
                <w:webHidden/>
              </w:rPr>
              <w:fldChar w:fldCharType="separate"/>
            </w:r>
            <w:r>
              <w:rPr>
                <w:noProof/>
                <w:webHidden/>
              </w:rPr>
              <w:t>9</w:t>
            </w:r>
            <w:r>
              <w:rPr>
                <w:noProof/>
                <w:webHidden/>
              </w:rPr>
              <w:fldChar w:fldCharType="end"/>
            </w:r>
          </w:hyperlink>
        </w:p>
        <w:p w14:paraId="009C1887" w14:textId="77777777" w:rsidR="00886B06" w:rsidRDefault="00886B06">
          <w:pPr>
            <w:pStyle w:val="Innehll1"/>
            <w:tabs>
              <w:tab w:val="left" w:pos="440"/>
              <w:tab w:val="right" w:leader="dot" w:pos="9062"/>
            </w:tabs>
            <w:rPr>
              <w:rFonts w:asciiTheme="minorHAnsi" w:eastAsiaTheme="minorEastAsia" w:hAnsiTheme="minorHAnsi" w:cstheme="minorBidi"/>
              <w:noProof/>
              <w:lang w:eastAsia="sv-SE"/>
            </w:rPr>
          </w:pPr>
          <w:hyperlink w:anchor="_Toc454346965" w:history="1">
            <w:r w:rsidRPr="00080380">
              <w:rPr>
                <w:rStyle w:val="Hyperlnk"/>
                <w:noProof/>
                <w:lang w:val="en-US"/>
              </w:rPr>
              <w:t>8.</w:t>
            </w:r>
            <w:r>
              <w:rPr>
                <w:rFonts w:asciiTheme="minorHAnsi" w:eastAsiaTheme="minorEastAsia" w:hAnsiTheme="minorHAnsi" w:cstheme="minorBidi"/>
                <w:noProof/>
                <w:lang w:eastAsia="sv-SE"/>
              </w:rPr>
              <w:tab/>
            </w:r>
            <w:r w:rsidRPr="00080380">
              <w:rPr>
                <w:rStyle w:val="Hyperlnk"/>
                <w:noProof/>
                <w:lang w:val="en-US"/>
              </w:rPr>
              <w:t>Draft Decision of the European Parliament and of the Council providing further macro-financial assistance to Tunisia (First reading)</w:t>
            </w:r>
            <w:r>
              <w:rPr>
                <w:noProof/>
                <w:webHidden/>
              </w:rPr>
              <w:tab/>
            </w:r>
            <w:r>
              <w:rPr>
                <w:noProof/>
                <w:webHidden/>
              </w:rPr>
              <w:fldChar w:fldCharType="begin"/>
            </w:r>
            <w:r>
              <w:rPr>
                <w:noProof/>
                <w:webHidden/>
              </w:rPr>
              <w:instrText xml:space="preserve"> PAGEREF _Toc454346965 \h </w:instrText>
            </w:r>
            <w:r>
              <w:rPr>
                <w:noProof/>
                <w:webHidden/>
              </w:rPr>
            </w:r>
            <w:r>
              <w:rPr>
                <w:noProof/>
                <w:webHidden/>
              </w:rPr>
              <w:fldChar w:fldCharType="separate"/>
            </w:r>
            <w:r>
              <w:rPr>
                <w:noProof/>
                <w:webHidden/>
              </w:rPr>
              <w:t>9</w:t>
            </w:r>
            <w:r>
              <w:rPr>
                <w:noProof/>
                <w:webHidden/>
              </w:rPr>
              <w:fldChar w:fldCharType="end"/>
            </w:r>
          </w:hyperlink>
        </w:p>
        <w:p w14:paraId="7F65A3AB" w14:textId="77777777" w:rsidR="00886B06" w:rsidRDefault="00886B06">
          <w:pPr>
            <w:pStyle w:val="Innehll1"/>
            <w:tabs>
              <w:tab w:val="left" w:pos="440"/>
              <w:tab w:val="right" w:leader="dot" w:pos="9062"/>
            </w:tabs>
            <w:rPr>
              <w:rFonts w:asciiTheme="minorHAnsi" w:eastAsiaTheme="minorEastAsia" w:hAnsiTheme="minorHAnsi" w:cstheme="minorBidi"/>
              <w:noProof/>
              <w:lang w:eastAsia="sv-SE"/>
            </w:rPr>
          </w:pPr>
          <w:hyperlink w:anchor="_Toc454346966" w:history="1">
            <w:r w:rsidRPr="00080380">
              <w:rPr>
                <w:rStyle w:val="Hyperlnk"/>
                <w:noProof/>
                <w:lang w:val="en-US"/>
              </w:rPr>
              <w:t>9.</w:t>
            </w:r>
            <w:r>
              <w:rPr>
                <w:rFonts w:asciiTheme="minorHAnsi" w:eastAsiaTheme="minorEastAsia" w:hAnsiTheme="minorHAnsi" w:cstheme="minorBidi"/>
                <w:noProof/>
                <w:lang w:eastAsia="sv-SE"/>
              </w:rPr>
              <w:tab/>
            </w:r>
            <w:r w:rsidRPr="00080380">
              <w:rPr>
                <w:rStyle w:val="Hyperlnk"/>
                <w:noProof/>
                <w:lang w:val="en-US"/>
              </w:rPr>
              <w:t>Proposal for a Council Decision on a Union position in the EU-the Republic of Serbia Stabilisation and Association Council on the participation of the Republic of Serbia as an observer in the European Union Agency for Fundamental Rights' work and the respective modalities, within the framework of Council Regulation (EC) No 168/2007</w:t>
            </w:r>
            <w:r>
              <w:rPr>
                <w:noProof/>
                <w:webHidden/>
              </w:rPr>
              <w:tab/>
            </w:r>
            <w:r>
              <w:rPr>
                <w:noProof/>
                <w:webHidden/>
              </w:rPr>
              <w:fldChar w:fldCharType="begin"/>
            </w:r>
            <w:r>
              <w:rPr>
                <w:noProof/>
                <w:webHidden/>
              </w:rPr>
              <w:instrText xml:space="preserve"> PAGEREF _Toc454346966 \h </w:instrText>
            </w:r>
            <w:r>
              <w:rPr>
                <w:noProof/>
                <w:webHidden/>
              </w:rPr>
            </w:r>
            <w:r>
              <w:rPr>
                <w:noProof/>
                <w:webHidden/>
              </w:rPr>
              <w:fldChar w:fldCharType="separate"/>
            </w:r>
            <w:r>
              <w:rPr>
                <w:noProof/>
                <w:webHidden/>
              </w:rPr>
              <w:t>10</w:t>
            </w:r>
            <w:r>
              <w:rPr>
                <w:noProof/>
                <w:webHidden/>
              </w:rPr>
              <w:fldChar w:fldCharType="end"/>
            </w:r>
          </w:hyperlink>
        </w:p>
        <w:p w14:paraId="7944D2E7" w14:textId="77777777" w:rsidR="00886B06" w:rsidRDefault="00886B06">
          <w:pPr>
            <w:pStyle w:val="Innehll1"/>
            <w:tabs>
              <w:tab w:val="left" w:pos="660"/>
              <w:tab w:val="right" w:leader="dot" w:pos="9062"/>
            </w:tabs>
            <w:rPr>
              <w:rFonts w:asciiTheme="minorHAnsi" w:eastAsiaTheme="minorEastAsia" w:hAnsiTheme="minorHAnsi" w:cstheme="minorBidi"/>
              <w:noProof/>
              <w:lang w:eastAsia="sv-SE"/>
            </w:rPr>
          </w:pPr>
          <w:hyperlink w:anchor="_Toc454346967" w:history="1">
            <w:r w:rsidRPr="00080380">
              <w:rPr>
                <w:rStyle w:val="Hyperlnk"/>
                <w:noProof/>
                <w:lang w:val="en-US"/>
              </w:rPr>
              <w:t>10.</w:t>
            </w:r>
            <w:r>
              <w:rPr>
                <w:rFonts w:asciiTheme="minorHAnsi" w:eastAsiaTheme="minorEastAsia" w:hAnsiTheme="minorHAnsi" w:cstheme="minorBidi"/>
                <w:noProof/>
                <w:lang w:eastAsia="sv-SE"/>
              </w:rPr>
              <w:tab/>
            </w:r>
            <w:r w:rsidRPr="00080380">
              <w:rPr>
                <w:rStyle w:val="Hyperlnk"/>
                <w:noProof/>
                <w:lang w:val="en-US"/>
              </w:rPr>
              <w:t>Proposal for a Council Decision on a Union position in the EU-the Republic of Albania Stabilisation and Association Council on the participation of the Republic of Albania as an observer in the European Union Agency for Fundamental Rights' work and the respective modalities, within the framework of Council Regulation (EC) No 168/2007</w:t>
            </w:r>
            <w:r>
              <w:rPr>
                <w:noProof/>
                <w:webHidden/>
              </w:rPr>
              <w:tab/>
            </w:r>
            <w:r>
              <w:rPr>
                <w:noProof/>
                <w:webHidden/>
              </w:rPr>
              <w:fldChar w:fldCharType="begin"/>
            </w:r>
            <w:r>
              <w:rPr>
                <w:noProof/>
                <w:webHidden/>
              </w:rPr>
              <w:instrText xml:space="preserve"> PAGEREF _Toc454346967 \h </w:instrText>
            </w:r>
            <w:r>
              <w:rPr>
                <w:noProof/>
                <w:webHidden/>
              </w:rPr>
            </w:r>
            <w:r>
              <w:rPr>
                <w:noProof/>
                <w:webHidden/>
              </w:rPr>
              <w:fldChar w:fldCharType="separate"/>
            </w:r>
            <w:r>
              <w:rPr>
                <w:noProof/>
                <w:webHidden/>
              </w:rPr>
              <w:t>11</w:t>
            </w:r>
            <w:r>
              <w:rPr>
                <w:noProof/>
                <w:webHidden/>
              </w:rPr>
              <w:fldChar w:fldCharType="end"/>
            </w:r>
          </w:hyperlink>
        </w:p>
        <w:p w14:paraId="605BCFFE" w14:textId="77777777" w:rsidR="00886B06" w:rsidRDefault="00886B06">
          <w:pPr>
            <w:pStyle w:val="Innehll1"/>
            <w:tabs>
              <w:tab w:val="left" w:pos="660"/>
              <w:tab w:val="right" w:leader="dot" w:pos="9062"/>
            </w:tabs>
            <w:rPr>
              <w:rFonts w:asciiTheme="minorHAnsi" w:eastAsiaTheme="minorEastAsia" w:hAnsiTheme="minorHAnsi" w:cstheme="minorBidi"/>
              <w:noProof/>
              <w:lang w:eastAsia="sv-SE"/>
            </w:rPr>
          </w:pPr>
          <w:hyperlink w:anchor="_Toc454346968" w:history="1">
            <w:r w:rsidRPr="00080380">
              <w:rPr>
                <w:rStyle w:val="Hyperlnk"/>
                <w:noProof/>
                <w:lang w:val="en-US"/>
              </w:rPr>
              <w:t>11.</w:t>
            </w:r>
            <w:r>
              <w:rPr>
                <w:rFonts w:asciiTheme="minorHAnsi" w:eastAsiaTheme="minorEastAsia" w:hAnsiTheme="minorHAnsi" w:cstheme="minorBidi"/>
                <w:noProof/>
                <w:lang w:eastAsia="sv-SE"/>
              </w:rPr>
              <w:tab/>
            </w:r>
            <w:r w:rsidRPr="00080380">
              <w:rPr>
                <w:rStyle w:val="Hyperlnk"/>
                <w:noProof/>
                <w:lang w:val="en-US"/>
              </w:rPr>
              <w:t>Draft Regulation of the European Parliament and of the Council on the transfer to the General Court of jurisdiction at first instance in disputes between the European Union and its servants (First reading)</w:t>
            </w:r>
            <w:r>
              <w:rPr>
                <w:noProof/>
                <w:webHidden/>
              </w:rPr>
              <w:tab/>
            </w:r>
            <w:r>
              <w:rPr>
                <w:noProof/>
                <w:webHidden/>
              </w:rPr>
              <w:fldChar w:fldCharType="begin"/>
            </w:r>
            <w:r>
              <w:rPr>
                <w:noProof/>
                <w:webHidden/>
              </w:rPr>
              <w:instrText xml:space="preserve"> PAGEREF _Toc454346968 \h </w:instrText>
            </w:r>
            <w:r>
              <w:rPr>
                <w:noProof/>
                <w:webHidden/>
              </w:rPr>
            </w:r>
            <w:r>
              <w:rPr>
                <w:noProof/>
                <w:webHidden/>
              </w:rPr>
              <w:fldChar w:fldCharType="separate"/>
            </w:r>
            <w:r>
              <w:rPr>
                <w:noProof/>
                <w:webHidden/>
              </w:rPr>
              <w:t>11</w:t>
            </w:r>
            <w:r>
              <w:rPr>
                <w:noProof/>
                <w:webHidden/>
              </w:rPr>
              <w:fldChar w:fldCharType="end"/>
            </w:r>
          </w:hyperlink>
        </w:p>
        <w:p w14:paraId="3D4728A7" w14:textId="77777777" w:rsidR="00886B06" w:rsidRDefault="00886B06">
          <w:pPr>
            <w:pStyle w:val="Innehll1"/>
            <w:tabs>
              <w:tab w:val="left" w:pos="660"/>
              <w:tab w:val="right" w:leader="dot" w:pos="9062"/>
            </w:tabs>
            <w:rPr>
              <w:rFonts w:asciiTheme="minorHAnsi" w:eastAsiaTheme="minorEastAsia" w:hAnsiTheme="minorHAnsi" w:cstheme="minorBidi"/>
              <w:noProof/>
              <w:lang w:eastAsia="sv-SE"/>
            </w:rPr>
          </w:pPr>
          <w:hyperlink w:anchor="_Toc454346969" w:history="1">
            <w:r w:rsidRPr="00080380">
              <w:rPr>
                <w:rStyle w:val="Hyperlnk"/>
                <w:noProof/>
                <w:lang w:val="en-US"/>
              </w:rPr>
              <w:t>12.</w:t>
            </w:r>
            <w:r>
              <w:rPr>
                <w:rFonts w:asciiTheme="minorHAnsi" w:eastAsiaTheme="minorEastAsia" w:hAnsiTheme="minorHAnsi" w:cstheme="minorBidi"/>
                <w:noProof/>
                <w:lang w:eastAsia="sv-SE"/>
              </w:rPr>
              <w:tab/>
            </w:r>
            <w:r w:rsidRPr="00080380">
              <w:rPr>
                <w:rStyle w:val="Hyperlnk"/>
                <w:noProof/>
                <w:lang w:val="en-US"/>
              </w:rPr>
              <w:t>Draft Council implementing decision on subjecting 1 phenyl 2 (pyrrolidin 1 yl)pentan 1 one (</w:t>
            </w:r>
            <w:r w:rsidRPr="00080380">
              <w:rPr>
                <w:rStyle w:val="Hyperlnk"/>
                <w:noProof/>
              </w:rPr>
              <w:t>α</w:t>
            </w:r>
            <w:r w:rsidRPr="00080380">
              <w:rPr>
                <w:rStyle w:val="Hyperlnk"/>
                <w:noProof/>
                <w:lang w:val="en-US"/>
              </w:rPr>
              <w:t xml:space="preserve"> pyrrolidinovalerophenone, </w:t>
            </w:r>
            <w:r w:rsidRPr="00080380">
              <w:rPr>
                <w:rStyle w:val="Hyperlnk"/>
                <w:noProof/>
              </w:rPr>
              <w:t>α</w:t>
            </w:r>
            <w:r w:rsidRPr="00080380">
              <w:rPr>
                <w:rStyle w:val="Hyperlnk"/>
                <w:noProof/>
                <w:lang w:val="en-US"/>
              </w:rPr>
              <w:t xml:space="preserve"> PVP) to control measures</w:t>
            </w:r>
            <w:r>
              <w:rPr>
                <w:noProof/>
                <w:webHidden/>
              </w:rPr>
              <w:tab/>
            </w:r>
            <w:r>
              <w:rPr>
                <w:noProof/>
                <w:webHidden/>
              </w:rPr>
              <w:fldChar w:fldCharType="begin"/>
            </w:r>
            <w:r>
              <w:rPr>
                <w:noProof/>
                <w:webHidden/>
              </w:rPr>
              <w:instrText xml:space="preserve"> PAGEREF _Toc454346969 \h </w:instrText>
            </w:r>
            <w:r>
              <w:rPr>
                <w:noProof/>
                <w:webHidden/>
              </w:rPr>
            </w:r>
            <w:r>
              <w:rPr>
                <w:noProof/>
                <w:webHidden/>
              </w:rPr>
              <w:fldChar w:fldCharType="separate"/>
            </w:r>
            <w:r>
              <w:rPr>
                <w:noProof/>
                <w:webHidden/>
              </w:rPr>
              <w:t>12</w:t>
            </w:r>
            <w:r>
              <w:rPr>
                <w:noProof/>
                <w:webHidden/>
              </w:rPr>
              <w:fldChar w:fldCharType="end"/>
            </w:r>
          </w:hyperlink>
        </w:p>
        <w:p w14:paraId="6DEF5F4A" w14:textId="77777777" w:rsidR="00886B06" w:rsidRDefault="00886B06">
          <w:pPr>
            <w:pStyle w:val="Innehll1"/>
            <w:tabs>
              <w:tab w:val="left" w:pos="660"/>
              <w:tab w:val="right" w:leader="dot" w:pos="9062"/>
            </w:tabs>
            <w:rPr>
              <w:rFonts w:asciiTheme="minorHAnsi" w:eastAsiaTheme="minorEastAsia" w:hAnsiTheme="minorHAnsi" w:cstheme="minorBidi"/>
              <w:noProof/>
              <w:lang w:eastAsia="sv-SE"/>
            </w:rPr>
          </w:pPr>
          <w:hyperlink w:anchor="_Toc454346970" w:history="1">
            <w:r w:rsidRPr="00080380">
              <w:rPr>
                <w:rStyle w:val="Hyperlnk"/>
                <w:noProof/>
                <w:lang w:val="en-US"/>
              </w:rPr>
              <w:t>13.</w:t>
            </w:r>
            <w:r>
              <w:rPr>
                <w:rFonts w:asciiTheme="minorHAnsi" w:eastAsiaTheme="minorEastAsia" w:hAnsiTheme="minorHAnsi" w:cstheme="minorBidi"/>
                <w:noProof/>
                <w:lang w:eastAsia="sv-SE"/>
              </w:rPr>
              <w:tab/>
            </w:r>
            <w:r w:rsidRPr="00080380">
              <w:rPr>
                <w:rStyle w:val="Hyperlnk"/>
                <w:noProof/>
                <w:lang w:val="en-US"/>
              </w:rPr>
              <w:t>Report of the Netherlands Presidency on the main achievements at EU level in the field of civil protection</w:t>
            </w:r>
            <w:r>
              <w:rPr>
                <w:noProof/>
                <w:webHidden/>
              </w:rPr>
              <w:tab/>
            </w:r>
            <w:r>
              <w:rPr>
                <w:noProof/>
                <w:webHidden/>
              </w:rPr>
              <w:fldChar w:fldCharType="begin"/>
            </w:r>
            <w:r>
              <w:rPr>
                <w:noProof/>
                <w:webHidden/>
              </w:rPr>
              <w:instrText xml:space="preserve"> PAGEREF _Toc454346970 \h </w:instrText>
            </w:r>
            <w:r>
              <w:rPr>
                <w:noProof/>
                <w:webHidden/>
              </w:rPr>
            </w:r>
            <w:r>
              <w:rPr>
                <w:noProof/>
                <w:webHidden/>
              </w:rPr>
              <w:fldChar w:fldCharType="separate"/>
            </w:r>
            <w:r>
              <w:rPr>
                <w:noProof/>
                <w:webHidden/>
              </w:rPr>
              <w:t>12</w:t>
            </w:r>
            <w:r>
              <w:rPr>
                <w:noProof/>
                <w:webHidden/>
              </w:rPr>
              <w:fldChar w:fldCharType="end"/>
            </w:r>
          </w:hyperlink>
        </w:p>
        <w:p w14:paraId="132784CF" w14:textId="77777777" w:rsidR="00886B06" w:rsidRDefault="00886B06">
          <w:pPr>
            <w:pStyle w:val="Innehll1"/>
            <w:tabs>
              <w:tab w:val="left" w:pos="660"/>
              <w:tab w:val="right" w:leader="dot" w:pos="9062"/>
            </w:tabs>
            <w:rPr>
              <w:rFonts w:asciiTheme="minorHAnsi" w:eastAsiaTheme="minorEastAsia" w:hAnsiTheme="minorHAnsi" w:cstheme="minorBidi"/>
              <w:noProof/>
              <w:lang w:eastAsia="sv-SE"/>
            </w:rPr>
          </w:pPr>
          <w:hyperlink w:anchor="_Toc454346971" w:history="1">
            <w:r w:rsidRPr="00080380">
              <w:rPr>
                <w:rStyle w:val="Hyperlnk"/>
                <w:noProof/>
                <w:lang w:val="en-US"/>
              </w:rPr>
              <w:t>14.</w:t>
            </w:r>
            <w:r>
              <w:rPr>
                <w:rFonts w:asciiTheme="minorHAnsi" w:eastAsiaTheme="minorEastAsia" w:hAnsiTheme="minorHAnsi" w:cstheme="minorBidi"/>
                <w:noProof/>
                <w:lang w:eastAsia="sv-SE"/>
              </w:rPr>
              <w:tab/>
            </w:r>
            <w:r w:rsidRPr="00080380">
              <w:rPr>
                <w:rStyle w:val="Hyperlnk"/>
                <w:noProof/>
                <w:lang w:val="en-US"/>
              </w:rPr>
              <w:t>Council Decision establishing the position to be adopted on behalf of the European Union with regard to certain decisions to be adopted in the framework of the International Olive Council (IOC)</w:t>
            </w:r>
            <w:r>
              <w:rPr>
                <w:noProof/>
                <w:webHidden/>
              </w:rPr>
              <w:tab/>
            </w:r>
            <w:r>
              <w:rPr>
                <w:noProof/>
                <w:webHidden/>
              </w:rPr>
              <w:fldChar w:fldCharType="begin"/>
            </w:r>
            <w:r>
              <w:rPr>
                <w:noProof/>
                <w:webHidden/>
              </w:rPr>
              <w:instrText xml:space="preserve"> PAGEREF _Toc454346971 \h </w:instrText>
            </w:r>
            <w:r>
              <w:rPr>
                <w:noProof/>
                <w:webHidden/>
              </w:rPr>
            </w:r>
            <w:r>
              <w:rPr>
                <w:noProof/>
                <w:webHidden/>
              </w:rPr>
              <w:fldChar w:fldCharType="separate"/>
            </w:r>
            <w:r>
              <w:rPr>
                <w:noProof/>
                <w:webHidden/>
              </w:rPr>
              <w:t>13</w:t>
            </w:r>
            <w:r>
              <w:rPr>
                <w:noProof/>
                <w:webHidden/>
              </w:rPr>
              <w:fldChar w:fldCharType="end"/>
            </w:r>
          </w:hyperlink>
        </w:p>
        <w:p w14:paraId="6E1EB477" w14:textId="77777777" w:rsidR="00886B06" w:rsidRDefault="00886B06">
          <w:pPr>
            <w:pStyle w:val="Innehll1"/>
            <w:tabs>
              <w:tab w:val="left" w:pos="660"/>
              <w:tab w:val="right" w:leader="dot" w:pos="9062"/>
            </w:tabs>
            <w:rPr>
              <w:rFonts w:asciiTheme="minorHAnsi" w:eastAsiaTheme="minorEastAsia" w:hAnsiTheme="minorHAnsi" w:cstheme="minorBidi"/>
              <w:noProof/>
              <w:lang w:eastAsia="sv-SE"/>
            </w:rPr>
          </w:pPr>
          <w:hyperlink w:anchor="_Toc454346972" w:history="1">
            <w:r w:rsidRPr="00080380">
              <w:rPr>
                <w:rStyle w:val="Hyperlnk"/>
                <w:noProof/>
                <w:lang w:val="en-US"/>
              </w:rPr>
              <w:t>15.</w:t>
            </w:r>
            <w:r>
              <w:rPr>
                <w:rFonts w:asciiTheme="minorHAnsi" w:eastAsiaTheme="minorEastAsia" w:hAnsiTheme="minorHAnsi" w:cstheme="minorBidi"/>
                <w:noProof/>
                <w:lang w:eastAsia="sv-SE"/>
              </w:rPr>
              <w:tab/>
            </w:r>
            <w:r w:rsidRPr="00080380">
              <w:rPr>
                <w:rStyle w:val="Hyperlnk"/>
                <w:noProof/>
                <w:lang w:val="en-US"/>
              </w:rPr>
              <w:t>Draft Council Decision on the signing and the conclusion of the Agreement in the form of an Exchange of Letters between the European Union and the Islamic Republic of Afghanistan on the extension of the agreement on the status of the European Union Police Mission in Afghanistan (EUPOL AFGHANISTAN)</w:t>
            </w:r>
            <w:r>
              <w:rPr>
                <w:noProof/>
                <w:webHidden/>
              </w:rPr>
              <w:tab/>
            </w:r>
            <w:r>
              <w:rPr>
                <w:noProof/>
                <w:webHidden/>
              </w:rPr>
              <w:fldChar w:fldCharType="begin"/>
            </w:r>
            <w:r>
              <w:rPr>
                <w:noProof/>
                <w:webHidden/>
              </w:rPr>
              <w:instrText xml:space="preserve"> PAGEREF _Toc454346972 \h </w:instrText>
            </w:r>
            <w:r>
              <w:rPr>
                <w:noProof/>
                <w:webHidden/>
              </w:rPr>
            </w:r>
            <w:r>
              <w:rPr>
                <w:noProof/>
                <w:webHidden/>
              </w:rPr>
              <w:fldChar w:fldCharType="separate"/>
            </w:r>
            <w:r>
              <w:rPr>
                <w:noProof/>
                <w:webHidden/>
              </w:rPr>
              <w:t>13</w:t>
            </w:r>
            <w:r>
              <w:rPr>
                <w:noProof/>
                <w:webHidden/>
              </w:rPr>
              <w:fldChar w:fldCharType="end"/>
            </w:r>
          </w:hyperlink>
        </w:p>
        <w:p w14:paraId="2AFE2D12" w14:textId="77777777" w:rsidR="00886B06" w:rsidRDefault="00886B06">
          <w:pPr>
            <w:pStyle w:val="Innehll1"/>
            <w:tabs>
              <w:tab w:val="left" w:pos="660"/>
              <w:tab w:val="right" w:leader="dot" w:pos="9062"/>
            </w:tabs>
            <w:rPr>
              <w:rFonts w:asciiTheme="minorHAnsi" w:eastAsiaTheme="minorEastAsia" w:hAnsiTheme="minorHAnsi" w:cstheme="minorBidi"/>
              <w:noProof/>
              <w:lang w:eastAsia="sv-SE"/>
            </w:rPr>
          </w:pPr>
          <w:hyperlink w:anchor="_Toc454346973" w:history="1">
            <w:r w:rsidRPr="00080380">
              <w:rPr>
                <w:rStyle w:val="Hyperlnk"/>
                <w:noProof/>
                <w:lang w:val="en-US"/>
              </w:rPr>
              <w:t>16.</w:t>
            </w:r>
            <w:r>
              <w:rPr>
                <w:rFonts w:asciiTheme="minorHAnsi" w:eastAsiaTheme="minorEastAsia" w:hAnsiTheme="minorHAnsi" w:cstheme="minorBidi"/>
                <w:noProof/>
                <w:lang w:eastAsia="sv-SE"/>
              </w:rPr>
              <w:tab/>
            </w:r>
            <w:r w:rsidRPr="00080380">
              <w:rPr>
                <w:rStyle w:val="Hyperlnk"/>
                <w:noProof/>
                <w:lang w:val="en-US"/>
              </w:rPr>
              <w:t>Draft Council Decision updating the list of persons, groups and entities subject to Articles 2, 3 and 4 of Common Position 2001/931/CFSP on the application of specific measures to combat terrorism, and repealing Decision 2015/2430/CFSP and Draft Council Implementing Regulation implementing Article 2(3) of Regulation (EC) No 2580/2001 on specific restrictive measures directed against certain persons and entities with a view to combating terrorism, and repealing Implementing Regulation (EU) No 2015/2425</w:t>
            </w:r>
            <w:r>
              <w:rPr>
                <w:noProof/>
                <w:webHidden/>
              </w:rPr>
              <w:tab/>
            </w:r>
            <w:r>
              <w:rPr>
                <w:noProof/>
                <w:webHidden/>
              </w:rPr>
              <w:fldChar w:fldCharType="begin"/>
            </w:r>
            <w:r>
              <w:rPr>
                <w:noProof/>
                <w:webHidden/>
              </w:rPr>
              <w:instrText xml:space="preserve"> PAGEREF _Toc454346973 \h </w:instrText>
            </w:r>
            <w:r>
              <w:rPr>
                <w:noProof/>
                <w:webHidden/>
              </w:rPr>
            </w:r>
            <w:r>
              <w:rPr>
                <w:noProof/>
                <w:webHidden/>
              </w:rPr>
              <w:fldChar w:fldCharType="separate"/>
            </w:r>
            <w:r>
              <w:rPr>
                <w:noProof/>
                <w:webHidden/>
              </w:rPr>
              <w:t>14</w:t>
            </w:r>
            <w:r>
              <w:rPr>
                <w:noProof/>
                <w:webHidden/>
              </w:rPr>
              <w:fldChar w:fldCharType="end"/>
            </w:r>
          </w:hyperlink>
        </w:p>
        <w:p w14:paraId="7413DE55" w14:textId="77777777" w:rsidR="00886B06" w:rsidRDefault="00886B06">
          <w:pPr>
            <w:pStyle w:val="Innehll1"/>
            <w:tabs>
              <w:tab w:val="left" w:pos="660"/>
              <w:tab w:val="right" w:leader="dot" w:pos="9062"/>
            </w:tabs>
            <w:rPr>
              <w:rFonts w:asciiTheme="minorHAnsi" w:eastAsiaTheme="minorEastAsia" w:hAnsiTheme="minorHAnsi" w:cstheme="minorBidi"/>
              <w:noProof/>
              <w:lang w:eastAsia="sv-SE"/>
            </w:rPr>
          </w:pPr>
          <w:hyperlink w:anchor="_Toc454346974" w:history="1">
            <w:r w:rsidRPr="00080380">
              <w:rPr>
                <w:rStyle w:val="Hyperlnk"/>
                <w:noProof/>
                <w:lang w:val="en-US"/>
              </w:rPr>
              <w:t>17.</w:t>
            </w:r>
            <w:r>
              <w:rPr>
                <w:rFonts w:asciiTheme="minorHAnsi" w:eastAsiaTheme="minorEastAsia" w:hAnsiTheme="minorHAnsi" w:cstheme="minorBidi"/>
                <w:noProof/>
                <w:lang w:eastAsia="sv-SE"/>
              </w:rPr>
              <w:tab/>
            </w:r>
            <w:r w:rsidRPr="00080380">
              <w:rPr>
                <w:rStyle w:val="Hyperlnk"/>
                <w:noProof/>
                <w:lang w:val="en-US"/>
              </w:rPr>
              <w:t>(poss.) Proposal for a Council Decision amending Council Decision (EU) 2015/1601 of 22 September 2015 establishing provisional measures in the area of international protection for the benefit of Italy and Greece</w:t>
            </w:r>
            <w:r>
              <w:rPr>
                <w:noProof/>
                <w:webHidden/>
              </w:rPr>
              <w:tab/>
            </w:r>
            <w:r>
              <w:rPr>
                <w:noProof/>
                <w:webHidden/>
              </w:rPr>
              <w:fldChar w:fldCharType="begin"/>
            </w:r>
            <w:r>
              <w:rPr>
                <w:noProof/>
                <w:webHidden/>
              </w:rPr>
              <w:instrText xml:space="preserve"> PAGEREF _Toc454346974 \h </w:instrText>
            </w:r>
            <w:r>
              <w:rPr>
                <w:noProof/>
                <w:webHidden/>
              </w:rPr>
            </w:r>
            <w:r>
              <w:rPr>
                <w:noProof/>
                <w:webHidden/>
              </w:rPr>
              <w:fldChar w:fldCharType="separate"/>
            </w:r>
            <w:r>
              <w:rPr>
                <w:noProof/>
                <w:webHidden/>
              </w:rPr>
              <w:t>14</w:t>
            </w:r>
            <w:r>
              <w:rPr>
                <w:noProof/>
                <w:webHidden/>
              </w:rPr>
              <w:fldChar w:fldCharType="end"/>
            </w:r>
          </w:hyperlink>
        </w:p>
        <w:p w14:paraId="39455811" w14:textId="77777777" w:rsidR="00886B06" w:rsidRDefault="00886B06">
          <w:pPr>
            <w:pStyle w:val="Innehll1"/>
            <w:tabs>
              <w:tab w:val="left" w:pos="660"/>
              <w:tab w:val="right" w:leader="dot" w:pos="9062"/>
            </w:tabs>
            <w:rPr>
              <w:rFonts w:asciiTheme="minorHAnsi" w:eastAsiaTheme="minorEastAsia" w:hAnsiTheme="minorHAnsi" w:cstheme="minorBidi"/>
              <w:noProof/>
              <w:lang w:eastAsia="sv-SE"/>
            </w:rPr>
          </w:pPr>
          <w:hyperlink w:anchor="_Toc454346975" w:history="1">
            <w:r w:rsidRPr="00080380">
              <w:rPr>
                <w:rStyle w:val="Hyperlnk"/>
                <w:noProof/>
                <w:lang w:val="en-US"/>
              </w:rPr>
              <w:t>18.</w:t>
            </w:r>
            <w:r>
              <w:rPr>
                <w:rFonts w:asciiTheme="minorHAnsi" w:eastAsiaTheme="minorEastAsia" w:hAnsiTheme="minorHAnsi" w:cstheme="minorBidi"/>
                <w:noProof/>
                <w:lang w:eastAsia="sv-SE"/>
              </w:rPr>
              <w:tab/>
            </w:r>
            <w:r w:rsidRPr="00080380">
              <w:rPr>
                <w:rStyle w:val="Hyperlnk"/>
                <w:noProof/>
                <w:lang w:val="en-US"/>
              </w:rPr>
              <w:t>Draft Council Decision on the signing, on behalf of the European Union, and provisional application of the agreements between the European Union and the Republic of the Marshall Islands on the short-stay visa waiver = Adoption and Draft Council Decision on the conclusion of the agreements between the European Union and the Republic of the Marshall Islands on the short-stay visa waiver</w:t>
            </w:r>
            <w:r>
              <w:rPr>
                <w:noProof/>
                <w:webHidden/>
              </w:rPr>
              <w:tab/>
            </w:r>
            <w:r>
              <w:rPr>
                <w:noProof/>
                <w:webHidden/>
              </w:rPr>
              <w:fldChar w:fldCharType="begin"/>
            </w:r>
            <w:r>
              <w:rPr>
                <w:noProof/>
                <w:webHidden/>
              </w:rPr>
              <w:instrText xml:space="preserve"> PAGEREF _Toc454346975 \h </w:instrText>
            </w:r>
            <w:r>
              <w:rPr>
                <w:noProof/>
                <w:webHidden/>
              </w:rPr>
            </w:r>
            <w:r>
              <w:rPr>
                <w:noProof/>
                <w:webHidden/>
              </w:rPr>
              <w:fldChar w:fldCharType="separate"/>
            </w:r>
            <w:r>
              <w:rPr>
                <w:noProof/>
                <w:webHidden/>
              </w:rPr>
              <w:t>15</w:t>
            </w:r>
            <w:r>
              <w:rPr>
                <w:noProof/>
                <w:webHidden/>
              </w:rPr>
              <w:fldChar w:fldCharType="end"/>
            </w:r>
          </w:hyperlink>
        </w:p>
        <w:p w14:paraId="34506150" w14:textId="77777777" w:rsidR="00886B06" w:rsidRDefault="00886B06">
          <w:pPr>
            <w:pStyle w:val="Innehll1"/>
            <w:tabs>
              <w:tab w:val="left" w:pos="660"/>
              <w:tab w:val="right" w:leader="dot" w:pos="9062"/>
            </w:tabs>
            <w:rPr>
              <w:rFonts w:asciiTheme="minorHAnsi" w:eastAsiaTheme="minorEastAsia" w:hAnsiTheme="minorHAnsi" w:cstheme="minorBidi"/>
              <w:noProof/>
              <w:lang w:eastAsia="sv-SE"/>
            </w:rPr>
          </w:pPr>
          <w:hyperlink w:anchor="_Toc454346976" w:history="1">
            <w:r w:rsidRPr="00080380">
              <w:rPr>
                <w:rStyle w:val="Hyperlnk"/>
                <w:noProof/>
                <w:lang w:val="en-US"/>
              </w:rPr>
              <w:t>19.</w:t>
            </w:r>
            <w:r>
              <w:rPr>
                <w:rFonts w:asciiTheme="minorHAnsi" w:eastAsiaTheme="minorEastAsia" w:hAnsiTheme="minorHAnsi" w:cstheme="minorBidi"/>
                <w:noProof/>
                <w:lang w:eastAsia="sv-SE"/>
              </w:rPr>
              <w:tab/>
            </w:r>
            <w:r w:rsidRPr="00080380">
              <w:rPr>
                <w:rStyle w:val="Hyperlnk"/>
                <w:noProof/>
                <w:lang w:val="en-US"/>
              </w:rPr>
              <w:t>Draft Council Decision on the signing, on behalf of the European Union, and provisional application of the agreements between the European Union and the Federated States of Micronesia on the short-stay visa waiver = Adoption and Draft Council Decision on the conclusion of the agreements between the European Union and the Federated States of Micronesia on the short-stay visa waiver</w:t>
            </w:r>
            <w:r>
              <w:rPr>
                <w:noProof/>
                <w:webHidden/>
              </w:rPr>
              <w:tab/>
            </w:r>
            <w:r>
              <w:rPr>
                <w:noProof/>
                <w:webHidden/>
              </w:rPr>
              <w:fldChar w:fldCharType="begin"/>
            </w:r>
            <w:r>
              <w:rPr>
                <w:noProof/>
                <w:webHidden/>
              </w:rPr>
              <w:instrText xml:space="preserve"> PAGEREF _Toc454346976 \h </w:instrText>
            </w:r>
            <w:r>
              <w:rPr>
                <w:noProof/>
                <w:webHidden/>
              </w:rPr>
            </w:r>
            <w:r>
              <w:rPr>
                <w:noProof/>
                <w:webHidden/>
              </w:rPr>
              <w:fldChar w:fldCharType="separate"/>
            </w:r>
            <w:r>
              <w:rPr>
                <w:noProof/>
                <w:webHidden/>
              </w:rPr>
              <w:t>16</w:t>
            </w:r>
            <w:r>
              <w:rPr>
                <w:noProof/>
                <w:webHidden/>
              </w:rPr>
              <w:fldChar w:fldCharType="end"/>
            </w:r>
          </w:hyperlink>
        </w:p>
        <w:p w14:paraId="0AB20B70" w14:textId="77777777" w:rsidR="00886B06" w:rsidRDefault="00886B06">
          <w:pPr>
            <w:pStyle w:val="Innehll1"/>
            <w:tabs>
              <w:tab w:val="left" w:pos="660"/>
              <w:tab w:val="right" w:leader="dot" w:pos="9062"/>
            </w:tabs>
            <w:rPr>
              <w:rFonts w:asciiTheme="minorHAnsi" w:eastAsiaTheme="minorEastAsia" w:hAnsiTheme="minorHAnsi" w:cstheme="minorBidi"/>
              <w:noProof/>
              <w:lang w:eastAsia="sv-SE"/>
            </w:rPr>
          </w:pPr>
          <w:hyperlink w:anchor="_Toc454346977" w:history="1">
            <w:r w:rsidRPr="00080380">
              <w:rPr>
                <w:rStyle w:val="Hyperlnk"/>
                <w:noProof/>
                <w:lang w:val="en-US"/>
              </w:rPr>
              <w:t>20.</w:t>
            </w:r>
            <w:r>
              <w:rPr>
                <w:rFonts w:asciiTheme="minorHAnsi" w:eastAsiaTheme="minorEastAsia" w:hAnsiTheme="minorHAnsi" w:cstheme="minorBidi"/>
                <w:noProof/>
                <w:lang w:eastAsia="sv-SE"/>
              </w:rPr>
              <w:tab/>
            </w:r>
            <w:r w:rsidRPr="00080380">
              <w:rPr>
                <w:rStyle w:val="Hyperlnk"/>
                <w:noProof/>
                <w:lang w:val="en-US"/>
              </w:rPr>
              <w:t>Draft Council Decision on the signing, on behalf of the European Union, and provisional application of the agreements between the European Union and the Solomon Islands on the short-stay visa waiver = Adoption and Draft Council Decision on the conclusion of the agreements between the European Union and the Solomon Islands on the short-stay visa waiver</w:t>
            </w:r>
            <w:r>
              <w:rPr>
                <w:noProof/>
                <w:webHidden/>
              </w:rPr>
              <w:tab/>
            </w:r>
            <w:r>
              <w:rPr>
                <w:noProof/>
                <w:webHidden/>
              </w:rPr>
              <w:fldChar w:fldCharType="begin"/>
            </w:r>
            <w:r>
              <w:rPr>
                <w:noProof/>
                <w:webHidden/>
              </w:rPr>
              <w:instrText xml:space="preserve"> PAGEREF _Toc454346977 \h </w:instrText>
            </w:r>
            <w:r>
              <w:rPr>
                <w:noProof/>
                <w:webHidden/>
              </w:rPr>
            </w:r>
            <w:r>
              <w:rPr>
                <w:noProof/>
                <w:webHidden/>
              </w:rPr>
              <w:fldChar w:fldCharType="separate"/>
            </w:r>
            <w:r>
              <w:rPr>
                <w:noProof/>
                <w:webHidden/>
              </w:rPr>
              <w:t>16</w:t>
            </w:r>
            <w:r>
              <w:rPr>
                <w:noProof/>
                <w:webHidden/>
              </w:rPr>
              <w:fldChar w:fldCharType="end"/>
            </w:r>
          </w:hyperlink>
        </w:p>
        <w:p w14:paraId="6B6D8534" w14:textId="77777777" w:rsidR="00886B06" w:rsidRDefault="00886B06">
          <w:pPr>
            <w:pStyle w:val="Innehll1"/>
            <w:tabs>
              <w:tab w:val="left" w:pos="660"/>
              <w:tab w:val="right" w:leader="dot" w:pos="9062"/>
            </w:tabs>
            <w:rPr>
              <w:rFonts w:asciiTheme="minorHAnsi" w:eastAsiaTheme="minorEastAsia" w:hAnsiTheme="minorHAnsi" w:cstheme="minorBidi"/>
              <w:noProof/>
              <w:lang w:eastAsia="sv-SE"/>
            </w:rPr>
          </w:pPr>
          <w:hyperlink w:anchor="_Toc454346978" w:history="1">
            <w:r w:rsidRPr="00080380">
              <w:rPr>
                <w:rStyle w:val="Hyperlnk"/>
                <w:noProof/>
                <w:lang w:val="en-US"/>
              </w:rPr>
              <w:t>21.</w:t>
            </w:r>
            <w:r>
              <w:rPr>
                <w:rFonts w:asciiTheme="minorHAnsi" w:eastAsiaTheme="minorEastAsia" w:hAnsiTheme="minorHAnsi" w:cstheme="minorBidi"/>
                <w:noProof/>
                <w:lang w:eastAsia="sv-SE"/>
              </w:rPr>
              <w:tab/>
            </w:r>
            <w:r w:rsidRPr="00080380">
              <w:rPr>
                <w:rStyle w:val="Hyperlnk"/>
                <w:noProof/>
                <w:lang w:val="en-US"/>
              </w:rPr>
              <w:t>Draft Council Decision on the signing, on behalf of the European Union, and provisional application of the agreements between the European Union and Tuvalu on the short-stay visa waiver = Adoption and Draft Council Decision on the conclusion of the agreements between the European Union and Tuvalu on the short-stay visa waiver</w:t>
            </w:r>
            <w:r>
              <w:rPr>
                <w:noProof/>
                <w:webHidden/>
              </w:rPr>
              <w:tab/>
            </w:r>
            <w:r>
              <w:rPr>
                <w:noProof/>
                <w:webHidden/>
              </w:rPr>
              <w:fldChar w:fldCharType="begin"/>
            </w:r>
            <w:r>
              <w:rPr>
                <w:noProof/>
                <w:webHidden/>
              </w:rPr>
              <w:instrText xml:space="preserve"> PAGEREF _Toc454346978 \h </w:instrText>
            </w:r>
            <w:r>
              <w:rPr>
                <w:noProof/>
                <w:webHidden/>
              </w:rPr>
            </w:r>
            <w:r>
              <w:rPr>
                <w:noProof/>
                <w:webHidden/>
              </w:rPr>
              <w:fldChar w:fldCharType="separate"/>
            </w:r>
            <w:r>
              <w:rPr>
                <w:noProof/>
                <w:webHidden/>
              </w:rPr>
              <w:t>17</w:t>
            </w:r>
            <w:r>
              <w:rPr>
                <w:noProof/>
                <w:webHidden/>
              </w:rPr>
              <w:fldChar w:fldCharType="end"/>
            </w:r>
          </w:hyperlink>
        </w:p>
        <w:p w14:paraId="639BFA99" w14:textId="77777777" w:rsidR="00886B06" w:rsidRDefault="00886B06">
          <w:pPr>
            <w:pStyle w:val="Innehll1"/>
            <w:tabs>
              <w:tab w:val="left" w:pos="660"/>
              <w:tab w:val="right" w:leader="dot" w:pos="9062"/>
            </w:tabs>
            <w:rPr>
              <w:rFonts w:asciiTheme="minorHAnsi" w:eastAsiaTheme="minorEastAsia" w:hAnsiTheme="minorHAnsi" w:cstheme="minorBidi"/>
              <w:noProof/>
              <w:lang w:eastAsia="sv-SE"/>
            </w:rPr>
          </w:pPr>
          <w:hyperlink w:anchor="_Toc454346979" w:history="1">
            <w:r w:rsidRPr="00080380">
              <w:rPr>
                <w:rStyle w:val="Hyperlnk"/>
                <w:noProof/>
                <w:lang w:val="en-US"/>
              </w:rPr>
              <w:t>22.</w:t>
            </w:r>
            <w:r>
              <w:rPr>
                <w:rFonts w:asciiTheme="minorHAnsi" w:eastAsiaTheme="minorEastAsia" w:hAnsiTheme="minorHAnsi" w:cstheme="minorBidi"/>
                <w:noProof/>
                <w:lang w:eastAsia="sv-SE"/>
              </w:rPr>
              <w:tab/>
            </w:r>
            <w:r w:rsidRPr="00080380">
              <w:rPr>
                <w:rStyle w:val="Hyperlnk"/>
                <w:noProof/>
                <w:lang w:val="en-US"/>
              </w:rPr>
              <w:t>Draft Council Decision on the conclusion, on behalf of the European Union and its Member States, of the Additional Protocol to the Trade Agreement between the European Union and its Member States, of the one part, and Colombia and Peru, of the other part, to take account of the accession of the Republic of Croatia to the European Union = Adoption</w:t>
            </w:r>
            <w:r>
              <w:rPr>
                <w:noProof/>
                <w:webHidden/>
              </w:rPr>
              <w:tab/>
            </w:r>
            <w:r>
              <w:rPr>
                <w:noProof/>
                <w:webHidden/>
              </w:rPr>
              <w:fldChar w:fldCharType="begin"/>
            </w:r>
            <w:r>
              <w:rPr>
                <w:noProof/>
                <w:webHidden/>
              </w:rPr>
              <w:instrText xml:space="preserve"> PAGEREF _Toc454346979 \h </w:instrText>
            </w:r>
            <w:r>
              <w:rPr>
                <w:noProof/>
                <w:webHidden/>
              </w:rPr>
            </w:r>
            <w:r>
              <w:rPr>
                <w:noProof/>
                <w:webHidden/>
              </w:rPr>
              <w:fldChar w:fldCharType="separate"/>
            </w:r>
            <w:r>
              <w:rPr>
                <w:noProof/>
                <w:webHidden/>
              </w:rPr>
              <w:t>18</w:t>
            </w:r>
            <w:r>
              <w:rPr>
                <w:noProof/>
                <w:webHidden/>
              </w:rPr>
              <w:fldChar w:fldCharType="end"/>
            </w:r>
          </w:hyperlink>
        </w:p>
        <w:p w14:paraId="71E9B032" w14:textId="77777777" w:rsidR="00886B06" w:rsidRDefault="00886B06">
          <w:pPr>
            <w:pStyle w:val="Innehll1"/>
            <w:tabs>
              <w:tab w:val="left" w:pos="660"/>
              <w:tab w:val="right" w:leader="dot" w:pos="9062"/>
            </w:tabs>
            <w:rPr>
              <w:rFonts w:asciiTheme="minorHAnsi" w:eastAsiaTheme="minorEastAsia" w:hAnsiTheme="minorHAnsi" w:cstheme="minorBidi"/>
              <w:noProof/>
              <w:lang w:eastAsia="sv-SE"/>
            </w:rPr>
          </w:pPr>
          <w:hyperlink w:anchor="_Toc454346980" w:history="1">
            <w:r w:rsidRPr="00080380">
              <w:rPr>
                <w:rStyle w:val="Hyperlnk"/>
                <w:noProof/>
                <w:lang w:val="en-US"/>
              </w:rPr>
              <w:t>23.</w:t>
            </w:r>
            <w:r>
              <w:rPr>
                <w:rFonts w:asciiTheme="minorHAnsi" w:eastAsiaTheme="minorEastAsia" w:hAnsiTheme="minorHAnsi" w:cstheme="minorBidi"/>
                <w:noProof/>
                <w:lang w:eastAsia="sv-SE"/>
              </w:rPr>
              <w:tab/>
            </w:r>
            <w:r w:rsidRPr="00080380">
              <w:rPr>
                <w:rStyle w:val="Hyperlnk"/>
                <w:noProof/>
                <w:lang w:val="en-US"/>
              </w:rPr>
              <w:t>Proposal for a Council Decision on the conclusion of the Economic Partnership Agreement between the European Union and its Member States, of the one part, and the SADC EPA States, of the other part</w:t>
            </w:r>
            <w:r>
              <w:rPr>
                <w:noProof/>
                <w:webHidden/>
              </w:rPr>
              <w:tab/>
            </w:r>
            <w:r>
              <w:rPr>
                <w:noProof/>
                <w:webHidden/>
              </w:rPr>
              <w:fldChar w:fldCharType="begin"/>
            </w:r>
            <w:r>
              <w:rPr>
                <w:noProof/>
                <w:webHidden/>
              </w:rPr>
              <w:instrText xml:space="preserve"> PAGEREF _Toc454346980 \h </w:instrText>
            </w:r>
            <w:r>
              <w:rPr>
                <w:noProof/>
                <w:webHidden/>
              </w:rPr>
            </w:r>
            <w:r>
              <w:rPr>
                <w:noProof/>
                <w:webHidden/>
              </w:rPr>
              <w:fldChar w:fldCharType="separate"/>
            </w:r>
            <w:r>
              <w:rPr>
                <w:noProof/>
                <w:webHidden/>
              </w:rPr>
              <w:t>18</w:t>
            </w:r>
            <w:r>
              <w:rPr>
                <w:noProof/>
                <w:webHidden/>
              </w:rPr>
              <w:fldChar w:fldCharType="end"/>
            </w:r>
          </w:hyperlink>
        </w:p>
        <w:p w14:paraId="2D196E98" w14:textId="77777777" w:rsidR="00886B06" w:rsidRDefault="00886B06">
          <w:pPr>
            <w:pStyle w:val="Innehll1"/>
            <w:tabs>
              <w:tab w:val="left" w:pos="660"/>
              <w:tab w:val="right" w:leader="dot" w:pos="9062"/>
            </w:tabs>
            <w:rPr>
              <w:rFonts w:asciiTheme="minorHAnsi" w:eastAsiaTheme="minorEastAsia" w:hAnsiTheme="minorHAnsi" w:cstheme="minorBidi"/>
              <w:noProof/>
              <w:lang w:eastAsia="sv-SE"/>
            </w:rPr>
          </w:pPr>
          <w:hyperlink w:anchor="_Toc454346981" w:history="1">
            <w:r w:rsidRPr="00080380">
              <w:rPr>
                <w:rStyle w:val="Hyperlnk"/>
                <w:noProof/>
                <w:lang w:val="en-US"/>
              </w:rPr>
              <w:t>24.</w:t>
            </w:r>
            <w:r>
              <w:rPr>
                <w:rFonts w:asciiTheme="minorHAnsi" w:eastAsiaTheme="minorEastAsia" w:hAnsiTheme="minorHAnsi" w:cstheme="minorBidi"/>
                <w:noProof/>
                <w:lang w:eastAsia="sv-SE"/>
              </w:rPr>
              <w:tab/>
            </w:r>
            <w:r w:rsidRPr="00080380">
              <w:rPr>
                <w:rStyle w:val="Hyperlnk"/>
                <w:noProof/>
                <w:lang w:val="en-US"/>
              </w:rPr>
              <w:t>Draft Council Decision on the position to be adopted, on behalf of the European Union, within the EEA Joint Committee concerning an amendment to Protocol 31 to the EEA Agreement, on cooperation in specific fields outside the four freedoms (Budget Line 33.02.03.01-Company Law)</w:t>
            </w:r>
            <w:r>
              <w:rPr>
                <w:noProof/>
                <w:webHidden/>
              </w:rPr>
              <w:tab/>
            </w:r>
            <w:r>
              <w:rPr>
                <w:noProof/>
                <w:webHidden/>
              </w:rPr>
              <w:fldChar w:fldCharType="begin"/>
            </w:r>
            <w:r>
              <w:rPr>
                <w:noProof/>
                <w:webHidden/>
              </w:rPr>
              <w:instrText xml:space="preserve"> PAGEREF _Toc454346981 \h </w:instrText>
            </w:r>
            <w:r>
              <w:rPr>
                <w:noProof/>
                <w:webHidden/>
              </w:rPr>
            </w:r>
            <w:r>
              <w:rPr>
                <w:noProof/>
                <w:webHidden/>
              </w:rPr>
              <w:fldChar w:fldCharType="separate"/>
            </w:r>
            <w:r>
              <w:rPr>
                <w:noProof/>
                <w:webHidden/>
              </w:rPr>
              <w:t>19</w:t>
            </w:r>
            <w:r>
              <w:rPr>
                <w:noProof/>
                <w:webHidden/>
              </w:rPr>
              <w:fldChar w:fldCharType="end"/>
            </w:r>
          </w:hyperlink>
        </w:p>
        <w:p w14:paraId="67380921" w14:textId="77777777" w:rsidR="005077A4" w:rsidRDefault="005077A4">
          <w:r>
            <w:rPr>
              <w:b/>
              <w:bCs/>
              <w:noProof/>
            </w:rPr>
            <w:fldChar w:fldCharType="end"/>
          </w:r>
        </w:p>
      </w:sdtContent>
    </w:sdt>
    <w:p w14:paraId="67380922" w14:textId="77777777" w:rsidR="005077A4" w:rsidRDefault="005077A4">
      <w:pPr>
        <w:ind w:left="0"/>
      </w:pPr>
      <w:r>
        <w:lastRenderedPageBreak/>
        <w:br w:type="page"/>
      </w:r>
    </w:p>
    <w:p w14:paraId="67380923" w14:textId="77777777" w:rsidR="005077A4" w:rsidRDefault="005077A4" w:rsidP="005077A4">
      <w:pPr>
        <w:pStyle w:val="Rubrik1"/>
        <w:numPr>
          <w:ilvl w:val="0"/>
          <w:numId w:val="0"/>
        </w:numPr>
      </w:pPr>
      <w:bookmarkStart w:id="1" w:name="_Toc364854645"/>
    </w:p>
    <w:p w14:paraId="67380924" w14:textId="77777777" w:rsidR="005077A4" w:rsidRPr="002F36A5" w:rsidRDefault="005077A4" w:rsidP="005077A4">
      <w:pPr>
        <w:pStyle w:val="Rubrik1"/>
        <w:rPr>
          <w:lang w:val="en-US"/>
        </w:rPr>
      </w:pPr>
      <w:bookmarkStart w:id="2" w:name="_Toc454346958"/>
      <w:r w:rsidRPr="002F36A5">
        <w:rPr>
          <w:noProof/>
          <w:lang w:val="en-US"/>
        </w:rPr>
        <w:t>Resolutions, Decisions and Opinions adopted by the European Parliament at its part-sessions in Strasbourg from 6 - 9 June 2016 and in Brussels on 25 - 26 May 2016</w:t>
      </w:r>
      <w:bookmarkEnd w:id="2"/>
    </w:p>
    <w:p w14:paraId="67380925" w14:textId="3705F29E" w:rsidR="005077A4" w:rsidRPr="002F36A5" w:rsidRDefault="005077A4" w:rsidP="005077A4">
      <w:r w:rsidRPr="002F36A5">
        <w:rPr>
          <w:noProof/>
        </w:rPr>
        <w:t>9089</w:t>
      </w:r>
      <w:r w:rsidRPr="002F36A5">
        <w:t>/16 PE-RE 4</w:t>
      </w:r>
    </w:p>
    <w:p w14:paraId="67380926" w14:textId="77777777" w:rsidR="005077A4" w:rsidRDefault="005077A4" w:rsidP="005077A4">
      <w:r>
        <w:rPr>
          <w:b/>
        </w:rPr>
        <w:t>Ansvarigt statsråd</w:t>
      </w:r>
      <w:r>
        <w:rPr>
          <w:b/>
        </w:rPr>
        <w:br/>
      </w:r>
      <w:r>
        <w:rPr>
          <w:noProof/>
        </w:rPr>
        <w:t>Stefan</w:t>
      </w:r>
      <w:r>
        <w:t xml:space="preserve"> Löfven</w:t>
      </w:r>
    </w:p>
    <w:p w14:paraId="67380927" w14:textId="77777777" w:rsidR="005077A4" w:rsidRDefault="005077A4" w:rsidP="005077A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80928"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80929"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8092A"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8092B"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8092C"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8092D"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8092E" w14:textId="77777777" w:rsidR="005077A4" w:rsidRDefault="005077A4" w:rsidP="005077A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8092F"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80930" w14:textId="77777777" w:rsidR="005077A4" w:rsidRDefault="005077A4" w:rsidP="005077A4">
      <w:r>
        <w:instrText>"</w:instrText>
      </w:r>
      <w:r>
        <w:rPr>
          <w:b/>
        </w:rPr>
        <w:instrText xml:space="preserve"> </w:instrText>
      </w:r>
      <w:r>
        <w:rPr>
          <w:b/>
        </w:rPr>
        <w:fldChar w:fldCharType="end"/>
      </w:r>
      <w:r w:rsidRPr="00B44CE2">
        <w:rPr>
          <w:b/>
        </w:rPr>
        <w:t>Annotering</w:t>
      </w:r>
      <w:r>
        <w:rPr>
          <w:b/>
        </w:rPr>
        <w:br/>
      </w:r>
      <w:r>
        <w:t>Föranleder ingen annotering.</w:t>
      </w:r>
    </w:p>
    <w:p w14:paraId="67380931" w14:textId="77777777" w:rsidR="005077A4" w:rsidRPr="002F36A5" w:rsidRDefault="005077A4" w:rsidP="005077A4">
      <w:pPr>
        <w:pStyle w:val="Rubrik1"/>
        <w:rPr>
          <w:lang w:val="en-US"/>
        </w:rPr>
      </w:pPr>
      <w:bookmarkStart w:id="3" w:name="_Toc454346959"/>
      <w:r w:rsidRPr="002F36A5">
        <w:rPr>
          <w:noProof/>
          <w:lang w:val="en-US"/>
        </w:rPr>
        <w:t>Proposal for a Council Directive amending Directive 2006/112/EC on the common system of value added tax, as regards the treatment of vouchers</w:t>
      </w:r>
      <w:bookmarkEnd w:id="3"/>
    </w:p>
    <w:p w14:paraId="67380932" w14:textId="77777777" w:rsidR="005077A4" w:rsidRPr="002F36A5" w:rsidRDefault="005077A4" w:rsidP="005077A4">
      <w:r w:rsidRPr="002F36A5">
        <w:rPr>
          <w:noProof/>
        </w:rPr>
        <w:t>=</w:t>
      </w:r>
      <w:r w:rsidRPr="002F36A5">
        <w:t>Adoption</w:t>
      </w:r>
      <w:r w:rsidRPr="002F36A5">
        <w:br/>
      </w:r>
      <w:r w:rsidRPr="002F36A5">
        <w:rPr>
          <w:noProof/>
        </w:rPr>
        <w:t>9871</w:t>
      </w:r>
      <w:r w:rsidRPr="002F36A5">
        <w:t>/16 FISC 94 ECOFIN 5548741/16 FISC 70 ECOFIN 378</w:t>
      </w:r>
    </w:p>
    <w:p w14:paraId="67380933" w14:textId="77777777" w:rsidR="005077A4" w:rsidRDefault="005077A4" w:rsidP="005077A4">
      <w:r>
        <w:rPr>
          <w:b/>
        </w:rPr>
        <w:t>Ansvarigt statsråd</w:t>
      </w:r>
      <w:r>
        <w:rPr>
          <w:b/>
        </w:rPr>
        <w:br/>
      </w:r>
      <w:r>
        <w:rPr>
          <w:noProof/>
        </w:rPr>
        <w:t>Magdalena</w:t>
      </w:r>
      <w:r>
        <w:t xml:space="preserve"> Andersson</w:t>
      </w:r>
    </w:p>
    <w:p w14:paraId="67380934" w14:textId="77777777" w:rsidR="005077A4" w:rsidRDefault="005077A4" w:rsidP="005077A4">
      <w:r>
        <w:rPr>
          <w:b/>
        </w:rPr>
        <w:fldChar w:fldCharType="begin"/>
      </w:r>
      <w:r>
        <w:rPr>
          <w:b/>
        </w:rPr>
        <w:instrText xml:space="preserve"> IF "2015-06-12" = "-" </w:instrText>
      </w:r>
      <w:r>
        <w:rPr>
          <w:b/>
        </w:rPr>
        <w:fldChar w:fldCharType="begin"/>
      </w:r>
      <w:r>
        <w:rPr>
          <w:b/>
        </w:rPr>
        <w:instrText xml:space="preserve"> IF "-" = "-" </w:instrText>
      </w:r>
      <w:r>
        <w:rPr>
          <w:b/>
        </w:rPr>
        <w:fldChar w:fldCharType="begin"/>
      </w:r>
      <w:r>
        <w:rPr>
          <w:b/>
        </w:rPr>
        <w:instrText xml:space="preserve"> IF "2014-05-08"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2015-06-12</w:instrText>
      </w:r>
    </w:p>
    <w:p w14:paraId="67380935" w14:textId="77777777" w:rsidR="005077A4" w:rsidRDefault="005077A4" w:rsidP="005077A4">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2015-06-12</w:instrText>
      </w:r>
    </w:p>
    <w:p w14:paraId="67380936" w14:textId="77777777" w:rsidR="005077A4" w:rsidRDefault="005077A4" w:rsidP="005077A4">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2015-06-12</w:instrText>
      </w:r>
    </w:p>
    <w:p w14:paraId="67380937" w14:textId="77777777" w:rsidR="005077A4" w:rsidRDefault="005077A4" w:rsidP="005077A4">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2015-06-12</w:instrText>
      </w:r>
    </w:p>
    <w:p w14:paraId="67380938" w14:textId="77777777" w:rsidR="005077A4" w:rsidRDefault="005077A4" w:rsidP="005077A4">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2015-06-12</w:instrText>
      </w:r>
    </w:p>
    <w:p w14:paraId="67380939" w14:textId="77777777" w:rsidR="005077A4" w:rsidRDefault="005077A4" w:rsidP="005077A4">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2015-06-12</w:t>
      </w:r>
    </w:p>
    <w:p w14:paraId="67380940" w14:textId="424E1418" w:rsidR="00F42C1C" w:rsidRDefault="005077A4" w:rsidP="005077A4">
      <w:pPr>
        <w:rPr>
          <w:b/>
        </w:rPr>
      </w:pPr>
      <w:r>
        <w:rPr>
          <w:b/>
        </w:rPr>
        <w:fldChar w:fldCharType="end"/>
      </w:r>
      <w:r>
        <w:rPr>
          <w:b/>
        </w:rPr>
        <w:fldChar w:fldCharType="begin"/>
      </w:r>
      <w:r>
        <w:rPr>
          <w:b/>
        </w:rPr>
        <w:instrText xml:space="preserve"> IF "2015-06-12" = "-" </w:instrText>
      </w:r>
      <w:r>
        <w:rPr>
          <w:b/>
        </w:rPr>
        <w:fldChar w:fldCharType="begin"/>
      </w:r>
      <w:r>
        <w:rPr>
          <w:b/>
        </w:rPr>
        <w:instrText xml:space="preserve"> IF "-" = "-" </w:instrText>
      </w:r>
      <w:r>
        <w:rPr>
          <w:b/>
        </w:rPr>
        <w:fldChar w:fldCharType="begin"/>
      </w:r>
      <w:r>
        <w:rPr>
          <w:b/>
        </w:rPr>
        <w:instrText xml:space="preserve"> IF "2014-05-08" = "-" "" "Tidigare behandlat i utskottet </w:instrText>
      </w:r>
      <w:r>
        <w:rPr>
          <w:b/>
        </w:rPr>
        <w:br/>
      </w:r>
      <w:r w:rsidRPr="002F0461">
        <w:instrText>2014-05-08</w:instrText>
      </w:r>
    </w:p>
    <w:p w14:paraId="67380941" w14:textId="77777777" w:rsidR="005077A4" w:rsidRDefault="005077A4" w:rsidP="005077A4">
      <w:r>
        <w:instrText>"</w:instrText>
      </w:r>
      <w:r>
        <w:rPr>
          <w:b/>
        </w:rPr>
        <w:instrText xml:space="preserve"> </w:instrText>
      </w:r>
      <w:r>
        <w:rPr>
          <w:b/>
        </w:rPr>
        <w:fldChar w:fldCharType="separate"/>
      </w:r>
      <w:r>
        <w:rPr>
          <w:b/>
        </w:rPr>
        <w:instrText xml:space="preserve">Tidigare behandlat i utskottet </w:instrText>
      </w:r>
      <w:r>
        <w:rPr>
          <w:b/>
        </w:rPr>
        <w:br/>
      </w:r>
      <w:r w:rsidRPr="002F0461">
        <w:instrText>2014-05-08</w:instrText>
      </w:r>
    </w:p>
    <w:p w14:paraId="67380942" w14:textId="77777777" w:rsidR="00F42C1C" w:rsidRDefault="005077A4" w:rsidP="005077A4">
      <w:pPr>
        <w:rPr>
          <w:b/>
        </w:rPr>
      </w:pPr>
      <w:r>
        <w:rPr>
          <w:b/>
        </w:rPr>
        <w:fldChar w:fldCharType="end"/>
      </w:r>
      <w:r>
        <w:rPr>
          <w:b/>
        </w:rPr>
        <w:instrText xml:space="preserve"> "Tidigare behandlat i utskottet</w:instrText>
      </w:r>
      <w:r>
        <w:rPr>
          <w:b/>
        </w:rPr>
        <w:br/>
      </w:r>
      <w:r w:rsidRPr="002F0461">
        <w:instrText>2014-05-08</w:instrText>
      </w:r>
    </w:p>
    <w:p w14:paraId="67380943" w14:textId="77777777" w:rsidR="005077A4" w:rsidRDefault="005077A4" w:rsidP="005077A4">
      <w:pPr>
        <w:rPr>
          <w:noProof/>
        </w:rPr>
      </w:pPr>
      <w:r>
        <w:instrText>"</w:instrText>
      </w:r>
      <w:r>
        <w:rPr>
          <w:b/>
        </w:rPr>
        <w:instrText xml:space="preserve"> </w:instrText>
      </w:r>
      <w:r>
        <w:rPr>
          <w:b/>
        </w:rPr>
        <w:fldChar w:fldCharType="separate"/>
      </w:r>
      <w:r>
        <w:rPr>
          <w:b/>
        </w:rPr>
        <w:instrText xml:space="preserve">Tidigare behandlat i utskottet </w:instrText>
      </w:r>
      <w:r>
        <w:rPr>
          <w:b/>
        </w:rPr>
        <w:br/>
      </w:r>
      <w:r w:rsidRPr="002F0461">
        <w:instrText>2014-05-08</w:instrText>
      </w:r>
    </w:p>
    <w:p w14:paraId="67380944" w14:textId="77777777" w:rsidR="00F42C1C" w:rsidRDefault="005077A4" w:rsidP="005077A4">
      <w:pPr>
        <w:rPr>
          <w:b/>
        </w:rPr>
      </w:pPr>
      <w:r>
        <w:rPr>
          <w:b/>
        </w:rPr>
        <w:fldChar w:fldCharType="end"/>
      </w:r>
      <w:r>
        <w:rPr>
          <w:b/>
        </w:rPr>
        <w:instrText xml:space="preserve">  "Tidigare behandlat i utskottet</w:instrText>
      </w:r>
      <w:r>
        <w:rPr>
          <w:b/>
        </w:rPr>
        <w:br/>
      </w:r>
      <w:r>
        <w:instrText>2014-05-08</w:instrText>
      </w:r>
    </w:p>
    <w:p w14:paraId="67380945" w14:textId="77777777" w:rsidR="005077A4" w:rsidRDefault="005077A4" w:rsidP="005077A4">
      <w:r>
        <w:instrText>"</w:instrText>
      </w:r>
      <w:r>
        <w:rPr>
          <w:b/>
        </w:rPr>
        <w:instrText xml:space="preserve"> </w:instrText>
      </w:r>
      <w:r>
        <w:rPr>
          <w:b/>
        </w:rPr>
        <w:fldChar w:fldCharType="separate"/>
      </w:r>
      <w:r>
        <w:rPr>
          <w:b/>
        </w:rPr>
        <w:t>Tidigare behandlat i utskottet</w:t>
      </w:r>
      <w:r>
        <w:rPr>
          <w:b/>
        </w:rPr>
        <w:br/>
      </w:r>
      <w:r>
        <w:t>2014-05-08</w:t>
      </w:r>
    </w:p>
    <w:p w14:paraId="67380947" w14:textId="10B1ED63" w:rsidR="00F42C1C" w:rsidRDefault="005077A4" w:rsidP="005077A4">
      <w:r>
        <w:rPr>
          <w:b/>
        </w:rPr>
        <w:fldChar w:fldCharType="end"/>
      </w:r>
      <w:r w:rsidRPr="00B44CE2">
        <w:rPr>
          <w:b/>
        </w:rPr>
        <w:t>Annotering</w:t>
      </w:r>
      <w:r>
        <w:rPr>
          <w:b/>
        </w:rPr>
        <w:br/>
      </w:r>
      <w:r>
        <w:rPr>
          <w:b/>
          <w:bCs/>
        </w:rPr>
        <w:t>Avsikt med behandlingen i rådet:</w:t>
      </w:r>
      <w:r>
        <w:t xml:space="preserve"> Antagande av direktiv</w:t>
      </w:r>
    </w:p>
    <w:p w14:paraId="67380948" w14:textId="14ECACDC" w:rsidR="00F42C1C" w:rsidRDefault="005077A4">
      <w:pPr>
        <w:spacing w:after="280" w:afterAutospacing="1"/>
      </w:pPr>
      <w:r>
        <w:rPr>
          <w:b/>
          <w:bCs/>
        </w:rPr>
        <w:t>Hur regeringen ställer sig till den blivande A-punkten:</w:t>
      </w:r>
      <w:r>
        <w:t xml:space="preserve"> Regeringen stödjer att direktivet kan antas.</w:t>
      </w:r>
    </w:p>
    <w:p w14:paraId="67380949" w14:textId="77777777" w:rsidR="00F42C1C" w:rsidRDefault="005077A4">
      <w:pPr>
        <w:spacing w:after="280" w:afterAutospacing="1"/>
      </w:pPr>
      <w:r>
        <w:rPr>
          <w:b/>
          <w:bCs/>
        </w:rPr>
        <w:t>Bakgrund:</w:t>
      </w:r>
      <w:r>
        <w:t xml:space="preserve"> Kommissionen lade den 10 maj 2012 fram ett direktivförslag om moms-behandling av vouchrar (värdebevis). Syftet med förslaget är att klargöra och harmonisera EU-reglerna för hur vouchrar ska behandlas mervärdesskatterättsligt så att såväl dubbel-beskattning som icke-beskattning kan undvikas. Se vidare FaktaPM 2011/12:FPM153.</w:t>
      </w:r>
    </w:p>
    <w:p w14:paraId="6738094C" w14:textId="616424EF" w:rsidR="005077A4" w:rsidRDefault="005077A4">
      <w:pPr>
        <w:spacing w:after="280" w:afterAutospacing="1"/>
        <w:rPr>
          <w:noProof/>
        </w:rPr>
      </w:pPr>
      <w:r>
        <w:t xml:space="preserve">Förhandlingarna har inriktats mot att behandla de frågor som är mest centrala för att undvika dubbel- och ickebeskattning. Det handlar om definitioner av en- och flerfunktionsvouchrar, tidpunkter för beskattning och beskattningsunderlag. Det nederländska ordförandeskapet har presenterat ett direktivförslag som behandlades på Coreper den 4 maj 2016. Coreper blev då överens i sak om kompromissförslaget. Förslaget har därefter behandlats av juristlingvisterna. </w:t>
      </w:r>
    </w:p>
    <w:p w14:paraId="6738094D" w14:textId="77777777" w:rsidR="005077A4" w:rsidRPr="002F36A5" w:rsidRDefault="005077A4" w:rsidP="005077A4">
      <w:pPr>
        <w:pStyle w:val="Rubrik1"/>
        <w:rPr>
          <w:lang w:val="en-US"/>
        </w:rPr>
      </w:pPr>
      <w:bookmarkStart w:id="4" w:name="_Toc454346960"/>
      <w:r w:rsidRPr="002F36A5">
        <w:rPr>
          <w:noProof/>
          <w:lang w:val="en-US"/>
        </w:rPr>
        <w:lastRenderedPageBreak/>
        <w:t>Commission delegated Regulation (EU) …/... of 2.6.2016 supplementing Directive 2014/65/EU of the European Parliament and of the Council with regard to regulatory technical standards on the authorization, organisational requirements and the publication of transactions for data reporting services providers</w:t>
      </w:r>
      <w:bookmarkEnd w:id="4"/>
    </w:p>
    <w:p w14:paraId="6738094E" w14:textId="696F929E" w:rsidR="005077A4" w:rsidRDefault="005077A4" w:rsidP="005077A4">
      <w:pPr>
        <w:rPr>
          <w:lang w:val="en-US"/>
        </w:rPr>
      </w:pPr>
      <w:r>
        <w:rPr>
          <w:noProof/>
          <w:lang w:val="en-US"/>
        </w:rPr>
        <w:t>=</w:t>
      </w:r>
      <w:r>
        <w:rPr>
          <w:lang w:val="en-US"/>
        </w:rPr>
        <w:t>Intention not to raise objections to a delegated act</w:t>
      </w:r>
      <w:r>
        <w:rPr>
          <w:lang w:val="en-US"/>
        </w:rPr>
        <w:br/>
      </w:r>
      <w:r>
        <w:rPr>
          <w:noProof/>
          <w:lang w:val="en-US"/>
        </w:rPr>
        <w:t>10292</w:t>
      </w:r>
      <w:r>
        <w:rPr>
          <w:lang w:val="en-US"/>
        </w:rPr>
        <w:t>/16 EF 191 ECOFIN 616 DELACT 118 9857/16 EF 159 ECOFIN 551 DELACT 100</w:t>
      </w:r>
    </w:p>
    <w:p w14:paraId="6738094F" w14:textId="77777777" w:rsidR="005077A4" w:rsidRDefault="005077A4" w:rsidP="005077A4">
      <w:r>
        <w:rPr>
          <w:b/>
        </w:rPr>
        <w:t>Ansvarigt statsråd</w:t>
      </w:r>
      <w:r>
        <w:rPr>
          <w:b/>
        </w:rPr>
        <w:br/>
      </w:r>
      <w:r>
        <w:rPr>
          <w:noProof/>
        </w:rPr>
        <w:t>Per</w:t>
      </w:r>
      <w:r>
        <w:t xml:space="preserve"> Bolund</w:t>
      </w:r>
    </w:p>
    <w:p w14:paraId="67380950" w14:textId="77777777" w:rsidR="005077A4" w:rsidRDefault="005077A4" w:rsidP="005077A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80951"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80952"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80953"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80954"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80955"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80956"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80957" w14:textId="77777777" w:rsidR="005077A4" w:rsidRDefault="005077A4" w:rsidP="005077A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80958"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8095A" w14:textId="03694562" w:rsidR="00F42C1C" w:rsidRDefault="005077A4" w:rsidP="005077A4">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bekräfta att det inte avser invända mot kommissionens delegerade förordning som kompletterar direktivet om marknader för finansiella instrument (MiFID II) när det gäller tekniska standarder för tillsyn om auktorisation, organisationskrav och publicering av transaktioner för datarapporteringstjänster.</w:t>
      </w:r>
    </w:p>
    <w:p w14:paraId="6738095B" w14:textId="77777777" w:rsidR="00F42C1C" w:rsidRDefault="005077A4">
      <w:pPr>
        <w:spacing w:after="280" w:afterAutospacing="1"/>
      </w:pPr>
      <w:r>
        <w:rPr>
          <w:b/>
          <w:bCs/>
        </w:rPr>
        <w:t>Hur regeringen ställer sig till den blivande A-punkten:</w:t>
      </w:r>
      <w:r>
        <w:t>  Regeringen har för avsikt att rösta för en bekräftelse om att inte invända mot kommissionens delegerade förordning som kompletterar direktivet om marknader för finansiella instrument (MiFID II) när det gäller tekniska standarder för tillsyn om auktorisation, organisationskrav och publicering av transaktioner för datarapporteringstjänster.</w:t>
      </w:r>
    </w:p>
    <w:p w14:paraId="6738095D" w14:textId="7589A257" w:rsidR="005077A4" w:rsidRDefault="005077A4">
      <w:pPr>
        <w:spacing w:after="280" w:afterAutospacing="1"/>
        <w:rPr>
          <w:noProof/>
        </w:rPr>
      </w:pPr>
      <w:r>
        <w:rPr>
          <w:b/>
          <w:bCs/>
        </w:rPr>
        <w:t>Bakgrund:</w:t>
      </w:r>
      <w:r>
        <w:t> EU-kommissionen underrättade rådet den 2 juni 2016 om kommissionens delegerade förordning som kompletterar direktivet om marknader för finansiella instrument (MiFID II) när det gäller tekniska standarder om auktorisation, organisationskrav och publicering av transaktioner för datarapporteringstjänster. Syftet med den delegerade förordningen är att komplettera MiFID II med mer detaljerade krav om vad som gäller vid auktorisation samt vilka organisations- och publiceringskrav som gäller för datarapporteringstjänster. Rådet och Europaparlamentet har fram till den 2 juli 2016 att invända mot den delegerade akten. Under den tysta proceduren för synpunkter på rådsarbetsgruppsnivå (arbetsgruppen för finansiella tjänster), som avslutades den 15 juni 2016, har ingen medlemsstat framfört någon avsikt att invändningar mot den delegerade akten. Rådet föreslås därför nu bekräfta att det inte avser att invända mot akten. Om inte Europaparlamentet invänder mot den tekniska standarden för tillsyn kommer den delegerade akten att offentliggöras i Europeiska unionens officiella tidning och träda i kraft den dag som anges där.</w:t>
      </w:r>
    </w:p>
    <w:p w14:paraId="6738095E" w14:textId="77777777" w:rsidR="005077A4" w:rsidRPr="002F36A5" w:rsidRDefault="005077A4" w:rsidP="005077A4">
      <w:pPr>
        <w:pStyle w:val="Rubrik1"/>
        <w:rPr>
          <w:lang w:val="en-US"/>
        </w:rPr>
      </w:pPr>
      <w:bookmarkStart w:id="5" w:name="_Toc454346961"/>
      <w:r w:rsidRPr="002F36A5">
        <w:rPr>
          <w:noProof/>
          <w:lang w:val="en-US"/>
        </w:rPr>
        <w:t>Commission delegated Regulation (EU) …/... of 2.6.2016 supplementing Regulation (EU) No 600/2014 of the European Parliament and of the Council with regard to regulatory technical standards on the specification of the offering of pre-and post-trade data and the level of disaggregation of data</w:t>
      </w:r>
      <w:bookmarkEnd w:id="5"/>
    </w:p>
    <w:p w14:paraId="6738095F" w14:textId="351A426F" w:rsidR="005077A4" w:rsidRDefault="005077A4" w:rsidP="005077A4">
      <w:pPr>
        <w:rPr>
          <w:lang w:val="en-US"/>
        </w:rPr>
      </w:pPr>
      <w:r>
        <w:rPr>
          <w:noProof/>
          <w:lang w:val="en-US"/>
        </w:rPr>
        <w:t>=</w:t>
      </w:r>
      <w:r>
        <w:rPr>
          <w:lang w:val="en-US"/>
        </w:rPr>
        <w:t>Intention not to raise objections to a delegated act</w:t>
      </w:r>
      <w:r>
        <w:rPr>
          <w:lang w:val="en-US"/>
        </w:rPr>
        <w:br/>
      </w:r>
      <w:r>
        <w:rPr>
          <w:noProof/>
          <w:lang w:val="en-US"/>
        </w:rPr>
        <w:t>10294</w:t>
      </w:r>
      <w:r>
        <w:rPr>
          <w:lang w:val="en-US"/>
        </w:rPr>
        <w:t>/16 EF 192 ECOFIN 617 DELACT 119 9856/16 EF 158 ECOFIN 550 DELACT 99</w:t>
      </w:r>
    </w:p>
    <w:p w14:paraId="67380960" w14:textId="77777777" w:rsidR="005077A4" w:rsidRDefault="005077A4" w:rsidP="005077A4">
      <w:r>
        <w:rPr>
          <w:b/>
        </w:rPr>
        <w:t>Ansvarigt statsråd</w:t>
      </w:r>
      <w:r>
        <w:rPr>
          <w:b/>
        </w:rPr>
        <w:br/>
      </w:r>
      <w:r>
        <w:rPr>
          <w:noProof/>
        </w:rPr>
        <w:t>Per</w:t>
      </w:r>
      <w:r>
        <w:t xml:space="preserve"> Bolund</w:t>
      </w:r>
    </w:p>
    <w:p w14:paraId="67380961" w14:textId="77777777" w:rsidR="005077A4" w:rsidRDefault="005077A4" w:rsidP="005077A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80962"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80963"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80964"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80965"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80966"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80967"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80968" w14:textId="77777777" w:rsidR="005077A4" w:rsidRDefault="005077A4" w:rsidP="005077A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80969"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8096B" w14:textId="2FC3C313" w:rsidR="00F42C1C" w:rsidRDefault="005077A4" w:rsidP="005077A4">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det inte avser invända mot </w:t>
      </w:r>
      <w:r>
        <w:lastRenderedPageBreak/>
        <w:t>kommissionens delegerade förordning som kompletterar förordningen om marknader för finansiella instrument (MiFIR) när det gäller tekniska standarder för tillsyn om precisering av vilka uppgifter som ska offentliggöras före och efter handel och detaljnivån på uppgifterna.</w:t>
      </w:r>
    </w:p>
    <w:p w14:paraId="6738096C" w14:textId="77777777" w:rsidR="00F42C1C" w:rsidRDefault="005077A4">
      <w:pPr>
        <w:spacing w:after="280" w:afterAutospacing="1"/>
      </w:pPr>
      <w:r>
        <w:rPr>
          <w:b/>
          <w:bCs/>
        </w:rPr>
        <w:t>Hur regeringen ställer sig till den blivande A-punkten:</w:t>
      </w:r>
      <w:r>
        <w:t xml:space="preserve"> Regeringen har för avsikt att rösta för en bekräftelse om att inte invända mot kommissionens delegerade förordning som kompletterar förordningen om marknader för finansiella instrument (MiFIR) när det gäller tekniska standarder för tillsyn om precisering av vilka uppgifter som ska offentliggöras före och efter handel och detaljnivån på uppgifterna.</w:t>
      </w:r>
    </w:p>
    <w:p w14:paraId="6738096E" w14:textId="4CED2DF7" w:rsidR="005077A4" w:rsidRDefault="009926E5">
      <w:pPr>
        <w:spacing w:after="280" w:afterAutospacing="1"/>
        <w:rPr>
          <w:noProof/>
        </w:rPr>
      </w:pPr>
      <w:r>
        <w:rPr>
          <w:b/>
          <w:bCs/>
        </w:rPr>
        <w:t>Bakgrund:</w:t>
      </w:r>
      <w:r>
        <w:t> EU</w:t>
      </w:r>
      <w:r w:rsidR="005077A4">
        <w:t xml:space="preserve">-kommissionen underrättade rådet den 2 juni 2016 om kommissionens delegerade förordning som kompletterar förordningen om marknader för finansiella instrument (MiFIR) när det gäller tekniska standarder </w:t>
      </w:r>
      <w:r>
        <w:t>om precisering</w:t>
      </w:r>
      <w:r w:rsidR="005077A4">
        <w:t xml:space="preserve"> av vilka uppgifter som ska offentliggöras före och efter handel och detaljnivån på uppgifterna.</w:t>
      </w:r>
      <w:r w:rsidR="005077A4">
        <w:br/>
        <w:t>Syftet med den delegerade förordningen är att komplettera MiFIR med mer detaljerade krav om vad som gäller för skyldigheten att för allmänheten tillgängliggöra uppgifter före och efter handel och vilken detaljnivå dessa uppgifter ska ha. Rådet och Europaparlamentet har fram till den 2 juli 2016 att invända mot den delegerade akten. Under den tysta proceduren för synpunkter på rådsarbetsgruppsnivå (arbetsgruppen för finansiella tjänster), som avslutades den 15 juni 2016, har ingen medlemsstat framfört någon avsikt att invändningar mot den delegerade akten. Rådet föreslås därför nu bekräfta att det inte avser att invända mot akten. Om inte Europaparlamentet invänder mot den tekniska standarden för tillsyn kommer den delegerade akten att offentliggöras i Europeiska unionens officiella tidning och träda i kraft den dag som anges där.</w:t>
      </w:r>
    </w:p>
    <w:p w14:paraId="6738096F" w14:textId="77777777" w:rsidR="005077A4" w:rsidRPr="002F36A5" w:rsidRDefault="005077A4" w:rsidP="005077A4">
      <w:pPr>
        <w:pStyle w:val="Rubrik1"/>
        <w:rPr>
          <w:lang w:val="en-US"/>
        </w:rPr>
      </w:pPr>
      <w:bookmarkStart w:id="6" w:name="_Toc454346962"/>
      <w:r w:rsidRPr="002F36A5">
        <w:rPr>
          <w:noProof/>
          <w:lang w:val="en-US"/>
        </w:rPr>
        <w:t>Commission delegated Regulation (EU) …/... of 2.6.2016 supplementing Regulation (EU) No 600/2014 of the European Parliament and of the Council on markets in financial instruments with regard to regulatory technical standards on access in respect of benchmarks</w:t>
      </w:r>
      <w:bookmarkEnd w:id="6"/>
    </w:p>
    <w:p w14:paraId="67380970" w14:textId="6E726635" w:rsidR="005077A4" w:rsidRDefault="005077A4" w:rsidP="005077A4">
      <w:pPr>
        <w:rPr>
          <w:lang w:val="en-US"/>
        </w:rPr>
      </w:pPr>
      <w:r>
        <w:rPr>
          <w:noProof/>
          <w:lang w:val="en-US"/>
        </w:rPr>
        <w:t>=</w:t>
      </w:r>
      <w:r>
        <w:rPr>
          <w:lang w:val="en-US"/>
        </w:rPr>
        <w:t>Intention not to raise objections to a delegated act</w:t>
      </w:r>
      <w:r>
        <w:rPr>
          <w:lang w:val="en-US"/>
        </w:rPr>
        <w:br/>
      </w:r>
      <w:r>
        <w:rPr>
          <w:noProof/>
          <w:lang w:val="en-US"/>
        </w:rPr>
        <w:t>10295</w:t>
      </w:r>
      <w:r>
        <w:rPr>
          <w:lang w:val="en-US"/>
        </w:rPr>
        <w:t>/16 EF 193 ECOFIN 618 DELACT 120 9858/16 EF 160 ECOFIN 552 DELACT 101</w:t>
      </w:r>
    </w:p>
    <w:p w14:paraId="67380971" w14:textId="77777777" w:rsidR="005077A4" w:rsidRDefault="005077A4" w:rsidP="005077A4">
      <w:r>
        <w:rPr>
          <w:b/>
        </w:rPr>
        <w:t>Ansvarigt statsråd</w:t>
      </w:r>
      <w:r>
        <w:rPr>
          <w:b/>
        </w:rPr>
        <w:br/>
      </w:r>
      <w:r>
        <w:rPr>
          <w:noProof/>
        </w:rPr>
        <w:t>Per</w:t>
      </w:r>
      <w:r>
        <w:t xml:space="preserve"> Bolund</w:t>
      </w:r>
    </w:p>
    <w:p w14:paraId="67380972" w14:textId="77777777" w:rsidR="005077A4" w:rsidRDefault="005077A4" w:rsidP="005077A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80973"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80974"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80975"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80976"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80977"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80978"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80979" w14:textId="77777777" w:rsidR="005077A4" w:rsidRDefault="005077A4" w:rsidP="005077A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8097A"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8097C" w14:textId="2104F12E" w:rsidR="00F42C1C" w:rsidRDefault="005077A4" w:rsidP="005077A4">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det inte avser invända mot kommissionens delegerade förordning som kompletterar förordningen om marknader för finansiella instrument (MiFIR) när det gäller tekniska standarder för tillsyn om tillträde avseende referensvärden.</w:t>
      </w:r>
    </w:p>
    <w:p w14:paraId="6738097D" w14:textId="77777777" w:rsidR="00F42C1C" w:rsidRDefault="005077A4">
      <w:pPr>
        <w:spacing w:after="280" w:afterAutospacing="1"/>
      </w:pPr>
      <w:r>
        <w:rPr>
          <w:b/>
          <w:bCs/>
        </w:rPr>
        <w:t>Hur regeringen ställer sig till den blivande A-punkten:</w:t>
      </w:r>
      <w:r>
        <w:t xml:space="preserve"> Regeringen har för avsikt att rösta för en bekräftelse om att inte invända mot kommissionens delegerade förordning som kompletterar förordningen om marknader för finansiella instrument (MiFIR) när det gäller tekniska standarder för tillsyn om tillträde avseende referensvärden.</w:t>
      </w:r>
    </w:p>
    <w:p w14:paraId="6738097F" w14:textId="601454C1" w:rsidR="005077A4" w:rsidRDefault="009926E5">
      <w:pPr>
        <w:spacing w:after="280" w:afterAutospacing="1"/>
        <w:rPr>
          <w:noProof/>
        </w:rPr>
      </w:pPr>
      <w:r>
        <w:rPr>
          <w:b/>
          <w:bCs/>
        </w:rPr>
        <w:t>Bakgrund:</w:t>
      </w:r>
      <w:r>
        <w:t> EU</w:t>
      </w:r>
      <w:r w:rsidR="005077A4">
        <w:t xml:space="preserve">-kommissionen underrättade rådet den 2 juni 2016 om kommissionens delegerade förordning som kompletterar förordningen om marknader för finansiella </w:t>
      </w:r>
      <w:r w:rsidR="005077A4">
        <w:lastRenderedPageBreak/>
        <w:t>instrument (MiFIR) när det gäller tekniska standarder om tillträde avseende referensvärden.</w:t>
      </w:r>
      <w:r w:rsidR="005077A4">
        <w:br/>
        <w:t>Syftet med den delegerade förordningen är att komplettera MiFIR med mer detaljerade krav om centrala motparters och handelsplatsers icke-diskriminerande tillträde till uppgifter om referensvärden som rör handel och clearing. Rådet och Europaparlamentet har fram till den 2 juli 2016 att invända mot den delegerade akten. Under den tysta proceduren för synpunkter på rådsarbetsgruppsnivå (arbetsgruppen för finansiella tjänster), som avslutades den 15 juni 2016, har ingen medlemsstat framfört någon avsikt att invändningar mot den delegerade akten. Rådet föreslås därför nu bekräfta att det inte avser att invända mot akten. Om inte Europaparlamentet invänder mot den tekniska standarden för tillsyn kommer den delegerade akten att offentliggöras i Europeiska unionens officiella tidning och träda i kraft den dag som anges där.</w:t>
      </w:r>
    </w:p>
    <w:p w14:paraId="67380980" w14:textId="77777777" w:rsidR="005077A4" w:rsidRPr="002F36A5" w:rsidRDefault="005077A4" w:rsidP="005077A4">
      <w:pPr>
        <w:pStyle w:val="Rubrik1"/>
        <w:rPr>
          <w:lang w:val="en-US"/>
        </w:rPr>
      </w:pPr>
      <w:bookmarkStart w:id="7" w:name="_Toc454346963"/>
      <w:r w:rsidRPr="002F36A5">
        <w:rPr>
          <w:noProof/>
          <w:lang w:val="en-US"/>
        </w:rPr>
        <w:t>Commission delegated Regulation (EU) …/... of 6.6.2016 supplementing Directive 2014/65/EU of the European Parliament and of the Council on markets in financial instruments with regard to regulatory technical standards on requirements to ensure fair and non-discriminatory co-location services and fee structures</w:t>
      </w:r>
      <w:bookmarkEnd w:id="7"/>
    </w:p>
    <w:p w14:paraId="67380981" w14:textId="2D9775A7" w:rsidR="005077A4" w:rsidRDefault="005077A4" w:rsidP="005077A4">
      <w:pPr>
        <w:rPr>
          <w:lang w:val="en-US"/>
        </w:rPr>
      </w:pPr>
      <w:r>
        <w:rPr>
          <w:noProof/>
          <w:lang w:val="en-US"/>
        </w:rPr>
        <w:t>=</w:t>
      </w:r>
      <w:r>
        <w:rPr>
          <w:lang w:val="en-US"/>
        </w:rPr>
        <w:t>Intention not to raise objections to a delegated act</w:t>
      </w:r>
      <w:r>
        <w:rPr>
          <w:lang w:val="en-US"/>
        </w:rPr>
        <w:br/>
      </w:r>
      <w:r>
        <w:rPr>
          <w:noProof/>
          <w:lang w:val="en-US"/>
        </w:rPr>
        <w:t>10296</w:t>
      </w:r>
      <w:r>
        <w:rPr>
          <w:lang w:val="en-US"/>
        </w:rPr>
        <w:t>/16 EF 194 ECOFIN 619 DELACT 121 9933/16 EF 164 ECOFIN 561 DELACT 102</w:t>
      </w:r>
    </w:p>
    <w:p w14:paraId="67380982" w14:textId="77777777" w:rsidR="005077A4" w:rsidRDefault="005077A4" w:rsidP="005077A4">
      <w:r>
        <w:rPr>
          <w:b/>
        </w:rPr>
        <w:t>Ansvarigt statsråd</w:t>
      </w:r>
      <w:r>
        <w:rPr>
          <w:b/>
        </w:rPr>
        <w:br/>
      </w:r>
      <w:r>
        <w:rPr>
          <w:noProof/>
        </w:rPr>
        <w:t>Per</w:t>
      </w:r>
      <w:r>
        <w:t xml:space="preserve"> Bolund</w:t>
      </w:r>
    </w:p>
    <w:p w14:paraId="67380983" w14:textId="77777777" w:rsidR="005077A4" w:rsidRDefault="005077A4" w:rsidP="005077A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80984"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80985"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80986"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80987"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80988"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80989"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8098A" w14:textId="77777777" w:rsidR="005077A4" w:rsidRDefault="005077A4" w:rsidP="005077A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8098B"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8098D" w14:textId="74EDC973" w:rsidR="00F42C1C" w:rsidRDefault="005077A4" w:rsidP="005077A4">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det inte avser invända mot kommissionens delegerade förordning som kompletterar direktivet om marknader för finansiella instrument (MiFID II) när det gäller tekniska standarder för tillsyn om krav för att säkerställa rättvis och icke-diskriminerande samlokaliseringstjänster och avgiftsstrukturer. </w:t>
      </w:r>
    </w:p>
    <w:p w14:paraId="6738098E" w14:textId="77777777" w:rsidR="00F42C1C" w:rsidRDefault="005077A4">
      <w:pPr>
        <w:spacing w:after="280" w:afterAutospacing="1"/>
      </w:pPr>
      <w:r>
        <w:rPr>
          <w:b/>
          <w:bCs/>
        </w:rPr>
        <w:t xml:space="preserve">Hur regeringen ställer sig till den blivande A-punkten: </w:t>
      </w:r>
      <w:r>
        <w:t xml:space="preserve">Regeringen har för avsikt att rösta för en bekräftelse om att inte invända mot kommissionens delegerade förordning som kompletterar direktivet om marknader för finansiella instrument (MiFID II) när det gäller tekniska standarder för tillsyn om krav för att säkerställa rättvis och icke-diskriminerande samlokaliseringstjänster och avgiftsstrukturer. </w:t>
      </w:r>
    </w:p>
    <w:p w14:paraId="6A622313" w14:textId="1668192F" w:rsidR="005077A4" w:rsidRDefault="005077A4">
      <w:pPr>
        <w:spacing w:after="280" w:afterAutospacing="1"/>
      </w:pPr>
      <w:r>
        <w:rPr>
          <w:b/>
          <w:bCs/>
        </w:rPr>
        <w:t>Bakgrund:</w:t>
      </w:r>
      <w:r w:rsidR="000F1C0A">
        <w:t> </w:t>
      </w:r>
      <w:r>
        <w:t xml:space="preserve">EU-kommissionen underrättade rådet den 6 juni 2016 om kommissionens delegerade förordning som kompletterar direktivet om marknader för finansiella instrument (MiFID II) när det gäller tekniska standarder om krav för att säkerställa rättvis och icke-diskriminerande samlokaliseringstjänster och avgiftsstrukturer. </w:t>
      </w:r>
    </w:p>
    <w:p w14:paraId="67380990" w14:textId="07BD5E20" w:rsidR="005077A4" w:rsidRDefault="005077A4">
      <w:pPr>
        <w:spacing w:after="280" w:afterAutospacing="1"/>
        <w:rPr>
          <w:noProof/>
        </w:rPr>
      </w:pPr>
      <w:r>
        <w:t>Syftet med den delegerade förordningen är att komplettera MiFID II med mer detaljerade krav för att säkerställa att samlokaliseringstjänster (co-location) och avgiftsstrukturer är rättvisa och icke-diskriminerande. Rådet och Europaparlamentet har fram till den 6 juli 2016 att invända mot den delegerade akten. Under den tysta proceduren för synpunkter på rådsarbetsgruppsnivå (arbetsgruppen för finansiella tjänster), som avslutades den 15 juni 2016, har ingen medlemsstat framfört någon avsikt att invändningar mot den delegerade akten. Rådet föreslås därför nu bekräfta att det inte avser att invända mot akten. Om inte Europaparlamentet invänder mot den tekniska standarden för tillsyn kommer den delegerade akten att offentliggöras i Europeiska unionens officiella tidning och träda i kraft den dag som anges där.</w:t>
      </w:r>
    </w:p>
    <w:p w14:paraId="67380991" w14:textId="77777777" w:rsidR="005077A4" w:rsidRPr="002F36A5" w:rsidRDefault="005077A4" w:rsidP="005077A4">
      <w:pPr>
        <w:pStyle w:val="Rubrik1"/>
        <w:rPr>
          <w:lang w:val="en-US"/>
        </w:rPr>
      </w:pPr>
      <w:bookmarkStart w:id="8" w:name="_Toc454346964"/>
      <w:r w:rsidRPr="002F36A5">
        <w:rPr>
          <w:noProof/>
          <w:lang w:val="en-US"/>
        </w:rPr>
        <w:lastRenderedPageBreak/>
        <w:t>Commission delegated Regulation (EU) No …/.. of 7.6.2016 supplementing Directive 2014/59/EU of the European Parliament and of the Council establishing a framework for the recovery and resolution of credit institutions and investment firms with regard to regulatory technical standards specifying a minimum set of the information on financial contracts that should be contained in the detailed records and the circumstances in which the requirement should be imposed</w:t>
      </w:r>
      <w:bookmarkEnd w:id="8"/>
    </w:p>
    <w:p w14:paraId="67380992" w14:textId="0D25524C" w:rsidR="005077A4" w:rsidRDefault="005077A4" w:rsidP="005077A4">
      <w:pPr>
        <w:rPr>
          <w:lang w:val="en-US"/>
        </w:rPr>
      </w:pPr>
      <w:r>
        <w:rPr>
          <w:noProof/>
          <w:lang w:val="en-US"/>
        </w:rPr>
        <w:t>=</w:t>
      </w:r>
      <w:r>
        <w:rPr>
          <w:lang w:val="en-US"/>
        </w:rPr>
        <w:t>Intention not to raise objections to a delegated act</w:t>
      </w:r>
      <w:r>
        <w:rPr>
          <w:lang w:val="en-US"/>
        </w:rPr>
        <w:br/>
      </w:r>
      <w:r>
        <w:rPr>
          <w:noProof/>
          <w:lang w:val="en-US"/>
        </w:rPr>
        <w:t>10298</w:t>
      </w:r>
      <w:r>
        <w:rPr>
          <w:lang w:val="en-US"/>
        </w:rPr>
        <w:t>/16 EF 195 ECOFIN 620 DELACT 122 10030/16 EF 174 ECOFIN 572 DELACT 104+ ADD 1</w:t>
      </w:r>
    </w:p>
    <w:p w14:paraId="67380993" w14:textId="77777777" w:rsidR="005077A4" w:rsidRDefault="005077A4" w:rsidP="005077A4">
      <w:r>
        <w:rPr>
          <w:b/>
        </w:rPr>
        <w:t>Ansvarigt statsråd</w:t>
      </w:r>
      <w:r>
        <w:rPr>
          <w:b/>
        </w:rPr>
        <w:br/>
      </w:r>
      <w:r>
        <w:rPr>
          <w:noProof/>
        </w:rPr>
        <w:t>Per</w:t>
      </w:r>
      <w:r>
        <w:t xml:space="preserve"> Bolund</w:t>
      </w:r>
    </w:p>
    <w:p w14:paraId="67380994" w14:textId="77777777" w:rsidR="005077A4" w:rsidRDefault="005077A4" w:rsidP="005077A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80995"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80996"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80997"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80998"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80999"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8099A"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8099B" w14:textId="77777777" w:rsidR="005077A4" w:rsidRDefault="005077A4" w:rsidP="005077A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8099C"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8099E" w14:textId="791D9E95" w:rsidR="00F42C1C" w:rsidRDefault="005077A4" w:rsidP="005077A4">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Att rådet ska bekräfta att det inte har för avsikt att göra invändningar mot den delegerade akten. </w:t>
      </w:r>
    </w:p>
    <w:p w14:paraId="6738099F" w14:textId="77777777" w:rsidR="00F42C1C" w:rsidRDefault="005077A4">
      <w:pPr>
        <w:spacing w:after="280" w:afterAutospacing="1"/>
      </w:pPr>
      <w:r>
        <w:rPr>
          <w:b/>
          <w:bCs/>
        </w:rPr>
        <w:t xml:space="preserve">Hur regeringen ställer sig till den blivande A-punkten: </w:t>
      </w:r>
      <w:r>
        <w:t xml:space="preserve">Regeringen avser inte invända mot den delegerade akten. </w:t>
      </w:r>
    </w:p>
    <w:p w14:paraId="673809A2" w14:textId="24E5EEB4" w:rsidR="00F42C1C" w:rsidRDefault="005077A4">
      <w:pPr>
        <w:spacing w:after="280" w:afterAutospacing="1"/>
      </w:pPr>
      <w:r>
        <w:rPr>
          <w:b/>
          <w:bCs/>
        </w:rPr>
        <w:t xml:space="preserve">Bakgrund: </w:t>
      </w:r>
      <w:r>
        <w:t>Enligt artikel 71.7 i krishanteringsdirektivet (BRRD) får resolutionsmyndigheten eller tillsynsmyndigheten kräva att finansiella företag för register över sina finansiella kontrakt. Enligt artikel 71.8 BRRD får kommissionen anta delegerade akter som närmare specificerar under vilka omständigheter som krav på att föra register ska uppställas och vilken information som minst måste anges om de finansiella kontrakten i registren. En delegerad akt om dessa frågor antogs den 7 juni 2016 av kommissionen.</w:t>
      </w:r>
    </w:p>
    <w:p w14:paraId="673809A3" w14:textId="77777777" w:rsidR="005077A4" w:rsidRPr="002F36A5" w:rsidRDefault="005077A4" w:rsidP="005077A4">
      <w:pPr>
        <w:pStyle w:val="Rubrik1"/>
        <w:rPr>
          <w:lang w:val="en-US"/>
        </w:rPr>
      </w:pPr>
      <w:bookmarkStart w:id="9" w:name="_Toc454346965"/>
      <w:r w:rsidRPr="002F36A5">
        <w:rPr>
          <w:noProof/>
          <w:lang w:val="en-US"/>
        </w:rPr>
        <w:t>Draft Decision of the European Parliament and of the Council providing further macro-financial assistance to Tunisia (First reading)</w:t>
      </w:r>
      <w:bookmarkEnd w:id="9"/>
      <w:r w:rsidRPr="002F36A5">
        <w:rPr>
          <w:noProof/>
          <w:lang w:val="en-US"/>
        </w:rPr>
        <w:t xml:space="preserve"> </w:t>
      </w:r>
    </w:p>
    <w:p w14:paraId="673809A4" w14:textId="77777777" w:rsidR="005077A4" w:rsidRDefault="005077A4" w:rsidP="005077A4">
      <w:pPr>
        <w:rPr>
          <w:lang w:val="en-US"/>
        </w:rPr>
      </w:pPr>
      <w:r>
        <w:rPr>
          <w:noProof/>
          <w:lang w:val="en-US"/>
        </w:rPr>
        <w:t>=</w:t>
      </w:r>
      <w:r>
        <w:rPr>
          <w:lang w:val="en-US"/>
        </w:rPr>
        <w:t>Adoption of the legislative act</w:t>
      </w:r>
      <w:r>
        <w:rPr>
          <w:lang w:val="en-US"/>
        </w:rPr>
        <w:br/>
      </w:r>
      <w:r>
        <w:rPr>
          <w:noProof/>
          <w:lang w:val="en-US"/>
        </w:rPr>
        <w:t>10305</w:t>
      </w:r>
      <w:r>
        <w:rPr>
          <w:lang w:val="en-US"/>
        </w:rPr>
        <w:t>/16 CODEC 894 ECOFIN 622 UEM 256 RELEX 529 MED 19 IA 41+ ADD 1PE-CONS 9/16 ECOFIN 204 UEM 87 CODEC 247</w:t>
      </w:r>
    </w:p>
    <w:p w14:paraId="673809A5" w14:textId="77777777" w:rsidR="005077A4" w:rsidRDefault="005077A4" w:rsidP="005077A4">
      <w:r>
        <w:rPr>
          <w:b/>
        </w:rPr>
        <w:t>Ansvarigt statsråd</w:t>
      </w:r>
      <w:r>
        <w:rPr>
          <w:b/>
        </w:rPr>
        <w:br/>
      </w:r>
      <w:r>
        <w:rPr>
          <w:noProof/>
        </w:rPr>
        <w:t>Magdalena</w:t>
      </w:r>
      <w:r>
        <w:t xml:space="preserve"> Andersson</w:t>
      </w:r>
    </w:p>
    <w:p w14:paraId="673809A6" w14:textId="77777777" w:rsidR="005077A4" w:rsidRDefault="005077A4" w:rsidP="005077A4">
      <w:r>
        <w:rPr>
          <w:b/>
        </w:rPr>
        <w:fldChar w:fldCharType="begin"/>
      </w:r>
      <w:r>
        <w:rPr>
          <w:b/>
        </w:rPr>
        <w:instrText xml:space="preserve"> IF "2016-06-02"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2016-06-02</w:instrText>
      </w:r>
    </w:p>
    <w:p w14:paraId="673809A7"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2016-06-02</w:instrText>
      </w:r>
    </w:p>
    <w:p w14:paraId="673809A8"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2016-06-02</w:instrText>
      </w:r>
    </w:p>
    <w:p w14:paraId="673809A9" w14:textId="77777777" w:rsidR="005077A4" w:rsidRDefault="005077A4" w:rsidP="005077A4">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2016-06-02</w:t>
      </w:r>
    </w:p>
    <w:p w14:paraId="673809B3" w14:textId="41440CFF" w:rsidR="00F42C1C" w:rsidRDefault="005077A4" w:rsidP="005077A4">
      <w:r>
        <w:rPr>
          <w:b/>
        </w:rPr>
        <w:fldChar w:fldCharType="end"/>
      </w:r>
      <w:r w:rsidRPr="00B44CE2">
        <w:rPr>
          <w:b/>
        </w:rPr>
        <w:t>Annotering</w:t>
      </w:r>
      <w:r>
        <w:rPr>
          <w:b/>
        </w:rPr>
        <w:br/>
      </w:r>
      <w:r>
        <w:rPr>
          <w:b/>
          <w:bCs/>
        </w:rPr>
        <w:t>Avsikt med behandlingen i rådet:</w:t>
      </w:r>
      <w:r>
        <w:t xml:space="preserve"> Rådet ska anta lagstiftningsakt om att bevilja Tunisien makrofinansiellt stöd.</w:t>
      </w:r>
    </w:p>
    <w:p w14:paraId="460C4606" w14:textId="77777777" w:rsidR="005077A4" w:rsidRDefault="005077A4">
      <w:pPr>
        <w:spacing w:after="280" w:afterAutospacing="1"/>
      </w:pPr>
      <w:r>
        <w:rPr>
          <w:b/>
          <w:bCs/>
        </w:rPr>
        <w:t>Hur regeringen ställer sig till den blivande A-punkten:</w:t>
      </w:r>
      <w:r>
        <w:t xml:space="preserve"> Regeringen kan stödja att lagstiftningsakten antas.</w:t>
      </w:r>
    </w:p>
    <w:p w14:paraId="7CBB9672" w14:textId="77777777" w:rsidR="005077A4" w:rsidRDefault="005077A4">
      <w:pPr>
        <w:spacing w:after="280" w:afterAutospacing="1"/>
      </w:pPr>
      <w:r>
        <w:rPr>
          <w:b/>
          <w:bCs/>
        </w:rPr>
        <w:t>Bakgrund:</w:t>
      </w:r>
      <w:r>
        <w:t xml:space="preserve"> Kommissionen presenterade i februari ett förslag om att bevilja Tunisien makrofinansiellt stöd i form av lån om maximalt 500 miljoner euro. Detta är en fortsättning på ett tidigare makrofinansiellt stöd som antogs i maj 2014. Skälet till att den tunisiska regeringen </w:t>
      </w:r>
      <w:r>
        <w:lastRenderedPageBreak/>
        <w:t>efterfrågat ytterligare finansiellt stöd är den fortsatt svaga ekonomiska utvecklingen i Tunisien, vilken försämrats ytterligare på grund av de terrordåd som utförts i landet de senaste åren. Tunisien för även diskussioner om ett nytt IMF-program vilket förväntas komma på plats under våren 2016. Ett IMF-program är en förutsättning det makrofinansiella stödet.</w:t>
      </w:r>
      <w:r>
        <w:br/>
        <w:t>Det makrofinansiella stödet till Tunisien motiveras av att Tunisien är en del av den europeiska grannskapspolitiken, att det finns ett behov av extern finansiering utöver de medel som tillhandahållits av IMF och andra multilaterala institutioner samt att Tunisien även i övrigt uppfyller de politiska och ekonomiska kriterier som satts upp för makrofinansiellt stöd. En förutsättning för att det makrofinansiella stödet är att Tunisien respekterar gällande demokratiska mekanismer samt att Tunisien genomför de ekonomiskpolitiska och finansiella villkoren som de tunisiska myndigheterna och kommissionen ska förhandla fram i form av ett samförståndsavtal. Efter att texten behandlats av både rådet och Europaparlamentet ska nu lagstiftningsakten antas.</w:t>
      </w:r>
    </w:p>
    <w:p w14:paraId="673809B6" w14:textId="46DBA727" w:rsidR="005077A4" w:rsidRDefault="005077A4">
      <w:pPr>
        <w:spacing w:after="280" w:afterAutospacing="1"/>
        <w:rPr>
          <w:noProof/>
        </w:rPr>
      </w:pPr>
      <w:r>
        <w:t xml:space="preserve">Då det funnits vissa skillnader mellan rådet och Europaparlamentet å ena sidan och kommissionen å andra sidan rörande val av standardtext för beslut om makrofinansiellt stöd har rådet och Europaparlamentet enats om att anta en gemensam deklaration. I deklarationen tydliggör rådet och Europaparlamentet att de anser att den standardtext som tillämpats sedan 2013 även fortsatt bör utgöra utgångspunkt för framtida beslut om MFA. </w:t>
      </w:r>
    </w:p>
    <w:p w14:paraId="673809B7" w14:textId="77777777" w:rsidR="005077A4" w:rsidRPr="002F36A5" w:rsidRDefault="005077A4" w:rsidP="005077A4">
      <w:pPr>
        <w:pStyle w:val="Rubrik1"/>
        <w:rPr>
          <w:lang w:val="en-US"/>
        </w:rPr>
      </w:pPr>
      <w:bookmarkStart w:id="10" w:name="_Toc454346966"/>
      <w:r w:rsidRPr="002F36A5">
        <w:rPr>
          <w:noProof/>
          <w:lang w:val="en-US"/>
        </w:rPr>
        <w:t>Proposal for a Council Decision on a Union position in the EU-the Republic of Serbia Stabilisation and Association Council on the participation of the Republic of Serbia as an observer in the European Union Agency for Fundamental Rights' work and the respective modalities, within the framework of Council Regulation (EC) No 168/2007</w:t>
      </w:r>
      <w:bookmarkEnd w:id="10"/>
    </w:p>
    <w:p w14:paraId="673809B8" w14:textId="0F29AF3B" w:rsidR="005077A4" w:rsidRDefault="005077A4" w:rsidP="005077A4">
      <w:pPr>
        <w:rPr>
          <w:lang w:val="en-US"/>
        </w:rPr>
      </w:pPr>
      <w:r>
        <w:rPr>
          <w:noProof/>
          <w:lang w:val="en-US"/>
        </w:rPr>
        <w:t>=</w:t>
      </w:r>
      <w:r>
        <w:rPr>
          <w:lang w:val="en-US"/>
        </w:rPr>
        <w:t>Agreement on the text</w:t>
      </w:r>
      <w:r>
        <w:rPr>
          <w:lang w:val="en-US"/>
        </w:rPr>
        <w:br/>
      </w:r>
      <w:r>
        <w:rPr>
          <w:noProof/>
          <w:lang w:val="en-US"/>
        </w:rPr>
        <w:t>9788</w:t>
      </w:r>
      <w:r>
        <w:rPr>
          <w:lang w:val="en-US"/>
        </w:rPr>
        <w:t>/16 FREMP 99 JAI 517 COHOM 57 ELARG 69 COWEB 51 9876/16 FREMP 103 JAI 531 COHOM 64 ELARG 73 COWEB 53</w:t>
      </w:r>
    </w:p>
    <w:p w14:paraId="673809B9" w14:textId="77777777" w:rsidR="005077A4" w:rsidRDefault="005077A4" w:rsidP="005077A4">
      <w:r>
        <w:rPr>
          <w:b/>
        </w:rPr>
        <w:t>Ansvarigt statsråd</w:t>
      </w:r>
      <w:r>
        <w:rPr>
          <w:b/>
        </w:rPr>
        <w:br/>
      </w:r>
      <w:r>
        <w:rPr>
          <w:noProof/>
        </w:rPr>
        <w:t>Margot</w:t>
      </w:r>
      <w:r>
        <w:t xml:space="preserve"> Wallström</w:t>
      </w:r>
    </w:p>
    <w:p w14:paraId="673809BA" w14:textId="77777777" w:rsidR="005077A4" w:rsidRDefault="005077A4" w:rsidP="005077A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809BB"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809BC"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809BD"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809BE"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809BF"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809C0"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809C1" w14:textId="77777777" w:rsidR="005077A4" w:rsidRDefault="005077A4" w:rsidP="005077A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809C2"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809C4" w14:textId="30B65AA6" w:rsidR="00F42C1C" w:rsidRDefault="005077A4" w:rsidP="005077A4">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förslaget om att ge Serbien observatörsstatus i EU:s byrå för grundläggande rättigheter.</w:t>
      </w:r>
    </w:p>
    <w:p w14:paraId="673809C5" w14:textId="5EC062A0" w:rsidR="00F42C1C" w:rsidRDefault="005077A4">
      <w:pPr>
        <w:spacing w:after="280" w:afterAutospacing="1"/>
      </w:pPr>
      <w:r>
        <w:rPr>
          <w:b/>
          <w:bCs/>
        </w:rPr>
        <w:t>Hur regeringen ställer sig till den blivande A-punkten:</w:t>
      </w:r>
      <w:r>
        <w:t xml:space="preserve"> Regeringen avser rösta ja till förslaget om att ge Serbien observatörsstatus i EU:s byrå för grundläggande rättigheter.</w:t>
      </w:r>
    </w:p>
    <w:p w14:paraId="673809C6" w14:textId="5FF3BF65" w:rsidR="00F42C1C" w:rsidRDefault="005077A4">
      <w:pPr>
        <w:spacing w:after="280" w:afterAutospacing="1"/>
      </w:pPr>
      <w:r>
        <w:rPr>
          <w:b/>
          <w:bCs/>
        </w:rPr>
        <w:t>Bakgrund:</w:t>
      </w:r>
      <w:r>
        <w:t xml:space="preserve"> EU:s byrå för grundläggande rättigheter (FRA) inrättades år 2007 och har som m</w:t>
      </w:r>
      <w:r w:rsidR="002F36A5">
        <w:t>ål att ge berörda myndigheter i</w:t>
      </w:r>
      <w:r>
        <w:t xml:space="preserve"> unionen och dess medlemsstater stöd och sakkunskap i samband med genomförandet av unionslagstiftningen om grundläggande rättigheter.</w:t>
      </w:r>
    </w:p>
    <w:p w14:paraId="673809C8" w14:textId="64B5D6BD" w:rsidR="005077A4" w:rsidRDefault="005077A4">
      <w:pPr>
        <w:spacing w:after="280" w:afterAutospacing="1"/>
        <w:rPr>
          <w:noProof/>
        </w:rPr>
      </w:pPr>
      <w:r>
        <w:t>Vid möte i arbetsgruppen för grundläggande rättigheter (FREMP) den 8 mars presenterade KOM förslaget om att Serbien, tillsammans med Albanien, skulle beviljas observatörsstatus i FRA. Sverige har varit genomgående positivt till förslaget.</w:t>
      </w:r>
    </w:p>
    <w:p w14:paraId="673809C9" w14:textId="77777777" w:rsidR="005077A4" w:rsidRPr="002F36A5" w:rsidRDefault="005077A4" w:rsidP="005077A4">
      <w:pPr>
        <w:pStyle w:val="Rubrik1"/>
        <w:rPr>
          <w:lang w:val="en-US"/>
        </w:rPr>
      </w:pPr>
      <w:bookmarkStart w:id="11" w:name="_Toc454346967"/>
      <w:r w:rsidRPr="002F36A5">
        <w:rPr>
          <w:noProof/>
          <w:lang w:val="en-US"/>
        </w:rPr>
        <w:lastRenderedPageBreak/>
        <w:t>Proposal for a Council Decision on a Union position in the EU-the Republic of Albania Stabilisation and Association Council on the participation of the Republic of Albania as an observer in the European Union Agency for Fundamental Rights' work and the respective modalities, within the framework of Council Regulation (EC) No 168/2007</w:t>
      </w:r>
      <w:bookmarkEnd w:id="11"/>
    </w:p>
    <w:p w14:paraId="673809CA" w14:textId="77777777" w:rsidR="005077A4" w:rsidRDefault="005077A4" w:rsidP="005077A4">
      <w:pPr>
        <w:rPr>
          <w:lang w:val="en-US"/>
        </w:rPr>
      </w:pPr>
      <w:r>
        <w:rPr>
          <w:noProof/>
          <w:lang w:val="en-US"/>
        </w:rPr>
        <w:t>=</w:t>
      </w:r>
      <w:r>
        <w:rPr>
          <w:lang w:val="en-US"/>
        </w:rPr>
        <w:t>Agreement on the text</w:t>
      </w:r>
      <w:r>
        <w:rPr>
          <w:lang w:val="en-US"/>
        </w:rPr>
        <w:br/>
      </w:r>
      <w:r>
        <w:rPr>
          <w:noProof/>
          <w:lang w:val="en-US"/>
        </w:rPr>
        <w:t>9789</w:t>
      </w:r>
      <w:r>
        <w:rPr>
          <w:lang w:val="en-US"/>
        </w:rPr>
        <w:t>/16 FREMP 100 JAI 518 COHOM 58 COWEB 52 9877/16 FREMP 104 JAI 532 COHOM 65 COWEB 54</w:t>
      </w:r>
    </w:p>
    <w:p w14:paraId="673809CB" w14:textId="77777777" w:rsidR="005077A4" w:rsidRDefault="005077A4" w:rsidP="005077A4">
      <w:r>
        <w:rPr>
          <w:b/>
        </w:rPr>
        <w:t>Ansvarigt statsråd</w:t>
      </w:r>
      <w:r>
        <w:rPr>
          <w:b/>
        </w:rPr>
        <w:br/>
      </w:r>
      <w:r>
        <w:rPr>
          <w:noProof/>
        </w:rPr>
        <w:t>Margot</w:t>
      </w:r>
      <w:r>
        <w:t xml:space="preserve"> Wallström</w:t>
      </w:r>
    </w:p>
    <w:p w14:paraId="673809CC" w14:textId="77777777" w:rsidR="005077A4" w:rsidRDefault="005077A4" w:rsidP="005077A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809CD"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809CE"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809CF"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809D0"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809D1"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809D2"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809D3" w14:textId="77777777" w:rsidR="005077A4" w:rsidRDefault="005077A4" w:rsidP="005077A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809D4"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809D6" w14:textId="157BC609" w:rsidR="00F42C1C" w:rsidRDefault="005077A4" w:rsidP="005077A4">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KOM:s förslag om obser</w:t>
      </w:r>
      <w:r w:rsidR="00B62B3A">
        <w:t xml:space="preserve">vatörsstatus för Albanien i </w:t>
      </w:r>
      <w:r w:rsidR="00B62B3A" w:rsidRPr="00B62B3A">
        <w:t>EU:s byrå för grundläggande rättigheter</w:t>
      </w:r>
      <w:r w:rsidR="00B62B3A">
        <w:t>, FRA.</w:t>
      </w:r>
    </w:p>
    <w:p w14:paraId="5DE0B2CA" w14:textId="77777777" w:rsidR="005077A4" w:rsidRDefault="005077A4">
      <w:pPr>
        <w:spacing w:after="280" w:afterAutospacing="1"/>
      </w:pPr>
      <w:r>
        <w:rPr>
          <w:b/>
          <w:bCs/>
        </w:rPr>
        <w:t>Hur regeringen ställer sig till den blivande A-punkten:</w:t>
      </w:r>
      <w:r>
        <w:t xml:space="preserve"> Regeringen avser rösta ja till förslaget.</w:t>
      </w:r>
    </w:p>
    <w:p w14:paraId="673809D9" w14:textId="00C8CF9B" w:rsidR="005077A4" w:rsidRDefault="005077A4">
      <w:pPr>
        <w:spacing w:after="280" w:afterAutospacing="1"/>
        <w:rPr>
          <w:noProof/>
        </w:rPr>
      </w:pPr>
      <w:r>
        <w:rPr>
          <w:b/>
          <w:bCs/>
        </w:rPr>
        <w:t>Bakgrund:</w:t>
      </w:r>
      <w:r>
        <w:t xml:space="preserve"> EU:s byrå för grundläggande rättigheter (FRA) inrättades år 2007 och har som mål att ge berörda myndigheter in unionen och dess medlemsstater stöd och sakkunskap i samband med genomförandet av unionslagstiftningen om grundläggande rättigheter. Den 8 mars i möte för Arbetsgruppen för grundläggande rättigheter (FREMP) presenterade KOM ett förslag om observatörsstatus för Albanien i FRA. </w:t>
      </w:r>
      <w:r w:rsidR="00B62B3A" w:rsidRPr="00B62B3A">
        <w:t>Sverige har varit genomgående positivt till förslaget.</w:t>
      </w:r>
    </w:p>
    <w:p w14:paraId="673809DA" w14:textId="77777777" w:rsidR="005077A4" w:rsidRPr="002F36A5" w:rsidRDefault="005077A4" w:rsidP="005077A4">
      <w:pPr>
        <w:pStyle w:val="Rubrik1"/>
        <w:rPr>
          <w:lang w:val="en-US"/>
        </w:rPr>
      </w:pPr>
      <w:bookmarkStart w:id="12" w:name="_Toc454346968"/>
      <w:r w:rsidRPr="002F36A5">
        <w:rPr>
          <w:noProof/>
          <w:lang w:val="en-US"/>
        </w:rPr>
        <w:t>Draft Regulation of the European Parliament and of the Council on the transfer to the General Court of jurisdiction at first instance in disputes between the European Union and its servants (First reading)</w:t>
      </w:r>
      <w:bookmarkEnd w:id="12"/>
      <w:r w:rsidRPr="002F36A5">
        <w:rPr>
          <w:noProof/>
          <w:lang w:val="en-US"/>
        </w:rPr>
        <w:t xml:space="preserve"> </w:t>
      </w:r>
    </w:p>
    <w:p w14:paraId="673809DB" w14:textId="77777777" w:rsidR="005077A4" w:rsidRDefault="005077A4" w:rsidP="005077A4">
      <w:pPr>
        <w:rPr>
          <w:lang w:val="en-US"/>
        </w:rPr>
      </w:pPr>
      <w:r>
        <w:rPr>
          <w:noProof/>
          <w:lang w:val="en-US"/>
        </w:rPr>
        <w:t>=</w:t>
      </w:r>
      <w:r>
        <w:rPr>
          <w:lang w:val="en-US"/>
        </w:rPr>
        <w:t>Adoption of the legislative act</w:t>
      </w:r>
      <w:r>
        <w:rPr>
          <w:lang w:val="en-US"/>
        </w:rPr>
        <w:br/>
      </w:r>
      <w:r>
        <w:rPr>
          <w:noProof/>
          <w:lang w:val="en-US"/>
        </w:rPr>
        <w:t>9960</w:t>
      </w:r>
      <w:r>
        <w:rPr>
          <w:lang w:val="en-US"/>
        </w:rPr>
        <w:t>/16 CODEC 838 JUR 281 COUR 31 INST 252PE-CONS 22/16 JUR 214 INST 212 COUR 28 CODEC 644</w:t>
      </w:r>
    </w:p>
    <w:p w14:paraId="673809DC" w14:textId="77777777" w:rsidR="005077A4" w:rsidRDefault="005077A4" w:rsidP="005077A4">
      <w:r>
        <w:rPr>
          <w:b/>
        </w:rPr>
        <w:t>Ansvarigt statsråd</w:t>
      </w:r>
      <w:r>
        <w:rPr>
          <w:b/>
        </w:rPr>
        <w:br/>
      </w:r>
      <w:r>
        <w:rPr>
          <w:noProof/>
        </w:rPr>
        <w:t>Ann</w:t>
      </w:r>
      <w:r>
        <w:t xml:space="preserve"> Linde</w:t>
      </w:r>
    </w:p>
    <w:p w14:paraId="673809DD" w14:textId="77777777" w:rsidR="005077A4" w:rsidRDefault="005077A4" w:rsidP="005077A4">
      <w:r>
        <w:rPr>
          <w:b/>
        </w:rPr>
        <w:fldChar w:fldCharType="begin"/>
      </w:r>
      <w:r>
        <w:rPr>
          <w:b/>
        </w:rPr>
        <w:instrText xml:space="preserve"> IF "2016-05-18"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2016-05-18</w:instrText>
      </w:r>
    </w:p>
    <w:p w14:paraId="673809DE"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2016-05-18</w:instrText>
      </w:r>
    </w:p>
    <w:p w14:paraId="673809DF"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2016-05-18</w:instrText>
      </w:r>
    </w:p>
    <w:p w14:paraId="673809E0" w14:textId="77777777" w:rsidR="005077A4" w:rsidRDefault="005077A4" w:rsidP="005077A4">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2016-05-18</w:t>
      </w:r>
    </w:p>
    <w:p w14:paraId="673809EA" w14:textId="14EE011B" w:rsidR="00F42C1C" w:rsidRDefault="005077A4" w:rsidP="005077A4">
      <w:r>
        <w:rPr>
          <w:b/>
        </w:rPr>
        <w:fldChar w:fldCharType="end"/>
      </w:r>
      <w:r w:rsidRPr="00B44CE2">
        <w:rPr>
          <w:b/>
        </w:rPr>
        <w:t>Annotering</w:t>
      </w:r>
      <w:r>
        <w:rPr>
          <w:b/>
        </w:rPr>
        <w:br/>
      </w:r>
      <w:r>
        <w:rPr>
          <w:b/>
          <w:bCs/>
        </w:rPr>
        <w:t>Avsikt med behandlingen i rådet:</w:t>
      </w:r>
      <w:r>
        <w:t xml:space="preserve"> Förslag till förordning om att till tribunalen överföra personaldomstolens behörighet att i första instans avgöra tvister mellan unionen och dess anställda. </w:t>
      </w:r>
    </w:p>
    <w:p w14:paraId="673809EB" w14:textId="09AD2C79" w:rsidR="00F42C1C" w:rsidRDefault="005077A4">
      <w:pPr>
        <w:spacing w:after="280" w:afterAutospacing="1"/>
      </w:pPr>
      <w:r>
        <w:rPr>
          <w:b/>
          <w:bCs/>
        </w:rPr>
        <w:t>Hur regeringen ställer sig till den blivande A-punkten:</w:t>
      </w:r>
      <w:r>
        <w:t xml:space="preserve"> Regeringen avser godkänna denna punkt.</w:t>
      </w:r>
    </w:p>
    <w:p w14:paraId="673809ED" w14:textId="49D1C8E8" w:rsidR="005077A4" w:rsidRDefault="005077A4">
      <w:pPr>
        <w:spacing w:after="280" w:afterAutospacing="1"/>
        <w:rPr>
          <w:noProof/>
        </w:rPr>
      </w:pPr>
      <w:r>
        <w:rPr>
          <w:b/>
          <w:bCs/>
        </w:rPr>
        <w:t>Bakgrund:</w:t>
      </w:r>
      <w:r>
        <w:t xml:space="preserve"> Coreper kom den 11 december 2014 överens om ett förslag från domstolen att stegvis</w:t>
      </w:r>
      <w:r w:rsidR="00B62B3A">
        <w:t>,</w:t>
      </w:r>
      <w:r>
        <w:t xml:space="preserve"> i tre etapper</w:t>
      </w:r>
      <w:r w:rsidR="00B62B3A">
        <w:t>,</w:t>
      </w:r>
      <w:r>
        <w:t xml:space="preserve"> åren 2015-2019 utöka a</w:t>
      </w:r>
      <w:r w:rsidR="00B62B3A">
        <w:t>ntalet domare vid tribunalen till</w:t>
      </w:r>
      <w:r>
        <w:t xml:space="preserve"> totalt 28, varav 7 ska tillföras genom att man lägger ned personaldomstolen och överför dess uppgifter till </w:t>
      </w:r>
      <w:r>
        <w:lastRenderedPageBreak/>
        <w:t xml:space="preserve">tribunalen. Överenskommelsen om själva utökningen av antalet domare formaliserades genom antagandet av Europaparlamentets och rådets förordning (EU, Euratom) 2015/2422 av den 16 december 2015 om ändring av protokoll nr 3 om stadgan för Europeiska unionens domstol. Enligt skäl 9 till denna förordning bör i september 2016 behörigheten att döma i första instans i Europeiska unionens personalmål och de sju domartjänsterna i personaldomstolen överföras till tribunalen, på grundval av den lagstiftningsbegäran med förslag till förordning som redan tillkännagetts av domstolen. Vid corepermötet den 20 april gavs rådet mandat att föra fyrpartssamtal med Europaparlamentet, kommissionen och domstolen om förslaget till förordning, varigenom personaldomstolen upphör och dess behörighet överförs till tribunalen. Europaparlamentet godkände den 9 juni 2016 </w:t>
      </w:r>
      <w:r w:rsidR="0060486C">
        <w:t xml:space="preserve">förslaget vid första läsningen. </w:t>
      </w:r>
      <w:r>
        <w:t>Coreper uppmanas därför att bekräfta sitt godkännande och att föreslå rådet att som en A-punkt på dagordningen vid ett kommande möte godkänna Europaparlamentets ståndpunkt varvid den brittiska delegationen röstar emot. Om rådet godkänner Europaparlamentets ståndpunkt är lagstiftningsakten antagen.</w:t>
      </w:r>
    </w:p>
    <w:p w14:paraId="673809EE" w14:textId="77777777" w:rsidR="005077A4" w:rsidRPr="002F36A5" w:rsidRDefault="005077A4" w:rsidP="005077A4">
      <w:pPr>
        <w:pStyle w:val="Rubrik1"/>
        <w:rPr>
          <w:lang w:val="en-US"/>
        </w:rPr>
      </w:pPr>
      <w:bookmarkStart w:id="13" w:name="_Toc454346969"/>
      <w:r w:rsidRPr="002F36A5">
        <w:rPr>
          <w:noProof/>
          <w:lang w:val="en-US"/>
        </w:rPr>
        <w:t>Draft Council implementing decision on subjecting 1 phenyl 2 (pyrrolidin 1 yl)pentan 1 one (</w:t>
      </w:r>
      <w:r>
        <w:rPr>
          <w:noProof/>
        </w:rPr>
        <w:t>α</w:t>
      </w:r>
      <w:r w:rsidRPr="002F36A5">
        <w:rPr>
          <w:noProof/>
          <w:lang w:val="en-US"/>
        </w:rPr>
        <w:t xml:space="preserve"> pyrrolidinovalerophenone, </w:t>
      </w:r>
      <w:r>
        <w:rPr>
          <w:noProof/>
        </w:rPr>
        <w:t>α</w:t>
      </w:r>
      <w:r w:rsidRPr="002F36A5">
        <w:rPr>
          <w:noProof/>
          <w:lang w:val="en-US"/>
        </w:rPr>
        <w:t xml:space="preserve"> PVP) to control measures</w:t>
      </w:r>
      <w:bookmarkEnd w:id="13"/>
    </w:p>
    <w:p w14:paraId="673809EF" w14:textId="5C87882F" w:rsidR="005077A4" w:rsidRDefault="005077A4" w:rsidP="005077A4">
      <w:pPr>
        <w:rPr>
          <w:lang w:val="en-US"/>
        </w:rPr>
      </w:pPr>
      <w:r>
        <w:rPr>
          <w:noProof/>
          <w:lang w:val="en-US"/>
        </w:rPr>
        <w:t>10337</w:t>
      </w:r>
      <w:r>
        <w:rPr>
          <w:lang w:val="en-US"/>
        </w:rPr>
        <w:t>/16 CORDROGUE 33 SAN 266</w:t>
      </w:r>
      <w:r w:rsidR="00116A6D">
        <w:rPr>
          <w:lang w:val="en-US"/>
        </w:rPr>
        <w:t xml:space="preserve"> </w:t>
      </w:r>
      <w:r>
        <w:rPr>
          <w:lang w:val="en-US"/>
        </w:rPr>
        <w:t>5550/16 CORDROGUE 7 SAN 28+ REV 1 (cs)</w:t>
      </w:r>
    </w:p>
    <w:p w14:paraId="673809F0" w14:textId="77777777" w:rsidR="005077A4" w:rsidRPr="002F36A5" w:rsidRDefault="005077A4" w:rsidP="005077A4">
      <w:pPr>
        <w:rPr>
          <w:lang w:val="en-US"/>
        </w:rPr>
      </w:pPr>
      <w:r w:rsidRPr="002F36A5">
        <w:rPr>
          <w:b/>
          <w:lang w:val="en-US"/>
        </w:rPr>
        <w:t>Ansvarigt statsråd</w:t>
      </w:r>
      <w:r w:rsidRPr="002F36A5">
        <w:rPr>
          <w:b/>
          <w:lang w:val="en-US"/>
        </w:rPr>
        <w:br/>
      </w:r>
      <w:r w:rsidRPr="002F36A5">
        <w:rPr>
          <w:noProof/>
          <w:lang w:val="en-US"/>
        </w:rPr>
        <w:t>Gabriel</w:t>
      </w:r>
      <w:r w:rsidRPr="002F36A5">
        <w:rPr>
          <w:lang w:val="en-US"/>
        </w:rPr>
        <w:t xml:space="preserve"> Wikström</w:t>
      </w:r>
    </w:p>
    <w:p w14:paraId="673809F1" w14:textId="77777777" w:rsidR="005077A4" w:rsidRDefault="005077A4" w:rsidP="00116A6D">
      <w:pPr>
        <w:ind w:left="709"/>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809F2" w14:textId="77777777" w:rsidR="005077A4" w:rsidRDefault="005077A4" w:rsidP="00116A6D">
      <w:pPr>
        <w:ind w:left="709"/>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809F3" w14:textId="77777777" w:rsidR="005077A4" w:rsidRDefault="005077A4" w:rsidP="00116A6D">
      <w:pPr>
        <w:ind w:left="709"/>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809F4" w14:textId="77777777" w:rsidR="005077A4" w:rsidRDefault="005077A4" w:rsidP="00116A6D">
      <w:pPr>
        <w:ind w:left="709"/>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809F5" w14:textId="77777777" w:rsidR="005077A4" w:rsidRDefault="005077A4" w:rsidP="00116A6D">
      <w:pPr>
        <w:ind w:left="709"/>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809F6" w14:textId="77777777" w:rsidR="005077A4" w:rsidRDefault="005077A4" w:rsidP="00116A6D">
      <w:pPr>
        <w:ind w:left="709"/>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809F7" w14:textId="77777777" w:rsidR="005077A4" w:rsidRDefault="005077A4" w:rsidP="00116A6D">
      <w:pPr>
        <w:ind w:left="709"/>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809F8" w14:textId="77777777" w:rsidR="005077A4" w:rsidRDefault="005077A4" w:rsidP="00116A6D">
      <w:pPr>
        <w:ind w:left="709"/>
      </w:pPr>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809F9" w14:textId="77777777" w:rsidR="005077A4" w:rsidRDefault="005077A4" w:rsidP="00116A6D">
      <w:pPr>
        <w:ind w:left="709"/>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AB9756D" w14:textId="6F7FB633" w:rsidR="00116A6D" w:rsidRPr="00116A6D" w:rsidRDefault="005077A4" w:rsidP="00116A6D">
      <w:pPr>
        <w:pStyle w:val="Normalwebb"/>
        <w:shd w:val="clear" w:color="auto" w:fill="FFFFFF"/>
        <w:spacing w:after="240" w:afterAutospacing="0"/>
        <w:ind w:left="709"/>
        <w:textAlignment w:val="top"/>
        <w:rPr>
          <w:rFonts w:eastAsia="Calibri"/>
          <w:sz w:val="22"/>
          <w:szCs w:val="22"/>
          <w:lang w:eastAsia="en-US"/>
        </w:rPr>
      </w:pPr>
      <w:r>
        <w:instrText>"</w:instrText>
      </w:r>
      <w:r>
        <w:rPr>
          <w:b/>
        </w:rPr>
        <w:instrText xml:space="preserve"> </w:instrText>
      </w:r>
      <w:r>
        <w:rPr>
          <w:b/>
        </w:rPr>
        <w:fldChar w:fldCharType="end"/>
      </w:r>
      <w:r w:rsidR="00116A6D">
        <w:rPr>
          <w:b/>
        </w:rPr>
        <w:t>Annoteri</w:t>
      </w:r>
      <w:r w:rsidRPr="00B44CE2">
        <w:rPr>
          <w:b/>
        </w:rPr>
        <w:t>ng</w:t>
      </w:r>
      <w:r>
        <w:rPr>
          <w:b/>
        </w:rPr>
        <w:br/>
      </w:r>
      <w:r w:rsidR="00116A6D" w:rsidRPr="00116A6D">
        <w:rPr>
          <w:rFonts w:eastAsia="Calibri"/>
          <w:b/>
          <w:sz w:val="22"/>
          <w:szCs w:val="22"/>
          <w:lang w:eastAsia="en-US"/>
        </w:rPr>
        <w:t>Avsikt med behandlingen i rådet</w:t>
      </w:r>
      <w:r w:rsidR="00116A6D" w:rsidRPr="00116A6D">
        <w:rPr>
          <w:rFonts w:eastAsia="Calibri"/>
          <w:sz w:val="22"/>
          <w:szCs w:val="22"/>
          <w:lang w:eastAsia="en-US"/>
        </w:rPr>
        <w:t>:</w:t>
      </w:r>
      <w:r w:rsidR="00116A6D">
        <w:rPr>
          <w:rFonts w:eastAsia="Calibri"/>
          <w:sz w:val="22"/>
          <w:szCs w:val="22"/>
          <w:lang w:eastAsia="en-US"/>
        </w:rPr>
        <w:t xml:space="preserve"> </w:t>
      </w:r>
      <w:r w:rsidR="00116A6D" w:rsidRPr="00116A6D">
        <w:rPr>
          <w:rFonts w:eastAsia="Calibri"/>
          <w:sz w:val="22"/>
          <w:szCs w:val="22"/>
          <w:lang w:eastAsia="en-US"/>
        </w:rPr>
        <w:t>Rådet föreslås anta att denna nya psykoaktiva substans blir föremål för kontrollåtgärder</w:t>
      </w:r>
    </w:p>
    <w:p w14:paraId="57DA88A6" w14:textId="117DA8BC" w:rsidR="00116A6D" w:rsidRPr="00116A6D" w:rsidRDefault="00116A6D" w:rsidP="00116A6D">
      <w:pPr>
        <w:pStyle w:val="Normalwebb"/>
        <w:shd w:val="clear" w:color="auto" w:fill="FFFFFF"/>
        <w:spacing w:after="240" w:afterAutospacing="0"/>
        <w:ind w:left="709"/>
        <w:textAlignment w:val="top"/>
        <w:rPr>
          <w:rFonts w:eastAsia="Calibri"/>
          <w:sz w:val="22"/>
          <w:szCs w:val="22"/>
          <w:lang w:eastAsia="en-US"/>
        </w:rPr>
      </w:pPr>
      <w:r w:rsidRPr="00116A6D">
        <w:rPr>
          <w:rFonts w:eastAsia="Calibri"/>
          <w:b/>
          <w:sz w:val="22"/>
          <w:szCs w:val="22"/>
          <w:lang w:eastAsia="en-US"/>
        </w:rPr>
        <w:t>Hur regeringen ställer sig till den blivande A-punkten</w:t>
      </w:r>
      <w:r w:rsidRPr="00116A6D">
        <w:rPr>
          <w:rFonts w:eastAsia="Calibri"/>
          <w:sz w:val="22"/>
          <w:szCs w:val="22"/>
          <w:lang w:eastAsia="en-US"/>
        </w:rPr>
        <w:t>:</w:t>
      </w:r>
      <w:r>
        <w:rPr>
          <w:rFonts w:eastAsia="Calibri"/>
          <w:sz w:val="22"/>
          <w:szCs w:val="22"/>
          <w:lang w:eastAsia="en-US"/>
        </w:rPr>
        <w:t xml:space="preserve"> </w:t>
      </w:r>
      <w:r w:rsidRPr="00116A6D">
        <w:rPr>
          <w:rFonts w:eastAsia="Calibri"/>
          <w:sz w:val="22"/>
          <w:szCs w:val="22"/>
          <w:lang w:eastAsia="en-US"/>
        </w:rPr>
        <w:t>Regeringen avser rösta ja till kontrollåtgärder</w:t>
      </w:r>
    </w:p>
    <w:p w14:paraId="673809FA" w14:textId="1D47DF98" w:rsidR="005077A4" w:rsidRDefault="00116A6D" w:rsidP="00116A6D">
      <w:pPr>
        <w:pStyle w:val="Normalwebb"/>
        <w:shd w:val="clear" w:color="auto" w:fill="FFFFFF"/>
        <w:ind w:left="709"/>
        <w:textAlignment w:val="top"/>
      </w:pPr>
      <w:r w:rsidRPr="00116A6D">
        <w:rPr>
          <w:rFonts w:eastAsia="Calibri"/>
          <w:b/>
          <w:sz w:val="22"/>
          <w:szCs w:val="22"/>
          <w:lang w:eastAsia="en-US"/>
        </w:rPr>
        <w:t>Bakgrund:</w:t>
      </w:r>
      <w:r>
        <w:rPr>
          <w:rFonts w:eastAsia="Calibri"/>
          <w:sz w:val="22"/>
          <w:szCs w:val="22"/>
          <w:lang w:eastAsia="en-US"/>
        </w:rPr>
        <w:t xml:space="preserve"> </w:t>
      </w:r>
      <w:r w:rsidRPr="00116A6D">
        <w:rPr>
          <w:rFonts w:eastAsia="Calibri"/>
          <w:sz w:val="22"/>
          <w:szCs w:val="22"/>
          <w:lang w:eastAsia="en-US"/>
        </w:rPr>
        <w:t>Substansen anses farlig för folkhälsan</w:t>
      </w:r>
    </w:p>
    <w:p w14:paraId="673809FB" w14:textId="77777777" w:rsidR="005077A4" w:rsidRPr="002F36A5" w:rsidRDefault="005077A4" w:rsidP="005077A4">
      <w:pPr>
        <w:pStyle w:val="Rubrik1"/>
        <w:rPr>
          <w:lang w:val="en-US"/>
        </w:rPr>
      </w:pPr>
      <w:bookmarkStart w:id="14" w:name="_Toc454346970"/>
      <w:r w:rsidRPr="002F36A5">
        <w:rPr>
          <w:noProof/>
          <w:lang w:val="en-US"/>
        </w:rPr>
        <w:t>Report of the Netherlands Presidency on the main achievements at EU level in the field of civil protection</w:t>
      </w:r>
      <w:bookmarkEnd w:id="14"/>
    </w:p>
    <w:p w14:paraId="673809FC" w14:textId="26D46F5D" w:rsidR="005077A4" w:rsidRPr="002F36A5" w:rsidRDefault="005077A4" w:rsidP="005077A4">
      <w:r w:rsidRPr="002F36A5">
        <w:rPr>
          <w:noProof/>
        </w:rPr>
        <w:t>10019</w:t>
      </w:r>
      <w:r w:rsidRPr="002F36A5">
        <w:t>/16 PROCIV 45 JAI 553</w:t>
      </w:r>
    </w:p>
    <w:p w14:paraId="673809FD" w14:textId="77777777" w:rsidR="005077A4" w:rsidRDefault="005077A4" w:rsidP="005077A4">
      <w:r>
        <w:rPr>
          <w:b/>
        </w:rPr>
        <w:t>Ansvarigt statsråd</w:t>
      </w:r>
      <w:r>
        <w:rPr>
          <w:b/>
        </w:rPr>
        <w:br/>
      </w:r>
      <w:r>
        <w:rPr>
          <w:noProof/>
        </w:rPr>
        <w:t>Anders</w:t>
      </w:r>
      <w:r>
        <w:t xml:space="preserve"> Ygeman</w:t>
      </w:r>
    </w:p>
    <w:p w14:paraId="673809FE" w14:textId="77777777" w:rsidR="005077A4" w:rsidRDefault="005077A4" w:rsidP="005077A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809FF"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80A00"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80A01"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80A02"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80A03"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80A04"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80A05" w14:textId="77777777" w:rsidR="005077A4" w:rsidRDefault="005077A4" w:rsidP="005077A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80A06"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80A08" w14:textId="0145691B" w:rsidR="00F42C1C" w:rsidRDefault="005077A4" w:rsidP="005077A4">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Rådet föreslås notera rapporten.  </w:t>
      </w:r>
    </w:p>
    <w:p w14:paraId="67380A09" w14:textId="5EDDEC3A" w:rsidR="00F42C1C" w:rsidRDefault="005077A4">
      <w:pPr>
        <w:spacing w:after="280" w:afterAutospacing="1"/>
      </w:pPr>
      <w:r>
        <w:rPr>
          <w:b/>
          <w:bCs/>
        </w:rPr>
        <w:t>Hur regeringen ställer sig till den blivande a-punkten:</w:t>
      </w:r>
      <w:r>
        <w:t xml:space="preserve"> Regeringen avser rösta ja till att rådet noterar rapporten. </w:t>
      </w:r>
    </w:p>
    <w:p w14:paraId="67380A0A" w14:textId="1C48E652" w:rsidR="00F42C1C" w:rsidRDefault="005077A4">
      <w:pPr>
        <w:spacing w:after="280" w:afterAutospacing="1"/>
      </w:pPr>
      <w:r>
        <w:rPr>
          <w:b/>
          <w:bCs/>
        </w:rPr>
        <w:t>Bakgrund:</w:t>
      </w:r>
      <w:r>
        <w:t xml:space="preserve"> Rapporten beskriver de frågor som har hanterats inom området civilsydd under vårens nederländska ordförandeskap. Det centrala temat för arbetet inom rådsarbetsgruppen för civilksydd (PROCIV) har varit katastrofförebyggande åtgärder inom områdena skydd av kritisk infrastruktur och översvämningar. Förebyggande åtgärder utgör en betydande del av </w:t>
      </w:r>
      <w:r>
        <w:lastRenderedPageBreak/>
        <w:t xml:space="preserve">krisberedskapen. Under våren har en hel del arbete inom civilskydd också berört hantering av flyktingsituationen, bl.a. genom aktivering av EU:s civilksyddsmekanism. </w:t>
      </w:r>
    </w:p>
    <w:p w14:paraId="67380A0D" w14:textId="77777777" w:rsidR="005077A4" w:rsidRPr="002F36A5" w:rsidRDefault="005077A4" w:rsidP="005077A4">
      <w:pPr>
        <w:pStyle w:val="Rubrik1"/>
        <w:rPr>
          <w:lang w:val="en-US"/>
        </w:rPr>
      </w:pPr>
      <w:bookmarkStart w:id="15" w:name="_Toc454346971"/>
      <w:r w:rsidRPr="002F36A5">
        <w:rPr>
          <w:noProof/>
          <w:lang w:val="en-US"/>
        </w:rPr>
        <w:t>Council Decision establishing the position to be adopted on behalf of the European Union with regard to certain decisions to be adopted in the framework of the International Olive Council (IOC)</w:t>
      </w:r>
      <w:bookmarkEnd w:id="15"/>
    </w:p>
    <w:p w14:paraId="67380A0E" w14:textId="4B00E82B" w:rsidR="005077A4" w:rsidRDefault="005077A4" w:rsidP="005077A4">
      <w:pPr>
        <w:rPr>
          <w:lang w:val="en-US"/>
        </w:rPr>
      </w:pPr>
      <w:r>
        <w:rPr>
          <w:noProof/>
          <w:lang w:val="en-US"/>
        </w:rPr>
        <w:t>=</w:t>
      </w:r>
      <w:r>
        <w:rPr>
          <w:lang w:val="en-US"/>
        </w:rPr>
        <w:t>Approval 10131/16 PROBA 10 RELEX 510 AGRI 324 10013/16 PROBA 9 RELEX 498 AGRI 318+ ADD 1</w:t>
      </w:r>
    </w:p>
    <w:p w14:paraId="67380A0F" w14:textId="3B8EAFF5" w:rsidR="005077A4" w:rsidRDefault="005077A4" w:rsidP="005077A4">
      <w:r>
        <w:rPr>
          <w:b/>
        </w:rPr>
        <w:t>Ansvarigt statsråd</w:t>
      </w:r>
      <w:r>
        <w:rPr>
          <w:b/>
        </w:rPr>
        <w:br/>
      </w:r>
      <w:r>
        <w:rPr>
          <w:noProof/>
        </w:rPr>
        <w:t>Sven-Erik</w:t>
      </w:r>
      <w:r>
        <w:t xml:space="preserve"> Bucht</w:t>
      </w:r>
    </w:p>
    <w:p w14:paraId="67380A10" w14:textId="77777777" w:rsidR="005077A4" w:rsidRDefault="005077A4" w:rsidP="005077A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80A11"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80A12"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80A13"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80A14"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80A15"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80A16"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80A17" w14:textId="77777777" w:rsidR="005077A4" w:rsidRDefault="005077A4" w:rsidP="005077A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80A18"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80A1A" w14:textId="48B3C3BD" w:rsidR="00F42C1C" w:rsidRDefault="005077A4" w:rsidP="005077A4">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Utkast till beslut om tekniska standarder för olivolja.</w:t>
      </w:r>
    </w:p>
    <w:p w14:paraId="67380A1B" w14:textId="336915EF" w:rsidR="00F42C1C" w:rsidRDefault="005077A4">
      <w:pPr>
        <w:spacing w:after="280" w:afterAutospacing="1"/>
      </w:pPr>
      <w:r>
        <w:rPr>
          <w:b/>
          <w:bCs/>
        </w:rPr>
        <w:t>Hur regeringen ställer sig till den blivande A-punkten:</w:t>
      </w:r>
      <w:r>
        <w:t xml:space="preserve"> Regeringen kan stödja förslaget.</w:t>
      </w:r>
    </w:p>
    <w:p w14:paraId="67380A1D" w14:textId="021B1A66" w:rsidR="005077A4" w:rsidRDefault="005077A4">
      <w:pPr>
        <w:spacing w:after="280" w:afterAutospacing="1"/>
        <w:rPr>
          <w:noProof/>
        </w:rPr>
      </w:pPr>
      <w:r>
        <w:rPr>
          <w:b/>
          <w:bCs/>
        </w:rPr>
        <w:t>Bakgrund:</w:t>
      </w:r>
      <w:r>
        <w:t xml:space="preserve"> I Internationella Olivoljerådet har nya tekniska standarder utarbetats. Dessa genomförs i EU genom beslutet.</w:t>
      </w:r>
    </w:p>
    <w:p w14:paraId="67380A1E" w14:textId="77777777" w:rsidR="005077A4" w:rsidRPr="002F36A5" w:rsidRDefault="005077A4" w:rsidP="005077A4">
      <w:pPr>
        <w:pStyle w:val="Rubrik1"/>
        <w:rPr>
          <w:lang w:val="en-US"/>
        </w:rPr>
      </w:pPr>
      <w:bookmarkStart w:id="16" w:name="_Toc454346972"/>
      <w:r w:rsidRPr="002F36A5">
        <w:rPr>
          <w:noProof/>
          <w:lang w:val="en-US"/>
        </w:rPr>
        <w:t>Draft Council Decision on the signing and the conclusion of the Agreement in the form of an Exchange of Letters between the European Union and the Islamic Republic of Afghanistan on the extension of the agreement on the status of the European Union Police Mission in Afghanistan (EUPOL AFGHANISTAN)</w:t>
      </w:r>
      <w:bookmarkEnd w:id="16"/>
    </w:p>
    <w:p w14:paraId="67380A1F" w14:textId="4FB1500E" w:rsidR="005077A4" w:rsidRDefault="005077A4" w:rsidP="005077A4">
      <w:pPr>
        <w:rPr>
          <w:lang w:val="en-US"/>
        </w:rPr>
      </w:pPr>
      <w:r>
        <w:rPr>
          <w:noProof/>
          <w:lang w:val="en-US"/>
        </w:rPr>
        <w:t>=</w:t>
      </w:r>
      <w:r>
        <w:rPr>
          <w:lang w:val="en-US"/>
        </w:rPr>
        <w:t>Adoption</w:t>
      </w:r>
      <w:r>
        <w:rPr>
          <w:lang w:val="en-US"/>
        </w:rPr>
        <w:br/>
      </w:r>
      <w:r>
        <w:rPr>
          <w:noProof/>
          <w:lang w:val="en-US"/>
        </w:rPr>
        <w:t>10090</w:t>
      </w:r>
      <w:r>
        <w:rPr>
          <w:lang w:val="en-US"/>
        </w:rPr>
        <w:t>/16 CORLX 238 CSDP/PSDC 333 JAI 560 COASI 127EUPOL/AFG 8 CIVCOM 114 RELEX 503 CSC 173 9861/16 CORLX 229 CSDP/PSDC 314 JAI 530 COASI 124EUPOL/AFG 7 CIVCOM 109 RELEX 479 CSC 170</w:t>
      </w:r>
    </w:p>
    <w:p w14:paraId="67380A20" w14:textId="77777777" w:rsidR="005077A4" w:rsidRDefault="005077A4" w:rsidP="005077A4">
      <w:r>
        <w:rPr>
          <w:b/>
        </w:rPr>
        <w:t>Ansvarigt statsråd</w:t>
      </w:r>
      <w:r>
        <w:rPr>
          <w:b/>
        </w:rPr>
        <w:br/>
      </w:r>
      <w:r>
        <w:rPr>
          <w:noProof/>
        </w:rPr>
        <w:t>Margot</w:t>
      </w:r>
      <w:r>
        <w:t xml:space="preserve"> Wallström</w:t>
      </w:r>
    </w:p>
    <w:p w14:paraId="67380A21" w14:textId="77777777" w:rsidR="005077A4" w:rsidRDefault="005077A4" w:rsidP="005077A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80A22"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80A23"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80A24"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80A25"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80A26"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80A27"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80A28" w14:textId="77777777" w:rsidR="005077A4" w:rsidRDefault="005077A4" w:rsidP="005077A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80A29"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80A2B" w14:textId="5A46E53C" w:rsidR="00F42C1C" w:rsidRDefault="005077A4" w:rsidP="005077A4">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Ministerrådet förväntas besluta om förlängning av avtal mellan EU och Afghanistan om EUPOL Afghanistans status med ett år. </w:t>
      </w:r>
    </w:p>
    <w:p w14:paraId="67380A2C" w14:textId="77777777" w:rsidR="00F42C1C" w:rsidRDefault="005077A4">
      <w:pPr>
        <w:spacing w:after="280" w:afterAutospacing="1"/>
      </w:pPr>
      <w:r>
        <w:rPr>
          <w:b/>
          <w:bCs/>
        </w:rPr>
        <w:t>Hur regeringen ställer sig till den blivande A-punkten:</w:t>
      </w:r>
      <w:r>
        <w:t xml:space="preserve"> Regeringen avser rösta ja</w:t>
      </w:r>
      <w:r>
        <w:rPr>
          <w:b/>
          <w:bCs/>
        </w:rPr>
        <w:t>.</w:t>
      </w:r>
    </w:p>
    <w:p w14:paraId="67380A2E" w14:textId="63465D07" w:rsidR="005077A4" w:rsidRDefault="005077A4">
      <w:pPr>
        <w:spacing w:after="280" w:afterAutospacing="1"/>
        <w:rPr>
          <w:noProof/>
        </w:rPr>
      </w:pPr>
      <w:r>
        <w:rPr>
          <w:b/>
          <w:bCs/>
        </w:rPr>
        <w:t>Bakgrund:</w:t>
      </w:r>
      <w:r>
        <w:t xml:space="preserve"> Europeiska unionens råd fattade den 30 maj 2007 beslut (2007/369/GUSP) om att inrätta en polisinsats i Afghanistan (EUPOL Afghanistan). Målet för insatsen är att bidra till bildandet av en effektiv och hållbar afghansk poliskår som arbetar i enlighet med rättsstatens regler och med respekt för de mänskliga rättigheterna. Insatsens mandat förlängdes senast genom rådsbeslut (2014/922/GUSP) till och med den 31 december 2016. Efter det att mandatet har gått ut beräknas avslutandet av insatsen ta upp till nio månader i anspråk. Genom avtal mellan EU och Afghanistan från den 14 oktober 2010 regleras insatsens status, bl.a. insatspersonalens juridiska status i värdlandet. Detta avtal löper ut den 13 oktober 2016. Rådet föreslås nu godkänna att avtalet om insatsens status förlängs med ytterligare ett år så att mandatet kan slutföras och uppdraget avvecklas. Avtalet ingås genom skriftväxling. </w:t>
      </w:r>
    </w:p>
    <w:p w14:paraId="67380A2F" w14:textId="77777777" w:rsidR="005077A4" w:rsidRPr="002F36A5" w:rsidRDefault="005077A4" w:rsidP="005077A4">
      <w:pPr>
        <w:pStyle w:val="Rubrik1"/>
        <w:rPr>
          <w:lang w:val="en-US"/>
        </w:rPr>
      </w:pPr>
      <w:bookmarkStart w:id="17" w:name="_Toc454346973"/>
      <w:r w:rsidRPr="002F36A5">
        <w:rPr>
          <w:noProof/>
          <w:lang w:val="en-US"/>
        </w:rPr>
        <w:lastRenderedPageBreak/>
        <w:t>Draft Council Decision updating the list of persons, groups and entities subject to Articles 2, 3 and 4 of Common Position 2001/931/CFSP on the application of specific measures to combat terrorism, and repealing Decision 2015/2430/CFSP and</w:t>
      </w:r>
      <w:r w:rsidRPr="002F36A5">
        <w:rPr>
          <w:noProof/>
          <w:lang w:val="en-US"/>
        </w:rPr>
        <w:br/>
        <w:t>Draft Council Implementing Regulation implementing Article 2(3) of Regulation (EC) No 2580/2001 on specific restrictive measures directed against certain persons and entities with a view to combating terrorism, and repealing Implementing Regulation (EU) No 2015/2425</w:t>
      </w:r>
      <w:bookmarkEnd w:id="17"/>
    </w:p>
    <w:p w14:paraId="67380A30" w14:textId="0E15F77F" w:rsidR="005077A4" w:rsidRDefault="005077A4" w:rsidP="005077A4">
      <w:pPr>
        <w:rPr>
          <w:lang w:val="en-US"/>
        </w:rPr>
      </w:pPr>
      <w:r>
        <w:rPr>
          <w:noProof/>
          <w:lang w:val="en-US"/>
        </w:rPr>
        <w:t>=</w:t>
      </w:r>
      <w:r>
        <w:rPr>
          <w:lang w:val="en-US"/>
        </w:rPr>
        <w:t>Adoption</w:t>
      </w:r>
      <w:r>
        <w:rPr>
          <w:lang w:val="en-US"/>
        </w:rPr>
        <w:br/>
      </w:r>
      <w:r>
        <w:rPr>
          <w:noProof/>
          <w:lang w:val="en-US"/>
        </w:rPr>
        <w:t>10272</w:t>
      </w:r>
      <w:r>
        <w:rPr>
          <w:lang w:val="en-US"/>
        </w:rPr>
        <w:t>/16 CORLX 249 COTER 69 CFSP/PESC 491 RELEX 524 FIN 370+ ADD 1+ ADD 1 COR 110263/16 CORLX 246 COTER 66 CFSP/PESC 488 RELEX 520 FIN 366 10264/16 CORLX 247 COTER 67 CFSP/PESC 489 RELEX 521 FIN 367</w:t>
      </w:r>
    </w:p>
    <w:p w14:paraId="67380A31" w14:textId="77777777" w:rsidR="005077A4" w:rsidRDefault="005077A4" w:rsidP="005077A4">
      <w:r>
        <w:rPr>
          <w:b/>
        </w:rPr>
        <w:t>Ansvarigt statsråd</w:t>
      </w:r>
      <w:r>
        <w:rPr>
          <w:b/>
        </w:rPr>
        <w:br/>
      </w:r>
      <w:r>
        <w:rPr>
          <w:noProof/>
        </w:rPr>
        <w:t>Margot</w:t>
      </w:r>
      <w:r>
        <w:t xml:space="preserve"> Wallström</w:t>
      </w:r>
    </w:p>
    <w:p w14:paraId="67380A32" w14:textId="77777777" w:rsidR="005077A4" w:rsidRDefault="005077A4" w:rsidP="005077A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80A33"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80A34"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80A35"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80A36"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80A37"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80A38"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80A39" w14:textId="77777777" w:rsidR="005077A4" w:rsidRDefault="005077A4" w:rsidP="005077A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80A3A"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80A3C" w14:textId="18CDF2CA" w:rsidR="00F42C1C" w:rsidRDefault="005077A4" w:rsidP="005077A4">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Ministerrådet förväntas besluta att förteckningen enligt den gemensamma ståndpunkten 2001/931/GUSP över personer, grupper eller enheter som är föremål för särskilda åtgärder i syfte att bekämpa terrorism ska lämnas oförändrad. För att operationalisera rådsbeslutet förväntas ministerrådet även besl</w:t>
      </w:r>
      <w:r w:rsidR="0060486C">
        <w:t>uta om att anta en genomförande</w:t>
      </w:r>
      <w:r>
        <w:t>förordning.</w:t>
      </w:r>
    </w:p>
    <w:p w14:paraId="67380A3D" w14:textId="1A923B89" w:rsidR="00F42C1C" w:rsidRDefault="005077A4">
      <w:pPr>
        <w:spacing w:after="280" w:afterAutospacing="1"/>
      </w:pPr>
      <w:r>
        <w:rPr>
          <w:b/>
          <w:bCs/>
        </w:rPr>
        <w:t>Hur regeringen ställer sig till den blivande A-punkten:</w:t>
      </w:r>
      <w:r>
        <w:t xml:space="preserve"> Regeringen avser rösta ja.</w:t>
      </w:r>
    </w:p>
    <w:p w14:paraId="67380A3F" w14:textId="5C600D87" w:rsidR="005077A4" w:rsidRDefault="005077A4">
      <w:pPr>
        <w:spacing w:after="280" w:afterAutospacing="1"/>
        <w:rPr>
          <w:noProof/>
        </w:rPr>
      </w:pPr>
      <w:r>
        <w:rPr>
          <w:b/>
          <w:bCs/>
        </w:rPr>
        <w:t>Bakgrund:</w:t>
      </w:r>
      <w:r>
        <w:t xml:space="preserve"> Den 27 december 2001 antog Europeiska unionens råd en gemensam ståndpunkt om tillämpning av särskilda åtgärder i syfte att bekämpa terrorism (2001/931/GUSP). Enligt artikel 1.1 i ståndpunkten ska den tillämpas på personer, grupper och enheter so</w:t>
      </w:r>
      <w:r w:rsidR="0060486C">
        <w:t>m deltar i terroristhandlingar. Namnen på</w:t>
      </w:r>
      <w:r>
        <w:t xml:space="preserve"> personer</w:t>
      </w:r>
      <w:r w:rsidR="0060486C">
        <w:t>na</w:t>
      </w:r>
      <w:r>
        <w:t>, grupper</w:t>
      </w:r>
      <w:r w:rsidR="0060486C">
        <w:t>na</w:t>
      </w:r>
      <w:r>
        <w:t xml:space="preserve"> och enheter</w:t>
      </w:r>
      <w:r w:rsidR="0060486C">
        <w:t xml:space="preserve">na </w:t>
      </w:r>
      <w:r>
        <w:t xml:space="preserve">ska ses över med jämna mellanrum, minst en gång var sjätte månad, för att man ska försäkra sig om att det är berättigat att behålla dem i förteckningen. Den gemensamma ståndpunkten operationaliseras genom rådsförordning 2580/2001. Några ändrade motiveringar för de personer, grupper eller enheter som är föremål för särskilda åtgärder för att bekämpa terrorism är inte aktuella. </w:t>
      </w:r>
    </w:p>
    <w:p w14:paraId="67380A40" w14:textId="77777777" w:rsidR="005077A4" w:rsidRPr="002F36A5" w:rsidRDefault="005077A4" w:rsidP="005077A4">
      <w:pPr>
        <w:pStyle w:val="Rubrik1"/>
        <w:rPr>
          <w:lang w:val="en-US"/>
        </w:rPr>
      </w:pPr>
      <w:bookmarkStart w:id="18" w:name="_Toc454346974"/>
      <w:r w:rsidRPr="002F36A5">
        <w:rPr>
          <w:noProof/>
          <w:lang w:val="en-US"/>
        </w:rPr>
        <w:t>(poss.) Proposal for a Council Decision amending Council Decision (EU) 2015/1601 of 22 September 2015 establishing provisional measures in the area of international protection for the benefit of Italy and Greece</w:t>
      </w:r>
      <w:bookmarkEnd w:id="18"/>
    </w:p>
    <w:p w14:paraId="67380A41" w14:textId="77777777" w:rsidR="005077A4" w:rsidRDefault="005077A4" w:rsidP="005077A4">
      <w:pPr>
        <w:rPr>
          <w:lang w:val="en-US"/>
        </w:rPr>
      </w:pPr>
      <w:r>
        <w:rPr>
          <w:noProof/>
          <w:lang w:val="en-US"/>
        </w:rPr>
        <w:t>=</w:t>
      </w:r>
      <w:r>
        <w:rPr>
          <w:lang w:val="en-US"/>
        </w:rPr>
        <w:t>State of play and guidance for further work</w:t>
      </w:r>
      <w:r>
        <w:rPr>
          <w:lang w:val="en-US"/>
        </w:rPr>
        <w:br/>
      </w:r>
      <w:r>
        <w:rPr>
          <w:noProof/>
          <w:lang w:val="en-US"/>
        </w:rPr>
        <w:t>10177</w:t>
      </w:r>
      <w:r>
        <w:rPr>
          <w:lang w:val="en-US"/>
        </w:rPr>
        <w:t>/16 ASIM 90</w:t>
      </w:r>
    </w:p>
    <w:p w14:paraId="67380A42" w14:textId="77777777" w:rsidR="005077A4" w:rsidRDefault="005077A4" w:rsidP="005077A4">
      <w:r>
        <w:rPr>
          <w:b/>
        </w:rPr>
        <w:t>Ansvarigt statsråd</w:t>
      </w:r>
      <w:r>
        <w:rPr>
          <w:b/>
        </w:rPr>
        <w:br/>
      </w:r>
      <w:r>
        <w:rPr>
          <w:noProof/>
        </w:rPr>
        <w:t>Morgan</w:t>
      </w:r>
      <w:r>
        <w:t xml:space="preserve"> Johansson</w:t>
      </w:r>
    </w:p>
    <w:p w14:paraId="67380A43" w14:textId="77777777" w:rsidR="005077A4" w:rsidRDefault="005077A4" w:rsidP="005077A4">
      <w:r>
        <w:rPr>
          <w:b/>
        </w:rPr>
        <w:fldChar w:fldCharType="begin"/>
      </w:r>
      <w:r>
        <w:rPr>
          <w:b/>
        </w:rPr>
        <w:instrText xml:space="preserve"> IF "2016-04-15" = "-" </w:instrText>
      </w:r>
      <w:r>
        <w:rPr>
          <w:b/>
        </w:rPr>
        <w:fldChar w:fldCharType="begin"/>
      </w:r>
      <w:r>
        <w:rPr>
          <w:b/>
        </w:rPr>
        <w:instrText xml:space="preserve"> IF "-" = "-" </w:instrText>
      </w:r>
      <w:r>
        <w:rPr>
          <w:b/>
        </w:rPr>
        <w:fldChar w:fldCharType="begin"/>
      </w:r>
      <w:r>
        <w:rPr>
          <w:b/>
        </w:rPr>
        <w:instrText xml:space="preserve"> IF "2016-05-12"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2016-04-15</w:instrText>
      </w:r>
    </w:p>
    <w:p w14:paraId="67380A44" w14:textId="77777777" w:rsidR="005077A4" w:rsidRDefault="005077A4" w:rsidP="005077A4">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2016-04-15</w:instrText>
      </w:r>
    </w:p>
    <w:p w14:paraId="67380A45" w14:textId="77777777" w:rsidR="005077A4" w:rsidRDefault="005077A4" w:rsidP="005077A4">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2016-04-15</w:instrText>
      </w:r>
    </w:p>
    <w:p w14:paraId="67380A46" w14:textId="77777777" w:rsidR="005077A4" w:rsidRDefault="005077A4" w:rsidP="005077A4">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2016-04-15</w:instrText>
      </w:r>
    </w:p>
    <w:p w14:paraId="67380A47" w14:textId="77777777" w:rsidR="005077A4" w:rsidRDefault="005077A4" w:rsidP="005077A4">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2016-04-15</w:instrText>
      </w:r>
    </w:p>
    <w:p w14:paraId="67380A48" w14:textId="77777777" w:rsidR="005077A4" w:rsidRDefault="005077A4" w:rsidP="005077A4">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2016-04-15</w:t>
      </w:r>
    </w:p>
    <w:p w14:paraId="67380A4F" w14:textId="79EB42C7" w:rsidR="00F42C1C" w:rsidRDefault="005077A4" w:rsidP="005077A4">
      <w:pPr>
        <w:ind w:left="0"/>
        <w:rPr>
          <w:b/>
        </w:rPr>
      </w:pPr>
      <w:r>
        <w:rPr>
          <w:b/>
        </w:rPr>
        <w:fldChar w:fldCharType="end"/>
      </w:r>
      <w:r>
        <w:rPr>
          <w:b/>
        </w:rPr>
        <w:fldChar w:fldCharType="begin"/>
      </w:r>
      <w:r>
        <w:rPr>
          <w:b/>
        </w:rPr>
        <w:instrText xml:space="preserve"> IF "2016-04-15" = "-" </w:instrText>
      </w:r>
      <w:r>
        <w:rPr>
          <w:b/>
        </w:rPr>
        <w:fldChar w:fldCharType="begin"/>
      </w:r>
      <w:r>
        <w:rPr>
          <w:b/>
        </w:rPr>
        <w:instrText xml:space="preserve"> IF "-" = "-" </w:instrText>
      </w:r>
      <w:r>
        <w:rPr>
          <w:b/>
        </w:rPr>
        <w:fldChar w:fldCharType="begin"/>
      </w:r>
      <w:r>
        <w:rPr>
          <w:b/>
        </w:rPr>
        <w:instrText xml:space="preserve"> IF "2016-05-12" = "-" "" "Tidigare behandlat i utskottet </w:instrText>
      </w:r>
      <w:r>
        <w:rPr>
          <w:b/>
        </w:rPr>
        <w:br/>
      </w:r>
      <w:r w:rsidRPr="002F0461">
        <w:instrText>2016-05-12</w:instrText>
      </w:r>
    </w:p>
    <w:p w14:paraId="67380A50" w14:textId="77777777" w:rsidR="005077A4" w:rsidRDefault="005077A4" w:rsidP="005077A4">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2016-05-12</w:instrText>
      </w:r>
    </w:p>
    <w:p w14:paraId="67380A51" w14:textId="77777777" w:rsidR="00F42C1C" w:rsidRDefault="005077A4" w:rsidP="005077A4">
      <w:pPr>
        <w:rPr>
          <w:b/>
        </w:rPr>
      </w:pPr>
      <w:r>
        <w:rPr>
          <w:b/>
        </w:rPr>
        <w:fldChar w:fldCharType="end"/>
      </w:r>
      <w:r>
        <w:rPr>
          <w:b/>
        </w:rPr>
        <w:instrText xml:space="preserve"> "Tidigare behandlat i utskottet</w:instrText>
      </w:r>
      <w:r>
        <w:rPr>
          <w:b/>
        </w:rPr>
        <w:br/>
      </w:r>
      <w:r w:rsidRPr="002F0461">
        <w:instrText>2016-05-12</w:instrText>
      </w:r>
    </w:p>
    <w:p w14:paraId="67380A52" w14:textId="77777777" w:rsidR="005077A4" w:rsidRDefault="005077A4" w:rsidP="005077A4">
      <w:pPr>
        <w:rPr>
          <w:noProof/>
        </w:rPr>
      </w:pPr>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2016-05-12</w:instrText>
      </w:r>
    </w:p>
    <w:p w14:paraId="67380A53" w14:textId="77777777" w:rsidR="00F42C1C" w:rsidRDefault="005077A4" w:rsidP="005077A4">
      <w:pPr>
        <w:rPr>
          <w:b/>
        </w:rPr>
      </w:pPr>
      <w:r>
        <w:rPr>
          <w:b/>
        </w:rPr>
        <w:fldChar w:fldCharType="end"/>
      </w:r>
      <w:r>
        <w:rPr>
          <w:b/>
        </w:rPr>
        <w:instrText xml:space="preserve">  "Tidigare behandlat i utskottet</w:instrText>
      </w:r>
      <w:r>
        <w:rPr>
          <w:b/>
        </w:rPr>
        <w:br/>
      </w:r>
      <w:r>
        <w:instrText>2016-05-12</w:instrText>
      </w:r>
    </w:p>
    <w:p w14:paraId="67380A54" w14:textId="77777777" w:rsidR="005077A4" w:rsidRDefault="005077A4" w:rsidP="005077A4">
      <w:r>
        <w:instrText>"</w:instrText>
      </w:r>
      <w:r>
        <w:rPr>
          <w:b/>
        </w:rPr>
        <w:instrText xml:space="preserve"> </w:instrText>
      </w:r>
      <w:r>
        <w:rPr>
          <w:b/>
        </w:rPr>
        <w:fldChar w:fldCharType="separate"/>
      </w:r>
      <w:r>
        <w:rPr>
          <w:b/>
        </w:rPr>
        <w:t>Tidigare behandlat i utskottet</w:t>
      </w:r>
      <w:r>
        <w:rPr>
          <w:b/>
        </w:rPr>
        <w:br/>
      </w:r>
      <w:r>
        <w:t>2016-05-12</w:t>
      </w:r>
    </w:p>
    <w:p w14:paraId="67380A56" w14:textId="4EE832B1" w:rsidR="00F42C1C" w:rsidRDefault="005077A4" w:rsidP="005077A4">
      <w:r>
        <w:rPr>
          <w:b/>
        </w:rPr>
        <w:lastRenderedPageBreak/>
        <w:fldChar w:fldCharType="end"/>
      </w:r>
      <w:r w:rsidRPr="00B44CE2">
        <w:rPr>
          <w:b/>
        </w:rPr>
        <w:t>Annotering</w:t>
      </w:r>
      <w:r>
        <w:rPr>
          <w:b/>
        </w:rPr>
        <w:br/>
      </w:r>
      <w:r>
        <w:rPr>
          <w:b/>
          <w:bCs/>
        </w:rPr>
        <w:t>Avsikt med behandlingen i rådet:</w:t>
      </w:r>
      <w:r>
        <w:t xml:space="preserve"> Rådet föreslås godkänna ändringen av beslut 2015/1601 av den 22 september.</w:t>
      </w:r>
    </w:p>
    <w:p w14:paraId="67380A57" w14:textId="77777777" w:rsidR="00F42C1C" w:rsidRDefault="005077A4">
      <w:pPr>
        <w:spacing w:after="280" w:afterAutospacing="1"/>
      </w:pPr>
      <w:r>
        <w:rPr>
          <w:b/>
          <w:bCs/>
        </w:rPr>
        <w:t>Hur regeringen ställer sig till den blivande A-punkten:</w:t>
      </w:r>
      <w:r>
        <w:t xml:space="preserve"> Regeringen avser rösta ja till att rådet godkänner ändringen av rådets beslut 2015/1601 av de 22 september 2015. </w:t>
      </w:r>
    </w:p>
    <w:p w14:paraId="67380A58" w14:textId="77777777" w:rsidR="00F42C1C" w:rsidRDefault="005077A4">
      <w:pPr>
        <w:spacing w:after="280" w:afterAutospacing="1"/>
      </w:pPr>
      <w:r>
        <w:rPr>
          <w:b/>
          <w:bCs/>
        </w:rPr>
        <w:t>Bakgrund:</w:t>
      </w:r>
      <w:r>
        <w:t xml:space="preserve"> Kommissionen presenterade den 21 mars 2016 ett förslag till revidering av det rådsbeslut som antogs i september 2015 (beslut 2015/1601) med syfte att omplacera 120 000 personer från framför allt Italien och Grekland. Revideringen innebar att de 54 000 platserna som fanns som en reserv skulle kunna användas för att genomföra uttalandet den 18 mars 2016 mellan EU och Turket. Dvs. att EU för varje syrier som återsänds till Turkiet ska vidarebosätta en annan syrier från Turkiet (1:1-mekanismen). </w:t>
      </w:r>
    </w:p>
    <w:p w14:paraId="67380A5A" w14:textId="2BE7731B" w:rsidR="005077A4" w:rsidRDefault="005077A4">
      <w:pPr>
        <w:spacing w:after="280" w:afterAutospacing="1"/>
        <w:rPr>
          <w:noProof/>
        </w:rPr>
      </w:pPr>
      <w:r>
        <w:t>Ordförandeskapet lägger nu fram ett förslag till ytterligare en ändring så att medlemsstaterna kan tillämpa beslutet på alla personer som vidarebosatts från den 1 maj 2016. Detta innebär att även finansiering av varje vidarebosatt person kan ske retroaktivt från den 1 maj 2016 och fram till den 26 september 2017 då beslutet upphör att gälla. Europaparlamentet kommer att informeras om ändringen och efter det att parlamentet avgett yttrande, kommer beslutet att tillställas rådet för beslut.</w:t>
      </w:r>
    </w:p>
    <w:p w14:paraId="67380A5B" w14:textId="77777777" w:rsidR="005077A4" w:rsidRPr="002F36A5" w:rsidRDefault="005077A4" w:rsidP="005077A4">
      <w:pPr>
        <w:pStyle w:val="Rubrik1"/>
        <w:rPr>
          <w:lang w:val="en-US"/>
        </w:rPr>
      </w:pPr>
      <w:bookmarkStart w:id="19" w:name="_Toc454346975"/>
      <w:r w:rsidRPr="002F36A5">
        <w:rPr>
          <w:noProof/>
          <w:lang w:val="en-US"/>
        </w:rPr>
        <w:t>Draft Council Decision on the signing, on behalf of the European Union, and provisional application of the agreements between the European Union and the Republic of the Marshall Islands on the short-stay visa waiver = Adoption and</w:t>
      </w:r>
      <w:r w:rsidRPr="002F36A5">
        <w:rPr>
          <w:noProof/>
          <w:lang w:val="en-US"/>
        </w:rPr>
        <w:br/>
        <w:t>Draft Council Decision on the conclusion of the agreements between the European Union and the Republic of the Marshall Islands on the short-stay visa waiver</w:t>
      </w:r>
      <w:bookmarkEnd w:id="19"/>
    </w:p>
    <w:p w14:paraId="67380A5C" w14:textId="19EA80E8" w:rsidR="005077A4" w:rsidRDefault="005077A4" w:rsidP="005077A4">
      <w:pPr>
        <w:rPr>
          <w:lang w:val="en-US"/>
        </w:rPr>
      </w:pPr>
      <w:r>
        <w:rPr>
          <w:noProof/>
          <w:lang w:val="en-US"/>
        </w:rPr>
        <w:t>=</w:t>
      </w:r>
      <w:r>
        <w:rPr>
          <w:lang w:val="en-US"/>
        </w:rPr>
        <w:t>Request by the Council for the consent of the European Parliament</w:t>
      </w:r>
      <w:r>
        <w:rPr>
          <w:lang w:val="en-US"/>
        </w:rPr>
        <w:br/>
      </w:r>
      <w:r>
        <w:rPr>
          <w:noProof/>
          <w:lang w:val="en-US"/>
        </w:rPr>
        <w:t>10331</w:t>
      </w:r>
      <w:r>
        <w:rPr>
          <w:lang w:val="en-US"/>
        </w:rPr>
        <w:t xml:space="preserve">/16 VISA 206 COASI 131 9771/16 VISA 181 COASI 106 9774/16 VISA 182 COASI 108 9775/16 VISA 183 COASI 109 </w:t>
      </w:r>
    </w:p>
    <w:p w14:paraId="67380A5D" w14:textId="77777777" w:rsidR="005077A4" w:rsidRDefault="005077A4" w:rsidP="005077A4">
      <w:r>
        <w:rPr>
          <w:b/>
        </w:rPr>
        <w:t>Ansvarigt statsråd</w:t>
      </w:r>
      <w:r>
        <w:rPr>
          <w:b/>
        </w:rPr>
        <w:br/>
      </w:r>
      <w:r>
        <w:rPr>
          <w:noProof/>
        </w:rPr>
        <w:t>Morgan</w:t>
      </w:r>
      <w:r>
        <w:t xml:space="preserve"> Johansson</w:t>
      </w:r>
    </w:p>
    <w:p w14:paraId="67380A5E" w14:textId="77777777" w:rsidR="005077A4" w:rsidRDefault="005077A4" w:rsidP="005077A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80A5F"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80A60"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80A61"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80A62"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80A63"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80A64"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80A65" w14:textId="77777777" w:rsidR="005077A4" w:rsidRDefault="005077A4" w:rsidP="005077A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80A66"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80A68" w14:textId="24F131E2" w:rsidR="00F42C1C" w:rsidRDefault="005077A4" w:rsidP="005077A4">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beslut om undertecknande och provisorisk tillämpning av viseringsfrihetsavtal mellan EU och Marshallöarna samt beslut om att inhämta Europaparlamentets godkännande för att avtalet ingås. </w:t>
      </w:r>
    </w:p>
    <w:p w14:paraId="67380A69" w14:textId="77777777" w:rsidR="00F42C1C" w:rsidRDefault="005077A4">
      <w:pPr>
        <w:spacing w:after="280" w:afterAutospacing="1"/>
      </w:pPr>
      <w:r>
        <w:rPr>
          <w:b/>
          <w:bCs/>
        </w:rPr>
        <w:t>Hur regeringen ställer sig till den blivande A-punkten:</w:t>
      </w:r>
      <w:r>
        <w:t xml:space="preserve"> Regeringen avser rösta ja till förslagen.</w:t>
      </w:r>
    </w:p>
    <w:p w14:paraId="67380A6A" w14:textId="77777777" w:rsidR="00F42C1C" w:rsidRDefault="005077A4">
      <w:pPr>
        <w:spacing w:after="280" w:afterAutospacing="1"/>
      </w:pPr>
      <w:r>
        <w:rPr>
          <w:b/>
          <w:bCs/>
        </w:rPr>
        <w:t>Bakgrund:</w:t>
      </w:r>
      <w:r>
        <w:t xml:space="preserve"> För att praktiskt kunna genomföra viseringsfritt resande för kortare vistelser till Schengenområdet för ovan nämnd stat, vilket EU har beslutat om under våren 2014, krävs att ett bilateralt viseringsfrihetsavtal ingås. </w:t>
      </w:r>
    </w:p>
    <w:p w14:paraId="67380A6E" w14:textId="238B8601" w:rsidR="005077A4" w:rsidRDefault="005077A4">
      <w:pPr>
        <w:spacing w:after="280" w:afterAutospacing="1"/>
        <w:rPr>
          <w:noProof/>
        </w:rPr>
      </w:pPr>
      <w:r>
        <w:t xml:space="preserve">Det bilaterala viseringsfrihetsavtalet garanterar ömsesidig viseringsfrihet för kortare vistelser (upp till 90 dagar under en 180-dagarsperiod) och innehåller en suspenderingsklausul som säger att avtalet kan komma att sägas upp om viseringsfriheten leder till olaglig invandring, </w:t>
      </w:r>
      <w:r>
        <w:lastRenderedPageBreak/>
        <w:t xml:space="preserve">om den viseringsfria ömsesidigheten skulle sättas ur spel eller vid hot mot den allmänna ordningen och säkerheten. </w:t>
      </w:r>
    </w:p>
    <w:p w14:paraId="67380A6F" w14:textId="77777777" w:rsidR="005077A4" w:rsidRPr="002F36A5" w:rsidRDefault="005077A4" w:rsidP="005077A4">
      <w:pPr>
        <w:pStyle w:val="Rubrik1"/>
        <w:rPr>
          <w:lang w:val="en-US"/>
        </w:rPr>
      </w:pPr>
      <w:bookmarkStart w:id="20" w:name="_Toc454346976"/>
      <w:r w:rsidRPr="002F36A5">
        <w:rPr>
          <w:noProof/>
          <w:lang w:val="en-US"/>
        </w:rPr>
        <w:t>Draft Council Decision on the signing, on behalf of the European Union, and provisional application of the agreements between the European Union and the Federated States of Micronesia on the short-stay visa waiver = Adoption and</w:t>
      </w:r>
      <w:r w:rsidRPr="002F36A5">
        <w:rPr>
          <w:noProof/>
          <w:lang w:val="en-US"/>
        </w:rPr>
        <w:br/>
        <w:t>Draft Council Decision on the conclusion of the agreements between the European Union and the Federated States of Micronesia on the short-stay visa waiver</w:t>
      </w:r>
      <w:bookmarkEnd w:id="20"/>
    </w:p>
    <w:p w14:paraId="67380A70" w14:textId="255B0B6C" w:rsidR="005077A4" w:rsidRDefault="005077A4" w:rsidP="005077A4">
      <w:pPr>
        <w:rPr>
          <w:lang w:val="en-US"/>
        </w:rPr>
      </w:pPr>
      <w:r>
        <w:rPr>
          <w:noProof/>
          <w:lang w:val="en-US"/>
        </w:rPr>
        <w:t>=</w:t>
      </w:r>
      <w:r>
        <w:rPr>
          <w:lang w:val="en-US"/>
        </w:rPr>
        <w:t>Request by the Council for the consent of the European Parliament</w:t>
      </w:r>
      <w:r>
        <w:rPr>
          <w:lang w:val="en-US"/>
        </w:rPr>
        <w:br/>
      </w:r>
      <w:r>
        <w:rPr>
          <w:noProof/>
          <w:lang w:val="en-US"/>
        </w:rPr>
        <w:t>10335</w:t>
      </w:r>
      <w:r>
        <w:rPr>
          <w:lang w:val="en-US"/>
        </w:rPr>
        <w:t>/16 VISA 207 COASI 132 9777/16 VISA 184 COASI 111 9779/16 VISA 185 COASI 1139780/16 VISA 186 COASI 114</w:t>
      </w:r>
    </w:p>
    <w:p w14:paraId="67380A71" w14:textId="77777777" w:rsidR="005077A4" w:rsidRDefault="005077A4" w:rsidP="005077A4">
      <w:r>
        <w:rPr>
          <w:b/>
        </w:rPr>
        <w:t>Ansvarigt statsråd</w:t>
      </w:r>
      <w:r>
        <w:rPr>
          <w:b/>
        </w:rPr>
        <w:br/>
      </w:r>
      <w:r>
        <w:rPr>
          <w:noProof/>
        </w:rPr>
        <w:t>Morgan</w:t>
      </w:r>
      <w:r>
        <w:t xml:space="preserve"> Johansson</w:t>
      </w:r>
    </w:p>
    <w:p w14:paraId="67380A72" w14:textId="77777777" w:rsidR="005077A4" w:rsidRDefault="005077A4" w:rsidP="005077A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80A73"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80A74"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80A75"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80A76"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80A77"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80A78"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80A79" w14:textId="77777777" w:rsidR="005077A4" w:rsidRDefault="005077A4" w:rsidP="005077A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80A7A"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80A7C" w14:textId="785DFB5B" w:rsidR="00F42C1C" w:rsidRDefault="005077A4" w:rsidP="005077A4">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beslut om undertecknande och provisorisk tillämpning av viseringsfrihetsavtal mellan EU och Mikronesiska federationen samt beslut om att inhämta Europaparlamentets godkännande för att avtalet ingås. </w:t>
      </w:r>
    </w:p>
    <w:p w14:paraId="67380A7D" w14:textId="77777777" w:rsidR="00F42C1C" w:rsidRDefault="005077A4">
      <w:pPr>
        <w:spacing w:after="280" w:afterAutospacing="1"/>
      </w:pPr>
      <w:r>
        <w:rPr>
          <w:b/>
          <w:bCs/>
        </w:rPr>
        <w:t xml:space="preserve">Hur regeringen ställer sig till den blivande A-punkten: </w:t>
      </w:r>
      <w:r>
        <w:t>Regeringen avser rösta ja till förslagen.</w:t>
      </w:r>
    </w:p>
    <w:p w14:paraId="67380A7E" w14:textId="77777777" w:rsidR="00F42C1C" w:rsidRDefault="005077A4">
      <w:pPr>
        <w:spacing w:after="280" w:afterAutospacing="1"/>
      </w:pPr>
      <w:r>
        <w:rPr>
          <w:b/>
          <w:bCs/>
        </w:rPr>
        <w:t xml:space="preserve">Bakgrund: </w:t>
      </w:r>
      <w:r>
        <w:t xml:space="preserve">För att praktiskt kunna genomföra viseringsfritt resande för kortare vistelser till Schengenområdet för ovan nämnd stat, vilket EU har beslutat om under våren 2014, krävs att ett bilateralt viseringsfrihetsavtal ingås. </w:t>
      </w:r>
    </w:p>
    <w:p w14:paraId="67380A82" w14:textId="53164808" w:rsidR="005077A4" w:rsidRDefault="005077A4">
      <w:pPr>
        <w:spacing w:after="280" w:afterAutospacing="1"/>
        <w:rPr>
          <w:noProof/>
        </w:rPr>
      </w:pPr>
      <w:r>
        <w:t xml:space="preserve">Det bilaterala viseringsfrihetsavtalet garanterar ömsesidig viseringsfrihet för kortare vistelser (upp till 90 dagar under en 180-dagarsperiod) och innehåller en suspenderingsklausul som säger att avtalet kan komma att sägas upp om viseringsfriheten leder till olaglig invandring, om den viseringsfria ömsesidigheten skulle sättas ur spel eller vid hot mot den allmänna ordningen och säkerheten. </w:t>
      </w:r>
    </w:p>
    <w:p w14:paraId="67380A83" w14:textId="77777777" w:rsidR="005077A4" w:rsidRPr="002F36A5" w:rsidRDefault="005077A4" w:rsidP="005077A4">
      <w:pPr>
        <w:pStyle w:val="Rubrik1"/>
        <w:rPr>
          <w:lang w:val="en-US"/>
        </w:rPr>
      </w:pPr>
      <w:bookmarkStart w:id="21" w:name="_Toc454346977"/>
      <w:r w:rsidRPr="002F36A5">
        <w:rPr>
          <w:noProof/>
          <w:lang w:val="en-US"/>
        </w:rPr>
        <w:t>Draft Council Decision on the signing, on behalf of the European Union, and provisional application of the agreements between the European Union and the Solomon Islands on the short-stay visa waiver = Adoption and</w:t>
      </w:r>
      <w:r w:rsidRPr="002F36A5">
        <w:rPr>
          <w:noProof/>
          <w:lang w:val="en-US"/>
        </w:rPr>
        <w:br/>
        <w:t>Draft Council Decision on the conclusion of the agreements between the European Union and the Solomon Islands on the short-stay visa waiver</w:t>
      </w:r>
      <w:bookmarkEnd w:id="21"/>
    </w:p>
    <w:p w14:paraId="67380A84" w14:textId="72C79979" w:rsidR="005077A4" w:rsidRDefault="005077A4" w:rsidP="005077A4">
      <w:pPr>
        <w:rPr>
          <w:lang w:val="en-US"/>
        </w:rPr>
      </w:pPr>
      <w:r>
        <w:rPr>
          <w:noProof/>
          <w:lang w:val="en-US"/>
        </w:rPr>
        <w:t>=</w:t>
      </w:r>
      <w:r>
        <w:rPr>
          <w:lang w:val="en-US"/>
        </w:rPr>
        <w:t>Request by the Council for the consent of the European Parliament</w:t>
      </w:r>
      <w:r>
        <w:rPr>
          <w:lang w:val="en-US"/>
        </w:rPr>
        <w:br/>
      </w:r>
      <w:r>
        <w:rPr>
          <w:noProof/>
          <w:lang w:val="en-US"/>
        </w:rPr>
        <w:t>10336</w:t>
      </w:r>
      <w:r>
        <w:rPr>
          <w:lang w:val="en-US"/>
        </w:rPr>
        <w:t>/16 VISA 208 COASI 133 9782/16 VISA 187 COASI 115 9783/16 VISA 188 COASI 116 9785/16 VISA 189 COASI 117</w:t>
      </w:r>
    </w:p>
    <w:p w14:paraId="67380A85" w14:textId="77777777" w:rsidR="005077A4" w:rsidRDefault="005077A4" w:rsidP="005077A4">
      <w:r>
        <w:rPr>
          <w:b/>
        </w:rPr>
        <w:t>Ansvarigt statsråd</w:t>
      </w:r>
      <w:r>
        <w:rPr>
          <w:b/>
        </w:rPr>
        <w:br/>
      </w:r>
      <w:r>
        <w:rPr>
          <w:noProof/>
        </w:rPr>
        <w:t>Morgan</w:t>
      </w:r>
      <w:r>
        <w:t xml:space="preserve"> Johansson</w:t>
      </w:r>
    </w:p>
    <w:p w14:paraId="67380A86" w14:textId="77777777" w:rsidR="005077A4" w:rsidRDefault="005077A4" w:rsidP="005077A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80A87"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80A88"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80A89"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80A8A"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80A8B"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80A8C"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80A8D" w14:textId="77777777" w:rsidR="005077A4" w:rsidRDefault="005077A4" w:rsidP="005077A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80A8E"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80A90" w14:textId="37604B7B" w:rsidR="00F42C1C" w:rsidRDefault="005077A4" w:rsidP="005077A4">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Antagande av beslut om undertecknande och provisorisk </w:t>
      </w:r>
      <w:r>
        <w:lastRenderedPageBreak/>
        <w:t xml:space="preserve">tillämpning av viseringsfrihetsavtal mellan EU och Salomonöarna samt beslut om att inhämta Europaparlamentets godkännande för att avtalet ingås. </w:t>
      </w:r>
    </w:p>
    <w:p w14:paraId="67380A91" w14:textId="77777777" w:rsidR="00F42C1C" w:rsidRDefault="005077A4">
      <w:pPr>
        <w:spacing w:after="280" w:afterAutospacing="1"/>
      </w:pPr>
      <w:r>
        <w:rPr>
          <w:b/>
          <w:bCs/>
        </w:rPr>
        <w:t>Hur regeringen ställer sig till den blivande A-punkten:</w:t>
      </w:r>
      <w:r>
        <w:t xml:space="preserve"> Regeringen avser rösta ja till förslagen.</w:t>
      </w:r>
    </w:p>
    <w:p w14:paraId="67380A92" w14:textId="77777777" w:rsidR="00F42C1C" w:rsidRDefault="005077A4">
      <w:pPr>
        <w:spacing w:after="280" w:afterAutospacing="1"/>
      </w:pPr>
      <w:r>
        <w:rPr>
          <w:b/>
          <w:bCs/>
        </w:rPr>
        <w:t>Bakgrund:</w:t>
      </w:r>
      <w:r>
        <w:t xml:space="preserve"> För att praktiskt kunna genomföra viseringsfritt resande för kortare vistelser till Schengenområdet för ovan nämnd stat, vilket EU har beslutat om under våren 2014, krävs att ett bilateralt viseringsfrihetsavtal ingås. </w:t>
      </w:r>
    </w:p>
    <w:p w14:paraId="67380A96" w14:textId="38D00A7E" w:rsidR="005077A4" w:rsidRDefault="005077A4">
      <w:pPr>
        <w:spacing w:after="280" w:afterAutospacing="1"/>
        <w:rPr>
          <w:noProof/>
        </w:rPr>
      </w:pPr>
      <w:r>
        <w:t xml:space="preserve">Det bilaterala viseringsfrihetsavtalet garanterar ömsesidig viseringsfrihet för kortare vistelser (upp till 90 dagar under en 180-dagarsperiod) och innehåller en suspenderingsklausul som säger att avtalet kan komma att sägas upp om viseringsfriheten leder till olaglig invandring, om den viseringsfria ömsesidigheten skulle sättas ur spel eller vid hot mot den allmänna ordningen och säkerheten. </w:t>
      </w:r>
    </w:p>
    <w:p w14:paraId="67380A97" w14:textId="77777777" w:rsidR="005077A4" w:rsidRPr="002F36A5" w:rsidRDefault="005077A4" w:rsidP="005077A4">
      <w:pPr>
        <w:pStyle w:val="Rubrik1"/>
        <w:rPr>
          <w:lang w:val="en-US"/>
        </w:rPr>
      </w:pPr>
      <w:bookmarkStart w:id="22" w:name="_Toc454346978"/>
      <w:r w:rsidRPr="002F36A5">
        <w:rPr>
          <w:noProof/>
          <w:lang w:val="en-US"/>
        </w:rPr>
        <w:t>Draft Council Decision on the signing, on behalf of the European Union, and provisional application of the agreements between the European Union and Tuvalu on the short-stay visa waiver = Adoption and</w:t>
      </w:r>
      <w:r w:rsidRPr="002F36A5">
        <w:rPr>
          <w:noProof/>
          <w:lang w:val="en-US"/>
        </w:rPr>
        <w:br/>
        <w:t>Draft Council Decision on the conclusion of the agreements between the European Union and Tuvalu on the short-stay visa waiver</w:t>
      </w:r>
      <w:bookmarkEnd w:id="22"/>
    </w:p>
    <w:p w14:paraId="67380A98" w14:textId="15B9399E" w:rsidR="005077A4" w:rsidRDefault="005077A4" w:rsidP="005077A4">
      <w:pPr>
        <w:rPr>
          <w:lang w:val="en-US"/>
        </w:rPr>
      </w:pPr>
      <w:r>
        <w:rPr>
          <w:noProof/>
          <w:lang w:val="en-US"/>
        </w:rPr>
        <w:t>=</w:t>
      </w:r>
      <w:r>
        <w:rPr>
          <w:lang w:val="en-US"/>
        </w:rPr>
        <w:t>Request by the Council for the consent of the European Parliament</w:t>
      </w:r>
      <w:r>
        <w:rPr>
          <w:lang w:val="en-US"/>
        </w:rPr>
        <w:br/>
      </w:r>
      <w:r>
        <w:rPr>
          <w:noProof/>
          <w:lang w:val="en-US"/>
        </w:rPr>
        <w:t>10319</w:t>
      </w:r>
      <w:r>
        <w:rPr>
          <w:lang w:val="en-US"/>
        </w:rPr>
        <w:t>/16 VISA 205 COASI 130 9751/16 VISA 178 COASI 101 9760/16 VISA 179 COASI 102 9764/16 VISA 180 COASI 103</w:t>
      </w:r>
    </w:p>
    <w:p w14:paraId="67380A99" w14:textId="77777777" w:rsidR="005077A4" w:rsidRDefault="005077A4" w:rsidP="005077A4">
      <w:r>
        <w:rPr>
          <w:b/>
        </w:rPr>
        <w:t>Ansvarigt statsråd</w:t>
      </w:r>
      <w:r>
        <w:rPr>
          <w:b/>
        </w:rPr>
        <w:br/>
      </w:r>
      <w:r>
        <w:rPr>
          <w:noProof/>
        </w:rPr>
        <w:t>Morgan</w:t>
      </w:r>
      <w:r>
        <w:t xml:space="preserve"> Johansson</w:t>
      </w:r>
    </w:p>
    <w:p w14:paraId="67380A9A" w14:textId="77777777" w:rsidR="005077A4" w:rsidRDefault="005077A4" w:rsidP="005077A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80A9B"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80A9C"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80A9D"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80A9E"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80A9F"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80AA0"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80AA1" w14:textId="77777777" w:rsidR="005077A4" w:rsidRDefault="005077A4" w:rsidP="005077A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80AA2"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80AA4" w14:textId="5C43682D" w:rsidR="00F42C1C" w:rsidRDefault="005077A4" w:rsidP="005077A4">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beslut om undertecknande och provisorisk tillämpning av viseringsfrihetsavtal mellan EU och Tuvalu samt beslut om att inhämta Europaparlamentets godkännande för att avtalet ingås. </w:t>
      </w:r>
    </w:p>
    <w:p w14:paraId="67380AA5" w14:textId="77777777" w:rsidR="00F42C1C" w:rsidRDefault="005077A4">
      <w:pPr>
        <w:spacing w:after="280" w:afterAutospacing="1"/>
      </w:pPr>
      <w:r>
        <w:rPr>
          <w:b/>
          <w:bCs/>
        </w:rPr>
        <w:t>Hur regeringen ställer sig till den blivande A-punkten:</w:t>
      </w:r>
      <w:r>
        <w:t xml:space="preserve"> Regeringen avser rösta ja till förslagen.</w:t>
      </w:r>
    </w:p>
    <w:p w14:paraId="67380AA6" w14:textId="77777777" w:rsidR="00F42C1C" w:rsidRDefault="005077A4">
      <w:pPr>
        <w:spacing w:after="280" w:afterAutospacing="1"/>
      </w:pPr>
      <w:r>
        <w:rPr>
          <w:b/>
          <w:bCs/>
        </w:rPr>
        <w:t>Bakgrund:</w:t>
      </w:r>
      <w:r>
        <w:t xml:space="preserve"> För att praktiskt kunna genomföra viseringsfritt resande för kortare vistelser till Schengenområdet för ovan nämnd stat, vilket EU har beslutat om under våren 2014, krävs att ett bilateralt viseringsfrihetsavtal ingås. </w:t>
      </w:r>
    </w:p>
    <w:p w14:paraId="67380AA8" w14:textId="01EE63B3" w:rsidR="005077A4" w:rsidRDefault="005077A4">
      <w:pPr>
        <w:spacing w:after="280" w:afterAutospacing="1"/>
        <w:rPr>
          <w:noProof/>
        </w:rPr>
      </w:pPr>
      <w:r>
        <w:t xml:space="preserve">Det bilaterala viseringsfrihetsavtalet garanterar ömsesidig viseringsfrihet för kortare vistelser (upp till 90 dagar under en 180-dagarsperiod) och innehåller en suspenderingsklausul som säger att avtalet kan komma att sägas upp om viseringsfriheten leder till olaglig invandring, om den viseringsfria ömsesidigheten skulle sättas ur spel eller vid hot mot den allmänna ordningen och säkerheten. </w:t>
      </w:r>
    </w:p>
    <w:p w14:paraId="67380AA9" w14:textId="77777777" w:rsidR="005077A4" w:rsidRPr="002F36A5" w:rsidRDefault="005077A4" w:rsidP="005077A4">
      <w:pPr>
        <w:pStyle w:val="Rubrik1"/>
        <w:rPr>
          <w:lang w:val="en-US"/>
        </w:rPr>
      </w:pPr>
      <w:bookmarkStart w:id="23" w:name="_Toc454346979"/>
      <w:r w:rsidRPr="002F36A5">
        <w:rPr>
          <w:noProof/>
          <w:lang w:val="en-US"/>
        </w:rPr>
        <w:lastRenderedPageBreak/>
        <w:t>Draft Council Decision on the conclusion, on behalf of the European Union and its Member States, of the Additional Protocol to the Trade Agreement between the European Union and its Member States, of the one part, and Colombia and Peru, of the other part, to take account of the accession of the Republic of Croatia to the European Union = Adoption</w:t>
      </w:r>
      <w:bookmarkEnd w:id="23"/>
    </w:p>
    <w:p w14:paraId="0064084D" w14:textId="42F6F808" w:rsidR="000F1C0A" w:rsidRDefault="005077A4" w:rsidP="005077A4">
      <w:pPr>
        <w:rPr>
          <w:lang w:val="en-US"/>
        </w:rPr>
      </w:pPr>
      <w:r>
        <w:rPr>
          <w:lang w:val="en-US"/>
        </w:rPr>
        <w:t>=Adoption of the corrigendum concerning the Spanish language version</w:t>
      </w:r>
      <w:r w:rsidR="000F1C0A">
        <w:rPr>
          <w:lang w:val="en-US"/>
        </w:rPr>
        <w:t xml:space="preserve"> </w:t>
      </w:r>
      <w:r w:rsidR="000F1C0A">
        <w:rPr>
          <w:lang w:val="en-US"/>
        </w:rPr>
        <w:br/>
      </w:r>
      <w:r w:rsidR="000F1C0A">
        <w:rPr>
          <w:noProof/>
          <w:lang w:val="en-US"/>
        </w:rPr>
        <w:t>10042</w:t>
      </w:r>
      <w:r w:rsidR="000F1C0A">
        <w:rPr>
          <w:lang w:val="en-US"/>
        </w:rPr>
        <w:t>/16 WTO 156 SERVICES 12 COMER 76 COLAC 44 12594/14 WTO 231 SERVICES 41 COMER 192 COLAC 53 12595/14 WTO 232 SERVICES 42 COMER 193 COLAC 54+ COR 1+ COR 2 (en, fi, hr, lv, ro) 15633/14 JUR 859 WTO 303 SERVICES 52 COMER 229 COLAC 72</w:t>
      </w:r>
    </w:p>
    <w:p w14:paraId="67380AAB" w14:textId="77777777" w:rsidR="005077A4" w:rsidRDefault="005077A4" w:rsidP="005077A4">
      <w:r>
        <w:rPr>
          <w:b/>
        </w:rPr>
        <w:t>Ansvarigt statsråd</w:t>
      </w:r>
      <w:r>
        <w:rPr>
          <w:b/>
        </w:rPr>
        <w:br/>
      </w:r>
      <w:r>
        <w:rPr>
          <w:noProof/>
        </w:rPr>
        <w:t>Ann</w:t>
      </w:r>
      <w:r>
        <w:t xml:space="preserve"> Linde</w:t>
      </w:r>
    </w:p>
    <w:p w14:paraId="67380AAC" w14:textId="77777777" w:rsidR="005077A4" w:rsidRDefault="005077A4" w:rsidP="005077A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80AAD"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80AAE"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80AAF"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80AB0"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80AB1"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80AB2"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80AB3" w14:textId="77777777" w:rsidR="005077A4" w:rsidRDefault="005077A4" w:rsidP="005077A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80AB4"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80AB6" w14:textId="057425C2" w:rsidR="00F42C1C" w:rsidRDefault="005077A4" w:rsidP="000F1C0A">
      <w:r>
        <w:instrText>"</w:instrText>
      </w:r>
      <w:r>
        <w:rPr>
          <w:b/>
        </w:rPr>
        <w:instrText xml:space="preserve"> </w:instrText>
      </w:r>
      <w:r>
        <w:rPr>
          <w:b/>
        </w:rPr>
        <w:fldChar w:fldCharType="end"/>
      </w:r>
      <w:r w:rsidRPr="00B44CE2">
        <w:rPr>
          <w:b/>
        </w:rPr>
        <w:t>Annotering</w:t>
      </w:r>
      <w:r>
        <w:rPr>
          <w:b/>
        </w:rPr>
        <w:br/>
      </w:r>
      <w:r>
        <w:rPr>
          <w:b/>
          <w:bCs/>
        </w:rPr>
        <w:t>Avsikt med behandlingen i rådet:</w:t>
      </w:r>
      <w:r w:rsidR="0060486C">
        <w:t xml:space="preserve"> R</w:t>
      </w:r>
      <w:r>
        <w:t>ådet föreslås anta beslut om Kroatiens anslutning till frihandelsavtalet mellan EU och Colombia/Peru.</w:t>
      </w:r>
    </w:p>
    <w:p w14:paraId="06F58DBC" w14:textId="06379B20" w:rsidR="000F1C0A" w:rsidRDefault="005077A4">
      <w:pPr>
        <w:spacing w:after="280" w:afterAutospacing="1"/>
      </w:pPr>
      <w:r>
        <w:rPr>
          <w:b/>
          <w:bCs/>
        </w:rPr>
        <w:t>Hur regeringen ställer sig till den blivande A-punkten:</w:t>
      </w:r>
      <w:r w:rsidR="0060486C">
        <w:t xml:space="preserve"> R</w:t>
      </w:r>
      <w:r>
        <w:t>egeringen avser rösta ja till att rådet godkänner Kroatiens anslutning till frihandelsavtalet mellan EU och Colombia/Peru.</w:t>
      </w:r>
    </w:p>
    <w:p w14:paraId="67380AB7" w14:textId="154B2271" w:rsidR="00F42C1C" w:rsidRDefault="005077A4">
      <w:pPr>
        <w:spacing w:after="280" w:afterAutospacing="1"/>
      </w:pPr>
      <w:r>
        <w:rPr>
          <w:b/>
          <w:bCs/>
        </w:rPr>
        <w:t>Bakgrund:</w:t>
      </w:r>
      <w:r>
        <w:t xml:space="preserve"> Förhandlingarna om ett handelsavtal mellan EU och Andinska gemenskapen (Bolivia, Colombia, Ecuador och Peru) inleddes i juni 2007. Efter att förhandlingarna suspenderats under 2008 fortsatte de sedan under 2009 med Colombia, Ecuador och Peru. I juli samma år hoppade Ecuador av förhandlingarna. Ett avtal slöts sedermera med Colombia och Peru i mars 2010 och undertecknades i juni 2012. Det har tillämpats provisoriskt med Peru sedan den 1 mars 2013 och med Colombia sedan den 1 augusti 2013. </w:t>
      </w:r>
    </w:p>
    <w:p w14:paraId="67380AB9" w14:textId="709C2781" w:rsidR="005077A4" w:rsidRDefault="005077A4">
      <w:pPr>
        <w:spacing w:after="280" w:afterAutospacing="1"/>
        <w:rPr>
          <w:noProof/>
        </w:rPr>
      </w:pPr>
      <w:r>
        <w:t>Kroatien blev medlem i EU 2013. Kroatien behöver därmed inkorporeras som ytterligare en avtalspart på EU-sidan i unionens frihandelsavtal med Colombia och Peru.</w:t>
      </w:r>
    </w:p>
    <w:p w14:paraId="67380ABA" w14:textId="77777777" w:rsidR="005077A4" w:rsidRPr="002F36A5" w:rsidRDefault="005077A4" w:rsidP="005077A4">
      <w:pPr>
        <w:pStyle w:val="Rubrik1"/>
        <w:rPr>
          <w:lang w:val="en-US"/>
        </w:rPr>
      </w:pPr>
      <w:bookmarkStart w:id="24" w:name="_Toc454346980"/>
      <w:r w:rsidRPr="002F36A5">
        <w:rPr>
          <w:noProof/>
          <w:lang w:val="en-US"/>
        </w:rPr>
        <w:t>Proposal for a Council Decision on the conclusion of the Economic Partnership Agreement between the European Union and its Member States, of the one part, and the SADC EPA States, of the other part</w:t>
      </w:r>
      <w:bookmarkEnd w:id="24"/>
    </w:p>
    <w:p w14:paraId="67380ABB" w14:textId="7745E68D" w:rsidR="005077A4" w:rsidRDefault="005077A4" w:rsidP="005077A4">
      <w:pPr>
        <w:rPr>
          <w:lang w:val="en-US"/>
        </w:rPr>
      </w:pPr>
      <w:r>
        <w:rPr>
          <w:noProof/>
          <w:lang w:val="en-US"/>
        </w:rPr>
        <w:t>=</w:t>
      </w:r>
      <w:r>
        <w:rPr>
          <w:lang w:val="en-US"/>
        </w:rPr>
        <w:t>Request by the Council for consent of the European Parliament</w:t>
      </w:r>
      <w:r>
        <w:rPr>
          <w:lang w:val="en-US"/>
        </w:rPr>
        <w:br/>
      </w:r>
      <w:r>
        <w:rPr>
          <w:noProof/>
          <w:lang w:val="en-US"/>
        </w:rPr>
        <w:t>10242</w:t>
      </w:r>
      <w:r>
        <w:rPr>
          <w:lang w:val="en-US"/>
        </w:rPr>
        <w:t>/16 ACP 86 WTO 161 COAFR 181 RELEX 515</w:t>
      </w:r>
      <w:r w:rsidR="000F1C0A">
        <w:rPr>
          <w:lang w:val="en-US"/>
        </w:rPr>
        <w:t xml:space="preserve"> </w:t>
      </w:r>
      <w:r>
        <w:rPr>
          <w:lang w:val="en-US"/>
        </w:rPr>
        <w:t>10107/16 ACP 85 WTO 159 COAFR 180 RELEX 507</w:t>
      </w:r>
    </w:p>
    <w:p w14:paraId="67380ABC" w14:textId="77777777" w:rsidR="005077A4" w:rsidRDefault="005077A4" w:rsidP="005077A4">
      <w:r>
        <w:rPr>
          <w:b/>
        </w:rPr>
        <w:t>Ansvarigt statsråd</w:t>
      </w:r>
      <w:r>
        <w:rPr>
          <w:b/>
        </w:rPr>
        <w:br/>
      </w:r>
      <w:r>
        <w:rPr>
          <w:noProof/>
        </w:rPr>
        <w:t>Ann</w:t>
      </w:r>
      <w:r>
        <w:t xml:space="preserve"> Linde</w:t>
      </w:r>
    </w:p>
    <w:p w14:paraId="67380ABD" w14:textId="77777777" w:rsidR="005077A4" w:rsidRDefault="005077A4" w:rsidP="005077A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80ABE"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80ABF"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80AC0"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80AC1"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80AC2"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80AC3"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80AC4" w14:textId="77777777" w:rsidR="005077A4" w:rsidRDefault="005077A4" w:rsidP="005077A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80AC5"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80AC7" w14:textId="6D009E58" w:rsidR="00F42C1C" w:rsidRDefault="005077A4" w:rsidP="000F1C0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förväntas anta ett rådsbeslut att sända vidare avtalet om ekonomiskt partnerskap mellan EU och dess medlemsstater, å ena sidan, och avtalsslutande SADC-stater, å andra sidan, till Europaparlamentet för godkännande</w:t>
      </w:r>
    </w:p>
    <w:p w14:paraId="67380AC8" w14:textId="4BC78443" w:rsidR="00F42C1C" w:rsidRDefault="005077A4">
      <w:pPr>
        <w:spacing w:after="280" w:afterAutospacing="1"/>
      </w:pPr>
      <w:r>
        <w:rPr>
          <w:b/>
          <w:bCs/>
        </w:rPr>
        <w:t>Hur regeringen ställer sig till den blivande A-punkten:</w:t>
      </w:r>
      <w:r>
        <w:t xml:space="preserve"> Regeringen avser stödja antagande av rådsbeslutet.</w:t>
      </w:r>
    </w:p>
    <w:p w14:paraId="67380ACA" w14:textId="6710BA91" w:rsidR="005077A4" w:rsidRDefault="005077A4">
      <w:pPr>
        <w:spacing w:after="280" w:afterAutospacing="1"/>
        <w:rPr>
          <w:noProof/>
        </w:rPr>
      </w:pPr>
      <w:r>
        <w:rPr>
          <w:b/>
          <w:bCs/>
        </w:rPr>
        <w:lastRenderedPageBreak/>
        <w:t>Bakgrund:</w:t>
      </w:r>
      <w:r>
        <w:t xml:space="preserve"> Regeringen fattade den 19 maj 2016 beslut att underteckna ett avtal om att upprätta ett ekonomiskt partnerskap mellan Europeiska unionen och dess medlemsstater, å ena sidan, och de avtalsslutande SADC-staterna (Botswana, Lesotho, Swaziland, Namibia, Mocambique och Sydafrika), å andra sidan. Avtalet med SADC har förhandlats fram i enlighet med de mål för ekonomiskt partnerskapsavtal som har lagts fram i Cotonouavtalet. Avtalets syfte är att främja regional integration och handel, liberalisera handeln samt öka handelsutbytet. I avtalet ingår även en utvecklingsdimension. Avtalet undertecknades den 10 juni 2016. Rådet ska vid rådsmötet den 21 – 22 juni 2016 fatta beslut att sända avtalet till Europaparlamentet för godkännande.</w:t>
      </w:r>
    </w:p>
    <w:p w14:paraId="67380ACB" w14:textId="77777777" w:rsidR="005077A4" w:rsidRPr="002F36A5" w:rsidRDefault="005077A4" w:rsidP="005077A4">
      <w:pPr>
        <w:pStyle w:val="Rubrik1"/>
        <w:rPr>
          <w:lang w:val="en-US"/>
        </w:rPr>
      </w:pPr>
      <w:bookmarkStart w:id="25" w:name="_Toc454346981"/>
      <w:r w:rsidRPr="002F36A5">
        <w:rPr>
          <w:noProof/>
          <w:lang w:val="en-US"/>
        </w:rPr>
        <w:t>Draft Council Decision on the position to be adopted, on behalf of the European Union, within the EEA Joint Committee concerning an amendment to Protocol 31 to the EEA Agreement, on cooperation in specific fields outside the four freedoms (Budget Line 33.02.03.01-Company Law)</w:t>
      </w:r>
      <w:bookmarkEnd w:id="25"/>
    </w:p>
    <w:p w14:paraId="67380ACC" w14:textId="77777777" w:rsidR="005077A4" w:rsidRDefault="005077A4" w:rsidP="005077A4">
      <w:pPr>
        <w:rPr>
          <w:lang w:val="en-US"/>
        </w:rPr>
      </w:pPr>
      <w:r>
        <w:rPr>
          <w:noProof/>
          <w:lang w:val="en-US"/>
        </w:rPr>
        <w:t>=</w:t>
      </w:r>
      <w:r>
        <w:rPr>
          <w:lang w:val="en-US"/>
        </w:rPr>
        <w:t>Adoption</w:t>
      </w:r>
      <w:r>
        <w:rPr>
          <w:lang w:val="en-US"/>
        </w:rPr>
        <w:br/>
      </w:r>
      <w:r>
        <w:rPr>
          <w:noProof/>
          <w:lang w:val="en-US"/>
        </w:rPr>
        <w:t>9817</w:t>
      </w:r>
      <w:r>
        <w:rPr>
          <w:lang w:val="en-US"/>
        </w:rPr>
        <w:t>/16 AELE 42 EEE 29 N 39 ISL 27 FL 31 BUDGET 17 MI 419</w:t>
      </w:r>
    </w:p>
    <w:p w14:paraId="67380ACD" w14:textId="77777777" w:rsidR="005077A4" w:rsidRDefault="005077A4" w:rsidP="005077A4">
      <w:r>
        <w:rPr>
          <w:b/>
        </w:rPr>
        <w:t>Ansvarigt statsråd</w:t>
      </w:r>
      <w:r>
        <w:rPr>
          <w:b/>
        </w:rPr>
        <w:br/>
      </w:r>
      <w:r>
        <w:rPr>
          <w:noProof/>
        </w:rPr>
        <w:t>Ann</w:t>
      </w:r>
      <w:r>
        <w:t xml:space="preserve"> Linde</w:t>
      </w:r>
    </w:p>
    <w:p w14:paraId="67380ACE" w14:textId="77777777" w:rsidR="005077A4" w:rsidRDefault="005077A4" w:rsidP="005077A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380ACF"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380AD0"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380AD1"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380AD2" w14:textId="77777777" w:rsidR="005077A4" w:rsidRDefault="005077A4" w:rsidP="005077A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380AD3"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380AD4" w14:textId="77777777" w:rsidR="005077A4" w:rsidRDefault="005077A4" w:rsidP="005077A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380AD5" w14:textId="77777777" w:rsidR="005077A4" w:rsidRDefault="005077A4" w:rsidP="005077A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380AD6" w14:textId="77777777" w:rsidR="005077A4" w:rsidRDefault="005077A4" w:rsidP="005077A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380AD8" w14:textId="0111D8FD" w:rsidR="00F42C1C" w:rsidRDefault="005077A4" w:rsidP="000F1C0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avser besluta om </w:t>
      </w:r>
      <w:r w:rsidR="00480181">
        <w:t>EU:s ståndpunkt inför möte</w:t>
      </w:r>
      <w:r>
        <w:t xml:space="preserve"> i </w:t>
      </w:r>
      <w:r w:rsidR="00480181">
        <w:t xml:space="preserve">den </w:t>
      </w:r>
      <w:r>
        <w:t>gemensamma EES-kommittén beträffande en ändring av protokoll 31 till EES-avtalet, om samarbete inom särskilda områden vid sidan om de fyra friheterna (Budgetpost 33.02.03.01 – Bolagsrätt).</w:t>
      </w:r>
    </w:p>
    <w:p w14:paraId="67380AD9" w14:textId="39DDF581" w:rsidR="00F42C1C" w:rsidRDefault="005077A4">
      <w:pPr>
        <w:spacing w:after="280" w:afterAutospacing="1"/>
      </w:pPr>
      <w:r>
        <w:rPr>
          <w:b/>
          <w:bCs/>
        </w:rPr>
        <w:t>Hur regeringen ställer sig till den blivande A-punkten:</w:t>
      </w:r>
      <w:r>
        <w:t xml:space="preserve"> Regeringe</w:t>
      </w:r>
      <w:r w:rsidR="00480181">
        <w:t>n avser rösta ja till förslaget.</w:t>
      </w:r>
    </w:p>
    <w:p w14:paraId="67380ADC" w14:textId="182DA516" w:rsidR="005077A4" w:rsidRPr="00377012" w:rsidRDefault="005077A4" w:rsidP="000F1C0A">
      <w:pPr>
        <w:spacing w:after="280" w:afterAutospacing="1"/>
      </w:pPr>
      <w:r>
        <w:rPr>
          <w:b/>
          <w:bCs/>
        </w:rPr>
        <w:t>Bakgrund:</w:t>
      </w:r>
      <w:r>
        <w:t xml:space="preserve"> Den 2 juni 2016 lade kommissionen fram det</w:t>
      </w:r>
      <w:r w:rsidR="001B016E">
        <w:t xml:space="preserve"> ovannämnda förslaget för rådet och v</w:t>
      </w:r>
      <w:r>
        <w:t>id sitt möte den 7 juni 2016 enades Eftagruppen om sakinnehålle</w:t>
      </w:r>
      <w:bookmarkEnd w:id="1"/>
      <w:r w:rsidR="001B016E">
        <w:t xml:space="preserve">t. </w:t>
      </w:r>
    </w:p>
    <w:sectPr w:rsidR="005077A4" w:rsidRPr="00377012" w:rsidSect="005077A4">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80AF6" w14:textId="77777777" w:rsidR="0060486C" w:rsidRDefault="0060486C">
      <w:pPr>
        <w:spacing w:after="0" w:line="240" w:lineRule="auto"/>
      </w:pPr>
      <w:r>
        <w:separator/>
      </w:r>
    </w:p>
  </w:endnote>
  <w:endnote w:type="continuationSeparator" w:id="0">
    <w:p w14:paraId="67380AF8" w14:textId="77777777" w:rsidR="0060486C" w:rsidRDefault="00604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67380AE1" w14:textId="77777777" w:rsidR="0060486C" w:rsidRDefault="00886B06">
        <w:pPr>
          <w:pStyle w:val="Sidfot"/>
          <w:jc w:val="right"/>
        </w:pPr>
      </w:p>
    </w:sdtContent>
  </w:sdt>
  <w:p w14:paraId="67380AE2" w14:textId="77777777" w:rsidR="0060486C" w:rsidRDefault="0060486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80AF0" w14:textId="77777777" w:rsidR="0060486C" w:rsidRDefault="0060486C">
    <w:pPr>
      <w:pStyle w:val="Sidfot"/>
      <w:jc w:val="right"/>
    </w:pPr>
  </w:p>
  <w:p w14:paraId="67380AF1" w14:textId="77777777" w:rsidR="0060486C" w:rsidRDefault="0060486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80AF2" w14:textId="77777777" w:rsidR="0060486C" w:rsidRDefault="0060486C">
      <w:pPr>
        <w:spacing w:after="0" w:line="240" w:lineRule="auto"/>
      </w:pPr>
      <w:r>
        <w:separator/>
      </w:r>
    </w:p>
  </w:footnote>
  <w:footnote w:type="continuationSeparator" w:id="0">
    <w:p w14:paraId="67380AF4" w14:textId="77777777" w:rsidR="0060486C" w:rsidRDefault="006048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67380ADE" w14:textId="77777777" w:rsidR="0060486C" w:rsidRDefault="0060486C" w:rsidP="005077A4">
        <w:pPr>
          <w:pStyle w:val="Sidhuvud"/>
          <w:jc w:val="right"/>
        </w:pPr>
        <w:r>
          <w:fldChar w:fldCharType="begin"/>
        </w:r>
        <w:r>
          <w:instrText xml:space="preserve"> PAGE   \* MERGEFORMAT </w:instrText>
        </w:r>
        <w:r>
          <w:fldChar w:fldCharType="separate"/>
        </w:r>
        <w:r w:rsidR="00886B06">
          <w:rPr>
            <w:noProof/>
          </w:rPr>
          <w:t>2</w:t>
        </w:r>
        <w:r>
          <w:rPr>
            <w:noProof/>
          </w:rPr>
          <w:fldChar w:fldCharType="end"/>
        </w:r>
      </w:p>
    </w:sdtContent>
  </w:sdt>
  <w:p w14:paraId="67380ADF" w14:textId="77777777" w:rsidR="0060486C" w:rsidRDefault="0060486C" w:rsidP="005077A4">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60486C" w14:paraId="67380AEA" w14:textId="77777777" w:rsidTr="005077A4">
      <w:tc>
        <w:tcPr>
          <w:tcW w:w="4606" w:type="dxa"/>
        </w:tcPr>
        <w:p w14:paraId="67380AE3" w14:textId="77777777" w:rsidR="0060486C" w:rsidRDefault="0060486C" w:rsidP="005077A4">
          <w:pPr>
            <w:pStyle w:val="Sidhuvud"/>
            <w:ind w:left="0"/>
          </w:pPr>
          <w:r>
            <w:rPr>
              <w:noProof/>
              <w:lang w:eastAsia="sv-SE"/>
            </w:rPr>
            <w:drawing>
              <wp:inline distT="0" distB="0" distL="0" distR="0" wp14:anchorId="67380AF2" wp14:editId="67380AF3">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7380AE4" w14:textId="77777777" w:rsidR="0060486C" w:rsidRDefault="0060486C" w:rsidP="005077A4">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60486C" w14:paraId="67380AE7" w14:textId="77777777" w:rsidTr="005077A4">
            <w:tc>
              <w:tcPr>
                <w:tcW w:w="1833" w:type="dxa"/>
              </w:tcPr>
              <w:p w14:paraId="67380AE5" w14:textId="77777777" w:rsidR="0060486C" w:rsidRPr="00623763" w:rsidRDefault="0060486C" w:rsidP="005077A4">
                <w:pPr>
                  <w:ind w:left="0"/>
                </w:pPr>
                <w:r w:rsidRPr="00623763">
                  <w:rPr>
                    <w:rFonts w:ascii="TradeGothic" w:hAnsi="TradeGothic"/>
                    <w:b/>
                  </w:rPr>
                  <w:t>Promemoria</w:t>
                </w:r>
              </w:p>
            </w:tc>
            <w:tc>
              <w:tcPr>
                <w:tcW w:w="1833" w:type="dxa"/>
              </w:tcPr>
              <w:p w14:paraId="67380AE6" w14:textId="77777777" w:rsidR="0060486C" w:rsidRPr="00623763" w:rsidRDefault="0060486C" w:rsidP="005077A4">
                <w:pPr>
                  <w:ind w:left="0"/>
                </w:pPr>
                <w:r w:rsidRPr="00623763">
                  <w:rPr>
                    <w:rFonts w:ascii="TradeGothic" w:hAnsi="TradeGothic"/>
                    <w:b/>
                  </w:rPr>
                  <w:t>[Vecka</w:t>
                </w:r>
                <w:r>
                  <w:rPr>
                    <w:rFonts w:ascii="TradeGothic" w:hAnsi="TradeGothic"/>
                    <w:b/>
                  </w:rPr>
                  <w:t xml:space="preserve"> </w:t>
                </w:r>
                <w:r>
                  <w:rPr>
                    <w:rFonts w:ascii="TradeGothic" w:hAnsi="TradeGothic"/>
                    <w:b/>
                    <w:noProof/>
                  </w:rPr>
                  <w:t>25</w:t>
                </w:r>
                <w:r w:rsidRPr="00623763">
                  <w:rPr>
                    <w:rFonts w:ascii="TradeGothic" w:hAnsi="TradeGothic"/>
                    <w:b/>
                  </w:rPr>
                  <w:t>]</w:t>
                </w:r>
              </w:p>
            </w:tc>
          </w:tr>
        </w:tbl>
        <w:p w14:paraId="67380AE8" w14:textId="77777777" w:rsidR="0060486C" w:rsidRDefault="0060486C" w:rsidP="005077A4">
          <w:pPr>
            <w:jc w:val="right"/>
          </w:pPr>
        </w:p>
        <w:p w14:paraId="67380AE9" w14:textId="43DF29FC" w:rsidR="0060486C" w:rsidRDefault="0060486C" w:rsidP="005077A4">
          <w:pPr>
            <w:ind w:right="916"/>
          </w:pPr>
          <w:r>
            <w:rPr>
              <w:rFonts w:ascii="TradeGothic" w:hAnsi="TradeGothic"/>
              <w:b/>
              <w:noProof/>
            </w:rPr>
            <w:t>2016-06-2</w:t>
          </w:r>
          <w:r w:rsidR="00886F75">
            <w:rPr>
              <w:rFonts w:ascii="TradeGothic" w:hAnsi="TradeGothic"/>
              <w:b/>
              <w:noProof/>
            </w:rPr>
            <w:t>2</w:t>
          </w:r>
          <w:r w:rsidRPr="00934953">
            <w:t xml:space="preserve"> </w:t>
          </w:r>
        </w:p>
      </w:tc>
    </w:tr>
  </w:tbl>
  <w:p w14:paraId="67380AEB" w14:textId="77777777" w:rsidR="0060486C" w:rsidRDefault="0060486C" w:rsidP="005077A4">
    <w:pPr>
      <w:pStyle w:val="Avsndare"/>
      <w:framePr w:w="0" w:hRule="auto" w:hSpace="0" w:wrap="auto" w:vAnchor="margin" w:hAnchor="text" w:xAlign="left" w:yAlign="inline"/>
      <w:rPr>
        <w:b/>
        <w:i w:val="0"/>
        <w:sz w:val="22"/>
      </w:rPr>
    </w:pPr>
  </w:p>
  <w:p w14:paraId="67380AEC" w14:textId="77777777" w:rsidR="0060486C" w:rsidRDefault="0060486C" w:rsidP="005077A4">
    <w:pPr>
      <w:pStyle w:val="Avsndare"/>
      <w:framePr w:w="0" w:hRule="auto" w:hSpace="0" w:wrap="auto" w:vAnchor="margin" w:hAnchor="text" w:xAlign="left" w:yAlign="inline"/>
      <w:rPr>
        <w:b/>
        <w:i w:val="0"/>
        <w:sz w:val="22"/>
      </w:rPr>
    </w:pPr>
    <w:r>
      <w:rPr>
        <w:b/>
        <w:i w:val="0"/>
        <w:sz w:val="22"/>
      </w:rPr>
      <w:t>Statsrådsberedningen</w:t>
    </w:r>
  </w:p>
  <w:p w14:paraId="67380AED" w14:textId="77777777" w:rsidR="0060486C" w:rsidRDefault="0060486C" w:rsidP="005077A4">
    <w:pPr>
      <w:pStyle w:val="Avsndare"/>
      <w:framePr w:w="0" w:hRule="auto" w:hSpace="0" w:wrap="auto" w:vAnchor="margin" w:hAnchor="text" w:xAlign="left" w:yAlign="inline"/>
    </w:pPr>
  </w:p>
  <w:p w14:paraId="67380AEE" w14:textId="77777777" w:rsidR="0060486C" w:rsidRDefault="0060486C" w:rsidP="005077A4">
    <w:pPr>
      <w:pStyle w:val="Avsndare"/>
      <w:framePr w:w="0" w:hRule="auto" w:hSpace="0" w:wrap="auto" w:vAnchor="margin" w:hAnchor="text" w:xAlign="left" w:yAlign="inline"/>
    </w:pPr>
    <w:r>
      <w:t>EU-kansliet</w:t>
    </w:r>
  </w:p>
  <w:p w14:paraId="67380AEF" w14:textId="77777777" w:rsidR="0060486C" w:rsidRDefault="0060486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352C39A2">
      <w:start w:val="1"/>
      <w:numFmt w:val="decimal"/>
      <w:pStyle w:val="Rubrik1"/>
      <w:lvlText w:val="%1."/>
      <w:lvlJc w:val="left"/>
      <w:pPr>
        <w:ind w:left="720" w:hanging="360"/>
      </w:pPr>
    </w:lvl>
    <w:lvl w:ilvl="1" w:tplc="5D7E3640" w:tentative="1">
      <w:start w:val="1"/>
      <w:numFmt w:val="lowerLetter"/>
      <w:lvlText w:val="%2."/>
      <w:lvlJc w:val="left"/>
      <w:pPr>
        <w:ind w:left="1440" w:hanging="360"/>
      </w:pPr>
    </w:lvl>
    <w:lvl w:ilvl="2" w:tplc="9906F6FA" w:tentative="1">
      <w:start w:val="1"/>
      <w:numFmt w:val="lowerRoman"/>
      <w:lvlText w:val="%3."/>
      <w:lvlJc w:val="right"/>
      <w:pPr>
        <w:ind w:left="2160" w:hanging="180"/>
      </w:pPr>
    </w:lvl>
    <w:lvl w:ilvl="3" w:tplc="7E18EE66" w:tentative="1">
      <w:start w:val="1"/>
      <w:numFmt w:val="decimal"/>
      <w:lvlText w:val="%4."/>
      <w:lvlJc w:val="left"/>
      <w:pPr>
        <w:ind w:left="2880" w:hanging="360"/>
      </w:pPr>
    </w:lvl>
    <w:lvl w:ilvl="4" w:tplc="5CB4C378" w:tentative="1">
      <w:start w:val="1"/>
      <w:numFmt w:val="lowerLetter"/>
      <w:lvlText w:val="%5."/>
      <w:lvlJc w:val="left"/>
      <w:pPr>
        <w:ind w:left="3600" w:hanging="360"/>
      </w:pPr>
    </w:lvl>
    <w:lvl w:ilvl="5" w:tplc="7B8C3534" w:tentative="1">
      <w:start w:val="1"/>
      <w:numFmt w:val="lowerRoman"/>
      <w:lvlText w:val="%6."/>
      <w:lvlJc w:val="right"/>
      <w:pPr>
        <w:ind w:left="4320" w:hanging="180"/>
      </w:pPr>
    </w:lvl>
    <w:lvl w:ilvl="6" w:tplc="65840D52" w:tentative="1">
      <w:start w:val="1"/>
      <w:numFmt w:val="decimal"/>
      <w:lvlText w:val="%7."/>
      <w:lvlJc w:val="left"/>
      <w:pPr>
        <w:ind w:left="5040" w:hanging="360"/>
      </w:pPr>
    </w:lvl>
    <w:lvl w:ilvl="7" w:tplc="73B2F124" w:tentative="1">
      <w:start w:val="1"/>
      <w:numFmt w:val="lowerLetter"/>
      <w:lvlText w:val="%8."/>
      <w:lvlJc w:val="left"/>
      <w:pPr>
        <w:ind w:left="5760" w:hanging="360"/>
      </w:pPr>
    </w:lvl>
    <w:lvl w:ilvl="8" w:tplc="A044F76E" w:tentative="1">
      <w:start w:val="1"/>
      <w:numFmt w:val="lowerRoman"/>
      <w:lvlText w:val="%9."/>
      <w:lvlJc w:val="right"/>
      <w:pPr>
        <w:ind w:left="6480" w:hanging="180"/>
      </w:pPr>
    </w:lvl>
  </w:abstractNum>
  <w:abstractNum w:abstractNumId="1">
    <w:nsid w:val="73990993"/>
    <w:multiLevelType w:val="hybridMultilevel"/>
    <w:tmpl w:val="3BD822EE"/>
    <w:lvl w:ilvl="0" w:tplc="F0D6E0D0">
      <w:start w:val="1"/>
      <w:numFmt w:val="decimal"/>
      <w:lvlText w:val="%1."/>
      <w:lvlJc w:val="left"/>
      <w:pPr>
        <w:ind w:left="360" w:hanging="360"/>
      </w:pPr>
      <w:rPr>
        <w:b w:val="0"/>
      </w:rPr>
    </w:lvl>
    <w:lvl w:ilvl="1" w:tplc="41D4DBCA" w:tentative="1">
      <w:start w:val="1"/>
      <w:numFmt w:val="lowerLetter"/>
      <w:lvlText w:val="%2."/>
      <w:lvlJc w:val="left"/>
      <w:pPr>
        <w:ind w:left="1080" w:hanging="360"/>
      </w:pPr>
    </w:lvl>
    <w:lvl w:ilvl="2" w:tplc="881C2D82" w:tentative="1">
      <w:start w:val="1"/>
      <w:numFmt w:val="lowerRoman"/>
      <w:lvlText w:val="%3."/>
      <w:lvlJc w:val="right"/>
      <w:pPr>
        <w:ind w:left="1800" w:hanging="180"/>
      </w:pPr>
    </w:lvl>
    <w:lvl w:ilvl="3" w:tplc="6180F7CE" w:tentative="1">
      <w:start w:val="1"/>
      <w:numFmt w:val="decimal"/>
      <w:lvlText w:val="%4."/>
      <w:lvlJc w:val="left"/>
      <w:pPr>
        <w:ind w:left="2520" w:hanging="360"/>
      </w:pPr>
    </w:lvl>
    <w:lvl w:ilvl="4" w:tplc="279E224E" w:tentative="1">
      <w:start w:val="1"/>
      <w:numFmt w:val="lowerLetter"/>
      <w:lvlText w:val="%5."/>
      <w:lvlJc w:val="left"/>
      <w:pPr>
        <w:ind w:left="3240" w:hanging="360"/>
      </w:pPr>
    </w:lvl>
    <w:lvl w:ilvl="5" w:tplc="4F8ADA5A" w:tentative="1">
      <w:start w:val="1"/>
      <w:numFmt w:val="lowerRoman"/>
      <w:lvlText w:val="%6."/>
      <w:lvlJc w:val="right"/>
      <w:pPr>
        <w:ind w:left="3960" w:hanging="180"/>
      </w:pPr>
    </w:lvl>
    <w:lvl w:ilvl="6" w:tplc="4E965008" w:tentative="1">
      <w:start w:val="1"/>
      <w:numFmt w:val="decimal"/>
      <w:lvlText w:val="%7."/>
      <w:lvlJc w:val="left"/>
      <w:pPr>
        <w:ind w:left="4680" w:hanging="360"/>
      </w:pPr>
    </w:lvl>
    <w:lvl w:ilvl="7" w:tplc="A996488A" w:tentative="1">
      <w:start w:val="1"/>
      <w:numFmt w:val="lowerLetter"/>
      <w:lvlText w:val="%8."/>
      <w:lvlJc w:val="left"/>
      <w:pPr>
        <w:ind w:left="5400" w:hanging="360"/>
      </w:pPr>
    </w:lvl>
    <w:lvl w:ilvl="8" w:tplc="274E611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C1C"/>
    <w:rsid w:val="000F1C0A"/>
    <w:rsid w:val="00116A6D"/>
    <w:rsid w:val="001B016E"/>
    <w:rsid w:val="002F36A5"/>
    <w:rsid w:val="00421888"/>
    <w:rsid w:val="00480181"/>
    <w:rsid w:val="005077A4"/>
    <w:rsid w:val="0060486C"/>
    <w:rsid w:val="00811E27"/>
    <w:rsid w:val="00886B06"/>
    <w:rsid w:val="00886F75"/>
    <w:rsid w:val="009926E5"/>
    <w:rsid w:val="00B62B3A"/>
    <w:rsid w:val="00F42C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116A6D"/>
    <w:pPr>
      <w:spacing w:before="100" w:beforeAutospacing="1" w:after="100" w:afterAutospacing="1" w:line="240" w:lineRule="auto"/>
      <w:ind w:left="0"/>
    </w:pPr>
    <w:rPr>
      <w:rFonts w:eastAsia="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116A6D"/>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37852">
      <w:bodyDiv w:val="1"/>
      <w:marLeft w:val="0"/>
      <w:marRight w:val="0"/>
      <w:marTop w:val="0"/>
      <w:marBottom w:val="0"/>
      <w:divBdr>
        <w:top w:val="none" w:sz="0" w:space="0" w:color="auto"/>
        <w:left w:val="none" w:sz="0" w:space="0" w:color="auto"/>
        <w:bottom w:val="none" w:sz="0" w:space="0" w:color="auto"/>
        <w:right w:val="none" w:sz="0" w:space="0" w:color="auto"/>
      </w:divBdr>
      <w:divsChild>
        <w:div w:id="287589344">
          <w:marLeft w:val="0"/>
          <w:marRight w:val="0"/>
          <w:marTop w:val="0"/>
          <w:marBottom w:val="0"/>
          <w:divBdr>
            <w:top w:val="none" w:sz="0" w:space="0" w:color="auto"/>
            <w:left w:val="none" w:sz="0" w:space="0" w:color="auto"/>
            <w:bottom w:val="none" w:sz="0" w:space="0" w:color="auto"/>
            <w:right w:val="none" w:sz="0" w:space="0" w:color="auto"/>
          </w:divBdr>
          <w:divsChild>
            <w:div w:id="1920629022">
              <w:marLeft w:val="0"/>
              <w:marRight w:val="0"/>
              <w:marTop w:val="0"/>
              <w:marBottom w:val="0"/>
              <w:divBdr>
                <w:top w:val="none" w:sz="0" w:space="0" w:color="auto"/>
                <w:left w:val="none" w:sz="0" w:space="0" w:color="auto"/>
                <w:bottom w:val="none" w:sz="0" w:space="0" w:color="auto"/>
                <w:right w:val="none" w:sz="0" w:space="0" w:color="auto"/>
              </w:divBdr>
              <w:divsChild>
                <w:div w:id="998731206">
                  <w:marLeft w:val="0"/>
                  <w:marRight w:val="0"/>
                  <w:marTop w:val="0"/>
                  <w:marBottom w:val="0"/>
                  <w:divBdr>
                    <w:top w:val="none" w:sz="0" w:space="0" w:color="auto"/>
                    <w:left w:val="none" w:sz="0" w:space="0" w:color="auto"/>
                    <w:bottom w:val="none" w:sz="0" w:space="0" w:color="auto"/>
                    <w:right w:val="none" w:sz="0" w:space="0" w:color="auto"/>
                  </w:divBdr>
                  <w:divsChild>
                    <w:div w:id="516312101">
                      <w:marLeft w:val="0"/>
                      <w:marRight w:val="0"/>
                      <w:marTop w:val="0"/>
                      <w:marBottom w:val="0"/>
                      <w:divBdr>
                        <w:top w:val="none" w:sz="0" w:space="0" w:color="auto"/>
                        <w:left w:val="none" w:sz="0" w:space="0" w:color="auto"/>
                        <w:bottom w:val="none" w:sz="0" w:space="0" w:color="auto"/>
                        <w:right w:val="none" w:sz="0" w:space="0" w:color="auto"/>
                      </w:divBdr>
                      <w:divsChild>
                        <w:div w:id="652951717">
                          <w:marLeft w:val="2325"/>
                          <w:marRight w:val="0"/>
                          <w:marTop w:val="0"/>
                          <w:marBottom w:val="0"/>
                          <w:divBdr>
                            <w:top w:val="none" w:sz="0" w:space="0" w:color="auto"/>
                            <w:left w:val="none" w:sz="0" w:space="0" w:color="auto"/>
                            <w:bottom w:val="none" w:sz="0" w:space="0" w:color="auto"/>
                            <w:right w:val="none" w:sz="0" w:space="0" w:color="auto"/>
                          </w:divBdr>
                          <w:divsChild>
                            <w:div w:id="760223686">
                              <w:marLeft w:val="0"/>
                              <w:marRight w:val="0"/>
                              <w:marTop w:val="0"/>
                              <w:marBottom w:val="0"/>
                              <w:divBdr>
                                <w:top w:val="none" w:sz="0" w:space="0" w:color="auto"/>
                                <w:left w:val="none" w:sz="0" w:space="0" w:color="auto"/>
                                <w:bottom w:val="none" w:sz="0" w:space="0" w:color="auto"/>
                                <w:right w:val="none" w:sz="0" w:space="0" w:color="auto"/>
                              </w:divBdr>
                              <w:divsChild>
                                <w:div w:id="321736611">
                                  <w:marLeft w:val="0"/>
                                  <w:marRight w:val="0"/>
                                  <w:marTop w:val="0"/>
                                  <w:marBottom w:val="0"/>
                                  <w:divBdr>
                                    <w:top w:val="none" w:sz="0" w:space="0" w:color="auto"/>
                                    <w:left w:val="none" w:sz="0" w:space="0" w:color="auto"/>
                                    <w:bottom w:val="none" w:sz="0" w:space="0" w:color="auto"/>
                                    <w:right w:val="none" w:sz="0" w:space="0" w:color="auto"/>
                                  </w:divBdr>
                                  <w:divsChild>
                                    <w:div w:id="55907160">
                                      <w:marLeft w:val="0"/>
                                      <w:marRight w:val="0"/>
                                      <w:marTop w:val="0"/>
                                      <w:marBottom w:val="0"/>
                                      <w:divBdr>
                                        <w:top w:val="none" w:sz="0" w:space="0" w:color="auto"/>
                                        <w:left w:val="none" w:sz="0" w:space="0" w:color="auto"/>
                                        <w:bottom w:val="none" w:sz="0" w:space="0" w:color="auto"/>
                                        <w:right w:val="none" w:sz="0" w:space="0" w:color="auto"/>
                                      </w:divBdr>
                                      <w:divsChild>
                                        <w:div w:id="1631669443">
                                          <w:marLeft w:val="480"/>
                                          <w:marRight w:val="0"/>
                                          <w:marTop w:val="0"/>
                                          <w:marBottom w:val="0"/>
                                          <w:divBdr>
                                            <w:top w:val="none" w:sz="0" w:space="0" w:color="auto"/>
                                            <w:left w:val="none" w:sz="0" w:space="0" w:color="auto"/>
                                            <w:bottom w:val="none" w:sz="0" w:space="0" w:color="auto"/>
                                            <w:right w:val="none" w:sz="0" w:space="0" w:color="auto"/>
                                          </w:divBdr>
                                          <w:divsChild>
                                            <w:div w:id="809716260">
                                              <w:marLeft w:val="0"/>
                                              <w:marRight w:val="0"/>
                                              <w:marTop w:val="0"/>
                                              <w:marBottom w:val="0"/>
                                              <w:divBdr>
                                                <w:top w:val="none" w:sz="0" w:space="0" w:color="auto"/>
                                                <w:left w:val="none" w:sz="0" w:space="0" w:color="auto"/>
                                                <w:bottom w:val="none" w:sz="0" w:space="0" w:color="auto"/>
                                                <w:right w:val="none" w:sz="0" w:space="0" w:color="auto"/>
                                              </w:divBdr>
                                              <w:divsChild>
                                                <w:div w:id="1091463317">
                                                  <w:marLeft w:val="0"/>
                                                  <w:marRight w:val="0"/>
                                                  <w:marTop w:val="0"/>
                                                  <w:marBottom w:val="0"/>
                                                  <w:divBdr>
                                                    <w:top w:val="none" w:sz="0" w:space="0" w:color="auto"/>
                                                    <w:left w:val="none" w:sz="0" w:space="0" w:color="auto"/>
                                                    <w:bottom w:val="none" w:sz="0" w:space="0" w:color="auto"/>
                                                    <w:right w:val="none" w:sz="0" w:space="0" w:color="auto"/>
                                                  </w:divBdr>
                                                  <w:divsChild>
                                                    <w:div w:id="2137213749">
                                                      <w:marLeft w:val="0"/>
                                                      <w:marRight w:val="0"/>
                                                      <w:marTop w:val="0"/>
                                                      <w:marBottom w:val="0"/>
                                                      <w:divBdr>
                                                        <w:top w:val="none" w:sz="0" w:space="0" w:color="auto"/>
                                                        <w:left w:val="none" w:sz="0" w:space="0" w:color="auto"/>
                                                        <w:bottom w:val="none" w:sz="0" w:space="0" w:color="auto"/>
                                                        <w:right w:val="none" w:sz="0" w:space="0" w:color="auto"/>
                                                      </w:divBdr>
                                                      <w:divsChild>
                                                        <w:div w:id="32196136">
                                                          <w:marLeft w:val="0"/>
                                                          <w:marRight w:val="0"/>
                                                          <w:marTop w:val="0"/>
                                                          <w:marBottom w:val="0"/>
                                                          <w:divBdr>
                                                            <w:top w:val="none" w:sz="0" w:space="0" w:color="auto"/>
                                                            <w:left w:val="none" w:sz="0" w:space="0" w:color="auto"/>
                                                            <w:bottom w:val="none" w:sz="0" w:space="0" w:color="auto"/>
                                                            <w:right w:val="none" w:sz="0" w:space="0" w:color="auto"/>
                                                          </w:divBdr>
                                                          <w:divsChild>
                                                            <w:div w:id="997422458">
                                                              <w:marLeft w:val="0"/>
                                                              <w:marRight w:val="0"/>
                                                              <w:marTop w:val="0"/>
                                                              <w:marBottom w:val="0"/>
                                                              <w:divBdr>
                                                                <w:top w:val="none" w:sz="0" w:space="0" w:color="auto"/>
                                                                <w:left w:val="none" w:sz="0" w:space="0" w:color="auto"/>
                                                                <w:bottom w:val="none" w:sz="0" w:space="0" w:color="auto"/>
                                                                <w:right w:val="none" w:sz="0" w:space="0" w:color="auto"/>
                                                              </w:divBdr>
                                                              <w:divsChild>
                                                                <w:div w:id="641886974">
                                                                  <w:marLeft w:val="0"/>
                                                                  <w:marRight w:val="0"/>
                                                                  <w:marTop w:val="0"/>
                                                                  <w:marBottom w:val="0"/>
                                                                  <w:divBdr>
                                                                    <w:top w:val="none" w:sz="0" w:space="0" w:color="auto"/>
                                                                    <w:left w:val="none" w:sz="0" w:space="0" w:color="auto"/>
                                                                    <w:bottom w:val="none" w:sz="0" w:space="0" w:color="auto"/>
                                                                    <w:right w:val="none" w:sz="0" w:space="0" w:color="auto"/>
                                                                  </w:divBdr>
                                                                  <w:divsChild>
                                                                    <w:div w:id="386033826">
                                                                      <w:marLeft w:val="0"/>
                                                                      <w:marRight w:val="0"/>
                                                                      <w:marTop w:val="0"/>
                                                                      <w:marBottom w:val="0"/>
                                                                      <w:divBdr>
                                                                        <w:top w:val="none" w:sz="0" w:space="0" w:color="auto"/>
                                                                        <w:left w:val="none" w:sz="0" w:space="0" w:color="auto"/>
                                                                        <w:bottom w:val="none" w:sz="0" w:space="0" w:color="auto"/>
                                                                        <w:right w:val="none" w:sz="0" w:space="0" w:color="auto"/>
                                                                      </w:divBdr>
                                                                      <w:divsChild>
                                                                        <w:div w:id="328752936">
                                                                          <w:marLeft w:val="0"/>
                                                                          <w:marRight w:val="0"/>
                                                                          <w:marTop w:val="96"/>
                                                                          <w:marBottom w:val="0"/>
                                                                          <w:divBdr>
                                                                            <w:top w:val="none" w:sz="0" w:space="0" w:color="auto"/>
                                                                            <w:left w:val="none" w:sz="0" w:space="0" w:color="auto"/>
                                                                            <w:bottom w:val="none" w:sz="0" w:space="0" w:color="auto"/>
                                                                            <w:right w:val="none" w:sz="0" w:space="0" w:color="auto"/>
                                                                          </w:divBdr>
                                                                          <w:divsChild>
                                                                            <w:div w:id="2000958054">
                                                                              <w:marLeft w:val="0"/>
                                                                              <w:marRight w:val="0"/>
                                                                              <w:marTop w:val="72"/>
                                                                              <w:marBottom w:val="0"/>
                                                                              <w:divBdr>
                                                                                <w:top w:val="none" w:sz="0" w:space="0" w:color="auto"/>
                                                                                <w:left w:val="none" w:sz="0" w:space="0" w:color="auto"/>
                                                                                <w:bottom w:val="none" w:sz="0" w:space="0" w:color="auto"/>
                                                                                <w:right w:val="none" w:sz="0" w:space="0" w:color="auto"/>
                                                                              </w:divBdr>
                                                                              <w:divsChild>
                                                                                <w:div w:id="1627001050">
                                                                                  <w:marLeft w:val="0"/>
                                                                                  <w:marRight w:val="0"/>
                                                                                  <w:marTop w:val="0"/>
                                                                                  <w:marBottom w:val="0"/>
                                                                                  <w:divBdr>
                                                                                    <w:top w:val="none" w:sz="0" w:space="0" w:color="auto"/>
                                                                                    <w:left w:val="none" w:sz="0" w:space="0" w:color="auto"/>
                                                                                    <w:bottom w:val="none" w:sz="0" w:space="0" w:color="auto"/>
                                                                                    <w:right w:val="none" w:sz="0" w:space="0" w:color="auto"/>
                                                                                  </w:divBdr>
                                                                                  <w:divsChild>
                                                                                    <w:div w:id="12712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JE6N4JFJXNNF-17-41924</_dlc_DocId>
    <_dlc_DocIdUrl xmlns="8b66ae41-1ec6-402e-b662-35d1932ca064">
      <Url>http://rkdhs-sb/enhet/EUKansli/_layouts/DocIdRedir.aspx?ID=JE6N4JFJXNNF-17-41924</Url>
      <Description>JE6N4JFJXNNF-17-41924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4D62E-4856-468F-9ED8-5974B25696FB}">
  <ds:schemaRefs>
    <ds:schemaRef ds:uri="http://schemas.microsoft.com/office/infopath/2007/PartnerControls"/>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8b66ae41-1ec6-402e-b662-35d1932ca064"/>
    <ds:schemaRef ds:uri="http://www.w3.org/XML/1998/namespace"/>
  </ds:schemaRefs>
</ds:datastoreItem>
</file>

<file path=customXml/itemProps2.xml><?xml version="1.0" encoding="utf-8"?>
<ds:datastoreItem xmlns:ds="http://schemas.openxmlformats.org/officeDocument/2006/customXml" ds:itemID="{75CDFDD4-047C-4E63-9E7F-75EA745D1E0F}">
  <ds:schemaRefs>
    <ds:schemaRef ds:uri="http://schemas.microsoft.com/sharepoint/v3/contenttype/forms"/>
  </ds:schemaRefs>
</ds:datastoreItem>
</file>

<file path=customXml/itemProps3.xml><?xml version="1.0" encoding="utf-8"?>
<ds:datastoreItem xmlns:ds="http://schemas.openxmlformats.org/officeDocument/2006/customXml" ds:itemID="{99E11C00-40CE-4B9E-8727-9AF82EA2D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4034A2-A149-483C-871B-CBC77380B4B2}">
  <ds:schemaRefs>
    <ds:schemaRef ds:uri="http://schemas.microsoft.com/sharepoint/events"/>
  </ds:schemaRefs>
</ds:datastoreItem>
</file>

<file path=customXml/itemProps5.xml><?xml version="1.0" encoding="utf-8"?>
<ds:datastoreItem xmlns:ds="http://schemas.openxmlformats.org/officeDocument/2006/customXml" ds:itemID="{A223DE62-865A-42CD-81D5-F63EB910277B}">
  <ds:schemaRefs>
    <ds:schemaRef ds:uri="http://schemas.microsoft.com/office/2006/metadata/customXsn"/>
  </ds:schemaRefs>
</ds:datastoreItem>
</file>

<file path=customXml/itemProps6.xml><?xml version="1.0" encoding="utf-8"?>
<ds:datastoreItem xmlns:ds="http://schemas.openxmlformats.org/officeDocument/2006/customXml" ds:itemID="{098322B8-A82E-482E-A755-8ABFDD1E88AA}">
  <ds:schemaRefs>
    <ds:schemaRef ds:uri="http://schemas.microsoft.com/sharepoint/v3/contenttype/forms/url"/>
  </ds:schemaRefs>
</ds:datastoreItem>
</file>

<file path=customXml/itemProps7.xml><?xml version="1.0" encoding="utf-8"?>
<ds:datastoreItem xmlns:ds="http://schemas.openxmlformats.org/officeDocument/2006/customXml" ds:itemID="{B319A1A4-362A-47FD-BD4F-4F61888DA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8996</Words>
  <Characters>47679</Characters>
  <Application>Microsoft Office Word</Application>
  <DocSecurity>0</DocSecurity>
  <Lines>397</Lines>
  <Paragraphs>113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56562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4</cp:revision>
  <dcterms:created xsi:type="dcterms:W3CDTF">2016-06-22T06:16:00Z</dcterms:created>
  <dcterms:modified xsi:type="dcterms:W3CDTF">2016-06-22T06:20:00Z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1,3,4,5,6,7,8,9,10,11,12,13,14,15,16,18,19,20,21,22,23,24,25,26</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36b0ff31-65e9-4c80-bd71-1fed127ff608</vt:lpwstr>
  </property>
</Properties>
</file>