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2D0F" w:rsidRPr="00986559" w:rsidRDefault="00122D0F">
      <w:pPr>
        <w:pStyle w:val="Frslagsrubrik"/>
      </w:pPr>
      <w:r w:rsidRPr="00986559">
        <w:t>Förslag till riksdagsbeslut</w:t>
      </w:r>
    </w:p>
    <w:p w:rsidR="00122D0F" w:rsidRPr="00986559" w:rsidRDefault="00122D0F">
      <w:pPr>
        <w:pStyle w:val="Hemstlatt"/>
        <w:numPr>
          <w:ilvl w:val="0"/>
          <w:numId w:val="1"/>
        </w:numPr>
      </w:pPr>
      <w:r w:rsidRPr="00986559">
        <w:t>Riksdagen tillkännager för regeringen som sin mening vad som anförs i motionen om att vidta åtgärder för att öve</w:t>
      </w:r>
      <w:r w:rsidRPr="00986559">
        <w:t>r</w:t>
      </w:r>
      <w:r w:rsidRPr="00986559">
        <w:t>föra godstrafik från vägar till båtar.</w:t>
      </w:r>
    </w:p>
    <w:p w:rsidR="00122D0F" w:rsidRPr="00986559" w:rsidRDefault="00122D0F">
      <w:pPr>
        <w:pStyle w:val="Hemstlatt"/>
        <w:numPr>
          <w:ilvl w:val="0"/>
          <w:numId w:val="1"/>
        </w:numPr>
      </w:pPr>
      <w:r w:rsidRPr="00986559">
        <w:t>Riksdagen tillkännager för regeringen som sin mening vad som anförs i motionen om att inre vattenvägar som Göta älv, Trol</w:t>
      </w:r>
      <w:r w:rsidRPr="00986559">
        <w:t>l</w:t>
      </w:r>
      <w:r w:rsidRPr="00986559">
        <w:t>hätte kanal, Vänern och Mälaren bör införlivas i EU:s regelverk om inre vattenvägar.</w:t>
      </w:r>
    </w:p>
    <w:p w:rsidR="00122D0F" w:rsidRPr="00986559" w:rsidRDefault="00122D0F">
      <w:pPr>
        <w:pStyle w:val="Rubrik1"/>
      </w:pPr>
      <w:r w:rsidRPr="00986559">
        <w:t>Motivering</w:t>
      </w:r>
    </w:p>
    <w:p w:rsidR="00122D0F" w:rsidRPr="00986559" w:rsidRDefault="00122D0F">
      <w:r w:rsidRPr="00986559">
        <w:t>För att uppnå klimatmålen måste utsläppen av växthusgaser minskas radikalt. Det kräver naturligtvis många typer av åtgärder inom alla samhällssektorer där minskade utsläpp från transportsystemet är centralt.</w:t>
      </w:r>
    </w:p>
    <w:p w:rsidR="00122D0F" w:rsidRPr="00986559" w:rsidRDefault="00122D0F">
      <w:pPr>
        <w:pStyle w:val="Normaltindrag"/>
      </w:pPr>
      <w:r w:rsidRPr="00986559">
        <w:t>Ser man det ur energisynpunkt är bästa sättet att transportera stora god</w:t>
      </w:r>
      <w:r w:rsidRPr="00986559">
        <w:t>s</w:t>
      </w:r>
      <w:r w:rsidRPr="00986559">
        <w:t>flöden på vatten, därnäst kommer järnvägen, sedan lastbilstrafiken och dyrast är flyget. För att framgångsrikt kunna minska utsläppen bör så mycket god</w:t>
      </w:r>
      <w:r w:rsidRPr="00986559">
        <w:t>s</w:t>
      </w:r>
      <w:r w:rsidRPr="00986559">
        <w:t>trafik som möjligt över från lastbil till järnväg och båt.</w:t>
      </w:r>
    </w:p>
    <w:p w:rsidR="00122D0F" w:rsidRPr="00986559" w:rsidRDefault="00122D0F">
      <w:pPr>
        <w:pStyle w:val="Normaltindrag"/>
      </w:pPr>
      <w:r w:rsidRPr="00986559">
        <w:t>En sådan utveckling har stöd i dagens arbetssätt med förutsättningslös transportövergripande analys för att ta fram effektivaste transportslag.</w:t>
      </w:r>
    </w:p>
    <w:p w:rsidR="00122D0F" w:rsidRPr="00986559" w:rsidRDefault="00122D0F">
      <w:pPr>
        <w:pStyle w:val="Normaltindrag"/>
      </w:pPr>
      <w:r w:rsidRPr="00986559">
        <w:t>Sverige har drygt 50 hamnar och vattenvägarna är en stor möjlighet att a</w:t>
      </w:r>
      <w:r w:rsidRPr="00986559">
        <w:t>v</w:t>
      </w:r>
      <w:r w:rsidRPr="00986559">
        <w:t>lasta vägnätet och därmed minska klimatbelastningen. Stora godsvolymer kan då transporteras på fartyg med minimal energiåtgång.</w:t>
      </w:r>
    </w:p>
    <w:p w:rsidR="00122D0F" w:rsidRPr="00986559" w:rsidRDefault="00122D0F">
      <w:pPr>
        <w:pStyle w:val="Normaltindrag"/>
      </w:pPr>
      <w:r w:rsidRPr="00986559">
        <w:t>Det finns stora möjligheter att utveckla och öka sjöfarten både inrikes och i Sveriges närområde och detta bör kunna genomföras relativt snabbt.</w:t>
      </w:r>
    </w:p>
    <w:p w:rsidR="00122D0F" w:rsidRPr="00986559" w:rsidRDefault="00122D0F">
      <w:pPr>
        <w:pStyle w:val="Normaltindrag"/>
      </w:pPr>
      <w:r w:rsidRPr="00986559">
        <w:t>Infrastrukturen finns till stora delar redan på plats och kostnaderna för u</w:t>
      </w:r>
      <w:r w:rsidRPr="00986559">
        <w:t>n</w:t>
      </w:r>
      <w:r w:rsidRPr="00986559">
        <w:t>derhållet av vattenvägarna är närmast försumbara om man jämför med lan</w:t>
      </w:r>
      <w:r w:rsidRPr="00986559">
        <w:t>d</w:t>
      </w:r>
      <w:r w:rsidRPr="00986559">
        <w:t>tran</w:t>
      </w:r>
      <w:r w:rsidRPr="00986559">
        <w:t>s</w:t>
      </w:r>
      <w:r w:rsidRPr="00986559">
        <w:t>porter på järnväg och väg.</w:t>
      </w:r>
    </w:p>
    <w:p w:rsidR="00122D0F" w:rsidRPr="00986559" w:rsidRDefault="00122D0F">
      <w:pPr>
        <w:pStyle w:val="Normaltindrag"/>
      </w:pPr>
      <w:r w:rsidRPr="00986559">
        <w:lastRenderedPageBreak/>
        <w:t>En förutsättning är då att infrastrukturen, i form av järnvägar och vägar kopplade till hamnarna, ger en effektiv övergång från sjöfart till landtransport.</w:t>
      </w:r>
    </w:p>
    <w:p w:rsidR="00122D0F" w:rsidRPr="00986559" w:rsidRDefault="00122D0F">
      <w:r w:rsidRPr="00986559">
        <w:t>Inrikessjöfarten är under tio procent av godshanteringen i våra svenska ha</w:t>
      </w:r>
      <w:r w:rsidRPr="00986559">
        <w:t>m</w:t>
      </w:r>
      <w:r w:rsidRPr="00986559">
        <w:t>nar, vilket får anses vara lågt med tanke på våra förutsättningar med lång kust och möjlighet till inlandssjöfart via Vänern och Mälaren.</w:t>
      </w:r>
    </w:p>
    <w:p w:rsidR="00122D0F" w:rsidRPr="00986559" w:rsidRDefault="00122D0F">
      <w:pPr>
        <w:pStyle w:val="Normaltindrag"/>
      </w:pPr>
      <w:r w:rsidRPr="00986559">
        <w:t>Ett vanligt Vänerfartyg motsvarar 100 långtradare eller 75 järnvägsvagnar. Fyra fartyg på Göta älv varje vardagsdygn motsvarar med andra ord 400 lån</w:t>
      </w:r>
      <w:r w:rsidRPr="00986559">
        <w:t>g</w:t>
      </w:r>
      <w:r w:rsidRPr="00986559">
        <w:t>tradare eller 15 långa tåg.</w:t>
      </w:r>
    </w:p>
    <w:p w:rsidR="00122D0F" w:rsidRPr="00986559" w:rsidRDefault="00122D0F">
      <w:pPr>
        <w:pStyle w:val="Normaltindrag"/>
      </w:pPr>
      <w:r w:rsidRPr="00986559">
        <w:t>Det finns redan idag företagsekonomiska förutsättningar för en containe</w:t>
      </w:r>
      <w:r w:rsidRPr="00986559">
        <w:t>r</w:t>
      </w:r>
      <w:r w:rsidRPr="00986559">
        <w:t>älvpendel i slinga mellan Göteborg, hamnläge Vänersborg och Kristinehamn.</w:t>
      </w:r>
    </w:p>
    <w:p w:rsidR="00122D0F" w:rsidRPr="00986559" w:rsidRDefault="00122D0F">
      <w:pPr>
        <w:pStyle w:val="Normaltindrag"/>
      </w:pPr>
      <w:r w:rsidRPr="00986559">
        <w:t>Den omfattande renovering av slussystemet i Göta älv som skett under a</w:t>
      </w:r>
      <w:r w:rsidRPr="00986559">
        <w:t>u</w:t>
      </w:r>
      <w:r w:rsidRPr="00986559">
        <w:t>gusti–september 2011 är naturligtvis en grundläggande förutsättning för att utveckla den stora potential som finns för ökad Vänertrafik och inger fra</w:t>
      </w:r>
      <w:r w:rsidRPr="00986559">
        <w:t>m</w:t>
      </w:r>
      <w:r w:rsidRPr="00986559">
        <w:t>tidstro.</w:t>
      </w:r>
    </w:p>
    <w:p w:rsidR="00122D0F" w:rsidRPr="00986559" w:rsidRDefault="00122D0F">
      <w:pPr>
        <w:pStyle w:val="Normaltindrag"/>
      </w:pPr>
      <w:r w:rsidRPr="00986559">
        <w:t>Ett stort hinder för utveckling av inre sjöfart i Sverige är dock att våra inre vattenvägar inte är införlivade i EU:s gemenskapslagstiftning som rör inre sjöfart.</w:t>
      </w:r>
    </w:p>
    <w:p w:rsidR="00122D0F" w:rsidRPr="00986559" w:rsidRDefault="00122D0F">
      <w:pPr>
        <w:pStyle w:val="Normaltindrag"/>
      </w:pPr>
      <w:r w:rsidRPr="00986559">
        <w:t>Den process som nu pågår om ett införlivande av EU:s regelverk för inre vattenvägar även i Sverige bör resultera i att denna förändring genomförs.</w:t>
      </w:r>
    </w:p>
    <w:p w:rsidR="00122D0F" w:rsidRPr="00986559" w:rsidRDefault="00122D0F">
      <w:pPr>
        <w:pStyle w:val="Normaltindrag"/>
      </w:pPr>
      <w:r w:rsidRPr="00986559">
        <w:t>Detta måste naturligtvis ske utan att sjösäkerheten äventyras. Det är inte minst viktigt med tanke på att våra inre vattenvägar också är vattentäkter för ett stort antal människor. Mälaren förser cirka två miljoner människor med råvatten, Göta älv är råvattentäkt för Göteborg och Vänern betjänar många orter kring sjön.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86559">
        <w:trPr>
          <w:cantSplit/>
        </w:trPr>
        <w:tc>
          <w:tcPr>
            <w:tcW w:w="3046" w:type="dxa"/>
          </w:tcPr>
          <w:p w:rsidR="00122D0F" w:rsidRPr="00986559" w:rsidRDefault="00122D0F">
            <w:pPr>
              <w:pStyle w:val="UnderskriftDatum"/>
              <w:spacing w:before="240"/>
            </w:pPr>
            <w:r w:rsidRPr="00986559">
              <w:t>Stockholm den 5 oktober 2011</w:t>
            </w:r>
          </w:p>
        </w:tc>
        <w:tc>
          <w:tcPr>
            <w:tcW w:w="3047" w:type="dxa"/>
          </w:tcPr>
          <w:p w:rsidR="00122D0F" w:rsidRPr="00986559" w:rsidRDefault="00122D0F">
            <w:pPr>
              <w:pStyle w:val="Underskrifter"/>
              <w:spacing w:before="240"/>
            </w:pPr>
          </w:p>
        </w:tc>
      </w:tr>
      <w:tr w:rsidR="00000000" w:rsidRPr="00986559">
        <w:trPr>
          <w:cantSplit/>
        </w:trPr>
        <w:tc>
          <w:tcPr>
            <w:tcW w:w="3046" w:type="dxa"/>
          </w:tcPr>
          <w:p w:rsidR="00122D0F" w:rsidRPr="00986559" w:rsidRDefault="00122D0F">
            <w:pPr>
              <w:pStyle w:val="Underskrifter"/>
            </w:pPr>
            <w:r w:rsidRPr="00986559">
              <w:t>Anita Brodén (FP)</w:t>
            </w:r>
          </w:p>
        </w:tc>
        <w:tc>
          <w:tcPr>
            <w:tcW w:w="3046" w:type="dxa"/>
          </w:tcPr>
          <w:p w:rsidR="00122D0F" w:rsidRPr="00986559" w:rsidRDefault="00122D0F">
            <w:pPr>
              <w:pStyle w:val="Underskrifter"/>
            </w:pPr>
          </w:p>
        </w:tc>
      </w:tr>
      <w:tr w:rsidR="00000000" w:rsidRPr="00986559">
        <w:trPr>
          <w:cantSplit/>
        </w:trPr>
        <w:tc>
          <w:tcPr>
            <w:tcW w:w="3046" w:type="dxa"/>
          </w:tcPr>
          <w:p w:rsidR="00122D0F" w:rsidRPr="00986559" w:rsidRDefault="00122D0F">
            <w:pPr>
              <w:pStyle w:val="Underskrifter"/>
            </w:pPr>
            <w:r w:rsidRPr="00986559">
              <w:t>Lars Tysklind (FP)</w:t>
            </w:r>
          </w:p>
        </w:tc>
        <w:tc>
          <w:tcPr>
            <w:tcW w:w="3046" w:type="dxa"/>
          </w:tcPr>
          <w:p w:rsidR="00122D0F" w:rsidRPr="00986559" w:rsidRDefault="00122D0F">
            <w:pPr>
              <w:pStyle w:val="Underskrifter"/>
            </w:pPr>
            <w:r w:rsidRPr="00986559">
              <w:t>Nina Lundström (FP)</w:t>
            </w:r>
          </w:p>
        </w:tc>
      </w:tr>
    </w:tbl>
    <w:p w:rsidR="00122D0F" w:rsidRPr="00986559" w:rsidRDefault="00122D0F">
      <w:pPr>
        <w:pStyle w:val="Normaltindrag"/>
      </w:pPr>
    </w:p>
    <w:sectPr w:rsidR="00122D0F" w:rsidRPr="0098655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2D0F" w:rsidRPr="00986559" w:rsidRDefault="00122D0F">
      <w:r w:rsidRPr="00986559">
        <w:separator/>
      </w:r>
    </w:p>
  </w:endnote>
  <w:endnote w:type="continuationSeparator" w:id="0">
    <w:p w:rsidR="00122D0F" w:rsidRPr="00986559" w:rsidRDefault="00122D0F">
      <w:r w:rsidRPr="009865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D0F" w:rsidRPr="00986559" w:rsidRDefault="00986559">
    <w:pPr>
      <w:pStyle w:val="Sidfot"/>
    </w:pPr>
    <w:r w:rsidRPr="0098655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89215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2D0F" w:rsidRDefault="00122D0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22D0F" w:rsidRDefault="00122D0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D0F" w:rsidRPr="00986559" w:rsidRDefault="00986559">
    <w:pPr>
      <w:pStyle w:val="Sidfot"/>
    </w:pPr>
    <w:r w:rsidRPr="0098655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7740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2D0F" w:rsidRDefault="00122D0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22D0F" w:rsidRDefault="00122D0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D0F" w:rsidRPr="00986559" w:rsidRDefault="00986559">
    <w:pPr>
      <w:pStyle w:val="Sidfot"/>
    </w:pPr>
    <w:r w:rsidRPr="0098655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85827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2D0F" w:rsidRDefault="00122D0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22D0F" w:rsidRDefault="00122D0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2D0F" w:rsidRPr="00986559" w:rsidRDefault="00122D0F">
      <w:r w:rsidRPr="00986559">
        <w:separator/>
      </w:r>
    </w:p>
  </w:footnote>
  <w:footnote w:type="continuationSeparator" w:id="0">
    <w:p w:rsidR="00122D0F" w:rsidRPr="00986559" w:rsidRDefault="00122D0F">
      <w:r w:rsidRPr="009865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D0F" w:rsidRPr="00986559" w:rsidRDefault="00986559">
    <w:pPr>
      <w:pStyle w:val="Sidhuvud"/>
    </w:pPr>
    <w:r w:rsidRPr="0098655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441423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2D0F" w:rsidRDefault="00122D0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22D0F" w:rsidRDefault="00122D0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D0F" w:rsidRPr="00986559" w:rsidRDefault="00986559">
    <w:pPr>
      <w:pStyle w:val="Sidhuvud"/>
    </w:pPr>
    <w:r w:rsidRPr="0098655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864311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2D0F" w:rsidRDefault="00122D0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22D0F" w:rsidRDefault="00122D0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D0F" w:rsidRPr="00986559" w:rsidRDefault="00122D0F">
    <w:pPr>
      <w:pStyle w:val="FSHNormal"/>
      <w:tabs>
        <w:tab w:val="right" w:pos="5840"/>
      </w:tabs>
    </w:pPr>
    <w:r w:rsidRPr="00986559">
      <w:br/>
    </w:r>
    <w:r w:rsidRPr="00986559">
      <w:fldChar w:fldCharType="begin" w:fldLock="1"/>
    </w:r>
    <w:r w:rsidRPr="00986559">
      <w:instrText xml:space="preserve"> DOCPROPERTY</w:instrText>
    </w:r>
    <w:r w:rsidRPr="00986559">
      <w:rPr>
        <w:sz w:val="18"/>
      </w:rPr>
      <w:instrText xml:space="preserve"> "YearUser" *\charformat </w:instrText>
    </w:r>
    <w:r w:rsidRPr="00986559">
      <w:fldChar w:fldCharType="separate"/>
    </w:r>
    <w:r w:rsidRPr="00986559">
      <w:t>2011/12</w:t>
    </w:r>
    <w:r w:rsidRPr="00986559">
      <w:fldChar w:fldCharType="end"/>
    </w:r>
    <w:r w:rsidRPr="00986559">
      <w:t xml:space="preserve"> </w:t>
    </w:r>
    <w:r w:rsidRPr="00986559">
      <w:tab/>
      <w:t xml:space="preserve">mnr: </w:t>
    </w:r>
    <w:r w:rsidRPr="00986559">
      <w:fldChar w:fldCharType="begin" w:fldLock="1"/>
    </w:r>
    <w:r w:rsidRPr="00986559">
      <w:instrText xml:space="preserve"> DOCPROPERTY</w:instrText>
    </w:r>
    <w:r w:rsidRPr="00986559">
      <w:rPr>
        <w:sz w:val="18"/>
      </w:rPr>
      <w:instrText xml:space="preserve"> "Motionsnummer" *\charformat </w:instrText>
    </w:r>
    <w:r w:rsidRPr="00986559">
      <w:fldChar w:fldCharType="separate"/>
    </w:r>
    <w:r w:rsidRPr="00986559">
      <w:t>T398</w:t>
    </w:r>
    <w:r w:rsidRPr="00986559">
      <w:fldChar w:fldCharType="end"/>
    </w:r>
    <w:r w:rsidRPr="00986559">
      <w:br/>
    </w:r>
    <w:r w:rsidRPr="00986559">
      <w:fldChar w:fldCharType="begin" w:fldLock="1"/>
    </w:r>
    <w:r w:rsidRPr="00986559">
      <w:instrText xml:space="preserve"> DOCPROPERTY</w:instrText>
    </w:r>
    <w:r w:rsidRPr="00986559">
      <w:rPr>
        <w:sz w:val="18"/>
      </w:rPr>
      <w:instrText xml:space="preserve"> "Samling" *\charformat </w:instrText>
    </w:r>
    <w:r w:rsidRPr="00986559">
      <w:fldChar w:fldCharType="end"/>
    </w:r>
    <w:r w:rsidRPr="00986559">
      <w:tab/>
      <w:t xml:space="preserve">pnr: </w:t>
    </w:r>
    <w:r w:rsidRPr="00986559">
      <w:fldChar w:fldCharType="begin" w:fldLock="1"/>
    </w:r>
    <w:r w:rsidRPr="00986559">
      <w:instrText xml:space="preserve"> DOCPROPERTY</w:instrText>
    </w:r>
    <w:r w:rsidRPr="00986559">
      <w:rPr>
        <w:sz w:val="18"/>
      </w:rPr>
      <w:instrText xml:space="preserve"> "Partinummer" *\charformat </w:instrText>
    </w:r>
    <w:r w:rsidRPr="00986559">
      <w:fldChar w:fldCharType="separate"/>
    </w:r>
    <w:r w:rsidRPr="00986559">
      <w:t>FP1160</w:t>
    </w:r>
    <w:r w:rsidRPr="00986559">
      <w:fldChar w:fldCharType="end"/>
    </w:r>
  </w:p>
  <w:p w:rsidR="00122D0F" w:rsidRPr="00986559" w:rsidRDefault="00122D0F">
    <w:pPr>
      <w:pStyle w:val="FSHRub1"/>
    </w:pPr>
    <w:r w:rsidRPr="00986559">
      <w:t>Motion till riksdagen</w:t>
    </w:r>
    <w:r w:rsidRPr="00986559">
      <w:br/>
    </w:r>
    <w:r w:rsidRPr="00986559">
      <w:fldChar w:fldCharType="begin" w:fldLock="1"/>
    </w:r>
    <w:r w:rsidRPr="00986559">
      <w:instrText xml:space="preserve"> DOCPROPERTY "YearUser" *\charformat </w:instrText>
    </w:r>
    <w:r w:rsidRPr="00986559">
      <w:fldChar w:fldCharType="separate"/>
    </w:r>
    <w:r w:rsidRPr="00986559">
      <w:t>2011/12</w:t>
    </w:r>
    <w:r w:rsidRPr="00986559">
      <w:fldChar w:fldCharType="end"/>
    </w:r>
    <w:r w:rsidRPr="00986559">
      <w:t>:</w:t>
    </w:r>
    <w:r w:rsidRPr="00986559">
      <w:fldChar w:fldCharType="begin" w:fldLock="1"/>
    </w:r>
    <w:r w:rsidRPr="00986559">
      <w:instrText xml:space="preserve"> DOCPROPERTY "Motionsnummer" *\charformat </w:instrText>
    </w:r>
    <w:r w:rsidRPr="00986559">
      <w:fldChar w:fldCharType="separate"/>
    </w:r>
    <w:r w:rsidRPr="00986559">
      <w:t>T398</w:t>
    </w:r>
    <w:r w:rsidRPr="00986559">
      <w:fldChar w:fldCharType="end"/>
    </w:r>
  </w:p>
  <w:p w:rsidR="00122D0F" w:rsidRPr="00986559" w:rsidRDefault="00122D0F">
    <w:pPr>
      <w:pStyle w:val="FSHNormalS5"/>
    </w:pPr>
    <w:r w:rsidRPr="00986559">
      <w:fldChar w:fldCharType="begin" w:fldLock="1"/>
    </w:r>
    <w:r w:rsidRPr="00986559">
      <w:instrText xml:space="preserve"> DOCPROPERTY "MotionarText" *\charformat </w:instrText>
    </w:r>
    <w:r w:rsidRPr="00986559">
      <w:fldChar w:fldCharType="separate"/>
    </w:r>
    <w:r w:rsidRPr="00986559">
      <w:t>av Anita Brodén m.fl. (FP)</w:t>
    </w:r>
    <w:r w:rsidRPr="00986559">
      <w:fldChar w:fldCharType="end"/>
    </w:r>
    <w:r w:rsidRPr="00986559">
      <w:br/>
    </w:r>
    <w:r w:rsidRPr="00986559">
      <w:fldChar w:fldCharType="begin" w:fldLock="1"/>
    </w:r>
    <w:r w:rsidRPr="00986559">
      <w:instrText xml:space="preserve"> DOCPROPERTY "SvarFrasKort" *\charformat </w:instrText>
    </w:r>
    <w:r w:rsidRPr="00986559">
      <w:fldChar w:fldCharType="end"/>
    </w:r>
  </w:p>
  <w:p w:rsidR="00122D0F" w:rsidRPr="00986559" w:rsidRDefault="00122D0F">
    <w:pPr>
      <w:pStyle w:val="FSHTitel"/>
    </w:pPr>
    <w:r w:rsidRPr="00986559">
      <w:fldChar w:fldCharType="begin" w:fldLock="1"/>
    </w:r>
    <w:r w:rsidRPr="00986559">
      <w:instrText xml:space="preserve"> DOCPROPERTY</w:instrText>
    </w:r>
    <w:r w:rsidRPr="00986559">
      <w:rPr>
        <w:sz w:val="18"/>
      </w:rPr>
      <w:instrText xml:space="preserve"> "RubrikSvar" *\charformat </w:instrText>
    </w:r>
    <w:r w:rsidRPr="00986559">
      <w:fldChar w:fldCharType="separate"/>
    </w:r>
    <w:r w:rsidRPr="00986559">
      <w:t>Sjövägar</w:t>
    </w:r>
    <w:r w:rsidRPr="00986559">
      <w:fldChar w:fldCharType="end"/>
    </w:r>
  </w:p>
  <w:p w:rsidR="00122D0F" w:rsidRPr="00986559" w:rsidRDefault="00122D0F">
    <w:pPr>
      <w:pStyle w:val="Normal00"/>
    </w:pPr>
  </w:p>
  <w:p w:rsidR="00122D0F" w:rsidRPr="00986559" w:rsidRDefault="00122D0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4117CB6"/>
    <w:multiLevelType w:val="hybridMultilevel"/>
    <w:tmpl w:val="FDCC0AC2"/>
    <w:lvl w:ilvl="0" w:tplc="C5DADDF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3F2E17"/>
    <w:multiLevelType w:val="hybridMultilevel"/>
    <w:tmpl w:val="D5EE939C"/>
    <w:lvl w:ilvl="0" w:tplc="C60AE70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60425759">
    <w:abstractNumId w:val="3"/>
  </w:num>
  <w:num w:numId="2" w16cid:durableId="822353162">
    <w:abstractNumId w:val="2"/>
  </w:num>
  <w:num w:numId="3" w16cid:durableId="774715797">
    <w:abstractNumId w:val="1"/>
  </w:num>
  <w:num w:numId="4" w16cid:durableId="1132409102">
    <w:abstractNumId w:val="0"/>
  </w:num>
  <w:num w:numId="5" w16cid:durableId="479082208">
    <w:abstractNumId w:val="7"/>
  </w:num>
  <w:num w:numId="6" w16cid:durableId="1677423051">
    <w:abstractNumId w:val="6"/>
  </w:num>
  <w:num w:numId="7" w16cid:durableId="1317955586">
    <w:abstractNumId w:val="5"/>
  </w:num>
  <w:num w:numId="8" w16cid:durableId="1564488150">
    <w:abstractNumId w:val="4"/>
  </w:num>
  <w:num w:numId="9" w16cid:durableId="200098222">
    <w:abstractNumId w:val="8"/>
  </w:num>
  <w:num w:numId="10" w16cid:durableId="2111462562">
    <w:abstractNumId w:val="9"/>
  </w:num>
  <w:num w:numId="11" w16cid:durableId="15735542">
    <w:abstractNumId w:val="10"/>
  </w:num>
  <w:num w:numId="12" w16cid:durableId="179511029">
    <w:abstractNumId w:val="14"/>
  </w:num>
  <w:num w:numId="13" w16cid:durableId="1495801429">
    <w:abstractNumId w:val="17"/>
  </w:num>
  <w:num w:numId="14" w16cid:durableId="1484740143">
    <w:abstractNumId w:val="18"/>
  </w:num>
  <w:num w:numId="15" w16cid:durableId="555162172">
    <w:abstractNumId w:val="11"/>
  </w:num>
  <w:num w:numId="16" w16cid:durableId="932858681">
    <w:abstractNumId w:val="20"/>
  </w:num>
  <w:num w:numId="17" w16cid:durableId="195891774">
    <w:abstractNumId w:val="19"/>
  </w:num>
  <w:num w:numId="18" w16cid:durableId="2120367360">
    <w:abstractNumId w:val="15"/>
  </w:num>
  <w:num w:numId="19" w16cid:durableId="1459832642">
    <w:abstractNumId w:val="13"/>
  </w:num>
  <w:num w:numId="20" w16cid:durableId="1902523869">
    <w:abstractNumId w:val="16"/>
  </w:num>
  <w:num w:numId="21" w16cid:durableId="3635570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E3BA8755-2A3D-40E1-BF2D-DD31EAB9357C},{9136F3CA-4062-43C1-B419-36BAC742980F},{39CA0598-D59E-4FA5-A67A-2CF24219D8DD}"/>
  </w:docVars>
  <w:rsids>
    <w:rsidRoot w:val="008258E8"/>
    <w:rsid w:val="00122D0F"/>
    <w:rsid w:val="008258E8"/>
    <w:rsid w:val="0098655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161DF3E-27EA-4E1E-B09C-0D7892937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469</Words>
  <Characters>2736</Characters>
  <Application>Microsoft Office Word</Application>
  <DocSecurity>4</DocSecurity>
  <Lines>57</Lines>
  <Paragraphs>25</Paragraphs>
  <ScaleCrop>false</ScaleCrop>
  <HeadingPairs>
    <vt:vector size="2" baseType="variant">
      <vt:variant>
        <vt:lpstr>Rubrik</vt:lpstr>
      </vt:variant>
      <vt:variant>
        <vt:i4>1</vt:i4>
      </vt:variant>
    </vt:vector>
  </HeadingPairs>
  <TitlesOfParts>
    <vt:vector size="1" baseType="lpstr">
      <vt:lpstr>FP1160</vt:lpstr>
    </vt:vector>
  </TitlesOfParts>
  <Company>Riksdagen</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FP1160</dc:title>
  <dc:subject>FP1160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2011-12-09T09:00:00Z</cp:lastPrinted>
  <dcterms:created xsi:type="dcterms:W3CDTF">2025-12-17T20:24:00Z</dcterms:created>
  <dcterms:modified xsi:type="dcterms:W3CDTF">2025-12-17T20:24:00Z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Sjövägar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Sjövägar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FP1160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Anita Brodén m.fl. (FP)</vt:lpwstr>
  </property>
  <property fmtid="{D5CDD505-2E9C-101B-9397-08002B2CF9AE}" pid="26" name="MotionarLista">
    <vt:lpwstr>Brodén, Anita (FP)\Tysklind, Lars (FP)\Lundström, Nina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 Lars Tysklind (FP), Nina Lundström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T398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andreas.arvidsson@riksdagen.se</vt:lpwstr>
  </property>
  <property fmtid="{D5CDD505-2E9C-101B-9397-08002B2CF9AE}" pid="45" name="ReservUID">
    <vt:lpwstr>as0602ab</vt:lpwstr>
  </property>
  <property fmtid="{D5CDD505-2E9C-101B-9397-08002B2CF9AE}" pid="46" name="MotionID">
    <vt:lpwstr>20112012000000700080000011600069</vt:lpwstr>
  </property>
  <property fmtid="{D5CDD505-2E9C-101B-9397-08002B2CF9AE}" pid="47" name="datum">
    <vt:lpwstr>111005</vt:lpwstr>
  </property>
  <property fmtid="{D5CDD505-2E9C-101B-9397-08002B2CF9AE}" pid="48" name="avsändar-e-post">
    <vt:lpwstr>andreas.arvidsson@riksdagen.se</vt:lpwstr>
  </property>
  <property fmtid="{D5CDD505-2E9C-101B-9397-08002B2CF9AE}" pid="49" name="id">
    <vt:lpwstr>20112012000000700080000011600069</vt:lpwstr>
  </property>
  <property fmtid="{D5CDD505-2E9C-101B-9397-08002B2CF9AE}" pid="50" name="nummer">
    <vt:lpwstr>398</vt:lpwstr>
  </property>
  <property fmtid="{D5CDD505-2E9C-101B-9397-08002B2CF9AE}" pid="51" name="utskottsbeteckning">
    <vt:lpwstr>T</vt:lpwstr>
  </property>
  <property fmtid="{D5CDD505-2E9C-101B-9397-08002B2CF9AE}" pid="52" name="GlobalUID">
    <vt:lpwstr>{527132D3-91B2-43A3-A4D1-9EA01AA33AB4}</vt:lpwstr>
  </property>
  <property fmtid="{D5CDD505-2E9C-101B-9397-08002B2CF9AE}" pid="53" name="Överföringar">
    <vt:i4>0</vt:i4>
  </property>
  <property fmtid="{D5CDD505-2E9C-101B-9397-08002B2CF9AE}" pid="54" name="Checksum">
    <vt:lpwstr>*0008392477653*</vt:lpwstr>
  </property>
  <property fmtid="{D5CDD505-2E9C-101B-9397-08002B2CF9AE}" pid="55" name="skuggnummer">
    <vt:lpwstr>2162</vt:lpwstr>
  </property>
  <property fmtid="{D5CDD505-2E9C-101B-9397-08002B2CF9AE}" pid="56" name="urixVersion">
    <vt:lpwstr>4.5.0.25</vt:lpwstr>
  </property>
  <property fmtid="{D5CDD505-2E9C-101B-9397-08002B2CF9AE}" pid="57" name="urixOrigin">
    <vt:lpwstr>111209 10:00:20.890</vt:lpwstr>
  </property>
  <property fmtid="{D5CDD505-2E9C-101B-9397-08002B2CF9AE}" pid="58" name="urixGuid">
    <vt:lpwstr>{739ACFCF-513D-46C5-BBBC-82DCB2C9CF87}</vt:lpwstr>
  </property>
</Properties>
</file>