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065F76">
              <w:rPr>
                <w:b/>
              </w:rPr>
              <w:t>1</w:t>
            </w:r>
            <w:r w:rsidR="00CA4971">
              <w:rPr>
                <w:b/>
              </w:rPr>
              <w:t>7</w:t>
            </w:r>
            <w:r w:rsidRPr="007A327C">
              <w:rPr>
                <w:b/>
              </w:rPr>
              <w:t>/</w:t>
            </w:r>
            <w:r w:rsidR="00065F76">
              <w:rPr>
                <w:b/>
              </w:rPr>
              <w:t>1</w:t>
            </w:r>
            <w:r w:rsidR="00CA4971">
              <w:rPr>
                <w:b/>
              </w:rPr>
              <w:t>8</w:t>
            </w:r>
            <w:r w:rsidR="004F680C" w:rsidRPr="007A327C">
              <w:rPr>
                <w:b/>
              </w:rPr>
              <w:t>:</w:t>
            </w:r>
            <w:r w:rsidR="008A47F2">
              <w:rPr>
                <w:b/>
              </w:rPr>
              <w:t>31</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AC3854">
            <w:r w:rsidRPr="007A327C">
              <w:t>20</w:t>
            </w:r>
            <w:r w:rsidR="00596129">
              <w:t>1</w:t>
            </w:r>
            <w:r w:rsidR="00AC3854">
              <w:t>8</w:t>
            </w:r>
            <w:r w:rsidR="00F5133A">
              <w:t>-</w:t>
            </w:r>
            <w:r w:rsidR="008A47F2">
              <w:t>04-24</w:t>
            </w:r>
          </w:p>
        </w:tc>
      </w:tr>
      <w:tr w:rsidR="004F680C" w:rsidRPr="007A327C">
        <w:tc>
          <w:tcPr>
            <w:tcW w:w="1985" w:type="dxa"/>
          </w:tcPr>
          <w:p w:rsidR="004F680C" w:rsidRPr="007A327C" w:rsidRDefault="004F680C">
            <w:r w:rsidRPr="007A327C">
              <w:t>TID</w:t>
            </w:r>
          </w:p>
        </w:tc>
        <w:tc>
          <w:tcPr>
            <w:tcW w:w="6463" w:type="dxa"/>
          </w:tcPr>
          <w:p w:rsidR="004F680C" w:rsidRPr="007A327C" w:rsidRDefault="008A47F2" w:rsidP="00F5133A">
            <w:r>
              <w:t>11</w:t>
            </w:r>
            <w:r w:rsidR="00721DB8">
              <w:t>.00</w:t>
            </w:r>
            <w:r w:rsidR="006F41EB">
              <w:t>–</w:t>
            </w:r>
            <w:r>
              <w:t>12.00</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CA4971">
            <w:pPr>
              <w:tabs>
                <w:tab w:val="left" w:pos="1701"/>
              </w:tabs>
              <w:rPr>
                <w:snapToGrid w:val="0"/>
              </w:rPr>
            </w:pPr>
            <w:r>
              <w:rPr>
                <w:snapToGrid w:val="0"/>
              </w:rPr>
              <w:t xml:space="preserve">Utskottet justerade protokoll </w:t>
            </w:r>
            <w:r w:rsidRPr="007A327C">
              <w:rPr>
                <w:snapToGrid w:val="0"/>
              </w:rPr>
              <w:t>20</w:t>
            </w:r>
            <w:r>
              <w:rPr>
                <w:snapToGrid w:val="0"/>
              </w:rPr>
              <w:t>1</w:t>
            </w:r>
            <w:r w:rsidR="00CA4971">
              <w:rPr>
                <w:snapToGrid w:val="0"/>
              </w:rPr>
              <w:t>7</w:t>
            </w:r>
            <w:r w:rsidRPr="007A327C">
              <w:rPr>
                <w:snapToGrid w:val="0"/>
              </w:rPr>
              <w:t>/</w:t>
            </w:r>
            <w:r>
              <w:rPr>
                <w:snapToGrid w:val="0"/>
              </w:rPr>
              <w:t>1</w:t>
            </w:r>
            <w:r w:rsidR="00CA4971">
              <w:rPr>
                <w:snapToGrid w:val="0"/>
              </w:rPr>
              <w:t>8</w:t>
            </w:r>
            <w:r w:rsidRPr="007A327C">
              <w:rPr>
                <w:snapToGrid w:val="0"/>
              </w:rPr>
              <w:t>:</w:t>
            </w:r>
            <w:r w:rsidR="008A47F2">
              <w:rPr>
                <w:snapToGrid w:val="0"/>
              </w:rPr>
              <w:t>30</w:t>
            </w:r>
          </w:p>
          <w:p w:rsidR="008A47F2" w:rsidRPr="007A327C" w:rsidRDefault="008A47F2" w:rsidP="00CA4971">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F03CC9" w:rsidP="00F5133A">
            <w:pPr>
              <w:tabs>
                <w:tab w:val="left" w:pos="1701"/>
              </w:tabs>
              <w:rPr>
                <w:rFonts w:eastAsiaTheme="minorHAnsi"/>
                <w:b/>
                <w:bCs/>
                <w:color w:val="000000"/>
                <w:szCs w:val="24"/>
                <w:lang w:eastAsia="en-US"/>
              </w:rPr>
            </w:pPr>
            <w:r w:rsidRPr="0028212F">
              <w:rPr>
                <w:rFonts w:eastAsiaTheme="minorHAnsi"/>
                <w:b/>
                <w:bCs/>
                <w:color w:val="000000"/>
                <w:szCs w:val="24"/>
                <w:lang w:eastAsia="en-US"/>
              </w:rPr>
              <w:t>Riksrevisionens rapport om konsekvensanalyser inför migrationspolitiska beslut (SfU28)</w:t>
            </w:r>
          </w:p>
          <w:p w:rsidR="00F03CC9" w:rsidRDefault="00F03CC9" w:rsidP="00F5133A">
            <w:pPr>
              <w:tabs>
                <w:tab w:val="left" w:pos="1701"/>
              </w:tabs>
              <w:rPr>
                <w:rFonts w:eastAsiaTheme="minorHAnsi"/>
                <w:b/>
                <w:bCs/>
                <w:color w:val="000000"/>
                <w:szCs w:val="24"/>
                <w:lang w:eastAsia="en-US"/>
              </w:rPr>
            </w:pPr>
          </w:p>
          <w:p w:rsidR="00F03CC9" w:rsidRDefault="00F03CC9" w:rsidP="00F03CC9">
            <w:pPr>
              <w:tabs>
                <w:tab w:val="left" w:pos="1701"/>
              </w:tabs>
              <w:rPr>
                <w:rFonts w:eastAsiaTheme="minorHAnsi"/>
                <w:bCs/>
                <w:color w:val="000000"/>
                <w:szCs w:val="24"/>
                <w:lang w:eastAsia="en-US"/>
              </w:rPr>
            </w:pPr>
            <w:r>
              <w:rPr>
                <w:rFonts w:eastAsiaTheme="minorHAnsi"/>
                <w:bCs/>
                <w:color w:val="000000"/>
                <w:szCs w:val="24"/>
                <w:lang w:eastAsia="en-US"/>
              </w:rPr>
              <w:t>Utskottet fortsatte behandlingen av skrivelse 2017/18:125 och motion.</w:t>
            </w:r>
          </w:p>
          <w:p w:rsidR="00F03CC9" w:rsidRDefault="00F03CC9" w:rsidP="00F03CC9">
            <w:pPr>
              <w:tabs>
                <w:tab w:val="left" w:pos="1701"/>
              </w:tabs>
              <w:rPr>
                <w:rFonts w:eastAsiaTheme="minorHAnsi"/>
                <w:bCs/>
                <w:color w:val="000000"/>
                <w:szCs w:val="24"/>
                <w:lang w:eastAsia="en-US"/>
              </w:rPr>
            </w:pPr>
          </w:p>
          <w:p w:rsidR="00F03CC9" w:rsidRDefault="00F03CC9" w:rsidP="00F03CC9">
            <w:pPr>
              <w:tabs>
                <w:tab w:val="left" w:pos="1701"/>
              </w:tabs>
              <w:rPr>
                <w:rFonts w:eastAsiaTheme="minorHAnsi"/>
                <w:bCs/>
                <w:color w:val="000000"/>
                <w:szCs w:val="24"/>
                <w:lang w:eastAsia="en-US"/>
              </w:rPr>
            </w:pPr>
            <w:r>
              <w:rPr>
                <w:rFonts w:eastAsiaTheme="minorHAnsi"/>
                <w:bCs/>
                <w:color w:val="000000"/>
                <w:szCs w:val="24"/>
                <w:lang w:eastAsia="en-US"/>
              </w:rPr>
              <w:t>Utskottet justerade betänkande 2017/17:SfU28.</w:t>
            </w:r>
          </w:p>
          <w:p w:rsidR="00F03CC9" w:rsidRDefault="00F03CC9" w:rsidP="00F03CC9">
            <w:pPr>
              <w:tabs>
                <w:tab w:val="left" w:pos="1701"/>
              </w:tabs>
              <w:rPr>
                <w:rFonts w:eastAsiaTheme="minorHAnsi"/>
                <w:bCs/>
                <w:color w:val="000000"/>
                <w:szCs w:val="24"/>
                <w:lang w:eastAsia="en-US"/>
              </w:rPr>
            </w:pPr>
          </w:p>
          <w:p w:rsidR="00F03CC9" w:rsidRPr="00B95D9B" w:rsidRDefault="00F03CC9" w:rsidP="00F03CC9">
            <w:pPr>
              <w:tabs>
                <w:tab w:val="left" w:pos="1701"/>
              </w:tabs>
              <w:rPr>
                <w:rFonts w:eastAsiaTheme="minorHAnsi"/>
                <w:bCs/>
                <w:color w:val="000000"/>
                <w:szCs w:val="24"/>
                <w:lang w:eastAsia="en-US"/>
              </w:rPr>
            </w:pPr>
            <w:r w:rsidRPr="00B95D9B">
              <w:rPr>
                <w:rFonts w:eastAsiaTheme="minorHAnsi"/>
                <w:bCs/>
                <w:color w:val="000000"/>
                <w:szCs w:val="24"/>
                <w:lang w:eastAsia="en-US"/>
              </w:rPr>
              <w:t>SD-ledamöterna anmälde en reservation.</w:t>
            </w:r>
          </w:p>
          <w:p w:rsidR="00F03CC9" w:rsidRPr="00F03CC9" w:rsidRDefault="00F03CC9" w:rsidP="00F03CC9">
            <w:pPr>
              <w:tabs>
                <w:tab w:val="left" w:pos="1701"/>
              </w:tabs>
              <w:rPr>
                <w:i/>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656A67" w:rsidRDefault="00F03CC9" w:rsidP="00F5133A">
            <w:pPr>
              <w:tabs>
                <w:tab w:val="left" w:pos="1701"/>
              </w:tabs>
              <w:rPr>
                <w:rFonts w:eastAsiaTheme="minorHAnsi"/>
                <w:b/>
                <w:color w:val="000000"/>
                <w:szCs w:val="24"/>
                <w:lang w:eastAsia="en-US"/>
              </w:rPr>
            </w:pPr>
            <w:r>
              <w:rPr>
                <w:rFonts w:eastAsiaTheme="minorHAnsi"/>
                <w:b/>
                <w:color w:val="000000"/>
                <w:szCs w:val="24"/>
                <w:lang w:eastAsia="en-US"/>
              </w:rPr>
              <w:t>EU-information på det migrationspolitiska området</w:t>
            </w:r>
          </w:p>
          <w:p w:rsidR="00656A67" w:rsidRDefault="00656A67" w:rsidP="00F5133A">
            <w:pPr>
              <w:tabs>
                <w:tab w:val="left" w:pos="1701"/>
              </w:tabs>
              <w:rPr>
                <w:rFonts w:eastAsiaTheme="minorHAnsi"/>
                <w:b/>
                <w:color w:val="000000"/>
                <w:szCs w:val="24"/>
                <w:lang w:eastAsia="en-US"/>
              </w:rPr>
            </w:pPr>
          </w:p>
          <w:p w:rsidR="004F680C" w:rsidRDefault="00F03CC9" w:rsidP="00F5133A">
            <w:pPr>
              <w:tabs>
                <w:tab w:val="left" w:pos="1701"/>
              </w:tabs>
              <w:rPr>
                <w:rFonts w:eastAsiaTheme="minorHAnsi"/>
                <w:color w:val="000000"/>
                <w:szCs w:val="24"/>
                <w:lang w:eastAsia="en-US"/>
              </w:rPr>
            </w:pPr>
            <w:r>
              <w:rPr>
                <w:rFonts w:eastAsiaTheme="minorHAnsi"/>
                <w:color w:val="000000"/>
                <w:szCs w:val="24"/>
                <w:lang w:eastAsia="en-US"/>
              </w:rPr>
              <w:t>Statssekreterare Lars Westbratt, Justitiedepartementet, återrapporterade från RIF-rådets möte den 8–9 mars 2018</w:t>
            </w:r>
          </w:p>
          <w:p w:rsidR="00F03CC9" w:rsidRPr="00F03CC9" w:rsidRDefault="00F03CC9"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F03CC9" w:rsidP="00F5133A">
            <w:pPr>
              <w:tabs>
                <w:tab w:val="left" w:pos="1701"/>
              </w:tabs>
              <w:rPr>
                <w:rFonts w:eastAsiaTheme="minorHAnsi"/>
                <w:b/>
                <w:bCs/>
                <w:color w:val="000000"/>
                <w:szCs w:val="24"/>
                <w:lang w:eastAsia="en-US"/>
              </w:rPr>
            </w:pPr>
            <w:r w:rsidRPr="0028212F">
              <w:rPr>
                <w:rFonts w:eastAsiaTheme="minorHAnsi"/>
                <w:b/>
                <w:bCs/>
                <w:color w:val="000000"/>
                <w:szCs w:val="24"/>
                <w:lang w:eastAsia="en-US"/>
              </w:rPr>
              <w:t>Revidering av EU:s viseringskodex</w:t>
            </w:r>
          </w:p>
          <w:p w:rsidR="00F03CC9" w:rsidRDefault="00F03CC9" w:rsidP="00F5133A">
            <w:pPr>
              <w:tabs>
                <w:tab w:val="left" w:pos="1701"/>
              </w:tabs>
              <w:rPr>
                <w:rFonts w:eastAsiaTheme="minorHAnsi"/>
                <w:b/>
                <w:bCs/>
                <w:color w:val="000000"/>
                <w:szCs w:val="24"/>
                <w:lang w:eastAsia="en-US"/>
              </w:rPr>
            </w:pPr>
          </w:p>
          <w:p w:rsidR="00004352" w:rsidRDefault="00004352" w:rsidP="00004352">
            <w:pPr>
              <w:tabs>
                <w:tab w:val="left" w:pos="1701"/>
              </w:tabs>
              <w:rPr>
                <w:rFonts w:eastAsiaTheme="minorHAnsi"/>
                <w:bCs/>
                <w:color w:val="000000"/>
                <w:szCs w:val="24"/>
                <w:lang w:eastAsia="en-US"/>
              </w:rPr>
            </w:pPr>
            <w:r>
              <w:rPr>
                <w:rFonts w:eastAsiaTheme="minorHAnsi"/>
                <w:bCs/>
                <w:color w:val="000000"/>
                <w:szCs w:val="24"/>
                <w:lang w:eastAsia="en-US"/>
              </w:rPr>
              <w:t>Utskottet överlade med statssekreterare Lars Westbratt, Justitiedepartementet.</w:t>
            </w:r>
          </w:p>
          <w:p w:rsidR="00004352" w:rsidRDefault="00004352" w:rsidP="00004352">
            <w:pPr>
              <w:tabs>
                <w:tab w:val="left" w:pos="1701"/>
              </w:tabs>
              <w:rPr>
                <w:snapToGrid w:val="0"/>
              </w:rPr>
            </w:pPr>
          </w:p>
          <w:p w:rsidR="00004352" w:rsidRDefault="00004352" w:rsidP="00004352">
            <w:pPr>
              <w:tabs>
                <w:tab w:val="left" w:pos="1701"/>
              </w:tabs>
              <w:rPr>
                <w:snapToGrid w:val="0"/>
              </w:rPr>
            </w:pPr>
            <w:r>
              <w:rPr>
                <w:snapToGrid w:val="0"/>
              </w:rPr>
              <w:t xml:space="preserve">Underlaget utgjordes av kommissionens förslag till ändring i </w:t>
            </w:r>
            <w:r w:rsidRPr="00F03CC9">
              <w:rPr>
                <w:snapToGrid w:val="0"/>
              </w:rPr>
              <w:t xml:space="preserve">gemenskapskodex om viseringar </w:t>
            </w:r>
            <w:r>
              <w:rPr>
                <w:snapToGrid w:val="0"/>
              </w:rPr>
              <w:t>COM(2018) 252 med följedokument SWD(2018) 78, kommissionens meddelande om anpassning av den gemensamma viseringspolitiken till nya utmaningar COM(2018) 251 och regeringens faktapromemoria 2017/18:FPM71.</w:t>
            </w:r>
          </w:p>
          <w:p w:rsidR="00004352" w:rsidRPr="00F03CC9" w:rsidRDefault="00004352" w:rsidP="00004352">
            <w:pPr>
              <w:tabs>
                <w:tab w:val="left" w:pos="1701"/>
              </w:tabs>
              <w:rPr>
                <w:rFonts w:eastAsiaTheme="minorHAnsi"/>
                <w:bCs/>
                <w:color w:val="000000"/>
                <w:szCs w:val="24"/>
                <w:lang w:eastAsia="en-US"/>
              </w:rPr>
            </w:pPr>
          </w:p>
          <w:p w:rsidR="00F03CC9" w:rsidRDefault="00F03CC9" w:rsidP="00F03CC9">
            <w:pPr>
              <w:tabs>
                <w:tab w:val="left" w:pos="1701"/>
              </w:tabs>
              <w:rPr>
                <w:snapToGrid w:val="0"/>
              </w:rPr>
            </w:pPr>
            <w:r>
              <w:rPr>
                <w:snapToGrid w:val="0"/>
              </w:rPr>
              <w:t>Regeringens preliminära ståndpunkt angiven i faktapromemorian var:</w:t>
            </w:r>
          </w:p>
          <w:p w:rsidR="00F03CC9" w:rsidRPr="00F03CC9" w:rsidRDefault="00F03CC9" w:rsidP="00F03CC9">
            <w:pPr>
              <w:tabs>
                <w:tab w:val="left" w:pos="1701"/>
              </w:tabs>
              <w:rPr>
                <w:snapToGrid w:val="0"/>
              </w:rPr>
            </w:pPr>
            <w:r w:rsidRPr="00F03CC9">
              <w:rPr>
                <w:snapToGrid w:val="0"/>
              </w:rPr>
              <w:t xml:space="preserve">Regeringen delar kommissionens bedömning kring behovet av en reviderad viseringskodex i syfte att ytterligare harmonisera utfärdandet av viseringar och möta nya migrations- och säkerhetsutmaningar. Det är positivt med effektiva viseringsprocesser för sökande med god viseringshistorik. Samtidigt är det nödvändigt att balansen upprätthålls mellan förenklingar och systemets syfte när det gäller att motverka risker för irreguljär migration och upprätthålla den allmänna ordningen och säkerheten samt motverka missbruk av viseringsreglerna. </w:t>
            </w:r>
            <w:r w:rsidRPr="00F03CC9">
              <w:rPr>
                <w:snapToGrid w:val="0"/>
              </w:rPr>
              <w:br/>
            </w:r>
          </w:p>
          <w:p w:rsidR="00F03CC9" w:rsidRPr="00F03CC9" w:rsidRDefault="00F03CC9" w:rsidP="00F03CC9">
            <w:pPr>
              <w:tabs>
                <w:tab w:val="left" w:pos="1701"/>
              </w:tabs>
              <w:rPr>
                <w:snapToGrid w:val="0"/>
              </w:rPr>
            </w:pPr>
            <w:r w:rsidRPr="00F03CC9">
              <w:rPr>
                <w:snapToGrid w:val="0"/>
              </w:rPr>
              <w:lastRenderedPageBreak/>
              <w:t xml:space="preserve">Regeringen stödjer en höjning av viseringsavgiften som innebär ett närmande mot full kostnadstäckning samt förslaget att avgiften i framtiden justeras vartannat år med delegerade akter. </w:t>
            </w:r>
          </w:p>
          <w:p w:rsidR="00F03CC9" w:rsidRPr="00F03CC9" w:rsidRDefault="00F03CC9" w:rsidP="00F03CC9">
            <w:pPr>
              <w:tabs>
                <w:tab w:val="left" w:pos="1701"/>
              </w:tabs>
              <w:rPr>
                <w:snapToGrid w:val="0"/>
              </w:rPr>
            </w:pPr>
            <w:r w:rsidRPr="00F03CC9">
              <w:rPr>
                <w:snapToGrid w:val="0"/>
              </w:rPr>
              <w:t xml:space="preserve">Regeringen anser inte att Sverige bör ställa sig bakom förslaget att tidsfristen för beslut sänks från femton till tio dagar mot bakgrund av att det kan vara resurs- och kostnadsdrivande. Genomsnittstiden för beslut i EU är dock väsentligt lägre vilket är betryggande för exempelvis affärsresenärer eller anhöriga som med kort varsel behöver resa till EU. Givetvis ska tiderna inte vara längre än vad som krävs för en fullgod kontroll i det enskilda fallet. </w:t>
            </w:r>
          </w:p>
          <w:p w:rsidR="00F03CC9" w:rsidRPr="00F03CC9" w:rsidRDefault="00F03CC9" w:rsidP="00F03CC9">
            <w:pPr>
              <w:tabs>
                <w:tab w:val="left" w:pos="1701"/>
              </w:tabs>
              <w:rPr>
                <w:snapToGrid w:val="0"/>
              </w:rPr>
            </w:pPr>
            <w:r w:rsidRPr="00F03CC9">
              <w:rPr>
                <w:snapToGrid w:val="0"/>
              </w:rPr>
              <w:t>Eventuella utgifter på statens budget eller på EU-budgeten ska hanteras genom omprioriteringar inom beslutade ekonomiska ramar.</w:t>
            </w:r>
          </w:p>
          <w:p w:rsidR="00F03CC9" w:rsidRPr="00F03CC9" w:rsidRDefault="00F03CC9" w:rsidP="00F03CC9">
            <w:pPr>
              <w:tabs>
                <w:tab w:val="left" w:pos="1701"/>
              </w:tabs>
              <w:rPr>
                <w:snapToGrid w:val="0"/>
              </w:rPr>
            </w:pPr>
            <w:r w:rsidRPr="00F03CC9">
              <w:rPr>
                <w:snapToGrid w:val="0"/>
              </w:rPr>
              <w:t xml:space="preserve">Vidare välkomnar regeringen ambitionen att harmonisera utfärdande av multipla viseringar med lång giltighetstid. Ett sådant förfarande gynnar såväl den enskilde samt lättar den administrativa bördan på utlandsmyndigheterna. </w:t>
            </w:r>
            <w:r w:rsidRPr="00F03CC9">
              <w:rPr>
                <w:snapToGrid w:val="0"/>
              </w:rPr>
              <w:br/>
              <w:t xml:space="preserve">Regeringen ställer sig avvaktande till förslaget om att kunna utfärda kortare visering vid gräns då det kan finnas säkerhetsrisker med förslaget som inte har beaktats. </w:t>
            </w:r>
            <w:r w:rsidRPr="00F03CC9">
              <w:rPr>
                <w:snapToGrid w:val="0"/>
              </w:rPr>
              <w:br/>
              <w:t>Regeringen stödjer förslaget om att kodifiera användning av viseringspolitiska åtgärder för att främja återtagandet med tredjeländer. Det är viktigt med samordnande och välavvägda EU-åtgärder som tar i beaktande den långsiktiga och särskilda relationen med det aktuella tredjelandet, inklusive återvändandesituationen och viseringspolitiska konsekvenser. Regeringen anser att i första hand ska åtgärderna riktas mot diplomater och tjänstepassinnehavare samt deras familjemedlemmar, men om dessa inte får avsedd effekt kan mer generella åtgärder i vissa fall behöva aktualiseras. Det är viktigt att följa att åtaganden verkligen genomförs och förslagen om regelbunden uppföljning ligger i linje med detta.</w:t>
            </w:r>
          </w:p>
          <w:p w:rsidR="00F03CC9" w:rsidRDefault="00F03CC9" w:rsidP="00F03CC9">
            <w:pPr>
              <w:tabs>
                <w:tab w:val="left" w:pos="1701"/>
              </w:tabs>
              <w:rPr>
                <w:snapToGrid w:val="0"/>
              </w:rPr>
            </w:pPr>
          </w:p>
          <w:p w:rsidR="0024790C" w:rsidRPr="00F03CC9" w:rsidRDefault="0024790C" w:rsidP="0024790C">
            <w:pPr>
              <w:tabs>
                <w:tab w:val="left" w:pos="1701"/>
              </w:tabs>
              <w:rPr>
                <w:snapToGrid w:val="0"/>
              </w:rPr>
            </w:pPr>
            <w:r w:rsidRPr="00F03CC9">
              <w:rPr>
                <w:snapToGrid w:val="0"/>
              </w:rPr>
              <w:t>Ordföranden konstaterade att det fanns en majoritet för regeringens redovisade ståndpunkt.</w:t>
            </w:r>
          </w:p>
          <w:p w:rsidR="0024790C" w:rsidRDefault="0024790C" w:rsidP="0024790C">
            <w:pPr>
              <w:tabs>
                <w:tab w:val="left" w:pos="1701"/>
              </w:tabs>
              <w:rPr>
                <w:snapToGrid w:val="0"/>
              </w:rPr>
            </w:pPr>
          </w:p>
          <w:p w:rsidR="0024790C" w:rsidRDefault="0024790C" w:rsidP="0024790C">
            <w:pPr>
              <w:tabs>
                <w:tab w:val="left" w:pos="1701"/>
              </w:tabs>
              <w:rPr>
                <w:snapToGrid w:val="0"/>
              </w:rPr>
            </w:pPr>
            <w:r>
              <w:rPr>
                <w:snapToGrid w:val="0"/>
              </w:rPr>
              <w:t>SD-ledamöterna anmälde följande avvikande mening:</w:t>
            </w:r>
          </w:p>
          <w:p w:rsidR="0024790C" w:rsidRPr="00F03CC9" w:rsidRDefault="0024790C" w:rsidP="0024790C">
            <w:pPr>
              <w:tabs>
                <w:tab w:val="left" w:pos="1701"/>
              </w:tabs>
              <w:rPr>
                <w:snapToGrid w:val="0"/>
              </w:rPr>
            </w:pPr>
            <w:r w:rsidRPr="00F03CC9">
              <w:rPr>
                <w:snapToGrid w:val="0"/>
              </w:rPr>
              <w:t>Vår principiella hållning är att vi ställer oss kritiska till en europeisk viseringspolitik och utifrån det vänder vi oss emot ytterligare föränd</w:t>
            </w:r>
            <w:r>
              <w:rPr>
                <w:snapToGrid w:val="0"/>
              </w:rPr>
              <w:softHyphen/>
            </w:r>
            <w:r w:rsidRPr="00F03CC9">
              <w:rPr>
                <w:snapToGrid w:val="0"/>
              </w:rPr>
              <w:t>ringar som kan innebära konsekvenser för det nationella självbestäm</w:t>
            </w:r>
            <w:r>
              <w:rPr>
                <w:snapToGrid w:val="0"/>
              </w:rPr>
              <w:softHyphen/>
            </w:r>
            <w:r w:rsidRPr="00F03CC9">
              <w:rPr>
                <w:snapToGrid w:val="0"/>
              </w:rPr>
              <w:t xml:space="preserve">mandet och kontrollen av gränser. </w:t>
            </w:r>
          </w:p>
          <w:p w:rsidR="0024790C" w:rsidRPr="00F03CC9" w:rsidRDefault="0024790C" w:rsidP="0024790C">
            <w:pPr>
              <w:tabs>
                <w:tab w:val="left" w:pos="1701"/>
              </w:tabs>
              <w:rPr>
                <w:snapToGrid w:val="0"/>
              </w:rPr>
            </w:pPr>
            <w:r w:rsidRPr="00F03CC9">
              <w:rPr>
                <w:snapToGrid w:val="0"/>
              </w:rPr>
              <w:t>Med tanke på de rådande säkerhetsrisker som terrorhot och illegal in</w:t>
            </w:r>
            <w:r>
              <w:rPr>
                <w:snapToGrid w:val="0"/>
              </w:rPr>
              <w:softHyphen/>
            </w:r>
            <w:r w:rsidRPr="00F03CC9">
              <w:rPr>
                <w:snapToGrid w:val="0"/>
              </w:rPr>
              <w:t xml:space="preserve">vandring kan innebära ska regeringen inte bara ställa sig avvaktande - utan helt avvisa förslaget om att kunna utfärda kortare visering vid gräns. Förslaget kan även innebära ytterligare belastning på Migrationsverket och polisen och ytterligare höjda kostnader för drift av gränsövergångsställen. </w:t>
            </w:r>
          </w:p>
          <w:p w:rsidR="0024790C" w:rsidRPr="00F03CC9" w:rsidRDefault="0024790C" w:rsidP="0024790C">
            <w:pPr>
              <w:tabs>
                <w:tab w:val="left" w:pos="1701"/>
              </w:tabs>
              <w:rPr>
                <w:snapToGrid w:val="0"/>
              </w:rPr>
            </w:pPr>
            <w:r w:rsidRPr="00F03CC9">
              <w:rPr>
                <w:snapToGrid w:val="0"/>
              </w:rPr>
              <w:t>EU-kommissionens ambition att vidta åtgärder och främja återtagan</w:t>
            </w:r>
            <w:r>
              <w:rPr>
                <w:snapToGrid w:val="0"/>
              </w:rPr>
              <w:softHyphen/>
            </w:r>
            <w:r w:rsidRPr="00F03CC9">
              <w:rPr>
                <w:snapToGrid w:val="0"/>
              </w:rPr>
              <w:t>det i samarbete med tredjeländer är positivt. De föreslagna viseringsåt</w:t>
            </w:r>
            <w:r>
              <w:rPr>
                <w:snapToGrid w:val="0"/>
              </w:rPr>
              <w:softHyphen/>
            </w:r>
            <w:r w:rsidRPr="00F03CC9">
              <w:rPr>
                <w:snapToGrid w:val="0"/>
              </w:rPr>
              <w:t>gärderna bör dock kunna vara bredare och inte bara omfatta diploma</w:t>
            </w:r>
            <w:r>
              <w:rPr>
                <w:snapToGrid w:val="0"/>
              </w:rPr>
              <w:softHyphen/>
            </w:r>
            <w:r w:rsidRPr="00F03CC9">
              <w:rPr>
                <w:snapToGrid w:val="0"/>
              </w:rPr>
              <w:t xml:space="preserve">ter, tjänstepassinnehavare. Regeringen bör redan i detta skede vara tydliga och föreslå kommissionen att ta fram ett förslag med en stegvis trappa med utökade åtgärder.  </w:t>
            </w:r>
          </w:p>
          <w:p w:rsidR="0024790C" w:rsidRDefault="0024790C" w:rsidP="0024790C">
            <w:pPr>
              <w:tabs>
                <w:tab w:val="left" w:pos="1701"/>
              </w:tabs>
              <w:rPr>
                <w:snapToGrid w:val="0"/>
              </w:rPr>
            </w:pPr>
          </w:p>
          <w:p w:rsidR="00F03CC9" w:rsidRDefault="0024790C" w:rsidP="0024790C">
            <w:pPr>
              <w:tabs>
                <w:tab w:val="left" w:pos="1701"/>
              </w:tabs>
              <w:rPr>
                <w:snapToGrid w:val="0"/>
              </w:rPr>
            </w:pPr>
            <w:r w:rsidRPr="00B837CE">
              <w:rPr>
                <w:bCs/>
                <w:color w:val="000000"/>
                <w:szCs w:val="24"/>
              </w:rPr>
              <w:t>Denna paragraf förklarades omedelbart justerad</w:t>
            </w:r>
          </w:p>
          <w:p w:rsidR="00F03CC9" w:rsidRPr="00F03CC9" w:rsidRDefault="00F03CC9" w:rsidP="00F03CC9">
            <w:pPr>
              <w:tabs>
                <w:tab w:val="left" w:pos="1701"/>
              </w:tabs>
              <w:rPr>
                <w:snapToGrid w:val="0"/>
              </w:rPr>
            </w:pPr>
          </w:p>
        </w:tc>
      </w:tr>
      <w:tr w:rsidR="0024790C" w:rsidRPr="007A327C" w:rsidTr="00F5133A">
        <w:tc>
          <w:tcPr>
            <w:tcW w:w="567" w:type="dxa"/>
          </w:tcPr>
          <w:p w:rsidR="0024790C" w:rsidRDefault="0024790C">
            <w:pPr>
              <w:tabs>
                <w:tab w:val="left" w:pos="1701"/>
              </w:tabs>
              <w:rPr>
                <w:b/>
                <w:snapToGrid w:val="0"/>
              </w:rPr>
            </w:pPr>
            <w:r>
              <w:rPr>
                <w:b/>
                <w:snapToGrid w:val="0"/>
              </w:rPr>
              <w:lastRenderedPageBreak/>
              <w:t xml:space="preserve">§ 5 </w:t>
            </w:r>
          </w:p>
        </w:tc>
        <w:tc>
          <w:tcPr>
            <w:tcW w:w="6946" w:type="dxa"/>
            <w:gridSpan w:val="2"/>
          </w:tcPr>
          <w:p w:rsidR="0024790C" w:rsidRDefault="0024790C" w:rsidP="00403AC6">
            <w:pPr>
              <w:tabs>
                <w:tab w:val="left" w:pos="1701"/>
              </w:tabs>
              <w:rPr>
                <w:b/>
                <w:snapToGrid w:val="0"/>
              </w:rPr>
            </w:pPr>
            <w:r>
              <w:rPr>
                <w:b/>
                <w:snapToGrid w:val="0"/>
              </w:rPr>
              <w:t>Revidering av EU:s viseringskodex</w:t>
            </w:r>
          </w:p>
          <w:p w:rsidR="0024790C" w:rsidRDefault="0024790C" w:rsidP="00403AC6">
            <w:pPr>
              <w:tabs>
                <w:tab w:val="left" w:pos="1701"/>
              </w:tabs>
              <w:rPr>
                <w:b/>
                <w:snapToGrid w:val="0"/>
              </w:rPr>
            </w:pPr>
          </w:p>
          <w:p w:rsidR="0024790C" w:rsidRDefault="0024790C" w:rsidP="0024790C">
            <w:pPr>
              <w:tabs>
                <w:tab w:val="left" w:pos="1701"/>
              </w:tabs>
              <w:rPr>
                <w:rFonts w:eastAsiaTheme="minorHAnsi"/>
                <w:bCs/>
                <w:color w:val="000000"/>
                <w:szCs w:val="24"/>
                <w:lang w:eastAsia="en-US"/>
              </w:rPr>
            </w:pPr>
            <w:r>
              <w:rPr>
                <w:rFonts w:eastAsiaTheme="minorHAnsi"/>
                <w:bCs/>
                <w:color w:val="000000"/>
                <w:szCs w:val="24"/>
                <w:lang w:eastAsia="en-US"/>
              </w:rPr>
              <w:t>Utskottet inledde subsidiaritetsprövningen av KOM(2018) 252.</w:t>
            </w:r>
          </w:p>
          <w:p w:rsidR="0024790C" w:rsidRDefault="0024790C" w:rsidP="0024790C">
            <w:pPr>
              <w:tabs>
                <w:tab w:val="left" w:pos="1701"/>
              </w:tabs>
              <w:rPr>
                <w:rFonts w:eastAsiaTheme="minorHAnsi"/>
                <w:bCs/>
                <w:color w:val="000000"/>
                <w:szCs w:val="24"/>
                <w:lang w:eastAsia="en-US"/>
              </w:rPr>
            </w:pPr>
          </w:p>
          <w:p w:rsidR="0024790C" w:rsidRDefault="0024790C" w:rsidP="0024790C">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24790C" w:rsidRDefault="0024790C" w:rsidP="0024790C">
            <w:pPr>
              <w:tabs>
                <w:tab w:val="left" w:pos="1701"/>
              </w:tabs>
              <w:rPr>
                <w:rFonts w:eastAsiaTheme="minorHAnsi"/>
                <w:bCs/>
                <w:color w:val="000000"/>
                <w:szCs w:val="24"/>
                <w:lang w:eastAsia="en-US"/>
              </w:rPr>
            </w:pPr>
          </w:p>
          <w:p w:rsidR="0024790C" w:rsidRDefault="0024790C" w:rsidP="0024790C">
            <w:pPr>
              <w:tabs>
                <w:tab w:val="left" w:pos="1701"/>
              </w:tabs>
              <w:rPr>
                <w:rFonts w:eastAsiaTheme="minorHAnsi"/>
                <w:bCs/>
                <w:color w:val="000000"/>
                <w:szCs w:val="24"/>
                <w:lang w:eastAsia="en-US"/>
              </w:rPr>
            </w:pPr>
            <w:r>
              <w:rPr>
                <w:rFonts w:eastAsiaTheme="minorHAnsi"/>
                <w:bCs/>
                <w:color w:val="000000"/>
                <w:szCs w:val="24"/>
                <w:lang w:eastAsia="en-US"/>
              </w:rPr>
              <w:t>SD-ledamöterna reserverade sig och ansåg att förslaget strider mot subsidiaritetsprincipen.</w:t>
            </w:r>
          </w:p>
          <w:p w:rsidR="0024790C" w:rsidRPr="0024790C" w:rsidRDefault="0024790C" w:rsidP="00656A67">
            <w:pPr>
              <w:tabs>
                <w:tab w:val="left" w:pos="1701"/>
              </w:tabs>
              <w:rPr>
                <w:b/>
                <w:i/>
                <w:snapToGrid w:val="0"/>
              </w:rPr>
            </w:pPr>
          </w:p>
        </w:tc>
      </w:tr>
      <w:tr w:rsidR="0024790C" w:rsidRPr="007A327C" w:rsidTr="00F5133A">
        <w:tc>
          <w:tcPr>
            <w:tcW w:w="567" w:type="dxa"/>
          </w:tcPr>
          <w:p w:rsidR="0024790C" w:rsidRDefault="0024790C">
            <w:pPr>
              <w:tabs>
                <w:tab w:val="left" w:pos="1701"/>
              </w:tabs>
              <w:rPr>
                <w:b/>
                <w:snapToGrid w:val="0"/>
              </w:rPr>
            </w:pPr>
            <w:r>
              <w:rPr>
                <w:b/>
                <w:snapToGrid w:val="0"/>
              </w:rPr>
              <w:t>§ 6</w:t>
            </w:r>
          </w:p>
        </w:tc>
        <w:tc>
          <w:tcPr>
            <w:tcW w:w="6946" w:type="dxa"/>
            <w:gridSpan w:val="2"/>
          </w:tcPr>
          <w:p w:rsidR="0024790C" w:rsidRDefault="0024790C" w:rsidP="00403AC6">
            <w:pPr>
              <w:tabs>
                <w:tab w:val="left" w:pos="1701"/>
              </w:tabs>
              <w:rPr>
                <w:b/>
                <w:snapToGrid w:val="0"/>
              </w:rPr>
            </w:pPr>
            <w:r>
              <w:rPr>
                <w:b/>
                <w:snapToGrid w:val="0"/>
              </w:rPr>
              <w:t>Reformerade stöd till personer med funktionsnedsättning (SfU23)</w:t>
            </w:r>
          </w:p>
          <w:p w:rsidR="0024790C" w:rsidRDefault="0024790C" w:rsidP="00403AC6">
            <w:pPr>
              <w:tabs>
                <w:tab w:val="left" w:pos="1701"/>
              </w:tabs>
              <w:rPr>
                <w:b/>
                <w:snapToGrid w:val="0"/>
              </w:rPr>
            </w:pPr>
          </w:p>
          <w:p w:rsidR="00005C82" w:rsidRPr="00005C82" w:rsidRDefault="00005C82" w:rsidP="00005C82">
            <w:pPr>
              <w:tabs>
                <w:tab w:val="left" w:pos="1701"/>
              </w:tabs>
              <w:rPr>
                <w:snapToGrid w:val="0"/>
              </w:rPr>
            </w:pPr>
            <w:r w:rsidRPr="00005C82">
              <w:rPr>
                <w:snapToGrid w:val="0"/>
              </w:rPr>
              <w:t xml:space="preserve">Utskottet behandlade proposition 2017/18:190 och motioner. </w:t>
            </w:r>
          </w:p>
          <w:p w:rsidR="00005C82" w:rsidRPr="00005C82" w:rsidRDefault="00005C82" w:rsidP="00005C82">
            <w:pPr>
              <w:tabs>
                <w:tab w:val="left" w:pos="1701"/>
              </w:tabs>
              <w:rPr>
                <w:snapToGrid w:val="0"/>
              </w:rPr>
            </w:pPr>
          </w:p>
          <w:p w:rsidR="00005C82" w:rsidRPr="00005C82" w:rsidRDefault="00005C82" w:rsidP="00005C82">
            <w:pPr>
              <w:tabs>
                <w:tab w:val="left" w:pos="1701"/>
              </w:tabs>
              <w:rPr>
                <w:snapToGrid w:val="0"/>
              </w:rPr>
            </w:pPr>
            <w:r w:rsidRPr="00005C82">
              <w:rPr>
                <w:snapToGrid w:val="0"/>
              </w:rPr>
              <w:t>Utskottet beslutade att remittera motion 2017/18:4088 av Johan Forssell m.fl. (M, C, L, KD) som väckts med anledning av propositionen samt ett förslag till ändring i regeringens förslag till lag om ändring i socialförsäkringsbalken till ett antal remissinstanser.</w:t>
            </w:r>
          </w:p>
          <w:p w:rsidR="00005C82" w:rsidRPr="00005C82" w:rsidRDefault="00005C82" w:rsidP="00005C82">
            <w:pPr>
              <w:tabs>
                <w:tab w:val="left" w:pos="1701"/>
              </w:tabs>
              <w:rPr>
                <w:snapToGrid w:val="0"/>
              </w:rPr>
            </w:pPr>
          </w:p>
          <w:p w:rsidR="00005C82" w:rsidRPr="00005C82" w:rsidRDefault="00005C82" w:rsidP="00005C82">
            <w:pPr>
              <w:tabs>
                <w:tab w:val="left" w:pos="1701"/>
              </w:tabs>
              <w:rPr>
                <w:snapToGrid w:val="0"/>
              </w:rPr>
            </w:pPr>
            <w:r w:rsidRPr="00005C82">
              <w:rPr>
                <w:snapToGrid w:val="0"/>
              </w:rPr>
              <w:t>Utskottet beslutade att uppdra till utskottspresidiet att besluta om vidare beredningsåtgärder.</w:t>
            </w:r>
          </w:p>
          <w:p w:rsidR="00005C82" w:rsidRPr="00005C82" w:rsidRDefault="00005C82" w:rsidP="00005C82">
            <w:pPr>
              <w:tabs>
                <w:tab w:val="left" w:pos="1701"/>
              </w:tabs>
              <w:rPr>
                <w:snapToGrid w:val="0"/>
              </w:rPr>
            </w:pPr>
          </w:p>
          <w:p w:rsidR="00005C82" w:rsidRPr="00005C82" w:rsidRDefault="00005C82" w:rsidP="00005C82">
            <w:pPr>
              <w:tabs>
                <w:tab w:val="left" w:pos="1701"/>
              </w:tabs>
              <w:rPr>
                <w:snapToGrid w:val="0"/>
              </w:rPr>
            </w:pPr>
            <w:r w:rsidRPr="00005C82">
              <w:rPr>
                <w:snapToGrid w:val="0"/>
              </w:rPr>
              <w:t>Denna paragraf förklarades omedelbart justerad</w:t>
            </w:r>
          </w:p>
          <w:p w:rsidR="00005C82" w:rsidRPr="00005C82" w:rsidRDefault="00005C82" w:rsidP="00005C82">
            <w:pPr>
              <w:tabs>
                <w:tab w:val="left" w:pos="1701"/>
              </w:tabs>
              <w:rPr>
                <w:snapToGrid w:val="0"/>
              </w:rPr>
            </w:pPr>
          </w:p>
          <w:p w:rsidR="00005C82" w:rsidRPr="00005C82" w:rsidRDefault="00005C82" w:rsidP="00005C82">
            <w:pPr>
              <w:tabs>
                <w:tab w:val="left" w:pos="1701"/>
              </w:tabs>
              <w:rPr>
                <w:snapToGrid w:val="0"/>
              </w:rPr>
            </w:pPr>
            <w:r w:rsidRPr="00005C82">
              <w:rPr>
                <w:snapToGrid w:val="0"/>
              </w:rPr>
              <w:t>Ärendet bordlades.</w:t>
            </w:r>
          </w:p>
          <w:p w:rsidR="0024790C" w:rsidRPr="0024790C" w:rsidRDefault="0024790C" w:rsidP="00403AC6">
            <w:pPr>
              <w:tabs>
                <w:tab w:val="left" w:pos="1701"/>
              </w:tabs>
              <w:rPr>
                <w:snapToGrid w:val="0"/>
              </w:rPr>
            </w:pPr>
          </w:p>
        </w:tc>
      </w:tr>
      <w:tr w:rsidR="0024790C" w:rsidRPr="007A327C" w:rsidTr="00F5133A">
        <w:tc>
          <w:tcPr>
            <w:tcW w:w="567" w:type="dxa"/>
          </w:tcPr>
          <w:p w:rsidR="0024790C" w:rsidRDefault="0024790C">
            <w:pPr>
              <w:tabs>
                <w:tab w:val="left" w:pos="1701"/>
              </w:tabs>
              <w:rPr>
                <w:b/>
                <w:snapToGrid w:val="0"/>
              </w:rPr>
            </w:pPr>
            <w:r>
              <w:rPr>
                <w:b/>
                <w:snapToGrid w:val="0"/>
              </w:rPr>
              <w:t>§ 7</w:t>
            </w:r>
          </w:p>
        </w:tc>
        <w:tc>
          <w:tcPr>
            <w:tcW w:w="6946" w:type="dxa"/>
            <w:gridSpan w:val="2"/>
          </w:tcPr>
          <w:p w:rsidR="0024790C" w:rsidRDefault="0024790C" w:rsidP="00403AC6">
            <w:pPr>
              <w:tabs>
                <w:tab w:val="left" w:pos="1701"/>
              </w:tabs>
              <w:rPr>
                <w:b/>
                <w:snapToGrid w:val="0"/>
              </w:rPr>
            </w:pPr>
            <w:r>
              <w:rPr>
                <w:b/>
                <w:snapToGrid w:val="0"/>
              </w:rPr>
              <w:t>Utökade möjligheter till arbetsplatsinspektioner (SfU26)</w:t>
            </w:r>
          </w:p>
          <w:p w:rsidR="0024790C" w:rsidRDefault="0024790C" w:rsidP="00403AC6">
            <w:pPr>
              <w:tabs>
                <w:tab w:val="left" w:pos="1701"/>
              </w:tabs>
              <w:rPr>
                <w:b/>
                <w:snapToGrid w:val="0"/>
              </w:rPr>
            </w:pPr>
          </w:p>
          <w:p w:rsidR="0024790C" w:rsidRDefault="0024790C" w:rsidP="00403AC6">
            <w:pPr>
              <w:tabs>
                <w:tab w:val="left" w:pos="1701"/>
              </w:tabs>
              <w:rPr>
                <w:snapToGrid w:val="0"/>
              </w:rPr>
            </w:pPr>
            <w:r>
              <w:rPr>
                <w:snapToGrid w:val="0"/>
              </w:rPr>
              <w:t>Utskottet behandlade proposition 2017/18:176 och motioner.</w:t>
            </w:r>
          </w:p>
          <w:p w:rsidR="0024790C" w:rsidRDefault="0024790C" w:rsidP="00403AC6">
            <w:pPr>
              <w:tabs>
                <w:tab w:val="left" w:pos="1701"/>
              </w:tabs>
              <w:rPr>
                <w:snapToGrid w:val="0"/>
              </w:rPr>
            </w:pPr>
          </w:p>
          <w:p w:rsidR="0024790C" w:rsidRDefault="0024790C" w:rsidP="00403AC6">
            <w:pPr>
              <w:tabs>
                <w:tab w:val="left" w:pos="1701"/>
              </w:tabs>
              <w:rPr>
                <w:snapToGrid w:val="0"/>
              </w:rPr>
            </w:pPr>
            <w:r>
              <w:rPr>
                <w:snapToGrid w:val="0"/>
              </w:rPr>
              <w:t>Ärendet bordlades.</w:t>
            </w:r>
          </w:p>
          <w:p w:rsidR="0024790C" w:rsidRPr="0024790C" w:rsidRDefault="0024790C" w:rsidP="00403AC6">
            <w:pPr>
              <w:tabs>
                <w:tab w:val="left" w:pos="1701"/>
              </w:tabs>
              <w:rPr>
                <w:snapToGrid w:val="0"/>
              </w:rPr>
            </w:pPr>
          </w:p>
        </w:tc>
      </w:tr>
      <w:tr w:rsidR="0024790C" w:rsidRPr="007A327C" w:rsidTr="00F5133A">
        <w:tc>
          <w:tcPr>
            <w:tcW w:w="567" w:type="dxa"/>
          </w:tcPr>
          <w:p w:rsidR="0024790C" w:rsidRDefault="0024790C">
            <w:pPr>
              <w:tabs>
                <w:tab w:val="left" w:pos="1701"/>
              </w:tabs>
              <w:rPr>
                <w:b/>
                <w:snapToGrid w:val="0"/>
              </w:rPr>
            </w:pPr>
            <w:r>
              <w:rPr>
                <w:b/>
                <w:snapToGrid w:val="0"/>
              </w:rPr>
              <w:t xml:space="preserve">§ 8 </w:t>
            </w:r>
          </w:p>
        </w:tc>
        <w:tc>
          <w:tcPr>
            <w:tcW w:w="6946" w:type="dxa"/>
            <w:gridSpan w:val="2"/>
          </w:tcPr>
          <w:p w:rsidR="0024790C" w:rsidRDefault="0024790C" w:rsidP="00403AC6">
            <w:pPr>
              <w:tabs>
                <w:tab w:val="left" w:pos="1701"/>
              </w:tabs>
              <w:rPr>
                <w:b/>
                <w:snapToGrid w:val="0"/>
              </w:rPr>
            </w:pPr>
            <w:r>
              <w:rPr>
                <w:b/>
                <w:snapToGrid w:val="0"/>
              </w:rPr>
              <w:t>Ny åldersdifferentiering inom underhållsstödet (SfU29)</w:t>
            </w:r>
          </w:p>
          <w:p w:rsidR="0024790C" w:rsidRDefault="0024790C" w:rsidP="00403AC6">
            <w:pPr>
              <w:tabs>
                <w:tab w:val="left" w:pos="1701"/>
              </w:tabs>
              <w:rPr>
                <w:b/>
                <w:snapToGrid w:val="0"/>
              </w:rPr>
            </w:pPr>
          </w:p>
          <w:p w:rsidR="0024790C" w:rsidRDefault="0024790C" w:rsidP="00403AC6">
            <w:pPr>
              <w:tabs>
                <w:tab w:val="left" w:pos="1701"/>
              </w:tabs>
              <w:rPr>
                <w:snapToGrid w:val="0"/>
              </w:rPr>
            </w:pPr>
            <w:r>
              <w:rPr>
                <w:snapToGrid w:val="0"/>
              </w:rPr>
              <w:t>Utskottet behandlade proposition 2017/18:173 och motion.</w:t>
            </w:r>
          </w:p>
          <w:p w:rsidR="0024790C" w:rsidRDefault="0024790C" w:rsidP="00403AC6">
            <w:pPr>
              <w:tabs>
                <w:tab w:val="left" w:pos="1701"/>
              </w:tabs>
              <w:rPr>
                <w:snapToGrid w:val="0"/>
              </w:rPr>
            </w:pPr>
          </w:p>
          <w:p w:rsidR="0024790C" w:rsidRDefault="0024790C" w:rsidP="00403AC6">
            <w:pPr>
              <w:tabs>
                <w:tab w:val="left" w:pos="1701"/>
              </w:tabs>
              <w:rPr>
                <w:snapToGrid w:val="0"/>
              </w:rPr>
            </w:pPr>
            <w:r>
              <w:rPr>
                <w:snapToGrid w:val="0"/>
              </w:rPr>
              <w:t>Ärendet bordlades.</w:t>
            </w:r>
          </w:p>
          <w:p w:rsidR="0024790C" w:rsidRPr="0024790C" w:rsidRDefault="0024790C" w:rsidP="00403AC6">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B95D9B">
              <w:rPr>
                <w:b/>
                <w:snapToGrid w:val="0"/>
              </w:rPr>
              <w:t xml:space="preserve"> 9</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403AC6" w:rsidP="00403AC6">
            <w:pPr>
              <w:tabs>
                <w:tab w:val="left" w:pos="1701"/>
              </w:tabs>
              <w:rPr>
                <w:snapToGrid w:val="0"/>
              </w:rPr>
            </w:pPr>
            <w:r w:rsidRPr="00403AC6">
              <w:rPr>
                <w:snapToGrid w:val="0"/>
              </w:rPr>
              <w:t>Inkomna skrivelser enligt bilaga 2 anmäldes.</w:t>
            </w:r>
          </w:p>
          <w:p w:rsidR="00403AC6" w:rsidRDefault="00403AC6" w:rsidP="00403AC6">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B95D9B">
              <w:rPr>
                <w:b/>
                <w:snapToGrid w:val="0"/>
              </w:rPr>
              <w:t>10</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24790C">
              <w:rPr>
                <w:color w:val="000000"/>
                <w:szCs w:val="24"/>
              </w:rPr>
              <w:t>tors</w:t>
            </w:r>
            <w:r w:rsidRPr="00DC304A">
              <w:rPr>
                <w:color w:val="000000"/>
                <w:szCs w:val="24"/>
              </w:rPr>
              <w:t xml:space="preserve">dagen den </w:t>
            </w:r>
            <w:r w:rsidR="0024790C">
              <w:rPr>
                <w:color w:val="000000"/>
                <w:szCs w:val="24"/>
              </w:rPr>
              <w:t xml:space="preserve">3 maj 2018 </w:t>
            </w:r>
            <w:r w:rsidR="0024790C" w:rsidRPr="00656A67">
              <w:rPr>
                <w:color w:val="000000"/>
                <w:szCs w:val="24"/>
              </w:rPr>
              <w:t>kl. 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Default="004F680C">
            <w:pPr>
              <w:tabs>
                <w:tab w:val="left" w:pos="1701"/>
              </w:tabs>
              <w:rPr>
                <w:snapToGrid w:val="0"/>
              </w:rPr>
            </w:pPr>
          </w:p>
          <w:p w:rsidR="00E6054D" w:rsidRDefault="00E6054D">
            <w:pPr>
              <w:tabs>
                <w:tab w:val="left" w:pos="1701"/>
              </w:tabs>
              <w:rPr>
                <w:snapToGrid w:val="0"/>
              </w:rPr>
            </w:pPr>
          </w:p>
          <w:p w:rsidR="00E6054D" w:rsidRDefault="00E6054D">
            <w:pPr>
              <w:tabs>
                <w:tab w:val="left" w:pos="1701"/>
              </w:tabs>
              <w:rPr>
                <w:snapToGrid w:val="0"/>
              </w:rPr>
            </w:pPr>
          </w:p>
          <w:p w:rsidR="00E6054D" w:rsidRDefault="00E6054D">
            <w:pPr>
              <w:tabs>
                <w:tab w:val="left" w:pos="1701"/>
              </w:tabs>
              <w:rPr>
                <w:snapToGrid w:val="0"/>
              </w:rPr>
            </w:pPr>
          </w:p>
          <w:p w:rsidR="00E6054D" w:rsidRDefault="00E6054D">
            <w:pPr>
              <w:tabs>
                <w:tab w:val="left" w:pos="1701"/>
              </w:tabs>
              <w:rPr>
                <w:snapToGrid w:val="0"/>
              </w:rPr>
            </w:pPr>
          </w:p>
          <w:p w:rsidR="00E6054D" w:rsidRDefault="00E6054D">
            <w:pPr>
              <w:tabs>
                <w:tab w:val="left" w:pos="1701"/>
              </w:tabs>
              <w:rPr>
                <w:snapToGrid w:val="0"/>
              </w:rPr>
            </w:pPr>
          </w:p>
          <w:p w:rsidR="00E6054D" w:rsidRPr="007A327C" w:rsidRDefault="00E6054D">
            <w:pPr>
              <w:tabs>
                <w:tab w:val="left" w:pos="1701"/>
              </w:tabs>
              <w:rPr>
                <w:snapToGrid w:val="0"/>
              </w:rPr>
            </w:pPr>
            <w:bookmarkStart w:id="0" w:name="_GoBack"/>
            <w:bookmarkEnd w:id="0"/>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lastRenderedPageBreak/>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24790C">
              <w:t xml:space="preserve"> 3 maj</w:t>
            </w:r>
            <w:r w:rsidR="00081A95">
              <w:t xml:space="preserve"> 20</w:t>
            </w:r>
            <w:r w:rsidR="00251677">
              <w:t>1</w:t>
            </w:r>
            <w:r w:rsidR="00AC3854">
              <w:t>8</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Tr="00C94625">
        <w:tc>
          <w:tcPr>
            <w:tcW w:w="3332" w:type="dxa"/>
            <w:tcBorders>
              <w:top w:val="nil"/>
              <w:left w:val="nil"/>
              <w:bottom w:val="nil"/>
              <w:right w:val="nil"/>
            </w:tcBorders>
            <w:hideMark/>
          </w:tcPr>
          <w:p w:rsidR="00656DD9" w:rsidRPr="00F2328F" w:rsidRDefault="00656DD9">
            <w:pPr>
              <w:tabs>
                <w:tab w:val="left" w:pos="1701"/>
              </w:tabs>
              <w:rPr>
                <w:sz w:val="22"/>
                <w:szCs w:val="22"/>
              </w:rPr>
            </w:pPr>
            <w:r w:rsidRPr="00F2328F">
              <w:rPr>
                <w:sz w:val="22"/>
                <w:szCs w:val="22"/>
              </w:rPr>
              <w:lastRenderedPageBreak/>
              <w:br w:type="page"/>
              <w:t>SOCIALFÖRSÄKRINGS-UTSKOTTET</w:t>
            </w:r>
          </w:p>
        </w:tc>
        <w:tc>
          <w:tcPr>
            <w:tcW w:w="3686" w:type="dxa"/>
            <w:gridSpan w:val="10"/>
            <w:tcBorders>
              <w:top w:val="nil"/>
              <w:left w:val="nil"/>
              <w:bottom w:val="nil"/>
              <w:right w:val="nil"/>
            </w:tcBorders>
            <w:hideMark/>
          </w:tcPr>
          <w:p w:rsidR="00656DD9" w:rsidRPr="00F2328F" w:rsidRDefault="00656DD9">
            <w:pPr>
              <w:tabs>
                <w:tab w:val="left" w:pos="1701"/>
              </w:tabs>
              <w:rPr>
                <w:sz w:val="22"/>
                <w:szCs w:val="22"/>
              </w:rPr>
            </w:pPr>
            <w:r w:rsidRPr="00F2328F">
              <w:rPr>
                <w:sz w:val="22"/>
                <w:szCs w:val="22"/>
              </w:rPr>
              <w:t>NÄRVAROFÖRTECKNING</w:t>
            </w:r>
          </w:p>
        </w:tc>
        <w:tc>
          <w:tcPr>
            <w:tcW w:w="1412" w:type="dxa"/>
            <w:gridSpan w:val="4"/>
            <w:tcBorders>
              <w:top w:val="nil"/>
              <w:left w:val="nil"/>
              <w:bottom w:val="nil"/>
              <w:right w:val="nil"/>
            </w:tcBorders>
            <w:hideMark/>
          </w:tcPr>
          <w:p w:rsidR="00656DD9" w:rsidRPr="00F2328F" w:rsidRDefault="00656DD9">
            <w:pPr>
              <w:tabs>
                <w:tab w:val="left" w:pos="1701"/>
              </w:tabs>
              <w:rPr>
                <w:b/>
                <w:sz w:val="22"/>
                <w:szCs w:val="22"/>
              </w:rPr>
            </w:pPr>
            <w:r w:rsidRPr="00F2328F">
              <w:rPr>
                <w:b/>
                <w:sz w:val="22"/>
                <w:szCs w:val="22"/>
              </w:rPr>
              <w:t>Bilaga 1</w:t>
            </w:r>
          </w:p>
          <w:p w:rsidR="00656DD9" w:rsidRPr="00F2328F" w:rsidRDefault="00656DD9">
            <w:pPr>
              <w:tabs>
                <w:tab w:val="left" w:pos="1701"/>
              </w:tabs>
              <w:rPr>
                <w:sz w:val="22"/>
                <w:szCs w:val="22"/>
              </w:rPr>
            </w:pPr>
            <w:r w:rsidRPr="00F2328F">
              <w:rPr>
                <w:sz w:val="22"/>
                <w:szCs w:val="22"/>
              </w:rPr>
              <w:t>till protokoll</w:t>
            </w:r>
          </w:p>
          <w:p w:rsidR="00656DD9" w:rsidRPr="00F2328F" w:rsidRDefault="00656DD9" w:rsidP="00CA4971">
            <w:pPr>
              <w:tabs>
                <w:tab w:val="left" w:pos="1701"/>
              </w:tabs>
              <w:rPr>
                <w:sz w:val="22"/>
                <w:szCs w:val="22"/>
              </w:rPr>
            </w:pPr>
            <w:r w:rsidRPr="00F2328F">
              <w:rPr>
                <w:sz w:val="22"/>
                <w:szCs w:val="22"/>
              </w:rPr>
              <w:t>201</w:t>
            </w:r>
            <w:r w:rsidR="00CA4971">
              <w:rPr>
                <w:sz w:val="22"/>
                <w:szCs w:val="22"/>
              </w:rPr>
              <w:t>7</w:t>
            </w:r>
            <w:r w:rsidRPr="00F2328F">
              <w:rPr>
                <w:sz w:val="22"/>
                <w:szCs w:val="22"/>
              </w:rPr>
              <w:t>/1</w:t>
            </w:r>
            <w:r w:rsidR="00CA4971">
              <w:rPr>
                <w:sz w:val="22"/>
                <w:szCs w:val="22"/>
              </w:rPr>
              <w:t>8</w:t>
            </w:r>
            <w:r w:rsidRPr="00F2328F">
              <w:rPr>
                <w:sz w:val="22"/>
                <w:szCs w:val="22"/>
              </w:rPr>
              <w:t>:</w:t>
            </w:r>
            <w:r w:rsidR="008A47F2">
              <w:rPr>
                <w:sz w:val="22"/>
                <w:szCs w:val="22"/>
              </w:rPr>
              <w:t>31</w:t>
            </w:r>
          </w:p>
        </w:tc>
      </w:tr>
      <w:tr w:rsidR="00656DD9"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D778DA">
              <w:rPr>
                <w:sz w:val="22"/>
                <w:szCs w:val="22"/>
              </w:rPr>
              <w:t>5</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D778DA">
              <w:rPr>
                <w:sz w:val="22"/>
                <w:szCs w:val="22"/>
              </w:rPr>
              <w:t>6</w:t>
            </w:r>
          </w:p>
        </w:tc>
        <w:tc>
          <w:tcPr>
            <w:tcW w:w="728" w:type="dxa"/>
            <w:gridSpan w:val="2"/>
            <w:tcBorders>
              <w:top w:val="single" w:sz="6" w:space="0" w:color="auto"/>
              <w:left w:val="single" w:sz="6" w:space="0" w:color="auto"/>
              <w:bottom w:val="single" w:sz="6" w:space="0" w:color="auto"/>
              <w:right w:val="single" w:sz="6" w:space="0" w:color="auto"/>
            </w:tcBorders>
          </w:tcPr>
          <w:p w:rsidR="00656DD9" w:rsidRDefault="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7</w:t>
            </w:r>
          </w:p>
        </w:tc>
        <w:tc>
          <w:tcPr>
            <w:tcW w:w="729" w:type="dxa"/>
            <w:gridSpan w:val="2"/>
            <w:tcBorders>
              <w:top w:val="single" w:sz="6" w:space="0" w:color="auto"/>
              <w:left w:val="single" w:sz="6" w:space="0" w:color="auto"/>
              <w:bottom w:val="single" w:sz="6" w:space="0" w:color="auto"/>
              <w:right w:val="single" w:sz="6" w:space="0" w:color="auto"/>
            </w:tcBorders>
          </w:tcPr>
          <w:p w:rsidR="00656DD9" w:rsidRDefault="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8–10</w:t>
            </w:r>
          </w:p>
        </w:tc>
        <w:tc>
          <w:tcPr>
            <w:tcW w:w="773"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Tr="002B5FBD">
        <w:tc>
          <w:tcPr>
            <w:tcW w:w="3332"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Tr="002B5FBD">
        <w:tc>
          <w:tcPr>
            <w:tcW w:w="3332"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LEDAMÖTER</w:t>
            </w: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rPr>
            </w:pPr>
            <w:r>
              <w:rPr>
                <w:sz w:val="22"/>
                <w:szCs w:val="22"/>
              </w:rPr>
              <w:t>Fredrik Lundh Sammeli (S), ordf.</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RPr="00E7686B"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Johan Forssell (M), vice ordf.</w:t>
            </w:r>
          </w:p>
        </w:tc>
        <w:tc>
          <w:tcPr>
            <w:tcW w:w="364" w:type="dxa"/>
            <w:tcBorders>
              <w:top w:val="single" w:sz="6" w:space="0" w:color="auto"/>
              <w:left w:val="single" w:sz="6" w:space="0" w:color="auto"/>
              <w:bottom w:val="single" w:sz="6" w:space="0" w:color="auto"/>
              <w:right w:val="single" w:sz="6" w:space="0" w:color="auto"/>
            </w:tcBorders>
          </w:tcPr>
          <w:p w:rsidR="00D778DA" w:rsidRPr="00F2328F"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F2328F"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F2328F"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F2328F"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Mikael Cederbratt (M)</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Phia Andersson (S)</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rPr>
              <w:t>Jennie Åfeldt (SD)</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Lars-Arne Staxäng (M)</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Yilmaz Kerimo (S)</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rPr>
              <w:t>Rickard Persson (MP)</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rFonts w:cs="Arial"/>
                <w:color w:val="000000"/>
              </w:rPr>
              <w:t>Tina Ghasemi (M)</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Kerstin Nilsson (S)</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Linus Bylund (SD)</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Emma Carlsson Löfdahl (L)</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sidRPr="001C39BB">
              <w:rPr>
                <w:sz w:val="22"/>
                <w:szCs w:val="22"/>
                <w:lang w:val="en-US"/>
              </w:rPr>
              <w:t xml:space="preserve">Rossana Dinamarca (V) </w:t>
            </w:r>
            <w:r>
              <w:rPr>
                <w:sz w:val="22"/>
                <w:szCs w:val="22"/>
                <w:lang w:val="en-US"/>
              </w:rPr>
              <w:t xml:space="preserve"> </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Aron Modig (KD)</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D778DA" w:rsidRDefault="00D778DA" w:rsidP="00D778DA">
            <w:pPr>
              <w:rPr>
                <w:sz w:val="22"/>
                <w:szCs w:val="22"/>
                <w:lang w:val="en-US"/>
              </w:rPr>
            </w:pPr>
            <w:r>
              <w:rPr>
                <w:sz w:val="22"/>
                <w:szCs w:val="22"/>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vAlign w:val="bottom"/>
          </w:tcPr>
          <w:p w:rsidR="00D778DA" w:rsidRDefault="00D778DA" w:rsidP="00D778DA">
            <w:pPr>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778DA" w:rsidRPr="006F6C7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Mathias Tegnér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Default="00D778DA" w:rsidP="00D778DA">
            <w:pPr>
              <w:rPr>
                <w:sz w:val="22"/>
                <w:szCs w:val="22"/>
              </w:rPr>
            </w:pPr>
            <w:r w:rsidRPr="00CB5A24">
              <w:rPr>
                <w:sz w:val="22"/>
                <w:szCs w:val="22"/>
              </w:rPr>
              <w:t>Maria Abrahamsson (M)</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Marie Olsson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Carl-Oskar Bohlin (M)</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Johanna Haraldsson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Default="00D778DA" w:rsidP="00D778DA">
            <w:pPr>
              <w:rPr>
                <w:sz w:val="22"/>
                <w:szCs w:val="22"/>
              </w:rPr>
            </w:pPr>
            <w:r>
              <w:rPr>
                <w:sz w:val="22"/>
                <w:szCs w:val="22"/>
              </w:rPr>
              <w:t>Julia Kronlid (SD)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Jörgen Warborn (M)</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Fredrik Christensson (C)</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Default="00D778DA" w:rsidP="00D778DA">
            <w:pPr>
              <w:rPr>
                <w:sz w:val="22"/>
                <w:szCs w:val="22"/>
              </w:rPr>
            </w:pPr>
            <w:r>
              <w:rPr>
                <w:sz w:val="22"/>
                <w:szCs w:val="22"/>
              </w:rPr>
              <w:t>Maria Ferm (MP)</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Amir Adan (M)</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Paula Holmqvist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Heidi Karlsson (SD)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Barbro Westerholm (L)</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Christina Höj Larsen (V)</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Désirée Pethrus (KD)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Serkan Köse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Paula Bieler (SD)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Hanna Wigh (-)</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Marco Venegas (MP)</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Daniel Riazat (V)</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Emma Henriksson (KD)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Yasmine Larsson (S)</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Pr>
                <w:sz w:val="22"/>
                <w:szCs w:val="22"/>
              </w:rPr>
              <w:t>Fredrik Malm (L)</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Default="00D778DA" w:rsidP="00D778DA">
            <w:pPr>
              <w:rPr>
                <w:sz w:val="22"/>
                <w:szCs w:val="22"/>
              </w:rPr>
            </w:pPr>
            <w:r>
              <w:rPr>
                <w:sz w:val="22"/>
                <w:szCs w:val="22"/>
              </w:rPr>
              <w:t>Mats Persson (L)</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hideMark/>
          </w:tcPr>
          <w:p w:rsidR="00D778DA" w:rsidRDefault="00D778DA" w:rsidP="00D778DA">
            <w:pPr>
              <w:rPr>
                <w:sz w:val="22"/>
                <w:szCs w:val="22"/>
              </w:rPr>
            </w:pPr>
            <w:r w:rsidRPr="0063430B">
              <w:rPr>
                <w:sz w:val="22"/>
                <w:szCs w:val="22"/>
              </w:rPr>
              <w:t>Johanna Jönsson (C)</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Pr="0063430B" w:rsidRDefault="00D778DA" w:rsidP="00D778DA">
            <w:pPr>
              <w:rPr>
                <w:sz w:val="22"/>
                <w:szCs w:val="22"/>
              </w:rPr>
            </w:pPr>
            <w:r>
              <w:rPr>
                <w:sz w:val="22"/>
                <w:szCs w:val="22"/>
              </w:rPr>
              <w:t>Larry Söder (KD)</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Tr="002B5FBD">
        <w:tc>
          <w:tcPr>
            <w:tcW w:w="3332" w:type="dxa"/>
            <w:tcBorders>
              <w:top w:val="single" w:sz="6" w:space="0" w:color="auto"/>
              <w:left w:val="single" w:sz="6" w:space="0" w:color="auto"/>
              <w:bottom w:val="single" w:sz="6" w:space="0" w:color="auto"/>
              <w:right w:val="single" w:sz="6" w:space="0" w:color="auto"/>
            </w:tcBorders>
          </w:tcPr>
          <w:p w:rsidR="00D778DA" w:rsidRDefault="00D778DA" w:rsidP="00D778DA">
            <w:pPr>
              <w:rPr>
                <w:sz w:val="22"/>
                <w:szCs w:val="22"/>
              </w:rPr>
            </w:pPr>
            <w:r>
              <w:rPr>
                <w:sz w:val="22"/>
                <w:szCs w:val="22"/>
              </w:rPr>
              <w:t>Finn Bengtsson (M)</w:t>
            </w: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778DA"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78DA" w:rsidRPr="00E7686B" w:rsidTr="005A37D9">
        <w:trPr>
          <w:trHeight w:hRule="exact" w:val="57"/>
        </w:trPr>
        <w:tc>
          <w:tcPr>
            <w:tcW w:w="3332" w:type="dxa"/>
            <w:tcBorders>
              <w:top w:val="nil"/>
              <w:left w:val="nil"/>
              <w:bottom w:val="nil"/>
              <w:right w:val="nil"/>
            </w:tcBorders>
          </w:tcPr>
          <w:p w:rsidR="00D778DA" w:rsidRPr="00E7686B"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098" w:type="dxa"/>
            <w:gridSpan w:val="14"/>
            <w:tcBorders>
              <w:top w:val="nil"/>
              <w:left w:val="nil"/>
              <w:bottom w:val="nil"/>
              <w:right w:val="nil"/>
            </w:tcBorders>
          </w:tcPr>
          <w:p w:rsidR="00D778DA" w:rsidRPr="00E7686B"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778DA" w:rsidTr="005A37D9">
        <w:trPr>
          <w:trHeight w:val="263"/>
        </w:trPr>
        <w:tc>
          <w:tcPr>
            <w:tcW w:w="3332" w:type="dxa"/>
            <w:tcBorders>
              <w:top w:val="nil"/>
              <w:left w:val="nil"/>
              <w:bottom w:val="nil"/>
              <w:right w:val="nil"/>
            </w:tcBorders>
            <w:hideMark/>
          </w:tcPr>
          <w:p w:rsidR="00D778DA" w:rsidRPr="00CB5A24"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N = Närvarande</w:t>
            </w:r>
          </w:p>
        </w:tc>
        <w:tc>
          <w:tcPr>
            <w:tcW w:w="5098" w:type="dxa"/>
            <w:gridSpan w:val="14"/>
            <w:tcBorders>
              <w:top w:val="nil"/>
              <w:left w:val="nil"/>
              <w:bottom w:val="nil"/>
              <w:right w:val="nil"/>
            </w:tcBorders>
            <w:hideMark/>
          </w:tcPr>
          <w:p w:rsidR="00D778DA" w:rsidRPr="00CB5A24"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x = ledamöter som deltagit i handläggningen</w:t>
            </w:r>
          </w:p>
        </w:tc>
      </w:tr>
      <w:tr w:rsidR="00D778DA" w:rsidTr="004B2502">
        <w:trPr>
          <w:trHeight w:val="170"/>
        </w:trPr>
        <w:tc>
          <w:tcPr>
            <w:tcW w:w="3332" w:type="dxa"/>
            <w:tcBorders>
              <w:top w:val="nil"/>
              <w:left w:val="nil"/>
              <w:bottom w:val="nil"/>
              <w:right w:val="nil"/>
            </w:tcBorders>
            <w:hideMark/>
          </w:tcPr>
          <w:p w:rsidR="00D778DA" w:rsidRPr="00CB5A24"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V = Votering</w:t>
            </w:r>
          </w:p>
        </w:tc>
        <w:tc>
          <w:tcPr>
            <w:tcW w:w="5098" w:type="dxa"/>
            <w:gridSpan w:val="14"/>
            <w:tcBorders>
              <w:top w:val="nil"/>
              <w:left w:val="nil"/>
              <w:bottom w:val="nil"/>
              <w:right w:val="nil"/>
            </w:tcBorders>
            <w:hideMark/>
          </w:tcPr>
          <w:p w:rsidR="00D778DA" w:rsidRPr="00CB5A24" w:rsidRDefault="00D778DA" w:rsidP="00D778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o = ledamöter som härutöver har varit närvarande</w:t>
            </w:r>
          </w:p>
        </w:tc>
      </w:tr>
    </w:tbl>
    <w:p w:rsidR="005F59C8" w:rsidRPr="00CD3B87" w:rsidRDefault="005F59C8" w:rsidP="004B2502">
      <w:pPr>
        <w:tabs>
          <w:tab w:val="left" w:pos="1701"/>
        </w:tabs>
        <w:rPr>
          <w:sz w:val="4"/>
          <w:szCs w:val="4"/>
        </w:rPr>
      </w:pPr>
    </w:p>
    <w:sectPr w:rsidR="005F59C8" w:rsidRPr="00CD3B87" w:rsidSect="00CB5A24">
      <w:pgSz w:w="11906" w:h="16838" w:code="9"/>
      <w:pgMar w:top="737"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04352"/>
    <w:rsid w:val="00005C82"/>
    <w:rsid w:val="00040691"/>
    <w:rsid w:val="00064E0C"/>
    <w:rsid w:val="00065F76"/>
    <w:rsid w:val="00073D71"/>
    <w:rsid w:val="00081A95"/>
    <w:rsid w:val="00093BD4"/>
    <w:rsid w:val="00095048"/>
    <w:rsid w:val="000F2A32"/>
    <w:rsid w:val="001141DB"/>
    <w:rsid w:val="0011654F"/>
    <w:rsid w:val="00120A12"/>
    <w:rsid w:val="001211A3"/>
    <w:rsid w:val="00142A52"/>
    <w:rsid w:val="001441C2"/>
    <w:rsid w:val="001531D2"/>
    <w:rsid w:val="0016078E"/>
    <w:rsid w:val="00161AA6"/>
    <w:rsid w:val="00165630"/>
    <w:rsid w:val="0018036E"/>
    <w:rsid w:val="00195A71"/>
    <w:rsid w:val="001A7020"/>
    <w:rsid w:val="001B29C0"/>
    <w:rsid w:val="001B59E4"/>
    <w:rsid w:val="001C39BB"/>
    <w:rsid w:val="001F54F3"/>
    <w:rsid w:val="00211AAB"/>
    <w:rsid w:val="0024790C"/>
    <w:rsid w:val="00250C53"/>
    <w:rsid w:val="00251677"/>
    <w:rsid w:val="002544E0"/>
    <w:rsid w:val="00274599"/>
    <w:rsid w:val="002B4C7D"/>
    <w:rsid w:val="002B5FBD"/>
    <w:rsid w:val="0032031B"/>
    <w:rsid w:val="00333A92"/>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30167"/>
    <w:rsid w:val="00447EA2"/>
    <w:rsid w:val="00453974"/>
    <w:rsid w:val="004659A3"/>
    <w:rsid w:val="00484380"/>
    <w:rsid w:val="004B2502"/>
    <w:rsid w:val="004F1B55"/>
    <w:rsid w:val="004F42DA"/>
    <w:rsid w:val="004F680C"/>
    <w:rsid w:val="005347A1"/>
    <w:rsid w:val="005646A3"/>
    <w:rsid w:val="005714D8"/>
    <w:rsid w:val="0057395B"/>
    <w:rsid w:val="005778AA"/>
    <w:rsid w:val="00592D6B"/>
    <w:rsid w:val="00596129"/>
    <w:rsid w:val="005A0889"/>
    <w:rsid w:val="005A37D9"/>
    <w:rsid w:val="005B6D13"/>
    <w:rsid w:val="005D721E"/>
    <w:rsid w:val="005F59C8"/>
    <w:rsid w:val="00606D38"/>
    <w:rsid w:val="00616572"/>
    <w:rsid w:val="00631795"/>
    <w:rsid w:val="0063430B"/>
    <w:rsid w:val="00640310"/>
    <w:rsid w:val="00640C19"/>
    <w:rsid w:val="0064344C"/>
    <w:rsid w:val="00656A67"/>
    <w:rsid w:val="00656DD9"/>
    <w:rsid w:val="00660A8A"/>
    <w:rsid w:val="00670187"/>
    <w:rsid w:val="0068513C"/>
    <w:rsid w:val="0069442A"/>
    <w:rsid w:val="006A56E8"/>
    <w:rsid w:val="006C21FA"/>
    <w:rsid w:val="006D1030"/>
    <w:rsid w:val="006E06A4"/>
    <w:rsid w:val="006E774B"/>
    <w:rsid w:val="006F41EB"/>
    <w:rsid w:val="006F6C7A"/>
    <w:rsid w:val="007026FD"/>
    <w:rsid w:val="00703D16"/>
    <w:rsid w:val="00711F2E"/>
    <w:rsid w:val="00721DB8"/>
    <w:rsid w:val="00723C10"/>
    <w:rsid w:val="00723DD0"/>
    <w:rsid w:val="00726C3B"/>
    <w:rsid w:val="0078232D"/>
    <w:rsid w:val="00787DED"/>
    <w:rsid w:val="00792B26"/>
    <w:rsid w:val="00797764"/>
    <w:rsid w:val="007A327C"/>
    <w:rsid w:val="007C2BDB"/>
    <w:rsid w:val="007D4053"/>
    <w:rsid w:val="0081753E"/>
    <w:rsid w:val="00820B85"/>
    <w:rsid w:val="00822388"/>
    <w:rsid w:val="00827461"/>
    <w:rsid w:val="008357F3"/>
    <w:rsid w:val="008434C1"/>
    <w:rsid w:val="008557FA"/>
    <w:rsid w:val="00855D4E"/>
    <w:rsid w:val="008571EA"/>
    <w:rsid w:val="00861DDD"/>
    <w:rsid w:val="00871230"/>
    <w:rsid w:val="00894188"/>
    <w:rsid w:val="00894D40"/>
    <w:rsid w:val="008A47F2"/>
    <w:rsid w:val="008C2D0B"/>
    <w:rsid w:val="008D1752"/>
    <w:rsid w:val="00901669"/>
    <w:rsid w:val="00912575"/>
    <w:rsid w:val="00916634"/>
    <w:rsid w:val="00940F4E"/>
    <w:rsid w:val="00946978"/>
    <w:rsid w:val="00973D8B"/>
    <w:rsid w:val="009800E4"/>
    <w:rsid w:val="009E1625"/>
    <w:rsid w:val="00A0486E"/>
    <w:rsid w:val="00A05767"/>
    <w:rsid w:val="00A119D6"/>
    <w:rsid w:val="00A51C20"/>
    <w:rsid w:val="00A5427F"/>
    <w:rsid w:val="00A55283"/>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95D9B"/>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3B87"/>
    <w:rsid w:val="00CE3987"/>
    <w:rsid w:val="00D21B05"/>
    <w:rsid w:val="00D360B4"/>
    <w:rsid w:val="00D409A3"/>
    <w:rsid w:val="00D54317"/>
    <w:rsid w:val="00D778DA"/>
    <w:rsid w:val="00D90D9B"/>
    <w:rsid w:val="00DC42D6"/>
    <w:rsid w:val="00DC4D41"/>
    <w:rsid w:val="00DD0831"/>
    <w:rsid w:val="00DD270A"/>
    <w:rsid w:val="00DE1C47"/>
    <w:rsid w:val="00DE6176"/>
    <w:rsid w:val="00DF2C5A"/>
    <w:rsid w:val="00E24A87"/>
    <w:rsid w:val="00E55E38"/>
    <w:rsid w:val="00E6054D"/>
    <w:rsid w:val="00E7686B"/>
    <w:rsid w:val="00EB3E50"/>
    <w:rsid w:val="00EB6861"/>
    <w:rsid w:val="00ED28CD"/>
    <w:rsid w:val="00ED3389"/>
    <w:rsid w:val="00F03CC9"/>
    <w:rsid w:val="00F2328F"/>
    <w:rsid w:val="00F357B8"/>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45B08"/>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583">
      <w:bodyDiv w:val="1"/>
      <w:marLeft w:val="0"/>
      <w:marRight w:val="0"/>
      <w:marTop w:val="0"/>
      <w:marBottom w:val="0"/>
      <w:divBdr>
        <w:top w:val="none" w:sz="0" w:space="0" w:color="auto"/>
        <w:left w:val="none" w:sz="0" w:space="0" w:color="auto"/>
        <w:bottom w:val="none" w:sz="0" w:space="0" w:color="auto"/>
        <w:right w:val="none" w:sz="0" w:space="0" w:color="auto"/>
      </w:divBdr>
    </w:div>
    <w:div w:id="290284361">
      <w:bodyDiv w:val="1"/>
      <w:marLeft w:val="0"/>
      <w:marRight w:val="0"/>
      <w:marTop w:val="0"/>
      <w:marBottom w:val="0"/>
      <w:divBdr>
        <w:top w:val="none" w:sz="0" w:space="0" w:color="auto"/>
        <w:left w:val="none" w:sz="0" w:space="0" w:color="auto"/>
        <w:bottom w:val="none" w:sz="0" w:space="0" w:color="auto"/>
        <w:right w:val="none" w:sz="0" w:space="0" w:color="auto"/>
      </w:divBdr>
    </w:div>
    <w:div w:id="722481704">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403723177">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A93D-330E-4D86-8C1F-6C5C9CA7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511</TotalTime>
  <Pages>5</Pages>
  <Words>1045</Words>
  <Characters>7023</Characters>
  <Application>Microsoft Office Word</Application>
  <DocSecurity>0</DocSecurity>
  <Lines>1170</Lines>
  <Paragraphs>268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10</cp:revision>
  <cp:lastPrinted>2018-04-25T07:42:00Z</cp:lastPrinted>
  <dcterms:created xsi:type="dcterms:W3CDTF">2018-04-24T11:30:00Z</dcterms:created>
  <dcterms:modified xsi:type="dcterms:W3CDTF">2018-04-27T11:24:00Z</dcterms:modified>
</cp:coreProperties>
</file>