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E5417F" w:rsidTr="006B1D92">
        <w:tc>
          <w:tcPr>
            <w:tcW w:w="2268" w:type="dxa"/>
          </w:tcPr>
          <w:p w:rsidR="00E5417F" w:rsidRDefault="00E5417F"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E5417F" w:rsidRPr="00D81E65" w:rsidRDefault="00E5417F"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E5417F" w:rsidTr="006B1D92">
        <w:tc>
          <w:tcPr>
            <w:tcW w:w="5267" w:type="dxa"/>
            <w:gridSpan w:val="3"/>
          </w:tcPr>
          <w:p w:rsidR="00E5417F" w:rsidRDefault="00E5417F"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E5417F" w:rsidTr="006B1D92">
        <w:tc>
          <w:tcPr>
            <w:tcW w:w="3402" w:type="dxa"/>
            <w:gridSpan w:val="2"/>
          </w:tcPr>
          <w:p w:rsidR="00E5417F" w:rsidRDefault="00E5417F" w:rsidP="007242A3">
            <w:pPr>
              <w:framePr w:w="5035" w:h="1644" w:wrap="notBeside" w:vAnchor="page" w:hAnchor="page" w:x="6573" w:y="721"/>
            </w:pPr>
          </w:p>
        </w:tc>
        <w:tc>
          <w:tcPr>
            <w:tcW w:w="1865" w:type="dxa"/>
          </w:tcPr>
          <w:p w:rsidR="00E5417F" w:rsidRDefault="00E5417F" w:rsidP="007242A3">
            <w:pPr>
              <w:framePr w:w="5035" w:h="1644" w:wrap="notBeside" w:vAnchor="page" w:hAnchor="page" w:x="6573" w:y="721"/>
            </w:pPr>
          </w:p>
        </w:tc>
      </w:tr>
      <w:tr w:rsidR="00E5417F" w:rsidTr="006B1D92">
        <w:tc>
          <w:tcPr>
            <w:tcW w:w="2268" w:type="dxa"/>
          </w:tcPr>
          <w:p w:rsidR="00E5417F" w:rsidRDefault="00E5417F" w:rsidP="001414B7">
            <w:pPr>
              <w:framePr w:w="5035" w:h="1644" w:wrap="notBeside" w:vAnchor="page" w:hAnchor="page" w:x="6573" w:y="721"/>
            </w:pPr>
            <w:r>
              <w:t>2013-02-08</w:t>
            </w:r>
          </w:p>
        </w:tc>
        <w:tc>
          <w:tcPr>
            <w:tcW w:w="2999" w:type="dxa"/>
            <w:gridSpan w:val="2"/>
          </w:tcPr>
          <w:p w:rsidR="00E5417F" w:rsidRPr="00ED583F" w:rsidRDefault="00E5417F" w:rsidP="007242A3">
            <w:pPr>
              <w:framePr w:w="5035" w:h="1644" w:wrap="notBeside" w:vAnchor="page" w:hAnchor="page" w:x="6573" w:y="721"/>
              <w:rPr>
                <w:sz w:val="20"/>
              </w:rPr>
            </w:pPr>
          </w:p>
        </w:tc>
      </w:tr>
      <w:tr w:rsidR="00E5417F" w:rsidTr="006B1D92">
        <w:tc>
          <w:tcPr>
            <w:tcW w:w="2268" w:type="dxa"/>
          </w:tcPr>
          <w:p w:rsidR="00E5417F" w:rsidRDefault="00E5417F" w:rsidP="007242A3">
            <w:pPr>
              <w:framePr w:w="5035" w:h="1644" w:wrap="notBeside" w:vAnchor="page" w:hAnchor="page" w:x="6573" w:y="721"/>
            </w:pPr>
          </w:p>
        </w:tc>
        <w:tc>
          <w:tcPr>
            <w:tcW w:w="2999" w:type="dxa"/>
            <w:gridSpan w:val="2"/>
          </w:tcPr>
          <w:p w:rsidR="00E5417F" w:rsidRDefault="00E5417F" w:rsidP="007242A3">
            <w:pPr>
              <w:framePr w:w="5035" w:h="1644" w:wrap="notBeside" w:vAnchor="page" w:hAnchor="page" w:x="6573" w:y="721"/>
            </w:pPr>
          </w:p>
        </w:tc>
      </w:tr>
    </w:tbl>
    <w:tbl>
      <w:tblPr>
        <w:tblW w:w="0" w:type="auto"/>
        <w:tblLayout w:type="fixed"/>
        <w:tblLook w:val="0000"/>
      </w:tblPr>
      <w:tblGrid>
        <w:gridCol w:w="4911"/>
      </w:tblGrid>
      <w:tr w:rsidR="00E5417F">
        <w:trPr>
          <w:trHeight w:val="284"/>
        </w:trPr>
        <w:tc>
          <w:tcPr>
            <w:tcW w:w="4911" w:type="dxa"/>
          </w:tcPr>
          <w:p w:rsidR="00E5417F" w:rsidRDefault="00E5417F">
            <w:pPr>
              <w:pStyle w:val="Avsndare"/>
              <w:framePr w:h="2483" w:wrap="notBeside" w:x="1504"/>
              <w:rPr>
                <w:b/>
                <w:i w:val="0"/>
                <w:sz w:val="22"/>
              </w:rPr>
            </w:pPr>
            <w:r>
              <w:rPr>
                <w:b/>
                <w:i w:val="0"/>
                <w:sz w:val="22"/>
              </w:rPr>
              <w:t>Utbildningsdepartementet</w:t>
            </w:r>
          </w:p>
        </w:tc>
      </w:tr>
      <w:tr w:rsidR="00E5417F">
        <w:trPr>
          <w:trHeight w:val="284"/>
        </w:trPr>
        <w:tc>
          <w:tcPr>
            <w:tcW w:w="4911" w:type="dxa"/>
          </w:tcPr>
          <w:p w:rsidR="00E5417F" w:rsidRDefault="00E5417F">
            <w:pPr>
              <w:pStyle w:val="Avsndare"/>
              <w:framePr w:h="2483" w:wrap="notBeside" w:x="1504"/>
              <w:rPr>
                <w:bCs/>
                <w:iCs/>
              </w:rPr>
            </w:pPr>
          </w:p>
        </w:tc>
      </w:tr>
      <w:tr w:rsidR="00E5417F">
        <w:trPr>
          <w:trHeight w:val="284"/>
        </w:trPr>
        <w:tc>
          <w:tcPr>
            <w:tcW w:w="4911" w:type="dxa"/>
          </w:tcPr>
          <w:p w:rsidR="00E5417F" w:rsidRDefault="00E5417F">
            <w:pPr>
              <w:pStyle w:val="Avsndare"/>
              <w:framePr w:h="2483" w:wrap="notBeside" w:x="1504"/>
              <w:rPr>
                <w:bCs/>
                <w:iCs/>
              </w:rPr>
            </w:pPr>
            <w:r>
              <w:rPr>
                <w:bCs/>
                <w:iCs/>
              </w:rPr>
              <w:t>Forskningspolitiska enheten</w:t>
            </w:r>
          </w:p>
        </w:tc>
      </w:tr>
      <w:tr w:rsidR="00E5417F">
        <w:trPr>
          <w:trHeight w:val="284"/>
        </w:trPr>
        <w:tc>
          <w:tcPr>
            <w:tcW w:w="4911" w:type="dxa"/>
          </w:tcPr>
          <w:p w:rsidR="00E5417F" w:rsidRDefault="00E5417F">
            <w:pPr>
              <w:pStyle w:val="Avsndare"/>
              <w:framePr w:h="2483" w:wrap="notBeside" w:x="1504"/>
              <w:rPr>
                <w:bCs/>
                <w:iCs/>
              </w:rPr>
            </w:pPr>
          </w:p>
        </w:tc>
      </w:tr>
      <w:tr w:rsidR="00E5417F">
        <w:trPr>
          <w:trHeight w:val="284"/>
        </w:trPr>
        <w:tc>
          <w:tcPr>
            <w:tcW w:w="4911" w:type="dxa"/>
          </w:tcPr>
          <w:p w:rsidR="00E5417F" w:rsidRDefault="00E5417F">
            <w:pPr>
              <w:pStyle w:val="Avsndare"/>
              <w:framePr w:h="2483" w:wrap="notBeside" w:x="1504"/>
              <w:rPr>
                <w:bCs/>
                <w:iCs/>
              </w:rPr>
            </w:pPr>
          </w:p>
        </w:tc>
      </w:tr>
      <w:tr w:rsidR="00E5417F">
        <w:trPr>
          <w:trHeight w:val="284"/>
        </w:trPr>
        <w:tc>
          <w:tcPr>
            <w:tcW w:w="4911" w:type="dxa"/>
          </w:tcPr>
          <w:p w:rsidR="00E5417F" w:rsidRDefault="00E5417F">
            <w:pPr>
              <w:pStyle w:val="Avsndare"/>
              <w:framePr w:h="2483" w:wrap="notBeside" w:x="1504"/>
              <w:rPr>
                <w:bCs/>
                <w:iCs/>
              </w:rPr>
            </w:pPr>
          </w:p>
        </w:tc>
      </w:tr>
      <w:tr w:rsidR="00E5417F">
        <w:trPr>
          <w:trHeight w:val="284"/>
        </w:trPr>
        <w:tc>
          <w:tcPr>
            <w:tcW w:w="4911" w:type="dxa"/>
          </w:tcPr>
          <w:p w:rsidR="00E5417F" w:rsidRDefault="00E5417F">
            <w:pPr>
              <w:pStyle w:val="Avsndare"/>
              <w:framePr w:h="2483" w:wrap="notBeside" w:x="1504"/>
              <w:rPr>
                <w:bCs/>
                <w:iCs/>
              </w:rPr>
            </w:pPr>
          </w:p>
        </w:tc>
      </w:tr>
      <w:tr w:rsidR="00E5417F">
        <w:trPr>
          <w:trHeight w:val="284"/>
        </w:trPr>
        <w:tc>
          <w:tcPr>
            <w:tcW w:w="4911" w:type="dxa"/>
          </w:tcPr>
          <w:p w:rsidR="00E5417F" w:rsidRDefault="00E5417F">
            <w:pPr>
              <w:pStyle w:val="Avsndare"/>
              <w:framePr w:h="2483" w:wrap="notBeside" w:x="1504"/>
              <w:rPr>
                <w:bCs/>
                <w:iCs/>
              </w:rPr>
            </w:pPr>
          </w:p>
        </w:tc>
      </w:tr>
      <w:tr w:rsidR="00E5417F">
        <w:trPr>
          <w:trHeight w:val="284"/>
        </w:trPr>
        <w:tc>
          <w:tcPr>
            <w:tcW w:w="4911" w:type="dxa"/>
          </w:tcPr>
          <w:p w:rsidR="00E5417F" w:rsidRDefault="00E5417F">
            <w:pPr>
              <w:pStyle w:val="Avsndare"/>
              <w:framePr w:h="2483" w:wrap="notBeside" w:x="1504"/>
              <w:rPr>
                <w:bCs/>
                <w:iCs/>
              </w:rPr>
            </w:pPr>
          </w:p>
        </w:tc>
      </w:tr>
    </w:tbl>
    <w:p w:rsidR="00E5417F" w:rsidRPr="006B1D92" w:rsidRDefault="00E5417F">
      <w:pPr>
        <w:framePr w:w="4400" w:h="2523" w:wrap="notBeside" w:vAnchor="page" w:hAnchor="page" w:x="6453" w:y="2445"/>
        <w:ind w:left="142"/>
        <w:rPr>
          <w:b/>
        </w:rPr>
      </w:pPr>
    </w:p>
    <w:p w:rsidR="00E5417F" w:rsidRDefault="00E5417F">
      <w:pPr>
        <w:pStyle w:val="RKrubrik"/>
        <w:pBdr>
          <w:bottom w:val="single" w:sz="6" w:space="1" w:color="auto"/>
        </w:pBdr>
      </w:pPr>
      <w:bookmarkStart w:id="1" w:name="bRubrik"/>
      <w:bookmarkEnd w:id="1"/>
      <w:r>
        <w:t>Rådets möte (KKR) den 18 februari 2013</w:t>
      </w:r>
    </w:p>
    <w:p w:rsidR="00E5417F" w:rsidRDefault="00E5417F">
      <w:pPr>
        <w:pStyle w:val="RKnormal"/>
      </w:pPr>
    </w:p>
    <w:p w:rsidR="00E5417F" w:rsidRPr="00D81E65" w:rsidRDefault="00E5417F">
      <w:pPr>
        <w:pStyle w:val="RKnormal"/>
        <w:rPr>
          <w:lang w:val="en-US"/>
        </w:rPr>
      </w:pPr>
      <w:r w:rsidRPr="00D81E65">
        <w:rPr>
          <w:b/>
          <w:lang w:val="en-US"/>
        </w:rPr>
        <w:t>Dagordningspunkt</w:t>
      </w:r>
      <w:r w:rsidRPr="00D81E65">
        <w:rPr>
          <w:lang w:val="en-US"/>
        </w:rPr>
        <w:t>: 4b)</w:t>
      </w:r>
    </w:p>
    <w:p w:rsidR="00E5417F" w:rsidRPr="00D81E65" w:rsidRDefault="00E5417F">
      <w:pPr>
        <w:pStyle w:val="RKnormal"/>
        <w:rPr>
          <w:lang w:val="en-US"/>
        </w:rPr>
      </w:pPr>
    </w:p>
    <w:p w:rsidR="00E5417F" w:rsidRPr="00F05E50" w:rsidRDefault="00E5417F" w:rsidP="00F05E50">
      <w:pPr>
        <w:pStyle w:val="RKnormal"/>
        <w:rPr>
          <w:lang w:val="fr-BE"/>
        </w:rPr>
      </w:pPr>
      <w:r w:rsidRPr="00D81E65">
        <w:rPr>
          <w:b/>
          <w:lang w:val="en-US"/>
        </w:rPr>
        <w:t xml:space="preserve">Rubrik: </w:t>
      </w:r>
      <w:r w:rsidRPr="008F0E1E">
        <w:rPr>
          <w:lang w:val="en-GB"/>
        </w:rPr>
        <w:t>European semester/Annual Growth Survey 2013</w:t>
      </w:r>
      <w:r>
        <w:rPr>
          <w:i/>
          <w:lang w:val="fr-BE"/>
        </w:rPr>
        <w:t xml:space="preserve"> </w:t>
      </w:r>
      <w:r w:rsidRPr="00F05E50">
        <w:rPr>
          <w:lang w:val="fr-BE"/>
        </w:rPr>
        <w:t>-</w:t>
      </w:r>
      <w:r>
        <w:rPr>
          <w:lang w:val="fr-BE"/>
        </w:rPr>
        <w:t xml:space="preserve"> </w:t>
      </w:r>
      <w:r w:rsidRPr="00F05E50">
        <w:rPr>
          <w:lang w:val="fr-BE"/>
        </w:rPr>
        <w:t>Policy debate</w:t>
      </w:r>
    </w:p>
    <w:p w:rsidR="00E5417F" w:rsidRPr="00D81E65" w:rsidRDefault="00E5417F">
      <w:pPr>
        <w:pStyle w:val="RKnormal"/>
        <w:rPr>
          <w:lang w:val="en-US"/>
        </w:rPr>
      </w:pPr>
    </w:p>
    <w:p w:rsidR="00E5417F" w:rsidRPr="00C812BA" w:rsidRDefault="00E5417F">
      <w:pPr>
        <w:pStyle w:val="RKnormal"/>
        <w:rPr>
          <w:b/>
        </w:rPr>
      </w:pPr>
      <w:r w:rsidRPr="00C812BA">
        <w:rPr>
          <w:b/>
        </w:rPr>
        <w:t>Dokument:</w:t>
      </w:r>
      <w:r>
        <w:rPr>
          <w:b/>
        </w:rPr>
        <w:t xml:space="preserve"> </w:t>
      </w:r>
      <w:r>
        <w:t>5843/13</w:t>
      </w:r>
    </w:p>
    <w:p w:rsidR="00E5417F" w:rsidRDefault="00E5417F">
      <w:pPr>
        <w:pStyle w:val="RKrubrik"/>
      </w:pPr>
      <w:r>
        <w:t>Bakgrund</w:t>
      </w:r>
    </w:p>
    <w:p w:rsidR="00E5417F" w:rsidRDefault="00E5417F" w:rsidP="0053501D">
      <w:pPr>
        <w:pStyle w:val="RKnormal"/>
      </w:pPr>
      <w:r>
        <w:t>KOM presenterade den 28 november 2012 sin årliga tillväxtöversikt gällande 2013. Tillväxtöversikten utgör startpunkten för 2013 års europeiska termin för koordinering av den ekonomiska politiken inom EU.</w:t>
      </w:r>
    </w:p>
    <w:p w:rsidR="00E5417F" w:rsidRDefault="00E5417F" w:rsidP="0053501D">
      <w:pPr>
        <w:pStyle w:val="RKnormal"/>
      </w:pPr>
    </w:p>
    <w:p w:rsidR="00E5417F" w:rsidRDefault="00E5417F" w:rsidP="0053501D">
      <w:pPr>
        <w:pStyle w:val="RKnormal"/>
      </w:pPr>
      <w:r>
        <w:t>Avsikten är att tillväxtöversikten ska vara ett underlag för medlemsstaternas beslut gällande deras nationella ekonomiska och budgetära politik.</w:t>
      </w:r>
    </w:p>
    <w:p w:rsidR="00E5417F" w:rsidRDefault="00E5417F" w:rsidP="0053501D">
      <w:pPr>
        <w:pStyle w:val="RKnormal"/>
      </w:pPr>
    </w:p>
    <w:p w:rsidR="00E5417F" w:rsidRDefault="00E5417F" w:rsidP="0053501D">
      <w:pPr>
        <w:pStyle w:val="RKnormal"/>
      </w:pPr>
      <w:r>
        <w:t>I april kommer medlemsstaterna presentera sina nationella reformprogram vilka sedan utgör underlag för kommissionens landspecifika rekommendationer i maj 2013.</w:t>
      </w:r>
    </w:p>
    <w:p w:rsidR="00E5417F" w:rsidRDefault="00E5417F" w:rsidP="0053501D">
      <w:pPr>
        <w:pStyle w:val="RKnormal"/>
      </w:pPr>
    </w:p>
    <w:p w:rsidR="00E5417F" w:rsidRDefault="00E5417F" w:rsidP="0053501D">
      <w:pPr>
        <w:pStyle w:val="RKnormal"/>
      </w:pPr>
      <w:r>
        <w:t>I juli 2013 kommer rådet att fastställa rekommendationerna till medlemsstaterna.</w:t>
      </w:r>
    </w:p>
    <w:p w:rsidR="00E5417F" w:rsidRDefault="00E5417F" w:rsidP="0053501D">
      <w:pPr>
        <w:pStyle w:val="RKnormal"/>
      </w:pPr>
    </w:p>
    <w:p w:rsidR="00E5417F" w:rsidRDefault="00E5417F" w:rsidP="0053501D">
      <w:pPr>
        <w:pStyle w:val="RKnormal"/>
      </w:pPr>
      <w:r>
        <w:t>Inom ramen för ovan process kommer forskningsministrarna att diskutera betydelsen av forskning och innovation vid KKR 18 februari 2013.</w:t>
      </w:r>
    </w:p>
    <w:p w:rsidR="00E5417F" w:rsidRDefault="00E5417F" w:rsidP="0053501D">
      <w:pPr>
        <w:pStyle w:val="RKnormal"/>
      </w:pPr>
    </w:p>
    <w:p w:rsidR="00E5417F" w:rsidRDefault="00E5417F" w:rsidP="0053501D">
      <w:pPr>
        <w:pStyle w:val="RKnormal"/>
      </w:pPr>
      <w:r>
        <w:t>Ordförandeskapet har tagit fram tre diskussionsfrågor inför forskningsministrarnas diskussion (dok.5843/13) och som kortfattat handlar om följande:</w:t>
      </w:r>
    </w:p>
    <w:p w:rsidR="00E5417F" w:rsidRDefault="00E5417F" w:rsidP="0053501D">
      <w:pPr>
        <w:pStyle w:val="RKnormal"/>
      </w:pPr>
    </w:p>
    <w:p w:rsidR="00E5417F" w:rsidRDefault="00E5417F" w:rsidP="00092B0D">
      <w:pPr>
        <w:pStyle w:val="RKnormal"/>
        <w:numPr>
          <w:ilvl w:val="0"/>
          <w:numId w:val="1"/>
        </w:numPr>
      </w:pPr>
      <w:r>
        <w:t>Hur kan Europa vara i framkant när det gäller kommande teknologiska utveckling och dess marknadspotential?</w:t>
      </w:r>
    </w:p>
    <w:p w:rsidR="00E5417F" w:rsidRDefault="00E5417F" w:rsidP="00092B0D">
      <w:pPr>
        <w:pStyle w:val="RKnormal"/>
        <w:numPr>
          <w:ilvl w:val="0"/>
          <w:numId w:val="1"/>
        </w:numPr>
      </w:pPr>
      <w:r>
        <w:t>Hur kan public-private-partnerships utvecklas för att stödja forskning och innovation?</w:t>
      </w:r>
    </w:p>
    <w:p w:rsidR="00E5417F" w:rsidRPr="0053501D" w:rsidRDefault="00E5417F" w:rsidP="00092B0D">
      <w:pPr>
        <w:pStyle w:val="RKnormal"/>
        <w:numPr>
          <w:ilvl w:val="0"/>
          <w:numId w:val="1"/>
        </w:numPr>
      </w:pPr>
      <w:r>
        <w:t>Hur kan man stödja att överföring av FoU-resultat leder till nya arbetstillfällen och produkter?</w:t>
      </w:r>
    </w:p>
    <w:p w:rsidR="00E5417F" w:rsidRPr="00ED20EB" w:rsidRDefault="00E5417F">
      <w:pPr>
        <w:pStyle w:val="RKrubrik"/>
        <w:rPr>
          <w:iCs/>
        </w:rPr>
      </w:pPr>
      <w:r w:rsidRPr="00ED20EB">
        <w:rPr>
          <w:iCs/>
        </w:rPr>
        <w:t>Svensk ståndpunkt</w:t>
      </w:r>
    </w:p>
    <w:p w:rsidR="00E5417F" w:rsidRDefault="00E5417F" w:rsidP="00C17723">
      <w:pPr>
        <w:pStyle w:val="RKnormal"/>
      </w:pPr>
      <w:r w:rsidRPr="00C17723">
        <w:t>S</w:t>
      </w:r>
      <w:r>
        <w:t>verige</w:t>
      </w:r>
      <w:r w:rsidRPr="00C17723">
        <w:t xml:space="preserve"> anser att EU:s målsättning om att FoU-utgifterna</w:t>
      </w:r>
      <w:r>
        <w:t xml:space="preserve"> </w:t>
      </w:r>
      <w:r w:rsidRPr="00C17723">
        <w:t>bör uppgå till 3</w:t>
      </w:r>
      <w:r>
        <w:t xml:space="preserve"> </w:t>
      </w:r>
      <w:r w:rsidRPr="00C17723">
        <w:t xml:space="preserve">% av BNP </w:t>
      </w:r>
      <w:r>
        <w:t xml:space="preserve">år 2020 </w:t>
      </w:r>
      <w:r w:rsidRPr="00C17723">
        <w:t xml:space="preserve">är centralt för </w:t>
      </w:r>
      <w:r>
        <w:t xml:space="preserve">unionens möjligheter till teknologisk utveckling och konkurrenskraft. Även i tider av budgetär konsolidering är det därför angeläget att medlemsstaterna prioriterar tillväxtvänliga utgifter. </w:t>
      </w:r>
    </w:p>
    <w:p w:rsidR="00E5417F" w:rsidRDefault="00E5417F" w:rsidP="00C17723">
      <w:pPr>
        <w:pStyle w:val="RKnormal"/>
      </w:pPr>
    </w:p>
    <w:p w:rsidR="00E5417F" w:rsidRDefault="00E5417F" w:rsidP="00C17723">
      <w:pPr>
        <w:pStyle w:val="RKnormal"/>
      </w:pPr>
      <w:r>
        <w:t xml:space="preserve">För att stimulera ny teknologisk utveckling är det på lång sikt viktigt att satsa på nyfikenhetsbaserad forskning som är långsiktig och riskbenägen. </w:t>
      </w:r>
      <w:r w:rsidRPr="003555C5">
        <w:t>Vidare är det viktigt med mångvetenskaplig FoU eftersom flera tillväxtområden förväntas skapas i gränslandet mellan traditionella ämnesområden. Även involvering av olika aktörs</w:t>
      </w:r>
      <w:r>
        <w:t>- och intresse</w:t>
      </w:r>
      <w:r w:rsidRPr="003555C5">
        <w:t>grupper i forskningsutförande är viktigt för kommande teknologiska utveckling, då det stärker behovsbilden.</w:t>
      </w:r>
    </w:p>
    <w:p w:rsidR="00E5417F" w:rsidRDefault="00E5417F" w:rsidP="00C17723">
      <w:pPr>
        <w:pStyle w:val="RKnormal"/>
      </w:pPr>
    </w:p>
    <w:p w:rsidR="00E5417F" w:rsidRDefault="00E5417F" w:rsidP="00C17723">
      <w:pPr>
        <w:pStyle w:val="RKnormal"/>
      </w:pPr>
      <w:r>
        <w:t>För att s.k. public-private-partnerships (PPP) ska utgöra verkningsfulla instrument krävs att de regelverk som styr partnerskapen harmoniseras och förenklas. Förenkling kan bidra till att det är de mest excellenta aktörerna och ansökningarna som deltar i PPP. I den utsträckning som s.k. common-pot kan bidra till ökad kvalitet i PPP-projekt är Sverige berett att testa detta i en mindre skala givet att ett antal andra medlemsstater gör detsamma.</w:t>
      </w:r>
    </w:p>
    <w:p w:rsidR="00E5417F" w:rsidRDefault="00E5417F" w:rsidP="00C17723">
      <w:pPr>
        <w:pStyle w:val="RKnormal"/>
      </w:pPr>
    </w:p>
    <w:p w:rsidR="00E5417F" w:rsidRDefault="00E5417F" w:rsidP="001611CA">
      <w:r>
        <w:t xml:space="preserve">Ett flertal åtgärder och instrument är relevanta och önskvärda för kunskapsöverföring och nyttiggörande av FoU-resultat, vilka i sin tur kan leda till nya produkter, tjänster, arbetstillfällen och effektiviseringar. Förutom vikten av samverkan mellan olika aktörsgrupper, bedömer regeringen även att det utmaningsfokus som introduceras i Horisont 2020 är fundamentalt. Genom att inrikta insatser till att finna lösningar på utmaningar, skapas naturlig koppling mellan FoU och dess resultat i form av nya produkter och tjänster. </w:t>
      </w:r>
    </w:p>
    <w:p w:rsidR="00E5417F" w:rsidRDefault="00E5417F" w:rsidP="001611CA"/>
    <w:p w:rsidR="00E5417F" w:rsidRDefault="00E5417F" w:rsidP="001611CA">
      <w:r>
        <w:t>Inom ramen för den nationella politiken har regeringen presenterat ett antal åtgärder i den senaste forsknings- och innovationspropositionen som handlar om nyttiggörande av forskningsbaserad kunskap.</w:t>
      </w:r>
    </w:p>
    <w:p w:rsidR="00E5417F" w:rsidRDefault="00E5417F" w:rsidP="00C17723">
      <w:pPr>
        <w:pStyle w:val="RKnormal"/>
      </w:pPr>
    </w:p>
    <w:p w:rsidR="00E5417F" w:rsidRDefault="00E5417F" w:rsidP="00C17723">
      <w:pPr>
        <w:pStyle w:val="RKnormal"/>
      </w:pPr>
    </w:p>
    <w:sectPr w:rsidR="00E5417F" w:rsidSect="00707CD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17F" w:rsidRDefault="00E5417F">
      <w:r>
        <w:separator/>
      </w:r>
    </w:p>
  </w:endnote>
  <w:endnote w:type="continuationSeparator" w:id="0">
    <w:p w:rsidR="00E5417F" w:rsidRDefault="00E5417F">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17F" w:rsidRDefault="00E5417F">
      <w:r>
        <w:separator/>
      </w:r>
    </w:p>
  </w:footnote>
  <w:footnote w:type="continuationSeparator" w:id="0">
    <w:p w:rsidR="00E5417F" w:rsidRDefault="00E54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17F" w:rsidRDefault="00E541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E5417F">
      <w:trPr>
        <w:cantSplit/>
      </w:trPr>
      <w:tc>
        <w:tcPr>
          <w:tcW w:w="3119" w:type="dxa"/>
        </w:tcPr>
        <w:p w:rsidR="00E5417F" w:rsidRDefault="00E5417F">
          <w:pPr>
            <w:pStyle w:val="Header"/>
            <w:spacing w:line="200" w:lineRule="atLeast"/>
            <w:ind w:right="357"/>
            <w:rPr>
              <w:rFonts w:ascii="TradeGothic" w:hAnsi="TradeGothic"/>
              <w:b/>
              <w:bCs/>
              <w:sz w:val="16"/>
            </w:rPr>
          </w:pPr>
        </w:p>
      </w:tc>
      <w:tc>
        <w:tcPr>
          <w:tcW w:w="4111" w:type="dxa"/>
          <w:tcMar>
            <w:left w:w="567" w:type="dxa"/>
          </w:tcMar>
        </w:tcPr>
        <w:p w:rsidR="00E5417F" w:rsidRDefault="00E5417F">
          <w:pPr>
            <w:pStyle w:val="Header"/>
            <w:ind w:right="360"/>
          </w:pPr>
        </w:p>
      </w:tc>
      <w:tc>
        <w:tcPr>
          <w:tcW w:w="1525" w:type="dxa"/>
        </w:tcPr>
        <w:p w:rsidR="00E5417F" w:rsidRDefault="00E5417F">
          <w:pPr>
            <w:pStyle w:val="Header"/>
            <w:ind w:right="360"/>
          </w:pPr>
        </w:p>
      </w:tc>
    </w:tr>
  </w:tbl>
  <w:p w:rsidR="00E5417F" w:rsidRDefault="00E5417F">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17F" w:rsidRDefault="00E541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E5417F">
      <w:trPr>
        <w:cantSplit/>
      </w:trPr>
      <w:tc>
        <w:tcPr>
          <w:tcW w:w="3119" w:type="dxa"/>
        </w:tcPr>
        <w:p w:rsidR="00E5417F" w:rsidRDefault="00E5417F">
          <w:pPr>
            <w:pStyle w:val="Header"/>
            <w:spacing w:line="200" w:lineRule="atLeast"/>
            <w:ind w:right="357"/>
            <w:rPr>
              <w:rFonts w:ascii="TradeGothic" w:hAnsi="TradeGothic"/>
              <w:b/>
              <w:bCs/>
              <w:sz w:val="16"/>
            </w:rPr>
          </w:pPr>
        </w:p>
      </w:tc>
      <w:tc>
        <w:tcPr>
          <w:tcW w:w="4111" w:type="dxa"/>
          <w:tcMar>
            <w:left w:w="567" w:type="dxa"/>
          </w:tcMar>
        </w:tcPr>
        <w:p w:rsidR="00E5417F" w:rsidRDefault="00E5417F">
          <w:pPr>
            <w:pStyle w:val="Header"/>
            <w:ind w:right="360"/>
          </w:pPr>
        </w:p>
      </w:tc>
      <w:tc>
        <w:tcPr>
          <w:tcW w:w="1525" w:type="dxa"/>
        </w:tcPr>
        <w:p w:rsidR="00E5417F" w:rsidRDefault="00E5417F">
          <w:pPr>
            <w:pStyle w:val="Header"/>
            <w:ind w:right="360"/>
          </w:pPr>
        </w:p>
      </w:tc>
    </w:tr>
  </w:tbl>
  <w:p w:rsidR="00E5417F" w:rsidRDefault="00E5417F">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17F" w:rsidRDefault="00E5417F">
    <w:pPr>
      <w:framePr w:w="2948" w:h="1321" w:hRule="exact" w:wrap="notBeside" w:vAnchor="page" w:hAnchor="page" w:x="1362" w:y="653"/>
    </w:pPr>
    <w:r w:rsidRPr="006D7334">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E5417F" w:rsidRDefault="00E5417F">
    <w:pPr>
      <w:pStyle w:val="RKrubrik"/>
      <w:keepNext w:val="0"/>
      <w:tabs>
        <w:tab w:val="clear" w:pos="1134"/>
        <w:tab w:val="clear" w:pos="2835"/>
      </w:tabs>
      <w:spacing w:before="0" w:after="0" w:line="320" w:lineRule="atLeast"/>
      <w:rPr>
        <w:bCs/>
      </w:rPr>
    </w:pPr>
  </w:p>
  <w:p w:rsidR="00E5417F" w:rsidRDefault="00E5417F">
    <w:pPr>
      <w:rPr>
        <w:rFonts w:ascii="TradeGothic" w:hAnsi="TradeGothic"/>
        <w:b/>
        <w:bCs/>
        <w:spacing w:val="12"/>
        <w:sz w:val="22"/>
      </w:rPr>
    </w:pPr>
  </w:p>
  <w:p w:rsidR="00E5417F" w:rsidRDefault="00E5417F">
    <w:pPr>
      <w:pStyle w:val="RKrubrik"/>
      <w:keepNext w:val="0"/>
      <w:tabs>
        <w:tab w:val="clear" w:pos="1134"/>
        <w:tab w:val="clear" w:pos="2835"/>
      </w:tabs>
      <w:spacing w:before="0" w:after="0" w:line="320" w:lineRule="atLeast"/>
      <w:rPr>
        <w:bCs/>
      </w:rPr>
    </w:pPr>
  </w:p>
  <w:p w:rsidR="00E5417F" w:rsidRDefault="00E5417F">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80154"/>
    <w:multiLevelType w:val="hybridMultilevel"/>
    <w:tmpl w:val="E89640E0"/>
    <w:lvl w:ilvl="0" w:tplc="576ACF44">
      <w:start w:val="2013"/>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6B1D92"/>
    <w:rsid w:val="00025C9E"/>
    <w:rsid w:val="00092B0D"/>
    <w:rsid w:val="000D2CAB"/>
    <w:rsid w:val="001414B7"/>
    <w:rsid w:val="00150384"/>
    <w:rsid w:val="00152BC0"/>
    <w:rsid w:val="00156E4D"/>
    <w:rsid w:val="00160901"/>
    <w:rsid w:val="001611CA"/>
    <w:rsid w:val="0016356D"/>
    <w:rsid w:val="001805B7"/>
    <w:rsid w:val="001B12A9"/>
    <w:rsid w:val="002178A1"/>
    <w:rsid w:val="002E12F5"/>
    <w:rsid w:val="00321B9A"/>
    <w:rsid w:val="00347048"/>
    <w:rsid w:val="003555C5"/>
    <w:rsid w:val="00367B1C"/>
    <w:rsid w:val="003A318F"/>
    <w:rsid w:val="003D7611"/>
    <w:rsid w:val="0042779A"/>
    <w:rsid w:val="00493E54"/>
    <w:rsid w:val="004A328D"/>
    <w:rsid w:val="004B21D6"/>
    <w:rsid w:val="004B4F57"/>
    <w:rsid w:val="0053501D"/>
    <w:rsid w:val="00587424"/>
    <w:rsid w:val="0058762B"/>
    <w:rsid w:val="00606049"/>
    <w:rsid w:val="00610A58"/>
    <w:rsid w:val="006216AF"/>
    <w:rsid w:val="00667F04"/>
    <w:rsid w:val="006B1D92"/>
    <w:rsid w:val="006D7334"/>
    <w:rsid w:val="006E1EE7"/>
    <w:rsid w:val="006E4E11"/>
    <w:rsid w:val="00707CD5"/>
    <w:rsid w:val="007242A3"/>
    <w:rsid w:val="00731199"/>
    <w:rsid w:val="007A6855"/>
    <w:rsid w:val="007C7041"/>
    <w:rsid w:val="00826FEA"/>
    <w:rsid w:val="008463A2"/>
    <w:rsid w:val="0085043F"/>
    <w:rsid w:val="00877A03"/>
    <w:rsid w:val="0088280D"/>
    <w:rsid w:val="008A5300"/>
    <w:rsid w:val="008D042F"/>
    <w:rsid w:val="008F0E1E"/>
    <w:rsid w:val="008F6464"/>
    <w:rsid w:val="0092027A"/>
    <w:rsid w:val="0092468B"/>
    <w:rsid w:val="009376DC"/>
    <w:rsid w:val="00955E31"/>
    <w:rsid w:val="00992E72"/>
    <w:rsid w:val="00A21783"/>
    <w:rsid w:val="00A55AA4"/>
    <w:rsid w:val="00A962B4"/>
    <w:rsid w:val="00AF26D1"/>
    <w:rsid w:val="00B25EC6"/>
    <w:rsid w:val="00B70D20"/>
    <w:rsid w:val="00BA3EF0"/>
    <w:rsid w:val="00C17723"/>
    <w:rsid w:val="00C2364B"/>
    <w:rsid w:val="00C54A1B"/>
    <w:rsid w:val="00C812BA"/>
    <w:rsid w:val="00C85F8B"/>
    <w:rsid w:val="00CA2844"/>
    <w:rsid w:val="00D116CC"/>
    <w:rsid w:val="00D133D7"/>
    <w:rsid w:val="00D451BC"/>
    <w:rsid w:val="00D81E65"/>
    <w:rsid w:val="00DC1DE5"/>
    <w:rsid w:val="00E10C77"/>
    <w:rsid w:val="00E1750A"/>
    <w:rsid w:val="00E253E6"/>
    <w:rsid w:val="00E375EB"/>
    <w:rsid w:val="00E5417F"/>
    <w:rsid w:val="00E557A2"/>
    <w:rsid w:val="00E671A6"/>
    <w:rsid w:val="00E80146"/>
    <w:rsid w:val="00E904D0"/>
    <w:rsid w:val="00EC25F9"/>
    <w:rsid w:val="00EC5B70"/>
    <w:rsid w:val="00ED20EB"/>
    <w:rsid w:val="00ED583F"/>
    <w:rsid w:val="00F05E50"/>
    <w:rsid w:val="00F55D33"/>
    <w:rsid w:val="00FB520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CD5"/>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707CD5"/>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707CD5"/>
    <w:pPr>
      <w:spacing w:before="360"/>
      <w:outlineLvl w:val="1"/>
    </w:pPr>
  </w:style>
  <w:style w:type="paragraph" w:styleId="Heading3">
    <w:name w:val="heading 3"/>
    <w:basedOn w:val="Heading2"/>
    <w:next w:val="RKnormal"/>
    <w:link w:val="Heading3Char"/>
    <w:uiPriority w:val="99"/>
    <w:qFormat/>
    <w:rsid w:val="00707CD5"/>
    <w:pPr>
      <w:spacing w:after="120" w:line="240" w:lineRule="atLeast"/>
      <w:outlineLvl w:val="2"/>
    </w:pPr>
    <w:rPr>
      <w:b w:val="0"/>
    </w:rPr>
  </w:style>
  <w:style w:type="paragraph" w:styleId="Heading4">
    <w:name w:val="heading 4"/>
    <w:basedOn w:val="Heading3"/>
    <w:next w:val="RKnormal"/>
    <w:link w:val="Heading4Char"/>
    <w:uiPriority w:val="99"/>
    <w:qFormat/>
    <w:rsid w:val="00707CD5"/>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678"/>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A1678"/>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A1678"/>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A1678"/>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707CD5"/>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707CD5"/>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BA1678"/>
    <w:rPr>
      <w:rFonts w:ascii="OrigGarmnd BT" w:hAnsi="OrigGarmnd BT"/>
      <w:sz w:val="24"/>
      <w:szCs w:val="20"/>
      <w:lang w:eastAsia="en-US"/>
    </w:rPr>
  </w:style>
  <w:style w:type="paragraph" w:styleId="Header">
    <w:name w:val="header"/>
    <w:basedOn w:val="Normal"/>
    <w:link w:val="HeaderChar"/>
    <w:uiPriority w:val="99"/>
    <w:rsid w:val="00707CD5"/>
    <w:pPr>
      <w:tabs>
        <w:tab w:val="center" w:pos="4153"/>
        <w:tab w:val="right" w:pos="8306"/>
      </w:tabs>
    </w:pPr>
  </w:style>
  <w:style w:type="character" w:customStyle="1" w:styleId="HeaderChar">
    <w:name w:val="Header Char"/>
    <w:basedOn w:val="DefaultParagraphFont"/>
    <w:link w:val="Header"/>
    <w:uiPriority w:val="99"/>
    <w:semiHidden/>
    <w:rsid w:val="00BA1678"/>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707CD5"/>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707CD5"/>
    <w:rPr>
      <w:rFonts w:cs="Times New Roman"/>
    </w:rPr>
  </w:style>
  <w:style w:type="paragraph" w:styleId="BalloonText">
    <w:name w:val="Balloon Text"/>
    <w:basedOn w:val="Normal"/>
    <w:link w:val="BalloonTextChar"/>
    <w:uiPriority w:val="99"/>
    <w:rsid w:val="006B1D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6B1D9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95416429">
      <w:marLeft w:val="0"/>
      <w:marRight w:val="0"/>
      <w:marTop w:val="0"/>
      <w:marBottom w:val="0"/>
      <w:divBdr>
        <w:top w:val="none" w:sz="0" w:space="0" w:color="auto"/>
        <w:left w:val="none" w:sz="0" w:space="0" w:color="auto"/>
        <w:bottom w:val="none" w:sz="0" w:space="0" w:color="auto"/>
        <w:right w:val="none" w:sz="0" w:space="0" w:color="auto"/>
      </w:divBdr>
    </w:div>
    <w:div w:id="495416430">
      <w:marLeft w:val="0"/>
      <w:marRight w:val="0"/>
      <w:marTop w:val="0"/>
      <w:marBottom w:val="0"/>
      <w:divBdr>
        <w:top w:val="none" w:sz="0" w:space="0" w:color="auto"/>
        <w:left w:val="none" w:sz="0" w:space="0" w:color="auto"/>
        <w:bottom w:val="none" w:sz="0" w:space="0" w:color="auto"/>
        <w:right w:val="none" w:sz="0" w:space="0" w:color="auto"/>
      </w:divBdr>
    </w:div>
    <w:div w:id="495416431">
      <w:marLeft w:val="0"/>
      <w:marRight w:val="0"/>
      <w:marTop w:val="0"/>
      <w:marBottom w:val="0"/>
      <w:divBdr>
        <w:top w:val="none" w:sz="0" w:space="0" w:color="auto"/>
        <w:left w:val="none" w:sz="0" w:space="0" w:color="auto"/>
        <w:bottom w:val="none" w:sz="0" w:space="0" w:color="auto"/>
        <w:right w:val="none" w:sz="0" w:space="0" w:color="auto"/>
      </w:divBdr>
    </w:div>
    <w:div w:id="495416432">
      <w:marLeft w:val="0"/>
      <w:marRight w:val="0"/>
      <w:marTop w:val="0"/>
      <w:marBottom w:val="0"/>
      <w:divBdr>
        <w:top w:val="none" w:sz="0" w:space="0" w:color="auto"/>
        <w:left w:val="none" w:sz="0" w:space="0" w:color="auto"/>
        <w:bottom w:val="none" w:sz="0" w:space="0" w:color="auto"/>
        <w:right w:val="none" w:sz="0" w:space="0" w:color="auto"/>
      </w:divBdr>
    </w:div>
    <w:div w:id="495416433">
      <w:marLeft w:val="0"/>
      <w:marRight w:val="0"/>
      <w:marTop w:val="0"/>
      <w:marBottom w:val="0"/>
      <w:divBdr>
        <w:top w:val="none" w:sz="0" w:space="0" w:color="auto"/>
        <w:left w:val="none" w:sz="0" w:space="0" w:color="auto"/>
        <w:bottom w:val="none" w:sz="0" w:space="0" w:color="auto"/>
        <w:right w:val="none" w:sz="0" w:space="0" w:color="auto"/>
      </w:divBdr>
    </w:div>
    <w:div w:id="495416434">
      <w:marLeft w:val="0"/>
      <w:marRight w:val="0"/>
      <w:marTop w:val="0"/>
      <w:marBottom w:val="0"/>
      <w:divBdr>
        <w:top w:val="none" w:sz="0" w:space="0" w:color="auto"/>
        <w:left w:val="none" w:sz="0" w:space="0" w:color="auto"/>
        <w:bottom w:val="none" w:sz="0" w:space="0" w:color="auto"/>
        <w:right w:val="none" w:sz="0" w:space="0" w:color="auto"/>
      </w:divBdr>
    </w:div>
    <w:div w:id="495416435">
      <w:marLeft w:val="0"/>
      <w:marRight w:val="0"/>
      <w:marTop w:val="0"/>
      <w:marBottom w:val="0"/>
      <w:divBdr>
        <w:top w:val="none" w:sz="0" w:space="0" w:color="auto"/>
        <w:left w:val="none" w:sz="0" w:space="0" w:color="auto"/>
        <w:bottom w:val="none" w:sz="0" w:space="0" w:color="auto"/>
        <w:right w:val="none" w:sz="0" w:space="0" w:color="auto"/>
      </w:divBdr>
    </w:div>
    <w:div w:id="495416436">
      <w:marLeft w:val="0"/>
      <w:marRight w:val="0"/>
      <w:marTop w:val="0"/>
      <w:marBottom w:val="0"/>
      <w:divBdr>
        <w:top w:val="none" w:sz="0" w:space="0" w:color="auto"/>
        <w:left w:val="none" w:sz="0" w:space="0" w:color="auto"/>
        <w:bottom w:val="none" w:sz="0" w:space="0" w:color="auto"/>
        <w:right w:val="none" w:sz="0" w:space="0" w:color="auto"/>
      </w:divBdr>
    </w:div>
    <w:div w:id="495416437">
      <w:marLeft w:val="0"/>
      <w:marRight w:val="0"/>
      <w:marTop w:val="0"/>
      <w:marBottom w:val="0"/>
      <w:divBdr>
        <w:top w:val="none" w:sz="0" w:space="0" w:color="auto"/>
        <w:left w:val="none" w:sz="0" w:space="0" w:color="auto"/>
        <w:bottom w:val="none" w:sz="0" w:space="0" w:color="auto"/>
        <w:right w:val="none" w:sz="0" w:space="0" w:color="auto"/>
      </w:divBdr>
    </w:div>
    <w:div w:id="495416438">
      <w:marLeft w:val="0"/>
      <w:marRight w:val="0"/>
      <w:marTop w:val="0"/>
      <w:marBottom w:val="0"/>
      <w:divBdr>
        <w:top w:val="none" w:sz="0" w:space="0" w:color="auto"/>
        <w:left w:val="none" w:sz="0" w:space="0" w:color="auto"/>
        <w:bottom w:val="none" w:sz="0" w:space="0" w:color="auto"/>
        <w:right w:val="none" w:sz="0" w:space="0" w:color="auto"/>
      </w:divBdr>
    </w:div>
    <w:div w:id="495416439">
      <w:marLeft w:val="0"/>
      <w:marRight w:val="0"/>
      <w:marTop w:val="0"/>
      <w:marBottom w:val="0"/>
      <w:divBdr>
        <w:top w:val="none" w:sz="0" w:space="0" w:color="auto"/>
        <w:left w:val="none" w:sz="0" w:space="0" w:color="auto"/>
        <w:bottom w:val="none" w:sz="0" w:space="0" w:color="auto"/>
        <w:right w:val="none" w:sz="0" w:space="0" w:color="auto"/>
      </w:divBdr>
    </w:div>
    <w:div w:id="495416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452</Words>
  <Characters>2953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Per-Erik Yngwe</dc:creator>
  <cp:keywords/>
  <dc:description/>
  <cp:lastModifiedBy>ha0808ab</cp:lastModifiedBy>
  <cp:revision>2</cp:revision>
  <cp:lastPrinted>2013-02-11T12:40:00Z</cp:lastPrinted>
  <dcterms:created xsi:type="dcterms:W3CDTF">2013-02-11T12:41:00Z</dcterms:created>
  <dcterms:modified xsi:type="dcterms:W3CDTF">2013-02-11T12:41:00Z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0x01010053E1D612BA3F4E21AA250ECD751942B300BEB80B031A7EB547B6901546B9851C7A</vt:lpwstr>
  </property>
  <property fmtid="{D5CDD505-2E9C-101B-9397-08002B2CF9AE}" pid="6" name="_dlc_DocIdItemGuid">
    <vt:lpwstr>08f0da75-d4fe-4e88-8d5a-40df30c93d21</vt:lpwstr>
  </property>
  <property fmtid="{D5CDD505-2E9C-101B-9397-08002B2CF9AE}" pid="7" name="TaxCatchAll">
    <vt:lpwstr/>
  </property>
  <property fmtid="{D5CDD505-2E9C-101B-9397-08002B2CF9AE}" pid="8" name="c9cd366cc722410295b9eacffbd73909">
    <vt:lpwstr/>
  </property>
  <property fmtid="{D5CDD505-2E9C-101B-9397-08002B2CF9AE}" pid="9" name="k46d94c0acf84ab9a79866a9d8b1905f">
    <vt:lpwstr/>
  </property>
  <property fmtid="{D5CDD505-2E9C-101B-9397-08002B2CF9AE}" pid="10" name="RKOrdnaClass">
    <vt:lpwstr/>
  </property>
  <property fmtid="{D5CDD505-2E9C-101B-9397-08002B2CF9AE}" pid="11" name="Diarienummer">
    <vt:lpwstr/>
  </property>
  <property fmtid="{D5CDD505-2E9C-101B-9397-08002B2CF9AE}" pid="12" name="RKOrdnaCheckInComment">
    <vt:lpwstr/>
  </property>
  <property fmtid="{D5CDD505-2E9C-101B-9397-08002B2CF9AE}" pid="13" name="Nyckelord">
    <vt:lpwstr/>
  </property>
  <property fmtid="{D5CDD505-2E9C-101B-9397-08002B2CF9AE}" pid="14" name="Sekretess">
    <vt:lpwstr>0</vt:lpwstr>
  </property>
  <property fmtid="{D5CDD505-2E9C-101B-9397-08002B2CF9AE}" pid="15" name="_dlc_DocId">
    <vt:lpwstr>W2C5EU7TYCK3-13-372</vt:lpwstr>
  </property>
  <property fmtid="{D5CDD505-2E9C-101B-9397-08002B2CF9AE}" pid="16" name="_dlc_DocIdUrl">
    <vt:lpwstr>http://rkdhs-ud/enhet/fim/29_30_maj/_layouts/DocIdRedir.aspx?ID=W2C5EU7TYCK3-13-372, W2C5EU7TYCK3-13-372</vt:lpwstr>
  </property>
</Properties>
</file>