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B27" w:rsidRPr="00B11397" w:rsidRDefault="00C60B27">
      <w:pPr>
        <w:pStyle w:val="Hemstlrubrik"/>
        <w:shd w:val="clear" w:color="000000" w:fill="auto"/>
      </w:pPr>
      <w:r w:rsidRPr="00B11397">
        <w:t>Förslag till riksdagsbeslut</w:t>
      </w:r>
    </w:p>
    <w:p w:rsidR="00C60B27" w:rsidRPr="00B11397" w:rsidRDefault="00C60B27">
      <w:pPr>
        <w:pStyle w:val="Hemstlatt"/>
        <w:numPr>
          <w:ilvl w:val="0"/>
          <w:numId w:val="1"/>
        </w:numPr>
        <w:shd w:val="clear" w:color="000000" w:fill="auto"/>
      </w:pPr>
      <w:r w:rsidRPr="00B11397">
        <w:t>Riksdagen avslår proposition 2007/08:22 utom i den del som rör utvidgning av jobbskatteavdraget till att omfatta sjömän och att vidga inkomstbegreppet.</w:t>
      </w:r>
    </w:p>
    <w:p w:rsidR="00C60B27" w:rsidRPr="00B11397" w:rsidRDefault="00C60B27">
      <w:pPr>
        <w:pStyle w:val="Hemstlatt"/>
        <w:numPr>
          <w:ilvl w:val="0"/>
          <w:numId w:val="1"/>
        </w:numPr>
        <w:shd w:val="clear" w:color="000000" w:fill="auto"/>
      </w:pPr>
      <w:r w:rsidRPr="00B11397">
        <w:t>Riksdagen tillkännager för regeringen som sin mening vad som anförs i motionen om att sjömän ska omfattas av steg 1 i jobbskatt</w:t>
      </w:r>
      <w:r w:rsidRPr="00B11397">
        <w:t>e</w:t>
      </w:r>
      <w:r w:rsidRPr="00B11397">
        <w:t>avdraget redan fr.o.m. den 1 januari 2007.</w:t>
      </w:r>
    </w:p>
    <w:p w:rsidR="00C60B27" w:rsidRPr="00B11397" w:rsidRDefault="00C60B27">
      <w:pPr>
        <w:pStyle w:val="Hemstlatt"/>
        <w:numPr>
          <w:ilvl w:val="0"/>
          <w:numId w:val="1"/>
        </w:numPr>
        <w:shd w:val="clear" w:color="000000" w:fill="auto"/>
      </w:pPr>
      <w:r w:rsidRPr="00B11397">
        <w:t>Riksdagen tillkännager för regeringen som sin mening vad som anförs i motionen om att reformera jobbskatteavdr</w:t>
      </w:r>
      <w:r w:rsidRPr="00B11397">
        <w:t>a</w:t>
      </w:r>
      <w:r w:rsidRPr="00B11397">
        <w:t>get.</w:t>
      </w:r>
    </w:p>
    <w:p w:rsidR="00C60B27" w:rsidRPr="00B11397" w:rsidRDefault="00C60B27">
      <w:pPr>
        <w:pStyle w:val="Rubrik1"/>
        <w:shd w:val="clear" w:color="000000" w:fill="auto"/>
      </w:pPr>
      <w:r w:rsidRPr="00B11397">
        <w:t>Motivering</w:t>
      </w:r>
    </w:p>
    <w:p w:rsidR="00C60B27" w:rsidRPr="00B11397" w:rsidRDefault="00C60B27">
      <w:pPr>
        <w:shd w:val="clear" w:color="000000" w:fill="auto"/>
      </w:pPr>
      <w:r w:rsidRPr="00B11397">
        <w:t>Regeringen motiverar sitt förslag till jobbskatteavdrag med att det ska göra det mer lönsamt för människor som inte arbetar att börja arbeta, för att på så sätt öka arbets</w:t>
      </w:r>
      <w:r w:rsidRPr="00B11397">
        <w:softHyphen/>
        <w:t>utbudet, vilket sedan automatiskt antas leda till ökad efterfr</w:t>
      </w:r>
      <w:r w:rsidRPr="00B11397">
        <w:t>å</w:t>
      </w:r>
      <w:r w:rsidRPr="00B11397">
        <w:t>gan på arbete och därmed ökad sysselsättning. Miljöpartiet förhåller sig kr</w:t>
      </w:r>
      <w:r w:rsidRPr="00B11397">
        <w:t>i</w:t>
      </w:r>
      <w:r w:rsidRPr="00B11397">
        <w:t>tiskt till att förslaget skulle ha stora effekter på sysselsättningen, särskilt som de största skattreduktionerna går till dem med högst inkomster, som redan nu tjänar betydligt mer på att arbeta än på att inte göra det. Samtidigt är vi kriti</w:t>
      </w:r>
      <w:r w:rsidRPr="00B11397">
        <w:t>s</w:t>
      </w:r>
      <w:r w:rsidRPr="00B11397">
        <w:t>ka till de fördelningsmässiga resultaten av skattereduktionen. I kronor räknat vinner höginkomsttagaren på låginkomsttagarens bek</w:t>
      </w:r>
      <w:r w:rsidRPr="00B11397">
        <w:t>ostnad, både i det första och det andra steget av jobbskatteavdraget.</w:t>
      </w:r>
    </w:p>
    <w:p w:rsidR="00C60B27" w:rsidRPr="00B11397" w:rsidRDefault="00C60B27">
      <w:pPr>
        <w:pStyle w:val="Normaltindrag"/>
        <w:shd w:val="clear" w:color="000000" w:fill="auto"/>
      </w:pPr>
      <w:r w:rsidRPr="00B11397">
        <w:t>Miljöpartiet säger nej till andra steget i jobbskatteavdraget. Miljöpartiet vill emellertid inte straffa människor med låga inkomster när väl skattesän</w:t>
      </w:r>
      <w:r w:rsidRPr="00B11397">
        <w:t>k</w:t>
      </w:r>
      <w:r w:rsidRPr="00B11397">
        <w:t>ningen genomförts. Vi föreslår därför ett avtrappat underlag för skatteredu</w:t>
      </w:r>
      <w:r w:rsidRPr="00B11397">
        <w:t>k</w:t>
      </w:r>
      <w:r w:rsidRPr="00B11397">
        <w:t>tionen i det första steget. Det reformerade jobbskatteavdraget innebär att underlaget för jobbskatteavdraget trappas ned med 10 procent på inkomster över 5,9 prisbasbelopp.</w:t>
      </w:r>
    </w:p>
    <w:p w:rsidR="00C60B27" w:rsidRPr="00B11397" w:rsidRDefault="00C60B27">
      <w:pPr>
        <w:pStyle w:val="Normaltindrag"/>
        <w:shd w:val="clear" w:color="000000" w:fill="auto"/>
      </w:pPr>
      <w:r w:rsidRPr="00B11397">
        <w:lastRenderedPageBreak/>
        <w:t>Förslaget innebär att skattereduktionen trappas av från och med inkomster runt 23 000 kronor per månad. Avtrappningen innebär ingen skattehöjning för personer med inkomster på 23 000 kronor per månad eller lägre. Resultatet är en bättre fördelnings</w:t>
      </w:r>
      <w:r w:rsidRPr="00B11397">
        <w:softHyphen/>
        <w:t>profil och utrymme för satsningar på dem som har det sämst ställt. Effekten av det reformerade jobbskatteavdraget syns i tabellen nedan.</w:t>
      </w:r>
    </w:p>
    <w:p w:rsidR="00C60B27" w:rsidRPr="00B11397" w:rsidRDefault="00C60B27">
      <w:pPr>
        <w:shd w:val="clear" w:color="000000" w:fill="auto"/>
        <w:spacing w:before="120"/>
        <w:rPr>
          <w:sz w:val="18"/>
          <w:szCs w:val="18"/>
        </w:rPr>
      </w:pPr>
      <w:r w:rsidRPr="00B11397">
        <w:rPr>
          <w:sz w:val="18"/>
          <w:szCs w:val="18"/>
        </w:rPr>
        <w:t xml:space="preserve">Effekter av reformerat jobbskatteavdrag </w:t>
      </w:r>
    </w:p>
    <w:tbl>
      <w:tblPr>
        <w:tblW w:w="6067" w:type="dxa"/>
        <w:tblInd w:w="55" w:type="dxa"/>
        <w:tblCellMar>
          <w:left w:w="70" w:type="dxa"/>
          <w:right w:w="70" w:type="dxa"/>
        </w:tblCellMar>
        <w:tblLook w:val="0000" w:firstRow="0" w:lastRow="0" w:firstColumn="0" w:lastColumn="0" w:noHBand="0" w:noVBand="0"/>
      </w:tblPr>
      <w:tblGrid>
        <w:gridCol w:w="1533"/>
        <w:gridCol w:w="2393"/>
        <w:gridCol w:w="2141"/>
      </w:tblGrid>
      <w:tr w:rsidR="00000000" w:rsidRPr="00B11397">
        <w:trPr>
          <w:trHeight w:val="255"/>
        </w:trPr>
        <w:tc>
          <w:tcPr>
            <w:tcW w:w="1460" w:type="dxa"/>
            <w:tcBorders>
              <w:top w:val="single" w:sz="4" w:space="0" w:color="auto"/>
              <w:bottom w:val="single" w:sz="4" w:space="0" w:color="auto"/>
            </w:tcBorders>
            <w:noWrap/>
            <w:vAlign w:val="bottom"/>
          </w:tcPr>
          <w:p w:rsidR="00C60B27" w:rsidRPr="00B11397" w:rsidRDefault="00C60B27">
            <w:pPr>
              <w:shd w:val="clear" w:color="000000" w:fill="auto"/>
              <w:spacing w:before="60" w:line="200" w:lineRule="exact"/>
              <w:jc w:val="center"/>
              <w:rPr>
                <w:b/>
                <w:bCs/>
                <w:sz w:val="16"/>
                <w:szCs w:val="16"/>
              </w:rPr>
            </w:pPr>
            <w:r w:rsidRPr="00B11397">
              <w:rPr>
                <w:b/>
                <w:bCs/>
                <w:sz w:val="16"/>
                <w:szCs w:val="16"/>
              </w:rPr>
              <w:t>Månadsinkomst</w:t>
            </w:r>
          </w:p>
        </w:tc>
        <w:tc>
          <w:tcPr>
            <w:tcW w:w="2280" w:type="dxa"/>
            <w:tcBorders>
              <w:top w:val="single" w:sz="4" w:space="0" w:color="auto"/>
              <w:bottom w:val="single" w:sz="4" w:space="0" w:color="auto"/>
            </w:tcBorders>
            <w:noWrap/>
            <w:vAlign w:val="bottom"/>
          </w:tcPr>
          <w:p w:rsidR="00C60B27" w:rsidRPr="00B11397" w:rsidRDefault="00C60B27">
            <w:pPr>
              <w:shd w:val="clear" w:color="000000" w:fill="auto"/>
              <w:spacing w:before="60" w:line="200" w:lineRule="exact"/>
              <w:jc w:val="center"/>
              <w:rPr>
                <w:b/>
                <w:bCs/>
                <w:sz w:val="16"/>
                <w:szCs w:val="16"/>
              </w:rPr>
            </w:pPr>
            <w:r w:rsidRPr="00B11397">
              <w:rPr>
                <w:b/>
                <w:bCs/>
                <w:sz w:val="16"/>
                <w:szCs w:val="16"/>
              </w:rPr>
              <w:t>Skatteförändring per mån</w:t>
            </w:r>
          </w:p>
        </w:tc>
        <w:tc>
          <w:tcPr>
            <w:tcW w:w="2040" w:type="dxa"/>
            <w:tcBorders>
              <w:top w:val="single" w:sz="4" w:space="0" w:color="auto"/>
              <w:bottom w:val="single" w:sz="4" w:space="0" w:color="auto"/>
            </w:tcBorders>
            <w:noWrap/>
            <w:vAlign w:val="bottom"/>
          </w:tcPr>
          <w:p w:rsidR="00C60B27" w:rsidRPr="00B11397" w:rsidRDefault="00C60B27">
            <w:pPr>
              <w:shd w:val="clear" w:color="000000" w:fill="auto"/>
              <w:spacing w:before="60" w:line="200" w:lineRule="exact"/>
              <w:jc w:val="center"/>
              <w:rPr>
                <w:b/>
                <w:bCs/>
                <w:sz w:val="16"/>
                <w:szCs w:val="16"/>
              </w:rPr>
            </w:pPr>
            <w:r w:rsidRPr="00B11397">
              <w:rPr>
                <w:b/>
                <w:bCs/>
                <w:sz w:val="16"/>
                <w:szCs w:val="16"/>
              </w:rPr>
              <w:t>Marginalskatt i procent</w:t>
            </w:r>
          </w:p>
        </w:tc>
      </w:tr>
      <w:tr w:rsidR="00000000" w:rsidRPr="00B11397">
        <w:trPr>
          <w:trHeight w:val="255"/>
        </w:trPr>
        <w:tc>
          <w:tcPr>
            <w:tcW w:w="1460" w:type="dxa"/>
            <w:tcBorders>
              <w:top w:val="single" w:sz="4" w:space="0" w:color="auto"/>
            </w:tcBorders>
            <w:noWrap/>
            <w:vAlign w:val="bottom"/>
          </w:tcPr>
          <w:p w:rsidR="00C60B27" w:rsidRPr="00B11397" w:rsidRDefault="00C60B27">
            <w:pPr>
              <w:shd w:val="clear" w:color="000000" w:fill="auto"/>
              <w:spacing w:before="60" w:line="200" w:lineRule="exact"/>
              <w:ind w:right="488"/>
              <w:jc w:val="right"/>
              <w:rPr>
                <w:sz w:val="16"/>
                <w:szCs w:val="16"/>
              </w:rPr>
            </w:pPr>
            <w:r w:rsidRPr="00B11397">
              <w:rPr>
                <w:sz w:val="16"/>
                <w:szCs w:val="16"/>
              </w:rPr>
              <w:t>5 000</w:t>
            </w:r>
          </w:p>
        </w:tc>
        <w:tc>
          <w:tcPr>
            <w:tcW w:w="2280" w:type="dxa"/>
            <w:tcBorders>
              <w:top w:val="single" w:sz="4" w:space="0" w:color="auto"/>
            </w:tcBorders>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0</w:t>
            </w:r>
          </w:p>
        </w:tc>
        <w:tc>
          <w:tcPr>
            <w:tcW w:w="2040" w:type="dxa"/>
            <w:tcBorders>
              <w:top w:val="single" w:sz="4" w:space="0" w:color="auto"/>
            </w:tcBorders>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25,3</w:t>
            </w:r>
          </w:p>
        </w:tc>
      </w:tr>
      <w:tr w:rsidR="00000000" w:rsidRPr="00B11397">
        <w:trPr>
          <w:trHeight w:val="255"/>
        </w:trPr>
        <w:tc>
          <w:tcPr>
            <w:tcW w:w="1460" w:type="dxa"/>
            <w:noWrap/>
            <w:vAlign w:val="bottom"/>
          </w:tcPr>
          <w:p w:rsidR="00C60B27" w:rsidRPr="00B11397" w:rsidRDefault="00C60B27">
            <w:pPr>
              <w:shd w:val="clear" w:color="000000" w:fill="auto"/>
              <w:spacing w:before="60" w:line="200" w:lineRule="exact"/>
              <w:ind w:right="488"/>
              <w:jc w:val="right"/>
              <w:rPr>
                <w:sz w:val="16"/>
                <w:szCs w:val="16"/>
              </w:rPr>
            </w:pPr>
            <w:r w:rsidRPr="00B11397">
              <w:rPr>
                <w:sz w:val="16"/>
                <w:szCs w:val="16"/>
              </w:rPr>
              <w:t>10 000</w:t>
            </w:r>
          </w:p>
        </w:tc>
        <w:tc>
          <w:tcPr>
            <w:tcW w:w="228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0</w:t>
            </w:r>
          </w:p>
        </w:tc>
        <w:tc>
          <w:tcPr>
            <w:tcW w:w="204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30,6</w:t>
            </w:r>
          </w:p>
        </w:tc>
      </w:tr>
      <w:tr w:rsidR="00000000" w:rsidRPr="00B11397">
        <w:trPr>
          <w:trHeight w:val="255"/>
        </w:trPr>
        <w:tc>
          <w:tcPr>
            <w:tcW w:w="1460" w:type="dxa"/>
            <w:noWrap/>
            <w:vAlign w:val="bottom"/>
          </w:tcPr>
          <w:p w:rsidR="00C60B27" w:rsidRPr="00B11397" w:rsidRDefault="00C60B27">
            <w:pPr>
              <w:shd w:val="clear" w:color="000000" w:fill="auto"/>
              <w:spacing w:before="60" w:line="200" w:lineRule="exact"/>
              <w:ind w:right="488"/>
              <w:jc w:val="right"/>
              <w:rPr>
                <w:sz w:val="16"/>
                <w:szCs w:val="16"/>
              </w:rPr>
            </w:pPr>
            <w:r w:rsidRPr="00B11397">
              <w:rPr>
                <w:sz w:val="16"/>
                <w:szCs w:val="16"/>
              </w:rPr>
              <w:t>15 000</w:t>
            </w:r>
          </w:p>
        </w:tc>
        <w:tc>
          <w:tcPr>
            <w:tcW w:w="228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0</w:t>
            </w:r>
          </w:p>
        </w:tc>
        <w:tc>
          <w:tcPr>
            <w:tcW w:w="204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31,6</w:t>
            </w:r>
          </w:p>
        </w:tc>
      </w:tr>
      <w:tr w:rsidR="00000000" w:rsidRPr="00B11397">
        <w:trPr>
          <w:trHeight w:val="255"/>
        </w:trPr>
        <w:tc>
          <w:tcPr>
            <w:tcW w:w="1460" w:type="dxa"/>
            <w:noWrap/>
            <w:vAlign w:val="bottom"/>
          </w:tcPr>
          <w:p w:rsidR="00C60B27" w:rsidRPr="00B11397" w:rsidRDefault="00C60B27">
            <w:pPr>
              <w:shd w:val="clear" w:color="000000" w:fill="auto"/>
              <w:spacing w:before="60" w:line="200" w:lineRule="exact"/>
              <w:ind w:right="488"/>
              <w:jc w:val="right"/>
              <w:rPr>
                <w:sz w:val="16"/>
                <w:szCs w:val="16"/>
              </w:rPr>
            </w:pPr>
            <w:r w:rsidRPr="00B11397">
              <w:rPr>
                <w:sz w:val="16"/>
                <w:szCs w:val="16"/>
              </w:rPr>
              <w:t>20 000</w:t>
            </w:r>
          </w:p>
        </w:tc>
        <w:tc>
          <w:tcPr>
            <w:tcW w:w="228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0</w:t>
            </w:r>
          </w:p>
        </w:tc>
        <w:tc>
          <w:tcPr>
            <w:tcW w:w="204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31,6</w:t>
            </w:r>
          </w:p>
        </w:tc>
      </w:tr>
      <w:tr w:rsidR="00000000" w:rsidRPr="00B11397">
        <w:trPr>
          <w:trHeight w:val="255"/>
        </w:trPr>
        <w:tc>
          <w:tcPr>
            <w:tcW w:w="1460" w:type="dxa"/>
            <w:noWrap/>
            <w:vAlign w:val="bottom"/>
          </w:tcPr>
          <w:p w:rsidR="00C60B27" w:rsidRPr="00B11397" w:rsidRDefault="00C60B27">
            <w:pPr>
              <w:shd w:val="clear" w:color="000000" w:fill="auto"/>
              <w:spacing w:before="60" w:line="200" w:lineRule="exact"/>
              <w:ind w:right="488"/>
              <w:jc w:val="right"/>
              <w:rPr>
                <w:sz w:val="16"/>
                <w:szCs w:val="16"/>
              </w:rPr>
            </w:pPr>
            <w:r w:rsidRPr="00B11397">
              <w:rPr>
                <w:sz w:val="16"/>
                <w:szCs w:val="16"/>
              </w:rPr>
              <w:t>25 000</w:t>
            </w:r>
          </w:p>
        </w:tc>
        <w:tc>
          <w:tcPr>
            <w:tcW w:w="228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153</w:t>
            </w:r>
          </w:p>
        </w:tc>
        <w:tc>
          <w:tcPr>
            <w:tcW w:w="204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31,6</w:t>
            </w:r>
          </w:p>
        </w:tc>
      </w:tr>
      <w:tr w:rsidR="00000000" w:rsidRPr="00B11397">
        <w:trPr>
          <w:trHeight w:val="255"/>
        </w:trPr>
        <w:tc>
          <w:tcPr>
            <w:tcW w:w="1460" w:type="dxa"/>
            <w:noWrap/>
            <w:vAlign w:val="bottom"/>
          </w:tcPr>
          <w:p w:rsidR="00C60B27" w:rsidRPr="00B11397" w:rsidRDefault="00C60B27">
            <w:pPr>
              <w:shd w:val="clear" w:color="000000" w:fill="auto"/>
              <w:spacing w:before="60" w:line="200" w:lineRule="exact"/>
              <w:ind w:right="488"/>
              <w:jc w:val="right"/>
              <w:rPr>
                <w:sz w:val="16"/>
                <w:szCs w:val="16"/>
              </w:rPr>
            </w:pPr>
            <w:r w:rsidRPr="00B11397">
              <w:rPr>
                <w:sz w:val="16"/>
                <w:szCs w:val="16"/>
              </w:rPr>
              <w:t>30 000</w:t>
            </w:r>
          </w:p>
        </w:tc>
        <w:tc>
          <w:tcPr>
            <w:tcW w:w="228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309</w:t>
            </w:r>
          </w:p>
        </w:tc>
        <w:tc>
          <w:tcPr>
            <w:tcW w:w="204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51,6</w:t>
            </w:r>
          </w:p>
        </w:tc>
      </w:tr>
      <w:tr w:rsidR="00000000" w:rsidRPr="00B11397">
        <w:trPr>
          <w:trHeight w:val="255"/>
        </w:trPr>
        <w:tc>
          <w:tcPr>
            <w:tcW w:w="1460" w:type="dxa"/>
            <w:noWrap/>
            <w:vAlign w:val="bottom"/>
          </w:tcPr>
          <w:p w:rsidR="00C60B27" w:rsidRPr="00B11397" w:rsidRDefault="00C60B27">
            <w:pPr>
              <w:shd w:val="clear" w:color="000000" w:fill="auto"/>
              <w:spacing w:before="60" w:line="200" w:lineRule="exact"/>
              <w:ind w:right="488"/>
              <w:jc w:val="right"/>
              <w:rPr>
                <w:sz w:val="16"/>
                <w:szCs w:val="16"/>
              </w:rPr>
            </w:pPr>
            <w:r w:rsidRPr="00B11397">
              <w:rPr>
                <w:sz w:val="16"/>
                <w:szCs w:val="16"/>
              </w:rPr>
              <w:t>35 000</w:t>
            </w:r>
          </w:p>
        </w:tc>
        <w:tc>
          <w:tcPr>
            <w:tcW w:w="228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467</w:t>
            </w:r>
          </w:p>
        </w:tc>
        <w:tc>
          <w:tcPr>
            <w:tcW w:w="204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51,6</w:t>
            </w:r>
          </w:p>
        </w:tc>
      </w:tr>
      <w:tr w:rsidR="00000000" w:rsidRPr="00B11397">
        <w:trPr>
          <w:trHeight w:val="255"/>
        </w:trPr>
        <w:tc>
          <w:tcPr>
            <w:tcW w:w="1460" w:type="dxa"/>
            <w:noWrap/>
            <w:vAlign w:val="bottom"/>
          </w:tcPr>
          <w:p w:rsidR="00C60B27" w:rsidRPr="00B11397" w:rsidRDefault="00C60B27">
            <w:pPr>
              <w:shd w:val="clear" w:color="000000" w:fill="auto"/>
              <w:spacing w:before="60" w:line="200" w:lineRule="exact"/>
              <w:ind w:right="488"/>
              <w:jc w:val="right"/>
              <w:rPr>
                <w:sz w:val="16"/>
                <w:szCs w:val="16"/>
              </w:rPr>
            </w:pPr>
            <w:r w:rsidRPr="00B11397">
              <w:rPr>
                <w:sz w:val="16"/>
                <w:szCs w:val="16"/>
              </w:rPr>
              <w:t>40 000</w:t>
            </w:r>
          </w:p>
        </w:tc>
        <w:tc>
          <w:tcPr>
            <w:tcW w:w="228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625</w:t>
            </w:r>
          </w:p>
        </w:tc>
        <w:tc>
          <w:tcPr>
            <w:tcW w:w="2040" w:type="dxa"/>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51,6</w:t>
            </w:r>
          </w:p>
        </w:tc>
      </w:tr>
      <w:tr w:rsidR="00000000" w:rsidRPr="00B11397">
        <w:trPr>
          <w:trHeight w:val="270"/>
        </w:trPr>
        <w:tc>
          <w:tcPr>
            <w:tcW w:w="1460" w:type="dxa"/>
            <w:tcBorders>
              <w:bottom w:val="single" w:sz="4" w:space="0" w:color="auto"/>
            </w:tcBorders>
            <w:noWrap/>
            <w:vAlign w:val="bottom"/>
          </w:tcPr>
          <w:p w:rsidR="00C60B27" w:rsidRPr="00B11397" w:rsidRDefault="00C60B27">
            <w:pPr>
              <w:shd w:val="clear" w:color="000000" w:fill="auto"/>
              <w:spacing w:before="60" w:line="200" w:lineRule="exact"/>
              <w:ind w:right="488"/>
              <w:jc w:val="right"/>
              <w:rPr>
                <w:sz w:val="16"/>
                <w:szCs w:val="16"/>
              </w:rPr>
            </w:pPr>
            <w:r w:rsidRPr="00B11397">
              <w:rPr>
                <w:sz w:val="16"/>
                <w:szCs w:val="16"/>
              </w:rPr>
              <w:t>45 000</w:t>
            </w:r>
          </w:p>
        </w:tc>
        <w:tc>
          <w:tcPr>
            <w:tcW w:w="2280" w:type="dxa"/>
            <w:tcBorders>
              <w:bottom w:val="single" w:sz="4" w:space="0" w:color="auto"/>
            </w:tcBorders>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764</w:t>
            </w:r>
          </w:p>
        </w:tc>
        <w:tc>
          <w:tcPr>
            <w:tcW w:w="2040" w:type="dxa"/>
            <w:tcBorders>
              <w:bottom w:val="single" w:sz="4" w:space="0" w:color="auto"/>
            </w:tcBorders>
            <w:noWrap/>
            <w:vAlign w:val="bottom"/>
          </w:tcPr>
          <w:p w:rsidR="00C60B27" w:rsidRPr="00B11397" w:rsidRDefault="00C60B27">
            <w:pPr>
              <w:shd w:val="clear" w:color="000000" w:fill="auto"/>
              <w:spacing w:before="60" w:line="200" w:lineRule="exact"/>
              <w:ind w:right="961"/>
              <w:jc w:val="right"/>
              <w:rPr>
                <w:sz w:val="16"/>
                <w:szCs w:val="16"/>
              </w:rPr>
            </w:pPr>
            <w:r w:rsidRPr="00B11397">
              <w:rPr>
                <w:sz w:val="16"/>
                <w:szCs w:val="16"/>
              </w:rPr>
              <w:t>56,6</w:t>
            </w:r>
          </w:p>
        </w:tc>
      </w:tr>
    </w:tbl>
    <w:p w:rsidR="00C60B27" w:rsidRPr="00B11397" w:rsidRDefault="00C60B27">
      <w:pPr>
        <w:shd w:val="clear" w:color="000000" w:fill="auto"/>
        <w:rPr>
          <w:sz w:val="2"/>
          <w:szCs w:val="2"/>
        </w:rPr>
      </w:pPr>
      <w:r w:rsidRPr="00B11397">
        <w:t>Miljöpartiet ser dock med tillfredsställelse på att jobbskatteavdraget nu även ska omfatta sjöfolk. Däremot förstår vi inte varför regeringen motsätter sig att sjöfolk liksom alla andra ska få del av jobbskatteavdragets första steg redan från den 1 januari 2007, särskilt då detta genom sjöfartsstödets utformning inte kostar staten något och då såväl redarnas som sjöfolkets organisationer är överens om att sjöfolket bör omfattas av jobbskatteavdraget även om det minskar sjöfartsstödet.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1397">
        <w:trPr>
          <w:cantSplit/>
        </w:trPr>
        <w:tc>
          <w:tcPr>
            <w:tcW w:w="3046" w:type="dxa"/>
          </w:tcPr>
          <w:p w:rsidR="00C60B27" w:rsidRPr="00B11397" w:rsidRDefault="00C60B27">
            <w:pPr>
              <w:pStyle w:val="UnderskriftDatum"/>
              <w:shd w:val="clear" w:color="000000" w:fill="auto"/>
              <w:spacing w:before="240"/>
            </w:pPr>
            <w:r w:rsidRPr="00B11397">
              <w:t>Stockholm den 14 november 2007</w:t>
            </w:r>
          </w:p>
        </w:tc>
        <w:tc>
          <w:tcPr>
            <w:tcW w:w="3047" w:type="dxa"/>
          </w:tcPr>
          <w:p w:rsidR="00C60B27" w:rsidRPr="00B11397" w:rsidRDefault="00C60B27">
            <w:pPr>
              <w:pStyle w:val="Underskrifter"/>
              <w:shd w:val="clear" w:color="000000" w:fill="auto"/>
              <w:spacing w:before="240"/>
            </w:pPr>
          </w:p>
        </w:tc>
      </w:tr>
      <w:tr w:rsidR="00000000" w:rsidRPr="00B11397">
        <w:trPr>
          <w:cantSplit/>
        </w:trPr>
        <w:tc>
          <w:tcPr>
            <w:tcW w:w="3046" w:type="dxa"/>
          </w:tcPr>
          <w:p w:rsidR="00C60B27" w:rsidRPr="00B11397" w:rsidRDefault="00C60B27">
            <w:pPr>
              <w:pStyle w:val="Underskrifter"/>
              <w:shd w:val="clear" w:color="000000" w:fill="auto"/>
            </w:pPr>
            <w:r w:rsidRPr="00B11397">
              <w:t>Helena Leander (mp)</w:t>
            </w:r>
          </w:p>
        </w:tc>
        <w:tc>
          <w:tcPr>
            <w:tcW w:w="3046" w:type="dxa"/>
          </w:tcPr>
          <w:p w:rsidR="00C60B27" w:rsidRPr="00B11397" w:rsidRDefault="00C60B27">
            <w:pPr>
              <w:pStyle w:val="Underskrifter"/>
              <w:shd w:val="clear" w:color="000000" w:fill="auto"/>
            </w:pPr>
          </w:p>
        </w:tc>
      </w:tr>
      <w:tr w:rsidR="00000000" w:rsidRPr="00B11397">
        <w:trPr>
          <w:cantSplit/>
        </w:trPr>
        <w:tc>
          <w:tcPr>
            <w:tcW w:w="3046" w:type="dxa"/>
          </w:tcPr>
          <w:p w:rsidR="00C60B27" w:rsidRPr="00B11397" w:rsidRDefault="00C60B27">
            <w:pPr>
              <w:pStyle w:val="Underskrifter"/>
              <w:shd w:val="clear" w:color="000000" w:fill="auto"/>
            </w:pPr>
            <w:r w:rsidRPr="00B11397">
              <w:t>Mikaela Valtersson (mp)</w:t>
            </w:r>
          </w:p>
        </w:tc>
        <w:tc>
          <w:tcPr>
            <w:tcW w:w="3046" w:type="dxa"/>
          </w:tcPr>
          <w:p w:rsidR="00C60B27" w:rsidRPr="00B11397" w:rsidRDefault="00C60B27">
            <w:pPr>
              <w:pStyle w:val="Underskrifter"/>
              <w:shd w:val="clear" w:color="000000" w:fill="auto"/>
            </w:pPr>
            <w:r w:rsidRPr="00B11397">
              <w:t>Per Bolund (mp)</w:t>
            </w:r>
          </w:p>
        </w:tc>
      </w:tr>
      <w:tr w:rsidR="00000000" w:rsidRPr="00B11397">
        <w:trPr>
          <w:cantSplit/>
        </w:trPr>
        <w:tc>
          <w:tcPr>
            <w:tcW w:w="3046" w:type="dxa"/>
          </w:tcPr>
          <w:p w:rsidR="00C60B27" w:rsidRPr="00B11397" w:rsidRDefault="00C60B27">
            <w:pPr>
              <w:pStyle w:val="Underskrifter"/>
              <w:shd w:val="clear" w:color="000000" w:fill="auto"/>
            </w:pPr>
            <w:r w:rsidRPr="00B11397">
              <w:t>Ulf Holm (mp)</w:t>
            </w:r>
          </w:p>
        </w:tc>
        <w:tc>
          <w:tcPr>
            <w:tcW w:w="3046" w:type="dxa"/>
          </w:tcPr>
          <w:p w:rsidR="00C60B27" w:rsidRPr="00B11397" w:rsidRDefault="00C60B27">
            <w:pPr>
              <w:pStyle w:val="Underskrifter"/>
              <w:shd w:val="clear" w:color="000000" w:fill="auto"/>
            </w:pPr>
          </w:p>
        </w:tc>
      </w:tr>
    </w:tbl>
    <w:p w:rsidR="00C60B27" w:rsidRPr="00B11397" w:rsidRDefault="00C60B27">
      <w:pPr>
        <w:pStyle w:val="Normaltindrag"/>
        <w:shd w:val="clear" w:color="000000" w:fill="auto"/>
      </w:pPr>
    </w:p>
    <w:sectPr w:rsidR="00C60B27" w:rsidRPr="00B113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B27" w:rsidRPr="00B11397" w:rsidRDefault="00C60B27">
      <w:r w:rsidRPr="00B11397">
        <w:separator/>
      </w:r>
    </w:p>
  </w:endnote>
  <w:endnote w:type="continuationSeparator" w:id="0">
    <w:p w:rsidR="00C60B27" w:rsidRPr="00B11397" w:rsidRDefault="00C60B27">
      <w:r w:rsidRPr="00B113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27" w:rsidRPr="00B11397" w:rsidRDefault="00B11397">
    <w:pPr>
      <w:pStyle w:val="Sidfot"/>
    </w:pPr>
    <w:r w:rsidRPr="00B113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4642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27" w:rsidRDefault="00C60B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0B27" w:rsidRDefault="00C60B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27" w:rsidRPr="00B11397" w:rsidRDefault="00B11397">
    <w:pPr>
      <w:pStyle w:val="Sidfot"/>
    </w:pPr>
    <w:r w:rsidRPr="00B113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841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27" w:rsidRDefault="00C60B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0B27" w:rsidRDefault="00C60B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27" w:rsidRPr="00B11397" w:rsidRDefault="00B11397">
    <w:pPr>
      <w:pStyle w:val="Sidfot"/>
    </w:pPr>
    <w:r w:rsidRPr="00B113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3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27" w:rsidRDefault="00C60B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0B27" w:rsidRDefault="00C60B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B27" w:rsidRPr="00B11397" w:rsidRDefault="00C60B27">
      <w:r w:rsidRPr="00B11397">
        <w:separator/>
      </w:r>
    </w:p>
  </w:footnote>
  <w:footnote w:type="continuationSeparator" w:id="0">
    <w:p w:rsidR="00C60B27" w:rsidRPr="00B11397" w:rsidRDefault="00C60B27">
      <w:r w:rsidRPr="00B113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27" w:rsidRPr="00B11397" w:rsidRDefault="00B11397">
    <w:pPr>
      <w:pStyle w:val="Sidhuvud"/>
    </w:pPr>
    <w:r w:rsidRPr="00B113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8951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27" w:rsidRDefault="00C60B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0B27" w:rsidRDefault="00C60B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27" w:rsidRPr="00B11397" w:rsidRDefault="00B11397">
    <w:pPr>
      <w:pStyle w:val="Sidhuvud"/>
    </w:pPr>
    <w:r w:rsidRPr="00B113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6097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B27" w:rsidRDefault="00C60B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0B27" w:rsidRDefault="00C60B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B27" w:rsidRPr="00B11397" w:rsidRDefault="00C60B27">
    <w:pPr>
      <w:pStyle w:val="FSHNormal"/>
      <w:tabs>
        <w:tab w:val="right" w:pos="5840"/>
      </w:tabs>
    </w:pPr>
    <w:r w:rsidRPr="00B11397">
      <w:br/>
    </w:r>
    <w:r w:rsidRPr="00B11397">
      <w:fldChar w:fldCharType="begin" w:fldLock="1"/>
    </w:r>
    <w:r w:rsidRPr="00B11397">
      <w:instrText xml:space="preserve"> DOCPROPERTY</w:instrText>
    </w:r>
    <w:r w:rsidRPr="00B11397">
      <w:rPr>
        <w:sz w:val="18"/>
      </w:rPr>
      <w:instrText xml:space="preserve"> "YearUser" *\charformat </w:instrText>
    </w:r>
    <w:r w:rsidRPr="00B11397">
      <w:fldChar w:fldCharType="separate"/>
    </w:r>
    <w:r w:rsidRPr="00B11397">
      <w:t>2007/08</w:t>
    </w:r>
    <w:r w:rsidRPr="00B11397">
      <w:fldChar w:fldCharType="end"/>
    </w:r>
    <w:r w:rsidRPr="00B11397">
      <w:t xml:space="preserve"> </w:t>
    </w:r>
    <w:r w:rsidRPr="00B11397">
      <w:tab/>
      <w:t xml:space="preserve">mnr: </w:t>
    </w:r>
    <w:r w:rsidRPr="00B11397">
      <w:fldChar w:fldCharType="begin" w:fldLock="1"/>
    </w:r>
    <w:r w:rsidRPr="00B11397">
      <w:instrText xml:space="preserve"> DOCPROPERTY</w:instrText>
    </w:r>
    <w:r w:rsidRPr="00B11397">
      <w:rPr>
        <w:sz w:val="18"/>
      </w:rPr>
      <w:instrText xml:space="preserve"> "Motionsnummer" *\charformat </w:instrText>
    </w:r>
    <w:r w:rsidRPr="00B11397">
      <w:fldChar w:fldCharType="separate"/>
    </w:r>
    <w:r w:rsidRPr="00B11397">
      <w:t>Sk21</w:t>
    </w:r>
    <w:r w:rsidRPr="00B11397">
      <w:fldChar w:fldCharType="end"/>
    </w:r>
    <w:r w:rsidRPr="00B11397">
      <w:br/>
    </w:r>
    <w:r w:rsidRPr="00B11397">
      <w:fldChar w:fldCharType="begin" w:fldLock="1"/>
    </w:r>
    <w:r w:rsidRPr="00B11397">
      <w:instrText xml:space="preserve"> DOCPROPERTY</w:instrText>
    </w:r>
    <w:r w:rsidRPr="00B11397">
      <w:rPr>
        <w:sz w:val="18"/>
      </w:rPr>
      <w:instrText xml:space="preserve"> "Samling" *\charformat </w:instrText>
    </w:r>
    <w:r w:rsidRPr="00B11397">
      <w:fldChar w:fldCharType="end"/>
    </w:r>
    <w:r w:rsidRPr="00B11397">
      <w:tab/>
      <w:t xml:space="preserve">pnr: </w:t>
    </w:r>
    <w:r w:rsidRPr="00B11397">
      <w:fldChar w:fldCharType="begin" w:fldLock="1"/>
    </w:r>
    <w:r w:rsidRPr="00B11397">
      <w:instrText xml:space="preserve"> DOCPROPERTY</w:instrText>
    </w:r>
    <w:r w:rsidRPr="00B11397">
      <w:rPr>
        <w:sz w:val="18"/>
      </w:rPr>
      <w:instrText xml:space="preserve"> "Partinummer" *\charformat </w:instrText>
    </w:r>
    <w:r w:rsidRPr="00B11397">
      <w:fldChar w:fldCharType="separate"/>
    </w:r>
    <w:r w:rsidRPr="00B11397">
      <w:t>mp12</w:t>
    </w:r>
    <w:r w:rsidRPr="00B11397">
      <w:fldChar w:fldCharType="end"/>
    </w:r>
  </w:p>
  <w:p w:rsidR="00C60B27" w:rsidRPr="00B11397" w:rsidRDefault="00C60B27">
    <w:pPr>
      <w:pStyle w:val="FSHRub1"/>
    </w:pPr>
    <w:r w:rsidRPr="00B11397">
      <w:t>Motion till riksdagen</w:t>
    </w:r>
    <w:r w:rsidRPr="00B11397">
      <w:br/>
    </w:r>
    <w:r w:rsidRPr="00B11397">
      <w:fldChar w:fldCharType="begin" w:fldLock="1"/>
    </w:r>
    <w:r w:rsidRPr="00B11397">
      <w:instrText xml:space="preserve"> DOCPROPERTY "YearUser" *\charformat </w:instrText>
    </w:r>
    <w:r w:rsidRPr="00B11397">
      <w:fldChar w:fldCharType="separate"/>
    </w:r>
    <w:r w:rsidRPr="00B11397">
      <w:t>2007/08</w:t>
    </w:r>
    <w:r w:rsidRPr="00B11397">
      <w:fldChar w:fldCharType="end"/>
    </w:r>
    <w:r w:rsidRPr="00B11397">
      <w:t>:</w:t>
    </w:r>
    <w:r w:rsidRPr="00B11397">
      <w:fldChar w:fldCharType="begin" w:fldLock="1"/>
    </w:r>
    <w:r w:rsidRPr="00B11397">
      <w:instrText xml:space="preserve"> DOCPROPERTY "Motionsnummer" *\charformat </w:instrText>
    </w:r>
    <w:r w:rsidRPr="00B11397">
      <w:fldChar w:fldCharType="separate"/>
    </w:r>
    <w:r w:rsidRPr="00B11397">
      <w:t>Sk21</w:t>
    </w:r>
    <w:r w:rsidRPr="00B11397">
      <w:fldChar w:fldCharType="end"/>
    </w:r>
  </w:p>
  <w:p w:rsidR="00C60B27" w:rsidRPr="00B11397" w:rsidRDefault="00C60B27">
    <w:pPr>
      <w:pStyle w:val="FSHNormalS5"/>
    </w:pPr>
    <w:r w:rsidRPr="00B11397">
      <w:fldChar w:fldCharType="begin" w:fldLock="1"/>
    </w:r>
    <w:r w:rsidRPr="00B11397">
      <w:instrText xml:space="preserve"> DOCPROPERTY "MotionarText" *\charformat </w:instrText>
    </w:r>
    <w:r w:rsidRPr="00B11397">
      <w:fldChar w:fldCharType="separate"/>
    </w:r>
    <w:r w:rsidRPr="00B11397">
      <w:t>av Helena Leander m.fl. (mp)</w:t>
    </w:r>
    <w:r w:rsidRPr="00B11397">
      <w:fldChar w:fldCharType="end"/>
    </w:r>
    <w:r w:rsidRPr="00B11397">
      <w:br/>
    </w:r>
    <w:r w:rsidRPr="00B11397">
      <w:fldChar w:fldCharType="begin" w:fldLock="1"/>
    </w:r>
    <w:r w:rsidRPr="00B11397">
      <w:instrText xml:space="preserve"> DOCPROPERTY "SvarFrasKort" *\charformat </w:instrText>
    </w:r>
    <w:r w:rsidRPr="00B11397">
      <w:fldChar w:fldCharType="separate"/>
    </w:r>
    <w:r w:rsidRPr="00B11397">
      <w:t>med anledning av prop. 2007/08:22</w:t>
    </w:r>
    <w:r w:rsidRPr="00B11397">
      <w:fldChar w:fldCharType="end"/>
    </w:r>
  </w:p>
  <w:p w:rsidR="00C60B27" w:rsidRPr="00B11397" w:rsidRDefault="00C60B27">
    <w:pPr>
      <w:pStyle w:val="FSHTitel"/>
    </w:pPr>
    <w:r w:rsidRPr="00B11397">
      <w:fldChar w:fldCharType="begin" w:fldLock="1"/>
    </w:r>
    <w:r w:rsidRPr="00B11397">
      <w:instrText xml:space="preserve"> DOCPROPERTY</w:instrText>
    </w:r>
    <w:r w:rsidRPr="00B11397">
      <w:rPr>
        <w:sz w:val="18"/>
      </w:rPr>
      <w:instrText xml:space="preserve"> "RubrikSvar" *\charformat </w:instrText>
    </w:r>
    <w:r w:rsidRPr="00B11397">
      <w:fldChar w:fldCharType="separate"/>
    </w:r>
    <w:r w:rsidRPr="00B11397">
      <w:t>Ett förstärkt jobbskatteavdrag</w:t>
    </w:r>
    <w:r w:rsidRPr="00B11397">
      <w:fldChar w:fldCharType="end"/>
    </w:r>
  </w:p>
  <w:p w:rsidR="00C60B27" w:rsidRPr="00B11397" w:rsidRDefault="00C60B27">
    <w:pPr>
      <w:pStyle w:val="Normal00"/>
    </w:pPr>
  </w:p>
  <w:p w:rsidR="00C60B27" w:rsidRPr="00B11397" w:rsidRDefault="00C60B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CE6468"/>
    <w:multiLevelType w:val="hybridMultilevel"/>
    <w:tmpl w:val="7AEE6F92"/>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6500C6"/>
    <w:multiLevelType w:val="hybridMultilevel"/>
    <w:tmpl w:val="45320058"/>
    <w:lvl w:ilvl="0" w:tplc="A3E639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7569880">
    <w:abstractNumId w:val="8"/>
  </w:num>
  <w:num w:numId="2" w16cid:durableId="697589080">
    <w:abstractNumId w:val="9"/>
  </w:num>
  <w:num w:numId="3" w16cid:durableId="1123691299">
    <w:abstractNumId w:val="8"/>
  </w:num>
  <w:num w:numId="4" w16cid:durableId="613175625">
    <w:abstractNumId w:val="9"/>
  </w:num>
  <w:num w:numId="5" w16cid:durableId="364982888">
    <w:abstractNumId w:val="14"/>
  </w:num>
  <w:num w:numId="6" w16cid:durableId="2081170844">
    <w:abstractNumId w:val="10"/>
  </w:num>
  <w:num w:numId="7" w16cid:durableId="57018279">
    <w:abstractNumId w:val="12"/>
  </w:num>
  <w:num w:numId="8" w16cid:durableId="1165632367">
    <w:abstractNumId w:val="13"/>
  </w:num>
  <w:num w:numId="9" w16cid:durableId="375857661">
    <w:abstractNumId w:val="8"/>
  </w:num>
  <w:num w:numId="10" w16cid:durableId="560286192">
    <w:abstractNumId w:val="3"/>
  </w:num>
  <w:num w:numId="11" w16cid:durableId="1094404129">
    <w:abstractNumId w:val="2"/>
  </w:num>
  <w:num w:numId="12" w16cid:durableId="1285388378">
    <w:abstractNumId w:val="1"/>
  </w:num>
  <w:num w:numId="13" w16cid:durableId="1675961414">
    <w:abstractNumId w:val="0"/>
  </w:num>
  <w:num w:numId="14" w16cid:durableId="1486165877">
    <w:abstractNumId w:val="9"/>
  </w:num>
  <w:num w:numId="15" w16cid:durableId="348144391">
    <w:abstractNumId w:val="7"/>
  </w:num>
  <w:num w:numId="16" w16cid:durableId="956178295">
    <w:abstractNumId w:val="6"/>
  </w:num>
  <w:num w:numId="17" w16cid:durableId="1402023968">
    <w:abstractNumId w:val="5"/>
  </w:num>
  <w:num w:numId="18" w16cid:durableId="1984462450">
    <w:abstractNumId w:val="4"/>
  </w:num>
  <w:num w:numId="19" w16cid:durableId="833957209">
    <w:abstractNumId w:val="11"/>
  </w:num>
  <w:num w:numId="20" w16cid:durableId="1717048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14"/>
    <w:docVar w:name="PersonGUIDs" w:val="{EC49A5C4-EF8B-4128-8058-67D1E519C3AA},{7C31CD86-53C7-4E1C-A073-157C1FC7DBDC},{7CC9A58C-3141-48A3-86B8-8EA19B911E01},{DA08321F-F0BC-4060-A586-E39C9BA97177}"/>
  </w:docVars>
  <w:rsids>
    <w:rsidRoot w:val="00FC1397"/>
    <w:rsid w:val="00B11397"/>
    <w:rsid w:val="00C60B27"/>
    <w:rsid w:val="00FC13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F311D7-B452-4C0A-BAC5-4D36FD84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2445</Characters>
  <Application>Microsoft Office Word</Application>
  <DocSecurity>4</DocSecurity>
  <Lines>78</Lines>
  <Paragraphs>52</Paragraphs>
  <ScaleCrop>false</ScaleCrop>
  <HeadingPairs>
    <vt:vector size="2" baseType="variant">
      <vt:variant>
        <vt:lpstr>Rubrik</vt:lpstr>
      </vt:variant>
      <vt:variant>
        <vt:i4>1</vt:i4>
      </vt:variant>
    </vt:vector>
  </HeadingPairs>
  <TitlesOfParts>
    <vt:vector size="1" baseType="lpstr">
      <vt:lpstr>mp012</vt:lpstr>
    </vt:vector>
  </TitlesOfParts>
  <Company>Riksdagen</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mp012</dc:title>
  <dc:subject>mp012</dc:subject>
  <dc:creator>Riksdagen</dc:creator>
  <cp:keywords>Riksdagen</cp:keywords>
  <dc:description>TKG-ktrl, MSMQ4mb, PersReg-Distribution mm</dc:description>
  <cp:lastModifiedBy>Lars Brink</cp:lastModifiedBy>
  <cp:revision>2</cp:revision>
  <cp:lastPrinted>2007-11-19T14:02:00Z</cp:lastPrinted>
  <dcterms:created xsi:type="dcterms:W3CDTF">2025-12-17T08:06:00Z</dcterms:created>
  <dcterms:modified xsi:type="dcterms:W3CDTF">2025-12-17T08:06:00Z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mot2000_492_2007-11-14</vt:lpwstr>
  </property>
  <property fmtid="{D5CDD505-2E9C-101B-9397-08002B2CF9AE}" pid="3" name="version">
    <vt:lpwstr>mot2000_492_2007-11-14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2007/08:22 Ett förstärkt jobbskatteavdrag</vt:lpwstr>
  </property>
  <property fmtid="{D5CDD505-2E9C-101B-9397-08002B2CF9AE}" pid="11" name="SvarFrasKort">
    <vt:lpwstr>med anledning av prop. 2007/08:22</vt:lpwstr>
  </property>
  <property fmtid="{D5CDD505-2E9C-101B-9397-08002B2CF9AE}" pid="12" name="Svar">
    <vt:lpwstr>Proposition</vt:lpwstr>
  </property>
  <property fmtid="{D5CDD505-2E9C-101B-9397-08002B2CF9AE}" pid="13" name="SvarNr">
    <vt:lpwstr>2007/08:22</vt:lpwstr>
  </property>
  <property fmtid="{D5CDD505-2E9C-101B-9397-08002B2CF9AE}" pid="14" name="RubrikSvar">
    <vt:lpwstr>Ett förstärkt jobbskatteavdrag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Leander m.fl. (mp)</vt:lpwstr>
  </property>
  <property fmtid="{D5CDD505-2E9C-101B-9397-08002B2CF9AE}" pid="26" name="MotionarLista">
    <vt:lpwstr>Leander, Helena (mp)\Valtersson, Mikaela (mp)\Bolund, Per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Mikaela Valtersson (mp), Per Bolund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20072008000001090112000000120075</vt:lpwstr>
  </property>
  <property fmtid="{D5CDD505-2E9C-101B-9397-08002B2CF9AE}" pid="47" name="datum">
    <vt:lpwstr>071114</vt:lpwstr>
  </property>
  <property fmtid="{D5CDD505-2E9C-101B-9397-08002B2CF9AE}" pid="48" name="avsändar-e-post">
    <vt:lpwstr>magnus.lindgren@riksdagen.se</vt:lpwstr>
  </property>
  <property fmtid="{D5CDD505-2E9C-101B-9397-08002B2CF9AE}" pid="49" name="id">
    <vt:lpwstr>20072008000001090112000000120075</vt:lpwstr>
  </property>
  <property fmtid="{D5CDD505-2E9C-101B-9397-08002B2CF9AE}" pid="50" name="nummer">
    <vt:lpwstr>21</vt:lpwstr>
  </property>
  <property fmtid="{D5CDD505-2E9C-101B-9397-08002B2CF9AE}" pid="51" name="utskottsbeteckning">
    <vt:lpwstr>Sk</vt:lpwstr>
  </property>
  <property fmtid="{D5CDD505-2E9C-101B-9397-08002B2CF9AE}" pid="52" name="GlobalUID">
    <vt:lpwstr>{78C5D488-A25F-4DFC-9119-7BB29B48445F}</vt:lpwstr>
  </property>
  <property fmtid="{D5CDD505-2E9C-101B-9397-08002B2CF9AE}" pid="53" name="Överföringar">
    <vt:i4>0</vt:i4>
  </property>
  <property fmtid="{D5CDD505-2E9C-101B-9397-08002B2CF9AE}" pid="54" name="Checksum">
    <vt:lpwstr>*0020498325362*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071119 15:02:54.965</vt:lpwstr>
  </property>
  <property fmtid="{D5CDD505-2E9C-101B-9397-08002B2CF9AE}" pid="58" name="urixGuid">
    <vt:lpwstr>{72896FC3-8A62-4B86-AC97-A776E80568FA}</vt:lpwstr>
  </property>
</Properties>
</file>