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5456EC6FB564E66AB331127BDC8499E"/>
        </w:placeholder>
        <w:text/>
      </w:sdtPr>
      <w:sdtEndPr/>
      <w:sdtContent>
        <w:p w:rsidRPr="009B062B" w:rsidR="00AF30DD" w:rsidP="00DA28CE" w:rsidRDefault="00AF30DD" w14:paraId="54FA4BD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f0b3b60-de4e-4b1e-b066-bc2aadecd7fa"/>
        <w:id w:val="1463151213"/>
        <w:lock w:val="sdtLocked"/>
      </w:sdtPr>
      <w:sdtEndPr/>
      <w:sdtContent>
        <w:p w:rsidR="002415E2" w:rsidRDefault="00F13897" w14:paraId="54FA4BD3" w14:textId="4A33F95B">
          <w:pPr>
            <w:pStyle w:val="Frslagstext"/>
          </w:pPr>
          <w:r>
            <w:t>Riksdagen ställer sig bakom det som anförs i motionen om att 10 kap. 18 b § 2 och 3 i regeringens förslag till lag om ändring i offentlighets- och sekretesslagen (2009:400) ska utgå och tillkännager detta för regeringen.</w:t>
          </w:r>
        </w:p>
      </w:sdtContent>
    </w:sdt>
    <w:sdt>
      <w:sdtPr>
        <w:alias w:val="Yrkande 2"/>
        <w:tag w:val="b3bf3d9d-938d-4270-8695-b7cb5d6a99c6"/>
        <w:id w:val="-852798234"/>
        <w:lock w:val="sdtLocked"/>
      </w:sdtPr>
      <w:sdtEndPr/>
      <w:sdtContent>
        <w:p w:rsidR="002415E2" w:rsidRDefault="00F13897" w14:paraId="54FA4BD4" w14:textId="77777777">
          <w:pPr>
            <w:pStyle w:val="Frslagstext"/>
          </w:pPr>
          <w:r>
            <w:t>Riksdagen ställer sig bakom det som anförs i motionen om att tillsätta en utredning om att även skolor och hälso- och sjukvården bör ges möjlighet att lämna ut uppgifter till Polismyndigheten och Säkerhetspolisen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8E902E43E2B42ADA644CC8765DF63EB"/>
        </w:placeholder>
        <w:text/>
      </w:sdtPr>
      <w:sdtEndPr/>
      <w:sdtContent>
        <w:p w:rsidRPr="009B062B" w:rsidR="006D79C9" w:rsidP="00333E95" w:rsidRDefault="006D79C9" w14:paraId="54FA4BD5" w14:textId="77777777">
          <w:pPr>
            <w:pStyle w:val="Rubrik1"/>
          </w:pPr>
          <w:r>
            <w:t>Motivering</w:t>
          </w:r>
        </w:p>
      </w:sdtContent>
    </w:sdt>
    <w:p w:rsidR="00BB6339" w:rsidP="00B2228D" w:rsidRDefault="00164045" w14:paraId="54FA4BD6" w14:textId="17F2A052">
      <w:pPr>
        <w:pStyle w:val="Normalutanindragellerluft"/>
      </w:pPr>
      <w:r>
        <w:t xml:space="preserve">Propositionen </w:t>
      </w:r>
      <w:r w:rsidR="00417204">
        <w:t>har sitt ursprung i t</w:t>
      </w:r>
      <w:r>
        <w:t>errorismöverenskommelsen som slöts</w:t>
      </w:r>
      <w:r w:rsidR="00A3257F">
        <w:t xml:space="preserve"> mellan regering</w:t>
      </w:r>
      <w:r w:rsidR="00B2228D">
        <w:softHyphen/>
      </w:r>
      <w:r w:rsidR="00A3257F">
        <w:t>en, Moderaterna, Centerpartiet, Liberalerna och Kristdemokraterna</w:t>
      </w:r>
      <w:r>
        <w:t xml:space="preserve"> den 7 juni </w:t>
      </w:r>
      <w:r w:rsidR="00A3257F">
        <w:t xml:space="preserve">år </w:t>
      </w:r>
      <w:r>
        <w:t>2017.</w:t>
      </w:r>
      <w:r w:rsidR="00A3257F">
        <w:t xml:space="preserve"> Moderaterna ställer sig bakom propositionens grundläggande syfte att uppnå effektiv samverkan för att kunna motverka terrorism men</w:t>
      </w:r>
      <w:r w:rsidR="00BF2BB5">
        <w:t xml:space="preserve"> anser att </w:t>
      </w:r>
      <w:r w:rsidR="00A3257F">
        <w:t>mer behöver göras</w:t>
      </w:r>
      <w:r>
        <w:t xml:space="preserve">. </w:t>
      </w:r>
    </w:p>
    <w:p w:rsidRPr="00B2228D" w:rsidR="00A3257F" w:rsidP="00B2228D" w:rsidRDefault="00746A5E" w14:paraId="54FA4BD7" w14:textId="77777777">
      <w:pPr>
        <w:rPr>
          <w:spacing w:val="-2"/>
        </w:rPr>
      </w:pPr>
      <w:r w:rsidRPr="00B2228D">
        <w:rPr>
          <w:spacing w:val="-2"/>
        </w:rPr>
        <w:t xml:space="preserve">Nuvarande sekretessreglering innebär att Polismyndigheten, Säkerhetspolisen och </w:t>
      </w:r>
      <w:r w:rsidRPr="00B2228D" w:rsidR="00BF2BB5">
        <w:rPr>
          <w:spacing w:val="-2"/>
        </w:rPr>
        <w:t xml:space="preserve">de kommunala myndigheterna inom </w:t>
      </w:r>
      <w:r w:rsidRPr="00B2228D">
        <w:rPr>
          <w:spacing w:val="-2"/>
        </w:rPr>
        <w:t xml:space="preserve">socialtjänsten inte kan utbyta information med varandra på ett ändamålsenligt sätt. Detta utgör ett hinder för en effektiv samverkan mot terrorism och ändringar är således påkallade.  </w:t>
      </w:r>
    </w:p>
    <w:p w:rsidR="00746A5E" w:rsidP="00B2228D" w:rsidRDefault="00746A5E" w14:paraId="54FA4BD8" w14:textId="7A4C5DD9">
      <w:r w:rsidRPr="00746A5E">
        <w:t xml:space="preserve">Regeringen föreslår </w:t>
      </w:r>
      <w:r w:rsidR="008C441E">
        <w:t xml:space="preserve">bl.a. </w:t>
      </w:r>
      <w:r w:rsidRPr="00746A5E">
        <w:t xml:space="preserve">att </w:t>
      </w:r>
      <w:r w:rsidR="00BF2BB5">
        <w:t xml:space="preserve">kommunala </w:t>
      </w:r>
      <w:r w:rsidRPr="00746A5E">
        <w:t>myndigheter inom socialtjänsten ska få utökade möjligheter att dela med sig av uppgifter till Polismyndigheten och Säkerhets</w:t>
      </w:r>
      <w:r w:rsidR="00B2228D">
        <w:softHyphen/>
      </w:r>
      <w:r w:rsidRPr="00746A5E">
        <w:t>polisen. Utlämnande ska i större utsträckning kunna ske vid misstankar om att terrorist</w:t>
      </w:r>
      <w:r w:rsidR="00B2228D">
        <w:softHyphen/>
      </w:r>
      <w:r w:rsidRPr="00746A5E">
        <w:t>brottslighet har begåtts men också när det krävs för att förebygga sådan brottslighet.</w:t>
      </w:r>
      <w:r>
        <w:t xml:space="preserve"> </w:t>
      </w:r>
    </w:p>
    <w:p w:rsidR="00BF2BB5" w:rsidP="00B2228D" w:rsidRDefault="00746A5E" w14:paraId="54FA4BD9" w14:textId="797AAA74">
      <w:r>
        <w:lastRenderedPageBreak/>
        <w:t xml:space="preserve">Så som förslaget är konstruerat uppställs villkor för att </w:t>
      </w:r>
      <w:r w:rsidRPr="00746A5E">
        <w:t xml:space="preserve">uppgiften ska få föras vidare </w:t>
      </w:r>
      <w:r w:rsidR="00FB0FA2">
        <w:t xml:space="preserve">från myndighet inom den kommunala socialtjänsten </w:t>
      </w:r>
      <w:r w:rsidRPr="00746A5E">
        <w:t xml:space="preserve">till </w:t>
      </w:r>
      <w:r>
        <w:t>Polismyndigheten</w:t>
      </w:r>
      <w:r w:rsidRPr="00746A5E">
        <w:t xml:space="preserve"> eller </w:t>
      </w:r>
      <w:r>
        <w:t>Säker</w:t>
      </w:r>
      <w:r w:rsidR="00B2228D">
        <w:softHyphen/>
      </w:r>
      <w:r>
        <w:t>hetspolisen</w:t>
      </w:r>
      <w:r w:rsidR="00FB0FA2">
        <w:t>. Det krävs</w:t>
      </w:r>
      <w:r w:rsidRPr="00746A5E">
        <w:t xml:space="preserve"> dels </w:t>
      </w:r>
      <w:r w:rsidR="00FB0FA2">
        <w:t xml:space="preserve">att det </w:t>
      </w:r>
      <w:r w:rsidR="00E82A7C">
        <w:t xml:space="preserve">på grund av särskilda omständigheter </w:t>
      </w:r>
      <w:r w:rsidRPr="00746A5E">
        <w:t xml:space="preserve">finns risk för att den enskilde kommer </w:t>
      </w:r>
      <w:r w:rsidR="008C441E">
        <w:t xml:space="preserve">att </w:t>
      </w:r>
      <w:r w:rsidRPr="00746A5E">
        <w:t>begå vissa typer av brott</w:t>
      </w:r>
      <w:r w:rsidR="00E82A7C">
        <w:t xml:space="preserve"> som räknas upp i lagen</w:t>
      </w:r>
      <w:r w:rsidR="00592A3B">
        <w:t>,</w:t>
      </w:r>
      <w:r w:rsidRPr="00746A5E">
        <w:t xml:space="preserve"> dels </w:t>
      </w:r>
      <w:r w:rsidR="00E82A7C">
        <w:t xml:space="preserve">att </w:t>
      </w:r>
      <w:r w:rsidRPr="00E82A7C" w:rsidR="00E82A7C">
        <w:t>upp</w:t>
      </w:r>
      <w:r w:rsidR="00B2228D">
        <w:softHyphen/>
      </w:r>
      <w:r w:rsidRPr="00E82A7C" w:rsidR="00E82A7C">
        <w:t>giften kan antas bidra till att förhindra det</w:t>
      </w:r>
      <w:r w:rsidR="00592A3B">
        <w:t>,</w:t>
      </w:r>
      <w:r w:rsidRPr="00746A5E">
        <w:t xml:space="preserve"> dels att </w:t>
      </w:r>
      <w:r w:rsidRPr="00E82A7C" w:rsidR="00E82A7C">
        <w:t>det med hänsyn till planerade eller pågående insatser för den enskilde eller av andra särskilda skäl inte är olämpligt att upp</w:t>
      </w:r>
      <w:r w:rsidR="00B2228D">
        <w:softHyphen/>
      </w:r>
      <w:r w:rsidRPr="00E82A7C" w:rsidR="00E82A7C">
        <w:t>giften lämnas ut</w:t>
      </w:r>
      <w:r w:rsidRPr="00746A5E">
        <w:t>.</w:t>
      </w:r>
      <w:r w:rsidR="00FB0FA2">
        <w:t xml:space="preserve"> </w:t>
      </w:r>
    </w:p>
    <w:p w:rsidR="00746A5E" w:rsidP="00B2228D" w:rsidRDefault="00FB0FA2" w14:paraId="54FA4BDA" w14:textId="55E51620">
      <w:r>
        <w:t xml:space="preserve">Moderaterna anser att det ska räcka med att det </w:t>
      </w:r>
      <w:r w:rsidRPr="00746A5E">
        <w:t>finns risk för att den enskilde kom</w:t>
      </w:r>
      <w:r w:rsidR="00B2228D">
        <w:softHyphen/>
      </w:r>
      <w:r w:rsidRPr="00746A5E">
        <w:t>mer</w:t>
      </w:r>
      <w:r w:rsidR="008C441E">
        <w:t xml:space="preserve"> att</w:t>
      </w:r>
      <w:r w:rsidRPr="00746A5E">
        <w:t xml:space="preserve"> </w:t>
      </w:r>
      <w:r>
        <w:t xml:space="preserve">begå sådant brott som lagen avser för att uppgiften ska </w:t>
      </w:r>
      <w:r w:rsidR="00AB1EC6">
        <w:t>få</w:t>
      </w:r>
      <w:r>
        <w:t xml:space="preserve"> föras vidare. Konkret innebär</w:t>
      </w:r>
      <w:r w:rsidR="00592A3B">
        <w:t xml:space="preserve"> Moderaternas förslag att</w:t>
      </w:r>
      <w:r w:rsidR="00AB1EC6">
        <w:t xml:space="preserve"> </w:t>
      </w:r>
      <w:r w:rsidR="00592A3B">
        <w:t>10 kap</w:t>
      </w:r>
      <w:r w:rsidR="008C441E">
        <w:t>.</w:t>
      </w:r>
      <w:r w:rsidR="00592A3B">
        <w:t xml:space="preserve"> 18</w:t>
      </w:r>
      <w:r w:rsidR="008C441E">
        <w:t> </w:t>
      </w:r>
      <w:r w:rsidR="00592A3B">
        <w:t>b</w:t>
      </w:r>
      <w:r w:rsidR="008C441E">
        <w:t> </w:t>
      </w:r>
      <w:r w:rsidR="00592A3B">
        <w:t xml:space="preserve">§ </w:t>
      </w:r>
      <w:r w:rsidR="00C91449">
        <w:t xml:space="preserve">2 </w:t>
      </w:r>
      <w:r>
        <w:t xml:space="preserve">och </w:t>
      </w:r>
      <w:r w:rsidR="00C91449">
        <w:t xml:space="preserve">3 </w:t>
      </w:r>
      <w:r w:rsidR="008C441E">
        <w:t>i</w:t>
      </w:r>
      <w:r w:rsidR="00592A3B">
        <w:t xml:space="preserve"> </w:t>
      </w:r>
      <w:r w:rsidR="008C441E">
        <w:t>f</w:t>
      </w:r>
      <w:r w:rsidRPr="007A1DB4" w:rsidR="007A1DB4">
        <w:t>örslag till lag om ändring i offentlighets- och sekretesslagen (2009:400)</w:t>
      </w:r>
      <w:r w:rsidR="007A1DB4">
        <w:t xml:space="preserve"> </w:t>
      </w:r>
      <w:r w:rsidR="00592A3B">
        <w:t xml:space="preserve">utgår. </w:t>
      </w:r>
    </w:p>
    <w:p w:rsidR="00817056" w:rsidP="00A3257F" w:rsidRDefault="00AB1EC6" w14:paraId="54FA4BDB" w14:textId="508EBFA3">
      <w:r>
        <w:t>Moderaterna anser att förslagen i propositionen, så som de är formulerade, lägger orimlig</w:t>
      </w:r>
      <w:r w:rsidR="007A1DB4">
        <w:t>a</w:t>
      </w:r>
      <w:r>
        <w:t xml:space="preserve"> arbetsbörd</w:t>
      </w:r>
      <w:r w:rsidR="007A1DB4">
        <w:t>or</w:t>
      </w:r>
      <w:r>
        <w:t xml:space="preserve"> på </w:t>
      </w:r>
      <w:r w:rsidR="00BF2BB5">
        <w:t xml:space="preserve">kommunala myndigheter inom </w:t>
      </w:r>
      <w:r>
        <w:t xml:space="preserve">socialtjänsten. </w:t>
      </w:r>
      <w:r w:rsidR="007A1DB4">
        <w:t>Vidare</w:t>
      </w:r>
      <w:r>
        <w:t xml:space="preserve"> </w:t>
      </w:r>
      <w:r w:rsidR="007A1DB4">
        <w:t xml:space="preserve">ligger det inte inom </w:t>
      </w:r>
      <w:r w:rsidR="00CC0B28">
        <w:t>de utlämnande</w:t>
      </w:r>
      <w:r w:rsidR="00BF2BB5">
        <w:t xml:space="preserve"> myndigheter</w:t>
      </w:r>
      <w:r w:rsidR="00CC0B28">
        <w:t>na</w:t>
      </w:r>
      <w:r w:rsidR="00BF2BB5">
        <w:t>s</w:t>
      </w:r>
      <w:r w:rsidR="007A1DB4">
        <w:t xml:space="preserve"> expertis att </w:t>
      </w:r>
      <w:r w:rsidR="00BF2BB5">
        <w:t xml:space="preserve">göra </w:t>
      </w:r>
      <w:r>
        <w:t>bedömning</w:t>
      </w:r>
      <w:r w:rsidR="007A1DB4">
        <w:t>ar</w:t>
      </w:r>
      <w:r>
        <w:t xml:space="preserve"> av </w:t>
      </w:r>
      <w:r w:rsidR="008512A4">
        <w:t xml:space="preserve">det slag som föreslås. Att exempelvis avgöra </w:t>
      </w:r>
      <w:r>
        <w:t xml:space="preserve">vilka uppgifter som </w:t>
      </w:r>
      <w:r w:rsidR="007A1DB4">
        <w:t>kan antas förhindra att terror</w:t>
      </w:r>
      <w:r w:rsidR="00B2228D">
        <w:softHyphen/>
      </w:r>
      <w:r w:rsidR="007A1DB4">
        <w:t>brott begås</w:t>
      </w:r>
      <w:r w:rsidR="00CC0B28">
        <w:t xml:space="preserve"> ligger långt utanför myndigheternas kärnverksamhet</w:t>
      </w:r>
      <w:r w:rsidR="007A1DB4">
        <w:t xml:space="preserve">. </w:t>
      </w:r>
      <w:r w:rsidR="00CC0B28">
        <w:t xml:space="preserve">Sådana bedömningars relevans påverkas av </w:t>
      </w:r>
      <w:r w:rsidRPr="00CC0B28" w:rsidR="00CC0B28">
        <w:t xml:space="preserve">vilka åtgärder som Polismyndigheten och Säkerhetspolisen </w:t>
      </w:r>
      <w:r w:rsidR="00CC0B28">
        <w:t xml:space="preserve">har och </w:t>
      </w:r>
      <w:r w:rsidRPr="00CC0B28" w:rsidR="00CC0B28">
        <w:t>kan vidta i det enskilda fallet</w:t>
      </w:r>
      <w:r w:rsidR="00CC0B28">
        <w:t xml:space="preserve">. En rimligare ordning vore </w:t>
      </w:r>
      <w:r w:rsidR="00817056">
        <w:t>därför</w:t>
      </w:r>
      <w:r w:rsidR="00CC0B28">
        <w:t xml:space="preserve"> att bedömningar av vilka uppgifter som kan förhindra terrorbrottslighet lämnas åt den brottsbekämpande expertisen</w:t>
      </w:r>
      <w:r w:rsidR="00817056">
        <w:t xml:space="preserve"> att göra inte åt kommunala myndigheter inom socialtjänsten</w:t>
      </w:r>
      <w:r w:rsidR="00CC0B28">
        <w:t xml:space="preserve">. </w:t>
      </w:r>
    </w:p>
    <w:p w:rsidR="00AB1EC6" w:rsidP="00A3257F" w:rsidRDefault="00817056" w14:paraId="54FA4BDC" w14:textId="0F5AAD47">
      <w:r>
        <w:t xml:space="preserve">Sammantaget kan sägas att kriterierna som ställs upp lägger hinder för att viktig information förs vidare till de brottsbekämpande myndigheterna. Det </w:t>
      </w:r>
      <w:r w:rsidR="007A1DB4">
        <w:t>finns en uppenbar risk för att uppgifter som hade varit värdefulla för Polismyndigheten eller Säkerhets</w:t>
      </w:r>
      <w:r w:rsidR="00B2228D">
        <w:softHyphen/>
      </w:r>
      <w:r w:rsidR="007A1DB4">
        <w:t xml:space="preserve">polisen inte förs vidare på grund av kriterierna i punkterna 2 och 3.  </w:t>
      </w:r>
    </w:p>
    <w:p w:rsidRPr="00B2228D" w:rsidR="00FB0FA2" w:rsidP="00A3257F" w:rsidRDefault="005E5DD9" w14:paraId="54FA4BDD" w14:textId="361092B3">
      <w:pPr>
        <w:rPr>
          <w:spacing w:val="-2"/>
        </w:rPr>
      </w:pPr>
      <w:r w:rsidRPr="00B2228D">
        <w:rPr>
          <w:spacing w:val="-2"/>
        </w:rPr>
        <w:t xml:space="preserve">I sitt remissvar framhåller </w:t>
      </w:r>
      <w:r w:rsidRPr="00B2228D" w:rsidR="00FB0FA2">
        <w:rPr>
          <w:spacing w:val="-2"/>
        </w:rPr>
        <w:t xml:space="preserve">Polismyndigheten att även skolor och hälso- och sjukvården bör ges möjlighet att lämna ut uppgifter till </w:t>
      </w:r>
      <w:r w:rsidRPr="00B2228D">
        <w:rPr>
          <w:spacing w:val="-2"/>
        </w:rPr>
        <w:t>Polismyndigheten</w:t>
      </w:r>
      <w:r w:rsidRPr="00B2228D" w:rsidR="00FB0FA2">
        <w:rPr>
          <w:spacing w:val="-2"/>
        </w:rPr>
        <w:t xml:space="preserve"> i syfte att förebygga allvar</w:t>
      </w:r>
      <w:r w:rsidR="00B2228D">
        <w:rPr>
          <w:spacing w:val="-2"/>
        </w:rPr>
        <w:softHyphen/>
      </w:r>
      <w:r w:rsidRPr="00B2228D" w:rsidR="00FB0FA2">
        <w:rPr>
          <w:spacing w:val="-2"/>
        </w:rPr>
        <w:t>ligare brottslighet</w:t>
      </w:r>
      <w:r w:rsidRPr="00B2228D">
        <w:rPr>
          <w:spacing w:val="-2"/>
        </w:rPr>
        <w:t xml:space="preserve">. Polismyndigheten </w:t>
      </w:r>
      <w:r w:rsidRPr="00B2228D" w:rsidR="00FB0FA2">
        <w:rPr>
          <w:spacing w:val="-2"/>
        </w:rPr>
        <w:t>anser att frågan bör utredas vidare</w:t>
      </w:r>
      <w:r w:rsidRPr="00B2228D" w:rsidR="007A1DB4">
        <w:rPr>
          <w:spacing w:val="-2"/>
        </w:rPr>
        <w:t>. Moderaterna delar den bedömningen</w:t>
      </w:r>
      <w:r w:rsidRPr="00B2228D">
        <w:rPr>
          <w:spacing w:val="-2"/>
        </w:rPr>
        <w:t xml:space="preserve"> med tillägget att detta även bör gälla för Säkerhetspolisen. Precis som Polismyndigheten framhåller i sitt remissvar bör frågan utredas vidare.</w:t>
      </w:r>
    </w:p>
    <w:sdt>
      <w:sdtPr>
        <w:alias w:val="CC_Underskrifter"/>
        <w:tag w:val="CC_Underskrifter"/>
        <w:id w:val="583496634"/>
        <w:lock w:val="sdtContentLocked"/>
        <w:placeholder>
          <w:docPart w:val="3125A7D3450A4346A850494ECD321126"/>
        </w:placeholder>
      </w:sdtPr>
      <w:sdtEndPr/>
      <w:sdtContent>
        <w:p w:rsidR="00BC69A4" w:rsidP="00BC69A4" w:rsidRDefault="00BC69A4" w14:paraId="54FA4BDE" w14:textId="77777777"/>
        <w:p w:rsidRPr="00B048C2" w:rsidR="004801AC" w:rsidP="00BC69A4" w:rsidRDefault="00B2228D" w14:paraId="54FA4BD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Forssell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Magdalena Schröder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Ellen Juntti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Damsgaard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</w:tr>
    </w:tbl>
    <w:p w:rsidR="006F2900" w:rsidRDefault="006F2900" w14:paraId="54FA4BE9" w14:textId="77777777">
      <w:bookmarkStart w:name="_GoBack" w:id="1"/>
      <w:bookmarkEnd w:id="1"/>
    </w:p>
    <w:sectPr w:rsidR="006F290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A4BEB" w14:textId="77777777" w:rsidR="00B048C2" w:rsidRDefault="00B048C2" w:rsidP="000C1CAD">
      <w:pPr>
        <w:spacing w:line="240" w:lineRule="auto"/>
      </w:pPr>
      <w:r>
        <w:separator/>
      </w:r>
    </w:p>
  </w:endnote>
  <w:endnote w:type="continuationSeparator" w:id="0">
    <w:p w14:paraId="54FA4BEC" w14:textId="77777777" w:rsidR="00B048C2" w:rsidRDefault="00B048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A4B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A4BF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A4BFA" w14:textId="77777777" w:rsidR="00262EA3" w:rsidRPr="00BC69A4" w:rsidRDefault="00262EA3" w:rsidP="00BC69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A4BE9" w14:textId="77777777" w:rsidR="00B048C2" w:rsidRDefault="00B048C2" w:rsidP="000C1CAD">
      <w:pPr>
        <w:spacing w:line="240" w:lineRule="auto"/>
      </w:pPr>
      <w:r>
        <w:separator/>
      </w:r>
    </w:p>
  </w:footnote>
  <w:footnote w:type="continuationSeparator" w:id="0">
    <w:p w14:paraId="54FA4BEA" w14:textId="77777777" w:rsidR="00B048C2" w:rsidRDefault="00B048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4FA4BE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FA4BFC" wp14:anchorId="54FA4B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2228D" w14:paraId="54FA4BF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4C149D6C2044BF81053AE4397E03C8"/>
                              </w:placeholder>
                              <w:text/>
                            </w:sdtPr>
                            <w:sdtEndPr/>
                            <w:sdtContent>
                              <w:r w:rsidR="00B048C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D1532D746174E7ABC1FB07B7D1C435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FA4B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2228D" w14:paraId="54FA4BF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4C149D6C2044BF81053AE4397E03C8"/>
                        </w:placeholder>
                        <w:text/>
                      </w:sdtPr>
                      <w:sdtEndPr/>
                      <w:sdtContent>
                        <w:r w:rsidR="00B048C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D1532D746174E7ABC1FB07B7D1C435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FA4BE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4FA4BEF" w14:textId="77777777">
    <w:pPr>
      <w:jc w:val="right"/>
    </w:pPr>
  </w:p>
  <w:p w:rsidR="00262EA3" w:rsidP="00776B74" w:rsidRDefault="00262EA3" w14:paraId="54FA4BF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2228D" w14:paraId="54FA4BF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4FA4BFE" wp14:anchorId="54FA4B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2228D" w14:paraId="54FA4BF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048C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2228D" w14:paraId="54FA4BF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2228D" w14:paraId="54FA4BF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:3594</w:t>
        </w:r>
      </w:sdtContent>
    </w:sdt>
  </w:p>
  <w:p w:rsidR="00262EA3" w:rsidP="00E03A3D" w:rsidRDefault="00B2228D" w14:paraId="54FA4BF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Forssell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13897" w14:paraId="54FA4BF8" w14:textId="30724D5E">
        <w:pPr>
          <w:pStyle w:val="FSHRub2"/>
        </w:pPr>
        <w:r>
          <w:t>med anledning av prop. 2019/20:123 Ett effektivare informationsutbyte mellan polis och socialtjänst vid samverkan mot terrorism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4FA4BF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B617E69"/>
    <w:multiLevelType w:val="hybridMultilevel"/>
    <w:tmpl w:val="12244F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B048C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045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5E2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5D21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204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B23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47F4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47D"/>
    <w:rsid w:val="0056117A"/>
    <w:rsid w:val="00562506"/>
    <w:rsid w:val="00562C61"/>
    <w:rsid w:val="0056539C"/>
    <w:rsid w:val="00565611"/>
    <w:rsid w:val="005656F2"/>
    <w:rsid w:val="005663A8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A3B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5DD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900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46A5E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1DB4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056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12A4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441E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210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57F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EC6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8C2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28D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9A4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BB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449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0B28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7C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532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897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0FA2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4FA4BD1"/>
  <w15:chartTrackingRefBased/>
  <w15:docId w15:val="{4DB5D7FD-794A-41B3-954F-50F397B8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56EC6FB564E66AB331127BDC849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C2A30A-37FC-4534-889D-82A134BC392E}"/>
      </w:docPartPr>
      <w:docPartBody>
        <w:p w:rsidR="00F37B61" w:rsidRDefault="00F37B61">
          <w:pPr>
            <w:pStyle w:val="45456EC6FB564E66AB331127BDC8499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E902E43E2B42ADA644CC8765DF6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772DC-C014-4385-9B50-82C2C2EFC49E}"/>
      </w:docPartPr>
      <w:docPartBody>
        <w:p w:rsidR="00F37B61" w:rsidRDefault="00F37B61">
          <w:pPr>
            <w:pStyle w:val="F8E902E43E2B42ADA644CC8765DF63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4C149D6C2044BF81053AE4397E03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8FC4F0-0F1F-4984-B3EA-561CD5AE1201}"/>
      </w:docPartPr>
      <w:docPartBody>
        <w:p w:rsidR="00F37B61" w:rsidRDefault="00F37B61">
          <w:pPr>
            <w:pStyle w:val="364C149D6C2044BF81053AE4397E03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1532D746174E7ABC1FB07B7D1C43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00632A-9F2D-4E0F-B096-97DB77207457}"/>
      </w:docPartPr>
      <w:docPartBody>
        <w:p w:rsidR="00F37B61" w:rsidRDefault="00F37B61">
          <w:pPr>
            <w:pStyle w:val="7D1532D746174E7ABC1FB07B7D1C4350"/>
          </w:pPr>
          <w:r>
            <w:t xml:space="preserve"> </w:t>
          </w:r>
        </w:p>
      </w:docPartBody>
    </w:docPart>
    <w:docPart>
      <w:docPartPr>
        <w:name w:val="3125A7D3450A4346A850494ECD3211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41A5D-66AF-49C8-9ACF-26F59F1EED7B}"/>
      </w:docPartPr>
      <w:docPartBody>
        <w:p w:rsidR="001738AD" w:rsidRDefault="001738A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61"/>
    <w:rsid w:val="001738AD"/>
    <w:rsid w:val="00F3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5456EC6FB564E66AB331127BDC8499E">
    <w:name w:val="45456EC6FB564E66AB331127BDC8499E"/>
  </w:style>
  <w:style w:type="paragraph" w:customStyle="1" w:styleId="C350FC03C3314889A191295A23A89375">
    <w:name w:val="C350FC03C3314889A191295A23A8937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0A65C28475246ED9D36B39EB9FCEF53">
    <w:name w:val="E0A65C28475246ED9D36B39EB9FCEF53"/>
  </w:style>
  <w:style w:type="paragraph" w:customStyle="1" w:styleId="F8E902E43E2B42ADA644CC8765DF63EB">
    <w:name w:val="F8E902E43E2B42ADA644CC8765DF63EB"/>
  </w:style>
  <w:style w:type="paragraph" w:customStyle="1" w:styleId="D5B515CB42B74652BFF907B4C79E2295">
    <w:name w:val="D5B515CB42B74652BFF907B4C79E2295"/>
  </w:style>
  <w:style w:type="paragraph" w:customStyle="1" w:styleId="EF957322A370453DB7882751AD03C3E3">
    <w:name w:val="EF957322A370453DB7882751AD03C3E3"/>
  </w:style>
  <w:style w:type="paragraph" w:customStyle="1" w:styleId="364C149D6C2044BF81053AE4397E03C8">
    <w:name w:val="364C149D6C2044BF81053AE4397E03C8"/>
  </w:style>
  <w:style w:type="paragraph" w:customStyle="1" w:styleId="7D1532D746174E7ABC1FB07B7D1C4350">
    <w:name w:val="7D1532D746174E7ABC1FB07B7D1C43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3F57D-C1D4-4A36-A22D-F710B533338A}"/>
</file>

<file path=customXml/itemProps2.xml><?xml version="1.0" encoding="utf-8"?>
<ds:datastoreItem xmlns:ds="http://schemas.openxmlformats.org/officeDocument/2006/customXml" ds:itemID="{3088D78A-C4ED-4149-B03A-13D454F2E88E}"/>
</file>

<file path=customXml/itemProps3.xml><?xml version="1.0" encoding="utf-8"?>
<ds:datastoreItem xmlns:ds="http://schemas.openxmlformats.org/officeDocument/2006/customXml" ds:itemID="{0CC2D0F9-17F5-4481-8FC6-068022D122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573</Words>
  <Characters>3397</Characters>
  <Application>Microsoft Office Word</Application>
  <DocSecurity>0</DocSecurity>
  <Lines>62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proposition 2019 20 123 Ett effektivare informationsutbyte mellan polis och socialtjänst vid samverkan mot terrorism</vt:lpstr>
      <vt:lpstr>
      </vt:lpstr>
    </vt:vector>
  </TitlesOfParts>
  <Company>Sveriges riksdag</Company>
  <LinksUpToDate>false</LinksUpToDate>
  <CharactersWithSpaces>3951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