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20E09D10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CD0B84" w:rsidRDefault="00B03FD4" w14:paraId="63F625CF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CD4B7EFB100E4F2585D876BD8671EBE4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8caa71a-35cc-4acf-84a8-3f61bddf34d6"/>
        <w:id w:val="1054891461"/>
        <w:lock w:val="sdtLocked"/>
      </w:sdtPr>
      <w:sdtEndPr/>
      <w:sdtContent>
        <w:p w:rsidR="00DF6A70" w:rsidRDefault="00B03FD4" w14:paraId="13542DD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PEth-testresultat (eller liknande alkoholmarkörer) inte bör få användas som ensam grund för att återkalla körkort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90A7AA5C98E4885AE9C81E62B1F2012"/>
        </w:placeholder>
        <w:text/>
      </w:sdtPr>
      <w:sdtEndPr/>
      <w:sdtContent>
        <w:p w:rsidRPr="009B062B" w:rsidR="006D79C9" w:rsidP="00333E95" w:rsidRDefault="006D79C9" w14:paraId="4F898BD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E2F5D" w:rsidP="00AE2F5D" w:rsidRDefault="00AE2F5D" w14:paraId="3AEB0092" w14:textId="4B54DC84">
      <w:pPr>
        <w:pStyle w:val="Normalutanindragellerluft"/>
      </w:pPr>
      <w:r>
        <w:t xml:space="preserve">Alkoholmarkören fosfatidyletanol (PEth) har väckt debatt. Flera fall har uppmärksammats där körkort dragits in enbart på grund av höga </w:t>
      </w:r>
      <w:proofErr w:type="spellStart"/>
      <w:r w:rsidR="00B03FD4">
        <w:t>peth</w:t>
      </w:r>
      <w:r>
        <w:t>värden</w:t>
      </w:r>
      <w:proofErr w:type="spellEnd"/>
      <w:r>
        <w:t>, trots att ingen trafikonykterhet konstaterats och ingen missbruksdiagnos ställt</w:t>
      </w:r>
      <w:r w:rsidR="00B03FD4">
        <w:t>s</w:t>
      </w:r>
      <w:r>
        <w:t xml:space="preserve">. En praxis sedan 2020 likställer två </w:t>
      </w:r>
      <w:proofErr w:type="spellStart"/>
      <w:r w:rsidR="00B03FD4">
        <w:t>peth</w:t>
      </w:r>
      <w:r>
        <w:t>prov</w:t>
      </w:r>
      <w:proofErr w:type="spellEnd"/>
      <w:r>
        <w:t xml:space="preserve"> över 0,30</w:t>
      </w:r>
      <w:r w:rsidR="00B03FD4">
        <w:t> </w:t>
      </w:r>
      <w:r>
        <w:t>µmol/L med ”alkoholbruk som inte är tillfälligt och medicinskt skadligt”. Körkort har alltså återkallats enbart utifrån sådana provsvar, vilket väcker allvarliga rättssäkerhetsfrågor.</w:t>
      </w:r>
    </w:p>
    <w:p w:rsidR="00AE2F5D" w:rsidP="00AE2F5D" w:rsidRDefault="00AE2F5D" w14:paraId="6481C67D" w14:textId="3BC0EA62">
      <w:pPr>
        <w:pStyle w:val="Normalutanindragellerluft"/>
      </w:pPr>
      <w:r>
        <w:tab/>
        <w:t xml:space="preserve">Ett enstaka blodprov ger inte hela bilden av en persons hälsa eller trafikrisk. Inget tyder på att två höga </w:t>
      </w:r>
      <w:proofErr w:type="spellStart"/>
      <w:r w:rsidR="00B03FD4">
        <w:t>pe</w:t>
      </w:r>
      <w:r>
        <w:t>thprover</w:t>
      </w:r>
      <w:proofErr w:type="spellEnd"/>
      <w:r>
        <w:t xml:space="preserve"> i sig försämrar körförmågan. Den verkliga risken utgörs av alkoholmissbruk. Ett förhöjt </w:t>
      </w:r>
      <w:r w:rsidR="00B03FD4">
        <w:t>peth</w:t>
      </w:r>
      <w:r>
        <w:t>värde visar bara att någon druckit mycket en tid men bevisar inte kroniskt beroende eller nedsatt körförmåga. Dessutom är 0,30-gränsen vetenskapligt osäker och bygger på en minimal studie. Att låta så svag evidens utgöra ensam grund är rättsosäkert.</w:t>
      </w:r>
    </w:p>
    <w:p w:rsidRPr="00422B9E" w:rsidR="00422B9E" w:rsidP="00AE2F5D" w:rsidRDefault="00AE2F5D" w14:paraId="6AC67093" w14:textId="69B4F40F">
      <w:pPr>
        <w:pStyle w:val="Normalutanindragellerluft"/>
      </w:pPr>
      <w:r>
        <w:lastRenderedPageBreak/>
        <w:tab/>
        <w:t>Denna rättstillämpning har drabbat många oskyldiga. Flera förare har mist körkortet trots att inget missbruk konstaterats och vittnar om chocken att stämplas som missbrukare utan helhetsbedömning. Förfarandet undergräver också förtroendet</w:t>
      </w:r>
      <w:r w:rsidR="00B03FD4">
        <w:t>;</w:t>
      </w:r>
      <w:r>
        <w:t xml:space="preserve"> rapportering visar att människor undviker vården eller avstår blodgivning av rädsla att prover ska leda till körkortsingripanden.</w:t>
      </w:r>
    </w:p>
    <w:p w:rsidR="00BB6339" w:rsidP="008E0FE2" w:rsidRDefault="00BB6339" w14:paraId="59D99D74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160135566084143AA595906AC1B4AB0"/>
        </w:placeholder>
      </w:sdtPr>
      <w:sdtEndPr/>
      <w:sdtContent>
        <w:p w:rsidR="00CD0B84" w:rsidP="00CD0B84" w:rsidRDefault="00CD0B84" w14:paraId="33E2DD68" w14:textId="77777777"/>
        <w:p w:rsidR="00CD0B84" w:rsidP="00CD0B84" w:rsidRDefault="00B03FD4" w14:paraId="1EAE8841" w14:textId="3327359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F6A70" w14:paraId="715E1317" w14:textId="77777777">
        <w:trPr>
          <w:cantSplit/>
        </w:trPr>
        <w:tc>
          <w:tcPr>
            <w:tcW w:w="50" w:type="pct"/>
            <w:vAlign w:val="bottom"/>
          </w:tcPr>
          <w:p w:rsidR="00DF6A70" w:rsidRDefault="00B03FD4" w14:paraId="4F973408" w14:textId="77777777">
            <w:pPr>
              <w:pStyle w:val="Underskrifter"/>
              <w:spacing w:after="0"/>
            </w:pPr>
            <w:r>
              <w:t>Patrik Karlson (L)</w:t>
            </w:r>
          </w:p>
        </w:tc>
        <w:tc>
          <w:tcPr>
            <w:tcW w:w="50" w:type="pct"/>
            <w:vAlign w:val="bottom"/>
          </w:tcPr>
          <w:p w:rsidR="00DF6A70" w:rsidRDefault="00DF6A70" w14:paraId="76B3F8D6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4BFF8879" w14:textId="28ADF929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4D70D" w14:textId="77777777" w:rsidR="00AE2F5D" w:rsidRDefault="00AE2F5D" w:rsidP="000C1CAD">
      <w:pPr>
        <w:spacing w:line="240" w:lineRule="auto"/>
      </w:pPr>
      <w:r>
        <w:separator/>
      </w:r>
    </w:p>
  </w:endnote>
  <w:endnote w:type="continuationSeparator" w:id="0">
    <w:p w14:paraId="0E8F9CA1" w14:textId="77777777" w:rsidR="00AE2F5D" w:rsidRDefault="00AE2F5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9033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FE4B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A61B6" w14:textId="7797D392" w:rsidR="00262EA3" w:rsidRPr="00CD0B84" w:rsidRDefault="00262EA3" w:rsidP="00CD0B8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595DE" w14:textId="77777777" w:rsidR="00AE2F5D" w:rsidRDefault="00AE2F5D" w:rsidP="000C1CAD">
      <w:pPr>
        <w:spacing w:line="240" w:lineRule="auto"/>
      </w:pPr>
      <w:r>
        <w:separator/>
      </w:r>
    </w:p>
  </w:footnote>
  <w:footnote w:type="continuationSeparator" w:id="0">
    <w:p w14:paraId="044D764B" w14:textId="77777777" w:rsidR="00AE2F5D" w:rsidRDefault="00AE2F5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80F2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D3844FE" wp14:editId="62BB7E1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6C3005" w14:textId="422FAAB8" w:rsidR="00262EA3" w:rsidRDefault="00B03FD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87A807176614379B5E8D4F730AB9B31"/>
                              </w:placeholder>
                              <w:text/>
                            </w:sdtPr>
                            <w:sdtEndPr/>
                            <w:sdtContent>
                              <w:r w:rsidR="00AE2F5D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7B915099BFF4AC88F2A5C20B3CA73C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2D3844F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D0B84" w14:paraId="436C3005" w14:textId="422FAAB8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87A807176614379B5E8D4F730AB9B31"/>
                        </w:placeholder>
                        <w:text/>
                      </w:sdtPr>
                      <w:sdtEndPr/>
                      <w:sdtContent>
                        <w:r w:rsidR="00AE2F5D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7B915099BFF4AC88F2A5C20B3CA73CF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CCA940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D1769" w14:textId="77777777" w:rsidR="00262EA3" w:rsidRDefault="00262EA3" w:rsidP="008563AC">
    <w:pPr>
      <w:jc w:val="right"/>
    </w:pPr>
  </w:p>
  <w:p w14:paraId="3377D12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5D01B" w14:textId="77777777" w:rsidR="00262EA3" w:rsidRDefault="00B03FD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DE23E6E" wp14:editId="7B81F3A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9DD6A42" w14:textId="78C3CA9C" w:rsidR="00262EA3" w:rsidRDefault="00B03FD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D0B84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E2F5D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E4246A3" w14:textId="77777777" w:rsidR="00262EA3" w:rsidRPr="008227B3" w:rsidRDefault="00B03FD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F9C9AD4" w14:textId="6898C17B" w:rsidR="00262EA3" w:rsidRPr="008227B3" w:rsidRDefault="00B03FD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D0B84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D0B84">
          <w:t>:2648</w:t>
        </w:r>
      </w:sdtContent>
    </w:sdt>
  </w:p>
  <w:p w14:paraId="65EC9905" w14:textId="7165A960" w:rsidR="00262EA3" w:rsidRDefault="00B03FD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87A807176614379B5E8D4F730AB9B31"/>
        </w:placeholder>
        <w15:appearance w15:val="hidden"/>
        <w:text/>
      </w:sdtPr>
      <w:sdtEndPr/>
      <w:sdtContent>
        <w:r w:rsidR="00CD0B84">
          <w:t>av Patrik Karlson (L)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37B915099BFF4AC88F2A5C20B3CA73CF"/>
      </w:placeholder>
      <w:text/>
    </w:sdtPr>
    <w:sdtEndPr/>
    <w:sdtContent>
      <w:p w14:paraId="40B74522" w14:textId="4A3F5BA9" w:rsidR="00262EA3" w:rsidRDefault="00AE2F5D" w:rsidP="00283E0F">
        <w:pPr>
          <w:pStyle w:val="FSHRub2"/>
        </w:pPr>
        <w:r>
          <w:t>PEth-test som underlag i återkallelser av körkort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1E40DE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52016143">
    <w:abstractNumId w:val="9"/>
  </w:num>
  <w:num w:numId="2" w16cid:durableId="2066833082">
    <w:abstractNumId w:val="8"/>
  </w:num>
  <w:num w:numId="3" w16cid:durableId="2041205428">
    <w:abstractNumId w:val="16"/>
  </w:num>
  <w:num w:numId="4" w16cid:durableId="185826626">
    <w:abstractNumId w:val="14"/>
  </w:num>
  <w:num w:numId="5" w16cid:durableId="2047365660">
    <w:abstractNumId w:val="17"/>
  </w:num>
  <w:num w:numId="6" w16cid:durableId="65761035">
    <w:abstractNumId w:val="18"/>
  </w:num>
  <w:num w:numId="7" w16cid:durableId="1439565345">
    <w:abstractNumId w:val="11"/>
  </w:num>
  <w:num w:numId="8" w16cid:durableId="1876230638">
    <w:abstractNumId w:val="12"/>
  </w:num>
  <w:num w:numId="9" w16cid:durableId="1623419630">
    <w:abstractNumId w:val="15"/>
  </w:num>
  <w:num w:numId="10" w16cid:durableId="815339861">
    <w:abstractNumId w:val="22"/>
  </w:num>
  <w:num w:numId="11" w16cid:durableId="1809080429">
    <w:abstractNumId w:val="21"/>
  </w:num>
  <w:num w:numId="12" w16cid:durableId="1229535694">
    <w:abstractNumId w:val="21"/>
  </w:num>
  <w:num w:numId="13" w16cid:durableId="2145732431">
    <w:abstractNumId w:val="3"/>
  </w:num>
  <w:num w:numId="14" w16cid:durableId="1377243036">
    <w:abstractNumId w:val="2"/>
  </w:num>
  <w:num w:numId="15" w16cid:durableId="1095126413">
    <w:abstractNumId w:val="1"/>
  </w:num>
  <w:num w:numId="16" w16cid:durableId="1978535702">
    <w:abstractNumId w:val="0"/>
  </w:num>
  <w:num w:numId="17" w16cid:durableId="729614106">
    <w:abstractNumId w:val="7"/>
  </w:num>
  <w:num w:numId="18" w16cid:durableId="1453398214">
    <w:abstractNumId w:val="6"/>
  </w:num>
  <w:num w:numId="19" w16cid:durableId="1409964084">
    <w:abstractNumId w:val="5"/>
  </w:num>
  <w:num w:numId="20" w16cid:durableId="754784984">
    <w:abstractNumId w:val="4"/>
  </w:num>
  <w:num w:numId="21" w16cid:durableId="1222251474">
    <w:abstractNumId w:val="21"/>
  </w:num>
  <w:num w:numId="22" w16cid:durableId="1044864677">
    <w:abstractNumId w:val="21"/>
  </w:num>
  <w:num w:numId="23" w16cid:durableId="1129084885">
    <w:abstractNumId w:val="21"/>
  </w:num>
  <w:num w:numId="24" w16cid:durableId="1585652679">
    <w:abstractNumId w:val="21"/>
  </w:num>
  <w:num w:numId="25" w16cid:durableId="2109806438">
    <w:abstractNumId w:val="21"/>
  </w:num>
  <w:num w:numId="26" w16cid:durableId="1234006360">
    <w:abstractNumId w:val="22"/>
  </w:num>
  <w:num w:numId="27" w16cid:durableId="965083543">
    <w:abstractNumId w:val="22"/>
  </w:num>
  <w:num w:numId="28" w16cid:durableId="1854228044">
    <w:abstractNumId w:val="22"/>
  </w:num>
  <w:num w:numId="29" w16cid:durableId="237372951">
    <w:abstractNumId w:val="22"/>
  </w:num>
  <w:num w:numId="30" w16cid:durableId="1197430656">
    <w:abstractNumId w:val="21"/>
  </w:num>
  <w:num w:numId="31" w16cid:durableId="2008315220">
    <w:abstractNumId w:val="21"/>
  </w:num>
  <w:num w:numId="32" w16cid:durableId="1733039204">
    <w:abstractNumId w:val="22"/>
  </w:num>
  <w:num w:numId="33" w16cid:durableId="1523935412">
    <w:abstractNumId w:val="21"/>
  </w:num>
  <w:num w:numId="34" w16cid:durableId="185363492">
    <w:abstractNumId w:val="18"/>
  </w:num>
  <w:num w:numId="35" w16cid:durableId="1788355355">
    <w:abstractNumId w:val="18"/>
    <w:lvlOverride w:ilvl="0">
      <w:startOverride w:val="1"/>
    </w:lvlOverride>
  </w:num>
  <w:num w:numId="36" w16cid:durableId="1176731586">
    <w:abstractNumId w:val="19"/>
  </w:num>
  <w:num w:numId="37" w16cid:durableId="240993575">
    <w:abstractNumId w:val="18"/>
    <w:lvlOverride w:ilvl="0">
      <w:startOverride w:val="1"/>
    </w:lvlOverride>
  </w:num>
  <w:num w:numId="38" w16cid:durableId="1513954581">
    <w:abstractNumId w:val="13"/>
  </w:num>
  <w:num w:numId="39" w16cid:durableId="257105193">
    <w:abstractNumId w:val="10"/>
  </w:num>
  <w:num w:numId="40" w16cid:durableId="190247587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E2F5D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33E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25D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5D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3FD4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B84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A70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35C1A09"/>
  <w15:chartTrackingRefBased/>
  <w15:docId w15:val="{D6291C5F-AB1B-4043-8590-1E6550D5C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D4B7EFB100E4F2585D876BD8671EB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BC48A1-4936-43F3-8551-1D54E68BEA56}"/>
      </w:docPartPr>
      <w:docPartBody>
        <w:p w:rsidR="00E131AB" w:rsidRDefault="00E131AB">
          <w:pPr>
            <w:pStyle w:val="CD4B7EFB100E4F2585D876BD8671EBE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90A7AA5C98E4885AE9C81E62B1F20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8ED8C7-09AB-4667-A364-3C9897A38B97}"/>
      </w:docPartPr>
      <w:docPartBody>
        <w:p w:rsidR="00E131AB" w:rsidRDefault="00E131AB">
          <w:pPr>
            <w:pStyle w:val="090A7AA5C98E4885AE9C81E62B1F201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87A807176614379B5E8D4F730AB9B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212F9A-71F5-4AD8-86A7-CE51F41CB95A}"/>
      </w:docPartPr>
      <w:docPartBody>
        <w:p w:rsidR="00E131AB" w:rsidRDefault="00E131AB">
          <w:pPr>
            <w:pStyle w:val="D87A807176614379B5E8D4F730AB9B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7B915099BFF4AC88F2A5C20B3CA73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48D188-385D-44AE-A6D9-677C7B1671D7}"/>
      </w:docPartPr>
      <w:docPartBody>
        <w:p w:rsidR="00E131AB" w:rsidRDefault="00E131AB">
          <w:pPr>
            <w:pStyle w:val="37B915099BFF4AC88F2A5C20B3CA73CF"/>
          </w:pPr>
          <w:r>
            <w:t xml:space="preserve"> </w:t>
          </w:r>
        </w:p>
      </w:docPartBody>
    </w:docPart>
    <w:docPart>
      <w:docPartPr>
        <w:name w:val="9160135566084143AA595906AC1B4A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DD0BD0-A272-4379-8EE8-115F86C68552}"/>
      </w:docPartPr>
      <w:docPartBody>
        <w:p w:rsidR="00AD3136" w:rsidRDefault="00AD3136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1AB"/>
    <w:rsid w:val="007D525D"/>
    <w:rsid w:val="00E1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CD4B7EFB100E4F2585D876BD8671EBE4">
    <w:name w:val="CD4B7EFB100E4F2585D876BD8671EBE4"/>
  </w:style>
  <w:style w:type="paragraph" w:customStyle="1" w:styleId="60118014C3964DAAB1E7BFDF6958A4CD">
    <w:name w:val="60118014C3964DAAB1E7BFDF6958A4CD"/>
  </w:style>
  <w:style w:type="paragraph" w:customStyle="1" w:styleId="090A7AA5C98E4885AE9C81E62B1F2012">
    <w:name w:val="090A7AA5C98E4885AE9C81E62B1F2012"/>
  </w:style>
  <w:style w:type="paragraph" w:customStyle="1" w:styleId="C2A9967F9F3243998CF8447CDEFBD335">
    <w:name w:val="C2A9967F9F3243998CF8447CDEFBD335"/>
  </w:style>
  <w:style w:type="paragraph" w:customStyle="1" w:styleId="D87A807176614379B5E8D4F730AB9B31">
    <w:name w:val="D87A807176614379B5E8D4F730AB9B31"/>
  </w:style>
  <w:style w:type="paragraph" w:customStyle="1" w:styleId="37B915099BFF4AC88F2A5C20B3CA73CF">
    <w:name w:val="37B915099BFF4AC88F2A5C20B3CA73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F54CFC-6379-4337-BF4F-C00389807964}"/>
</file>

<file path=customXml/itemProps2.xml><?xml version="1.0" encoding="utf-8"?>
<ds:datastoreItem xmlns:ds="http://schemas.openxmlformats.org/officeDocument/2006/customXml" ds:itemID="{D4118683-E86F-4F23-A070-F7924972CC9D}"/>
</file>

<file path=customXml/itemProps3.xml><?xml version="1.0" encoding="utf-8"?>
<ds:datastoreItem xmlns:ds="http://schemas.openxmlformats.org/officeDocument/2006/customXml" ds:itemID="{3A08D324-FFE6-4441-9FD0-3282B3A1E9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216</Words>
  <Characters>1372</Characters>
  <Application>Microsoft Office Word</Application>
  <DocSecurity>0</DocSecurity>
  <Lines>28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1580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