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C7745" w14:textId="77777777" w:rsidR="00FB32B9" w:rsidRDefault="000B2770" w:rsidP="00FB32B9">
      <w:pPr>
        <w:pStyle w:val="UDrubrik"/>
        <w:tabs>
          <w:tab w:val="left" w:pos="1701"/>
          <w:tab w:val="left" w:pos="1985"/>
        </w:tabs>
        <w:rPr>
          <w:rFonts w:cs="Arial"/>
          <w:sz w:val="28"/>
        </w:rPr>
      </w:pPr>
      <w:bookmarkStart w:id="0" w:name="_GoBack"/>
      <w:bookmarkEnd w:id="0"/>
    </w:p>
    <w:p w14:paraId="782C7746" w14:textId="77777777" w:rsidR="00FB32B9" w:rsidRDefault="000B2770" w:rsidP="00FB32B9">
      <w:pPr>
        <w:pStyle w:val="UDrubrik"/>
        <w:tabs>
          <w:tab w:val="left" w:pos="1701"/>
          <w:tab w:val="left" w:pos="1985"/>
        </w:tabs>
        <w:rPr>
          <w:rFonts w:cs="Arial"/>
          <w:sz w:val="28"/>
        </w:rPr>
      </w:pPr>
    </w:p>
    <w:p w14:paraId="782C7747" w14:textId="77777777" w:rsidR="00FB32B9" w:rsidRDefault="000B2770" w:rsidP="00FB32B9">
      <w:pPr>
        <w:pStyle w:val="UDrubrik"/>
        <w:tabs>
          <w:tab w:val="left" w:pos="1701"/>
          <w:tab w:val="left" w:pos="1985"/>
        </w:tabs>
        <w:rPr>
          <w:rFonts w:cs="Arial"/>
          <w:sz w:val="28"/>
        </w:rPr>
      </w:pPr>
    </w:p>
    <w:p w14:paraId="782C7748" w14:textId="77777777" w:rsidR="00FB32B9" w:rsidRDefault="000B2770" w:rsidP="00FB32B9">
      <w:pPr>
        <w:pStyle w:val="UDrubrik"/>
        <w:tabs>
          <w:tab w:val="left" w:pos="1701"/>
          <w:tab w:val="left" w:pos="1985"/>
        </w:tabs>
        <w:rPr>
          <w:rFonts w:cs="Arial"/>
          <w:sz w:val="28"/>
        </w:rPr>
      </w:pPr>
    </w:p>
    <w:p w14:paraId="782C7749" w14:textId="110E2C17" w:rsidR="00FB32B9" w:rsidRDefault="00CA58AA" w:rsidP="00FB32B9">
      <w:pPr>
        <w:pStyle w:val="UDrubrik"/>
        <w:tabs>
          <w:tab w:val="left" w:pos="1701"/>
          <w:tab w:val="left" w:pos="1985"/>
        </w:tabs>
        <w:rPr>
          <w:rFonts w:cs="Arial"/>
          <w:sz w:val="28"/>
        </w:rPr>
      </w:pPr>
      <w:r>
        <w:rPr>
          <w:rFonts w:cs="Arial"/>
          <w:sz w:val="28"/>
        </w:rPr>
        <w:t>Troliga A-punkter inför kommande rådsmöten som förväntas godkännas vid Coreper I den 10 maj 2017.</w:t>
      </w:r>
    </w:p>
    <w:p w14:paraId="782C774A" w14:textId="77777777" w:rsidR="00FB32B9" w:rsidRDefault="000B2770" w:rsidP="00FB32B9">
      <w:pPr>
        <w:pStyle w:val="Brdtext"/>
      </w:pPr>
    </w:p>
    <w:p w14:paraId="782C774C" w14:textId="77777777" w:rsidR="00FB32B9" w:rsidRDefault="00CA58A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82C774D" w14:textId="77777777" w:rsidR="00D957FB" w:rsidRPr="00283DF3" w:rsidRDefault="00CA58AA">
          <w:pPr>
            <w:pStyle w:val="Innehllsfrteckningsrubrik"/>
            <w:rPr>
              <w:color w:val="auto"/>
              <w:lang w:val="sv-SE"/>
            </w:rPr>
          </w:pPr>
          <w:r w:rsidRPr="00283DF3">
            <w:rPr>
              <w:color w:val="auto"/>
              <w:lang w:val="sv-SE"/>
            </w:rPr>
            <w:t>Innehållsförteckning</w:t>
          </w:r>
        </w:p>
        <w:p w14:paraId="782C774E" w14:textId="77777777" w:rsidR="00DA7250" w:rsidRPr="00283DF3" w:rsidRDefault="000B2770" w:rsidP="00DA7250">
          <w:pPr>
            <w:rPr>
              <w:lang w:eastAsia="ja-JP"/>
            </w:rPr>
          </w:pPr>
        </w:p>
        <w:p w14:paraId="782C774F" w14:textId="77777777" w:rsidR="00BF1420" w:rsidRDefault="00CA58AA">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noProof/>
            </w:rPr>
            <w:t>1.</w:t>
          </w:r>
          <w:r>
            <w:rPr>
              <w:rStyle w:val="Hyperlnk"/>
              <w:rFonts w:ascii="Calibri" w:hAnsi="Calibri"/>
              <w:noProof/>
            </w:rPr>
            <w:tab/>
          </w:r>
          <w:r>
            <w:rPr>
              <w:rStyle w:val="Hyperlnk"/>
              <w:noProof/>
            </w:rPr>
            <w:t>Commission delegated Regulation (EU) …/... of 18.4.2017 amending Commission Delegated Regulation (EU) 2015/98 on the implementation of the Union's international obligations, as referred to in Article 15(2) of Regulation (EU) No 1380/2013 of the European Parliament and of the Council, under the International Convention for the Conservation of the Atlantic Tunas and the Convention on Future Multilateral Cooperation in the Northwest Atlantic Fisheries</w:t>
          </w:r>
          <w:r>
            <w:rPr>
              <w:rStyle w:val="Hyperlnk"/>
              <w:noProof/>
            </w:rPr>
            <w:tab/>
          </w:r>
          <w:r>
            <w:rPr>
              <w:noProof/>
            </w:rPr>
            <w:fldChar w:fldCharType="begin"/>
          </w:r>
          <w:r>
            <w:rPr>
              <w:rStyle w:val="Hyperlnk"/>
              <w:noProof/>
            </w:rPr>
            <w:instrText xml:space="preserve"> PAGEREF _Toc256000003 \h </w:instrText>
          </w:r>
          <w:r>
            <w:rPr>
              <w:noProof/>
            </w:rPr>
          </w:r>
          <w:r>
            <w:rPr>
              <w:noProof/>
            </w:rPr>
            <w:fldChar w:fldCharType="separate"/>
          </w:r>
          <w:r w:rsidR="00E02D03">
            <w:rPr>
              <w:rStyle w:val="Hyperlnk"/>
              <w:noProof/>
            </w:rPr>
            <w:t>3</w:t>
          </w:r>
          <w:r>
            <w:rPr>
              <w:noProof/>
            </w:rPr>
            <w:fldChar w:fldCharType="end"/>
          </w:r>
        </w:p>
        <w:p w14:paraId="782C7750" w14:textId="77777777" w:rsidR="00BF1420" w:rsidRDefault="00CA58A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"_Toc256000004" </w:instrText>
          </w:r>
          <w:r>
            <w:rPr>
              <w:b/>
              <w:bCs/>
              <w:noProof/>
            </w:rPr>
            <w:fldChar w:fldCharType="separate"/>
          </w:r>
          <w:r>
            <w:rPr>
              <w:rStyle w:val="Hyperlnk"/>
              <w:noProof/>
            </w:rPr>
            <w:t>2.</w:t>
          </w:r>
          <w:r>
            <w:rPr>
              <w:rStyle w:val="Hyperlnk"/>
              <w:rFonts w:ascii="Calibri" w:hAnsi="Calibri"/>
              <w:noProof/>
            </w:rPr>
            <w:tab/>
          </w:r>
          <w:r>
            <w:rPr>
              <w:rStyle w:val="Hyperlnk"/>
              <w:noProof/>
            </w:rPr>
            <w:t>Proposal for a Regulation of the European Parliament and of the Council laying down management, conservation and control measures applicable in the Convention Area of the International Commission for the Conservation of Atlantic Tunas (ICCAT) and amending Council Regulations (EC) No 1936/2001, (EC) No 1984/2003 and (EC) No 520/2007 (First reading) (Legislative deliberation)</w:t>
          </w:r>
          <w:r>
            <w:rPr>
              <w:rStyle w:val="Hyperlnk"/>
              <w:noProof/>
            </w:rPr>
            <w:tab/>
          </w:r>
          <w:r>
            <w:rPr>
              <w:noProof/>
            </w:rPr>
            <w:fldChar w:fldCharType="begin"/>
          </w:r>
          <w:r>
            <w:rPr>
              <w:rStyle w:val="Hyperlnk"/>
              <w:noProof/>
            </w:rPr>
            <w:instrText xml:space="preserve"> PAGEREF _Toc256000004 \h </w:instrText>
          </w:r>
          <w:r>
            <w:rPr>
              <w:noProof/>
            </w:rPr>
          </w:r>
          <w:r>
            <w:rPr>
              <w:noProof/>
            </w:rPr>
            <w:fldChar w:fldCharType="separate"/>
          </w:r>
          <w:r w:rsidR="00E02D03">
            <w:rPr>
              <w:rStyle w:val="Hyperlnk"/>
              <w:noProof/>
            </w:rPr>
            <w:t>4</w:t>
          </w:r>
          <w:r>
            <w:rPr>
              <w:noProof/>
            </w:rPr>
            <w:fldChar w:fldCharType="end"/>
          </w:r>
        </w:p>
        <w:p w14:paraId="782C7751" w14:textId="77777777" w:rsidR="00BF1420" w:rsidRDefault="00CA58A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"_Toc256000005" </w:instrText>
          </w:r>
          <w:r>
            <w:rPr>
              <w:b/>
              <w:bCs/>
              <w:noProof/>
            </w:rPr>
            <w:fldChar w:fldCharType="separate"/>
          </w:r>
          <w:r>
            <w:rPr>
              <w:rStyle w:val="Hyperlnk"/>
              <w:noProof/>
            </w:rPr>
            <w:t>3.</w:t>
          </w:r>
          <w:r>
            <w:rPr>
              <w:rStyle w:val="Hyperlnk"/>
              <w:rFonts w:ascii="Calibri" w:hAnsi="Calibri"/>
              <w:noProof/>
            </w:rPr>
            <w:tab/>
          </w:r>
          <w:r>
            <w:rPr>
              <w:rStyle w:val="Hyperlnk"/>
              <w:noProof/>
            </w:rPr>
            <w:t>Draft Decision of the European Parliament and of the Council on a European Year of Cultural Heritage (2018) (First reading) (Legislative deliberation)</w:t>
          </w:r>
          <w:r>
            <w:rPr>
              <w:rStyle w:val="Hyperlnk"/>
              <w:noProof/>
            </w:rPr>
            <w:tab/>
          </w:r>
          <w:r>
            <w:rPr>
              <w:noProof/>
            </w:rPr>
            <w:fldChar w:fldCharType="begin"/>
          </w:r>
          <w:r>
            <w:rPr>
              <w:rStyle w:val="Hyperlnk"/>
              <w:noProof/>
            </w:rPr>
            <w:instrText xml:space="preserve"> PAGEREF _Toc256000005 \h </w:instrText>
          </w:r>
          <w:r>
            <w:rPr>
              <w:noProof/>
            </w:rPr>
          </w:r>
          <w:r>
            <w:rPr>
              <w:noProof/>
            </w:rPr>
            <w:fldChar w:fldCharType="separate"/>
          </w:r>
          <w:r w:rsidR="00E02D03">
            <w:rPr>
              <w:rStyle w:val="Hyperlnk"/>
              <w:noProof/>
            </w:rPr>
            <w:t>5</w:t>
          </w:r>
          <w:r>
            <w:rPr>
              <w:noProof/>
            </w:rPr>
            <w:fldChar w:fldCharType="end"/>
          </w:r>
        </w:p>
        <w:p w14:paraId="782C7752" w14:textId="77777777" w:rsidR="00BF1420" w:rsidRDefault="00CA58AA">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"_Toc256000006" </w:instrText>
          </w:r>
          <w:r>
            <w:rPr>
              <w:b/>
              <w:bCs/>
              <w:noProof/>
            </w:rPr>
            <w:fldChar w:fldCharType="separate"/>
          </w:r>
          <w:r>
            <w:rPr>
              <w:rStyle w:val="Hyperlnk"/>
              <w:noProof/>
            </w:rPr>
            <w:t>4.</w:t>
          </w:r>
          <w:r>
            <w:rPr>
              <w:rStyle w:val="Hyperlnk"/>
              <w:rFonts w:ascii="Calibri" w:hAnsi="Calibri"/>
              <w:noProof/>
            </w:rPr>
            <w:tab/>
          </w:r>
          <w:r>
            <w:rPr>
              <w:rStyle w:val="Hyperlnk"/>
              <w:noProof/>
            </w:rPr>
            <w:t>Draft Regulation of the European Parliament and of the Council defining characteristics for fishing vessels (recast) (First reading) (Legislative deliberation)</w:t>
          </w:r>
          <w:r>
            <w:rPr>
              <w:rStyle w:val="Hyperlnk"/>
              <w:noProof/>
            </w:rPr>
            <w:tab/>
          </w:r>
          <w:r>
            <w:rPr>
              <w:noProof/>
            </w:rPr>
            <w:fldChar w:fldCharType="begin"/>
          </w:r>
          <w:r>
            <w:rPr>
              <w:rStyle w:val="Hyperlnk"/>
              <w:noProof/>
            </w:rPr>
            <w:instrText xml:space="preserve"> PAGEREF _Toc256000006 \h </w:instrText>
          </w:r>
          <w:r>
            <w:rPr>
              <w:noProof/>
            </w:rPr>
          </w:r>
          <w:r>
            <w:rPr>
              <w:noProof/>
            </w:rPr>
            <w:fldChar w:fldCharType="separate"/>
          </w:r>
          <w:r w:rsidR="00E02D03">
            <w:rPr>
              <w:rStyle w:val="Hyperlnk"/>
              <w:noProof/>
            </w:rPr>
            <w:t>6</w:t>
          </w:r>
          <w:r>
            <w:rPr>
              <w:noProof/>
            </w:rPr>
            <w:fldChar w:fldCharType="end"/>
          </w:r>
        </w:p>
        <w:p w14:paraId="782C7753" w14:textId="77777777" w:rsidR="00D957FB" w:rsidRDefault="00CA58AA">
          <w:r>
            <w:rPr>
              <w:b/>
              <w:bCs/>
              <w:noProof/>
            </w:rPr>
            <w:fldChar w:fldCharType="end"/>
          </w:r>
          <w:r>
            <w:rPr>
              <w:b/>
              <w:bCs/>
              <w:noProof/>
            </w:rPr>
            <w:fldChar w:fldCharType="end"/>
          </w:r>
        </w:p>
      </w:sdtContent>
    </w:sdt>
    <w:p w14:paraId="782C7754" w14:textId="77777777" w:rsidR="00D957FB" w:rsidRDefault="00CA58AA">
      <w:pPr>
        <w:ind w:left="0"/>
      </w:pPr>
      <w:r>
        <w:br w:type="page"/>
      </w:r>
    </w:p>
    <w:p w14:paraId="782C7755" w14:textId="77777777" w:rsidR="00643D86" w:rsidRDefault="000B2770" w:rsidP="00643D86">
      <w:pPr>
        <w:pStyle w:val="Rubrik1"/>
        <w:numPr>
          <w:ilvl w:val="0"/>
          <w:numId w:val="0"/>
        </w:numPr>
      </w:pPr>
      <w:bookmarkStart w:id="1" w:name="_Toc364854645"/>
    </w:p>
    <w:p w14:paraId="782C7756" w14:textId="77777777" w:rsidR="00643D86" w:rsidRPr="00CA58AA" w:rsidRDefault="00CA58AA" w:rsidP="00643D86">
      <w:pPr>
        <w:pStyle w:val="Rubrik1"/>
        <w:rPr>
          <w:lang w:val="en-GB"/>
        </w:rPr>
      </w:pPr>
      <w:bookmarkStart w:id="2" w:name="_Toc256000003"/>
      <w:r w:rsidRPr="00CA58AA">
        <w:rPr>
          <w:noProof/>
          <w:lang w:val="en-GB"/>
        </w:rPr>
        <w:t>Commission delegated Regulation (EU) …/... of 18.4.2017 amending Commission Delegated Regulation (EU) 2015/98 on the implementation of the Union's international obligations, as referred to in Article 15(2) of Regulation (EU) No 1380/2013 of the European Parliament and of the Council, under the International Convention for the Conservation of the Atlantic Tunas and the Convention on Future Multilateral Cooperation in the Northwest Atlantic Fisheries</w:t>
      </w:r>
      <w:bookmarkEnd w:id="2"/>
    </w:p>
    <w:p w14:paraId="782C7758" w14:textId="770816EF" w:rsidR="00643D86" w:rsidRPr="00CA58AA" w:rsidRDefault="00CA58AA" w:rsidP="00CA58AA">
      <w:pPr>
        <w:rPr>
          <w:lang w:val="en-US"/>
        </w:rPr>
      </w:pPr>
      <w:r>
        <w:rPr>
          <w:noProof/>
          <w:lang w:val="en-US"/>
        </w:rPr>
        <w:t>Intention</w:t>
      </w:r>
      <w:r>
        <w:rPr>
          <w:lang w:val="en-US"/>
        </w:rPr>
        <w:t xml:space="preserve"> not to raise objections to a delegated act</w:t>
      </w:r>
      <w:r>
        <w:rPr>
          <w:lang w:val="en-US"/>
        </w:rPr>
        <w:br/>
      </w:r>
      <w:r>
        <w:rPr>
          <w:noProof/>
          <w:lang w:val="en-US"/>
        </w:rPr>
        <w:t>8587</w:t>
      </w:r>
      <w:r>
        <w:rPr>
          <w:lang w:val="en-US"/>
        </w:rPr>
        <w:t>/17 PECHE 171</w:t>
      </w:r>
      <w:r>
        <w:rPr>
          <w:lang w:val="en-US"/>
        </w:rPr>
        <w:br/>
      </w:r>
      <w:r w:rsidRPr="00CA58AA">
        <w:rPr>
          <w:lang w:val="en-GB"/>
        </w:rPr>
        <w:t>8343/17 PECHE 155 DELACT 73</w:t>
      </w:r>
    </w:p>
    <w:p w14:paraId="782C7759" w14:textId="77777777" w:rsidR="00643D86" w:rsidRDefault="00CA58AA" w:rsidP="00643D86">
      <w:r>
        <w:rPr>
          <w:b/>
        </w:rPr>
        <w:t>Ansvarigt statsråd</w:t>
      </w:r>
      <w:r>
        <w:rPr>
          <w:b/>
        </w:rPr>
        <w:br/>
      </w:r>
      <w:r>
        <w:rPr>
          <w:noProof/>
        </w:rPr>
        <w:t>Sven-Erik</w:t>
      </w:r>
      <w:r>
        <w:t xml:space="preserve"> Bucht</w:t>
      </w:r>
    </w:p>
    <w:p w14:paraId="782C775A" w14:textId="77777777" w:rsidR="00E0653A" w:rsidRDefault="00CA58A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82C775B" w14:textId="77777777" w:rsidR="00E0653A" w:rsidRDefault="00CA58A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82C775C"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82C775D" w14:textId="77777777" w:rsidR="00E0653A" w:rsidRDefault="00CA58A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82C775E" w14:textId="77777777" w:rsidR="00E0653A" w:rsidRDefault="00CA58A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82C775F"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82C7760" w14:textId="77777777" w:rsidR="00E0653A" w:rsidRDefault="00CA58A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82C7761" w14:textId="77777777" w:rsidR="00E0653A" w:rsidRDefault="00CA58A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82C7762"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82C7763" w14:textId="0C64C344" w:rsidR="00643D86" w:rsidRDefault="00CA58AA" w:rsidP="00643D86">
      <w:r>
        <w:instrText>"</w:instrText>
      </w:r>
      <w:r>
        <w:rPr>
          <w:b/>
        </w:rPr>
        <w:instrText xml:space="preserve"> </w:instrText>
      </w:r>
      <w:r>
        <w:rPr>
          <w:b/>
        </w:rPr>
        <w:fldChar w:fldCharType="end"/>
      </w:r>
      <w:r w:rsidRPr="00B44CE2">
        <w:rPr>
          <w:b/>
        </w:rPr>
        <w:t>Annotering</w:t>
      </w:r>
    </w:p>
    <w:p w14:paraId="782C7764" w14:textId="3038A8CF" w:rsidR="00BF1420" w:rsidRDefault="00CA58AA">
      <w:pPr>
        <w:spacing w:after="280" w:afterAutospacing="1"/>
      </w:pPr>
      <w:r>
        <w:rPr>
          <w:b/>
          <w:bCs/>
        </w:rPr>
        <w:t>Avsikt med behandlingen i rådet:</w:t>
      </w:r>
      <w:r>
        <w:t xml:space="preserve"> Avsikt att inte göra några invändningar mot en delegerad akt. </w:t>
      </w:r>
      <w:r>
        <w:br/>
      </w:r>
      <w:r>
        <w:br/>
      </w:r>
      <w:r>
        <w:rPr>
          <w:b/>
          <w:bCs/>
        </w:rPr>
        <w:t>Hur regeringen ställer sig till den blivande A-punkten:</w:t>
      </w:r>
      <w:r>
        <w:t xml:space="preserve"> Regeringen avser att rösta ja till förslaget.</w:t>
      </w:r>
    </w:p>
    <w:p w14:paraId="782C7765" w14:textId="038B541B" w:rsidR="00BF1420" w:rsidRDefault="00CA58AA">
      <w:pPr>
        <w:spacing w:after="280" w:afterAutospacing="1"/>
      </w:pPr>
      <w:r>
        <w:rPr>
          <w:b/>
          <w:bCs/>
        </w:rPr>
        <w:t>Bakgrund:</w:t>
      </w:r>
      <w:r>
        <w:t xml:space="preserve"> Den 18 april 2017 lade kommissionen fram den delegerade akten för Europaparlamentet och rådet i enlighet med artikel 290 i EUF-fördraget och artikel 46.5 i Europaparlamentets och rådets förordning (EU) nr 1380/2013 av den 11 december 2013 om den gemensamma fiskeripolitiken. Arbetsgruppen för intern fiskeripolitik har behandlat den delegerade akten genom ett informellt skriftligt förfarande och enats om att det inte finns någon anledning för rådet att göra invändningar mot den. Coreper föreslås därför rekommendera rådet att bekräfta att det inte har för avsikt att göra invändningar mot den delegerade akten. Förslaget syftar till att undvika konflikter mellan NAFO (</w:t>
      </w:r>
      <w:proofErr w:type="spellStart"/>
      <w:r>
        <w:t>Northwest</w:t>
      </w:r>
      <w:proofErr w:type="spellEnd"/>
      <w:r>
        <w:t xml:space="preserve"> Atlantic </w:t>
      </w:r>
      <w:proofErr w:type="spellStart"/>
      <w:r>
        <w:t>Fisheries</w:t>
      </w:r>
      <w:proofErr w:type="spellEnd"/>
      <w:r>
        <w:t xml:space="preserve"> </w:t>
      </w:r>
      <w:proofErr w:type="spellStart"/>
      <w:r>
        <w:t>Organization</w:t>
      </w:r>
      <w:proofErr w:type="spellEnd"/>
      <w:r>
        <w:t>) och landningsskyldigheten.</w:t>
      </w:r>
    </w:p>
    <w:p w14:paraId="782C7766" w14:textId="77777777" w:rsidR="00FB32B9" w:rsidRDefault="000B2770">
      <w:pPr>
        <w:spacing w:after="280" w:afterAutospacing="1"/>
        <w:rPr>
          <w:noProof/>
        </w:rPr>
      </w:pPr>
    </w:p>
    <w:p w14:paraId="65BFB719" w14:textId="7B9DB652" w:rsidR="00E02D03" w:rsidRDefault="00E02D03">
      <w:pPr>
        <w:spacing w:after="280" w:afterAutospacing="1"/>
        <w:rPr>
          <w:noProof/>
        </w:rPr>
      </w:pPr>
    </w:p>
    <w:p w14:paraId="3EE894B5" w14:textId="77777777" w:rsidR="00E02D03" w:rsidRDefault="00E02D03">
      <w:pPr>
        <w:spacing w:after="280" w:afterAutospacing="1"/>
        <w:rPr>
          <w:noProof/>
        </w:rPr>
      </w:pPr>
    </w:p>
    <w:p w14:paraId="785B27F7" w14:textId="2DF156EA" w:rsidR="00CA58AA" w:rsidRDefault="00CA58AA">
      <w:pPr>
        <w:spacing w:after="280" w:afterAutospacing="1"/>
        <w:rPr>
          <w:noProof/>
        </w:rPr>
      </w:pPr>
    </w:p>
    <w:p w14:paraId="537AED60" w14:textId="77777777" w:rsidR="00CA58AA" w:rsidRDefault="00CA58AA">
      <w:pPr>
        <w:spacing w:after="280" w:afterAutospacing="1"/>
        <w:rPr>
          <w:noProof/>
        </w:rPr>
      </w:pPr>
    </w:p>
    <w:p w14:paraId="60456001" w14:textId="77777777" w:rsidR="00CA58AA" w:rsidRDefault="00CA58AA">
      <w:pPr>
        <w:spacing w:after="280" w:afterAutospacing="1"/>
        <w:rPr>
          <w:noProof/>
        </w:rPr>
      </w:pPr>
    </w:p>
    <w:p w14:paraId="5CB39EB6" w14:textId="77777777" w:rsidR="00CA58AA" w:rsidRDefault="00CA58AA">
      <w:pPr>
        <w:spacing w:after="280" w:afterAutospacing="1"/>
        <w:rPr>
          <w:noProof/>
        </w:rPr>
      </w:pPr>
    </w:p>
    <w:p w14:paraId="782C7767" w14:textId="77777777" w:rsidR="00643D86" w:rsidRPr="00CA58AA" w:rsidRDefault="00CA58AA" w:rsidP="00643D86">
      <w:pPr>
        <w:pStyle w:val="Rubrik1"/>
        <w:rPr>
          <w:lang w:val="en-GB"/>
        </w:rPr>
      </w:pPr>
      <w:bookmarkStart w:id="3" w:name="_Toc256000004"/>
      <w:r w:rsidRPr="00CA58AA">
        <w:rPr>
          <w:noProof/>
          <w:lang w:val="en-GB"/>
        </w:rPr>
        <w:lastRenderedPageBreak/>
        <w:t>Proposal for a Regulation of the European Parliament and of the Council laying down management, conservation and control measures applicable in the Convention Area of the International Commission for the Conservation of Atlantic Tunas (ICCAT) and amending Council Regulations (EC) No 1936/2001, (EC) No 1984/2003 and (EC) No 520/2007 (First reading) (Legislative deliberation)</w:t>
      </w:r>
      <w:bookmarkEnd w:id="3"/>
    </w:p>
    <w:p w14:paraId="782C7769" w14:textId="2161BA30" w:rsidR="00643D86" w:rsidRPr="00CA58AA" w:rsidRDefault="00CA58AA" w:rsidP="00CA58AA">
      <w:pPr>
        <w:rPr>
          <w:lang w:val="en-US"/>
        </w:rPr>
      </w:pPr>
      <w:r>
        <w:rPr>
          <w:noProof/>
          <w:lang w:val="en-US"/>
        </w:rPr>
        <w:t>Mandate</w:t>
      </w:r>
      <w:r>
        <w:rPr>
          <w:lang w:val="en-US"/>
        </w:rPr>
        <w:t xml:space="preserve"> for negotiations with the European Parliament</w:t>
      </w:r>
      <w:r>
        <w:rPr>
          <w:lang w:val="en-US"/>
        </w:rPr>
        <w:br/>
      </w:r>
      <w:r>
        <w:rPr>
          <w:noProof/>
          <w:lang w:val="en-US"/>
        </w:rPr>
        <w:t>8673</w:t>
      </w:r>
      <w:r>
        <w:rPr>
          <w:lang w:val="en-US"/>
        </w:rPr>
        <w:t>/17 PECHE 180 CODEC 693</w:t>
      </w:r>
      <w:r>
        <w:rPr>
          <w:lang w:val="en-US"/>
        </w:rPr>
        <w:br/>
      </w:r>
      <w:r w:rsidRPr="00CA58AA">
        <w:rPr>
          <w:lang w:val="en-GB"/>
        </w:rPr>
        <w:t>8539/17 PECHE 168 CODEC 658</w:t>
      </w:r>
    </w:p>
    <w:p w14:paraId="782C776A" w14:textId="77777777" w:rsidR="00643D86" w:rsidRDefault="00CA58AA" w:rsidP="00643D86">
      <w:r>
        <w:rPr>
          <w:b/>
        </w:rPr>
        <w:t>Ansvarigt statsråd</w:t>
      </w:r>
      <w:r>
        <w:rPr>
          <w:b/>
        </w:rPr>
        <w:br/>
      </w:r>
      <w:r>
        <w:rPr>
          <w:noProof/>
        </w:rPr>
        <w:t>Sven-Erik</w:t>
      </w:r>
      <w:r>
        <w:t xml:space="preserve"> Bucht</w:t>
      </w:r>
    </w:p>
    <w:p w14:paraId="782C776B" w14:textId="77777777" w:rsidR="00E0653A" w:rsidRDefault="00CA58A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82C776C" w14:textId="77777777" w:rsidR="00E0653A" w:rsidRDefault="00CA58A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82C776D"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82C776E" w14:textId="77777777" w:rsidR="00E0653A" w:rsidRDefault="00CA58A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82C776F" w14:textId="77777777" w:rsidR="00E0653A" w:rsidRDefault="00CA58A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82C7770"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82C7771" w14:textId="77777777" w:rsidR="00E0653A" w:rsidRDefault="00CA58A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82C7772" w14:textId="77777777" w:rsidR="00E0653A" w:rsidRDefault="00CA58A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82C7773"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82C7774" w14:textId="372D2747" w:rsidR="00643D86" w:rsidRDefault="00CA58AA" w:rsidP="00643D86">
      <w:r>
        <w:instrText>"</w:instrText>
      </w:r>
      <w:r>
        <w:rPr>
          <w:b/>
        </w:rPr>
        <w:instrText xml:space="preserve"> </w:instrText>
      </w:r>
      <w:r>
        <w:rPr>
          <w:b/>
        </w:rPr>
        <w:fldChar w:fldCharType="end"/>
      </w:r>
      <w:r w:rsidRPr="00B44CE2">
        <w:rPr>
          <w:b/>
        </w:rPr>
        <w:t>Annotering</w:t>
      </w:r>
    </w:p>
    <w:p w14:paraId="782C7775" w14:textId="458C763B" w:rsidR="00BF1420" w:rsidRDefault="00CA58AA">
      <w:pPr>
        <w:spacing w:after="280" w:afterAutospacing="1"/>
      </w:pPr>
      <w:r>
        <w:rPr>
          <w:b/>
          <w:bCs/>
        </w:rPr>
        <w:t>Avsikt med behandlingen i rådet:</w:t>
      </w:r>
      <w:r>
        <w:t xml:space="preserve"> Mandat till att inleda förhandlingar med Europaparlamentet.</w:t>
      </w:r>
      <w:r>
        <w:br/>
      </w:r>
      <w:r>
        <w:br/>
      </w:r>
      <w:r>
        <w:rPr>
          <w:b/>
          <w:bCs/>
        </w:rPr>
        <w:t>Hur regeringen ställer sig till den blivande A-punkten:</w:t>
      </w:r>
      <w:r>
        <w:t xml:space="preserve"> Regeringen avser att rösta ja till förslaget.</w:t>
      </w:r>
    </w:p>
    <w:p w14:paraId="782C7776" w14:textId="018E6EA6" w:rsidR="00BF1420" w:rsidRDefault="00CA58AA">
      <w:pPr>
        <w:spacing w:after="280" w:afterAutospacing="1"/>
      </w:pPr>
      <w:r>
        <w:rPr>
          <w:b/>
          <w:bCs/>
        </w:rPr>
        <w:t>Bakgrund:</w:t>
      </w:r>
      <w:r>
        <w:t xml:space="preserve"> ICCAT förvaltar tonfisk och vissa andra långvandrade fiskbestånd i Atlanten. ICCAT hanterar ca 30 arter; tonfiskar (t.ex. </w:t>
      </w:r>
      <w:proofErr w:type="spellStart"/>
      <w:r>
        <w:t>blåfenad</w:t>
      </w:r>
      <w:proofErr w:type="spellEnd"/>
      <w:r>
        <w:t xml:space="preserve">, gulfenad, storögd m.fl.), spjutfiskar (svärdfisk, </w:t>
      </w:r>
      <w:proofErr w:type="spellStart"/>
      <w:r>
        <w:t>marlin</w:t>
      </w:r>
      <w:proofErr w:type="spellEnd"/>
      <w:r>
        <w:t xml:space="preserve">-arter m.fl.), makrillarter samt vissa hajarter, t.ex. blåhaj och makrillhaj. Syftet med kommissionens förslag (dokument 10519/16) är att införliva i EU-lagstiftningen de bevarande-, kontroll- och tillsynsåtgärder som antagits av ICCAT sedan 2008, med undantag av den fleråriga återhämtningsplanen för </w:t>
      </w:r>
      <w:proofErr w:type="spellStart"/>
      <w:r>
        <w:t>blåfenad</w:t>
      </w:r>
      <w:proofErr w:type="spellEnd"/>
      <w:r>
        <w:t xml:space="preserve"> tonfisk i östra Atlanten och Medelhavet, som omfattas av ett separat förfarande. Kommissionen presenterade förslaget på arbetsgruppen för fiske i juli 2016 och förslaget togs som en I-punkt på Coreper den 26 oktober 2016 (13017/</w:t>
      </w:r>
      <w:proofErr w:type="gramStart"/>
      <w:r>
        <w:t xml:space="preserve">2/16 </w:t>
      </w:r>
      <w:proofErr w:type="gramEnd"/>
      <w:r>
        <w:t xml:space="preserve">REV 2). Europaparlamentet antog sin rapport den 24 april 2017. Den 4 maj 2017 nådde arbetsgruppen för fiske en ordförandekompromiss (8539/17). </w:t>
      </w:r>
    </w:p>
    <w:p w14:paraId="782C7777" w14:textId="77777777" w:rsidR="00FB32B9" w:rsidRDefault="000B2770">
      <w:pPr>
        <w:spacing w:after="280" w:afterAutospacing="1"/>
        <w:rPr>
          <w:noProof/>
        </w:rPr>
      </w:pPr>
    </w:p>
    <w:p w14:paraId="3D307DBC" w14:textId="26AE4691" w:rsidR="00CA58AA" w:rsidRDefault="00CA58AA">
      <w:pPr>
        <w:spacing w:after="280" w:afterAutospacing="1"/>
        <w:rPr>
          <w:noProof/>
        </w:rPr>
      </w:pPr>
    </w:p>
    <w:p w14:paraId="4A75DD0E" w14:textId="77777777" w:rsidR="00CA58AA" w:rsidRDefault="00CA58AA">
      <w:pPr>
        <w:spacing w:after="280" w:afterAutospacing="1"/>
        <w:rPr>
          <w:noProof/>
        </w:rPr>
      </w:pPr>
    </w:p>
    <w:p w14:paraId="28070C96" w14:textId="77777777" w:rsidR="00CA58AA" w:rsidRDefault="00CA58AA">
      <w:pPr>
        <w:spacing w:after="280" w:afterAutospacing="1"/>
        <w:rPr>
          <w:noProof/>
        </w:rPr>
      </w:pPr>
    </w:p>
    <w:p w14:paraId="32A0BAE8" w14:textId="77777777" w:rsidR="00CA58AA" w:rsidRDefault="00CA58AA">
      <w:pPr>
        <w:spacing w:after="280" w:afterAutospacing="1"/>
        <w:rPr>
          <w:noProof/>
        </w:rPr>
      </w:pPr>
    </w:p>
    <w:p w14:paraId="31CCE8A0" w14:textId="77777777" w:rsidR="00CA58AA" w:rsidRDefault="00CA58AA">
      <w:pPr>
        <w:spacing w:after="280" w:afterAutospacing="1"/>
        <w:rPr>
          <w:noProof/>
        </w:rPr>
      </w:pPr>
    </w:p>
    <w:p w14:paraId="45E4319C" w14:textId="77777777" w:rsidR="00CA58AA" w:rsidRDefault="00CA58AA">
      <w:pPr>
        <w:spacing w:after="280" w:afterAutospacing="1"/>
        <w:rPr>
          <w:noProof/>
        </w:rPr>
      </w:pPr>
    </w:p>
    <w:p w14:paraId="782C7778" w14:textId="77777777" w:rsidR="00643D86" w:rsidRPr="00CA58AA" w:rsidRDefault="00CA58AA" w:rsidP="00643D86">
      <w:pPr>
        <w:pStyle w:val="Rubrik1"/>
        <w:rPr>
          <w:lang w:val="en-GB"/>
        </w:rPr>
      </w:pPr>
      <w:bookmarkStart w:id="4" w:name="_Toc256000005"/>
      <w:r w:rsidRPr="00CA58AA">
        <w:rPr>
          <w:noProof/>
          <w:lang w:val="en-GB"/>
        </w:rPr>
        <w:lastRenderedPageBreak/>
        <w:t>Draft Decision of the European Parliament and of the Council on a European Year of Cultural Heritage (2018) (First reading) (Legislative deliberation)</w:t>
      </w:r>
      <w:bookmarkEnd w:id="4"/>
    </w:p>
    <w:p w14:paraId="782C777B" w14:textId="2A8E9E44" w:rsidR="00643D86" w:rsidRDefault="00CA58AA" w:rsidP="00CA58AA">
      <w:pPr>
        <w:rPr>
          <w:lang w:val="en-US"/>
        </w:rPr>
      </w:pPr>
      <w:r>
        <w:rPr>
          <w:noProof/>
          <w:lang w:val="en-US"/>
        </w:rPr>
        <w:t>Adoption</w:t>
      </w:r>
      <w:r>
        <w:rPr>
          <w:lang w:val="en-US"/>
        </w:rPr>
        <w:t xml:space="preserve"> of the legislative act</w:t>
      </w:r>
      <w:r>
        <w:rPr>
          <w:lang w:val="en-US"/>
        </w:rPr>
        <w:br/>
      </w:r>
      <w:r>
        <w:rPr>
          <w:noProof/>
          <w:lang w:val="en-US"/>
        </w:rPr>
        <w:t>8679</w:t>
      </w:r>
      <w:r>
        <w:rPr>
          <w:lang w:val="en-US"/>
        </w:rPr>
        <w:t>/17 CODEC 694 CULT 45 EDUC 160 RECH 118 RELEX 358</w:t>
      </w:r>
      <w:r>
        <w:rPr>
          <w:lang w:val="en-US"/>
        </w:rPr>
        <w:br/>
        <w:t>+ ADD 1</w:t>
      </w:r>
      <w:r>
        <w:rPr>
          <w:lang w:val="en-US"/>
        </w:rPr>
        <w:br/>
        <w:t>PE-CONS 10/17 CULT 20 EDUC 89 RECH 79 RELEX 167 CODEC 259</w:t>
      </w:r>
    </w:p>
    <w:p w14:paraId="782C777C" w14:textId="77777777" w:rsidR="00643D86" w:rsidRDefault="00CA58AA" w:rsidP="00643D86">
      <w:r>
        <w:rPr>
          <w:b/>
        </w:rPr>
        <w:t>Ansvarigt statsråd</w:t>
      </w:r>
      <w:r>
        <w:rPr>
          <w:b/>
        </w:rPr>
        <w:br/>
      </w:r>
      <w:r>
        <w:rPr>
          <w:noProof/>
        </w:rPr>
        <w:t>Alice</w:t>
      </w:r>
      <w:r>
        <w:t xml:space="preserve"> Bah </w:t>
      </w:r>
      <w:proofErr w:type="spellStart"/>
      <w:r>
        <w:t>Kuhnke</w:t>
      </w:r>
      <w:proofErr w:type="spellEnd"/>
    </w:p>
    <w:p w14:paraId="782C777D" w14:textId="77777777" w:rsidR="00E0653A" w:rsidRDefault="00CA58AA" w:rsidP="00C8338E">
      <w:r>
        <w:rPr>
          <w:b/>
        </w:rPr>
        <w:fldChar w:fldCharType="begin"/>
      </w:r>
      <w:r>
        <w:rPr>
          <w:b/>
        </w:rPr>
        <w:instrText xml:space="preserve"> IF "2016-11-17" = "-" </w:instrText>
      </w:r>
      <w:r>
        <w:rPr>
          <w:b/>
        </w:rPr>
        <w:fldChar w:fldCharType="begin"/>
      </w:r>
      <w:r>
        <w:rPr>
          <w:b/>
        </w:rPr>
        <w:instrText xml:space="preserve"> IF "2016-11-21" = "-" </w:instrText>
      </w:r>
      <w:r>
        <w:rPr>
          <w:b/>
        </w:rPr>
        <w:fldChar w:fldCharType="begin"/>
      </w:r>
      <w:r>
        <w:rPr>
          <w:b/>
        </w:rPr>
        <w:instrText xml:space="preserve"> IF "2016-11-14"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2016-11-17</w:instrText>
      </w:r>
    </w:p>
    <w:p w14:paraId="782C777E" w14:textId="77777777" w:rsidR="00E0653A" w:rsidRDefault="00CA58AA"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2016-11-17</w:instrText>
      </w:r>
    </w:p>
    <w:p w14:paraId="782C777F" w14:textId="77777777" w:rsidR="001F56AB" w:rsidRDefault="00CA58AA"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2016-11-17</w:instrText>
      </w:r>
    </w:p>
    <w:p w14:paraId="782C7780" w14:textId="77777777" w:rsidR="00E0653A" w:rsidRDefault="00CA58AA"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2016-11-17</w:instrText>
      </w:r>
    </w:p>
    <w:p w14:paraId="782C7781" w14:textId="77777777" w:rsidR="001F56AB" w:rsidRDefault="00CA58AA"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2016-11-17</w:instrText>
      </w:r>
    </w:p>
    <w:p w14:paraId="782C7782" w14:textId="77777777" w:rsidR="00E0653A" w:rsidRDefault="00CA58AA"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2016-11-17</w:t>
      </w:r>
    </w:p>
    <w:p w14:paraId="782C7783" w14:textId="77777777" w:rsidR="001F56AB" w:rsidRDefault="00CA58AA" w:rsidP="00C8338E">
      <w:pPr>
        <w:rPr>
          <w:b/>
        </w:rPr>
      </w:pPr>
      <w:r>
        <w:rPr>
          <w:b/>
        </w:rPr>
        <w:fldChar w:fldCharType="end"/>
      </w:r>
      <w:r>
        <w:rPr>
          <w:b/>
        </w:rPr>
        <w:fldChar w:fldCharType="begin"/>
      </w:r>
      <w:r>
        <w:rPr>
          <w:b/>
        </w:rPr>
        <w:instrText xml:space="preserve"> IF "2016-11-17" = "-" </w:instrText>
      </w:r>
      <w:r>
        <w:rPr>
          <w:b/>
        </w:rPr>
        <w:fldChar w:fldCharType="begin"/>
      </w:r>
      <w:r>
        <w:rPr>
          <w:b/>
        </w:rPr>
        <w:instrText xml:space="preserve"> IF "2016-11-21" = "-" </w:instrText>
      </w:r>
      <w:r>
        <w:rPr>
          <w:b/>
        </w:rPr>
        <w:fldChar w:fldCharType="begin"/>
      </w:r>
      <w:r>
        <w:rPr>
          <w:b/>
        </w:rPr>
        <w:instrText xml:space="preserve"> IF "2016-11-14" = "-" "" "Tidigare behandlat i </w:instrText>
      </w:r>
      <w:r w:rsidRPr="00643D86">
        <w:rPr>
          <w:b/>
        </w:rPr>
        <w:instrText>råde</w:instrText>
      </w:r>
      <w:r>
        <w:rPr>
          <w:b/>
        </w:rPr>
        <w:instrText xml:space="preserve">t </w:instrText>
      </w:r>
      <w:r>
        <w:rPr>
          <w:b/>
        </w:rPr>
        <w:br/>
      </w:r>
      <w:r w:rsidRPr="002F0461">
        <w:instrText>2016-11-21</w:instrText>
      </w:r>
    </w:p>
    <w:p w14:paraId="782C7784" w14:textId="77777777" w:rsidR="00E0653A" w:rsidRDefault="00CA58AA"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2016-11-21</w:instrText>
      </w:r>
    </w:p>
    <w:p w14:paraId="782C7785" w14:textId="77777777" w:rsidR="00BF1420" w:rsidRDefault="00CA58AA"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2016-11-21</w:instrText>
      </w:r>
    </w:p>
    <w:p w14:paraId="782C7786" w14:textId="77777777" w:rsidR="00E0653A" w:rsidRDefault="00CA58AA"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2016-11-21</w:instrText>
      </w:r>
    </w:p>
    <w:p w14:paraId="782C7787" w14:textId="77777777" w:rsidR="00BF1420" w:rsidRDefault="00CA58AA"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2016-11-21</w:instrText>
      </w:r>
    </w:p>
    <w:p w14:paraId="782C7788" w14:textId="77777777" w:rsidR="00E0653A" w:rsidRDefault="00CA58AA"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2016-11-21</w:t>
      </w:r>
    </w:p>
    <w:p w14:paraId="782C7789" w14:textId="77777777" w:rsidR="00BF1420" w:rsidRDefault="00CA58AA" w:rsidP="00C8338E">
      <w:pPr>
        <w:rPr>
          <w:b/>
        </w:rPr>
      </w:pPr>
      <w:r>
        <w:rPr>
          <w:b/>
        </w:rPr>
        <w:fldChar w:fldCharType="end"/>
      </w:r>
      <w:r>
        <w:rPr>
          <w:b/>
        </w:rPr>
        <w:fldChar w:fldCharType="begin"/>
      </w:r>
      <w:r>
        <w:rPr>
          <w:b/>
        </w:rPr>
        <w:instrText xml:space="preserve"> IF "2016-11-17" = "-" </w:instrText>
      </w:r>
      <w:r>
        <w:rPr>
          <w:b/>
        </w:rPr>
        <w:fldChar w:fldCharType="begin"/>
      </w:r>
      <w:r>
        <w:rPr>
          <w:b/>
        </w:rPr>
        <w:instrText xml:space="preserve"> IF "2016-11-21" = "-" </w:instrText>
      </w:r>
      <w:r>
        <w:rPr>
          <w:b/>
        </w:rPr>
        <w:fldChar w:fldCharType="begin"/>
      </w:r>
      <w:r>
        <w:rPr>
          <w:b/>
        </w:rPr>
        <w:instrText xml:space="preserve"> IF "2016-11-14" = "-" "" "Tidigare behandlat i utskottet </w:instrText>
      </w:r>
      <w:r>
        <w:rPr>
          <w:b/>
        </w:rPr>
        <w:br/>
      </w:r>
      <w:r w:rsidRPr="002F0461">
        <w:instrText>2016-11-14</w:instrText>
      </w:r>
    </w:p>
    <w:p w14:paraId="782C778A" w14:textId="77777777" w:rsidR="00E0653A" w:rsidRDefault="00CA58AA"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2016-11-14</w:instrText>
      </w:r>
    </w:p>
    <w:p w14:paraId="782C778B" w14:textId="77777777" w:rsidR="00BF1420" w:rsidRDefault="00CA58AA" w:rsidP="00C8338E">
      <w:pPr>
        <w:rPr>
          <w:b/>
        </w:rPr>
      </w:pPr>
      <w:r>
        <w:rPr>
          <w:b/>
        </w:rPr>
        <w:fldChar w:fldCharType="end"/>
      </w:r>
      <w:r>
        <w:rPr>
          <w:b/>
        </w:rPr>
        <w:instrText xml:space="preserve"> "Tidigare behandlat i utskottet</w:instrText>
      </w:r>
      <w:r>
        <w:rPr>
          <w:b/>
        </w:rPr>
        <w:br/>
      </w:r>
      <w:r w:rsidRPr="002F0461">
        <w:instrText>2016-11-14</w:instrText>
      </w:r>
    </w:p>
    <w:p w14:paraId="782C778C" w14:textId="77777777" w:rsidR="00E0653A" w:rsidRDefault="00CA58AA"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2016-11-14</w:instrText>
      </w:r>
    </w:p>
    <w:p w14:paraId="782C778D" w14:textId="77777777" w:rsidR="00BF1420" w:rsidRDefault="00CA58AA" w:rsidP="00C8338E">
      <w:pPr>
        <w:rPr>
          <w:b/>
        </w:rPr>
      </w:pPr>
      <w:r>
        <w:rPr>
          <w:b/>
        </w:rPr>
        <w:fldChar w:fldCharType="end"/>
      </w:r>
      <w:r>
        <w:rPr>
          <w:b/>
        </w:rPr>
        <w:instrText xml:space="preserve">  "Tidigare behandlat i utskottet</w:instrText>
      </w:r>
      <w:r>
        <w:rPr>
          <w:b/>
        </w:rPr>
        <w:br/>
      </w:r>
      <w:r>
        <w:instrText>2016-11-14</w:instrText>
      </w:r>
    </w:p>
    <w:p w14:paraId="782C778E" w14:textId="77777777" w:rsidR="00643D86" w:rsidRDefault="00CA58AA" w:rsidP="00643D86">
      <w:r>
        <w:instrText>"</w:instrText>
      </w:r>
      <w:r>
        <w:rPr>
          <w:b/>
        </w:rPr>
        <w:instrText xml:space="preserve"> </w:instrText>
      </w:r>
      <w:r>
        <w:rPr>
          <w:b/>
        </w:rPr>
        <w:fldChar w:fldCharType="separate"/>
      </w:r>
      <w:r>
        <w:rPr>
          <w:b/>
        </w:rPr>
        <w:t>Tidigare behandlat i utskottet</w:t>
      </w:r>
      <w:r>
        <w:rPr>
          <w:b/>
        </w:rPr>
        <w:br/>
      </w:r>
      <w:r>
        <w:t>2016-11-14</w:t>
      </w:r>
    </w:p>
    <w:p w14:paraId="782C778F" w14:textId="3C5A61B5" w:rsidR="00BF1420" w:rsidRDefault="00CA58AA" w:rsidP="00643D86">
      <w:pPr>
        <w:rPr>
          <w:b/>
        </w:rPr>
      </w:pPr>
      <w:r>
        <w:rPr>
          <w:b/>
        </w:rPr>
        <w:fldChar w:fldCharType="end"/>
      </w:r>
      <w:r w:rsidRPr="00B44CE2">
        <w:rPr>
          <w:b/>
        </w:rPr>
        <w:t>Annotering</w:t>
      </w:r>
    </w:p>
    <w:p w14:paraId="782C7790" w14:textId="27F8C8CB" w:rsidR="00BF1420" w:rsidRDefault="00CA58AA">
      <w:pPr>
        <w:spacing w:after="280" w:afterAutospacing="1"/>
      </w:pPr>
      <w:r>
        <w:rPr>
          <w:b/>
          <w:bCs/>
        </w:rPr>
        <w:t>Avsikt med behandlingen i rådet:</w:t>
      </w:r>
      <w:r>
        <w:t xml:space="preserve"> Rådet för</w:t>
      </w:r>
      <w:r w:rsidR="00DA74B9">
        <w:t>väntas godkänna texten som över</w:t>
      </w:r>
      <w:r>
        <w:t>enskommits med Europaparlamentet om beslut om ett Europaår för kulturarv 2018.</w:t>
      </w:r>
    </w:p>
    <w:p w14:paraId="782C7791" w14:textId="3CB08DF4" w:rsidR="00BF1420" w:rsidRDefault="00CA58AA">
      <w:pPr>
        <w:spacing w:after="280" w:afterAutospacing="1"/>
      </w:pPr>
      <w:r>
        <w:rPr>
          <w:b/>
          <w:bCs/>
        </w:rPr>
        <w:t>Hur regeringen ställer sig till den blivande A-punkten:</w:t>
      </w:r>
      <w:r>
        <w:t xml:space="preserve"> Regeringen stödjer beslutet</w:t>
      </w:r>
      <w:r w:rsidR="00DA74B9">
        <w:t>.</w:t>
      </w:r>
    </w:p>
    <w:p w14:paraId="782C7792" w14:textId="37DA0EB3" w:rsidR="00BF1420" w:rsidRDefault="00CA58AA">
      <w:pPr>
        <w:spacing w:after="280" w:afterAutospacing="1"/>
      </w:pPr>
      <w:r>
        <w:rPr>
          <w:b/>
          <w:bCs/>
        </w:rPr>
        <w:t>Bakgrund:</w:t>
      </w:r>
      <w:r>
        <w:t xml:space="preserve"> Kommissionen presenterade den 31 augusti 2016 ett förslag om att utse år 2018 till Europaår för kulturarv. Rådet antog en allmän inriktning vid UUKI-rådet den 22 november 2016. Rådet förvänta</w:t>
      </w:r>
      <w:r w:rsidR="00DA74B9">
        <w:t>s nu godkänna den text som över</w:t>
      </w:r>
      <w:r>
        <w:t xml:space="preserve">enskommits med Europaparlamentet efter informella </w:t>
      </w:r>
      <w:proofErr w:type="spellStart"/>
      <w:r>
        <w:t>trilogförhandlingar</w:t>
      </w:r>
      <w:proofErr w:type="spellEnd"/>
      <w:r>
        <w:t xml:space="preserve"> under våren och som Europaparlamentet antog den 27 april 2017. </w:t>
      </w:r>
      <w:r>
        <w:br/>
      </w:r>
    </w:p>
    <w:p w14:paraId="63405186" w14:textId="5A696A10" w:rsidR="00CA58AA" w:rsidRDefault="00CA58AA">
      <w:pPr>
        <w:spacing w:after="280" w:afterAutospacing="1"/>
      </w:pPr>
    </w:p>
    <w:p w14:paraId="3D860B39" w14:textId="77777777" w:rsidR="00CA58AA" w:rsidRDefault="00CA58AA">
      <w:pPr>
        <w:spacing w:after="280" w:afterAutospacing="1"/>
      </w:pPr>
    </w:p>
    <w:p w14:paraId="6F951918" w14:textId="77777777" w:rsidR="00CA58AA" w:rsidRDefault="00CA58AA">
      <w:pPr>
        <w:spacing w:after="280" w:afterAutospacing="1"/>
      </w:pPr>
    </w:p>
    <w:p w14:paraId="35B1DDAD" w14:textId="77777777" w:rsidR="00CA58AA" w:rsidRDefault="00CA58AA">
      <w:pPr>
        <w:spacing w:after="280" w:afterAutospacing="1"/>
      </w:pPr>
    </w:p>
    <w:p w14:paraId="2F83396C" w14:textId="77777777" w:rsidR="00CA58AA" w:rsidRDefault="00CA58AA">
      <w:pPr>
        <w:spacing w:after="280" w:afterAutospacing="1"/>
      </w:pPr>
    </w:p>
    <w:p w14:paraId="74A1856D" w14:textId="77777777" w:rsidR="00CA58AA" w:rsidRDefault="00CA58AA">
      <w:pPr>
        <w:spacing w:after="280" w:afterAutospacing="1"/>
      </w:pPr>
    </w:p>
    <w:p w14:paraId="782C7793" w14:textId="77777777" w:rsidR="00FB32B9" w:rsidRDefault="000B2770">
      <w:pPr>
        <w:spacing w:after="280" w:afterAutospacing="1"/>
        <w:rPr>
          <w:noProof/>
        </w:rPr>
      </w:pPr>
    </w:p>
    <w:p w14:paraId="782C7794" w14:textId="77777777" w:rsidR="00643D86" w:rsidRPr="00CA58AA" w:rsidRDefault="00CA58AA" w:rsidP="00643D86">
      <w:pPr>
        <w:pStyle w:val="Rubrik1"/>
        <w:rPr>
          <w:lang w:val="en-GB"/>
        </w:rPr>
      </w:pPr>
      <w:bookmarkStart w:id="5" w:name="_Toc256000006"/>
      <w:r w:rsidRPr="00CA58AA">
        <w:rPr>
          <w:noProof/>
          <w:lang w:val="en-GB"/>
        </w:rPr>
        <w:lastRenderedPageBreak/>
        <w:t>Draft Regulation of the European Parliament and of the Council defining characteristics for fishing vessels (recast) (First reading) (Legislative deliberation)</w:t>
      </w:r>
      <w:bookmarkEnd w:id="5"/>
    </w:p>
    <w:p w14:paraId="782C7795" w14:textId="77777777" w:rsidR="00643D86" w:rsidRDefault="00CA58AA" w:rsidP="00643D86">
      <w:pPr>
        <w:rPr>
          <w:lang w:val="en-US"/>
        </w:rPr>
      </w:pPr>
      <w:r>
        <w:rPr>
          <w:noProof/>
          <w:lang w:val="en-US"/>
        </w:rPr>
        <w:t>Adoption</w:t>
      </w:r>
      <w:r>
        <w:rPr>
          <w:lang w:val="en-US"/>
        </w:rPr>
        <w:t xml:space="preserve"> of the legislative act</w:t>
      </w:r>
      <w:r>
        <w:rPr>
          <w:lang w:val="en-US"/>
        </w:rPr>
        <w:br/>
      </w:r>
      <w:r>
        <w:rPr>
          <w:noProof/>
          <w:lang w:val="en-US"/>
        </w:rPr>
        <w:t>8681</w:t>
      </w:r>
      <w:r>
        <w:rPr>
          <w:lang w:val="en-US"/>
        </w:rPr>
        <w:t>/17 CODEC 695 PECHE 181</w:t>
      </w:r>
    </w:p>
    <w:p w14:paraId="782C7796" w14:textId="77777777" w:rsidR="00643D86" w:rsidRDefault="00CA58AA" w:rsidP="00643D86">
      <w:r>
        <w:rPr>
          <w:b/>
        </w:rPr>
        <w:t>Ansvarigt statsråd</w:t>
      </w:r>
      <w:r>
        <w:rPr>
          <w:b/>
        </w:rPr>
        <w:br/>
      </w:r>
      <w:r>
        <w:rPr>
          <w:noProof/>
        </w:rPr>
        <w:t>Sven-Erik</w:t>
      </w:r>
      <w:r>
        <w:t xml:space="preserve"> Bucht</w:t>
      </w:r>
    </w:p>
    <w:p w14:paraId="782C7797" w14:textId="77777777" w:rsidR="00E0653A" w:rsidRDefault="00CA58A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82C7798" w14:textId="77777777" w:rsidR="00E0653A" w:rsidRDefault="00CA58A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82C7799"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82C779A" w14:textId="77777777" w:rsidR="00E0653A" w:rsidRDefault="00CA58A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82C779B" w14:textId="77777777" w:rsidR="00E0653A" w:rsidRDefault="00CA58A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82C779C"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82C779D" w14:textId="77777777" w:rsidR="00E0653A" w:rsidRDefault="00CA58A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82C779E" w14:textId="77777777" w:rsidR="00E0653A" w:rsidRDefault="00CA58A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82C779F" w14:textId="77777777" w:rsidR="00E0653A" w:rsidRDefault="00CA58A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82C77A0" w14:textId="089A6422" w:rsidR="00643D86" w:rsidRDefault="00CA58AA" w:rsidP="00643D86">
      <w:r>
        <w:instrText>"</w:instrText>
      </w:r>
      <w:r>
        <w:rPr>
          <w:b/>
        </w:rPr>
        <w:instrText xml:space="preserve"> </w:instrText>
      </w:r>
      <w:r>
        <w:rPr>
          <w:b/>
        </w:rPr>
        <w:fldChar w:fldCharType="end"/>
      </w:r>
      <w:r w:rsidRPr="00B44CE2">
        <w:rPr>
          <w:b/>
        </w:rPr>
        <w:t>Annotering</w:t>
      </w:r>
    </w:p>
    <w:p w14:paraId="782C77A1" w14:textId="30A15235" w:rsidR="00BF1420" w:rsidRDefault="00CA58AA">
      <w:pPr>
        <w:spacing w:after="280" w:afterAutospacing="1"/>
      </w:pPr>
      <w:r>
        <w:rPr>
          <w:b/>
          <w:bCs/>
        </w:rPr>
        <w:t xml:space="preserve">Avsikt med behandlingen i rådet: </w:t>
      </w:r>
      <w:r>
        <w:t>Antagande av lagstiftningsförfarande.</w:t>
      </w:r>
    </w:p>
    <w:p w14:paraId="782C77A2" w14:textId="08DBA946" w:rsidR="00BF1420" w:rsidRDefault="00CA58AA">
      <w:pPr>
        <w:spacing w:after="280" w:afterAutospacing="1"/>
      </w:pPr>
      <w:r>
        <w:rPr>
          <w:b/>
          <w:bCs/>
        </w:rPr>
        <w:t xml:space="preserve">Hur regeringen ställer sig till den blivande A-punkten: </w:t>
      </w:r>
      <w:r>
        <w:t>Regeringen kan rösta ja till förslaget.</w:t>
      </w:r>
    </w:p>
    <w:p w14:paraId="782C77A3" w14:textId="26C61CEB" w:rsidR="00BF1420" w:rsidRDefault="00CA58AA">
      <w:pPr>
        <w:spacing w:after="280" w:afterAutospacing="1"/>
      </w:pPr>
      <w:r>
        <w:rPr>
          <w:b/>
          <w:bCs/>
        </w:rPr>
        <w:t xml:space="preserve">Bakgrund: </w:t>
      </w:r>
      <w:r>
        <w:t>Förordningen innehåller regler för definitioner av fiskefartygs egenskaper. För att kunna anpassa reglerna till den tekniska utvecklingen och för att kunna fastställa maskinstyrka ombord på fartygen bör kommissionen få möjlighet att anta delegerade akter på området. Inför antagandet av sådana delegerade akter ska samråd genomföras med medlemsstaterna, Europaparlamentet och rådet.</w:t>
      </w:r>
    </w:p>
    <w:p w14:paraId="782C77A4" w14:textId="77777777" w:rsidR="00BF1420" w:rsidRDefault="00CA58AA">
      <w:pPr>
        <w:spacing w:after="280" w:afterAutospacing="1"/>
      </w:pPr>
      <w:r>
        <w:t xml:space="preserve">De delegerade akterna ska endast syfta till att uppfylla ISO-standardiseringen på området. Parlamentet och rådet ska få tillgång till kommissionens dokument samtidigt som medlemsstaternas experter och tidiga konsultationer ska genomföras innan en delegerad akt kan antas av kommissionen. Delegationsrätten till kommissionen ska vara tidsbegränsad. Kommissionen ska utarbeta en rapport om delegationsrätten minst nio månader innan tidsrymden för delegationsrätten löper ut. Parlamentet och rådet har då möjlighet att motsätta sig en förlängning av delegationsrätten, annars förlängs delegationsrätten automatiskt. En delegerad akt på området ska först kunna träda i kraft efter </w:t>
      </w:r>
      <w:proofErr w:type="gramStart"/>
      <w:r>
        <w:t>notifiering</w:t>
      </w:r>
      <w:proofErr w:type="gramEnd"/>
      <w:r>
        <w:t xml:space="preserve"> till parlamentet och rådet. Tidsfristen för sådana invändningar är två månader efter </w:t>
      </w:r>
      <w:proofErr w:type="gramStart"/>
      <w:r>
        <w:t>notifiering</w:t>
      </w:r>
      <w:proofErr w:type="gramEnd"/>
      <w:r>
        <w:t xml:space="preserve"> eller giltighetsperiodens utgång.</w:t>
      </w:r>
    </w:p>
    <w:p w14:paraId="782C77A5" w14:textId="77777777" w:rsidR="00FB32B9" w:rsidRDefault="000B2770">
      <w:pPr>
        <w:spacing w:after="280" w:afterAutospacing="1"/>
        <w:rPr>
          <w:noProof/>
        </w:rPr>
      </w:pPr>
    </w:p>
    <w:bookmarkEnd w:id="1"/>
    <w:p w14:paraId="782C77A6" w14:textId="77777777" w:rsidR="00643D86" w:rsidRPr="00377012" w:rsidRDefault="000B2770" w:rsidP="00643D86">
      <w:pPr>
        <w:ind w:left="0"/>
      </w:pPr>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C77C0" w14:textId="77777777" w:rsidR="000F5B94" w:rsidRDefault="00CA58AA">
      <w:pPr>
        <w:spacing w:after="0" w:line="240" w:lineRule="auto"/>
      </w:pPr>
      <w:r>
        <w:separator/>
      </w:r>
    </w:p>
  </w:endnote>
  <w:endnote w:type="continuationSeparator" w:id="0">
    <w:p w14:paraId="782C77C2" w14:textId="77777777" w:rsidR="000F5B94" w:rsidRDefault="00CA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82C77AB" w14:textId="77777777" w:rsidR="00283DF3" w:rsidRDefault="000B2770">
        <w:pPr>
          <w:pStyle w:val="Sidfot"/>
          <w:jc w:val="right"/>
        </w:pPr>
      </w:p>
    </w:sdtContent>
  </w:sdt>
  <w:p w14:paraId="782C77AC" w14:textId="77777777" w:rsidR="00283DF3" w:rsidRDefault="000B277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C77BA" w14:textId="77777777" w:rsidR="00283DF3" w:rsidRDefault="000B2770">
    <w:pPr>
      <w:pStyle w:val="Sidfot"/>
      <w:jc w:val="right"/>
    </w:pPr>
  </w:p>
  <w:p w14:paraId="782C77BB" w14:textId="77777777" w:rsidR="00283DF3" w:rsidRDefault="000B277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C77BC" w14:textId="77777777" w:rsidR="000F5B94" w:rsidRDefault="00CA58AA">
      <w:pPr>
        <w:spacing w:after="0" w:line="240" w:lineRule="auto"/>
      </w:pPr>
      <w:r>
        <w:separator/>
      </w:r>
    </w:p>
  </w:footnote>
  <w:footnote w:type="continuationSeparator" w:id="0">
    <w:p w14:paraId="782C77BE" w14:textId="77777777" w:rsidR="000F5B94" w:rsidRDefault="00CA5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82C77A8" w14:textId="77777777" w:rsidR="002F3A5A" w:rsidRDefault="00CA58AA" w:rsidP="002F3A5A">
        <w:pPr>
          <w:pStyle w:val="Sidhuvud"/>
          <w:jc w:val="right"/>
        </w:pPr>
        <w:r>
          <w:fldChar w:fldCharType="begin"/>
        </w:r>
        <w:r>
          <w:instrText xml:space="preserve"> PAGE   \* MERGEFORMAT </w:instrText>
        </w:r>
        <w:r>
          <w:fldChar w:fldCharType="separate"/>
        </w:r>
        <w:r w:rsidR="00015A2D">
          <w:rPr>
            <w:noProof/>
          </w:rPr>
          <w:t>2</w:t>
        </w:r>
        <w:r>
          <w:rPr>
            <w:noProof/>
          </w:rPr>
          <w:fldChar w:fldCharType="end"/>
        </w:r>
      </w:p>
    </w:sdtContent>
  </w:sdt>
  <w:p w14:paraId="782C77A9" w14:textId="77777777" w:rsidR="006F1C0D" w:rsidRDefault="000B2770"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F1420" w14:paraId="782C77B4" w14:textId="77777777" w:rsidTr="006E71D7">
      <w:tc>
        <w:tcPr>
          <w:tcW w:w="4606" w:type="dxa"/>
        </w:tcPr>
        <w:p w14:paraId="782C77AD" w14:textId="77777777" w:rsidR="006E71D7" w:rsidRDefault="00CA58AA" w:rsidP="00752770">
          <w:pPr>
            <w:pStyle w:val="Sidhuvud"/>
            <w:ind w:left="0"/>
          </w:pPr>
          <w:r>
            <w:rPr>
              <w:noProof/>
              <w:lang w:eastAsia="sv-SE"/>
            </w:rPr>
            <w:drawing>
              <wp:inline distT="0" distB="0" distL="0" distR="0" wp14:anchorId="782C77BC" wp14:editId="782C77B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82C77AE" w14:textId="77777777" w:rsidR="00FB32B9" w:rsidRDefault="000B2770"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BF1420" w14:paraId="782C77B1" w14:textId="77777777" w:rsidTr="00623763">
            <w:tc>
              <w:tcPr>
                <w:tcW w:w="1833" w:type="dxa"/>
              </w:tcPr>
              <w:p w14:paraId="782C77AF" w14:textId="77777777" w:rsidR="00623763" w:rsidRPr="00623763" w:rsidRDefault="00CA58AA" w:rsidP="00623763">
                <w:pPr>
                  <w:ind w:left="0"/>
                </w:pPr>
                <w:r w:rsidRPr="00623763">
                  <w:rPr>
                    <w:rFonts w:ascii="TradeGothic" w:hAnsi="TradeGothic"/>
                    <w:b/>
                  </w:rPr>
                  <w:t>Promemoria</w:t>
                </w:r>
              </w:p>
            </w:tc>
            <w:tc>
              <w:tcPr>
                <w:tcW w:w="1833" w:type="dxa"/>
              </w:tcPr>
              <w:p w14:paraId="782C77B0" w14:textId="77777777" w:rsidR="00623763" w:rsidRPr="00623763" w:rsidRDefault="00CA58AA"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19</w:t>
                </w:r>
                <w:r w:rsidRPr="00623763">
                  <w:rPr>
                    <w:rFonts w:ascii="TradeGothic" w:hAnsi="TradeGothic"/>
                    <w:b/>
                  </w:rPr>
                  <w:t>]</w:t>
                </w:r>
              </w:p>
            </w:tc>
          </w:tr>
        </w:tbl>
        <w:p w14:paraId="782C77B2" w14:textId="77777777" w:rsidR="00FB32B9" w:rsidRDefault="000B2770" w:rsidP="00FB32B9">
          <w:pPr>
            <w:jc w:val="right"/>
          </w:pPr>
        </w:p>
        <w:p w14:paraId="782C77B3" w14:textId="77777777" w:rsidR="006E71D7" w:rsidRDefault="00CA58AA" w:rsidP="00FB32B9">
          <w:pPr>
            <w:ind w:right="916"/>
          </w:pPr>
          <w:r>
            <w:rPr>
              <w:rFonts w:ascii="TradeGothic" w:hAnsi="TradeGothic"/>
              <w:b/>
              <w:noProof/>
            </w:rPr>
            <w:t>2017-05-09</w:t>
          </w:r>
          <w:r w:rsidRPr="00934953">
            <w:t xml:space="preserve"> </w:t>
          </w:r>
        </w:p>
      </w:tc>
    </w:tr>
  </w:tbl>
  <w:p w14:paraId="782C77B5" w14:textId="77777777" w:rsidR="00FB32B9" w:rsidRDefault="000B2770" w:rsidP="00FB32B9">
    <w:pPr>
      <w:pStyle w:val="Avsndare"/>
      <w:framePr w:w="0" w:hRule="auto" w:hSpace="0" w:wrap="auto" w:vAnchor="margin" w:hAnchor="text" w:xAlign="left" w:yAlign="inline"/>
      <w:rPr>
        <w:b/>
        <w:i w:val="0"/>
        <w:sz w:val="22"/>
      </w:rPr>
    </w:pPr>
  </w:p>
  <w:p w14:paraId="782C77B6" w14:textId="77777777" w:rsidR="00FB32B9" w:rsidRDefault="00CA58AA" w:rsidP="00FB32B9">
    <w:pPr>
      <w:pStyle w:val="Avsndare"/>
      <w:framePr w:w="0" w:hRule="auto" w:hSpace="0" w:wrap="auto" w:vAnchor="margin" w:hAnchor="text" w:xAlign="left" w:yAlign="inline"/>
      <w:rPr>
        <w:b/>
        <w:i w:val="0"/>
        <w:sz w:val="22"/>
      </w:rPr>
    </w:pPr>
    <w:r>
      <w:rPr>
        <w:b/>
        <w:i w:val="0"/>
        <w:sz w:val="22"/>
      </w:rPr>
      <w:t>Statsrådsberedningen</w:t>
    </w:r>
  </w:p>
  <w:p w14:paraId="782C77B7" w14:textId="77777777" w:rsidR="00FB32B9" w:rsidRDefault="000B2770" w:rsidP="00FB32B9">
    <w:pPr>
      <w:pStyle w:val="Avsndare"/>
      <w:framePr w:w="0" w:hRule="auto" w:hSpace="0" w:wrap="auto" w:vAnchor="margin" w:hAnchor="text" w:xAlign="left" w:yAlign="inline"/>
    </w:pPr>
  </w:p>
  <w:p w14:paraId="782C77B8" w14:textId="77777777" w:rsidR="00FB32B9" w:rsidRDefault="00CA58AA" w:rsidP="00FB32B9">
    <w:pPr>
      <w:pStyle w:val="Avsndare"/>
      <w:framePr w:w="0" w:hRule="auto" w:hSpace="0" w:wrap="auto" w:vAnchor="margin" w:hAnchor="text" w:xAlign="left" w:yAlign="inline"/>
    </w:pPr>
    <w:r>
      <w:t>EU-kansliet</w:t>
    </w:r>
  </w:p>
  <w:p w14:paraId="782C77B9" w14:textId="77777777" w:rsidR="0012376B" w:rsidRDefault="000B277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A6C7B46">
      <w:start w:val="1"/>
      <w:numFmt w:val="decimal"/>
      <w:pStyle w:val="Rubrik1"/>
      <w:lvlText w:val="%1."/>
      <w:lvlJc w:val="left"/>
      <w:pPr>
        <w:ind w:left="720" w:hanging="360"/>
      </w:pPr>
    </w:lvl>
    <w:lvl w:ilvl="1" w:tplc="9848AEC2" w:tentative="1">
      <w:start w:val="1"/>
      <w:numFmt w:val="lowerLetter"/>
      <w:lvlText w:val="%2."/>
      <w:lvlJc w:val="left"/>
      <w:pPr>
        <w:ind w:left="1440" w:hanging="360"/>
      </w:pPr>
    </w:lvl>
    <w:lvl w:ilvl="2" w:tplc="EFAC4FD6" w:tentative="1">
      <w:start w:val="1"/>
      <w:numFmt w:val="lowerRoman"/>
      <w:lvlText w:val="%3."/>
      <w:lvlJc w:val="right"/>
      <w:pPr>
        <w:ind w:left="2160" w:hanging="180"/>
      </w:pPr>
    </w:lvl>
    <w:lvl w:ilvl="3" w:tplc="1548BA84" w:tentative="1">
      <w:start w:val="1"/>
      <w:numFmt w:val="decimal"/>
      <w:lvlText w:val="%4."/>
      <w:lvlJc w:val="left"/>
      <w:pPr>
        <w:ind w:left="2880" w:hanging="360"/>
      </w:pPr>
    </w:lvl>
    <w:lvl w:ilvl="4" w:tplc="DECCC092" w:tentative="1">
      <w:start w:val="1"/>
      <w:numFmt w:val="lowerLetter"/>
      <w:lvlText w:val="%5."/>
      <w:lvlJc w:val="left"/>
      <w:pPr>
        <w:ind w:left="3600" w:hanging="360"/>
      </w:pPr>
    </w:lvl>
    <w:lvl w:ilvl="5" w:tplc="20468566" w:tentative="1">
      <w:start w:val="1"/>
      <w:numFmt w:val="lowerRoman"/>
      <w:lvlText w:val="%6."/>
      <w:lvlJc w:val="right"/>
      <w:pPr>
        <w:ind w:left="4320" w:hanging="180"/>
      </w:pPr>
    </w:lvl>
    <w:lvl w:ilvl="6" w:tplc="05C6C67A" w:tentative="1">
      <w:start w:val="1"/>
      <w:numFmt w:val="decimal"/>
      <w:lvlText w:val="%7."/>
      <w:lvlJc w:val="left"/>
      <w:pPr>
        <w:ind w:left="5040" w:hanging="360"/>
      </w:pPr>
    </w:lvl>
    <w:lvl w:ilvl="7" w:tplc="EC7E3BC8" w:tentative="1">
      <w:start w:val="1"/>
      <w:numFmt w:val="lowerLetter"/>
      <w:lvlText w:val="%8."/>
      <w:lvlJc w:val="left"/>
      <w:pPr>
        <w:ind w:left="5760" w:hanging="360"/>
      </w:pPr>
    </w:lvl>
    <w:lvl w:ilvl="8" w:tplc="E0CEDDD0" w:tentative="1">
      <w:start w:val="1"/>
      <w:numFmt w:val="lowerRoman"/>
      <w:lvlText w:val="%9."/>
      <w:lvlJc w:val="right"/>
      <w:pPr>
        <w:ind w:left="6480" w:hanging="180"/>
      </w:pPr>
    </w:lvl>
  </w:abstractNum>
  <w:abstractNum w:abstractNumId="1">
    <w:nsid w:val="73990993"/>
    <w:multiLevelType w:val="hybridMultilevel"/>
    <w:tmpl w:val="3BD822EE"/>
    <w:lvl w:ilvl="0" w:tplc="1C16FF42">
      <w:start w:val="1"/>
      <w:numFmt w:val="decimal"/>
      <w:lvlText w:val="%1."/>
      <w:lvlJc w:val="left"/>
      <w:pPr>
        <w:ind w:left="360" w:hanging="360"/>
      </w:pPr>
      <w:rPr>
        <w:b w:val="0"/>
      </w:rPr>
    </w:lvl>
    <w:lvl w:ilvl="1" w:tplc="274A9376" w:tentative="1">
      <w:start w:val="1"/>
      <w:numFmt w:val="lowerLetter"/>
      <w:lvlText w:val="%2."/>
      <w:lvlJc w:val="left"/>
      <w:pPr>
        <w:ind w:left="1080" w:hanging="360"/>
      </w:pPr>
    </w:lvl>
    <w:lvl w:ilvl="2" w:tplc="A90CD630" w:tentative="1">
      <w:start w:val="1"/>
      <w:numFmt w:val="lowerRoman"/>
      <w:lvlText w:val="%3."/>
      <w:lvlJc w:val="right"/>
      <w:pPr>
        <w:ind w:left="1800" w:hanging="180"/>
      </w:pPr>
    </w:lvl>
    <w:lvl w:ilvl="3" w:tplc="97BEFE20" w:tentative="1">
      <w:start w:val="1"/>
      <w:numFmt w:val="decimal"/>
      <w:lvlText w:val="%4."/>
      <w:lvlJc w:val="left"/>
      <w:pPr>
        <w:ind w:left="2520" w:hanging="360"/>
      </w:pPr>
    </w:lvl>
    <w:lvl w:ilvl="4" w:tplc="96A6E1CE" w:tentative="1">
      <w:start w:val="1"/>
      <w:numFmt w:val="lowerLetter"/>
      <w:lvlText w:val="%5."/>
      <w:lvlJc w:val="left"/>
      <w:pPr>
        <w:ind w:left="3240" w:hanging="360"/>
      </w:pPr>
    </w:lvl>
    <w:lvl w:ilvl="5" w:tplc="31389066" w:tentative="1">
      <w:start w:val="1"/>
      <w:numFmt w:val="lowerRoman"/>
      <w:lvlText w:val="%6."/>
      <w:lvlJc w:val="right"/>
      <w:pPr>
        <w:ind w:left="3960" w:hanging="180"/>
      </w:pPr>
    </w:lvl>
    <w:lvl w:ilvl="6" w:tplc="FB78BCA2" w:tentative="1">
      <w:start w:val="1"/>
      <w:numFmt w:val="decimal"/>
      <w:lvlText w:val="%7."/>
      <w:lvlJc w:val="left"/>
      <w:pPr>
        <w:ind w:left="4680" w:hanging="360"/>
      </w:pPr>
    </w:lvl>
    <w:lvl w:ilvl="7" w:tplc="41B8835E" w:tentative="1">
      <w:start w:val="1"/>
      <w:numFmt w:val="lowerLetter"/>
      <w:lvlText w:val="%8."/>
      <w:lvlJc w:val="left"/>
      <w:pPr>
        <w:ind w:left="5400" w:hanging="360"/>
      </w:pPr>
    </w:lvl>
    <w:lvl w:ilvl="8" w:tplc="3124AC3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20"/>
    <w:rsid w:val="00015A2D"/>
    <w:rsid w:val="000B2770"/>
    <w:rsid w:val="000F5B94"/>
    <w:rsid w:val="00386220"/>
    <w:rsid w:val="00BF1420"/>
    <w:rsid w:val="00CA58AA"/>
    <w:rsid w:val="00DA74B9"/>
    <w:rsid w:val="00E02D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JE6N4JFJXNNF-17-42413</_dlc_DocId>
    <_dlc_DocIdUrl xmlns="8b66ae41-1ec6-402e-b662-35d1932ca064">
      <Url>http://rkdhs-sb/enhet/EUKansli/_layouts/DocIdRedir.aspx?ID=JE6N4JFJXNNF-17-42413</Url>
      <Description>JE6N4JFJXNNF-17-42413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774F4-AD33-467C-B443-6024350CADD7}"/>
</file>

<file path=customXml/itemProps2.xml><?xml version="1.0" encoding="utf-8"?>
<ds:datastoreItem xmlns:ds="http://schemas.openxmlformats.org/officeDocument/2006/customXml" ds:itemID="{379FA3D6-D8B5-4F2F-8D5E-B80092BC0524}"/>
</file>

<file path=customXml/itemProps3.xml><?xml version="1.0" encoding="utf-8"?>
<ds:datastoreItem xmlns:ds="http://schemas.openxmlformats.org/officeDocument/2006/customXml" ds:itemID="{DE047AC2-7590-43AE-8D1D-FAD3E4BE0ED3}"/>
</file>

<file path=customXml/itemProps4.xml><?xml version="1.0" encoding="utf-8"?>
<ds:datastoreItem xmlns:ds="http://schemas.openxmlformats.org/officeDocument/2006/customXml" ds:itemID="{4F4EE9D1-999F-4B30-A3AD-3ACE56193479}"/>
</file>

<file path=customXml/itemProps5.xml><?xml version="1.0" encoding="utf-8"?>
<ds:datastoreItem xmlns:ds="http://schemas.openxmlformats.org/officeDocument/2006/customXml" ds:itemID="{C6EBC3F5-A7A5-421C-A2DB-03CEDCD6A1A9}"/>
</file>

<file path=customXml/itemProps6.xml><?xml version="1.0" encoding="utf-8"?>
<ds:datastoreItem xmlns:ds="http://schemas.openxmlformats.org/officeDocument/2006/customXml" ds:itemID="{3BF4C294-D3B1-4519-8C62-75010AEA6273}"/>
</file>

<file path=customXml/itemProps7.xml><?xml version="1.0" encoding="utf-8"?>
<ds:datastoreItem xmlns:ds="http://schemas.openxmlformats.org/officeDocument/2006/customXml" ds:itemID="{C250528D-1605-4E96-A1F8-F72143A82A6D}"/>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8263</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2017-05-09T13:00:00Z</dcterms:created>
  <dcterms:modified xsi:type="dcterms:W3CDTF">2017-05-09T13:00:00Z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1,2,3,4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7164baf1-937d-48a4-8d0b-f03373aafdbd</vt:lpwstr>
  </property>
</Properties>
</file>