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70"/>
        <w:gridCol w:w="850"/>
      </w:tblGrid>
      <w:tr w:rsidR="00000000" w:rsidRPr="00E825D2">
        <w:tblPrEx>
          <w:tblCellMar>
            <w:top w:w="0" w:type="dxa"/>
            <w:left w:w="0" w:type="dxa"/>
            <w:bottom w:w="0" w:type="dxa"/>
            <w:right w:w="0" w:type="dxa"/>
          </w:tblCellMar>
        </w:tblPrEx>
        <w:trPr>
          <w:gridBefore w:val="1"/>
          <w:gridAfter w:val="1"/>
          <w:wBefore w:w="851" w:type="dxa"/>
          <w:wAfter w:w="850" w:type="dxa"/>
          <w:cantSplit/>
          <w:trHeight w:val="240"/>
        </w:trPr>
        <w:tc>
          <w:tcPr>
            <w:tcW w:w="9641" w:type="dxa"/>
            <w:gridSpan w:val="3"/>
          </w:tcPr>
          <w:p w:rsidR="00A52C7C" w:rsidRPr="00E825D2" w:rsidRDefault="00E825D2">
            <w:pPr>
              <w:pStyle w:val="EntLogo"/>
            </w:pPr>
            <w:r w:rsidRPr="00E825D2">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00000" w:rsidRPr="00E825D2">
        <w:tblPrEx>
          <w:tblCellMar>
            <w:top w:w="0" w:type="dxa"/>
            <w:left w:w="0" w:type="dxa"/>
            <w:bottom w:w="0" w:type="dxa"/>
            <w:right w:w="0" w:type="dxa"/>
          </w:tblCellMar>
        </w:tblPrEx>
        <w:trPr>
          <w:cantSplit/>
          <w:trHeight w:val="1120"/>
        </w:trPr>
        <w:tc>
          <w:tcPr>
            <w:tcW w:w="4821" w:type="dxa"/>
            <w:gridSpan w:val="2"/>
          </w:tcPr>
          <w:p w:rsidR="00A52C7C" w:rsidRPr="00E825D2" w:rsidRDefault="00A52C7C">
            <w:pPr>
              <w:pStyle w:val="EntInstit"/>
            </w:pPr>
            <w:bookmarkStart w:id="0" w:name="Entete"/>
            <w:bookmarkEnd w:id="0"/>
            <w:r w:rsidRPr="00E825D2">
              <w:t>COUNCIL OF</w:t>
            </w:r>
          </w:p>
          <w:p w:rsidR="00A52C7C" w:rsidRPr="00E825D2" w:rsidRDefault="00A52C7C">
            <w:pPr>
              <w:pStyle w:val="EntInstit"/>
            </w:pPr>
            <w:r w:rsidRPr="00E825D2">
              <w:t>THE EUROPEAN UNION</w:t>
            </w:r>
          </w:p>
        </w:tc>
        <w:tc>
          <w:tcPr>
            <w:tcW w:w="1701" w:type="dxa"/>
          </w:tcPr>
          <w:p w:rsidR="00A52C7C" w:rsidRPr="00E825D2" w:rsidRDefault="00A52C7C">
            <w:pPr>
              <w:spacing w:line="240" w:lineRule="auto"/>
              <w:jc w:val="right"/>
              <w:rPr>
                <w:b/>
              </w:rPr>
            </w:pPr>
          </w:p>
        </w:tc>
        <w:tc>
          <w:tcPr>
            <w:tcW w:w="4820" w:type="dxa"/>
            <w:gridSpan w:val="2"/>
          </w:tcPr>
          <w:p w:rsidR="00A52C7C" w:rsidRPr="00E825D2" w:rsidRDefault="00A52C7C">
            <w:pPr>
              <w:pStyle w:val="EntRefer"/>
            </w:pPr>
            <w:bookmarkStart w:id="1" w:name="Lieu"/>
            <w:bookmarkEnd w:id="1"/>
            <w:r w:rsidRPr="00E825D2">
              <w:t>Brussels,</w:t>
            </w:r>
            <w:bookmarkStart w:id="2" w:name="Date"/>
            <w:bookmarkEnd w:id="2"/>
            <w:r w:rsidRPr="00E825D2">
              <w:t xml:space="preserve"> 18 May 2006 </w:t>
            </w:r>
            <w:bookmarkStart w:id="3" w:name="DateEntree"/>
            <w:bookmarkEnd w:id="3"/>
          </w:p>
          <w:p w:rsidR="00A52C7C" w:rsidRPr="00E825D2" w:rsidRDefault="00A52C7C">
            <w:pPr>
              <w:pStyle w:val="EntRefer"/>
            </w:pPr>
            <w:bookmarkStart w:id="4" w:name="LangueOrig"/>
            <w:bookmarkEnd w:id="4"/>
          </w:p>
        </w:tc>
      </w:tr>
      <w:tr w:rsidR="00000000" w:rsidRPr="00E825D2">
        <w:tblPrEx>
          <w:tblCellMar>
            <w:top w:w="0" w:type="dxa"/>
            <w:left w:w="0" w:type="dxa"/>
            <w:bottom w:w="0" w:type="dxa"/>
            <w:right w:w="0" w:type="dxa"/>
          </w:tblCellMar>
        </w:tblPrEx>
        <w:trPr>
          <w:gridBefore w:val="1"/>
          <w:gridAfter w:val="1"/>
          <w:wBefore w:w="851" w:type="dxa"/>
          <w:wAfter w:w="850" w:type="dxa"/>
          <w:cantSplit/>
          <w:trHeight w:val="1480"/>
        </w:trPr>
        <w:tc>
          <w:tcPr>
            <w:tcW w:w="3970" w:type="dxa"/>
            <w:vAlign w:val="center"/>
          </w:tcPr>
          <w:p w:rsidR="00A52C7C" w:rsidRPr="00E825D2" w:rsidRDefault="00A52C7C">
            <w:pPr>
              <w:pStyle w:val="EntRefer"/>
              <w:pBdr>
                <w:top w:val="double" w:sz="4" w:space="4" w:color="auto"/>
                <w:left w:val="double" w:sz="4" w:space="0" w:color="auto"/>
                <w:bottom w:val="double" w:sz="4" w:space="4" w:color="auto"/>
                <w:right w:val="double" w:sz="4" w:space="0" w:color="auto"/>
              </w:pBdr>
              <w:jc w:val="center"/>
            </w:pPr>
            <w:bookmarkStart w:id="5" w:name="DossierInterInst"/>
            <w:bookmarkEnd w:id="5"/>
            <w:r w:rsidRPr="00E825D2">
              <w:t>Interinstitutional File:</w:t>
            </w:r>
          </w:p>
          <w:p w:rsidR="00A52C7C" w:rsidRPr="00E825D2" w:rsidRDefault="00A52C7C">
            <w:pPr>
              <w:pStyle w:val="EntRefer"/>
              <w:pBdr>
                <w:top w:val="double" w:sz="4" w:space="4" w:color="auto"/>
                <w:left w:val="double" w:sz="4" w:space="0" w:color="auto"/>
                <w:bottom w:val="double" w:sz="4" w:space="4" w:color="auto"/>
                <w:right w:val="double" w:sz="4" w:space="0" w:color="auto"/>
              </w:pBdr>
              <w:jc w:val="center"/>
            </w:pPr>
            <w:r w:rsidRPr="00E825D2">
              <w:t>2005/0214 (COD)</w:t>
            </w:r>
          </w:p>
          <w:p w:rsidR="00A52C7C" w:rsidRPr="00E825D2" w:rsidRDefault="00A52C7C">
            <w:pPr>
              <w:pStyle w:val="EntRefer"/>
              <w:jc w:val="center"/>
            </w:pPr>
          </w:p>
        </w:tc>
        <w:tc>
          <w:tcPr>
            <w:tcW w:w="1701" w:type="dxa"/>
            <w:vAlign w:val="center"/>
          </w:tcPr>
          <w:p w:rsidR="00A52C7C" w:rsidRPr="00E825D2" w:rsidRDefault="00A52C7C">
            <w:pPr>
              <w:spacing w:line="240" w:lineRule="auto"/>
              <w:rPr>
                <w:b/>
              </w:rPr>
            </w:pPr>
          </w:p>
        </w:tc>
        <w:tc>
          <w:tcPr>
            <w:tcW w:w="3970" w:type="dxa"/>
          </w:tcPr>
          <w:p w:rsidR="00A52C7C" w:rsidRPr="00E825D2" w:rsidRDefault="00A52C7C">
            <w:pPr>
              <w:pStyle w:val="EntRefer"/>
            </w:pPr>
            <w:bookmarkStart w:id="6" w:name="Cote"/>
            <w:bookmarkEnd w:id="6"/>
            <w:r w:rsidRPr="00E825D2">
              <w:t>9100/1/06</w:t>
            </w:r>
          </w:p>
          <w:p w:rsidR="00A52C7C" w:rsidRPr="00E825D2" w:rsidRDefault="00A52C7C">
            <w:pPr>
              <w:pStyle w:val="EntRefer"/>
            </w:pPr>
            <w:bookmarkStart w:id="7" w:name="CoteRev"/>
            <w:bookmarkEnd w:id="7"/>
            <w:r w:rsidRPr="00E825D2">
              <w:t>REV 1</w:t>
            </w:r>
          </w:p>
          <w:p w:rsidR="00A52C7C" w:rsidRPr="00E825D2" w:rsidRDefault="00A52C7C">
            <w:pPr>
              <w:pStyle w:val="EntRefer"/>
            </w:pPr>
          </w:p>
          <w:p w:rsidR="00A52C7C" w:rsidRPr="00E825D2" w:rsidRDefault="00A52C7C">
            <w:pPr>
              <w:pStyle w:val="EntRefer"/>
            </w:pPr>
            <w:bookmarkStart w:id="8" w:name="CoteSec"/>
            <w:bookmarkEnd w:id="8"/>
          </w:p>
          <w:p w:rsidR="00A52C7C" w:rsidRPr="00E825D2" w:rsidRDefault="00A52C7C">
            <w:pPr>
              <w:pStyle w:val="EntRefer"/>
            </w:pPr>
          </w:p>
        </w:tc>
      </w:tr>
      <w:tr w:rsidR="00000000" w:rsidRPr="00E825D2">
        <w:tblPrEx>
          <w:tblCellMar>
            <w:top w:w="0" w:type="dxa"/>
            <w:left w:w="0" w:type="dxa"/>
            <w:bottom w:w="0" w:type="dxa"/>
            <w:right w:w="0" w:type="dxa"/>
          </w:tblCellMar>
        </w:tblPrEx>
        <w:trPr>
          <w:gridBefore w:val="1"/>
          <w:gridAfter w:val="1"/>
          <w:wBefore w:w="851" w:type="dxa"/>
          <w:wAfter w:w="850" w:type="dxa"/>
          <w:cantSplit/>
          <w:trHeight w:val="1000"/>
        </w:trPr>
        <w:tc>
          <w:tcPr>
            <w:tcW w:w="3970" w:type="dxa"/>
            <w:vAlign w:val="center"/>
          </w:tcPr>
          <w:p w:rsidR="00A52C7C" w:rsidRPr="00E825D2" w:rsidRDefault="00A52C7C">
            <w:pPr>
              <w:pStyle w:val="EntRefer"/>
              <w:jc w:val="center"/>
            </w:pPr>
            <w:bookmarkStart w:id="9" w:name="SousEmbargo"/>
            <w:bookmarkEnd w:id="9"/>
          </w:p>
        </w:tc>
        <w:tc>
          <w:tcPr>
            <w:tcW w:w="1701" w:type="dxa"/>
            <w:vAlign w:val="center"/>
          </w:tcPr>
          <w:p w:rsidR="00A52C7C" w:rsidRPr="00E825D2" w:rsidRDefault="00A52C7C">
            <w:pPr>
              <w:spacing w:line="240" w:lineRule="auto"/>
              <w:rPr>
                <w:b/>
              </w:rPr>
            </w:pPr>
          </w:p>
        </w:tc>
        <w:tc>
          <w:tcPr>
            <w:tcW w:w="3970" w:type="dxa"/>
          </w:tcPr>
          <w:p w:rsidR="00A52C7C" w:rsidRPr="00E825D2" w:rsidRDefault="00A52C7C">
            <w:pPr>
              <w:pStyle w:val="EntRefer"/>
            </w:pPr>
            <w:r w:rsidRPr="00E825D2">
              <w:t>SOC 219</w:t>
            </w:r>
          </w:p>
          <w:p w:rsidR="00A52C7C" w:rsidRPr="00E825D2" w:rsidRDefault="00A52C7C">
            <w:pPr>
              <w:pStyle w:val="EntRefer"/>
            </w:pPr>
            <w:r w:rsidRPr="00E825D2">
              <w:t>ECOFIN 157</w:t>
            </w:r>
          </w:p>
          <w:p w:rsidR="00A52C7C" w:rsidRPr="00E825D2" w:rsidRDefault="00A52C7C">
            <w:pPr>
              <w:pStyle w:val="EntRefer"/>
            </w:pPr>
            <w:r w:rsidRPr="00E825D2">
              <w:t>CODEC 443</w:t>
            </w:r>
          </w:p>
        </w:tc>
      </w:tr>
    </w:tbl>
    <w:p w:rsidR="00A52C7C" w:rsidRPr="00E825D2" w:rsidRDefault="00A52C7C">
      <w:pPr>
        <w:pStyle w:val="EntRefer"/>
      </w:pPr>
      <w:bookmarkStart w:id="10" w:name="AC"/>
    </w:p>
    <w:p w:rsidR="00A52C7C" w:rsidRPr="00E825D2" w:rsidRDefault="00A52C7C">
      <w:pPr>
        <w:pStyle w:val="EntRefer"/>
        <w:outlineLvl w:val="0"/>
      </w:pPr>
      <w:bookmarkStart w:id="11" w:name="Title"/>
      <w:bookmarkEnd w:id="11"/>
      <w:r w:rsidRPr="00E825D2">
        <w:t>REPORT</w:t>
      </w:r>
    </w:p>
    <w:tbl>
      <w:tblPr>
        <w:tblW w:w="0" w:type="auto"/>
        <w:tblLayout w:type="fixed"/>
        <w:tblCellMar>
          <w:left w:w="0" w:type="dxa"/>
          <w:right w:w="0" w:type="dxa"/>
        </w:tblCellMar>
        <w:tblLook w:val="0000" w:firstRow="0" w:lastRow="0" w:firstColumn="0" w:lastColumn="0" w:noHBand="0" w:noVBand="0"/>
      </w:tblPr>
      <w:tblGrid>
        <w:gridCol w:w="1701"/>
        <w:gridCol w:w="7938"/>
      </w:tblGrid>
      <w:tr w:rsidR="00000000" w:rsidRPr="00E825D2">
        <w:tblPrEx>
          <w:tblCellMar>
            <w:top w:w="0" w:type="dxa"/>
            <w:left w:w="0" w:type="dxa"/>
            <w:bottom w:w="0" w:type="dxa"/>
            <w:right w:w="0" w:type="dxa"/>
          </w:tblCellMar>
        </w:tblPrEx>
        <w:tc>
          <w:tcPr>
            <w:tcW w:w="1701" w:type="dxa"/>
            <w:tcBorders>
              <w:top w:val="single" w:sz="4" w:space="0" w:color="auto"/>
            </w:tcBorders>
          </w:tcPr>
          <w:p w:rsidR="00A52C7C" w:rsidRPr="00E825D2" w:rsidRDefault="00A52C7C">
            <w:pPr>
              <w:pStyle w:val="EntEmet"/>
            </w:pPr>
            <w:bookmarkStart w:id="12" w:name="Ref"/>
            <w:bookmarkStart w:id="13" w:name="RefDu"/>
            <w:r w:rsidRPr="00E825D2">
              <w:t>from :</w:t>
            </w:r>
            <w:bookmarkEnd w:id="13"/>
          </w:p>
        </w:tc>
        <w:tc>
          <w:tcPr>
            <w:tcW w:w="7938" w:type="dxa"/>
            <w:tcBorders>
              <w:top w:val="single" w:sz="4" w:space="0" w:color="auto"/>
            </w:tcBorders>
          </w:tcPr>
          <w:p w:rsidR="00A52C7C" w:rsidRPr="00E825D2" w:rsidRDefault="00A52C7C">
            <w:pPr>
              <w:pStyle w:val="EntEmet"/>
            </w:pPr>
            <w:r w:rsidRPr="00E825D2">
              <w:t>The Presidency</w:t>
            </w:r>
          </w:p>
        </w:tc>
      </w:tr>
      <w:tr w:rsidR="00000000" w:rsidRPr="00E825D2">
        <w:tblPrEx>
          <w:tblCellMar>
            <w:top w:w="0" w:type="dxa"/>
            <w:left w:w="0" w:type="dxa"/>
            <w:bottom w:w="0" w:type="dxa"/>
            <w:right w:w="0" w:type="dxa"/>
          </w:tblCellMar>
        </w:tblPrEx>
        <w:tc>
          <w:tcPr>
            <w:tcW w:w="1701" w:type="dxa"/>
            <w:tcBorders>
              <w:bottom w:val="single" w:sz="4" w:space="0" w:color="auto"/>
            </w:tcBorders>
          </w:tcPr>
          <w:p w:rsidR="00A52C7C" w:rsidRPr="00E825D2" w:rsidRDefault="00A52C7C">
            <w:pPr>
              <w:pStyle w:val="EntEmet"/>
            </w:pPr>
            <w:bookmarkStart w:id="14" w:name="RefEnDateDu"/>
            <w:r w:rsidRPr="00E825D2">
              <w:t>to :</w:t>
            </w:r>
            <w:bookmarkEnd w:id="14"/>
          </w:p>
        </w:tc>
        <w:tc>
          <w:tcPr>
            <w:tcW w:w="7938" w:type="dxa"/>
            <w:tcBorders>
              <w:bottom w:val="single" w:sz="4" w:space="0" w:color="auto"/>
            </w:tcBorders>
          </w:tcPr>
          <w:p w:rsidR="00A52C7C" w:rsidRPr="00E825D2" w:rsidRDefault="00A52C7C">
            <w:pPr>
              <w:pStyle w:val="EntEmet"/>
            </w:pPr>
            <w:r w:rsidRPr="00E825D2">
              <w:t>Permanent Representatives Committee (Part I) / Council (EPSCO)</w:t>
            </w:r>
          </w:p>
        </w:tc>
      </w:tr>
      <w:tr w:rsidR="00000000" w:rsidRPr="00E825D2">
        <w:tblPrEx>
          <w:tblCellMar>
            <w:top w:w="0" w:type="dxa"/>
            <w:left w:w="0" w:type="dxa"/>
            <w:bottom w:w="0" w:type="dxa"/>
            <w:right w:w="0" w:type="dxa"/>
          </w:tblCellMar>
        </w:tblPrEx>
        <w:tc>
          <w:tcPr>
            <w:tcW w:w="1701" w:type="dxa"/>
            <w:tcBorders>
              <w:top w:val="single" w:sz="4" w:space="0" w:color="auto"/>
            </w:tcBorders>
          </w:tcPr>
          <w:p w:rsidR="00A52C7C" w:rsidRPr="00E825D2" w:rsidRDefault="00A52C7C">
            <w:pPr>
              <w:pStyle w:val="EntEmet"/>
            </w:pPr>
            <w:bookmarkStart w:id="15" w:name="RefRow_NDocPrec"/>
            <w:r w:rsidRPr="00E825D2">
              <w:t>No. prev. doc. :</w:t>
            </w:r>
          </w:p>
        </w:tc>
        <w:tc>
          <w:tcPr>
            <w:tcW w:w="7938" w:type="dxa"/>
            <w:tcBorders>
              <w:top w:val="single" w:sz="4" w:space="0" w:color="auto"/>
            </w:tcBorders>
          </w:tcPr>
          <w:p w:rsidR="00A52C7C" w:rsidRPr="00E825D2" w:rsidRDefault="00A52C7C">
            <w:pPr>
              <w:pStyle w:val="EntEmet"/>
            </w:pPr>
            <w:r w:rsidRPr="00E825D2">
              <w:t>7700/06 SOC 148 ECOFIN 118 CODEC 275</w:t>
            </w:r>
          </w:p>
        </w:tc>
      </w:tr>
      <w:tr w:rsidR="00000000" w:rsidRPr="00E825D2">
        <w:tblPrEx>
          <w:tblCellMar>
            <w:top w:w="0" w:type="dxa"/>
            <w:left w:w="0" w:type="dxa"/>
            <w:bottom w:w="0" w:type="dxa"/>
            <w:right w:w="0" w:type="dxa"/>
          </w:tblCellMar>
        </w:tblPrEx>
        <w:tc>
          <w:tcPr>
            <w:tcW w:w="1701" w:type="dxa"/>
          </w:tcPr>
          <w:p w:rsidR="00A52C7C" w:rsidRPr="00E825D2" w:rsidRDefault="00A52C7C">
            <w:pPr>
              <w:pStyle w:val="EntEmet"/>
            </w:pPr>
            <w:bookmarkStart w:id="16" w:name="RefRow_NPropCion"/>
            <w:bookmarkEnd w:id="15"/>
            <w:r w:rsidRPr="00E825D2">
              <w:t>No. Cion prop. :</w:t>
            </w:r>
          </w:p>
        </w:tc>
        <w:tc>
          <w:tcPr>
            <w:tcW w:w="7938" w:type="dxa"/>
          </w:tcPr>
          <w:p w:rsidR="00A52C7C" w:rsidRPr="00E825D2" w:rsidRDefault="00A52C7C">
            <w:pPr>
              <w:pStyle w:val="EntEmet"/>
            </w:pPr>
            <w:r w:rsidRPr="00E825D2">
              <w:t>13686/05 SOC 412 ECOFIN 324 CODEC 933 - COM (2005) 507 final + REV 1</w:t>
            </w:r>
          </w:p>
        </w:tc>
      </w:tr>
      <w:bookmarkEnd w:id="12"/>
      <w:bookmarkEnd w:id="16"/>
      <w:tr w:rsidR="00000000" w:rsidRPr="00E825D2">
        <w:tblPrEx>
          <w:tblCellMar>
            <w:top w:w="0" w:type="dxa"/>
            <w:left w:w="0" w:type="dxa"/>
            <w:bottom w:w="0" w:type="dxa"/>
            <w:right w:w="0" w:type="dxa"/>
          </w:tblCellMar>
        </w:tblPrEx>
        <w:tc>
          <w:tcPr>
            <w:tcW w:w="1701" w:type="dxa"/>
            <w:tcBorders>
              <w:top w:val="single" w:sz="4" w:space="0" w:color="auto"/>
              <w:bottom w:val="single" w:sz="4" w:space="0" w:color="auto"/>
            </w:tcBorders>
          </w:tcPr>
          <w:p w:rsidR="00A52C7C" w:rsidRPr="00E825D2" w:rsidRDefault="00A52C7C">
            <w:pPr>
              <w:pStyle w:val="EntEmet"/>
            </w:pPr>
            <w:r w:rsidRPr="00E825D2">
              <w:t>Subject :</w:t>
            </w:r>
          </w:p>
        </w:tc>
        <w:tc>
          <w:tcPr>
            <w:tcW w:w="7938" w:type="dxa"/>
            <w:tcBorders>
              <w:top w:val="single" w:sz="4" w:space="0" w:color="auto"/>
              <w:bottom w:val="single" w:sz="4" w:space="0" w:color="auto"/>
            </w:tcBorders>
          </w:tcPr>
          <w:p w:rsidR="00A52C7C" w:rsidRPr="00E825D2" w:rsidRDefault="00A52C7C">
            <w:pPr>
              <w:pStyle w:val="EntEmet"/>
              <w:rPr>
                <w:b/>
              </w:rPr>
            </w:pPr>
            <w:bookmarkStart w:id="17" w:name="Subject"/>
            <w:bookmarkEnd w:id="17"/>
            <w:r w:rsidRPr="00E825D2">
              <w:rPr>
                <w:b/>
              </w:rPr>
              <w:t>Proposal for a Directive of the European Parliament and of the Council on improving the portability of supplementary pension rights</w:t>
            </w:r>
          </w:p>
          <w:p w:rsidR="00A52C7C" w:rsidRPr="00E825D2" w:rsidRDefault="00A52C7C">
            <w:pPr>
              <w:pStyle w:val="EntEmet"/>
              <w:rPr>
                <w:b/>
              </w:rPr>
            </w:pPr>
            <w:r w:rsidRPr="00E825D2">
              <w:rPr>
                <w:b/>
              </w:rPr>
              <w:t>-</w:t>
            </w:r>
            <w:r w:rsidRPr="00E825D2">
              <w:rPr>
                <w:b/>
              </w:rPr>
              <w:tab/>
              <w:t>Progress Report</w:t>
            </w:r>
          </w:p>
        </w:tc>
      </w:tr>
    </w:tbl>
    <w:p w:rsidR="00A52C7C" w:rsidRPr="00E825D2" w:rsidRDefault="00A52C7C">
      <w:pPr>
        <w:spacing w:line="240" w:lineRule="auto"/>
      </w:pPr>
    </w:p>
    <w:p w:rsidR="00A52C7C" w:rsidRPr="00E825D2" w:rsidRDefault="00A52C7C">
      <w:pPr>
        <w:tabs>
          <w:tab w:val="left" w:pos="3969"/>
        </w:tabs>
      </w:pPr>
    </w:p>
    <w:bookmarkEnd w:id="10"/>
    <w:p w:rsidR="00A52C7C" w:rsidRPr="00E825D2" w:rsidRDefault="00A52C7C">
      <w:pPr>
        <w:ind w:left="567" w:hanging="567"/>
        <w:rPr>
          <w:b/>
        </w:rPr>
      </w:pPr>
      <w:r w:rsidRPr="00E825D2">
        <w:rPr>
          <w:b/>
        </w:rPr>
        <w:t>I.</w:t>
      </w:r>
      <w:r w:rsidRPr="00E825D2">
        <w:rPr>
          <w:b/>
        </w:rPr>
        <w:tab/>
      </w:r>
      <w:r w:rsidRPr="00E825D2">
        <w:rPr>
          <w:b/>
          <w:u w:val="single"/>
        </w:rPr>
        <w:t>INTRODUCTION</w:t>
      </w:r>
    </w:p>
    <w:p w:rsidR="00A52C7C" w:rsidRPr="00E825D2" w:rsidRDefault="00A52C7C"/>
    <w:p w:rsidR="00A52C7C" w:rsidRPr="00E825D2" w:rsidRDefault="00A52C7C">
      <w:pPr>
        <w:ind w:left="567"/>
      </w:pPr>
      <w:r w:rsidRPr="00E825D2">
        <w:t xml:space="preserve">On 20 October 2005, </w:t>
      </w:r>
      <w:r w:rsidRPr="00E825D2">
        <w:rPr>
          <w:u w:val="single"/>
        </w:rPr>
        <w:t>the Commission</w:t>
      </w:r>
      <w:r w:rsidRPr="00E825D2">
        <w:t xml:space="preserve"> adopted a proposal for a Directive on improving the portability of supplementary pension rights. By improving workers' possibilities to accrue, preserve and transfer their supplementary pension rights when changing employers, the draft Directive aims at facilitating </w:t>
      </w:r>
      <w:r w:rsidRPr="00E825D2">
        <w:rPr>
          <w:i/>
        </w:rPr>
        <w:t>both</w:t>
      </w:r>
      <w:r w:rsidRPr="00E825D2">
        <w:t xml:space="preserve"> workers' freedom of movement between Member States </w:t>
      </w:r>
      <w:r w:rsidRPr="00E825D2">
        <w:rPr>
          <w:i/>
        </w:rPr>
        <w:t>and</w:t>
      </w:r>
      <w:r w:rsidRPr="00E825D2">
        <w:t xml:space="preserve"> their occupational mobility within the same Member State. </w:t>
      </w:r>
    </w:p>
    <w:p w:rsidR="00A52C7C" w:rsidRPr="00E825D2" w:rsidRDefault="00A52C7C">
      <w:pPr>
        <w:ind w:left="567"/>
      </w:pPr>
    </w:p>
    <w:p w:rsidR="00A52C7C" w:rsidRPr="00E825D2" w:rsidRDefault="00A52C7C">
      <w:pPr>
        <w:ind w:left="600"/>
      </w:pPr>
      <w:r w:rsidRPr="00E825D2">
        <w:br w:type="page"/>
      </w:r>
      <w:r w:rsidRPr="00E825D2">
        <w:lastRenderedPageBreak/>
        <w:t xml:space="preserve">During the UK Presidency, on 8 December 2005, Commissioner Špidla presented the proposal to the EPSCO Council. </w:t>
      </w:r>
    </w:p>
    <w:p w:rsidR="00A52C7C" w:rsidRPr="00E825D2" w:rsidRDefault="00A52C7C">
      <w:pPr>
        <w:ind w:left="600"/>
      </w:pPr>
    </w:p>
    <w:p w:rsidR="00A52C7C" w:rsidRPr="00E825D2" w:rsidRDefault="00A52C7C">
      <w:pPr>
        <w:ind w:left="567"/>
      </w:pPr>
      <w:r w:rsidRPr="00E825D2">
        <w:t xml:space="preserve">The Working Party discussions were also started by the UK Presidency and these discussions have been continued during the Austrian presidency. </w:t>
      </w:r>
      <w:r w:rsidRPr="00E825D2">
        <w:rPr>
          <w:u w:val="single"/>
        </w:rPr>
        <w:t>The Social Questions Working Party</w:t>
      </w:r>
      <w:r w:rsidRPr="00E825D2">
        <w:t xml:space="preserve"> has already met eight times to discuss the proposal.</w:t>
      </w:r>
    </w:p>
    <w:p w:rsidR="00A52C7C" w:rsidRPr="00E825D2" w:rsidRDefault="00A52C7C">
      <w:pPr>
        <w:ind w:left="600"/>
      </w:pPr>
    </w:p>
    <w:p w:rsidR="00A52C7C" w:rsidRPr="00E825D2" w:rsidRDefault="00A52C7C">
      <w:pPr>
        <w:ind w:left="567"/>
      </w:pPr>
      <w:r w:rsidRPr="00E825D2">
        <w:t xml:space="preserve">During the discussions, </w:t>
      </w:r>
      <w:r w:rsidRPr="00E825D2">
        <w:rPr>
          <w:u w:val="single"/>
        </w:rPr>
        <w:t>delegations</w:t>
      </w:r>
      <w:r w:rsidRPr="00E825D2">
        <w:t xml:space="preserve"> have stressed that the supplementary pension systems in the different Member States vary and that these systems have evolved over lengthy periods of time. In a number of Member States, these systems are presently in transition or new legislation on supplementary pensions schemes is being considered. </w:t>
      </w:r>
      <w:r w:rsidRPr="00E825D2">
        <w:rPr>
          <w:u w:val="single"/>
        </w:rPr>
        <w:t>Some delegations</w:t>
      </w:r>
      <w:r w:rsidRPr="00E825D2">
        <w:t xml:space="preserve"> have indicated that, in their Member States, no occupational supplementary pension systems exist. </w:t>
      </w:r>
    </w:p>
    <w:p w:rsidR="00A52C7C" w:rsidRPr="00E825D2" w:rsidRDefault="00A52C7C">
      <w:pPr>
        <w:ind w:left="600"/>
      </w:pPr>
    </w:p>
    <w:p w:rsidR="00A52C7C" w:rsidRPr="00E825D2" w:rsidRDefault="00A52C7C">
      <w:pPr>
        <w:ind w:left="567"/>
      </w:pPr>
      <w:r w:rsidRPr="00E825D2">
        <w:t xml:space="preserve">For the time being, </w:t>
      </w:r>
      <w:r w:rsidRPr="00E825D2">
        <w:rPr>
          <w:u w:val="single"/>
        </w:rPr>
        <w:t>most delegations</w:t>
      </w:r>
      <w:r w:rsidRPr="00E825D2">
        <w:t xml:space="preserve"> have maintained their general scrutiny reservations on the proposal and </w:t>
      </w:r>
      <w:r w:rsidRPr="00E825D2">
        <w:rPr>
          <w:u w:val="single"/>
        </w:rPr>
        <w:t>a number of delegations</w:t>
      </w:r>
      <w:r w:rsidRPr="00E825D2">
        <w:t xml:space="preserve"> have also entered parliamentary scrutiny reservations.</w:t>
      </w:r>
    </w:p>
    <w:p w:rsidR="00A52C7C" w:rsidRPr="00E825D2" w:rsidRDefault="00A52C7C">
      <w:pPr>
        <w:ind w:left="567" w:hanging="567"/>
      </w:pPr>
    </w:p>
    <w:p w:rsidR="00A52C7C" w:rsidRPr="00E825D2" w:rsidRDefault="00A52C7C">
      <w:pPr>
        <w:ind w:left="567" w:hanging="567"/>
      </w:pPr>
    </w:p>
    <w:p w:rsidR="00A52C7C" w:rsidRPr="00E825D2" w:rsidRDefault="00A52C7C">
      <w:pPr>
        <w:ind w:left="567" w:hanging="567"/>
        <w:outlineLvl w:val="0"/>
        <w:rPr>
          <w:b/>
        </w:rPr>
      </w:pPr>
      <w:r w:rsidRPr="00E825D2">
        <w:rPr>
          <w:b/>
        </w:rPr>
        <w:t>II.</w:t>
      </w:r>
      <w:r w:rsidRPr="00E825D2">
        <w:rPr>
          <w:b/>
        </w:rPr>
        <w:tab/>
      </w:r>
      <w:r w:rsidRPr="00E825D2">
        <w:rPr>
          <w:b/>
          <w:u w:val="single"/>
        </w:rPr>
        <w:t>MAJOR OUTSTANDING ISSUES UNDER DISCUSSION</w:t>
      </w:r>
      <w:r w:rsidRPr="00E825D2">
        <w:rPr>
          <w:b/>
        </w:rPr>
        <w:t xml:space="preserve"> </w:t>
      </w:r>
    </w:p>
    <w:p w:rsidR="00A52C7C" w:rsidRPr="00E825D2" w:rsidRDefault="00A52C7C">
      <w:pPr>
        <w:ind w:left="567"/>
      </w:pPr>
    </w:p>
    <w:p w:rsidR="00A52C7C" w:rsidRPr="00E825D2" w:rsidRDefault="00A52C7C">
      <w:pPr>
        <w:ind w:left="567"/>
      </w:pPr>
      <w:r w:rsidRPr="00E825D2">
        <w:t xml:space="preserve">The Working Party's discussions have concentrated on clarifying the technical aspects of the proposal, especially on the scope of the Directive and on the definitions used. The open issues can be summarised as follows: </w:t>
      </w:r>
    </w:p>
    <w:p w:rsidR="00A52C7C" w:rsidRPr="00E825D2" w:rsidRDefault="00A52C7C">
      <w:pPr>
        <w:ind w:left="567"/>
      </w:pPr>
    </w:p>
    <w:p w:rsidR="00A52C7C" w:rsidRPr="00E825D2" w:rsidRDefault="00A52C7C">
      <w:pPr>
        <w:ind w:left="567"/>
        <w:rPr>
          <w:b/>
          <w:u w:val="single"/>
        </w:rPr>
      </w:pPr>
      <w:r w:rsidRPr="00E825D2">
        <w:rPr>
          <w:b/>
          <w:u w:val="single"/>
        </w:rPr>
        <w:t>Supplementary pension</w:t>
      </w:r>
      <w:r w:rsidRPr="00E825D2">
        <w:rPr>
          <w:u w:val="single"/>
        </w:rPr>
        <w:t xml:space="preserve"> </w:t>
      </w:r>
      <w:r w:rsidRPr="00E825D2">
        <w:rPr>
          <w:b/>
          <w:u w:val="single"/>
        </w:rPr>
        <w:t>schemes to be covered by the Directive</w:t>
      </w:r>
    </w:p>
    <w:p w:rsidR="00A52C7C" w:rsidRPr="00E825D2" w:rsidRDefault="00A52C7C">
      <w:pPr>
        <w:ind w:left="480"/>
      </w:pPr>
    </w:p>
    <w:p w:rsidR="00A52C7C" w:rsidRPr="00E825D2" w:rsidRDefault="00A52C7C">
      <w:pPr>
        <w:ind w:left="567"/>
      </w:pPr>
      <w:r w:rsidRPr="00E825D2">
        <w:rPr>
          <w:u w:val="single"/>
        </w:rPr>
        <w:t>A number of delegations</w:t>
      </w:r>
      <w:r w:rsidRPr="00E825D2">
        <w:t xml:space="preserve"> wish an exclusion from the scope of the Directive for certain supplementary pension schemes, especially when the schemes' rules would need to be substantially changed as a result of the Directive. In addition, </w:t>
      </w:r>
      <w:r w:rsidRPr="00E825D2">
        <w:rPr>
          <w:u w:val="single"/>
        </w:rPr>
        <w:t>a number of delegations</w:t>
      </w:r>
      <w:r w:rsidRPr="00E825D2">
        <w:t xml:space="preserve"> </w:t>
      </w:r>
    </w:p>
    <w:p w:rsidR="00A52C7C" w:rsidRPr="00E825D2" w:rsidRDefault="00A52C7C">
      <w:pPr>
        <w:ind w:left="567"/>
      </w:pPr>
      <w:r w:rsidRPr="00E825D2">
        <w:br w:type="page"/>
        <w:t>consider that other schemes should be excluded from certain of the Directive's requirements or treated differently, for example in cases where the transfers of pension rights from these supplementary schemes could pose problems to the financial viability of the schemes (in c</w:t>
      </w:r>
      <w:r w:rsidRPr="00E825D2">
        <w:t>ase of under-funding).</w:t>
      </w:r>
    </w:p>
    <w:p w:rsidR="00A52C7C" w:rsidRPr="00E825D2" w:rsidRDefault="00A52C7C">
      <w:pPr>
        <w:ind w:left="480"/>
      </w:pPr>
    </w:p>
    <w:p w:rsidR="00A52C7C" w:rsidRPr="00E825D2" w:rsidRDefault="00A52C7C">
      <w:pPr>
        <w:ind w:left="567"/>
        <w:rPr>
          <w:u w:val="single"/>
        </w:rPr>
      </w:pPr>
      <w:r w:rsidRPr="00E825D2">
        <w:rPr>
          <w:b/>
          <w:u w:val="single"/>
        </w:rPr>
        <w:t>The role of the social partners in shaping the content and principles of supplementary pension schemes</w:t>
      </w:r>
    </w:p>
    <w:p w:rsidR="00A52C7C" w:rsidRPr="00E825D2" w:rsidRDefault="00A52C7C">
      <w:pPr>
        <w:ind w:left="480"/>
      </w:pPr>
    </w:p>
    <w:p w:rsidR="00A52C7C" w:rsidRPr="00E825D2" w:rsidRDefault="00A52C7C">
      <w:pPr>
        <w:ind w:left="567"/>
      </w:pPr>
      <w:r w:rsidRPr="00E825D2">
        <w:rPr>
          <w:u w:val="single"/>
        </w:rPr>
        <w:t>A large number of delegations</w:t>
      </w:r>
      <w:r w:rsidRPr="00E825D2">
        <w:t xml:space="preserve"> have stressed the important role of the social partners, in their Member States, in designing and managing supplementary pension schemes. The social partners' role was already noted by the Commission in its proposal.</w:t>
      </w:r>
    </w:p>
    <w:p w:rsidR="00A52C7C" w:rsidRPr="00E825D2" w:rsidRDefault="00A52C7C">
      <w:pPr>
        <w:ind w:left="480"/>
      </w:pPr>
    </w:p>
    <w:p w:rsidR="00A52C7C" w:rsidRPr="00E825D2" w:rsidRDefault="00A52C7C">
      <w:pPr>
        <w:ind w:left="567"/>
      </w:pPr>
      <w:r w:rsidRPr="00E825D2">
        <w:t xml:space="preserve">In this connection, </w:t>
      </w:r>
      <w:r w:rsidRPr="00E825D2">
        <w:rPr>
          <w:u w:val="single"/>
        </w:rPr>
        <w:t>several delegations</w:t>
      </w:r>
      <w:r w:rsidRPr="00E825D2">
        <w:t xml:space="preserve"> are concerned that the Directive, for example by setting upper limits to waiting and vesting periods (Article 4), might impinge on the social partners' leeway at the national level. </w:t>
      </w:r>
    </w:p>
    <w:p w:rsidR="00A52C7C" w:rsidRPr="00E825D2" w:rsidRDefault="00A52C7C">
      <w:pPr>
        <w:ind w:left="480"/>
      </w:pPr>
    </w:p>
    <w:p w:rsidR="00A52C7C" w:rsidRPr="00E825D2" w:rsidRDefault="00A52C7C">
      <w:pPr>
        <w:ind w:left="567"/>
        <w:rPr>
          <w:b/>
          <w:u w:val="single"/>
        </w:rPr>
      </w:pPr>
      <w:r w:rsidRPr="00E825D2">
        <w:rPr>
          <w:b/>
          <w:u w:val="single"/>
        </w:rPr>
        <w:t>Level of harmonisation needed in rules governing supplementary pension schemes</w:t>
      </w:r>
    </w:p>
    <w:p w:rsidR="00A52C7C" w:rsidRPr="00E825D2" w:rsidRDefault="00A52C7C">
      <w:pPr>
        <w:ind w:left="480"/>
        <w:rPr>
          <w:b/>
        </w:rPr>
      </w:pPr>
    </w:p>
    <w:p w:rsidR="00A52C7C" w:rsidRPr="00E825D2" w:rsidRDefault="00A52C7C">
      <w:pPr>
        <w:ind w:left="480"/>
      </w:pPr>
      <w:r w:rsidRPr="00E825D2">
        <w:t xml:space="preserve">While </w:t>
      </w:r>
      <w:r w:rsidRPr="00E825D2">
        <w:rPr>
          <w:u w:val="single"/>
        </w:rPr>
        <w:t>some delegations</w:t>
      </w:r>
      <w:r w:rsidRPr="00E825D2">
        <w:t xml:space="preserve"> see a need for harmonisation regarding the joining and vesting criteria (in Article 4), </w:t>
      </w:r>
      <w:r w:rsidRPr="00E825D2">
        <w:rPr>
          <w:u w:val="single"/>
        </w:rPr>
        <w:t>some others</w:t>
      </w:r>
      <w:r w:rsidRPr="00E825D2">
        <w:t xml:space="preserve"> stress the subsidiarity principle and consider that these issues could be dealt with at the national level.</w:t>
      </w:r>
    </w:p>
    <w:p w:rsidR="00A52C7C" w:rsidRPr="00E825D2" w:rsidRDefault="00A52C7C">
      <w:pPr>
        <w:ind w:left="480"/>
        <w:rPr>
          <w:b/>
        </w:rPr>
      </w:pPr>
    </w:p>
    <w:p w:rsidR="00A52C7C" w:rsidRPr="00E825D2" w:rsidRDefault="00A52C7C">
      <w:pPr>
        <w:ind w:left="567"/>
        <w:rPr>
          <w:b/>
          <w:u w:val="single"/>
        </w:rPr>
      </w:pPr>
      <w:r w:rsidRPr="00E825D2">
        <w:rPr>
          <w:b/>
          <w:u w:val="single"/>
        </w:rPr>
        <w:t>Transitional periods and application to pension rights accrued before the entry into force of the Directive</w:t>
      </w:r>
    </w:p>
    <w:p w:rsidR="00A52C7C" w:rsidRPr="00E825D2" w:rsidRDefault="00A52C7C">
      <w:pPr>
        <w:ind w:left="480"/>
      </w:pPr>
    </w:p>
    <w:p w:rsidR="00A52C7C" w:rsidRPr="00E825D2" w:rsidRDefault="00A52C7C">
      <w:pPr>
        <w:ind w:left="567"/>
      </w:pPr>
      <w:r w:rsidRPr="00E825D2">
        <w:rPr>
          <w:u w:val="single"/>
        </w:rPr>
        <w:t>A number of delegations</w:t>
      </w:r>
      <w:r w:rsidRPr="00E825D2">
        <w:t xml:space="preserve"> have raised the issue of how the Directive should apply to supplementary pension rights accrued and/or vested before the entry into force of the Directive. </w:t>
      </w:r>
    </w:p>
    <w:p w:rsidR="00A52C7C" w:rsidRPr="00E825D2" w:rsidRDefault="00A52C7C">
      <w:pPr>
        <w:ind w:left="480"/>
      </w:pPr>
    </w:p>
    <w:p w:rsidR="00A52C7C" w:rsidRPr="00E825D2" w:rsidRDefault="00A52C7C">
      <w:pPr>
        <w:ind w:left="567"/>
        <w:rPr>
          <w:b/>
          <w:u w:val="single"/>
        </w:rPr>
      </w:pPr>
      <w:r w:rsidRPr="00E825D2">
        <w:rPr>
          <w:b/>
          <w:u w:val="single"/>
        </w:rPr>
        <w:br w:type="page"/>
        <w:t>Transfers of supplementary pension rights to other schemes</w:t>
      </w:r>
    </w:p>
    <w:p w:rsidR="00A52C7C" w:rsidRPr="00E825D2" w:rsidRDefault="00A52C7C">
      <w:pPr>
        <w:ind w:left="480"/>
        <w:rPr>
          <w:b/>
        </w:rPr>
      </w:pPr>
    </w:p>
    <w:p w:rsidR="00A52C7C" w:rsidRPr="00E825D2" w:rsidRDefault="00A52C7C">
      <w:pPr>
        <w:ind w:left="567"/>
      </w:pPr>
      <w:r w:rsidRPr="00E825D2">
        <w:rPr>
          <w:u w:val="single"/>
        </w:rPr>
        <w:t>A number of delegations</w:t>
      </w:r>
      <w:r w:rsidRPr="00E825D2">
        <w:t xml:space="preserve"> consider that the transfer of vested pension rights from supplementary pension schemes to other financial institutions (i.e. to so-called third pillar schemes) should not be included in the Directive. </w:t>
      </w:r>
      <w:r w:rsidRPr="00E825D2">
        <w:rPr>
          <w:u w:val="single"/>
        </w:rPr>
        <w:t>Some others</w:t>
      </w:r>
      <w:r w:rsidRPr="00E825D2">
        <w:t xml:space="preserve">, however, consider that transfers to other financial institutions should be permitted by the Directive. </w:t>
      </w:r>
    </w:p>
    <w:p w:rsidR="00A52C7C" w:rsidRPr="00E825D2" w:rsidRDefault="00A52C7C">
      <w:pPr>
        <w:ind w:left="480"/>
      </w:pPr>
    </w:p>
    <w:p w:rsidR="00A52C7C" w:rsidRPr="00E825D2" w:rsidRDefault="00A52C7C">
      <w:pPr>
        <w:ind w:left="567"/>
      </w:pPr>
      <w:r w:rsidRPr="00E825D2">
        <w:t xml:space="preserve">Furthermore, </w:t>
      </w:r>
      <w:r w:rsidRPr="00E825D2">
        <w:rPr>
          <w:u w:val="single"/>
        </w:rPr>
        <w:t>some delegations</w:t>
      </w:r>
      <w:r w:rsidRPr="00E825D2">
        <w:t xml:space="preserve"> are of the opinion that appropriate rules for preserving dormant pension rights would imply that there would be no need to provide for a right to transfer.</w:t>
      </w:r>
    </w:p>
    <w:p w:rsidR="00A52C7C" w:rsidRPr="00E825D2" w:rsidRDefault="00A52C7C">
      <w:pPr>
        <w:ind w:left="480"/>
        <w:rPr>
          <w:b/>
        </w:rPr>
      </w:pPr>
    </w:p>
    <w:p w:rsidR="00A52C7C" w:rsidRPr="00E825D2" w:rsidRDefault="00A52C7C">
      <w:pPr>
        <w:ind w:left="567"/>
      </w:pPr>
      <w:r w:rsidRPr="00E825D2">
        <w:t>A further important point in the discussions has been the question of whether and what kind of rights / obligations can be related to the transfer of supplementary pension rights from a pension scheme.</w:t>
      </w:r>
    </w:p>
    <w:p w:rsidR="00A52C7C" w:rsidRPr="00E825D2" w:rsidRDefault="00A52C7C">
      <w:pPr>
        <w:ind w:left="480"/>
      </w:pPr>
    </w:p>
    <w:p w:rsidR="00A52C7C" w:rsidRPr="00E825D2" w:rsidRDefault="00A52C7C">
      <w:pPr>
        <w:ind w:left="480"/>
      </w:pPr>
    </w:p>
    <w:p w:rsidR="00A52C7C" w:rsidRPr="00E825D2" w:rsidRDefault="00A52C7C">
      <w:pPr>
        <w:ind w:left="567"/>
        <w:rPr>
          <w:b/>
          <w:u w:val="single"/>
        </w:rPr>
      </w:pPr>
      <w:r w:rsidRPr="00E825D2">
        <w:rPr>
          <w:b/>
          <w:u w:val="single"/>
        </w:rPr>
        <w:t>Definitions to be used in the Directive</w:t>
      </w:r>
    </w:p>
    <w:p w:rsidR="00A52C7C" w:rsidRPr="00E825D2" w:rsidRDefault="00A52C7C">
      <w:pPr>
        <w:ind w:left="480"/>
        <w:rPr>
          <w:b/>
        </w:rPr>
      </w:pPr>
    </w:p>
    <w:p w:rsidR="00A52C7C" w:rsidRPr="00E825D2" w:rsidRDefault="00A52C7C">
      <w:pPr>
        <w:ind w:left="567"/>
      </w:pPr>
      <w:r w:rsidRPr="00E825D2">
        <w:t>This is an important question as supplementary systems vary widely between Member States, including the terminology used. Many of the definitions will need, therefore, to be further refined.</w:t>
      </w:r>
    </w:p>
    <w:p w:rsidR="00A52C7C" w:rsidRPr="00E825D2" w:rsidRDefault="00A52C7C">
      <w:pPr>
        <w:ind w:left="480"/>
      </w:pPr>
    </w:p>
    <w:p w:rsidR="00A52C7C" w:rsidRPr="00E825D2" w:rsidRDefault="00A52C7C">
      <w:pPr>
        <w:ind w:left="480"/>
        <w:rPr>
          <w:b/>
        </w:rPr>
      </w:pPr>
    </w:p>
    <w:p w:rsidR="00A52C7C" w:rsidRPr="00E825D2" w:rsidRDefault="00A52C7C">
      <w:pPr>
        <w:ind w:left="567" w:hanging="567"/>
        <w:outlineLvl w:val="0"/>
        <w:rPr>
          <w:b/>
        </w:rPr>
      </w:pPr>
      <w:r w:rsidRPr="00E825D2">
        <w:rPr>
          <w:b/>
        </w:rPr>
        <w:t>III.</w:t>
      </w:r>
      <w:r w:rsidRPr="00E825D2">
        <w:rPr>
          <w:b/>
        </w:rPr>
        <w:tab/>
      </w:r>
      <w:r w:rsidRPr="00E825D2">
        <w:rPr>
          <w:b/>
          <w:u w:val="single"/>
        </w:rPr>
        <w:t>OTHER OPEN ISSUES</w:t>
      </w:r>
    </w:p>
    <w:p w:rsidR="00A52C7C" w:rsidRPr="00E825D2" w:rsidRDefault="00A52C7C">
      <w:pPr>
        <w:ind w:left="480"/>
      </w:pPr>
    </w:p>
    <w:p w:rsidR="00A52C7C" w:rsidRPr="00E825D2" w:rsidRDefault="00A52C7C">
      <w:pPr>
        <w:ind w:left="567"/>
      </w:pPr>
      <w:r w:rsidRPr="00E825D2">
        <w:rPr>
          <w:b/>
          <w:u w:val="single"/>
        </w:rPr>
        <w:t>The term "portability</w:t>
      </w:r>
      <w:r w:rsidRPr="00E825D2">
        <w:t xml:space="preserve">" </w:t>
      </w:r>
    </w:p>
    <w:p w:rsidR="00A52C7C" w:rsidRPr="00E825D2" w:rsidRDefault="00A52C7C">
      <w:pPr>
        <w:pStyle w:val="Fotnotstext"/>
        <w:spacing w:line="360" w:lineRule="auto"/>
        <w:ind w:left="480" w:firstLine="0"/>
      </w:pPr>
    </w:p>
    <w:p w:rsidR="00A52C7C" w:rsidRPr="00E825D2" w:rsidRDefault="00A52C7C">
      <w:pPr>
        <w:pStyle w:val="Fotnotstext"/>
        <w:tabs>
          <w:tab w:val="clear" w:pos="567"/>
        </w:tabs>
        <w:spacing w:line="360" w:lineRule="auto"/>
        <w:ind w:firstLine="0"/>
      </w:pPr>
      <w:r w:rsidRPr="00E825D2">
        <w:rPr>
          <w:u w:val="single"/>
        </w:rPr>
        <w:t>A number of delegations</w:t>
      </w:r>
      <w:r w:rsidRPr="00E825D2">
        <w:t xml:space="preserve"> have considered that the term itself, "</w:t>
      </w:r>
      <w:r w:rsidRPr="00E825D2">
        <w:rPr>
          <w:i/>
        </w:rPr>
        <w:t>portability</w:t>
      </w:r>
      <w:r w:rsidRPr="00E825D2">
        <w:t>", would be misleading and that the three separate concepts of the accrual, preservation and transferability of rights should be used instead.</w:t>
      </w:r>
    </w:p>
    <w:p w:rsidR="00A52C7C" w:rsidRPr="00E825D2" w:rsidRDefault="00A52C7C">
      <w:pPr>
        <w:ind w:left="480"/>
      </w:pPr>
    </w:p>
    <w:p w:rsidR="00A52C7C" w:rsidRPr="00E825D2" w:rsidRDefault="00A52C7C">
      <w:pPr>
        <w:ind w:left="567"/>
        <w:rPr>
          <w:b/>
          <w:u w:val="single"/>
        </w:rPr>
      </w:pPr>
      <w:r w:rsidRPr="00E825D2">
        <w:rPr>
          <w:b/>
          <w:u w:val="single"/>
        </w:rPr>
        <w:br w:type="page"/>
        <w:t>Self-employed persons</w:t>
      </w:r>
    </w:p>
    <w:p w:rsidR="00A52C7C" w:rsidRPr="00E825D2" w:rsidRDefault="00A52C7C">
      <w:pPr>
        <w:ind w:left="480"/>
      </w:pPr>
    </w:p>
    <w:p w:rsidR="00A52C7C" w:rsidRPr="00E825D2" w:rsidRDefault="00A52C7C">
      <w:pPr>
        <w:ind w:left="567"/>
      </w:pPr>
      <w:r w:rsidRPr="00E825D2">
        <w:t xml:space="preserve">The Commission's original proposal in principle did not include the self-employed . While </w:t>
      </w:r>
      <w:r w:rsidRPr="00E825D2">
        <w:rPr>
          <w:u w:val="single"/>
        </w:rPr>
        <w:t>a large number of delegations</w:t>
      </w:r>
      <w:r w:rsidRPr="00E825D2">
        <w:t xml:space="preserve"> are able to accept this view, </w:t>
      </w:r>
      <w:r w:rsidRPr="00E825D2">
        <w:rPr>
          <w:u w:val="single"/>
        </w:rPr>
        <w:t>some delegations</w:t>
      </w:r>
      <w:r w:rsidRPr="00E825D2">
        <w:t xml:space="preserve"> are open to accepting their inclusion. </w:t>
      </w:r>
    </w:p>
    <w:p w:rsidR="00A52C7C" w:rsidRPr="00E825D2" w:rsidRDefault="00A52C7C">
      <w:pPr>
        <w:ind w:left="480"/>
      </w:pPr>
    </w:p>
    <w:p w:rsidR="00A52C7C" w:rsidRPr="00E825D2" w:rsidRDefault="00A52C7C">
      <w:pPr>
        <w:ind w:left="480"/>
      </w:pPr>
    </w:p>
    <w:p w:rsidR="00A52C7C" w:rsidRPr="00E825D2" w:rsidRDefault="00A52C7C">
      <w:pPr>
        <w:ind w:left="567" w:hanging="567"/>
        <w:outlineLvl w:val="0"/>
        <w:rPr>
          <w:b/>
        </w:rPr>
      </w:pPr>
      <w:r w:rsidRPr="00E825D2">
        <w:rPr>
          <w:b/>
        </w:rPr>
        <w:t>IV.</w:t>
      </w:r>
      <w:r w:rsidRPr="00E825D2">
        <w:rPr>
          <w:b/>
        </w:rPr>
        <w:tab/>
      </w:r>
      <w:r w:rsidRPr="00E825D2">
        <w:rPr>
          <w:b/>
          <w:u w:val="single"/>
        </w:rPr>
        <w:t>NEXT STEPS</w:t>
      </w:r>
    </w:p>
    <w:p w:rsidR="00A52C7C" w:rsidRPr="00E825D2" w:rsidRDefault="00A52C7C">
      <w:pPr>
        <w:ind w:left="567"/>
      </w:pPr>
    </w:p>
    <w:p w:rsidR="00A52C7C" w:rsidRPr="00E825D2" w:rsidRDefault="00A52C7C">
      <w:pPr>
        <w:ind w:left="567"/>
      </w:pPr>
      <w:r w:rsidRPr="00E825D2">
        <w:t xml:space="preserve">During the </w:t>
      </w:r>
      <w:r w:rsidRPr="00E825D2">
        <w:rPr>
          <w:u w:val="single"/>
        </w:rPr>
        <w:t>Austrian presidency</w:t>
      </w:r>
      <w:r w:rsidRPr="00E825D2">
        <w:t>, a clear picture of the outstanding issues has emerged. These issues have to be discussed further, including with the European Parliament, whose first reading opinion is expected during the latter part of 2006.</w:t>
      </w:r>
    </w:p>
    <w:p w:rsidR="00A52C7C" w:rsidRPr="00E825D2" w:rsidRDefault="00A52C7C">
      <w:pPr>
        <w:ind w:left="480"/>
      </w:pPr>
    </w:p>
    <w:p w:rsidR="00A52C7C" w:rsidRPr="00E825D2" w:rsidRDefault="00A52C7C">
      <w:pPr>
        <w:ind w:left="480"/>
      </w:pPr>
    </w:p>
    <w:p w:rsidR="00A52C7C" w:rsidRPr="00E825D2" w:rsidRDefault="00A52C7C">
      <w:pPr>
        <w:ind w:left="480"/>
      </w:pPr>
    </w:p>
    <w:p w:rsidR="00A52C7C" w:rsidRPr="00E825D2" w:rsidRDefault="00A52C7C">
      <w:pPr>
        <w:ind w:left="480"/>
        <w:jc w:val="center"/>
      </w:pPr>
      <w:r w:rsidRPr="00E825D2">
        <w:t>_______________________</w:t>
      </w:r>
    </w:p>
    <w:p w:rsidR="00A52C7C" w:rsidRPr="00E825D2" w:rsidRDefault="00A52C7C">
      <w:pPr>
        <w:ind w:left="480"/>
      </w:pPr>
    </w:p>
    <w:p w:rsidR="00A52C7C" w:rsidRPr="00E825D2" w:rsidRDefault="00A52C7C"/>
    <w:p w:rsidR="00A52C7C" w:rsidRPr="00E825D2" w:rsidRDefault="00A52C7C"/>
    <w:p w:rsidR="00A52C7C" w:rsidRPr="00E825D2" w:rsidRDefault="00A52C7C">
      <w:pPr>
        <w:spacing w:line="240" w:lineRule="auto"/>
      </w:pPr>
    </w:p>
    <w:sectPr w:rsidR="00A52C7C" w:rsidRPr="00E825D2">
      <w:footerReference w:type="default" r:id="rId8"/>
      <w:footnotePr>
        <w:numRestart w:val="eachPage"/>
      </w:footnotePr>
      <w:endnotePr>
        <w:numFmt w:val="decimal"/>
      </w:endnotePr>
      <w:pgSz w:w="11907" w:h="16840" w:code="9"/>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2C7C" w:rsidRPr="00E825D2" w:rsidRDefault="00A52C7C">
      <w:r w:rsidRPr="00E825D2">
        <w:separator/>
      </w:r>
    </w:p>
  </w:endnote>
  <w:endnote w:type="continuationSeparator" w:id="0">
    <w:p w:rsidR="00A52C7C" w:rsidRPr="00E825D2" w:rsidRDefault="00A52C7C">
      <w:r w:rsidRPr="00E825D2">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C7C" w:rsidRPr="00E825D2" w:rsidRDefault="00A52C7C">
    <w:pPr>
      <w:pStyle w:val="Sidfot"/>
      <w:pBdr>
        <w:bottom w:val="single" w:sz="4" w:space="1" w:color="auto"/>
      </w:pBdr>
      <w:spacing w:after="60"/>
    </w:pPr>
  </w:p>
  <w:p w:rsidR="00A52C7C" w:rsidRPr="00E825D2" w:rsidRDefault="00A52C7C">
    <w:pPr>
      <w:pStyle w:val="Sidfot"/>
    </w:pPr>
    <w:bookmarkStart w:id="18" w:name="CoteFooter"/>
    <w:bookmarkEnd w:id="18"/>
    <w:r w:rsidRPr="00E825D2">
      <w:t>9100/1/06 REV 1</w:t>
    </w:r>
    <w:r w:rsidRPr="00E825D2">
      <w:tab/>
    </w:r>
    <w:bookmarkStart w:id="19" w:name="SuplCote"/>
    <w:bookmarkEnd w:id="19"/>
    <w:r w:rsidRPr="00E825D2">
      <w:tab/>
    </w:r>
    <w:bookmarkStart w:id="20" w:name="Init"/>
    <w:bookmarkEnd w:id="20"/>
    <w:r w:rsidRPr="00E825D2">
      <w:t>MH/mk</w:t>
    </w:r>
    <w:r w:rsidRPr="00E825D2">
      <w:tab/>
    </w:r>
    <w:r w:rsidRPr="00E825D2">
      <w:rPr>
        <w:rStyle w:val="Sidnummer"/>
      </w:rPr>
      <w:fldChar w:fldCharType="begin" w:fldLock="1"/>
    </w:r>
    <w:r w:rsidRPr="00E825D2">
      <w:rPr>
        <w:rStyle w:val="Sidnummer"/>
      </w:rPr>
      <w:instrText xml:space="preserve"> PAGE </w:instrText>
    </w:r>
    <w:r w:rsidRPr="00E825D2">
      <w:rPr>
        <w:rStyle w:val="Sidnummer"/>
      </w:rPr>
      <w:fldChar w:fldCharType="separate"/>
    </w:r>
    <w:r w:rsidRPr="00E825D2">
      <w:rPr>
        <w:rStyle w:val="Sidnummer"/>
      </w:rPr>
      <w:t>5</w:t>
    </w:r>
    <w:r w:rsidRPr="00E825D2">
      <w:rPr>
        <w:rStyle w:val="Sidnummer"/>
      </w:rPr>
      <w:fldChar w:fldCharType="end"/>
    </w:r>
  </w:p>
  <w:p w:rsidR="00A52C7C" w:rsidRPr="00E825D2" w:rsidRDefault="00A52C7C">
    <w:pPr>
      <w:pStyle w:val="Sidfot"/>
      <w:tabs>
        <w:tab w:val="clear" w:pos="7371"/>
      </w:tabs>
      <w:spacing w:line="280" w:lineRule="exact"/>
    </w:pPr>
    <w:r w:rsidRPr="00E825D2">
      <w:tab/>
    </w:r>
    <w:bookmarkStart w:id="21" w:name="DG"/>
    <w:bookmarkEnd w:id="21"/>
    <w:r w:rsidRPr="00E825D2">
      <w:t>DG G II</w:t>
    </w:r>
    <w:r w:rsidRPr="00E825D2">
      <w:tab/>
    </w:r>
    <w:r w:rsidRPr="00E825D2">
      <w:rPr>
        <w:b/>
        <w:position w:val="-4"/>
        <w:sz w:val="36"/>
      </w:rPr>
      <w:t> </w:t>
    </w:r>
    <w:bookmarkStart w:id="22" w:name="Langue"/>
    <w:r w:rsidRPr="00E825D2">
      <w:rPr>
        <w:b/>
        <w:position w:val="-4"/>
        <w:sz w:val="36"/>
      </w:rPr>
      <w:t>EN</w:t>
    </w:r>
    <w:bookmarkEnd w:id="2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2C7C" w:rsidRPr="00E825D2" w:rsidRDefault="00A52C7C">
      <w:pPr>
        <w:pStyle w:val="Fotnotstext"/>
      </w:pPr>
      <w:r w:rsidRPr="00E825D2">
        <w:separator/>
      </w:r>
    </w:p>
  </w:footnote>
  <w:footnote w:type="continuationSeparator" w:id="0">
    <w:p w:rsidR="00A52C7C" w:rsidRPr="00E825D2" w:rsidRDefault="00A52C7C">
      <w:pPr>
        <w:pStyle w:val="Fotnotstext"/>
      </w:pPr>
      <w:r w:rsidRPr="00E825D2">
        <w: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F473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8858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847D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8EA3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E26D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A290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D2F6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6E80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E8D0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D46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2" w15:restartNumberingAfterBreak="0">
    <w:nsid w:val="11C575B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34C0A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3C34E21"/>
    <w:multiLevelType w:val="multilevel"/>
    <w:tmpl w:val="A1D260E6"/>
    <w:lvl w:ilvl="0">
      <w:start w:val="1"/>
      <w:numFmt w:val="upperRoman"/>
      <w:lvlText w:val="%1."/>
      <w:lvlJc w:val="left"/>
      <w:pPr>
        <w:tabs>
          <w:tab w:val="num" w:pos="567"/>
        </w:tabs>
        <w:ind w:left="567" w:hanging="567"/>
      </w:pPr>
      <w:rPr>
        <w:rFonts w:ascii="Times New Roman" w:hAnsi="Times New Roman" w:hint="default"/>
        <w:u w:val="none"/>
      </w:rPr>
    </w:lvl>
    <w:lvl w:ilvl="1">
      <w:start w:val="1"/>
      <w:numFmt w:val="upperLetter"/>
      <w:lvlText w:val="%2."/>
      <w:lvlJc w:val="left"/>
      <w:pPr>
        <w:tabs>
          <w:tab w:val="num" w:pos="1134"/>
        </w:tabs>
        <w:ind w:left="1134" w:hanging="567"/>
      </w:pPr>
      <w:rPr>
        <w:rFonts w:ascii="Times New Roman" w:hAnsi="Times New Roman" w:hint="default"/>
        <w:u w:val="none"/>
      </w:rPr>
    </w:lvl>
    <w:lvl w:ilvl="2">
      <w:start w:val="1"/>
      <w:numFmt w:val="decimal"/>
      <w:lvlText w:val="%3."/>
      <w:lvlJc w:val="left"/>
      <w:pPr>
        <w:tabs>
          <w:tab w:val="num" w:pos="1701"/>
        </w:tabs>
        <w:ind w:left="1701" w:hanging="567"/>
      </w:pPr>
      <w:rPr>
        <w:rFonts w:ascii="Times New Roman" w:hAnsi="Times New Roman" w:hint="default"/>
        <w:b w:val="0"/>
        <w:i w:val="0"/>
        <w:sz w:val="24"/>
        <w:u w:val="none"/>
      </w:rPr>
    </w:lvl>
    <w:lvl w:ilvl="3">
      <w:start w:val="1"/>
      <w:numFmt w:val="lowerLetter"/>
      <w:lvlText w:val="(%4)"/>
      <w:lvlJc w:val="left"/>
      <w:pPr>
        <w:tabs>
          <w:tab w:val="num" w:pos="2268"/>
        </w:tabs>
        <w:ind w:left="2268" w:hanging="567"/>
      </w:pPr>
      <w:rPr>
        <w:rFonts w:ascii="Times New Roman" w:hAnsi="Times New Roman" w:hint="default"/>
        <w:u w:val="none"/>
      </w:rPr>
    </w:lvl>
    <w:lvl w:ilvl="4">
      <w:start w:val="1"/>
      <w:numFmt w:val="lowerRoman"/>
      <w:lvlText w:val="(%5)"/>
      <w:lvlJc w:val="left"/>
      <w:pPr>
        <w:tabs>
          <w:tab w:val="num" w:pos="2988"/>
        </w:tabs>
        <w:ind w:left="2835" w:hanging="567"/>
      </w:pPr>
      <w:rPr>
        <w:rFonts w:ascii="Times New Roman" w:hAnsi="Times New Roman"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decimal"/>
      <w:lvlText w:val="%8)"/>
      <w:lvlJc w:val="left"/>
      <w:pPr>
        <w:tabs>
          <w:tab w:val="num" w:pos="4536"/>
        </w:tabs>
        <w:ind w:left="4536" w:hanging="567"/>
      </w:pPr>
      <w:rPr>
        <w:rFonts w:ascii="Times New Roman" w:hAnsi="Times New Roman" w:hint="default"/>
      </w:rPr>
    </w:lvl>
    <w:lvl w:ilvl="8">
      <w:start w:val="1"/>
      <w:numFmt w:val="bullet"/>
      <w:lvlText w:val=""/>
      <w:lvlJc w:val="left"/>
      <w:pPr>
        <w:tabs>
          <w:tab w:val="num" w:pos="5103"/>
        </w:tabs>
        <w:ind w:left="5103" w:hanging="567"/>
      </w:pPr>
      <w:rPr>
        <w:rFonts w:ascii="Symbol" w:hAnsi="Symbol" w:hint="default"/>
      </w:rPr>
    </w:lvl>
  </w:abstractNum>
  <w:abstractNum w:abstractNumId="15" w15:restartNumberingAfterBreak="0">
    <w:nsid w:val="21AC0B4F"/>
    <w:multiLevelType w:val="singleLevel"/>
    <w:tmpl w:val="A2FC3834"/>
    <w:lvl w:ilvl="0">
      <w:start w:val="1"/>
      <w:numFmt w:val="bullet"/>
      <w:lvlText w:val=""/>
      <w:lvlJc w:val="left"/>
      <w:pPr>
        <w:tabs>
          <w:tab w:val="num" w:pos="643"/>
        </w:tabs>
        <w:ind w:left="643" w:hanging="360"/>
      </w:pPr>
      <w:rPr>
        <w:rFonts w:ascii="Symbol" w:hAnsi="Symbol" w:hint="default"/>
      </w:rPr>
    </w:lvl>
  </w:abstractNum>
  <w:abstractNum w:abstractNumId="16"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7" w15:restartNumberingAfterBreak="0">
    <w:nsid w:val="22D918D1"/>
    <w:multiLevelType w:val="multilevel"/>
    <w:tmpl w:val="DE2606C8"/>
    <w:lvl w:ilvl="0">
      <w:start w:val="1"/>
      <w:numFmt w:val="decimal"/>
      <w:pStyle w:val="Rubrik1"/>
      <w:lvlText w:val="%1."/>
      <w:lvlJc w:val="left"/>
      <w:pPr>
        <w:tabs>
          <w:tab w:val="num" w:pos="851"/>
        </w:tabs>
        <w:ind w:left="851" w:hanging="851"/>
      </w:pPr>
    </w:lvl>
    <w:lvl w:ilvl="1">
      <w:start w:val="1"/>
      <w:numFmt w:val="decimal"/>
      <w:pStyle w:val="Rubrik2"/>
      <w:lvlText w:val="%1.%2."/>
      <w:lvlJc w:val="left"/>
      <w:pPr>
        <w:tabs>
          <w:tab w:val="num" w:pos="851"/>
        </w:tabs>
        <w:ind w:left="851" w:hanging="851"/>
      </w:pPr>
    </w:lvl>
    <w:lvl w:ilvl="2">
      <w:start w:val="1"/>
      <w:numFmt w:val="decimal"/>
      <w:pStyle w:val="Rubrik3"/>
      <w:lvlText w:val="%1.%2.%3."/>
      <w:lvlJc w:val="left"/>
      <w:pPr>
        <w:tabs>
          <w:tab w:val="num" w:pos="851"/>
        </w:tabs>
        <w:ind w:left="851" w:hanging="851"/>
      </w:pPr>
    </w:lvl>
    <w:lvl w:ilvl="3">
      <w:start w:val="1"/>
      <w:numFmt w:val="decimal"/>
      <w:pStyle w:val="Rubrik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8" w15:restartNumberingAfterBreak="0">
    <w:nsid w:val="26392560"/>
    <w:multiLevelType w:val="multilevel"/>
    <w:tmpl w:val="0302CA7C"/>
    <w:lvl w:ilvl="0">
      <w:start w:val="1"/>
      <w:numFmt w:val="upperRoman"/>
      <w:lvlText w:val="%1."/>
      <w:lvlJc w:val="left"/>
      <w:pPr>
        <w:tabs>
          <w:tab w:val="num" w:pos="567"/>
        </w:tabs>
        <w:ind w:left="567" w:hanging="567"/>
      </w:pPr>
    </w:lvl>
    <w:lvl w:ilvl="1">
      <w:start w:val="1"/>
      <w:numFmt w:val="upperLetter"/>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lowerLetter"/>
      <w:lvlText w:val="%4)"/>
      <w:lvlJc w:val="left"/>
      <w:pPr>
        <w:tabs>
          <w:tab w:val="num" w:pos="2268"/>
        </w:tabs>
        <w:ind w:left="2268" w:hanging="567"/>
      </w:pPr>
    </w:lvl>
    <w:lvl w:ilvl="4">
      <w:start w:val="1"/>
      <w:numFmt w:val="decimal"/>
      <w:lvlText w:val="(%5)"/>
      <w:lvlJc w:val="left"/>
      <w:pPr>
        <w:tabs>
          <w:tab w:val="num" w:pos="2835"/>
        </w:tabs>
        <w:ind w:left="2835" w:hanging="567"/>
      </w:pPr>
    </w:lvl>
    <w:lvl w:ilvl="5">
      <w:start w:val="1"/>
      <w:numFmt w:val="lowerLetter"/>
      <w:lvlText w:val="(%6)"/>
      <w:lvlJc w:val="left"/>
      <w:pPr>
        <w:tabs>
          <w:tab w:val="num" w:pos="3402"/>
        </w:tabs>
        <w:ind w:left="3402" w:hanging="567"/>
      </w:pPr>
    </w:lvl>
    <w:lvl w:ilvl="6">
      <w:start w:val="1"/>
      <w:numFmt w:val="lowerRoman"/>
      <w:lvlText w:val="(%7)"/>
      <w:lvlJc w:val="left"/>
      <w:pPr>
        <w:tabs>
          <w:tab w:val="num" w:pos="4122"/>
        </w:tabs>
        <w:ind w:left="3969" w:hanging="567"/>
      </w:pPr>
    </w:lvl>
    <w:lvl w:ilvl="7">
      <w:start w:val="1"/>
      <w:numFmt w:val="lowerLetter"/>
      <w:lvlText w:val="(%8)"/>
      <w:lvlJc w:val="left"/>
      <w:pPr>
        <w:tabs>
          <w:tab w:val="num" w:pos="4536"/>
        </w:tabs>
        <w:ind w:left="4536" w:hanging="567"/>
      </w:pPr>
    </w:lvl>
    <w:lvl w:ilvl="8">
      <w:start w:val="1"/>
      <w:numFmt w:val="lowerRoman"/>
      <w:lvlText w:val="(%9)"/>
      <w:lvlJc w:val="left"/>
      <w:pPr>
        <w:tabs>
          <w:tab w:val="num" w:pos="5256"/>
        </w:tabs>
        <w:ind w:left="5103" w:hanging="567"/>
      </w:pPr>
    </w:lvl>
  </w:abstractNum>
  <w:abstractNum w:abstractNumId="19"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20"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21" w15:restartNumberingAfterBreak="0">
    <w:nsid w:val="2E6F1447"/>
    <w:multiLevelType w:val="singleLevel"/>
    <w:tmpl w:val="0809000F"/>
    <w:lvl w:ilvl="0">
      <w:start w:val="1"/>
      <w:numFmt w:val="decimal"/>
      <w:lvlText w:val="%1."/>
      <w:lvlJc w:val="left"/>
      <w:pPr>
        <w:tabs>
          <w:tab w:val="num" w:pos="360"/>
        </w:tabs>
        <w:ind w:left="360" w:hanging="360"/>
      </w:pPr>
    </w:lvl>
  </w:abstractNum>
  <w:abstractNum w:abstractNumId="22" w15:restartNumberingAfterBreak="0">
    <w:nsid w:val="30E862E1"/>
    <w:multiLevelType w:val="singleLevel"/>
    <w:tmpl w:val="76D68D6E"/>
    <w:lvl w:ilvl="0">
      <w:start w:val="1"/>
      <w:numFmt w:val="decimal"/>
      <w:lvlText w:val="%1."/>
      <w:lvlJc w:val="left"/>
      <w:pPr>
        <w:tabs>
          <w:tab w:val="num" w:pos="720"/>
        </w:tabs>
        <w:ind w:left="720" w:hanging="720"/>
      </w:pPr>
    </w:lvl>
  </w:abstractNum>
  <w:abstractNum w:abstractNumId="23" w15:restartNumberingAfterBreak="0">
    <w:nsid w:val="33FB6F19"/>
    <w:multiLevelType w:val="singleLevel"/>
    <w:tmpl w:val="8A1E39BA"/>
    <w:lvl w:ilvl="0">
      <w:start w:val="1"/>
      <w:numFmt w:val="lowerLetter"/>
      <w:lvlText w:val="%1)"/>
      <w:lvlJc w:val="left"/>
      <w:pPr>
        <w:tabs>
          <w:tab w:val="num" w:pos="720"/>
        </w:tabs>
        <w:ind w:left="720" w:hanging="720"/>
      </w:pPr>
      <w:rPr>
        <w:rFonts w:ascii="Times New Roman" w:hAnsi="Times New Roman" w:hint="default"/>
        <w:b w:val="0"/>
        <w:i w:val="0"/>
        <w:sz w:val="24"/>
      </w:rPr>
    </w:lvl>
  </w:abstractNum>
  <w:abstractNum w:abstractNumId="24" w15:restartNumberingAfterBreak="0">
    <w:nsid w:val="36B90A4D"/>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8F96521"/>
    <w:multiLevelType w:val="singleLevel"/>
    <w:tmpl w:val="0809000F"/>
    <w:lvl w:ilvl="0">
      <w:start w:val="1"/>
      <w:numFmt w:val="decimal"/>
      <w:lvlText w:val="%1."/>
      <w:lvlJc w:val="left"/>
      <w:pPr>
        <w:tabs>
          <w:tab w:val="num" w:pos="360"/>
        </w:tabs>
        <w:ind w:left="360" w:hanging="360"/>
      </w:pPr>
    </w:lvl>
  </w:abstractNum>
  <w:abstractNum w:abstractNumId="26"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7"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8"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9" w15:restartNumberingAfterBreak="0">
    <w:nsid w:val="4321140B"/>
    <w:multiLevelType w:val="singleLevel"/>
    <w:tmpl w:val="DAA0E942"/>
    <w:lvl w:ilvl="0">
      <w:start w:val="1"/>
      <w:numFmt w:val="decimal"/>
      <w:lvlText w:val="(%1)"/>
      <w:lvlJc w:val="left"/>
      <w:pPr>
        <w:tabs>
          <w:tab w:val="num" w:pos="709"/>
        </w:tabs>
        <w:ind w:left="709" w:hanging="709"/>
      </w:pPr>
    </w:lvl>
  </w:abstractNum>
  <w:abstractNum w:abstractNumId="30"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31" w15:restartNumberingAfterBreak="0">
    <w:nsid w:val="462F2B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9C7189B"/>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CCE2DCD"/>
    <w:multiLevelType w:val="singleLevel"/>
    <w:tmpl w:val="F086E82A"/>
    <w:lvl w:ilvl="0">
      <w:start w:val="1"/>
      <w:numFmt w:val="bullet"/>
      <w:lvlText w:val=""/>
      <w:lvlJc w:val="left"/>
      <w:pPr>
        <w:tabs>
          <w:tab w:val="num" w:pos="643"/>
        </w:tabs>
        <w:ind w:left="643" w:hanging="360"/>
      </w:pPr>
      <w:rPr>
        <w:rFonts w:ascii="Symbol" w:hAnsi="Symbol" w:hint="default"/>
      </w:rPr>
    </w:lvl>
  </w:abstractNum>
  <w:abstractNum w:abstractNumId="34" w15:restartNumberingAfterBreak="0">
    <w:nsid w:val="50922A5A"/>
    <w:multiLevelType w:val="singleLevel"/>
    <w:tmpl w:val="3EACA594"/>
    <w:lvl w:ilvl="0">
      <w:start w:val="1"/>
      <w:numFmt w:val="lowerRoman"/>
      <w:lvlText w:val="(%1)"/>
      <w:lvlJc w:val="left"/>
      <w:pPr>
        <w:tabs>
          <w:tab w:val="num" w:pos="720"/>
        </w:tabs>
        <w:ind w:left="567" w:hanging="567"/>
      </w:pPr>
    </w:lvl>
  </w:abstractNum>
  <w:abstractNum w:abstractNumId="35" w15:restartNumberingAfterBreak="0">
    <w:nsid w:val="51476133"/>
    <w:multiLevelType w:val="singleLevel"/>
    <w:tmpl w:val="08090019"/>
    <w:lvl w:ilvl="0">
      <w:start w:val="1"/>
      <w:numFmt w:val="lowerLetter"/>
      <w:lvlText w:val="(%1)"/>
      <w:lvlJc w:val="left"/>
      <w:pPr>
        <w:tabs>
          <w:tab w:val="num" w:pos="360"/>
        </w:tabs>
        <w:ind w:left="360" w:hanging="360"/>
      </w:pPr>
    </w:lvl>
  </w:abstractNum>
  <w:abstractNum w:abstractNumId="36" w15:restartNumberingAfterBreak="0">
    <w:nsid w:val="5BA22167"/>
    <w:multiLevelType w:val="singleLevel"/>
    <w:tmpl w:val="8E909FBE"/>
    <w:lvl w:ilvl="0">
      <w:start w:val="1"/>
      <w:numFmt w:val="lowerLetter"/>
      <w:lvlText w:val="(%1)"/>
      <w:lvlJc w:val="left"/>
      <w:pPr>
        <w:tabs>
          <w:tab w:val="num" w:pos="567"/>
        </w:tabs>
        <w:ind w:left="567" w:hanging="567"/>
      </w:pPr>
    </w:lvl>
  </w:abstractNum>
  <w:abstractNum w:abstractNumId="37" w15:restartNumberingAfterBreak="0">
    <w:nsid w:val="5BCE3D4A"/>
    <w:multiLevelType w:val="singleLevel"/>
    <w:tmpl w:val="BEB6F294"/>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CBB3924"/>
    <w:multiLevelType w:val="multilevel"/>
    <w:tmpl w:val="6E981B5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DDD3725"/>
    <w:multiLevelType w:val="singleLevel"/>
    <w:tmpl w:val="AFA27E44"/>
    <w:lvl w:ilvl="0">
      <w:start w:val="1"/>
      <w:numFmt w:val="decimal"/>
      <w:lvlText w:val="%1."/>
      <w:lvlJc w:val="left"/>
      <w:pPr>
        <w:tabs>
          <w:tab w:val="num" w:pos="360"/>
        </w:tabs>
        <w:ind w:left="360" w:hanging="360"/>
      </w:pPr>
    </w:lvl>
  </w:abstractNum>
  <w:abstractNum w:abstractNumId="40" w15:restartNumberingAfterBreak="0">
    <w:nsid w:val="64195F5D"/>
    <w:multiLevelType w:val="singleLevel"/>
    <w:tmpl w:val="D21C3B20"/>
    <w:lvl w:ilvl="0">
      <w:start w:val="1"/>
      <w:numFmt w:val="bullet"/>
      <w:lvlText w:val=""/>
      <w:lvlJc w:val="left"/>
      <w:pPr>
        <w:tabs>
          <w:tab w:val="num" w:pos="567"/>
        </w:tabs>
        <w:ind w:left="567" w:hanging="567"/>
      </w:pPr>
      <w:rPr>
        <w:rFonts w:ascii="Wingdings" w:hAnsi="Wingdings" w:hint="default"/>
      </w:rPr>
    </w:lvl>
  </w:abstractNum>
  <w:abstractNum w:abstractNumId="41" w15:restartNumberingAfterBreak="0">
    <w:nsid w:val="64A3051C"/>
    <w:multiLevelType w:val="singleLevel"/>
    <w:tmpl w:val="0809000F"/>
    <w:lvl w:ilvl="0">
      <w:start w:val="1"/>
      <w:numFmt w:val="decimal"/>
      <w:lvlText w:val="%1."/>
      <w:lvlJc w:val="left"/>
      <w:pPr>
        <w:tabs>
          <w:tab w:val="num" w:pos="360"/>
        </w:tabs>
        <w:ind w:left="360" w:hanging="360"/>
      </w:pPr>
    </w:lvl>
  </w:abstractNum>
  <w:abstractNum w:abstractNumId="42" w15:restartNumberingAfterBreak="0">
    <w:nsid w:val="67655356"/>
    <w:multiLevelType w:val="singleLevel"/>
    <w:tmpl w:val="0809000F"/>
    <w:lvl w:ilvl="0">
      <w:start w:val="1"/>
      <w:numFmt w:val="decimal"/>
      <w:lvlText w:val="%1."/>
      <w:lvlJc w:val="left"/>
      <w:pPr>
        <w:tabs>
          <w:tab w:val="num" w:pos="360"/>
        </w:tabs>
        <w:ind w:left="360" w:hanging="360"/>
      </w:pPr>
    </w:lvl>
  </w:abstractNum>
  <w:abstractNum w:abstractNumId="43"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44"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1439566261">
    <w:abstractNumId w:val="9"/>
  </w:num>
  <w:num w:numId="2" w16cid:durableId="67312341">
    <w:abstractNumId w:val="7"/>
  </w:num>
  <w:num w:numId="3" w16cid:durableId="20984761">
    <w:abstractNumId w:val="6"/>
  </w:num>
  <w:num w:numId="4" w16cid:durableId="60443263">
    <w:abstractNumId w:val="5"/>
  </w:num>
  <w:num w:numId="5" w16cid:durableId="1052733430">
    <w:abstractNumId w:val="4"/>
  </w:num>
  <w:num w:numId="6" w16cid:durableId="321928957">
    <w:abstractNumId w:val="8"/>
  </w:num>
  <w:num w:numId="7" w16cid:durableId="752626695">
    <w:abstractNumId w:val="3"/>
  </w:num>
  <w:num w:numId="8" w16cid:durableId="1075473337">
    <w:abstractNumId w:val="2"/>
  </w:num>
  <w:num w:numId="9" w16cid:durableId="1972707504">
    <w:abstractNumId w:val="1"/>
  </w:num>
  <w:num w:numId="10" w16cid:durableId="1020082607">
    <w:abstractNumId w:val="0"/>
  </w:num>
  <w:num w:numId="11" w16cid:durableId="625083228">
    <w:abstractNumId w:val="25"/>
  </w:num>
  <w:num w:numId="12" w16cid:durableId="118502097">
    <w:abstractNumId w:val="42"/>
  </w:num>
  <w:num w:numId="13" w16cid:durableId="920991582">
    <w:abstractNumId w:val="40"/>
  </w:num>
  <w:num w:numId="14" w16cid:durableId="1529756641">
    <w:abstractNumId w:val="31"/>
  </w:num>
  <w:num w:numId="15" w16cid:durableId="1449473988">
    <w:abstractNumId w:val="13"/>
  </w:num>
  <w:num w:numId="16" w16cid:durableId="165293676">
    <w:abstractNumId w:val="33"/>
  </w:num>
  <w:num w:numId="17" w16cid:durableId="556211493">
    <w:abstractNumId w:val="21"/>
  </w:num>
  <w:num w:numId="18" w16cid:durableId="1322539215">
    <w:abstractNumId w:val="15"/>
  </w:num>
  <w:num w:numId="19" w16cid:durableId="1446342314">
    <w:abstractNumId w:val="14"/>
  </w:num>
  <w:num w:numId="20" w16cid:durableId="963387130">
    <w:abstractNumId w:val="14"/>
  </w:num>
  <w:num w:numId="21" w16cid:durableId="433284390">
    <w:abstractNumId w:val="14"/>
  </w:num>
  <w:num w:numId="22" w16cid:durableId="849951656">
    <w:abstractNumId w:val="14"/>
  </w:num>
  <w:num w:numId="23" w16cid:durableId="1502619752">
    <w:abstractNumId w:val="14"/>
  </w:num>
  <w:num w:numId="24" w16cid:durableId="1761412121">
    <w:abstractNumId w:val="14"/>
  </w:num>
  <w:num w:numId="25" w16cid:durableId="1592004542">
    <w:abstractNumId w:val="14"/>
  </w:num>
  <w:num w:numId="26" w16cid:durableId="507672203">
    <w:abstractNumId w:val="14"/>
  </w:num>
  <w:num w:numId="27" w16cid:durableId="387537207">
    <w:abstractNumId w:val="14"/>
  </w:num>
  <w:num w:numId="28" w16cid:durableId="1318798200">
    <w:abstractNumId w:val="14"/>
  </w:num>
  <w:num w:numId="29" w16cid:durableId="64115082">
    <w:abstractNumId w:val="14"/>
  </w:num>
  <w:num w:numId="30" w16cid:durableId="1712683180">
    <w:abstractNumId w:val="14"/>
  </w:num>
  <w:num w:numId="31" w16cid:durableId="659891107">
    <w:abstractNumId w:val="14"/>
  </w:num>
  <w:num w:numId="32" w16cid:durableId="1670912826">
    <w:abstractNumId w:val="14"/>
  </w:num>
  <w:num w:numId="33" w16cid:durableId="1107501647">
    <w:abstractNumId w:val="14"/>
  </w:num>
  <w:num w:numId="34" w16cid:durableId="1464621305">
    <w:abstractNumId w:val="14"/>
  </w:num>
  <w:num w:numId="35" w16cid:durableId="388891951">
    <w:abstractNumId w:val="14"/>
  </w:num>
  <w:num w:numId="36" w16cid:durableId="245696407">
    <w:abstractNumId w:val="14"/>
  </w:num>
  <w:num w:numId="37" w16cid:durableId="1339774763">
    <w:abstractNumId w:val="37"/>
  </w:num>
  <w:num w:numId="38" w16cid:durableId="1137190115">
    <w:abstractNumId w:val="39"/>
  </w:num>
  <w:num w:numId="39" w16cid:durableId="1094665857">
    <w:abstractNumId w:val="32"/>
  </w:num>
  <w:num w:numId="40" w16cid:durableId="2080132827">
    <w:abstractNumId w:val="35"/>
  </w:num>
  <w:num w:numId="41" w16cid:durableId="1818840297">
    <w:abstractNumId w:val="24"/>
  </w:num>
  <w:num w:numId="42" w16cid:durableId="1138258410">
    <w:abstractNumId w:val="44"/>
  </w:num>
  <w:num w:numId="43" w16cid:durableId="1574587044">
    <w:abstractNumId w:val="30"/>
  </w:num>
  <w:num w:numId="44" w16cid:durableId="948928505">
    <w:abstractNumId w:val="23"/>
  </w:num>
  <w:num w:numId="45" w16cid:durableId="1189489934">
    <w:abstractNumId w:val="26"/>
  </w:num>
  <w:num w:numId="46" w16cid:durableId="1037781055">
    <w:abstractNumId w:val="43"/>
  </w:num>
  <w:num w:numId="47" w16cid:durableId="1737581991">
    <w:abstractNumId w:val="11"/>
  </w:num>
  <w:num w:numId="48" w16cid:durableId="1932397701">
    <w:abstractNumId w:val="16"/>
  </w:num>
  <w:num w:numId="49" w16cid:durableId="2072800469">
    <w:abstractNumId w:val="14"/>
  </w:num>
  <w:num w:numId="50" w16cid:durableId="1993093112">
    <w:abstractNumId w:val="14"/>
  </w:num>
  <w:num w:numId="51" w16cid:durableId="1970354869">
    <w:abstractNumId w:val="14"/>
  </w:num>
  <w:num w:numId="52" w16cid:durableId="1936012928">
    <w:abstractNumId w:val="14"/>
  </w:num>
  <w:num w:numId="53" w16cid:durableId="404836732">
    <w:abstractNumId w:val="14"/>
  </w:num>
  <w:num w:numId="54" w16cid:durableId="1180044629">
    <w:abstractNumId w:val="14"/>
  </w:num>
  <w:num w:numId="55" w16cid:durableId="955721090">
    <w:abstractNumId w:val="14"/>
  </w:num>
  <w:num w:numId="56" w16cid:durableId="627006671">
    <w:abstractNumId w:val="14"/>
  </w:num>
  <w:num w:numId="57" w16cid:durableId="1096169642">
    <w:abstractNumId w:val="14"/>
  </w:num>
  <w:num w:numId="58" w16cid:durableId="9525550">
    <w:abstractNumId w:val="44"/>
  </w:num>
  <w:num w:numId="59" w16cid:durableId="319120551">
    <w:abstractNumId w:val="30"/>
  </w:num>
  <w:num w:numId="60" w16cid:durableId="586352927">
    <w:abstractNumId w:val="23"/>
  </w:num>
  <w:num w:numId="61" w16cid:durableId="448085779">
    <w:abstractNumId w:val="26"/>
  </w:num>
  <w:num w:numId="62" w16cid:durableId="205531773">
    <w:abstractNumId w:val="43"/>
  </w:num>
  <w:num w:numId="63" w16cid:durableId="725449326">
    <w:abstractNumId w:val="11"/>
  </w:num>
  <w:num w:numId="64" w16cid:durableId="810446292">
    <w:abstractNumId w:val="16"/>
  </w:num>
  <w:num w:numId="65" w16cid:durableId="738595340">
    <w:abstractNumId w:val="22"/>
  </w:num>
  <w:num w:numId="66" w16cid:durableId="201141681">
    <w:abstractNumId w:val="12"/>
  </w:num>
  <w:num w:numId="67" w16cid:durableId="669872300">
    <w:abstractNumId w:val="21"/>
  </w:num>
  <w:num w:numId="68" w16cid:durableId="1302732845">
    <w:abstractNumId w:val="28"/>
  </w:num>
  <w:num w:numId="69" w16cid:durableId="484510294">
    <w:abstractNumId w:val="19"/>
  </w:num>
  <w:num w:numId="70" w16cid:durableId="1187136855">
    <w:abstractNumId w:val="20"/>
  </w:num>
  <w:num w:numId="71" w16cid:durableId="1370452841">
    <w:abstractNumId w:val="19"/>
  </w:num>
  <w:num w:numId="72" w16cid:durableId="1138258292">
    <w:abstractNumId w:val="14"/>
  </w:num>
  <w:num w:numId="73" w16cid:durableId="1048261124">
    <w:abstractNumId w:val="14"/>
  </w:num>
  <w:num w:numId="74" w16cid:durableId="96218117">
    <w:abstractNumId w:val="14"/>
  </w:num>
  <w:num w:numId="75" w16cid:durableId="70466474">
    <w:abstractNumId w:val="14"/>
  </w:num>
  <w:num w:numId="76" w16cid:durableId="995956900">
    <w:abstractNumId w:val="14"/>
  </w:num>
  <w:num w:numId="77" w16cid:durableId="1880432687">
    <w:abstractNumId w:val="14"/>
  </w:num>
  <w:num w:numId="78" w16cid:durableId="1460876834">
    <w:abstractNumId w:val="14"/>
  </w:num>
  <w:num w:numId="79" w16cid:durableId="26763100">
    <w:abstractNumId w:val="14"/>
  </w:num>
  <w:num w:numId="80" w16cid:durableId="112873506">
    <w:abstractNumId w:val="14"/>
  </w:num>
  <w:num w:numId="81" w16cid:durableId="1897473293">
    <w:abstractNumId w:val="44"/>
  </w:num>
  <w:num w:numId="82" w16cid:durableId="789516676">
    <w:abstractNumId w:val="16"/>
  </w:num>
  <w:num w:numId="83" w16cid:durableId="728191700">
    <w:abstractNumId w:val="30"/>
  </w:num>
  <w:num w:numId="84" w16cid:durableId="1427071109">
    <w:abstractNumId w:val="23"/>
  </w:num>
  <w:num w:numId="85" w16cid:durableId="194853768">
    <w:abstractNumId w:val="19"/>
  </w:num>
  <w:num w:numId="86" w16cid:durableId="55706262">
    <w:abstractNumId w:val="20"/>
  </w:num>
  <w:num w:numId="87" w16cid:durableId="1948347497">
    <w:abstractNumId w:val="19"/>
  </w:num>
  <w:num w:numId="88" w16cid:durableId="875048795">
    <w:abstractNumId w:val="11"/>
  </w:num>
  <w:num w:numId="89" w16cid:durableId="1634411500">
    <w:abstractNumId w:val="43"/>
  </w:num>
  <w:num w:numId="90" w16cid:durableId="1247617628">
    <w:abstractNumId w:val="27"/>
  </w:num>
  <w:num w:numId="91" w16cid:durableId="1310404494">
    <w:abstractNumId w:val="28"/>
  </w:num>
  <w:num w:numId="92" w16cid:durableId="163205755">
    <w:abstractNumId w:val="20"/>
  </w:num>
  <w:num w:numId="93" w16cid:durableId="123161076">
    <w:abstractNumId w:val="16"/>
  </w:num>
  <w:num w:numId="94" w16cid:durableId="1737506938">
    <w:abstractNumId w:val="30"/>
  </w:num>
  <w:num w:numId="95" w16cid:durableId="1054737894">
    <w:abstractNumId w:val="44"/>
  </w:num>
  <w:num w:numId="96" w16cid:durableId="1998068023">
    <w:abstractNumId w:val="26"/>
  </w:num>
  <w:num w:numId="97" w16cid:durableId="398404441">
    <w:abstractNumId w:val="18"/>
  </w:num>
  <w:num w:numId="98" w16cid:durableId="740177866">
    <w:abstractNumId w:val="18"/>
  </w:num>
  <w:num w:numId="99" w16cid:durableId="206142070">
    <w:abstractNumId w:val="18"/>
  </w:num>
  <w:num w:numId="100" w16cid:durableId="1089696194">
    <w:abstractNumId w:val="18"/>
  </w:num>
  <w:num w:numId="101" w16cid:durableId="1901209746">
    <w:abstractNumId w:val="18"/>
  </w:num>
  <w:num w:numId="102" w16cid:durableId="705176214">
    <w:abstractNumId w:val="18"/>
  </w:num>
  <w:num w:numId="103" w16cid:durableId="484667145">
    <w:abstractNumId w:val="18"/>
  </w:num>
  <w:num w:numId="104" w16cid:durableId="2104640201">
    <w:abstractNumId w:val="18"/>
  </w:num>
  <w:num w:numId="105" w16cid:durableId="1428891892">
    <w:abstractNumId w:val="18"/>
  </w:num>
  <w:num w:numId="106" w16cid:durableId="1566988662">
    <w:abstractNumId w:val="18"/>
  </w:num>
  <w:num w:numId="107" w16cid:durableId="1429427477">
    <w:abstractNumId w:val="18"/>
  </w:num>
  <w:num w:numId="108" w16cid:durableId="1092581615">
    <w:abstractNumId w:val="18"/>
  </w:num>
  <w:num w:numId="109" w16cid:durableId="1084256672">
    <w:abstractNumId w:val="18"/>
  </w:num>
  <w:num w:numId="110" w16cid:durableId="1315989420">
    <w:abstractNumId w:val="14"/>
  </w:num>
  <w:num w:numId="111" w16cid:durableId="1875344315">
    <w:abstractNumId w:val="14"/>
  </w:num>
  <w:num w:numId="112" w16cid:durableId="2073041810">
    <w:abstractNumId w:val="14"/>
  </w:num>
  <w:num w:numId="113" w16cid:durableId="1520779818">
    <w:abstractNumId w:val="14"/>
  </w:num>
  <w:num w:numId="114" w16cid:durableId="2122409458">
    <w:abstractNumId w:val="14"/>
  </w:num>
  <w:num w:numId="115" w16cid:durableId="916522509">
    <w:abstractNumId w:val="14"/>
  </w:num>
  <w:num w:numId="116" w16cid:durableId="1458795810">
    <w:abstractNumId w:val="14"/>
  </w:num>
  <w:num w:numId="117" w16cid:durableId="1762484221">
    <w:abstractNumId w:val="14"/>
  </w:num>
  <w:num w:numId="118" w16cid:durableId="850417318">
    <w:abstractNumId w:val="14"/>
  </w:num>
  <w:num w:numId="119" w16cid:durableId="1648776874">
    <w:abstractNumId w:val="14"/>
  </w:num>
  <w:num w:numId="120" w16cid:durableId="245071771">
    <w:abstractNumId w:val="14"/>
  </w:num>
  <w:num w:numId="121" w16cid:durableId="702364952">
    <w:abstractNumId w:val="14"/>
  </w:num>
  <w:num w:numId="122" w16cid:durableId="1920209743">
    <w:abstractNumId w:val="14"/>
  </w:num>
  <w:num w:numId="123" w16cid:durableId="1651715003">
    <w:abstractNumId w:val="14"/>
  </w:num>
  <w:num w:numId="124" w16cid:durableId="1437944543">
    <w:abstractNumId w:val="14"/>
  </w:num>
  <w:num w:numId="125" w16cid:durableId="393355785">
    <w:abstractNumId w:val="14"/>
  </w:num>
  <w:num w:numId="126" w16cid:durableId="1973053042">
    <w:abstractNumId w:val="14"/>
  </w:num>
  <w:num w:numId="127" w16cid:durableId="1726370135">
    <w:abstractNumId w:val="14"/>
  </w:num>
  <w:num w:numId="128" w16cid:durableId="709839664">
    <w:abstractNumId w:val="27"/>
  </w:num>
  <w:num w:numId="129" w16cid:durableId="1191382133">
    <w:abstractNumId w:val="23"/>
  </w:num>
  <w:num w:numId="130" w16cid:durableId="692339309">
    <w:abstractNumId w:val="14"/>
  </w:num>
  <w:num w:numId="131" w16cid:durableId="214392427">
    <w:abstractNumId w:val="14"/>
  </w:num>
  <w:num w:numId="132" w16cid:durableId="150413305">
    <w:abstractNumId w:val="14"/>
  </w:num>
  <w:num w:numId="133" w16cid:durableId="1031884144">
    <w:abstractNumId w:val="14"/>
  </w:num>
  <w:num w:numId="134" w16cid:durableId="1976527165">
    <w:abstractNumId w:val="14"/>
  </w:num>
  <w:num w:numId="135" w16cid:durableId="297036444">
    <w:abstractNumId w:val="14"/>
  </w:num>
  <w:num w:numId="136" w16cid:durableId="1132478600">
    <w:abstractNumId w:val="14"/>
  </w:num>
  <w:num w:numId="137" w16cid:durableId="1959993341">
    <w:abstractNumId w:val="14"/>
  </w:num>
  <w:num w:numId="138" w16cid:durableId="1862475070">
    <w:abstractNumId w:val="14"/>
  </w:num>
  <w:num w:numId="139" w16cid:durableId="437145863">
    <w:abstractNumId w:val="44"/>
  </w:num>
  <w:num w:numId="140" w16cid:durableId="1072199300">
    <w:abstractNumId w:val="16"/>
  </w:num>
  <w:num w:numId="141" w16cid:durableId="23596686">
    <w:abstractNumId w:val="30"/>
  </w:num>
  <w:num w:numId="142" w16cid:durableId="581646382">
    <w:abstractNumId w:val="26"/>
  </w:num>
  <w:num w:numId="143" w16cid:durableId="1792935418">
    <w:abstractNumId w:val="28"/>
  </w:num>
  <w:num w:numId="144" w16cid:durableId="1706950694">
    <w:abstractNumId w:val="43"/>
  </w:num>
  <w:num w:numId="145" w16cid:durableId="1835410751">
    <w:abstractNumId w:val="27"/>
  </w:num>
  <w:num w:numId="146" w16cid:durableId="456919186">
    <w:abstractNumId w:val="19"/>
  </w:num>
  <w:num w:numId="147" w16cid:durableId="1885748039">
    <w:abstractNumId w:val="20"/>
  </w:num>
  <w:num w:numId="148" w16cid:durableId="1405683563">
    <w:abstractNumId w:val="11"/>
  </w:num>
  <w:num w:numId="149" w16cid:durableId="1298802501">
    <w:abstractNumId w:val="14"/>
  </w:num>
  <w:num w:numId="150" w16cid:durableId="843596777">
    <w:abstractNumId w:val="36"/>
  </w:num>
  <w:num w:numId="151" w16cid:durableId="2069304838">
    <w:abstractNumId w:val="34"/>
  </w:num>
  <w:num w:numId="152" w16cid:durableId="594362997">
    <w:abstractNumId w:val="20"/>
  </w:num>
  <w:num w:numId="153" w16cid:durableId="1032609103">
    <w:abstractNumId w:val="38"/>
  </w:num>
  <w:num w:numId="154" w16cid:durableId="2011130123">
    <w:abstractNumId w:val="38"/>
  </w:num>
  <w:num w:numId="155" w16cid:durableId="314531316">
    <w:abstractNumId w:val="38"/>
  </w:num>
  <w:num w:numId="156" w16cid:durableId="711466440">
    <w:abstractNumId w:val="38"/>
  </w:num>
  <w:num w:numId="157" w16cid:durableId="976450020">
    <w:abstractNumId w:val="17"/>
  </w:num>
  <w:num w:numId="158" w16cid:durableId="1966036863">
    <w:abstractNumId w:val="17"/>
  </w:num>
  <w:num w:numId="159" w16cid:durableId="2006008290">
    <w:abstractNumId w:val="17"/>
  </w:num>
  <w:num w:numId="160" w16cid:durableId="1019047065">
    <w:abstractNumId w:val="17"/>
  </w:num>
  <w:num w:numId="161" w16cid:durableId="2079133621">
    <w:abstractNumId w:val="29"/>
  </w:num>
  <w:num w:numId="162" w16cid:durableId="1057975248">
    <w:abstractNumId w:val="10"/>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en-US" w:vendorID="8" w:dllVersion="513" w:checkStyle="1"/>
  <w:activeWritingStyle w:appName="MSWord" w:lang="en-GB" w:vendorID="8" w:dllVersion="513" w:checkStyle="1"/>
  <w:activeWritingStyle w:appName="MSWord" w:lang="fr-FR" w:vendorID="9" w:dllVersion="512" w:checkStyle="1"/>
  <w:attachedTemplate r:id="rId1"/>
  <w:defaultTabStop w:val="567"/>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_GENEN"/>
  </w:docVars>
  <w:rsids>
    <w:rsidRoot w:val="003052E3"/>
    <w:rsid w:val="003052E3"/>
    <w:rsid w:val="00A52C7C"/>
    <w:rsid w:val="00E825D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60472F-419A-450C-BF4F-182F8620F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60" w:lineRule="auto"/>
    </w:pPr>
    <w:rPr>
      <w:sz w:val="24"/>
      <w:lang w:val="sv-SE" w:eastAsia="fr-BE"/>
    </w:rPr>
  </w:style>
  <w:style w:type="paragraph" w:styleId="Rubrik1">
    <w:name w:val="heading 1"/>
    <w:basedOn w:val="Normal"/>
    <w:next w:val="Normal"/>
    <w:qFormat/>
    <w:pPr>
      <w:keepNext/>
      <w:widowControl/>
      <w:numPr>
        <w:numId w:val="157"/>
      </w:numPr>
      <w:spacing w:before="360" w:after="120" w:line="240" w:lineRule="auto"/>
      <w:jc w:val="both"/>
      <w:outlineLvl w:val="0"/>
    </w:pPr>
    <w:rPr>
      <w:b/>
      <w:smallCaps/>
    </w:rPr>
  </w:style>
  <w:style w:type="paragraph" w:styleId="Rubrik2">
    <w:name w:val="heading 2"/>
    <w:basedOn w:val="Normal"/>
    <w:next w:val="Normal"/>
    <w:qFormat/>
    <w:pPr>
      <w:keepNext/>
      <w:widowControl/>
      <w:numPr>
        <w:ilvl w:val="1"/>
        <w:numId w:val="158"/>
      </w:numPr>
      <w:spacing w:before="120" w:after="120" w:line="240" w:lineRule="auto"/>
      <w:jc w:val="both"/>
      <w:outlineLvl w:val="1"/>
    </w:pPr>
    <w:rPr>
      <w:b/>
    </w:rPr>
  </w:style>
  <w:style w:type="paragraph" w:styleId="Rubrik3">
    <w:name w:val="heading 3"/>
    <w:basedOn w:val="Normal"/>
    <w:next w:val="Normal"/>
    <w:qFormat/>
    <w:pPr>
      <w:keepNext/>
      <w:widowControl/>
      <w:numPr>
        <w:ilvl w:val="2"/>
        <w:numId w:val="159"/>
      </w:numPr>
      <w:spacing w:before="120" w:after="120" w:line="240" w:lineRule="auto"/>
      <w:jc w:val="both"/>
      <w:outlineLvl w:val="2"/>
    </w:pPr>
    <w:rPr>
      <w:i/>
    </w:rPr>
  </w:style>
  <w:style w:type="paragraph" w:styleId="Rubrik4">
    <w:name w:val="heading 4"/>
    <w:basedOn w:val="Normal"/>
    <w:next w:val="Normal"/>
    <w:qFormat/>
    <w:pPr>
      <w:keepNext/>
      <w:widowControl/>
      <w:numPr>
        <w:ilvl w:val="3"/>
        <w:numId w:val="160"/>
      </w:numPr>
      <w:spacing w:before="120" w:after="120" w:line="240" w:lineRule="auto"/>
      <w:jc w:val="both"/>
      <w:outlineLvl w:val="3"/>
    </w:pPr>
  </w:style>
  <w:style w:type="paragraph" w:styleId="Rubrik5">
    <w:name w:val="heading 5"/>
    <w:basedOn w:val="Normal"/>
    <w:next w:val="Normal"/>
    <w:qFormat/>
    <w:pPr>
      <w:widowControl/>
      <w:spacing w:before="240" w:after="60" w:line="240" w:lineRule="auto"/>
      <w:jc w:val="both"/>
      <w:outlineLvl w:val="4"/>
    </w:pPr>
    <w:rPr>
      <w:rFonts w:ascii="Arial" w:hAnsi="Arial"/>
      <w:sz w:val="22"/>
    </w:rPr>
  </w:style>
  <w:style w:type="paragraph" w:styleId="Rubrik6">
    <w:name w:val="heading 6"/>
    <w:basedOn w:val="Normal"/>
    <w:next w:val="Normal"/>
    <w:qFormat/>
    <w:pPr>
      <w:widowControl/>
      <w:spacing w:before="240" w:after="60" w:line="240" w:lineRule="auto"/>
      <w:jc w:val="both"/>
      <w:outlineLvl w:val="5"/>
    </w:pPr>
    <w:rPr>
      <w:rFonts w:ascii="Arial" w:hAnsi="Arial"/>
      <w:i/>
      <w:sz w:val="22"/>
    </w:rPr>
  </w:style>
  <w:style w:type="paragraph" w:styleId="Rubrik7">
    <w:name w:val="heading 7"/>
    <w:basedOn w:val="Normal"/>
    <w:next w:val="Normal"/>
    <w:qFormat/>
    <w:pPr>
      <w:widowControl/>
      <w:spacing w:before="240" w:after="60" w:line="240" w:lineRule="auto"/>
      <w:jc w:val="both"/>
      <w:outlineLvl w:val="6"/>
    </w:pPr>
    <w:rPr>
      <w:rFonts w:ascii="Arial" w:hAnsi="Arial"/>
      <w:sz w:val="20"/>
    </w:rPr>
  </w:style>
  <w:style w:type="paragraph" w:styleId="Rubrik8">
    <w:name w:val="heading 8"/>
    <w:basedOn w:val="Normal"/>
    <w:next w:val="Normal"/>
    <w:qFormat/>
    <w:pPr>
      <w:widowControl/>
      <w:spacing w:before="240" w:after="60" w:line="240" w:lineRule="auto"/>
      <w:jc w:val="both"/>
      <w:outlineLvl w:val="7"/>
    </w:pPr>
    <w:rPr>
      <w:rFonts w:ascii="Arial" w:hAnsi="Arial"/>
      <w:i/>
      <w:sz w:val="20"/>
    </w:rPr>
  </w:style>
  <w:style w:type="paragraph" w:styleId="Rubrik9">
    <w:name w:val="heading 9"/>
    <w:basedOn w:val="Normal"/>
    <w:next w:val="Normal"/>
    <w:qFormat/>
    <w:pPr>
      <w:widowControl/>
      <w:spacing w:before="240" w:after="60" w:line="240" w:lineRule="auto"/>
      <w:jc w:val="both"/>
      <w:outlineLvl w:val="8"/>
    </w:pPr>
    <w:rPr>
      <w:rFonts w:ascii="Arial" w:hAnsi="Arial"/>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semiHidden/>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143"/>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tnotsreferens">
    <w:name w:val="footnote reference"/>
    <w:basedOn w:val="Standardstycketeckensnitt"/>
    <w:semiHidden/>
    <w:rPr>
      <w:b/>
      <w:vertAlign w:val="superscript"/>
    </w:rPr>
  </w:style>
  <w:style w:type="paragraph" w:styleId="Fotnotstext">
    <w:name w:val="footnote text"/>
    <w:basedOn w:val="Normal"/>
    <w:semiHidden/>
    <w:pPr>
      <w:tabs>
        <w:tab w:val="left" w:pos="567"/>
      </w:tabs>
      <w:spacing w:line="240" w:lineRule="auto"/>
      <w:ind w:left="567" w:hanging="567"/>
    </w:pPr>
  </w:style>
  <w:style w:type="paragraph" w:styleId="Sidhuvud">
    <w:name w:val="header"/>
    <w:basedOn w:val="Normal"/>
    <w:semiHidden/>
    <w:pPr>
      <w:tabs>
        <w:tab w:val="center" w:pos="4820"/>
        <w:tab w:val="right" w:pos="7371"/>
        <w:tab w:val="right" w:pos="9639"/>
      </w:tabs>
      <w:spacing w:line="240" w:lineRule="auto"/>
    </w:pPr>
  </w:style>
  <w:style w:type="paragraph" w:customStyle="1" w:styleId="Par-bullet">
    <w:name w:val="Par-bullet"/>
    <w:basedOn w:val="Normal"/>
    <w:next w:val="Normal"/>
    <w:pPr>
      <w:numPr>
        <w:numId w:val="139"/>
      </w:numPr>
    </w:pPr>
  </w:style>
  <w:style w:type="paragraph" w:customStyle="1" w:styleId="Par-equal">
    <w:name w:val="Par-equal"/>
    <w:basedOn w:val="Normal"/>
    <w:next w:val="Normal"/>
    <w:pPr>
      <w:numPr>
        <w:numId w:val="141"/>
      </w:numPr>
    </w:pPr>
  </w:style>
  <w:style w:type="paragraph" w:styleId="Innehll1">
    <w:name w:val="toc 1"/>
    <w:basedOn w:val="Normal"/>
    <w:next w:val="Normal"/>
    <w:semiHidden/>
    <w:pPr>
      <w:tabs>
        <w:tab w:val="left" w:pos="567"/>
        <w:tab w:val="right" w:leader="dot" w:pos="9639"/>
      </w:tabs>
      <w:ind w:left="567" w:right="567" w:hanging="567"/>
    </w:pPr>
  </w:style>
  <w:style w:type="paragraph" w:customStyle="1" w:styleId="Par-number1">
    <w:name w:val="Par-number (1)"/>
    <w:basedOn w:val="Normal"/>
    <w:next w:val="Normal"/>
    <w:pPr>
      <w:numPr>
        <w:numId w:val="142"/>
      </w:numPr>
    </w:pPr>
  </w:style>
  <w:style w:type="paragraph" w:customStyle="1" w:styleId="Par-number11">
    <w:name w:val="Par-number 1."/>
    <w:basedOn w:val="Normal"/>
    <w:next w:val="Normal"/>
    <w:pPr>
      <w:numPr>
        <w:numId w:val="144"/>
      </w:numPr>
    </w:pPr>
  </w:style>
  <w:style w:type="paragraph" w:customStyle="1" w:styleId="Par-numberI">
    <w:name w:val="Par-number I."/>
    <w:basedOn w:val="Normal"/>
    <w:next w:val="Normal"/>
    <w:pPr>
      <w:numPr>
        <w:numId w:val="148"/>
      </w:numPr>
    </w:pPr>
  </w:style>
  <w:style w:type="paragraph" w:customStyle="1" w:styleId="Par-dash">
    <w:name w:val="Par-dash"/>
    <w:basedOn w:val="Normal"/>
    <w:next w:val="Normal"/>
    <w:pPr>
      <w:numPr>
        <w:numId w:val="140"/>
      </w:numPr>
    </w:pPr>
  </w:style>
  <w:style w:type="paragraph" w:customStyle="1" w:styleId="EntLogo">
    <w:name w:val="EntLogo"/>
    <w:basedOn w:val="Normal"/>
    <w:next w:val="EntInstit"/>
    <w:rPr>
      <w:b/>
    </w:rPr>
  </w:style>
  <w:style w:type="paragraph" w:customStyle="1" w:styleId="FooterLandscape">
    <w:name w:val="FooterLandscape"/>
    <w:basedOn w:val="Sidfot"/>
    <w:pPr>
      <w:tabs>
        <w:tab w:val="clear" w:pos="4820"/>
        <w:tab w:val="clear" w:pos="9639"/>
        <w:tab w:val="center" w:pos="11340"/>
        <w:tab w:val="right" w:pos="14572"/>
      </w:tabs>
    </w:pPr>
  </w:style>
  <w:style w:type="paragraph" w:customStyle="1" w:styleId="Par-numberA">
    <w:name w:val="Par-number A."/>
    <w:basedOn w:val="Normal"/>
    <w:next w:val="Normal"/>
    <w:pPr>
      <w:numPr>
        <w:numId w:val="146"/>
      </w:numPr>
    </w:pPr>
  </w:style>
  <w:style w:type="paragraph" w:styleId="Innehll2">
    <w:name w:val="toc 2"/>
    <w:basedOn w:val="Normal"/>
    <w:next w:val="Normal"/>
    <w:semiHidden/>
    <w:pPr>
      <w:tabs>
        <w:tab w:val="left" w:pos="1134"/>
        <w:tab w:val="right" w:leader="dot" w:pos="9639"/>
      </w:tabs>
      <w:ind w:left="1134" w:right="567" w:hanging="567"/>
    </w:pPr>
  </w:style>
  <w:style w:type="paragraph" w:styleId="Innehll3">
    <w:name w:val="toc 3"/>
    <w:basedOn w:val="Normal"/>
    <w:next w:val="Normal"/>
    <w:semiHidden/>
    <w:pPr>
      <w:tabs>
        <w:tab w:val="left" w:pos="1701"/>
        <w:tab w:val="right" w:leader="dot" w:pos="9639"/>
      </w:tabs>
      <w:ind w:left="1701" w:right="567" w:hanging="567"/>
    </w:pPr>
  </w:style>
  <w:style w:type="paragraph" w:styleId="Innehll4">
    <w:name w:val="toc 4"/>
    <w:basedOn w:val="Normal"/>
    <w:next w:val="Normal"/>
    <w:semiHidden/>
    <w:pPr>
      <w:tabs>
        <w:tab w:val="left" w:pos="2268"/>
        <w:tab w:val="right" w:pos="9639"/>
      </w:tabs>
      <w:ind w:left="2268" w:right="567" w:hanging="567"/>
    </w:pPr>
  </w:style>
  <w:style w:type="paragraph" w:styleId="Innehll5">
    <w:name w:val="toc 5"/>
    <w:basedOn w:val="Normal"/>
    <w:next w:val="Normal"/>
    <w:semiHidden/>
    <w:pPr>
      <w:tabs>
        <w:tab w:val="left" w:pos="2835"/>
        <w:tab w:val="right" w:leader="dot" w:pos="9639"/>
      </w:tabs>
      <w:ind w:left="2835" w:right="567" w:hanging="567"/>
    </w:pPr>
  </w:style>
  <w:style w:type="paragraph" w:styleId="Innehll6">
    <w:name w:val="toc 6"/>
    <w:basedOn w:val="Normal"/>
    <w:next w:val="Normal"/>
    <w:semiHidden/>
    <w:pPr>
      <w:tabs>
        <w:tab w:val="left" w:pos="3402"/>
        <w:tab w:val="right" w:leader="dot" w:pos="9639"/>
      </w:tabs>
      <w:ind w:left="3402" w:right="567" w:hanging="567"/>
    </w:pPr>
  </w:style>
  <w:style w:type="paragraph" w:styleId="Innehll7">
    <w:name w:val="toc 7"/>
    <w:basedOn w:val="Normal"/>
    <w:next w:val="Normal"/>
    <w:semiHidden/>
    <w:pPr>
      <w:tabs>
        <w:tab w:val="left" w:pos="3969"/>
        <w:tab w:val="right" w:leader="dot" w:pos="9639"/>
      </w:tabs>
      <w:ind w:left="3969" w:right="567" w:hanging="567"/>
    </w:pPr>
  </w:style>
  <w:style w:type="paragraph" w:styleId="Innehll8">
    <w:name w:val="toc 8"/>
    <w:basedOn w:val="Normal"/>
    <w:next w:val="Normal"/>
    <w:semiHidden/>
    <w:pPr>
      <w:tabs>
        <w:tab w:val="left" w:pos="4536"/>
        <w:tab w:val="right" w:leader="dot" w:pos="9639"/>
      </w:tabs>
      <w:ind w:left="4536" w:right="567" w:hanging="567"/>
    </w:pPr>
  </w:style>
  <w:style w:type="paragraph" w:styleId="Innehll9">
    <w:name w:val="toc 9"/>
    <w:basedOn w:val="Normal"/>
    <w:next w:val="Normal"/>
    <w:semiHidden/>
    <w:pPr>
      <w:tabs>
        <w:tab w:val="left" w:pos="5103"/>
        <w:tab w:val="right" w:leader="dot" w:pos="9639"/>
      </w:tabs>
      <w:ind w:left="5103" w:right="567" w:hanging="567"/>
    </w:pPr>
  </w:style>
  <w:style w:type="paragraph" w:styleId="Slutnotstext">
    <w:name w:val="endnote text"/>
    <w:basedOn w:val="Normal"/>
    <w:semiHidden/>
    <w:pPr>
      <w:tabs>
        <w:tab w:val="left" w:pos="567"/>
      </w:tabs>
      <w:spacing w:line="240" w:lineRule="auto"/>
      <w:ind w:left="567" w:hanging="567"/>
    </w:pPr>
  </w:style>
  <w:style w:type="character" w:styleId="Slutnotsreferens">
    <w:name w:val="endnote reference"/>
    <w:basedOn w:val="Standardstycketeckensnitt"/>
    <w:semiHidden/>
    <w:rPr>
      <w:b/>
      <w:vertAlign w:val="superscript"/>
    </w:rPr>
  </w:style>
  <w:style w:type="paragraph" w:customStyle="1" w:styleId="AC">
    <w:name w:val="AC"/>
    <w:basedOn w:val="Normal"/>
    <w:next w:val="Normal"/>
    <w:rPr>
      <w:b/>
      <w:sz w:val="40"/>
    </w:rPr>
  </w:style>
  <w:style w:type="character" w:styleId="Sidnummer">
    <w:name w:val="page number"/>
    <w:basedOn w:val="Standardstycketeckensnitt"/>
    <w:semiHidden/>
  </w:style>
  <w:style w:type="paragraph" w:customStyle="1" w:styleId="Par-numberi0">
    <w:name w:val="Par-number (i)"/>
    <w:basedOn w:val="Normal"/>
    <w:next w:val="Normal"/>
    <w:pPr>
      <w:numPr>
        <w:numId w:val="70"/>
      </w:numPr>
      <w:tabs>
        <w:tab w:val="clear" w:pos="720"/>
        <w:tab w:val="left" w:pos="567"/>
      </w:tabs>
    </w:pPr>
  </w:style>
  <w:style w:type="paragraph" w:customStyle="1" w:styleId="Par-numbera0">
    <w:name w:val="Par-number (a)"/>
    <w:basedOn w:val="Normal"/>
    <w:next w:val="Normal"/>
    <w:pPr>
      <w:numPr>
        <w:numId w:val="90"/>
      </w:numPr>
    </w:pPr>
  </w:style>
  <w:style w:type="character" w:customStyle="1" w:styleId="DontTranslate">
    <w:name w:val="DontTranslate"/>
    <w:basedOn w:val="Standardstycketeckensnitt"/>
    <w:rPr>
      <w:color w:val="FF0000"/>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Dokumentversikt">
    <w:name w:val="Document Map"/>
    <w:basedOn w:val="Normal"/>
    <w:semiHidden/>
    <w:pPr>
      <w:shd w:val="clear" w:color="auto" w:fill="000080"/>
    </w:pPr>
    <w:rPr>
      <w:rFonts w:ascii="Tahoma" w:hAnsi="Tahoma" w:cs="Tahoma"/>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widowControl/>
      <w:spacing w:line="240" w:lineRule="auto"/>
    </w:pPr>
    <w:rPr>
      <w:sz w:val="20"/>
      <w:lang w:val="fr-BE"/>
    </w:rPr>
  </w:style>
  <w:style w:type="paragraph" w:customStyle="1"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_gene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_genen.dot</Template>
  <TotalTime>0</TotalTime>
  <Pages>2</Pages>
  <Words>891</Words>
  <Characters>4984</Characters>
  <Application>Microsoft Office Word</Application>
  <DocSecurity>4</DocSecurity>
  <Lines>160</Lines>
  <Paragraphs>63</Paragraphs>
  <ScaleCrop>false</ScaleCrop>
  <HeadingPairs>
    <vt:vector size="2" baseType="variant">
      <vt:variant>
        <vt:lpstr>Titel</vt:lpstr>
      </vt:variant>
      <vt:variant>
        <vt:i4>1</vt:i4>
      </vt:variant>
    </vt:vector>
  </HeadingPairs>
  <TitlesOfParts>
    <vt:vector size="1" baseType="lpstr">
      <vt:lpstr>GEN</vt:lpstr>
    </vt:vector>
  </TitlesOfParts>
  <Company>DTI</Company>
  <LinksUpToDate>false</LinksUpToDate>
  <CharactersWithSpaces>5812</CharactersWithSpaces>
  <SharedDoc>false</SharedDoc>
  <HLinks>
    <vt:vector size="6" baseType="variant">
      <vt:variant>
        <vt:i4>1835014</vt:i4>
      </vt:variant>
      <vt:variant>
        <vt:i4>-1</vt:i4>
      </vt:variant>
      <vt:variant>
        <vt:i4>1040</vt:i4>
      </vt:variant>
      <vt:variant>
        <vt:i4>1</vt:i4>
      </vt:variant>
      <vt:variant>
        <vt:lpwstr>LogoCons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GEN</dc:subject>
  <dc:creator>Riksdagen</dc:creator>
  <cp:keywords>Riksdagen</cp:keywords>
  <cp:lastModifiedBy>Lars Brink</cp:lastModifiedBy>
  <cp:revision>2</cp:revision>
  <cp:lastPrinted>2006-05-18T08:22:00Z</cp:lastPrinted>
  <dcterms:created xsi:type="dcterms:W3CDTF">2025-12-16T23:10:00Z</dcterms:created>
  <dcterms:modified xsi:type="dcterms:W3CDTF">2025-12-16T23:10:00Z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1229632088</vt:i4>
  </property>
</Properties>
</file>