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B20" w:rsidRPr="00F40B20" w:rsidRDefault="00F40B20">
      <w:pPr>
        <w:pStyle w:val="Frslagsrubrik"/>
      </w:pPr>
      <w:r w:rsidRPr="00F40B20">
        <w:t>Förslag till riksdagsbeslut</w:t>
      </w:r>
    </w:p>
    <w:p w:rsidR="00F40B20" w:rsidRPr="00F40B20" w:rsidRDefault="00F40B20">
      <w:pPr>
        <w:pStyle w:val="Hemstlatt"/>
        <w:ind w:left="0"/>
      </w:pPr>
      <w:r w:rsidRPr="00F40B20">
        <w:t>Riksdagen tillkännager för regeringen som sin mening vad som anförs i motionen om vikten av att kultursektorn snarast får en r</w:t>
      </w:r>
      <w:r w:rsidRPr="00F40B20">
        <w:t>e</w:t>
      </w:r>
      <w:r w:rsidRPr="00F40B20">
        <w:t>sursenhet för genusfrågor.</w:t>
      </w:r>
    </w:p>
    <w:p w:rsidR="00F40B20" w:rsidRPr="00F40B20" w:rsidRDefault="00F40B20">
      <w:pPr>
        <w:pStyle w:val="Rubrik1"/>
      </w:pPr>
      <w:r w:rsidRPr="00F40B20">
        <w:t>Motivering</w:t>
      </w:r>
    </w:p>
    <w:p w:rsidR="00F40B20" w:rsidRPr="00F40B20" w:rsidRDefault="00F40B20">
      <w:r w:rsidRPr="00F40B20">
        <w:t xml:space="preserve">Behovet av ett genusperspektiv inom kultursektorn generellt och museer speciellt har diskuterats länge. </w:t>
      </w:r>
      <w:r w:rsidRPr="00F40B20">
        <w:rPr>
          <w:bCs/>
        </w:rPr>
        <w:t>Det åligger redan nu</w:t>
      </w:r>
      <w:r w:rsidRPr="00F40B20">
        <w:t xml:space="preserve"> de statliga museerna att beakta könsperspektivet i alla delar av sin verksamhet. Dessvärre är kvinnors villkor och historia fortfarande dåligt belysta på dagens museer. Ett problem som en inventering av museianställdas utbildningar visar är att ämnet genu</w:t>
      </w:r>
      <w:r w:rsidRPr="00F40B20">
        <w:t>s</w:t>
      </w:r>
      <w:r w:rsidRPr="00F40B20">
        <w:t>vetenskap är relativt nytt inom universitetsvärlden och därför saknade många museitjänstemän som varit yrkesverksamma länge denna kompetens. Detta innebär att det i praktiken är svårt att applicera ett genusperspektiv på museal verksam</w:t>
      </w:r>
      <w:r w:rsidRPr="00F40B20">
        <w:t>het.</w:t>
      </w:r>
    </w:p>
    <w:p w:rsidR="00F40B20" w:rsidRPr="00F40B20" w:rsidRDefault="00F40B20">
      <w:pPr>
        <w:pStyle w:val="Normaltindrag"/>
      </w:pPr>
      <w:r w:rsidRPr="00F40B20">
        <w:rPr>
          <w:bCs/>
        </w:rPr>
        <w:t>I sammanhanget är det viktigt att</w:t>
      </w:r>
      <w:r w:rsidRPr="00F40B20">
        <w:t xml:space="preserve"> betona att genusperspektivet inte autom</w:t>
      </w:r>
      <w:r w:rsidRPr="00F40B20">
        <w:t>a</w:t>
      </w:r>
      <w:r w:rsidRPr="00F40B20">
        <w:t>tiskt förs in genom att man lyfter fram kvinnor ur historien eller lägger till föremål med anknytning till kvinnors liv och arbete. Istället krävs det att museerna också problematiserar maktrelationen mellan könen och mer aktivt tar till sig kunskaper från genusvetenskaplig forskning.</w:t>
      </w:r>
    </w:p>
    <w:p w:rsidR="00F40B20" w:rsidRPr="00F40B20" w:rsidRDefault="00F40B20">
      <w:pPr>
        <w:pStyle w:val="Normaltindrag"/>
      </w:pPr>
      <w:r w:rsidRPr="00F40B20">
        <w:t xml:space="preserve">Den dåvarande regeringen poängterar i propositionen </w:t>
      </w:r>
      <w:r w:rsidRPr="00F40B20">
        <w:rPr>
          <w:i/>
          <w:iCs/>
        </w:rPr>
        <w:t xml:space="preserve">Kulturpolitik </w:t>
      </w:r>
      <w:r w:rsidRPr="00F40B20">
        <w:t>(prop. 1996/97:3) det ansvar kultursektorn har för att belysa köns- och jämställ</w:t>
      </w:r>
      <w:r w:rsidRPr="00F40B20">
        <w:t>d</w:t>
      </w:r>
      <w:r w:rsidRPr="00F40B20">
        <w:t>hetsperspektiv. Bevarandet av kulturarvet ska vara representativt och rättvist, men så ser det inte ut inom museisektorn. Det manliga kulturarvet och den manliga konsten har ofta varit normerande på museerna, medan kvinnors, ungdomars och barns historia varit underrepresenterade (Ds 2003:61, s. 17 f.). De allmänna målen för kulturpolitiken brukar kallas kulturarvets demokrati</w:t>
      </w:r>
      <w:r w:rsidRPr="00F40B20">
        <w:t>s</w:t>
      </w:r>
      <w:r w:rsidRPr="00F40B20">
        <w:t>ka funktion och innebär att alla männi</w:t>
      </w:r>
      <w:r w:rsidRPr="00F40B20">
        <w:t>skor har rätt att få sitt kulturarv beva</w:t>
      </w:r>
      <w:r w:rsidRPr="00F40B20">
        <w:lastRenderedPageBreak/>
        <w:t>rat och tillgängliggjort. Detta budskap uttrycks årligen i de statliga institutione</w:t>
      </w:r>
      <w:r w:rsidRPr="00F40B20">
        <w:t>r</w:t>
      </w:r>
      <w:r w:rsidRPr="00F40B20">
        <w:t>nas regleringsbrev, men utan att ge tillräckliga resultat. Därför tillsatte den dåvarande kulturministern 2001 en arbetsgrupp vars huvuduppdrag var att utreda och ta fram förslag på åtgärder för hur genusperspektivet kan få större genomslag i museerna. Dessutom skulle arbetsgruppen ”Genus på m</w:t>
      </w:r>
      <w:r w:rsidRPr="00F40B20">
        <w:t>u</w:t>
      </w:r>
      <w:r w:rsidRPr="00F40B20">
        <w:t>seer” undersöka möjligheterna för etablerandet av en resursenhet för genu</w:t>
      </w:r>
      <w:r w:rsidRPr="00F40B20">
        <w:t>s</w:t>
      </w:r>
      <w:r w:rsidRPr="00F40B20">
        <w:t>frågor, dit museern</w:t>
      </w:r>
      <w:r w:rsidRPr="00F40B20">
        <w:t>a skulle kunna vända sig för råd, stöd och hjälp i sin ver</w:t>
      </w:r>
      <w:r w:rsidRPr="00F40B20">
        <w:t>k</w:t>
      </w:r>
      <w:r w:rsidRPr="00F40B20">
        <w:t>samhet. Utredningen blev klar 2006, och sedan dess har inga initiativ tagits från rege</w:t>
      </w:r>
      <w:r w:rsidRPr="00F40B20">
        <w:t>r</w:t>
      </w:r>
      <w:r w:rsidRPr="00F40B20">
        <w:t>ingen.</w:t>
      </w:r>
    </w:p>
    <w:p w:rsidR="00F40B20" w:rsidRPr="00F40B20" w:rsidRDefault="00F40B20">
      <w:pPr>
        <w:pStyle w:val="Rubrik1"/>
      </w:pPr>
      <w:r w:rsidRPr="00F40B20">
        <w:t>Förslag till åtgärd</w:t>
      </w:r>
    </w:p>
    <w:p w:rsidR="00F40B20" w:rsidRPr="00F40B20" w:rsidRDefault="00F40B20">
      <w:pPr>
        <w:autoSpaceDE w:val="0"/>
        <w:autoSpaceDN w:val="0"/>
        <w:adjustRightInd w:val="0"/>
      </w:pPr>
      <w:r w:rsidRPr="00F40B20">
        <w:t>Miljöpartiet menar att det är viktigt att arbetet för att föra in ett genusperspe</w:t>
      </w:r>
      <w:r w:rsidRPr="00F40B20">
        <w:t>k</w:t>
      </w:r>
      <w:r w:rsidRPr="00F40B20">
        <w:t>tiv på de nuvarande museerna fortsätter och stärks, men att det även behövs en resursenhet för en långsiktighet samt för en status och legitimitet i muse</w:t>
      </w:r>
      <w:r w:rsidRPr="00F40B20">
        <w:t>i</w:t>
      </w:r>
      <w:r w:rsidRPr="00F40B20">
        <w:t>världen.</w:t>
      </w:r>
    </w:p>
    <w:p w:rsidR="00F40B20" w:rsidRPr="00F40B20" w:rsidRDefault="00F40B20">
      <w:pPr>
        <w:pStyle w:val="Normaltindrag"/>
      </w:pPr>
      <w:r w:rsidRPr="00F40B20">
        <w:t>En resursenhet skulle fungera som ett externt stöd åt museerna för att de utifrån genusvetenskaplig kunskap ska kunna granska och problematisera den egna verksamheten. Den skulle även fungera som pådrivare i genusfrågor och förmedla kontakter och forskning, dvs. verka som utvecklare och kunskap</w:t>
      </w:r>
      <w:r w:rsidRPr="00F40B20">
        <w:t>s</w:t>
      </w:r>
      <w:r w:rsidRPr="00F40B20">
        <w:t>bank inom kultursektorn i stort. I fråga om finansiering anser jag att verksa</w:t>
      </w:r>
      <w:r w:rsidRPr="00F40B20">
        <w:t>m</w:t>
      </w:r>
      <w:r w:rsidRPr="00F40B20">
        <w:t>heten bör inrymmas inom anslagsområde 17 i statsbudgeten.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B20">
        <w:trPr>
          <w:cantSplit/>
        </w:trPr>
        <w:tc>
          <w:tcPr>
            <w:tcW w:w="3046" w:type="dxa"/>
          </w:tcPr>
          <w:p w:rsidR="00F40B20" w:rsidRPr="00F40B20" w:rsidRDefault="00F40B20">
            <w:pPr>
              <w:pStyle w:val="UnderskriftDatum"/>
              <w:spacing w:before="240"/>
            </w:pPr>
            <w:r w:rsidRPr="00F40B20">
              <w:t>Stockholm den 21 oktober 2010</w:t>
            </w:r>
          </w:p>
        </w:tc>
        <w:tc>
          <w:tcPr>
            <w:tcW w:w="3047" w:type="dxa"/>
          </w:tcPr>
          <w:p w:rsidR="00F40B20" w:rsidRPr="00F40B20" w:rsidRDefault="00F40B20">
            <w:pPr>
              <w:pStyle w:val="Underskrifter"/>
              <w:spacing w:before="240"/>
            </w:pPr>
          </w:p>
        </w:tc>
      </w:tr>
      <w:tr w:rsidR="00000000" w:rsidRPr="00F40B20">
        <w:trPr>
          <w:cantSplit/>
        </w:trPr>
        <w:tc>
          <w:tcPr>
            <w:tcW w:w="3046" w:type="dxa"/>
          </w:tcPr>
          <w:p w:rsidR="00F40B20" w:rsidRPr="00F40B20" w:rsidRDefault="00F40B20">
            <w:pPr>
              <w:pStyle w:val="Underskrifter"/>
            </w:pPr>
            <w:r w:rsidRPr="00F40B20">
              <w:t>Esabelle Dingizian (MP)</w:t>
            </w:r>
          </w:p>
        </w:tc>
        <w:tc>
          <w:tcPr>
            <w:tcW w:w="3046" w:type="dxa"/>
          </w:tcPr>
          <w:p w:rsidR="00F40B20" w:rsidRPr="00F40B20" w:rsidRDefault="00F40B20">
            <w:pPr>
              <w:pStyle w:val="Underskrifter"/>
            </w:pPr>
          </w:p>
        </w:tc>
      </w:tr>
    </w:tbl>
    <w:p w:rsidR="00F40B20" w:rsidRPr="00F40B20" w:rsidRDefault="00F40B20">
      <w:pPr>
        <w:pStyle w:val="Normaltindrag"/>
      </w:pPr>
    </w:p>
    <w:sectPr w:rsidR="00000000" w:rsidRPr="00F40B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B20" w:rsidRPr="00F40B20" w:rsidRDefault="00F40B20">
      <w:r w:rsidRPr="00F40B20">
        <w:separator/>
      </w:r>
    </w:p>
  </w:endnote>
  <w:endnote w:type="continuationSeparator" w:id="0">
    <w:p w:rsidR="00F40B20" w:rsidRPr="00F40B20" w:rsidRDefault="00F40B20">
      <w:r w:rsidRPr="00F40B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B20" w:rsidRPr="00F40B20" w:rsidRDefault="00F40B20">
    <w:pPr>
      <w:pStyle w:val="Sidfot"/>
    </w:pPr>
    <w:r w:rsidRPr="00F40B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22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B20" w:rsidRDefault="00F40B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B20" w:rsidRDefault="00F40B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B20" w:rsidRPr="00F40B20" w:rsidRDefault="00F40B20">
    <w:pPr>
      <w:pStyle w:val="Sidfot"/>
    </w:pPr>
    <w:r w:rsidRPr="00F40B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902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B20" w:rsidRDefault="00F40B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B20" w:rsidRDefault="00F40B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B20" w:rsidRPr="00F40B20" w:rsidRDefault="00F40B20">
    <w:pPr>
      <w:pStyle w:val="Sidfot"/>
    </w:pPr>
    <w:r w:rsidRPr="00F40B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064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B20" w:rsidRDefault="00F40B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B20" w:rsidRDefault="00F40B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B20" w:rsidRPr="00F40B20" w:rsidRDefault="00F40B20">
      <w:r w:rsidRPr="00F40B20">
        <w:separator/>
      </w:r>
    </w:p>
  </w:footnote>
  <w:footnote w:type="continuationSeparator" w:id="0">
    <w:p w:rsidR="00F40B20" w:rsidRPr="00F40B20" w:rsidRDefault="00F40B20">
      <w:r w:rsidRPr="00F40B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B20" w:rsidRPr="00F40B20" w:rsidRDefault="00F40B20">
    <w:pPr>
      <w:pStyle w:val="Sidhuvud"/>
    </w:pPr>
    <w:r w:rsidRPr="00F40B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0167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B20" w:rsidRDefault="00F40B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B20" w:rsidRDefault="00F40B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B20" w:rsidRPr="00F40B20" w:rsidRDefault="00F40B20">
    <w:pPr>
      <w:pStyle w:val="Sidhuvud"/>
    </w:pPr>
    <w:r w:rsidRPr="00F40B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4458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B20" w:rsidRDefault="00F40B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B20" w:rsidRDefault="00F40B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B20" w:rsidRPr="00F40B20" w:rsidRDefault="00F40B20">
    <w:pPr>
      <w:pStyle w:val="FSHNormal"/>
      <w:tabs>
        <w:tab w:val="right" w:pos="5840"/>
      </w:tabs>
    </w:pPr>
    <w:r w:rsidRPr="00F40B20">
      <w:br/>
    </w:r>
    <w:r w:rsidRPr="00F40B20">
      <w:fldChar w:fldCharType="begin" w:fldLock="1"/>
    </w:r>
    <w:r w:rsidRPr="00F40B20">
      <w:instrText xml:space="preserve"> DOCPROPERTY</w:instrText>
    </w:r>
    <w:r w:rsidRPr="00F40B20">
      <w:rPr>
        <w:sz w:val="18"/>
      </w:rPr>
      <w:instrText xml:space="preserve"> "YearUser" *\charformat </w:instrText>
    </w:r>
    <w:r w:rsidRPr="00F40B20">
      <w:fldChar w:fldCharType="separate"/>
    </w:r>
    <w:r w:rsidRPr="00F40B20">
      <w:t>2010/11</w:t>
    </w:r>
    <w:r w:rsidRPr="00F40B20">
      <w:fldChar w:fldCharType="end"/>
    </w:r>
    <w:r w:rsidRPr="00F40B20">
      <w:t xml:space="preserve"> </w:t>
    </w:r>
    <w:r w:rsidRPr="00F40B20">
      <w:tab/>
      <w:t xml:space="preserve">mnr: </w:t>
    </w:r>
    <w:r w:rsidRPr="00F40B20">
      <w:fldChar w:fldCharType="begin" w:fldLock="1"/>
    </w:r>
    <w:r w:rsidRPr="00F40B20">
      <w:instrText xml:space="preserve"> DOCPROPERTY</w:instrText>
    </w:r>
    <w:r w:rsidRPr="00F40B20">
      <w:rPr>
        <w:sz w:val="18"/>
      </w:rPr>
      <w:instrText xml:space="preserve"> "Motionsnummer" *\charformat </w:instrText>
    </w:r>
    <w:r w:rsidRPr="00F40B20">
      <w:fldChar w:fldCharType="separate"/>
    </w:r>
    <w:r w:rsidRPr="00F40B20">
      <w:t>Kr210</w:t>
    </w:r>
    <w:r w:rsidRPr="00F40B20">
      <w:fldChar w:fldCharType="end"/>
    </w:r>
    <w:r w:rsidRPr="00F40B20">
      <w:br/>
    </w:r>
    <w:r w:rsidRPr="00F40B20">
      <w:fldChar w:fldCharType="begin" w:fldLock="1"/>
    </w:r>
    <w:r w:rsidRPr="00F40B20">
      <w:instrText xml:space="preserve"> DOCPROPERTY</w:instrText>
    </w:r>
    <w:r w:rsidRPr="00F40B20">
      <w:rPr>
        <w:sz w:val="18"/>
      </w:rPr>
      <w:instrText xml:space="preserve"> "Samling" *\charformat </w:instrText>
    </w:r>
    <w:r w:rsidRPr="00F40B20">
      <w:fldChar w:fldCharType="end"/>
    </w:r>
    <w:r w:rsidRPr="00F40B20">
      <w:tab/>
      <w:t xml:space="preserve">pnr: </w:t>
    </w:r>
    <w:r w:rsidRPr="00F40B20">
      <w:fldChar w:fldCharType="begin" w:fldLock="1"/>
    </w:r>
    <w:r w:rsidRPr="00F40B20">
      <w:instrText xml:space="preserve"> DOCPROPERTY</w:instrText>
    </w:r>
    <w:r w:rsidRPr="00F40B20">
      <w:rPr>
        <w:sz w:val="18"/>
      </w:rPr>
      <w:instrText xml:space="preserve"> "Partinummer" *\charformat </w:instrText>
    </w:r>
    <w:r w:rsidRPr="00F40B20">
      <w:fldChar w:fldCharType="separate"/>
    </w:r>
    <w:r w:rsidRPr="00F40B20">
      <w:t>MP1501</w:t>
    </w:r>
    <w:r w:rsidRPr="00F40B20">
      <w:fldChar w:fldCharType="end"/>
    </w:r>
  </w:p>
  <w:p w:rsidR="00F40B20" w:rsidRPr="00F40B20" w:rsidRDefault="00F40B20">
    <w:pPr>
      <w:pStyle w:val="FSHRub1"/>
    </w:pPr>
    <w:r w:rsidRPr="00F40B20">
      <w:t>Motion till riksdagen</w:t>
    </w:r>
    <w:r w:rsidRPr="00F40B20">
      <w:br/>
    </w:r>
    <w:r w:rsidRPr="00F40B20">
      <w:fldChar w:fldCharType="begin" w:fldLock="1"/>
    </w:r>
    <w:r w:rsidRPr="00F40B20">
      <w:instrText xml:space="preserve"> DOCPROPERTY "YearUser" *\charformat </w:instrText>
    </w:r>
    <w:r w:rsidRPr="00F40B20">
      <w:fldChar w:fldCharType="separate"/>
    </w:r>
    <w:r w:rsidRPr="00F40B20">
      <w:t>2010/11</w:t>
    </w:r>
    <w:r w:rsidRPr="00F40B20">
      <w:fldChar w:fldCharType="end"/>
    </w:r>
    <w:r w:rsidRPr="00F40B20">
      <w:t>:</w:t>
    </w:r>
    <w:r w:rsidRPr="00F40B20">
      <w:fldChar w:fldCharType="begin" w:fldLock="1"/>
    </w:r>
    <w:r w:rsidRPr="00F40B20">
      <w:instrText xml:space="preserve"> DOCPROPERTY "Motionsnummer" *\charformat </w:instrText>
    </w:r>
    <w:r w:rsidRPr="00F40B20">
      <w:fldChar w:fldCharType="separate"/>
    </w:r>
    <w:r w:rsidRPr="00F40B20">
      <w:t>Kr210</w:t>
    </w:r>
    <w:r w:rsidRPr="00F40B20">
      <w:fldChar w:fldCharType="end"/>
    </w:r>
  </w:p>
  <w:p w:rsidR="00F40B20" w:rsidRPr="00F40B20" w:rsidRDefault="00F40B20">
    <w:pPr>
      <w:pStyle w:val="FSHNormalS5"/>
    </w:pPr>
    <w:r w:rsidRPr="00F40B20">
      <w:fldChar w:fldCharType="begin" w:fldLock="1"/>
    </w:r>
    <w:r w:rsidRPr="00F40B20">
      <w:instrText xml:space="preserve"> DOCPROPERTY "MotionarText" *\charformat </w:instrText>
    </w:r>
    <w:r w:rsidRPr="00F40B20">
      <w:fldChar w:fldCharType="separate"/>
    </w:r>
    <w:r w:rsidRPr="00F40B20">
      <w:t>av Esabelle Dingizian (MP)</w:t>
    </w:r>
    <w:r w:rsidRPr="00F40B20">
      <w:fldChar w:fldCharType="end"/>
    </w:r>
    <w:r w:rsidRPr="00F40B20">
      <w:br/>
    </w:r>
    <w:r w:rsidRPr="00F40B20">
      <w:fldChar w:fldCharType="begin" w:fldLock="1"/>
    </w:r>
    <w:r w:rsidRPr="00F40B20">
      <w:instrText xml:space="preserve"> DOCPROPERTY "SvarFrasKort" *\charformat </w:instrText>
    </w:r>
    <w:r w:rsidRPr="00F40B20">
      <w:fldChar w:fldCharType="end"/>
    </w:r>
  </w:p>
  <w:p w:rsidR="00F40B20" w:rsidRPr="00F40B20" w:rsidRDefault="00F40B20">
    <w:pPr>
      <w:pStyle w:val="FSHTitel"/>
    </w:pPr>
    <w:r w:rsidRPr="00F40B20">
      <w:fldChar w:fldCharType="begin" w:fldLock="1"/>
    </w:r>
    <w:r w:rsidRPr="00F40B20">
      <w:instrText xml:space="preserve"> DOCPROPERTY</w:instrText>
    </w:r>
    <w:r w:rsidRPr="00F40B20">
      <w:rPr>
        <w:sz w:val="18"/>
      </w:rPr>
      <w:instrText xml:space="preserve"> "RubrikSvar" *\charformat </w:instrText>
    </w:r>
    <w:r w:rsidRPr="00F40B20">
      <w:fldChar w:fldCharType="separate"/>
    </w:r>
    <w:r w:rsidRPr="00F40B20">
      <w:t>Resursenhet för genus</w:t>
    </w:r>
    <w:r w:rsidRPr="00F40B20">
      <w:fldChar w:fldCharType="end"/>
    </w:r>
  </w:p>
  <w:p w:rsidR="00F40B20" w:rsidRPr="00F40B20" w:rsidRDefault="00F40B20">
    <w:pPr>
      <w:pStyle w:val="Normal00"/>
    </w:pPr>
  </w:p>
  <w:p w:rsidR="00F40B20" w:rsidRPr="00F40B20" w:rsidRDefault="00F40B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631588F"/>
    <w:multiLevelType w:val="hybridMultilevel"/>
    <w:tmpl w:val="7898C5F0"/>
    <w:lvl w:ilvl="0" w:tplc="0E5A00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3001931">
    <w:abstractNumId w:val="3"/>
  </w:num>
  <w:num w:numId="2" w16cid:durableId="1805737097">
    <w:abstractNumId w:val="2"/>
  </w:num>
  <w:num w:numId="3" w16cid:durableId="721439120">
    <w:abstractNumId w:val="1"/>
  </w:num>
  <w:num w:numId="4" w16cid:durableId="1415664447">
    <w:abstractNumId w:val="0"/>
  </w:num>
  <w:num w:numId="5" w16cid:durableId="1770001763">
    <w:abstractNumId w:val="7"/>
  </w:num>
  <w:num w:numId="6" w16cid:durableId="889801488">
    <w:abstractNumId w:val="6"/>
  </w:num>
  <w:num w:numId="7" w16cid:durableId="1448962274">
    <w:abstractNumId w:val="5"/>
  </w:num>
  <w:num w:numId="8" w16cid:durableId="31851300">
    <w:abstractNumId w:val="4"/>
  </w:num>
  <w:num w:numId="9" w16cid:durableId="620693669">
    <w:abstractNumId w:val="8"/>
  </w:num>
  <w:num w:numId="10" w16cid:durableId="1407149442">
    <w:abstractNumId w:val="9"/>
  </w:num>
  <w:num w:numId="11" w16cid:durableId="2028362361">
    <w:abstractNumId w:val="10"/>
  </w:num>
  <w:num w:numId="12" w16cid:durableId="529488061">
    <w:abstractNumId w:val="13"/>
  </w:num>
  <w:num w:numId="13" w16cid:durableId="455955209">
    <w:abstractNumId w:val="15"/>
  </w:num>
  <w:num w:numId="14" w16cid:durableId="1421484483">
    <w:abstractNumId w:val="17"/>
  </w:num>
  <w:num w:numId="15" w16cid:durableId="2035767185">
    <w:abstractNumId w:val="11"/>
  </w:num>
  <w:num w:numId="16" w16cid:durableId="481197856">
    <w:abstractNumId w:val="19"/>
  </w:num>
  <w:num w:numId="17" w16cid:durableId="1163007470">
    <w:abstractNumId w:val="18"/>
  </w:num>
  <w:num w:numId="18" w16cid:durableId="1846549537">
    <w:abstractNumId w:val="14"/>
  </w:num>
  <w:num w:numId="19" w16cid:durableId="1576165341">
    <w:abstractNumId w:val="12"/>
  </w:num>
  <w:num w:numId="20" w16cid:durableId="15876185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1D8EF1E5-F0F1-44B1-A39B-07018B6AC14E}"/>
  </w:docVars>
  <w:rsids>
    <w:rsidRoot w:val="005B244F"/>
    <w:rsid w:val="005B244F"/>
    <w:rsid w:val="00F40B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7064563-6F2E-41D7-94F6-9EF1623A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2713</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MP1501</vt:lpstr>
    </vt:vector>
  </TitlesOfParts>
  <Company>Riksdagen</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MP1501</dc:title>
  <dc:subject>MP1501</dc:subject>
  <dc:creator>Riksdagen</dc:creator>
  <cp:keywords>Riksdagen</cp:keywords>
  <dc:description>Versal/gemen i partibeteckning. Gemen i tryck för 0910, versal för 1011 och nyare MP-special</dc:description>
  <cp:lastModifiedBy>Lars Brink</cp:lastModifiedBy>
  <cp:revision>2</cp:revision>
  <cp:lastPrinted>2010-11-11T11:54:00Z</cp:lastPrinted>
  <dcterms:created xsi:type="dcterms:W3CDTF">2025-12-18T01:15:00Z</dcterms:created>
  <dcterms:modified xsi:type="dcterms:W3CDTF">2025-12-18T01:15:00Z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Resursenhet för genus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Resursenhet för genus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MP1501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Esabelle Dingizian (MP)</vt:lpwstr>
  </property>
  <property fmtid="{D5CDD505-2E9C-101B-9397-08002B2CF9AE}" pid="26" name="MotionarLista">
    <vt:lpwstr>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20102011000000770080000015010069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20102011000000770080000015010069</vt:lpwstr>
  </property>
  <property fmtid="{D5CDD505-2E9C-101B-9397-08002B2CF9AE}" pid="50" name="nummer">
    <vt:lpwstr>210</vt:lpwstr>
  </property>
  <property fmtid="{D5CDD505-2E9C-101B-9397-08002B2CF9AE}" pid="51" name="utskottsbeteckning">
    <vt:lpwstr>Kr</vt:lpwstr>
  </property>
  <property fmtid="{D5CDD505-2E9C-101B-9397-08002B2CF9AE}" pid="52" name="GlobalUID">
    <vt:lpwstr>{2DE287BF-DFA9-465A-8BF4-A44FD3D7F820}</vt:lpwstr>
  </property>
  <property fmtid="{D5CDD505-2E9C-101B-9397-08002B2CF9AE}" pid="53" name="Överföringar">
    <vt:i4>0</vt:i4>
  </property>
  <property fmtid="{D5CDD505-2E9C-101B-9397-08002B2CF9AE}" pid="54" name="Checksum">
    <vt:lpwstr>*0011345005063*</vt:lpwstr>
  </property>
  <property fmtid="{D5CDD505-2E9C-101B-9397-08002B2CF9AE}" pid="55" name="skuggnummer">
    <vt:lpwstr>329</vt:lpwstr>
  </property>
  <property fmtid="{D5CDD505-2E9C-101B-9397-08002B2CF9AE}" pid="56" name="urixVersion">
    <vt:lpwstr>4.3.0.0</vt:lpwstr>
  </property>
  <property fmtid="{D5CDD505-2E9C-101B-9397-08002B2CF9AE}" pid="57" name="urixOrigin">
    <vt:lpwstr>101112 14:41:34.783</vt:lpwstr>
  </property>
  <property fmtid="{D5CDD505-2E9C-101B-9397-08002B2CF9AE}" pid="58" name="urixGuid">
    <vt:lpwstr>{D1A176DF-B085-44B6-958E-9F90F8888AE9}</vt:lpwstr>
  </property>
</Properties>
</file>