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020E62B2C2E480294DD3C75C5673C1A"/>
        </w:placeholder>
        <w15:appearance w15:val="hidden"/>
        <w:text/>
      </w:sdtPr>
      <w:sdtEndPr/>
      <w:sdtContent>
        <w:p w:rsidRPr="009B062B" w:rsidR="00AF30DD" w:rsidP="009B062B" w:rsidRDefault="00AF30DD" w14:paraId="584DCBD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ce72061-fa06-4d15-a252-e6f5e57a43f6"/>
        <w:id w:val="-336459728"/>
        <w:lock w:val="sdtLocked"/>
      </w:sdtPr>
      <w:sdtEndPr/>
      <w:sdtContent>
        <w:p w:rsidR="00311D6C" w:rsidRDefault="007D0C0B" w14:paraId="584DCBDF" w14:textId="77777777">
          <w:pPr>
            <w:pStyle w:val="Frslagstext"/>
          </w:pPr>
          <w:r>
            <w:t>Riksdagen ställer sig bakom det som anförs i motionen om att utreda behovet av avlastnings- och omledningsmöjligheter i det svenska järnvägsnätet och tillkännager detta för regeringen.</w:t>
          </w:r>
        </w:p>
      </w:sdtContent>
    </w:sdt>
    <w:sdt>
      <w:sdtPr>
        <w:alias w:val="Yrkande 2"/>
        <w:tag w:val="4d0f46e3-7128-49f4-8bb6-dd67aebb8c72"/>
        <w:id w:val="1448120302"/>
        <w:lock w:val="sdtLocked"/>
      </w:sdtPr>
      <w:sdtEndPr/>
      <w:sdtContent>
        <w:p w:rsidR="00311D6C" w:rsidRDefault="007D0C0B" w14:paraId="584DCBE0" w14:textId="77777777">
          <w:pPr>
            <w:pStyle w:val="Frslagstext"/>
          </w:pPr>
          <w:r>
            <w:t>Riksdagen ställer sig bakom det som anförs i motionen om att särskilt analysera Inlandsbanans strategiska betydelse i det nationella transportsystemet och tillkännager detta för regeringen.</w:t>
          </w:r>
        </w:p>
      </w:sdtContent>
    </w:sdt>
    <w:sdt>
      <w:sdtPr>
        <w:alias w:val="Yrkande 3"/>
        <w:tag w:val="f90a7874-13a1-4d52-b3b7-c8f1e6935920"/>
        <w:id w:val="-124157076"/>
        <w:lock w:val="sdtLocked"/>
      </w:sdtPr>
      <w:sdtEndPr/>
      <w:sdtContent>
        <w:p w:rsidR="00311D6C" w:rsidRDefault="007D0C0B" w14:paraId="584DCBE1" w14:textId="4CF13765">
          <w:pPr>
            <w:pStyle w:val="Frslagstext"/>
          </w:pPr>
          <w:r>
            <w:t>Riksdagen ställer sig bakom det som anförs i motionen om att ge Trafikverket uppdraget att tillsammans med Inlandsbanan AB utreda alternativ finansiering för en nödvändig framtidsinvestering av Inlandsbanan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AB94FDA73A4ADCA59D0813AA0C9335"/>
        </w:placeholder>
        <w15:appearance w15:val="hidden"/>
        <w:text/>
      </w:sdtPr>
      <w:sdtEndPr/>
      <w:sdtContent>
        <w:p w:rsidRPr="009B062B" w:rsidR="006D79C9" w:rsidP="00333E95" w:rsidRDefault="006D79C9" w14:paraId="584DCBE2" w14:textId="77777777">
          <w:pPr>
            <w:pStyle w:val="Rubrik1"/>
          </w:pPr>
          <w:r>
            <w:t>Motivering</w:t>
          </w:r>
        </w:p>
      </w:sdtContent>
    </w:sdt>
    <w:p w:rsidR="0032133E" w:rsidP="0032133E" w:rsidRDefault="0032133E" w14:paraId="584DCBE3" w14:textId="77777777">
      <w:pPr>
        <w:pStyle w:val="Normalutanindragellerluft"/>
      </w:pPr>
      <w:r>
        <w:t xml:space="preserve">Sverige är ett vidsträckt land där infrastrukturen med framförallt vägar och järnvägar har avgörande betydelse för att hela Sverige ska leva. </w:t>
      </w:r>
    </w:p>
    <w:p w:rsidRPr="0054760F" w:rsidR="0032133E" w:rsidP="0054760F" w:rsidRDefault="0032133E" w14:paraId="584DCBE4" w14:textId="3671112C">
      <w:r w:rsidRPr="0054760F">
        <w:t>En viktig pulsåder för inlandet har under de senaste hundra åren varit Inlandsbanan som i sin fulla längd sträcker sig från Gällivare i norr till Kristinehamn vid Vänern. Idag äger 19 kommuner längs banans ursprungliga sträckning Inlandsbanan AB (Ibab) som sedan 1993 har statens uppdrag av förvalta inlandsbanan för den 110</w:t>
      </w:r>
      <w:r w:rsidRPr="0054760F" w:rsidR="0054760F">
        <w:t xml:space="preserve"> mil långa sträckan Gällivare–</w:t>
      </w:r>
      <w:r w:rsidRPr="0054760F">
        <w:t xml:space="preserve">Mora. </w:t>
      </w:r>
    </w:p>
    <w:p w:rsidRPr="0054760F" w:rsidR="0032133E" w:rsidP="0054760F" w:rsidRDefault="0032133E" w14:paraId="584DCBE5" w14:textId="626367C9">
      <w:r w:rsidRPr="0054760F">
        <w:t>Inlandsbanan har ett strategiskt läge både för den reguljära persontrafiken, turismen och för godstrafiken i Norrlands inland. Sedan några år tillbaka trafikeras under vintersäsongen sträckan Malmö</w:t>
      </w:r>
      <w:r w:rsidR="0054760F">
        <w:t>–</w:t>
      </w:r>
      <w:r w:rsidRPr="0054760F">
        <w:t xml:space="preserve">Östersund av </w:t>
      </w:r>
      <w:r w:rsidRPr="0054760F">
        <w:lastRenderedPageBreak/>
        <w:t xml:space="preserve">”Snötåget” som via Röjan och Vemdalsfjällen tar vinterturister upp till fjällvärlden. </w:t>
      </w:r>
    </w:p>
    <w:p w:rsidRPr="0054760F" w:rsidR="0032133E" w:rsidP="0054760F" w:rsidRDefault="0032133E" w14:paraId="584DCBE6" w14:textId="6288121E">
      <w:r w:rsidRPr="0054760F">
        <w:t>Investeringar för att öka bärigheten är gjorda längs bana</w:t>
      </w:r>
      <w:r w:rsidR="0054760F">
        <w:t>n och idag klarar 70 procent av I</w:t>
      </w:r>
      <w:r w:rsidRPr="0054760F">
        <w:t xml:space="preserve">nlandsbanan 22,5 ton STAX, som är den </w:t>
      </w:r>
      <w:r w:rsidR="0054760F">
        <w:t>e</w:t>
      </w:r>
      <w:r w:rsidRPr="0054760F">
        <w:t>uropeiska standarden för största tillåtna axellast</w:t>
      </w:r>
      <w:r w:rsidR="00E22634">
        <w:t>. Återstående sträcka Gällivare–</w:t>
      </w:r>
      <w:bookmarkStart w:name="_GoBack" w:id="1"/>
      <w:bookmarkEnd w:id="1"/>
      <w:r w:rsidRPr="0054760F">
        <w:t xml:space="preserve">Arvidsjaur klarar 20 ton STAX. </w:t>
      </w:r>
    </w:p>
    <w:p w:rsidRPr="0054760F" w:rsidR="0032133E" w:rsidP="0054760F" w:rsidRDefault="00232EA6" w14:paraId="584DCBE7" w14:textId="50390D14">
      <w:r>
        <w:t>I och med I</w:t>
      </w:r>
      <w:r w:rsidRPr="0054760F" w:rsidR="0032133E">
        <w:t xml:space="preserve">nlandsbanans ökade bärighet har också Inlandsbanan kunnat användas för omledning av godstrafik. Bland annat har den s.k. Stålpilen kunnat gå via Inlandsbanan när </w:t>
      </w:r>
      <w:r w:rsidR="0054760F">
        <w:t>det blivit ett längre stopp på N</w:t>
      </w:r>
      <w:r w:rsidRPr="0054760F" w:rsidR="0032133E">
        <w:t>orra stambanan. Den viktiga gruvnäringen i vårt land, framför allt i norra Sverige, kommer att kräva utökad kapacitet av järnvägsnätet med hög bärighet, ökad teknisk standard och vid behov möjligheter till omledning.</w:t>
      </w:r>
    </w:p>
    <w:p w:rsidRPr="0054760F" w:rsidR="0032133E" w:rsidP="0054760F" w:rsidRDefault="0032133E" w14:paraId="584DCBE8" w14:textId="6F64B81E">
      <w:r w:rsidRPr="0054760F">
        <w:t xml:space="preserve">För att göra det svenska järnvägsnätet mer robust och med större redundans behöver kapacitetshöjande åtgärder komma till stånd med flera tvärbanor och ökade möjligheter till omledning av järnvägstrafiken. Inlandsbanan utgör i det sammanhanget en allt viktigare resurs, som ett tredje spår genom landet för att komplettera stambana och kustbana. </w:t>
      </w:r>
    </w:p>
    <w:p w:rsidRPr="0054760F" w:rsidR="0032133E" w:rsidP="0054760F" w:rsidRDefault="0032133E" w14:paraId="584DCBE9" w14:textId="6CBF00A3">
      <w:r w:rsidRPr="0054760F">
        <w:t xml:space="preserve">För att öka Inlandsbanans kapacitet behöver större investeringar göras både vad gäller banans skick där viss räls behöver bytas ut, men </w:t>
      </w:r>
      <w:r w:rsidR="0054760F">
        <w:t>man behöver även</w:t>
      </w:r>
      <w:r w:rsidRPr="0054760F">
        <w:t xml:space="preserve"> kunna erbjuda snabbare godstransporter och en modern kollektivtrafik. En upprustning av </w:t>
      </w:r>
      <w:r w:rsidR="0054760F">
        <w:t>I</w:t>
      </w:r>
      <w:r w:rsidRPr="0054760F">
        <w:t>nlandsbanan skulle förutom snabbare godstransporter förbättra förutsättningarna att erbjuda jobb och samhällsservice i hela inlandet. Både besöksnär</w:t>
      </w:r>
      <w:r w:rsidR="0054760F">
        <w:t>ing och möjligheter till modern</w:t>
      </w:r>
      <w:r w:rsidRPr="0054760F">
        <w:t xml:space="preserve"> kollektivtrafik skulle få ett ordent</w:t>
      </w:r>
      <w:r w:rsidR="0054760F">
        <w:t>ligt lyft av en modernisering.</w:t>
      </w:r>
    </w:p>
    <w:p w:rsidRPr="0054760F" w:rsidR="0032133E" w:rsidP="0054760F" w:rsidRDefault="0032133E" w14:paraId="584DCBEA" w14:textId="05B5F373">
      <w:r w:rsidRPr="0054760F">
        <w:t xml:space="preserve">Inlandsbanan är idag inte elektrifierad men Inlandsbanan AB har som mål att deras egen verksamhet skall vara helt koldioxidneutral till år 2020. En elektrifiering av </w:t>
      </w:r>
      <w:r w:rsidR="0054760F">
        <w:t>I</w:t>
      </w:r>
      <w:r w:rsidRPr="0054760F">
        <w:t>nlandsbanan bör utredas som alternativ till att driva tågen med bioenergi.</w:t>
      </w:r>
    </w:p>
    <w:p w:rsidRPr="0054760F" w:rsidR="0032133E" w:rsidP="0054760F" w:rsidRDefault="0032133E" w14:paraId="584DCBEB" w14:textId="4096BD4E">
      <w:r w:rsidRPr="0054760F">
        <w:lastRenderedPageBreak/>
        <w:t>Privata intressenter är beredda att tillsammans med den offentliga sektorn och kommunerna göra miljardinve</w:t>
      </w:r>
      <w:r w:rsidR="0054760F">
        <w:t>steringar i I</w:t>
      </w:r>
      <w:r w:rsidRPr="0054760F">
        <w:t>nlandsbanan, vilket skulle betyda mycket för mer person- och godstrafik och även vara vital</w:t>
      </w:r>
      <w:r w:rsidR="0054760F">
        <w:t>t</w:t>
      </w:r>
      <w:r w:rsidRPr="0054760F">
        <w:t xml:space="preserve"> för råvarunäringarna i Norrland som skogs-, stål</w:t>
      </w:r>
      <w:r w:rsidR="0054760F">
        <w:t>-</w:t>
      </w:r>
      <w:r w:rsidRPr="0054760F">
        <w:t xml:space="preserve"> och gruvindustrin.</w:t>
      </w:r>
    </w:p>
    <w:p w:rsidR="00652B73" w:rsidP="0054760F" w:rsidRDefault="0032133E" w14:paraId="584DCBED" w14:textId="4D60B63F">
      <w:r w:rsidRPr="0054760F">
        <w:t>Regeringen bör ge Trafikverket i uppdrag att tillsammans med Inlandsbanan AB utred</w:t>
      </w:r>
      <w:r w:rsidR="0054760F">
        <w:t>a och</w:t>
      </w:r>
      <w:r w:rsidRPr="0054760F">
        <w:t xml:space="preserve"> hitta former för alternativ finansieringslösning för att finansiera en nödvändig framtidsinvestering i Inlandsbanan.</w:t>
      </w:r>
    </w:p>
    <w:p w:rsidRPr="0054760F" w:rsidR="000E30D0" w:rsidP="0054760F" w:rsidRDefault="000E30D0" w14:paraId="123C5FE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8FAE8CF634BC2BAF05E86A659030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2018F" w:rsidRDefault="00E22634" w14:paraId="584DCB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Désirée Pethrus (KD)</w:t>
            </w:r>
          </w:p>
        </w:tc>
      </w:tr>
    </w:tbl>
    <w:p w:rsidR="00B71E24" w:rsidRDefault="00B71E24" w14:paraId="584DCBF2" w14:textId="77777777"/>
    <w:sectPr w:rsidR="00B71E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CBF4" w14:textId="77777777" w:rsidR="0032133E" w:rsidRDefault="0032133E" w:rsidP="000C1CAD">
      <w:pPr>
        <w:spacing w:line="240" w:lineRule="auto"/>
      </w:pPr>
      <w:r>
        <w:separator/>
      </w:r>
    </w:p>
  </w:endnote>
  <w:endnote w:type="continuationSeparator" w:id="0">
    <w:p w14:paraId="584DCBF5" w14:textId="77777777" w:rsidR="0032133E" w:rsidRDefault="003213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DCBF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DCBFB" w14:textId="3046078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26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CBF2" w14:textId="77777777" w:rsidR="0032133E" w:rsidRDefault="0032133E" w:rsidP="000C1CAD">
      <w:pPr>
        <w:spacing w:line="240" w:lineRule="auto"/>
      </w:pPr>
      <w:r>
        <w:separator/>
      </w:r>
    </w:p>
  </w:footnote>
  <w:footnote w:type="continuationSeparator" w:id="0">
    <w:p w14:paraId="584DCBF3" w14:textId="77777777" w:rsidR="0032133E" w:rsidRDefault="003213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84DCB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4DCC05" wp14:anchorId="584DCC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22634" w14:paraId="584DCC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52E7B3B9B744CEA0EE5208DEA07945"/>
                              </w:placeholder>
                              <w:text/>
                            </w:sdtPr>
                            <w:sdtEndPr/>
                            <w:sdtContent>
                              <w:r w:rsidR="0032133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A35199932C43CF972E121987238A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84DCC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32EA6" w14:paraId="584DCC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52E7B3B9B744CEA0EE5208DEA07945"/>
                        </w:placeholder>
                        <w:text/>
                      </w:sdtPr>
                      <w:sdtEndPr/>
                      <w:sdtContent>
                        <w:r w:rsidR="0032133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A35199932C43CF972E121987238AF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4DCB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2634" w14:paraId="584DCBF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1A35199932C43CF972E121987238AF3"/>
        </w:placeholder>
        <w:text/>
      </w:sdtPr>
      <w:sdtEndPr/>
      <w:sdtContent>
        <w:r w:rsidR="0032133E">
          <w:t>KD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84DCB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2634" w14:paraId="584DCBF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133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22634" w14:paraId="584DCB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22634" w14:paraId="584DCB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22634" w14:paraId="584DCB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:3427</w:t>
        </w:r>
      </w:sdtContent>
    </w:sdt>
  </w:p>
  <w:p w:rsidR="004F35FE" w:rsidP="00E03A3D" w:rsidRDefault="00E22634" w14:paraId="584DCC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och Désirée Pethrus (båda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133E" w14:paraId="584DCC01" w14:textId="77777777">
        <w:pPr>
          <w:pStyle w:val="FSHRub2"/>
        </w:pPr>
        <w:r>
          <w:t>Alternativ finansiering av Inlandsbanan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4DCC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3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0D0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258E1"/>
    <w:rsid w:val="0023042C"/>
    <w:rsid w:val="00232D3A"/>
    <w:rsid w:val="00232EA6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1D6C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33E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3ECD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852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60F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0C0B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D1D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18F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CC0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1E24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8E8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634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4DCBDD"/>
  <w15:chartTrackingRefBased/>
  <w15:docId w15:val="{E00ACC40-1CFC-4CF9-9F43-D8451A98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20E62B2C2E480294DD3C75C5673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42758-45DC-4C40-9BC6-A5200FE379F5}"/>
      </w:docPartPr>
      <w:docPartBody>
        <w:p w:rsidR="0047007D" w:rsidRDefault="005D2CEA">
          <w:pPr>
            <w:pStyle w:val="1020E62B2C2E480294DD3C75C5673C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AB94FDA73A4ADCA59D0813AA0C9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7148C-1455-4709-B2A5-1240CFFB9DCF}"/>
      </w:docPartPr>
      <w:docPartBody>
        <w:p w:rsidR="0047007D" w:rsidRDefault="005D2CEA">
          <w:pPr>
            <w:pStyle w:val="9DAB94FDA73A4ADCA59D0813AA0C9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52E7B3B9B744CEA0EE5208DEA07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2BDD8-2401-4EBD-8007-245FB7922A7C}"/>
      </w:docPartPr>
      <w:docPartBody>
        <w:p w:rsidR="0047007D" w:rsidRDefault="005D2CEA">
          <w:pPr>
            <w:pStyle w:val="1E52E7B3B9B744CEA0EE5208DEA079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A35199932C43CF972E121987238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BE78B-C866-4506-83F0-21231E9211E6}"/>
      </w:docPartPr>
      <w:docPartBody>
        <w:p w:rsidR="0047007D" w:rsidRDefault="005D2CEA">
          <w:pPr>
            <w:pStyle w:val="F1A35199932C43CF972E121987238AF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D3543-A245-4002-A344-CB929106F070}"/>
      </w:docPartPr>
      <w:docPartBody>
        <w:p w:rsidR="0047007D" w:rsidRDefault="005D2CEA">
          <w:r w:rsidRPr="0044525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B8FAE8CF634BC2BAF05E86A6590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925E6-B28E-40FD-8F7F-7B2C1E026B02}"/>
      </w:docPartPr>
      <w:docPartBody>
        <w:p w:rsidR="000C1F2E" w:rsidRDefault="000C1F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A"/>
    <w:rsid w:val="000C1F2E"/>
    <w:rsid w:val="0047007D"/>
    <w:rsid w:val="005D2CEA"/>
    <w:rsid w:val="00B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2CEA"/>
    <w:rPr>
      <w:color w:val="F4B083" w:themeColor="accent2" w:themeTint="99"/>
    </w:rPr>
  </w:style>
  <w:style w:type="paragraph" w:customStyle="1" w:styleId="1020E62B2C2E480294DD3C75C5673C1A">
    <w:name w:val="1020E62B2C2E480294DD3C75C5673C1A"/>
  </w:style>
  <w:style w:type="paragraph" w:customStyle="1" w:styleId="2D71AC9701574B3BB45DF6CBAFA8FD3B">
    <w:name w:val="2D71AC9701574B3BB45DF6CBAFA8FD3B"/>
  </w:style>
  <w:style w:type="paragraph" w:customStyle="1" w:styleId="44FE74E2BFDE4BB9BA1B12A23E27CCD0">
    <w:name w:val="44FE74E2BFDE4BB9BA1B12A23E27CCD0"/>
  </w:style>
  <w:style w:type="paragraph" w:customStyle="1" w:styleId="9DAB94FDA73A4ADCA59D0813AA0C9335">
    <w:name w:val="9DAB94FDA73A4ADCA59D0813AA0C9335"/>
  </w:style>
  <w:style w:type="paragraph" w:customStyle="1" w:styleId="91159ED86831427F9EAE2603AF3DB826">
    <w:name w:val="91159ED86831427F9EAE2603AF3DB826"/>
  </w:style>
  <w:style w:type="paragraph" w:customStyle="1" w:styleId="1E52E7B3B9B744CEA0EE5208DEA07945">
    <w:name w:val="1E52E7B3B9B744CEA0EE5208DEA07945"/>
  </w:style>
  <w:style w:type="paragraph" w:customStyle="1" w:styleId="F1A35199932C43CF972E121987238AF3">
    <w:name w:val="F1A35199932C43CF972E121987238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81F74-A1EA-44A5-B0C2-B349825710DD}"/>
</file>

<file path=customXml/itemProps2.xml><?xml version="1.0" encoding="utf-8"?>
<ds:datastoreItem xmlns:ds="http://schemas.openxmlformats.org/officeDocument/2006/customXml" ds:itemID="{255DD5A9-F7EF-4C53-9ACF-486DC6B05A84}"/>
</file>

<file path=customXml/itemProps3.xml><?xml version="1.0" encoding="utf-8"?>
<ds:datastoreItem xmlns:ds="http://schemas.openxmlformats.org/officeDocument/2006/customXml" ds:itemID="{EB1B016E-5F0F-4735-B53C-B154F9E94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3225</Characters>
  <Application>Microsoft Office Word</Application>
  <DocSecurity>0</DocSecurity>
  <Lines>57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Alternativ finansiering av Inlandsbanan</vt:lpstr>
      <vt:lpstr>
      </vt:lpstr>
    </vt:vector>
  </TitlesOfParts>
  <Company>Sveriges riksdag</Company>
  <LinksUpToDate>false</LinksUpToDate>
  <CharactersWithSpaces>3733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