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153178" w:id="2"/>
    <w:p w:rsidRPr="009B062B" w:rsidR="00AF30DD" w:rsidP="004F5212" w:rsidRDefault="004E441A" w14:paraId="4C6310A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8CD2D287294466BAC6B76910B9090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9f31d5d-6cb3-46ff-a4ef-fe1b5613d2db"/>
        <w:id w:val="2107312307"/>
        <w:lock w:val="sdtLocked"/>
      </w:sdtPr>
      <w:sdtEndPr/>
      <w:sdtContent>
        <w:p w:rsidR="004D2A8D" w:rsidRDefault="00D874A4" w14:paraId="2461F4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Norges modell för en stark och hållbar besöksnäring även kan implementeras i en svensk kontext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942D007AE2144799533746F3A5E15A6"/>
        </w:placeholder>
        <w:text/>
      </w:sdtPr>
      <w:sdtEndPr/>
      <w:sdtContent>
        <w:p w:rsidRPr="00136500" w:rsidR="006D79C9" w:rsidP="00136500" w:rsidRDefault="00136500" w14:paraId="3D5CB5A6" w14:textId="6870BFA7">
          <w:pPr>
            <w:pStyle w:val="Rubrik1"/>
          </w:pPr>
          <w:r w:rsidRPr="00136500">
            <w:t>Inledning</w:t>
          </w:r>
        </w:p>
      </w:sdtContent>
    </w:sdt>
    <w:bookmarkEnd w:displacedByCustomXml="prev" w:id="4"/>
    <w:bookmarkEnd w:displacedByCustomXml="prev" w:id="5"/>
    <w:p w:rsidR="00BF60F8" w:rsidP="00BF60F8" w:rsidRDefault="00BF60F8" w14:paraId="5A14A355" w14:textId="5A6C3019">
      <w:pPr>
        <w:pStyle w:val="Normalutanindragellerluft"/>
      </w:pPr>
      <w:r>
        <w:t xml:space="preserve">Sverige har, precis som vårt grannland Norge, en rad unika turistmål som bidrar positivt till vår ekonomi och </w:t>
      </w:r>
      <w:r w:rsidR="00D874A4">
        <w:t xml:space="preserve">våra </w:t>
      </w:r>
      <w:r>
        <w:t xml:space="preserve">lokalsamhällen. Besöksnäringen är en viktig inkomstkälla, särskilt </w:t>
      </w:r>
      <w:r w:rsidR="00D874A4">
        <w:t>på</w:t>
      </w:r>
      <w:r>
        <w:t xml:space="preserve"> lands</w:t>
      </w:r>
      <w:r w:rsidR="00D874A4">
        <w:t xml:space="preserve">bygden </w:t>
      </w:r>
      <w:r>
        <w:t xml:space="preserve">och </w:t>
      </w:r>
      <w:r w:rsidR="00D874A4">
        <w:t xml:space="preserve">i </w:t>
      </w:r>
      <w:r>
        <w:t>glesbygd. Men en ökad ström av besökare medför även utmaningar som måste hanteras för att säkerställa en hållbar utveckling av turismen i dessa områden.</w:t>
      </w:r>
    </w:p>
    <w:p w:rsidRPr="00136500" w:rsidR="00BF60F8" w:rsidP="00136500" w:rsidRDefault="00BF60F8" w14:paraId="64D84D43" w14:textId="77777777">
      <w:pPr>
        <w:pStyle w:val="Rubrik1"/>
      </w:pPr>
      <w:r w:rsidRPr="00136500">
        <w:t xml:space="preserve">Bakgrund </w:t>
      </w:r>
    </w:p>
    <w:p w:rsidR="00BF60F8" w:rsidP="00BF60F8" w:rsidRDefault="00BF60F8" w14:paraId="5918E711" w14:textId="44CA67C2">
      <w:pPr>
        <w:pStyle w:val="Normalutanindragellerluft"/>
      </w:pPr>
      <w:r>
        <w:t>Norge har, likt Sverige, upplevt en snabb ökning av turismen under de senaste åren. I den norska parlamentariska utredningen</w:t>
      </w:r>
      <w:r w:rsidR="00D874A4">
        <w:t xml:space="preserve"> </w:t>
      </w:r>
      <w:r>
        <w:t>Reisemålsutvalgets NOU</w:t>
      </w:r>
      <w:r w:rsidR="00D874A4">
        <w:t>-</w:t>
      </w:r>
      <w:r>
        <w:t>rapport lyfts flera viktiga punkter som även är relevanta för den svenska besöksnäringen:</w:t>
      </w:r>
    </w:p>
    <w:p w:rsidR="00BF60F8" w:rsidP="00136500" w:rsidRDefault="00D874A4" w14:paraId="6D45C58E" w14:textId="626255B3">
      <w:pPr>
        <w:pStyle w:val="ListaNummer"/>
      </w:pPr>
      <w:r>
        <w:t>En s</w:t>
      </w:r>
      <w:r w:rsidR="00BF60F8">
        <w:t>nabb tillväxt i besöksnäringen har lett till ökade ekonomiska möjligheter men också till utmaningar som förorening, nedskräpning och konflikter med lokalbefolkningen.</w:t>
      </w:r>
    </w:p>
    <w:p w:rsidR="00BF60F8" w:rsidP="00136500" w:rsidRDefault="00BF60F8" w14:paraId="28B8D844" w14:textId="0ACA2559">
      <w:pPr>
        <w:pStyle w:val="ListaNummer"/>
      </w:pPr>
      <w:r>
        <w:lastRenderedPageBreak/>
        <w:t>Ökade ekonomiska resurser och en växande grupp av äldre turister leder till högre efterfrågan på turism.</w:t>
      </w:r>
    </w:p>
    <w:p w:rsidR="00BF60F8" w:rsidP="00136500" w:rsidRDefault="00BF60F8" w14:paraId="564D6FF5" w14:textId="64260A04">
      <w:pPr>
        <w:pStyle w:val="ListaNummer"/>
      </w:pPr>
      <w:r>
        <w:t>Hållbarhet och klimatförändringar blir alltmer betydelsefulla för besöksnäringen.</w:t>
      </w:r>
    </w:p>
    <w:p w:rsidR="00BF60F8" w:rsidP="00136500" w:rsidRDefault="00BF60F8" w14:paraId="73CD003D" w14:textId="633EF2C7">
      <w:pPr>
        <w:pStyle w:val="ListaNummer"/>
      </w:pPr>
      <w:r>
        <w:t>Arbetskraftsbrist på grund av säsongsvariationer och konkurrens om arbetskraften är en utmaning för näringen.</w:t>
      </w:r>
    </w:p>
    <w:p w:rsidR="00BF60F8" w:rsidP="00136500" w:rsidRDefault="00BF60F8" w14:paraId="1A8F1621" w14:textId="404C5D3B">
      <w:pPr>
        <w:pStyle w:val="ListaNummer"/>
      </w:pPr>
      <w:r>
        <w:t>Kommuner behöver verktyg och resurser för att kunna hantera och styra turistflöden samt finansiera infrastruktur och hållbarhetsprojekt.</w:t>
      </w:r>
    </w:p>
    <w:p w:rsidR="00BF60F8" w:rsidP="00BF60F8" w:rsidRDefault="00BF60F8" w14:paraId="78340B89" w14:textId="77777777">
      <w:pPr>
        <w:pStyle w:val="Normalutanindragellerluft"/>
      </w:pPr>
      <w:r>
        <w:t>Mot denna bakgrund är det viktigt att ta fram en svensk strategi som adresserar dessa frågor på ett hållbart och rättvist sätt.</w:t>
      </w:r>
    </w:p>
    <w:p w:rsidRPr="00136500" w:rsidR="00BF60F8" w:rsidP="00136500" w:rsidRDefault="00BF60F8" w14:paraId="7FAB7CC7" w14:textId="77777777">
      <w:pPr>
        <w:pStyle w:val="Rubrik1"/>
      </w:pPr>
      <w:r w:rsidRPr="00136500">
        <w:t>Förslag</w:t>
      </w:r>
    </w:p>
    <w:p w:rsidR="00BF60F8" w:rsidP="00D874A4" w:rsidRDefault="00BF60F8" w14:paraId="3188FA32" w14:textId="3514086D">
      <w:pPr>
        <w:pStyle w:val="ListaNummer"/>
        <w:numPr>
          <w:ilvl w:val="0"/>
          <w:numId w:val="34"/>
        </w:numPr>
      </w:pPr>
      <w:r>
        <w:t>Satsa på utbildning och arbetsmarknadsåtgärder för att attrahera och behålla arbets</w:t>
      </w:r>
      <w:r w:rsidR="00136500">
        <w:softHyphen/>
      </w:r>
      <w:r>
        <w:t xml:space="preserve">kraft inom besöksnäringen, särskilt </w:t>
      </w:r>
      <w:r w:rsidR="00D874A4">
        <w:t xml:space="preserve">på </w:t>
      </w:r>
      <w:r>
        <w:t>lands</w:t>
      </w:r>
      <w:r w:rsidR="00D874A4">
        <w:t xml:space="preserve">bygden </w:t>
      </w:r>
      <w:r>
        <w:t>och</w:t>
      </w:r>
      <w:r w:rsidR="00D874A4">
        <w:t xml:space="preserve"> i</w:t>
      </w:r>
      <w:r>
        <w:t xml:space="preserve"> glesbygd.</w:t>
      </w:r>
    </w:p>
    <w:p w:rsidR="00BF60F8" w:rsidP="00D874A4" w:rsidRDefault="00BF60F8" w14:paraId="6EF314B9" w14:textId="0CCAF938">
      <w:pPr>
        <w:pStyle w:val="ListaNummer"/>
      </w:pPr>
      <w:r>
        <w:t>Skapa incitament för företag inom besöksnäringen att verka på ett hållbart sätt, exempelvis genom certifieringar eller bidrag.</w:t>
      </w:r>
    </w:p>
    <w:p w:rsidR="00BF60F8" w:rsidP="00D874A4" w:rsidRDefault="00BF60F8" w14:paraId="7E6EDEC3" w14:textId="5C94150A">
      <w:pPr>
        <w:pStyle w:val="ListaNummer"/>
      </w:pPr>
      <w:r>
        <w:t>Förstärka samarbetet mellan stat</w:t>
      </w:r>
      <w:r w:rsidR="00D874A4">
        <w:t>en</w:t>
      </w:r>
      <w:r>
        <w:t>, regioner och kommuner för att hantera säsongs</w:t>
      </w:r>
      <w:r w:rsidR="00136500">
        <w:softHyphen/>
      </w:r>
      <w:r>
        <w:t>variationer och fördela turistströmmen mer jämnt över året.</w:t>
      </w:r>
    </w:p>
    <w:p w:rsidR="00BF60F8" w:rsidP="00D874A4" w:rsidRDefault="00BF60F8" w14:paraId="7E64CBDB" w14:textId="67DD9804">
      <w:pPr>
        <w:pStyle w:val="ListaNummer"/>
      </w:pPr>
      <w:r>
        <w:t>Integrera klimatförändringar och hållbarhet som en del av nationella och regionala strategier för besöksnäringen.</w:t>
      </w:r>
    </w:p>
    <w:p w:rsidRPr="00136500" w:rsidR="00BF60F8" w:rsidP="00136500" w:rsidRDefault="00BF60F8" w14:paraId="6580C772" w14:textId="77777777">
      <w:pPr>
        <w:pStyle w:val="Rubrik1"/>
      </w:pPr>
      <w:r w:rsidRPr="00136500">
        <w:t>Avslutning</w:t>
      </w:r>
    </w:p>
    <w:p w:rsidRPr="00422B9E" w:rsidR="00422B9E" w:rsidP="00BF60F8" w:rsidRDefault="00BF60F8" w14:paraId="28B17154" w14:textId="36D624FA">
      <w:pPr>
        <w:pStyle w:val="Normalutanindragellerluft"/>
      </w:pPr>
      <w:r>
        <w:t xml:space="preserve">Genom att adressera dessa frågor kan vi skapa en stark och hållbar besöksnäring som </w:t>
      </w:r>
      <w:r w:rsidR="00D874A4">
        <w:t xml:space="preserve">gagnar </w:t>
      </w:r>
      <w:r>
        <w:t>lands- och glesbygd</w:t>
      </w:r>
      <w:r w:rsidR="00D874A4">
        <w:t>en</w:t>
      </w:r>
      <w:r>
        <w:t>, utan att för den skull skapa konflikter med lokalbefolkningen eller skada vår värdefulla natur.</w:t>
      </w:r>
    </w:p>
    <w:sdt>
      <w:sdtPr>
        <w:alias w:val="CC_Underskrifter"/>
        <w:tag w:val="CC_Underskrifter"/>
        <w:id w:val="583496634"/>
        <w:lock w:val="sdtContentLocked"/>
        <w:placeholder>
          <w:docPart w:val="87468E7E8B024DDA92CD5EEE0426ABAD"/>
        </w:placeholder>
      </w:sdtPr>
      <w:sdtEndPr/>
      <w:sdtContent>
        <w:p w:rsidR="004F5212" w:rsidP="004F5212" w:rsidRDefault="004F5212" w14:paraId="2EBB2EA2" w14:textId="77777777"/>
        <w:p w:rsidRPr="008E0FE2" w:rsidR="004801AC" w:rsidP="004F5212" w:rsidRDefault="004E441A" w14:paraId="554B80C2" w14:textId="57E6B5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D2A8D" w14:paraId="70E57B2A" w14:textId="77777777">
        <w:trPr>
          <w:cantSplit/>
        </w:trPr>
        <w:tc>
          <w:tcPr>
            <w:tcW w:w="50" w:type="pct"/>
            <w:vAlign w:val="bottom"/>
          </w:tcPr>
          <w:p w:rsidR="004D2A8D" w:rsidRDefault="00D874A4" w14:paraId="0BCBCC4C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4D2A8D" w:rsidRDefault="004D2A8D" w14:paraId="2469260D" w14:textId="77777777">
            <w:pPr>
              <w:pStyle w:val="Underskrifter"/>
              <w:spacing w:after="0"/>
            </w:pPr>
          </w:p>
        </w:tc>
      </w:tr>
      <w:tr w:rsidR="004D2A8D" w14:paraId="2A355B53" w14:textId="77777777">
        <w:trPr>
          <w:cantSplit/>
        </w:trPr>
        <w:tc>
          <w:tcPr>
            <w:tcW w:w="50" w:type="pct"/>
            <w:vAlign w:val="bottom"/>
          </w:tcPr>
          <w:p w:rsidR="004D2A8D" w:rsidRDefault="00D874A4" w14:paraId="2EB2EE2C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4D2A8D" w:rsidRDefault="00D874A4" w14:paraId="2167E7D3" w14:textId="77777777">
            <w:pPr>
              <w:pStyle w:val="Underskrifter"/>
              <w:spacing w:after="0"/>
            </w:pPr>
            <w:r>
              <w:t>Sofie Eriksson (S)</w:t>
            </w:r>
          </w:p>
        </w:tc>
        <w:bookmarkEnd w:id="2"/>
      </w:tr>
    </w:tbl>
    <w:p w:rsidR="00FE38FC" w:rsidRDefault="00FE38FC" w14:paraId="01F6F8C2" w14:textId="77777777"/>
    <w:sectPr w:rsidR="00FE38F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0455" w14:textId="77777777" w:rsidR="002372C6" w:rsidRDefault="002372C6" w:rsidP="000C1CAD">
      <w:pPr>
        <w:spacing w:line="240" w:lineRule="auto"/>
      </w:pPr>
      <w:r>
        <w:separator/>
      </w:r>
    </w:p>
  </w:endnote>
  <w:endnote w:type="continuationSeparator" w:id="0">
    <w:p w14:paraId="40E1F6F1" w14:textId="77777777" w:rsidR="002372C6" w:rsidRDefault="002372C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797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3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E764" w14:textId="66D7B16B" w:rsidR="00262EA3" w:rsidRPr="004F5212" w:rsidRDefault="00262EA3" w:rsidP="004F52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F7545" w14:textId="77777777" w:rsidR="002372C6" w:rsidRDefault="002372C6" w:rsidP="000C1CAD">
      <w:pPr>
        <w:spacing w:line="240" w:lineRule="auto"/>
      </w:pPr>
      <w:r>
        <w:separator/>
      </w:r>
    </w:p>
  </w:footnote>
  <w:footnote w:type="continuationSeparator" w:id="0">
    <w:p w14:paraId="1210CB3C" w14:textId="77777777" w:rsidR="002372C6" w:rsidRDefault="002372C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09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5A2B04" wp14:editId="143118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C6111C" w14:textId="62A43216" w:rsidR="00262EA3" w:rsidRDefault="004E44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60F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F60F8">
                                <w:t>1566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5A2B0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C6111C" w14:textId="62A43216" w:rsidR="00262EA3" w:rsidRDefault="004E44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60F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F60F8">
                          <w:t>1566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82CC0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30CC" w14:textId="77777777" w:rsidR="00262EA3" w:rsidRDefault="00262EA3" w:rsidP="008563AC">
    <w:pPr>
      <w:jc w:val="right"/>
    </w:pPr>
  </w:p>
  <w:p w14:paraId="1F17DC1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153176"/>
  <w:bookmarkStart w:id="7" w:name="_Hlk147153177"/>
  <w:bookmarkStart w:id="8" w:name="_Hlk147153210"/>
  <w:bookmarkStart w:id="9" w:name="_Hlk147153211"/>
  <w:p w14:paraId="7A91C37C" w14:textId="77777777" w:rsidR="00262EA3" w:rsidRDefault="004E44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976D69" wp14:editId="5E4D19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05668E" w14:textId="519C562F" w:rsidR="00262EA3" w:rsidRDefault="004E44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F52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60F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F60F8">
          <w:t>1566</w:t>
        </w:r>
      </w:sdtContent>
    </w:sdt>
  </w:p>
  <w:p w14:paraId="7B3C2ED2" w14:textId="77777777" w:rsidR="00262EA3" w:rsidRPr="008227B3" w:rsidRDefault="004E44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EDD3B4E" w14:textId="0EB3FA9F" w:rsidR="00262EA3" w:rsidRPr="008227B3" w:rsidRDefault="004E44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21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6595D16BEEF64C78BADA430035E8165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F5212">
          <w:t>:1978</w:t>
        </w:r>
      </w:sdtContent>
    </w:sdt>
  </w:p>
  <w:p w14:paraId="1838F37C" w14:textId="50BED77C" w:rsidR="00262EA3" w:rsidRDefault="004E44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F5212">
          <w:t>av Lars Isacsson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E18ED9" w14:textId="0F312BA7" w:rsidR="00262EA3" w:rsidRDefault="004F5212" w:rsidP="00283E0F">
        <w:pPr>
          <w:pStyle w:val="FSHRub2"/>
        </w:pPr>
        <w:r>
          <w:t>Bärkraftig besöksnäring i lands- och glesbygd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31FA83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38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 w:numId="34">
    <w:abstractNumId w:val="1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F60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500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2C6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A8D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41A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12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37FE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8E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1EB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0F8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7D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4A4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8FC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8EF0B6"/>
  <w15:chartTrackingRefBased/>
  <w15:docId w15:val="{6172B9D7-07AC-455D-ABA5-B078E208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D2D287294466BAC6B76910B9090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07FB3-E0A6-4819-879B-ADE438DEA7C4}"/>
      </w:docPartPr>
      <w:docPartBody>
        <w:p w:rsidR="001F6CB7" w:rsidRDefault="00B10A91">
          <w:pPr>
            <w:pStyle w:val="C8CD2D287294466BAC6B76910B9090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942D007AE2144799533746F3A5E15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AE75B-8FB2-40B1-9812-4DE2FD794017}"/>
      </w:docPartPr>
      <w:docPartBody>
        <w:p w:rsidR="001F6CB7" w:rsidRDefault="00B10A91">
          <w:pPr>
            <w:pStyle w:val="2942D007AE2144799533746F3A5E15A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7468E7E8B024DDA92CD5EEE0426A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E1B07-B8D6-4382-949F-E9726CBCF662}"/>
      </w:docPartPr>
      <w:docPartBody>
        <w:p w:rsidR="009423CD" w:rsidRDefault="009423CD"/>
      </w:docPartBody>
    </w:docPart>
    <w:docPart>
      <w:docPartPr>
        <w:name w:val="6595D16BEEF64C78BADA430035E81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B968D-FB58-4364-B16F-84EDA5A095E5}"/>
      </w:docPartPr>
      <w:docPartBody>
        <w:p w:rsidR="00000000" w:rsidRDefault="009423CD">
          <w:r>
            <w:t>:1978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91"/>
    <w:rsid w:val="001F6CB7"/>
    <w:rsid w:val="00780225"/>
    <w:rsid w:val="009423CD"/>
    <w:rsid w:val="00B1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8CD2D287294466BAC6B76910B9090BB">
    <w:name w:val="C8CD2D287294466BAC6B76910B9090BB"/>
  </w:style>
  <w:style w:type="paragraph" w:customStyle="1" w:styleId="2942D007AE2144799533746F3A5E15A6">
    <w:name w:val="2942D007AE2144799533746F3A5E1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282DD9-E411-4B2C-A796-075D4E316123}"/>
</file>

<file path=customXml/itemProps2.xml><?xml version="1.0" encoding="utf-8"?>
<ds:datastoreItem xmlns:ds="http://schemas.openxmlformats.org/officeDocument/2006/customXml" ds:itemID="{9FC20CD3-8DDC-432C-8D66-81B010FC4680}"/>
</file>

<file path=customXml/itemProps3.xml><?xml version="1.0" encoding="utf-8"?>
<ds:datastoreItem xmlns:ds="http://schemas.openxmlformats.org/officeDocument/2006/customXml" ds:itemID="{64157706-ED9D-4333-BC19-E37EFD075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342</Words>
  <Characters>2072</Characters>
  <Application>Microsoft Office Word</Application>
  <DocSecurity>0</DocSecurity>
  <Lines>47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