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059F78146FB4597867DBCB5BFD58D40"/>
        </w:placeholder>
        <w15:appearance w15:val="hidden"/>
        <w:text/>
      </w:sdtPr>
      <w:sdtEndPr/>
      <w:sdtContent>
        <w:p w:rsidRPr="009B062B" w:rsidR="00AF30DD" w:rsidP="009B062B" w:rsidRDefault="00AF30DD" w14:paraId="63B98CC5" w14:textId="77777777">
          <w:pPr>
            <w:pStyle w:val="RubrikFrslagTIllRiksdagsbeslut"/>
          </w:pPr>
          <w:r w:rsidRPr="009B062B">
            <w:t>Förslag till riksdagsbeslut</w:t>
          </w:r>
        </w:p>
      </w:sdtContent>
    </w:sdt>
    <w:sdt>
      <w:sdtPr>
        <w:alias w:val="Yrkande 1"/>
        <w:tag w:val="7789942d-5507-4b6a-b7c1-dd3a1f2db824"/>
        <w:id w:val="-1300141638"/>
        <w:lock w:val="sdtLocked"/>
      </w:sdtPr>
      <w:sdtEndPr/>
      <w:sdtContent>
        <w:p w:rsidR="005D7D54" w:rsidRDefault="00D42762" w14:paraId="63B98CC6" w14:textId="77777777">
          <w:pPr>
            <w:pStyle w:val="Frslagstext"/>
            <w:numPr>
              <w:ilvl w:val="0"/>
              <w:numId w:val="0"/>
            </w:numPr>
          </w:pPr>
          <w:r>
            <w:t>Riksdagen ställer sig bakom det som anförs i motionen om att utreda en begränsning av bankers möjlighet till borgen vid bostadslån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F425FA95F69401AA295EDA2A14B453E"/>
        </w:placeholder>
        <w15:appearance w15:val="hidden"/>
        <w:text/>
      </w:sdtPr>
      <w:sdtEndPr/>
      <w:sdtContent>
        <w:p w:rsidRPr="009B062B" w:rsidR="006D79C9" w:rsidP="00333E95" w:rsidRDefault="006D79C9" w14:paraId="63B98CC7" w14:textId="77777777">
          <w:pPr>
            <w:pStyle w:val="Rubrik1"/>
          </w:pPr>
          <w:r>
            <w:t>Motivering</w:t>
          </w:r>
        </w:p>
      </w:sdtContent>
    </w:sdt>
    <w:p w:rsidR="00652B73" w:rsidP="00B53D64" w:rsidRDefault="00DE7C90" w14:paraId="63B98CC8" w14:textId="03BC68C4">
      <w:pPr>
        <w:pStyle w:val="Normalutanindragellerluft"/>
      </w:pPr>
      <w:r w:rsidRPr="00DE7C90">
        <w:t xml:space="preserve">Om en person inte klarar av att betala sitt bostadslån i Sverige, så kan det ytterst leda till att </w:t>
      </w:r>
      <w:r w:rsidR="0012428C">
        <w:t>K</w:t>
      </w:r>
      <w:r w:rsidRPr="00DE7C90">
        <w:t>ronofogdemyndigheten säljer denna bostad. Om det då finns en skuld kvar till banken, så har banken rätt att kräva denna skuld av den tidigare låntagaren, oavsett hur mycket banken har lånat ut och hur lite bostaden egentligen varit värd. Denna obegränsade personliga</w:t>
      </w:r>
      <w:r>
        <w:t xml:space="preserve"> borg </w:t>
      </w:r>
      <w:r w:rsidRPr="00DE7C90">
        <w:t>so</w:t>
      </w:r>
      <w:r w:rsidR="0012428C">
        <w:t>m alla har till sina bostadslån</w:t>
      </w:r>
      <w:r w:rsidRPr="00DE7C90">
        <w:t xml:space="preserve"> gör att banken mycket sällan riskerar något vid kreditgivning till bostäder. Det gör också att det är helt ointressant för banken att deras kunder amorterar på bostadslånet, då banken ändå har den obegränsade personliga borgen att ta till om låntagaren av någon an</w:t>
      </w:r>
      <w:r w:rsidRPr="00DE7C90">
        <w:lastRenderedPageBreak/>
        <w:t>ledning int</w:t>
      </w:r>
      <w:r w:rsidR="0012428C">
        <w:t>e klarar sitt bostadslån och då amorteringar</w:t>
      </w:r>
      <w:r w:rsidRPr="00DE7C90">
        <w:t xml:space="preserve"> minskar bankens inkomst. I en del andra länder finns begränsningar för vad banken får ha som säkerhet vid bostadslån och där är ibland enbart bostaden tillåten som säkerhet, vilket gör att en låntagare slipper drabbas av enorma och livslånga skulder om denna av någon anledning inte klarar sitt bostadslån. Det vore rimligt att vi även i Sverige åtminstone har en begränsning</w:t>
      </w:r>
      <w:r w:rsidR="0012428C">
        <w:t xml:space="preserve"> för hur mycket utöver bostaden</w:t>
      </w:r>
      <w:r w:rsidRPr="00DE7C90">
        <w:t xml:space="preserve"> som en </w:t>
      </w:r>
      <w:r w:rsidR="0012428C">
        <w:t>bank kan kräva sin låntagare på</w:t>
      </w:r>
      <w:r w:rsidRPr="00DE7C90">
        <w:t xml:space="preserve"> vid bostadslån. Detta för a</w:t>
      </w:r>
      <w:r w:rsidR="0012428C">
        <w:t>tt öka bankernas incitament</w:t>
      </w:r>
      <w:r w:rsidRPr="00DE7C90">
        <w:t xml:space="preserve"> att förorda lån med amortering och minska bankernas incitament til</w:t>
      </w:r>
      <w:r w:rsidR="0012428C">
        <w:t>l överutlåning på bostäder.</w:t>
      </w:r>
    </w:p>
    <w:sdt>
      <w:sdtPr>
        <w:alias w:val="CC_Underskrifter"/>
        <w:tag w:val="CC_Underskrifter"/>
        <w:id w:val="583496634"/>
        <w:lock w:val="sdtContentLocked"/>
        <w:placeholder>
          <w:docPart w:val="6E4B849FA6DB448F9CEE5D070724EA26"/>
        </w:placeholder>
        <w15:appearance w15:val="hidden"/>
      </w:sdtPr>
      <w:sdtEndPr/>
      <w:sdtContent>
        <w:p w:rsidR="004801AC" w:rsidP="00B31A72" w:rsidRDefault="0012428C" w14:paraId="63B98CC9" w14:textId="76382E1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Sara-Lena Bjälkö (SD)</w:t>
            </w:r>
          </w:p>
        </w:tc>
        <w:tc>
          <w:tcPr>
            <w:tcW w:w="50" w:type="pct"/>
            <w:vAlign w:val="bottom"/>
          </w:tcPr>
          <w:p>
            <w:pPr>
              <w:pStyle w:val="Underskrifter"/>
            </w:pPr>
            <w:r>
              <w:t>Jonas Millard (SD)</w:t>
            </w:r>
          </w:p>
        </w:tc>
      </w:tr>
    </w:tbl>
    <w:bookmarkStart w:name="_GoBack" w:id="1"/>
    <w:bookmarkEnd w:id="1"/>
    <w:p w:rsidR="0012428C" w:rsidP="00B31A72" w:rsidRDefault="0012428C" w14:paraId="644CF5FB" w14:textId="77777777"/>
    <w:p w:rsidR="007104F9" w:rsidRDefault="007104F9" w14:paraId="63B98CCD" w14:textId="77777777"/>
    <w:sectPr w:rsidR="007104F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98CCF" w14:textId="77777777" w:rsidR="00DE7C90" w:rsidRDefault="00DE7C90" w:rsidP="000C1CAD">
      <w:pPr>
        <w:spacing w:line="240" w:lineRule="auto"/>
      </w:pPr>
      <w:r>
        <w:separator/>
      </w:r>
    </w:p>
  </w:endnote>
  <w:endnote w:type="continuationSeparator" w:id="0">
    <w:p w14:paraId="63B98CD0" w14:textId="77777777" w:rsidR="00DE7C90" w:rsidRDefault="00DE7C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98CD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98CD6" w14:textId="099A0ED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2428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98CCD" w14:textId="77777777" w:rsidR="00DE7C90" w:rsidRDefault="00DE7C90" w:rsidP="000C1CAD">
      <w:pPr>
        <w:spacing w:line="240" w:lineRule="auto"/>
      </w:pPr>
      <w:r>
        <w:separator/>
      </w:r>
    </w:p>
  </w:footnote>
  <w:footnote w:type="continuationSeparator" w:id="0">
    <w:p w14:paraId="63B98CCE" w14:textId="77777777" w:rsidR="00DE7C90" w:rsidRDefault="00DE7C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3B98CD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B98CE0" wp14:anchorId="63B98C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2428C" w14:paraId="63B98CE1" w14:textId="77777777">
                          <w:pPr>
                            <w:jc w:val="right"/>
                          </w:pPr>
                          <w:sdt>
                            <w:sdtPr>
                              <w:alias w:val="CC_Noformat_Partikod"/>
                              <w:tag w:val="CC_Noformat_Partikod"/>
                              <w:id w:val="-53464382"/>
                              <w:placeholder>
                                <w:docPart w:val="7AF8A3014A504FD8A4782D2428454B1B"/>
                              </w:placeholder>
                              <w:text/>
                            </w:sdtPr>
                            <w:sdtEndPr/>
                            <w:sdtContent>
                              <w:r w:rsidR="00DE7C90">
                                <w:t>SD</w:t>
                              </w:r>
                            </w:sdtContent>
                          </w:sdt>
                          <w:sdt>
                            <w:sdtPr>
                              <w:alias w:val="CC_Noformat_Partinummer"/>
                              <w:tag w:val="CC_Noformat_Partinummer"/>
                              <w:id w:val="-1709555926"/>
                              <w:placeholder>
                                <w:docPart w:val="0306A9E2F8D049719AB3DC52F6DFA54B"/>
                              </w:placeholder>
                              <w:text/>
                            </w:sdtPr>
                            <w:sdtEndPr/>
                            <w:sdtContent>
                              <w:r w:rsidR="00DE7C90">
                                <w:t>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B98C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2428C" w14:paraId="63B98CE1" w14:textId="77777777">
                    <w:pPr>
                      <w:jc w:val="right"/>
                    </w:pPr>
                    <w:sdt>
                      <w:sdtPr>
                        <w:alias w:val="CC_Noformat_Partikod"/>
                        <w:tag w:val="CC_Noformat_Partikod"/>
                        <w:id w:val="-53464382"/>
                        <w:placeholder>
                          <w:docPart w:val="7AF8A3014A504FD8A4782D2428454B1B"/>
                        </w:placeholder>
                        <w:text/>
                      </w:sdtPr>
                      <w:sdtEndPr/>
                      <w:sdtContent>
                        <w:r w:rsidR="00DE7C90">
                          <w:t>SD</w:t>
                        </w:r>
                      </w:sdtContent>
                    </w:sdt>
                    <w:sdt>
                      <w:sdtPr>
                        <w:alias w:val="CC_Noformat_Partinummer"/>
                        <w:tag w:val="CC_Noformat_Partinummer"/>
                        <w:id w:val="-1709555926"/>
                        <w:placeholder>
                          <w:docPart w:val="0306A9E2F8D049719AB3DC52F6DFA54B"/>
                        </w:placeholder>
                        <w:text/>
                      </w:sdtPr>
                      <w:sdtEndPr/>
                      <w:sdtContent>
                        <w:r w:rsidR="00DE7C90">
                          <w:t>24</w:t>
                        </w:r>
                      </w:sdtContent>
                    </w:sdt>
                  </w:p>
                </w:txbxContent>
              </v:textbox>
              <w10:wrap anchorx="page"/>
            </v:shape>
          </w:pict>
        </mc:Fallback>
      </mc:AlternateContent>
    </w:r>
  </w:p>
  <w:p w:rsidRPr="00293C4F" w:rsidR="004F35FE" w:rsidP="00776B74" w:rsidRDefault="004F35FE" w14:paraId="63B98CD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2428C" w14:paraId="63B98CD3" w14:textId="77777777">
    <w:pPr>
      <w:jc w:val="right"/>
    </w:pPr>
    <w:sdt>
      <w:sdtPr>
        <w:alias w:val="CC_Noformat_Partikod"/>
        <w:tag w:val="CC_Noformat_Partikod"/>
        <w:id w:val="559911109"/>
        <w:placeholder>
          <w:docPart w:val="0306A9E2F8D049719AB3DC52F6DFA54B"/>
        </w:placeholder>
        <w:text/>
      </w:sdtPr>
      <w:sdtEndPr/>
      <w:sdtContent>
        <w:r w:rsidR="00DE7C90">
          <w:t>SD</w:t>
        </w:r>
      </w:sdtContent>
    </w:sdt>
    <w:sdt>
      <w:sdtPr>
        <w:alias w:val="CC_Noformat_Partinummer"/>
        <w:tag w:val="CC_Noformat_Partinummer"/>
        <w:id w:val="1197820850"/>
        <w:text/>
      </w:sdtPr>
      <w:sdtEndPr/>
      <w:sdtContent>
        <w:r w:rsidR="00DE7C90">
          <w:t>24</w:t>
        </w:r>
      </w:sdtContent>
    </w:sdt>
  </w:p>
  <w:p w:rsidR="004F35FE" w:rsidP="00776B74" w:rsidRDefault="004F35FE" w14:paraId="63B98CD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2428C" w14:paraId="63B98CD7" w14:textId="77777777">
    <w:pPr>
      <w:jc w:val="right"/>
    </w:pPr>
    <w:sdt>
      <w:sdtPr>
        <w:alias w:val="CC_Noformat_Partikod"/>
        <w:tag w:val="CC_Noformat_Partikod"/>
        <w:id w:val="1471015553"/>
        <w:text/>
      </w:sdtPr>
      <w:sdtEndPr/>
      <w:sdtContent>
        <w:r w:rsidR="00DE7C90">
          <w:t>SD</w:t>
        </w:r>
      </w:sdtContent>
    </w:sdt>
    <w:sdt>
      <w:sdtPr>
        <w:alias w:val="CC_Noformat_Partinummer"/>
        <w:tag w:val="CC_Noformat_Partinummer"/>
        <w:id w:val="-2014525982"/>
        <w:text/>
      </w:sdtPr>
      <w:sdtEndPr/>
      <w:sdtContent>
        <w:r w:rsidR="00DE7C90">
          <w:t>24</w:t>
        </w:r>
      </w:sdtContent>
    </w:sdt>
  </w:p>
  <w:p w:rsidR="004F35FE" w:rsidP="00A314CF" w:rsidRDefault="0012428C" w14:paraId="63B98CD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2428C" w14:paraId="63B98CD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2428C" w14:paraId="63B98CD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:77</w:t>
        </w:r>
      </w:sdtContent>
    </w:sdt>
  </w:p>
  <w:p w:rsidR="004F35FE" w:rsidP="00E03A3D" w:rsidRDefault="0012428C" w14:paraId="63B98CDB" w14:textId="77777777">
    <w:pPr>
      <w:pStyle w:val="Motionr"/>
    </w:pPr>
    <w:sdt>
      <w:sdtPr>
        <w:alias w:val="CC_Noformat_Avtext"/>
        <w:tag w:val="CC_Noformat_Avtext"/>
        <w:id w:val="-2020768203"/>
        <w:lock w:val="sdtContentLocked"/>
        <w15:appearance w15:val="hidden"/>
        <w:text/>
      </w:sdtPr>
      <w:sdtEndPr/>
      <w:sdtContent>
        <w:r>
          <w:t>av Sara-Lena Bjälkö och Jonas Millard (båda SD)</w:t>
        </w:r>
      </w:sdtContent>
    </w:sdt>
  </w:p>
  <w:sdt>
    <w:sdtPr>
      <w:alias w:val="CC_Noformat_Rubtext"/>
      <w:tag w:val="CC_Noformat_Rubtext"/>
      <w:id w:val="-218060500"/>
      <w:lock w:val="sdtLocked"/>
      <w15:appearance w15:val="hidden"/>
      <w:text/>
    </w:sdtPr>
    <w:sdtEndPr/>
    <w:sdtContent>
      <w:p w:rsidR="004F35FE" w:rsidP="00283E0F" w:rsidRDefault="00D42762" w14:paraId="63B98CDC" w14:textId="3779E280">
        <w:pPr>
          <w:pStyle w:val="FSHRub2"/>
        </w:pPr>
        <w:r>
          <w:t>Utred en begränsning av bankers möjlighet till borgen vid bostadslån</w:t>
        </w:r>
      </w:p>
    </w:sdtContent>
  </w:sdt>
  <w:sdt>
    <w:sdtPr>
      <w:alias w:val="CC_Boilerplate_3"/>
      <w:tag w:val="CC_Boilerplate_3"/>
      <w:id w:val="1606463544"/>
      <w:lock w:val="sdtContentLocked"/>
      <w15:appearance w15:val="hidden"/>
      <w:text w:multiLine="1"/>
    </w:sdtPr>
    <w:sdtEndPr/>
    <w:sdtContent>
      <w:p w:rsidR="004F35FE" w:rsidP="00283E0F" w:rsidRDefault="004F35FE" w14:paraId="63B98C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C9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28C"/>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22C"/>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4E3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D7D54"/>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B6AD9"/>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4F9"/>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1A72"/>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2762"/>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E7C90"/>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5C89"/>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B98CC4"/>
  <w15:chartTrackingRefBased/>
  <w15:docId w15:val="{F4D48403-2FD0-4EC2-9152-1B6DCEE7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59F78146FB4597867DBCB5BFD58D40"/>
        <w:category>
          <w:name w:val="Allmänt"/>
          <w:gallery w:val="placeholder"/>
        </w:category>
        <w:types>
          <w:type w:val="bbPlcHdr"/>
        </w:types>
        <w:behaviors>
          <w:behavior w:val="content"/>
        </w:behaviors>
        <w:guid w:val="{DFA48500-B536-455E-A67A-3060C2A0E6B1}"/>
      </w:docPartPr>
      <w:docPartBody>
        <w:p w:rsidR="00280865" w:rsidRDefault="00280865">
          <w:pPr>
            <w:pStyle w:val="1059F78146FB4597867DBCB5BFD58D40"/>
          </w:pPr>
          <w:r w:rsidRPr="005A0A93">
            <w:rPr>
              <w:rStyle w:val="Platshllartext"/>
            </w:rPr>
            <w:t>Förslag till riksdagsbeslut</w:t>
          </w:r>
        </w:p>
      </w:docPartBody>
    </w:docPart>
    <w:docPart>
      <w:docPartPr>
        <w:name w:val="3F425FA95F69401AA295EDA2A14B453E"/>
        <w:category>
          <w:name w:val="Allmänt"/>
          <w:gallery w:val="placeholder"/>
        </w:category>
        <w:types>
          <w:type w:val="bbPlcHdr"/>
        </w:types>
        <w:behaviors>
          <w:behavior w:val="content"/>
        </w:behaviors>
        <w:guid w:val="{7FE83342-AA6D-48F9-9BE6-025C6679B589}"/>
      </w:docPartPr>
      <w:docPartBody>
        <w:p w:rsidR="00280865" w:rsidRDefault="00280865">
          <w:pPr>
            <w:pStyle w:val="3F425FA95F69401AA295EDA2A14B453E"/>
          </w:pPr>
          <w:r w:rsidRPr="005A0A93">
            <w:rPr>
              <w:rStyle w:val="Platshllartext"/>
            </w:rPr>
            <w:t>Motivering</w:t>
          </w:r>
        </w:p>
      </w:docPartBody>
    </w:docPart>
    <w:docPart>
      <w:docPartPr>
        <w:name w:val="6E4B849FA6DB448F9CEE5D070724EA26"/>
        <w:category>
          <w:name w:val="Allmänt"/>
          <w:gallery w:val="placeholder"/>
        </w:category>
        <w:types>
          <w:type w:val="bbPlcHdr"/>
        </w:types>
        <w:behaviors>
          <w:behavior w:val="content"/>
        </w:behaviors>
        <w:guid w:val="{D58B9FC9-3F43-4997-9041-BB191DDBFC23}"/>
      </w:docPartPr>
      <w:docPartBody>
        <w:p w:rsidR="00280865" w:rsidRDefault="00280865">
          <w:pPr>
            <w:pStyle w:val="6E4B849FA6DB448F9CEE5D070724EA26"/>
          </w:pPr>
          <w:r w:rsidRPr="00490DAC">
            <w:rPr>
              <w:rStyle w:val="Platshllartext"/>
            </w:rPr>
            <w:t>Skriv ej här, motionärer infogas via panel!</w:t>
          </w:r>
        </w:p>
      </w:docPartBody>
    </w:docPart>
    <w:docPart>
      <w:docPartPr>
        <w:name w:val="7AF8A3014A504FD8A4782D2428454B1B"/>
        <w:category>
          <w:name w:val="Allmänt"/>
          <w:gallery w:val="placeholder"/>
        </w:category>
        <w:types>
          <w:type w:val="bbPlcHdr"/>
        </w:types>
        <w:behaviors>
          <w:behavior w:val="content"/>
        </w:behaviors>
        <w:guid w:val="{FA62D95D-53CA-4F78-9BA8-7BEE092958A8}"/>
      </w:docPartPr>
      <w:docPartBody>
        <w:p w:rsidR="00280865" w:rsidRDefault="00280865">
          <w:pPr>
            <w:pStyle w:val="7AF8A3014A504FD8A4782D2428454B1B"/>
          </w:pPr>
          <w:r>
            <w:rPr>
              <w:rStyle w:val="Platshllartext"/>
            </w:rPr>
            <w:t xml:space="preserve"> </w:t>
          </w:r>
        </w:p>
      </w:docPartBody>
    </w:docPart>
    <w:docPart>
      <w:docPartPr>
        <w:name w:val="0306A9E2F8D049719AB3DC52F6DFA54B"/>
        <w:category>
          <w:name w:val="Allmänt"/>
          <w:gallery w:val="placeholder"/>
        </w:category>
        <w:types>
          <w:type w:val="bbPlcHdr"/>
        </w:types>
        <w:behaviors>
          <w:behavior w:val="content"/>
        </w:behaviors>
        <w:guid w:val="{969DE880-6DC6-4A5D-96B2-14B19DA465CB}"/>
      </w:docPartPr>
      <w:docPartBody>
        <w:p w:rsidR="00280865" w:rsidRDefault="00280865">
          <w:pPr>
            <w:pStyle w:val="0306A9E2F8D049719AB3DC52F6DFA54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865"/>
    <w:rsid w:val="002808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59F78146FB4597867DBCB5BFD58D40">
    <w:name w:val="1059F78146FB4597867DBCB5BFD58D40"/>
  </w:style>
  <w:style w:type="paragraph" w:customStyle="1" w:styleId="621154C46B254AEB832B7BB533F7DA7D">
    <w:name w:val="621154C46B254AEB832B7BB533F7DA7D"/>
  </w:style>
  <w:style w:type="paragraph" w:customStyle="1" w:styleId="019ED51C1E2C4A55BBF628BD4F7DAEA3">
    <w:name w:val="019ED51C1E2C4A55BBF628BD4F7DAEA3"/>
  </w:style>
  <w:style w:type="paragraph" w:customStyle="1" w:styleId="3F425FA95F69401AA295EDA2A14B453E">
    <w:name w:val="3F425FA95F69401AA295EDA2A14B453E"/>
  </w:style>
  <w:style w:type="paragraph" w:customStyle="1" w:styleId="6E4B849FA6DB448F9CEE5D070724EA26">
    <w:name w:val="6E4B849FA6DB448F9CEE5D070724EA26"/>
  </w:style>
  <w:style w:type="paragraph" w:customStyle="1" w:styleId="7AF8A3014A504FD8A4782D2428454B1B">
    <w:name w:val="7AF8A3014A504FD8A4782D2428454B1B"/>
  </w:style>
  <w:style w:type="paragraph" w:customStyle="1" w:styleId="0306A9E2F8D049719AB3DC52F6DFA54B">
    <w:name w:val="0306A9E2F8D049719AB3DC52F6DFA5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75713B-7EE8-4651-88AF-BE8F4C2205BA}"/>
</file>

<file path=customXml/itemProps2.xml><?xml version="1.0" encoding="utf-8"?>
<ds:datastoreItem xmlns:ds="http://schemas.openxmlformats.org/officeDocument/2006/customXml" ds:itemID="{4F3B6217-E7A4-4C71-A32A-E2DB087B992D}"/>
</file>

<file path=customXml/itemProps3.xml><?xml version="1.0" encoding="utf-8"?>
<ds:datastoreItem xmlns:ds="http://schemas.openxmlformats.org/officeDocument/2006/customXml" ds:itemID="{B8AFAABE-D3D8-4731-956C-D6E055CEB120}"/>
</file>

<file path=docProps/app.xml><?xml version="1.0" encoding="utf-8"?>
<Properties xmlns="http://schemas.openxmlformats.org/officeDocument/2006/extended-properties" xmlns:vt="http://schemas.openxmlformats.org/officeDocument/2006/docPropsVTypes">
  <Template>Normal</Template>
  <TotalTime>9</TotalTime>
  <Pages>1</Pages>
  <Words>251</Words>
  <Characters>1336</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SD24 Utred att begränsa bankers möjlighet till borgen vid bostadslån</vt:lpstr>
      <vt:lpstr>
      </vt:lpstr>
    </vt:vector>
  </TitlesOfParts>
  <Company>Sveriges riksdag</Company>
  <LinksUpToDate>false</LinksUpToDate>
  <CharactersWithSpaces>1580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