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84AD0">
        <w:tblPrEx>
          <w:tblCellMar>
            <w:top w:w="0" w:type="dxa"/>
            <w:left w:w="0" w:type="dxa"/>
            <w:bottom w:w="0" w:type="dxa"/>
            <w:right w:w="0" w:type="dxa"/>
          </w:tblCellMar>
        </w:tblPrEx>
        <w:trPr>
          <w:gridAfter w:val="2"/>
          <w:wAfter w:w="1758" w:type="dxa"/>
          <w:cantSplit/>
          <w:trHeight w:val="1320"/>
        </w:trPr>
        <w:tc>
          <w:tcPr>
            <w:tcW w:w="5897" w:type="dxa"/>
          </w:tcPr>
          <w:p w:rsidR="000E3362" w:rsidRPr="00F84AD0" w:rsidRDefault="000E3362">
            <w:pPr>
              <w:pStyle w:val="HuvudRubrik"/>
            </w:pPr>
            <w:r w:rsidRPr="00F84AD0">
              <w:t>Regeringskansliet</w:t>
            </w:r>
          </w:p>
          <w:p w:rsidR="000E3362" w:rsidRPr="00F84AD0" w:rsidRDefault="000E3362">
            <w:pPr>
              <w:pStyle w:val="HuvudRubrik"/>
            </w:pPr>
            <w:r w:rsidRPr="00F84AD0">
              <w:t>Faktapromemoria 2004/05:FPM18</w:t>
            </w:r>
          </w:p>
        </w:tc>
      </w:tr>
      <w:tr w:rsidR="00000000" w:rsidRPr="00F84AD0">
        <w:tblPrEx>
          <w:tblCellMar>
            <w:top w:w="0" w:type="dxa"/>
            <w:left w:w="0" w:type="dxa"/>
            <w:bottom w:w="0" w:type="dxa"/>
            <w:right w:w="0" w:type="dxa"/>
          </w:tblCellMar>
        </w:tblPrEx>
        <w:trPr>
          <w:gridAfter w:val="2"/>
          <w:wAfter w:w="1758" w:type="dxa"/>
          <w:cantSplit/>
          <w:trHeight w:val="240"/>
        </w:trPr>
        <w:tc>
          <w:tcPr>
            <w:tcW w:w="5897" w:type="dxa"/>
          </w:tcPr>
          <w:p w:rsidR="000E3362" w:rsidRPr="00F84AD0" w:rsidRDefault="000E3362">
            <w:pPr>
              <w:pStyle w:val="HuvudRubrik"/>
              <w:rPr>
                <w:sz w:val="28"/>
              </w:rPr>
            </w:pPr>
            <w:r w:rsidRPr="00F84AD0">
              <w:t>Galileos uppbyggnads- och driftsfas</w:t>
            </w:r>
          </w:p>
        </w:tc>
      </w:tr>
      <w:tr w:rsidR="00000000" w:rsidRPr="00F84AD0">
        <w:tblPrEx>
          <w:tblCellMar>
            <w:top w:w="0" w:type="dxa"/>
            <w:left w:w="0" w:type="dxa"/>
            <w:bottom w:w="0" w:type="dxa"/>
            <w:right w:w="0" w:type="dxa"/>
          </w:tblCellMar>
        </w:tblPrEx>
        <w:trPr>
          <w:cantSplit/>
          <w:trHeight w:val="285"/>
        </w:trPr>
        <w:tc>
          <w:tcPr>
            <w:tcW w:w="7655" w:type="dxa"/>
            <w:gridSpan w:val="3"/>
          </w:tcPr>
          <w:p w:rsidR="000E3362" w:rsidRPr="00F84AD0" w:rsidRDefault="000E3362">
            <w:pPr>
              <w:pStyle w:val="Departement"/>
              <w:rPr>
                <w:sz w:val="28"/>
              </w:rPr>
            </w:pPr>
            <w:r w:rsidRPr="00F84AD0">
              <w:t>Näringsdepartementet</w:t>
            </w:r>
          </w:p>
        </w:tc>
      </w:tr>
      <w:tr w:rsidR="00000000" w:rsidRPr="00F84AD0">
        <w:tblPrEx>
          <w:tblCellMar>
            <w:top w:w="0" w:type="dxa"/>
            <w:left w:w="0" w:type="dxa"/>
            <w:bottom w:w="0" w:type="dxa"/>
            <w:right w:w="0" w:type="dxa"/>
          </w:tblCellMar>
        </w:tblPrEx>
        <w:trPr>
          <w:cantSplit/>
          <w:trHeight w:val="240"/>
        </w:trPr>
        <w:tc>
          <w:tcPr>
            <w:tcW w:w="7655" w:type="dxa"/>
            <w:gridSpan w:val="3"/>
          </w:tcPr>
          <w:p w:rsidR="000E3362" w:rsidRPr="00F84AD0" w:rsidRDefault="000E3362">
            <w:pPr>
              <w:pStyle w:val="Dokumentdatum"/>
            </w:pPr>
            <w:r w:rsidRPr="00F84AD0">
              <w:t>2004-11-04</w:t>
            </w:r>
          </w:p>
        </w:tc>
      </w:tr>
      <w:tr w:rsidR="00000000" w:rsidRPr="00F84AD0">
        <w:tblPrEx>
          <w:tblCellMar>
            <w:top w:w="0" w:type="dxa"/>
            <w:left w:w="0" w:type="dxa"/>
            <w:bottom w:w="0" w:type="dxa"/>
            <w:right w:w="0" w:type="dxa"/>
          </w:tblCellMar>
        </w:tblPrEx>
        <w:trPr>
          <w:cantSplit/>
          <w:trHeight w:val="726"/>
        </w:trPr>
        <w:tc>
          <w:tcPr>
            <w:tcW w:w="7655" w:type="dxa"/>
            <w:gridSpan w:val="3"/>
            <w:vAlign w:val="bottom"/>
          </w:tcPr>
          <w:p w:rsidR="000E3362" w:rsidRPr="00F84AD0" w:rsidRDefault="000E3362">
            <w:pPr>
              <w:pStyle w:val="Dokumentbeteckning"/>
            </w:pPr>
            <w:r w:rsidRPr="00F84AD0">
              <w:t>Dokumentbeteckning</w:t>
            </w:r>
          </w:p>
        </w:tc>
      </w:tr>
      <w:tr w:rsidR="00000000" w:rsidRPr="00F84AD0">
        <w:tblPrEx>
          <w:tblCellMar>
            <w:top w:w="0" w:type="dxa"/>
            <w:left w:w="0" w:type="dxa"/>
            <w:bottom w:w="0" w:type="dxa"/>
            <w:right w:w="0" w:type="dxa"/>
          </w:tblCellMar>
        </w:tblPrEx>
        <w:trPr>
          <w:gridAfter w:val="1"/>
          <w:wAfter w:w="1560" w:type="dxa"/>
          <w:trHeight w:val="120"/>
        </w:trPr>
        <w:tc>
          <w:tcPr>
            <w:tcW w:w="6095" w:type="dxa"/>
            <w:gridSpan w:val="2"/>
          </w:tcPr>
          <w:p w:rsidR="000E3362" w:rsidRPr="00F84AD0" w:rsidRDefault="000E3362">
            <w:bookmarkStart w:id="0" w:name="KomNr"/>
            <w:bookmarkEnd w:id="0"/>
            <w:r w:rsidRPr="00F84AD0">
              <w:t>KOM(2004) 636 final</w:t>
            </w:r>
          </w:p>
        </w:tc>
      </w:tr>
      <w:tr w:rsidR="00000000" w:rsidRPr="00F84AD0">
        <w:tblPrEx>
          <w:tblCellMar>
            <w:top w:w="0" w:type="dxa"/>
            <w:left w:w="0" w:type="dxa"/>
            <w:bottom w:w="0" w:type="dxa"/>
            <w:right w:w="0" w:type="dxa"/>
          </w:tblCellMar>
        </w:tblPrEx>
        <w:trPr>
          <w:gridAfter w:val="1"/>
          <w:wAfter w:w="1560" w:type="dxa"/>
          <w:trHeight w:val="120"/>
        </w:trPr>
        <w:tc>
          <w:tcPr>
            <w:tcW w:w="6095" w:type="dxa"/>
            <w:gridSpan w:val="2"/>
          </w:tcPr>
          <w:p w:rsidR="000E3362" w:rsidRPr="00F84AD0" w:rsidRDefault="000E3362">
            <w:pPr>
              <w:pStyle w:val="Dokumentbeteckning-titel"/>
            </w:pPr>
            <w:r w:rsidRPr="00F84AD0">
              <w:t>Meddelande från kommissionen till Europaparlamentet och rådet Det europeiska projektet för satellitnavigation går in i uppbyggnads- och driftsfaserna</w:t>
            </w:r>
          </w:p>
        </w:tc>
      </w:tr>
    </w:tbl>
    <w:p w:rsidR="000E3362" w:rsidRPr="00F84AD0" w:rsidRDefault="000E3362">
      <w:pPr>
        <w:pStyle w:val="Rubrik1"/>
        <w:numPr>
          <w:ilvl w:val="0"/>
          <w:numId w:val="0"/>
        </w:numPr>
      </w:pPr>
      <w:r w:rsidRPr="00F84AD0">
        <w:t>Sammanfattning</w:t>
      </w:r>
    </w:p>
    <w:p w:rsidR="000E3362" w:rsidRPr="00F84AD0" w:rsidRDefault="000E3362">
      <w:r w:rsidRPr="00F84AD0">
        <w:t>Kommissionen konstaterar i meddelandet att förutsättningarna för att Galileoprojektet skall kunna gå in i uppbyggnads- driftfasen är uppfyllda. Man menar att visshet har uppnåtts om att systemet har kommersiell bärkraft. De konsortier som har lagt anbud på att bygga och driva Galileo visar på betydande intäktsmöjligheter från försäljning av tjänster. På underlag av meddelandet föreslås rådet nu fastlägga att projektet skall drivas vidare genom att ta beslut om systemets grundläggande specifikationer, framf</w:t>
      </w:r>
      <w:r w:rsidRPr="00F84AD0">
        <w:t>ör allt i fråga om tjänsterna. Rådet behöver också besluta om offentliga myndigheters åtaganden avseende finansieringen av uppbyggnads- och driftsfaserna. Detta är nödvändigt för att göra det möjligt för det Gemensamma Företaget att slutföra förhandlingarna om det koncessionsavtal som kommer att undertecknas av tillsynsmyndigheten under 2005, och för aktörer från den privata sektorn att bekräfta sina anbud och sina finansiella åtaganden.</w:t>
      </w:r>
    </w:p>
    <w:p w:rsidR="000E3362" w:rsidRPr="00F84AD0" w:rsidRDefault="000E3362">
      <w:pPr>
        <w:pStyle w:val="Rubrik1"/>
      </w:pPr>
      <w:r w:rsidRPr="00F84AD0">
        <w:t>Förslaget</w:t>
      </w:r>
    </w:p>
    <w:p w:rsidR="000E3362" w:rsidRPr="00F84AD0" w:rsidRDefault="000E3362">
      <w:pPr>
        <w:pStyle w:val="Rubrik2"/>
      </w:pPr>
      <w:r w:rsidRPr="00F84AD0">
        <w:t>Innehåll</w:t>
      </w:r>
    </w:p>
    <w:p w:rsidR="000E3362" w:rsidRPr="00F84AD0" w:rsidRDefault="000E3362">
      <w:r w:rsidRPr="00F84AD0">
        <w:t xml:space="preserve">Kommissionen konstaterar i meddelandet att </w:t>
      </w:r>
      <w:r w:rsidRPr="00F84AD0">
        <w:rPr>
          <w:i/>
        </w:rPr>
        <w:t>förutsättningarna för att Galileoprojektet skall kunna gå in i uppbyggnads- och driftfasen är uppfyllda.</w:t>
      </w:r>
      <w:r w:rsidRPr="00F84AD0">
        <w:t xml:space="preserve"> Visshet har uppnåtts om de strategiska aspekterna hos en infrastruktur som syftar till att garantera EU:s oberoende samtidigt som den skall utgöra ett komplement till det amerikanska GPS-systemet. Systemet har visat sig ha kommersiell bärkraft tack vare de betydande intäktsmöjligheter från försäljning av tjänster som ingår som en betydande del i de finansieringsplaner som lagts fram av de konsortier som </w:t>
      </w:r>
      <w:r w:rsidRPr="00F84AD0">
        <w:t>har lagt anbud på att bygga och driva Gali</w:t>
      </w:r>
      <w:r w:rsidRPr="00F84AD0">
        <w:lastRenderedPageBreak/>
        <w:t xml:space="preserve">leo. Anbuden visar också på ett betydande finansiellt bidrag från den privata sektorn. De fem tjänster som planeras för projektet utgör komplement till varandra och är utformade för att tillgodose behoven hos civila användare som helhet. Visshet har också uppnåtts om projektets internationella dimension och det växande intresset från länder utanför EU att delta aktivt och finansiellt i projektet. </w:t>
      </w:r>
    </w:p>
    <w:p w:rsidR="000E3362" w:rsidRPr="00F84AD0" w:rsidRDefault="000E3362">
      <w:r w:rsidRPr="00F84AD0">
        <w:t>Sedan hösten 2003 pågår en upphandlingsprocess för uppbyggnad och dri</w:t>
      </w:r>
      <w:r w:rsidRPr="00F84AD0">
        <w:t xml:space="preserve">ft av Galileo. Kommissionen menar att de anbud som lämnats in av två konsortier följer </w:t>
      </w:r>
      <w:r w:rsidRPr="00F84AD0">
        <w:rPr>
          <w:i/>
        </w:rPr>
        <w:t>rådets antaganden som gjorts om finansieringen av uppbyggnads- och driftsfaserna</w:t>
      </w:r>
      <w:r w:rsidRPr="00F84AD0">
        <w:t>. Rådets modell innebär att anbudsgivarna skall förplikta sig att finansiera minst 2/3 av kostnaderna för uppbyggnadsfasen – vilka beräknas till 2,2 miljarder euro – och få offentligt stöd under de första åren efter det att systemet tagits i drift.</w:t>
      </w:r>
      <w:r w:rsidRPr="00F84AD0">
        <w:rPr>
          <w:sz w:val="24"/>
          <w:lang w:eastAsia="en-GB"/>
        </w:rPr>
        <w:t xml:space="preserve"> </w:t>
      </w:r>
      <w:r w:rsidRPr="00F84AD0">
        <w:t xml:space="preserve">Intäkterna från försäljning av tjänster ingår som en betydande del i de finansieringsplaner som </w:t>
      </w:r>
      <w:r w:rsidRPr="00F84AD0">
        <w:t>lagts fram av de konsortier som var kvar i slutomgången. Dessa intäkter går till koncessionsinnehavaren och ger denne möjlighet att få avkastning på investerat kapital och betala tillbaka tagna lån. Tillsynsmyndigheten kommer också att – inom ramen för koncessionsavtalet – ge koncessionären tillstånd att utnyttja immateriella rättigheter som är knutna till systemets olika delar och deras tillämpningar. Detta ger ytterligare intäkter enligt finansieringsplanen. I de framlagda finansieringsplanerna anges vida</w:t>
      </w:r>
      <w:r w:rsidRPr="00F84AD0">
        <w:t xml:space="preserve">re att konsortierna också skall göra betydande åtaganden i form av satsningar med eget kapital med säkra bankgarantier i ryggen. </w:t>
      </w:r>
    </w:p>
    <w:p w:rsidR="000E3362" w:rsidRPr="00F84AD0" w:rsidRDefault="000E3362">
      <w:pPr>
        <w:rPr>
          <w:lang w:eastAsia="en-GB"/>
        </w:rPr>
      </w:pPr>
      <w:r w:rsidRPr="00F84AD0">
        <w:t xml:space="preserve">Det kommer behövas </w:t>
      </w:r>
      <w:r w:rsidRPr="00F84AD0">
        <w:rPr>
          <w:i/>
        </w:rPr>
        <w:t>offentlig finansiering för att komplettera den privata sektorns finansiering</w:t>
      </w:r>
      <w:r w:rsidRPr="00F84AD0">
        <w:t xml:space="preserve"> av uppbyggnads- och driftsfaserna.</w:t>
      </w:r>
      <w:r w:rsidRPr="00F84AD0">
        <w:rPr>
          <w:lang w:eastAsia="en-GB"/>
        </w:rPr>
        <w:t xml:space="preserve"> </w:t>
      </w:r>
      <w:r w:rsidRPr="00F84AD0">
        <w:t>Kostnaden för uppbyggnadsfasen beräknas till 2,2 miljarder euro. För den del av finansieringen som skall ske från gemenskapens budget lade kommissionen den 14 juli 2004 fram ett förslag till en förordning från Europaparlamentet och rådet om genomförandet av de faser som omfattar uppbyggnaden och den kommersiella driften av projektet (</w:t>
      </w:r>
      <w:r w:rsidRPr="00F84AD0">
        <w:rPr>
          <w:rStyle w:val="FootnoteTextChar2"/>
          <w:lang w:val="sv-SE"/>
        </w:rPr>
        <w:t>KOM (2004)477 slutlig)</w:t>
      </w:r>
      <w:r w:rsidRPr="00F84AD0">
        <w:t>. Genom denna förordning föreslås Galileop</w:t>
      </w:r>
      <w:r w:rsidRPr="00F84AD0">
        <w:t>rojektet inordnas i ett eget rättsligt instrument. I den föreslagna förordningen fastställs gemenskapens finansiering till 1 miljard euro för perioden 1 januari 2007–31 december 2013. Av detta belopp anslås 500 milj. euro till finansieringen av uppbyggnadsfasen, som också enligt plan skall få 200 milj. euro för år 2006 inom ramen för den löpande budgetplanen. 500 milj. euro är öronmärkta för finansieringen av de första åren av driftsfasen. Den sista siffran är preliminär och kommer vid behov att justeras be</w:t>
      </w:r>
      <w:r w:rsidRPr="00F84AD0">
        <w:t>roende på resultatet av förhandlingarna med de företag som söker koncessionen.</w:t>
      </w:r>
    </w:p>
    <w:p w:rsidR="000E3362" w:rsidRPr="00F84AD0" w:rsidRDefault="000E3362">
      <w:pPr>
        <w:spacing w:before="120" w:after="120"/>
      </w:pPr>
      <w:r w:rsidRPr="00F84AD0">
        <w:t xml:space="preserve">De </w:t>
      </w:r>
      <w:r w:rsidRPr="00F84AD0">
        <w:rPr>
          <w:i/>
        </w:rPr>
        <w:t>övriga villkor som uppställts av rådet för att man skall gå vidare till de följande faserna i projektet är enligt meddelandet också uppfyllda</w:t>
      </w:r>
      <w:r w:rsidRPr="00F84AD0">
        <w:t>. Ett avtal har ingåtts med USA om driftskompatibilitet mellan det amerikanska och det europeiska systemet. Avtalet undertecknades den 26 juni 2004. Organiseringen av den framtida förvaltningen av systemet, inrättandet av tillsynsmyndigheten och säkerhetsbestämmelser har fastställts genom rådets antagande av de två dokumenten av den 12 juli 2004.</w:t>
      </w:r>
    </w:p>
    <w:p w:rsidR="000E3362" w:rsidRPr="00F84AD0" w:rsidRDefault="000E3362">
      <w:r w:rsidRPr="00F84AD0">
        <w:t>Kommissionen menar att</w:t>
      </w:r>
      <w:r w:rsidRPr="00F84AD0">
        <w:rPr>
          <w:i/>
        </w:rPr>
        <w:t xml:space="preserve"> rådet nu på detta underlag skall kunna fastlägga att projektet skall drivas vidare </w:t>
      </w:r>
      <w:r w:rsidRPr="00F84AD0">
        <w:t>genom att ta beslut om systemets grundläggande specifikationer, framför allt i fråga om tjänsterna. Rådet behöver också besluta om offentliga myndigheters åtaganden avseende såväl finansieringen av uppbyggnads- och driftsfaserna som tillsynen av systemet. Kännedom om detta är nödvändigt för att göra det möjligt för det Gemensamma Företaget (Galileo Joint Undertaking) att slutföra förhandlingarna om det koncessionsavtal som k</w:t>
      </w:r>
      <w:r w:rsidRPr="00F84AD0">
        <w:t>ommer att undertecknas av tillsynsmyndigheten under 2005, och för aktörer från den privata sektorn att bekräfta sina anbud och sina finansiella åtaganden.</w:t>
      </w:r>
    </w:p>
    <w:p w:rsidR="000E3362" w:rsidRPr="00F84AD0" w:rsidRDefault="000E3362">
      <w:pPr>
        <w:pStyle w:val="Rubrik2"/>
      </w:pPr>
      <w:r w:rsidRPr="00F84AD0">
        <w:t>Gällande svenska regler och förslagets effekt på dessa</w:t>
      </w:r>
    </w:p>
    <w:p w:rsidR="000E3362" w:rsidRPr="00F84AD0" w:rsidRDefault="000E3362">
      <w:r w:rsidRPr="00F84AD0">
        <w:t>Motsvarande svenska regler finns inte.</w:t>
      </w:r>
    </w:p>
    <w:p w:rsidR="000E3362" w:rsidRPr="00F84AD0" w:rsidRDefault="000E3362">
      <w:pPr>
        <w:pStyle w:val="Rubrik2"/>
      </w:pPr>
      <w:r w:rsidRPr="00F84AD0">
        <w:t>Budgetära konsekvenser</w:t>
      </w:r>
    </w:p>
    <w:p w:rsidR="000E3362" w:rsidRPr="00F84AD0" w:rsidRDefault="000E3362">
      <w:r w:rsidRPr="00F84AD0">
        <w:t>Sveriges andel av utgifterna från EU-budgeten är 2,9%. De budgetära konsekvenserna på svenska statsbudgeten blir alltså 2,9% av de utgifter som beslutas för programmet. Se vidare tidigare redovisning om förslag till offentlig del av finansiering av Galileo.</w:t>
      </w:r>
    </w:p>
    <w:p w:rsidR="000E3362" w:rsidRPr="00F84AD0" w:rsidRDefault="000E3362">
      <w:pPr>
        <w:pStyle w:val="Rubrik1"/>
      </w:pPr>
      <w:r w:rsidRPr="00F84AD0">
        <w:t>Ståndpunkter</w:t>
      </w:r>
    </w:p>
    <w:p w:rsidR="000E3362" w:rsidRPr="00F84AD0" w:rsidRDefault="000E3362">
      <w:pPr>
        <w:pStyle w:val="Rubrik2"/>
      </w:pPr>
      <w:r w:rsidRPr="00F84AD0">
        <w:t>Svensk ståndpunkt</w:t>
      </w:r>
    </w:p>
    <w:p w:rsidR="000E3362" w:rsidRPr="00F84AD0" w:rsidRDefault="000E3362">
      <w:pPr>
        <w:rPr>
          <w:b/>
        </w:rPr>
      </w:pPr>
      <w:r w:rsidRPr="00F84AD0">
        <w:t xml:space="preserve">Sverige har under hela projektets gång hävdat att </w:t>
      </w:r>
      <w:r w:rsidRPr="00F84AD0">
        <w:rPr>
          <w:i/>
        </w:rPr>
        <w:t>finansieringslösningarna</w:t>
      </w:r>
      <w:r w:rsidRPr="00F84AD0">
        <w:t xml:space="preserve"> måste vara tydliga och att en betydande privat medverkan bör eftersträvas så tidigt som möjligt. Skälet är att en privat medverkan minskar det offentliga finansierings- och risktagandet samt garanterar kostnadspress och beaktande av användaraspekter. </w:t>
      </w:r>
    </w:p>
    <w:p w:rsidR="000E3362" w:rsidRPr="00F84AD0" w:rsidRDefault="000E3362"/>
    <w:p w:rsidR="000E3362" w:rsidRPr="00F84AD0" w:rsidRDefault="000E3362">
      <w:r w:rsidRPr="00F84AD0">
        <w:t xml:space="preserve">Vad gäller beslut om vilka </w:t>
      </w:r>
      <w:r w:rsidRPr="00F84AD0">
        <w:rPr>
          <w:i/>
        </w:rPr>
        <w:t>tjänster</w:t>
      </w:r>
      <w:r w:rsidRPr="00F84AD0">
        <w:t xml:space="preserve"> Galileo skall erbjuda så stödjer Sverige de fem föreslagna tjänsterna - en öppen tjänst, en kommersiell tjänst, en Safety of Life-tjänst, ett komplement till lokaliserings- och räddningstjänsten inom COSPAS-SARSAT-systemet samt en statligt kontrollerad tjänst (Public Regulated Service, PRS).</w:t>
      </w:r>
    </w:p>
    <w:p w:rsidR="000E3362" w:rsidRPr="00F84AD0" w:rsidRDefault="000E3362">
      <w:pPr>
        <w:pStyle w:val="Rubrik2"/>
      </w:pPr>
      <w:r w:rsidRPr="00F84AD0">
        <w:t>Medlemsstaternas ståndpunkter</w:t>
      </w:r>
    </w:p>
    <w:p w:rsidR="000E3362" w:rsidRPr="00F84AD0" w:rsidRDefault="000E3362">
      <w:r w:rsidRPr="00F84AD0">
        <w:t>Föreligger inte.</w:t>
      </w:r>
    </w:p>
    <w:p w:rsidR="000E3362" w:rsidRPr="00F84AD0" w:rsidRDefault="000E3362">
      <w:pPr>
        <w:pStyle w:val="Rubrik2"/>
      </w:pPr>
      <w:r w:rsidRPr="00F84AD0">
        <w:t>Institutionernas ståndpunkter</w:t>
      </w:r>
    </w:p>
    <w:p w:rsidR="000E3362" w:rsidRPr="00F84AD0" w:rsidRDefault="000E3362">
      <w:r w:rsidRPr="00F84AD0">
        <w:t>Föreligger inte.</w:t>
      </w:r>
    </w:p>
    <w:p w:rsidR="000E3362" w:rsidRPr="00F84AD0" w:rsidRDefault="000E3362">
      <w:pPr>
        <w:pStyle w:val="Rubrik2"/>
      </w:pPr>
      <w:r w:rsidRPr="00F84AD0">
        <w:t>Remissinstansernas ståndpunkter</w:t>
      </w:r>
    </w:p>
    <w:p w:rsidR="000E3362" w:rsidRPr="00F84AD0" w:rsidRDefault="000E3362">
      <w:r w:rsidRPr="00F84AD0">
        <w:t>Föreligger inte.</w:t>
      </w:r>
    </w:p>
    <w:p w:rsidR="000E3362" w:rsidRPr="00F84AD0" w:rsidRDefault="000E3362">
      <w:pPr>
        <w:pStyle w:val="Rubrik1"/>
      </w:pPr>
      <w:r w:rsidRPr="00F84AD0">
        <w:t>Övrigt</w:t>
      </w:r>
    </w:p>
    <w:p w:rsidR="000E3362" w:rsidRPr="00F84AD0" w:rsidRDefault="000E3362">
      <w:pPr>
        <w:pStyle w:val="Rubrik2"/>
      </w:pPr>
      <w:r w:rsidRPr="00F84AD0">
        <w:t>Fortsatt behandling av ärendet</w:t>
      </w:r>
    </w:p>
    <w:p w:rsidR="000E3362" w:rsidRPr="00F84AD0" w:rsidRDefault="000E3362">
      <w:r w:rsidRPr="00F84AD0">
        <w:t xml:space="preserve">Frågan kommer att behandlas av rådsarbetsgruppen och Coreper I under hösten 2004. Transportministerrådet väntas ta beslut om rådsslutsatser  i december 2004. Finansministrarna väntas behandla förslaget finansieringsförordning. Samtliga aspekter av programmet som har finansiella konsekvenser i nästa finansiella perspektiv skall behandlas av ad hoc-gruppen, Coreper II och GAERC som är sammanhållande i förhandlingarna om nästa finansiella perspektiv. </w:t>
      </w:r>
    </w:p>
    <w:p w:rsidR="000E3362" w:rsidRPr="00F84AD0" w:rsidRDefault="000E3362">
      <w:pPr>
        <w:pStyle w:val="Rubrik2"/>
      </w:pPr>
      <w:r w:rsidRPr="00F84AD0">
        <w:t>Rättslig grund och beslutsförfarande</w:t>
      </w:r>
    </w:p>
    <w:p w:rsidR="000E3362" w:rsidRPr="00F84AD0" w:rsidRDefault="000E3362">
      <w:r w:rsidRPr="00F84AD0">
        <w:t>Vid beslut i rådet antas rådsslutsatser enhälligt av medlemsstaterna.</w:t>
      </w:r>
    </w:p>
    <w:p w:rsidR="000E3362" w:rsidRPr="00F84AD0" w:rsidRDefault="000E3362">
      <w:pPr>
        <w:pStyle w:val="Rubrik2"/>
      </w:pPr>
      <w:r w:rsidRPr="00F84AD0">
        <w:t>Fackuttryck/termer</w:t>
      </w:r>
    </w:p>
    <w:p w:rsidR="000E3362" w:rsidRPr="00F84AD0" w:rsidRDefault="000E3362">
      <w:r w:rsidRPr="00F84AD0">
        <w:rPr>
          <w:i/>
        </w:rPr>
        <w:t>GPS</w:t>
      </w:r>
      <w:r w:rsidRPr="00F84AD0">
        <w:t xml:space="preserve"> = Global Positioning System. USA:s världsledande satellitbaserade positions- och navigeringssystem</w:t>
      </w:r>
    </w:p>
    <w:p w:rsidR="000E3362" w:rsidRPr="00F84AD0" w:rsidRDefault="000E3362">
      <w:r w:rsidRPr="00F84AD0">
        <w:rPr>
          <w:i/>
        </w:rPr>
        <w:t>Galileo Joint Undertaking</w:t>
      </w:r>
      <w:r w:rsidRPr="00F84AD0">
        <w:t xml:space="preserve"> = Ett gemensamt företag  enligt artikel 171 (under kapitlet om forskning och teknisk utveckling) i EG-fördraget för genomförandet av Galileoprojektets utvecklingsfas. Företaget har sitt säte i Bryssel. Grundarna är gemenskapen (företrädd av Kommissionen) och European Space Agency (ESA)</w:t>
      </w:r>
    </w:p>
    <w:p w:rsidR="000E3362" w:rsidRPr="00F84AD0" w:rsidRDefault="000E3362"/>
    <w:p w:rsidR="000E3362" w:rsidRPr="00F84AD0" w:rsidRDefault="000E3362">
      <w:r w:rsidRPr="00F84AD0">
        <w:rPr>
          <w:i/>
        </w:rPr>
        <w:t>Coreper</w:t>
      </w:r>
      <w:r w:rsidRPr="00F84AD0">
        <w:t xml:space="preserve"> = de ständiga representanternas kommitté</w:t>
      </w:r>
    </w:p>
    <w:p w:rsidR="000E3362" w:rsidRPr="00F84AD0" w:rsidRDefault="000E3362"/>
    <w:p w:rsidR="000E3362" w:rsidRPr="00F84AD0" w:rsidRDefault="000E3362"/>
    <w:sectPr w:rsidR="000E3362" w:rsidRPr="00F84AD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362" w:rsidRPr="00F84AD0" w:rsidRDefault="000E3362">
      <w:pPr>
        <w:spacing w:before="0" w:line="240" w:lineRule="auto"/>
      </w:pPr>
      <w:r w:rsidRPr="00F84AD0">
        <w:separator/>
      </w:r>
    </w:p>
  </w:endnote>
  <w:endnote w:type="continuationSeparator" w:id="0">
    <w:p w:rsidR="000E3362" w:rsidRPr="00F84AD0" w:rsidRDefault="000E3362">
      <w:pPr>
        <w:spacing w:before="0" w:line="240" w:lineRule="auto"/>
      </w:pPr>
      <w:r w:rsidRPr="00F84A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62" w:rsidRPr="00F84AD0" w:rsidRDefault="000E336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62" w:rsidRPr="00F84AD0" w:rsidRDefault="000E3362">
    <w:pPr>
      <w:pStyle w:val="SidfotH"/>
      <w:framePr w:wrap="around"/>
    </w:pPr>
    <w:r w:rsidRPr="00F84AD0">
      <w:t>4</w:t>
    </w:r>
  </w:p>
  <w:p w:rsidR="000E3362" w:rsidRPr="00F84AD0" w:rsidRDefault="000E336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62" w:rsidRPr="00F84AD0" w:rsidRDefault="000E3362">
    <w:pPr>
      <w:pStyle w:val="SidfotH"/>
      <w:framePr w:wrap="around"/>
    </w:pPr>
    <w:r w:rsidRPr="00F84AD0">
      <w:t>1</w:t>
    </w:r>
  </w:p>
  <w:p w:rsidR="000E3362" w:rsidRPr="00F84AD0" w:rsidRDefault="000E33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362" w:rsidRPr="00F84AD0" w:rsidRDefault="000E3362">
      <w:pPr>
        <w:spacing w:before="0" w:line="240" w:lineRule="auto"/>
      </w:pPr>
      <w:r w:rsidRPr="00F84AD0">
        <w:separator/>
      </w:r>
    </w:p>
  </w:footnote>
  <w:footnote w:type="continuationSeparator" w:id="0">
    <w:p w:rsidR="000E3362" w:rsidRPr="00F84AD0" w:rsidRDefault="000E3362">
      <w:pPr>
        <w:spacing w:before="0" w:line="240" w:lineRule="auto"/>
      </w:pPr>
      <w:r w:rsidRPr="00F84A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62" w:rsidRPr="00F84AD0" w:rsidRDefault="000E336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62" w:rsidRPr="00F84AD0" w:rsidRDefault="000E3362">
    <w:pPr>
      <w:pStyle w:val="Kantrubrik"/>
      <w:framePr w:h="1157" w:hRule="exact" w:wrap="around" w:y="738"/>
    </w:pPr>
    <w:r w:rsidRPr="00F84AD0">
      <w:t>2004/05:FPM18</w:t>
    </w:r>
  </w:p>
  <w:p w:rsidR="000E3362" w:rsidRPr="00F84AD0" w:rsidRDefault="000E336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362" w:rsidRPr="00F84AD0" w:rsidRDefault="00F84AD0">
    <w:pPr>
      <w:pStyle w:val="Sidhuvud"/>
    </w:pPr>
    <w:r w:rsidRPr="00F84AD0">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4682301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0E3362" w:rsidRDefault="000E336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5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0E3362" w:rsidRDefault="000E3362">
                    <w:pPr>
                      <w:pStyle w:val="Logo"/>
                    </w:pPr>
                    <w:r>
                      <w:object w:dxaOrig="840" w:dyaOrig="1545">
                        <v:shape id="_x0000_i1025" type="#_x0000_t75" style="width:42pt;height:77.15pt" fillcolor="window">
                          <v:imagedata r:id="rId1" o:title=""/>
                        </v:shape>
                        <o:OLEObject Type="Embed" ProgID="Word.Picture.8" ShapeID="_x0000_i1025" DrawAspect="Content" ObjectID="_182741995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9544329">
    <w:abstractNumId w:val="4"/>
  </w:num>
  <w:num w:numId="2" w16cid:durableId="106200779">
    <w:abstractNumId w:val="1"/>
  </w:num>
  <w:num w:numId="3" w16cid:durableId="2029942975">
    <w:abstractNumId w:val="2"/>
  </w:num>
  <w:num w:numId="4" w16cid:durableId="393046587">
    <w:abstractNumId w:val="3"/>
  </w:num>
  <w:num w:numId="5" w16cid:durableId="407777484">
    <w:abstractNumId w:val="5"/>
  </w:num>
  <w:num w:numId="6" w16cid:durableId="1015426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11-05"/>
    <w:docVar w:name="Ar" w:val="2004/05"/>
    <w:docVar w:name="Dep" w:val="Näringsdepartementet"/>
    <w:docVar w:name="DepWeb" w:val="Näringsdepartementet"/>
    <w:docVar w:name="GDB1" w:val="KOM(2004) 636 final"/>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Det europeiska projektet för satellitnavigation går in i uppbyggnads- och driftsfaserna"/>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636 final"/>
    <w:docVar w:name="Nr" w:val="18"/>
    <w:docVar w:name="Rub" w:val="Galileos uppbyggnads- och driftsfas"/>
    <w:docVar w:name="UppDat" w:val="2004-11-04"/>
    <w:docVar w:name="Utsk" w:val="Trafikutskottet"/>
  </w:docVars>
  <w:rsids>
    <w:rsidRoot w:val="00E13429"/>
    <w:rsid w:val="000E3362"/>
    <w:rsid w:val="00E13429"/>
    <w:rsid w:val="00F84A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ED3A0E-BA28-4234-9597-6DBF258AC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character" w:customStyle="1" w:styleId="FootnoteTextChar2">
    <w:name w:val="Footnote Text Char2"/>
    <w:basedOn w:val="Standardstycketeckensnitt"/>
    <w:rPr>
      <w:noProof w:val="0"/>
      <w:lang w:val="fr-FR"/>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1108</Words>
  <Characters>7007</Characters>
  <Application>Microsoft Office Word</Application>
  <DocSecurity>4</DocSecurity>
  <Lines>137</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2004-10-22T14:14:00Z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18</vt:lpwstr>
  </property>
  <property fmtid="{D5CDD505-2E9C-101B-9397-08002B2CF9AE}" pid="4" name="GDB1">
    <vt:lpwstr>KOM(2004) 636 final</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Galileos uppbyggnads- och driftsfas</vt:lpwstr>
  </property>
  <property fmtid="{D5CDD505-2E9C-101B-9397-08002B2CF9AE}" pid="8" name="UppDat">
    <vt:lpwstr>2004-11-04</vt:lpwstr>
  </property>
  <property fmtid="{D5CDD505-2E9C-101B-9397-08002B2CF9AE}" pid="9" name="AnkDat">
    <vt:lpwstr>2004-11-05</vt:lpwstr>
  </property>
  <property fmtid="{D5CDD505-2E9C-101B-9397-08002B2CF9AE}" pid="10" name="Utsk">
    <vt:lpwstr>Trafikutskottet</vt:lpwstr>
  </property>
  <property fmtid="{D5CDD505-2E9C-101B-9397-08002B2CF9AE}" pid="11" name="Ar">
    <vt:lpwstr>2004/05</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_AdHocReviewCycleID">
    <vt:i4>-1600394784</vt:i4>
  </property>
  <property fmtid="{D5CDD505-2E9C-101B-9397-08002B2CF9AE}" pid="16" name="_EmailSubject">
    <vt:lpwstr>GALILEO:  Synpunkter på FaktaPM inför december-Rådet</vt:lpwstr>
  </property>
  <property fmtid="{D5CDD505-2E9C-101B-9397-08002B2CF9AE}" pid="17" name="_AuthorEmail">
    <vt:lpwstr>Christer.Berner@snsb.se</vt:lpwstr>
  </property>
  <property fmtid="{D5CDD505-2E9C-101B-9397-08002B2CF9AE}" pid="18" name="_AuthorEmailDisplayName">
    <vt:lpwstr>Christer Berner</vt:lpwstr>
  </property>
  <property fmtid="{D5CDD505-2E9C-101B-9397-08002B2CF9AE}" pid="19" name="GDB2">
    <vt:lpwstr> </vt:lpwstr>
  </property>
  <property fmtid="{D5CDD505-2E9C-101B-9397-08002B2CF9AE}" pid="20" name="GDB3">
    <vt:lpwstr> </vt:lpwstr>
  </property>
  <property fmtid="{D5CDD505-2E9C-101B-9397-08002B2CF9AE}" pid="21" name="GDB4">
    <vt:lpwstr> </vt:lpwstr>
  </property>
  <property fmtid="{D5CDD505-2E9C-101B-9397-08002B2CF9AE}" pid="22" name="GDB5">
    <vt:lpwstr> </vt:lpwstr>
  </property>
  <property fmtid="{D5CDD505-2E9C-101B-9397-08002B2CF9AE}" pid="23" name="GDB6">
    <vt:lpwstr> </vt:lpwstr>
  </property>
  <property fmtid="{D5CDD505-2E9C-101B-9397-08002B2CF9AE}" pid="24" name="GDB7">
    <vt:lpwstr> </vt:lpwstr>
  </property>
  <property fmtid="{D5CDD505-2E9C-101B-9397-08002B2CF9AE}" pid="25" name="GDB8">
    <vt:lpwstr> </vt:lpwstr>
  </property>
  <property fmtid="{D5CDD505-2E9C-101B-9397-08002B2CF9AE}" pid="26" name="GDB9">
    <vt:lpwstr> </vt:lpwstr>
  </property>
  <property fmtid="{D5CDD505-2E9C-101B-9397-08002B2CF9AE}" pid="27" name="GDB10">
    <vt:lpwstr> </vt:lpwstr>
  </property>
  <property fmtid="{D5CDD505-2E9C-101B-9397-08002B2CF9AE}" pid="28" name="GDB11">
    <vt:lpwstr> </vt:lpwstr>
  </property>
  <property fmtid="{D5CDD505-2E9C-101B-9397-08002B2CF9AE}" pid="29" name="GDB12">
    <vt:lpwstr> </vt:lpwstr>
  </property>
  <property fmtid="{D5CDD505-2E9C-101B-9397-08002B2CF9AE}" pid="30" name="GDB13">
    <vt:lpwstr> </vt:lpwstr>
  </property>
  <property fmtid="{D5CDD505-2E9C-101B-9397-08002B2CF9AE}" pid="31" name="Justitiedepartementet">
    <vt:lpwstr>NEJ</vt:lpwstr>
  </property>
  <property fmtid="{D5CDD505-2E9C-101B-9397-08002B2CF9AE}" pid="32" name="Utrikesdepartementet">
    <vt:lpwstr>NEJ</vt:lpwstr>
  </property>
  <property fmtid="{D5CDD505-2E9C-101B-9397-08002B2CF9AE}" pid="33" name="Försvarsdepartementet">
    <vt:lpwstr>NEJ</vt:lpwstr>
  </property>
  <property fmtid="{D5CDD505-2E9C-101B-9397-08002B2CF9AE}" pid="34" name="Socialdepartementet">
    <vt:lpwstr>NEJ</vt:lpwstr>
  </property>
  <property fmtid="{D5CDD505-2E9C-101B-9397-08002B2CF9AE}" pid="35" name="Finansdepartementet">
    <vt:lpwstr>NEJ</vt:lpwstr>
  </property>
  <property fmtid="{D5CDD505-2E9C-101B-9397-08002B2CF9AE}" pid="36" name="Utbildningsdepartementet">
    <vt:lpwstr>NEJ</vt:lpwstr>
  </property>
  <property fmtid="{D5CDD505-2E9C-101B-9397-08002B2CF9AE}" pid="37" name="Jordbruksdepartementet">
    <vt:lpwstr>NEJ</vt:lpwstr>
  </property>
  <property fmtid="{D5CDD505-2E9C-101B-9397-08002B2CF9AE}" pid="38" name="Kulturdepartementet">
    <vt:lpwstr>NEJ</vt:lpwstr>
  </property>
  <property fmtid="{D5CDD505-2E9C-101B-9397-08002B2CF9AE}" pid="39" name="Näringsdepartementet">
    <vt:lpwstr>JA</vt:lpwstr>
  </property>
  <property fmtid="{D5CDD505-2E9C-101B-9397-08002B2CF9AE}" pid="40" name="Miljödepartementet">
    <vt:lpwstr>NEJ</vt:lpwstr>
  </property>
  <property fmtid="{D5CDD505-2E9C-101B-9397-08002B2CF9AE}" pid="41" name="NUID">
    <vt:lpwstr> </vt:lpwstr>
  </property>
  <property fmtid="{D5CDD505-2E9C-101B-9397-08002B2CF9AE}" pid="42" name="_ReviewingToolsShownOnce">
    <vt:lpwstr/>
  </property>
</Properties>
</file>