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F2C6D">
        <w:tblPrEx>
          <w:tblCellMar>
            <w:top w:w="0" w:type="dxa"/>
            <w:left w:w="0" w:type="dxa"/>
            <w:bottom w:w="0" w:type="dxa"/>
            <w:right w:w="0" w:type="dxa"/>
          </w:tblCellMar>
        </w:tblPrEx>
        <w:trPr>
          <w:gridAfter w:val="2"/>
          <w:wAfter w:w="1758" w:type="dxa"/>
          <w:cantSplit/>
          <w:trHeight w:val="1320"/>
        </w:trPr>
        <w:tc>
          <w:tcPr>
            <w:tcW w:w="5897" w:type="dxa"/>
          </w:tcPr>
          <w:p w:rsidR="00523A8C" w:rsidRPr="000F2C6D" w:rsidRDefault="00523A8C">
            <w:pPr>
              <w:pStyle w:val="HuvudRubrik"/>
            </w:pPr>
            <w:r w:rsidRPr="000F2C6D">
              <w:t>Regeringskansliet</w:t>
            </w:r>
          </w:p>
          <w:p w:rsidR="00523A8C" w:rsidRPr="000F2C6D" w:rsidRDefault="00523A8C">
            <w:pPr>
              <w:pStyle w:val="HuvudRubrik"/>
            </w:pPr>
            <w:r w:rsidRPr="000F2C6D">
              <w:t>Faktapromemoria  2007/08:FPM92</w:t>
            </w:r>
          </w:p>
        </w:tc>
      </w:tr>
      <w:tr w:rsidR="00000000" w:rsidRPr="000F2C6D">
        <w:tblPrEx>
          <w:tblCellMar>
            <w:top w:w="0" w:type="dxa"/>
            <w:left w:w="0" w:type="dxa"/>
            <w:bottom w:w="0" w:type="dxa"/>
            <w:right w:w="0" w:type="dxa"/>
          </w:tblCellMar>
        </w:tblPrEx>
        <w:trPr>
          <w:gridAfter w:val="2"/>
          <w:wAfter w:w="1758" w:type="dxa"/>
          <w:cantSplit/>
          <w:trHeight w:val="240"/>
        </w:trPr>
        <w:tc>
          <w:tcPr>
            <w:tcW w:w="5897" w:type="dxa"/>
          </w:tcPr>
          <w:p w:rsidR="00523A8C" w:rsidRPr="000F2C6D" w:rsidRDefault="00523A8C">
            <w:pPr>
              <w:pStyle w:val="HuvudRubrik"/>
              <w:rPr>
                <w:sz w:val="28"/>
              </w:rPr>
            </w:pPr>
            <w:r w:rsidRPr="000F2C6D">
              <w:t>Konkurrenskraft om metallindustrin</w:t>
            </w:r>
          </w:p>
        </w:tc>
      </w:tr>
      <w:tr w:rsidR="00000000" w:rsidRPr="000F2C6D">
        <w:tblPrEx>
          <w:tblCellMar>
            <w:top w:w="0" w:type="dxa"/>
            <w:left w:w="0" w:type="dxa"/>
            <w:bottom w:w="0" w:type="dxa"/>
            <w:right w:w="0" w:type="dxa"/>
          </w:tblCellMar>
        </w:tblPrEx>
        <w:trPr>
          <w:cantSplit/>
          <w:trHeight w:val="285"/>
        </w:trPr>
        <w:tc>
          <w:tcPr>
            <w:tcW w:w="7655" w:type="dxa"/>
            <w:gridSpan w:val="3"/>
          </w:tcPr>
          <w:p w:rsidR="00523A8C" w:rsidRPr="000F2C6D" w:rsidRDefault="00523A8C">
            <w:pPr>
              <w:pStyle w:val="Departement"/>
              <w:rPr>
                <w:sz w:val="28"/>
              </w:rPr>
            </w:pPr>
            <w:r w:rsidRPr="000F2C6D">
              <w:t>Näringsdepartementet</w:t>
            </w:r>
          </w:p>
        </w:tc>
      </w:tr>
      <w:tr w:rsidR="00000000" w:rsidRPr="000F2C6D">
        <w:tblPrEx>
          <w:tblCellMar>
            <w:top w:w="0" w:type="dxa"/>
            <w:left w:w="0" w:type="dxa"/>
            <w:bottom w:w="0" w:type="dxa"/>
            <w:right w:w="0" w:type="dxa"/>
          </w:tblCellMar>
        </w:tblPrEx>
        <w:trPr>
          <w:cantSplit/>
          <w:trHeight w:val="240"/>
        </w:trPr>
        <w:tc>
          <w:tcPr>
            <w:tcW w:w="7655" w:type="dxa"/>
            <w:gridSpan w:val="3"/>
          </w:tcPr>
          <w:p w:rsidR="00523A8C" w:rsidRPr="000F2C6D" w:rsidRDefault="00523A8C">
            <w:pPr>
              <w:pStyle w:val="Dokumentdatum"/>
            </w:pPr>
            <w:r w:rsidRPr="000F2C6D">
              <w:t>2008-04-10</w:t>
            </w:r>
          </w:p>
        </w:tc>
      </w:tr>
      <w:tr w:rsidR="00000000" w:rsidRPr="000F2C6D">
        <w:tblPrEx>
          <w:tblCellMar>
            <w:top w:w="0" w:type="dxa"/>
            <w:left w:w="0" w:type="dxa"/>
            <w:bottom w:w="0" w:type="dxa"/>
            <w:right w:w="0" w:type="dxa"/>
          </w:tblCellMar>
        </w:tblPrEx>
        <w:trPr>
          <w:cantSplit/>
          <w:trHeight w:val="726"/>
        </w:trPr>
        <w:tc>
          <w:tcPr>
            <w:tcW w:w="7655" w:type="dxa"/>
            <w:gridSpan w:val="3"/>
            <w:vAlign w:val="bottom"/>
          </w:tcPr>
          <w:p w:rsidR="00523A8C" w:rsidRPr="000F2C6D" w:rsidRDefault="00523A8C">
            <w:pPr>
              <w:pStyle w:val="Dokumentbeteckning"/>
            </w:pPr>
            <w:r w:rsidRPr="000F2C6D">
              <w:t>Dokumentbeteckning</w:t>
            </w:r>
          </w:p>
        </w:tc>
      </w:tr>
      <w:tr w:rsidR="00000000" w:rsidRPr="000F2C6D">
        <w:tblPrEx>
          <w:tblCellMar>
            <w:top w:w="0" w:type="dxa"/>
            <w:left w:w="0" w:type="dxa"/>
            <w:bottom w:w="0" w:type="dxa"/>
            <w:right w:w="0" w:type="dxa"/>
          </w:tblCellMar>
        </w:tblPrEx>
        <w:trPr>
          <w:gridAfter w:val="1"/>
          <w:wAfter w:w="1560" w:type="dxa"/>
          <w:trHeight w:val="120"/>
        </w:trPr>
        <w:tc>
          <w:tcPr>
            <w:tcW w:w="6095" w:type="dxa"/>
            <w:gridSpan w:val="2"/>
          </w:tcPr>
          <w:p w:rsidR="00523A8C" w:rsidRPr="000F2C6D" w:rsidRDefault="00523A8C">
            <w:bookmarkStart w:id="0" w:name="KomNr"/>
            <w:bookmarkEnd w:id="0"/>
            <w:r w:rsidRPr="000F2C6D">
              <w:t>KOM (2008) 108 slutligl</w:t>
            </w:r>
          </w:p>
        </w:tc>
      </w:tr>
      <w:tr w:rsidR="00000000" w:rsidRPr="000F2C6D">
        <w:tblPrEx>
          <w:tblCellMar>
            <w:top w:w="0" w:type="dxa"/>
            <w:left w:w="0" w:type="dxa"/>
            <w:bottom w:w="0" w:type="dxa"/>
            <w:right w:w="0" w:type="dxa"/>
          </w:tblCellMar>
        </w:tblPrEx>
        <w:trPr>
          <w:gridAfter w:val="1"/>
          <w:wAfter w:w="1560" w:type="dxa"/>
          <w:trHeight w:val="120"/>
        </w:trPr>
        <w:tc>
          <w:tcPr>
            <w:tcW w:w="6095" w:type="dxa"/>
            <w:gridSpan w:val="2"/>
          </w:tcPr>
          <w:p w:rsidR="00523A8C" w:rsidRPr="000F2C6D" w:rsidRDefault="00523A8C">
            <w:pPr>
              <w:pStyle w:val="Dokumentbeteckning-titel"/>
            </w:pPr>
            <w:r w:rsidRPr="000F2C6D">
              <w:t>Meddelande från kommissionen till rådet och Europaparlamentet om metallindustrins konkurrenskraft - Ett bidrag till EU:s tillväxt- och sysselsättningsstrategi</w:t>
            </w:r>
          </w:p>
        </w:tc>
      </w:tr>
    </w:tbl>
    <w:p w:rsidR="00523A8C" w:rsidRPr="000F2C6D" w:rsidRDefault="00523A8C"/>
    <w:p w:rsidR="00523A8C" w:rsidRPr="000F2C6D" w:rsidRDefault="00523A8C">
      <w:pPr>
        <w:pStyle w:val="Rubrik1"/>
        <w:numPr>
          <w:ilvl w:val="0"/>
          <w:numId w:val="0"/>
        </w:numPr>
      </w:pPr>
      <w:r w:rsidRPr="000F2C6D">
        <w:t>Sammanfattning</w:t>
      </w:r>
    </w:p>
    <w:p w:rsidR="00523A8C" w:rsidRPr="000F2C6D" w:rsidRDefault="00523A8C">
      <w:pPr>
        <w:rPr>
          <w:sz w:val="20"/>
        </w:rPr>
      </w:pPr>
      <w:r w:rsidRPr="000F2C6D">
        <w:rPr>
          <w:sz w:val="20"/>
        </w:rPr>
        <w:t>Kommissionen har genom sitt meddelande, COM(2008) 108 Final, om konkurrenskraft för metallindustrin lämnat ett bidrag till EU:s strategi för tillväxt och sysselsättning.</w:t>
      </w:r>
    </w:p>
    <w:p w:rsidR="00523A8C" w:rsidRPr="000F2C6D" w:rsidRDefault="00523A8C"/>
    <w:p w:rsidR="00523A8C" w:rsidRPr="000F2C6D" w:rsidRDefault="00523A8C">
      <w:r w:rsidRPr="000F2C6D">
        <w:t>Metallindustrin spelar en viktig roll i många europeiska tillverkningsindustriers värdekedja. Detta meddelande innehåller en bedömning av branschens konkurrenskraft och rekommendationer för hur man bör gå vidare. Meddelandet innehåller åtgärder inom områdena energipolitik, miljöpolitik, standardisering, forskning och utveckling inom innovation och kunskaper samt externa relationer och handelspolitik.</w:t>
      </w:r>
    </w:p>
    <w:p w:rsidR="00523A8C" w:rsidRPr="000F2C6D" w:rsidRDefault="00523A8C"/>
    <w:p w:rsidR="00523A8C" w:rsidRPr="000F2C6D" w:rsidRDefault="00523A8C">
      <w:r w:rsidRPr="000F2C6D">
        <w:t>Detta meddelande behandlar de viktigaste faktorer som påverkar branschens konkurrenskraft, och  kartlägger hur kommissionen, medlemsstaterna och metallindustrin själv i framtiden kan bidra till att skydda och stärka branschens konkurrenskraft och samtidigt  bidra till det ambitiösa målet för minskning av växthusgaser till 2020.</w:t>
      </w:r>
    </w:p>
    <w:p w:rsidR="00523A8C" w:rsidRPr="000F2C6D" w:rsidRDefault="00523A8C"/>
    <w:p w:rsidR="00523A8C" w:rsidRPr="000F2C6D" w:rsidRDefault="00523A8C">
      <w:pPr>
        <w:rPr>
          <w:sz w:val="20"/>
        </w:rPr>
      </w:pPr>
      <w:r w:rsidRPr="000F2C6D">
        <w:rPr>
          <w:sz w:val="20"/>
        </w:rPr>
        <w:t>Regeringen välkomnar kommissionens meddelande. Frågan berör mycket viktiga frågor för metallindustrin. Åtgärder inom de områden som kommissionen föreslår är angelägna. De flesta av föreslagna åtgärder ligger i linje med regeringens intressen.</w:t>
      </w:r>
    </w:p>
    <w:p w:rsidR="00523A8C" w:rsidRPr="000F2C6D" w:rsidRDefault="00523A8C">
      <w:pPr>
        <w:pStyle w:val="Rubrik1"/>
      </w:pPr>
      <w:r w:rsidRPr="000F2C6D">
        <w:lastRenderedPageBreak/>
        <w:t>Förslaget</w:t>
      </w:r>
    </w:p>
    <w:p w:rsidR="00523A8C" w:rsidRPr="000F2C6D" w:rsidRDefault="00523A8C">
      <w:pPr>
        <w:pStyle w:val="Rubrik2"/>
      </w:pPr>
      <w:r w:rsidRPr="000F2C6D">
        <w:t>Ärendets bakgrund</w:t>
      </w:r>
    </w:p>
    <w:p w:rsidR="00523A8C" w:rsidRPr="000F2C6D" w:rsidRDefault="00523A8C">
      <w:r w:rsidRPr="000F2C6D">
        <w:t>Kommissionen har genom sitt meddelande, COM(2008) 108 Final, om konkurrenskraft för metallindustrin lämnat ett bidrag till EU:s strategi för tillväxt och sysselsättning.</w:t>
      </w:r>
    </w:p>
    <w:p w:rsidR="00523A8C" w:rsidRPr="000F2C6D" w:rsidRDefault="00523A8C">
      <w:r w:rsidRPr="000F2C6D">
        <w:t>Meddelandet är en uppföljning till kommissionens meddelande från 2005 om EU:s industripolitik där flera branschspecifika initiativ presenterades, bl.a. ett meddelande om hur råvaror och energiförsörjning påverkar konkurrenskraften hos EU:s metallindustri. Även 2007 års översyn av industripolitiken efter halva tiden beaktas.</w:t>
      </w:r>
    </w:p>
    <w:p w:rsidR="00523A8C" w:rsidRPr="000F2C6D" w:rsidRDefault="00523A8C">
      <w:r w:rsidRPr="000F2C6D">
        <w:t xml:space="preserve">Då metallindustrin är en energikrävande bransch påverkas den direkt av gemenskapens politik för energi och klimatförändring. Vid Europeiska rådets möte i mars 2007 underströks ”den energiintensiva sektorns stora betydelse”, och rådet betonade vidare att ”kostnadseffektiva åtgärder behövs för att förbättra både sådana europeiska industriers konkurrenskraft och miljökonsekvenser”. I detta sammanhang kan nämnas kommissionens åtgärdspaket för klimat och förnybar energi från den 23 januari 2008 som tar upp den </w:t>
      </w:r>
      <w:r w:rsidRPr="000F2C6D">
        <w:t xml:space="preserve">särskilda situationen som gäller för energiintensiva industrier som är utsatta för global konkurrens. </w:t>
      </w:r>
    </w:p>
    <w:p w:rsidR="00523A8C" w:rsidRPr="000F2C6D" w:rsidRDefault="00523A8C">
      <w:r w:rsidRPr="000F2C6D">
        <w:t>De huvudsakliga punkterna som tas upp i meddelandet bygger på reaktionerna på ett offentligt samråd i september 2006, vilket föregicks av antagandet av ett arbetsdokument från kommissionens avdelningar där metallindustrin beskrivs i detalj avseende statistik och viktigare ekonomiska tendenser.</w:t>
      </w:r>
    </w:p>
    <w:p w:rsidR="00523A8C" w:rsidRPr="000F2C6D" w:rsidRDefault="00523A8C">
      <w:pPr>
        <w:pStyle w:val="Rubrik2"/>
      </w:pPr>
      <w:r w:rsidRPr="000F2C6D">
        <w:t>Förslagets innehåll</w:t>
      </w:r>
    </w:p>
    <w:p w:rsidR="00523A8C" w:rsidRPr="000F2C6D" w:rsidRDefault="00523A8C">
      <w:r w:rsidRPr="000F2C6D">
        <w:t>I meddelandet föreslås att ett samordnat tillvägagångssätt bör innehålla följande delar:</w:t>
      </w:r>
    </w:p>
    <w:p w:rsidR="00523A8C" w:rsidRPr="000F2C6D" w:rsidRDefault="00523A8C">
      <w:pPr>
        <w:numPr>
          <w:ilvl w:val="0"/>
          <w:numId w:val="7"/>
        </w:numPr>
      </w:pPr>
      <w:r w:rsidRPr="000F2C6D">
        <w:t>Säkerställa energitillgång till konkurrenskraftiga priser genom en väl fungerande energimarknad.</w:t>
      </w:r>
    </w:p>
    <w:p w:rsidR="00523A8C" w:rsidRPr="000F2C6D" w:rsidRDefault="00523A8C">
      <w:pPr>
        <w:numPr>
          <w:ilvl w:val="0"/>
          <w:numId w:val="7"/>
        </w:numPr>
      </w:pPr>
      <w:r w:rsidRPr="000F2C6D">
        <w:t>Skapa villkor så att branschen kan uppfylla gemenskapens samtliga miljömål och anpassa sig till kraven i de ambitiösa klimatförändringsmålen.</w:t>
      </w:r>
    </w:p>
    <w:p w:rsidR="00523A8C" w:rsidRPr="000F2C6D" w:rsidRDefault="00523A8C">
      <w:pPr>
        <w:numPr>
          <w:ilvl w:val="0"/>
          <w:numId w:val="7"/>
        </w:numPr>
      </w:pPr>
      <w:r w:rsidRPr="000F2C6D">
        <w:t>Uppmuntra FoU och innovation samt en hög kunskapsnivå.</w:t>
      </w:r>
    </w:p>
    <w:p w:rsidR="00523A8C" w:rsidRPr="000F2C6D" w:rsidRDefault="00523A8C">
      <w:pPr>
        <w:numPr>
          <w:ilvl w:val="0"/>
          <w:numId w:val="7"/>
        </w:numPr>
      </w:pPr>
      <w:r w:rsidRPr="000F2C6D">
        <w:t>Skapa en öppen och konkurrenskraftig global marknad och åtgärda snedvridningar av handeln med metaller och råvaror.</w:t>
      </w:r>
    </w:p>
    <w:p w:rsidR="00523A8C" w:rsidRPr="000F2C6D" w:rsidRDefault="00523A8C"/>
    <w:p w:rsidR="00523A8C" w:rsidRPr="000F2C6D" w:rsidRDefault="00523A8C">
      <w:r w:rsidRPr="000F2C6D">
        <w:t>Inom de olika områdena förslås specifika åtgärder enligt nedanstående.</w:t>
      </w:r>
    </w:p>
    <w:p w:rsidR="00523A8C" w:rsidRPr="000F2C6D" w:rsidRDefault="00523A8C"/>
    <w:p w:rsidR="00523A8C" w:rsidRPr="000F2C6D" w:rsidRDefault="00523A8C"/>
    <w:p w:rsidR="00523A8C" w:rsidRPr="000F2C6D" w:rsidRDefault="00523A8C">
      <w:r w:rsidRPr="000F2C6D">
        <w:t>Energipolitik</w:t>
      </w:r>
    </w:p>
    <w:p w:rsidR="00523A8C" w:rsidRPr="000F2C6D" w:rsidRDefault="00523A8C"/>
    <w:p w:rsidR="00523A8C" w:rsidRPr="000F2C6D" w:rsidRDefault="00523A8C">
      <w:r w:rsidRPr="000F2C6D">
        <w:t>1.Myndigheter bör bedöma initiativ gällande sammanslagen elproduktion samt långsiktiga avtal och partnerskap. Medlemsstaterna bör utbyta information om möjliga lösningar och god praxis som följer bestämmelserna om konkurrens och den inre marknaden.</w:t>
      </w:r>
    </w:p>
    <w:p w:rsidR="00523A8C" w:rsidRPr="000F2C6D" w:rsidRDefault="00523A8C"/>
    <w:p w:rsidR="00523A8C" w:rsidRPr="000F2C6D" w:rsidRDefault="00523A8C">
      <w:r w:rsidRPr="000F2C6D">
        <w:t>2.Kommissionen kommer att bistå med lämplig form av riktlinjer (även utveckling av rättspraxis) om hur långsiktiga energiavtal ska vara utformade för att följa gemenskapslagstiftningen.</w:t>
      </w:r>
    </w:p>
    <w:p w:rsidR="00523A8C" w:rsidRPr="000F2C6D" w:rsidRDefault="00523A8C"/>
    <w:p w:rsidR="00523A8C" w:rsidRPr="000F2C6D" w:rsidRDefault="00523A8C">
      <w:r w:rsidRPr="000F2C6D">
        <w:t>3.För att öka energieffektiviteten kommer kommissionen, tillsammans med metallindustrin, att arbeta för bästa praxis vad gäller energibesparing i metallindustrin. Detta kommer att ske inom ramen för programmet för konkurrenskraft och innovation.</w:t>
      </w:r>
    </w:p>
    <w:p w:rsidR="00523A8C" w:rsidRPr="000F2C6D" w:rsidRDefault="00523A8C"/>
    <w:p w:rsidR="00523A8C" w:rsidRPr="000F2C6D" w:rsidRDefault="00523A8C">
      <w:r w:rsidRPr="000F2C6D">
        <w:t>Miljöpolitik och standardisering</w:t>
      </w:r>
    </w:p>
    <w:p w:rsidR="00523A8C" w:rsidRPr="000F2C6D" w:rsidRDefault="00523A8C"/>
    <w:p w:rsidR="00523A8C" w:rsidRPr="000F2C6D" w:rsidRDefault="00523A8C">
      <w:r w:rsidRPr="000F2C6D">
        <w:t>4.Kommissionen kommer att förbereda de åtgärder för energiintensiva industrier som ingår i åtgärdspaketet för klimat och förnybar energi från den 23 januari 2008, särskilt fastställandet av vilka branscher som berörs av kodioxidläckage och om lämplig tilldelning. Kommissionen kommer också att bedöma huruvida metallindustrin kan omfattas. Mot bakgrund av de internationella förhandlingarna om ett globalt klimatavtal för perioden efter 2012 kommer kommissionen vidare att bedöma de energiintensiva industriernas</w:t>
      </w:r>
      <w:r w:rsidRPr="000F2C6D">
        <w:t xml:space="preserve"> situation och kan komma att föreslå justeringar särkskilt vad gäller fri tilldelning eller huruvida importerade produkter ska omfattas av gemenskapens handel med utsläppsrätter.</w:t>
      </w:r>
    </w:p>
    <w:p w:rsidR="00523A8C" w:rsidRPr="000F2C6D" w:rsidRDefault="00523A8C"/>
    <w:p w:rsidR="00523A8C" w:rsidRPr="000F2C6D" w:rsidRDefault="00523A8C">
      <w:r w:rsidRPr="000F2C6D">
        <w:t>5.Tillsammans med intressenter och tredjeländer ska kommissionen undersöka hur sådana avtal kan leda till minskade globala utsläpp i den omfattning som krävs för att effektivt motarbeta klimatförändringar, och hur de kan övervakas, verifieras och underkastas obligatoriska genomförandebestämmelser. Här ingår även bästa praxis för metoder för datainsamling och nyckelindikatorer.</w:t>
      </w:r>
    </w:p>
    <w:p w:rsidR="00523A8C" w:rsidRPr="000F2C6D" w:rsidRDefault="00523A8C"/>
    <w:p w:rsidR="00523A8C" w:rsidRPr="000F2C6D" w:rsidRDefault="00523A8C">
      <w:r w:rsidRPr="000F2C6D">
        <w:t>6.Vad gäller IPPC ska kommissionen, i syfte att stödja ny teknik, sträva efter närmare koppling mellan arbetet med att ta fram referensdokument för bästa tillgängliga teknik (BREF-dokument), det europeiska ramprogrammet för forskning och programmet för konkurrenskraft och innovation.</w:t>
      </w:r>
    </w:p>
    <w:p w:rsidR="00523A8C" w:rsidRPr="000F2C6D" w:rsidRDefault="00523A8C"/>
    <w:p w:rsidR="00523A8C" w:rsidRPr="000F2C6D" w:rsidRDefault="00523A8C">
      <w:r w:rsidRPr="000F2C6D">
        <w:t>7.På området avfallslagstiftning avser kommissionen, när lagstiftningsförfarandet för ramdirektivet om avfall har avslutats, att arbeta för att det ska bli enklare för industrin att på ett kostnadseffektivt sätt använda metallskrot som sekundär råvara.</w:t>
      </w:r>
    </w:p>
    <w:p w:rsidR="00523A8C" w:rsidRPr="000F2C6D" w:rsidRDefault="00523A8C"/>
    <w:p w:rsidR="00523A8C" w:rsidRPr="000F2C6D" w:rsidRDefault="00523A8C">
      <w:r w:rsidRPr="000F2C6D">
        <w:t>8.Vad gäller Reach kommer kommissionen, i nära samarbete med berörda parter, kemikaliemyndigheten och medlemsstaterna, att utarbeta tekniska riktlinjer för ämnen i särskilda beredningar.</w:t>
      </w:r>
    </w:p>
    <w:p w:rsidR="00523A8C" w:rsidRPr="000F2C6D" w:rsidRDefault="00523A8C"/>
    <w:p w:rsidR="00523A8C" w:rsidRPr="000F2C6D" w:rsidRDefault="00523A8C">
      <w:r w:rsidRPr="000F2C6D">
        <w:t>9.På standardiseringsområdet kommer kommissionen, tillsammans med medlemsstaterna, att göra reklam för eurokoderna</w:t>
      </w:r>
      <w:r w:rsidRPr="000F2C6D">
        <w:rPr>
          <w:vertAlign w:val="superscript"/>
        </w:rPr>
        <w:t xml:space="preserve"> </w:t>
      </w:r>
      <w:r w:rsidRPr="000F2C6D">
        <w:t>1 för metaller och arbeta för att de tillämpas på ett enhetligt sätt inom EU.</w:t>
      </w:r>
    </w:p>
    <w:p w:rsidR="00523A8C" w:rsidRPr="000F2C6D" w:rsidRDefault="00523A8C"/>
    <w:p w:rsidR="00523A8C" w:rsidRPr="000F2C6D" w:rsidRDefault="00523A8C">
      <w:r w:rsidRPr="000F2C6D">
        <w:t>Forskning och utveckling inom innovation samt kunskaper</w:t>
      </w:r>
    </w:p>
    <w:p w:rsidR="00523A8C" w:rsidRPr="000F2C6D" w:rsidRDefault="00523A8C"/>
    <w:p w:rsidR="00523A8C" w:rsidRPr="000F2C6D" w:rsidRDefault="00523A8C">
      <w:r w:rsidRPr="000F2C6D">
        <w:t>10.Industrin bör prioritera innovation och forskning bl.a. genom att genomföra långsiktiga projekt som ULCOS och den strategiska forskningsagenda som antagits av relevant europeisk teknikplattform. Vidare bör man utnyttja de möjligheter gemenskapsinstrumenten erbjuder och uppmuntra internationellt samarbete, samtidigt som man säkerställer skyddet av immateriella rättigheter.</w:t>
      </w:r>
    </w:p>
    <w:p w:rsidR="00523A8C" w:rsidRPr="000F2C6D" w:rsidRDefault="00523A8C"/>
    <w:p w:rsidR="00523A8C" w:rsidRPr="000F2C6D" w:rsidRDefault="00523A8C">
      <w:r w:rsidRPr="000F2C6D">
        <w:t>11.Medlemsstaterna, universitet, forskningscentrum och industrin bör utveckla lämpliga strategier, inklusive partnerskap mellan EU-länder och med tredjeländer, för att öka tillgången på utbildad personal.</w:t>
      </w:r>
    </w:p>
    <w:p w:rsidR="00523A8C" w:rsidRPr="000F2C6D" w:rsidRDefault="00523A8C"/>
    <w:p w:rsidR="00523A8C" w:rsidRPr="000F2C6D" w:rsidRDefault="00523A8C">
      <w:r w:rsidRPr="000F2C6D">
        <w:t>12.Medlemsstaterna och regionerna uppmanas stärka innovationen i metallindustrin och stödja strategier för tekniköverföring inom kluster. Detta omfattar bl.a. stöd för nystartade företag, tekniköverföring, kunskaper och tidig finansiering av spinoff-företag från forskning med särskild tonvikt på att hjälpa små och medelstora företag och innovativa nystartade företag med stor tillväxtpotential.</w:t>
      </w:r>
    </w:p>
    <w:p w:rsidR="00523A8C" w:rsidRPr="000F2C6D" w:rsidRDefault="00523A8C"/>
    <w:p w:rsidR="00523A8C" w:rsidRPr="000F2C6D" w:rsidRDefault="00523A8C">
      <w:r w:rsidRPr="000F2C6D">
        <w:t>Externa relationer och handelspolitik</w:t>
      </w:r>
    </w:p>
    <w:p w:rsidR="00523A8C" w:rsidRPr="000F2C6D" w:rsidRDefault="00523A8C"/>
    <w:p w:rsidR="00523A8C" w:rsidRPr="000F2C6D" w:rsidRDefault="00523A8C">
      <w:r w:rsidRPr="000F2C6D">
        <w:t>13.Kommissionen kommer att fortsätta att med alla tillgängliga medel motarbeta praxis som bryter mot internationella handelsavtal.</w:t>
      </w:r>
    </w:p>
    <w:p w:rsidR="00523A8C" w:rsidRPr="000F2C6D" w:rsidRDefault="00523A8C"/>
    <w:p w:rsidR="00523A8C" w:rsidRPr="000F2C6D" w:rsidRDefault="00523A8C">
      <w:r w:rsidRPr="000F2C6D">
        <w:t>14.Kommissionen kommer i samband med multi- och bilaterala handelsförhandlingar att fortsätta att motsätta sig exportskatter på metaller och råvaror.</w:t>
      </w:r>
    </w:p>
    <w:p w:rsidR="00523A8C" w:rsidRPr="000F2C6D" w:rsidRDefault="00523A8C"/>
    <w:p w:rsidR="00523A8C" w:rsidRPr="000F2C6D" w:rsidRDefault="00523A8C">
      <w:r w:rsidRPr="000F2C6D">
        <w:t>15.Kommissionen kommer under 2008 att utarbeta ett meddelande som syftar till att förbättra villkoren for hållbar tillgång till mineraler och sekundära råvaror, både inom EU och internationell.</w:t>
      </w:r>
    </w:p>
    <w:p w:rsidR="00523A8C" w:rsidRPr="000F2C6D" w:rsidRDefault="00523A8C"/>
    <w:p w:rsidR="00523A8C" w:rsidRPr="000F2C6D" w:rsidRDefault="00523A8C">
      <w:r w:rsidRPr="000F2C6D">
        <w:t>16.Kommissionen kommer att behålla en nära näringslivsdialog med viktiga tredjepartsländer.</w:t>
      </w:r>
    </w:p>
    <w:p w:rsidR="00523A8C" w:rsidRPr="000F2C6D" w:rsidRDefault="00523A8C"/>
    <w:p w:rsidR="00523A8C" w:rsidRPr="000F2C6D" w:rsidRDefault="00523A8C">
      <w:pPr>
        <w:pStyle w:val="Rubrik2"/>
      </w:pPr>
      <w:r w:rsidRPr="000F2C6D">
        <w:t>Gällande svenska regler och förslagets effekt på dessa</w:t>
      </w:r>
    </w:p>
    <w:p w:rsidR="00523A8C" w:rsidRPr="000F2C6D" w:rsidRDefault="00523A8C">
      <w:r w:rsidRPr="000F2C6D">
        <w:t>Inga</w:t>
      </w:r>
    </w:p>
    <w:p w:rsidR="00523A8C" w:rsidRPr="000F2C6D" w:rsidRDefault="00523A8C">
      <w:pPr>
        <w:pStyle w:val="Rubrik2"/>
      </w:pPr>
      <w:r w:rsidRPr="000F2C6D">
        <w:t>Budgetära konsekvenser / Konsekvensanalys</w:t>
      </w:r>
    </w:p>
    <w:p w:rsidR="00523A8C" w:rsidRPr="000F2C6D" w:rsidRDefault="00523A8C">
      <w:r w:rsidRPr="000F2C6D">
        <w:t>Inga</w:t>
      </w:r>
    </w:p>
    <w:p w:rsidR="00523A8C" w:rsidRPr="000F2C6D" w:rsidRDefault="00523A8C">
      <w:pPr>
        <w:pStyle w:val="Rubrik1"/>
      </w:pPr>
      <w:r w:rsidRPr="000F2C6D">
        <w:t>Ståndpunkter</w:t>
      </w:r>
    </w:p>
    <w:p w:rsidR="00523A8C" w:rsidRPr="000F2C6D" w:rsidRDefault="00523A8C">
      <w:pPr>
        <w:pStyle w:val="Rubrik2"/>
      </w:pPr>
      <w:r w:rsidRPr="000F2C6D">
        <w:t>Preliminär svensk ståndpunkt</w:t>
      </w:r>
    </w:p>
    <w:p w:rsidR="00523A8C" w:rsidRPr="000F2C6D" w:rsidRDefault="00523A8C">
      <w:pPr>
        <w:autoSpaceDE w:val="0"/>
        <w:autoSpaceDN w:val="0"/>
        <w:adjustRightInd w:val="0"/>
        <w:spacing w:before="120" w:line="240" w:lineRule="auto"/>
        <w:rPr>
          <w:color w:val="000000"/>
          <w:sz w:val="20"/>
        </w:rPr>
      </w:pPr>
      <w:r w:rsidRPr="000F2C6D">
        <w:t xml:space="preserve">Regeringen välkomnar kommissionens meddelande. Frågan berör mycket viktiga frågor för metallindustrin. </w:t>
      </w:r>
      <w:r w:rsidRPr="000F2C6D">
        <w:rPr>
          <w:sz w:val="20"/>
        </w:rPr>
        <w:t xml:space="preserve">Åtgärder inom de områden som kommissionen föreslår är angelägna </w:t>
      </w:r>
      <w:r w:rsidRPr="000F2C6D">
        <w:rPr>
          <w:color w:val="000000"/>
          <w:sz w:val="20"/>
        </w:rPr>
        <w:t xml:space="preserve">samtidigt som det är viktigt att subsidiaritetsprincipen värnas. </w:t>
      </w:r>
    </w:p>
    <w:p w:rsidR="00523A8C" w:rsidRPr="000F2C6D" w:rsidRDefault="00523A8C">
      <w:pPr>
        <w:autoSpaceDE w:val="0"/>
        <w:autoSpaceDN w:val="0"/>
        <w:adjustRightInd w:val="0"/>
        <w:spacing w:before="120" w:line="240" w:lineRule="auto"/>
        <w:rPr>
          <w:color w:val="000000"/>
          <w:sz w:val="20"/>
        </w:rPr>
      </w:pPr>
      <w:r w:rsidRPr="000F2C6D">
        <w:t>De flesta av föreslagna åtgärder ligger i linje med regeringens intressen. Stålindustrins förutsättningar beskrivs i huvudsak väl i meddelandet. Dock kan det inte poängteras nog att denna industri är utsatt för internationell konkurrens och dess konkurrenter är verksamma över hela världen, både inom och utanför EU. Regeringen vill också betona</w:t>
      </w:r>
      <w:r w:rsidRPr="000F2C6D">
        <w:rPr>
          <w:sz w:val="20"/>
        </w:rPr>
        <w:t xml:space="preserve"> i detta  sammanhang vikten av väl fungerande konkurrens, öppna marknader, fri handel </w:t>
      </w:r>
      <w:r w:rsidRPr="000F2C6D">
        <w:rPr>
          <w:color w:val="000000"/>
          <w:sz w:val="20"/>
        </w:rPr>
        <w:t>och  branschövergripande insatser.</w:t>
      </w:r>
    </w:p>
    <w:p w:rsidR="00523A8C" w:rsidRPr="000F2C6D" w:rsidRDefault="00523A8C">
      <w:pPr>
        <w:rPr>
          <w:sz w:val="20"/>
        </w:rPr>
      </w:pPr>
      <w:r w:rsidRPr="000F2C6D">
        <w:rPr>
          <w:sz w:val="20"/>
        </w:rPr>
        <w:t xml:space="preserve">Regeringen understryker också vikten av att upprätthålla balansen mellan  åtgärder för industriell konkurrenskraft och åtgärder inom klimat och energiområdet. </w:t>
      </w:r>
    </w:p>
    <w:p w:rsidR="00523A8C" w:rsidRPr="000F2C6D" w:rsidRDefault="00523A8C"/>
    <w:p w:rsidR="00523A8C" w:rsidRPr="000F2C6D" w:rsidRDefault="00523A8C">
      <w:pPr>
        <w:pStyle w:val="Rubrik2"/>
      </w:pPr>
      <w:r w:rsidRPr="000F2C6D">
        <w:t>Medlemsstaternas ståndpunkter</w:t>
      </w:r>
    </w:p>
    <w:p w:rsidR="00523A8C" w:rsidRPr="000F2C6D" w:rsidRDefault="00523A8C">
      <w:r w:rsidRPr="000F2C6D">
        <w:t>Förhandlingar pågår.</w:t>
      </w:r>
    </w:p>
    <w:p w:rsidR="00523A8C" w:rsidRPr="000F2C6D" w:rsidRDefault="00523A8C">
      <w:pPr>
        <w:pStyle w:val="Rubrik2"/>
      </w:pPr>
      <w:r w:rsidRPr="000F2C6D">
        <w:t>Institutionernas ståndpunkter</w:t>
      </w:r>
    </w:p>
    <w:p w:rsidR="00523A8C" w:rsidRPr="000F2C6D" w:rsidRDefault="00523A8C">
      <w:r w:rsidRPr="000F2C6D">
        <w:t>Förhandlingar pågår.</w:t>
      </w:r>
    </w:p>
    <w:p w:rsidR="00523A8C" w:rsidRPr="000F2C6D" w:rsidRDefault="00523A8C">
      <w:pPr>
        <w:pStyle w:val="Rubrik2"/>
      </w:pPr>
      <w:r w:rsidRPr="000F2C6D">
        <w:t>Remissinstansernas ståndpunkter</w:t>
      </w:r>
    </w:p>
    <w:p w:rsidR="00523A8C" w:rsidRPr="000F2C6D" w:rsidRDefault="00523A8C">
      <w:r w:rsidRPr="000F2C6D">
        <w:t>Meddelandet har ej remitterats.</w:t>
      </w:r>
    </w:p>
    <w:p w:rsidR="00523A8C" w:rsidRPr="000F2C6D" w:rsidRDefault="00523A8C">
      <w:pPr>
        <w:pStyle w:val="Rubrik1"/>
      </w:pPr>
      <w:r w:rsidRPr="000F2C6D">
        <w:t>Förslagets förutsättningar</w:t>
      </w:r>
    </w:p>
    <w:p w:rsidR="00523A8C" w:rsidRPr="000F2C6D" w:rsidRDefault="00523A8C">
      <w:pPr>
        <w:pStyle w:val="Rubrik2"/>
      </w:pPr>
      <w:r w:rsidRPr="000F2C6D">
        <w:t>Rättslig grund och beslutsförfarande</w:t>
      </w:r>
    </w:p>
    <w:p w:rsidR="00523A8C" w:rsidRPr="000F2C6D" w:rsidRDefault="00523A8C">
      <w:r w:rsidRPr="000F2C6D">
        <w:t>Rådsslutssatser ska fattas om meddelandet. Enhällighet krävs.</w:t>
      </w:r>
    </w:p>
    <w:p w:rsidR="00523A8C" w:rsidRPr="000F2C6D" w:rsidRDefault="00523A8C">
      <w:pPr>
        <w:pStyle w:val="Rubrik2"/>
      </w:pPr>
      <w:r w:rsidRPr="000F2C6D">
        <w:t>Subsidiaritets- och proportionalitetsprincipen</w:t>
      </w:r>
    </w:p>
    <w:p w:rsidR="00523A8C" w:rsidRPr="000F2C6D" w:rsidRDefault="00523A8C">
      <w:r w:rsidRPr="000F2C6D">
        <w:t>-</w:t>
      </w:r>
    </w:p>
    <w:p w:rsidR="00523A8C" w:rsidRPr="000F2C6D" w:rsidRDefault="00523A8C">
      <w:pPr>
        <w:pStyle w:val="Rubrik1"/>
      </w:pPr>
      <w:r w:rsidRPr="000F2C6D">
        <w:t>Övrigt</w:t>
      </w:r>
    </w:p>
    <w:p w:rsidR="00523A8C" w:rsidRPr="000F2C6D" w:rsidRDefault="00523A8C">
      <w:pPr>
        <w:pStyle w:val="Rubrik2"/>
      </w:pPr>
      <w:r w:rsidRPr="000F2C6D">
        <w:t>Fortsatt behandling av ärendet</w:t>
      </w:r>
    </w:p>
    <w:p w:rsidR="00523A8C" w:rsidRPr="000F2C6D" w:rsidRDefault="00523A8C">
      <w:r w:rsidRPr="000F2C6D">
        <w:t>Första behandlingen av ärendet var i COMPRO gruppen den 4 mars 2008. Meddelandet ska eventuellt tillsammans med andra meddelanden, bli föremål för slutsatser vid konkurrenskraftsrådet den 29-30 maj 2008.</w:t>
      </w:r>
    </w:p>
    <w:p w:rsidR="00523A8C" w:rsidRPr="000F2C6D" w:rsidRDefault="00523A8C">
      <w:pPr>
        <w:pStyle w:val="Rubrik2"/>
      </w:pPr>
      <w:r w:rsidRPr="000F2C6D">
        <w:t>Fackuttryck / termer</w:t>
      </w:r>
    </w:p>
    <w:p w:rsidR="00523A8C" w:rsidRPr="000F2C6D" w:rsidRDefault="00523A8C">
      <w:r w:rsidRPr="000F2C6D">
        <w:t xml:space="preserve">IPPC: </w:t>
      </w:r>
      <w:r w:rsidRPr="000F2C6D">
        <w:tab/>
        <w:t>Integrated Pollution Prevention and Control</w:t>
      </w:r>
    </w:p>
    <w:p w:rsidR="00523A8C" w:rsidRPr="000F2C6D" w:rsidRDefault="00523A8C">
      <w:pPr>
        <w:rPr>
          <w:sz w:val="20"/>
        </w:rPr>
      </w:pPr>
      <w:r w:rsidRPr="000F2C6D">
        <w:t>Värdekedja:</w:t>
      </w:r>
      <w:r w:rsidRPr="000F2C6D">
        <w:tab/>
        <w:t xml:space="preserve">Process som inbegriper företagets basfunktioner utveckling, </w:t>
      </w:r>
      <w:r w:rsidRPr="000F2C6D">
        <w:tab/>
        <w:t>produktion, marknadsföring etc.</w:t>
      </w:r>
    </w:p>
    <w:p w:rsidR="00523A8C" w:rsidRPr="000F2C6D" w:rsidRDefault="00523A8C"/>
    <w:sectPr w:rsidR="00523A8C" w:rsidRPr="000F2C6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A8C" w:rsidRPr="000F2C6D" w:rsidRDefault="00523A8C">
      <w:r w:rsidRPr="000F2C6D">
        <w:separator/>
      </w:r>
    </w:p>
  </w:endnote>
  <w:endnote w:type="continuationSeparator" w:id="0">
    <w:p w:rsidR="00523A8C" w:rsidRPr="000F2C6D" w:rsidRDefault="00523A8C">
      <w:r w:rsidRPr="000F2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8C" w:rsidRPr="000F2C6D" w:rsidRDefault="00523A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8C" w:rsidRPr="000F2C6D" w:rsidRDefault="00523A8C">
    <w:pPr>
      <w:pStyle w:val="SidfotH"/>
      <w:framePr w:wrap="around"/>
    </w:pPr>
    <w:r w:rsidRPr="000F2C6D">
      <w:t>2</w:t>
    </w:r>
  </w:p>
  <w:p w:rsidR="00523A8C" w:rsidRPr="000F2C6D" w:rsidRDefault="00523A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8C" w:rsidRPr="000F2C6D" w:rsidRDefault="00523A8C">
    <w:pPr>
      <w:pStyle w:val="SidfotH"/>
      <w:framePr w:wrap="around"/>
    </w:pPr>
    <w:r w:rsidRPr="000F2C6D">
      <w:t>1</w:t>
    </w:r>
  </w:p>
  <w:p w:rsidR="00523A8C" w:rsidRPr="000F2C6D" w:rsidRDefault="00523A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A8C" w:rsidRPr="000F2C6D" w:rsidRDefault="00523A8C">
      <w:r w:rsidRPr="000F2C6D">
        <w:separator/>
      </w:r>
    </w:p>
  </w:footnote>
  <w:footnote w:type="continuationSeparator" w:id="0">
    <w:p w:rsidR="00523A8C" w:rsidRPr="000F2C6D" w:rsidRDefault="00523A8C">
      <w:r w:rsidRPr="000F2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8C" w:rsidRPr="000F2C6D" w:rsidRDefault="00523A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8C" w:rsidRPr="000F2C6D" w:rsidRDefault="00523A8C">
    <w:pPr>
      <w:pStyle w:val="Kantrubrik"/>
      <w:framePr w:h="1157" w:hRule="exact" w:wrap="around" w:y="738"/>
    </w:pPr>
    <w:r w:rsidRPr="000F2C6D">
      <w:t>2007/08:FPM92</w:t>
    </w:r>
  </w:p>
  <w:p w:rsidR="00523A8C" w:rsidRPr="000F2C6D" w:rsidRDefault="00523A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A8C" w:rsidRPr="000F2C6D" w:rsidRDefault="000F2C6D">
    <w:pPr>
      <w:pStyle w:val="Sidhuvud"/>
    </w:pPr>
    <w:r w:rsidRPr="000F2C6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60033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A8C" w:rsidRDefault="00523A8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23A8C" w:rsidRDefault="00523A8C">
                    <w:pPr>
                      <w:pStyle w:val="Logo"/>
                    </w:pPr>
                    <w:r>
                      <w:object w:dxaOrig="840" w:dyaOrig="1545">
                        <v:shape id="_x0000_i1025" type="#_x0000_t75" style="width:42pt;height:77.15pt" filled="t">
                          <v:imagedata r:id="rId1" o:title=""/>
                        </v:shape>
                        <o:OLEObject Type="Embed" ProgID="Word.Picture.8" ShapeID="_x0000_i1025" DrawAspect="Content" ObjectID="_18274965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F0B1460"/>
    <w:multiLevelType w:val="hybridMultilevel"/>
    <w:tmpl w:val="365EFE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48391087">
    <w:abstractNumId w:val="5"/>
  </w:num>
  <w:num w:numId="2" w16cid:durableId="1729761046">
    <w:abstractNumId w:val="2"/>
  </w:num>
  <w:num w:numId="3" w16cid:durableId="1659769132">
    <w:abstractNumId w:val="3"/>
  </w:num>
  <w:num w:numId="4" w16cid:durableId="1925993266">
    <w:abstractNumId w:val="4"/>
  </w:num>
  <w:num w:numId="5" w16cid:durableId="2014452587">
    <w:abstractNumId w:val="6"/>
  </w:num>
  <w:num w:numId="6" w16cid:durableId="542524383">
    <w:abstractNumId w:val="0"/>
  </w:num>
  <w:num w:numId="7" w16cid:durableId="57754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10"/>
    <w:docVar w:name="Ar" w:val="2007/08"/>
    <w:docVar w:name="Dep" w:val="Näringsdepartementet"/>
    <w:docVar w:name="DepWeb" w:val="Näringsdepartementet"/>
    <w:docVar w:name="GDB1" w:val="KOM (2008) 108 slutlig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metallindustrins konkurrenskraft - Ett bidrag till EU:s tillväxt- och sysselsättningsstrateg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08 slutligl"/>
    <w:docVar w:name="Nr" w:val="92"/>
    <w:docVar w:name="RD_APPVERSION" w:val="3.00"/>
    <w:docVar w:name="Rub" w:val="Konkurrenskraft om metallindustrin"/>
    <w:docVar w:name="UppDat" w:val="2008-04-10"/>
    <w:docVar w:name="Utsk" w:val="Näringsutskottet"/>
  </w:docVars>
  <w:rsids>
    <w:rsidRoot w:val="004E66DC"/>
    <w:rsid w:val="000F2C6D"/>
    <w:rsid w:val="004E66DC"/>
    <w:rsid w:val="00523A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1C09E6-5B20-4FED-82DC-58853A53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1209</Words>
  <Characters>8456</Characters>
  <Application>Microsoft Office Word</Application>
  <DocSecurity>4</DocSecurity>
  <Lines>201</Lines>
  <Paragraphs>81</Paragraphs>
  <ScaleCrop>false</ScaleCrop>
  <HeadingPairs>
    <vt:vector size="2" baseType="variant">
      <vt:variant>
        <vt:lpstr>Rubrik</vt:lpstr>
      </vt:variant>
      <vt:variant>
        <vt:i4>1</vt:i4>
      </vt:variant>
    </vt:vector>
  </HeadingPairs>
  <TitlesOfParts>
    <vt:vector size="1" baseType="lpstr">
      <vt:lpstr>FPM_200708__92</vt:lpstr>
    </vt:vector>
  </TitlesOfParts>
  <Company>RD-DTSL</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FPM_200708__92</dc:title>
  <dc:subject>FPM_200708__92</dc:subject>
  <dc:creator>Riksdagen</dc:creator>
  <cp:keywords>Riksdagen</cp:keywords>
  <dc:description>KP2004-version.  Ändringarna påverkar enbart användningen inom Riksdagen. 050429 nya departement DTSL.</dc:description>
  <cp:lastModifiedBy>Lars Brink</cp:lastModifiedBy>
  <cp:revision>2</cp:revision>
  <cp:lastPrinted>2008-04-10T11:28:00Z</cp:lastPrinted>
  <dcterms:created xsi:type="dcterms:W3CDTF">2025-12-17T12:09:00Z</dcterms:created>
  <dcterms:modified xsi:type="dcterms:W3CDTF">2025-12-17T12:09:00Z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92</vt:lpwstr>
  </property>
  <property fmtid="{D5CDD505-2E9C-101B-9397-08002B2CF9AE}" pid="4" name="GDB1">
    <vt:lpwstr>KOM (2008) 108 slutligl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Konkurrenskraft om metallindustrin</vt:lpwstr>
  </property>
  <property fmtid="{D5CDD505-2E9C-101B-9397-08002B2CF9AE}" pid="8" name="UppDat">
    <vt:lpwstr>2008-04-10</vt:lpwstr>
  </property>
  <property fmtid="{D5CDD505-2E9C-101B-9397-08002B2CF9AE}" pid="9" name="AnkDat">
    <vt:lpwstr>2008-04-10</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ies>
</file>