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1743" w:rsidRPr="00842662" w:rsidRDefault="00281743">
      <w:pPr>
        <w:pStyle w:val="Frslagsrubrik"/>
      </w:pPr>
      <w:r w:rsidRPr="00842662">
        <w:t>Förslag till riksdagsbeslut</w:t>
      </w:r>
    </w:p>
    <w:p w:rsidR="00281743" w:rsidRPr="00842662" w:rsidRDefault="00281743">
      <w:pPr>
        <w:pStyle w:val="Hemstlatt"/>
      </w:pPr>
      <w:r w:rsidRPr="00842662">
        <w:t>Riksdagen tillkännager för regeringen som sin mening vad som anförs i motionen om dels nyetablering av statliga verk och myndi</w:t>
      </w:r>
      <w:r w:rsidRPr="00842662">
        <w:t>g</w:t>
      </w:r>
      <w:r w:rsidRPr="00842662">
        <w:t>heter, dels befintliga statliga verks och myndigheters utlokalisering till olika delar av landet.</w:t>
      </w:r>
    </w:p>
    <w:p w:rsidR="00281743" w:rsidRPr="00842662" w:rsidRDefault="00281743">
      <w:pPr>
        <w:pStyle w:val="Rubrik1"/>
      </w:pPr>
      <w:r w:rsidRPr="00842662">
        <w:t>Motivering</w:t>
      </w:r>
    </w:p>
    <w:p w:rsidR="00281743" w:rsidRPr="00842662" w:rsidRDefault="00281743">
      <w:r w:rsidRPr="00842662">
        <w:t>När statlig verksamhet har rationaliserats och omorganiserats har det i alldeles för stor omfattning inneburit att verksamhet som funnits på mindre orter har försvunnit. Det innebär i sin tur att samhällsservice, som är viktig för den enskilde individen och i mycket stor utsträckning för företagare, blir mycket svårtillgänglig. Skattemyndigheten, Försäkringskassan, tullen och många fler statliga ”servicefunktioner” har lämnat mindre orter och koncentrerat sin verksamhet till storstäderna.</w:t>
      </w:r>
    </w:p>
    <w:p w:rsidR="00281743" w:rsidRPr="00842662" w:rsidRDefault="00281743">
      <w:pPr>
        <w:pStyle w:val="Normaltindrag"/>
      </w:pPr>
      <w:r w:rsidRPr="00842662">
        <w:t>Statlig verksamhet finns redan till största delen i de s.k. tillväxtregionerna, vilket bidrar till att öka den regionala obalansen. Det är en nackdel för me</w:t>
      </w:r>
      <w:r w:rsidRPr="00842662">
        <w:t>d</w:t>
      </w:r>
      <w:r w:rsidRPr="00842662">
        <w:t>borgarna som inte bor i ”tillväxtregionerna” och har en negativ påverkan på arbetsmarknaden i redan utsatta regioner. Med den teknik som i dag finns att tillgå är det fullt möjligt att istället för att koncentrera statlig verksamhet till storstäderna utlokalisera en stor del av den till orter i glesbygden. I dag finns det modernare och mer kostnadseffektiva lösningar att organisera verksamh</w:t>
      </w:r>
      <w:r w:rsidRPr="00842662">
        <w:t>e</w:t>
      </w:r>
      <w:r w:rsidRPr="00842662">
        <w:t>ten än de gammalmodiga centraliseringslösningar som olika statliga myndi</w:t>
      </w:r>
      <w:r w:rsidRPr="00842662">
        <w:t>g</w:t>
      </w:r>
      <w:r w:rsidRPr="00842662">
        <w:t>heter och bolag presenterat. Dessa modernare</w:t>
      </w:r>
      <w:r w:rsidRPr="00842662">
        <w:t xml:space="preserve"> lösningar skulle möjliggöra för inlands- och glesbygdskommunerna att behålla viktiga arbetsplatser och dä</w:t>
      </w:r>
      <w:r w:rsidRPr="00842662">
        <w:t>r</w:t>
      </w:r>
      <w:r w:rsidRPr="00842662">
        <w:t>med ge reella förutsättningar för utveckling och tillväxt. Därför måste rege</w:t>
      </w:r>
      <w:r w:rsidRPr="00842662">
        <w:t>r</w:t>
      </w:r>
      <w:r w:rsidRPr="00842662">
        <w:t>ingen se till att målsättningen om väl fungerande och hållbara lokala arbet</w:t>
      </w:r>
      <w:r w:rsidRPr="00842662">
        <w:t>s</w:t>
      </w:r>
      <w:r w:rsidRPr="00842662">
        <w:t>marknadsregioner med en god servicenivå i alla delar av landet efterlevs.</w:t>
      </w:r>
    </w:p>
    <w:p w:rsidR="00281743" w:rsidRPr="00842662" w:rsidRDefault="00281743">
      <w:pPr>
        <w:pStyle w:val="Normaltindrag"/>
      </w:pPr>
      <w:r w:rsidRPr="00842662">
        <w:lastRenderedPageBreak/>
        <w:t>När det gäller statliga affärsdrivande verk borde en stor del av den adm</w:t>
      </w:r>
      <w:r w:rsidRPr="00842662">
        <w:t>i</w:t>
      </w:r>
      <w:r w:rsidRPr="00842662">
        <w:t>nistrativa verksamheten förläggas till orter inom de regioner där verksamh</w:t>
      </w:r>
      <w:r w:rsidRPr="00842662">
        <w:t>e</w:t>
      </w:r>
      <w:r w:rsidRPr="00842662">
        <w:t>ten har sitt huvudsakliga ursprung. Det finns många fler exempel där staten genom att använda sitt ägarinflytande skulle kunna påverka den regionala obalansen i positiv riktning.</w:t>
      </w:r>
    </w:p>
    <w:p w:rsidR="00281743" w:rsidRPr="00842662" w:rsidRDefault="00281743">
      <w:pPr>
        <w:pStyle w:val="Normaltindrag"/>
      </w:pPr>
      <w:r w:rsidRPr="00842662">
        <w:t>Vad beträffar statliga myndigheter och verk finns ett tydligt uppdrag om att regionalpolitisk hänsyn ska tas vid lokalisering och omorganisation. Detta tydliga uppdrag är dock inte så lätt att återfinna i regleringsbrev och direktiv. En tydlig markering i r</w:t>
      </w:r>
      <w:r w:rsidRPr="00842662">
        <w:t>egleringsbrev och direktiv om det regionalpolitiska ansvaret och vikten av att alla medverkar till att de regionalpolitiska målen uppnås vad gäller statliga myndigheter och verk bör införas.</w:t>
      </w:r>
    </w:p>
    <w:p w:rsidR="00281743" w:rsidRPr="00842662" w:rsidRDefault="00281743">
      <w:pPr>
        <w:pStyle w:val="Normaltindrag"/>
      </w:pPr>
      <w:r w:rsidRPr="00842662">
        <w:t>När nya myndigheter startas bör lokaliseringsfrågan alltid prövas från ett regionalpolitiskt perspektiv. Tendenser till så kallad återlokalisering måste motarbetas. Det har enligt min mening under längre tid skett en koncentration av offentlig verksamhet till allt färre orter samtidigt som utvecklingen i gle</w:t>
      </w:r>
      <w:r w:rsidRPr="00842662">
        <w:t>s</w:t>
      </w:r>
      <w:r w:rsidRPr="00842662">
        <w:t>bygden går åt fel håll. Jag anser att det nu är hög tid att ta initiativ till en plan för utlokalisering av statliga verk och myndigheter från Stockholm. Detta är frågor som är synnerligen aktuella i samband med nya distriktsindelningar, flytt av verksamheter samt grundläggande huvudmannaskaps- och organis</w:t>
      </w:r>
      <w:r w:rsidRPr="00842662">
        <w:t>a</w:t>
      </w:r>
      <w:r w:rsidRPr="00842662">
        <w:t>tionsförändringar.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2662">
        <w:trPr>
          <w:cantSplit/>
        </w:trPr>
        <w:tc>
          <w:tcPr>
            <w:tcW w:w="3046" w:type="dxa"/>
          </w:tcPr>
          <w:p w:rsidR="00281743" w:rsidRPr="00842662" w:rsidRDefault="00281743">
            <w:pPr>
              <w:pStyle w:val="UnderskriftDatum"/>
              <w:spacing w:before="240"/>
            </w:pPr>
            <w:r w:rsidRPr="00842662">
              <w:t>Stockholm den 3 oktober 2011</w:t>
            </w:r>
          </w:p>
        </w:tc>
        <w:tc>
          <w:tcPr>
            <w:tcW w:w="3047" w:type="dxa"/>
          </w:tcPr>
          <w:p w:rsidR="00281743" w:rsidRPr="00842662" w:rsidRDefault="00281743">
            <w:pPr>
              <w:pStyle w:val="Underskrifter"/>
              <w:spacing w:before="240"/>
            </w:pPr>
          </w:p>
        </w:tc>
      </w:tr>
      <w:tr w:rsidR="00000000" w:rsidRPr="00842662">
        <w:trPr>
          <w:cantSplit/>
        </w:trPr>
        <w:tc>
          <w:tcPr>
            <w:tcW w:w="3046" w:type="dxa"/>
          </w:tcPr>
          <w:p w:rsidR="00281743" w:rsidRPr="00842662" w:rsidRDefault="00281743">
            <w:pPr>
              <w:pStyle w:val="Underskrifter"/>
            </w:pPr>
            <w:r w:rsidRPr="00842662">
              <w:t>Fredrik Lundh Sammeli (S)</w:t>
            </w:r>
          </w:p>
        </w:tc>
        <w:tc>
          <w:tcPr>
            <w:tcW w:w="3046" w:type="dxa"/>
          </w:tcPr>
          <w:p w:rsidR="00281743" w:rsidRPr="00842662" w:rsidRDefault="00281743">
            <w:pPr>
              <w:pStyle w:val="Underskrifter"/>
            </w:pPr>
          </w:p>
        </w:tc>
      </w:tr>
    </w:tbl>
    <w:p w:rsidR="00281743" w:rsidRPr="00842662" w:rsidRDefault="00281743">
      <w:pPr>
        <w:pStyle w:val="Normaltindrag"/>
      </w:pPr>
    </w:p>
    <w:sectPr w:rsidR="00281743" w:rsidRPr="008426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1743" w:rsidRPr="00842662" w:rsidRDefault="00281743">
      <w:r w:rsidRPr="00842662">
        <w:separator/>
      </w:r>
    </w:p>
  </w:endnote>
  <w:endnote w:type="continuationSeparator" w:id="0">
    <w:p w:rsidR="00281743" w:rsidRPr="00842662" w:rsidRDefault="00281743">
      <w:r w:rsidRPr="008426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743" w:rsidRPr="00842662" w:rsidRDefault="00842662">
    <w:pPr>
      <w:pStyle w:val="Sidfot"/>
    </w:pPr>
    <w:r w:rsidRPr="008426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0196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743" w:rsidRDefault="002817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1743" w:rsidRDefault="002817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743" w:rsidRPr="00842662" w:rsidRDefault="00842662">
    <w:pPr>
      <w:pStyle w:val="Sidfot"/>
    </w:pPr>
    <w:r w:rsidRPr="008426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135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743" w:rsidRDefault="002817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1743" w:rsidRDefault="002817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743" w:rsidRPr="00842662" w:rsidRDefault="00842662">
    <w:pPr>
      <w:pStyle w:val="Sidfot"/>
    </w:pPr>
    <w:r w:rsidRPr="008426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948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743" w:rsidRDefault="002817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1743" w:rsidRDefault="002817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1743" w:rsidRPr="00842662" w:rsidRDefault="00281743">
      <w:r w:rsidRPr="00842662">
        <w:separator/>
      </w:r>
    </w:p>
  </w:footnote>
  <w:footnote w:type="continuationSeparator" w:id="0">
    <w:p w:rsidR="00281743" w:rsidRPr="00842662" w:rsidRDefault="00281743">
      <w:r w:rsidRPr="008426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743" w:rsidRPr="00842662" w:rsidRDefault="00842662">
    <w:pPr>
      <w:pStyle w:val="Sidhuvud"/>
    </w:pPr>
    <w:r w:rsidRPr="008426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6472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743" w:rsidRDefault="002817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1743" w:rsidRDefault="002817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743" w:rsidRPr="00842662" w:rsidRDefault="00842662">
    <w:pPr>
      <w:pStyle w:val="Sidhuvud"/>
    </w:pPr>
    <w:r w:rsidRPr="008426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7326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743" w:rsidRDefault="002817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1743" w:rsidRDefault="002817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743" w:rsidRPr="00842662" w:rsidRDefault="00281743">
    <w:pPr>
      <w:pStyle w:val="FSHNormal"/>
      <w:tabs>
        <w:tab w:val="right" w:pos="5840"/>
      </w:tabs>
    </w:pPr>
    <w:r w:rsidRPr="00842662">
      <w:br/>
    </w:r>
    <w:r w:rsidRPr="00842662">
      <w:fldChar w:fldCharType="begin" w:fldLock="1"/>
    </w:r>
    <w:r w:rsidRPr="00842662">
      <w:instrText xml:space="preserve"> DOCPROPERTY</w:instrText>
    </w:r>
    <w:r w:rsidRPr="00842662">
      <w:rPr>
        <w:sz w:val="18"/>
      </w:rPr>
      <w:instrText xml:space="preserve"> "YearUser" *\charformat </w:instrText>
    </w:r>
    <w:r w:rsidRPr="00842662">
      <w:fldChar w:fldCharType="separate"/>
    </w:r>
    <w:r w:rsidRPr="00842662">
      <w:t>2011/12</w:t>
    </w:r>
    <w:r w:rsidRPr="00842662">
      <w:fldChar w:fldCharType="end"/>
    </w:r>
    <w:r w:rsidRPr="00842662">
      <w:t xml:space="preserve"> </w:t>
    </w:r>
    <w:r w:rsidRPr="00842662">
      <w:tab/>
      <w:t xml:space="preserve">mnr: </w:t>
    </w:r>
    <w:r w:rsidRPr="00842662">
      <w:fldChar w:fldCharType="begin" w:fldLock="1"/>
    </w:r>
    <w:r w:rsidRPr="00842662">
      <w:instrText xml:space="preserve"> DOCPROPERTY</w:instrText>
    </w:r>
    <w:r w:rsidRPr="00842662">
      <w:rPr>
        <w:sz w:val="18"/>
      </w:rPr>
      <w:instrText xml:space="preserve"> "Motionsnummer" *\charformat </w:instrText>
    </w:r>
    <w:r w:rsidRPr="00842662">
      <w:fldChar w:fldCharType="separate"/>
    </w:r>
    <w:r w:rsidRPr="00842662">
      <w:t>N302</w:t>
    </w:r>
    <w:r w:rsidRPr="00842662">
      <w:fldChar w:fldCharType="end"/>
    </w:r>
    <w:r w:rsidRPr="00842662">
      <w:br/>
    </w:r>
    <w:r w:rsidRPr="00842662">
      <w:fldChar w:fldCharType="begin" w:fldLock="1"/>
    </w:r>
    <w:r w:rsidRPr="00842662">
      <w:instrText xml:space="preserve"> DOCPROPERTY</w:instrText>
    </w:r>
    <w:r w:rsidRPr="00842662">
      <w:rPr>
        <w:sz w:val="18"/>
      </w:rPr>
      <w:instrText xml:space="preserve"> "Samling" *\charformat </w:instrText>
    </w:r>
    <w:r w:rsidRPr="00842662">
      <w:fldChar w:fldCharType="end"/>
    </w:r>
    <w:r w:rsidRPr="00842662">
      <w:tab/>
      <w:t xml:space="preserve">pnr: </w:t>
    </w:r>
    <w:r w:rsidRPr="00842662">
      <w:fldChar w:fldCharType="begin" w:fldLock="1"/>
    </w:r>
    <w:r w:rsidRPr="00842662">
      <w:instrText xml:space="preserve"> DOCPROPERTY</w:instrText>
    </w:r>
    <w:r w:rsidRPr="00842662">
      <w:rPr>
        <w:sz w:val="18"/>
      </w:rPr>
      <w:instrText xml:space="preserve"> "Partinummer" *\charformat </w:instrText>
    </w:r>
    <w:r w:rsidRPr="00842662">
      <w:fldChar w:fldCharType="separate"/>
    </w:r>
    <w:r w:rsidRPr="00842662">
      <w:t>S18054</w:t>
    </w:r>
    <w:r w:rsidRPr="00842662">
      <w:fldChar w:fldCharType="end"/>
    </w:r>
  </w:p>
  <w:p w:rsidR="00281743" w:rsidRPr="00842662" w:rsidRDefault="00281743">
    <w:pPr>
      <w:pStyle w:val="FSHRub1"/>
    </w:pPr>
    <w:r w:rsidRPr="00842662">
      <w:t>Motion till riksdagen</w:t>
    </w:r>
    <w:r w:rsidRPr="00842662">
      <w:br/>
    </w:r>
    <w:r w:rsidRPr="00842662">
      <w:fldChar w:fldCharType="begin" w:fldLock="1"/>
    </w:r>
    <w:r w:rsidRPr="00842662">
      <w:instrText xml:space="preserve"> DOCPROPERTY "YearUser" *\charformat </w:instrText>
    </w:r>
    <w:r w:rsidRPr="00842662">
      <w:fldChar w:fldCharType="separate"/>
    </w:r>
    <w:r w:rsidRPr="00842662">
      <w:t>2011/12</w:t>
    </w:r>
    <w:r w:rsidRPr="00842662">
      <w:fldChar w:fldCharType="end"/>
    </w:r>
    <w:r w:rsidRPr="00842662">
      <w:t>:</w:t>
    </w:r>
    <w:r w:rsidRPr="00842662">
      <w:fldChar w:fldCharType="begin" w:fldLock="1"/>
    </w:r>
    <w:r w:rsidRPr="00842662">
      <w:instrText xml:space="preserve"> DOCPROPERTY "Motionsnummer" *\charformat </w:instrText>
    </w:r>
    <w:r w:rsidRPr="00842662">
      <w:fldChar w:fldCharType="separate"/>
    </w:r>
    <w:r w:rsidRPr="00842662">
      <w:t>N302</w:t>
    </w:r>
    <w:r w:rsidRPr="00842662">
      <w:fldChar w:fldCharType="end"/>
    </w:r>
  </w:p>
  <w:p w:rsidR="00281743" w:rsidRPr="00842662" w:rsidRDefault="00281743">
    <w:pPr>
      <w:pStyle w:val="FSHNormalS5"/>
    </w:pPr>
    <w:r w:rsidRPr="00842662">
      <w:fldChar w:fldCharType="begin" w:fldLock="1"/>
    </w:r>
    <w:r w:rsidRPr="00842662">
      <w:instrText xml:space="preserve"> DOCPROPERTY "MotionarText" *\charformat </w:instrText>
    </w:r>
    <w:r w:rsidRPr="00842662">
      <w:fldChar w:fldCharType="separate"/>
    </w:r>
    <w:r w:rsidRPr="00842662">
      <w:t>av Fredrik Lundh Sammeli (S)</w:t>
    </w:r>
    <w:r w:rsidRPr="00842662">
      <w:fldChar w:fldCharType="end"/>
    </w:r>
    <w:r w:rsidRPr="00842662">
      <w:br/>
    </w:r>
    <w:r w:rsidRPr="00842662">
      <w:fldChar w:fldCharType="begin" w:fldLock="1"/>
    </w:r>
    <w:r w:rsidRPr="00842662">
      <w:instrText xml:space="preserve"> DOCPROPERTY "SvarFrasKort" *\charformat </w:instrText>
    </w:r>
    <w:r w:rsidRPr="00842662">
      <w:fldChar w:fldCharType="end"/>
    </w:r>
  </w:p>
  <w:p w:rsidR="00281743" w:rsidRPr="00842662" w:rsidRDefault="00281743">
    <w:pPr>
      <w:pStyle w:val="FSHTitel"/>
    </w:pPr>
    <w:r w:rsidRPr="00842662">
      <w:fldChar w:fldCharType="begin" w:fldLock="1"/>
    </w:r>
    <w:r w:rsidRPr="00842662">
      <w:instrText xml:space="preserve"> DOCPROPERTY</w:instrText>
    </w:r>
    <w:r w:rsidRPr="00842662">
      <w:rPr>
        <w:sz w:val="18"/>
      </w:rPr>
      <w:instrText xml:space="preserve"> "RubrikSvar" *\charformat </w:instrText>
    </w:r>
    <w:r w:rsidRPr="00842662">
      <w:fldChar w:fldCharType="separate"/>
    </w:r>
    <w:r w:rsidRPr="00842662">
      <w:t>Utlokalisera statliga myndigheter, bolag och verk</w:t>
    </w:r>
    <w:r w:rsidRPr="00842662">
      <w:fldChar w:fldCharType="end"/>
    </w:r>
  </w:p>
  <w:p w:rsidR="00281743" w:rsidRPr="00842662" w:rsidRDefault="00281743">
    <w:pPr>
      <w:pStyle w:val="Normal00"/>
    </w:pPr>
  </w:p>
  <w:p w:rsidR="00281743" w:rsidRPr="00842662" w:rsidRDefault="002817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3351885">
    <w:abstractNumId w:val="3"/>
  </w:num>
  <w:num w:numId="2" w16cid:durableId="2056419907">
    <w:abstractNumId w:val="2"/>
  </w:num>
  <w:num w:numId="3" w16cid:durableId="812261888">
    <w:abstractNumId w:val="1"/>
  </w:num>
  <w:num w:numId="4" w16cid:durableId="571889674">
    <w:abstractNumId w:val="0"/>
  </w:num>
  <w:num w:numId="5" w16cid:durableId="766000256">
    <w:abstractNumId w:val="7"/>
  </w:num>
  <w:num w:numId="6" w16cid:durableId="1170213889">
    <w:abstractNumId w:val="6"/>
  </w:num>
  <w:num w:numId="7" w16cid:durableId="1138760853">
    <w:abstractNumId w:val="5"/>
  </w:num>
  <w:num w:numId="8" w16cid:durableId="910457940">
    <w:abstractNumId w:val="4"/>
  </w:num>
  <w:num w:numId="9" w16cid:durableId="76367311">
    <w:abstractNumId w:val="8"/>
  </w:num>
  <w:num w:numId="10" w16cid:durableId="1297370757">
    <w:abstractNumId w:val="9"/>
  </w:num>
  <w:num w:numId="11" w16cid:durableId="202863749">
    <w:abstractNumId w:val="10"/>
  </w:num>
  <w:num w:numId="12" w16cid:durableId="1769807859">
    <w:abstractNumId w:val="13"/>
  </w:num>
  <w:num w:numId="13" w16cid:durableId="1408310207">
    <w:abstractNumId w:val="15"/>
  </w:num>
  <w:num w:numId="14" w16cid:durableId="896940591">
    <w:abstractNumId w:val="16"/>
  </w:num>
  <w:num w:numId="15" w16cid:durableId="1516993868">
    <w:abstractNumId w:val="11"/>
  </w:num>
  <w:num w:numId="16" w16cid:durableId="526984842">
    <w:abstractNumId w:val="18"/>
  </w:num>
  <w:num w:numId="17" w16cid:durableId="728304533">
    <w:abstractNumId w:val="17"/>
  </w:num>
  <w:num w:numId="18" w16cid:durableId="390811063">
    <w:abstractNumId w:val="14"/>
  </w:num>
  <w:num w:numId="19" w16cid:durableId="458424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824F418-ED83-4AB6-ACA0-13223F9A9CAC}"/>
  </w:docVars>
  <w:rsids>
    <w:rsidRoot w:val="00A90C63"/>
    <w:rsid w:val="00281743"/>
    <w:rsid w:val="00842662"/>
    <w:rsid w:val="00A90C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A156F7-EC50-40C9-BBA6-ECB4399E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2777</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S18054</vt:lpstr>
    </vt:vector>
  </TitlesOfParts>
  <Company>Riksdagen</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S18054</dc:title>
  <dc:subject>S18054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2011-12-04T10:32:00Z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Utlokalisera statliga myndigheter, bolag och 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Utlokalisera statliga myndigheter, bolag och 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Sammeli (S)</vt:lpwstr>
  </property>
  <property fmtid="{D5CDD505-2E9C-101B-9397-08002B2CF9AE}" pid="26" name="MotionarLista">
    <vt:lpwstr>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20112012000000000083000180540069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20112012000000000083000180540069</vt:lpwstr>
  </property>
  <property fmtid="{D5CDD505-2E9C-101B-9397-08002B2CF9AE}" pid="50" name="nummer">
    <vt:lpwstr>302</vt:lpwstr>
  </property>
  <property fmtid="{D5CDD505-2E9C-101B-9397-08002B2CF9AE}" pid="51" name="utskottsbeteckning">
    <vt:lpwstr>N</vt:lpwstr>
  </property>
  <property fmtid="{D5CDD505-2E9C-101B-9397-08002B2CF9AE}" pid="52" name="GlobalUID">
    <vt:lpwstr>{D61B370F-3AB3-4E03-89A2-274A7482F9B9}</vt:lpwstr>
  </property>
  <property fmtid="{D5CDD505-2E9C-101B-9397-08002B2CF9AE}" pid="53" name="Överföringar">
    <vt:i4>0</vt:i4>
  </property>
  <property fmtid="{D5CDD505-2E9C-101B-9397-08002B2CF9AE}" pid="54" name="Checksum">
    <vt:lpwstr>*1005509048484*</vt:lpwstr>
  </property>
  <property fmtid="{D5CDD505-2E9C-101B-9397-08002B2CF9AE}" pid="55" name="skuggnummer">
    <vt:lpwstr>1535</vt:lpwstr>
  </property>
  <property fmtid="{D5CDD505-2E9C-101B-9397-08002B2CF9AE}" pid="56" name="urixVersion">
    <vt:lpwstr>4.5.0.25</vt:lpwstr>
  </property>
  <property fmtid="{D5CDD505-2E9C-101B-9397-08002B2CF9AE}" pid="57" name="urixOrigin">
    <vt:lpwstr>111204 11:32:40.212</vt:lpwstr>
  </property>
  <property fmtid="{D5CDD505-2E9C-101B-9397-08002B2CF9AE}" pid="58" name="urixGuid">
    <vt:lpwstr>{2C5355E3-ACA4-430C-ADE2-930F11E9D587}</vt:lpwstr>
  </property>
</Properties>
</file>