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2694B">
        <w:tblPrEx>
          <w:tblCellMar>
            <w:top w:w="0" w:type="dxa"/>
            <w:left w:w="0" w:type="dxa"/>
            <w:bottom w:w="0" w:type="dxa"/>
            <w:right w:w="0" w:type="dxa"/>
          </w:tblCellMar>
        </w:tblPrEx>
        <w:trPr>
          <w:gridAfter w:val="2"/>
          <w:wAfter w:w="1758" w:type="dxa"/>
          <w:cantSplit/>
          <w:trHeight w:val="1320"/>
        </w:trPr>
        <w:tc>
          <w:tcPr>
            <w:tcW w:w="5897" w:type="dxa"/>
          </w:tcPr>
          <w:p w:rsidR="0070737E" w:rsidRPr="0032694B" w:rsidRDefault="0070737E">
            <w:pPr>
              <w:pStyle w:val="HuvudRubrik"/>
            </w:pPr>
            <w:r w:rsidRPr="0032694B">
              <w:t>Regeringskansliet</w:t>
            </w:r>
          </w:p>
          <w:p w:rsidR="0070737E" w:rsidRPr="0032694B" w:rsidRDefault="0070737E">
            <w:pPr>
              <w:pStyle w:val="HuvudRubrik"/>
            </w:pPr>
            <w:r w:rsidRPr="0032694B">
              <w:t xml:space="preserve">Faktapromemoria  </w:t>
            </w:r>
            <w:r w:rsidRPr="0032694B">
              <w:t>2006/07</w:t>
            </w:r>
            <w:r w:rsidRPr="0032694B">
              <w:t>:</w:t>
            </w:r>
            <w:r w:rsidRPr="0032694B">
              <w:t>FPM87</w:t>
            </w:r>
          </w:p>
        </w:tc>
      </w:tr>
      <w:tr w:rsidR="00000000" w:rsidRPr="0032694B">
        <w:tblPrEx>
          <w:tblCellMar>
            <w:top w:w="0" w:type="dxa"/>
            <w:left w:w="0" w:type="dxa"/>
            <w:bottom w:w="0" w:type="dxa"/>
            <w:right w:w="0" w:type="dxa"/>
          </w:tblCellMar>
        </w:tblPrEx>
        <w:trPr>
          <w:gridAfter w:val="2"/>
          <w:wAfter w:w="1758" w:type="dxa"/>
          <w:cantSplit/>
          <w:trHeight w:val="240"/>
        </w:trPr>
        <w:tc>
          <w:tcPr>
            <w:tcW w:w="5897" w:type="dxa"/>
          </w:tcPr>
          <w:p w:rsidR="0070737E" w:rsidRPr="0032694B" w:rsidRDefault="0070737E">
            <w:pPr>
              <w:pStyle w:val="HuvudRubrik"/>
              <w:rPr>
                <w:sz w:val="28"/>
              </w:rPr>
            </w:pPr>
            <w:r w:rsidRPr="0032694B">
              <w:t>Rådsbeslut om förstärkt brottsbekämpande samarbete</w:t>
            </w:r>
          </w:p>
        </w:tc>
      </w:tr>
      <w:tr w:rsidR="00020D34" w:rsidRPr="0032694B">
        <w:tblPrEx>
          <w:tblCellMar>
            <w:top w:w="0" w:type="dxa"/>
            <w:left w:w="0" w:type="dxa"/>
            <w:bottom w:w="0" w:type="dxa"/>
            <w:right w:w="0" w:type="dxa"/>
          </w:tblCellMar>
        </w:tblPrEx>
        <w:trPr>
          <w:cantSplit/>
          <w:trHeight w:val="285"/>
        </w:trPr>
        <w:tc>
          <w:tcPr>
            <w:tcW w:w="7655" w:type="dxa"/>
            <w:gridSpan w:val="3"/>
          </w:tcPr>
          <w:p w:rsidR="00020D34" w:rsidRPr="0032694B" w:rsidRDefault="004B2282">
            <w:pPr>
              <w:pStyle w:val="Departement"/>
              <w:rPr>
                <w:sz w:val="28"/>
              </w:rPr>
            </w:pPr>
            <w:r w:rsidRPr="0032694B">
              <w:t>Justitiedepartementet</w:t>
            </w:r>
          </w:p>
        </w:tc>
      </w:tr>
      <w:tr w:rsidR="00020D34" w:rsidRPr="0032694B">
        <w:tblPrEx>
          <w:tblCellMar>
            <w:top w:w="0" w:type="dxa"/>
            <w:left w:w="0" w:type="dxa"/>
            <w:bottom w:w="0" w:type="dxa"/>
            <w:right w:w="0" w:type="dxa"/>
          </w:tblCellMar>
        </w:tblPrEx>
        <w:trPr>
          <w:cantSplit/>
          <w:trHeight w:val="240"/>
        </w:trPr>
        <w:tc>
          <w:tcPr>
            <w:tcW w:w="7655" w:type="dxa"/>
            <w:gridSpan w:val="3"/>
          </w:tcPr>
          <w:p w:rsidR="00020D34" w:rsidRPr="0032694B" w:rsidRDefault="004B2282">
            <w:pPr>
              <w:pStyle w:val="Dokumentdatum"/>
            </w:pPr>
            <w:r w:rsidRPr="0032694B">
              <w:t>2007-06-04</w:t>
            </w:r>
          </w:p>
        </w:tc>
      </w:tr>
      <w:tr w:rsidR="00020D34" w:rsidRPr="0032694B">
        <w:tblPrEx>
          <w:tblCellMar>
            <w:top w:w="0" w:type="dxa"/>
            <w:left w:w="0" w:type="dxa"/>
            <w:bottom w:w="0" w:type="dxa"/>
            <w:right w:w="0" w:type="dxa"/>
          </w:tblCellMar>
        </w:tblPrEx>
        <w:trPr>
          <w:cantSplit/>
          <w:trHeight w:val="726"/>
        </w:trPr>
        <w:tc>
          <w:tcPr>
            <w:tcW w:w="7655" w:type="dxa"/>
            <w:gridSpan w:val="3"/>
            <w:vAlign w:val="bottom"/>
          </w:tcPr>
          <w:p w:rsidR="00020D34" w:rsidRPr="0032694B" w:rsidRDefault="00020D34">
            <w:pPr>
              <w:pStyle w:val="Dokumentbeteckning"/>
            </w:pPr>
            <w:r w:rsidRPr="0032694B">
              <w:t>Dokumentbeteckning</w:t>
            </w:r>
          </w:p>
        </w:tc>
      </w:tr>
      <w:tr w:rsidR="004B2282" w:rsidRPr="0032694B">
        <w:tblPrEx>
          <w:tblCellMar>
            <w:top w:w="0" w:type="dxa"/>
            <w:left w:w="0" w:type="dxa"/>
            <w:bottom w:w="0" w:type="dxa"/>
            <w:right w:w="0" w:type="dxa"/>
          </w:tblCellMar>
        </w:tblPrEx>
        <w:trPr>
          <w:gridAfter w:val="1"/>
          <w:wAfter w:w="1560" w:type="dxa"/>
          <w:trHeight w:val="120"/>
        </w:trPr>
        <w:tc>
          <w:tcPr>
            <w:tcW w:w="6095" w:type="dxa"/>
            <w:gridSpan w:val="2"/>
          </w:tcPr>
          <w:p w:rsidR="004B2282" w:rsidRPr="0032694B" w:rsidRDefault="004B2282" w:rsidP="004B2282">
            <w:bookmarkStart w:id="0" w:name="KomNr"/>
            <w:bookmarkEnd w:id="0"/>
            <w:r w:rsidRPr="0032694B">
              <w:t>9460/07 CRIMORG 80 ENFOPOL 87</w:t>
            </w:r>
          </w:p>
        </w:tc>
      </w:tr>
      <w:tr w:rsidR="004B2282" w:rsidRPr="0032694B">
        <w:tblPrEx>
          <w:tblCellMar>
            <w:top w:w="0" w:type="dxa"/>
            <w:left w:w="0" w:type="dxa"/>
            <w:bottom w:w="0" w:type="dxa"/>
            <w:right w:w="0" w:type="dxa"/>
          </w:tblCellMar>
        </w:tblPrEx>
        <w:trPr>
          <w:gridAfter w:val="1"/>
          <w:wAfter w:w="1560" w:type="dxa"/>
          <w:trHeight w:val="120"/>
        </w:trPr>
        <w:tc>
          <w:tcPr>
            <w:tcW w:w="6095" w:type="dxa"/>
            <w:gridSpan w:val="2"/>
          </w:tcPr>
          <w:p w:rsidR="004B2282" w:rsidRPr="0032694B" w:rsidRDefault="004B2282" w:rsidP="004B2282">
            <w:pPr>
              <w:pStyle w:val="Dokumentbeteckning-titel"/>
            </w:pPr>
            <w:r w:rsidRPr="0032694B">
              <w:t>Utkast till rådets beslut om ett fördjupat gränsöverskridande samarbete, särskilt för bekämpning av terrorism och gränsöverskridande brottslighet</w:t>
            </w:r>
          </w:p>
        </w:tc>
      </w:tr>
    </w:tbl>
    <w:p w:rsidR="00020D34" w:rsidRPr="0032694B" w:rsidRDefault="00020D34"/>
    <w:p w:rsidR="00020D34" w:rsidRPr="0032694B" w:rsidRDefault="00020D34">
      <w:pPr>
        <w:pStyle w:val="Rubrik1"/>
        <w:numPr>
          <w:ilvl w:val="0"/>
          <w:numId w:val="0"/>
        </w:numPr>
      </w:pPr>
      <w:r w:rsidRPr="0032694B">
        <w:t>Sammanfattning</w:t>
      </w:r>
    </w:p>
    <w:p w:rsidR="00452A30" w:rsidRPr="0032694B" w:rsidRDefault="00452A30" w:rsidP="00452A30">
      <w:pPr>
        <w:rPr>
          <w:rFonts w:cs="Helv"/>
          <w:color w:val="000000"/>
          <w:szCs w:val="24"/>
        </w:rPr>
      </w:pPr>
      <w:r w:rsidRPr="0032694B">
        <w:rPr>
          <w:rFonts w:cs="Helv"/>
          <w:color w:val="000000"/>
          <w:szCs w:val="24"/>
        </w:rPr>
        <w:t xml:space="preserve">Den 27 maj 2005 ingick Belgien, Tyskland, Spanien, Frankrike, Luxemburg, Nederländerna och Österrike ett fördrag om fördjupat gränsöverskridande samarbete för bekämpning av terrorism, gränsöverskridande brottslighet och olaglig migration. Fördraget undertecknades i den tyska staden Prüm. Medlemsstaternas uttalade målsättning är att utveckla informationsutbytet inom hela EU, framför allt avseende DNA, fingeravtryck och bilregisteruppgifter. Fördraget är öppet för alla EU:s medlemsstater att tillträda. Vid RIF-rådet den 15 februari 2007 nåddes en politisk principöverenskommelse om att integrera Prümfördragets tredjepelarfrågor, med undantag av artikel 25 om ingripande över gräns vid överhängande fara för liv och hälsa, i EU:s regelverk. Ordförandeskapet </w:t>
      </w:r>
      <w:r w:rsidR="004C0573" w:rsidRPr="0032694B">
        <w:rPr>
          <w:rFonts w:cs="Helv"/>
          <w:color w:val="000000"/>
          <w:szCs w:val="24"/>
        </w:rPr>
        <w:t xml:space="preserve">presenterade </w:t>
      </w:r>
      <w:r w:rsidR="00FE6C99" w:rsidRPr="0032694B">
        <w:rPr>
          <w:rFonts w:cs="Helv"/>
          <w:color w:val="000000"/>
          <w:szCs w:val="24"/>
        </w:rPr>
        <w:t>därefter</w:t>
      </w:r>
      <w:r w:rsidRPr="0032694B">
        <w:rPr>
          <w:rFonts w:cs="Helv"/>
          <w:color w:val="000000"/>
          <w:szCs w:val="24"/>
        </w:rPr>
        <w:t xml:space="preserve"> ett förslag till rådsbeslut. </w:t>
      </w:r>
      <w:r w:rsidR="002B4C6E" w:rsidRPr="0032694B">
        <w:rPr>
          <w:rFonts w:cs="Helv"/>
          <w:color w:val="000000"/>
          <w:szCs w:val="24"/>
        </w:rPr>
        <w:t>Sverige är positivt till förslaget och är m</w:t>
      </w:r>
      <w:r w:rsidRPr="0032694B">
        <w:rPr>
          <w:rFonts w:cs="Helv"/>
          <w:color w:val="000000"/>
          <w:szCs w:val="24"/>
        </w:rPr>
        <w:t>edförlagsställare</w:t>
      </w:r>
      <w:r w:rsidR="002B4C6E" w:rsidRPr="0032694B">
        <w:rPr>
          <w:rFonts w:cs="Helv"/>
          <w:color w:val="000000"/>
          <w:szCs w:val="24"/>
        </w:rPr>
        <w:t xml:space="preserve"> till rådsbeslutet. Övriga medförslagsställare</w:t>
      </w:r>
      <w:r w:rsidRPr="0032694B">
        <w:rPr>
          <w:rFonts w:cs="Helv"/>
          <w:color w:val="000000"/>
          <w:szCs w:val="24"/>
        </w:rPr>
        <w:t xml:space="preserve"> är Belgien, Bulgarien, Spanien, Frankrike, Luxemburg, Nederländerna, Österrike, Slovenien, Slovaki</w:t>
      </w:r>
      <w:r w:rsidR="002B4C6E" w:rsidRPr="0032694B">
        <w:rPr>
          <w:rFonts w:cs="Helv"/>
          <w:color w:val="000000"/>
          <w:szCs w:val="24"/>
        </w:rPr>
        <w:t xml:space="preserve">en, Italien, Finland, Portugal och </w:t>
      </w:r>
      <w:r w:rsidRPr="0032694B">
        <w:rPr>
          <w:rFonts w:cs="Helv"/>
          <w:color w:val="000000"/>
          <w:szCs w:val="24"/>
        </w:rPr>
        <w:t xml:space="preserve">Rumänien. </w:t>
      </w:r>
      <w:r w:rsidR="004C0573" w:rsidRPr="0032694B">
        <w:rPr>
          <w:rFonts w:cs="Helv"/>
          <w:color w:val="000000"/>
          <w:szCs w:val="24"/>
        </w:rPr>
        <w:t>En politisk överenskommelse väntas nås i juni 2007.</w:t>
      </w:r>
      <w:r w:rsidR="002B4C6E" w:rsidRPr="0032694B">
        <w:rPr>
          <w:rFonts w:cs="Helv"/>
          <w:color w:val="000000"/>
          <w:szCs w:val="24"/>
        </w:rPr>
        <w:t xml:space="preserve"> </w:t>
      </w:r>
    </w:p>
    <w:p w:rsidR="00020D34" w:rsidRPr="0032694B" w:rsidRDefault="00020D34"/>
    <w:p w:rsidR="00020D34" w:rsidRPr="0032694B" w:rsidRDefault="00020D34">
      <w:pPr>
        <w:pStyle w:val="Rubrik1"/>
      </w:pPr>
      <w:r w:rsidRPr="0032694B">
        <w:t>Förslaget</w:t>
      </w:r>
    </w:p>
    <w:p w:rsidR="00020D34" w:rsidRPr="0032694B" w:rsidRDefault="00020D34">
      <w:pPr>
        <w:pStyle w:val="Rubrik2"/>
      </w:pPr>
      <w:r w:rsidRPr="0032694B">
        <w:t>Innehåll</w:t>
      </w:r>
    </w:p>
    <w:p w:rsidR="006F3FF2" w:rsidRPr="0032694B" w:rsidRDefault="006F3FF2" w:rsidP="006F3FF2">
      <w:pPr>
        <w:autoSpaceDE w:val="0"/>
        <w:autoSpaceDN w:val="0"/>
        <w:adjustRightInd w:val="0"/>
        <w:spacing w:before="0" w:line="240" w:lineRule="atLeast"/>
        <w:jc w:val="left"/>
        <w:rPr>
          <w:rFonts w:ascii="Helv" w:hAnsi="Helv" w:cs="Helv"/>
          <w:color w:val="000000"/>
          <w:sz w:val="20"/>
          <w:lang w:eastAsia="en-US"/>
        </w:rPr>
      </w:pPr>
    </w:p>
    <w:p w:rsidR="006F3FF2" w:rsidRPr="0032694B" w:rsidRDefault="006F3FF2" w:rsidP="006F3FF2">
      <w:pPr>
        <w:autoSpaceDE w:val="0"/>
        <w:autoSpaceDN w:val="0"/>
        <w:adjustRightInd w:val="0"/>
        <w:spacing w:before="0" w:line="240" w:lineRule="atLeast"/>
        <w:jc w:val="left"/>
        <w:rPr>
          <w:rFonts w:ascii="Helv" w:hAnsi="Helv" w:cs="Helv"/>
          <w:color w:val="000000"/>
          <w:sz w:val="20"/>
          <w:lang w:eastAsia="en-US"/>
        </w:rPr>
      </w:pPr>
    </w:p>
    <w:p w:rsidR="006F3FF2" w:rsidRPr="0032694B" w:rsidRDefault="006F3FF2" w:rsidP="006F3FF2">
      <w:pPr>
        <w:rPr>
          <w:rFonts w:cs="Helv"/>
          <w:color w:val="000000"/>
          <w:szCs w:val="24"/>
        </w:rPr>
      </w:pPr>
      <w:r w:rsidRPr="0032694B">
        <w:rPr>
          <w:rFonts w:cs="Helv"/>
          <w:color w:val="000000"/>
          <w:szCs w:val="24"/>
        </w:rPr>
        <w:lastRenderedPageBreak/>
        <w:t>Syftet med förslaget till rådsbeslut är att utveckla det brottsbekämpande samarbetet inom EU, särskilt vad gäller informationsutbytet. Bland annat regleras utbyte av uppgifter om  DNA, fingeravtryck och fordonsregister.</w:t>
      </w:r>
    </w:p>
    <w:p w:rsidR="006F3FF2" w:rsidRPr="0032694B" w:rsidRDefault="006F3FF2" w:rsidP="006F3FF2">
      <w:pPr>
        <w:rPr>
          <w:rFonts w:cs="Helv"/>
          <w:color w:val="000000"/>
          <w:szCs w:val="24"/>
        </w:rPr>
      </w:pPr>
    </w:p>
    <w:p w:rsidR="006F3FF2" w:rsidRPr="0032694B" w:rsidRDefault="006F3FF2" w:rsidP="006F3FF2">
      <w:pPr>
        <w:rPr>
          <w:rFonts w:cs="Helv"/>
          <w:color w:val="000000"/>
          <w:szCs w:val="24"/>
        </w:rPr>
      </w:pPr>
      <w:r w:rsidRPr="0032694B">
        <w:rPr>
          <w:rFonts w:cs="Helv"/>
          <w:color w:val="000000"/>
          <w:szCs w:val="24"/>
        </w:rPr>
        <w:t>Prümfördraget är ett utslag av att många medlemsstater inte är nö</w:t>
      </w:r>
      <w:r w:rsidRPr="0032694B">
        <w:rPr>
          <w:rFonts w:cs="Helv"/>
          <w:color w:val="000000"/>
          <w:szCs w:val="24"/>
        </w:rPr>
        <w:t>j</w:t>
      </w:r>
      <w:r w:rsidRPr="0032694B">
        <w:rPr>
          <w:rFonts w:cs="Helv"/>
          <w:color w:val="000000"/>
          <w:szCs w:val="24"/>
        </w:rPr>
        <w:t>da med takten i utvecklingen på tredje pelarens område. Prümfördraget benämndes i inledningsskedet ”Schengen III” eftersom det handlar om ett antal medlemsstater som vill driva på utvecklin</w:t>
      </w:r>
      <w:r w:rsidRPr="0032694B">
        <w:rPr>
          <w:rFonts w:cs="Helv"/>
          <w:color w:val="000000"/>
          <w:szCs w:val="24"/>
        </w:rPr>
        <w:t>g</w:t>
      </w:r>
      <w:r w:rsidRPr="0032694B">
        <w:rPr>
          <w:rFonts w:cs="Helv"/>
          <w:color w:val="000000"/>
          <w:szCs w:val="24"/>
        </w:rPr>
        <w:t>en och väljer att göra det i särskild ordning utanför unionens ram, i syfte att sedan införliva det färdiga resultatet med unionens rege</w:t>
      </w:r>
      <w:r w:rsidRPr="0032694B">
        <w:rPr>
          <w:rFonts w:cs="Helv"/>
          <w:color w:val="000000"/>
          <w:szCs w:val="24"/>
        </w:rPr>
        <w:t>l</w:t>
      </w:r>
      <w:r w:rsidRPr="0032694B">
        <w:rPr>
          <w:rFonts w:cs="Helv"/>
          <w:color w:val="000000"/>
          <w:szCs w:val="24"/>
        </w:rPr>
        <w:t xml:space="preserve">verk, precis som skedde med Schengenkonventionen. </w:t>
      </w:r>
    </w:p>
    <w:p w:rsidR="006F3FF2" w:rsidRPr="0032694B" w:rsidRDefault="006F3FF2" w:rsidP="006F3FF2">
      <w:pPr>
        <w:rPr>
          <w:rFonts w:cs="Helv"/>
          <w:color w:val="000000"/>
          <w:szCs w:val="24"/>
        </w:rPr>
      </w:pPr>
    </w:p>
    <w:p w:rsidR="006F3FF2" w:rsidRPr="0032694B" w:rsidRDefault="006F3FF2" w:rsidP="006F3FF2">
      <w:pPr>
        <w:rPr>
          <w:rFonts w:cs="Helv"/>
          <w:color w:val="000000"/>
          <w:szCs w:val="24"/>
        </w:rPr>
      </w:pPr>
      <w:r w:rsidRPr="0032694B">
        <w:rPr>
          <w:rFonts w:cs="Helv"/>
          <w:color w:val="000000"/>
          <w:szCs w:val="24"/>
        </w:rPr>
        <w:t xml:space="preserve">När Prümfördraget nu föreslås införlivas i EU:s regelverk har man valt att i ett första skede endast ta med de delar i Prümfördraget som faller under tredje pelaren. Rådet valde även att exkludera en bestämmelse i Prümfördraget om ingripande över gräns vid överhängande fara för liv och hälsa eftersom några medlemsstater ansåg att frågan var besvärlig. </w:t>
      </w:r>
    </w:p>
    <w:p w:rsidR="00452A30" w:rsidRPr="0032694B" w:rsidRDefault="00452A30" w:rsidP="00F34BB8">
      <w:pPr>
        <w:rPr>
          <w:rFonts w:cs="Helv"/>
          <w:i/>
          <w:color w:val="000000"/>
          <w:szCs w:val="24"/>
        </w:rPr>
      </w:pPr>
    </w:p>
    <w:p w:rsidR="00F34BB8" w:rsidRPr="0032694B" w:rsidRDefault="00F34BB8" w:rsidP="00F34BB8">
      <w:pPr>
        <w:rPr>
          <w:rFonts w:cs="Helv"/>
          <w:i/>
          <w:color w:val="000000"/>
          <w:szCs w:val="24"/>
        </w:rPr>
      </w:pPr>
      <w:r w:rsidRPr="0032694B">
        <w:rPr>
          <w:rFonts w:cs="Helv"/>
          <w:i/>
          <w:color w:val="000000"/>
          <w:szCs w:val="24"/>
        </w:rPr>
        <w:t>Kapitel 1 – Allmän del</w:t>
      </w:r>
    </w:p>
    <w:p w:rsidR="00F34BB8" w:rsidRPr="0032694B" w:rsidRDefault="00F34BB8" w:rsidP="00F34BB8">
      <w:pPr>
        <w:rPr>
          <w:rFonts w:cs="Helv"/>
          <w:color w:val="000000"/>
          <w:szCs w:val="24"/>
        </w:rPr>
      </w:pPr>
      <w:r w:rsidRPr="0032694B">
        <w:rPr>
          <w:rFonts w:cs="Helv"/>
          <w:color w:val="000000"/>
          <w:szCs w:val="24"/>
        </w:rPr>
        <w:t>Rådsbeslutets syfte och mål är att fördjupa det gränsöverskridande samarbetet</w:t>
      </w:r>
      <w:r w:rsidR="00351492" w:rsidRPr="0032694B">
        <w:rPr>
          <w:rFonts w:cs="Helv"/>
          <w:color w:val="000000"/>
          <w:szCs w:val="24"/>
        </w:rPr>
        <w:t xml:space="preserve"> i frågor som omfattas av avdelning VI i EU-fördraget</w:t>
      </w:r>
      <w:r w:rsidRPr="0032694B">
        <w:rPr>
          <w:rFonts w:cs="Helv"/>
          <w:color w:val="000000"/>
          <w:szCs w:val="24"/>
        </w:rPr>
        <w:t>, särskilt i fråga om utbyte av information</w:t>
      </w:r>
      <w:r w:rsidR="00351492" w:rsidRPr="0032694B">
        <w:rPr>
          <w:rFonts w:cs="Helv"/>
          <w:color w:val="000000"/>
          <w:szCs w:val="24"/>
        </w:rPr>
        <w:t xml:space="preserve"> mellan myndigheter som är ansvariga för förebyggande och utredning av brott</w:t>
      </w:r>
      <w:r w:rsidRPr="0032694B">
        <w:rPr>
          <w:rFonts w:cs="Helv"/>
          <w:color w:val="000000"/>
          <w:szCs w:val="24"/>
        </w:rPr>
        <w:t>.</w:t>
      </w:r>
    </w:p>
    <w:p w:rsidR="00F34BB8" w:rsidRPr="0032694B" w:rsidRDefault="00F34BB8" w:rsidP="00F34BB8">
      <w:pPr>
        <w:rPr>
          <w:rFonts w:cs="Helv"/>
          <w:color w:val="000000"/>
          <w:szCs w:val="24"/>
        </w:rPr>
      </w:pPr>
    </w:p>
    <w:p w:rsidR="00F34BB8" w:rsidRPr="0032694B" w:rsidRDefault="00F34BB8" w:rsidP="00F34BB8">
      <w:pPr>
        <w:rPr>
          <w:rFonts w:cs="Helv"/>
          <w:i/>
          <w:color w:val="000000"/>
          <w:szCs w:val="24"/>
        </w:rPr>
      </w:pPr>
      <w:r w:rsidRPr="0032694B">
        <w:rPr>
          <w:rFonts w:cs="Helv"/>
          <w:i/>
          <w:color w:val="000000"/>
          <w:szCs w:val="24"/>
        </w:rPr>
        <w:t>Kapitel 2 – DNA-profiler, fingeravtrycksuppgifter och övriga uppgi</w:t>
      </w:r>
      <w:r w:rsidRPr="0032694B">
        <w:rPr>
          <w:rFonts w:cs="Helv"/>
          <w:i/>
          <w:color w:val="000000"/>
          <w:szCs w:val="24"/>
        </w:rPr>
        <w:t>f</w:t>
      </w:r>
      <w:r w:rsidRPr="0032694B">
        <w:rPr>
          <w:rFonts w:cs="Helv"/>
          <w:i/>
          <w:color w:val="000000"/>
          <w:szCs w:val="24"/>
        </w:rPr>
        <w:t>ter</w:t>
      </w:r>
    </w:p>
    <w:p w:rsidR="00F34BB8" w:rsidRPr="0032694B" w:rsidRDefault="00F34BB8" w:rsidP="00F34BB8">
      <w:pPr>
        <w:rPr>
          <w:rFonts w:cs="Helv"/>
          <w:i/>
          <w:color w:val="000000"/>
          <w:szCs w:val="24"/>
        </w:rPr>
      </w:pPr>
      <w:r w:rsidRPr="0032694B">
        <w:rPr>
          <w:rFonts w:cs="Helv"/>
          <w:i/>
          <w:color w:val="000000"/>
          <w:szCs w:val="24"/>
        </w:rPr>
        <w:t>DNA</w:t>
      </w:r>
    </w:p>
    <w:p w:rsidR="00F34BB8" w:rsidRPr="0032694B" w:rsidRDefault="00F34BB8" w:rsidP="00F34BB8">
      <w:pPr>
        <w:rPr>
          <w:rFonts w:cs="Helv"/>
          <w:color w:val="000000"/>
          <w:szCs w:val="24"/>
        </w:rPr>
      </w:pPr>
      <w:r w:rsidRPr="0032694B">
        <w:rPr>
          <w:rFonts w:cs="Helv"/>
          <w:color w:val="000000"/>
          <w:szCs w:val="24"/>
        </w:rPr>
        <w:t xml:space="preserve">I artiklarna 2-6 behandlas inrättande av nationella register för DNA-analys i brottsutredningar, utseende av nationella kontaktpunkter samt automatiserad sökning efter och jämförelse av DNA profiler. </w:t>
      </w:r>
      <w:r w:rsidR="004C0573" w:rsidRPr="0032694B">
        <w:rPr>
          <w:rFonts w:cs="Helv"/>
          <w:color w:val="000000"/>
          <w:szCs w:val="24"/>
        </w:rPr>
        <w:t>M</w:t>
      </w:r>
      <w:r w:rsidRPr="0032694B">
        <w:rPr>
          <w:rFonts w:cs="Helv"/>
          <w:color w:val="000000"/>
          <w:szCs w:val="24"/>
        </w:rPr>
        <w:t xml:space="preserve">edlemsstaterna </w:t>
      </w:r>
      <w:r w:rsidR="00351492" w:rsidRPr="0032694B">
        <w:rPr>
          <w:rFonts w:cs="Helv"/>
          <w:color w:val="000000"/>
          <w:szCs w:val="24"/>
        </w:rPr>
        <w:t xml:space="preserve">ska </w:t>
      </w:r>
      <w:r w:rsidRPr="0032694B">
        <w:rPr>
          <w:rFonts w:cs="Helv"/>
          <w:color w:val="000000"/>
          <w:szCs w:val="24"/>
        </w:rPr>
        <w:t>föra DNA-register för brottsutredningsändamål och göra referensuppgifter ur registren tillgängliga för jämförelse. Sådana uppgifter får bara innehålla DNA-profiler som grundar sig på den s.k. icke-kodade delen av DNA och en uppgift om referens, däremot inte uppgifter som kan härledas d</w:t>
      </w:r>
      <w:r w:rsidRPr="0032694B">
        <w:rPr>
          <w:rFonts w:cs="Helv"/>
          <w:color w:val="000000"/>
          <w:szCs w:val="24"/>
        </w:rPr>
        <w:t>i</w:t>
      </w:r>
      <w:r w:rsidRPr="0032694B">
        <w:rPr>
          <w:rFonts w:cs="Helv"/>
          <w:color w:val="000000"/>
          <w:szCs w:val="24"/>
        </w:rPr>
        <w:t>rekt till en person. Om up</w:t>
      </w:r>
      <w:r w:rsidRPr="0032694B">
        <w:rPr>
          <w:rFonts w:cs="Helv"/>
          <w:color w:val="000000"/>
          <w:szCs w:val="24"/>
        </w:rPr>
        <w:t>p</w:t>
      </w:r>
      <w:r w:rsidRPr="0032694B">
        <w:rPr>
          <w:rFonts w:cs="Helv"/>
          <w:color w:val="000000"/>
          <w:szCs w:val="24"/>
        </w:rPr>
        <w:t>giften inte går att härleda till en individ, d.v.s. refererar till ett oidentifierat DNA-spår, ska detta framgå av registret.</w:t>
      </w:r>
    </w:p>
    <w:p w:rsidR="00F34BB8" w:rsidRPr="0032694B" w:rsidRDefault="004C0573" w:rsidP="00F34BB8">
      <w:pPr>
        <w:rPr>
          <w:rFonts w:cs="Helv"/>
          <w:color w:val="000000"/>
          <w:szCs w:val="24"/>
        </w:rPr>
      </w:pPr>
      <w:r w:rsidRPr="0032694B">
        <w:rPr>
          <w:rFonts w:cs="Helv"/>
          <w:color w:val="000000"/>
          <w:szCs w:val="24"/>
        </w:rPr>
        <w:t xml:space="preserve">Medlemsstaterna ska </w:t>
      </w:r>
      <w:r w:rsidR="00F34BB8" w:rsidRPr="0032694B">
        <w:rPr>
          <w:rFonts w:cs="Helv"/>
          <w:color w:val="000000"/>
          <w:szCs w:val="24"/>
        </w:rPr>
        <w:t>utse en nationell ko</w:t>
      </w:r>
      <w:r w:rsidR="00F34BB8" w:rsidRPr="0032694B">
        <w:rPr>
          <w:rFonts w:cs="Helv"/>
          <w:color w:val="000000"/>
          <w:szCs w:val="24"/>
        </w:rPr>
        <w:t>n</w:t>
      </w:r>
      <w:r w:rsidR="00F34BB8" w:rsidRPr="0032694B">
        <w:rPr>
          <w:rFonts w:cs="Helv"/>
          <w:color w:val="000000"/>
          <w:szCs w:val="24"/>
        </w:rPr>
        <w:t xml:space="preserve">taktpunkt som ska kunna göra automatiserade sökningar </w:t>
      </w:r>
      <w:r w:rsidR="00351492" w:rsidRPr="0032694B">
        <w:rPr>
          <w:rFonts w:cs="Helv"/>
          <w:color w:val="000000"/>
          <w:szCs w:val="24"/>
        </w:rPr>
        <w:t xml:space="preserve">i de andra medlemsstaternas DNA-register </w:t>
      </w:r>
      <w:r w:rsidR="00F34BB8" w:rsidRPr="0032694B">
        <w:rPr>
          <w:rFonts w:cs="Helv"/>
          <w:color w:val="000000"/>
          <w:szCs w:val="24"/>
        </w:rPr>
        <w:t xml:space="preserve">för jämförelse av DNA-profiler. </w:t>
      </w:r>
      <w:r w:rsidR="00351492" w:rsidRPr="0032694B">
        <w:rPr>
          <w:rFonts w:cs="Helv"/>
          <w:color w:val="000000"/>
          <w:szCs w:val="24"/>
        </w:rPr>
        <w:t xml:space="preserve">Sådana sökningar får göras i enskilda fall </w:t>
      </w:r>
      <w:r w:rsidR="00FE6C99" w:rsidRPr="0032694B">
        <w:rPr>
          <w:rFonts w:cs="Helv"/>
          <w:color w:val="000000"/>
          <w:szCs w:val="24"/>
        </w:rPr>
        <w:t>i samband med brottsutredningar</w:t>
      </w:r>
      <w:r w:rsidR="00351492" w:rsidRPr="0032694B">
        <w:rPr>
          <w:rFonts w:cs="Helv"/>
          <w:color w:val="000000"/>
          <w:szCs w:val="24"/>
        </w:rPr>
        <w:t xml:space="preserve"> i enlighet med den ansökande statens nationella lagstiftning. </w:t>
      </w:r>
      <w:r w:rsidR="00F34BB8" w:rsidRPr="0032694B">
        <w:rPr>
          <w:rFonts w:cs="Helv"/>
          <w:color w:val="000000"/>
          <w:szCs w:val="24"/>
        </w:rPr>
        <w:t>Medlemsstaterna ska också, enl</w:t>
      </w:r>
      <w:r w:rsidRPr="0032694B">
        <w:rPr>
          <w:rFonts w:cs="Helv"/>
          <w:color w:val="000000"/>
          <w:szCs w:val="24"/>
        </w:rPr>
        <w:t>igt en gemensam överenskommelse,</w:t>
      </w:r>
      <w:r w:rsidR="00F34BB8" w:rsidRPr="0032694B">
        <w:rPr>
          <w:rFonts w:cs="Helv"/>
          <w:color w:val="000000"/>
          <w:szCs w:val="24"/>
        </w:rPr>
        <w:t xml:space="preserve"> via sina kontaktpun</w:t>
      </w:r>
      <w:r w:rsidR="00F34BB8" w:rsidRPr="0032694B">
        <w:rPr>
          <w:rFonts w:cs="Helv"/>
          <w:color w:val="000000"/>
          <w:szCs w:val="24"/>
        </w:rPr>
        <w:t>k</w:t>
      </w:r>
      <w:r w:rsidR="00F34BB8" w:rsidRPr="0032694B">
        <w:rPr>
          <w:rFonts w:cs="Helv"/>
          <w:color w:val="000000"/>
          <w:szCs w:val="24"/>
        </w:rPr>
        <w:t xml:space="preserve">ter i automatiserad form </w:t>
      </w:r>
      <w:r w:rsidR="00351492" w:rsidRPr="0032694B">
        <w:rPr>
          <w:rFonts w:cs="Helv"/>
          <w:color w:val="000000"/>
          <w:szCs w:val="24"/>
        </w:rPr>
        <w:t xml:space="preserve">kunna </w:t>
      </w:r>
      <w:r w:rsidR="00F34BB8" w:rsidRPr="0032694B">
        <w:rPr>
          <w:rFonts w:cs="Helv"/>
          <w:color w:val="000000"/>
          <w:szCs w:val="24"/>
        </w:rPr>
        <w:t>jämföra sina ”öppna spår” med alla profiler i de andra staternas r</w:t>
      </w:r>
      <w:r w:rsidR="00F34BB8" w:rsidRPr="0032694B">
        <w:rPr>
          <w:rFonts w:cs="Helv"/>
          <w:color w:val="000000"/>
          <w:szCs w:val="24"/>
        </w:rPr>
        <w:t>e</w:t>
      </w:r>
      <w:r w:rsidR="00F34BB8" w:rsidRPr="0032694B">
        <w:rPr>
          <w:rFonts w:cs="Helv"/>
          <w:color w:val="000000"/>
          <w:szCs w:val="24"/>
        </w:rPr>
        <w:t xml:space="preserve">gister. </w:t>
      </w:r>
    </w:p>
    <w:p w:rsidR="00F34BB8" w:rsidRPr="0032694B" w:rsidRDefault="00F34BB8" w:rsidP="00F34BB8">
      <w:pPr>
        <w:rPr>
          <w:rFonts w:cs="Helv"/>
          <w:color w:val="000000"/>
          <w:szCs w:val="24"/>
        </w:rPr>
      </w:pPr>
      <w:r w:rsidRPr="0032694B">
        <w:rPr>
          <w:rFonts w:cs="Helv"/>
          <w:color w:val="000000"/>
          <w:szCs w:val="24"/>
        </w:rPr>
        <w:t>Vid träff får den sökande staten ett meddelande åtföljt av referensuppgi</w:t>
      </w:r>
      <w:r w:rsidRPr="0032694B">
        <w:rPr>
          <w:rFonts w:cs="Helv"/>
          <w:color w:val="000000"/>
          <w:szCs w:val="24"/>
        </w:rPr>
        <w:t>f</w:t>
      </w:r>
      <w:r w:rsidRPr="0032694B">
        <w:rPr>
          <w:rFonts w:cs="Helv"/>
          <w:color w:val="000000"/>
          <w:szCs w:val="24"/>
        </w:rPr>
        <w:t>ter. Med hjälp av dessa gör den sökande staten därefter de jämförelser som krävs för att ko</w:t>
      </w:r>
      <w:r w:rsidRPr="0032694B">
        <w:rPr>
          <w:rFonts w:cs="Helv"/>
          <w:color w:val="000000"/>
          <w:szCs w:val="24"/>
        </w:rPr>
        <w:t>n</w:t>
      </w:r>
      <w:r w:rsidRPr="0032694B">
        <w:rPr>
          <w:rFonts w:cs="Helv"/>
          <w:color w:val="000000"/>
          <w:szCs w:val="24"/>
        </w:rPr>
        <w:t xml:space="preserve">statera matchning. </w:t>
      </w:r>
      <w:r w:rsidR="00FE6C99" w:rsidRPr="0032694B">
        <w:rPr>
          <w:rFonts w:cs="Helv"/>
          <w:color w:val="000000"/>
          <w:szCs w:val="24"/>
        </w:rPr>
        <w:t>Om matchning erhålls sker utlämnande</w:t>
      </w:r>
      <w:r w:rsidRPr="0032694B">
        <w:rPr>
          <w:rFonts w:cs="Helv"/>
          <w:color w:val="000000"/>
          <w:szCs w:val="24"/>
        </w:rPr>
        <w:t xml:space="preserve"> </w:t>
      </w:r>
      <w:r w:rsidR="004C0573" w:rsidRPr="0032694B">
        <w:rPr>
          <w:rFonts w:cs="Helv"/>
          <w:color w:val="000000"/>
          <w:szCs w:val="24"/>
        </w:rPr>
        <w:t xml:space="preserve">av ytterligare uppgifter, såsom personuppgifter, </w:t>
      </w:r>
      <w:r w:rsidRPr="0032694B">
        <w:rPr>
          <w:rFonts w:cs="Helv"/>
          <w:color w:val="000000"/>
          <w:szCs w:val="24"/>
        </w:rPr>
        <w:t>sker enligt den tillfrågade statens lagstif</w:t>
      </w:r>
      <w:r w:rsidRPr="0032694B">
        <w:rPr>
          <w:rFonts w:cs="Helv"/>
          <w:color w:val="000000"/>
          <w:szCs w:val="24"/>
        </w:rPr>
        <w:t>t</w:t>
      </w:r>
      <w:r w:rsidRPr="0032694B">
        <w:rPr>
          <w:rFonts w:cs="Helv"/>
          <w:color w:val="000000"/>
          <w:szCs w:val="24"/>
        </w:rPr>
        <w:t>ning och enligt samma rut</w:t>
      </w:r>
      <w:r w:rsidRPr="0032694B">
        <w:rPr>
          <w:rFonts w:cs="Helv"/>
          <w:color w:val="000000"/>
          <w:szCs w:val="24"/>
        </w:rPr>
        <w:t>i</w:t>
      </w:r>
      <w:r w:rsidRPr="0032694B">
        <w:rPr>
          <w:rFonts w:cs="Helv"/>
          <w:color w:val="000000"/>
          <w:szCs w:val="24"/>
        </w:rPr>
        <w:t>ner som gäller idag.</w:t>
      </w:r>
    </w:p>
    <w:p w:rsidR="00F34BB8" w:rsidRPr="0032694B" w:rsidRDefault="00351492" w:rsidP="00F34BB8">
      <w:pPr>
        <w:rPr>
          <w:rFonts w:cs="Helv"/>
          <w:color w:val="000000"/>
          <w:szCs w:val="24"/>
        </w:rPr>
      </w:pPr>
      <w:r w:rsidRPr="0032694B">
        <w:rPr>
          <w:rFonts w:cs="Helv"/>
          <w:color w:val="000000"/>
          <w:szCs w:val="24"/>
        </w:rPr>
        <w:t>I artikel 7 finns vidare</w:t>
      </w:r>
      <w:r w:rsidR="00F34BB8" w:rsidRPr="0032694B">
        <w:rPr>
          <w:rFonts w:cs="Helv"/>
          <w:color w:val="000000"/>
          <w:szCs w:val="24"/>
        </w:rPr>
        <w:t xml:space="preserve"> bestämmelser om rättslig hjälp med insamling och översändande av DNA-prov från personer som förekommer i brottsutre</w:t>
      </w:r>
      <w:r w:rsidR="00F34BB8" w:rsidRPr="0032694B">
        <w:rPr>
          <w:rFonts w:cs="Helv"/>
          <w:color w:val="000000"/>
          <w:szCs w:val="24"/>
        </w:rPr>
        <w:t>d</w:t>
      </w:r>
      <w:r w:rsidR="00F34BB8" w:rsidRPr="0032694B">
        <w:rPr>
          <w:rFonts w:cs="Helv"/>
          <w:color w:val="000000"/>
          <w:szCs w:val="24"/>
        </w:rPr>
        <w:t>ningar under vissa specificerade förutsättningar.</w:t>
      </w:r>
    </w:p>
    <w:p w:rsidR="00F34BB8" w:rsidRPr="0032694B" w:rsidRDefault="00F34BB8" w:rsidP="00F34BB8">
      <w:pPr>
        <w:rPr>
          <w:rFonts w:cs="Helv"/>
          <w:color w:val="000000"/>
          <w:szCs w:val="24"/>
        </w:rPr>
      </w:pPr>
    </w:p>
    <w:p w:rsidR="00F34BB8" w:rsidRPr="0032694B" w:rsidRDefault="00F34BB8" w:rsidP="00F34BB8">
      <w:pPr>
        <w:rPr>
          <w:rFonts w:cs="Helv"/>
          <w:i/>
          <w:color w:val="000000"/>
          <w:szCs w:val="24"/>
        </w:rPr>
      </w:pPr>
      <w:r w:rsidRPr="0032694B">
        <w:rPr>
          <w:rFonts w:cs="Helv"/>
          <w:i/>
          <w:color w:val="000000"/>
          <w:szCs w:val="24"/>
        </w:rPr>
        <w:t>Fingeravtryck</w:t>
      </w:r>
    </w:p>
    <w:p w:rsidR="00F34BB8" w:rsidRPr="0032694B" w:rsidRDefault="00F34BB8" w:rsidP="00F34BB8">
      <w:pPr>
        <w:rPr>
          <w:rFonts w:cs="Helv"/>
          <w:color w:val="000000"/>
          <w:szCs w:val="24"/>
        </w:rPr>
      </w:pPr>
      <w:r w:rsidRPr="0032694B">
        <w:rPr>
          <w:rFonts w:cs="Helv"/>
          <w:color w:val="000000"/>
          <w:szCs w:val="24"/>
        </w:rPr>
        <w:t>Artiklarna 8-11 innehåller bestämmelser om uppgifter hänförliga till r</w:t>
      </w:r>
      <w:r w:rsidRPr="0032694B">
        <w:rPr>
          <w:rFonts w:cs="Helv"/>
          <w:color w:val="000000"/>
          <w:szCs w:val="24"/>
        </w:rPr>
        <w:t>e</w:t>
      </w:r>
      <w:r w:rsidRPr="0032694B">
        <w:rPr>
          <w:rFonts w:cs="Helv"/>
          <w:color w:val="000000"/>
          <w:szCs w:val="24"/>
        </w:rPr>
        <w:t>gister för fingeravtryck i brottsutredningar, automatiserad sökning i s</w:t>
      </w:r>
      <w:r w:rsidRPr="0032694B">
        <w:rPr>
          <w:rFonts w:cs="Helv"/>
          <w:color w:val="000000"/>
          <w:szCs w:val="24"/>
        </w:rPr>
        <w:t>å</w:t>
      </w:r>
      <w:r w:rsidRPr="0032694B">
        <w:rPr>
          <w:rFonts w:cs="Helv"/>
          <w:color w:val="000000"/>
          <w:szCs w:val="24"/>
        </w:rPr>
        <w:t xml:space="preserve">dana register samt utseende av nationella kontaktpunkter för hantering av uppgifterna. </w:t>
      </w:r>
      <w:r w:rsidR="004C0573" w:rsidRPr="0032694B">
        <w:rPr>
          <w:rFonts w:cs="Helv"/>
          <w:color w:val="000000"/>
          <w:szCs w:val="24"/>
        </w:rPr>
        <w:t>M</w:t>
      </w:r>
      <w:r w:rsidRPr="0032694B">
        <w:rPr>
          <w:rFonts w:cs="Helv"/>
          <w:color w:val="000000"/>
          <w:szCs w:val="24"/>
        </w:rPr>
        <w:t xml:space="preserve">edlemsstaterna </w:t>
      </w:r>
      <w:r w:rsidR="004C0573" w:rsidRPr="0032694B">
        <w:rPr>
          <w:rFonts w:cs="Helv"/>
          <w:color w:val="000000"/>
          <w:szCs w:val="24"/>
        </w:rPr>
        <w:t xml:space="preserve">ska </w:t>
      </w:r>
      <w:r w:rsidR="003532BD" w:rsidRPr="0032694B">
        <w:rPr>
          <w:rFonts w:cs="Helv"/>
          <w:color w:val="000000"/>
          <w:szCs w:val="24"/>
        </w:rPr>
        <w:t xml:space="preserve">se till att referensuppgifter i fingeravtrycksregister hålls </w:t>
      </w:r>
      <w:r w:rsidRPr="0032694B">
        <w:rPr>
          <w:rFonts w:cs="Helv"/>
          <w:color w:val="000000"/>
          <w:szCs w:val="24"/>
        </w:rPr>
        <w:t>tillgängliga</w:t>
      </w:r>
      <w:r w:rsidR="003532BD" w:rsidRPr="0032694B">
        <w:rPr>
          <w:rFonts w:cs="Helv"/>
          <w:color w:val="000000"/>
          <w:szCs w:val="24"/>
        </w:rPr>
        <w:t xml:space="preserve"> för övriga medlemsstater</w:t>
      </w:r>
      <w:r w:rsidRPr="0032694B">
        <w:rPr>
          <w:rFonts w:cs="Helv"/>
          <w:color w:val="000000"/>
          <w:szCs w:val="24"/>
        </w:rPr>
        <w:t>. Sådana uppgifter får bara innehålla fingeravtryck och en referen</w:t>
      </w:r>
      <w:r w:rsidRPr="0032694B">
        <w:rPr>
          <w:rFonts w:cs="Helv"/>
          <w:color w:val="000000"/>
          <w:szCs w:val="24"/>
        </w:rPr>
        <w:t>s</w:t>
      </w:r>
      <w:r w:rsidRPr="0032694B">
        <w:rPr>
          <w:rFonts w:cs="Helv"/>
          <w:color w:val="000000"/>
          <w:szCs w:val="24"/>
        </w:rPr>
        <w:t>uppgift och alltså inte uppgifter som kan härledas direkt till en person. Om up</w:t>
      </w:r>
      <w:r w:rsidRPr="0032694B">
        <w:rPr>
          <w:rFonts w:cs="Helv"/>
          <w:color w:val="000000"/>
          <w:szCs w:val="24"/>
        </w:rPr>
        <w:t>p</w:t>
      </w:r>
      <w:r w:rsidRPr="0032694B">
        <w:rPr>
          <w:rFonts w:cs="Helv"/>
          <w:color w:val="000000"/>
          <w:szCs w:val="24"/>
        </w:rPr>
        <w:t>giften inte går att härleda till en individ (d.v.s. refererar till ett oidentifierat fingeravtryck) ska detta framgå av registret.</w:t>
      </w:r>
    </w:p>
    <w:p w:rsidR="00FE6C99" w:rsidRPr="0032694B" w:rsidRDefault="004C0573" w:rsidP="00FE6C99">
      <w:pPr>
        <w:rPr>
          <w:rFonts w:cs="Helv"/>
          <w:color w:val="000000"/>
          <w:szCs w:val="24"/>
        </w:rPr>
      </w:pPr>
      <w:r w:rsidRPr="0032694B">
        <w:rPr>
          <w:rFonts w:cs="Helv"/>
          <w:color w:val="000000"/>
          <w:szCs w:val="24"/>
        </w:rPr>
        <w:t xml:space="preserve">Medlemsstaterna ska </w:t>
      </w:r>
      <w:r w:rsidR="00F34BB8" w:rsidRPr="0032694B">
        <w:rPr>
          <w:rFonts w:cs="Helv"/>
          <w:color w:val="000000"/>
          <w:szCs w:val="24"/>
        </w:rPr>
        <w:t>utse en nationell ko</w:t>
      </w:r>
      <w:r w:rsidR="00F34BB8" w:rsidRPr="0032694B">
        <w:rPr>
          <w:rFonts w:cs="Helv"/>
          <w:color w:val="000000"/>
          <w:szCs w:val="24"/>
        </w:rPr>
        <w:t>n</w:t>
      </w:r>
      <w:r w:rsidR="00F34BB8" w:rsidRPr="0032694B">
        <w:rPr>
          <w:rFonts w:cs="Helv"/>
          <w:color w:val="000000"/>
          <w:szCs w:val="24"/>
        </w:rPr>
        <w:t xml:space="preserve">taktpunkt som </w:t>
      </w:r>
      <w:r w:rsidR="003532BD" w:rsidRPr="0032694B">
        <w:rPr>
          <w:rFonts w:cs="Helv"/>
          <w:color w:val="000000"/>
          <w:szCs w:val="24"/>
        </w:rPr>
        <w:t xml:space="preserve">för förebyggande och utredning av brott </w:t>
      </w:r>
      <w:r w:rsidR="00F34BB8" w:rsidRPr="0032694B">
        <w:rPr>
          <w:rFonts w:cs="Helv"/>
          <w:color w:val="000000"/>
          <w:szCs w:val="24"/>
        </w:rPr>
        <w:t>ska kunna göra automatiserade sö</w:t>
      </w:r>
      <w:r w:rsidR="00F34BB8" w:rsidRPr="0032694B">
        <w:rPr>
          <w:rFonts w:cs="Helv"/>
          <w:color w:val="000000"/>
          <w:szCs w:val="24"/>
        </w:rPr>
        <w:t>k</w:t>
      </w:r>
      <w:r w:rsidR="00F34BB8" w:rsidRPr="0032694B">
        <w:rPr>
          <w:rFonts w:cs="Helv"/>
          <w:color w:val="000000"/>
          <w:szCs w:val="24"/>
        </w:rPr>
        <w:t>ningar för jämf</w:t>
      </w:r>
      <w:r w:rsidR="00F34BB8" w:rsidRPr="0032694B">
        <w:rPr>
          <w:rFonts w:cs="Helv"/>
          <w:color w:val="000000"/>
          <w:szCs w:val="24"/>
        </w:rPr>
        <w:t>ö</w:t>
      </w:r>
      <w:r w:rsidR="00F34BB8" w:rsidRPr="0032694B">
        <w:rPr>
          <w:rFonts w:cs="Helv"/>
          <w:color w:val="000000"/>
          <w:szCs w:val="24"/>
        </w:rPr>
        <w:t>relse enligt samma förfarande som för DNA.</w:t>
      </w:r>
      <w:r w:rsidR="003532BD" w:rsidRPr="0032694B">
        <w:rPr>
          <w:rFonts w:cs="Helv"/>
          <w:color w:val="000000"/>
          <w:szCs w:val="24"/>
        </w:rPr>
        <w:t xml:space="preserve"> Sökningar får endast göras i enskilda fall och i överensstämmelse med den ansökande statens nationella lagstiftning.</w:t>
      </w:r>
      <w:r w:rsidR="00FE6C99" w:rsidRPr="0032694B">
        <w:rPr>
          <w:rFonts w:cs="Helv"/>
          <w:color w:val="000000"/>
          <w:szCs w:val="24"/>
        </w:rPr>
        <w:t xml:space="preserve"> Om matchning erhålls sker utlämnande av ytterligare uppgifter, såsom personuppgifter, sker enligt den tillfrågade statens lagstif</w:t>
      </w:r>
      <w:r w:rsidR="00FE6C99" w:rsidRPr="0032694B">
        <w:rPr>
          <w:rFonts w:cs="Helv"/>
          <w:color w:val="000000"/>
          <w:szCs w:val="24"/>
        </w:rPr>
        <w:t>t</w:t>
      </w:r>
      <w:r w:rsidR="00FE6C99" w:rsidRPr="0032694B">
        <w:rPr>
          <w:rFonts w:cs="Helv"/>
          <w:color w:val="000000"/>
          <w:szCs w:val="24"/>
        </w:rPr>
        <w:t>ning och enligt samma rut</w:t>
      </w:r>
      <w:r w:rsidR="00FE6C99" w:rsidRPr="0032694B">
        <w:rPr>
          <w:rFonts w:cs="Helv"/>
          <w:color w:val="000000"/>
          <w:szCs w:val="24"/>
        </w:rPr>
        <w:t>i</w:t>
      </w:r>
      <w:r w:rsidR="00FE6C99" w:rsidRPr="0032694B">
        <w:rPr>
          <w:rFonts w:cs="Helv"/>
          <w:color w:val="000000"/>
          <w:szCs w:val="24"/>
        </w:rPr>
        <w:t>ner som gäller idag.</w:t>
      </w:r>
    </w:p>
    <w:p w:rsidR="004C0573" w:rsidRPr="0032694B" w:rsidRDefault="004C0573" w:rsidP="00F34BB8">
      <w:pPr>
        <w:rPr>
          <w:rFonts w:cs="Helv"/>
          <w:i/>
          <w:color w:val="000000"/>
          <w:szCs w:val="24"/>
        </w:rPr>
      </w:pPr>
    </w:p>
    <w:p w:rsidR="00F34BB8" w:rsidRPr="0032694B" w:rsidRDefault="00F34BB8" w:rsidP="00F34BB8">
      <w:pPr>
        <w:rPr>
          <w:rFonts w:cs="Helv"/>
          <w:i/>
          <w:color w:val="000000"/>
          <w:szCs w:val="24"/>
        </w:rPr>
      </w:pPr>
      <w:r w:rsidRPr="0032694B">
        <w:rPr>
          <w:rFonts w:cs="Helv"/>
          <w:i/>
          <w:color w:val="000000"/>
          <w:szCs w:val="24"/>
        </w:rPr>
        <w:t>Automatiserad sökning av uppgifter om fordonsregistrering</w:t>
      </w:r>
    </w:p>
    <w:p w:rsidR="00F34BB8" w:rsidRPr="0032694B" w:rsidRDefault="00F34BB8" w:rsidP="00F34BB8">
      <w:pPr>
        <w:rPr>
          <w:rFonts w:cs="Helv"/>
          <w:color w:val="000000"/>
          <w:szCs w:val="24"/>
        </w:rPr>
      </w:pPr>
      <w:r w:rsidRPr="0032694B">
        <w:rPr>
          <w:rFonts w:cs="Helv"/>
          <w:color w:val="000000"/>
          <w:szCs w:val="24"/>
        </w:rPr>
        <w:t xml:space="preserve">I artikel 12 behandlas automatiserad sökning i </w:t>
      </w:r>
      <w:r w:rsidR="00723152" w:rsidRPr="0032694B">
        <w:rPr>
          <w:rFonts w:cs="Helv"/>
          <w:color w:val="000000"/>
          <w:szCs w:val="24"/>
        </w:rPr>
        <w:t>medlemsstaternas nationella fordons</w:t>
      </w:r>
      <w:r w:rsidRPr="0032694B">
        <w:rPr>
          <w:rFonts w:cs="Helv"/>
          <w:color w:val="000000"/>
          <w:szCs w:val="24"/>
        </w:rPr>
        <w:t>register</w:t>
      </w:r>
      <w:r w:rsidR="003532BD" w:rsidRPr="0032694B">
        <w:rPr>
          <w:rFonts w:cs="Helv"/>
          <w:color w:val="000000"/>
          <w:szCs w:val="24"/>
        </w:rPr>
        <w:t>.</w:t>
      </w:r>
      <w:r w:rsidRPr="0032694B">
        <w:rPr>
          <w:rFonts w:cs="Helv"/>
          <w:color w:val="000000"/>
          <w:szCs w:val="24"/>
        </w:rPr>
        <w:t xml:space="preserve"> </w:t>
      </w:r>
      <w:r w:rsidR="003532BD" w:rsidRPr="0032694B">
        <w:rPr>
          <w:rFonts w:cs="Helv"/>
          <w:color w:val="000000"/>
          <w:szCs w:val="24"/>
        </w:rPr>
        <w:t xml:space="preserve">Medlemsstaterna ska </w:t>
      </w:r>
      <w:r w:rsidRPr="0032694B">
        <w:rPr>
          <w:rFonts w:cs="Helv"/>
          <w:color w:val="000000"/>
          <w:szCs w:val="24"/>
        </w:rPr>
        <w:t>utse n</w:t>
      </w:r>
      <w:r w:rsidRPr="0032694B">
        <w:rPr>
          <w:rFonts w:cs="Helv"/>
          <w:color w:val="000000"/>
          <w:szCs w:val="24"/>
        </w:rPr>
        <w:t>a</w:t>
      </w:r>
      <w:r w:rsidRPr="0032694B">
        <w:rPr>
          <w:rFonts w:cs="Helv"/>
          <w:color w:val="000000"/>
          <w:szCs w:val="24"/>
        </w:rPr>
        <w:t xml:space="preserve">tionella kontaktpunkter, som i särskilda fall ska </w:t>
      </w:r>
      <w:r w:rsidR="003532BD" w:rsidRPr="0032694B">
        <w:rPr>
          <w:rFonts w:cs="Helv"/>
          <w:color w:val="000000"/>
          <w:szCs w:val="24"/>
        </w:rPr>
        <w:t xml:space="preserve">genomföra och </w:t>
      </w:r>
      <w:r w:rsidRPr="0032694B">
        <w:rPr>
          <w:rFonts w:cs="Helv"/>
          <w:color w:val="000000"/>
          <w:szCs w:val="24"/>
        </w:rPr>
        <w:t xml:space="preserve">ta emot förfrågningar och ha tillgång till </w:t>
      </w:r>
      <w:r w:rsidR="00723152" w:rsidRPr="0032694B">
        <w:rPr>
          <w:rFonts w:cs="Helv"/>
          <w:color w:val="000000"/>
          <w:szCs w:val="24"/>
        </w:rPr>
        <w:t>fordons</w:t>
      </w:r>
      <w:r w:rsidRPr="0032694B">
        <w:rPr>
          <w:rFonts w:cs="Helv"/>
          <w:color w:val="000000"/>
          <w:szCs w:val="24"/>
        </w:rPr>
        <w:t>registr</w:t>
      </w:r>
      <w:r w:rsidR="00723152" w:rsidRPr="0032694B">
        <w:rPr>
          <w:rFonts w:cs="Helv"/>
          <w:color w:val="000000"/>
          <w:szCs w:val="24"/>
        </w:rPr>
        <w:t>et.</w:t>
      </w:r>
      <w:r w:rsidRPr="0032694B">
        <w:rPr>
          <w:rFonts w:cs="Helv"/>
          <w:color w:val="000000"/>
          <w:szCs w:val="24"/>
        </w:rPr>
        <w:t xml:space="preserve"> </w:t>
      </w:r>
      <w:r w:rsidR="00723152" w:rsidRPr="0032694B">
        <w:rPr>
          <w:rFonts w:cs="Helv"/>
          <w:color w:val="000000"/>
          <w:szCs w:val="24"/>
        </w:rPr>
        <w:t>Övriga medlemsstaters nationella kontaktställen skall ges rätt att i enskilda fall göra automatiska sökningar och få tillträde till</w:t>
      </w:r>
      <w:r w:rsidRPr="0032694B">
        <w:rPr>
          <w:rFonts w:cs="Helv"/>
          <w:color w:val="000000"/>
          <w:szCs w:val="24"/>
        </w:rPr>
        <w:t xml:space="preserve"> uppgifter om ägare och </w:t>
      </w:r>
      <w:r w:rsidR="00723152" w:rsidRPr="0032694B">
        <w:rPr>
          <w:rFonts w:cs="Helv"/>
          <w:color w:val="000000"/>
          <w:szCs w:val="24"/>
        </w:rPr>
        <w:t xml:space="preserve">innehavare </w:t>
      </w:r>
      <w:r w:rsidRPr="0032694B">
        <w:rPr>
          <w:rFonts w:cs="Helv"/>
          <w:color w:val="000000"/>
          <w:szCs w:val="24"/>
        </w:rPr>
        <w:t>av fo</w:t>
      </w:r>
      <w:r w:rsidRPr="0032694B">
        <w:rPr>
          <w:rFonts w:cs="Helv"/>
          <w:color w:val="000000"/>
          <w:szCs w:val="24"/>
        </w:rPr>
        <w:t>r</w:t>
      </w:r>
      <w:r w:rsidRPr="0032694B">
        <w:rPr>
          <w:rFonts w:cs="Helv"/>
          <w:color w:val="000000"/>
          <w:szCs w:val="24"/>
        </w:rPr>
        <w:t>donet samt om fordonet.</w:t>
      </w:r>
    </w:p>
    <w:p w:rsidR="00F34BB8" w:rsidRPr="0032694B" w:rsidRDefault="00F34BB8" w:rsidP="00F34BB8">
      <w:pPr>
        <w:rPr>
          <w:rFonts w:cs="Helv"/>
          <w:color w:val="000000"/>
          <w:szCs w:val="24"/>
        </w:rPr>
      </w:pPr>
    </w:p>
    <w:p w:rsidR="00F34BB8" w:rsidRPr="0032694B" w:rsidRDefault="00F34BB8" w:rsidP="00F34BB8">
      <w:pPr>
        <w:rPr>
          <w:rFonts w:cs="Helv"/>
          <w:i/>
          <w:color w:val="000000"/>
          <w:szCs w:val="24"/>
        </w:rPr>
      </w:pPr>
      <w:r w:rsidRPr="0032694B">
        <w:rPr>
          <w:rFonts w:cs="Helv"/>
          <w:i/>
          <w:color w:val="000000"/>
          <w:szCs w:val="24"/>
        </w:rPr>
        <w:t xml:space="preserve">Kapitel 3 – </w:t>
      </w:r>
      <w:r w:rsidR="00723152" w:rsidRPr="0032694B">
        <w:rPr>
          <w:rFonts w:cs="Helv"/>
          <w:i/>
          <w:color w:val="000000"/>
          <w:szCs w:val="24"/>
        </w:rPr>
        <w:t>Större evenemang</w:t>
      </w:r>
    </w:p>
    <w:p w:rsidR="00F34BB8" w:rsidRPr="0032694B" w:rsidRDefault="00F34BB8" w:rsidP="00F34BB8">
      <w:pPr>
        <w:rPr>
          <w:rFonts w:cs="Helv"/>
          <w:i/>
          <w:color w:val="000000"/>
          <w:szCs w:val="24"/>
        </w:rPr>
      </w:pPr>
      <w:r w:rsidRPr="0032694B">
        <w:rPr>
          <w:rFonts w:cs="Helv"/>
          <w:i/>
          <w:color w:val="000000"/>
          <w:szCs w:val="24"/>
        </w:rPr>
        <w:t>Översändande av</w:t>
      </w:r>
      <w:r w:rsidR="00723152" w:rsidRPr="0032694B">
        <w:rPr>
          <w:rFonts w:cs="Helv"/>
          <w:i/>
          <w:color w:val="000000"/>
          <w:szCs w:val="24"/>
        </w:rPr>
        <w:t xml:space="preserve"> personuppgifter och </w:t>
      </w:r>
      <w:r w:rsidRPr="0032694B">
        <w:rPr>
          <w:rFonts w:cs="Helv"/>
          <w:i/>
          <w:color w:val="000000"/>
          <w:szCs w:val="24"/>
        </w:rPr>
        <w:t xml:space="preserve"> andra uppgifter</w:t>
      </w:r>
    </w:p>
    <w:p w:rsidR="00F34BB8" w:rsidRPr="0032694B" w:rsidRDefault="00F34BB8" w:rsidP="00F34BB8">
      <w:pPr>
        <w:rPr>
          <w:rFonts w:cs="Helv"/>
          <w:color w:val="000000"/>
          <w:szCs w:val="24"/>
        </w:rPr>
      </w:pPr>
      <w:r w:rsidRPr="0032694B">
        <w:rPr>
          <w:rFonts w:cs="Helv"/>
          <w:color w:val="000000"/>
          <w:szCs w:val="24"/>
        </w:rPr>
        <w:t>För att förhindra brott och för att säkerställa allmän ordning och säke</w:t>
      </w:r>
      <w:r w:rsidRPr="0032694B">
        <w:rPr>
          <w:rFonts w:cs="Helv"/>
          <w:color w:val="000000"/>
          <w:szCs w:val="24"/>
        </w:rPr>
        <w:t>r</w:t>
      </w:r>
      <w:r w:rsidRPr="0032694B">
        <w:rPr>
          <w:rFonts w:cs="Helv"/>
          <w:color w:val="000000"/>
          <w:szCs w:val="24"/>
        </w:rPr>
        <w:t>het, särskilt i samband med stora sportevenemang och Europeiska rådets möten, ska medlemsstaterna enligt artikel 13-15 genom särskilt utsedda kontak</w:t>
      </w:r>
      <w:r w:rsidRPr="0032694B">
        <w:rPr>
          <w:rFonts w:cs="Helv"/>
          <w:color w:val="000000"/>
          <w:szCs w:val="24"/>
        </w:rPr>
        <w:t>t</w:t>
      </w:r>
      <w:r w:rsidRPr="0032694B">
        <w:rPr>
          <w:rFonts w:cs="Helv"/>
          <w:color w:val="000000"/>
          <w:szCs w:val="24"/>
        </w:rPr>
        <w:t xml:space="preserve">punkter förse varandra med nödvändiga uppgifter och under vissa förutsättningar även personuppgifter. Detta ska ske i enlighet med nationell lagstiftning. </w:t>
      </w:r>
    </w:p>
    <w:p w:rsidR="00F34BB8" w:rsidRPr="0032694B" w:rsidRDefault="00F34BB8" w:rsidP="00F34BB8">
      <w:pPr>
        <w:rPr>
          <w:rFonts w:cs="Helv"/>
          <w:color w:val="000000"/>
          <w:szCs w:val="24"/>
        </w:rPr>
      </w:pPr>
    </w:p>
    <w:p w:rsidR="00F34BB8" w:rsidRPr="0032694B" w:rsidRDefault="00F34BB8" w:rsidP="00F34BB8">
      <w:pPr>
        <w:rPr>
          <w:rFonts w:cs="Helv"/>
          <w:i/>
          <w:color w:val="000000"/>
          <w:szCs w:val="24"/>
        </w:rPr>
      </w:pPr>
      <w:r w:rsidRPr="0032694B">
        <w:rPr>
          <w:rFonts w:cs="Helv"/>
          <w:i/>
          <w:color w:val="000000"/>
          <w:szCs w:val="24"/>
        </w:rPr>
        <w:t>Kapitel 4 – Åtgärder för bekämpning av terroristbrott</w:t>
      </w:r>
    </w:p>
    <w:p w:rsidR="00F34BB8" w:rsidRPr="0032694B" w:rsidRDefault="00F34BB8" w:rsidP="00F34BB8">
      <w:pPr>
        <w:rPr>
          <w:rFonts w:cs="Helv"/>
          <w:i/>
          <w:color w:val="000000"/>
          <w:szCs w:val="24"/>
        </w:rPr>
      </w:pPr>
      <w:r w:rsidRPr="0032694B">
        <w:rPr>
          <w:rFonts w:cs="Helv"/>
          <w:i/>
          <w:color w:val="000000"/>
          <w:szCs w:val="24"/>
        </w:rPr>
        <w:t xml:space="preserve">Terroristbrott </w:t>
      </w:r>
    </w:p>
    <w:p w:rsidR="00F34BB8" w:rsidRPr="0032694B" w:rsidRDefault="00F34BB8" w:rsidP="00F34BB8">
      <w:pPr>
        <w:rPr>
          <w:rFonts w:cs="Helv"/>
          <w:color w:val="000000"/>
          <w:szCs w:val="24"/>
        </w:rPr>
      </w:pPr>
      <w:r w:rsidRPr="0032694B">
        <w:rPr>
          <w:rFonts w:cs="Helv"/>
          <w:color w:val="000000"/>
          <w:szCs w:val="24"/>
        </w:rPr>
        <w:t xml:space="preserve">Artikel 16 anger att en medlemsstat, i enlighet med </w:t>
      </w:r>
      <w:r w:rsidR="00F67082" w:rsidRPr="0032694B">
        <w:rPr>
          <w:rFonts w:cs="Helv"/>
          <w:color w:val="000000"/>
          <w:szCs w:val="24"/>
        </w:rPr>
        <w:t xml:space="preserve">sin </w:t>
      </w:r>
      <w:r w:rsidRPr="0032694B">
        <w:rPr>
          <w:rFonts w:cs="Helv"/>
          <w:color w:val="000000"/>
          <w:szCs w:val="24"/>
        </w:rPr>
        <w:t>nationell</w:t>
      </w:r>
      <w:r w:rsidR="00F67082" w:rsidRPr="0032694B">
        <w:rPr>
          <w:rFonts w:cs="Helv"/>
          <w:color w:val="000000"/>
          <w:szCs w:val="24"/>
        </w:rPr>
        <w:t>a</w:t>
      </w:r>
      <w:r w:rsidRPr="0032694B">
        <w:rPr>
          <w:rFonts w:cs="Helv"/>
          <w:color w:val="000000"/>
          <w:szCs w:val="24"/>
        </w:rPr>
        <w:t xml:space="preserve"> </w:t>
      </w:r>
      <w:r w:rsidR="00F67082" w:rsidRPr="0032694B">
        <w:rPr>
          <w:rFonts w:cs="Helv"/>
          <w:color w:val="000000"/>
          <w:szCs w:val="24"/>
        </w:rPr>
        <w:t>lagstiftning</w:t>
      </w:r>
      <w:r w:rsidRPr="0032694B">
        <w:rPr>
          <w:rFonts w:cs="Helv"/>
          <w:color w:val="000000"/>
          <w:szCs w:val="24"/>
        </w:rPr>
        <w:t>, i e</w:t>
      </w:r>
      <w:r w:rsidRPr="0032694B">
        <w:rPr>
          <w:rFonts w:cs="Helv"/>
          <w:color w:val="000000"/>
          <w:szCs w:val="24"/>
        </w:rPr>
        <w:t>n</w:t>
      </w:r>
      <w:r w:rsidRPr="0032694B">
        <w:rPr>
          <w:rFonts w:cs="Helv"/>
          <w:color w:val="000000"/>
          <w:szCs w:val="24"/>
        </w:rPr>
        <w:t>skilda</w:t>
      </w:r>
      <w:r w:rsidR="00FE6C99" w:rsidRPr="0032694B">
        <w:rPr>
          <w:rFonts w:cs="Helv"/>
          <w:color w:val="000000"/>
          <w:szCs w:val="24"/>
        </w:rPr>
        <w:t xml:space="preserve"> fall och utan att vara anmodad</w:t>
      </w:r>
      <w:r w:rsidRPr="0032694B">
        <w:rPr>
          <w:rFonts w:cs="Helv"/>
          <w:color w:val="000000"/>
          <w:szCs w:val="24"/>
        </w:rPr>
        <w:t xml:space="preserve"> kan lämna personuppgifter om det finns anledning att tro att de berörda personerna kan komma att begå terroris</w:t>
      </w:r>
      <w:r w:rsidRPr="0032694B">
        <w:rPr>
          <w:rFonts w:cs="Helv"/>
          <w:color w:val="000000"/>
          <w:szCs w:val="24"/>
        </w:rPr>
        <w:t>t</w:t>
      </w:r>
      <w:r w:rsidRPr="0032694B">
        <w:rPr>
          <w:rFonts w:cs="Helv"/>
          <w:color w:val="000000"/>
          <w:szCs w:val="24"/>
        </w:rPr>
        <w:t>brott såsom de definieras i EU:s rambeslut om bekämpande av terr</w:t>
      </w:r>
      <w:r w:rsidRPr="0032694B">
        <w:rPr>
          <w:rFonts w:cs="Helv"/>
          <w:color w:val="000000"/>
          <w:szCs w:val="24"/>
        </w:rPr>
        <w:t>o</w:t>
      </w:r>
      <w:r w:rsidRPr="0032694B">
        <w:rPr>
          <w:rFonts w:cs="Helv"/>
          <w:color w:val="000000"/>
          <w:szCs w:val="24"/>
        </w:rPr>
        <w:t>rism.</w:t>
      </w:r>
      <w:r w:rsidR="00F67082" w:rsidRPr="0032694B">
        <w:rPr>
          <w:rFonts w:cs="Helv"/>
          <w:color w:val="000000"/>
          <w:szCs w:val="24"/>
        </w:rPr>
        <w:t xml:space="preserve"> Den översändande staten kan enligt sin nationella lagstiftning ange </w:t>
      </w:r>
      <w:r w:rsidR="0045710C" w:rsidRPr="0032694B">
        <w:rPr>
          <w:rFonts w:cs="Helv"/>
          <w:color w:val="000000"/>
          <w:szCs w:val="24"/>
        </w:rPr>
        <w:t>bindande användningsbegränsningar för de översända uppgifterna.</w:t>
      </w:r>
    </w:p>
    <w:p w:rsidR="00F34BB8" w:rsidRPr="0032694B" w:rsidRDefault="00F34BB8" w:rsidP="00347738"/>
    <w:p w:rsidR="00F34BB8" w:rsidRPr="0032694B" w:rsidRDefault="00F34BB8" w:rsidP="00586F37">
      <w:pPr>
        <w:rPr>
          <w:rFonts w:cs="Helv"/>
          <w:i/>
          <w:color w:val="000000"/>
          <w:szCs w:val="24"/>
        </w:rPr>
      </w:pPr>
      <w:r w:rsidRPr="0032694B">
        <w:rPr>
          <w:rFonts w:cs="Helv"/>
          <w:i/>
          <w:color w:val="000000"/>
          <w:szCs w:val="24"/>
        </w:rPr>
        <w:t>Kapitel 5 – Andra former av samarbete</w:t>
      </w:r>
    </w:p>
    <w:p w:rsidR="00F34BB8" w:rsidRPr="0032694B" w:rsidRDefault="00F34BB8" w:rsidP="00F34BB8">
      <w:pPr>
        <w:rPr>
          <w:rFonts w:cs="Helv"/>
          <w:i/>
          <w:color w:val="000000"/>
          <w:szCs w:val="24"/>
        </w:rPr>
      </w:pPr>
      <w:r w:rsidRPr="0032694B">
        <w:rPr>
          <w:rFonts w:cs="Helv"/>
          <w:i/>
          <w:color w:val="000000"/>
          <w:szCs w:val="24"/>
        </w:rPr>
        <w:t>Gemensamma insatser</w:t>
      </w:r>
    </w:p>
    <w:p w:rsidR="00F34BB8" w:rsidRPr="0032694B" w:rsidRDefault="00F34BB8" w:rsidP="00F34BB8">
      <w:pPr>
        <w:rPr>
          <w:rFonts w:cs="Helv"/>
          <w:color w:val="000000"/>
          <w:szCs w:val="24"/>
        </w:rPr>
      </w:pPr>
      <w:r w:rsidRPr="0032694B">
        <w:rPr>
          <w:rFonts w:cs="Helv"/>
          <w:color w:val="000000"/>
          <w:szCs w:val="24"/>
        </w:rPr>
        <w:t xml:space="preserve">I artikel 17 behandlas en ny form av gränsöverskridande polissamarbete; gemensamma patruller och andra gemensamma </w:t>
      </w:r>
      <w:r w:rsidR="0045710C" w:rsidRPr="0032694B">
        <w:rPr>
          <w:rFonts w:cs="Helv"/>
          <w:color w:val="000000"/>
          <w:szCs w:val="24"/>
        </w:rPr>
        <w:t xml:space="preserve">insatser </w:t>
      </w:r>
      <w:r w:rsidRPr="0032694B">
        <w:rPr>
          <w:rFonts w:cs="Helv"/>
          <w:color w:val="000000"/>
          <w:szCs w:val="24"/>
        </w:rPr>
        <w:t>där medlemsstaters tjänstemän tillåts arbeta i andra medlemsstater. Värdstaten</w:t>
      </w:r>
      <w:r w:rsidR="0045710C" w:rsidRPr="0032694B">
        <w:rPr>
          <w:rFonts w:cs="Helv"/>
          <w:color w:val="000000"/>
          <w:szCs w:val="24"/>
        </w:rPr>
        <w:t>, som tar initiativ till en gemensam insats,</w:t>
      </w:r>
      <w:r w:rsidRPr="0032694B">
        <w:rPr>
          <w:rFonts w:cs="Helv"/>
          <w:color w:val="000000"/>
          <w:szCs w:val="24"/>
        </w:rPr>
        <w:t xml:space="preserve"> har </w:t>
      </w:r>
      <w:r w:rsidR="0045710C" w:rsidRPr="0032694B">
        <w:rPr>
          <w:rFonts w:cs="Helv"/>
          <w:color w:val="000000"/>
          <w:szCs w:val="24"/>
        </w:rPr>
        <w:t xml:space="preserve">därvid </w:t>
      </w:r>
      <w:r w:rsidRPr="0032694B">
        <w:rPr>
          <w:rFonts w:cs="Helv"/>
          <w:color w:val="000000"/>
          <w:szCs w:val="24"/>
        </w:rPr>
        <w:t xml:space="preserve">möjlighet att </w:t>
      </w:r>
      <w:r w:rsidR="0045710C" w:rsidRPr="0032694B">
        <w:rPr>
          <w:rFonts w:cs="Helv"/>
          <w:color w:val="000000"/>
          <w:szCs w:val="24"/>
        </w:rPr>
        <w:t xml:space="preserve">enligt sin nationella lagstiftning </w:t>
      </w:r>
      <w:r w:rsidRPr="0032694B">
        <w:rPr>
          <w:rFonts w:cs="Helv"/>
          <w:color w:val="000000"/>
          <w:szCs w:val="24"/>
        </w:rPr>
        <w:t>tilldela tjänstemän från andra medlemsstater verkställande  befogenheter</w:t>
      </w:r>
      <w:r w:rsidR="0045710C" w:rsidRPr="0032694B">
        <w:rPr>
          <w:rFonts w:cs="Helv"/>
          <w:color w:val="000000"/>
          <w:szCs w:val="24"/>
        </w:rPr>
        <w:t>. Sådana befogenheter kan vara</w:t>
      </w:r>
      <w:r w:rsidRPr="0032694B">
        <w:rPr>
          <w:rFonts w:cs="Helv"/>
          <w:color w:val="000000"/>
          <w:szCs w:val="24"/>
        </w:rPr>
        <w:t xml:space="preserve"> i enlighet med antingen värdstatens eller den utsändande statens rätt. Utövandet av sådan befogenhet ska ske under överinseende av och, som huvudregel, i närvaro av tjänstemän från värdstaten. Andra medlemsstaters tjänstemän ska lyda under värdstatens nationella lagstiftning.</w:t>
      </w:r>
    </w:p>
    <w:p w:rsidR="00F34BB8" w:rsidRPr="0032694B" w:rsidRDefault="00F34BB8" w:rsidP="00F34BB8">
      <w:pPr>
        <w:rPr>
          <w:rFonts w:cs="Helv"/>
          <w:color w:val="000000"/>
          <w:szCs w:val="24"/>
        </w:rPr>
      </w:pPr>
    </w:p>
    <w:p w:rsidR="00F34BB8" w:rsidRPr="0032694B" w:rsidRDefault="00F34BB8" w:rsidP="00F34BB8">
      <w:pPr>
        <w:rPr>
          <w:i/>
          <w:iCs/>
        </w:rPr>
      </w:pPr>
      <w:r w:rsidRPr="0032694B">
        <w:rPr>
          <w:i/>
          <w:iCs/>
        </w:rPr>
        <w:t>Bistånd i samband med större evenemang, katastrofer och allvarliga olyckor</w:t>
      </w:r>
    </w:p>
    <w:p w:rsidR="00F34BB8" w:rsidRPr="0032694B" w:rsidRDefault="00F34BB8" w:rsidP="00F34BB8">
      <w:pPr>
        <w:rPr>
          <w:iCs/>
        </w:rPr>
      </w:pPr>
      <w:r w:rsidRPr="0032694B">
        <w:rPr>
          <w:iCs/>
        </w:rPr>
        <w:t>Av artikel 18 följer att medlemsstaterna</w:t>
      </w:r>
      <w:r w:rsidR="00FE6C99" w:rsidRPr="0032694B">
        <w:rPr>
          <w:iCs/>
        </w:rPr>
        <w:t xml:space="preserve">, i enlighet med sin nationella lagstiftning, </w:t>
      </w:r>
      <w:r w:rsidRPr="0032694B">
        <w:rPr>
          <w:iCs/>
        </w:rPr>
        <w:t>ömsesidigt ska bistå va</w:t>
      </w:r>
      <w:r w:rsidRPr="0032694B">
        <w:rPr>
          <w:iCs/>
        </w:rPr>
        <w:t>r</w:t>
      </w:r>
      <w:r w:rsidRPr="0032694B">
        <w:rPr>
          <w:iCs/>
        </w:rPr>
        <w:t xml:space="preserve">andra på olika sätt vid stora sammankomster, allvarliga olyckor och liknande större händelser. </w:t>
      </w:r>
      <w:r w:rsidR="0045710C" w:rsidRPr="0032694B">
        <w:rPr>
          <w:iCs/>
        </w:rPr>
        <w:t>Biståndet ska ske bl.a. i form av underrättelser samt utsändande av tjänstemän och utrustning.</w:t>
      </w:r>
    </w:p>
    <w:p w:rsidR="00F34BB8" w:rsidRPr="0032694B" w:rsidRDefault="00F34BB8" w:rsidP="00F34BB8"/>
    <w:p w:rsidR="00F34BB8" w:rsidRPr="0032694B" w:rsidRDefault="00F34BB8" w:rsidP="00F34BB8">
      <w:pPr>
        <w:rPr>
          <w:i/>
          <w:iCs/>
        </w:rPr>
      </w:pPr>
      <w:r w:rsidRPr="0032694B">
        <w:rPr>
          <w:i/>
          <w:iCs/>
        </w:rPr>
        <w:t>Användning av tjänstevapen, ammunition och övrig nödvändig utrustning</w:t>
      </w:r>
    </w:p>
    <w:p w:rsidR="00F34BB8" w:rsidRPr="0032694B" w:rsidRDefault="00F34BB8" w:rsidP="00F34BB8">
      <w:pPr>
        <w:rPr>
          <w:iCs/>
        </w:rPr>
      </w:pPr>
      <w:r w:rsidRPr="0032694B">
        <w:rPr>
          <w:iCs/>
        </w:rPr>
        <w:t xml:space="preserve">Tjänstemän som inom ramen </w:t>
      </w:r>
      <w:r w:rsidR="00FE6C99" w:rsidRPr="0032694B">
        <w:rPr>
          <w:iCs/>
        </w:rPr>
        <w:t>för</w:t>
      </w:r>
      <w:r w:rsidRPr="0032694B">
        <w:rPr>
          <w:iCs/>
        </w:rPr>
        <w:t xml:space="preserve"> en gemensam insats vistas på en a</w:t>
      </w:r>
      <w:r w:rsidRPr="0032694B">
        <w:rPr>
          <w:iCs/>
        </w:rPr>
        <w:t>n</w:t>
      </w:r>
      <w:r w:rsidRPr="0032694B">
        <w:rPr>
          <w:iCs/>
        </w:rPr>
        <w:t>nan medlemsstats territorium</w:t>
      </w:r>
      <w:r w:rsidR="004C0573" w:rsidRPr="0032694B">
        <w:rPr>
          <w:iCs/>
        </w:rPr>
        <w:t xml:space="preserve"> enligt artikel 17 eller 18</w:t>
      </w:r>
      <w:r w:rsidRPr="0032694B">
        <w:rPr>
          <w:iCs/>
        </w:rPr>
        <w:t xml:space="preserve"> får enligt artikel 19 använda sin tjänsteuniform samt </w:t>
      </w:r>
      <w:r w:rsidR="00326B2D" w:rsidRPr="0032694B">
        <w:rPr>
          <w:iCs/>
        </w:rPr>
        <w:t>bära</w:t>
      </w:r>
      <w:r w:rsidRPr="0032694B">
        <w:rPr>
          <w:iCs/>
        </w:rPr>
        <w:t xml:space="preserve"> tjänstevapen, ammunition och övrig nödvändig utrustning i enlighet med den utsändande statens nationella lagstiftning. Värdstaten kan förbjuda den utsändande statens tjänstemän att medföra vissa tjänst</w:t>
      </w:r>
      <w:r w:rsidRPr="0032694B">
        <w:rPr>
          <w:iCs/>
        </w:rPr>
        <w:t>e</w:t>
      </w:r>
      <w:r w:rsidRPr="0032694B">
        <w:rPr>
          <w:iCs/>
        </w:rPr>
        <w:t xml:space="preserve">vapen, viss ammunition </w:t>
      </w:r>
      <w:r w:rsidR="004C0573" w:rsidRPr="0032694B">
        <w:rPr>
          <w:iCs/>
        </w:rPr>
        <w:t>eller</w:t>
      </w:r>
      <w:r w:rsidRPr="0032694B">
        <w:rPr>
          <w:iCs/>
        </w:rPr>
        <w:t xml:space="preserve"> utrustning. Värdstaten får i en förklaring ange att tillåtna vapen endast får användas i nödvärn. Värdstatens tjänstemän som leder insatsen kan i enskilda fall, i enlighet med sin nationella lagstiftning, godkänna användning av vapen och annan utrustning för andra syften än nödvärn.</w:t>
      </w:r>
      <w:r w:rsidR="00326B2D" w:rsidRPr="0032694B">
        <w:rPr>
          <w:iCs/>
        </w:rPr>
        <w:t xml:space="preserve"> </w:t>
      </w:r>
      <w:r w:rsidR="00326B2D" w:rsidRPr="0032694B">
        <w:rPr>
          <w:sz w:val="18"/>
          <w:szCs w:val="18"/>
          <w:lang w:eastAsia="en-US"/>
        </w:rPr>
        <w:t>Hur vapen och annan utrustning får användas regleras av värdstatens lagstiftning.</w:t>
      </w:r>
    </w:p>
    <w:p w:rsidR="00F34BB8" w:rsidRPr="0032694B" w:rsidRDefault="00F34BB8" w:rsidP="00347738"/>
    <w:p w:rsidR="00F34BB8" w:rsidRPr="0032694B" w:rsidRDefault="00F34BB8" w:rsidP="00F34BB8">
      <w:pPr>
        <w:rPr>
          <w:i/>
          <w:iCs/>
        </w:rPr>
      </w:pPr>
      <w:r w:rsidRPr="0032694B">
        <w:rPr>
          <w:i/>
          <w:iCs/>
        </w:rPr>
        <w:t>Skydd och bistånd, skadestånd, straffrättsligt ansvar samt tjänsteförhållanden</w:t>
      </w:r>
    </w:p>
    <w:p w:rsidR="00F34BB8" w:rsidRPr="0032694B" w:rsidRDefault="00F34BB8" w:rsidP="00F34BB8">
      <w:pPr>
        <w:rPr>
          <w:iCs/>
        </w:rPr>
      </w:pPr>
      <w:r w:rsidRPr="0032694B">
        <w:rPr>
          <w:iCs/>
        </w:rPr>
        <w:t xml:space="preserve">Medlemsstaterna är </w:t>
      </w:r>
      <w:r w:rsidR="0045710C" w:rsidRPr="0032694B">
        <w:rPr>
          <w:iCs/>
        </w:rPr>
        <w:t xml:space="preserve">enligt artikel 20 </w:t>
      </w:r>
      <w:r w:rsidRPr="0032694B">
        <w:rPr>
          <w:iCs/>
        </w:rPr>
        <w:t xml:space="preserve">skyldiga att skydda och bistå utländska tjänstemän på det egna territoriet på samma sätt som sina egna tjänstemän. </w:t>
      </w:r>
    </w:p>
    <w:p w:rsidR="00A143A7" w:rsidRPr="0032694B" w:rsidRDefault="00F34BB8" w:rsidP="00A143A7">
      <w:r w:rsidRPr="0032694B">
        <w:t xml:space="preserve">Den medlemsstat som har tjänstemän på en annan stats territorium </w:t>
      </w:r>
      <w:r w:rsidR="00A143A7" w:rsidRPr="0032694B">
        <w:t xml:space="preserve">enligt artikel 17 </w:t>
      </w:r>
      <w:r w:rsidRPr="0032694B">
        <w:t xml:space="preserve">ska ansvara för </w:t>
      </w:r>
      <w:r w:rsidR="00A143A7" w:rsidRPr="0032694B">
        <w:t xml:space="preserve">eventuella skador som de egna </w:t>
      </w:r>
      <w:r w:rsidRPr="0032694B">
        <w:t>tjänstemän</w:t>
      </w:r>
      <w:r w:rsidR="00A143A7" w:rsidRPr="0032694B">
        <w:t xml:space="preserve">nen förorsakar, </w:t>
      </w:r>
      <w:r w:rsidRPr="0032694B">
        <w:t xml:space="preserve">i enlighet med den lagstiftning som gäller i det landet skadorna förorsakades. </w:t>
      </w:r>
      <w:r w:rsidR="00A143A7" w:rsidRPr="0032694B">
        <w:t>Den stat</w:t>
      </w:r>
      <w:r w:rsidRPr="0032694B">
        <w:t xml:space="preserve"> i vilket skadorna förorsakades ska </w:t>
      </w:r>
      <w:r w:rsidR="0045710C" w:rsidRPr="0032694B">
        <w:t xml:space="preserve">till tredje man </w:t>
      </w:r>
      <w:r w:rsidRPr="0032694B">
        <w:t>ersätta skador enligt samma villkor som skador som orsakats av de egna tjänstemännen. Den medlemsstat vars tjänstemän förorsakade skadorna ska sedan fu</w:t>
      </w:r>
      <w:r w:rsidR="00A143A7" w:rsidRPr="0032694B">
        <w:t xml:space="preserve">llt ut ersätta </w:t>
      </w:r>
      <w:r w:rsidR="00CC68CB" w:rsidRPr="0032694B">
        <w:t xml:space="preserve">den utbetalande medlemsstaten för </w:t>
      </w:r>
      <w:r w:rsidR="00A143A7" w:rsidRPr="0032694B">
        <w:t>dessa kostnader.</w:t>
      </w:r>
    </w:p>
    <w:p w:rsidR="00A143A7" w:rsidRPr="0032694B" w:rsidRDefault="00FE6C99" w:rsidP="00A143A7">
      <w:r w:rsidRPr="0032694B">
        <w:rPr>
          <w:iCs/>
        </w:rPr>
        <w:t>N</w:t>
      </w:r>
      <w:r w:rsidR="00A143A7" w:rsidRPr="0032694B">
        <w:rPr>
          <w:iCs/>
        </w:rPr>
        <w:t xml:space="preserve">är en medlemsstat </w:t>
      </w:r>
      <w:r w:rsidRPr="0032694B">
        <w:rPr>
          <w:iCs/>
        </w:rPr>
        <w:t xml:space="preserve">däremot </w:t>
      </w:r>
      <w:r w:rsidR="00A143A7" w:rsidRPr="0032694B">
        <w:rPr>
          <w:iCs/>
        </w:rPr>
        <w:t>har tjänstemän på en annan stats territorium enligt artikel 18 är det värdstaten som i enlighet med sin nationella lagstiftning ska ansvara för eventuella skador som de utländska tjänstemännen förorsakar. Om skadorna följer av grov oaktsamhet eller avsiktlig försummelse kan värdstaten begära ersättning från den andra staten.</w:t>
      </w:r>
    </w:p>
    <w:p w:rsidR="00F34BB8" w:rsidRPr="0032694B" w:rsidRDefault="00F34BB8" w:rsidP="00F34BB8">
      <w:pPr>
        <w:rPr>
          <w:iCs/>
        </w:rPr>
      </w:pPr>
      <w:r w:rsidRPr="0032694B">
        <w:rPr>
          <w:iCs/>
        </w:rPr>
        <w:t xml:space="preserve">Tjänstemän som verkar i en annan stat ska </w:t>
      </w:r>
      <w:r w:rsidR="00CC68CB" w:rsidRPr="0032694B">
        <w:rPr>
          <w:iCs/>
        </w:rPr>
        <w:t xml:space="preserve">enligt artikel 22 </w:t>
      </w:r>
      <w:r w:rsidRPr="0032694B">
        <w:rPr>
          <w:iCs/>
        </w:rPr>
        <w:t xml:space="preserve">ifråga om brott som de begår eller utsätts för jämställas med </w:t>
      </w:r>
      <w:r w:rsidR="00A143A7" w:rsidRPr="0032694B">
        <w:rPr>
          <w:iCs/>
        </w:rPr>
        <w:t>värd</w:t>
      </w:r>
      <w:r w:rsidRPr="0032694B">
        <w:rPr>
          <w:iCs/>
        </w:rPr>
        <w:t>statens tjänstemän, om inte annat följer av avtal.</w:t>
      </w:r>
    </w:p>
    <w:p w:rsidR="00F34BB8" w:rsidRPr="0032694B" w:rsidRDefault="00F34BB8" w:rsidP="00F34BB8">
      <w:pPr>
        <w:rPr>
          <w:iCs/>
        </w:rPr>
      </w:pPr>
      <w:r w:rsidRPr="0032694B">
        <w:rPr>
          <w:iCs/>
        </w:rPr>
        <w:t xml:space="preserve">Tjänstemännen ska </w:t>
      </w:r>
      <w:r w:rsidR="00CC68CB" w:rsidRPr="0032694B">
        <w:rPr>
          <w:iCs/>
        </w:rPr>
        <w:t xml:space="preserve">enligt artikel 23 </w:t>
      </w:r>
      <w:r w:rsidRPr="0032694B">
        <w:rPr>
          <w:iCs/>
        </w:rPr>
        <w:t xml:space="preserve">i </w:t>
      </w:r>
      <w:r w:rsidR="00326B2D" w:rsidRPr="0032694B">
        <w:rPr>
          <w:iCs/>
        </w:rPr>
        <w:t>arbets</w:t>
      </w:r>
      <w:r w:rsidRPr="0032694B">
        <w:rPr>
          <w:iCs/>
        </w:rPr>
        <w:t xml:space="preserve">rättsligt hänseende, särskilt vad gäller disciplinära bestämmelser, lyda under sitt eget lands lagstiftning. </w:t>
      </w:r>
    </w:p>
    <w:p w:rsidR="00F34BB8" w:rsidRPr="0032694B" w:rsidRDefault="00F34BB8" w:rsidP="00F34BB8"/>
    <w:p w:rsidR="00F34BB8" w:rsidRPr="0032694B" w:rsidRDefault="00F34BB8" w:rsidP="00F34BB8">
      <w:pPr>
        <w:rPr>
          <w:i/>
        </w:rPr>
      </w:pPr>
      <w:r w:rsidRPr="0032694B">
        <w:rPr>
          <w:i/>
        </w:rPr>
        <w:t>Kapitel 6 – Allmänna bestämmelser om dataskydd</w:t>
      </w:r>
    </w:p>
    <w:p w:rsidR="00F34BB8" w:rsidRPr="0032694B" w:rsidRDefault="00F34BB8" w:rsidP="00F34BB8">
      <w:r w:rsidRPr="0032694B">
        <w:t xml:space="preserve">I artiklarna 24-32 återfinns </w:t>
      </w:r>
      <w:r w:rsidR="00681F25" w:rsidRPr="0032694B">
        <w:t xml:space="preserve">detaljerade </w:t>
      </w:r>
      <w:r w:rsidRPr="0032694B">
        <w:t xml:space="preserve">regler för dataskydd. </w:t>
      </w:r>
      <w:r w:rsidR="00A143A7" w:rsidRPr="0032694B">
        <w:t>Översändandet av uppgifter i enlighet med rådsbeslutet får inledas först efter att dataskyddsbestämmelserna har genomförts i medlemsst</w:t>
      </w:r>
      <w:r w:rsidR="006F0DDB" w:rsidRPr="0032694B">
        <w:t xml:space="preserve">aternas nationella lagstiftning. Det är rådet som enhälligt beslutar huruvida bestämmelserna har genomförts i en medlemsstat. Undantag görs för de stater som redan har börjat utbyta information inom ramen för Prümfördraget. </w:t>
      </w:r>
    </w:p>
    <w:p w:rsidR="006F0DDB" w:rsidRPr="0032694B" w:rsidRDefault="006F0DDB" w:rsidP="00347738"/>
    <w:p w:rsidR="006F0DDB" w:rsidRPr="0032694B" w:rsidRDefault="006F0DDB" w:rsidP="00681F25">
      <w:r w:rsidRPr="0032694B">
        <w:t>Mottagna personuppgifter får endast behandlas för de syften de översändes. Behandling för andra syften än det ursprungliga kräver förhandstillstånd från den medlemsstat som sände informationen. I rådsbeslutet regleras även bl.a. medlemsstaternas skyldighet att säkerställa att uppgifterna är korrekta</w:t>
      </w:r>
      <w:r w:rsidR="00681F25" w:rsidRPr="0032694B">
        <w:t>, att uppgifterna skall märkas och utplånas under vissa förhållanden, registrering av</w:t>
      </w:r>
      <w:r w:rsidRPr="0032694B">
        <w:t xml:space="preserve"> sökningar </w:t>
      </w:r>
      <w:r w:rsidR="00681F25" w:rsidRPr="0032694B">
        <w:t>samt enskildas rätt till information och rätt att överklaga</w:t>
      </w:r>
      <w:r w:rsidRPr="0032694B">
        <w:t>.</w:t>
      </w:r>
    </w:p>
    <w:p w:rsidR="00F34BB8" w:rsidRPr="0032694B" w:rsidRDefault="00F34BB8" w:rsidP="00F34BB8"/>
    <w:p w:rsidR="00F34BB8" w:rsidRPr="0032694B" w:rsidRDefault="00F34BB8" w:rsidP="00586F37">
      <w:pPr>
        <w:rPr>
          <w:i/>
        </w:rPr>
      </w:pPr>
      <w:r w:rsidRPr="0032694B">
        <w:rPr>
          <w:i/>
        </w:rPr>
        <w:t>Kapitel 7 – Genomförande och slutbestämmelser</w:t>
      </w:r>
    </w:p>
    <w:p w:rsidR="00F34BB8" w:rsidRPr="0032694B" w:rsidRDefault="006F0DDB" w:rsidP="00F34BB8">
      <w:r w:rsidRPr="0032694B">
        <w:t>Artiklarna 34</w:t>
      </w:r>
      <w:r w:rsidR="00F34BB8" w:rsidRPr="0032694B">
        <w:t xml:space="preserve">-38 innehåller genomförande- och slutbestämmelser. Varje medlemsstat ska </w:t>
      </w:r>
      <w:r w:rsidR="002B2E80" w:rsidRPr="0032694B">
        <w:t>underrätta</w:t>
      </w:r>
      <w:r w:rsidR="00F34BB8" w:rsidRPr="0032694B">
        <w:t xml:space="preserve"> rådet och kommissionen</w:t>
      </w:r>
      <w:r w:rsidR="002B2E80" w:rsidRPr="0032694B">
        <w:t xml:space="preserve"> om att de har uppfyllt de skyldigheter de åläggs i rådsbeslutet samt lämna in relevanta förklaringar.</w:t>
      </w:r>
      <w:r w:rsidR="00F34BB8" w:rsidRPr="0032694B">
        <w:t xml:space="preserve"> När det gäller kostnader </w:t>
      </w:r>
      <w:r w:rsidRPr="0032694B">
        <w:t>ska</w:t>
      </w:r>
      <w:r w:rsidR="00F34BB8" w:rsidRPr="0032694B">
        <w:t xml:space="preserve"> respekt</w:t>
      </w:r>
      <w:r w:rsidR="00F34BB8" w:rsidRPr="0032694B">
        <w:t>i</w:t>
      </w:r>
      <w:r w:rsidR="00F34BB8" w:rsidRPr="0032694B">
        <w:t>ve medlemsstat bära kostnaderna för fördragets g</w:t>
      </w:r>
      <w:r w:rsidR="00F34BB8" w:rsidRPr="0032694B">
        <w:t>e</w:t>
      </w:r>
      <w:r w:rsidR="00F34BB8" w:rsidRPr="0032694B">
        <w:t>nomförande. Medlemsstaterna får fortsätta att tillämpa bilaterala och multilaterala avtal, förutsatt att avtalen gör det möjligt att utvidga eller bredda målen för rådsbeslutet. De artiklar eller delar av artiklar i det ursprungliga Prümfördraget som inte motsvaras av en bestämmelse i rådsbeslutet ska fortsätta att tillämpas mellan Prümstaterna.</w:t>
      </w:r>
    </w:p>
    <w:p w:rsidR="00020D34" w:rsidRPr="0032694B" w:rsidRDefault="00020D34"/>
    <w:p w:rsidR="00020D34" w:rsidRPr="0032694B" w:rsidRDefault="00586F37">
      <w:pPr>
        <w:pStyle w:val="Rubrik2"/>
      </w:pPr>
      <w:r w:rsidRPr="0032694B">
        <w:t>G</w:t>
      </w:r>
      <w:r w:rsidR="00020D34" w:rsidRPr="0032694B">
        <w:t>ällande svenska regler och förslagets effekt på dessa</w:t>
      </w:r>
    </w:p>
    <w:p w:rsidR="00D75475" w:rsidRPr="0032694B" w:rsidRDefault="00F34BB8" w:rsidP="00452A30">
      <w:r w:rsidRPr="0032694B">
        <w:t>De lagändringar som bedöms bli aktuella för svenskt vi</w:t>
      </w:r>
      <w:r w:rsidRPr="0032694B">
        <w:t>d</w:t>
      </w:r>
      <w:r w:rsidRPr="0032694B">
        <w:t xml:space="preserve">kommande gäller bl.a. utländska brottsbekämpande myndigheters </w:t>
      </w:r>
      <w:r w:rsidR="008879B5" w:rsidRPr="0032694B">
        <w:t>direktåtkomst</w:t>
      </w:r>
      <w:r w:rsidRPr="0032694B">
        <w:t xml:space="preserve"> till vissa personuppgifter som behandlas av svenska myndigheter</w:t>
      </w:r>
      <w:r w:rsidR="00D75475" w:rsidRPr="0032694B">
        <w:t>, bestämmelser om dataskydd vid informationsutbyte som sker enligt rådsbeslutet</w:t>
      </w:r>
      <w:r w:rsidRPr="0032694B">
        <w:t xml:space="preserve"> samt eventuellt öve</w:t>
      </w:r>
      <w:r w:rsidRPr="0032694B">
        <w:t>r</w:t>
      </w:r>
      <w:r w:rsidRPr="0032694B">
        <w:t>låtande av myndighetsutövning till utländska brottsbekämpande my</w:t>
      </w:r>
      <w:r w:rsidRPr="0032694B">
        <w:t>n</w:t>
      </w:r>
      <w:r w:rsidRPr="0032694B">
        <w:t>digheter i vissa fall.</w:t>
      </w:r>
    </w:p>
    <w:p w:rsidR="00D75475" w:rsidRPr="0032694B" w:rsidRDefault="00D75475" w:rsidP="00452A30">
      <w:r w:rsidRPr="0032694B">
        <w:t>Informationsutbyte och dataskydd</w:t>
      </w:r>
    </w:p>
    <w:p w:rsidR="00533E27" w:rsidRPr="0032694B" w:rsidRDefault="00533E27" w:rsidP="00F02BB2">
      <w:r w:rsidRPr="0032694B">
        <w:t xml:space="preserve">Polisdatalagen och vägtrafikregisterlagen behöver ändras för att tillåta </w:t>
      </w:r>
      <w:r w:rsidR="008879B5" w:rsidRPr="0032694B">
        <w:t>direktåtkomst</w:t>
      </w:r>
      <w:r w:rsidRPr="0032694B">
        <w:t xml:space="preserve"> för utländsk myndighet till referensuppgi</w:t>
      </w:r>
      <w:r w:rsidRPr="0032694B">
        <w:t>f</w:t>
      </w:r>
      <w:r w:rsidRPr="0032694B">
        <w:t xml:space="preserve">ter i svenska DNA- och fingeravtrycksregister samt full </w:t>
      </w:r>
      <w:r w:rsidR="00094799" w:rsidRPr="0032694B">
        <w:t>direktåt</w:t>
      </w:r>
      <w:r w:rsidR="008879B5" w:rsidRPr="0032694B">
        <w:t>komst</w:t>
      </w:r>
      <w:r w:rsidRPr="0032694B">
        <w:t xml:space="preserve"> till fordonsr</w:t>
      </w:r>
      <w:r w:rsidRPr="0032694B">
        <w:t>e</w:t>
      </w:r>
      <w:r w:rsidRPr="0032694B">
        <w:t>gisteruppgifter. Beredning pågår för närvarande av bl.a. förslag till ny polisdatalag där frågan om förbättrat informationsutbyte mellan de nationella brottsbekämpande myndigheterna övervägs.</w:t>
      </w:r>
    </w:p>
    <w:p w:rsidR="00533E27" w:rsidRPr="0032694B" w:rsidRDefault="00533E27" w:rsidP="00533E27">
      <w:r w:rsidRPr="0032694B">
        <w:t xml:space="preserve">De särskilda dataskyddsbestämmelser som finns i rådsbeslutet kräver sannolikt också vissa lagändringar, i de delar dagens svenska personuppgiftslagstiftning inte är helt i överensstämmelse med rådsbeslutet. Särskilda bestämmelser om dataskydd kommer därför </w:t>
      </w:r>
      <w:r w:rsidR="00094799" w:rsidRPr="0032694B">
        <w:t xml:space="preserve">sannolikt </w:t>
      </w:r>
      <w:r w:rsidRPr="0032694B">
        <w:t>att behöva införas för de uppgifter som behandlas med stöd av rådsbeslutet.</w:t>
      </w:r>
    </w:p>
    <w:p w:rsidR="00533E27" w:rsidRPr="0032694B" w:rsidRDefault="00533E27" w:rsidP="00533E27">
      <w:pPr>
        <w:spacing w:line="240" w:lineRule="atLeast"/>
      </w:pPr>
    </w:p>
    <w:p w:rsidR="00452A30" w:rsidRPr="0032694B" w:rsidRDefault="00D75475" w:rsidP="00452A30">
      <w:r w:rsidRPr="0032694B">
        <w:t>Utländska tjänstemäns myndighetsutövning på svenskt territorium</w:t>
      </w:r>
    </w:p>
    <w:p w:rsidR="00533E27" w:rsidRPr="0032694B" w:rsidRDefault="00D75475" w:rsidP="00533E27">
      <w:r w:rsidRPr="0032694B">
        <w:t xml:space="preserve">Artikel 17, som behandlar möjligheten för en medlemsstat att anordna gemensamma aktioner med utländska tjänstemän, är en </w:t>
      </w:r>
      <w:r w:rsidRPr="0032694B">
        <w:rPr>
          <w:i/>
        </w:rPr>
        <w:t>frivillig</w:t>
      </w:r>
      <w:r w:rsidR="00533E27" w:rsidRPr="0032694B">
        <w:t xml:space="preserve"> bestämmelse, vilket innebär att Sverige kan välja att i vår lagstiftning implementera denna bestämmelse eller att avstå.</w:t>
      </w:r>
    </w:p>
    <w:p w:rsidR="00452A30" w:rsidRPr="0032694B" w:rsidRDefault="00452A30" w:rsidP="00452A30">
      <w:pPr>
        <w:rPr>
          <w:rFonts w:cs="Helv"/>
          <w:color w:val="000000"/>
          <w:szCs w:val="24"/>
        </w:rPr>
      </w:pPr>
      <w:r w:rsidRPr="0032694B">
        <w:rPr>
          <w:rFonts w:cs="Helv"/>
          <w:color w:val="000000"/>
          <w:szCs w:val="24"/>
        </w:rPr>
        <w:t>Enligt lagen (2000:343) om inte</w:t>
      </w:r>
      <w:r w:rsidR="00E07B2F" w:rsidRPr="0032694B">
        <w:rPr>
          <w:rFonts w:cs="Helv"/>
          <w:color w:val="000000"/>
          <w:szCs w:val="24"/>
        </w:rPr>
        <w:t xml:space="preserve">rnationellt polisiärt samarbete, </w:t>
      </w:r>
      <w:r w:rsidRPr="0032694B">
        <w:rPr>
          <w:rFonts w:cs="Helv"/>
          <w:color w:val="000000"/>
          <w:szCs w:val="24"/>
        </w:rPr>
        <w:t>som är en följd av den s.k. Schengenregleringen, kan en svensk polis i brådskande fall förfölja en person misstänkt för allvarliga brott över en landgräns. Det finns inga begränsningar för hur långt in i den andra medlemsstaten ett förföljande får fortsätta, men utländska tjänstemän ska anhålla om hjälp hos inhemska myndigheter senast när gränsen överträds. Behöriga myndigheter enligt lagen är Rikspolisstyrelsen, polismyndigheterna och Kustbevakningen och med svenska tjänstemän avses enligt lagen svenska polismän, tulltjänstemän eller kustbevakningstjänstemän.</w:t>
      </w:r>
    </w:p>
    <w:p w:rsidR="00452A30" w:rsidRPr="0032694B" w:rsidRDefault="00452A30" w:rsidP="00452A30">
      <w:pPr>
        <w:rPr>
          <w:rFonts w:cs="Helv"/>
          <w:color w:val="000000"/>
          <w:szCs w:val="24"/>
        </w:rPr>
      </w:pPr>
      <w:r w:rsidRPr="0032694B">
        <w:rPr>
          <w:rFonts w:cs="Helv"/>
          <w:color w:val="000000"/>
          <w:szCs w:val="24"/>
        </w:rPr>
        <w:t xml:space="preserve">I Schengenregleringen finns även regler om gränsöverskridande övervakning (d.v.s. spaning). Övervakning får ske över alla typer av gränser och det finns inte heller här begränsningar för hur långt in på en annan medlemsstats territorium en övervakning får fortsätta. Däremot måste operationen avbrytas inom fem timmar om de utländska tjänstemännen inte har fått tillstånd från de inhemska myndigheterna. Förföljandet eller övervakningen måste upphöra om de inhemska myndigheterna så begär. Det är alltså redan i dag möjligt för svenska tjänstemän att </w:t>
      </w:r>
      <w:r w:rsidR="00E07B2F" w:rsidRPr="0032694B">
        <w:rPr>
          <w:rFonts w:cs="Helv"/>
          <w:color w:val="000000"/>
          <w:szCs w:val="24"/>
        </w:rPr>
        <w:t xml:space="preserve">i vissa fall </w:t>
      </w:r>
      <w:r w:rsidRPr="0032694B">
        <w:rPr>
          <w:rFonts w:cs="Helv"/>
          <w:color w:val="000000"/>
          <w:szCs w:val="24"/>
        </w:rPr>
        <w:t xml:space="preserve">agera på annan medlemsstats territorium, och vice versa. </w:t>
      </w:r>
    </w:p>
    <w:p w:rsidR="00452A30" w:rsidRPr="0032694B" w:rsidRDefault="00452A30" w:rsidP="00452A30">
      <w:pPr>
        <w:rPr>
          <w:rFonts w:cs="Helv"/>
          <w:color w:val="000000"/>
          <w:szCs w:val="24"/>
        </w:rPr>
      </w:pPr>
      <w:r w:rsidRPr="0032694B">
        <w:rPr>
          <w:rFonts w:cs="Helv"/>
          <w:color w:val="000000"/>
          <w:szCs w:val="24"/>
        </w:rPr>
        <w:t>Lagen om internationellt polisiärt samarbete innehåller också bestämmelser om polisiärt samarbete i Öresundsregionen. Enligt dessa har danska polismän på Öresundsförbindelsen samma befogenheter som svenska polismän att ingripa mot hot mot allmän ordning och säkerhet. Svensk polismyndighet ska omedelbart underrättas om dansk polis ingriper. Ingripandet ska avbrytas när det begärs av svensk polis eller när svensk polis tar över.</w:t>
      </w:r>
    </w:p>
    <w:p w:rsidR="00452A30" w:rsidRPr="0032694B" w:rsidRDefault="00452A30" w:rsidP="00452A30">
      <w:pPr>
        <w:rPr>
          <w:rFonts w:cs="Helv"/>
          <w:color w:val="000000"/>
          <w:szCs w:val="24"/>
        </w:rPr>
      </w:pPr>
      <w:r w:rsidRPr="0032694B">
        <w:rPr>
          <w:rFonts w:cs="Helv"/>
          <w:color w:val="000000"/>
          <w:szCs w:val="24"/>
        </w:rPr>
        <w:t xml:space="preserve">Regler om gränsöverskridande förföljande </w:t>
      </w:r>
      <w:r w:rsidR="00C335A9" w:rsidRPr="0032694B">
        <w:rPr>
          <w:rFonts w:cs="Helv"/>
          <w:color w:val="000000"/>
          <w:szCs w:val="24"/>
        </w:rPr>
        <w:t xml:space="preserve">och övervakning </w:t>
      </w:r>
      <w:r w:rsidRPr="0032694B">
        <w:rPr>
          <w:rFonts w:cs="Helv"/>
          <w:color w:val="000000"/>
          <w:szCs w:val="24"/>
        </w:rPr>
        <w:t xml:space="preserve">vad gäller tullsamarbetet finns i Neapel II-konventionen. Reglerna är snarlika dem som finns i Schengenregleringen men är inte begränsade till landgräns. Svensk reglering finns i lagen (2000:1219) om internationellt tullsamarbete. Liksom för Schengenregleringen begränsas Neapel II-konventionen till särskilda brottstyper.  </w:t>
      </w:r>
    </w:p>
    <w:p w:rsidR="00E07B2F" w:rsidRPr="0032694B" w:rsidRDefault="00E07B2F" w:rsidP="00E07B2F">
      <w:pPr>
        <w:spacing w:line="240" w:lineRule="atLeast"/>
      </w:pPr>
      <w:r w:rsidRPr="0032694B">
        <w:t>Ytterligare</w:t>
      </w:r>
      <w:r w:rsidR="00452A30" w:rsidRPr="0032694B">
        <w:t xml:space="preserve"> </w:t>
      </w:r>
      <w:r w:rsidRPr="0032694B">
        <w:t>överlåtelse</w:t>
      </w:r>
      <w:r w:rsidR="00452A30" w:rsidRPr="0032694B">
        <w:t xml:space="preserve"> av förvaltningsuppgift</w:t>
      </w:r>
      <w:r w:rsidRPr="0032694B">
        <w:t>er</w:t>
      </w:r>
      <w:r w:rsidR="00452A30" w:rsidRPr="0032694B">
        <w:t xml:space="preserve"> som innefattar myndighetsutövning till utländska tjänstemän </w:t>
      </w:r>
      <w:r w:rsidR="00F02BB2" w:rsidRPr="0032694B">
        <w:t xml:space="preserve">kräver </w:t>
      </w:r>
      <w:r w:rsidRPr="0032694B">
        <w:t xml:space="preserve">författningsändringar och aktualiserar en tillämpning av 10 kap. 5 § fjärde stycket regeringsformen. Detta innebär att riksdagens beslut måste tas med tre fjärdedels majoritet eller i den ordning som gäller för stiftande av grundlag. </w:t>
      </w:r>
    </w:p>
    <w:p w:rsidR="00452A30" w:rsidRPr="0032694B" w:rsidRDefault="00452A30" w:rsidP="00452A30">
      <w:pPr>
        <w:spacing w:line="240" w:lineRule="atLeast"/>
      </w:pPr>
    </w:p>
    <w:p w:rsidR="00452A30" w:rsidRPr="0032694B" w:rsidRDefault="00452A30" w:rsidP="00452A30">
      <w:pPr>
        <w:spacing w:line="240" w:lineRule="atLeast"/>
      </w:pPr>
      <w:r w:rsidRPr="0032694B">
        <w:t>Enligt den bedömning som gjordes i samband med att Schenge</w:t>
      </w:r>
      <w:r w:rsidRPr="0032694B">
        <w:t>n</w:t>
      </w:r>
      <w:r w:rsidRPr="0032694B">
        <w:t>fördragets regler om gränsöverskridande förföljande och öve</w:t>
      </w:r>
      <w:r w:rsidRPr="0032694B">
        <w:t>r</w:t>
      </w:r>
      <w:r w:rsidRPr="0032694B">
        <w:t xml:space="preserve">vakning genomfördes i Sverige är det inte nödvändigt att i svensk lag reglera svenska polismäns befogenhet att utöva myndighet i andra medlemsstater. </w:t>
      </w:r>
    </w:p>
    <w:p w:rsidR="00470540" w:rsidRPr="0032694B" w:rsidRDefault="00470540" w:rsidP="00586F37"/>
    <w:p w:rsidR="00020D34" w:rsidRPr="0032694B" w:rsidRDefault="00020D34">
      <w:pPr>
        <w:pStyle w:val="Rubrik2"/>
      </w:pPr>
      <w:r w:rsidRPr="0032694B">
        <w:t>Budgetära konsekvenser</w:t>
      </w:r>
    </w:p>
    <w:p w:rsidR="00F34BB8" w:rsidRPr="0032694B" w:rsidRDefault="00F34BB8" w:rsidP="00F34BB8">
      <w:pPr>
        <w:spacing w:line="240" w:lineRule="atLeast"/>
      </w:pPr>
      <w:r w:rsidRPr="0032694B">
        <w:rPr>
          <w:color w:val="000000"/>
        </w:rPr>
        <w:t xml:space="preserve">Det inte är möjligt att göra en vederhäftig uppskattning av de totala kostnaderna med stöd av det underlag som finns nu. </w:t>
      </w:r>
      <w:r w:rsidRPr="0032694B">
        <w:t>D</w:t>
      </w:r>
      <w:r w:rsidRPr="0032694B">
        <w:rPr>
          <w:color w:val="000000"/>
        </w:rPr>
        <w:t>e tekniska åtgä</w:t>
      </w:r>
      <w:r w:rsidRPr="0032694B">
        <w:rPr>
          <w:color w:val="000000"/>
        </w:rPr>
        <w:t>r</w:t>
      </w:r>
      <w:r w:rsidRPr="0032694B">
        <w:rPr>
          <w:color w:val="000000"/>
        </w:rPr>
        <w:t>der som krävs bedöms av Rikspolisstyrelsen vara av den arten att de hur som helst måste genomföras på sikt inom ramen för polisens nya IT-arkitektur.</w:t>
      </w:r>
      <w:r w:rsidRPr="0032694B">
        <w:t xml:space="preserve"> Sann</w:t>
      </w:r>
      <w:r w:rsidRPr="0032694B">
        <w:t>o</w:t>
      </w:r>
      <w:r w:rsidRPr="0032694B">
        <w:t>likt behöver dock investeringar tidigareläggas, vilket kan påverka takten i denna utveckling. De direkta anpassningskostn</w:t>
      </w:r>
      <w:r w:rsidRPr="0032694B">
        <w:t>a</w:t>
      </w:r>
      <w:r w:rsidRPr="0032694B">
        <w:t>derna för de tre informationst</w:t>
      </w:r>
      <w:r w:rsidRPr="0032694B">
        <w:t>y</w:t>
      </w:r>
      <w:r w:rsidRPr="0032694B">
        <w:t>per som berörs har av RPS mycket grovt uppskattats till 15 mkr. För att hantera den ökning av antalet ärenden som kan bli följden av ett effektivare informationsutbyte kan det ko</w:t>
      </w:r>
      <w:r w:rsidRPr="0032694B">
        <w:t>m</w:t>
      </w:r>
      <w:r w:rsidRPr="0032694B">
        <w:t>ma att krävas ökade personalresurser. Merkostnaderna ryms inom polisens b</w:t>
      </w:r>
      <w:r w:rsidRPr="0032694B">
        <w:t>e</w:t>
      </w:r>
      <w:r w:rsidRPr="0032694B">
        <w:t xml:space="preserve">fintliga anslag. </w:t>
      </w:r>
    </w:p>
    <w:p w:rsidR="00020D34" w:rsidRPr="0032694B" w:rsidRDefault="00020D34"/>
    <w:p w:rsidR="00020D34" w:rsidRPr="0032694B" w:rsidRDefault="00020D34">
      <w:pPr>
        <w:pStyle w:val="Rubrik1"/>
      </w:pPr>
      <w:r w:rsidRPr="0032694B">
        <w:t>Ståndpunkter</w:t>
      </w:r>
    </w:p>
    <w:p w:rsidR="00020D34" w:rsidRPr="0032694B" w:rsidRDefault="00020D34">
      <w:pPr>
        <w:pStyle w:val="Rubrik2"/>
      </w:pPr>
      <w:r w:rsidRPr="0032694B">
        <w:t>Svensk ståndpunkt</w:t>
      </w:r>
    </w:p>
    <w:p w:rsidR="00F34BB8" w:rsidRPr="0032694B" w:rsidRDefault="00F34BB8" w:rsidP="00586F37">
      <w:pPr>
        <w:spacing w:line="240" w:lineRule="atLeast"/>
      </w:pPr>
      <w:r w:rsidRPr="0032694B">
        <w:t>Från brottsbekämpande utgångspunkter finns fördelar med Prümfördr</w:t>
      </w:r>
      <w:r w:rsidRPr="0032694B">
        <w:t>a</w:t>
      </w:r>
      <w:r w:rsidRPr="0032694B">
        <w:t xml:space="preserve">gets regler. En snabbare och mer direkt </w:t>
      </w:r>
      <w:r w:rsidR="00094799" w:rsidRPr="0032694B">
        <w:t>åtkomst</w:t>
      </w:r>
      <w:r w:rsidRPr="0032694B">
        <w:t xml:space="preserve"> till andra länders DNA-, fingeravtrycks- och fordonsinformation skulle innebära en påtaglig e</w:t>
      </w:r>
      <w:r w:rsidRPr="0032694B">
        <w:t>f</w:t>
      </w:r>
      <w:r w:rsidRPr="0032694B">
        <w:t>fektivisering av informationsutbytet och därmed av brottsbekämpnin</w:t>
      </w:r>
      <w:r w:rsidRPr="0032694B">
        <w:t>g</w:t>
      </w:r>
      <w:r w:rsidRPr="0032694B">
        <w:t xml:space="preserve">en. </w:t>
      </w:r>
    </w:p>
    <w:p w:rsidR="00F34BB8" w:rsidRPr="0032694B" w:rsidRDefault="00F34BB8" w:rsidP="00586F37">
      <w:pPr>
        <w:spacing w:line="240" w:lineRule="atLeast"/>
      </w:pPr>
      <w:r w:rsidRPr="0032694B">
        <w:t>Sverige är sedan tidigare drivande i frågor om förbättrat informationsu</w:t>
      </w:r>
      <w:r w:rsidRPr="0032694B">
        <w:t>t</w:t>
      </w:r>
      <w:r w:rsidRPr="0032694B">
        <w:t>byte, vilket också är kärnan i Prümfördraget. Sverige har tidigare i andra sammanhang, tillsammans med en major</w:t>
      </w:r>
      <w:r w:rsidRPr="0032694B">
        <w:t>i</w:t>
      </w:r>
      <w:r w:rsidRPr="0032694B">
        <w:t xml:space="preserve">tet av medlemsstaterna, uttalat sig för den sorts lösningar som Prümstaterna nu skapar för sitt informationsutbyte. </w:t>
      </w:r>
    </w:p>
    <w:p w:rsidR="00F34BB8" w:rsidRPr="0032694B" w:rsidRDefault="00F34BB8" w:rsidP="00586F37">
      <w:pPr>
        <w:spacing w:line="240" w:lineRule="atLeast"/>
      </w:pPr>
      <w:r w:rsidRPr="0032694B">
        <w:t>Sverige har också tidigare stött initiativ till förbättrat operativt grän</w:t>
      </w:r>
      <w:r w:rsidRPr="0032694B">
        <w:t>s</w:t>
      </w:r>
      <w:r w:rsidRPr="0032694B">
        <w:t>samarbete delvis motsvarande Prümfördragets reglering.</w:t>
      </w:r>
    </w:p>
    <w:p w:rsidR="00F34BB8" w:rsidRPr="0032694B" w:rsidRDefault="00F34BB8" w:rsidP="00586F37">
      <w:pPr>
        <w:spacing w:line="240" w:lineRule="atLeast"/>
      </w:pPr>
      <w:bookmarkStart w:id="1" w:name="Text12"/>
      <w:r w:rsidRPr="0032694B">
        <w:t>Sverige ser därför positivt på många av åtgärderna i Prümfördraget och har förklarat sig redo att inleda en dialog om tillträde till fördraget. Målsättnin</w:t>
      </w:r>
      <w:r w:rsidRPr="0032694B">
        <w:t>g</w:t>
      </w:r>
      <w:r w:rsidRPr="0032694B">
        <w:t>en måste dock vara att alla EU:s medlemsstater omfa</w:t>
      </w:r>
      <w:r w:rsidRPr="0032694B">
        <w:t>t</w:t>
      </w:r>
      <w:r w:rsidRPr="0032694B">
        <w:t xml:space="preserve">tas av samarbetet. </w:t>
      </w:r>
      <w:bookmarkEnd w:id="1"/>
      <w:r w:rsidRPr="0032694B">
        <w:t xml:space="preserve">Därför har Sverige valt att </w:t>
      </w:r>
      <w:r w:rsidR="00A143A7" w:rsidRPr="0032694B">
        <w:t xml:space="preserve">samtidigt </w:t>
      </w:r>
      <w:r w:rsidRPr="0032694B">
        <w:t>vara medförslagsställare till förslaget om att integrera delar av Prümfördraget i EU.</w:t>
      </w:r>
    </w:p>
    <w:p w:rsidR="00F34BB8" w:rsidRPr="0032694B" w:rsidRDefault="00F34BB8" w:rsidP="00586F37">
      <w:pPr>
        <w:spacing w:line="240" w:lineRule="atLeast"/>
      </w:pPr>
    </w:p>
    <w:p w:rsidR="00020D34" w:rsidRPr="0032694B" w:rsidRDefault="00020D34">
      <w:pPr>
        <w:pStyle w:val="Rubrik2"/>
      </w:pPr>
      <w:r w:rsidRPr="0032694B">
        <w:t>Medlemsstaternas ståndpunkter</w:t>
      </w:r>
    </w:p>
    <w:p w:rsidR="00F34BB8" w:rsidRPr="0032694B" w:rsidRDefault="00F34BB8" w:rsidP="00586F37">
      <w:pPr>
        <w:spacing w:line="240" w:lineRule="atLeast"/>
      </w:pPr>
      <w:r w:rsidRPr="0032694B">
        <w:t xml:space="preserve">Vid RIF-rådet den 15 februari 2007 nåddes en politisk principöverenskommelse om att integrera Prümfördragets tredjepelarfrågor, med undantag av artikel 25 om ingripande över gräns vid överhängande fara för liv och hälsa, i EU:s regelverk. Medförlagsställare till förslaget till rådsbeslut är Tyskland, Belgien, Bulgarien, Spanien, Frankrike, Luxemburg, Nederländerna, Österrike, Slovenien, Slovakien, Italien, Finland, Portugal, Rumänien och Sverige. </w:t>
      </w:r>
    </w:p>
    <w:p w:rsidR="00020D34" w:rsidRPr="0032694B" w:rsidRDefault="00020D34"/>
    <w:p w:rsidR="00020D34" w:rsidRPr="0032694B" w:rsidRDefault="00020D34">
      <w:pPr>
        <w:pStyle w:val="Rubrik2"/>
      </w:pPr>
      <w:r w:rsidRPr="0032694B">
        <w:t>Institutionernas ståndpunkter</w:t>
      </w:r>
    </w:p>
    <w:p w:rsidR="00F34BB8" w:rsidRPr="0032694B" w:rsidRDefault="00F34BB8" w:rsidP="00586F37">
      <w:pPr>
        <w:spacing w:line="240" w:lineRule="atLeast"/>
      </w:pPr>
      <w:r w:rsidRPr="0032694B">
        <w:t xml:space="preserve">Europaparlamentet har inte tagit ställning till förslaget. Rådet har bett parlamentet om ett yttrande vid plenarsessionen den 6-7 juni 2007. </w:t>
      </w:r>
    </w:p>
    <w:p w:rsidR="00020D34" w:rsidRPr="0032694B" w:rsidRDefault="00020D34" w:rsidP="00586F37">
      <w:pPr>
        <w:spacing w:line="240" w:lineRule="atLeast"/>
      </w:pPr>
    </w:p>
    <w:p w:rsidR="00020D34" w:rsidRPr="0032694B" w:rsidRDefault="00020D34">
      <w:pPr>
        <w:pStyle w:val="Rubrik2"/>
      </w:pPr>
      <w:r w:rsidRPr="0032694B">
        <w:t>Remissinstansernas ståndpunkter</w:t>
      </w:r>
    </w:p>
    <w:p w:rsidR="00586F37" w:rsidRPr="0032694B" w:rsidRDefault="00586F37" w:rsidP="00586F37">
      <w:r w:rsidRPr="0032694B">
        <w:t xml:space="preserve">Förslaget har inte remitterats. </w:t>
      </w:r>
    </w:p>
    <w:p w:rsidR="00020D34" w:rsidRPr="0032694B" w:rsidRDefault="00020D34"/>
    <w:p w:rsidR="00020D34" w:rsidRPr="0032694B" w:rsidRDefault="00020D34">
      <w:pPr>
        <w:pStyle w:val="Rubrik1"/>
      </w:pPr>
      <w:r w:rsidRPr="0032694B">
        <w:t>Övrigt</w:t>
      </w:r>
    </w:p>
    <w:p w:rsidR="00020D34" w:rsidRPr="0032694B" w:rsidRDefault="00020D34">
      <w:pPr>
        <w:pStyle w:val="Rubrik2"/>
      </w:pPr>
      <w:r w:rsidRPr="0032694B">
        <w:t>Fortsatt behandling av ärendet</w:t>
      </w:r>
    </w:p>
    <w:p w:rsidR="00020D34" w:rsidRPr="0032694B" w:rsidRDefault="00586F37">
      <w:r w:rsidRPr="0032694B">
        <w:t>Ordförandeskapet har för avsikt att nå en politisk överenskommelse i juni 2007.</w:t>
      </w:r>
    </w:p>
    <w:p w:rsidR="00020D34" w:rsidRPr="0032694B" w:rsidRDefault="00020D34">
      <w:pPr>
        <w:pStyle w:val="Rubrik2"/>
      </w:pPr>
      <w:r w:rsidRPr="0032694B">
        <w:t>Rättslig grund och beslutsförfarande</w:t>
      </w:r>
    </w:p>
    <w:p w:rsidR="00F34BB8" w:rsidRPr="0032694B" w:rsidRDefault="00F34BB8" w:rsidP="00586F37">
      <w:pPr>
        <w:spacing w:line="240" w:lineRule="atLeast"/>
      </w:pPr>
      <w:r w:rsidRPr="0032694B">
        <w:t>Artikel 30.1 a och b, artikel 31.1 a, artikel 32 och artikel 34.2 c i fördraget om Europeiska unionen. Beslut fattas med enhällighet.</w:t>
      </w:r>
    </w:p>
    <w:p w:rsidR="00020D34" w:rsidRPr="0032694B" w:rsidRDefault="00020D34">
      <w:pPr>
        <w:pStyle w:val="Rubrik2"/>
      </w:pPr>
      <w:r w:rsidRPr="0032694B">
        <w:t>Fackuttryck/termer</w:t>
      </w:r>
    </w:p>
    <w:p w:rsidR="00F34BB8" w:rsidRPr="0032694B" w:rsidRDefault="00F34BB8"/>
    <w:sectPr w:rsidR="00F34BB8" w:rsidRPr="0032694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37E" w:rsidRPr="0032694B" w:rsidRDefault="0070737E">
      <w:r w:rsidRPr="0032694B">
        <w:separator/>
      </w:r>
    </w:p>
  </w:endnote>
  <w:endnote w:type="continuationSeparator" w:id="0">
    <w:p w:rsidR="0070737E" w:rsidRPr="0032694B" w:rsidRDefault="0070737E">
      <w:r w:rsidRPr="003269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38" w:rsidRPr="0032694B" w:rsidRDefault="003477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38" w:rsidRPr="0032694B" w:rsidRDefault="0070737E">
    <w:pPr>
      <w:pStyle w:val="SidfotH"/>
      <w:framePr w:wrap="around"/>
    </w:pPr>
    <w:r w:rsidRPr="0032694B">
      <w:t>2</w:t>
    </w:r>
  </w:p>
  <w:p w:rsidR="00347738" w:rsidRPr="0032694B" w:rsidRDefault="003477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38" w:rsidRPr="0032694B" w:rsidRDefault="0070737E">
    <w:pPr>
      <w:pStyle w:val="SidfotH"/>
      <w:framePr w:wrap="around"/>
    </w:pPr>
    <w:r w:rsidRPr="0032694B">
      <w:t>1</w:t>
    </w:r>
  </w:p>
  <w:p w:rsidR="00347738" w:rsidRPr="0032694B" w:rsidRDefault="00347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37E" w:rsidRPr="0032694B" w:rsidRDefault="0070737E">
      <w:r w:rsidRPr="0032694B">
        <w:separator/>
      </w:r>
    </w:p>
  </w:footnote>
  <w:footnote w:type="continuationSeparator" w:id="0">
    <w:p w:rsidR="0070737E" w:rsidRPr="0032694B" w:rsidRDefault="0070737E">
      <w:r w:rsidRPr="003269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38" w:rsidRPr="0032694B" w:rsidRDefault="003477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38" w:rsidRPr="0032694B" w:rsidRDefault="00347738">
    <w:pPr>
      <w:pStyle w:val="Kantrubrik"/>
      <w:framePr w:h="1157" w:hRule="exact" w:wrap="around" w:y="738"/>
    </w:pPr>
    <w:r w:rsidRPr="0032694B">
      <w:t>2006/07:FPM87</w:t>
    </w:r>
  </w:p>
  <w:p w:rsidR="00347738" w:rsidRPr="0032694B" w:rsidRDefault="003477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38" w:rsidRPr="0032694B" w:rsidRDefault="0032694B">
    <w:pPr>
      <w:pStyle w:val="Sidhuvud"/>
    </w:pPr>
    <w:r w:rsidRPr="0032694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72790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7738" w:rsidRDefault="003477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47738" w:rsidRDefault="00347738">
                    <w:pPr>
                      <w:pStyle w:val="Logo"/>
                    </w:pPr>
                    <w:r>
                      <w:object w:dxaOrig="840" w:dyaOrig="1545">
                        <v:shape id="_x0000_i1025" type="#_x0000_t75" style="width:42pt;height:77.15pt" filled="t">
                          <v:imagedata r:id="rId1" o:title=""/>
                        </v:shape>
                        <o:OLEObject Type="Embed" ProgID="Word.Picture.8" ShapeID="_x0000_i1025" DrawAspect="Content" ObjectID="_18274600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685EAA"/>
    <w:multiLevelType w:val="hybridMultilevel"/>
    <w:tmpl w:val="F51E4BF6"/>
    <w:lvl w:ilvl="0" w:tplc="F76ED77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0720743"/>
    <w:multiLevelType w:val="hybridMultilevel"/>
    <w:tmpl w:val="A1BE784A"/>
    <w:lvl w:ilvl="0" w:tplc="F76ED77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6096967">
    <w:abstractNumId w:val="6"/>
  </w:num>
  <w:num w:numId="2" w16cid:durableId="1621107913">
    <w:abstractNumId w:val="2"/>
  </w:num>
  <w:num w:numId="3" w16cid:durableId="2100515147">
    <w:abstractNumId w:val="4"/>
  </w:num>
  <w:num w:numId="4" w16cid:durableId="1981493182">
    <w:abstractNumId w:val="5"/>
  </w:num>
  <w:num w:numId="5" w16cid:durableId="1055785643">
    <w:abstractNumId w:val="7"/>
  </w:num>
  <w:num w:numId="6" w16cid:durableId="125896881">
    <w:abstractNumId w:val="0"/>
  </w:num>
  <w:num w:numId="7" w16cid:durableId="573273364">
    <w:abstractNumId w:val="3"/>
  </w:num>
  <w:num w:numId="8" w16cid:durableId="1412004386">
    <w:abstractNumId w:val="1"/>
  </w:num>
  <w:num w:numId="9" w16cid:durableId="105037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04"/>
    <w:docVar w:name="Ar" w:val="2006/07"/>
    <w:docVar w:name="Dep" w:val="Justitiedepartementet"/>
    <w:docVar w:name="DepWeb" w:val="Justitiedepartementet"/>
    <w:docVar w:name="GDB1" w:val="9460/07 CRIMORG 80 ENFOPOL 8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rådets beslut om ett fördjupat gränsöverskridande samarbete, särskilt för bekämpning av terrorism och gränsöverskridande brottslig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9460/07 CRIMORG 80 ENFOPOL 87"/>
    <w:docVar w:name="Nr" w:val="87"/>
    <w:docVar w:name="RD_APPVERSION" w:val="3.00"/>
    <w:docVar w:name="Rub" w:val="Rådsbeslut om förstärkt brottsbekämpande samarbete"/>
    <w:docVar w:name="UppDat" w:val="2007-06-04"/>
    <w:docVar w:name="Utsk" w:val="Justitieutskottet"/>
  </w:docVars>
  <w:rsids>
    <w:rsidRoot w:val="0032694B"/>
    <w:rsid w:val="00020D34"/>
    <w:rsid w:val="00094799"/>
    <w:rsid w:val="000F5BCE"/>
    <w:rsid w:val="000F7BE3"/>
    <w:rsid w:val="00232CC1"/>
    <w:rsid w:val="0027231E"/>
    <w:rsid w:val="002830F0"/>
    <w:rsid w:val="002B2E80"/>
    <w:rsid w:val="002B4C6E"/>
    <w:rsid w:val="0032694B"/>
    <w:rsid w:val="00326B2D"/>
    <w:rsid w:val="00341988"/>
    <w:rsid w:val="00347738"/>
    <w:rsid w:val="00351492"/>
    <w:rsid w:val="003532BD"/>
    <w:rsid w:val="00451FFF"/>
    <w:rsid w:val="00452A30"/>
    <w:rsid w:val="0045710C"/>
    <w:rsid w:val="00470540"/>
    <w:rsid w:val="004B2282"/>
    <w:rsid w:val="004C0573"/>
    <w:rsid w:val="00533E27"/>
    <w:rsid w:val="00586F37"/>
    <w:rsid w:val="00636B6E"/>
    <w:rsid w:val="00681F25"/>
    <w:rsid w:val="006F0DDB"/>
    <w:rsid w:val="006F3FF2"/>
    <w:rsid w:val="0070737E"/>
    <w:rsid w:val="00723152"/>
    <w:rsid w:val="008169CD"/>
    <w:rsid w:val="008879B5"/>
    <w:rsid w:val="008E5AD4"/>
    <w:rsid w:val="0096502E"/>
    <w:rsid w:val="009D02A1"/>
    <w:rsid w:val="00A143A7"/>
    <w:rsid w:val="00B64956"/>
    <w:rsid w:val="00C335A9"/>
    <w:rsid w:val="00C665ED"/>
    <w:rsid w:val="00C879B8"/>
    <w:rsid w:val="00CC68CB"/>
    <w:rsid w:val="00CE1C0B"/>
    <w:rsid w:val="00D12EF2"/>
    <w:rsid w:val="00D75475"/>
    <w:rsid w:val="00DE4DDD"/>
    <w:rsid w:val="00E07B2F"/>
    <w:rsid w:val="00EF3ED9"/>
    <w:rsid w:val="00F02BB2"/>
    <w:rsid w:val="00F34BB8"/>
    <w:rsid w:val="00F67082"/>
    <w:rsid w:val="00FC1A00"/>
    <w:rsid w:val="00FE6C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BBF103-FE60-461B-B234-D3B5B563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F34BB8"/>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CharChar">
    <w:name w:val=" Char Char"/>
    <w:basedOn w:val="Normal"/>
    <w:rsid w:val="00F34BB8"/>
    <w:pPr>
      <w:spacing w:before="0" w:after="160" w:line="240" w:lineRule="exact"/>
      <w:jc w:val="left"/>
    </w:pPr>
    <w:rPr>
      <w:rFonts w:ascii="Tahoma" w:hAnsi="Tahoma"/>
      <w:sz w:val="20"/>
      <w:lang w:val="en-US" w:eastAsia="en-US"/>
    </w:rPr>
  </w:style>
  <w:style w:type="character" w:customStyle="1" w:styleId="RKnormalChar">
    <w:name w:val="RKnormal Char"/>
    <w:basedOn w:val="Standardstycketeckensnitt"/>
    <w:link w:val="RKnormal"/>
    <w:rsid w:val="00F34BB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2569</Words>
  <Characters>16705</Characters>
  <Application>Microsoft Office Word</Application>
  <DocSecurity>4</DocSecurity>
  <Lines>327</Lines>
  <Paragraphs>97</Paragraphs>
  <ScaleCrop>false</ScaleCrop>
  <HeadingPairs>
    <vt:vector size="2" baseType="variant">
      <vt:variant>
        <vt:lpstr>Rubrik</vt:lpstr>
      </vt:variant>
      <vt:variant>
        <vt:i4>1</vt:i4>
      </vt:variant>
    </vt:vector>
  </HeadingPairs>
  <TitlesOfParts>
    <vt:vector size="1" baseType="lpstr">
      <vt:lpstr>FPM_200607__87</vt:lpstr>
    </vt:vector>
  </TitlesOfParts>
  <Company>RD-DTSL</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FPM_200607__87</dc:title>
  <dc:subject>FPM_200607__87</dc:subject>
  <dc:creator>Riksdagen</dc:creator>
  <cp:keywords>Riksdagen</cp:keywords>
  <dc:description>KP2004-version.  Ändringarna påverkar enbart användningen inom Riksdagen. 050429 nya departement DTSL.</dc:description>
  <cp:lastModifiedBy>Lars Brink</cp:lastModifiedBy>
  <cp:revision>2</cp:revision>
  <cp:lastPrinted>2007-05-31T12:06:00Z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87</vt:lpwstr>
  </property>
  <property fmtid="{D5CDD505-2E9C-101B-9397-08002B2CF9AE}" pid="4" name="GDB1">
    <vt:lpwstr>9460/07 CRIMORG 80 ENFOPOL 87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Rådsbeslut om förstärkt brottsbekämpande samarbete</vt:lpwstr>
  </property>
  <property fmtid="{D5CDD505-2E9C-101B-9397-08002B2CF9AE}" pid="8" name="UppDat">
    <vt:lpwstr>2007-06-04</vt:lpwstr>
  </property>
  <property fmtid="{D5CDD505-2E9C-101B-9397-08002B2CF9AE}" pid="9" name="AnkDat">
    <vt:lpwstr>2007-06-04</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2;0;0;351</vt:lpwstr>
  </property>
  <property fmtid="{D5CDD505-2E9C-101B-9397-08002B2CF9AE}" pid="41" name="Sprak">
    <vt:lpwstr>Svenska</vt:lpwstr>
  </property>
  <property fmtid="{D5CDD505-2E9C-101B-9397-08002B2CF9AE}" pid="42" name="DokID">
    <vt:i4>80</vt:i4>
  </property>
</Properties>
</file>