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EB378D">
        <w:tblPrEx>
          <w:tblCellMar>
            <w:top w:w="0" w:type="dxa"/>
            <w:bottom w:w="0" w:type="dxa"/>
          </w:tblCellMar>
        </w:tblPrEx>
        <w:trPr>
          <w:cantSplit/>
          <w:trHeight w:hRule="exact" w:val="1260"/>
        </w:trPr>
        <w:tc>
          <w:tcPr>
            <w:tcW w:w="6024" w:type="dxa"/>
            <w:gridSpan w:val="2"/>
            <w:vMerge w:val="restart"/>
          </w:tcPr>
          <w:p w:rsidR="004506E6" w:rsidRPr="00EB378D" w:rsidRDefault="004506E6">
            <w:pPr>
              <w:pStyle w:val="HuvudRubrik"/>
            </w:pPr>
            <w:bookmarkStart w:id="0" w:name="BetänkandeRubrik"/>
            <w:bookmarkEnd w:id="0"/>
            <w:r w:rsidRPr="00EB378D">
              <w:t>Finansutskottets betänkande</w:t>
            </w:r>
            <w:r w:rsidR="00EB378D" w:rsidRPr="00EB378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966762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506E6" w:rsidRDefault="004506E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72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506E6" w:rsidRDefault="004506E6">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726" r:id="rId8"/>
                              </w:object>
                            </w:r>
                          </w:p>
                        </w:txbxContent>
                      </v:textbox>
                      <w10:wrap anchorx="page" anchory="page"/>
                    </v:shape>
                  </w:pict>
                </mc:Fallback>
              </mc:AlternateContent>
            </w:r>
          </w:p>
          <w:p w:rsidR="004506E6" w:rsidRPr="00EB378D" w:rsidRDefault="004506E6">
            <w:pPr>
              <w:pStyle w:val="HuvudRubrikRad2"/>
            </w:pPr>
            <w:bookmarkStart w:id="17" w:name="BetänkandeNr"/>
            <w:bookmarkEnd w:id="17"/>
            <w:r w:rsidRPr="00EB378D">
              <w:t>1999/2000:FiU14</w:t>
            </w:r>
          </w:p>
          <w:p w:rsidR="004506E6" w:rsidRPr="00EB378D" w:rsidRDefault="004506E6">
            <w:pPr>
              <w:pStyle w:val="BetnkandeRubrik"/>
              <w:spacing w:before="123"/>
            </w:pPr>
            <w:bookmarkStart w:id="18" w:name="Huvudrubrik"/>
            <w:bookmarkEnd w:id="18"/>
            <w:r w:rsidRPr="00EB378D">
              <w:t>Ändringar i lagarna om insättningsgaranti och       investerarskydd m.m. (prop. 1999/2000:36)</w:t>
            </w:r>
          </w:p>
        </w:tc>
        <w:tc>
          <w:tcPr>
            <w:tcW w:w="1559" w:type="dxa"/>
            <w:tcBorders>
              <w:bottom w:val="nil"/>
            </w:tcBorders>
          </w:tcPr>
          <w:p w:rsidR="004506E6" w:rsidRPr="00EB378D" w:rsidRDefault="004506E6">
            <w:pPr>
              <w:spacing w:before="0" w:line="230" w:lineRule="auto"/>
              <w:rPr>
                <w:sz w:val="24"/>
              </w:rPr>
            </w:pPr>
          </w:p>
        </w:tc>
      </w:tr>
      <w:tr w:rsidR="00000000" w:rsidRPr="00EB378D">
        <w:tblPrEx>
          <w:tblCellMar>
            <w:top w:w="0" w:type="dxa"/>
            <w:bottom w:w="0" w:type="dxa"/>
          </w:tblCellMar>
        </w:tblPrEx>
        <w:trPr>
          <w:cantSplit/>
          <w:trHeight w:hRule="exact" w:val="240"/>
        </w:trPr>
        <w:tc>
          <w:tcPr>
            <w:tcW w:w="6024" w:type="dxa"/>
            <w:gridSpan w:val="2"/>
            <w:vMerge/>
            <w:tcBorders>
              <w:top w:val="nil"/>
              <w:bottom w:val="nil"/>
            </w:tcBorders>
          </w:tcPr>
          <w:p w:rsidR="004506E6" w:rsidRPr="00EB378D" w:rsidRDefault="004506E6">
            <w:pPr>
              <w:spacing w:before="40" w:after="900" w:line="280" w:lineRule="exact"/>
              <w:jc w:val="left"/>
              <w:rPr>
                <w:sz w:val="28"/>
              </w:rPr>
            </w:pPr>
          </w:p>
        </w:tc>
        <w:tc>
          <w:tcPr>
            <w:tcW w:w="1559" w:type="dxa"/>
          </w:tcPr>
          <w:p w:rsidR="004506E6" w:rsidRPr="00EB378D" w:rsidRDefault="004506E6">
            <w:pPr>
              <w:pStyle w:val="rtal"/>
            </w:pPr>
            <w:r w:rsidRPr="00EB378D">
              <w:t>1999/2000</w:t>
            </w:r>
          </w:p>
        </w:tc>
      </w:tr>
      <w:tr w:rsidR="00000000" w:rsidRPr="00EB378D">
        <w:tblPrEx>
          <w:tblCellMar>
            <w:top w:w="0" w:type="dxa"/>
            <w:bottom w:w="0" w:type="dxa"/>
          </w:tblCellMar>
        </w:tblPrEx>
        <w:trPr>
          <w:cantSplit/>
          <w:trHeight w:val="560"/>
        </w:trPr>
        <w:tc>
          <w:tcPr>
            <w:tcW w:w="6024" w:type="dxa"/>
            <w:gridSpan w:val="2"/>
            <w:vMerge/>
            <w:tcBorders>
              <w:top w:val="nil"/>
              <w:bottom w:val="single" w:sz="6" w:space="0" w:color="auto"/>
            </w:tcBorders>
          </w:tcPr>
          <w:p w:rsidR="004506E6" w:rsidRPr="00EB378D" w:rsidRDefault="004506E6">
            <w:pPr>
              <w:spacing w:before="40" w:after="900" w:line="280" w:lineRule="exact"/>
              <w:jc w:val="left"/>
              <w:rPr>
                <w:sz w:val="28"/>
              </w:rPr>
            </w:pPr>
          </w:p>
        </w:tc>
        <w:tc>
          <w:tcPr>
            <w:tcW w:w="1559" w:type="dxa"/>
            <w:tcBorders>
              <w:bottom w:val="single" w:sz="6" w:space="0" w:color="auto"/>
            </w:tcBorders>
          </w:tcPr>
          <w:p w:rsidR="004506E6" w:rsidRPr="00EB378D" w:rsidRDefault="004506E6">
            <w:pPr>
              <w:pStyle w:val="rtal"/>
            </w:pPr>
            <w:r w:rsidRPr="00EB378D">
              <w:t>FiU14</w:t>
            </w:r>
          </w:p>
        </w:tc>
      </w:tr>
      <w:tr w:rsidR="00000000" w:rsidRPr="00EB378D">
        <w:tblPrEx>
          <w:tblCellMar>
            <w:top w:w="0" w:type="dxa"/>
            <w:bottom w:w="0" w:type="dxa"/>
          </w:tblCellMar>
        </w:tblPrEx>
        <w:trPr>
          <w:cantSplit/>
          <w:trHeight w:hRule="exact" w:val="660"/>
        </w:trPr>
        <w:tc>
          <w:tcPr>
            <w:tcW w:w="3012" w:type="dxa"/>
          </w:tcPr>
          <w:p w:rsidR="004506E6" w:rsidRPr="00EB378D" w:rsidRDefault="004506E6">
            <w:pPr>
              <w:pStyle w:val="StatusSida1"/>
            </w:pPr>
          </w:p>
        </w:tc>
        <w:tc>
          <w:tcPr>
            <w:tcW w:w="3012" w:type="dxa"/>
          </w:tcPr>
          <w:p w:rsidR="004506E6" w:rsidRPr="00EB378D" w:rsidRDefault="004506E6">
            <w:pPr>
              <w:pStyle w:val="UtskriftsdatumSida1"/>
              <w:rPr>
                <w:b/>
                <w:sz w:val="28"/>
              </w:rPr>
            </w:pPr>
          </w:p>
        </w:tc>
        <w:tc>
          <w:tcPr>
            <w:tcW w:w="1559" w:type="dxa"/>
          </w:tcPr>
          <w:p w:rsidR="004506E6" w:rsidRPr="00EB378D" w:rsidRDefault="004506E6"/>
        </w:tc>
      </w:tr>
    </w:tbl>
    <w:p w:rsidR="004506E6" w:rsidRPr="00EB378D" w:rsidRDefault="004506E6">
      <w:pPr>
        <w:pStyle w:val="Rubrik1"/>
        <w:spacing w:before="0"/>
      </w:pPr>
      <w:bookmarkStart w:id="19" w:name="_Toc476111397"/>
      <w:r w:rsidRPr="00EB378D">
        <w:t>Sammanfattning</w:t>
      </w:r>
      <w:bookmarkEnd w:id="19"/>
    </w:p>
    <w:p w:rsidR="004506E6" w:rsidRPr="00EB378D" w:rsidRDefault="004506E6">
      <w:bookmarkStart w:id="20" w:name="Textstart"/>
      <w:bookmarkEnd w:id="20"/>
      <w:r w:rsidRPr="00EB378D">
        <w:t>Utskottet behandlar i detta betänkande de i proposition 1999/2000:36 fra</w:t>
      </w:r>
      <w:r w:rsidRPr="00EB378D">
        <w:t>m</w:t>
      </w:r>
      <w:r w:rsidRPr="00EB378D">
        <w:t>lagda förslagen till ändringar i lagen (1995:1571) om insättningsgaranti, lagen (1999:158) om investerarskydd och lagen (1991:981) om värdepa</w:t>
      </w:r>
      <w:r w:rsidRPr="00EB378D">
        <w:t>p</w:t>
      </w:r>
      <w:r w:rsidRPr="00EB378D">
        <w:t>persrörelse. I propositionen föreslås att det s.k. exportförbudet i lagen om insättningsgaranti och investerarskyddslagen upphävs. Vidare föreslås att lagen om insättningsgaranti kompletteras på vissa punkter. Lagändringarna föreslås träda i kraft den 1 april 2000.</w:t>
      </w:r>
    </w:p>
    <w:p w:rsidR="004506E6" w:rsidRPr="00EB378D" w:rsidRDefault="004506E6">
      <w:pPr>
        <w:pStyle w:val="Normaltindrag"/>
      </w:pPr>
      <w:r w:rsidRPr="00EB378D">
        <w:t xml:space="preserve">Utskottet tillstyrker regeringens förslag. </w:t>
      </w:r>
    </w:p>
    <w:p w:rsidR="004506E6" w:rsidRPr="00EB378D" w:rsidRDefault="004506E6">
      <w:pPr>
        <w:pStyle w:val="Rubrik1"/>
      </w:pPr>
      <w:bookmarkStart w:id="21" w:name="_Toc476111398"/>
      <w:r w:rsidRPr="00EB378D">
        <w:t>Propositionen</w:t>
      </w:r>
      <w:bookmarkEnd w:id="21"/>
    </w:p>
    <w:p w:rsidR="004506E6" w:rsidRPr="00EB378D" w:rsidRDefault="004506E6">
      <w:r w:rsidRPr="00EB378D">
        <w:t xml:space="preserve">I proposition 1999/2000:36 föreslås att riksdagen antar regeringens förslag till </w:t>
      </w:r>
    </w:p>
    <w:p w:rsidR="004506E6" w:rsidRPr="00EB378D" w:rsidRDefault="004506E6">
      <w:pPr>
        <w:pStyle w:val="Normaltindrag"/>
      </w:pPr>
      <w:r w:rsidRPr="00EB378D">
        <w:t>1. lag om ändring i lagen (1995:1571) om insättningsgaranti,</w:t>
      </w:r>
    </w:p>
    <w:p w:rsidR="004506E6" w:rsidRPr="00EB378D" w:rsidRDefault="004506E6">
      <w:pPr>
        <w:pStyle w:val="Normaltindrag"/>
      </w:pPr>
      <w:r w:rsidRPr="00EB378D">
        <w:t>2. lag om ändring i lagen (1999:158) om investerarskydd,</w:t>
      </w:r>
    </w:p>
    <w:p w:rsidR="004506E6" w:rsidRPr="00EB378D" w:rsidRDefault="004506E6">
      <w:pPr>
        <w:pStyle w:val="Normaltindrag"/>
      </w:pPr>
      <w:r w:rsidRPr="00EB378D">
        <w:t>3. lag om ändring i lagen (1991:981) om värdepappersrörelse.</w:t>
      </w:r>
    </w:p>
    <w:p w:rsidR="004506E6" w:rsidRPr="00EB378D" w:rsidRDefault="004506E6">
      <w:r w:rsidRPr="00EB378D">
        <w:t xml:space="preserve">Propositionens lagförslag återfinns i </w:t>
      </w:r>
      <w:r w:rsidRPr="00EB378D">
        <w:rPr>
          <w:i/>
        </w:rPr>
        <w:t>bilaga</w:t>
      </w:r>
      <w:r w:rsidRPr="00EB378D">
        <w:t xml:space="preserve"> till betänkandet.</w:t>
      </w:r>
    </w:p>
    <w:p w:rsidR="004506E6" w:rsidRPr="00EB378D" w:rsidRDefault="004506E6">
      <w:r w:rsidRPr="00EB378D">
        <w:t>Ingen motion har väckts i ärendet.</w:t>
      </w:r>
    </w:p>
    <w:p w:rsidR="004506E6" w:rsidRPr="00EB378D" w:rsidRDefault="004506E6">
      <w:pPr>
        <w:pStyle w:val="Rubrik1"/>
      </w:pPr>
      <w:bookmarkStart w:id="22" w:name="_Toc476111399"/>
      <w:r w:rsidRPr="00EB378D">
        <w:t>Utskottet</w:t>
      </w:r>
      <w:bookmarkEnd w:id="22"/>
    </w:p>
    <w:p w:rsidR="004506E6" w:rsidRPr="00EB378D" w:rsidRDefault="004506E6">
      <w:pPr>
        <w:pStyle w:val="Rubrik2"/>
        <w:spacing w:before="123"/>
      </w:pPr>
      <w:bookmarkStart w:id="23" w:name="_Toc476111400"/>
      <w:r w:rsidRPr="00EB378D">
        <w:t>Propositionen</w:t>
      </w:r>
      <w:bookmarkEnd w:id="23"/>
    </w:p>
    <w:p w:rsidR="004506E6" w:rsidRPr="00EB378D" w:rsidRDefault="004506E6">
      <w:r w:rsidRPr="00EB378D">
        <w:t>I propositionen föreslås att lagen (1995:1571) om insättningsgaranti kom</w:t>
      </w:r>
      <w:r w:rsidRPr="00EB378D">
        <w:noBreakHyphen/>
        <w:t xml:space="preserve"> pletteras på vissa punkter. Det föreslås att ersättning enligt insättningsgara</w:t>
      </w:r>
      <w:r w:rsidRPr="00EB378D">
        <w:t>n</w:t>
      </w:r>
      <w:r w:rsidRPr="00EB378D">
        <w:t xml:space="preserve">tilagen, tillsammans med eventuell utdelning i institutets konkurs för en förlust som är ersättningsgill enligt samma lag, får uppgå till sammanlagt högst 250 000 kr för varje institut. Vidare föreslås att panthavare skall ha panträtt i ersättning från insättningsgarantin i de fall insättningen är pantsatt. Ett krav avseende tillgångar som enligt en lagakraftvunnen dom har varit föremål för penninghäleri eller någon annan form </w:t>
      </w:r>
      <w:r w:rsidRPr="00EB378D">
        <w:t xml:space="preserve">av häleribrott skall inte ge rätt till ersättning från insättningsgarantin. Om åtal har väckts för nyss nämnda brott avseende viss insättning och ersättning begärs för insättningen, skall Insättningsgarantinämnden besluta att ersättning tills vidare inte skall </w:t>
      </w:r>
      <w:r w:rsidRPr="00EB378D">
        <w:lastRenderedPageBreak/>
        <w:t>betalas ut. Insättningsgarantinämnden får möjlighet att anpassa avgiften för garantin om ett institut upphör att vara anslutet till insättningsgarantin under löpande kalenderår. Dessa ändringar innebär att insättningsgarantilagen anpassas till vad som</w:t>
      </w:r>
      <w:r w:rsidRPr="00EB378D">
        <w:t xml:space="preserve"> redan gäller enligt lagen (1999:158) om invest</w:t>
      </w:r>
      <w:r w:rsidRPr="00EB378D">
        <w:t>e</w:t>
      </w:r>
      <w:r w:rsidRPr="00EB378D">
        <w:t>rarskydd.</w:t>
      </w:r>
    </w:p>
    <w:p w:rsidR="004506E6" w:rsidRPr="00EB378D" w:rsidRDefault="004506E6">
      <w:pPr>
        <w:pStyle w:val="Normaltindrag"/>
      </w:pPr>
      <w:r w:rsidRPr="00EB378D">
        <w:t>Insättningsgarantin är begränsad när det gäller insättningar hos svenska instituts filialer i andra EES-länder på så sätt att garantin inte får vara mer omfattande än värdlandets egen garanti. Detta s.k. exportförbud, som enligt EG:s insättningsgarantidirektiv är tidsbegränsat till utgången av år 1999, föreslås bli upphävt. Förslaget förutsätter dock att exportförbudet i insät</w:t>
      </w:r>
      <w:r w:rsidRPr="00EB378D">
        <w:t>t</w:t>
      </w:r>
      <w:r w:rsidRPr="00EB378D">
        <w:t>nings</w:t>
      </w:r>
      <w:r w:rsidRPr="00EB378D">
        <w:softHyphen/>
        <w:t>garantidirektivet inte förlängs. Även exportförbudet i invest</w:t>
      </w:r>
      <w:r w:rsidRPr="00EB378D">
        <w:t>e</w:t>
      </w:r>
      <w:r w:rsidRPr="00EB378D">
        <w:t>rar</w:t>
      </w:r>
      <w:r w:rsidRPr="00EB378D">
        <w:softHyphen/>
        <w:t>skydds</w:t>
      </w:r>
      <w:r w:rsidRPr="00EB378D">
        <w:softHyphen/>
        <w:t>lagen föreslås bli upphävt. Också här är en förutsättning att den bestämmelse i investerarskyddsdirektivet som förbudet grundar sig på inte förlängs när förbudet löper ut vid utgången av år 1999. I propositionen föreslås även några mindre ändringar i lagen (1991:981) om värde</w:t>
      </w:r>
      <w:r w:rsidRPr="00EB378D">
        <w:softHyphen/>
        <w:t>pappers</w:t>
      </w:r>
      <w:r w:rsidRPr="00EB378D">
        <w:softHyphen/>
        <w:t>röre</w:t>
      </w:r>
      <w:r w:rsidRPr="00EB378D">
        <w:t>l</w:t>
      </w:r>
      <w:r w:rsidRPr="00EB378D">
        <w:t>se.</w:t>
      </w:r>
    </w:p>
    <w:p w:rsidR="004506E6" w:rsidRPr="00EB378D" w:rsidRDefault="004506E6">
      <w:pPr>
        <w:pStyle w:val="Normaltindrag"/>
      </w:pPr>
      <w:r w:rsidRPr="00EB378D">
        <w:t xml:space="preserve">Lagändringarna föreslås träda i kraft den 1 april 2000. </w:t>
      </w:r>
    </w:p>
    <w:p w:rsidR="004506E6" w:rsidRPr="00EB378D" w:rsidRDefault="004506E6">
      <w:pPr>
        <w:pStyle w:val="Rubrik2"/>
      </w:pPr>
      <w:bookmarkStart w:id="24" w:name="_Toc476111401"/>
      <w:r w:rsidRPr="00EB378D">
        <w:t>EG-kommissionens beslut</w:t>
      </w:r>
      <w:bookmarkEnd w:id="24"/>
      <w:r w:rsidRPr="00EB378D">
        <w:t xml:space="preserve"> </w:t>
      </w:r>
    </w:p>
    <w:p w:rsidR="004506E6" w:rsidRPr="00EB378D" w:rsidRDefault="004506E6">
      <w:r w:rsidRPr="00EB378D">
        <w:t>EG-kommissionen har beslutat att inte föreslå någon förlängning av expor</w:t>
      </w:r>
      <w:r w:rsidRPr="00EB378D">
        <w:t>t</w:t>
      </w:r>
      <w:r w:rsidRPr="00EB378D">
        <w:t>förbudet i vare sig insättningsgarantidirektivet eller investerarskyddsdirekt</w:t>
      </w:r>
      <w:r w:rsidRPr="00EB378D">
        <w:t>i</w:t>
      </w:r>
      <w:r w:rsidRPr="00EB378D">
        <w:t xml:space="preserve">vet. </w:t>
      </w:r>
    </w:p>
    <w:p w:rsidR="004506E6" w:rsidRPr="00EB378D" w:rsidRDefault="004506E6">
      <w:pPr>
        <w:pStyle w:val="Rubrik2"/>
      </w:pPr>
      <w:bookmarkStart w:id="25" w:name="_Toc476111402"/>
      <w:r w:rsidRPr="00EB378D">
        <w:t>Finansutskottets ställningstagande</w:t>
      </w:r>
      <w:bookmarkEnd w:id="25"/>
    </w:p>
    <w:p w:rsidR="004506E6" w:rsidRPr="00EB378D" w:rsidRDefault="004506E6">
      <w:r w:rsidRPr="00EB378D">
        <w:t>Finansutskottet tillstyrker regeringens förslag.</w:t>
      </w:r>
    </w:p>
    <w:p w:rsidR="004506E6" w:rsidRPr="00EB378D" w:rsidRDefault="004506E6">
      <w:pPr>
        <w:pStyle w:val="Rubrik2"/>
      </w:pPr>
      <w:bookmarkStart w:id="26" w:name="_Toc476111403"/>
      <w:r w:rsidRPr="00EB378D">
        <w:t>Hemställan</w:t>
      </w:r>
      <w:bookmarkEnd w:id="26"/>
    </w:p>
    <w:p w:rsidR="004506E6" w:rsidRPr="00EB378D" w:rsidRDefault="004506E6">
      <w:r w:rsidRPr="00EB378D">
        <w:t>Utskottet hemställer</w:t>
      </w:r>
    </w:p>
    <w:p w:rsidR="004506E6" w:rsidRPr="00EB378D" w:rsidRDefault="004506E6">
      <w:pPr>
        <w:pStyle w:val="hembetr"/>
      </w:pPr>
      <w:r w:rsidRPr="00EB378D">
        <w:t xml:space="preserve">beträffande </w:t>
      </w:r>
      <w:r w:rsidRPr="00EB378D">
        <w:rPr>
          <w:i/>
        </w:rPr>
        <w:t>ändringar i lagarna om insättningsgaranti och invest</w:t>
      </w:r>
      <w:r w:rsidRPr="00EB378D">
        <w:rPr>
          <w:i/>
        </w:rPr>
        <w:t>e</w:t>
      </w:r>
      <w:r w:rsidRPr="00EB378D">
        <w:rPr>
          <w:i/>
        </w:rPr>
        <w:t>rarskydd m.m.</w:t>
      </w:r>
    </w:p>
    <w:p w:rsidR="004506E6" w:rsidRPr="00EB378D" w:rsidRDefault="004506E6">
      <w:pPr>
        <w:pStyle w:val="hemtext"/>
      </w:pPr>
      <w:r w:rsidRPr="00EB378D">
        <w:t>att riksdagen med bifall till proposition 1999/2000:36 antar de av r</w:t>
      </w:r>
      <w:r w:rsidRPr="00EB378D">
        <w:t>e</w:t>
      </w:r>
      <w:r w:rsidRPr="00EB378D">
        <w:t>geringen framlagda förslagen till</w:t>
      </w:r>
    </w:p>
    <w:p w:rsidR="004506E6" w:rsidRPr="00EB378D" w:rsidRDefault="004506E6">
      <w:pPr>
        <w:pStyle w:val="hembetr"/>
      </w:pPr>
      <w:bookmarkStart w:id="27" w:name="RESPARTI001"/>
      <w:bookmarkStart w:id="28" w:name="Nästa_Hpunkt"/>
      <w:bookmarkEnd w:id="27"/>
      <w:bookmarkEnd w:id="28"/>
      <w:r w:rsidRPr="00EB378D">
        <w:rPr>
          <w:i/>
        </w:rPr>
        <w:t>dels</w:t>
      </w:r>
      <w:r w:rsidRPr="00EB378D">
        <w:t xml:space="preserve"> lag om ändring i lagen (1995:1571) om insättningsgaranti,</w:t>
      </w:r>
    </w:p>
    <w:p w:rsidR="004506E6" w:rsidRPr="00EB378D" w:rsidRDefault="004506E6">
      <w:pPr>
        <w:pStyle w:val="hembetr"/>
      </w:pPr>
      <w:r w:rsidRPr="00EB378D">
        <w:rPr>
          <w:i/>
        </w:rPr>
        <w:t>dels</w:t>
      </w:r>
      <w:r w:rsidRPr="00EB378D">
        <w:t xml:space="preserve"> lag om ändring i lagen (1999:158) om investerarskydd,</w:t>
      </w:r>
    </w:p>
    <w:p w:rsidR="004506E6" w:rsidRPr="00EB378D" w:rsidRDefault="004506E6">
      <w:pPr>
        <w:pStyle w:val="hembetr"/>
      </w:pPr>
      <w:r w:rsidRPr="00EB378D">
        <w:rPr>
          <w:i/>
        </w:rPr>
        <w:t>dels</w:t>
      </w:r>
      <w:r w:rsidRPr="00EB378D">
        <w:t xml:space="preserve"> lag om ändring i lagen (1991:981) om värdepappersrörelse.</w:t>
      </w:r>
    </w:p>
    <w:p w:rsidR="004506E6" w:rsidRPr="00EB378D" w:rsidRDefault="004506E6">
      <w:pPr>
        <w:pStyle w:val="Stockholm"/>
      </w:pPr>
      <w:r w:rsidRPr="00EB378D">
        <w:t xml:space="preserve">Stockholm den 22 februari 2000 </w:t>
      </w:r>
    </w:p>
    <w:p w:rsidR="004506E6" w:rsidRPr="00EB378D" w:rsidRDefault="004506E6">
      <w:pPr>
        <w:pStyle w:val="Vgnar"/>
      </w:pPr>
      <w:r w:rsidRPr="00EB378D">
        <w:t>På finansutskottets vägnar</w:t>
      </w:r>
    </w:p>
    <w:p w:rsidR="004506E6" w:rsidRPr="00EB378D" w:rsidRDefault="004506E6">
      <w:pPr>
        <w:pStyle w:val="Ordfnamn"/>
      </w:pPr>
      <w:bookmarkStart w:id="29" w:name="Ordförande"/>
      <w:bookmarkEnd w:id="29"/>
      <w:r w:rsidRPr="00EB378D">
        <w:t xml:space="preserve">Jan Bergqvist </w:t>
      </w:r>
    </w:p>
    <w:p w:rsidR="004506E6" w:rsidRPr="00EB378D" w:rsidRDefault="004506E6"/>
    <w:p w:rsidR="004506E6" w:rsidRPr="00EB378D" w:rsidRDefault="004506E6">
      <w:pPr>
        <w:pStyle w:val="Deltagare"/>
      </w:pPr>
      <w:bookmarkStart w:id="30" w:name="Deltagare"/>
      <w:bookmarkEnd w:id="30"/>
      <w:r w:rsidRPr="00EB378D">
        <w:t>I beslutet har deltagit: Jan Bergqvist (s), Mats Odell (kd), Gunnar Hökmark (m), Bengt Silfverstrand (s), Lisbet Calner (s), Johan Lönnroth (v), Lennart Hedquist (m), Sonia Karlsson (s), Fredrik Reinfeldt (m), Carin Lundberg (s), Per Landgren (kd), Anna Åkerhielm (m), Matz Hammarström (mp), Lena Ek (c), Karin Pilsäter (fp), Hans Hoff (s) och Lars Bäckström (v).</w:t>
      </w:r>
    </w:p>
    <w:p w:rsidR="004506E6" w:rsidRPr="00EB378D" w:rsidRDefault="004506E6">
      <w:pPr>
        <w:pStyle w:val="Normaltindrag"/>
        <w:sectPr w:rsidR="00000000" w:rsidRPr="00EB378D">
          <w:headerReference w:type="default" r:id="rId9"/>
          <w:footerReference w:type="default" r:id="rId10"/>
          <w:pgSz w:w="11906" w:h="16838" w:code="9"/>
          <w:pgMar w:top="567" w:right="4876" w:bottom="4508" w:left="1134" w:header="227" w:footer="227" w:gutter="0"/>
          <w:cols w:space="720"/>
        </w:sectPr>
      </w:pPr>
    </w:p>
    <w:p w:rsidR="004506E6" w:rsidRPr="00EB378D" w:rsidRDefault="004506E6">
      <w:pPr>
        <w:pStyle w:val="Rubrik1"/>
        <w:spacing w:before="0"/>
      </w:pPr>
      <w:bookmarkStart w:id="31" w:name="_Toc476111404"/>
      <w:r w:rsidRPr="00EB378D">
        <w:t>Propositionens lagförslag</w:t>
      </w:r>
      <w:bookmarkEnd w:id="31"/>
    </w:p>
    <w:p w:rsidR="004506E6" w:rsidRPr="00EB378D" w:rsidRDefault="004506E6">
      <w:pPr>
        <w:pStyle w:val="Rubrik2"/>
        <w:spacing w:before="240"/>
      </w:pPr>
      <w:bookmarkStart w:id="32" w:name="_Toc476111405"/>
      <w:r w:rsidRPr="00EB378D">
        <w:t>1.   Förslag till lag om ändring i lagen (1995:1571) om insättningsgaranti</w:t>
      </w:r>
      <w:bookmarkEnd w:id="32"/>
    </w:p>
    <w:p w:rsidR="004506E6" w:rsidRPr="00EB378D" w:rsidRDefault="004506E6">
      <w:pPr>
        <w:pStyle w:val="Rubrik2"/>
        <w:spacing w:before="123"/>
        <w:ind w:left="340" w:hanging="340"/>
      </w:pPr>
      <w:r w:rsidRPr="00EB378D">
        <w:br w:type="page"/>
      </w:r>
      <w:r w:rsidRPr="00EB378D">
        <w:br w:type="page"/>
      </w:r>
      <w:bookmarkStart w:id="33" w:name="_Toc476111406"/>
      <w:r w:rsidRPr="00EB378D">
        <w:t>2.   Förslag till lag om ändring i lagen (1999:158) om investerarskydd</w:t>
      </w:r>
      <w:bookmarkEnd w:id="33"/>
    </w:p>
    <w:p w:rsidR="004506E6" w:rsidRPr="00EB378D" w:rsidRDefault="004506E6">
      <w:pPr>
        <w:pStyle w:val="Rubrik2"/>
        <w:spacing w:before="123"/>
        <w:ind w:left="340" w:hanging="340"/>
      </w:pPr>
      <w:r w:rsidRPr="00EB378D">
        <w:br w:type="page"/>
      </w:r>
      <w:bookmarkStart w:id="34" w:name="_Toc476111407"/>
      <w:r w:rsidRPr="00EB378D">
        <w:t>3.   Förslag till lag om ändring i lagen (1991:981) om värdepappersrörelse</w:t>
      </w:r>
      <w:bookmarkEnd w:id="34"/>
    </w:p>
    <w:p w:rsidR="004506E6" w:rsidRPr="00EB378D" w:rsidRDefault="004506E6"/>
    <w:p w:rsidR="004506E6" w:rsidRPr="00EB378D" w:rsidRDefault="004506E6">
      <w:pPr>
        <w:pStyle w:val="Rubrik1"/>
        <w:sectPr w:rsidR="00000000" w:rsidRPr="00EB378D">
          <w:headerReference w:type="default" r:id="rId11"/>
          <w:footerReference w:type="default" r:id="rId12"/>
          <w:pgSz w:w="11906" w:h="16838" w:code="9"/>
          <w:pgMar w:top="567" w:right="4876" w:bottom="4508" w:left="1134" w:header="227" w:footer="227" w:gutter="0"/>
          <w:cols w:space="720"/>
        </w:sectPr>
      </w:pPr>
      <w:r w:rsidRPr="00EB378D">
        <w:br w:type="page"/>
      </w:r>
    </w:p>
    <w:p w:rsidR="004506E6" w:rsidRPr="00EB378D" w:rsidRDefault="004506E6">
      <w:pPr>
        <w:pStyle w:val="Rubrik1"/>
      </w:pPr>
      <w:bookmarkStart w:id="35" w:name="_Toc476111408"/>
      <w:r w:rsidRPr="00EB378D">
        <w:t>Innehållsförteckning</w:t>
      </w:r>
      <w:bookmarkEnd w:id="35"/>
    </w:p>
    <w:p w:rsidR="004506E6" w:rsidRPr="00EB378D" w:rsidRDefault="004506E6">
      <w:pPr>
        <w:pStyle w:val="Innehll1"/>
        <w:rPr>
          <w:noProof/>
        </w:rPr>
      </w:pPr>
      <w:r w:rsidRPr="00EB378D">
        <w:rPr>
          <w:noProof/>
        </w:rPr>
        <w:t>Sammanfattning</w:t>
      </w:r>
      <w:r w:rsidRPr="00EB378D">
        <w:rPr>
          <w:noProof/>
        </w:rPr>
        <w:tab/>
        <w:t>1</w:t>
      </w:r>
    </w:p>
    <w:p w:rsidR="004506E6" w:rsidRPr="00EB378D" w:rsidRDefault="004506E6">
      <w:pPr>
        <w:pStyle w:val="Innehll1"/>
        <w:rPr>
          <w:noProof/>
        </w:rPr>
      </w:pPr>
      <w:r w:rsidRPr="00EB378D">
        <w:rPr>
          <w:noProof/>
        </w:rPr>
        <w:t>Propositionen</w:t>
      </w:r>
      <w:r w:rsidRPr="00EB378D">
        <w:rPr>
          <w:noProof/>
        </w:rPr>
        <w:tab/>
        <w:t>1</w:t>
      </w:r>
    </w:p>
    <w:p w:rsidR="004506E6" w:rsidRPr="00EB378D" w:rsidRDefault="004506E6">
      <w:pPr>
        <w:pStyle w:val="Innehll1"/>
        <w:rPr>
          <w:noProof/>
        </w:rPr>
      </w:pPr>
      <w:r w:rsidRPr="00EB378D">
        <w:rPr>
          <w:noProof/>
        </w:rPr>
        <w:t>Utskottet</w:t>
      </w:r>
      <w:r w:rsidRPr="00EB378D">
        <w:rPr>
          <w:noProof/>
        </w:rPr>
        <w:tab/>
        <w:t>1</w:t>
      </w:r>
    </w:p>
    <w:p w:rsidR="004506E6" w:rsidRPr="00EB378D" w:rsidRDefault="004506E6">
      <w:pPr>
        <w:pStyle w:val="Innehll2"/>
        <w:rPr>
          <w:noProof/>
        </w:rPr>
      </w:pPr>
      <w:r w:rsidRPr="00EB378D">
        <w:rPr>
          <w:noProof/>
        </w:rPr>
        <w:t>Propositionen</w:t>
      </w:r>
      <w:r w:rsidRPr="00EB378D">
        <w:rPr>
          <w:noProof/>
        </w:rPr>
        <w:tab/>
        <w:t>1</w:t>
      </w:r>
    </w:p>
    <w:p w:rsidR="004506E6" w:rsidRPr="00EB378D" w:rsidRDefault="004506E6">
      <w:pPr>
        <w:pStyle w:val="Innehll2"/>
        <w:rPr>
          <w:noProof/>
        </w:rPr>
      </w:pPr>
      <w:r w:rsidRPr="00EB378D">
        <w:rPr>
          <w:noProof/>
        </w:rPr>
        <w:t>EG-kommissionens beslut</w:t>
      </w:r>
      <w:r w:rsidRPr="00EB378D">
        <w:rPr>
          <w:noProof/>
        </w:rPr>
        <w:tab/>
        <w:t>2</w:t>
      </w:r>
    </w:p>
    <w:p w:rsidR="004506E6" w:rsidRPr="00EB378D" w:rsidRDefault="004506E6">
      <w:pPr>
        <w:pStyle w:val="Innehll2"/>
        <w:rPr>
          <w:noProof/>
        </w:rPr>
      </w:pPr>
      <w:r w:rsidRPr="00EB378D">
        <w:rPr>
          <w:noProof/>
        </w:rPr>
        <w:t>Finansutskottets ställningstagande</w:t>
      </w:r>
      <w:r w:rsidRPr="00EB378D">
        <w:rPr>
          <w:noProof/>
        </w:rPr>
        <w:tab/>
        <w:t>2</w:t>
      </w:r>
    </w:p>
    <w:p w:rsidR="004506E6" w:rsidRPr="00EB378D" w:rsidRDefault="004506E6">
      <w:pPr>
        <w:pStyle w:val="Innehll2"/>
        <w:rPr>
          <w:noProof/>
        </w:rPr>
      </w:pPr>
      <w:r w:rsidRPr="00EB378D">
        <w:rPr>
          <w:noProof/>
        </w:rPr>
        <w:t>Hemställan</w:t>
      </w:r>
      <w:r w:rsidRPr="00EB378D">
        <w:rPr>
          <w:noProof/>
        </w:rPr>
        <w:tab/>
        <w:t>2</w:t>
      </w:r>
    </w:p>
    <w:p w:rsidR="004506E6" w:rsidRPr="00EB378D" w:rsidRDefault="004506E6">
      <w:pPr>
        <w:pStyle w:val="Innehll2"/>
        <w:rPr>
          <w:i/>
          <w:noProof/>
        </w:rPr>
      </w:pPr>
    </w:p>
    <w:p w:rsidR="004506E6" w:rsidRPr="00EB378D" w:rsidRDefault="004506E6">
      <w:pPr>
        <w:pStyle w:val="Innehll2"/>
        <w:rPr>
          <w:i/>
          <w:noProof/>
        </w:rPr>
      </w:pPr>
      <w:r w:rsidRPr="00EB378D">
        <w:rPr>
          <w:i/>
          <w:noProof/>
        </w:rPr>
        <w:t>Bilaga</w:t>
      </w:r>
    </w:p>
    <w:p w:rsidR="004506E6" w:rsidRPr="00EB378D" w:rsidRDefault="004506E6">
      <w:pPr>
        <w:pStyle w:val="Innehll1"/>
        <w:rPr>
          <w:noProof/>
        </w:rPr>
      </w:pPr>
      <w:r w:rsidRPr="00EB378D">
        <w:rPr>
          <w:noProof/>
        </w:rPr>
        <w:t>Propositionens lagförslag</w:t>
      </w:r>
      <w:r w:rsidRPr="00EB378D">
        <w:rPr>
          <w:noProof/>
        </w:rPr>
        <w:tab/>
        <w:t>4</w:t>
      </w:r>
    </w:p>
    <w:p w:rsidR="004506E6" w:rsidRPr="00EB378D" w:rsidRDefault="004506E6">
      <w:pPr>
        <w:pStyle w:val="Innehll2"/>
        <w:rPr>
          <w:noProof/>
        </w:rPr>
      </w:pPr>
      <w:r w:rsidRPr="00EB378D">
        <w:rPr>
          <w:noProof/>
        </w:rPr>
        <w:t xml:space="preserve">1.   Förslag till lag om ändring i lagen (1995:1571) om </w:t>
      </w:r>
    </w:p>
    <w:p w:rsidR="004506E6" w:rsidRPr="00EB378D" w:rsidRDefault="004506E6">
      <w:pPr>
        <w:pStyle w:val="Innehll2"/>
        <w:rPr>
          <w:noProof/>
        </w:rPr>
      </w:pPr>
      <w:r w:rsidRPr="00EB378D">
        <w:rPr>
          <w:noProof/>
        </w:rPr>
        <w:t xml:space="preserve">      insättningsgaranti</w:t>
      </w:r>
      <w:r w:rsidRPr="00EB378D">
        <w:rPr>
          <w:noProof/>
        </w:rPr>
        <w:tab/>
        <w:t>4</w:t>
      </w:r>
    </w:p>
    <w:p w:rsidR="004506E6" w:rsidRPr="00EB378D" w:rsidRDefault="004506E6">
      <w:pPr>
        <w:pStyle w:val="Innehll2"/>
        <w:rPr>
          <w:noProof/>
        </w:rPr>
      </w:pPr>
      <w:r w:rsidRPr="00EB378D">
        <w:rPr>
          <w:noProof/>
        </w:rPr>
        <w:t xml:space="preserve">2.   Förslag till lag om ändring i lagen (1999:158) om </w:t>
      </w:r>
    </w:p>
    <w:p w:rsidR="004506E6" w:rsidRPr="00EB378D" w:rsidRDefault="004506E6">
      <w:pPr>
        <w:pStyle w:val="Innehll2"/>
        <w:ind w:left="0"/>
        <w:rPr>
          <w:noProof/>
        </w:rPr>
      </w:pPr>
      <w:r w:rsidRPr="00EB378D">
        <w:rPr>
          <w:noProof/>
        </w:rPr>
        <w:t xml:space="preserve">           investerarskydd</w:t>
      </w:r>
      <w:r w:rsidRPr="00EB378D">
        <w:rPr>
          <w:noProof/>
        </w:rPr>
        <w:tab/>
        <w:t>6</w:t>
      </w:r>
    </w:p>
    <w:p w:rsidR="004506E6" w:rsidRPr="00EB378D" w:rsidRDefault="004506E6">
      <w:pPr>
        <w:pStyle w:val="Innehll2"/>
        <w:rPr>
          <w:noProof/>
        </w:rPr>
      </w:pPr>
      <w:r w:rsidRPr="00EB378D">
        <w:rPr>
          <w:noProof/>
        </w:rPr>
        <w:t>3.   Förslag till lag om ändring i lagen (1991:981) om</w:t>
      </w:r>
    </w:p>
    <w:p w:rsidR="004506E6" w:rsidRPr="00EB378D" w:rsidRDefault="004506E6">
      <w:pPr>
        <w:pStyle w:val="Innehll2"/>
        <w:rPr>
          <w:noProof/>
        </w:rPr>
      </w:pPr>
      <w:r w:rsidRPr="00EB378D">
        <w:rPr>
          <w:noProof/>
        </w:rPr>
        <w:t xml:space="preserve">      värdepappersrörelse</w:t>
      </w:r>
      <w:r w:rsidRPr="00EB378D">
        <w:rPr>
          <w:noProof/>
        </w:rPr>
        <w:tab/>
        <w:t>7</w:t>
      </w:r>
    </w:p>
    <w:p w:rsidR="004506E6" w:rsidRPr="00EB378D" w:rsidRDefault="004506E6">
      <w:pPr>
        <w:pStyle w:val="Innehll1"/>
        <w:rPr>
          <w:noProof/>
        </w:rPr>
      </w:pPr>
    </w:p>
    <w:p w:rsidR="004506E6" w:rsidRPr="00EB378D" w:rsidRDefault="004506E6"/>
    <w:p w:rsidR="004506E6" w:rsidRPr="00EB378D" w:rsidRDefault="004506E6">
      <w:pPr>
        <w:pStyle w:val="Tryckort"/>
        <w:framePr w:wrap="around"/>
      </w:pPr>
      <w:r w:rsidRPr="00EB378D">
        <w:t>Elanders Gotab, Stockholm  2000</w:t>
      </w:r>
    </w:p>
    <w:p w:rsidR="004506E6" w:rsidRPr="00EB378D" w:rsidRDefault="004506E6">
      <w:pPr>
        <w:pStyle w:val="Normaltindrag"/>
      </w:pPr>
    </w:p>
    <w:sectPr w:rsidR="004506E6" w:rsidRPr="00EB378D">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06E6" w:rsidRDefault="004506E6">
      <w:pPr>
        <w:spacing w:before="0" w:line="240" w:lineRule="auto"/>
      </w:pPr>
      <w:r>
        <w:separator/>
      </w:r>
    </w:p>
  </w:endnote>
  <w:endnote w:type="continuationSeparator" w:id="0">
    <w:p w:rsidR="004506E6" w:rsidRDefault="004506E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6E6" w:rsidRDefault="004506E6">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4506E6" w:rsidRDefault="004506E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6E6" w:rsidRDefault="004506E6">
    <w:pPr>
      <w:pStyle w:val="SidfotH"/>
      <w:framePr w:wrap="around"/>
    </w:pPr>
    <w:r>
      <w:fldChar w:fldCharType="begin" w:fldLock="1"/>
    </w:r>
    <w:r>
      <w:instrText xml:space="preserve"> P</w:instrText>
    </w:r>
    <w:r>
      <w:instrText>A</w:instrText>
    </w:r>
    <w:r>
      <w:instrText xml:space="preserve">GE </w:instrText>
    </w:r>
    <w:r>
      <w:fldChar w:fldCharType="separate"/>
    </w:r>
    <w:r>
      <w:rPr>
        <w:noProof/>
      </w:rPr>
      <w:t>4</w:t>
    </w:r>
    <w:r>
      <w:fldChar w:fldCharType="end"/>
    </w:r>
  </w:p>
  <w:p w:rsidR="004506E6" w:rsidRDefault="004506E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6E6" w:rsidRDefault="004506E6">
    <w:pPr>
      <w:pStyle w:val="SidfotH"/>
      <w:framePr w:wrap="around"/>
    </w:pPr>
    <w:r>
      <w:fldChar w:fldCharType="begin" w:fldLock="1"/>
    </w:r>
    <w:r>
      <w:instrText xml:space="preserve"> P</w:instrText>
    </w:r>
    <w:r>
      <w:instrText>A</w:instrText>
    </w:r>
    <w:r>
      <w:instrText xml:space="preserve">GE </w:instrText>
    </w:r>
    <w:r>
      <w:fldChar w:fldCharType="separate"/>
    </w:r>
    <w:r>
      <w:rPr>
        <w:noProof/>
      </w:rPr>
      <w:t>9</w:t>
    </w:r>
    <w:r>
      <w:fldChar w:fldCharType="end"/>
    </w:r>
  </w:p>
  <w:p w:rsidR="004506E6" w:rsidRDefault="004506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06E6" w:rsidRDefault="004506E6">
      <w:pPr>
        <w:pStyle w:val="Sidfot"/>
      </w:pPr>
    </w:p>
  </w:footnote>
  <w:footnote w:type="continuationSeparator" w:id="0">
    <w:p w:rsidR="004506E6" w:rsidRDefault="004506E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6E6" w:rsidRDefault="004506E6">
    <w:pPr>
      <w:pStyle w:val="SidhuvudKant"/>
      <w:framePr w:w="1758" w:h="2744" w:hRule="exact" w:wrap="around" w:vAnchor="page" w:hAnchor="page" w:x="7372" w:y="568" w:anchorLock="0"/>
      <w:rPr>
        <w:noProof/>
      </w:rPr>
    </w:pPr>
    <w:r>
      <w:rPr>
        <w:noProof/>
      </w:rPr>
      <w:t>1999/2000:FiU14</w:t>
    </w:r>
  </w:p>
  <w:p w:rsidR="004506E6" w:rsidRDefault="004506E6">
    <w:pPr>
      <w:pStyle w:val="SidhuvudKantBilaga"/>
      <w:framePr w:w="1758" w:h="2744" w:hRule="exact" w:wrap="around" w:vAnchor="page" w:hAnchor="page" w:x="7372" w:y="568" w:anchorLock="0"/>
      <w:rPr>
        <w:noProof/>
      </w:rPr>
    </w:pPr>
  </w:p>
  <w:p w:rsidR="004506E6" w:rsidRDefault="004506E6">
    <w:pPr>
      <w:pStyle w:val="SidhuvudKant"/>
      <w:framePr w:w="1758" w:h="2744" w:hRule="exact" w:wrap="around" w:vAnchor="page" w:hAnchor="page" w:x="7372" w:y="568" w:anchorLock="0"/>
    </w:pPr>
  </w:p>
  <w:p w:rsidR="004506E6" w:rsidRDefault="004506E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6E6" w:rsidRDefault="004506E6">
    <w:pPr>
      <w:pStyle w:val="SidhuvudKant"/>
      <w:framePr w:w="1758" w:h="2744" w:hRule="exact" w:wrap="around" w:vAnchor="page" w:hAnchor="page" w:x="7372" w:y="568" w:anchorLock="0"/>
      <w:rPr>
        <w:noProof/>
      </w:rPr>
    </w:pPr>
    <w:r>
      <w:rPr>
        <w:noProof/>
      </w:rPr>
      <w:t>1999/2000:FiU14</w:t>
    </w:r>
  </w:p>
  <w:p w:rsidR="004506E6" w:rsidRDefault="004506E6">
    <w:pPr>
      <w:pStyle w:val="SidhuvudKantBilaga"/>
      <w:framePr w:w="1758" w:h="2744" w:hRule="exact" w:wrap="around" w:vAnchor="page" w:hAnchor="page" w:x="7372" w:y="568" w:anchorLock="0"/>
      <w:rPr>
        <w:noProof/>
      </w:rPr>
    </w:pPr>
    <w:r>
      <w:rPr>
        <w:noProof/>
      </w:rPr>
      <w:t>Bilaga</w:t>
    </w:r>
  </w:p>
  <w:p w:rsidR="004506E6" w:rsidRDefault="004506E6">
    <w:pPr>
      <w:pStyle w:val="SidhuvudKant"/>
      <w:framePr w:w="1758" w:h="2744" w:hRule="exact" w:wrap="around" w:vAnchor="page" w:hAnchor="page" w:x="7372" w:y="568" w:anchorLock="0"/>
    </w:pPr>
  </w:p>
  <w:p w:rsidR="004506E6" w:rsidRDefault="004506E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6E6" w:rsidRDefault="004506E6">
    <w:pPr>
      <w:pStyle w:val="SidhuvudKant"/>
      <w:framePr w:w="1758" w:h="2744" w:hRule="exact" w:wrap="around" w:vAnchor="page" w:hAnchor="page" w:x="7372" w:y="568" w:anchorLock="0"/>
      <w:rPr>
        <w:noProof/>
      </w:rPr>
    </w:pPr>
    <w:r>
      <w:rPr>
        <w:noProof/>
      </w:rPr>
      <w:t>1999/2000:FiU14</w:t>
    </w:r>
  </w:p>
  <w:p w:rsidR="004506E6" w:rsidRDefault="004506E6">
    <w:pPr>
      <w:pStyle w:val="SidhuvudKantBilaga"/>
      <w:framePr w:w="1758" w:h="2744" w:hRule="exact" w:wrap="around" w:vAnchor="page" w:hAnchor="page" w:x="7372" w:y="568" w:anchorLock="0"/>
      <w:rPr>
        <w:noProof/>
      </w:rPr>
    </w:pPr>
  </w:p>
  <w:p w:rsidR="004506E6" w:rsidRDefault="004506E6">
    <w:pPr>
      <w:pStyle w:val="SidhuvudKant"/>
      <w:framePr w:w="1758" w:h="2744" w:hRule="exact" w:wrap="around" w:vAnchor="page" w:hAnchor="page" w:x="7372" w:y="568" w:anchorLock="0"/>
    </w:pPr>
  </w:p>
  <w:p w:rsidR="004506E6" w:rsidRDefault="004506E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900"/>
  </w:docVars>
  <w:rsids>
    <w:rsidRoot w:val="006B5510"/>
    <w:rsid w:val="004506E6"/>
    <w:rsid w:val="006B5510"/>
    <w:rsid w:val="00EB37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DAA5A9-6D16-4E55-B46F-48F02413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4261</Characters>
  <Application>Microsoft Office Word</Application>
  <DocSecurity>4</DocSecurity>
  <Lines>118</Lines>
  <Paragraphs>65</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Finansutskottets betänkande</vt:lpstr>
      <vt:lpstr>Sammanfattning</vt:lpstr>
      <vt:lpstr>Propositionen</vt:lpstr>
      <vt:lpstr>Utskottet</vt:lpstr>
      <vt:lpstr>    Propositionen</vt:lpstr>
      <vt:lpstr>    EG-kommissionens beslut </vt:lpstr>
      <vt:lpstr>    Finansutskottets ställningstagande</vt:lpstr>
      <vt:lpstr>    Hemställan</vt:lpstr>
      <vt:lpstr>Propositionens lagförslag</vt:lpstr>
      <vt:lpstr>    1.   Förslag till lag om ändring i lagen (1995:1571) om insättningsgaranti</vt:lpstr>
      <vt:lpstr>    2.   Förslag till lag om ändring i lagen (1999:158) om investerarskydd</vt:lpstr>
      <vt:lpstr>    3.   Förslag till lag om ändring i lagen (1991:981) om värdepappersrörelse</vt:lpstr>
      <vt:lpstr/>
      <vt:lpstr>Innehållsförteckning</vt:lpstr>
    </vt:vector>
  </TitlesOfParts>
  <Company>Riksdagen</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2000-03-03T08:42:00Z</cp:lastPrinted>
  <dcterms:created xsi:type="dcterms:W3CDTF">2025-12-15T21:03:00Z</dcterms:created>
  <dcterms:modified xsi:type="dcterms:W3CDTF">2025-12-15T21:03:00Z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FiU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