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D37CB" w:rsidRPr="00BD37CB" w:rsidRDefault="00BD37CB">
      <w:pPr>
        <w:pStyle w:val="Hemstlrubrik"/>
        <w:shd w:val="clear" w:color="000000" w:fill="auto"/>
      </w:pPr>
      <w:r w:rsidRPr="00BD37CB">
        <w:t>Förslag till riksdagsbeslut</w:t>
      </w:r>
    </w:p>
    <w:p w:rsidR="00BD37CB" w:rsidRPr="00BD37CB" w:rsidRDefault="00BD37CB">
      <w:pPr>
        <w:pStyle w:val="Hemstlatt"/>
        <w:shd w:val="clear" w:color="000000" w:fill="auto"/>
        <w:ind w:left="0"/>
      </w:pPr>
      <w:r w:rsidRPr="00BD37CB">
        <w:t>Riksdagen anvisar med följande ändringar i förhålla</w:t>
      </w:r>
      <w:r w:rsidRPr="00BD37CB">
        <w:t>n</w:t>
      </w:r>
      <w:r w:rsidRPr="00BD37CB">
        <w:t>de till regeringens förslag anslagen under utgiftsområde 3 Skatt, tull och ex</w:t>
      </w:r>
      <w:r w:rsidRPr="00BD37CB">
        <w:t>e</w:t>
      </w:r>
      <w:r w:rsidRPr="00BD37CB">
        <w:t>kution enligt uppställning:</w:t>
      </w:r>
    </w:p>
    <w:tbl>
      <w:tblPr>
        <w:tblW w:w="5954" w:type="dxa"/>
        <w:tblInd w:w="70" w:type="dxa"/>
        <w:tblLayout w:type="fixed"/>
        <w:tblCellMar>
          <w:left w:w="70" w:type="dxa"/>
          <w:right w:w="70" w:type="dxa"/>
        </w:tblCellMar>
        <w:tblLook w:val="0000" w:firstRow="0" w:lastRow="0" w:firstColumn="0" w:lastColumn="0" w:noHBand="0" w:noVBand="0"/>
      </w:tblPr>
      <w:tblGrid>
        <w:gridCol w:w="692"/>
        <w:gridCol w:w="2102"/>
        <w:gridCol w:w="1745"/>
        <w:gridCol w:w="1415"/>
      </w:tblGrid>
      <w:tr w:rsidR="00000000" w:rsidRPr="00BD37CB">
        <w:trPr>
          <w:trHeight w:val="420"/>
        </w:trPr>
        <w:tc>
          <w:tcPr>
            <w:tcW w:w="692" w:type="dxa"/>
            <w:tcBorders>
              <w:top w:val="single" w:sz="4" w:space="0" w:color="auto"/>
              <w:left w:val="nil"/>
              <w:bottom w:val="single" w:sz="8" w:space="0" w:color="000000"/>
              <w:right w:val="nil"/>
            </w:tcBorders>
          </w:tcPr>
          <w:p w:rsidR="00BD37CB" w:rsidRPr="00BD37CB" w:rsidRDefault="00BD37CB">
            <w:pPr>
              <w:shd w:val="clear" w:color="000000" w:fill="auto"/>
              <w:spacing w:before="60" w:line="200" w:lineRule="exact"/>
              <w:jc w:val="center"/>
              <w:rPr>
                <w:b/>
                <w:bCs/>
                <w:color w:val="000000"/>
                <w:sz w:val="16"/>
                <w:szCs w:val="16"/>
              </w:rPr>
            </w:pPr>
            <w:r w:rsidRPr="00BD37CB">
              <w:rPr>
                <w:b/>
                <w:bCs/>
                <w:color w:val="000000"/>
                <w:sz w:val="16"/>
                <w:szCs w:val="16"/>
              </w:rPr>
              <w:t>Anslag</w:t>
            </w:r>
          </w:p>
        </w:tc>
        <w:tc>
          <w:tcPr>
            <w:tcW w:w="2102" w:type="dxa"/>
            <w:tcBorders>
              <w:top w:val="single" w:sz="4" w:space="0" w:color="auto"/>
              <w:left w:val="nil"/>
              <w:bottom w:val="single" w:sz="8" w:space="0" w:color="000000"/>
              <w:right w:val="nil"/>
            </w:tcBorders>
          </w:tcPr>
          <w:p w:rsidR="00BD37CB" w:rsidRPr="00BD37CB" w:rsidRDefault="00BD37CB">
            <w:pPr>
              <w:shd w:val="clear" w:color="000000" w:fill="auto"/>
              <w:spacing w:before="60" w:line="200" w:lineRule="exact"/>
              <w:jc w:val="center"/>
              <w:rPr>
                <w:b/>
                <w:bCs/>
                <w:color w:val="000000"/>
                <w:sz w:val="16"/>
                <w:szCs w:val="16"/>
              </w:rPr>
            </w:pPr>
          </w:p>
        </w:tc>
        <w:tc>
          <w:tcPr>
            <w:tcW w:w="1745" w:type="dxa"/>
            <w:tcBorders>
              <w:top w:val="single" w:sz="4" w:space="0" w:color="auto"/>
              <w:left w:val="nil"/>
              <w:bottom w:val="single" w:sz="8" w:space="0" w:color="000000"/>
              <w:right w:val="nil"/>
            </w:tcBorders>
          </w:tcPr>
          <w:p w:rsidR="00BD37CB" w:rsidRPr="00BD37CB" w:rsidRDefault="00BD37CB">
            <w:pPr>
              <w:shd w:val="clear" w:color="000000" w:fill="auto"/>
              <w:spacing w:before="60" w:line="200" w:lineRule="exact"/>
              <w:jc w:val="center"/>
              <w:rPr>
                <w:b/>
                <w:bCs/>
                <w:color w:val="000000"/>
                <w:sz w:val="16"/>
                <w:szCs w:val="16"/>
              </w:rPr>
            </w:pPr>
            <w:r w:rsidRPr="00BD37CB">
              <w:rPr>
                <w:b/>
                <w:sz w:val="16"/>
                <w:szCs w:val="16"/>
              </w:rPr>
              <w:t>Regeringens förslag (tkr)</w:t>
            </w:r>
          </w:p>
        </w:tc>
        <w:tc>
          <w:tcPr>
            <w:tcW w:w="1415" w:type="dxa"/>
            <w:tcBorders>
              <w:top w:val="single" w:sz="4" w:space="0" w:color="auto"/>
              <w:left w:val="nil"/>
              <w:bottom w:val="single" w:sz="8" w:space="0" w:color="000000"/>
              <w:right w:val="nil"/>
            </w:tcBorders>
          </w:tcPr>
          <w:p w:rsidR="00BD37CB" w:rsidRPr="00BD37CB" w:rsidRDefault="00BD37CB">
            <w:pPr>
              <w:shd w:val="clear" w:color="000000" w:fill="auto"/>
              <w:spacing w:before="60" w:line="200" w:lineRule="exact"/>
              <w:jc w:val="center"/>
              <w:rPr>
                <w:b/>
                <w:bCs/>
                <w:color w:val="000000"/>
                <w:sz w:val="16"/>
                <w:szCs w:val="16"/>
              </w:rPr>
            </w:pPr>
            <w:r w:rsidRPr="00BD37CB">
              <w:rPr>
                <w:b/>
                <w:bCs/>
                <w:color w:val="000000"/>
                <w:sz w:val="16"/>
                <w:szCs w:val="16"/>
              </w:rPr>
              <w:t xml:space="preserve">Förändring </w:t>
            </w:r>
            <w:r w:rsidRPr="00BD37CB">
              <w:rPr>
                <w:b/>
                <w:bCs/>
                <w:color w:val="000000"/>
                <w:sz w:val="16"/>
                <w:szCs w:val="16"/>
              </w:rPr>
              <w:br/>
            </w:r>
            <w:r w:rsidRPr="00BD37CB">
              <w:rPr>
                <w:b/>
                <w:sz w:val="16"/>
                <w:szCs w:val="16"/>
              </w:rPr>
              <w:t>(tkr)</w:t>
            </w:r>
          </w:p>
        </w:tc>
      </w:tr>
      <w:tr w:rsidR="00000000" w:rsidRPr="00BD37CB">
        <w:trPr>
          <w:trHeight w:val="319"/>
        </w:trPr>
        <w:tc>
          <w:tcPr>
            <w:tcW w:w="692" w:type="dxa"/>
            <w:tcBorders>
              <w:top w:val="nil"/>
              <w:left w:val="nil"/>
              <w:bottom w:val="nil"/>
              <w:right w:val="nil"/>
            </w:tcBorders>
            <w:vAlign w:val="bottom"/>
          </w:tcPr>
          <w:p w:rsidR="00BD37CB" w:rsidRPr="00BD37CB" w:rsidRDefault="00BD37CB">
            <w:pPr>
              <w:shd w:val="clear" w:color="000000" w:fill="auto"/>
              <w:spacing w:before="60" w:line="200" w:lineRule="exact"/>
              <w:rPr>
                <w:color w:val="000000"/>
                <w:sz w:val="16"/>
                <w:szCs w:val="16"/>
              </w:rPr>
            </w:pPr>
            <w:r w:rsidRPr="00BD37CB">
              <w:rPr>
                <w:color w:val="000000"/>
                <w:sz w:val="16"/>
                <w:szCs w:val="16"/>
              </w:rPr>
              <w:t>3:1</w:t>
            </w:r>
          </w:p>
        </w:tc>
        <w:tc>
          <w:tcPr>
            <w:tcW w:w="2102" w:type="dxa"/>
            <w:tcBorders>
              <w:top w:val="nil"/>
              <w:left w:val="nil"/>
              <w:bottom w:val="nil"/>
              <w:right w:val="nil"/>
            </w:tcBorders>
            <w:vAlign w:val="bottom"/>
          </w:tcPr>
          <w:p w:rsidR="00BD37CB" w:rsidRPr="00BD37CB" w:rsidRDefault="00BD37CB">
            <w:pPr>
              <w:shd w:val="clear" w:color="000000" w:fill="auto"/>
              <w:spacing w:before="60" w:line="200" w:lineRule="exact"/>
              <w:rPr>
                <w:color w:val="000000"/>
                <w:sz w:val="16"/>
                <w:szCs w:val="16"/>
              </w:rPr>
            </w:pPr>
            <w:r w:rsidRPr="00BD37CB">
              <w:rPr>
                <w:color w:val="000000"/>
                <w:sz w:val="16"/>
                <w:szCs w:val="16"/>
              </w:rPr>
              <w:t>Skatteverket</w:t>
            </w:r>
          </w:p>
        </w:tc>
        <w:tc>
          <w:tcPr>
            <w:tcW w:w="1745" w:type="dxa"/>
            <w:tcBorders>
              <w:top w:val="nil"/>
              <w:left w:val="nil"/>
              <w:bottom w:val="nil"/>
              <w:right w:val="nil"/>
            </w:tcBorders>
            <w:vAlign w:val="bottom"/>
          </w:tcPr>
          <w:p w:rsidR="00BD37CB" w:rsidRPr="00BD37CB" w:rsidRDefault="00BD37CB">
            <w:pPr>
              <w:shd w:val="clear" w:color="000000" w:fill="auto"/>
              <w:spacing w:before="60" w:line="200" w:lineRule="exact"/>
              <w:ind w:right="389"/>
              <w:jc w:val="right"/>
              <w:rPr>
                <w:color w:val="000000"/>
                <w:sz w:val="16"/>
                <w:szCs w:val="16"/>
              </w:rPr>
            </w:pPr>
            <w:r w:rsidRPr="00BD37CB">
              <w:rPr>
                <w:color w:val="000000"/>
                <w:sz w:val="16"/>
                <w:szCs w:val="16"/>
              </w:rPr>
              <w:t>6 306 583</w:t>
            </w:r>
          </w:p>
        </w:tc>
        <w:tc>
          <w:tcPr>
            <w:tcW w:w="1415" w:type="dxa"/>
            <w:tcBorders>
              <w:top w:val="nil"/>
              <w:left w:val="nil"/>
              <w:bottom w:val="nil"/>
              <w:right w:val="nil"/>
            </w:tcBorders>
            <w:vAlign w:val="bottom"/>
          </w:tcPr>
          <w:p w:rsidR="00BD37CB" w:rsidRPr="00BD37CB" w:rsidRDefault="00BD37CB">
            <w:pPr>
              <w:shd w:val="clear" w:color="000000" w:fill="auto"/>
              <w:spacing w:before="60" w:line="200" w:lineRule="exact"/>
              <w:ind w:right="389"/>
              <w:jc w:val="right"/>
              <w:rPr>
                <w:color w:val="000000"/>
                <w:sz w:val="16"/>
                <w:szCs w:val="16"/>
              </w:rPr>
            </w:pPr>
            <w:r w:rsidRPr="00BD37CB">
              <w:rPr>
                <w:color w:val="000000"/>
                <w:sz w:val="16"/>
                <w:szCs w:val="16"/>
              </w:rPr>
              <w:t>40 000</w:t>
            </w:r>
          </w:p>
        </w:tc>
      </w:tr>
      <w:tr w:rsidR="00000000" w:rsidRPr="00BD37CB">
        <w:trPr>
          <w:trHeight w:val="319"/>
        </w:trPr>
        <w:tc>
          <w:tcPr>
            <w:tcW w:w="692" w:type="dxa"/>
            <w:tcBorders>
              <w:top w:val="nil"/>
              <w:left w:val="nil"/>
              <w:bottom w:val="nil"/>
              <w:right w:val="nil"/>
            </w:tcBorders>
            <w:vAlign w:val="bottom"/>
          </w:tcPr>
          <w:p w:rsidR="00BD37CB" w:rsidRPr="00BD37CB" w:rsidRDefault="00BD37CB">
            <w:pPr>
              <w:shd w:val="clear" w:color="000000" w:fill="auto"/>
              <w:spacing w:before="60" w:line="200" w:lineRule="exact"/>
              <w:rPr>
                <w:color w:val="000000"/>
                <w:sz w:val="16"/>
                <w:szCs w:val="16"/>
              </w:rPr>
            </w:pPr>
            <w:r w:rsidRPr="00BD37CB">
              <w:rPr>
                <w:color w:val="000000"/>
                <w:sz w:val="16"/>
                <w:szCs w:val="16"/>
              </w:rPr>
              <w:t>3:2</w:t>
            </w:r>
          </w:p>
        </w:tc>
        <w:tc>
          <w:tcPr>
            <w:tcW w:w="2102" w:type="dxa"/>
            <w:tcBorders>
              <w:top w:val="nil"/>
              <w:left w:val="nil"/>
              <w:bottom w:val="nil"/>
              <w:right w:val="nil"/>
            </w:tcBorders>
            <w:vAlign w:val="bottom"/>
          </w:tcPr>
          <w:p w:rsidR="00BD37CB" w:rsidRPr="00BD37CB" w:rsidRDefault="00BD37CB">
            <w:pPr>
              <w:shd w:val="clear" w:color="000000" w:fill="auto"/>
              <w:spacing w:before="60" w:line="200" w:lineRule="exact"/>
              <w:rPr>
                <w:color w:val="000000"/>
                <w:sz w:val="16"/>
                <w:szCs w:val="16"/>
              </w:rPr>
            </w:pPr>
            <w:r w:rsidRPr="00BD37CB">
              <w:rPr>
                <w:color w:val="000000"/>
                <w:sz w:val="16"/>
                <w:szCs w:val="16"/>
              </w:rPr>
              <w:t>Kronofogdemyndigheten</w:t>
            </w:r>
          </w:p>
        </w:tc>
        <w:tc>
          <w:tcPr>
            <w:tcW w:w="1745" w:type="dxa"/>
            <w:tcBorders>
              <w:top w:val="nil"/>
              <w:left w:val="nil"/>
              <w:bottom w:val="nil"/>
              <w:right w:val="nil"/>
            </w:tcBorders>
            <w:vAlign w:val="bottom"/>
          </w:tcPr>
          <w:p w:rsidR="00BD37CB" w:rsidRPr="00BD37CB" w:rsidRDefault="00BD37CB">
            <w:pPr>
              <w:shd w:val="clear" w:color="000000" w:fill="auto"/>
              <w:spacing w:before="60" w:line="200" w:lineRule="exact"/>
              <w:ind w:right="389"/>
              <w:jc w:val="right"/>
              <w:rPr>
                <w:color w:val="000000"/>
                <w:sz w:val="16"/>
                <w:szCs w:val="16"/>
              </w:rPr>
            </w:pPr>
            <w:r w:rsidRPr="00BD37CB">
              <w:rPr>
                <w:color w:val="000000"/>
                <w:sz w:val="16"/>
                <w:szCs w:val="16"/>
              </w:rPr>
              <w:t>1 617 748</w:t>
            </w:r>
          </w:p>
        </w:tc>
        <w:tc>
          <w:tcPr>
            <w:tcW w:w="1415" w:type="dxa"/>
            <w:tcBorders>
              <w:top w:val="nil"/>
              <w:left w:val="nil"/>
              <w:bottom w:val="nil"/>
              <w:right w:val="nil"/>
            </w:tcBorders>
            <w:vAlign w:val="bottom"/>
          </w:tcPr>
          <w:p w:rsidR="00BD37CB" w:rsidRPr="00BD37CB" w:rsidRDefault="00BD37CB">
            <w:pPr>
              <w:shd w:val="clear" w:color="000000" w:fill="auto"/>
              <w:spacing w:before="60" w:line="200" w:lineRule="exact"/>
              <w:ind w:right="389"/>
              <w:jc w:val="right"/>
              <w:rPr>
                <w:color w:val="000000"/>
                <w:sz w:val="16"/>
                <w:szCs w:val="16"/>
              </w:rPr>
            </w:pPr>
            <w:r w:rsidRPr="00BD37CB">
              <w:rPr>
                <w:color w:val="000000"/>
                <w:sz w:val="16"/>
                <w:szCs w:val="16"/>
              </w:rPr>
              <w:t>70 000</w:t>
            </w:r>
          </w:p>
        </w:tc>
      </w:tr>
      <w:tr w:rsidR="00000000" w:rsidRPr="00BD37CB">
        <w:trPr>
          <w:trHeight w:val="319"/>
        </w:trPr>
        <w:tc>
          <w:tcPr>
            <w:tcW w:w="692" w:type="dxa"/>
            <w:tcBorders>
              <w:top w:val="nil"/>
              <w:left w:val="nil"/>
              <w:bottom w:val="single" w:sz="4" w:space="0" w:color="auto"/>
              <w:right w:val="nil"/>
            </w:tcBorders>
            <w:vAlign w:val="bottom"/>
          </w:tcPr>
          <w:p w:rsidR="00BD37CB" w:rsidRPr="00BD37CB" w:rsidRDefault="00BD37CB">
            <w:pPr>
              <w:shd w:val="clear" w:color="000000" w:fill="auto"/>
              <w:spacing w:before="60" w:line="200" w:lineRule="exact"/>
              <w:rPr>
                <w:b/>
                <w:bCs/>
                <w:color w:val="000000"/>
                <w:sz w:val="16"/>
                <w:szCs w:val="16"/>
              </w:rPr>
            </w:pPr>
          </w:p>
        </w:tc>
        <w:tc>
          <w:tcPr>
            <w:tcW w:w="2102" w:type="dxa"/>
            <w:tcBorders>
              <w:top w:val="nil"/>
              <w:left w:val="nil"/>
              <w:bottom w:val="single" w:sz="4" w:space="0" w:color="auto"/>
              <w:right w:val="nil"/>
            </w:tcBorders>
            <w:vAlign w:val="bottom"/>
          </w:tcPr>
          <w:p w:rsidR="00BD37CB" w:rsidRPr="00BD37CB" w:rsidRDefault="00BD37CB">
            <w:pPr>
              <w:shd w:val="clear" w:color="000000" w:fill="auto"/>
              <w:spacing w:before="60" w:line="200" w:lineRule="exact"/>
              <w:rPr>
                <w:b/>
                <w:bCs/>
                <w:color w:val="000000"/>
                <w:sz w:val="16"/>
                <w:szCs w:val="16"/>
              </w:rPr>
            </w:pPr>
            <w:r w:rsidRPr="00BD37CB">
              <w:rPr>
                <w:b/>
                <w:bCs/>
                <w:color w:val="000000"/>
                <w:sz w:val="16"/>
                <w:szCs w:val="16"/>
              </w:rPr>
              <w:t>Summa</w:t>
            </w:r>
          </w:p>
        </w:tc>
        <w:tc>
          <w:tcPr>
            <w:tcW w:w="1745" w:type="dxa"/>
            <w:tcBorders>
              <w:top w:val="nil"/>
              <w:left w:val="nil"/>
              <w:bottom w:val="single" w:sz="4" w:space="0" w:color="auto"/>
              <w:right w:val="nil"/>
            </w:tcBorders>
            <w:vAlign w:val="bottom"/>
          </w:tcPr>
          <w:p w:rsidR="00BD37CB" w:rsidRPr="00BD37CB" w:rsidRDefault="00BD37CB">
            <w:pPr>
              <w:shd w:val="clear" w:color="000000" w:fill="auto"/>
              <w:spacing w:before="60" w:line="200" w:lineRule="exact"/>
              <w:ind w:right="389"/>
              <w:jc w:val="right"/>
              <w:rPr>
                <w:b/>
                <w:bCs/>
                <w:color w:val="000000"/>
                <w:sz w:val="16"/>
                <w:szCs w:val="16"/>
              </w:rPr>
            </w:pPr>
          </w:p>
        </w:tc>
        <w:tc>
          <w:tcPr>
            <w:tcW w:w="1415" w:type="dxa"/>
            <w:tcBorders>
              <w:top w:val="nil"/>
              <w:left w:val="nil"/>
              <w:bottom w:val="single" w:sz="4" w:space="0" w:color="auto"/>
              <w:right w:val="nil"/>
            </w:tcBorders>
            <w:vAlign w:val="bottom"/>
          </w:tcPr>
          <w:p w:rsidR="00BD37CB" w:rsidRPr="00BD37CB" w:rsidRDefault="00BD37CB">
            <w:pPr>
              <w:shd w:val="clear" w:color="000000" w:fill="auto"/>
              <w:spacing w:before="60" w:line="200" w:lineRule="exact"/>
              <w:ind w:right="389"/>
              <w:jc w:val="right"/>
              <w:rPr>
                <w:b/>
                <w:bCs/>
                <w:color w:val="000000"/>
                <w:sz w:val="16"/>
                <w:szCs w:val="16"/>
              </w:rPr>
            </w:pPr>
            <w:r w:rsidRPr="00BD37CB">
              <w:rPr>
                <w:b/>
                <w:bCs/>
                <w:color w:val="000000"/>
                <w:sz w:val="16"/>
                <w:szCs w:val="16"/>
              </w:rPr>
              <w:t>110 000</w:t>
            </w:r>
          </w:p>
        </w:tc>
      </w:tr>
    </w:tbl>
    <w:p w:rsidR="00BD37CB" w:rsidRPr="00BD37CB" w:rsidRDefault="00BD37CB">
      <w:pPr>
        <w:shd w:val="clear" w:color="000000" w:fill="auto"/>
      </w:pPr>
    </w:p>
    <w:p w:rsidR="00BD37CB" w:rsidRPr="00BD37CB" w:rsidRDefault="00BD37CB">
      <w:pPr>
        <w:pStyle w:val="Rubrik2"/>
        <w:shd w:val="clear" w:color="000000" w:fill="auto"/>
        <w:spacing w:before="125"/>
      </w:pPr>
      <w:r w:rsidRPr="00BD37CB">
        <w:t>Skatteverket</w:t>
      </w:r>
    </w:p>
    <w:p w:rsidR="00BD37CB" w:rsidRPr="00BD37CB" w:rsidRDefault="00BD37CB">
      <w:pPr>
        <w:shd w:val="clear" w:color="000000" w:fill="auto"/>
        <w:spacing w:before="0"/>
      </w:pPr>
      <w:r w:rsidRPr="00BD37CB">
        <w:t>Regeringen har hittills under mandatperioden varit väldigt aktiva inom ska</w:t>
      </w:r>
      <w:r w:rsidRPr="00BD37CB">
        <w:t>t</w:t>
      </w:r>
      <w:r w:rsidRPr="00BD37CB">
        <w:t>teområdet och genomfört en lång rad förslag. Åtgärderna resulterar inte bara i en orättvis fördelningsprofil utan medför också fler undantag och gränsdra</w:t>
      </w:r>
      <w:r w:rsidRPr="00BD37CB">
        <w:t>g</w:t>
      </w:r>
      <w:r w:rsidRPr="00BD37CB">
        <w:t xml:space="preserve">ningar. För Skatteverket har det inneburit många nytillkomna arbetsuppgifter och en ökad arbetsbelastning. I flera fall har myndigheten inte fått det ökade stöd man varit i behov av för att kunna säkerställa att skatter och avgifter betalas i tid och på ett rättssäkert sätt. </w:t>
      </w:r>
    </w:p>
    <w:p w:rsidR="00BD37CB" w:rsidRPr="00BD37CB" w:rsidRDefault="00BD37CB">
      <w:pPr>
        <w:pStyle w:val="Normaltindrag"/>
        <w:shd w:val="clear" w:color="000000" w:fill="auto"/>
      </w:pPr>
      <w:r w:rsidRPr="00BD37CB">
        <w:t>Enligt Skatteverkets beräkningar går staten miste om ca 133 miljarder kr</w:t>
      </w:r>
      <w:r w:rsidRPr="00BD37CB">
        <w:t>o</w:t>
      </w:r>
      <w:r w:rsidRPr="00BD37CB">
        <w:t>nor i uteblivna skatteinkomster varje år. Det är ett resultat av både medvetet skattefusk och oavsiktliga misstag, men fusket står för den största delen. För att komma till rätta med problemen krävs tydlig lagstiftning och en rad åtgä</w:t>
      </w:r>
      <w:r w:rsidRPr="00BD37CB">
        <w:t>r</w:t>
      </w:r>
      <w:r w:rsidRPr="00BD37CB">
        <w:t>der som ger myndigheter större befogenheter. Vänsterpartiet har en rad fö</w:t>
      </w:r>
      <w:r w:rsidRPr="00BD37CB">
        <w:t>r</w:t>
      </w:r>
      <w:r w:rsidRPr="00BD37CB">
        <w:t>slag på det här området som vi utvecklar mer i motion 2008/2009:Sk333. Vi menar att det också krävs ökade resurser för att kunna bekämpa det skattefusk som kommer av ekonomisk brottslighet och/eller fin</w:t>
      </w:r>
      <w:r w:rsidRPr="00BD37CB">
        <w:t xml:space="preserve">ns på det internationella området och som utgör en betydande del av skattefelet. Detta kommer av att </w:t>
      </w:r>
      <w:r w:rsidRPr="00BD37CB">
        <w:lastRenderedPageBreak/>
        <w:t>den här typen av fusk ofta sker genom invecklade transaktioner och kompl</w:t>
      </w:r>
      <w:r w:rsidRPr="00BD37CB">
        <w:t>i</w:t>
      </w:r>
      <w:r w:rsidRPr="00BD37CB">
        <w:t>cerade juridiska upplägg, och Skatteverkets utredningar blir därför omfatta</w:t>
      </w:r>
      <w:r w:rsidRPr="00BD37CB">
        <w:t>n</w:t>
      </w:r>
      <w:r w:rsidRPr="00BD37CB">
        <w:t xml:space="preserve">de och tidskrävande. </w:t>
      </w:r>
    </w:p>
    <w:p w:rsidR="00BD37CB" w:rsidRPr="00BD37CB" w:rsidRDefault="00BD37CB">
      <w:pPr>
        <w:pStyle w:val="Normaltindrag"/>
        <w:shd w:val="clear" w:color="000000" w:fill="auto"/>
      </w:pPr>
      <w:r w:rsidRPr="00BD37CB">
        <w:t xml:space="preserve">Mot bakgrund av detta föreslår vi att anslaget till Skatteverket ökas med 40 miljoner kronor årligen under 2009–2011. </w:t>
      </w:r>
    </w:p>
    <w:p w:rsidR="00BD37CB" w:rsidRPr="00BD37CB" w:rsidRDefault="00BD37CB">
      <w:pPr>
        <w:pStyle w:val="Rubrik2"/>
        <w:shd w:val="clear" w:color="000000" w:fill="auto"/>
      </w:pPr>
      <w:r w:rsidRPr="00BD37CB">
        <w:t>Kronofogdemyndigheten</w:t>
      </w:r>
    </w:p>
    <w:p w:rsidR="00BD37CB" w:rsidRPr="00BD37CB" w:rsidRDefault="00BD37CB">
      <w:pPr>
        <w:pStyle w:val="Rubrik3"/>
        <w:shd w:val="clear" w:color="000000" w:fill="auto"/>
        <w:spacing w:before="0"/>
      </w:pPr>
      <w:r w:rsidRPr="00BD37CB">
        <w:t>Kronofogdens försämrade ekonomi</w:t>
      </w:r>
    </w:p>
    <w:p w:rsidR="00BD37CB" w:rsidRPr="00BD37CB" w:rsidRDefault="00BD37CB">
      <w:pPr>
        <w:shd w:val="clear" w:color="000000" w:fill="auto"/>
      </w:pPr>
      <w:r w:rsidRPr="00BD37CB">
        <w:t xml:space="preserve">Kronofogdemyndighetens ekonomi har försämrats drastiskt. Enligt uppgift kommer myndigheten att varsla ca 150 personer runtom i landet. Orsaken sägs vara att man missbedömt de kostnader som uppstod i samband med att myndigheten skiljdes från Skatteverket och bildade en egen myndighet. Trots att arbete pågår för att göra organisationen kostnadseffektiv är det uppenbart inte tillräckligt. </w:t>
      </w:r>
    </w:p>
    <w:p w:rsidR="00BD37CB" w:rsidRPr="00BD37CB" w:rsidRDefault="00BD37CB">
      <w:pPr>
        <w:pStyle w:val="Normaltindrag"/>
        <w:shd w:val="clear" w:color="000000" w:fill="auto"/>
        <w:rPr>
          <w:color w:val="FF0000"/>
        </w:rPr>
      </w:pPr>
      <w:r w:rsidRPr="00BD37CB">
        <w:t>Kronofogdemyndighetens verksamhet är central för att bland annat driva in skulder, upprätthålla en god betalningsvilja och för att kunna arbeta med förebyggande arbete. För att förhindra uppsägningar och för att säkerställa de mål med verksamheten som framgår av budgetpropositionen för 2009 föreslår Vänsterpartiet att anslaget till Kronofogdemyndigheten ökas med 40 miljoner årligen under 2009–2011.</w:t>
      </w:r>
      <w:r w:rsidRPr="00BD37CB">
        <w:rPr>
          <w:color w:val="FF0000"/>
        </w:rPr>
        <w:t xml:space="preserve"> </w:t>
      </w:r>
    </w:p>
    <w:p w:rsidR="00BD37CB" w:rsidRPr="00BD37CB" w:rsidRDefault="00BD37CB">
      <w:pPr>
        <w:pStyle w:val="Rubrik3"/>
        <w:shd w:val="clear" w:color="000000" w:fill="auto"/>
      </w:pPr>
      <w:r w:rsidRPr="00BD37CB">
        <w:t>Statliga saneringslån</w:t>
      </w:r>
    </w:p>
    <w:p w:rsidR="00BD37CB" w:rsidRPr="00BD37CB" w:rsidRDefault="00BD37CB">
      <w:pPr>
        <w:shd w:val="clear" w:color="000000" w:fill="auto"/>
      </w:pPr>
      <w:r w:rsidRPr="00BD37CB">
        <w:t>I Finland kan den s.k. Garantistiftelsen lämna borgen åt en överskuldsatt privatperson för att hon eller han ska få ett nytt banklån och kunna betala av sina gamla skulder. Gäldenären ska efter att borgensåtagandet lämnats fullg</w:t>
      </w:r>
      <w:r w:rsidRPr="00BD37CB">
        <w:t>ö</w:t>
      </w:r>
      <w:r w:rsidRPr="00BD37CB">
        <w:t>ra sina förpliktelser gentemot banken som beviljat lånet. Om detta inte sker inträder stiftelsen som borgensman. Målet med Garantistiftelsens verksamhet är också att verka förebyggande. Borgen kan beviljas för att en kredittagare t.ex. ska kunna finansiera diverse inköp till bostaden med ett vanligt banklån. Låntagaren behöver på så vis inte teckna ett kreditavtal till oskäliga villkor varpå ytterligare överskuldsättning undviks.</w:t>
      </w:r>
    </w:p>
    <w:p w:rsidR="00BD37CB" w:rsidRPr="00BD37CB" w:rsidRDefault="00BD37CB">
      <w:pPr>
        <w:pStyle w:val="Normaltindrag"/>
        <w:shd w:val="clear" w:color="000000" w:fill="auto"/>
        <w:rPr>
          <w:color w:val="000000"/>
          <w:szCs w:val="24"/>
        </w:rPr>
      </w:pPr>
      <w:r w:rsidRPr="00BD37CB">
        <w:rPr>
          <w:color w:val="000000"/>
          <w:szCs w:val="24"/>
        </w:rPr>
        <w:t>Syftet med Garantistiftelsen är att låntagaren ska få sin ekonomi i balans oc</w:t>
      </w:r>
      <w:r w:rsidRPr="00BD37CB">
        <w:rPr>
          <w:color w:val="000000"/>
          <w:szCs w:val="24"/>
        </w:rPr>
        <w:t>h få ett slut på skuldcirkeln. Av Finansinspektionens allmänna råd framgår att en kreditgivare bör vara restriktiv med att bevilja lån för sanering av tid</w:t>
      </w:r>
      <w:r w:rsidRPr="00BD37CB">
        <w:rPr>
          <w:color w:val="000000"/>
          <w:szCs w:val="24"/>
        </w:rPr>
        <w:t>i</w:t>
      </w:r>
      <w:r w:rsidRPr="00BD37CB">
        <w:rPr>
          <w:color w:val="000000"/>
          <w:szCs w:val="24"/>
        </w:rPr>
        <w:t>gare skulder. Möjligheterna för en överskuldsatt person att på egen hand ska</w:t>
      </w:r>
      <w:r w:rsidRPr="00BD37CB">
        <w:rPr>
          <w:color w:val="000000"/>
          <w:szCs w:val="24"/>
        </w:rPr>
        <w:t>f</w:t>
      </w:r>
      <w:r w:rsidRPr="00BD37CB">
        <w:rPr>
          <w:color w:val="000000"/>
          <w:szCs w:val="24"/>
        </w:rPr>
        <w:t>fa sig ett lån till bra villkor för att sanera sin ekonomi är därför begränsade. Genom att personer med hyresskulder ges en möjlighet att teckna s.k. san</w:t>
      </w:r>
      <w:r w:rsidRPr="00BD37CB">
        <w:rPr>
          <w:color w:val="000000"/>
          <w:szCs w:val="24"/>
        </w:rPr>
        <w:t>e</w:t>
      </w:r>
      <w:r w:rsidRPr="00BD37CB">
        <w:rPr>
          <w:color w:val="000000"/>
          <w:szCs w:val="24"/>
        </w:rPr>
        <w:t>ringslån torde antalet vräkningar minska. Överskuldsatta människor skulle få möjlighet att leva ett värdigare liv med allt vad</w:t>
      </w:r>
      <w:r w:rsidRPr="00BD37CB">
        <w:rPr>
          <w:color w:val="000000"/>
          <w:szCs w:val="24"/>
        </w:rPr>
        <w:t xml:space="preserve"> det innebär i form av minskat psykiskt lidande, minskad social utslagning och hemlöshet.</w:t>
      </w:r>
    </w:p>
    <w:p w:rsidR="00BD37CB" w:rsidRPr="00BD37CB" w:rsidRDefault="00BD37CB">
      <w:pPr>
        <w:pStyle w:val="Normaltindrag"/>
        <w:shd w:val="clear" w:color="000000" w:fill="auto"/>
      </w:pPr>
      <w:r w:rsidRPr="00BD37CB">
        <w:t>Vänsterpartiet föreslår därför att Kronofogdemyndigheten får i uppdrag att hantera en verksamhet som erbjuder saneringslån. I vår budgetmotion lägger vi därför förslag på ett ökat anslag till KFM med 30, 39 respektive 45 milj</w:t>
      </w:r>
      <w:r w:rsidRPr="00BD37CB">
        <w:t>o</w:t>
      </w:r>
      <w:r w:rsidRPr="00BD37CB">
        <w:t xml:space="preserve">ner kronor avseende åren 2009–2011 för att finansiera denna verksamhet.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D37CB">
        <w:trPr>
          <w:cantSplit/>
        </w:trPr>
        <w:tc>
          <w:tcPr>
            <w:tcW w:w="3046" w:type="dxa"/>
          </w:tcPr>
          <w:p w:rsidR="00BD37CB" w:rsidRPr="00BD37CB" w:rsidRDefault="00BD37CB">
            <w:pPr>
              <w:pStyle w:val="UnderskriftDatum"/>
              <w:shd w:val="clear" w:color="000000" w:fill="auto"/>
              <w:spacing w:before="240"/>
            </w:pPr>
            <w:r w:rsidRPr="00BD37CB">
              <w:t>Stockholm den 2 oktober 2008</w:t>
            </w:r>
          </w:p>
        </w:tc>
        <w:tc>
          <w:tcPr>
            <w:tcW w:w="3047" w:type="dxa"/>
          </w:tcPr>
          <w:p w:rsidR="00BD37CB" w:rsidRPr="00BD37CB" w:rsidRDefault="00BD37CB">
            <w:pPr>
              <w:pStyle w:val="Underskrifter"/>
              <w:shd w:val="clear" w:color="000000" w:fill="auto"/>
              <w:spacing w:before="240"/>
            </w:pPr>
          </w:p>
        </w:tc>
      </w:tr>
      <w:tr w:rsidR="00000000" w:rsidRPr="00BD37CB">
        <w:trPr>
          <w:cantSplit/>
        </w:trPr>
        <w:tc>
          <w:tcPr>
            <w:tcW w:w="3046" w:type="dxa"/>
          </w:tcPr>
          <w:p w:rsidR="00BD37CB" w:rsidRPr="00BD37CB" w:rsidRDefault="00BD37CB">
            <w:pPr>
              <w:pStyle w:val="Underskrifter"/>
              <w:shd w:val="clear" w:color="000000" w:fill="auto"/>
            </w:pPr>
            <w:r w:rsidRPr="00BD37CB">
              <w:t>Lars Ohly (v)</w:t>
            </w:r>
          </w:p>
        </w:tc>
        <w:tc>
          <w:tcPr>
            <w:tcW w:w="3046" w:type="dxa"/>
          </w:tcPr>
          <w:p w:rsidR="00BD37CB" w:rsidRPr="00BD37CB" w:rsidRDefault="00BD37CB">
            <w:pPr>
              <w:pStyle w:val="Underskrifter"/>
              <w:shd w:val="clear" w:color="000000" w:fill="auto"/>
            </w:pPr>
          </w:p>
        </w:tc>
      </w:tr>
      <w:tr w:rsidR="00000000" w:rsidRPr="00BD37CB">
        <w:trPr>
          <w:cantSplit/>
        </w:trPr>
        <w:tc>
          <w:tcPr>
            <w:tcW w:w="3046" w:type="dxa"/>
          </w:tcPr>
          <w:p w:rsidR="00BD37CB" w:rsidRPr="00BD37CB" w:rsidRDefault="00BD37CB">
            <w:pPr>
              <w:pStyle w:val="Underskrifter"/>
              <w:shd w:val="clear" w:color="000000" w:fill="auto"/>
            </w:pPr>
            <w:r w:rsidRPr="00BD37CB">
              <w:t>Marianne Berg (v)</w:t>
            </w:r>
          </w:p>
        </w:tc>
        <w:tc>
          <w:tcPr>
            <w:tcW w:w="3046" w:type="dxa"/>
          </w:tcPr>
          <w:p w:rsidR="00BD37CB" w:rsidRPr="00BD37CB" w:rsidRDefault="00BD37CB">
            <w:pPr>
              <w:pStyle w:val="Underskrifter"/>
              <w:shd w:val="clear" w:color="000000" w:fill="auto"/>
            </w:pPr>
            <w:r w:rsidRPr="00BD37CB">
              <w:t>Jacob Johnson (v)</w:t>
            </w:r>
          </w:p>
        </w:tc>
      </w:tr>
      <w:tr w:rsidR="00000000" w:rsidRPr="00BD37CB">
        <w:trPr>
          <w:cantSplit/>
        </w:trPr>
        <w:tc>
          <w:tcPr>
            <w:tcW w:w="3046" w:type="dxa"/>
          </w:tcPr>
          <w:p w:rsidR="00BD37CB" w:rsidRPr="00BD37CB" w:rsidRDefault="00BD37CB">
            <w:pPr>
              <w:pStyle w:val="Underskrifter"/>
              <w:shd w:val="clear" w:color="000000" w:fill="auto"/>
            </w:pPr>
            <w:r w:rsidRPr="00BD37CB">
              <w:t>Hans Linde (v)</w:t>
            </w:r>
          </w:p>
        </w:tc>
        <w:tc>
          <w:tcPr>
            <w:tcW w:w="3046" w:type="dxa"/>
          </w:tcPr>
          <w:p w:rsidR="00BD37CB" w:rsidRPr="00BD37CB" w:rsidRDefault="00BD37CB">
            <w:pPr>
              <w:pStyle w:val="Underskrifter"/>
              <w:shd w:val="clear" w:color="000000" w:fill="auto"/>
            </w:pPr>
            <w:r w:rsidRPr="00BD37CB">
              <w:t>Elina Linna (v)</w:t>
            </w:r>
          </w:p>
        </w:tc>
      </w:tr>
      <w:tr w:rsidR="00000000" w:rsidRPr="00BD37CB">
        <w:trPr>
          <w:cantSplit/>
        </w:trPr>
        <w:tc>
          <w:tcPr>
            <w:tcW w:w="3046" w:type="dxa"/>
          </w:tcPr>
          <w:p w:rsidR="00BD37CB" w:rsidRPr="00BD37CB" w:rsidRDefault="00BD37CB">
            <w:pPr>
              <w:pStyle w:val="Underskrifter"/>
              <w:shd w:val="clear" w:color="000000" w:fill="auto"/>
            </w:pPr>
            <w:r w:rsidRPr="00BD37CB">
              <w:t>Gunilla Wahlén (v)</w:t>
            </w:r>
          </w:p>
        </w:tc>
        <w:tc>
          <w:tcPr>
            <w:tcW w:w="3046" w:type="dxa"/>
          </w:tcPr>
          <w:p w:rsidR="00BD37CB" w:rsidRPr="00BD37CB" w:rsidRDefault="00BD37CB">
            <w:pPr>
              <w:pStyle w:val="Underskrifter"/>
              <w:shd w:val="clear" w:color="000000" w:fill="auto"/>
            </w:pPr>
            <w:r w:rsidRPr="00BD37CB">
              <w:t>Alice Åström (v)</w:t>
            </w:r>
          </w:p>
        </w:tc>
      </w:tr>
      <w:tr w:rsidR="00000000" w:rsidRPr="00BD37CB">
        <w:trPr>
          <w:cantSplit/>
        </w:trPr>
        <w:tc>
          <w:tcPr>
            <w:tcW w:w="3046" w:type="dxa"/>
          </w:tcPr>
          <w:p w:rsidR="00BD37CB" w:rsidRPr="00BD37CB" w:rsidRDefault="00BD37CB">
            <w:pPr>
              <w:pStyle w:val="Underskrifter"/>
              <w:shd w:val="clear" w:color="000000" w:fill="auto"/>
            </w:pPr>
            <w:r w:rsidRPr="00BD37CB">
              <w:t>Marie Engström (v)</w:t>
            </w:r>
          </w:p>
        </w:tc>
        <w:tc>
          <w:tcPr>
            <w:tcW w:w="3046" w:type="dxa"/>
          </w:tcPr>
          <w:p w:rsidR="00BD37CB" w:rsidRPr="00BD37CB" w:rsidRDefault="00BD37CB">
            <w:pPr>
              <w:pStyle w:val="Underskrifter"/>
              <w:shd w:val="clear" w:color="000000" w:fill="auto"/>
            </w:pPr>
          </w:p>
        </w:tc>
      </w:tr>
    </w:tbl>
    <w:p w:rsidR="00BD37CB" w:rsidRPr="00BD37CB" w:rsidRDefault="00BD37CB">
      <w:pPr>
        <w:pStyle w:val="Normaltindrag"/>
        <w:shd w:val="clear" w:color="000000" w:fill="auto"/>
      </w:pPr>
    </w:p>
    <w:sectPr w:rsidR="00000000" w:rsidRPr="00BD37C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37CB" w:rsidRPr="00BD37CB" w:rsidRDefault="00BD37CB">
      <w:r w:rsidRPr="00BD37CB">
        <w:separator/>
      </w:r>
    </w:p>
  </w:endnote>
  <w:endnote w:type="continuationSeparator" w:id="0">
    <w:p w:rsidR="00BD37CB" w:rsidRPr="00BD37CB" w:rsidRDefault="00BD37CB">
      <w:r w:rsidRPr="00BD37C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7CB" w:rsidRPr="00BD37CB" w:rsidRDefault="00BD37CB">
    <w:pPr>
      <w:pStyle w:val="Sidfot"/>
    </w:pPr>
    <w:r w:rsidRPr="00BD37C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5779109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37CB" w:rsidRDefault="00BD37C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D37CB" w:rsidRDefault="00BD37C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7CB" w:rsidRPr="00BD37CB" w:rsidRDefault="00BD37CB">
    <w:pPr>
      <w:pStyle w:val="Sidfot"/>
    </w:pPr>
    <w:r w:rsidRPr="00BD37C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050874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37CB" w:rsidRDefault="00BD37C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D37CB" w:rsidRDefault="00BD37C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7CB" w:rsidRPr="00BD37CB" w:rsidRDefault="00BD37CB">
    <w:pPr>
      <w:pStyle w:val="Sidfot"/>
    </w:pPr>
    <w:r w:rsidRPr="00BD37C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24886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37CB" w:rsidRDefault="00BD37C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D37CB" w:rsidRDefault="00BD37C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37CB" w:rsidRPr="00BD37CB" w:rsidRDefault="00BD37CB">
      <w:r w:rsidRPr="00BD37CB">
        <w:separator/>
      </w:r>
    </w:p>
  </w:footnote>
  <w:footnote w:type="continuationSeparator" w:id="0">
    <w:p w:rsidR="00BD37CB" w:rsidRPr="00BD37CB" w:rsidRDefault="00BD37CB">
      <w:r w:rsidRPr="00BD37C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7CB" w:rsidRPr="00BD37CB" w:rsidRDefault="00BD37CB">
    <w:pPr>
      <w:pStyle w:val="Sidhuvud"/>
    </w:pPr>
    <w:r w:rsidRPr="00BD37C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524556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37CB" w:rsidRDefault="00BD37C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D37CB" w:rsidRDefault="00BD37C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7CB" w:rsidRPr="00BD37CB" w:rsidRDefault="00BD37CB">
    <w:pPr>
      <w:pStyle w:val="Sidhuvud"/>
    </w:pPr>
    <w:r w:rsidRPr="00BD37C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137591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37CB" w:rsidRDefault="00BD37C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D37CB" w:rsidRDefault="00BD37C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7CB" w:rsidRPr="00BD37CB" w:rsidRDefault="00BD37CB">
    <w:pPr>
      <w:pStyle w:val="FSHNormal"/>
      <w:tabs>
        <w:tab w:val="right" w:pos="5840"/>
      </w:tabs>
    </w:pPr>
    <w:r w:rsidRPr="00BD37CB">
      <w:br/>
    </w:r>
    <w:r w:rsidRPr="00BD37CB">
      <w:fldChar w:fldCharType="begin" w:fldLock="1"/>
    </w:r>
    <w:r w:rsidRPr="00BD37CB">
      <w:instrText xml:space="preserve"> DOCPROPERTY</w:instrText>
    </w:r>
    <w:r w:rsidRPr="00BD37CB">
      <w:rPr>
        <w:sz w:val="18"/>
      </w:rPr>
      <w:instrText xml:space="preserve"> "YearUser" *\charformat </w:instrText>
    </w:r>
    <w:r w:rsidRPr="00BD37CB">
      <w:fldChar w:fldCharType="separate"/>
    </w:r>
    <w:r w:rsidRPr="00BD37CB">
      <w:t>2008/09</w:t>
    </w:r>
    <w:r w:rsidRPr="00BD37CB">
      <w:fldChar w:fldCharType="end"/>
    </w:r>
    <w:r w:rsidRPr="00BD37CB">
      <w:t xml:space="preserve"> </w:t>
    </w:r>
    <w:r w:rsidRPr="00BD37CB">
      <w:tab/>
      <w:t xml:space="preserve">mnr: </w:t>
    </w:r>
    <w:r w:rsidRPr="00BD37CB">
      <w:fldChar w:fldCharType="begin" w:fldLock="1"/>
    </w:r>
    <w:r w:rsidRPr="00BD37CB">
      <w:instrText xml:space="preserve"> DOCPROPERTY</w:instrText>
    </w:r>
    <w:r w:rsidRPr="00BD37CB">
      <w:rPr>
        <w:sz w:val="18"/>
      </w:rPr>
      <w:instrText xml:space="preserve"> "Motionsnummer" *\charformat </w:instrText>
    </w:r>
    <w:r w:rsidRPr="00BD37CB">
      <w:fldChar w:fldCharType="separate"/>
    </w:r>
    <w:r w:rsidRPr="00BD37CB">
      <w:t>Sk313</w:t>
    </w:r>
    <w:r w:rsidRPr="00BD37CB">
      <w:fldChar w:fldCharType="end"/>
    </w:r>
    <w:r w:rsidRPr="00BD37CB">
      <w:br/>
    </w:r>
    <w:r w:rsidRPr="00BD37CB">
      <w:fldChar w:fldCharType="begin" w:fldLock="1"/>
    </w:r>
    <w:r w:rsidRPr="00BD37CB">
      <w:instrText xml:space="preserve"> DOCPROPERTY</w:instrText>
    </w:r>
    <w:r w:rsidRPr="00BD37CB">
      <w:rPr>
        <w:sz w:val="18"/>
      </w:rPr>
      <w:instrText xml:space="preserve"> "Samling" *\charformat </w:instrText>
    </w:r>
    <w:r w:rsidRPr="00BD37CB">
      <w:fldChar w:fldCharType="end"/>
    </w:r>
    <w:r w:rsidRPr="00BD37CB">
      <w:tab/>
      <w:t xml:space="preserve">pnr: </w:t>
    </w:r>
    <w:r w:rsidRPr="00BD37CB">
      <w:fldChar w:fldCharType="begin" w:fldLock="1"/>
    </w:r>
    <w:r w:rsidRPr="00BD37CB">
      <w:instrText xml:space="preserve"> DOCPROPERTY</w:instrText>
    </w:r>
    <w:r w:rsidRPr="00BD37CB">
      <w:rPr>
        <w:sz w:val="18"/>
      </w:rPr>
      <w:instrText xml:space="preserve"> "Partinummer" *\charformat </w:instrText>
    </w:r>
    <w:r w:rsidRPr="00BD37CB">
      <w:fldChar w:fldCharType="separate"/>
    </w:r>
    <w:r w:rsidRPr="00BD37CB">
      <w:t>v632</w:t>
    </w:r>
    <w:r w:rsidRPr="00BD37CB">
      <w:fldChar w:fldCharType="end"/>
    </w:r>
  </w:p>
  <w:p w:rsidR="00BD37CB" w:rsidRPr="00BD37CB" w:rsidRDefault="00BD37CB">
    <w:pPr>
      <w:pStyle w:val="FSHRub1"/>
    </w:pPr>
    <w:r w:rsidRPr="00BD37CB">
      <w:t>Motion till riksdagen</w:t>
    </w:r>
    <w:r w:rsidRPr="00BD37CB">
      <w:br/>
    </w:r>
    <w:r w:rsidRPr="00BD37CB">
      <w:fldChar w:fldCharType="begin" w:fldLock="1"/>
    </w:r>
    <w:r w:rsidRPr="00BD37CB">
      <w:instrText xml:space="preserve"> DOCPROPERTY "YearUser" *\charformat </w:instrText>
    </w:r>
    <w:r w:rsidRPr="00BD37CB">
      <w:fldChar w:fldCharType="separate"/>
    </w:r>
    <w:r w:rsidRPr="00BD37CB">
      <w:t>2008/09</w:t>
    </w:r>
    <w:r w:rsidRPr="00BD37CB">
      <w:fldChar w:fldCharType="end"/>
    </w:r>
    <w:r w:rsidRPr="00BD37CB">
      <w:t>:</w:t>
    </w:r>
    <w:r w:rsidRPr="00BD37CB">
      <w:fldChar w:fldCharType="begin" w:fldLock="1"/>
    </w:r>
    <w:r w:rsidRPr="00BD37CB">
      <w:instrText xml:space="preserve"> DOCPROPERTY "Motionsnummer" *\charformat </w:instrText>
    </w:r>
    <w:r w:rsidRPr="00BD37CB">
      <w:fldChar w:fldCharType="separate"/>
    </w:r>
    <w:r w:rsidRPr="00BD37CB">
      <w:t>Sk313</w:t>
    </w:r>
    <w:r w:rsidRPr="00BD37CB">
      <w:fldChar w:fldCharType="end"/>
    </w:r>
  </w:p>
  <w:p w:rsidR="00BD37CB" w:rsidRPr="00BD37CB" w:rsidRDefault="00BD37CB">
    <w:pPr>
      <w:pStyle w:val="FSHNormalS5"/>
    </w:pPr>
    <w:r w:rsidRPr="00BD37CB">
      <w:fldChar w:fldCharType="begin" w:fldLock="1"/>
    </w:r>
    <w:r w:rsidRPr="00BD37CB">
      <w:instrText xml:space="preserve"> DOCPROPERTY "MotionarText" *\charformat </w:instrText>
    </w:r>
    <w:r w:rsidRPr="00BD37CB">
      <w:fldChar w:fldCharType="separate"/>
    </w:r>
    <w:r w:rsidRPr="00BD37CB">
      <w:t>av Lars Ohly m.fl. (v)</w:t>
    </w:r>
    <w:r w:rsidRPr="00BD37CB">
      <w:fldChar w:fldCharType="end"/>
    </w:r>
    <w:r w:rsidRPr="00BD37CB">
      <w:br/>
    </w:r>
    <w:r w:rsidRPr="00BD37CB">
      <w:fldChar w:fldCharType="begin" w:fldLock="1"/>
    </w:r>
    <w:r w:rsidRPr="00BD37CB">
      <w:instrText xml:space="preserve"> DOCPROPERTY "SvarFrasKort" *\charformat </w:instrText>
    </w:r>
    <w:r w:rsidRPr="00BD37CB">
      <w:fldChar w:fldCharType="end"/>
    </w:r>
  </w:p>
  <w:p w:rsidR="00BD37CB" w:rsidRPr="00BD37CB" w:rsidRDefault="00BD37CB">
    <w:pPr>
      <w:pStyle w:val="FSHTitel"/>
    </w:pPr>
    <w:r w:rsidRPr="00BD37CB">
      <w:fldChar w:fldCharType="begin" w:fldLock="1"/>
    </w:r>
    <w:r w:rsidRPr="00BD37CB">
      <w:instrText xml:space="preserve"> DOCPROPERTY</w:instrText>
    </w:r>
    <w:r w:rsidRPr="00BD37CB">
      <w:rPr>
        <w:sz w:val="18"/>
      </w:rPr>
      <w:instrText xml:space="preserve"> "RubrikSvar" *\charformat </w:instrText>
    </w:r>
    <w:r w:rsidRPr="00BD37CB">
      <w:fldChar w:fldCharType="separate"/>
    </w:r>
    <w:r w:rsidRPr="00BD37CB">
      <w:t>Utgiftsområde 3 Skatt, tull och exekution</w:t>
    </w:r>
    <w:r w:rsidRPr="00BD37CB">
      <w:fldChar w:fldCharType="end"/>
    </w:r>
  </w:p>
  <w:p w:rsidR="00BD37CB" w:rsidRPr="00BD37CB" w:rsidRDefault="00BD37CB">
    <w:pPr>
      <w:pStyle w:val="Normal00"/>
    </w:pPr>
  </w:p>
  <w:p w:rsidR="00BD37CB" w:rsidRPr="00BD37CB" w:rsidRDefault="00BD37C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7FBEFD26">
      <w:start w:val="1"/>
      <w:numFmt w:val="decimal"/>
      <w:lvlText w:val="%1."/>
      <w:lvlJc w:val="left"/>
      <w:pPr>
        <w:tabs>
          <w:tab w:val="num" w:pos="340"/>
        </w:tabs>
        <w:ind w:left="340" w:hanging="340"/>
      </w:pPr>
      <w:rPr>
        <w:rFonts w:cs="Times New Roman"/>
      </w:rPr>
    </w:lvl>
    <w:lvl w:ilvl="1" w:tplc="2480994A" w:tentative="1">
      <w:start w:val="1"/>
      <w:numFmt w:val="lowerLetter"/>
      <w:lvlText w:val="%2."/>
      <w:lvlJc w:val="left"/>
      <w:pPr>
        <w:tabs>
          <w:tab w:val="num" w:pos="1440"/>
        </w:tabs>
        <w:ind w:left="1440" w:hanging="360"/>
      </w:pPr>
      <w:rPr>
        <w:rFonts w:cs="Times New Roman"/>
      </w:rPr>
    </w:lvl>
    <w:lvl w:ilvl="2" w:tplc="3692E6AA" w:tentative="1">
      <w:start w:val="1"/>
      <w:numFmt w:val="lowerRoman"/>
      <w:lvlText w:val="%3."/>
      <w:lvlJc w:val="right"/>
      <w:pPr>
        <w:tabs>
          <w:tab w:val="num" w:pos="2160"/>
        </w:tabs>
        <w:ind w:left="2160" w:hanging="180"/>
      </w:pPr>
      <w:rPr>
        <w:rFonts w:cs="Times New Roman"/>
      </w:rPr>
    </w:lvl>
    <w:lvl w:ilvl="3" w:tplc="9F786E1C" w:tentative="1">
      <w:start w:val="1"/>
      <w:numFmt w:val="decimal"/>
      <w:lvlText w:val="%4."/>
      <w:lvlJc w:val="left"/>
      <w:pPr>
        <w:tabs>
          <w:tab w:val="num" w:pos="2880"/>
        </w:tabs>
        <w:ind w:left="2880" w:hanging="360"/>
      </w:pPr>
      <w:rPr>
        <w:rFonts w:cs="Times New Roman"/>
      </w:rPr>
    </w:lvl>
    <w:lvl w:ilvl="4" w:tplc="B81C8536" w:tentative="1">
      <w:start w:val="1"/>
      <w:numFmt w:val="lowerLetter"/>
      <w:lvlText w:val="%5."/>
      <w:lvlJc w:val="left"/>
      <w:pPr>
        <w:tabs>
          <w:tab w:val="num" w:pos="3600"/>
        </w:tabs>
        <w:ind w:left="3600" w:hanging="360"/>
      </w:pPr>
      <w:rPr>
        <w:rFonts w:cs="Times New Roman"/>
      </w:rPr>
    </w:lvl>
    <w:lvl w:ilvl="5" w:tplc="0F40721E" w:tentative="1">
      <w:start w:val="1"/>
      <w:numFmt w:val="lowerRoman"/>
      <w:lvlText w:val="%6."/>
      <w:lvlJc w:val="right"/>
      <w:pPr>
        <w:tabs>
          <w:tab w:val="num" w:pos="4320"/>
        </w:tabs>
        <w:ind w:left="4320" w:hanging="180"/>
      </w:pPr>
      <w:rPr>
        <w:rFonts w:cs="Times New Roman"/>
      </w:rPr>
    </w:lvl>
    <w:lvl w:ilvl="6" w:tplc="4F7805DC" w:tentative="1">
      <w:start w:val="1"/>
      <w:numFmt w:val="decimal"/>
      <w:lvlText w:val="%7."/>
      <w:lvlJc w:val="left"/>
      <w:pPr>
        <w:tabs>
          <w:tab w:val="num" w:pos="5040"/>
        </w:tabs>
        <w:ind w:left="5040" w:hanging="360"/>
      </w:pPr>
      <w:rPr>
        <w:rFonts w:cs="Times New Roman"/>
      </w:rPr>
    </w:lvl>
    <w:lvl w:ilvl="7" w:tplc="455C318C" w:tentative="1">
      <w:start w:val="1"/>
      <w:numFmt w:val="lowerLetter"/>
      <w:lvlText w:val="%8."/>
      <w:lvlJc w:val="left"/>
      <w:pPr>
        <w:tabs>
          <w:tab w:val="num" w:pos="5760"/>
        </w:tabs>
        <w:ind w:left="5760" w:hanging="360"/>
      </w:pPr>
      <w:rPr>
        <w:rFonts w:cs="Times New Roman"/>
      </w:rPr>
    </w:lvl>
    <w:lvl w:ilvl="8" w:tplc="2CB0D4BA" w:tentative="1">
      <w:start w:val="1"/>
      <w:numFmt w:val="lowerRoman"/>
      <w:lvlText w:val="%9."/>
      <w:lvlJc w:val="right"/>
      <w:pPr>
        <w:tabs>
          <w:tab w:val="num" w:pos="6480"/>
        </w:tabs>
        <w:ind w:left="6480" w:hanging="180"/>
      </w:pPr>
      <w:rPr>
        <w:rFonts w:cs="Times New Roman"/>
      </w:rPr>
    </w:lvl>
  </w:abstractNum>
  <w:abstractNum w:abstractNumId="14" w15:restartNumberingAfterBreak="0">
    <w:nsid w:val="723D6CF1"/>
    <w:multiLevelType w:val="multilevel"/>
    <w:tmpl w:val="A97ED830"/>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641272009">
    <w:abstractNumId w:val="8"/>
  </w:num>
  <w:num w:numId="2" w16cid:durableId="1164586939">
    <w:abstractNumId w:val="9"/>
  </w:num>
  <w:num w:numId="3" w16cid:durableId="1718233827">
    <w:abstractNumId w:val="8"/>
  </w:num>
  <w:num w:numId="4" w16cid:durableId="1863736413">
    <w:abstractNumId w:val="9"/>
  </w:num>
  <w:num w:numId="5" w16cid:durableId="786463307">
    <w:abstractNumId w:val="13"/>
  </w:num>
  <w:num w:numId="6" w16cid:durableId="1617131092">
    <w:abstractNumId w:val="10"/>
  </w:num>
  <w:num w:numId="7" w16cid:durableId="1437018410">
    <w:abstractNumId w:val="11"/>
  </w:num>
  <w:num w:numId="8" w16cid:durableId="1874884110">
    <w:abstractNumId w:val="12"/>
  </w:num>
  <w:num w:numId="9" w16cid:durableId="1235241602">
    <w:abstractNumId w:val="8"/>
  </w:num>
  <w:num w:numId="10" w16cid:durableId="465783361">
    <w:abstractNumId w:val="3"/>
  </w:num>
  <w:num w:numId="11" w16cid:durableId="1804957370">
    <w:abstractNumId w:val="2"/>
  </w:num>
  <w:num w:numId="12" w16cid:durableId="159320098">
    <w:abstractNumId w:val="1"/>
  </w:num>
  <w:num w:numId="13" w16cid:durableId="635069795">
    <w:abstractNumId w:val="0"/>
  </w:num>
  <w:num w:numId="14" w16cid:durableId="1455170414">
    <w:abstractNumId w:val="9"/>
  </w:num>
  <w:num w:numId="15" w16cid:durableId="1856840802">
    <w:abstractNumId w:val="7"/>
  </w:num>
  <w:num w:numId="16" w16cid:durableId="1899129400">
    <w:abstractNumId w:val="6"/>
  </w:num>
  <w:num w:numId="17" w16cid:durableId="830028010">
    <w:abstractNumId w:val="5"/>
  </w:num>
  <w:num w:numId="18" w16cid:durableId="359084892">
    <w:abstractNumId w:val="4"/>
  </w:num>
  <w:num w:numId="19" w16cid:durableId="35612858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2"/>
    <w:docVar w:name="PersonGUIDs" w:val="{F1A2565D-4D2F-4887-9B1D-3D7BE825DA8C},{25384487-954A-4B3D-A759-FB67661DCC6F},{70ED92E7-062B-44F5-98C0-1732E6D079B7},{88576935-7337-4AFA-923F-6E59D33EEBED},{8B923F15-4996-4696-A089-6A5BE8BF8E1B},{233588E7-F7BD-4F60-BEE5-22A19EE80FB2},{7E0BF71E-CD03-4DBF-9F51-3B5B798F2741},{494960E9-BA36-4AC1-BBDB-126FB51B6387}"/>
  </w:docVars>
  <w:rsids>
    <w:rsidRoot w:val="00F55504"/>
    <w:rsid w:val="00BD37CB"/>
    <w:rsid w:val="00F5550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95B059E5-C919-413B-BDDB-BA9B820BC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19"/>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character" w:customStyle="1" w:styleId="brodtext1">
    <w:name w:val="brodtext1"/>
    <w:basedOn w:val="Standardstycketeckensnitt"/>
    <w:rPr>
      <w:rFonts w:ascii="Verdana" w:hAnsi="Verdana"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883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660</Words>
  <Characters>3855</Characters>
  <Application>Microsoft Office Word</Application>
  <DocSecurity>4</DocSecurity>
  <Lines>94</Lines>
  <Paragraphs>41</Paragraphs>
  <ScaleCrop>false</ScaleCrop>
  <HeadingPairs>
    <vt:vector size="2" baseType="variant">
      <vt:variant>
        <vt:lpstr>Rubrik</vt:lpstr>
      </vt:variant>
      <vt:variant>
        <vt:i4>1</vt:i4>
      </vt:variant>
    </vt:vector>
  </HeadingPairs>
  <TitlesOfParts>
    <vt:vector size="1" baseType="lpstr">
      <vt:lpstr>v632</vt:lpstr>
    </vt:vector>
  </TitlesOfParts>
  <Company>Riksdagen</Company>
  <LinksUpToDate>false</LinksUpToDate>
  <CharactersWithSpaces>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v632</dc:title>
  <dc:subject>v632</dc:subject>
  <dc:creator>Riksdagen</dc:creator>
  <cp:keywords>Riksdagen</cp:keywords>
  <dc:description>TKG-ktrl, MSMQ4mb, PersReg-Distribution mm b-&gt;ny fplogga</dc:description>
  <cp:lastModifiedBy>Lars Brink</cp:lastModifiedBy>
  <cp:revision>2</cp:revision>
  <cp:lastPrinted>2009-02-18T16:44:00Z</cp:lastPrinted>
  <dcterms:created xsi:type="dcterms:W3CDTF">2025-12-17T18:23:00Z</dcterms:created>
  <dcterms:modified xsi:type="dcterms:W3CDTF">2025-12-17T18:23:00Z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mot2000_495_2008-09-22</vt:lpwstr>
  </property>
  <property fmtid="{D5CDD505-2E9C-101B-9397-08002B2CF9AE}" pid="3" name="version">
    <vt:lpwstr>mot2000_495_2008-09-22</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Utgiftsområde 3 Skatt, tull och exekution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3 Skatt, tull och exekution</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v632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Ohly m.fl. (v)</vt:lpwstr>
  </property>
  <property fmtid="{D5CDD505-2E9C-101B-9397-08002B2CF9AE}" pid="26" name="MotionarLista">
    <vt:lpwstr>Ohly, Lars (v)\Berg, Marianne (v)\Johnson, Jacob (v)\Linde, Hans (v)\Linna, Elina (v)\Wahlén, Gunilla (v)\Åström, Alice (v)\Engström, Marie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Marianne Berg (v), Jacob Johnson (v), Hans Linde (v), Elina Linna (v), Gunilla Wahlén (v), Alice Åström (v), Marie Engström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Sk313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20082009000000000118000006320080</vt:lpwstr>
  </property>
  <property fmtid="{D5CDD505-2E9C-101B-9397-08002B2CF9AE}" pid="47" name="datum">
    <vt:lpwstr>081002</vt:lpwstr>
  </property>
  <property fmtid="{D5CDD505-2E9C-101B-9397-08002B2CF9AE}" pid="48" name="avsändar-e-post">
    <vt:lpwstr>maya.ek@riksdagen.se</vt:lpwstr>
  </property>
  <property fmtid="{D5CDD505-2E9C-101B-9397-08002B2CF9AE}" pid="49" name="id">
    <vt:lpwstr>20082009000000000118000006320080</vt:lpwstr>
  </property>
  <property fmtid="{D5CDD505-2E9C-101B-9397-08002B2CF9AE}" pid="50" name="nummer">
    <vt:lpwstr>313</vt:lpwstr>
  </property>
  <property fmtid="{D5CDD505-2E9C-101B-9397-08002B2CF9AE}" pid="51" name="utskottsbeteckning">
    <vt:lpwstr>Sk</vt:lpwstr>
  </property>
  <property fmtid="{D5CDD505-2E9C-101B-9397-08002B2CF9AE}" pid="52" name="GlobalUID">
    <vt:lpwstr>{5A02053D-C363-4872-BEEA-B389BCFEA2DA}</vt:lpwstr>
  </property>
  <property fmtid="{D5CDD505-2E9C-101B-9397-08002B2CF9AE}" pid="53" name="Överföringar">
    <vt:i4>0</vt:i4>
  </property>
  <property fmtid="{D5CDD505-2E9C-101B-9397-08002B2CF9AE}" pid="54" name="Checksum">
    <vt:lpwstr>*1018348154667*</vt:lpwstr>
  </property>
  <property fmtid="{D5CDD505-2E9C-101B-9397-08002B2CF9AE}" pid="55" name="skuggnummer">
    <vt:lpwstr>1736</vt:lpwstr>
  </property>
  <property fmtid="{D5CDD505-2E9C-101B-9397-08002B2CF9AE}" pid="56" name="urixVersion">
    <vt:lpwstr>3.2.0.8</vt:lpwstr>
  </property>
  <property fmtid="{D5CDD505-2E9C-101B-9397-08002B2CF9AE}" pid="57" name="urixOrigin">
    <vt:lpwstr>090402 14:04:43.060</vt:lpwstr>
  </property>
  <property fmtid="{D5CDD505-2E9C-101B-9397-08002B2CF9AE}" pid="58" name="urixGuid">
    <vt:lpwstr>{F1AEA17E-2950-4FDB-B3CA-8E78F947502C}</vt:lpwstr>
  </property>
</Properties>
</file>