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F3F4E">
        <w:tblPrEx>
          <w:tblCellMar>
            <w:top w:w="0" w:type="dxa"/>
            <w:bottom w:w="0" w:type="dxa"/>
          </w:tblCellMar>
        </w:tblPrEx>
        <w:trPr>
          <w:cantSplit/>
          <w:trHeight w:val="1720"/>
        </w:trPr>
        <w:tc>
          <w:tcPr>
            <w:tcW w:w="6024" w:type="dxa"/>
            <w:gridSpan w:val="2"/>
          </w:tcPr>
          <w:p w:rsidR="004403F1" w:rsidRPr="006F3F4E" w:rsidRDefault="004403F1">
            <w:pPr>
              <w:pStyle w:val="HuvudRubrik"/>
            </w:pPr>
            <w:r w:rsidRPr="006F3F4E">
              <w:t>Försvarsutskottets yttrande</w:t>
            </w:r>
          </w:p>
          <w:p w:rsidR="004403F1" w:rsidRPr="006F3F4E" w:rsidRDefault="004403F1">
            <w:pPr>
              <w:pStyle w:val="HuvudRubrikRad2"/>
            </w:pPr>
            <w:bookmarkStart w:id="0" w:name="BetänkandeNr"/>
            <w:bookmarkEnd w:id="0"/>
            <w:r w:rsidRPr="006F3F4E">
              <w:t>2003/04:FöU1y</w:t>
            </w:r>
          </w:p>
        </w:tc>
        <w:tc>
          <w:tcPr>
            <w:tcW w:w="1418" w:type="dxa"/>
            <w:tcBorders>
              <w:bottom w:val="nil"/>
            </w:tcBorders>
          </w:tcPr>
          <w:p w:rsidR="004403F1" w:rsidRPr="006F3F4E" w:rsidRDefault="006F3F4E">
            <w:pPr>
              <w:spacing w:line="230" w:lineRule="auto"/>
              <w:jc w:val="center"/>
            </w:pPr>
            <w:r w:rsidRPr="006F3F4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403F1" w:rsidRPr="006F3F4E" w:rsidRDefault="004403F1">
            <w:pPr>
              <w:pStyle w:val="Normaltindrag"/>
              <w:jc w:val="center"/>
            </w:pPr>
          </w:p>
          <w:p w:rsidR="004403F1" w:rsidRPr="006F3F4E" w:rsidRDefault="004403F1">
            <w:pPr>
              <w:pStyle w:val="StatusSida1"/>
            </w:pPr>
          </w:p>
          <w:p w:rsidR="004403F1" w:rsidRPr="006F3F4E" w:rsidRDefault="004403F1">
            <w:pPr>
              <w:pStyle w:val="UtskriftsdatumSida1"/>
              <w:framePr w:wrap="around"/>
            </w:pPr>
          </w:p>
        </w:tc>
      </w:tr>
      <w:tr w:rsidR="00000000" w:rsidRPr="006F3F4E">
        <w:tblPrEx>
          <w:tblCellMar>
            <w:top w:w="0" w:type="dxa"/>
            <w:bottom w:w="0" w:type="dxa"/>
          </w:tblCellMar>
        </w:tblPrEx>
        <w:trPr>
          <w:cantSplit/>
        </w:trPr>
        <w:tc>
          <w:tcPr>
            <w:tcW w:w="6024" w:type="dxa"/>
            <w:gridSpan w:val="2"/>
            <w:tcBorders>
              <w:bottom w:val="single" w:sz="4" w:space="0" w:color="auto"/>
            </w:tcBorders>
          </w:tcPr>
          <w:p w:rsidR="004403F1" w:rsidRPr="006F3F4E" w:rsidRDefault="004403F1">
            <w:pPr>
              <w:pStyle w:val="DokumentRubrik"/>
              <w:rPr>
                <w:noProof w:val="0"/>
              </w:rPr>
            </w:pPr>
            <w:bookmarkStart w:id="1" w:name="Huvudrubrik"/>
            <w:bookmarkEnd w:id="1"/>
            <w:r w:rsidRPr="006F3F4E">
              <w:rPr>
                <w:noProof w:val="0"/>
              </w:rPr>
              <w:t>Utgiftsområde 6 Försvar samt beredskap mot sårbarhet</w:t>
            </w:r>
          </w:p>
        </w:tc>
        <w:tc>
          <w:tcPr>
            <w:tcW w:w="1418" w:type="dxa"/>
            <w:tcBorders>
              <w:bottom w:val="nil"/>
            </w:tcBorders>
          </w:tcPr>
          <w:p w:rsidR="004403F1" w:rsidRPr="006F3F4E" w:rsidRDefault="004403F1"/>
        </w:tc>
      </w:tr>
      <w:tr w:rsidR="00000000" w:rsidRPr="006F3F4E">
        <w:tblPrEx>
          <w:tblCellMar>
            <w:top w:w="0" w:type="dxa"/>
            <w:bottom w:w="0" w:type="dxa"/>
          </w:tblCellMar>
        </w:tblPrEx>
        <w:trPr>
          <w:cantSplit/>
          <w:trHeight w:hRule="exact" w:val="360"/>
        </w:trPr>
        <w:tc>
          <w:tcPr>
            <w:tcW w:w="3012" w:type="dxa"/>
          </w:tcPr>
          <w:p w:rsidR="004403F1" w:rsidRPr="006F3F4E" w:rsidRDefault="004403F1"/>
          <w:p w:rsidR="004403F1" w:rsidRPr="006F3F4E" w:rsidRDefault="004403F1">
            <w:pPr>
              <w:pStyle w:val="Normaltindrag"/>
            </w:pPr>
          </w:p>
        </w:tc>
        <w:tc>
          <w:tcPr>
            <w:tcW w:w="3012" w:type="dxa"/>
          </w:tcPr>
          <w:p w:rsidR="004403F1" w:rsidRPr="006F3F4E" w:rsidRDefault="004403F1"/>
        </w:tc>
        <w:tc>
          <w:tcPr>
            <w:tcW w:w="1418" w:type="dxa"/>
          </w:tcPr>
          <w:p w:rsidR="004403F1" w:rsidRPr="006F3F4E" w:rsidRDefault="004403F1"/>
        </w:tc>
      </w:tr>
    </w:tbl>
    <w:p w:rsidR="004403F1" w:rsidRPr="006F3F4E" w:rsidRDefault="004403F1">
      <w:pPr>
        <w:pStyle w:val="Rubrik1"/>
        <w:rPr>
          <w:noProof w:val="0"/>
        </w:rPr>
      </w:pPr>
      <w:bookmarkStart w:id="2" w:name="_Toc54672756"/>
      <w:r w:rsidRPr="006F3F4E">
        <w:rPr>
          <w:noProof w:val="0"/>
        </w:rPr>
        <w:t>Till finansutskottet</w:t>
      </w:r>
      <w:bookmarkEnd w:id="2"/>
    </w:p>
    <w:p w:rsidR="004403F1" w:rsidRPr="006F3F4E" w:rsidRDefault="004403F1">
      <w:pPr>
        <w:spacing w:before="0"/>
      </w:pPr>
      <w:bookmarkStart w:id="3" w:name="TextStart"/>
      <w:bookmarkEnd w:id="3"/>
      <w:r w:rsidRPr="006F3F4E">
        <w:t>Finansutskottet har berett berörda utskott tillfälle att avge yttrande över pr</w:t>
      </w:r>
      <w:r w:rsidRPr="006F3F4E">
        <w:t>o</w:t>
      </w:r>
      <w:r w:rsidRPr="006F3F4E">
        <w:t xml:space="preserve">position 2003/04:1 Budgetpropositionen för 2004 (volym 1) i vad avser bl.a. utgifternas fördelning på utgiftsområden jämte motioner. </w:t>
      </w:r>
    </w:p>
    <w:p w:rsidR="004403F1" w:rsidRPr="006F3F4E" w:rsidRDefault="004403F1">
      <w:r w:rsidRPr="006F3F4E">
        <w:t xml:space="preserve">Försvarsutskottet behandlar i detta yttrande förslagen i budgetpropositionen och tillhörande motioner som avser ramen för utgiftsområde 6 </w:t>
      </w:r>
      <w:r w:rsidRPr="006F3F4E">
        <w:rPr>
          <w:i/>
        </w:rPr>
        <w:t>Försvar samt beredskap mot sårbarhet</w:t>
      </w:r>
      <w:r w:rsidRPr="006F3F4E">
        <w:t>.</w:t>
      </w:r>
    </w:p>
    <w:p w:rsidR="004403F1" w:rsidRPr="006F3F4E" w:rsidRDefault="004403F1">
      <w:pPr>
        <w:pStyle w:val="Rubrik1"/>
        <w:spacing w:before="375"/>
        <w:rPr>
          <w:noProof w:val="0"/>
        </w:rPr>
      </w:pPr>
      <w:bookmarkStart w:id="4" w:name="_Toc54672757"/>
      <w:r w:rsidRPr="006F3F4E">
        <w:rPr>
          <w:noProof w:val="0"/>
        </w:rPr>
        <w:t>Regeringen</w:t>
      </w:r>
      <w:bookmarkEnd w:id="4"/>
    </w:p>
    <w:p w:rsidR="004403F1" w:rsidRPr="006F3F4E" w:rsidRDefault="004403F1">
      <w:pPr>
        <w:pStyle w:val="R3"/>
        <w:spacing w:before="0"/>
      </w:pPr>
      <w:r w:rsidRPr="006F3F4E">
        <w:t>Ramar för utgiftsområdet</w:t>
      </w:r>
    </w:p>
    <w:p w:rsidR="004403F1" w:rsidRPr="006F3F4E" w:rsidRDefault="004403F1">
      <w:r w:rsidRPr="006F3F4E">
        <w:t>Utgiftsområde 6 Försvar samt beredskap mot sårbarhet omfattar politikomr</w:t>
      </w:r>
      <w:r w:rsidRPr="006F3F4E">
        <w:t>å</w:t>
      </w:r>
      <w:r w:rsidRPr="006F3F4E">
        <w:t xml:space="preserve">dena </w:t>
      </w:r>
    </w:p>
    <w:p w:rsidR="004403F1" w:rsidRPr="006F3F4E" w:rsidRDefault="004403F1">
      <w:pPr>
        <w:numPr>
          <w:ilvl w:val="0"/>
          <w:numId w:val="4"/>
        </w:numPr>
      </w:pPr>
      <w:r w:rsidRPr="006F3F4E">
        <w:t xml:space="preserve">totalförsvar samt </w:t>
      </w:r>
    </w:p>
    <w:p w:rsidR="004403F1" w:rsidRPr="006F3F4E" w:rsidRDefault="004403F1">
      <w:pPr>
        <w:numPr>
          <w:ilvl w:val="0"/>
          <w:numId w:val="4"/>
        </w:numPr>
      </w:pPr>
      <w:r w:rsidRPr="006F3F4E">
        <w:t>skydd och beredskap mot olyckor och svåra påfrestnin</w:t>
      </w:r>
      <w:r w:rsidRPr="006F3F4E">
        <w:t>g</w:t>
      </w:r>
      <w:r w:rsidRPr="006F3F4E">
        <w:t>ar.</w:t>
      </w:r>
    </w:p>
    <w:p w:rsidR="004403F1" w:rsidRPr="006F3F4E" w:rsidRDefault="004403F1">
      <w:r w:rsidRPr="006F3F4E">
        <w:t xml:space="preserve">Regeringen föreslår att till utgiftsområdet anvisas 44 331 miljoner kronor för år 2004. </w:t>
      </w:r>
    </w:p>
    <w:p w:rsidR="004403F1" w:rsidRPr="006F3F4E" w:rsidRDefault="004403F1">
      <w:pPr>
        <w:pStyle w:val="Normaltindrag"/>
      </w:pPr>
      <w:r w:rsidRPr="006F3F4E">
        <w:t>I förhållande till den ram som anvisats för år 2003 minskar utgifterna med 371 miljoner kronor år 2004. Förändringen förklaras huvudsakligen av a</w:t>
      </w:r>
      <w:r w:rsidRPr="006F3F4E">
        <w:t>n</w:t>
      </w:r>
      <w:r w:rsidRPr="006F3F4E">
        <w:t>slagsminskningar till följd av gällande försvarsbeslut, finansieringen av ett nytt radiosystem för skydd och säkerhet och införande av lånefinansiering av investeringar för Försvarets radioanstalt. Anslagsökningar förklaras av pris- och löneomräkning och ökade utgifter för Kustbevakningen för miljööve</w:t>
      </w:r>
      <w:r w:rsidRPr="006F3F4E">
        <w:t>r</w:t>
      </w:r>
      <w:r w:rsidRPr="006F3F4E">
        <w:t>vakning.</w:t>
      </w:r>
    </w:p>
    <w:p w:rsidR="004403F1" w:rsidRPr="006F3F4E" w:rsidRDefault="004403F1">
      <w:r w:rsidRPr="006F3F4E">
        <w:t>De konsekvensomräknade ramarna för åren 2005 och 2006 uppgår till 45 390 miljoner kronor respektive 46 238 miljoner kronor. Detta beror på pris- och löneo</w:t>
      </w:r>
      <w:r w:rsidRPr="006F3F4E">
        <w:t>m</w:t>
      </w:r>
      <w:r w:rsidRPr="006F3F4E">
        <w:t>räkning.</w:t>
      </w:r>
    </w:p>
    <w:p w:rsidR="004403F1" w:rsidRPr="006F3F4E" w:rsidRDefault="004403F1">
      <w:pPr>
        <w:pStyle w:val="R3"/>
        <w:spacing w:before="375"/>
      </w:pPr>
      <w:r w:rsidRPr="006F3F4E">
        <w:lastRenderedPageBreak/>
        <w:t>Ekonomisk styrning</w:t>
      </w:r>
    </w:p>
    <w:p w:rsidR="004403F1" w:rsidRPr="006F3F4E" w:rsidRDefault="004403F1">
      <w:r w:rsidRPr="006F3F4E">
        <w:t>Regeringen vill mot bakgrund av försvarsutskottets yttrande till finansutsko</w:t>
      </w:r>
      <w:r w:rsidRPr="006F3F4E">
        <w:t>t</w:t>
      </w:r>
      <w:r w:rsidRPr="006F3F4E">
        <w:t xml:space="preserve">tet och finansutskottets ställningstagande anföra bl.a. följande. </w:t>
      </w:r>
    </w:p>
    <w:p w:rsidR="004403F1" w:rsidRPr="006F3F4E" w:rsidRDefault="004403F1">
      <w:pPr>
        <w:pStyle w:val="Normaltindrag"/>
      </w:pPr>
      <w:r w:rsidRPr="006F3F4E">
        <w:t>I samband med det kommande försvarsbeslutet avser regeringen se över verksamhetsindelningen av utgiftsområdet och därtill hörande målstruktur. En viktig fråga är då att klargöra förhållandet mellan riksdagens treåriga fö</w:t>
      </w:r>
      <w:r w:rsidRPr="006F3F4E">
        <w:t>r</w:t>
      </w:r>
      <w:r w:rsidRPr="006F3F4E">
        <w:t>svarsbeslut och de årliga besluten om statsbudget. Regeringen överväger i detta sammanhang att en gång per försvarsbeslutsperiod i en resultatskrivelse på en mer detaljerad nivå redogöra för riksdagen om verksamheten inom utgiftsområdet. Budgetpropositionen kan därmed mer tydligt fokusera på kopplingen mellan resultatstyrningen och budgetförslagen. Regeringen vill här framhålla att en sådan tydligare koppling inte nödvändigtvis behöver innebära att riksdagen godkänner angivna mål på en lägre nivå än politi</w:t>
      </w:r>
      <w:r w:rsidRPr="006F3F4E">
        <w:t>ko</w:t>
      </w:r>
      <w:r w:rsidRPr="006F3F4E">
        <w:t>m</w:t>
      </w:r>
      <w:r w:rsidRPr="006F3F4E">
        <w:t>rådesnivå. Regeringen delar således finansutskottets bedömning att målen för en verksamhet måste vara välformulerade, mätbara och uppföljningsbara för att resultatstyrningen skall bli meningsfull och målen kunna ställas i relation till kostnaderna.</w:t>
      </w:r>
    </w:p>
    <w:p w:rsidR="004403F1" w:rsidRPr="006F3F4E" w:rsidRDefault="004403F1">
      <w:pPr>
        <w:pStyle w:val="Rubrik1"/>
        <w:spacing w:before="375"/>
        <w:rPr>
          <w:noProof w:val="0"/>
        </w:rPr>
      </w:pPr>
      <w:bookmarkStart w:id="5" w:name="_Toc54672758"/>
      <w:r w:rsidRPr="006F3F4E">
        <w:rPr>
          <w:noProof w:val="0"/>
        </w:rPr>
        <w:t>Motionerna</w:t>
      </w:r>
      <w:bookmarkEnd w:id="5"/>
    </w:p>
    <w:p w:rsidR="004403F1" w:rsidRPr="006F3F4E" w:rsidRDefault="004403F1">
      <w:pPr>
        <w:spacing w:before="0"/>
      </w:pPr>
      <w:r w:rsidRPr="006F3F4E">
        <w:rPr>
          <w:i/>
        </w:rPr>
        <w:t>Moderata samlingspartiet</w:t>
      </w:r>
      <w:r w:rsidRPr="006F3F4E">
        <w:t xml:space="preserve"> framhåller i Fi239 att de senaste försvarsbesluten har varit underfinansierade. Förhållandet har inte föranlett några åtgärder inom vare sig Försvarsmakten eller regeringen. Försvarsberedningen har i sin rapport i juni 2003 konstaterat att försvarsbeslutens inriktning inte är geno</w:t>
      </w:r>
      <w:r w:rsidRPr="006F3F4E">
        <w:t>m</w:t>
      </w:r>
      <w:r w:rsidRPr="006F3F4E">
        <w:t>förbara. Enligt Moderata samlingspartiet är det nödvändigt med en grundlig genomlysning och realistisk planering inför försvarsbeslutet 2004.</w:t>
      </w:r>
    </w:p>
    <w:p w:rsidR="004403F1" w:rsidRPr="006F3F4E" w:rsidRDefault="004403F1">
      <w:pPr>
        <w:pStyle w:val="Normaltindrag"/>
      </w:pPr>
      <w:r w:rsidRPr="006F3F4E">
        <w:t>Internationella insatser bör av flera skäl finansieras genom biståndsansl</w:t>
      </w:r>
      <w:r w:rsidRPr="006F3F4E">
        <w:t>a</w:t>
      </w:r>
      <w:r w:rsidRPr="006F3F4E">
        <w:t>get. Därigenom kan Försvarsmakten avlastas kostnader motsvarande 1 mi</w:t>
      </w:r>
      <w:r w:rsidRPr="006F3F4E">
        <w:t>l</w:t>
      </w:r>
      <w:r w:rsidRPr="006F3F4E">
        <w:t>jard. Med den ökning av utgiftsramen som samt den fördelning av utgifter inom ramen Moderata samlingspartiet föreslår kommer Försvarsmakten att ges en finansiell förstärkning med 3 miljarder kronor.</w:t>
      </w:r>
    </w:p>
    <w:p w:rsidR="004403F1" w:rsidRPr="006F3F4E" w:rsidRDefault="004403F1">
      <w:r w:rsidRPr="006F3F4E">
        <w:rPr>
          <w:i/>
        </w:rPr>
        <w:t>Folkpartiet liberalerna</w:t>
      </w:r>
      <w:r w:rsidRPr="006F3F4E">
        <w:t xml:space="preserve"> framhåller i Fi240 att det i sitt budgetalternativ för år 2004 följer upp den besparing om 1 miljard kronor som partiet förordade i sitt budgetalternataiv för år 2003. Vidare anförs att kostnaderna för Försvar</w:t>
      </w:r>
      <w:r w:rsidRPr="006F3F4E">
        <w:t>s</w:t>
      </w:r>
      <w:r w:rsidRPr="006F3F4E">
        <w:t>maktens materielavveckling under år 2002 uppgick till 730 miljoner kronor. Eftersom Folkpartiet liberalerna bedömer att materielavvecklingen blir minst lika intensiv åren 2003 och 2004 varför en substansiell besparing är möjlig om avvecklingen avbryts, i avvaktan på ett nytt och bättre underlag. Därm</w:t>
      </w:r>
      <w:r w:rsidRPr="006F3F4E">
        <w:t>ed kan materielanslaget reduceras med 350 miljoner kronor.</w:t>
      </w:r>
    </w:p>
    <w:p w:rsidR="004403F1" w:rsidRPr="006F3F4E" w:rsidRDefault="004403F1">
      <w:r w:rsidRPr="006F3F4E">
        <w:rPr>
          <w:i/>
        </w:rPr>
        <w:t>Kristdemokraterna</w:t>
      </w:r>
      <w:r w:rsidRPr="006F3F4E">
        <w:t xml:space="preserve"> fördordar i sitt budgetalternativ i motion Fi241 att extra medel satsas på Kustbevakningen. För att långsiktigt kunna fullgöra faststäl</w:t>
      </w:r>
      <w:r w:rsidRPr="006F3F4E">
        <w:t>l</w:t>
      </w:r>
      <w:r w:rsidRPr="006F3F4E">
        <w:t>da uppgifter och möta utökade krav på internationell verksamhet, gränsko</w:t>
      </w:r>
      <w:r w:rsidRPr="006F3F4E">
        <w:t>n</w:t>
      </w:r>
      <w:r w:rsidRPr="006F3F4E">
        <w:t>troll och miljöräddningstjänst till sjöss bör Kustbevakningens resurser öka med 20 miljoner kronor. Utgiftsramen bör räknas upp med motsvarande b</w:t>
      </w:r>
      <w:r w:rsidRPr="006F3F4E">
        <w:t>e</w:t>
      </w:r>
      <w:r w:rsidRPr="006F3F4E">
        <w:t xml:space="preserve">lopp. </w:t>
      </w:r>
    </w:p>
    <w:p w:rsidR="004403F1" w:rsidRPr="006F3F4E" w:rsidRDefault="004403F1">
      <w:pPr>
        <w:pStyle w:val="Normaltindrag"/>
      </w:pPr>
      <w:r w:rsidRPr="006F3F4E">
        <w:t>Kristdemokraterna räknar med att det år 2006 finns utrymme att reducera anslaget till Försvarsmaktens materielanskaffning m.m. med 350 miljoner krono</w:t>
      </w:r>
      <w:r w:rsidRPr="006F3F4E">
        <w:t>r.</w:t>
      </w:r>
    </w:p>
    <w:p w:rsidR="004403F1" w:rsidRPr="006F3F4E" w:rsidRDefault="004403F1">
      <w:r w:rsidRPr="006F3F4E">
        <w:rPr>
          <w:i/>
        </w:rPr>
        <w:t xml:space="preserve">Centerpartiet </w:t>
      </w:r>
      <w:r w:rsidRPr="006F3F4E">
        <w:t>förordar i Fi242 samma ram som regeringen eftersom förslaget för år 2004 omfattas av försvarsöverenskommelsen mellan regeringen och Centerpartiet.</w:t>
      </w:r>
    </w:p>
    <w:p w:rsidR="004403F1" w:rsidRPr="006F3F4E" w:rsidRDefault="004403F1">
      <w:pPr>
        <w:pStyle w:val="Rubrik1"/>
        <w:spacing w:before="375"/>
        <w:rPr>
          <w:noProof w:val="0"/>
        </w:rPr>
      </w:pPr>
      <w:bookmarkStart w:id="6" w:name="_Toc54672759"/>
      <w:r w:rsidRPr="006F3F4E">
        <w:rPr>
          <w:noProof w:val="0"/>
        </w:rPr>
        <w:t>Försvarsutskottets överväganden</w:t>
      </w:r>
      <w:bookmarkEnd w:id="6"/>
    </w:p>
    <w:p w:rsidR="004403F1" w:rsidRPr="006F3F4E" w:rsidRDefault="004403F1">
      <w:pPr>
        <w:pStyle w:val="R3"/>
        <w:spacing w:before="0"/>
      </w:pPr>
      <w:r w:rsidRPr="006F3F4E">
        <w:t>Ramar</w:t>
      </w:r>
    </w:p>
    <w:p w:rsidR="004403F1" w:rsidRPr="006F3F4E" w:rsidRDefault="004403F1">
      <w:pPr>
        <w:spacing w:before="125"/>
      </w:pPr>
      <w:r w:rsidRPr="006F3F4E">
        <w:t>Sammanställning av de olika partiernas budgetförslag (förändring i miljoner kronor i förhållande till regerin</w:t>
      </w:r>
      <w:r w:rsidRPr="006F3F4E">
        <w:t>g</w:t>
      </w:r>
      <w:r w:rsidRPr="006F3F4E">
        <w:t>ens förslag).</w:t>
      </w:r>
    </w:p>
    <w:p w:rsidR="004403F1" w:rsidRPr="006F3F4E" w:rsidRDefault="004403F1"/>
    <w:tbl>
      <w:tblPr>
        <w:tblW w:w="0" w:type="auto"/>
        <w:tblInd w:w="-30" w:type="dxa"/>
        <w:tblLayout w:type="fixed"/>
        <w:tblCellMar>
          <w:left w:w="30" w:type="dxa"/>
          <w:right w:w="30" w:type="dxa"/>
        </w:tblCellMar>
        <w:tblLook w:val="0000" w:firstRow="0" w:lastRow="0" w:firstColumn="0" w:lastColumn="0" w:noHBand="0" w:noVBand="0"/>
      </w:tblPr>
      <w:tblGrid>
        <w:gridCol w:w="2865"/>
        <w:gridCol w:w="1058"/>
        <w:gridCol w:w="1059"/>
        <w:gridCol w:w="1059"/>
      </w:tblGrid>
      <w:tr w:rsidR="00000000" w:rsidRPr="006F3F4E">
        <w:tblPrEx>
          <w:tblCellMar>
            <w:top w:w="0" w:type="dxa"/>
            <w:bottom w:w="0" w:type="dxa"/>
          </w:tblCellMar>
        </w:tblPrEx>
        <w:trPr>
          <w:trHeight w:val="247"/>
        </w:trPr>
        <w:tc>
          <w:tcPr>
            <w:tcW w:w="2865" w:type="dxa"/>
            <w:tcBorders>
              <w:bottom w:val="single" w:sz="4" w:space="0" w:color="auto"/>
            </w:tcBorders>
          </w:tcPr>
          <w:p w:rsidR="004403F1" w:rsidRPr="006F3F4E" w:rsidRDefault="004403F1">
            <w:pPr>
              <w:jc w:val="left"/>
              <w:rPr>
                <w:i/>
                <w:snapToGrid w:val="0"/>
                <w:color w:val="000000"/>
                <w:sz w:val="14"/>
                <w:lang w:eastAsia="sv-SE"/>
              </w:rPr>
            </w:pPr>
            <w:r w:rsidRPr="006F3F4E">
              <w:rPr>
                <w:i/>
                <w:snapToGrid w:val="0"/>
                <w:color w:val="000000"/>
                <w:sz w:val="14"/>
                <w:lang w:eastAsia="sv-SE"/>
              </w:rPr>
              <w:t>Miljoner kronor</w:t>
            </w:r>
          </w:p>
        </w:tc>
        <w:tc>
          <w:tcPr>
            <w:tcW w:w="1058" w:type="dxa"/>
            <w:tcBorders>
              <w:bottom w:val="single" w:sz="4" w:space="0" w:color="auto"/>
            </w:tcBorders>
          </w:tcPr>
          <w:p w:rsidR="004403F1" w:rsidRPr="006F3F4E" w:rsidRDefault="004403F1">
            <w:pPr>
              <w:jc w:val="center"/>
              <w:rPr>
                <w:b/>
                <w:snapToGrid w:val="0"/>
                <w:color w:val="000000"/>
                <w:sz w:val="16"/>
                <w:lang w:eastAsia="sv-SE"/>
              </w:rPr>
            </w:pPr>
            <w:r w:rsidRPr="006F3F4E">
              <w:rPr>
                <w:b/>
                <w:snapToGrid w:val="0"/>
                <w:color w:val="000000"/>
                <w:sz w:val="16"/>
                <w:lang w:eastAsia="sv-SE"/>
              </w:rPr>
              <w:t>2004</w:t>
            </w:r>
          </w:p>
        </w:tc>
        <w:tc>
          <w:tcPr>
            <w:tcW w:w="1059" w:type="dxa"/>
            <w:tcBorders>
              <w:bottom w:val="single" w:sz="4" w:space="0" w:color="auto"/>
            </w:tcBorders>
          </w:tcPr>
          <w:p w:rsidR="004403F1" w:rsidRPr="006F3F4E" w:rsidRDefault="004403F1">
            <w:pPr>
              <w:jc w:val="center"/>
              <w:rPr>
                <w:snapToGrid w:val="0"/>
                <w:color w:val="000000"/>
                <w:sz w:val="16"/>
                <w:lang w:eastAsia="sv-SE"/>
              </w:rPr>
            </w:pPr>
            <w:r w:rsidRPr="006F3F4E">
              <w:rPr>
                <w:b/>
                <w:snapToGrid w:val="0"/>
                <w:color w:val="000000"/>
                <w:sz w:val="16"/>
                <w:lang w:eastAsia="sv-SE"/>
              </w:rPr>
              <w:t>2005</w:t>
            </w:r>
          </w:p>
        </w:tc>
        <w:tc>
          <w:tcPr>
            <w:tcW w:w="1059" w:type="dxa"/>
            <w:tcBorders>
              <w:bottom w:val="single" w:sz="4" w:space="0" w:color="auto"/>
            </w:tcBorders>
          </w:tcPr>
          <w:p w:rsidR="004403F1" w:rsidRPr="006F3F4E" w:rsidRDefault="004403F1">
            <w:pPr>
              <w:jc w:val="center"/>
              <w:rPr>
                <w:b/>
                <w:snapToGrid w:val="0"/>
                <w:color w:val="000000"/>
                <w:sz w:val="16"/>
                <w:lang w:eastAsia="sv-SE"/>
              </w:rPr>
            </w:pPr>
            <w:r w:rsidRPr="006F3F4E">
              <w:rPr>
                <w:b/>
                <w:snapToGrid w:val="0"/>
                <w:color w:val="000000"/>
                <w:sz w:val="16"/>
                <w:lang w:eastAsia="sv-SE"/>
              </w:rPr>
              <w:t>2006</w:t>
            </w:r>
          </w:p>
        </w:tc>
      </w:tr>
      <w:tr w:rsidR="00000000" w:rsidRPr="006F3F4E">
        <w:tblPrEx>
          <w:tblCellMar>
            <w:top w:w="0" w:type="dxa"/>
            <w:bottom w:w="0" w:type="dxa"/>
          </w:tblCellMar>
        </w:tblPrEx>
        <w:trPr>
          <w:trHeight w:val="247"/>
        </w:trPr>
        <w:tc>
          <w:tcPr>
            <w:tcW w:w="2865" w:type="dxa"/>
            <w:tcBorders>
              <w:top w:val="single" w:sz="4" w:space="0" w:color="auto"/>
            </w:tcBorders>
          </w:tcPr>
          <w:p w:rsidR="004403F1" w:rsidRPr="006F3F4E" w:rsidRDefault="004403F1">
            <w:pPr>
              <w:jc w:val="left"/>
              <w:rPr>
                <w:snapToGrid w:val="0"/>
                <w:color w:val="000000"/>
                <w:sz w:val="21"/>
                <w:lang w:eastAsia="sv-SE"/>
              </w:rPr>
            </w:pPr>
            <w:r w:rsidRPr="006F3F4E">
              <w:rPr>
                <w:snapToGrid w:val="0"/>
                <w:color w:val="000000"/>
                <w:lang w:eastAsia="sv-SE"/>
              </w:rPr>
              <w:t xml:space="preserve">Regeringen, Vänsterpartiet och Miljöpartiet de gröna </w:t>
            </w:r>
            <w:r w:rsidRPr="006F3F4E">
              <w:rPr>
                <w:snapToGrid w:val="0"/>
                <w:color w:val="000000"/>
                <w:vertAlign w:val="superscript"/>
                <w:lang w:eastAsia="sv-SE"/>
              </w:rPr>
              <w:t>1</w:t>
            </w:r>
          </w:p>
        </w:tc>
        <w:tc>
          <w:tcPr>
            <w:tcW w:w="1058" w:type="dxa"/>
            <w:tcBorders>
              <w:top w:val="single" w:sz="4" w:space="0" w:color="auto"/>
            </w:tcBorders>
          </w:tcPr>
          <w:p w:rsidR="004403F1" w:rsidRPr="006F3F4E" w:rsidRDefault="004403F1">
            <w:pPr>
              <w:jc w:val="right"/>
              <w:rPr>
                <w:snapToGrid w:val="0"/>
                <w:color w:val="000000"/>
                <w:lang w:eastAsia="sv-SE"/>
              </w:rPr>
            </w:pPr>
            <w:r w:rsidRPr="006F3F4E">
              <w:t>44 331</w:t>
            </w:r>
          </w:p>
        </w:tc>
        <w:tc>
          <w:tcPr>
            <w:tcW w:w="1059" w:type="dxa"/>
            <w:tcBorders>
              <w:top w:val="single" w:sz="4" w:space="0" w:color="auto"/>
            </w:tcBorders>
          </w:tcPr>
          <w:p w:rsidR="004403F1" w:rsidRPr="006F3F4E" w:rsidRDefault="004403F1">
            <w:pPr>
              <w:jc w:val="right"/>
              <w:rPr>
                <w:snapToGrid w:val="0"/>
                <w:color w:val="000000"/>
                <w:lang w:eastAsia="sv-SE"/>
              </w:rPr>
            </w:pPr>
            <w:r w:rsidRPr="006F3F4E">
              <w:t>45 390</w:t>
            </w:r>
          </w:p>
        </w:tc>
        <w:tc>
          <w:tcPr>
            <w:tcW w:w="1059" w:type="dxa"/>
            <w:tcBorders>
              <w:top w:val="single" w:sz="4" w:space="0" w:color="auto"/>
            </w:tcBorders>
          </w:tcPr>
          <w:p w:rsidR="004403F1" w:rsidRPr="006F3F4E" w:rsidRDefault="004403F1">
            <w:pPr>
              <w:jc w:val="right"/>
              <w:rPr>
                <w:snapToGrid w:val="0"/>
                <w:color w:val="000000"/>
                <w:lang w:eastAsia="sv-SE"/>
              </w:rPr>
            </w:pPr>
            <w:r w:rsidRPr="006F3F4E">
              <w:t>46 238</w:t>
            </w:r>
          </w:p>
        </w:tc>
      </w:tr>
      <w:tr w:rsidR="00000000" w:rsidRPr="006F3F4E">
        <w:tblPrEx>
          <w:tblCellMar>
            <w:top w:w="0" w:type="dxa"/>
            <w:bottom w:w="0" w:type="dxa"/>
          </w:tblCellMar>
        </w:tblPrEx>
        <w:trPr>
          <w:trHeight w:val="247"/>
        </w:trPr>
        <w:tc>
          <w:tcPr>
            <w:tcW w:w="2865" w:type="dxa"/>
          </w:tcPr>
          <w:p w:rsidR="004403F1" w:rsidRPr="006F3F4E" w:rsidRDefault="004403F1">
            <w:pPr>
              <w:jc w:val="left"/>
              <w:rPr>
                <w:snapToGrid w:val="0"/>
                <w:color w:val="000000"/>
                <w:lang w:eastAsia="sv-SE"/>
              </w:rPr>
            </w:pPr>
            <w:r w:rsidRPr="006F3F4E">
              <w:rPr>
                <w:snapToGrid w:val="0"/>
                <w:color w:val="000000"/>
                <w:lang w:eastAsia="sv-SE"/>
              </w:rPr>
              <w:t>Moderata samlingspartiet</w:t>
            </w:r>
          </w:p>
        </w:tc>
        <w:tc>
          <w:tcPr>
            <w:tcW w:w="1058" w:type="dxa"/>
          </w:tcPr>
          <w:p w:rsidR="004403F1" w:rsidRPr="006F3F4E" w:rsidRDefault="004403F1">
            <w:pPr>
              <w:jc w:val="right"/>
              <w:rPr>
                <w:snapToGrid w:val="0"/>
                <w:color w:val="000000"/>
                <w:lang w:eastAsia="sv-SE"/>
              </w:rPr>
            </w:pPr>
            <w:r w:rsidRPr="006F3F4E">
              <w:rPr>
                <w:snapToGrid w:val="0"/>
                <w:color w:val="000000"/>
                <w:lang w:eastAsia="sv-SE"/>
              </w:rPr>
              <w:t>+ 1 348</w:t>
            </w:r>
          </w:p>
        </w:tc>
        <w:tc>
          <w:tcPr>
            <w:tcW w:w="1059" w:type="dxa"/>
          </w:tcPr>
          <w:p w:rsidR="004403F1" w:rsidRPr="006F3F4E" w:rsidRDefault="004403F1">
            <w:pPr>
              <w:jc w:val="right"/>
              <w:rPr>
                <w:snapToGrid w:val="0"/>
                <w:color w:val="000000"/>
                <w:lang w:eastAsia="sv-SE"/>
              </w:rPr>
            </w:pPr>
            <w:r w:rsidRPr="006F3F4E">
              <w:rPr>
                <w:snapToGrid w:val="0"/>
                <w:color w:val="000000"/>
                <w:lang w:eastAsia="sv-SE"/>
              </w:rPr>
              <w:t>+ 1 348</w:t>
            </w:r>
          </w:p>
        </w:tc>
        <w:tc>
          <w:tcPr>
            <w:tcW w:w="1059" w:type="dxa"/>
          </w:tcPr>
          <w:p w:rsidR="004403F1" w:rsidRPr="006F3F4E" w:rsidRDefault="004403F1">
            <w:pPr>
              <w:jc w:val="right"/>
              <w:rPr>
                <w:snapToGrid w:val="0"/>
                <w:color w:val="000000"/>
                <w:lang w:eastAsia="sv-SE"/>
              </w:rPr>
            </w:pPr>
            <w:r w:rsidRPr="006F3F4E">
              <w:rPr>
                <w:snapToGrid w:val="0"/>
                <w:color w:val="000000"/>
                <w:lang w:eastAsia="sv-SE"/>
              </w:rPr>
              <w:t>+ 1 348</w:t>
            </w:r>
          </w:p>
        </w:tc>
      </w:tr>
      <w:tr w:rsidR="00000000" w:rsidRPr="006F3F4E">
        <w:tblPrEx>
          <w:tblCellMar>
            <w:top w:w="0" w:type="dxa"/>
            <w:bottom w:w="0" w:type="dxa"/>
          </w:tblCellMar>
        </w:tblPrEx>
        <w:trPr>
          <w:trHeight w:val="247"/>
        </w:trPr>
        <w:tc>
          <w:tcPr>
            <w:tcW w:w="2865" w:type="dxa"/>
          </w:tcPr>
          <w:p w:rsidR="004403F1" w:rsidRPr="006F3F4E" w:rsidRDefault="004403F1">
            <w:pPr>
              <w:jc w:val="left"/>
              <w:rPr>
                <w:snapToGrid w:val="0"/>
                <w:color w:val="000000"/>
                <w:lang w:eastAsia="sv-SE"/>
              </w:rPr>
            </w:pPr>
            <w:r w:rsidRPr="006F3F4E">
              <w:rPr>
                <w:snapToGrid w:val="0"/>
                <w:color w:val="000000"/>
                <w:lang w:eastAsia="sv-SE"/>
              </w:rPr>
              <w:t>Folkpartiet liberalerna</w:t>
            </w:r>
          </w:p>
        </w:tc>
        <w:tc>
          <w:tcPr>
            <w:tcW w:w="1058" w:type="dxa"/>
          </w:tcPr>
          <w:p w:rsidR="004403F1" w:rsidRPr="006F3F4E" w:rsidRDefault="004403F1">
            <w:pPr>
              <w:jc w:val="right"/>
              <w:rPr>
                <w:snapToGrid w:val="0"/>
                <w:color w:val="000000"/>
                <w:lang w:eastAsia="sv-SE"/>
              </w:rPr>
            </w:pPr>
            <w:r w:rsidRPr="006F3F4E">
              <w:rPr>
                <w:snapToGrid w:val="0"/>
                <w:color w:val="000000"/>
                <w:lang w:eastAsia="sv-SE"/>
              </w:rPr>
              <w:t>– 1 350</w:t>
            </w:r>
          </w:p>
        </w:tc>
        <w:tc>
          <w:tcPr>
            <w:tcW w:w="1059" w:type="dxa"/>
          </w:tcPr>
          <w:p w:rsidR="004403F1" w:rsidRPr="006F3F4E" w:rsidRDefault="004403F1">
            <w:pPr>
              <w:jc w:val="right"/>
              <w:rPr>
                <w:snapToGrid w:val="0"/>
                <w:color w:val="000000"/>
                <w:lang w:eastAsia="sv-SE"/>
              </w:rPr>
            </w:pPr>
            <w:r w:rsidRPr="006F3F4E">
              <w:rPr>
                <w:snapToGrid w:val="0"/>
                <w:color w:val="000000"/>
                <w:lang w:eastAsia="sv-SE"/>
              </w:rPr>
              <w:t>– 1 200</w:t>
            </w:r>
          </w:p>
        </w:tc>
        <w:tc>
          <w:tcPr>
            <w:tcW w:w="1059" w:type="dxa"/>
          </w:tcPr>
          <w:p w:rsidR="004403F1" w:rsidRPr="006F3F4E" w:rsidRDefault="004403F1">
            <w:pPr>
              <w:jc w:val="right"/>
              <w:rPr>
                <w:snapToGrid w:val="0"/>
                <w:color w:val="000000"/>
                <w:lang w:eastAsia="sv-SE"/>
              </w:rPr>
            </w:pPr>
            <w:r w:rsidRPr="006F3F4E">
              <w:rPr>
                <w:snapToGrid w:val="0"/>
                <w:color w:val="000000"/>
                <w:lang w:eastAsia="sv-SE"/>
              </w:rPr>
              <w:t>– 1 200</w:t>
            </w:r>
          </w:p>
        </w:tc>
      </w:tr>
      <w:tr w:rsidR="00000000" w:rsidRPr="006F3F4E">
        <w:tblPrEx>
          <w:tblCellMar>
            <w:top w:w="0" w:type="dxa"/>
            <w:bottom w:w="0" w:type="dxa"/>
          </w:tblCellMar>
        </w:tblPrEx>
        <w:trPr>
          <w:trHeight w:val="247"/>
        </w:trPr>
        <w:tc>
          <w:tcPr>
            <w:tcW w:w="2865" w:type="dxa"/>
          </w:tcPr>
          <w:p w:rsidR="004403F1" w:rsidRPr="006F3F4E" w:rsidRDefault="004403F1">
            <w:pPr>
              <w:jc w:val="left"/>
              <w:rPr>
                <w:snapToGrid w:val="0"/>
                <w:color w:val="000000"/>
                <w:lang w:eastAsia="sv-SE"/>
              </w:rPr>
            </w:pPr>
            <w:r w:rsidRPr="006F3F4E">
              <w:rPr>
                <w:snapToGrid w:val="0"/>
                <w:color w:val="000000"/>
                <w:lang w:eastAsia="sv-SE"/>
              </w:rPr>
              <w:t>Kristdemokraterna</w:t>
            </w:r>
          </w:p>
        </w:tc>
        <w:tc>
          <w:tcPr>
            <w:tcW w:w="1058" w:type="dxa"/>
          </w:tcPr>
          <w:p w:rsidR="004403F1" w:rsidRPr="006F3F4E" w:rsidRDefault="004403F1">
            <w:pPr>
              <w:jc w:val="right"/>
              <w:rPr>
                <w:snapToGrid w:val="0"/>
                <w:color w:val="000000"/>
                <w:lang w:eastAsia="sv-SE"/>
              </w:rPr>
            </w:pPr>
            <w:r w:rsidRPr="006F3F4E">
              <w:rPr>
                <w:snapToGrid w:val="0"/>
                <w:color w:val="000000"/>
                <w:lang w:eastAsia="sv-SE"/>
              </w:rPr>
              <w:t>+ 20</w:t>
            </w:r>
          </w:p>
        </w:tc>
        <w:tc>
          <w:tcPr>
            <w:tcW w:w="1059" w:type="dxa"/>
          </w:tcPr>
          <w:p w:rsidR="004403F1" w:rsidRPr="006F3F4E" w:rsidRDefault="004403F1">
            <w:pPr>
              <w:jc w:val="right"/>
              <w:rPr>
                <w:snapToGrid w:val="0"/>
                <w:color w:val="000000"/>
                <w:lang w:eastAsia="sv-SE"/>
              </w:rPr>
            </w:pPr>
            <w:r w:rsidRPr="006F3F4E">
              <w:rPr>
                <w:snapToGrid w:val="0"/>
                <w:color w:val="000000"/>
                <w:lang w:eastAsia="sv-SE"/>
              </w:rPr>
              <w:t>+ 20</w:t>
            </w:r>
          </w:p>
        </w:tc>
        <w:tc>
          <w:tcPr>
            <w:tcW w:w="1059" w:type="dxa"/>
          </w:tcPr>
          <w:p w:rsidR="004403F1" w:rsidRPr="006F3F4E" w:rsidRDefault="004403F1">
            <w:pPr>
              <w:jc w:val="right"/>
              <w:rPr>
                <w:snapToGrid w:val="0"/>
                <w:color w:val="000000"/>
                <w:lang w:eastAsia="sv-SE"/>
              </w:rPr>
            </w:pPr>
            <w:r w:rsidRPr="006F3F4E">
              <w:rPr>
                <w:snapToGrid w:val="0"/>
                <w:color w:val="000000"/>
                <w:lang w:eastAsia="sv-SE"/>
              </w:rPr>
              <w:t>– 330</w:t>
            </w:r>
          </w:p>
        </w:tc>
      </w:tr>
      <w:tr w:rsidR="00000000" w:rsidRPr="006F3F4E">
        <w:tblPrEx>
          <w:tblCellMar>
            <w:top w:w="0" w:type="dxa"/>
            <w:bottom w:w="0" w:type="dxa"/>
          </w:tblCellMar>
        </w:tblPrEx>
        <w:trPr>
          <w:trHeight w:val="247"/>
        </w:trPr>
        <w:tc>
          <w:tcPr>
            <w:tcW w:w="2865" w:type="dxa"/>
            <w:tcBorders>
              <w:bottom w:val="single" w:sz="4" w:space="0" w:color="auto"/>
            </w:tcBorders>
          </w:tcPr>
          <w:p w:rsidR="004403F1" w:rsidRPr="006F3F4E" w:rsidRDefault="004403F1">
            <w:pPr>
              <w:jc w:val="left"/>
              <w:rPr>
                <w:snapToGrid w:val="0"/>
                <w:color w:val="000000"/>
                <w:lang w:eastAsia="sv-SE"/>
              </w:rPr>
            </w:pPr>
            <w:r w:rsidRPr="006F3F4E">
              <w:rPr>
                <w:snapToGrid w:val="0"/>
                <w:color w:val="000000"/>
                <w:lang w:eastAsia="sv-SE"/>
              </w:rPr>
              <w:t>Centerpartiet</w:t>
            </w:r>
          </w:p>
        </w:tc>
        <w:tc>
          <w:tcPr>
            <w:tcW w:w="1058" w:type="dxa"/>
            <w:tcBorders>
              <w:bottom w:val="single" w:sz="4" w:space="0" w:color="auto"/>
            </w:tcBorders>
          </w:tcPr>
          <w:p w:rsidR="004403F1" w:rsidRPr="006F3F4E" w:rsidRDefault="004403F1">
            <w:pPr>
              <w:jc w:val="right"/>
              <w:rPr>
                <w:snapToGrid w:val="0"/>
                <w:color w:val="000000"/>
                <w:lang w:eastAsia="sv-SE"/>
              </w:rPr>
            </w:pPr>
            <w:r w:rsidRPr="006F3F4E">
              <w:rPr>
                <w:rFonts w:ascii="Lucida Sans Unicode" w:hAnsi="Lucida Sans Unicode"/>
                <w:snapToGrid w:val="0"/>
                <w:color w:val="000000"/>
                <w:lang w:eastAsia="sv-SE"/>
              </w:rPr>
              <w:t>±</w:t>
            </w:r>
            <w:r w:rsidRPr="006F3F4E">
              <w:rPr>
                <w:snapToGrid w:val="0"/>
                <w:color w:val="000000"/>
                <w:lang w:eastAsia="sv-SE"/>
              </w:rPr>
              <w:t xml:space="preserve"> 0</w:t>
            </w:r>
          </w:p>
        </w:tc>
        <w:tc>
          <w:tcPr>
            <w:tcW w:w="1059" w:type="dxa"/>
            <w:tcBorders>
              <w:bottom w:val="single" w:sz="4" w:space="0" w:color="auto"/>
            </w:tcBorders>
          </w:tcPr>
          <w:p w:rsidR="004403F1" w:rsidRPr="006F3F4E" w:rsidRDefault="004403F1">
            <w:pPr>
              <w:jc w:val="right"/>
              <w:rPr>
                <w:snapToGrid w:val="0"/>
                <w:color w:val="000000"/>
                <w:lang w:eastAsia="sv-SE"/>
              </w:rPr>
            </w:pPr>
            <w:r w:rsidRPr="006F3F4E">
              <w:rPr>
                <w:rFonts w:ascii="Lucida Sans Unicode" w:hAnsi="Lucida Sans Unicode"/>
                <w:snapToGrid w:val="0"/>
                <w:color w:val="000000"/>
                <w:lang w:eastAsia="sv-SE"/>
              </w:rPr>
              <w:t>±</w:t>
            </w:r>
            <w:r w:rsidRPr="006F3F4E">
              <w:rPr>
                <w:snapToGrid w:val="0"/>
                <w:color w:val="000000"/>
                <w:lang w:eastAsia="sv-SE"/>
              </w:rPr>
              <w:t xml:space="preserve"> 0</w:t>
            </w:r>
          </w:p>
        </w:tc>
        <w:tc>
          <w:tcPr>
            <w:tcW w:w="1059" w:type="dxa"/>
            <w:tcBorders>
              <w:bottom w:val="single" w:sz="4" w:space="0" w:color="auto"/>
            </w:tcBorders>
          </w:tcPr>
          <w:p w:rsidR="004403F1" w:rsidRPr="006F3F4E" w:rsidRDefault="004403F1">
            <w:pPr>
              <w:jc w:val="right"/>
              <w:rPr>
                <w:snapToGrid w:val="0"/>
                <w:color w:val="000000"/>
                <w:lang w:eastAsia="sv-SE"/>
              </w:rPr>
            </w:pPr>
            <w:r w:rsidRPr="006F3F4E">
              <w:rPr>
                <w:rFonts w:ascii="Lucida Sans Unicode" w:hAnsi="Lucida Sans Unicode"/>
                <w:snapToGrid w:val="0"/>
                <w:color w:val="000000"/>
                <w:lang w:eastAsia="sv-SE"/>
              </w:rPr>
              <w:t>±</w:t>
            </w:r>
            <w:r w:rsidRPr="006F3F4E">
              <w:rPr>
                <w:snapToGrid w:val="0"/>
                <w:color w:val="000000"/>
                <w:lang w:eastAsia="sv-SE"/>
              </w:rPr>
              <w:t xml:space="preserve"> 0</w:t>
            </w:r>
          </w:p>
        </w:tc>
      </w:tr>
    </w:tbl>
    <w:p w:rsidR="004403F1" w:rsidRPr="006F3F4E" w:rsidRDefault="004403F1">
      <w:r w:rsidRPr="006F3F4E">
        <w:rPr>
          <w:vertAlign w:val="superscript"/>
        </w:rPr>
        <w:t>1</w:t>
      </w:r>
      <w:r w:rsidRPr="006F3F4E">
        <w:t xml:space="preserve"> Åren 2005 och 2006 är en konsekvensberäkning.</w:t>
      </w:r>
    </w:p>
    <w:p w:rsidR="004403F1" w:rsidRPr="006F3F4E" w:rsidRDefault="004403F1">
      <w:pPr>
        <w:pStyle w:val="Normaltindrag"/>
      </w:pPr>
    </w:p>
    <w:p w:rsidR="004403F1" w:rsidRPr="006F3F4E" w:rsidRDefault="004403F1">
      <w:r w:rsidRPr="006F3F4E">
        <w:t>Vänsterpartiet, Centerpartiet och Miljöpartiet de gröna delar regeringens förslag om ram för utgiftsområde 6 Försvar samt beredskap mot sårbarhet för budgetåret 2004. Centerpartiet framhåller att förslaget bygger på försvarsup</w:t>
      </w:r>
      <w:r w:rsidRPr="006F3F4E">
        <w:t>p</w:t>
      </w:r>
      <w:r w:rsidRPr="006F3F4E">
        <w:t>görelsen mellan regeringen och Centerpartiet.</w:t>
      </w:r>
    </w:p>
    <w:p w:rsidR="004403F1" w:rsidRPr="006F3F4E" w:rsidRDefault="004403F1">
      <w:pPr>
        <w:pStyle w:val="Normaltindrag"/>
      </w:pPr>
      <w:r w:rsidRPr="006F3F4E">
        <w:t>Utskottet konstaterar att regeringens förslag ligger i linje med riksdagens tidigare beslut om försvarsutgifternas successiva reducering. Utskottet noterar att ramarna för åren 2005 och 2005 är en konsekvensberäkning av utgiftsn</w:t>
      </w:r>
      <w:r w:rsidRPr="006F3F4E">
        <w:t>i</w:t>
      </w:r>
      <w:r w:rsidRPr="006F3F4E">
        <w:t>vån och inte ett faktiskt ställningstagande till utgiftsnivån efter år 2004. Ett nytt långsiktigt försvarsbeslut planeras att fattas hösten 2004. Riksdagen kommer i det sammanhanget att ta ställning till den fortsatta utgiftsnivån.</w:t>
      </w:r>
    </w:p>
    <w:p w:rsidR="004403F1" w:rsidRPr="006F3F4E" w:rsidRDefault="004403F1">
      <w:pPr>
        <w:pStyle w:val="Normaltindrag"/>
      </w:pPr>
      <w:r w:rsidRPr="006F3F4E">
        <w:t>Utskottet tillstyrker förslag till utgiftsram för år 2004 samt konsekvensb</w:t>
      </w:r>
      <w:r w:rsidRPr="006F3F4E">
        <w:t>e</w:t>
      </w:r>
      <w:r w:rsidRPr="006F3F4E">
        <w:t>räkningarna för åren 2005 och 2006. Förslagen till ramar av Moderata sa</w:t>
      </w:r>
      <w:r w:rsidRPr="006F3F4E">
        <w:t>m</w:t>
      </w:r>
      <w:r w:rsidRPr="006F3F4E">
        <w:t>lingspartiet, Folkpartiet liberalerna och Kristdemokraterna bör sålunda inte ligga till grund för budgetbere</w:t>
      </w:r>
      <w:r w:rsidRPr="006F3F4E">
        <w:t>d</w:t>
      </w:r>
      <w:r w:rsidRPr="006F3F4E">
        <w:t>ningen.</w:t>
      </w:r>
    </w:p>
    <w:p w:rsidR="004403F1" w:rsidRPr="006F3F4E" w:rsidRDefault="004403F1">
      <w:pPr>
        <w:pStyle w:val="Normaltindrag"/>
      </w:pPr>
      <w:r w:rsidRPr="006F3F4E">
        <w:t>Utskottet anser att regeringens förslag beträffande ram m.m. för utgiftso</w:t>
      </w:r>
      <w:r w:rsidRPr="006F3F4E">
        <w:t>m</w:t>
      </w:r>
      <w:r w:rsidRPr="006F3F4E">
        <w:t>råde 6 Försvar och beredskap mot sårbarhet bör bifallas av riksdagen och att moti</w:t>
      </w:r>
      <w:r w:rsidRPr="006F3F4E">
        <w:t>o</w:t>
      </w:r>
      <w:r w:rsidRPr="006F3F4E">
        <w:t xml:space="preserve">nerna Fi239, Fi240 och Fi241 bör avslås i dessa delar. </w:t>
      </w:r>
    </w:p>
    <w:p w:rsidR="004403F1" w:rsidRPr="006F3F4E" w:rsidRDefault="004403F1">
      <w:pPr>
        <w:pStyle w:val="R3"/>
      </w:pPr>
      <w:r w:rsidRPr="006F3F4E">
        <w:t>Ekonomisk styrning</w:t>
      </w:r>
    </w:p>
    <w:p w:rsidR="004403F1" w:rsidRPr="006F3F4E" w:rsidRDefault="004403F1">
      <w:r w:rsidRPr="006F3F4E">
        <w:t>I förra årets yttrande till finansutskottet aktualiserade försvarsutskottet frågan om bättre utformning av målen för politikområdena inom utgiftsomr</w:t>
      </w:r>
      <w:r w:rsidRPr="006F3F4E">
        <w:t>å</w:t>
      </w:r>
      <w:r w:rsidRPr="006F3F4E">
        <w:t>det.</w:t>
      </w:r>
    </w:p>
    <w:p w:rsidR="004403F1" w:rsidRPr="006F3F4E" w:rsidRDefault="004403F1">
      <w:r w:rsidRPr="006F3F4E">
        <w:t>Finansutskottets anförde i bet. 2002/03:FiU2 i avsnittet Ekonomisk styrning bl.a. följande:</w:t>
      </w:r>
    </w:p>
    <w:p w:rsidR="004403F1" w:rsidRPr="006F3F4E" w:rsidRDefault="004403F1">
      <w:pPr>
        <w:pStyle w:val="Citat"/>
        <w:numPr>
          <w:ilvl w:val="0"/>
          <w:numId w:val="5"/>
        </w:numPr>
        <w:spacing w:before="125"/>
        <w:ind w:left="510"/>
      </w:pPr>
      <w:r w:rsidRPr="006F3F4E">
        <w:t>Finansutskottet har flera gånger tidigare slagit fast att målen för en verksamhet måste vara välformulerade, mätbara och uppföljningsbara för att resultatstyrningen skall bli meningsfull och målen ska kunna ställas i relation till kostnaderna. Utgiftstaket och överskottsmålet för de offentliga finanserna är på ett annat plan goda exempel på tydliga mål som är lätta att i efterhand följa upp.</w:t>
      </w:r>
    </w:p>
    <w:p w:rsidR="004403F1" w:rsidRPr="006F3F4E" w:rsidRDefault="004403F1">
      <w:pPr>
        <w:pStyle w:val="Citat"/>
        <w:numPr>
          <w:ilvl w:val="0"/>
          <w:numId w:val="5"/>
        </w:numPr>
        <w:ind w:left="510"/>
      </w:pPr>
      <w:r w:rsidRPr="006F3F4E">
        <w:t>Skall riksdagen under sin budgetberedning kunna ta ställning till hur stora resurser som bör tillföras en viss verksamhet måste resursbehovet kunna prövas mot konkreta, mätbara och uppföljningsbara mål. Det är enligt utskottets mening också nödvändigt att målen uttrycks i sådana termer att de kan bilda utgångspunkt för riksdagspartiernas politiska prioriteringar och disku</w:t>
      </w:r>
      <w:r w:rsidRPr="006F3F4E">
        <w:t>s</w:t>
      </w:r>
      <w:r w:rsidRPr="006F3F4E">
        <w:t>sioner.</w:t>
      </w:r>
    </w:p>
    <w:p w:rsidR="004403F1" w:rsidRPr="006F3F4E" w:rsidRDefault="004403F1">
      <w:r w:rsidRPr="006F3F4E">
        <w:t>Försvarsutskottet konstaterar att regeringen i budgetpropositionen (volym 5) delar finansutskottets bedömning att målen för en verksamhet måste vara välformulerade, mätbara och uppföljningsbara för att resultatstyrningen skall bli meningsfull och målen kunna ställas i relation till kostnaderna. Regeringen redovisar att den i samband med det kommande försvarsbeslutet avser se över verksamhetsindelningen av utgiftsområdet och därtill hörande målstruktur. En viktig fråga är då att klargöra förhållande</w:t>
      </w:r>
      <w:r w:rsidRPr="006F3F4E">
        <w:t>t mellan riksdagens treåriga fö</w:t>
      </w:r>
      <w:r w:rsidRPr="006F3F4E">
        <w:t>r</w:t>
      </w:r>
      <w:r w:rsidRPr="006F3F4E">
        <w:t>svarsbeslut och de årliga besluten om statsbudget.</w:t>
      </w:r>
    </w:p>
    <w:p w:rsidR="004403F1" w:rsidRPr="006F3F4E" w:rsidRDefault="004403F1">
      <w:pPr>
        <w:pStyle w:val="Normaltindrag"/>
      </w:pPr>
      <w:r w:rsidRPr="006F3F4E">
        <w:t>Försvarsutskottet noterar med tillfredsställelse att regeringen inlett arbetet med att förbättra förutsättningarna för riksdagens styrning och uppföljning av verksamheten. Riksdagens revisorer har i 2002/03:RR19 Riksdagens revis</w:t>
      </w:r>
      <w:r w:rsidRPr="006F3F4E">
        <w:t>o</w:t>
      </w:r>
      <w:r w:rsidRPr="006F3F4E">
        <w:t xml:space="preserve">rers förslag angående styrningen av det militära försvaret granskat riksdagens insyn i försvarsverksamheten och därvid lämnat förslag till hur riksdagens insyn, styrning och uppföljning av verksamheten skall förbättras. </w:t>
      </w:r>
    </w:p>
    <w:p w:rsidR="004403F1" w:rsidRPr="006F3F4E" w:rsidRDefault="004403F1">
      <w:pPr>
        <w:pStyle w:val="Normaltindrag"/>
      </w:pPr>
      <w:r w:rsidRPr="006F3F4E">
        <w:t>Utskottet kommer inom kort att återkomma till frågan om hur underlaget för budgetarbetet och verksamhetsuppföljningen skall kunna förbättras.</w:t>
      </w:r>
    </w:p>
    <w:p w:rsidR="004403F1" w:rsidRPr="006F3F4E" w:rsidRDefault="004403F1">
      <w:pPr>
        <w:rPr>
          <w:b/>
          <w:u w:val="single"/>
        </w:rPr>
      </w:pPr>
      <w:r w:rsidRPr="006F3F4E">
        <w:rPr>
          <w:b/>
          <w:u w:val="single"/>
        </w:rPr>
        <w:br w:type="page"/>
      </w:r>
    </w:p>
    <w:p w:rsidR="004403F1" w:rsidRPr="006F3F4E" w:rsidRDefault="004403F1">
      <w:pPr>
        <w:pStyle w:val="Utskriftsdatum"/>
      </w:pPr>
      <w:r w:rsidRPr="006F3F4E">
        <w:t>Stockholm den 23 oktober 2003</w:t>
      </w:r>
    </w:p>
    <w:p w:rsidR="004403F1" w:rsidRPr="006F3F4E" w:rsidRDefault="004403F1">
      <w:r w:rsidRPr="006F3F4E">
        <w:t>På försvarsutskottets vägnar</w:t>
      </w:r>
    </w:p>
    <w:p w:rsidR="004403F1" w:rsidRPr="006F3F4E" w:rsidRDefault="004403F1">
      <w:pPr>
        <w:pStyle w:val="Ordfranden"/>
        <w:rPr>
          <w:noProof w:val="0"/>
        </w:rPr>
      </w:pPr>
      <w:bookmarkStart w:id="7" w:name="Ordförande"/>
      <w:bookmarkEnd w:id="7"/>
      <w:r w:rsidRPr="006F3F4E">
        <w:rPr>
          <w:noProof w:val="0"/>
        </w:rPr>
        <w:t xml:space="preserve">Tone Tingsgård </w:t>
      </w:r>
    </w:p>
    <w:p w:rsidR="004403F1" w:rsidRPr="006F3F4E" w:rsidRDefault="004403F1">
      <w:pPr>
        <w:pStyle w:val="Deltagare"/>
        <w:rPr>
          <w:noProof w:val="0"/>
        </w:rPr>
      </w:pPr>
      <w:bookmarkStart w:id="8" w:name="Deltagare"/>
      <w:bookmarkEnd w:id="8"/>
      <w:r w:rsidRPr="006F3F4E">
        <w:rPr>
          <w:noProof w:val="0"/>
        </w:rPr>
        <w:t>Följande ledamöter har deltagit i beslutet: Tone Tingsgård (s), Ola Sundell (m), Allan Widman (fp), Ola Rask (s), Michael Hagberg (s), Erling Wälivaara (kd), Berndt Sköldestig (s), Britt-Marie Lindkvist (s), Åsa Lindestam (s), Peter Jonsson (s), Lars Ångström (mp), Marie Nordén (s), Carl-Axel Roslund (m), Karin Thorborg (v), Runar Patriksson (fp), Claes Västerteg (c) och Nils Oskar Nilsson (m).</w:t>
      </w:r>
    </w:p>
    <w:p w:rsidR="004403F1" w:rsidRPr="006F3F4E" w:rsidRDefault="004403F1">
      <w:pPr>
        <w:pStyle w:val="Normaltindrag"/>
      </w:pPr>
    </w:p>
    <w:p w:rsidR="004403F1" w:rsidRPr="006F3F4E" w:rsidRDefault="004403F1">
      <w:pPr>
        <w:pStyle w:val="Normaltindrag"/>
        <w:sectPr w:rsidR="00000000" w:rsidRPr="006F3F4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403F1" w:rsidRPr="006F3F4E" w:rsidRDefault="004403F1">
      <w:pPr>
        <w:pStyle w:val="Rubrik1"/>
        <w:rPr>
          <w:noProof w:val="0"/>
        </w:rPr>
      </w:pPr>
      <w:bookmarkStart w:id="9" w:name="_Toc54672760"/>
      <w:r w:rsidRPr="006F3F4E">
        <w:rPr>
          <w:noProof w:val="0"/>
        </w:rPr>
        <w:t>Avvikande meningar</w:t>
      </w:r>
      <w:bookmarkEnd w:id="9"/>
    </w:p>
    <w:p w:rsidR="004403F1" w:rsidRPr="006F3F4E" w:rsidRDefault="004403F1">
      <w:r w:rsidRPr="006F3F4E">
        <w:t>1. Ola Sundell, Carl-Axel Roslund och Nils Oskar Nilsson (alla m) anför:</w:t>
      </w:r>
    </w:p>
    <w:p w:rsidR="004403F1" w:rsidRPr="006F3F4E" w:rsidRDefault="004403F1">
      <w:r w:rsidRPr="006F3F4E">
        <w:t>Effekterna av de besparingar som Försvarsmakten successivt har tvingats till inom förbandsverksamheten är mycket kraftiga samtidigt som man inte fö</w:t>
      </w:r>
      <w:r w:rsidRPr="006F3F4E">
        <w:t>r</w:t>
      </w:r>
      <w:r w:rsidRPr="006F3F4E">
        <w:t>mår nå upp till beslutade förnyelseambitioner. Budgetpropositionen för 2004 liksom förra årets proposition ger en mycket bra bild av de brister som besp</w:t>
      </w:r>
      <w:r w:rsidRPr="006F3F4E">
        <w:t>a</w:t>
      </w:r>
      <w:r w:rsidRPr="006F3F4E">
        <w:t>ringarna har gett upphov till. Trots detta anser regeringen att resultatet är ”godtagbart”.</w:t>
      </w:r>
    </w:p>
    <w:p w:rsidR="004403F1" w:rsidRPr="006F3F4E" w:rsidRDefault="004403F1">
      <w:pPr>
        <w:pStyle w:val="Citat"/>
        <w:numPr>
          <w:ilvl w:val="0"/>
          <w:numId w:val="6"/>
        </w:numPr>
        <w:spacing w:before="125"/>
      </w:pPr>
      <w:r w:rsidRPr="006F3F4E">
        <w:t>Vi anser att det inte är tillräckligt att försvarets och de enskilda förbandens förmåga att lösa sina uppgifter bara är på gränsen till det godtagbara. A</w:t>
      </w:r>
      <w:r w:rsidRPr="006F3F4E">
        <w:t>m</w:t>
      </w:r>
      <w:r w:rsidRPr="006F3F4E">
        <w:t>bitionen måste vara väsentligt högre. Utbildningen av de enskilda soldate</w:t>
      </w:r>
      <w:r w:rsidRPr="006F3F4E">
        <w:t>r</w:t>
      </w:r>
      <w:r w:rsidRPr="006F3F4E">
        <w:t>na, sjömännen och befälen skall leda till en god förmåga att lösa uppgifter under så säkra och trygga former som möjligt. Vi kan inte godta de risker en alltför låg förmåga att klara de ställda uppgifterna innebär för soldater, sjömän och officerare när förbanden sätts in för försvar av Sverige eller i internationella operationer.</w:t>
      </w:r>
    </w:p>
    <w:p w:rsidR="004403F1" w:rsidRPr="006F3F4E" w:rsidRDefault="004403F1">
      <w:pPr>
        <w:pStyle w:val="Citat"/>
        <w:numPr>
          <w:ilvl w:val="0"/>
          <w:numId w:val="6"/>
        </w:numPr>
      </w:pPr>
      <w:r w:rsidRPr="006F3F4E">
        <w:t>Militära insatser är i många fall en nödvändighet för att upprätta mänsklig värdighet, trygghet och möjl</w:t>
      </w:r>
      <w:r w:rsidRPr="006F3F4E">
        <w:t>ighet till utveckling i en lång rad olika fall och för att skapa fred. Därför är det vår uppfattning att internationella insatser finansieras genom biståndsanslaget. Därmed skapas ett utrymme inom det militära försvaret motsvarande en miljard.</w:t>
      </w:r>
    </w:p>
    <w:p w:rsidR="004403F1" w:rsidRPr="006F3F4E" w:rsidRDefault="004403F1">
      <w:r w:rsidRPr="006F3F4E">
        <w:t>Med det anförda föreslår vi att riksdagen bifaller motion Fi239 (m) yrkande 7, 10, 11 och 12 såvitt avser utgiftsområde 6.</w:t>
      </w:r>
    </w:p>
    <w:p w:rsidR="004403F1" w:rsidRPr="006F3F4E" w:rsidRDefault="004403F1">
      <w:pPr>
        <w:pStyle w:val="Normaltindrag"/>
      </w:pPr>
    </w:p>
    <w:p w:rsidR="004403F1" w:rsidRPr="006F3F4E" w:rsidRDefault="004403F1">
      <w:r w:rsidRPr="006F3F4E">
        <w:t>2. Allan Widman och Runar Patriksson (båda fp) anför:</w:t>
      </w:r>
    </w:p>
    <w:p w:rsidR="004403F1" w:rsidRPr="006F3F4E" w:rsidRDefault="004403F1">
      <w:r w:rsidRPr="006F3F4E">
        <w:t>Folkpartiet liberalerna följer upp sina tidigare yrkanden angående utgiftso</w:t>
      </w:r>
      <w:r w:rsidRPr="006F3F4E">
        <w:t>m</w:t>
      </w:r>
      <w:r w:rsidRPr="006F3F4E">
        <w:t>rådet. De besparingar som Folkpartiet liberalerna förordat avseende omfat</w:t>
      </w:r>
      <w:r w:rsidRPr="006F3F4E">
        <w:t>t</w:t>
      </w:r>
      <w:r w:rsidRPr="006F3F4E">
        <w:t>ningen av grundutbildningen och en mer ordnad materielavveckling innebär en mer effektiv medelshantering. Vi anser att förslaget till utgiftsnivå i motion Fi240 bör läggas till grund för budgetarbetet.</w:t>
      </w:r>
    </w:p>
    <w:p w:rsidR="004403F1" w:rsidRPr="006F3F4E" w:rsidRDefault="004403F1"/>
    <w:p w:rsidR="004403F1" w:rsidRPr="006F3F4E" w:rsidRDefault="004403F1">
      <w:r w:rsidRPr="006F3F4E">
        <w:t>3. Erling Wälivaara (kd) anför:</w:t>
      </w:r>
    </w:p>
    <w:p w:rsidR="004403F1" w:rsidRPr="006F3F4E" w:rsidRDefault="004403F1">
      <w:r w:rsidRPr="006F3F4E">
        <w:t xml:space="preserve">Kristdemokraterna förordar i sitt budgetalternativ i motion Fi241 att extra medel satsas på Kustbevakningen. Kustbevakningens resurser bör öka med 20 miljoner kronor. Utgiftsramen bör räknas upp med motsvarande belopp. </w:t>
      </w:r>
    </w:p>
    <w:p w:rsidR="004403F1" w:rsidRPr="006F3F4E" w:rsidRDefault="004403F1"/>
    <w:p w:rsidR="004403F1" w:rsidRPr="006F3F4E" w:rsidRDefault="004403F1"/>
    <w:p w:rsidR="004403F1" w:rsidRPr="006F3F4E" w:rsidRDefault="004403F1">
      <w:pPr>
        <w:pStyle w:val="Normaltindrag"/>
        <w:sectPr w:rsidR="00000000" w:rsidRPr="006F3F4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403F1" w:rsidRPr="006F3F4E" w:rsidRDefault="004403F1">
      <w:pPr>
        <w:pStyle w:val="Rubrik1"/>
        <w:rPr>
          <w:noProof w:val="0"/>
        </w:rPr>
      </w:pPr>
      <w:bookmarkStart w:id="10" w:name="_Toc54672761"/>
      <w:r w:rsidRPr="006F3F4E">
        <w:rPr>
          <w:noProof w:val="0"/>
        </w:rPr>
        <w:t>Innehållsförteckning</w:t>
      </w:r>
      <w:bookmarkEnd w:id="10"/>
    </w:p>
    <w:p w:rsidR="004403F1" w:rsidRPr="006F3F4E" w:rsidRDefault="004403F1">
      <w:pPr>
        <w:pStyle w:val="Innehll1"/>
      </w:pPr>
      <w:r w:rsidRPr="006F3F4E">
        <w:t>Till finansutskottet</w:t>
      </w:r>
      <w:r w:rsidRPr="006F3F4E">
        <w:tab/>
        <w:t>1</w:t>
      </w:r>
    </w:p>
    <w:p w:rsidR="004403F1" w:rsidRPr="006F3F4E" w:rsidRDefault="004403F1">
      <w:pPr>
        <w:pStyle w:val="Innehll1"/>
      </w:pPr>
      <w:r w:rsidRPr="006F3F4E">
        <w:t>Regeringen</w:t>
      </w:r>
      <w:r w:rsidRPr="006F3F4E">
        <w:tab/>
        <w:t>1</w:t>
      </w:r>
    </w:p>
    <w:p w:rsidR="004403F1" w:rsidRPr="006F3F4E" w:rsidRDefault="004403F1">
      <w:pPr>
        <w:pStyle w:val="Innehll1"/>
      </w:pPr>
      <w:r w:rsidRPr="006F3F4E">
        <w:t>Motionerna</w:t>
      </w:r>
      <w:r w:rsidRPr="006F3F4E">
        <w:tab/>
        <w:t>2</w:t>
      </w:r>
    </w:p>
    <w:p w:rsidR="004403F1" w:rsidRPr="006F3F4E" w:rsidRDefault="004403F1">
      <w:pPr>
        <w:pStyle w:val="Innehll1"/>
      </w:pPr>
      <w:r w:rsidRPr="006F3F4E">
        <w:t>Försvarsutskottets överväganden</w:t>
      </w:r>
      <w:r w:rsidRPr="006F3F4E">
        <w:tab/>
        <w:t>3</w:t>
      </w:r>
    </w:p>
    <w:p w:rsidR="004403F1" w:rsidRPr="006F3F4E" w:rsidRDefault="004403F1">
      <w:pPr>
        <w:pStyle w:val="Innehll1"/>
      </w:pPr>
      <w:r w:rsidRPr="006F3F4E">
        <w:t>Avvikande meningar</w:t>
      </w:r>
      <w:r w:rsidRPr="006F3F4E">
        <w:tab/>
        <w:t>6</w:t>
      </w:r>
    </w:p>
    <w:p w:rsidR="004403F1" w:rsidRPr="006F3F4E" w:rsidRDefault="004403F1"/>
    <w:p w:rsidR="004403F1" w:rsidRPr="006F3F4E" w:rsidRDefault="004403F1">
      <w:pPr>
        <w:pStyle w:val="Tryckort"/>
        <w:framePr w:wrap="around"/>
      </w:pPr>
      <w:r w:rsidRPr="006F3F4E">
        <w:t>Elanders Gotab, Stockholm  2003</w:t>
      </w:r>
    </w:p>
    <w:p w:rsidR="004403F1" w:rsidRPr="006F3F4E" w:rsidRDefault="004403F1">
      <w:pPr>
        <w:pStyle w:val="Normaltindrag"/>
      </w:pPr>
    </w:p>
    <w:sectPr w:rsidR="004403F1" w:rsidRPr="006F3F4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3F1" w:rsidRPr="006F3F4E" w:rsidRDefault="004403F1">
      <w:pPr>
        <w:spacing w:before="0" w:line="240" w:lineRule="auto"/>
      </w:pPr>
      <w:r w:rsidRPr="006F3F4E">
        <w:separator/>
      </w:r>
    </w:p>
  </w:endnote>
  <w:endnote w:type="continuationSeparator" w:id="0">
    <w:p w:rsidR="004403F1" w:rsidRPr="006F3F4E" w:rsidRDefault="004403F1">
      <w:pPr>
        <w:spacing w:before="0" w:line="240" w:lineRule="auto"/>
      </w:pPr>
      <w:r w:rsidRPr="006F3F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fotV"/>
      <w:framePr w:w="8732" w:h="284" w:hRule="exact" w:hSpace="0" w:vSpace="0" w:wrap="around" w:xAlign="inside" w:y="13042" w:anchorLock="0"/>
    </w:pPr>
    <w:r w:rsidRPr="006F3F4E">
      <w:fldChar w:fldCharType="begin" w:fldLock="1"/>
    </w:r>
    <w:r w:rsidRPr="006F3F4E">
      <w:instrText xml:space="preserve"> P</w:instrText>
    </w:r>
    <w:r w:rsidRPr="006F3F4E">
      <w:instrText>A</w:instrText>
    </w:r>
    <w:r w:rsidRPr="006F3F4E">
      <w:instrText xml:space="preserve">GE </w:instrText>
    </w:r>
    <w:r w:rsidRPr="006F3F4E">
      <w:fldChar w:fldCharType="separate"/>
    </w:r>
    <w:r w:rsidRPr="006F3F4E">
      <w:t>4</w:t>
    </w:r>
    <w:r w:rsidRPr="006F3F4E">
      <w:fldChar w:fldCharType="end"/>
    </w:r>
  </w:p>
  <w:p w:rsidR="004403F1" w:rsidRPr="006F3F4E" w:rsidRDefault="004403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fotH"/>
      <w:framePr w:w="8732" w:h="284" w:hRule="exact" w:hSpace="0" w:vSpace="0" w:wrap="around" w:xAlign="inside" w:y="13042" w:anchorLock="0"/>
    </w:pPr>
    <w:r w:rsidRPr="006F3F4E">
      <w:fldChar w:fldCharType="begin" w:fldLock="1"/>
    </w:r>
    <w:r w:rsidRPr="006F3F4E">
      <w:instrText xml:space="preserve"> P</w:instrText>
    </w:r>
    <w:r w:rsidRPr="006F3F4E">
      <w:instrText>A</w:instrText>
    </w:r>
    <w:r w:rsidRPr="006F3F4E">
      <w:instrText xml:space="preserve">GE </w:instrText>
    </w:r>
    <w:r w:rsidRPr="006F3F4E">
      <w:fldChar w:fldCharType="separate"/>
    </w:r>
    <w:r w:rsidRPr="006F3F4E">
      <w:t>5</w:t>
    </w:r>
    <w:r w:rsidRPr="006F3F4E">
      <w:fldChar w:fldCharType="end"/>
    </w:r>
  </w:p>
  <w:p w:rsidR="004403F1" w:rsidRPr="006F3F4E" w:rsidRDefault="004403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fotV"/>
      <w:framePr w:w="8732" w:h="284" w:hRule="exact" w:hSpace="0" w:vSpace="0" w:wrap="around" w:xAlign="inside" w:y="13042" w:anchorLock="0"/>
    </w:pPr>
    <w:r w:rsidRPr="006F3F4E">
      <w:fldChar w:fldCharType="begin" w:fldLock="1"/>
    </w:r>
    <w:r w:rsidRPr="006F3F4E">
      <w:instrText xml:space="preserve"> if </w:instrText>
    </w:r>
    <w:r w:rsidRPr="006F3F4E">
      <w:fldChar w:fldCharType="begin" w:fldLock="1"/>
    </w:r>
    <w:r w:rsidRPr="006F3F4E">
      <w:instrText xml:space="preserve"> = </w:instrText>
    </w:r>
    <w:r w:rsidRPr="006F3F4E">
      <w:fldChar w:fldCharType="begin" w:fldLock="1"/>
    </w:r>
    <w:r w:rsidRPr="006F3F4E">
      <w:instrText xml:space="preserve"> = </w:instrText>
    </w:r>
    <w:r w:rsidRPr="006F3F4E">
      <w:fldChar w:fldCharType="begin" w:fldLock="1"/>
    </w:r>
    <w:r w:rsidRPr="006F3F4E">
      <w:instrText xml:space="preserve"> page</w:instrText>
    </w:r>
    <w:r w:rsidRPr="006F3F4E">
      <w:fldChar w:fldCharType="separate"/>
    </w:r>
    <w:r w:rsidR="006F3F4E">
      <w:rPr>
        <w:noProof/>
      </w:rPr>
      <w:instrText>1</w:instrText>
    </w:r>
    <w:r w:rsidRPr="006F3F4E">
      <w:fldChar w:fldCharType="end"/>
    </w:r>
    <w:r w:rsidRPr="006F3F4E">
      <w:instrText xml:space="preserve">/2 </w:instrText>
    </w:r>
    <w:r w:rsidRPr="006F3F4E">
      <w:fldChar w:fldCharType="separate"/>
    </w:r>
    <w:r w:rsidR="006F3F4E">
      <w:rPr>
        <w:noProof/>
      </w:rPr>
      <w:instrText>0,5</w:instrText>
    </w:r>
    <w:r w:rsidRPr="006F3F4E">
      <w:fldChar w:fldCharType="end"/>
    </w:r>
    <w:r w:rsidRPr="006F3F4E">
      <w:instrText xml:space="preserve"> - </w:instrText>
    </w:r>
    <w:r w:rsidRPr="006F3F4E">
      <w:fldChar w:fldCharType="begin" w:fldLock="1"/>
    </w:r>
    <w:r w:rsidRPr="006F3F4E">
      <w:instrText xml:space="preserve"> = int(</w:instrText>
    </w:r>
    <w:r w:rsidRPr="006F3F4E">
      <w:fldChar w:fldCharType="begin" w:fldLock="1"/>
    </w:r>
    <w:r w:rsidRPr="006F3F4E">
      <w:instrText xml:space="preserve"> page</w:instrText>
    </w:r>
    <w:r w:rsidRPr="006F3F4E">
      <w:fldChar w:fldCharType="separate"/>
    </w:r>
    <w:r w:rsidR="006F3F4E">
      <w:rPr>
        <w:noProof/>
      </w:rPr>
      <w:instrText>1</w:instrText>
    </w:r>
    <w:r w:rsidRPr="006F3F4E">
      <w:fldChar w:fldCharType="end"/>
    </w:r>
    <w:r w:rsidRPr="006F3F4E">
      <w:instrText xml:space="preserve">/2) </w:instrText>
    </w:r>
    <w:r w:rsidRPr="006F3F4E">
      <w:fldChar w:fldCharType="separate"/>
    </w:r>
    <w:r w:rsidR="006F3F4E">
      <w:rPr>
        <w:noProof/>
      </w:rPr>
      <w:instrText>0</w:instrText>
    </w:r>
    <w:r w:rsidRPr="006F3F4E">
      <w:fldChar w:fldCharType="end"/>
    </w:r>
    <w:r w:rsidRPr="006F3F4E">
      <w:fldChar w:fldCharType="separate"/>
    </w:r>
    <w:r w:rsidR="006F3F4E">
      <w:rPr>
        <w:noProof/>
      </w:rPr>
      <w:instrText>0,5</w:instrText>
    </w:r>
    <w:r w:rsidRPr="006F3F4E">
      <w:fldChar w:fldCharType="end"/>
    </w:r>
    <w:r w:rsidRPr="006F3F4E">
      <w:instrText xml:space="preserve"> = 0 "</w:instrText>
    </w:r>
    <w:r w:rsidRPr="006F3F4E">
      <w:fldChar w:fldCharType="begin" w:fldLock="1"/>
    </w:r>
    <w:r w:rsidRPr="006F3F4E">
      <w:instrText xml:space="preserve"> P</w:instrText>
    </w:r>
    <w:r w:rsidRPr="006F3F4E">
      <w:instrText>A</w:instrText>
    </w:r>
    <w:r w:rsidRPr="006F3F4E">
      <w:instrText xml:space="preserve">GE </w:instrText>
    </w:r>
    <w:r w:rsidRPr="006F3F4E">
      <w:fldChar w:fldCharType="separate"/>
    </w:r>
    <w:r w:rsidRPr="006F3F4E">
      <w:instrText>2</w:instrText>
    </w:r>
    <w:r w:rsidRPr="006F3F4E">
      <w:fldChar w:fldCharType="end"/>
    </w:r>
  </w:p>
  <w:p w:rsidR="004403F1" w:rsidRPr="006F3F4E" w:rsidRDefault="004403F1">
    <w:pPr>
      <w:pStyle w:val="SidfotH"/>
      <w:framePr w:w="8732" w:h="284" w:hRule="exact" w:hSpace="0" w:vSpace="0" w:wrap="around" w:xAlign="inside" w:y="13042" w:anchorLock="0"/>
    </w:pPr>
    <w:r w:rsidRPr="006F3F4E">
      <w:instrText>""</w:instrText>
    </w:r>
    <w:r w:rsidRPr="006F3F4E">
      <w:fldChar w:fldCharType="begin" w:fldLock="1"/>
    </w:r>
    <w:r w:rsidRPr="006F3F4E">
      <w:instrText xml:space="preserve"> P</w:instrText>
    </w:r>
    <w:r w:rsidRPr="006F3F4E">
      <w:instrText>A</w:instrText>
    </w:r>
    <w:r w:rsidRPr="006F3F4E">
      <w:instrText xml:space="preserve">GE </w:instrText>
    </w:r>
    <w:r w:rsidRPr="006F3F4E">
      <w:fldChar w:fldCharType="separate"/>
    </w:r>
    <w:r w:rsidR="006F3F4E">
      <w:rPr>
        <w:noProof/>
      </w:rPr>
      <w:instrText>1</w:instrText>
    </w:r>
    <w:r w:rsidRPr="006F3F4E">
      <w:fldChar w:fldCharType="end"/>
    </w:r>
    <w:r w:rsidRPr="006F3F4E">
      <w:instrText>"</w:instrText>
    </w:r>
    <w:r w:rsidRPr="006F3F4E">
      <w:fldChar w:fldCharType="separate"/>
    </w:r>
    <w:r w:rsidR="006F3F4E">
      <w:rPr>
        <w:noProof/>
      </w:rPr>
      <w:t>1</w:t>
    </w:r>
    <w:r w:rsidRPr="006F3F4E">
      <w:fldChar w:fldCharType="end"/>
    </w:r>
  </w:p>
  <w:p w:rsidR="004403F1" w:rsidRPr="006F3F4E" w:rsidRDefault="004403F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fotV"/>
      <w:framePr w:w="8732" w:h="284" w:hRule="exact" w:hSpace="0" w:vSpace="0" w:wrap="around" w:xAlign="inside" w:y="13042" w:anchorLock="0"/>
    </w:pPr>
    <w:r w:rsidRPr="006F3F4E">
      <w:fldChar w:fldCharType="begin" w:fldLock="1"/>
    </w:r>
    <w:r w:rsidRPr="006F3F4E">
      <w:instrText xml:space="preserve"> P</w:instrText>
    </w:r>
    <w:r w:rsidRPr="006F3F4E">
      <w:instrText>A</w:instrText>
    </w:r>
    <w:r w:rsidRPr="006F3F4E">
      <w:instrText xml:space="preserve">GE </w:instrText>
    </w:r>
    <w:r w:rsidRPr="006F3F4E">
      <w:fldChar w:fldCharType="separate"/>
    </w:r>
    <w:r w:rsidRPr="006F3F4E">
      <w:t>2</w:t>
    </w:r>
    <w:r w:rsidRPr="006F3F4E">
      <w:fldChar w:fldCharType="end"/>
    </w:r>
  </w:p>
  <w:p w:rsidR="004403F1" w:rsidRPr="006F3F4E" w:rsidRDefault="004403F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fotH"/>
      <w:framePr w:w="8732" w:h="284" w:hRule="exact" w:hSpace="0" w:vSpace="0" w:wrap="around" w:xAlign="inside" w:y="13042" w:anchorLock="0"/>
    </w:pPr>
    <w:r w:rsidRPr="006F3F4E">
      <w:fldChar w:fldCharType="begin" w:fldLock="1"/>
    </w:r>
    <w:r w:rsidRPr="006F3F4E">
      <w:instrText xml:space="preserve"> P</w:instrText>
    </w:r>
    <w:r w:rsidRPr="006F3F4E">
      <w:instrText>A</w:instrText>
    </w:r>
    <w:r w:rsidRPr="006F3F4E">
      <w:instrText xml:space="preserve">GE </w:instrText>
    </w:r>
    <w:r w:rsidRPr="006F3F4E">
      <w:fldChar w:fldCharType="separate"/>
    </w:r>
    <w:r w:rsidRPr="006F3F4E">
      <w:t>3</w:t>
    </w:r>
    <w:r w:rsidRPr="006F3F4E">
      <w:fldChar w:fldCharType="end"/>
    </w:r>
  </w:p>
  <w:p w:rsidR="004403F1" w:rsidRPr="006F3F4E" w:rsidRDefault="004403F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fotV"/>
      <w:framePr w:w="8732" w:h="284" w:hRule="exact" w:hSpace="0" w:vSpace="0" w:wrap="around" w:xAlign="inside" w:y="13042" w:anchorLock="0"/>
    </w:pPr>
    <w:r w:rsidRPr="006F3F4E">
      <w:fldChar w:fldCharType="begin" w:fldLock="1"/>
    </w:r>
    <w:r w:rsidRPr="006F3F4E">
      <w:instrText xml:space="preserve"> if </w:instrText>
    </w:r>
    <w:r w:rsidRPr="006F3F4E">
      <w:fldChar w:fldCharType="begin" w:fldLock="1"/>
    </w:r>
    <w:r w:rsidRPr="006F3F4E">
      <w:instrText xml:space="preserve"> = </w:instrText>
    </w:r>
    <w:r w:rsidRPr="006F3F4E">
      <w:fldChar w:fldCharType="begin" w:fldLock="1"/>
    </w:r>
    <w:r w:rsidRPr="006F3F4E">
      <w:instrText xml:space="preserve"> = </w:instrText>
    </w:r>
    <w:r w:rsidRPr="006F3F4E">
      <w:fldChar w:fldCharType="begin" w:fldLock="1"/>
    </w:r>
    <w:r w:rsidRPr="006F3F4E">
      <w:instrText xml:space="preserve"> page</w:instrText>
    </w:r>
    <w:r w:rsidRPr="006F3F4E">
      <w:fldChar w:fldCharType="separate"/>
    </w:r>
    <w:r w:rsidRPr="006F3F4E">
      <w:instrText>6</w:instrText>
    </w:r>
    <w:r w:rsidRPr="006F3F4E">
      <w:fldChar w:fldCharType="end"/>
    </w:r>
    <w:r w:rsidRPr="006F3F4E">
      <w:instrText xml:space="preserve">/2 </w:instrText>
    </w:r>
    <w:r w:rsidRPr="006F3F4E">
      <w:fldChar w:fldCharType="separate"/>
    </w:r>
    <w:r w:rsidRPr="006F3F4E">
      <w:instrText>3</w:instrText>
    </w:r>
    <w:r w:rsidRPr="006F3F4E">
      <w:fldChar w:fldCharType="end"/>
    </w:r>
    <w:r w:rsidRPr="006F3F4E">
      <w:instrText xml:space="preserve"> - </w:instrText>
    </w:r>
    <w:r w:rsidRPr="006F3F4E">
      <w:fldChar w:fldCharType="begin" w:fldLock="1"/>
    </w:r>
    <w:r w:rsidRPr="006F3F4E">
      <w:instrText xml:space="preserve"> = int(</w:instrText>
    </w:r>
    <w:r w:rsidRPr="006F3F4E">
      <w:fldChar w:fldCharType="begin" w:fldLock="1"/>
    </w:r>
    <w:r w:rsidRPr="006F3F4E">
      <w:instrText xml:space="preserve"> page</w:instrText>
    </w:r>
    <w:r w:rsidRPr="006F3F4E">
      <w:fldChar w:fldCharType="separate"/>
    </w:r>
    <w:r w:rsidRPr="006F3F4E">
      <w:instrText>6</w:instrText>
    </w:r>
    <w:r w:rsidRPr="006F3F4E">
      <w:fldChar w:fldCharType="end"/>
    </w:r>
    <w:r w:rsidRPr="006F3F4E">
      <w:instrText xml:space="preserve">/2) </w:instrText>
    </w:r>
    <w:r w:rsidRPr="006F3F4E">
      <w:fldChar w:fldCharType="separate"/>
    </w:r>
    <w:r w:rsidRPr="006F3F4E">
      <w:instrText>3</w:instrText>
    </w:r>
    <w:r w:rsidRPr="006F3F4E">
      <w:fldChar w:fldCharType="end"/>
    </w:r>
    <w:r w:rsidRPr="006F3F4E">
      <w:fldChar w:fldCharType="separate"/>
    </w:r>
    <w:r w:rsidRPr="006F3F4E">
      <w:instrText>0</w:instrText>
    </w:r>
    <w:r w:rsidRPr="006F3F4E">
      <w:fldChar w:fldCharType="end"/>
    </w:r>
    <w:r w:rsidRPr="006F3F4E">
      <w:instrText xml:space="preserve"> = 0 "</w:instrText>
    </w:r>
    <w:r w:rsidRPr="006F3F4E">
      <w:fldChar w:fldCharType="begin" w:fldLock="1"/>
    </w:r>
    <w:r w:rsidRPr="006F3F4E">
      <w:instrText xml:space="preserve"> P</w:instrText>
    </w:r>
    <w:r w:rsidRPr="006F3F4E">
      <w:instrText>A</w:instrText>
    </w:r>
    <w:r w:rsidRPr="006F3F4E">
      <w:instrText xml:space="preserve">GE </w:instrText>
    </w:r>
    <w:r w:rsidRPr="006F3F4E">
      <w:fldChar w:fldCharType="separate"/>
    </w:r>
    <w:r w:rsidRPr="006F3F4E">
      <w:instrText>6</w:instrText>
    </w:r>
    <w:r w:rsidRPr="006F3F4E">
      <w:fldChar w:fldCharType="end"/>
    </w:r>
  </w:p>
  <w:p w:rsidR="004403F1" w:rsidRPr="006F3F4E" w:rsidRDefault="004403F1">
    <w:pPr>
      <w:pStyle w:val="SidfotV"/>
      <w:framePr w:w="8732" w:h="284" w:hRule="exact" w:hSpace="0" w:vSpace="0" w:wrap="around" w:xAlign="inside" w:y="13042" w:anchorLock="0"/>
    </w:pPr>
    <w:r w:rsidRPr="006F3F4E">
      <w:instrText>""</w:instrText>
    </w:r>
    <w:r w:rsidRPr="006F3F4E">
      <w:fldChar w:fldCharType="begin" w:fldLock="1"/>
    </w:r>
    <w:r w:rsidRPr="006F3F4E">
      <w:instrText xml:space="preserve"> P</w:instrText>
    </w:r>
    <w:r w:rsidRPr="006F3F4E">
      <w:instrText>A</w:instrText>
    </w:r>
    <w:r w:rsidRPr="006F3F4E">
      <w:instrText xml:space="preserve">GE </w:instrText>
    </w:r>
    <w:r w:rsidRPr="006F3F4E">
      <w:fldChar w:fldCharType="separate"/>
    </w:r>
    <w:r w:rsidRPr="006F3F4E">
      <w:instrText>7</w:instrText>
    </w:r>
    <w:r w:rsidRPr="006F3F4E">
      <w:fldChar w:fldCharType="end"/>
    </w:r>
    <w:r w:rsidRPr="006F3F4E">
      <w:instrText>"</w:instrText>
    </w:r>
    <w:r w:rsidRPr="006F3F4E">
      <w:fldChar w:fldCharType="separate"/>
    </w:r>
    <w:r w:rsidRPr="006F3F4E">
      <w:fldChar w:fldCharType="begin" w:fldLock="1"/>
    </w:r>
    <w:r w:rsidRPr="006F3F4E">
      <w:instrText xml:space="preserve"> P</w:instrText>
    </w:r>
    <w:r w:rsidRPr="006F3F4E">
      <w:instrText>A</w:instrText>
    </w:r>
    <w:r w:rsidRPr="006F3F4E">
      <w:instrText xml:space="preserve">GE </w:instrText>
    </w:r>
    <w:r w:rsidRPr="006F3F4E">
      <w:fldChar w:fldCharType="separate"/>
    </w:r>
    <w:r w:rsidRPr="006F3F4E">
      <w:t>6</w:t>
    </w:r>
    <w:r w:rsidRPr="006F3F4E">
      <w:fldChar w:fldCharType="end"/>
    </w:r>
  </w:p>
  <w:p w:rsidR="004403F1" w:rsidRPr="006F3F4E" w:rsidRDefault="004403F1">
    <w:pPr>
      <w:pStyle w:val="SidfotH"/>
      <w:framePr w:w="8732" w:h="284" w:hRule="exact" w:hSpace="0" w:vSpace="0" w:wrap="around" w:xAlign="inside" w:y="13042" w:anchorLock="0"/>
    </w:pPr>
    <w:r w:rsidRPr="006F3F4E">
      <w:fldChar w:fldCharType="end"/>
    </w:r>
  </w:p>
  <w:p w:rsidR="004403F1" w:rsidRPr="006F3F4E" w:rsidRDefault="004403F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fotV"/>
      <w:framePr w:w="8732" w:h="284" w:hRule="exact" w:hSpace="0" w:vSpace="0" w:wrap="around" w:xAlign="inside" w:y="13042" w:anchorLock="0"/>
    </w:pPr>
    <w:r w:rsidRPr="006F3F4E">
      <w:fldChar w:fldCharType="begin" w:fldLock="1"/>
    </w:r>
    <w:r w:rsidRPr="006F3F4E">
      <w:instrText xml:space="preserve"> P</w:instrText>
    </w:r>
    <w:r w:rsidRPr="006F3F4E">
      <w:instrText>A</w:instrText>
    </w:r>
    <w:r w:rsidRPr="006F3F4E">
      <w:instrText xml:space="preserve">GE </w:instrText>
    </w:r>
    <w:r w:rsidRPr="006F3F4E">
      <w:fldChar w:fldCharType="separate"/>
    </w:r>
    <w:r w:rsidRPr="006F3F4E">
      <w:t>2</w:t>
    </w:r>
    <w:r w:rsidRPr="006F3F4E">
      <w:fldChar w:fldCharType="end"/>
    </w:r>
  </w:p>
  <w:p w:rsidR="004403F1" w:rsidRPr="006F3F4E" w:rsidRDefault="004403F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fotH"/>
      <w:framePr w:w="8732" w:h="284" w:hRule="exact" w:hSpace="0" w:vSpace="0" w:wrap="around" w:xAlign="inside" w:y="13042" w:anchorLock="0"/>
    </w:pPr>
    <w:r w:rsidRPr="006F3F4E">
      <w:fldChar w:fldCharType="begin" w:fldLock="1"/>
    </w:r>
    <w:r w:rsidRPr="006F3F4E">
      <w:instrText xml:space="preserve"> P</w:instrText>
    </w:r>
    <w:r w:rsidRPr="006F3F4E">
      <w:instrText>A</w:instrText>
    </w:r>
    <w:r w:rsidRPr="006F3F4E">
      <w:instrText xml:space="preserve">GE </w:instrText>
    </w:r>
    <w:r w:rsidRPr="006F3F4E">
      <w:fldChar w:fldCharType="separate"/>
    </w:r>
    <w:r w:rsidRPr="006F3F4E">
      <w:t>3</w:t>
    </w:r>
    <w:r w:rsidRPr="006F3F4E">
      <w:fldChar w:fldCharType="end"/>
    </w:r>
  </w:p>
  <w:p w:rsidR="004403F1" w:rsidRPr="006F3F4E" w:rsidRDefault="004403F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fotV"/>
      <w:framePr w:w="8732" w:h="284" w:hRule="exact" w:hSpace="0" w:vSpace="0" w:wrap="around" w:xAlign="inside" w:y="13042" w:anchorLock="0"/>
    </w:pPr>
    <w:r w:rsidRPr="006F3F4E">
      <w:fldChar w:fldCharType="begin" w:fldLock="1"/>
    </w:r>
    <w:r w:rsidRPr="006F3F4E">
      <w:instrText xml:space="preserve"> if </w:instrText>
    </w:r>
    <w:r w:rsidRPr="006F3F4E">
      <w:fldChar w:fldCharType="begin" w:fldLock="1"/>
    </w:r>
    <w:r w:rsidRPr="006F3F4E">
      <w:instrText xml:space="preserve"> = </w:instrText>
    </w:r>
    <w:r w:rsidRPr="006F3F4E">
      <w:fldChar w:fldCharType="begin" w:fldLock="1"/>
    </w:r>
    <w:r w:rsidRPr="006F3F4E">
      <w:instrText xml:space="preserve"> = </w:instrText>
    </w:r>
    <w:r w:rsidRPr="006F3F4E">
      <w:fldChar w:fldCharType="begin" w:fldLock="1"/>
    </w:r>
    <w:r w:rsidRPr="006F3F4E">
      <w:instrText xml:space="preserve"> page</w:instrText>
    </w:r>
    <w:r w:rsidRPr="006F3F4E">
      <w:fldChar w:fldCharType="separate"/>
    </w:r>
    <w:r w:rsidRPr="006F3F4E">
      <w:instrText>7</w:instrText>
    </w:r>
    <w:r w:rsidRPr="006F3F4E">
      <w:fldChar w:fldCharType="end"/>
    </w:r>
    <w:r w:rsidRPr="006F3F4E">
      <w:instrText xml:space="preserve">/2 </w:instrText>
    </w:r>
    <w:r w:rsidRPr="006F3F4E">
      <w:fldChar w:fldCharType="separate"/>
    </w:r>
    <w:r w:rsidRPr="006F3F4E">
      <w:instrText>3,5</w:instrText>
    </w:r>
    <w:r w:rsidRPr="006F3F4E">
      <w:fldChar w:fldCharType="end"/>
    </w:r>
    <w:r w:rsidRPr="006F3F4E">
      <w:instrText xml:space="preserve"> - </w:instrText>
    </w:r>
    <w:r w:rsidRPr="006F3F4E">
      <w:fldChar w:fldCharType="begin" w:fldLock="1"/>
    </w:r>
    <w:r w:rsidRPr="006F3F4E">
      <w:instrText xml:space="preserve"> = int(</w:instrText>
    </w:r>
    <w:r w:rsidRPr="006F3F4E">
      <w:fldChar w:fldCharType="begin" w:fldLock="1"/>
    </w:r>
    <w:r w:rsidRPr="006F3F4E">
      <w:instrText xml:space="preserve"> page</w:instrText>
    </w:r>
    <w:r w:rsidRPr="006F3F4E">
      <w:fldChar w:fldCharType="separate"/>
    </w:r>
    <w:r w:rsidRPr="006F3F4E">
      <w:instrText>7</w:instrText>
    </w:r>
    <w:r w:rsidRPr="006F3F4E">
      <w:fldChar w:fldCharType="end"/>
    </w:r>
    <w:r w:rsidRPr="006F3F4E">
      <w:instrText xml:space="preserve">/2) </w:instrText>
    </w:r>
    <w:r w:rsidRPr="006F3F4E">
      <w:fldChar w:fldCharType="separate"/>
    </w:r>
    <w:r w:rsidRPr="006F3F4E">
      <w:instrText>3</w:instrText>
    </w:r>
    <w:r w:rsidRPr="006F3F4E">
      <w:fldChar w:fldCharType="end"/>
    </w:r>
    <w:r w:rsidRPr="006F3F4E">
      <w:fldChar w:fldCharType="separate"/>
    </w:r>
    <w:r w:rsidRPr="006F3F4E">
      <w:instrText>0,5</w:instrText>
    </w:r>
    <w:r w:rsidRPr="006F3F4E">
      <w:fldChar w:fldCharType="end"/>
    </w:r>
    <w:r w:rsidRPr="006F3F4E">
      <w:instrText xml:space="preserve"> = 0 "</w:instrText>
    </w:r>
    <w:r w:rsidRPr="006F3F4E">
      <w:fldChar w:fldCharType="begin" w:fldLock="1"/>
    </w:r>
    <w:r w:rsidRPr="006F3F4E">
      <w:instrText xml:space="preserve"> P</w:instrText>
    </w:r>
    <w:r w:rsidRPr="006F3F4E">
      <w:instrText>A</w:instrText>
    </w:r>
    <w:r w:rsidRPr="006F3F4E">
      <w:instrText xml:space="preserve">GE </w:instrText>
    </w:r>
    <w:r w:rsidRPr="006F3F4E">
      <w:fldChar w:fldCharType="separate"/>
    </w:r>
    <w:r w:rsidRPr="006F3F4E">
      <w:instrText>8</w:instrText>
    </w:r>
    <w:r w:rsidRPr="006F3F4E">
      <w:fldChar w:fldCharType="end"/>
    </w:r>
  </w:p>
  <w:p w:rsidR="004403F1" w:rsidRPr="006F3F4E" w:rsidRDefault="004403F1">
    <w:pPr>
      <w:pStyle w:val="SidfotH"/>
      <w:framePr w:w="8732" w:h="284" w:hRule="exact" w:hSpace="0" w:vSpace="0" w:wrap="around" w:xAlign="inside" w:y="13042" w:anchorLock="0"/>
    </w:pPr>
    <w:r w:rsidRPr="006F3F4E">
      <w:instrText>""</w:instrText>
    </w:r>
    <w:r w:rsidRPr="006F3F4E">
      <w:fldChar w:fldCharType="begin" w:fldLock="1"/>
    </w:r>
    <w:r w:rsidRPr="006F3F4E">
      <w:instrText xml:space="preserve"> P</w:instrText>
    </w:r>
    <w:r w:rsidRPr="006F3F4E">
      <w:instrText>A</w:instrText>
    </w:r>
    <w:r w:rsidRPr="006F3F4E">
      <w:instrText xml:space="preserve">GE </w:instrText>
    </w:r>
    <w:r w:rsidRPr="006F3F4E">
      <w:fldChar w:fldCharType="separate"/>
    </w:r>
    <w:r w:rsidRPr="006F3F4E">
      <w:instrText>7</w:instrText>
    </w:r>
    <w:r w:rsidRPr="006F3F4E">
      <w:fldChar w:fldCharType="end"/>
    </w:r>
    <w:r w:rsidRPr="006F3F4E">
      <w:instrText>"</w:instrText>
    </w:r>
    <w:r w:rsidRPr="006F3F4E">
      <w:fldChar w:fldCharType="separate"/>
    </w:r>
    <w:r w:rsidRPr="006F3F4E">
      <w:t>7</w:t>
    </w:r>
    <w:r w:rsidRPr="006F3F4E">
      <w:fldChar w:fldCharType="end"/>
    </w:r>
  </w:p>
  <w:p w:rsidR="004403F1" w:rsidRPr="006F3F4E" w:rsidRDefault="004403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3F1" w:rsidRPr="006F3F4E" w:rsidRDefault="004403F1">
      <w:pPr>
        <w:pStyle w:val="Sidfot"/>
      </w:pPr>
    </w:p>
  </w:footnote>
  <w:footnote w:type="continuationSeparator" w:id="0">
    <w:p w:rsidR="004403F1" w:rsidRPr="006F3F4E" w:rsidRDefault="004403F1">
      <w:pPr>
        <w:spacing w:before="0" w:line="240" w:lineRule="auto"/>
      </w:pPr>
      <w:r w:rsidRPr="006F3F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huvudKantJmn"/>
      <w:framePr w:w="8732" w:h="567" w:hRule="exact" w:vSpace="0" w:wrap="around" w:vAnchor="page" w:y="341" w:anchorLock="0"/>
    </w:pPr>
    <w:r w:rsidRPr="006F3F4E">
      <w:rPr>
        <w:rStyle w:val="SidhuvudUtskott"/>
      </w:rPr>
      <w:fldChar w:fldCharType="begin" w:fldLock="1"/>
    </w:r>
    <w:r w:rsidRPr="006F3F4E">
      <w:rPr>
        <w:rStyle w:val="SidhuvudUtskott"/>
      </w:rPr>
      <w:instrText xml:space="preserve"> DOCPROPERTY BetänkandeÅr</w:instrText>
    </w:r>
    <w:r w:rsidRPr="006F3F4E">
      <w:rPr>
        <w:rStyle w:val="SidhuvudUtskott"/>
      </w:rPr>
      <w:fldChar w:fldCharType="separate"/>
    </w:r>
    <w:r w:rsidRPr="006F3F4E">
      <w:rPr>
        <w:rStyle w:val="SidhuvudUtskott"/>
      </w:rPr>
      <w:t>2003/04</w:t>
    </w:r>
    <w:r w:rsidRPr="006F3F4E">
      <w:rPr>
        <w:rStyle w:val="SidhuvudUtskott"/>
      </w:rPr>
      <w:fldChar w:fldCharType="end"/>
    </w:r>
    <w:r w:rsidRPr="006F3F4E">
      <w:rPr>
        <w:rStyle w:val="SidhuvudUtskott"/>
      </w:rPr>
      <w:t>:</w:t>
    </w:r>
    <w:r w:rsidRPr="006F3F4E">
      <w:rPr>
        <w:rStyle w:val="SidhuvudUtskott"/>
      </w:rPr>
      <w:fldChar w:fldCharType="begin" w:fldLock="1"/>
    </w:r>
    <w:r w:rsidRPr="006F3F4E">
      <w:rPr>
        <w:rStyle w:val="SidhuvudUtskott"/>
      </w:rPr>
      <w:instrText xml:space="preserve"> DOCPROPERTY Utskott</w:instrText>
    </w:r>
    <w:r w:rsidRPr="006F3F4E">
      <w:rPr>
        <w:rStyle w:val="SidhuvudUtskott"/>
      </w:rPr>
      <w:fldChar w:fldCharType="separate"/>
    </w:r>
    <w:r w:rsidRPr="006F3F4E">
      <w:rPr>
        <w:rStyle w:val="SidhuvudUtskott"/>
      </w:rPr>
      <w:t>FöU</w:t>
    </w:r>
    <w:r w:rsidRPr="006F3F4E">
      <w:rPr>
        <w:rStyle w:val="SidhuvudUtskott"/>
      </w:rPr>
      <w:fldChar w:fldCharType="end"/>
    </w:r>
    <w:r w:rsidRPr="006F3F4E">
      <w:rPr>
        <w:rStyle w:val="SidhuvudUtskott"/>
      </w:rPr>
      <w:fldChar w:fldCharType="begin" w:fldLock="1"/>
    </w:r>
    <w:r w:rsidRPr="006F3F4E">
      <w:rPr>
        <w:rStyle w:val="SidhuvudUtskott"/>
      </w:rPr>
      <w:instrText xml:space="preserve"> DOCPROPERTY BetänkandeNr</w:instrText>
    </w:r>
    <w:r w:rsidRPr="006F3F4E">
      <w:rPr>
        <w:rStyle w:val="SidhuvudUtskott"/>
      </w:rPr>
      <w:fldChar w:fldCharType="separate"/>
    </w:r>
    <w:r w:rsidRPr="006F3F4E">
      <w:rPr>
        <w:rStyle w:val="SidhuvudUtskott"/>
      </w:rPr>
      <w:t>1y</w:t>
    </w:r>
    <w:r w:rsidRPr="006F3F4E">
      <w:rPr>
        <w:rStyle w:val="SidhuvudUtskott"/>
      </w:rPr>
      <w:fldChar w:fldCharType="end"/>
    </w:r>
    <w:r w:rsidRPr="006F3F4E">
      <w:t xml:space="preserve">     </w:t>
    </w:r>
    <w:r w:rsidRPr="006F3F4E">
      <w:rPr>
        <w:rStyle w:val="SidhuvudBilaga"/>
      </w:rPr>
      <w:t xml:space="preserve"> </w:t>
    </w:r>
    <w:r w:rsidRPr="006F3F4E">
      <w:rPr>
        <w:rStyle w:val="SidhuvudRubrikReferens"/>
      </w:rPr>
      <w:fldChar w:fldCharType="begin" w:fldLock="1"/>
    </w:r>
    <w:r w:rsidRPr="006F3F4E">
      <w:rPr>
        <w:rStyle w:val="SidhuvudRubrikReferens"/>
      </w:rPr>
      <w:instrText xml:space="preserve"> StyleREF "Rubrik 1" </w:instrText>
    </w:r>
    <w:r w:rsidRPr="006F3F4E">
      <w:rPr>
        <w:rStyle w:val="SidhuvudRubrikReferens"/>
      </w:rPr>
      <w:fldChar w:fldCharType="separate"/>
    </w:r>
    <w:r w:rsidRPr="006F3F4E">
      <w:rPr>
        <w:rStyle w:val="SidhuvudRubrikReferens"/>
      </w:rPr>
      <w:t>Försvarsutskottets överväganden</w:t>
    </w:r>
    <w:r w:rsidRPr="006F3F4E">
      <w:rPr>
        <w:rStyle w:val="SidhuvudRubrikReferens"/>
      </w:rPr>
      <w:fldChar w:fldCharType="end"/>
    </w:r>
  </w:p>
  <w:p w:rsidR="004403F1" w:rsidRPr="006F3F4E" w:rsidRDefault="004403F1">
    <w:pPr>
      <w:pStyle w:val="SidhuvudKantJmn"/>
      <w:framePr w:w="8732" w:h="567" w:hRule="exact" w:vSpace="0" w:wrap="around" w:vAnchor="page" w:y="341" w:anchorLock="0"/>
    </w:pPr>
    <w:r w:rsidRPr="006F3F4E">
      <w:rPr>
        <w:rStyle w:val="SidhuvudUtskott"/>
      </w:rPr>
      <w:fldChar w:fldCharType="begin" w:fldLock="1"/>
    </w:r>
    <w:r w:rsidRPr="006F3F4E">
      <w:rPr>
        <w:rStyle w:val="SidhuvudUtskott"/>
      </w:rPr>
      <w:instrText xml:space="preserve"> DOCPROPERTY Status</w:instrText>
    </w:r>
    <w:r w:rsidRPr="006F3F4E">
      <w:rPr>
        <w:rStyle w:val="SidhuvudUtskott"/>
      </w:rPr>
      <w:fldChar w:fldCharType="end"/>
    </w:r>
    <w:r w:rsidRPr="006F3F4E">
      <w:rPr>
        <w:rStyle w:val="SidhuvudUtskott"/>
      </w:rPr>
      <w:fldChar w:fldCharType="begin" w:fldLock="1"/>
    </w:r>
    <w:r w:rsidRPr="006F3F4E">
      <w:rPr>
        <w:rStyle w:val="SidhuvudUtskott"/>
      </w:rPr>
      <w:instrText xml:space="preserve"> if </w:instrText>
    </w:r>
    <w:r w:rsidRPr="006F3F4E">
      <w:rPr>
        <w:rStyle w:val="SidhuvudUtskott"/>
      </w:rPr>
      <w:fldChar w:fldCharType="begin" w:fldLock="1"/>
    </w:r>
    <w:r w:rsidRPr="006F3F4E">
      <w:rPr>
        <w:rStyle w:val="SidhuvudUtskott"/>
      </w:rPr>
      <w:instrText xml:space="preserve"> DOCPROPERTY "UtkastDatum"</w:instrText>
    </w:r>
    <w:r w:rsidRPr="006F3F4E">
      <w:rPr>
        <w:rStyle w:val="SidhuvudUtskott"/>
      </w:rPr>
      <w:fldChar w:fldCharType="separate"/>
    </w:r>
    <w:r w:rsidRPr="006F3F4E">
      <w:rPr>
        <w:rStyle w:val="SidhuvudUtskott"/>
      </w:rPr>
      <w:instrText>Nej</w:instrText>
    </w:r>
    <w:r w:rsidRPr="006F3F4E">
      <w:rPr>
        <w:rStyle w:val="SidhuvudUtskott"/>
      </w:rPr>
      <w:fldChar w:fldCharType="end"/>
    </w:r>
    <w:r w:rsidRPr="006F3F4E">
      <w:rPr>
        <w:rStyle w:val="SidhuvudUtskott"/>
      </w:rPr>
      <w:instrText xml:space="preserve"> = "Ja" "    </w:instrText>
    </w:r>
    <w:r w:rsidRPr="006F3F4E">
      <w:rPr>
        <w:rStyle w:val="SidhuvudUtskott"/>
      </w:rPr>
      <w:fldChar w:fldCharType="begin" w:fldLock="1"/>
    </w:r>
    <w:r w:rsidRPr="006F3F4E">
      <w:rPr>
        <w:rStyle w:val="SidhuvudUtskott"/>
      </w:rPr>
      <w:instrText xml:space="preserve"> PRINTDATE \@ "yyyy-MM-dd HH.mm" </w:instrText>
    </w:r>
    <w:r w:rsidRPr="006F3F4E">
      <w:rPr>
        <w:rStyle w:val="SidhuvudUtskott"/>
      </w:rPr>
      <w:fldChar w:fldCharType="separate"/>
    </w:r>
    <w:r w:rsidRPr="006F3F4E">
      <w:rPr>
        <w:rStyle w:val="SidhuvudUtskott"/>
      </w:rPr>
      <w:instrText>2000-08-11 16.42</w:instrText>
    </w:r>
    <w:r w:rsidRPr="006F3F4E">
      <w:rPr>
        <w:rStyle w:val="SidhuvudUtskott"/>
      </w:rPr>
      <w:fldChar w:fldCharType="end"/>
    </w:r>
    <w:r w:rsidRPr="006F3F4E">
      <w:rPr>
        <w:rStyle w:val="SidhuvudUtskott"/>
      </w:rPr>
      <w:instrText xml:space="preserve">" </w:instrText>
    </w:r>
    <w:r w:rsidRPr="006F3F4E">
      <w:rPr>
        <w:rStyle w:val="SidhuvudUtskott"/>
      </w:rPr>
      <w:fldChar w:fldCharType="end"/>
    </w:r>
  </w:p>
  <w:p w:rsidR="004403F1" w:rsidRPr="006F3F4E" w:rsidRDefault="004403F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huvudKantUdda"/>
      <w:framePr w:w="8732" w:h="567" w:hRule="exact" w:vSpace="0" w:wrap="around" w:vAnchor="page" w:y="341" w:anchorLock="0"/>
    </w:pPr>
    <w:r w:rsidRPr="006F3F4E">
      <w:rPr>
        <w:rStyle w:val="SidhuvudRubrikReferens"/>
      </w:rPr>
      <w:t>Försvarsutskottets överväganden</w:t>
    </w:r>
    <w:r w:rsidRPr="006F3F4E">
      <w:rPr>
        <w:rStyle w:val="SidhuvudBilaga"/>
      </w:rPr>
      <w:t xml:space="preserve"> </w:t>
    </w:r>
    <w:r w:rsidRPr="006F3F4E">
      <w:t xml:space="preserve">     </w:t>
    </w:r>
    <w:r w:rsidRPr="006F3F4E">
      <w:rPr>
        <w:rStyle w:val="SidhuvudUtskott"/>
      </w:rPr>
      <w:t>2003/04:FöU1y</w:t>
    </w:r>
  </w:p>
  <w:p w:rsidR="004403F1" w:rsidRPr="006F3F4E" w:rsidRDefault="004403F1">
    <w:pPr>
      <w:pStyle w:val="SidhuvudKantUdda"/>
      <w:framePr w:w="8732" w:h="567" w:hRule="exact" w:vSpace="0" w:wrap="around" w:vAnchor="page" w:y="341" w:anchorLock="0"/>
    </w:pPr>
  </w:p>
  <w:p w:rsidR="004403F1" w:rsidRPr="006F3F4E" w:rsidRDefault="004403F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huvudKantJmn"/>
      <w:framePr w:w="8732" w:h="567" w:hRule="exact" w:vSpace="0" w:wrap="around" w:vAnchor="page" w:y="341" w:anchorLock="0"/>
    </w:pPr>
    <w:r w:rsidRPr="006F3F4E">
      <w:fldChar w:fldCharType="begin" w:fldLock="1"/>
    </w:r>
    <w:r w:rsidRPr="006F3F4E">
      <w:instrText xml:space="preserve"> if </w:instrText>
    </w:r>
    <w:r w:rsidRPr="006F3F4E">
      <w:fldChar w:fldCharType="begin" w:fldLock="1"/>
    </w:r>
    <w:r w:rsidRPr="006F3F4E">
      <w:instrText xml:space="preserve"> page</w:instrText>
    </w:r>
    <w:r w:rsidRPr="006F3F4E">
      <w:fldChar w:fldCharType="separate"/>
    </w:r>
    <w:r w:rsidR="006F3F4E">
      <w:rPr>
        <w:noProof/>
      </w:rPr>
      <w:instrText>1</w:instrText>
    </w:r>
    <w:r w:rsidRPr="006F3F4E">
      <w:fldChar w:fldCharType="end"/>
    </w:r>
    <w:r w:rsidRPr="006F3F4E">
      <w:instrText xml:space="preserve"> &gt; 1 "</w:instrText>
    </w:r>
    <w:r w:rsidRPr="006F3F4E">
      <w:fldChar w:fldCharType="begin" w:fldLock="1"/>
    </w:r>
    <w:r w:rsidRPr="006F3F4E">
      <w:instrText xml:space="preserve"> if </w:instrText>
    </w:r>
    <w:r w:rsidRPr="006F3F4E">
      <w:fldChar w:fldCharType="begin" w:fldLock="1"/>
    </w:r>
    <w:r w:rsidRPr="006F3F4E">
      <w:instrText xml:space="preserve"> = </w:instrText>
    </w:r>
    <w:r w:rsidRPr="006F3F4E">
      <w:fldChar w:fldCharType="begin" w:fldLock="1"/>
    </w:r>
    <w:r w:rsidRPr="006F3F4E">
      <w:instrText xml:space="preserve"> = </w:instrText>
    </w:r>
    <w:r w:rsidRPr="006F3F4E">
      <w:fldChar w:fldCharType="begin" w:fldLock="1"/>
    </w:r>
    <w:r w:rsidRPr="006F3F4E">
      <w:instrText xml:space="preserve"> page</w:instrText>
    </w:r>
    <w:r w:rsidRPr="006F3F4E">
      <w:fldChar w:fldCharType="separate"/>
    </w:r>
    <w:r w:rsidRPr="006F3F4E">
      <w:instrText>3</w:instrText>
    </w:r>
    <w:r w:rsidRPr="006F3F4E">
      <w:fldChar w:fldCharType="end"/>
    </w:r>
    <w:r w:rsidRPr="006F3F4E">
      <w:instrText xml:space="preserve">/2 </w:instrText>
    </w:r>
    <w:r w:rsidRPr="006F3F4E">
      <w:fldChar w:fldCharType="separate"/>
    </w:r>
    <w:r w:rsidRPr="006F3F4E">
      <w:instrText>1,5</w:instrText>
    </w:r>
    <w:r w:rsidRPr="006F3F4E">
      <w:fldChar w:fldCharType="end"/>
    </w:r>
    <w:r w:rsidRPr="006F3F4E">
      <w:instrText xml:space="preserve"> - </w:instrText>
    </w:r>
    <w:r w:rsidRPr="006F3F4E">
      <w:fldChar w:fldCharType="begin" w:fldLock="1"/>
    </w:r>
    <w:r w:rsidRPr="006F3F4E">
      <w:instrText xml:space="preserve"> = int(</w:instrText>
    </w:r>
    <w:r w:rsidRPr="006F3F4E">
      <w:fldChar w:fldCharType="begin" w:fldLock="1"/>
    </w:r>
    <w:r w:rsidRPr="006F3F4E">
      <w:instrText xml:space="preserve"> page</w:instrText>
    </w:r>
    <w:r w:rsidRPr="006F3F4E">
      <w:fldChar w:fldCharType="separate"/>
    </w:r>
    <w:r w:rsidRPr="006F3F4E">
      <w:instrText>3</w:instrText>
    </w:r>
    <w:r w:rsidRPr="006F3F4E">
      <w:fldChar w:fldCharType="end"/>
    </w:r>
    <w:r w:rsidRPr="006F3F4E">
      <w:instrText xml:space="preserve">/2) </w:instrText>
    </w:r>
    <w:r w:rsidRPr="006F3F4E">
      <w:fldChar w:fldCharType="separate"/>
    </w:r>
    <w:r w:rsidRPr="006F3F4E">
      <w:instrText>1</w:instrText>
    </w:r>
    <w:r w:rsidRPr="006F3F4E">
      <w:fldChar w:fldCharType="end"/>
    </w:r>
    <w:r w:rsidRPr="006F3F4E">
      <w:fldChar w:fldCharType="separate"/>
    </w:r>
    <w:r w:rsidRPr="006F3F4E">
      <w:instrText>0,5</w:instrText>
    </w:r>
    <w:r w:rsidRPr="006F3F4E">
      <w:fldChar w:fldCharType="end"/>
    </w:r>
    <w:r w:rsidRPr="006F3F4E">
      <w:instrText xml:space="preserve"> = 0 "</w:instrText>
    </w:r>
    <w:r w:rsidRPr="006F3F4E">
      <w:rPr>
        <w:rStyle w:val="SidhuvudUtskott"/>
      </w:rPr>
      <w:fldChar w:fldCharType="begin" w:fldLock="1"/>
    </w:r>
    <w:r w:rsidRPr="006F3F4E">
      <w:rPr>
        <w:rStyle w:val="SidhuvudUtskott"/>
      </w:rPr>
      <w:instrText xml:space="preserve"> DOCPROPERTY BetänkandeÅr</w:instrText>
    </w:r>
    <w:r w:rsidRPr="006F3F4E">
      <w:rPr>
        <w:rStyle w:val="SidhuvudUtskott"/>
      </w:rPr>
      <w:fldChar w:fldCharType="separate"/>
    </w:r>
    <w:r w:rsidRPr="006F3F4E">
      <w:rPr>
        <w:rStyle w:val="SidhuvudUtskott"/>
      </w:rPr>
      <w:instrText>2003/04</w:instrText>
    </w:r>
    <w:r w:rsidRPr="006F3F4E">
      <w:rPr>
        <w:rStyle w:val="SidhuvudUtskott"/>
      </w:rPr>
      <w:fldChar w:fldCharType="end"/>
    </w:r>
    <w:r w:rsidRPr="006F3F4E">
      <w:rPr>
        <w:rStyle w:val="SidhuvudUtskott"/>
      </w:rPr>
      <w:instrText>:</w:instrText>
    </w:r>
    <w:r w:rsidRPr="006F3F4E">
      <w:rPr>
        <w:rStyle w:val="SidhuvudUtskott"/>
      </w:rPr>
      <w:fldChar w:fldCharType="begin" w:fldLock="1"/>
    </w:r>
    <w:r w:rsidRPr="006F3F4E">
      <w:rPr>
        <w:rStyle w:val="SidhuvudUtskott"/>
      </w:rPr>
      <w:instrText xml:space="preserve"> DOCPR</w:instrText>
    </w:r>
    <w:r w:rsidRPr="006F3F4E">
      <w:rPr>
        <w:rStyle w:val="SidhuvudUtskott"/>
      </w:rPr>
      <w:instrText>O</w:instrText>
    </w:r>
    <w:r w:rsidRPr="006F3F4E">
      <w:rPr>
        <w:rStyle w:val="SidhuvudUtskott"/>
      </w:rPr>
      <w:instrText>PE</w:instrText>
    </w:r>
    <w:r w:rsidRPr="006F3F4E">
      <w:rPr>
        <w:rStyle w:val="SidhuvudUtskott"/>
      </w:rPr>
      <w:instrText>R</w:instrText>
    </w:r>
    <w:r w:rsidRPr="006F3F4E">
      <w:rPr>
        <w:rStyle w:val="SidhuvudUtskott"/>
      </w:rPr>
      <w:instrText>TY Utskott</w:instrText>
    </w:r>
    <w:r w:rsidRPr="006F3F4E">
      <w:rPr>
        <w:rStyle w:val="SidhuvudUtskott"/>
      </w:rPr>
      <w:fldChar w:fldCharType="separate"/>
    </w:r>
    <w:r w:rsidRPr="006F3F4E">
      <w:rPr>
        <w:rStyle w:val="SidhuvudUtskott"/>
      </w:rPr>
      <w:instrText>FöU</w:instrText>
    </w:r>
    <w:r w:rsidRPr="006F3F4E">
      <w:rPr>
        <w:rStyle w:val="SidhuvudUtskott"/>
      </w:rPr>
      <w:fldChar w:fldCharType="end"/>
    </w:r>
    <w:r w:rsidRPr="006F3F4E">
      <w:rPr>
        <w:rStyle w:val="SidhuvudUtskott"/>
      </w:rPr>
      <w:fldChar w:fldCharType="begin" w:fldLock="1"/>
    </w:r>
    <w:r w:rsidRPr="006F3F4E">
      <w:rPr>
        <w:rStyle w:val="SidhuvudUtskott"/>
      </w:rPr>
      <w:instrText xml:space="preserve"> DOCPROPERTY BetänkandeNr</w:instrText>
    </w:r>
    <w:r w:rsidRPr="006F3F4E">
      <w:rPr>
        <w:rStyle w:val="SidhuvudUtskott"/>
      </w:rPr>
      <w:fldChar w:fldCharType="separate"/>
    </w:r>
    <w:r w:rsidRPr="006F3F4E">
      <w:rPr>
        <w:rStyle w:val="SidhuvudUtskott"/>
      </w:rPr>
      <w:instrText>1y</w:instrText>
    </w:r>
    <w:r w:rsidRPr="006F3F4E">
      <w:rPr>
        <w:rStyle w:val="SidhuvudUtskott"/>
      </w:rPr>
      <w:fldChar w:fldCharType="end"/>
    </w:r>
    <w:r w:rsidRPr="006F3F4E">
      <w:instrText xml:space="preserve">    </w:instrText>
    </w:r>
  </w:p>
  <w:p w:rsidR="004403F1" w:rsidRPr="006F3F4E" w:rsidRDefault="004403F1">
    <w:pPr>
      <w:pStyle w:val="SidhuvudKantJmn"/>
      <w:framePr w:w="8732" w:h="567" w:hRule="exact" w:vSpace="0" w:wrap="around" w:vAnchor="page" w:y="341" w:anchorLock="0"/>
    </w:pPr>
    <w:r w:rsidRPr="006F3F4E">
      <w:rPr>
        <w:rStyle w:val="SidhuvudUtskott"/>
      </w:rPr>
      <w:fldChar w:fldCharType="begin" w:fldLock="1"/>
    </w:r>
    <w:r w:rsidRPr="006F3F4E">
      <w:rPr>
        <w:rStyle w:val="SidhuvudUtskott"/>
      </w:rPr>
      <w:instrText xml:space="preserve"> DOCPROPERTY Status</w:instrText>
    </w:r>
    <w:r w:rsidRPr="006F3F4E">
      <w:rPr>
        <w:rStyle w:val="SidhuvudUtskott"/>
      </w:rPr>
      <w:fldChar w:fldCharType="separate"/>
    </w:r>
    <w:r w:rsidRPr="006F3F4E">
      <w:rPr>
        <w:rStyle w:val="SidhuvudUtskott"/>
      </w:rPr>
      <w:instrText>Överläggnings PM</w:instrText>
    </w:r>
    <w:r w:rsidRPr="006F3F4E">
      <w:rPr>
        <w:rStyle w:val="SidhuvudUtskott"/>
      </w:rPr>
      <w:fldChar w:fldCharType="end"/>
    </w:r>
    <w:r w:rsidRPr="006F3F4E">
      <w:rPr>
        <w:rStyle w:val="SidhuvudUtskott"/>
      </w:rPr>
      <w:fldChar w:fldCharType="begin" w:fldLock="1"/>
    </w:r>
    <w:r w:rsidRPr="006F3F4E">
      <w:rPr>
        <w:rStyle w:val="SidhuvudUtskott"/>
      </w:rPr>
      <w:instrText xml:space="preserve"> if </w:instrText>
    </w:r>
    <w:r w:rsidRPr="006F3F4E">
      <w:rPr>
        <w:rStyle w:val="SidhuvudUtskott"/>
      </w:rPr>
      <w:fldChar w:fldCharType="begin" w:fldLock="1"/>
    </w:r>
    <w:r w:rsidRPr="006F3F4E">
      <w:rPr>
        <w:rStyle w:val="SidhuvudUtskott"/>
      </w:rPr>
      <w:instrText xml:space="preserve"> DOCPROPERTY "UtkastDatum"</w:instrText>
    </w:r>
    <w:r w:rsidRPr="006F3F4E">
      <w:rPr>
        <w:rStyle w:val="SidhuvudUtskott"/>
      </w:rPr>
      <w:fldChar w:fldCharType="separate"/>
    </w:r>
    <w:r w:rsidRPr="006F3F4E">
      <w:rPr>
        <w:rStyle w:val="SidhuvudUtskott"/>
      </w:rPr>
      <w:instrText>Nej</w:instrText>
    </w:r>
    <w:r w:rsidRPr="006F3F4E">
      <w:rPr>
        <w:rStyle w:val="SidhuvudUtskott"/>
      </w:rPr>
      <w:fldChar w:fldCharType="end"/>
    </w:r>
    <w:r w:rsidRPr="006F3F4E">
      <w:rPr>
        <w:rStyle w:val="SidhuvudUtskott"/>
      </w:rPr>
      <w:instrText xml:space="preserve"> = "Ja" "    </w:instrText>
    </w:r>
    <w:r w:rsidRPr="006F3F4E">
      <w:rPr>
        <w:rStyle w:val="SidhuvudUtskott"/>
      </w:rPr>
      <w:fldChar w:fldCharType="begin" w:fldLock="1"/>
    </w:r>
    <w:r w:rsidRPr="006F3F4E">
      <w:rPr>
        <w:rStyle w:val="SidhuvudUtskott"/>
      </w:rPr>
      <w:instrText xml:space="preserve"> PRINTDATE \@ "yyyy-MM-dd HH.mm" </w:instrText>
    </w:r>
    <w:r w:rsidRPr="006F3F4E">
      <w:rPr>
        <w:rStyle w:val="SidhuvudUtskott"/>
      </w:rPr>
      <w:fldChar w:fldCharType="separate"/>
    </w:r>
    <w:r w:rsidRPr="006F3F4E">
      <w:rPr>
        <w:rStyle w:val="SidhuvudUtskott"/>
      </w:rPr>
      <w:instrText>2000-08-11 16.42</w:instrText>
    </w:r>
    <w:r w:rsidRPr="006F3F4E">
      <w:rPr>
        <w:rStyle w:val="SidhuvudUtskott"/>
      </w:rPr>
      <w:fldChar w:fldCharType="end"/>
    </w:r>
    <w:r w:rsidRPr="006F3F4E">
      <w:rPr>
        <w:rStyle w:val="SidhuvudUtskott"/>
      </w:rPr>
      <w:instrText xml:space="preserve">" </w:instrText>
    </w:r>
    <w:r w:rsidRPr="006F3F4E">
      <w:rPr>
        <w:rStyle w:val="SidhuvudUtskott"/>
      </w:rPr>
      <w:fldChar w:fldCharType="end"/>
    </w:r>
  </w:p>
  <w:p w:rsidR="004403F1" w:rsidRPr="006F3F4E" w:rsidRDefault="004403F1">
    <w:pPr>
      <w:pStyle w:val="SidhuvudKantUdda"/>
      <w:framePr w:w="8732" w:h="567" w:hRule="exact" w:vSpace="0" w:wrap="around" w:vAnchor="page" w:y="341" w:anchorLock="0"/>
    </w:pPr>
    <w:r w:rsidRPr="006F3F4E">
      <w:rPr>
        <w:rStyle w:val="SidhuvudRubrikReferens"/>
        <w:smallCaps w:val="0"/>
        <w:spacing w:val="0"/>
        <w:sz w:val="19"/>
      </w:rPr>
      <w:instrText xml:space="preserve"> </w:instrText>
    </w:r>
    <w:r w:rsidRPr="006F3F4E">
      <w:instrText xml:space="preserve">"  "  </w:instrText>
    </w:r>
    <w:r w:rsidRPr="006F3F4E">
      <w:rPr>
        <w:rStyle w:val="SidhuvudUtskott"/>
      </w:rPr>
      <w:fldChar w:fldCharType="begin" w:fldLock="1"/>
    </w:r>
    <w:r w:rsidRPr="006F3F4E">
      <w:rPr>
        <w:rStyle w:val="SidhuvudUtskott"/>
      </w:rPr>
      <w:instrText xml:space="preserve"> DOCPROPERTY BetänkandeÅr</w:instrText>
    </w:r>
    <w:r w:rsidRPr="006F3F4E">
      <w:rPr>
        <w:rStyle w:val="SidhuvudUtskott"/>
      </w:rPr>
      <w:fldChar w:fldCharType="separate"/>
    </w:r>
    <w:r w:rsidRPr="006F3F4E">
      <w:rPr>
        <w:rStyle w:val="SidhuvudUtskott"/>
      </w:rPr>
      <w:instrText>2003/04</w:instrText>
    </w:r>
    <w:r w:rsidRPr="006F3F4E">
      <w:rPr>
        <w:rStyle w:val="SidhuvudUtskott"/>
      </w:rPr>
      <w:fldChar w:fldCharType="end"/>
    </w:r>
    <w:r w:rsidRPr="006F3F4E">
      <w:rPr>
        <w:rStyle w:val="SidhuvudUtskott"/>
      </w:rPr>
      <w:instrText>:</w:instrText>
    </w:r>
    <w:r w:rsidRPr="006F3F4E">
      <w:rPr>
        <w:rStyle w:val="SidhuvudUtskott"/>
      </w:rPr>
      <w:fldChar w:fldCharType="begin" w:fldLock="1"/>
    </w:r>
    <w:r w:rsidRPr="006F3F4E">
      <w:rPr>
        <w:rStyle w:val="SidhuvudUtskott"/>
      </w:rPr>
      <w:instrText xml:space="preserve"> DOCPROPERTY Utskott</w:instrText>
    </w:r>
    <w:r w:rsidRPr="006F3F4E">
      <w:rPr>
        <w:rStyle w:val="SidhuvudUtskott"/>
      </w:rPr>
      <w:fldChar w:fldCharType="separate"/>
    </w:r>
    <w:r w:rsidRPr="006F3F4E">
      <w:rPr>
        <w:rStyle w:val="SidhuvudUtskott"/>
      </w:rPr>
      <w:instrText>FöU</w:instrText>
    </w:r>
    <w:r w:rsidRPr="006F3F4E">
      <w:rPr>
        <w:rStyle w:val="SidhuvudUtskott"/>
      </w:rPr>
      <w:fldChar w:fldCharType="end"/>
    </w:r>
    <w:r w:rsidRPr="006F3F4E">
      <w:rPr>
        <w:rStyle w:val="SidhuvudUtskott"/>
      </w:rPr>
      <w:fldChar w:fldCharType="begin" w:fldLock="1"/>
    </w:r>
    <w:r w:rsidRPr="006F3F4E">
      <w:rPr>
        <w:rStyle w:val="SidhuvudUtskott"/>
      </w:rPr>
      <w:instrText xml:space="preserve"> DOCPROPERTY BetänkandeNr</w:instrText>
    </w:r>
    <w:r w:rsidRPr="006F3F4E">
      <w:rPr>
        <w:rStyle w:val="SidhuvudUtskott"/>
      </w:rPr>
      <w:fldChar w:fldCharType="separate"/>
    </w:r>
    <w:r w:rsidRPr="006F3F4E">
      <w:rPr>
        <w:rStyle w:val="SidhuvudUtskott"/>
      </w:rPr>
      <w:instrText>1y</w:instrText>
    </w:r>
    <w:r w:rsidRPr="006F3F4E">
      <w:rPr>
        <w:rStyle w:val="SidhuvudUtskott"/>
      </w:rPr>
      <w:fldChar w:fldCharType="end"/>
    </w:r>
  </w:p>
  <w:p w:rsidR="004403F1" w:rsidRPr="006F3F4E" w:rsidRDefault="004403F1">
    <w:pPr>
      <w:pStyle w:val="SidhuvudKantUdda"/>
      <w:framePr w:w="8732" w:h="567" w:hRule="exact" w:vSpace="0" w:wrap="around" w:vAnchor="page" w:y="341" w:anchorLock="0"/>
    </w:pPr>
    <w:r w:rsidRPr="006F3F4E">
      <w:rPr>
        <w:rStyle w:val="SidhuvudUtskott"/>
      </w:rPr>
      <w:fldChar w:fldCharType="begin" w:fldLock="1"/>
    </w:r>
    <w:r w:rsidRPr="006F3F4E">
      <w:rPr>
        <w:rStyle w:val="SidhuvudUtskott"/>
      </w:rPr>
      <w:instrText xml:space="preserve"> if </w:instrText>
    </w:r>
    <w:r w:rsidRPr="006F3F4E">
      <w:rPr>
        <w:rStyle w:val="SidhuvudUtskott"/>
      </w:rPr>
      <w:fldChar w:fldCharType="begin" w:fldLock="1"/>
    </w:r>
    <w:r w:rsidRPr="006F3F4E">
      <w:rPr>
        <w:rStyle w:val="SidhuvudUtskott"/>
      </w:rPr>
      <w:instrText xml:space="preserve"> DOCPROPERTY "UtkastDatum"</w:instrText>
    </w:r>
    <w:r w:rsidRPr="006F3F4E">
      <w:rPr>
        <w:rStyle w:val="SidhuvudUtskott"/>
      </w:rPr>
      <w:fldChar w:fldCharType="separate"/>
    </w:r>
    <w:r w:rsidRPr="006F3F4E">
      <w:rPr>
        <w:rStyle w:val="SidhuvudUtskott"/>
      </w:rPr>
      <w:instrText>Nej</w:instrText>
    </w:r>
    <w:r w:rsidRPr="006F3F4E">
      <w:rPr>
        <w:rStyle w:val="SidhuvudUtskott"/>
      </w:rPr>
      <w:fldChar w:fldCharType="end"/>
    </w:r>
    <w:r w:rsidRPr="006F3F4E">
      <w:rPr>
        <w:rStyle w:val="SidhuvudUtskott"/>
      </w:rPr>
      <w:instrText xml:space="preserve"> = "Ja" "</w:instrText>
    </w:r>
    <w:r w:rsidRPr="006F3F4E">
      <w:rPr>
        <w:rStyle w:val="SidhuvudUtskott"/>
      </w:rPr>
      <w:fldChar w:fldCharType="begin" w:fldLock="1"/>
    </w:r>
    <w:r w:rsidRPr="006F3F4E">
      <w:rPr>
        <w:rStyle w:val="SidhuvudUtskott"/>
      </w:rPr>
      <w:instrText xml:space="preserve"> PRINTDATE \@ "yyyy-MM-dd HH.mm    " </w:instrText>
    </w:r>
    <w:r w:rsidRPr="006F3F4E">
      <w:rPr>
        <w:rStyle w:val="SidhuvudUtskott"/>
      </w:rPr>
      <w:fldChar w:fldCharType="separate"/>
    </w:r>
    <w:r w:rsidRPr="006F3F4E">
      <w:rPr>
        <w:rStyle w:val="SidhuvudUtskott"/>
      </w:rPr>
      <w:instrText>2000-08-11 16.42</w:instrText>
    </w:r>
    <w:r w:rsidRPr="006F3F4E">
      <w:rPr>
        <w:rStyle w:val="SidhuvudUtskott"/>
      </w:rPr>
      <w:fldChar w:fldCharType="end"/>
    </w:r>
    <w:r w:rsidRPr="006F3F4E">
      <w:rPr>
        <w:rStyle w:val="SidhuvudUtskott"/>
      </w:rPr>
      <w:instrText xml:space="preserve">" </w:instrText>
    </w:r>
    <w:r w:rsidRPr="006F3F4E">
      <w:rPr>
        <w:rStyle w:val="SidhuvudUtskott"/>
      </w:rPr>
      <w:fldChar w:fldCharType="end"/>
    </w:r>
    <w:r w:rsidRPr="006F3F4E">
      <w:rPr>
        <w:rStyle w:val="SidhuvudUtskott"/>
      </w:rPr>
      <w:fldChar w:fldCharType="begin" w:fldLock="1"/>
    </w:r>
    <w:r w:rsidRPr="006F3F4E">
      <w:rPr>
        <w:rStyle w:val="SidhuvudUtskott"/>
      </w:rPr>
      <w:instrText xml:space="preserve"> DOCPR</w:instrText>
    </w:r>
    <w:r w:rsidRPr="006F3F4E">
      <w:rPr>
        <w:rStyle w:val="SidhuvudUtskott"/>
      </w:rPr>
      <w:instrText>O</w:instrText>
    </w:r>
    <w:r w:rsidRPr="006F3F4E">
      <w:rPr>
        <w:rStyle w:val="SidhuvudUtskott"/>
      </w:rPr>
      <w:instrText>PERTY Status</w:instrText>
    </w:r>
    <w:r w:rsidRPr="006F3F4E">
      <w:rPr>
        <w:rStyle w:val="SidhuvudUtskott"/>
      </w:rPr>
      <w:fldChar w:fldCharType="separate"/>
    </w:r>
    <w:r w:rsidRPr="006F3F4E">
      <w:rPr>
        <w:rStyle w:val="SidhuvudUtskott"/>
      </w:rPr>
      <w:instrText>ÖPM</w:instrText>
    </w:r>
    <w:r w:rsidRPr="006F3F4E">
      <w:rPr>
        <w:rStyle w:val="SidhuvudUtskott"/>
      </w:rPr>
      <w:fldChar w:fldCharType="end"/>
    </w:r>
    <w:r w:rsidRPr="006F3F4E">
      <w:instrText>"</w:instrText>
    </w:r>
    <w:r w:rsidRPr="006F3F4E">
      <w:fldChar w:fldCharType="separate"/>
    </w:r>
    <w:r w:rsidRPr="006F3F4E">
      <w:instrText xml:space="preserve">  </w:instrText>
    </w:r>
    <w:r w:rsidRPr="006F3F4E">
      <w:rPr>
        <w:rStyle w:val="SidhuvudUtskott"/>
      </w:rPr>
      <w:fldChar w:fldCharType="begin" w:fldLock="1"/>
    </w:r>
    <w:r w:rsidRPr="006F3F4E">
      <w:rPr>
        <w:rStyle w:val="SidhuvudUtskott"/>
      </w:rPr>
      <w:instrText xml:space="preserve"> DOCPROPERTY BetänkandeÅr</w:instrText>
    </w:r>
    <w:r w:rsidRPr="006F3F4E">
      <w:rPr>
        <w:rStyle w:val="SidhuvudUtskott"/>
      </w:rPr>
      <w:fldChar w:fldCharType="separate"/>
    </w:r>
    <w:r w:rsidRPr="006F3F4E">
      <w:rPr>
        <w:rStyle w:val="SidhuvudUtskott"/>
      </w:rPr>
      <w:instrText>2003/04</w:instrText>
    </w:r>
    <w:r w:rsidRPr="006F3F4E">
      <w:rPr>
        <w:rStyle w:val="SidhuvudUtskott"/>
      </w:rPr>
      <w:fldChar w:fldCharType="end"/>
    </w:r>
    <w:r w:rsidRPr="006F3F4E">
      <w:rPr>
        <w:rStyle w:val="SidhuvudUtskott"/>
      </w:rPr>
      <w:instrText>:</w:instrText>
    </w:r>
    <w:r w:rsidRPr="006F3F4E">
      <w:rPr>
        <w:rStyle w:val="SidhuvudUtskott"/>
      </w:rPr>
      <w:fldChar w:fldCharType="begin" w:fldLock="1"/>
    </w:r>
    <w:r w:rsidRPr="006F3F4E">
      <w:rPr>
        <w:rStyle w:val="SidhuvudUtskott"/>
      </w:rPr>
      <w:instrText xml:space="preserve"> DOCPROPERTY Utskott</w:instrText>
    </w:r>
    <w:r w:rsidRPr="006F3F4E">
      <w:rPr>
        <w:rStyle w:val="SidhuvudUtskott"/>
      </w:rPr>
      <w:fldChar w:fldCharType="separate"/>
    </w:r>
    <w:r w:rsidRPr="006F3F4E">
      <w:rPr>
        <w:rStyle w:val="SidhuvudUtskott"/>
      </w:rPr>
      <w:instrText>FöU</w:instrText>
    </w:r>
    <w:r w:rsidRPr="006F3F4E">
      <w:rPr>
        <w:rStyle w:val="SidhuvudUtskott"/>
      </w:rPr>
      <w:fldChar w:fldCharType="end"/>
    </w:r>
    <w:r w:rsidRPr="006F3F4E">
      <w:rPr>
        <w:rStyle w:val="SidhuvudUtskott"/>
      </w:rPr>
      <w:fldChar w:fldCharType="begin" w:fldLock="1"/>
    </w:r>
    <w:r w:rsidRPr="006F3F4E">
      <w:rPr>
        <w:rStyle w:val="SidhuvudUtskott"/>
      </w:rPr>
      <w:instrText xml:space="preserve"> DOCPROPERTY BetänkandeNr</w:instrText>
    </w:r>
    <w:r w:rsidRPr="006F3F4E">
      <w:rPr>
        <w:rStyle w:val="SidhuvudUtskott"/>
      </w:rPr>
      <w:fldChar w:fldCharType="separate"/>
    </w:r>
    <w:r w:rsidRPr="006F3F4E">
      <w:rPr>
        <w:rStyle w:val="SidhuvudUtskott"/>
      </w:rPr>
      <w:instrText>1y</w:instrText>
    </w:r>
    <w:r w:rsidRPr="006F3F4E">
      <w:rPr>
        <w:rStyle w:val="SidhuvudUtskott"/>
      </w:rPr>
      <w:fldChar w:fldCharType="end"/>
    </w:r>
  </w:p>
  <w:p w:rsidR="004403F1" w:rsidRPr="006F3F4E" w:rsidRDefault="004403F1">
    <w:pPr>
      <w:pStyle w:val="SidhuvudKantUdda"/>
      <w:framePr w:w="8732" w:h="567" w:hRule="exact" w:vSpace="0" w:wrap="around" w:vAnchor="page" w:y="341" w:anchorLock="0"/>
    </w:pPr>
    <w:r w:rsidRPr="006F3F4E">
      <w:rPr>
        <w:rStyle w:val="SidhuvudUtskott"/>
      </w:rPr>
      <w:fldChar w:fldCharType="begin" w:fldLock="1"/>
    </w:r>
    <w:r w:rsidRPr="006F3F4E">
      <w:rPr>
        <w:rStyle w:val="SidhuvudUtskott"/>
      </w:rPr>
      <w:instrText xml:space="preserve"> if </w:instrText>
    </w:r>
    <w:r w:rsidRPr="006F3F4E">
      <w:rPr>
        <w:rStyle w:val="SidhuvudUtskott"/>
      </w:rPr>
      <w:fldChar w:fldCharType="begin" w:fldLock="1"/>
    </w:r>
    <w:r w:rsidRPr="006F3F4E">
      <w:rPr>
        <w:rStyle w:val="SidhuvudUtskott"/>
      </w:rPr>
      <w:instrText xml:space="preserve"> DOCPROPERTY "UtkastDatum"</w:instrText>
    </w:r>
    <w:r w:rsidRPr="006F3F4E">
      <w:rPr>
        <w:rStyle w:val="SidhuvudUtskott"/>
      </w:rPr>
      <w:fldChar w:fldCharType="separate"/>
    </w:r>
    <w:r w:rsidRPr="006F3F4E">
      <w:rPr>
        <w:rStyle w:val="SidhuvudUtskott"/>
      </w:rPr>
      <w:instrText>Nej</w:instrText>
    </w:r>
    <w:r w:rsidRPr="006F3F4E">
      <w:rPr>
        <w:rStyle w:val="SidhuvudUtskott"/>
      </w:rPr>
      <w:fldChar w:fldCharType="end"/>
    </w:r>
    <w:r w:rsidRPr="006F3F4E">
      <w:rPr>
        <w:rStyle w:val="SidhuvudUtskott"/>
      </w:rPr>
      <w:instrText xml:space="preserve"> = "Ja" "</w:instrText>
    </w:r>
    <w:r w:rsidRPr="006F3F4E">
      <w:rPr>
        <w:rStyle w:val="SidhuvudUtskott"/>
      </w:rPr>
      <w:fldChar w:fldCharType="begin" w:fldLock="1"/>
    </w:r>
    <w:r w:rsidRPr="006F3F4E">
      <w:rPr>
        <w:rStyle w:val="SidhuvudUtskott"/>
      </w:rPr>
      <w:instrText xml:space="preserve"> PRINTDATE \@ "yyyy-MM-dd HH.mm    " </w:instrText>
    </w:r>
    <w:r w:rsidRPr="006F3F4E">
      <w:rPr>
        <w:rStyle w:val="SidhuvudUtskott"/>
      </w:rPr>
      <w:fldChar w:fldCharType="separate"/>
    </w:r>
    <w:r w:rsidRPr="006F3F4E">
      <w:rPr>
        <w:rStyle w:val="SidhuvudUtskott"/>
      </w:rPr>
      <w:instrText>2000-08-11 16.42</w:instrText>
    </w:r>
    <w:r w:rsidRPr="006F3F4E">
      <w:rPr>
        <w:rStyle w:val="SidhuvudUtskott"/>
      </w:rPr>
      <w:fldChar w:fldCharType="end"/>
    </w:r>
    <w:r w:rsidRPr="006F3F4E">
      <w:rPr>
        <w:rStyle w:val="SidhuvudUtskott"/>
      </w:rPr>
      <w:instrText xml:space="preserve">" </w:instrText>
    </w:r>
    <w:r w:rsidRPr="006F3F4E">
      <w:rPr>
        <w:rStyle w:val="SidhuvudUtskott"/>
      </w:rPr>
      <w:fldChar w:fldCharType="end"/>
    </w:r>
    <w:r w:rsidRPr="006F3F4E">
      <w:rPr>
        <w:rStyle w:val="SidhuvudUtskott"/>
      </w:rPr>
      <w:fldChar w:fldCharType="begin" w:fldLock="1"/>
    </w:r>
    <w:r w:rsidRPr="006F3F4E">
      <w:rPr>
        <w:rStyle w:val="SidhuvudUtskott"/>
      </w:rPr>
      <w:instrText xml:space="preserve"> DOCPR</w:instrText>
    </w:r>
    <w:r w:rsidRPr="006F3F4E">
      <w:rPr>
        <w:rStyle w:val="SidhuvudUtskott"/>
      </w:rPr>
      <w:instrText>O</w:instrText>
    </w:r>
    <w:r w:rsidRPr="006F3F4E">
      <w:rPr>
        <w:rStyle w:val="SidhuvudUtskott"/>
      </w:rPr>
      <w:instrText>PERTY Status</w:instrText>
    </w:r>
    <w:r w:rsidRPr="006F3F4E">
      <w:rPr>
        <w:rStyle w:val="SidhuvudUtskott"/>
      </w:rPr>
      <w:fldChar w:fldCharType="separate"/>
    </w:r>
    <w:r w:rsidRPr="006F3F4E">
      <w:rPr>
        <w:rStyle w:val="SidhuvudUtskott"/>
      </w:rPr>
      <w:instrText>ÖPM</w:instrText>
    </w:r>
    <w:r w:rsidRPr="006F3F4E">
      <w:rPr>
        <w:rStyle w:val="SidhuvudUtskott"/>
      </w:rPr>
      <w:fldChar w:fldCharType="end"/>
    </w:r>
    <w:r w:rsidRPr="006F3F4E">
      <w:fldChar w:fldCharType="end"/>
    </w:r>
    <w:r w:rsidRPr="006F3F4E">
      <w:instrText>" " "</w:instrText>
    </w:r>
    <w:r w:rsidRPr="006F3F4E">
      <w:fldChar w:fldCharType="separate"/>
    </w:r>
    <w:r w:rsidR="006F3F4E" w:rsidRPr="006F3F4E">
      <w:rPr>
        <w:noProof/>
      </w:rPr>
      <w:t xml:space="preserve"> </w:t>
    </w:r>
    <w:r w:rsidRPr="006F3F4E">
      <w:fldChar w:fldCharType="end"/>
    </w:r>
  </w:p>
  <w:p w:rsidR="004403F1" w:rsidRPr="006F3F4E" w:rsidRDefault="004403F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huvudKantJmn"/>
      <w:framePr w:w="8732" w:h="567" w:hRule="exact" w:vSpace="0" w:wrap="around" w:vAnchor="page" w:y="341" w:anchorLock="0"/>
    </w:pPr>
    <w:r w:rsidRPr="006F3F4E">
      <w:rPr>
        <w:rStyle w:val="SidhuvudUtskott"/>
      </w:rPr>
      <w:fldChar w:fldCharType="begin" w:fldLock="1"/>
    </w:r>
    <w:r w:rsidRPr="006F3F4E">
      <w:rPr>
        <w:rStyle w:val="SidhuvudUtskott"/>
      </w:rPr>
      <w:instrText xml:space="preserve"> DOCPROPERTY BetänkandeÅr</w:instrText>
    </w:r>
    <w:r w:rsidRPr="006F3F4E">
      <w:rPr>
        <w:rStyle w:val="SidhuvudUtskott"/>
      </w:rPr>
      <w:fldChar w:fldCharType="separate"/>
    </w:r>
    <w:r w:rsidRPr="006F3F4E">
      <w:rPr>
        <w:rStyle w:val="SidhuvudUtskott"/>
      </w:rPr>
      <w:t>2003/04</w:t>
    </w:r>
    <w:r w:rsidRPr="006F3F4E">
      <w:rPr>
        <w:rStyle w:val="SidhuvudUtskott"/>
      </w:rPr>
      <w:fldChar w:fldCharType="end"/>
    </w:r>
    <w:r w:rsidRPr="006F3F4E">
      <w:rPr>
        <w:rStyle w:val="SidhuvudUtskott"/>
      </w:rPr>
      <w:t>:</w:t>
    </w:r>
    <w:r w:rsidRPr="006F3F4E">
      <w:rPr>
        <w:rStyle w:val="SidhuvudUtskott"/>
      </w:rPr>
      <w:fldChar w:fldCharType="begin" w:fldLock="1"/>
    </w:r>
    <w:r w:rsidRPr="006F3F4E">
      <w:rPr>
        <w:rStyle w:val="SidhuvudUtskott"/>
      </w:rPr>
      <w:instrText xml:space="preserve"> DOCPROPERTY Utskott</w:instrText>
    </w:r>
    <w:r w:rsidRPr="006F3F4E">
      <w:rPr>
        <w:rStyle w:val="SidhuvudUtskott"/>
      </w:rPr>
      <w:fldChar w:fldCharType="separate"/>
    </w:r>
    <w:r w:rsidRPr="006F3F4E">
      <w:rPr>
        <w:rStyle w:val="SidhuvudUtskott"/>
      </w:rPr>
      <w:t>FöU</w:t>
    </w:r>
    <w:r w:rsidRPr="006F3F4E">
      <w:rPr>
        <w:rStyle w:val="SidhuvudUtskott"/>
      </w:rPr>
      <w:fldChar w:fldCharType="end"/>
    </w:r>
    <w:r w:rsidRPr="006F3F4E">
      <w:rPr>
        <w:rStyle w:val="SidhuvudUtskott"/>
      </w:rPr>
      <w:fldChar w:fldCharType="begin" w:fldLock="1"/>
    </w:r>
    <w:r w:rsidRPr="006F3F4E">
      <w:rPr>
        <w:rStyle w:val="SidhuvudUtskott"/>
      </w:rPr>
      <w:instrText xml:space="preserve"> DOCPROPERTY BetänkandeNr</w:instrText>
    </w:r>
    <w:r w:rsidRPr="006F3F4E">
      <w:rPr>
        <w:rStyle w:val="SidhuvudUtskott"/>
      </w:rPr>
      <w:fldChar w:fldCharType="separate"/>
    </w:r>
    <w:r w:rsidRPr="006F3F4E">
      <w:rPr>
        <w:rStyle w:val="SidhuvudUtskott"/>
      </w:rPr>
      <w:t>1y</w:t>
    </w:r>
    <w:r w:rsidRPr="006F3F4E">
      <w:rPr>
        <w:rStyle w:val="SidhuvudUtskott"/>
      </w:rPr>
      <w:fldChar w:fldCharType="end"/>
    </w:r>
    <w:r w:rsidRPr="006F3F4E">
      <w:t xml:space="preserve">     </w:t>
    </w:r>
    <w:r w:rsidRPr="006F3F4E">
      <w:rPr>
        <w:rStyle w:val="SidhuvudBilaga"/>
      </w:rPr>
      <w:t xml:space="preserve"> </w:t>
    </w:r>
    <w:r w:rsidRPr="006F3F4E">
      <w:rPr>
        <w:rStyle w:val="SidhuvudRubrikReferens"/>
      </w:rPr>
      <w:fldChar w:fldCharType="begin" w:fldLock="1"/>
    </w:r>
    <w:r w:rsidRPr="006F3F4E">
      <w:rPr>
        <w:rStyle w:val="SidhuvudRubrikReferens"/>
      </w:rPr>
      <w:instrText xml:space="preserve"> StyleREF "Rubrik 1" </w:instrText>
    </w:r>
    <w:r w:rsidRPr="006F3F4E">
      <w:rPr>
        <w:rStyle w:val="SidhuvudRubrikReferens"/>
      </w:rPr>
      <w:fldChar w:fldCharType="separate"/>
    </w:r>
    <w:r w:rsidRPr="006F3F4E">
      <w:rPr>
        <w:rStyle w:val="SidhuvudRubrikReferens"/>
      </w:rPr>
      <w:t>Försvarsutskottets överväganden</w:t>
    </w:r>
    <w:r w:rsidRPr="006F3F4E">
      <w:rPr>
        <w:rStyle w:val="SidhuvudRubrikReferens"/>
      </w:rPr>
      <w:fldChar w:fldCharType="end"/>
    </w:r>
  </w:p>
  <w:p w:rsidR="004403F1" w:rsidRPr="006F3F4E" w:rsidRDefault="004403F1">
    <w:pPr>
      <w:pStyle w:val="SidhuvudKantJmn"/>
      <w:framePr w:w="8732" w:h="567" w:hRule="exact" w:vSpace="0" w:wrap="around" w:vAnchor="page" w:y="341" w:anchorLock="0"/>
    </w:pPr>
    <w:r w:rsidRPr="006F3F4E">
      <w:rPr>
        <w:rStyle w:val="SidhuvudUtskott"/>
      </w:rPr>
      <w:fldChar w:fldCharType="begin" w:fldLock="1"/>
    </w:r>
    <w:r w:rsidRPr="006F3F4E">
      <w:rPr>
        <w:rStyle w:val="SidhuvudUtskott"/>
      </w:rPr>
      <w:instrText xml:space="preserve"> DOCPROPERTY Status</w:instrText>
    </w:r>
    <w:r w:rsidRPr="006F3F4E">
      <w:rPr>
        <w:rStyle w:val="SidhuvudUtskott"/>
      </w:rPr>
      <w:fldChar w:fldCharType="end"/>
    </w:r>
    <w:r w:rsidRPr="006F3F4E">
      <w:rPr>
        <w:rStyle w:val="SidhuvudUtskott"/>
      </w:rPr>
      <w:fldChar w:fldCharType="begin" w:fldLock="1"/>
    </w:r>
    <w:r w:rsidRPr="006F3F4E">
      <w:rPr>
        <w:rStyle w:val="SidhuvudUtskott"/>
      </w:rPr>
      <w:instrText xml:space="preserve"> if </w:instrText>
    </w:r>
    <w:r w:rsidRPr="006F3F4E">
      <w:rPr>
        <w:rStyle w:val="SidhuvudUtskott"/>
      </w:rPr>
      <w:fldChar w:fldCharType="begin" w:fldLock="1"/>
    </w:r>
    <w:r w:rsidRPr="006F3F4E">
      <w:rPr>
        <w:rStyle w:val="SidhuvudUtskott"/>
      </w:rPr>
      <w:instrText xml:space="preserve"> DOCPROPERTY "UtkastDatum"</w:instrText>
    </w:r>
    <w:r w:rsidRPr="006F3F4E">
      <w:rPr>
        <w:rStyle w:val="SidhuvudUtskott"/>
      </w:rPr>
      <w:fldChar w:fldCharType="separate"/>
    </w:r>
    <w:r w:rsidRPr="006F3F4E">
      <w:rPr>
        <w:rStyle w:val="SidhuvudUtskott"/>
      </w:rPr>
      <w:instrText>Nej</w:instrText>
    </w:r>
    <w:r w:rsidRPr="006F3F4E">
      <w:rPr>
        <w:rStyle w:val="SidhuvudUtskott"/>
      </w:rPr>
      <w:fldChar w:fldCharType="end"/>
    </w:r>
    <w:r w:rsidRPr="006F3F4E">
      <w:rPr>
        <w:rStyle w:val="SidhuvudUtskott"/>
      </w:rPr>
      <w:instrText xml:space="preserve"> = "Ja" "    </w:instrText>
    </w:r>
    <w:r w:rsidRPr="006F3F4E">
      <w:rPr>
        <w:rStyle w:val="SidhuvudUtskott"/>
      </w:rPr>
      <w:fldChar w:fldCharType="begin" w:fldLock="1"/>
    </w:r>
    <w:r w:rsidRPr="006F3F4E">
      <w:rPr>
        <w:rStyle w:val="SidhuvudUtskott"/>
      </w:rPr>
      <w:instrText xml:space="preserve"> PRINTDATE \@ "yyyy-MM-dd HH.mm" </w:instrText>
    </w:r>
    <w:r w:rsidRPr="006F3F4E">
      <w:rPr>
        <w:rStyle w:val="SidhuvudUtskott"/>
      </w:rPr>
      <w:fldChar w:fldCharType="separate"/>
    </w:r>
    <w:r w:rsidRPr="006F3F4E">
      <w:rPr>
        <w:rStyle w:val="SidhuvudUtskott"/>
      </w:rPr>
      <w:instrText>2000-08-11 16.42</w:instrText>
    </w:r>
    <w:r w:rsidRPr="006F3F4E">
      <w:rPr>
        <w:rStyle w:val="SidhuvudUtskott"/>
      </w:rPr>
      <w:fldChar w:fldCharType="end"/>
    </w:r>
    <w:r w:rsidRPr="006F3F4E">
      <w:rPr>
        <w:rStyle w:val="SidhuvudUtskott"/>
      </w:rPr>
      <w:instrText xml:space="preserve">" </w:instrText>
    </w:r>
    <w:r w:rsidRPr="006F3F4E">
      <w:rPr>
        <w:rStyle w:val="SidhuvudUtskott"/>
      </w:rPr>
      <w:fldChar w:fldCharType="end"/>
    </w:r>
  </w:p>
  <w:p w:rsidR="004403F1" w:rsidRPr="006F3F4E" w:rsidRDefault="004403F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huvudKantUdda"/>
      <w:framePr w:w="8732" w:h="567" w:hRule="exact" w:vSpace="0" w:wrap="around" w:vAnchor="page" w:y="341" w:anchorLock="0"/>
    </w:pPr>
    <w:r w:rsidRPr="006F3F4E">
      <w:rPr>
        <w:rStyle w:val="SidhuvudRubrikReferens"/>
      </w:rPr>
      <w:fldChar w:fldCharType="begin" w:fldLock="1"/>
    </w:r>
    <w:r w:rsidRPr="006F3F4E">
      <w:rPr>
        <w:rStyle w:val="SidhuvudRubrikReferens"/>
      </w:rPr>
      <w:instrText xml:space="preserve"> StyleREF "Rubrik 1" </w:instrText>
    </w:r>
    <w:r w:rsidRPr="006F3F4E">
      <w:rPr>
        <w:rStyle w:val="SidhuvudRubrikReferens"/>
      </w:rPr>
      <w:fldChar w:fldCharType="separate"/>
    </w:r>
    <w:r w:rsidRPr="006F3F4E">
      <w:rPr>
        <w:rStyle w:val="SidhuvudRubrikReferens"/>
      </w:rPr>
      <w:t>Försvarsutskottets överväganden</w:t>
    </w:r>
    <w:r w:rsidRPr="006F3F4E">
      <w:rPr>
        <w:rStyle w:val="SidhuvudRubrikReferens"/>
      </w:rPr>
      <w:fldChar w:fldCharType="end"/>
    </w:r>
    <w:r w:rsidRPr="006F3F4E">
      <w:rPr>
        <w:rStyle w:val="SidhuvudBilaga"/>
      </w:rPr>
      <w:t xml:space="preserve"> </w:t>
    </w:r>
    <w:r w:rsidRPr="006F3F4E">
      <w:t xml:space="preserve">     </w:t>
    </w:r>
    <w:r w:rsidRPr="006F3F4E">
      <w:rPr>
        <w:rStyle w:val="SidhuvudUtskott"/>
      </w:rPr>
      <w:fldChar w:fldCharType="begin" w:fldLock="1"/>
    </w:r>
    <w:r w:rsidRPr="006F3F4E">
      <w:rPr>
        <w:rStyle w:val="SidhuvudUtskott"/>
      </w:rPr>
      <w:instrText xml:space="preserve"> DOCPROPERTY BetänkandeÅr</w:instrText>
    </w:r>
    <w:r w:rsidRPr="006F3F4E">
      <w:rPr>
        <w:rStyle w:val="SidhuvudUtskott"/>
      </w:rPr>
      <w:fldChar w:fldCharType="separate"/>
    </w:r>
    <w:r w:rsidRPr="006F3F4E">
      <w:rPr>
        <w:rStyle w:val="SidhuvudUtskott"/>
      </w:rPr>
      <w:t>2003/04</w:t>
    </w:r>
    <w:r w:rsidRPr="006F3F4E">
      <w:rPr>
        <w:rStyle w:val="SidhuvudUtskott"/>
      </w:rPr>
      <w:fldChar w:fldCharType="end"/>
    </w:r>
    <w:r w:rsidRPr="006F3F4E">
      <w:rPr>
        <w:rStyle w:val="SidhuvudUtskott"/>
      </w:rPr>
      <w:t>:</w:t>
    </w:r>
    <w:r w:rsidRPr="006F3F4E">
      <w:rPr>
        <w:rStyle w:val="SidhuvudUtskott"/>
      </w:rPr>
      <w:fldChar w:fldCharType="begin" w:fldLock="1"/>
    </w:r>
    <w:r w:rsidRPr="006F3F4E">
      <w:rPr>
        <w:rStyle w:val="SidhuvudUtskott"/>
      </w:rPr>
      <w:instrText xml:space="preserve"> DOCPROPERTY</w:instrText>
    </w:r>
    <w:r w:rsidRPr="006F3F4E">
      <w:instrText xml:space="preserve"> </w:instrText>
    </w:r>
    <w:r w:rsidRPr="006F3F4E">
      <w:rPr>
        <w:rStyle w:val="SidhuvudUtskott"/>
      </w:rPr>
      <w:instrText>Utskott</w:instrText>
    </w:r>
    <w:r w:rsidRPr="006F3F4E">
      <w:rPr>
        <w:rStyle w:val="SidhuvudUtskott"/>
      </w:rPr>
      <w:fldChar w:fldCharType="separate"/>
    </w:r>
    <w:r w:rsidRPr="006F3F4E">
      <w:rPr>
        <w:rStyle w:val="SidhuvudUtskott"/>
      </w:rPr>
      <w:t>FöU</w:t>
    </w:r>
    <w:r w:rsidRPr="006F3F4E">
      <w:rPr>
        <w:rStyle w:val="SidhuvudUtskott"/>
      </w:rPr>
      <w:fldChar w:fldCharType="end"/>
    </w:r>
    <w:r w:rsidRPr="006F3F4E">
      <w:rPr>
        <w:rStyle w:val="SidhuvudUtskott"/>
      </w:rPr>
      <w:fldChar w:fldCharType="begin" w:fldLock="1"/>
    </w:r>
    <w:r w:rsidRPr="006F3F4E">
      <w:rPr>
        <w:rStyle w:val="SidhuvudUtskott"/>
      </w:rPr>
      <w:instrText xml:space="preserve"> DOCPROPERTY Betä</w:instrText>
    </w:r>
    <w:r w:rsidRPr="006F3F4E">
      <w:rPr>
        <w:rStyle w:val="SidhuvudUtskott"/>
      </w:rPr>
      <w:instrText>n</w:instrText>
    </w:r>
    <w:r w:rsidRPr="006F3F4E">
      <w:rPr>
        <w:rStyle w:val="SidhuvudUtskott"/>
      </w:rPr>
      <w:instrText>kandeNr</w:instrText>
    </w:r>
    <w:r w:rsidRPr="006F3F4E">
      <w:rPr>
        <w:rStyle w:val="SidhuvudUtskott"/>
      </w:rPr>
      <w:fldChar w:fldCharType="separate"/>
    </w:r>
    <w:r w:rsidRPr="006F3F4E">
      <w:rPr>
        <w:rStyle w:val="SidhuvudUtskott"/>
      </w:rPr>
      <w:t>1y</w:t>
    </w:r>
    <w:r w:rsidRPr="006F3F4E">
      <w:rPr>
        <w:rStyle w:val="SidhuvudUtskott"/>
      </w:rPr>
      <w:fldChar w:fldCharType="end"/>
    </w:r>
  </w:p>
  <w:p w:rsidR="004403F1" w:rsidRPr="006F3F4E" w:rsidRDefault="004403F1">
    <w:pPr>
      <w:pStyle w:val="SidhuvudKantUdda"/>
      <w:framePr w:w="8732" w:h="567" w:hRule="exact" w:vSpace="0" w:wrap="around" w:vAnchor="page" w:y="341" w:anchorLock="0"/>
    </w:pPr>
    <w:r w:rsidRPr="006F3F4E">
      <w:rPr>
        <w:rStyle w:val="SidhuvudUtskott"/>
      </w:rPr>
      <w:fldChar w:fldCharType="begin" w:fldLock="1"/>
    </w:r>
    <w:r w:rsidRPr="006F3F4E">
      <w:rPr>
        <w:rStyle w:val="SidhuvudUtskott"/>
      </w:rPr>
      <w:instrText xml:space="preserve"> if </w:instrText>
    </w:r>
    <w:r w:rsidRPr="006F3F4E">
      <w:rPr>
        <w:rStyle w:val="SidhuvudUtskott"/>
      </w:rPr>
      <w:fldChar w:fldCharType="begin" w:fldLock="1"/>
    </w:r>
    <w:r w:rsidRPr="006F3F4E">
      <w:rPr>
        <w:rStyle w:val="SidhuvudUtskott"/>
      </w:rPr>
      <w:instrText xml:space="preserve"> DOCPROPERTY "UtkastDatum"</w:instrText>
    </w:r>
    <w:r w:rsidRPr="006F3F4E">
      <w:rPr>
        <w:rStyle w:val="SidhuvudUtskott"/>
      </w:rPr>
      <w:fldChar w:fldCharType="separate"/>
    </w:r>
    <w:r w:rsidRPr="006F3F4E">
      <w:rPr>
        <w:rStyle w:val="SidhuvudUtskott"/>
      </w:rPr>
      <w:instrText>Nej</w:instrText>
    </w:r>
    <w:r w:rsidRPr="006F3F4E">
      <w:rPr>
        <w:rStyle w:val="SidhuvudUtskott"/>
      </w:rPr>
      <w:fldChar w:fldCharType="end"/>
    </w:r>
    <w:r w:rsidRPr="006F3F4E">
      <w:rPr>
        <w:rStyle w:val="SidhuvudUtskott"/>
      </w:rPr>
      <w:instrText xml:space="preserve"> = "Ja" "</w:instrText>
    </w:r>
    <w:r w:rsidRPr="006F3F4E">
      <w:rPr>
        <w:rStyle w:val="SidhuvudUtskott"/>
      </w:rPr>
      <w:fldChar w:fldCharType="begin" w:fldLock="1"/>
    </w:r>
    <w:r w:rsidRPr="006F3F4E">
      <w:rPr>
        <w:rStyle w:val="SidhuvudUtskott"/>
      </w:rPr>
      <w:instrText xml:space="preserve"> PRINTDATE \@ "yyyy-MM-dd HH.mm    " </w:instrText>
    </w:r>
    <w:r w:rsidRPr="006F3F4E">
      <w:rPr>
        <w:rStyle w:val="SidhuvudUtskott"/>
      </w:rPr>
      <w:fldChar w:fldCharType="separate"/>
    </w:r>
    <w:r w:rsidRPr="006F3F4E">
      <w:rPr>
        <w:rStyle w:val="SidhuvudUtskott"/>
      </w:rPr>
      <w:instrText>2000-08-11 16.42</w:instrText>
    </w:r>
    <w:r w:rsidRPr="006F3F4E">
      <w:rPr>
        <w:rStyle w:val="SidhuvudUtskott"/>
      </w:rPr>
      <w:fldChar w:fldCharType="end"/>
    </w:r>
    <w:r w:rsidRPr="006F3F4E">
      <w:rPr>
        <w:rStyle w:val="SidhuvudUtskott"/>
      </w:rPr>
      <w:instrText xml:space="preserve">" </w:instrText>
    </w:r>
    <w:r w:rsidRPr="006F3F4E">
      <w:rPr>
        <w:rStyle w:val="SidhuvudUtskott"/>
      </w:rPr>
      <w:fldChar w:fldCharType="end"/>
    </w:r>
    <w:r w:rsidRPr="006F3F4E">
      <w:rPr>
        <w:rStyle w:val="SidhuvudUtskott"/>
      </w:rPr>
      <w:fldChar w:fldCharType="begin" w:fldLock="1"/>
    </w:r>
    <w:r w:rsidRPr="006F3F4E">
      <w:rPr>
        <w:rStyle w:val="SidhuvudUtskott"/>
      </w:rPr>
      <w:instrText xml:space="preserve"> DOCPR</w:instrText>
    </w:r>
    <w:r w:rsidRPr="006F3F4E">
      <w:rPr>
        <w:rStyle w:val="SidhuvudUtskott"/>
      </w:rPr>
      <w:instrText>O</w:instrText>
    </w:r>
    <w:r w:rsidRPr="006F3F4E">
      <w:rPr>
        <w:rStyle w:val="SidhuvudUtskott"/>
      </w:rPr>
      <w:instrText>PERTY Status</w:instrText>
    </w:r>
    <w:r w:rsidRPr="006F3F4E">
      <w:rPr>
        <w:rStyle w:val="SidhuvudUtskott"/>
      </w:rPr>
      <w:fldChar w:fldCharType="end"/>
    </w:r>
  </w:p>
  <w:p w:rsidR="004403F1" w:rsidRPr="006F3F4E" w:rsidRDefault="004403F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huvudKantJmn"/>
      <w:framePr w:w="8732" w:h="567" w:hRule="exact" w:vSpace="0" w:wrap="around" w:vAnchor="page" w:y="341" w:anchorLock="0"/>
    </w:pPr>
    <w:r w:rsidRPr="006F3F4E">
      <w:rPr>
        <w:rStyle w:val="SidhuvudUtskott"/>
      </w:rPr>
      <w:t>2003/04:FöU1y</w:t>
    </w:r>
    <w:r w:rsidRPr="006F3F4E">
      <w:t xml:space="preserve">    </w:t>
    </w:r>
  </w:p>
  <w:p w:rsidR="004403F1" w:rsidRPr="006F3F4E" w:rsidRDefault="004403F1">
    <w:pPr>
      <w:pStyle w:val="SidhuvudKantJmn"/>
      <w:framePr w:w="8732" w:h="567" w:hRule="exact" w:vSpace="0" w:wrap="around" w:vAnchor="page" w:y="341" w:anchorLock="0"/>
    </w:pPr>
  </w:p>
  <w:p w:rsidR="004403F1" w:rsidRPr="006F3F4E" w:rsidRDefault="004403F1">
    <w:pPr>
      <w:pStyle w:val="SidhuvudKantUdda"/>
      <w:framePr w:w="8732" w:h="567" w:hRule="exact" w:vSpace="0" w:wrap="around" w:vAnchor="page" w:y="341" w:anchorLock="0"/>
    </w:pPr>
    <w:r w:rsidRPr="006F3F4E">
      <w:rPr>
        <w:rStyle w:val="SidhuvudRubrikReferens"/>
        <w:smallCaps w:val="0"/>
        <w:spacing w:val="0"/>
        <w:sz w:val="19"/>
      </w:rPr>
      <w:t xml:space="preserve"> </w:t>
    </w:r>
  </w:p>
  <w:p w:rsidR="004403F1" w:rsidRPr="006F3F4E" w:rsidRDefault="004403F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huvudKantJmn"/>
      <w:framePr w:w="8732" w:h="567" w:hRule="exact" w:vSpace="0" w:wrap="around" w:vAnchor="page" w:y="341" w:anchorLock="0"/>
    </w:pPr>
    <w:r w:rsidRPr="006F3F4E">
      <w:rPr>
        <w:rStyle w:val="SidhuvudUtskott"/>
      </w:rPr>
      <w:fldChar w:fldCharType="begin" w:fldLock="1"/>
    </w:r>
    <w:r w:rsidRPr="006F3F4E">
      <w:rPr>
        <w:rStyle w:val="SidhuvudUtskott"/>
      </w:rPr>
      <w:instrText xml:space="preserve"> DOCPROPERTY BetänkandeÅr</w:instrText>
    </w:r>
    <w:r w:rsidRPr="006F3F4E">
      <w:rPr>
        <w:rStyle w:val="SidhuvudUtskott"/>
      </w:rPr>
      <w:fldChar w:fldCharType="separate"/>
    </w:r>
    <w:r w:rsidRPr="006F3F4E">
      <w:rPr>
        <w:rStyle w:val="SidhuvudUtskott"/>
      </w:rPr>
      <w:t>2003/04</w:t>
    </w:r>
    <w:r w:rsidRPr="006F3F4E">
      <w:rPr>
        <w:rStyle w:val="SidhuvudUtskott"/>
      </w:rPr>
      <w:fldChar w:fldCharType="end"/>
    </w:r>
    <w:r w:rsidRPr="006F3F4E">
      <w:rPr>
        <w:rStyle w:val="SidhuvudUtskott"/>
      </w:rPr>
      <w:t>:</w:t>
    </w:r>
    <w:r w:rsidRPr="006F3F4E">
      <w:rPr>
        <w:rStyle w:val="SidhuvudUtskott"/>
      </w:rPr>
      <w:fldChar w:fldCharType="begin" w:fldLock="1"/>
    </w:r>
    <w:r w:rsidRPr="006F3F4E">
      <w:rPr>
        <w:rStyle w:val="SidhuvudUtskott"/>
      </w:rPr>
      <w:instrText xml:space="preserve"> DOCPROPERTY Utskott</w:instrText>
    </w:r>
    <w:r w:rsidRPr="006F3F4E">
      <w:rPr>
        <w:rStyle w:val="SidhuvudUtskott"/>
      </w:rPr>
      <w:fldChar w:fldCharType="separate"/>
    </w:r>
    <w:r w:rsidRPr="006F3F4E">
      <w:rPr>
        <w:rStyle w:val="SidhuvudUtskott"/>
      </w:rPr>
      <w:t>FöU</w:t>
    </w:r>
    <w:r w:rsidRPr="006F3F4E">
      <w:rPr>
        <w:rStyle w:val="SidhuvudUtskott"/>
      </w:rPr>
      <w:fldChar w:fldCharType="end"/>
    </w:r>
    <w:r w:rsidRPr="006F3F4E">
      <w:rPr>
        <w:rStyle w:val="SidhuvudUtskott"/>
      </w:rPr>
      <w:fldChar w:fldCharType="begin" w:fldLock="1"/>
    </w:r>
    <w:r w:rsidRPr="006F3F4E">
      <w:rPr>
        <w:rStyle w:val="SidhuvudUtskott"/>
      </w:rPr>
      <w:instrText xml:space="preserve"> DOCPROPERTY BetänkandeNr</w:instrText>
    </w:r>
    <w:r w:rsidRPr="006F3F4E">
      <w:rPr>
        <w:rStyle w:val="SidhuvudUtskott"/>
      </w:rPr>
      <w:fldChar w:fldCharType="separate"/>
    </w:r>
    <w:r w:rsidRPr="006F3F4E">
      <w:rPr>
        <w:rStyle w:val="SidhuvudUtskott"/>
      </w:rPr>
      <w:t>1y</w:t>
    </w:r>
    <w:r w:rsidRPr="006F3F4E">
      <w:rPr>
        <w:rStyle w:val="SidhuvudUtskott"/>
      </w:rPr>
      <w:fldChar w:fldCharType="end"/>
    </w:r>
    <w:r w:rsidRPr="006F3F4E">
      <w:t xml:space="preserve">     </w:t>
    </w:r>
    <w:r w:rsidRPr="006F3F4E">
      <w:rPr>
        <w:rStyle w:val="SidhuvudBilaga"/>
      </w:rPr>
      <w:t xml:space="preserve"> </w:t>
    </w:r>
    <w:r w:rsidRPr="006F3F4E">
      <w:rPr>
        <w:rStyle w:val="SidhuvudRubrikReferens"/>
      </w:rPr>
      <w:fldChar w:fldCharType="begin" w:fldLock="1"/>
    </w:r>
    <w:r w:rsidRPr="006F3F4E">
      <w:rPr>
        <w:rStyle w:val="SidhuvudRubrikReferens"/>
      </w:rPr>
      <w:instrText xml:space="preserve"> StyleREF "Rubrik 1" </w:instrText>
    </w:r>
    <w:r w:rsidRPr="006F3F4E">
      <w:rPr>
        <w:rStyle w:val="SidhuvudRubrikReferens"/>
      </w:rPr>
      <w:fldChar w:fldCharType="separate"/>
    </w:r>
    <w:r w:rsidRPr="006F3F4E">
      <w:rPr>
        <w:rStyle w:val="SidhuvudRubrikReferens"/>
      </w:rPr>
      <w:t>Avvikande meningar</w:t>
    </w:r>
    <w:r w:rsidRPr="006F3F4E">
      <w:rPr>
        <w:rStyle w:val="SidhuvudRubrikReferens"/>
      </w:rPr>
      <w:fldChar w:fldCharType="end"/>
    </w:r>
  </w:p>
  <w:p w:rsidR="004403F1" w:rsidRPr="006F3F4E" w:rsidRDefault="004403F1">
    <w:pPr>
      <w:pStyle w:val="SidhuvudKantJmn"/>
      <w:framePr w:w="8732" w:h="567" w:hRule="exact" w:vSpace="0" w:wrap="around" w:vAnchor="page" w:y="341" w:anchorLock="0"/>
    </w:pPr>
    <w:r w:rsidRPr="006F3F4E">
      <w:rPr>
        <w:rStyle w:val="SidhuvudUtskott"/>
      </w:rPr>
      <w:fldChar w:fldCharType="begin" w:fldLock="1"/>
    </w:r>
    <w:r w:rsidRPr="006F3F4E">
      <w:rPr>
        <w:rStyle w:val="SidhuvudUtskott"/>
      </w:rPr>
      <w:instrText xml:space="preserve"> DOCPROPERTY Status</w:instrText>
    </w:r>
    <w:r w:rsidRPr="006F3F4E">
      <w:rPr>
        <w:rStyle w:val="SidhuvudUtskott"/>
      </w:rPr>
      <w:fldChar w:fldCharType="end"/>
    </w:r>
    <w:r w:rsidRPr="006F3F4E">
      <w:rPr>
        <w:rStyle w:val="SidhuvudUtskott"/>
      </w:rPr>
      <w:fldChar w:fldCharType="begin" w:fldLock="1"/>
    </w:r>
    <w:r w:rsidRPr="006F3F4E">
      <w:rPr>
        <w:rStyle w:val="SidhuvudUtskott"/>
      </w:rPr>
      <w:instrText xml:space="preserve"> if </w:instrText>
    </w:r>
    <w:r w:rsidRPr="006F3F4E">
      <w:rPr>
        <w:rStyle w:val="SidhuvudUtskott"/>
      </w:rPr>
      <w:fldChar w:fldCharType="begin" w:fldLock="1"/>
    </w:r>
    <w:r w:rsidRPr="006F3F4E">
      <w:rPr>
        <w:rStyle w:val="SidhuvudUtskott"/>
      </w:rPr>
      <w:instrText xml:space="preserve"> DOCPROPERTY "UtkastDatum"</w:instrText>
    </w:r>
    <w:r w:rsidRPr="006F3F4E">
      <w:rPr>
        <w:rStyle w:val="SidhuvudUtskott"/>
      </w:rPr>
      <w:fldChar w:fldCharType="separate"/>
    </w:r>
    <w:r w:rsidRPr="006F3F4E">
      <w:rPr>
        <w:rStyle w:val="SidhuvudUtskott"/>
      </w:rPr>
      <w:instrText>Nej</w:instrText>
    </w:r>
    <w:r w:rsidRPr="006F3F4E">
      <w:rPr>
        <w:rStyle w:val="SidhuvudUtskott"/>
      </w:rPr>
      <w:fldChar w:fldCharType="end"/>
    </w:r>
    <w:r w:rsidRPr="006F3F4E">
      <w:rPr>
        <w:rStyle w:val="SidhuvudUtskott"/>
      </w:rPr>
      <w:instrText xml:space="preserve"> = "Ja" "    </w:instrText>
    </w:r>
    <w:r w:rsidRPr="006F3F4E">
      <w:rPr>
        <w:rStyle w:val="SidhuvudUtskott"/>
      </w:rPr>
      <w:fldChar w:fldCharType="begin" w:fldLock="1"/>
    </w:r>
    <w:r w:rsidRPr="006F3F4E">
      <w:rPr>
        <w:rStyle w:val="SidhuvudUtskott"/>
      </w:rPr>
      <w:instrText xml:space="preserve"> PRINTDATE \@ "yyyy-MM-dd HH.mm" </w:instrText>
    </w:r>
    <w:r w:rsidRPr="006F3F4E">
      <w:rPr>
        <w:rStyle w:val="SidhuvudUtskott"/>
      </w:rPr>
      <w:fldChar w:fldCharType="separate"/>
    </w:r>
    <w:r w:rsidRPr="006F3F4E">
      <w:rPr>
        <w:rStyle w:val="SidhuvudUtskott"/>
      </w:rPr>
      <w:instrText>2000-08-11 16.42</w:instrText>
    </w:r>
    <w:r w:rsidRPr="006F3F4E">
      <w:rPr>
        <w:rStyle w:val="SidhuvudUtskott"/>
      </w:rPr>
      <w:fldChar w:fldCharType="end"/>
    </w:r>
    <w:r w:rsidRPr="006F3F4E">
      <w:rPr>
        <w:rStyle w:val="SidhuvudUtskott"/>
      </w:rPr>
      <w:instrText xml:space="preserve">" </w:instrText>
    </w:r>
    <w:r w:rsidRPr="006F3F4E">
      <w:rPr>
        <w:rStyle w:val="SidhuvudUtskott"/>
      </w:rPr>
      <w:fldChar w:fldCharType="end"/>
    </w:r>
  </w:p>
  <w:p w:rsidR="004403F1" w:rsidRPr="006F3F4E" w:rsidRDefault="004403F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huvudKantUdda"/>
      <w:framePr w:w="8732" w:h="567" w:hRule="exact" w:vSpace="0" w:wrap="around" w:vAnchor="page" w:y="341" w:anchorLock="0"/>
    </w:pPr>
    <w:r w:rsidRPr="006F3F4E">
      <w:rPr>
        <w:rStyle w:val="SidhuvudRubrikReferens"/>
      </w:rPr>
      <w:fldChar w:fldCharType="begin" w:fldLock="1"/>
    </w:r>
    <w:r w:rsidRPr="006F3F4E">
      <w:rPr>
        <w:rStyle w:val="SidhuvudRubrikReferens"/>
      </w:rPr>
      <w:instrText xml:space="preserve"> StyleREF "Rubrik 1" </w:instrText>
    </w:r>
    <w:r w:rsidRPr="006F3F4E">
      <w:rPr>
        <w:rStyle w:val="SidhuvudRubrikReferens"/>
      </w:rPr>
      <w:fldChar w:fldCharType="separate"/>
    </w:r>
    <w:r w:rsidRPr="006F3F4E">
      <w:rPr>
        <w:rStyle w:val="SidhuvudRubrikReferens"/>
      </w:rPr>
      <w:t>Avvikande meningar</w:t>
    </w:r>
    <w:r w:rsidRPr="006F3F4E">
      <w:rPr>
        <w:rStyle w:val="SidhuvudRubrikReferens"/>
      </w:rPr>
      <w:fldChar w:fldCharType="end"/>
    </w:r>
    <w:r w:rsidRPr="006F3F4E">
      <w:rPr>
        <w:rStyle w:val="SidhuvudBilaga"/>
      </w:rPr>
      <w:t xml:space="preserve"> </w:t>
    </w:r>
    <w:r w:rsidRPr="006F3F4E">
      <w:t xml:space="preserve">     </w:t>
    </w:r>
    <w:r w:rsidRPr="006F3F4E">
      <w:rPr>
        <w:rStyle w:val="SidhuvudUtskott"/>
      </w:rPr>
      <w:fldChar w:fldCharType="begin" w:fldLock="1"/>
    </w:r>
    <w:r w:rsidRPr="006F3F4E">
      <w:rPr>
        <w:rStyle w:val="SidhuvudUtskott"/>
      </w:rPr>
      <w:instrText xml:space="preserve"> DOCPROPERTY BetänkandeÅr</w:instrText>
    </w:r>
    <w:r w:rsidRPr="006F3F4E">
      <w:rPr>
        <w:rStyle w:val="SidhuvudUtskott"/>
      </w:rPr>
      <w:fldChar w:fldCharType="separate"/>
    </w:r>
    <w:r w:rsidRPr="006F3F4E">
      <w:rPr>
        <w:rStyle w:val="SidhuvudUtskott"/>
      </w:rPr>
      <w:t>2003/04</w:t>
    </w:r>
    <w:r w:rsidRPr="006F3F4E">
      <w:rPr>
        <w:rStyle w:val="SidhuvudUtskott"/>
      </w:rPr>
      <w:fldChar w:fldCharType="end"/>
    </w:r>
    <w:r w:rsidRPr="006F3F4E">
      <w:rPr>
        <w:rStyle w:val="SidhuvudUtskott"/>
      </w:rPr>
      <w:t>:</w:t>
    </w:r>
    <w:r w:rsidRPr="006F3F4E">
      <w:rPr>
        <w:rStyle w:val="SidhuvudUtskott"/>
      </w:rPr>
      <w:fldChar w:fldCharType="begin" w:fldLock="1"/>
    </w:r>
    <w:r w:rsidRPr="006F3F4E">
      <w:rPr>
        <w:rStyle w:val="SidhuvudUtskott"/>
      </w:rPr>
      <w:instrText xml:space="preserve"> DOCPROPERTY</w:instrText>
    </w:r>
    <w:r w:rsidRPr="006F3F4E">
      <w:instrText xml:space="preserve"> </w:instrText>
    </w:r>
    <w:r w:rsidRPr="006F3F4E">
      <w:rPr>
        <w:rStyle w:val="SidhuvudUtskott"/>
      </w:rPr>
      <w:instrText>Utskott</w:instrText>
    </w:r>
    <w:r w:rsidRPr="006F3F4E">
      <w:rPr>
        <w:rStyle w:val="SidhuvudUtskott"/>
      </w:rPr>
      <w:fldChar w:fldCharType="separate"/>
    </w:r>
    <w:r w:rsidRPr="006F3F4E">
      <w:rPr>
        <w:rStyle w:val="SidhuvudUtskott"/>
      </w:rPr>
      <w:t>FöU</w:t>
    </w:r>
    <w:r w:rsidRPr="006F3F4E">
      <w:rPr>
        <w:rStyle w:val="SidhuvudUtskott"/>
      </w:rPr>
      <w:fldChar w:fldCharType="end"/>
    </w:r>
    <w:r w:rsidRPr="006F3F4E">
      <w:rPr>
        <w:rStyle w:val="SidhuvudUtskott"/>
      </w:rPr>
      <w:fldChar w:fldCharType="begin" w:fldLock="1"/>
    </w:r>
    <w:r w:rsidRPr="006F3F4E">
      <w:rPr>
        <w:rStyle w:val="SidhuvudUtskott"/>
      </w:rPr>
      <w:instrText xml:space="preserve"> DOCPROPERTY Betä</w:instrText>
    </w:r>
    <w:r w:rsidRPr="006F3F4E">
      <w:rPr>
        <w:rStyle w:val="SidhuvudUtskott"/>
      </w:rPr>
      <w:instrText>n</w:instrText>
    </w:r>
    <w:r w:rsidRPr="006F3F4E">
      <w:rPr>
        <w:rStyle w:val="SidhuvudUtskott"/>
      </w:rPr>
      <w:instrText>kandeNr</w:instrText>
    </w:r>
    <w:r w:rsidRPr="006F3F4E">
      <w:rPr>
        <w:rStyle w:val="SidhuvudUtskott"/>
      </w:rPr>
      <w:fldChar w:fldCharType="separate"/>
    </w:r>
    <w:r w:rsidRPr="006F3F4E">
      <w:rPr>
        <w:rStyle w:val="SidhuvudUtskott"/>
      </w:rPr>
      <w:t>1y</w:t>
    </w:r>
    <w:r w:rsidRPr="006F3F4E">
      <w:rPr>
        <w:rStyle w:val="SidhuvudUtskott"/>
      </w:rPr>
      <w:fldChar w:fldCharType="end"/>
    </w:r>
  </w:p>
  <w:p w:rsidR="004403F1" w:rsidRPr="006F3F4E" w:rsidRDefault="004403F1">
    <w:pPr>
      <w:pStyle w:val="SidhuvudKantUdda"/>
      <w:framePr w:w="8732" w:h="567" w:hRule="exact" w:vSpace="0" w:wrap="around" w:vAnchor="page" w:y="341" w:anchorLock="0"/>
    </w:pPr>
    <w:r w:rsidRPr="006F3F4E">
      <w:rPr>
        <w:rStyle w:val="SidhuvudUtskott"/>
      </w:rPr>
      <w:fldChar w:fldCharType="begin" w:fldLock="1"/>
    </w:r>
    <w:r w:rsidRPr="006F3F4E">
      <w:rPr>
        <w:rStyle w:val="SidhuvudUtskott"/>
      </w:rPr>
      <w:instrText xml:space="preserve"> if </w:instrText>
    </w:r>
    <w:r w:rsidRPr="006F3F4E">
      <w:rPr>
        <w:rStyle w:val="SidhuvudUtskott"/>
      </w:rPr>
      <w:fldChar w:fldCharType="begin" w:fldLock="1"/>
    </w:r>
    <w:r w:rsidRPr="006F3F4E">
      <w:rPr>
        <w:rStyle w:val="SidhuvudUtskott"/>
      </w:rPr>
      <w:instrText xml:space="preserve"> DOCPROPERTY "UtkastDatum"</w:instrText>
    </w:r>
    <w:r w:rsidRPr="006F3F4E">
      <w:rPr>
        <w:rStyle w:val="SidhuvudUtskott"/>
      </w:rPr>
      <w:fldChar w:fldCharType="separate"/>
    </w:r>
    <w:r w:rsidRPr="006F3F4E">
      <w:rPr>
        <w:rStyle w:val="SidhuvudUtskott"/>
      </w:rPr>
      <w:instrText>Nej</w:instrText>
    </w:r>
    <w:r w:rsidRPr="006F3F4E">
      <w:rPr>
        <w:rStyle w:val="SidhuvudUtskott"/>
      </w:rPr>
      <w:fldChar w:fldCharType="end"/>
    </w:r>
    <w:r w:rsidRPr="006F3F4E">
      <w:rPr>
        <w:rStyle w:val="SidhuvudUtskott"/>
      </w:rPr>
      <w:instrText xml:space="preserve"> = "Ja" "</w:instrText>
    </w:r>
    <w:r w:rsidRPr="006F3F4E">
      <w:rPr>
        <w:rStyle w:val="SidhuvudUtskott"/>
      </w:rPr>
      <w:fldChar w:fldCharType="begin" w:fldLock="1"/>
    </w:r>
    <w:r w:rsidRPr="006F3F4E">
      <w:rPr>
        <w:rStyle w:val="SidhuvudUtskott"/>
      </w:rPr>
      <w:instrText xml:space="preserve"> PRINTDATE \@ "yyyy-MM-dd HH.mm    " </w:instrText>
    </w:r>
    <w:r w:rsidRPr="006F3F4E">
      <w:rPr>
        <w:rStyle w:val="SidhuvudUtskott"/>
      </w:rPr>
      <w:fldChar w:fldCharType="separate"/>
    </w:r>
    <w:r w:rsidRPr="006F3F4E">
      <w:rPr>
        <w:rStyle w:val="SidhuvudUtskott"/>
      </w:rPr>
      <w:instrText>2000-08-11 16.42</w:instrText>
    </w:r>
    <w:r w:rsidRPr="006F3F4E">
      <w:rPr>
        <w:rStyle w:val="SidhuvudUtskott"/>
      </w:rPr>
      <w:fldChar w:fldCharType="end"/>
    </w:r>
    <w:r w:rsidRPr="006F3F4E">
      <w:rPr>
        <w:rStyle w:val="SidhuvudUtskott"/>
      </w:rPr>
      <w:instrText xml:space="preserve">" </w:instrText>
    </w:r>
    <w:r w:rsidRPr="006F3F4E">
      <w:rPr>
        <w:rStyle w:val="SidhuvudUtskott"/>
      </w:rPr>
      <w:fldChar w:fldCharType="end"/>
    </w:r>
    <w:r w:rsidRPr="006F3F4E">
      <w:rPr>
        <w:rStyle w:val="SidhuvudUtskott"/>
      </w:rPr>
      <w:fldChar w:fldCharType="begin" w:fldLock="1"/>
    </w:r>
    <w:r w:rsidRPr="006F3F4E">
      <w:rPr>
        <w:rStyle w:val="SidhuvudUtskott"/>
      </w:rPr>
      <w:instrText xml:space="preserve"> DOCPR</w:instrText>
    </w:r>
    <w:r w:rsidRPr="006F3F4E">
      <w:rPr>
        <w:rStyle w:val="SidhuvudUtskott"/>
      </w:rPr>
      <w:instrText>O</w:instrText>
    </w:r>
    <w:r w:rsidRPr="006F3F4E">
      <w:rPr>
        <w:rStyle w:val="SidhuvudUtskott"/>
      </w:rPr>
      <w:instrText>PERTY Status</w:instrText>
    </w:r>
    <w:r w:rsidRPr="006F3F4E">
      <w:rPr>
        <w:rStyle w:val="SidhuvudUtskott"/>
      </w:rPr>
      <w:fldChar w:fldCharType="end"/>
    </w:r>
  </w:p>
  <w:p w:rsidR="004403F1" w:rsidRPr="006F3F4E" w:rsidRDefault="004403F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3F1" w:rsidRPr="006F3F4E" w:rsidRDefault="004403F1">
    <w:pPr>
      <w:pStyle w:val="SidhuvudKantUdda"/>
      <w:framePr w:w="8732" w:h="567" w:hRule="exact" w:vSpace="0" w:wrap="around" w:vAnchor="page" w:y="341" w:anchorLock="0"/>
    </w:pPr>
    <w:r w:rsidRPr="006F3F4E">
      <w:t xml:space="preserve">  </w:t>
    </w:r>
    <w:r w:rsidRPr="006F3F4E">
      <w:rPr>
        <w:rStyle w:val="SidhuvudUtskott"/>
      </w:rPr>
      <w:t>2003/04:FöU1y</w:t>
    </w:r>
  </w:p>
  <w:p w:rsidR="004403F1" w:rsidRPr="006F3F4E" w:rsidRDefault="004403F1">
    <w:pPr>
      <w:pStyle w:val="SidhuvudKantUdda"/>
      <w:framePr w:w="8732" w:h="567" w:hRule="exact" w:vSpace="0" w:wrap="around" w:vAnchor="page" w:y="341" w:anchorLock="0"/>
    </w:pPr>
  </w:p>
  <w:p w:rsidR="004403F1" w:rsidRPr="006F3F4E" w:rsidRDefault="004403F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7F8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40F65C7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5B1A420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5385A2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571409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82507766">
    <w:abstractNumId w:val="1"/>
  </w:num>
  <w:num w:numId="2" w16cid:durableId="269119387">
    <w:abstractNumId w:val="4"/>
  </w:num>
  <w:num w:numId="3" w16cid:durableId="1771392923">
    <w:abstractNumId w:val="0"/>
  </w:num>
  <w:num w:numId="4" w16cid:durableId="620114721">
    <w:abstractNumId w:val="5"/>
  </w:num>
  <w:num w:numId="5" w16cid:durableId="985165871">
    <w:abstractNumId w:val="3"/>
  </w:num>
  <w:num w:numId="6" w16cid:durableId="108087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304"/>
  </w:docVars>
  <w:rsids>
    <w:rsidRoot w:val="00744B32"/>
    <w:rsid w:val="004403F1"/>
    <w:rsid w:val="006F3F4E"/>
    <w:rsid w:val="00744B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8CA564-6114-4E55-95C8-6D90628A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1530</Words>
  <Characters>9856</Characters>
  <Application>Microsoft Office Word</Application>
  <DocSecurity>4</DocSecurity>
  <Lines>229</Lines>
  <Paragraphs>98</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1999/2000:T1</vt:lpstr>
      <vt:lpstr>Till finansutskottet</vt:lpstr>
      <vt:lpstr>Regeringen</vt:lpstr>
      <vt:lpstr>Motionerna</vt:lpstr>
      <vt:lpstr>Försvarsutskottets överväganden</vt:lpstr>
      <vt:lpstr>Avvikande meningar</vt:lpstr>
      <vt:lpstr>Innehållsförteckning</vt:lpstr>
    </vt:vector>
  </TitlesOfParts>
  <Company>Riksdagen</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2003-10-27T06:41:00Z</cp:lastPrinted>
  <dcterms:created xsi:type="dcterms:W3CDTF">2025-12-16T18:08:00Z</dcterms:created>
  <dcterms:modified xsi:type="dcterms:W3CDTF">2025-12-16T18:08:00Z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FöU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