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64653C" w:rsidRDefault="0096348C" w:rsidP="0096348C">
      <w:pPr>
        <w:rPr>
          <w:szCs w:val="24"/>
        </w:rPr>
      </w:pPr>
    </w:p>
    <w:p w:rsidR="0096348C" w:rsidRPr="0064653C" w:rsidRDefault="0096348C" w:rsidP="0096348C">
      <w:pPr>
        <w:rPr>
          <w:szCs w:val="24"/>
        </w:rPr>
      </w:pPr>
    </w:p>
    <w:p w:rsidR="0096348C" w:rsidRPr="0064653C"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RPr="0064653C" w:rsidTr="00103F5F">
        <w:trPr>
          <w:cantSplit/>
          <w:trHeight w:val="742"/>
        </w:trPr>
        <w:tc>
          <w:tcPr>
            <w:tcW w:w="1985" w:type="dxa"/>
          </w:tcPr>
          <w:p w:rsidR="0096348C" w:rsidRPr="0064653C" w:rsidRDefault="00C07F65" w:rsidP="0096348C">
            <w:pPr>
              <w:rPr>
                <w:b/>
                <w:szCs w:val="24"/>
              </w:rPr>
            </w:pPr>
            <w:r w:rsidRPr="0064653C">
              <w:rPr>
                <w:b/>
                <w:szCs w:val="24"/>
              </w:rPr>
              <w:t xml:space="preserve">Protokoll </w:t>
            </w:r>
          </w:p>
        </w:tc>
        <w:tc>
          <w:tcPr>
            <w:tcW w:w="6237" w:type="dxa"/>
          </w:tcPr>
          <w:p w:rsidR="0096348C" w:rsidRPr="0064653C" w:rsidRDefault="00F5222B" w:rsidP="00E97AED">
            <w:pPr>
              <w:ind w:right="-269"/>
              <w:rPr>
                <w:b/>
                <w:szCs w:val="24"/>
              </w:rPr>
            </w:pPr>
            <w:r w:rsidRPr="0064653C">
              <w:rPr>
                <w:b/>
                <w:szCs w:val="24"/>
              </w:rPr>
              <w:t>Utskottssammanträde 20</w:t>
            </w:r>
            <w:r w:rsidR="00914E3E" w:rsidRPr="0064653C">
              <w:rPr>
                <w:b/>
                <w:szCs w:val="24"/>
              </w:rPr>
              <w:t>21</w:t>
            </w:r>
            <w:r w:rsidRPr="0064653C">
              <w:rPr>
                <w:b/>
                <w:szCs w:val="24"/>
              </w:rPr>
              <w:t>/</w:t>
            </w:r>
            <w:r w:rsidR="00917732" w:rsidRPr="0064653C">
              <w:rPr>
                <w:b/>
                <w:szCs w:val="24"/>
              </w:rPr>
              <w:t>2</w:t>
            </w:r>
            <w:r w:rsidR="00914E3E" w:rsidRPr="0064653C">
              <w:rPr>
                <w:b/>
                <w:szCs w:val="24"/>
              </w:rPr>
              <w:t>2</w:t>
            </w:r>
            <w:r w:rsidR="00C07F65" w:rsidRPr="0064653C">
              <w:rPr>
                <w:b/>
                <w:szCs w:val="24"/>
              </w:rPr>
              <w:t>:</w:t>
            </w:r>
            <w:r w:rsidR="00124F45" w:rsidRPr="0064653C">
              <w:rPr>
                <w:b/>
                <w:szCs w:val="24"/>
              </w:rPr>
              <w:t>64</w:t>
            </w:r>
          </w:p>
          <w:p w:rsidR="0096348C" w:rsidRPr="0064653C" w:rsidRDefault="0096348C" w:rsidP="00E97AED">
            <w:pPr>
              <w:ind w:right="-269"/>
              <w:rPr>
                <w:b/>
                <w:szCs w:val="24"/>
              </w:rPr>
            </w:pPr>
          </w:p>
        </w:tc>
      </w:tr>
      <w:tr w:rsidR="0096348C" w:rsidRPr="0064653C" w:rsidTr="00103F5F">
        <w:tc>
          <w:tcPr>
            <w:tcW w:w="1985" w:type="dxa"/>
          </w:tcPr>
          <w:p w:rsidR="0096348C" w:rsidRPr="0064653C" w:rsidRDefault="00C07F65" w:rsidP="0096348C">
            <w:pPr>
              <w:rPr>
                <w:szCs w:val="24"/>
              </w:rPr>
            </w:pPr>
            <w:r w:rsidRPr="0064653C">
              <w:rPr>
                <w:szCs w:val="24"/>
              </w:rPr>
              <w:t>Datum</w:t>
            </w:r>
          </w:p>
        </w:tc>
        <w:tc>
          <w:tcPr>
            <w:tcW w:w="6237" w:type="dxa"/>
          </w:tcPr>
          <w:p w:rsidR="008035C8" w:rsidRPr="0064653C" w:rsidRDefault="00A257B8" w:rsidP="00AF3CA6">
            <w:pPr>
              <w:ind w:right="355"/>
              <w:rPr>
                <w:szCs w:val="24"/>
              </w:rPr>
            </w:pPr>
            <w:r w:rsidRPr="0064653C">
              <w:rPr>
                <w:szCs w:val="24"/>
              </w:rPr>
              <w:t>20</w:t>
            </w:r>
            <w:r w:rsidR="00CF36BC" w:rsidRPr="0064653C">
              <w:rPr>
                <w:szCs w:val="24"/>
              </w:rPr>
              <w:t>2</w:t>
            </w:r>
            <w:r w:rsidR="00E5492F" w:rsidRPr="0064653C">
              <w:rPr>
                <w:szCs w:val="24"/>
              </w:rPr>
              <w:t>2</w:t>
            </w:r>
            <w:r w:rsidR="005E70F9" w:rsidRPr="0064653C">
              <w:rPr>
                <w:szCs w:val="24"/>
              </w:rPr>
              <w:t>-</w:t>
            </w:r>
            <w:r w:rsidR="00124F45" w:rsidRPr="0064653C">
              <w:rPr>
                <w:szCs w:val="24"/>
              </w:rPr>
              <w:t>05-12</w:t>
            </w:r>
          </w:p>
        </w:tc>
      </w:tr>
      <w:tr w:rsidR="0096348C" w:rsidRPr="0064653C" w:rsidTr="00103F5F">
        <w:tc>
          <w:tcPr>
            <w:tcW w:w="1985" w:type="dxa"/>
          </w:tcPr>
          <w:p w:rsidR="0096348C" w:rsidRPr="0064653C" w:rsidRDefault="00C07F65" w:rsidP="0096348C">
            <w:pPr>
              <w:rPr>
                <w:szCs w:val="24"/>
              </w:rPr>
            </w:pPr>
            <w:r w:rsidRPr="0064653C">
              <w:rPr>
                <w:szCs w:val="24"/>
              </w:rPr>
              <w:t>Tid</w:t>
            </w:r>
          </w:p>
        </w:tc>
        <w:tc>
          <w:tcPr>
            <w:tcW w:w="6237" w:type="dxa"/>
          </w:tcPr>
          <w:p w:rsidR="0096348C" w:rsidRPr="0064653C" w:rsidRDefault="00111135" w:rsidP="00AF3CA6">
            <w:pPr>
              <w:ind w:right="-269"/>
              <w:rPr>
                <w:szCs w:val="24"/>
              </w:rPr>
            </w:pPr>
            <w:r w:rsidRPr="0064653C">
              <w:rPr>
                <w:szCs w:val="24"/>
              </w:rPr>
              <w:t xml:space="preserve">kl. </w:t>
            </w:r>
            <w:r w:rsidR="00124F45" w:rsidRPr="0064653C">
              <w:rPr>
                <w:szCs w:val="24"/>
              </w:rPr>
              <w:t>10.30</w:t>
            </w:r>
            <w:r w:rsidR="00900C13" w:rsidRPr="0064653C">
              <w:rPr>
                <w:szCs w:val="24"/>
              </w:rPr>
              <w:t>-</w:t>
            </w:r>
            <w:r w:rsidR="007628B9">
              <w:rPr>
                <w:szCs w:val="24"/>
              </w:rPr>
              <w:t>11.41</w:t>
            </w:r>
          </w:p>
        </w:tc>
      </w:tr>
      <w:tr w:rsidR="0096348C" w:rsidRPr="0064653C" w:rsidTr="00103F5F">
        <w:tc>
          <w:tcPr>
            <w:tcW w:w="1985" w:type="dxa"/>
          </w:tcPr>
          <w:p w:rsidR="0096348C" w:rsidRPr="0064653C" w:rsidRDefault="00C07F65" w:rsidP="0096348C">
            <w:pPr>
              <w:rPr>
                <w:szCs w:val="24"/>
              </w:rPr>
            </w:pPr>
            <w:r w:rsidRPr="0064653C">
              <w:rPr>
                <w:szCs w:val="24"/>
              </w:rPr>
              <w:t>Närvarande</w:t>
            </w:r>
          </w:p>
        </w:tc>
        <w:tc>
          <w:tcPr>
            <w:tcW w:w="6237" w:type="dxa"/>
          </w:tcPr>
          <w:p w:rsidR="0096348C" w:rsidRPr="0064653C" w:rsidRDefault="0096348C" w:rsidP="00E97AED">
            <w:pPr>
              <w:ind w:right="-269"/>
              <w:rPr>
                <w:szCs w:val="24"/>
              </w:rPr>
            </w:pPr>
            <w:r w:rsidRPr="0064653C">
              <w:rPr>
                <w:szCs w:val="24"/>
              </w:rPr>
              <w:t>Se bilaga 1</w:t>
            </w:r>
          </w:p>
          <w:p w:rsidR="003C0E60" w:rsidRPr="0064653C" w:rsidRDefault="003C0E60" w:rsidP="00E97AED">
            <w:pPr>
              <w:ind w:right="-269"/>
              <w:rPr>
                <w:szCs w:val="24"/>
              </w:rPr>
            </w:pPr>
          </w:p>
        </w:tc>
      </w:tr>
    </w:tbl>
    <w:p w:rsidR="0096348C" w:rsidRPr="0064653C" w:rsidRDefault="0096348C" w:rsidP="0096348C">
      <w:pPr>
        <w:tabs>
          <w:tab w:val="left" w:pos="1701"/>
        </w:tabs>
        <w:rPr>
          <w:snapToGrid w:val="0"/>
          <w:color w:val="000000"/>
          <w:szCs w:val="24"/>
        </w:rPr>
      </w:pPr>
    </w:p>
    <w:p w:rsidR="00795259" w:rsidRPr="0064653C" w:rsidRDefault="00795259" w:rsidP="0096348C">
      <w:pPr>
        <w:tabs>
          <w:tab w:val="left" w:pos="1701"/>
        </w:tabs>
        <w:rPr>
          <w:snapToGrid w:val="0"/>
          <w:color w:val="000000"/>
          <w:szCs w:val="24"/>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727"/>
      </w:tblGrid>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1</w:t>
            </w:r>
          </w:p>
        </w:tc>
        <w:tc>
          <w:tcPr>
            <w:tcW w:w="7727" w:type="dxa"/>
          </w:tcPr>
          <w:p w:rsidR="00CD4718" w:rsidRPr="0064653C" w:rsidRDefault="00CD4718" w:rsidP="00CD4718">
            <w:pPr>
              <w:autoSpaceDE w:val="0"/>
              <w:autoSpaceDN w:val="0"/>
              <w:adjustRightInd w:val="0"/>
              <w:rPr>
                <w:rFonts w:eastAsiaTheme="minorHAnsi"/>
                <w:bCs/>
                <w:color w:val="000000"/>
                <w:szCs w:val="24"/>
                <w:lang w:eastAsia="en-US"/>
              </w:rPr>
            </w:pPr>
            <w:r w:rsidRPr="0064653C">
              <w:rPr>
                <w:b/>
                <w:bCs/>
                <w:color w:val="000000"/>
                <w:szCs w:val="24"/>
              </w:rPr>
              <w:t>Reduktionsplikten</w:t>
            </w:r>
            <w:r w:rsidRPr="0064653C">
              <w:rPr>
                <w:b/>
                <w:bCs/>
                <w:color w:val="000000"/>
                <w:szCs w:val="24"/>
              </w:rPr>
              <w:br/>
            </w:r>
            <w:r w:rsidRPr="0064653C">
              <w:rPr>
                <w:color w:val="000000"/>
                <w:szCs w:val="24"/>
              </w:rPr>
              <w:t xml:space="preserve">Per Callenberg, statssekreterare Infrastrukturdepartementet informerade utskottet </w:t>
            </w:r>
            <w:r w:rsidR="00266621" w:rsidRPr="0064653C">
              <w:rPr>
                <w:color w:val="000000"/>
                <w:szCs w:val="24"/>
              </w:rPr>
              <w:t xml:space="preserve">med </w:t>
            </w:r>
            <w:r w:rsidRPr="0064653C">
              <w:rPr>
                <w:rFonts w:eastAsiaTheme="minorHAnsi"/>
                <w:bCs/>
                <w:color w:val="000000"/>
                <w:szCs w:val="24"/>
                <w:lang w:eastAsia="en-US"/>
              </w:rPr>
              <w:t xml:space="preserve">anledning av tillkännagivandet i betänkande FiU47 om den s.k. reduktionsplikten. </w:t>
            </w:r>
          </w:p>
          <w:p w:rsidR="00266621" w:rsidRPr="0064653C" w:rsidRDefault="00266621" w:rsidP="00CD4718">
            <w:pPr>
              <w:autoSpaceDE w:val="0"/>
              <w:autoSpaceDN w:val="0"/>
              <w:adjustRightInd w:val="0"/>
              <w:rPr>
                <w:rFonts w:eastAsiaTheme="minorHAnsi"/>
                <w:bCs/>
                <w:color w:val="000000"/>
                <w:szCs w:val="24"/>
                <w:lang w:eastAsia="en-US"/>
              </w:rPr>
            </w:pPr>
          </w:p>
          <w:p w:rsidR="00266621" w:rsidRPr="0064653C" w:rsidRDefault="00266621" w:rsidP="00CD4718">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 xml:space="preserve">Ledamöternas frågor besvarades. </w:t>
            </w:r>
          </w:p>
          <w:p w:rsidR="00CD4718" w:rsidRPr="0064653C" w:rsidRDefault="00CD4718" w:rsidP="00CD4718">
            <w:pPr>
              <w:outlineLvl w:val="0"/>
              <w:rPr>
                <w:b/>
                <w:szCs w:val="24"/>
              </w:rPr>
            </w:pPr>
          </w:p>
        </w:tc>
      </w:tr>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2</w:t>
            </w:r>
          </w:p>
        </w:tc>
        <w:tc>
          <w:tcPr>
            <w:tcW w:w="7727" w:type="dxa"/>
          </w:tcPr>
          <w:p w:rsidR="00CD4718" w:rsidRPr="0064653C" w:rsidRDefault="00CD4718" w:rsidP="00CD4718">
            <w:pPr>
              <w:outlineLvl w:val="0"/>
              <w:rPr>
                <w:b/>
                <w:szCs w:val="24"/>
              </w:rPr>
            </w:pPr>
            <w:r w:rsidRPr="0064653C">
              <w:rPr>
                <w:b/>
                <w:bCs/>
                <w:color w:val="000000"/>
                <w:szCs w:val="24"/>
              </w:rPr>
              <w:t>Energiskattedirektivet</w:t>
            </w:r>
            <w:r w:rsidRPr="0064653C">
              <w:rPr>
                <w:b/>
                <w:bCs/>
                <w:color w:val="000000"/>
                <w:szCs w:val="24"/>
              </w:rPr>
              <w:br/>
            </w:r>
            <w:r w:rsidRPr="0064653C">
              <w:rPr>
                <w:color w:val="000000"/>
                <w:szCs w:val="24"/>
              </w:rPr>
              <w:t xml:space="preserve">Tora Hansjons, statssekreterare Finansdepartementet informerade utskottet </w:t>
            </w:r>
            <w:r w:rsidR="00266621" w:rsidRPr="0064653C">
              <w:rPr>
                <w:color w:val="000000"/>
                <w:szCs w:val="24"/>
              </w:rPr>
              <w:t xml:space="preserve">med </w:t>
            </w:r>
            <w:r w:rsidRPr="0064653C">
              <w:rPr>
                <w:rFonts w:eastAsiaTheme="minorHAnsi"/>
                <w:bCs/>
                <w:color w:val="000000"/>
                <w:szCs w:val="24"/>
                <w:lang w:eastAsia="en-US"/>
              </w:rPr>
              <w:t xml:space="preserve">anledning av tillkännagivandet i betänkande FiU47 om </w:t>
            </w:r>
            <w:r w:rsidRPr="0064653C">
              <w:rPr>
                <w:bCs/>
                <w:color w:val="000000"/>
                <w:szCs w:val="24"/>
              </w:rPr>
              <w:t>Energiskattedirektivet.</w:t>
            </w:r>
            <w:r w:rsidRPr="0064653C">
              <w:rPr>
                <w:b/>
                <w:bCs/>
                <w:color w:val="000000"/>
                <w:szCs w:val="24"/>
              </w:rPr>
              <w:br/>
            </w:r>
          </w:p>
          <w:p w:rsidR="00266621" w:rsidRPr="0064653C" w:rsidRDefault="00266621" w:rsidP="00266621">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 xml:space="preserve">Ledamöternas frågor besvarades. </w:t>
            </w:r>
          </w:p>
          <w:p w:rsidR="00266621" w:rsidRPr="0064653C" w:rsidRDefault="00266621" w:rsidP="00CD4718">
            <w:pPr>
              <w:outlineLvl w:val="0"/>
              <w:rPr>
                <w:b/>
                <w:szCs w:val="24"/>
              </w:rPr>
            </w:pPr>
          </w:p>
        </w:tc>
      </w:tr>
      <w:tr w:rsidR="00EB3944" w:rsidRPr="0064653C" w:rsidTr="00CD4718">
        <w:tc>
          <w:tcPr>
            <w:tcW w:w="567" w:type="dxa"/>
          </w:tcPr>
          <w:p w:rsidR="00EB3944" w:rsidRPr="0064653C" w:rsidRDefault="00EB3944" w:rsidP="00EF57E7">
            <w:pPr>
              <w:tabs>
                <w:tab w:val="left" w:pos="1701"/>
              </w:tabs>
              <w:rPr>
                <w:b/>
                <w:snapToGrid w:val="0"/>
                <w:szCs w:val="24"/>
              </w:rPr>
            </w:pPr>
            <w:r w:rsidRPr="0064653C">
              <w:rPr>
                <w:b/>
                <w:snapToGrid w:val="0"/>
                <w:szCs w:val="24"/>
              </w:rPr>
              <w:t xml:space="preserve">§ </w:t>
            </w:r>
            <w:r w:rsidR="00CD4718" w:rsidRPr="0064653C">
              <w:rPr>
                <w:b/>
                <w:snapToGrid w:val="0"/>
                <w:szCs w:val="24"/>
              </w:rPr>
              <w:t>3</w:t>
            </w:r>
          </w:p>
        </w:tc>
        <w:tc>
          <w:tcPr>
            <w:tcW w:w="7727" w:type="dxa"/>
          </w:tcPr>
          <w:p w:rsidR="00266621" w:rsidRPr="0064653C" w:rsidRDefault="001D4484" w:rsidP="00BC2DCD">
            <w:pPr>
              <w:outlineLvl w:val="0"/>
              <w:rPr>
                <w:b/>
                <w:szCs w:val="24"/>
              </w:rPr>
            </w:pPr>
            <w:r w:rsidRPr="0064653C">
              <w:rPr>
                <w:b/>
                <w:szCs w:val="24"/>
              </w:rPr>
              <w:t>Anmälningar</w:t>
            </w:r>
          </w:p>
          <w:p w:rsidR="0065688B" w:rsidRDefault="0065688B" w:rsidP="00BC2DCD">
            <w:pPr>
              <w:outlineLvl w:val="0"/>
              <w:rPr>
                <w:szCs w:val="24"/>
              </w:rPr>
            </w:pPr>
            <w:r>
              <w:rPr>
                <w:szCs w:val="24"/>
              </w:rPr>
              <w:t xml:space="preserve">Utskottet beslutade att kalla statssekreterare Elin Eliasson till sammanträdet den 14 juni för överläggning om </w:t>
            </w:r>
            <w:r w:rsidRPr="00F54FAA">
              <w:t>EU:s årsbudget 2023</w:t>
            </w:r>
            <w:r>
              <w:t>.</w:t>
            </w:r>
          </w:p>
          <w:p w:rsidR="0065688B" w:rsidRDefault="0065688B" w:rsidP="00BC2DCD">
            <w:pPr>
              <w:outlineLvl w:val="0"/>
              <w:rPr>
                <w:szCs w:val="24"/>
              </w:rPr>
            </w:pPr>
          </w:p>
          <w:p w:rsidR="005E70F9" w:rsidRPr="0064653C" w:rsidRDefault="00266621" w:rsidP="00BC2DCD">
            <w:pPr>
              <w:outlineLvl w:val="0"/>
              <w:rPr>
                <w:szCs w:val="24"/>
              </w:rPr>
            </w:pPr>
            <w:r w:rsidRPr="0064653C">
              <w:rPr>
                <w:szCs w:val="24"/>
              </w:rPr>
              <w:t>Inkommen skrivelse enligt bilaga 2.</w:t>
            </w:r>
            <w:r w:rsidR="00CA3B1E" w:rsidRPr="0064653C">
              <w:rPr>
                <w:szCs w:val="24"/>
              </w:rPr>
              <w:br/>
            </w:r>
          </w:p>
        </w:tc>
      </w:tr>
      <w:tr w:rsidR="001D4484" w:rsidRPr="0064653C" w:rsidTr="00CD4718">
        <w:tc>
          <w:tcPr>
            <w:tcW w:w="567" w:type="dxa"/>
          </w:tcPr>
          <w:p w:rsidR="001D4484" w:rsidRPr="0064653C" w:rsidRDefault="001D4484" w:rsidP="00EF57E7">
            <w:pPr>
              <w:tabs>
                <w:tab w:val="left" w:pos="1701"/>
              </w:tabs>
              <w:rPr>
                <w:b/>
                <w:snapToGrid w:val="0"/>
                <w:szCs w:val="24"/>
              </w:rPr>
            </w:pPr>
            <w:r w:rsidRPr="0064653C">
              <w:rPr>
                <w:b/>
                <w:snapToGrid w:val="0"/>
                <w:szCs w:val="24"/>
              </w:rPr>
              <w:t xml:space="preserve">§ </w:t>
            </w:r>
            <w:r w:rsidR="00CD4718" w:rsidRPr="0064653C">
              <w:rPr>
                <w:b/>
                <w:snapToGrid w:val="0"/>
                <w:szCs w:val="24"/>
              </w:rPr>
              <w:t>4</w:t>
            </w:r>
          </w:p>
        </w:tc>
        <w:tc>
          <w:tcPr>
            <w:tcW w:w="7727" w:type="dxa"/>
          </w:tcPr>
          <w:p w:rsidR="001D4484" w:rsidRDefault="001D4484" w:rsidP="005E70F9">
            <w:pPr>
              <w:outlineLvl w:val="0"/>
              <w:rPr>
                <w:b/>
                <w:szCs w:val="24"/>
              </w:rPr>
            </w:pPr>
            <w:r w:rsidRPr="0064653C">
              <w:rPr>
                <w:b/>
                <w:szCs w:val="24"/>
              </w:rPr>
              <w:t>Justering av protokoll</w:t>
            </w:r>
          </w:p>
          <w:p w:rsidR="0065688B" w:rsidRPr="0065688B" w:rsidRDefault="0065688B" w:rsidP="005E70F9">
            <w:pPr>
              <w:outlineLvl w:val="0"/>
              <w:rPr>
                <w:szCs w:val="24"/>
              </w:rPr>
            </w:pPr>
            <w:r w:rsidRPr="0065688B">
              <w:rPr>
                <w:szCs w:val="24"/>
              </w:rPr>
              <w:t>Utskottet justerade protokoll 2021/22:62 och 63</w:t>
            </w:r>
            <w:r>
              <w:rPr>
                <w:szCs w:val="24"/>
              </w:rPr>
              <w:t>.</w:t>
            </w:r>
          </w:p>
          <w:p w:rsidR="001D4484" w:rsidRPr="0064653C" w:rsidRDefault="001D4484" w:rsidP="00BC2DCD">
            <w:pPr>
              <w:outlineLvl w:val="0"/>
              <w:rPr>
                <w:b/>
                <w:szCs w:val="24"/>
              </w:rPr>
            </w:pPr>
          </w:p>
        </w:tc>
      </w:tr>
      <w:tr w:rsidR="00CD4718" w:rsidRPr="0064653C" w:rsidTr="00CD4718">
        <w:tc>
          <w:tcPr>
            <w:tcW w:w="567" w:type="dxa"/>
          </w:tcPr>
          <w:p w:rsidR="00CD4718" w:rsidRPr="0064653C" w:rsidRDefault="00CD4718" w:rsidP="00EF57E7">
            <w:pPr>
              <w:tabs>
                <w:tab w:val="left" w:pos="1701"/>
              </w:tabs>
              <w:rPr>
                <w:b/>
                <w:snapToGrid w:val="0"/>
                <w:szCs w:val="24"/>
              </w:rPr>
            </w:pPr>
            <w:bookmarkStart w:id="0" w:name="_Hlk103178714"/>
            <w:r w:rsidRPr="0064653C">
              <w:rPr>
                <w:b/>
                <w:snapToGrid w:val="0"/>
                <w:szCs w:val="24"/>
              </w:rPr>
              <w:t xml:space="preserve">§ 5 </w:t>
            </w:r>
          </w:p>
        </w:tc>
        <w:tc>
          <w:tcPr>
            <w:tcW w:w="7727" w:type="dxa"/>
          </w:tcPr>
          <w:p w:rsidR="00CD4718" w:rsidRPr="0064653C" w:rsidRDefault="00CD4718" w:rsidP="00CA3B1E">
            <w:pPr>
              <w:autoSpaceDE w:val="0"/>
              <w:autoSpaceDN w:val="0"/>
              <w:adjustRightInd w:val="0"/>
              <w:rPr>
                <w:rFonts w:eastAsiaTheme="minorHAnsi"/>
                <w:b/>
                <w:bCs/>
                <w:color w:val="000000"/>
                <w:szCs w:val="24"/>
                <w:lang w:eastAsia="en-US"/>
              </w:rPr>
            </w:pPr>
            <w:r w:rsidRPr="0064653C">
              <w:rPr>
                <w:rFonts w:eastAsiaTheme="minorHAnsi"/>
                <w:b/>
                <w:bCs/>
                <w:color w:val="000000"/>
                <w:szCs w:val="24"/>
                <w:lang w:eastAsia="en-US"/>
              </w:rPr>
              <w:t>Överlämnande av lagförslag</w:t>
            </w:r>
          </w:p>
          <w:p w:rsidR="00CD4718" w:rsidRPr="0064653C" w:rsidRDefault="00CD4718" w:rsidP="00CA3B1E">
            <w:pPr>
              <w:autoSpaceDE w:val="0"/>
              <w:autoSpaceDN w:val="0"/>
              <w:adjustRightInd w:val="0"/>
              <w:rPr>
                <w:rFonts w:eastAsiaTheme="minorHAnsi"/>
                <w:b/>
                <w:bCs/>
                <w:color w:val="000000"/>
                <w:szCs w:val="24"/>
                <w:lang w:eastAsia="en-US"/>
              </w:rPr>
            </w:pPr>
            <w:r w:rsidRPr="0064653C">
              <w:rPr>
                <w:rFonts w:eastAsiaTheme="minorHAnsi"/>
                <w:bCs/>
                <w:color w:val="000000"/>
                <w:szCs w:val="24"/>
                <w:lang w:eastAsia="en-US"/>
              </w:rPr>
              <w:t>Utskottet överlämnade regeringens förslag till lag om ändring i lagen (2022:000) om Sveriges riksbank i proposition 2021/22:169 till konstitutionsutskottet. Överlämnandet gäller under förutsättning att det mottagande utskottet tar emot det.</w:t>
            </w:r>
            <w:r w:rsidRPr="0064653C">
              <w:rPr>
                <w:rFonts w:eastAsiaTheme="minorHAnsi"/>
                <w:b/>
                <w:bCs/>
                <w:color w:val="000000"/>
                <w:szCs w:val="24"/>
                <w:lang w:eastAsia="en-US"/>
              </w:rPr>
              <w:t xml:space="preserve"> </w:t>
            </w:r>
          </w:p>
          <w:p w:rsidR="00CD4718" w:rsidRPr="0064653C" w:rsidRDefault="00CD4718" w:rsidP="00CA3B1E">
            <w:pPr>
              <w:autoSpaceDE w:val="0"/>
              <w:autoSpaceDN w:val="0"/>
              <w:adjustRightInd w:val="0"/>
              <w:rPr>
                <w:rFonts w:eastAsiaTheme="minorHAnsi"/>
                <w:bCs/>
                <w:color w:val="000000"/>
                <w:szCs w:val="24"/>
                <w:lang w:eastAsia="en-US"/>
              </w:rPr>
            </w:pPr>
          </w:p>
          <w:p w:rsidR="00CD4718" w:rsidRPr="0064653C" w:rsidRDefault="00CD4718" w:rsidP="00CA3B1E">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 xml:space="preserve">Denna paragraf förklarades omedelbart justerad. </w:t>
            </w:r>
          </w:p>
          <w:p w:rsidR="00CD4718" w:rsidRPr="0064653C" w:rsidRDefault="00CD4718" w:rsidP="00CA3B1E">
            <w:pPr>
              <w:autoSpaceDE w:val="0"/>
              <w:autoSpaceDN w:val="0"/>
              <w:adjustRightInd w:val="0"/>
              <w:rPr>
                <w:rFonts w:eastAsiaTheme="minorHAnsi"/>
                <w:bCs/>
                <w:color w:val="000000"/>
                <w:szCs w:val="24"/>
                <w:lang w:eastAsia="en-US"/>
              </w:rPr>
            </w:pPr>
          </w:p>
        </w:tc>
      </w:tr>
      <w:bookmarkEnd w:id="0"/>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xml:space="preserve">§ 6 </w:t>
            </w:r>
          </w:p>
        </w:tc>
        <w:tc>
          <w:tcPr>
            <w:tcW w:w="7727" w:type="dxa"/>
          </w:tcPr>
          <w:p w:rsidR="00CD4718" w:rsidRPr="0064653C" w:rsidRDefault="00CD4718" w:rsidP="00CD4718">
            <w:pPr>
              <w:autoSpaceDE w:val="0"/>
              <w:autoSpaceDN w:val="0"/>
              <w:adjustRightInd w:val="0"/>
              <w:rPr>
                <w:color w:val="000000"/>
                <w:szCs w:val="24"/>
              </w:rPr>
            </w:pPr>
            <w:r w:rsidRPr="0064653C">
              <w:rPr>
                <w:b/>
                <w:bCs/>
                <w:color w:val="000000"/>
                <w:szCs w:val="24"/>
              </w:rPr>
              <w:t>Kompletterande bestämmelser till EU:s förordning om återhämtning och resolution av centrala motparter (FiU32)</w:t>
            </w:r>
            <w:r w:rsidRPr="0064653C">
              <w:rPr>
                <w:b/>
                <w:bCs/>
                <w:color w:val="000000"/>
                <w:szCs w:val="24"/>
              </w:rPr>
              <w:br/>
            </w:r>
            <w:r w:rsidRPr="0064653C">
              <w:rPr>
                <w:color w:val="000000"/>
                <w:szCs w:val="24"/>
              </w:rPr>
              <w:t xml:space="preserve">Utskottet fortsatte beredningen av prop. 2021/22:169. </w:t>
            </w:r>
          </w:p>
          <w:p w:rsidR="00CD4718" w:rsidRPr="0064653C" w:rsidRDefault="00CD4718" w:rsidP="00CD4718">
            <w:pPr>
              <w:autoSpaceDE w:val="0"/>
              <w:autoSpaceDN w:val="0"/>
              <w:adjustRightInd w:val="0"/>
              <w:rPr>
                <w:color w:val="000000"/>
                <w:szCs w:val="24"/>
              </w:rPr>
            </w:pPr>
          </w:p>
          <w:p w:rsidR="00CD4718" w:rsidRPr="0064653C" w:rsidRDefault="00CD4718" w:rsidP="00CD4718">
            <w:pPr>
              <w:autoSpaceDE w:val="0"/>
              <w:autoSpaceDN w:val="0"/>
              <w:adjustRightInd w:val="0"/>
              <w:rPr>
                <w:rFonts w:eastAsiaTheme="minorHAnsi"/>
                <w:b/>
                <w:bCs/>
                <w:color w:val="000000"/>
                <w:szCs w:val="24"/>
                <w:lang w:eastAsia="en-US"/>
              </w:rPr>
            </w:pPr>
            <w:r w:rsidRPr="0064653C">
              <w:rPr>
                <w:color w:val="000000"/>
                <w:szCs w:val="24"/>
              </w:rPr>
              <w:t>Utskottet justerade betänkande 2021/</w:t>
            </w:r>
            <w:proofErr w:type="gramStart"/>
            <w:r w:rsidRPr="0064653C">
              <w:rPr>
                <w:color w:val="000000"/>
                <w:szCs w:val="24"/>
              </w:rPr>
              <w:t>22:FiU</w:t>
            </w:r>
            <w:proofErr w:type="gramEnd"/>
            <w:r w:rsidRPr="0064653C">
              <w:rPr>
                <w:color w:val="000000"/>
                <w:szCs w:val="24"/>
              </w:rPr>
              <w:t>32.</w:t>
            </w:r>
            <w:r w:rsidRPr="0064653C">
              <w:rPr>
                <w:color w:val="000000"/>
                <w:szCs w:val="24"/>
              </w:rPr>
              <w:br/>
            </w:r>
          </w:p>
        </w:tc>
      </w:tr>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7</w:t>
            </w:r>
          </w:p>
        </w:tc>
        <w:tc>
          <w:tcPr>
            <w:tcW w:w="7727" w:type="dxa"/>
          </w:tcPr>
          <w:p w:rsidR="00CD4718" w:rsidRPr="0064653C" w:rsidRDefault="00CD4718" w:rsidP="00CD4718">
            <w:pPr>
              <w:autoSpaceDE w:val="0"/>
              <w:autoSpaceDN w:val="0"/>
              <w:adjustRightInd w:val="0"/>
              <w:rPr>
                <w:color w:val="000000"/>
                <w:szCs w:val="24"/>
              </w:rPr>
            </w:pPr>
            <w:r w:rsidRPr="0064653C">
              <w:rPr>
                <w:b/>
                <w:bCs/>
                <w:color w:val="000000"/>
                <w:szCs w:val="24"/>
              </w:rPr>
              <w:t>En utvidgad rätt till återköp och flytt av fond- och depåförsäkringar (FiU36)</w:t>
            </w:r>
            <w:r w:rsidRPr="0064653C">
              <w:rPr>
                <w:b/>
                <w:bCs/>
                <w:color w:val="000000"/>
                <w:szCs w:val="24"/>
              </w:rPr>
              <w:br/>
            </w:r>
            <w:r w:rsidRPr="0064653C">
              <w:rPr>
                <w:color w:val="000000"/>
                <w:szCs w:val="24"/>
              </w:rPr>
              <w:t xml:space="preserve">Utskottet fortsatte beredningen av prop. 2021/22:74 och en motion. </w:t>
            </w:r>
            <w:r w:rsidRPr="0064653C">
              <w:rPr>
                <w:color w:val="000000"/>
                <w:szCs w:val="24"/>
              </w:rPr>
              <w:br/>
            </w:r>
          </w:p>
          <w:p w:rsidR="00CD4718" w:rsidRPr="0064653C" w:rsidRDefault="00CD4718" w:rsidP="00CD4718">
            <w:pPr>
              <w:autoSpaceDE w:val="0"/>
              <w:autoSpaceDN w:val="0"/>
              <w:adjustRightInd w:val="0"/>
              <w:rPr>
                <w:color w:val="000000"/>
                <w:szCs w:val="24"/>
              </w:rPr>
            </w:pPr>
            <w:r w:rsidRPr="0064653C">
              <w:rPr>
                <w:color w:val="000000"/>
                <w:szCs w:val="24"/>
              </w:rPr>
              <w:t>Utskottet justerade betänkande 2021/</w:t>
            </w:r>
            <w:proofErr w:type="gramStart"/>
            <w:r w:rsidRPr="0064653C">
              <w:rPr>
                <w:color w:val="000000"/>
                <w:szCs w:val="24"/>
              </w:rPr>
              <w:t>22:FiU</w:t>
            </w:r>
            <w:proofErr w:type="gramEnd"/>
            <w:r w:rsidRPr="0064653C">
              <w:rPr>
                <w:color w:val="000000"/>
                <w:szCs w:val="24"/>
              </w:rPr>
              <w:t>36.</w:t>
            </w:r>
          </w:p>
          <w:p w:rsidR="00CD4718" w:rsidRPr="0064653C" w:rsidRDefault="00CD4718" w:rsidP="00CD4718">
            <w:pPr>
              <w:autoSpaceDE w:val="0"/>
              <w:autoSpaceDN w:val="0"/>
              <w:adjustRightInd w:val="0"/>
              <w:rPr>
                <w:rFonts w:eastAsiaTheme="minorHAnsi"/>
                <w:b/>
                <w:bCs/>
                <w:color w:val="000000"/>
                <w:szCs w:val="24"/>
                <w:lang w:eastAsia="en-US"/>
              </w:rPr>
            </w:pPr>
          </w:p>
        </w:tc>
      </w:tr>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lastRenderedPageBreak/>
              <w:t>§ 8</w:t>
            </w:r>
          </w:p>
        </w:tc>
        <w:tc>
          <w:tcPr>
            <w:tcW w:w="7727" w:type="dxa"/>
          </w:tcPr>
          <w:p w:rsidR="00CD4718" w:rsidRPr="0064653C" w:rsidRDefault="00CD4718" w:rsidP="00CD4718">
            <w:pPr>
              <w:autoSpaceDE w:val="0"/>
              <w:autoSpaceDN w:val="0"/>
              <w:adjustRightInd w:val="0"/>
              <w:rPr>
                <w:rFonts w:eastAsiaTheme="minorHAnsi"/>
                <w:b/>
                <w:bCs/>
                <w:color w:val="000000"/>
                <w:szCs w:val="24"/>
                <w:lang w:eastAsia="en-US"/>
              </w:rPr>
            </w:pPr>
            <w:r w:rsidRPr="0064653C">
              <w:rPr>
                <w:rFonts w:eastAsiaTheme="minorHAnsi"/>
                <w:b/>
                <w:bCs/>
                <w:color w:val="000000"/>
                <w:szCs w:val="24"/>
                <w:lang w:eastAsia="en-US"/>
              </w:rPr>
              <w:t>Den offentliga sektorns tillgängliggörande av data (FiU27)</w:t>
            </w:r>
          </w:p>
          <w:p w:rsidR="00CD4718" w:rsidRPr="0064653C" w:rsidRDefault="00CD4718" w:rsidP="00CD4718">
            <w:pPr>
              <w:autoSpaceDE w:val="0"/>
              <w:autoSpaceDN w:val="0"/>
              <w:adjustRightInd w:val="0"/>
              <w:rPr>
                <w:rFonts w:eastAsiaTheme="minorHAnsi"/>
                <w:bCs/>
                <w:color w:val="000000"/>
                <w:szCs w:val="24"/>
                <w:lang w:eastAsia="en-US"/>
              </w:rPr>
            </w:pPr>
            <w:r w:rsidRPr="0064653C">
              <w:rPr>
                <w:color w:val="000000"/>
                <w:szCs w:val="24"/>
              </w:rPr>
              <w:t xml:space="preserve">Utskottet fortsatte beredningen av prop. </w:t>
            </w:r>
            <w:r w:rsidRPr="0064653C">
              <w:rPr>
                <w:rFonts w:eastAsiaTheme="minorHAnsi"/>
                <w:bCs/>
                <w:color w:val="000000"/>
                <w:szCs w:val="24"/>
                <w:lang w:eastAsia="en-US"/>
              </w:rPr>
              <w:t>2021/22:225 och en motion</w:t>
            </w:r>
            <w:r w:rsidR="0065688B">
              <w:rPr>
                <w:rFonts w:eastAsiaTheme="minorHAnsi"/>
                <w:bCs/>
                <w:color w:val="000000"/>
                <w:szCs w:val="24"/>
                <w:lang w:eastAsia="en-US"/>
              </w:rPr>
              <w:t>.</w:t>
            </w:r>
          </w:p>
          <w:p w:rsidR="00CD4718" w:rsidRPr="0064653C" w:rsidRDefault="00CD4718" w:rsidP="00CD4718">
            <w:pPr>
              <w:autoSpaceDE w:val="0"/>
              <w:autoSpaceDN w:val="0"/>
              <w:adjustRightInd w:val="0"/>
              <w:rPr>
                <w:rFonts w:eastAsiaTheme="minorHAnsi"/>
                <w:b/>
                <w:bCs/>
                <w:color w:val="000000"/>
                <w:szCs w:val="24"/>
                <w:lang w:eastAsia="en-US"/>
              </w:rPr>
            </w:pPr>
          </w:p>
          <w:p w:rsidR="00CD4718" w:rsidRPr="0064653C" w:rsidRDefault="00CD4718" w:rsidP="00CD4718">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 xml:space="preserve">Ärendet bordlades. </w:t>
            </w:r>
          </w:p>
          <w:p w:rsidR="00CD4718" w:rsidRPr="0064653C" w:rsidRDefault="00CD4718" w:rsidP="00CD4718">
            <w:pPr>
              <w:autoSpaceDE w:val="0"/>
              <w:autoSpaceDN w:val="0"/>
              <w:adjustRightInd w:val="0"/>
              <w:rPr>
                <w:rFonts w:eastAsiaTheme="minorHAnsi"/>
                <w:b/>
                <w:bCs/>
                <w:color w:val="000000"/>
                <w:szCs w:val="24"/>
                <w:lang w:eastAsia="en-US"/>
              </w:rPr>
            </w:pPr>
          </w:p>
        </w:tc>
      </w:tr>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9</w:t>
            </w:r>
          </w:p>
        </w:tc>
        <w:tc>
          <w:tcPr>
            <w:tcW w:w="7727" w:type="dxa"/>
          </w:tcPr>
          <w:p w:rsidR="00CD4718" w:rsidRPr="0064653C" w:rsidRDefault="00CD4718" w:rsidP="00CD4718">
            <w:pPr>
              <w:autoSpaceDE w:val="0"/>
              <w:autoSpaceDN w:val="0"/>
              <w:adjustRightInd w:val="0"/>
              <w:rPr>
                <w:rFonts w:eastAsiaTheme="minorHAnsi"/>
                <w:b/>
                <w:bCs/>
                <w:color w:val="000000"/>
                <w:szCs w:val="24"/>
                <w:lang w:eastAsia="en-US"/>
              </w:rPr>
            </w:pPr>
            <w:r w:rsidRPr="0064653C">
              <w:rPr>
                <w:rFonts w:eastAsiaTheme="minorHAnsi"/>
                <w:b/>
                <w:bCs/>
                <w:color w:val="000000"/>
                <w:szCs w:val="24"/>
                <w:lang w:eastAsia="en-US"/>
              </w:rPr>
              <w:t>Idéburen välfärd (FiU28)</w:t>
            </w:r>
          </w:p>
          <w:p w:rsidR="00CD4718" w:rsidRPr="0064653C" w:rsidRDefault="00CD4718" w:rsidP="00CD4718">
            <w:pPr>
              <w:autoSpaceDE w:val="0"/>
              <w:autoSpaceDN w:val="0"/>
              <w:adjustRightInd w:val="0"/>
              <w:rPr>
                <w:rFonts w:eastAsiaTheme="minorHAnsi"/>
                <w:bCs/>
                <w:color w:val="000000"/>
                <w:szCs w:val="24"/>
                <w:lang w:eastAsia="en-US"/>
              </w:rPr>
            </w:pPr>
            <w:r w:rsidRPr="0064653C">
              <w:rPr>
                <w:color w:val="000000"/>
                <w:szCs w:val="24"/>
              </w:rPr>
              <w:t xml:space="preserve">Utskottet fortsatte beredningen av prop. </w:t>
            </w:r>
            <w:r w:rsidRPr="0064653C">
              <w:rPr>
                <w:rFonts w:eastAsiaTheme="minorHAnsi"/>
                <w:bCs/>
                <w:color w:val="000000"/>
                <w:szCs w:val="24"/>
                <w:lang w:eastAsia="en-US"/>
              </w:rPr>
              <w:t>2021/22:135, motioner och yttrande SoU5y</w:t>
            </w:r>
            <w:r w:rsidR="0064653C" w:rsidRPr="0064653C">
              <w:rPr>
                <w:rFonts w:eastAsiaTheme="minorHAnsi"/>
                <w:bCs/>
                <w:color w:val="000000"/>
                <w:szCs w:val="24"/>
                <w:lang w:eastAsia="en-US"/>
              </w:rPr>
              <w:t>.</w:t>
            </w:r>
          </w:p>
          <w:p w:rsidR="0064653C" w:rsidRPr="0064653C" w:rsidRDefault="0064653C" w:rsidP="00CD4718">
            <w:pPr>
              <w:autoSpaceDE w:val="0"/>
              <w:autoSpaceDN w:val="0"/>
              <w:adjustRightInd w:val="0"/>
              <w:rPr>
                <w:rFonts w:eastAsiaTheme="minorHAnsi"/>
                <w:b/>
                <w:bCs/>
                <w:color w:val="000000"/>
                <w:szCs w:val="24"/>
                <w:lang w:eastAsia="en-US"/>
              </w:rPr>
            </w:pPr>
          </w:p>
          <w:p w:rsidR="00CD4718" w:rsidRPr="0064653C" w:rsidRDefault="00CD4718" w:rsidP="00CD4718">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 xml:space="preserve">Ärendet bordlades. </w:t>
            </w:r>
          </w:p>
          <w:p w:rsidR="00CD4718" w:rsidRPr="0064653C" w:rsidRDefault="00CD4718" w:rsidP="00CD4718">
            <w:pPr>
              <w:autoSpaceDE w:val="0"/>
              <w:autoSpaceDN w:val="0"/>
              <w:adjustRightInd w:val="0"/>
              <w:rPr>
                <w:rFonts w:eastAsiaTheme="minorHAnsi"/>
                <w:b/>
                <w:bCs/>
                <w:color w:val="000000"/>
                <w:szCs w:val="24"/>
                <w:lang w:eastAsia="en-US"/>
              </w:rPr>
            </w:pPr>
          </w:p>
        </w:tc>
      </w:tr>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9</w:t>
            </w:r>
          </w:p>
        </w:tc>
        <w:tc>
          <w:tcPr>
            <w:tcW w:w="7727" w:type="dxa"/>
          </w:tcPr>
          <w:p w:rsidR="00CD4718" w:rsidRPr="0064653C" w:rsidRDefault="00CD4718" w:rsidP="00CD4718">
            <w:pPr>
              <w:autoSpaceDE w:val="0"/>
              <w:autoSpaceDN w:val="0"/>
              <w:adjustRightInd w:val="0"/>
              <w:rPr>
                <w:rFonts w:eastAsiaTheme="minorHAnsi"/>
                <w:b/>
                <w:bCs/>
                <w:color w:val="000000"/>
                <w:szCs w:val="24"/>
                <w:lang w:eastAsia="en-US"/>
              </w:rPr>
            </w:pPr>
            <w:r w:rsidRPr="0064653C">
              <w:rPr>
                <w:b/>
                <w:bCs/>
                <w:color w:val="000000"/>
                <w:szCs w:val="24"/>
              </w:rPr>
              <w:t>Ett nytt mål för Sjätte AP-fondens placeringsverksamhet (FiU33)</w:t>
            </w:r>
            <w:r w:rsidRPr="0064653C">
              <w:rPr>
                <w:b/>
                <w:bCs/>
                <w:color w:val="000000"/>
                <w:szCs w:val="24"/>
              </w:rPr>
              <w:br/>
            </w:r>
            <w:r w:rsidRPr="0064653C">
              <w:rPr>
                <w:color w:val="000000"/>
                <w:szCs w:val="24"/>
              </w:rPr>
              <w:t>Utskottet fortsatte beredningen av prop. 2021/22:146.</w:t>
            </w:r>
            <w:r w:rsidRPr="0064653C">
              <w:rPr>
                <w:color w:val="000000"/>
                <w:szCs w:val="24"/>
              </w:rPr>
              <w:br/>
            </w:r>
          </w:p>
          <w:p w:rsidR="00CD4718" w:rsidRPr="0064653C" w:rsidRDefault="00CD4718" w:rsidP="00CD4718">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 xml:space="preserve">Ärendet bordlades. </w:t>
            </w:r>
          </w:p>
          <w:p w:rsidR="00CD4718" w:rsidRPr="0064653C" w:rsidRDefault="00CD4718" w:rsidP="00CD4718">
            <w:pPr>
              <w:autoSpaceDE w:val="0"/>
              <w:autoSpaceDN w:val="0"/>
              <w:adjustRightInd w:val="0"/>
              <w:rPr>
                <w:rFonts w:eastAsiaTheme="minorHAnsi"/>
                <w:b/>
                <w:bCs/>
                <w:color w:val="000000"/>
                <w:szCs w:val="24"/>
                <w:lang w:eastAsia="en-US"/>
              </w:rPr>
            </w:pPr>
          </w:p>
        </w:tc>
      </w:tr>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xml:space="preserve">§ 10 </w:t>
            </w:r>
          </w:p>
        </w:tc>
        <w:tc>
          <w:tcPr>
            <w:tcW w:w="7727" w:type="dxa"/>
          </w:tcPr>
          <w:p w:rsidR="00CD4718" w:rsidRPr="0064653C" w:rsidRDefault="00CD4718" w:rsidP="00CD4718">
            <w:pPr>
              <w:autoSpaceDE w:val="0"/>
              <w:autoSpaceDN w:val="0"/>
              <w:adjustRightInd w:val="0"/>
              <w:rPr>
                <w:rFonts w:eastAsiaTheme="minorHAnsi"/>
                <w:bCs/>
                <w:color w:val="000000"/>
                <w:szCs w:val="24"/>
                <w:lang w:eastAsia="en-US"/>
              </w:rPr>
            </w:pPr>
            <w:r w:rsidRPr="0064653C">
              <w:rPr>
                <w:b/>
                <w:bCs/>
                <w:color w:val="000000"/>
                <w:szCs w:val="24"/>
              </w:rPr>
              <w:t>Ändrade regler om säkerställda obligationer (FiU37)</w:t>
            </w:r>
            <w:r w:rsidRPr="0064653C">
              <w:rPr>
                <w:b/>
                <w:bCs/>
                <w:color w:val="000000"/>
                <w:szCs w:val="24"/>
              </w:rPr>
              <w:br/>
            </w:r>
            <w:r w:rsidRPr="0064653C">
              <w:rPr>
                <w:color w:val="000000"/>
                <w:szCs w:val="24"/>
              </w:rPr>
              <w:t>Utskottet fortsatte beredningen av prop. 2021/22:76 och en motion.</w:t>
            </w:r>
            <w:r w:rsidRPr="0064653C">
              <w:rPr>
                <w:b/>
                <w:bCs/>
                <w:color w:val="000000"/>
                <w:szCs w:val="24"/>
              </w:rPr>
              <w:br/>
            </w:r>
          </w:p>
          <w:p w:rsidR="00CD4718" w:rsidRPr="0064653C" w:rsidRDefault="00CD4718" w:rsidP="00CD4718">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 xml:space="preserve">Ärendet bordlades. </w:t>
            </w:r>
          </w:p>
          <w:p w:rsidR="00CD4718" w:rsidRPr="0064653C" w:rsidRDefault="00CD4718" w:rsidP="00CD4718">
            <w:pPr>
              <w:autoSpaceDE w:val="0"/>
              <w:autoSpaceDN w:val="0"/>
              <w:adjustRightInd w:val="0"/>
              <w:rPr>
                <w:rFonts w:eastAsiaTheme="minorHAnsi"/>
                <w:b/>
                <w:bCs/>
                <w:color w:val="000000"/>
                <w:szCs w:val="24"/>
                <w:lang w:eastAsia="en-US"/>
              </w:rPr>
            </w:pPr>
          </w:p>
        </w:tc>
      </w:tr>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11</w:t>
            </w:r>
          </w:p>
        </w:tc>
        <w:tc>
          <w:tcPr>
            <w:tcW w:w="7727" w:type="dxa"/>
          </w:tcPr>
          <w:p w:rsidR="00CD4718" w:rsidRPr="0064653C" w:rsidRDefault="00CD4718" w:rsidP="00CD4718">
            <w:pPr>
              <w:autoSpaceDE w:val="0"/>
              <w:autoSpaceDN w:val="0"/>
              <w:adjustRightInd w:val="0"/>
              <w:rPr>
                <w:rFonts w:eastAsiaTheme="minorHAnsi"/>
                <w:b/>
                <w:bCs/>
                <w:color w:val="000000"/>
                <w:szCs w:val="24"/>
                <w:lang w:eastAsia="en-US"/>
              </w:rPr>
            </w:pPr>
            <w:r w:rsidRPr="0064653C">
              <w:rPr>
                <w:rFonts w:eastAsiaTheme="minorHAnsi"/>
                <w:b/>
                <w:bCs/>
                <w:color w:val="000000"/>
                <w:szCs w:val="24"/>
                <w:lang w:eastAsia="en-US"/>
              </w:rPr>
              <w:t>Betaltjänstfrågor – några förtydliganden (FiU38)</w:t>
            </w:r>
          </w:p>
          <w:p w:rsidR="00CD4718" w:rsidRPr="0064653C" w:rsidRDefault="00CD4718" w:rsidP="00CD4718">
            <w:pPr>
              <w:autoSpaceDE w:val="0"/>
              <w:autoSpaceDN w:val="0"/>
              <w:adjustRightInd w:val="0"/>
              <w:rPr>
                <w:rFonts w:eastAsiaTheme="minorHAnsi"/>
                <w:b/>
                <w:bCs/>
                <w:color w:val="000000"/>
                <w:szCs w:val="24"/>
                <w:lang w:eastAsia="en-US"/>
              </w:rPr>
            </w:pPr>
            <w:r w:rsidRPr="0064653C">
              <w:rPr>
                <w:color w:val="000000"/>
                <w:szCs w:val="24"/>
              </w:rPr>
              <w:t>Utskottet fortsatte beredningen av prop. 2021/22:</w:t>
            </w:r>
            <w:r w:rsidRPr="0064653C">
              <w:rPr>
                <w:rFonts w:eastAsiaTheme="minorHAnsi"/>
                <w:bCs/>
                <w:color w:val="000000"/>
                <w:szCs w:val="24"/>
                <w:lang w:eastAsia="en-US"/>
              </w:rPr>
              <w:t>202.</w:t>
            </w:r>
          </w:p>
          <w:p w:rsidR="00CD4718" w:rsidRPr="0064653C" w:rsidRDefault="00CD4718" w:rsidP="00CD4718">
            <w:pPr>
              <w:autoSpaceDE w:val="0"/>
              <w:autoSpaceDN w:val="0"/>
              <w:adjustRightInd w:val="0"/>
              <w:rPr>
                <w:rFonts w:eastAsiaTheme="minorHAnsi"/>
                <w:b/>
                <w:bCs/>
                <w:color w:val="000000"/>
                <w:szCs w:val="24"/>
                <w:lang w:eastAsia="en-US"/>
              </w:rPr>
            </w:pPr>
          </w:p>
          <w:p w:rsidR="00CD4718" w:rsidRPr="0064653C" w:rsidRDefault="00CD4718" w:rsidP="00CD4718">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Ärendet bordlades.</w:t>
            </w:r>
          </w:p>
          <w:p w:rsidR="00CD4718" w:rsidRPr="0064653C" w:rsidRDefault="00CD4718" w:rsidP="00CD4718">
            <w:pPr>
              <w:autoSpaceDE w:val="0"/>
              <w:autoSpaceDN w:val="0"/>
              <w:adjustRightInd w:val="0"/>
              <w:rPr>
                <w:rFonts w:eastAsiaTheme="minorHAnsi"/>
                <w:b/>
                <w:bCs/>
                <w:color w:val="000000"/>
                <w:szCs w:val="24"/>
                <w:lang w:eastAsia="en-US"/>
              </w:rPr>
            </w:pPr>
          </w:p>
        </w:tc>
      </w:tr>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xml:space="preserve">§ 12 </w:t>
            </w:r>
          </w:p>
        </w:tc>
        <w:tc>
          <w:tcPr>
            <w:tcW w:w="7727" w:type="dxa"/>
          </w:tcPr>
          <w:p w:rsidR="00CD4718" w:rsidRPr="0064653C" w:rsidRDefault="00CD4718" w:rsidP="00CD4718">
            <w:pPr>
              <w:autoSpaceDE w:val="0"/>
              <w:autoSpaceDN w:val="0"/>
              <w:adjustRightInd w:val="0"/>
              <w:rPr>
                <w:color w:val="000000"/>
                <w:szCs w:val="24"/>
              </w:rPr>
            </w:pPr>
            <w:r w:rsidRPr="0064653C">
              <w:rPr>
                <w:b/>
                <w:bCs/>
                <w:color w:val="000000"/>
                <w:szCs w:val="24"/>
              </w:rPr>
              <w:t>Riksrevisionens rapport om AP-fondernas hållbarhetsarbete (FiU43)</w:t>
            </w:r>
            <w:r w:rsidRPr="0064653C">
              <w:rPr>
                <w:b/>
                <w:bCs/>
                <w:color w:val="000000"/>
                <w:szCs w:val="24"/>
              </w:rPr>
              <w:br/>
            </w:r>
            <w:r w:rsidRPr="0064653C">
              <w:rPr>
                <w:color w:val="000000"/>
                <w:szCs w:val="24"/>
              </w:rPr>
              <w:t>Utskottet fortsatte beredningen av skr. 2021/22:54.</w:t>
            </w:r>
          </w:p>
          <w:p w:rsidR="00CD4718" w:rsidRPr="0064653C" w:rsidRDefault="00CD4718" w:rsidP="00CD4718">
            <w:pPr>
              <w:autoSpaceDE w:val="0"/>
              <w:autoSpaceDN w:val="0"/>
              <w:adjustRightInd w:val="0"/>
              <w:rPr>
                <w:rFonts w:eastAsiaTheme="minorHAnsi"/>
                <w:b/>
                <w:bCs/>
                <w:color w:val="000000"/>
                <w:szCs w:val="24"/>
                <w:lang w:eastAsia="en-US"/>
              </w:rPr>
            </w:pPr>
          </w:p>
          <w:p w:rsidR="00CD4718" w:rsidRPr="0064653C" w:rsidRDefault="00CD4718" w:rsidP="00CD4718">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Ärendet bordlades.</w:t>
            </w:r>
          </w:p>
          <w:p w:rsidR="00CD4718" w:rsidRPr="0064653C" w:rsidRDefault="00CD4718" w:rsidP="00CD4718">
            <w:pPr>
              <w:autoSpaceDE w:val="0"/>
              <w:autoSpaceDN w:val="0"/>
              <w:adjustRightInd w:val="0"/>
              <w:rPr>
                <w:rFonts w:eastAsiaTheme="minorHAnsi"/>
                <w:b/>
                <w:bCs/>
                <w:color w:val="000000"/>
                <w:szCs w:val="24"/>
                <w:lang w:eastAsia="en-US"/>
              </w:rPr>
            </w:pPr>
          </w:p>
        </w:tc>
      </w:tr>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13</w:t>
            </w:r>
          </w:p>
        </w:tc>
        <w:tc>
          <w:tcPr>
            <w:tcW w:w="7727" w:type="dxa"/>
          </w:tcPr>
          <w:p w:rsidR="00CD4718" w:rsidRPr="0064653C" w:rsidRDefault="00CD4718" w:rsidP="00CD4718">
            <w:pPr>
              <w:autoSpaceDE w:val="0"/>
              <w:autoSpaceDN w:val="0"/>
              <w:adjustRightInd w:val="0"/>
              <w:rPr>
                <w:color w:val="000000"/>
                <w:szCs w:val="24"/>
              </w:rPr>
            </w:pPr>
            <w:r w:rsidRPr="0064653C">
              <w:rPr>
                <w:b/>
                <w:bCs/>
                <w:color w:val="000000"/>
                <w:szCs w:val="24"/>
              </w:rPr>
              <w:t>Utvärdering av statens upplåning och skuldförvaltning 2017-2021 (FiU42)</w:t>
            </w:r>
            <w:r w:rsidRPr="0064653C">
              <w:rPr>
                <w:color w:val="000000"/>
                <w:szCs w:val="24"/>
              </w:rPr>
              <w:br/>
              <w:t>Utskottet inledde beredningen av skr. 2021/22:104.</w:t>
            </w:r>
            <w:r w:rsidRPr="0064653C">
              <w:rPr>
                <w:color w:val="000000"/>
                <w:szCs w:val="24"/>
              </w:rPr>
              <w:br/>
            </w:r>
          </w:p>
          <w:p w:rsidR="00CD4718" w:rsidRPr="0064653C" w:rsidRDefault="00CD4718" w:rsidP="00CD4718">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Ärendet bordlades.</w:t>
            </w:r>
          </w:p>
          <w:p w:rsidR="00CD4718" w:rsidRPr="0064653C" w:rsidRDefault="00CD4718" w:rsidP="00CD4718">
            <w:pPr>
              <w:autoSpaceDE w:val="0"/>
              <w:autoSpaceDN w:val="0"/>
              <w:adjustRightInd w:val="0"/>
              <w:rPr>
                <w:rFonts w:eastAsiaTheme="minorHAnsi"/>
                <w:b/>
                <w:bCs/>
                <w:color w:val="000000"/>
                <w:szCs w:val="24"/>
                <w:lang w:eastAsia="en-US"/>
              </w:rPr>
            </w:pPr>
          </w:p>
        </w:tc>
      </w:tr>
      <w:tr w:rsidR="00CD4718" w:rsidRPr="0064653C" w:rsidTr="00CD4718">
        <w:tc>
          <w:tcPr>
            <w:tcW w:w="567" w:type="dxa"/>
          </w:tcPr>
          <w:p w:rsidR="00CD4718" w:rsidRPr="0064653C" w:rsidRDefault="00CD4718" w:rsidP="00CD4718">
            <w:pPr>
              <w:tabs>
                <w:tab w:val="left" w:pos="1701"/>
              </w:tabs>
              <w:rPr>
                <w:b/>
                <w:snapToGrid w:val="0"/>
                <w:szCs w:val="24"/>
              </w:rPr>
            </w:pPr>
            <w:r w:rsidRPr="0064653C">
              <w:rPr>
                <w:b/>
                <w:snapToGrid w:val="0"/>
                <w:szCs w:val="24"/>
              </w:rPr>
              <w:t>§ 14</w:t>
            </w:r>
          </w:p>
        </w:tc>
        <w:tc>
          <w:tcPr>
            <w:tcW w:w="7727" w:type="dxa"/>
          </w:tcPr>
          <w:p w:rsidR="00CD4718" w:rsidRPr="0064653C" w:rsidRDefault="00CD4718" w:rsidP="00CD4718">
            <w:pPr>
              <w:autoSpaceDE w:val="0"/>
              <w:autoSpaceDN w:val="0"/>
              <w:adjustRightInd w:val="0"/>
              <w:rPr>
                <w:szCs w:val="24"/>
              </w:rPr>
            </w:pPr>
            <w:r w:rsidRPr="0064653C">
              <w:rPr>
                <w:rFonts w:eastAsiaTheme="minorHAnsi"/>
                <w:b/>
                <w:bCs/>
                <w:color w:val="000000"/>
                <w:szCs w:val="24"/>
                <w:lang w:eastAsia="en-US"/>
              </w:rPr>
              <w:t>Övrigt</w:t>
            </w:r>
            <w:r w:rsidRPr="0064653C">
              <w:rPr>
                <w:rFonts w:eastAsiaTheme="minorHAnsi"/>
                <w:b/>
                <w:bCs/>
                <w:color w:val="000000"/>
                <w:szCs w:val="24"/>
                <w:lang w:eastAsia="en-US"/>
              </w:rPr>
              <w:br/>
            </w:r>
            <w:r w:rsidRPr="0064653C">
              <w:rPr>
                <w:szCs w:val="24"/>
              </w:rPr>
              <w:t xml:space="preserve">M-, SD-, KD- och L-ledamöterna anmälde förslag till utskottsinitiativ relaterat till beredningen av vårändringsbudgeten för 2022. </w:t>
            </w:r>
          </w:p>
          <w:p w:rsidR="00266621" w:rsidRPr="0064653C" w:rsidRDefault="00266621" w:rsidP="00CD4718">
            <w:pPr>
              <w:autoSpaceDE w:val="0"/>
              <w:autoSpaceDN w:val="0"/>
              <w:adjustRightInd w:val="0"/>
              <w:rPr>
                <w:szCs w:val="24"/>
              </w:rPr>
            </w:pPr>
          </w:p>
          <w:p w:rsidR="00266621" w:rsidRPr="0064653C" w:rsidRDefault="00126F53" w:rsidP="00CD4718">
            <w:pPr>
              <w:autoSpaceDE w:val="0"/>
              <w:autoSpaceDN w:val="0"/>
              <w:adjustRightInd w:val="0"/>
              <w:rPr>
                <w:szCs w:val="24"/>
              </w:rPr>
            </w:pPr>
            <w:r w:rsidRPr="0064653C">
              <w:rPr>
                <w:szCs w:val="24"/>
              </w:rPr>
              <w:t>Ordföranden konstaterade att det fanns stöd för förslaget.</w:t>
            </w:r>
          </w:p>
          <w:p w:rsidR="00CD4718" w:rsidRPr="0064653C" w:rsidRDefault="00CD4718" w:rsidP="00CD4718">
            <w:pPr>
              <w:outlineLvl w:val="0"/>
              <w:rPr>
                <w:b/>
                <w:szCs w:val="24"/>
              </w:rPr>
            </w:pPr>
          </w:p>
        </w:tc>
      </w:tr>
      <w:tr w:rsidR="00126F53" w:rsidRPr="0064653C" w:rsidTr="00CD4718">
        <w:tc>
          <w:tcPr>
            <w:tcW w:w="567" w:type="dxa"/>
          </w:tcPr>
          <w:p w:rsidR="00126F53" w:rsidRPr="0064653C" w:rsidRDefault="00126F53" w:rsidP="00CD4718">
            <w:pPr>
              <w:tabs>
                <w:tab w:val="left" w:pos="1701"/>
              </w:tabs>
              <w:rPr>
                <w:b/>
                <w:snapToGrid w:val="0"/>
                <w:szCs w:val="24"/>
              </w:rPr>
            </w:pPr>
            <w:bookmarkStart w:id="1" w:name="_Hlk103258682"/>
            <w:r w:rsidRPr="0064653C">
              <w:rPr>
                <w:b/>
                <w:snapToGrid w:val="0"/>
                <w:szCs w:val="24"/>
              </w:rPr>
              <w:t>§ 15</w:t>
            </w:r>
          </w:p>
        </w:tc>
        <w:tc>
          <w:tcPr>
            <w:tcW w:w="7727" w:type="dxa"/>
          </w:tcPr>
          <w:p w:rsidR="00126F53" w:rsidRPr="0064653C" w:rsidRDefault="001158D4" w:rsidP="00CD4718">
            <w:pPr>
              <w:autoSpaceDE w:val="0"/>
              <w:autoSpaceDN w:val="0"/>
              <w:adjustRightInd w:val="0"/>
              <w:rPr>
                <w:b/>
                <w:szCs w:val="24"/>
              </w:rPr>
            </w:pPr>
            <w:r w:rsidRPr="0064653C">
              <w:rPr>
                <w:b/>
                <w:szCs w:val="24"/>
              </w:rPr>
              <w:t>F</w:t>
            </w:r>
            <w:r w:rsidR="00126F53" w:rsidRPr="0064653C">
              <w:rPr>
                <w:b/>
                <w:szCs w:val="24"/>
              </w:rPr>
              <w:t>örslag till utskottsinitiativ relaterat till beredningen av vårändringsbudgeten för 2022</w:t>
            </w:r>
          </w:p>
          <w:p w:rsidR="001158D4" w:rsidRPr="0064653C" w:rsidRDefault="00126F53" w:rsidP="001158D4">
            <w:pPr>
              <w:autoSpaceDE w:val="0"/>
              <w:autoSpaceDN w:val="0"/>
              <w:adjustRightInd w:val="0"/>
              <w:rPr>
                <w:szCs w:val="24"/>
              </w:rPr>
            </w:pPr>
            <w:r w:rsidRPr="0064653C">
              <w:rPr>
                <w:rFonts w:eastAsiaTheme="minorHAnsi"/>
                <w:bCs/>
                <w:color w:val="000000"/>
                <w:szCs w:val="24"/>
                <w:lang w:eastAsia="en-US"/>
              </w:rPr>
              <w:t xml:space="preserve">Utskottet beslutade att ge </w:t>
            </w:r>
            <w:r w:rsidR="001158D4" w:rsidRPr="0064653C">
              <w:rPr>
                <w:rFonts w:eastAsiaTheme="minorHAnsi"/>
                <w:bCs/>
                <w:color w:val="000000"/>
                <w:szCs w:val="24"/>
                <w:lang w:eastAsia="en-US"/>
              </w:rPr>
              <w:t>skatteutskottet</w:t>
            </w:r>
            <w:r w:rsidRPr="0064653C">
              <w:rPr>
                <w:rFonts w:eastAsiaTheme="minorHAnsi"/>
                <w:bCs/>
                <w:color w:val="000000"/>
                <w:szCs w:val="24"/>
                <w:lang w:eastAsia="en-US"/>
              </w:rPr>
              <w:t xml:space="preserve">, </w:t>
            </w:r>
            <w:r w:rsidR="001158D4" w:rsidRPr="0064653C">
              <w:rPr>
                <w:szCs w:val="24"/>
              </w:rPr>
              <w:t>j</w:t>
            </w:r>
            <w:r w:rsidRPr="0064653C">
              <w:rPr>
                <w:szCs w:val="24"/>
              </w:rPr>
              <w:t>u</w:t>
            </w:r>
            <w:r w:rsidR="001158D4" w:rsidRPr="0064653C">
              <w:rPr>
                <w:szCs w:val="24"/>
              </w:rPr>
              <w:t>stitieutskottet</w:t>
            </w:r>
            <w:r w:rsidRPr="0064653C">
              <w:rPr>
                <w:szCs w:val="24"/>
              </w:rPr>
              <w:t xml:space="preserve">, </w:t>
            </w:r>
            <w:r w:rsidR="001158D4" w:rsidRPr="0064653C">
              <w:rPr>
                <w:szCs w:val="24"/>
              </w:rPr>
              <w:t>utrikesutskottet</w:t>
            </w:r>
            <w:r w:rsidRPr="0064653C">
              <w:rPr>
                <w:szCs w:val="24"/>
              </w:rPr>
              <w:t xml:space="preserve">, </w:t>
            </w:r>
            <w:r w:rsidR="001158D4" w:rsidRPr="0064653C">
              <w:rPr>
                <w:szCs w:val="24"/>
              </w:rPr>
              <w:t>f</w:t>
            </w:r>
            <w:r w:rsidRPr="0064653C">
              <w:rPr>
                <w:szCs w:val="24"/>
              </w:rPr>
              <w:t>ö</w:t>
            </w:r>
            <w:r w:rsidR="001158D4" w:rsidRPr="0064653C">
              <w:rPr>
                <w:szCs w:val="24"/>
              </w:rPr>
              <w:t>rsvarsutskottet</w:t>
            </w:r>
            <w:r w:rsidRPr="0064653C">
              <w:rPr>
                <w:szCs w:val="24"/>
              </w:rPr>
              <w:t xml:space="preserve">, </w:t>
            </w:r>
            <w:r w:rsidR="001158D4" w:rsidRPr="0064653C">
              <w:rPr>
                <w:szCs w:val="24"/>
              </w:rPr>
              <w:t>socialförsäkringsutskottet</w:t>
            </w:r>
            <w:r w:rsidR="0052371D" w:rsidRPr="0064653C">
              <w:rPr>
                <w:szCs w:val="24"/>
              </w:rPr>
              <w:t xml:space="preserve"> </w:t>
            </w:r>
            <w:r w:rsidRPr="0064653C">
              <w:rPr>
                <w:szCs w:val="24"/>
              </w:rPr>
              <w:t>och</w:t>
            </w:r>
            <w:r w:rsidR="001158D4" w:rsidRPr="0064653C">
              <w:rPr>
                <w:szCs w:val="24"/>
              </w:rPr>
              <w:t xml:space="preserve"> socialutskottet tillfälle att senast kl. 14.00 tisdagen den 31 maj 2022 yttra sig över förslag till utskottsinitiativ relaterat till beredningen av vårändringsbudgeten för 2022, enligt bilaga 3. </w:t>
            </w:r>
          </w:p>
          <w:p w:rsidR="001158D4" w:rsidRPr="0064653C" w:rsidRDefault="001158D4" w:rsidP="00CD4718">
            <w:pPr>
              <w:autoSpaceDE w:val="0"/>
              <w:autoSpaceDN w:val="0"/>
              <w:adjustRightInd w:val="0"/>
              <w:rPr>
                <w:rFonts w:eastAsiaTheme="minorHAnsi"/>
                <w:bCs/>
                <w:color w:val="000000"/>
                <w:szCs w:val="24"/>
                <w:lang w:eastAsia="en-US"/>
              </w:rPr>
            </w:pPr>
          </w:p>
          <w:p w:rsidR="001158D4" w:rsidRPr="0064653C" w:rsidRDefault="001158D4" w:rsidP="001158D4">
            <w:pPr>
              <w:autoSpaceDE w:val="0"/>
              <w:autoSpaceDN w:val="0"/>
              <w:adjustRightInd w:val="0"/>
              <w:rPr>
                <w:rFonts w:eastAsiaTheme="minorHAnsi"/>
                <w:bCs/>
                <w:color w:val="000000"/>
                <w:szCs w:val="24"/>
                <w:lang w:eastAsia="en-US"/>
              </w:rPr>
            </w:pPr>
            <w:r w:rsidRPr="0064653C">
              <w:rPr>
                <w:rFonts w:eastAsiaTheme="minorHAnsi"/>
                <w:bCs/>
                <w:color w:val="000000"/>
                <w:szCs w:val="24"/>
                <w:lang w:eastAsia="en-US"/>
              </w:rPr>
              <w:t xml:space="preserve">Denna paragraf förklarades omedelbart justerad. </w:t>
            </w:r>
          </w:p>
          <w:p w:rsidR="00126F53" w:rsidRPr="0064653C" w:rsidRDefault="00126F53" w:rsidP="001158D4">
            <w:pPr>
              <w:autoSpaceDE w:val="0"/>
              <w:autoSpaceDN w:val="0"/>
              <w:adjustRightInd w:val="0"/>
              <w:rPr>
                <w:rFonts w:eastAsiaTheme="minorHAnsi"/>
                <w:b/>
                <w:bCs/>
                <w:color w:val="000000"/>
                <w:szCs w:val="24"/>
                <w:lang w:eastAsia="en-US"/>
              </w:rPr>
            </w:pPr>
          </w:p>
        </w:tc>
      </w:tr>
      <w:bookmarkEnd w:id="1"/>
      <w:tr w:rsidR="00CD4718" w:rsidRPr="0064653C" w:rsidTr="00CD4718">
        <w:trPr>
          <w:trHeight w:val="707"/>
        </w:trPr>
        <w:tc>
          <w:tcPr>
            <w:tcW w:w="567" w:type="dxa"/>
          </w:tcPr>
          <w:p w:rsidR="00CD4718" w:rsidRPr="0064653C" w:rsidRDefault="00CD4718" w:rsidP="00CD4718">
            <w:pPr>
              <w:tabs>
                <w:tab w:val="left" w:pos="1701"/>
              </w:tabs>
              <w:rPr>
                <w:b/>
                <w:snapToGrid w:val="0"/>
                <w:szCs w:val="24"/>
              </w:rPr>
            </w:pPr>
            <w:r w:rsidRPr="0064653C">
              <w:rPr>
                <w:b/>
                <w:snapToGrid w:val="0"/>
                <w:szCs w:val="24"/>
              </w:rPr>
              <w:lastRenderedPageBreak/>
              <w:t>§ 1</w:t>
            </w:r>
            <w:r w:rsidR="00126F53" w:rsidRPr="0064653C">
              <w:rPr>
                <w:b/>
                <w:snapToGrid w:val="0"/>
                <w:szCs w:val="24"/>
              </w:rPr>
              <w:t>6</w:t>
            </w:r>
          </w:p>
        </w:tc>
        <w:tc>
          <w:tcPr>
            <w:tcW w:w="7727" w:type="dxa"/>
          </w:tcPr>
          <w:p w:rsidR="00CD4718" w:rsidRPr="0064653C" w:rsidRDefault="00CD4718" w:rsidP="00CD4718">
            <w:pPr>
              <w:outlineLvl w:val="0"/>
              <w:rPr>
                <w:b/>
                <w:bCs/>
                <w:szCs w:val="24"/>
              </w:rPr>
            </w:pPr>
            <w:r w:rsidRPr="0064653C">
              <w:rPr>
                <w:b/>
                <w:bCs/>
                <w:szCs w:val="24"/>
              </w:rPr>
              <w:t>Nästa sammanträde</w:t>
            </w:r>
          </w:p>
          <w:p w:rsidR="00CD4718" w:rsidRPr="0064653C" w:rsidRDefault="00CD4718" w:rsidP="00CD4718">
            <w:pPr>
              <w:outlineLvl w:val="0"/>
              <w:rPr>
                <w:bCs/>
                <w:szCs w:val="24"/>
              </w:rPr>
            </w:pPr>
            <w:r w:rsidRPr="0064653C">
              <w:rPr>
                <w:bCs/>
                <w:szCs w:val="24"/>
              </w:rPr>
              <w:t>Öppen utfrågning tisdag den 17 maj kl. 10.00.</w:t>
            </w:r>
            <w:r w:rsidRPr="0064653C">
              <w:rPr>
                <w:bCs/>
                <w:szCs w:val="24"/>
              </w:rPr>
              <w:br/>
            </w:r>
            <w:r w:rsidRPr="0064653C">
              <w:rPr>
                <w:bCs/>
                <w:szCs w:val="24"/>
              </w:rPr>
              <w:br/>
            </w:r>
          </w:p>
        </w:tc>
      </w:tr>
      <w:tr w:rsidR="00CD4718" w:rsidRPr="0064653C" w:rsidTr="00CD4718">
        <w:tc>
          <w:tcPr>
            <w:tcW w:w="567" w:type="dxa"/>
          </w:tcPr>
          <w:p w:rsidR="00CD4718" w:rsidRPr="0064653C" w:rsidRDefault="00CD4718" w:rsidP="00CD4718">
            <w:pPr>
              <w:tabs>
                <w:tab w:val="left" w:pos="1701"/>
              </w:tabs>
              <w:rPr>
                <w:b/>
                <w:snapToGrid w:val="0"/>
                <w:szCs w:val="24"/>
              </w:rPr>
            </w:pPr>
          </w:p>
          <w:p w:rsidR="00CD4718" w:rsidRPr="0064653C" w:rsidRDefault="00CD4718" w:rsidP="00CD4718">
            <w:pPr>
              <w:tabs>
                <w:tab w:val="left" w:pos="1701"/>
              </w:tabs>
              <w:rPr>
                <w:b/>
                <w:snapToGrid w:val="0"/>
                <w:szCs w:val="24"/>
              </w:rPr>
            </w:pPr>
          </w:p>
          <w:p w:rsidR="00CD4718" w:rsidRPr="0064653C" w:rsidRDefault="00CD4718" w:rsidP="00CD4718">
            <w:pPr>
              <w:tabs>
                <w:tab w:val="left" w:pos="1701"/>
              </w:tabs>
              <w:rPr>
                <w:b/>
                <w:snapToGrid w:val="0"/>
                <w:szCs w:val="24"/>
              </w:rPr>
            </w:pPr>
          </w:p>
          <w:p w:rsidR="00CD4718" w:rsidRPr="0064653C" w:rsidRDefault="00CD4718" w:rsidP="00CD4718">
            <w:pPr>
              <w:tabs>
                <w:tab w:val="left" w:pos="1701"/>
              </w:tabs>
              <w:rPr>
                <w:b/>
                <w:snapToGrid w:val="0"/>
                <w:szCs w:val="24"/>
              </w:rPr>
            </w:pPr>
          </w:p>
        </w:tc>
        <w:tc>
          <w:tcPr>
            <w:tcW w:w="7727" w:type="dxa"/>
          </w:tcPr>
          <w:p w:rsidR="00CD4718" w:rsidRPr="0064653C" w:rsidRDefault="00CD4718" w:rsidP="00CD4718">
            <w:pPr>
              <w:outlineLvl w:val="0"/>
              <w:rPr>
                <w:bCs/>
                <w:szCs w:val="24"/>
              </w:rPr>
            </w:pPr>
          </w:p>
          <w:p w:rsidR="00CD4718" w:rsidRPr="0064653C" w:rsidRDefault="00CD4718" w:rsidP="00CD4718">
            <w:pPr>
              <w:outlineLvl w:val="0"/>
              <w:rPr>
                <w:bCs/>
                <w:szCs w:val="24"/>
              </w:rPr>
            </w:pPr>
            <w:bookmarkStart w:id="2" w:name="_GoBack"/>
            <w:bookmarkEnd w:id="2"/>
          </w:p>
          <w:p w:rsidR="00CD4718" w:rsidRPr="0064653C" w:rsidRDefault="00CD4718" w:rsidP="00CD4718">
            <w:pPr>
              <w:outlineLvl w:val="0"/>
              <w:rPr>
                <w:bCs/>
                <w:szCs w:val="24"/>
              </w:rPr>
            </w:pPr>
          </w:p>
          <w:p w:rsidR="00CD4718" w:rsidRPr="0064653C" w:rsidRDefault="00CD4718" w:rsidP="00CD4718">
            <w:pPr>
              <w:outlineLvl w:val="0"/>
              <w:rPr>
                <w:bCs/>
                <w:szCs w:val="24"/>
              </w:rPr>
            </w:pPr>
            <w:r w:rsidRPr="0064653C">
              <w:rPr>
                <w:bCs/>
                <w:szCs w:val="24"/>
              </w:rPr>
              <w:t>Justeras</w:t>
            </w:r>
          </w:p>
          <w:p w:rsidR="00CD4718" w:rsidRPr="0064653C" w:rsidRDefault="00CD4718" w:rsidP="00CD4718">
            <w:pPr>
              <w:outlineLvl w:val="0"/>
              <w:rPr>
                <w:bCs/>
                <w:szCs w:val="24"/>
              </w:rPr>
            </w:pPr>
          </w:p>
          <w:p w:rsidR="00CD4718" w:rsidRPr="0064653C" w:rsidRDefault="0064653C" w:rsidP="00CD4718">
            <w:pPr>
              <w:outlineLvl w:val="0"/>
              <w:rPr>
                <w:bCs/>
                <w:szCs w:val="24"/>
              </w:rPr>
            </w:pPr>
            <w:r>
              <w:rPr>
                <w:bCs/>
                <w:szCs w:val="24"/>
              </w:rPr>
              <w:t>Åsa Westlund</w:t>
            </w:r>
          </w:p>
          <w:p w:rsidR="00CD4718" w:rsidRPr="0064653C" w:rsidRDefault="00CD4718" w:rsidP="00CD4718">
            <w:pPr>
              <w:outlineLvl w:val="0"/>
              <w:rPr>
                <w:bCs/>
                <w:szCs w:val="24"/>
              </w:rPr>
            </w:pPr>
          </w:p>
          <w:p w:rsidR="00CD4718" w:rsidRPr="0064653C" w:rsidRDefault="00CD4718" w:rsidP="00CD4718">
            <w:pPr>
              <w:outlineLvl w:val="0"/>
              <w:rPr>
                <w:bCs/>
                <w:szCs w:val="24"/>
              </w:rPr>
            </w:pPr>
          </w:p>
        </w:tc>
      </w:tr>
    </w:tbl>
    <w:p w:rsidR="001158D4" w:rsidRPr="0064653C" w:rsidRDefault="001158D4" w:rsidP="004C6601">
      <w:pPr>
        <w:pStyle w:val="Sidhuvud"/>
        <w:tabs>
          <w:tab w:val="clear" w:pos="4536"/>
          <w:tab w:val="left" w:pos="3402"/>
          <w:tab w:val="left" w:pos="5529"/>
        </w:tabs>
        <w:ind w:left="-851"/>
        <w:rPr>
          <w:szCs w:val="24"/>
        </w:rPr>
      </w:pPr>
    </w:p>
    <w:p w:rsidR="001158D4" w:rsidRPr="0064653C" w:rsidRDefault="001158D4">
      <w:pPr>
        <w:widowControl/>
        <w:rPr>
          <w:szCs w:val="24"/>
        </w:rPr>
      </w:pPr>
      <w:r w:rsidRPr="0064653C">
        <w:rPr>
          <w:szCs w:val="24"/>
        </w:rPr>
        <w:br w:type="page"/>
      </w:r>
    </w:p>
    <w:p w:rsidR="004C6601" w:rsidRPr="0064653C" w:rsidRDefault="004C6601" w:rsidP="004C6601">
      <w:pPr>
        <w:pStyle w:val="Sidhuvud"/>
        <w:tabs>
          <w:tab w:val="clear" w:pos="4536"/>
          <w:tab w:val="left" w:pos="3402"/>
          <w:tab w:val="left" w:pos="5529"/>
        </w:tabs>
        <w:ind w:left="-851"/>
        <w:rPr>
          <w:szCs w:val="24"/>
        </w:rPr>
      </w:pPr>
      <w:r w:rsidRPr="0064653C">
        <w:rPr>
          <w:szCs w:val="24"/>
        </w:rPr>
        <w:lastRenderedPageBreak/>
        <w:t>Närvaro och voteringsförteckning</w:t>
      </w:r>
      <w:r w:rsidRPr="0064653C">
        <w:rPr>
          <w:caps/>
          <w:szCs w:val="24"/>
        </w:rPr>
        <w:tab/>
      </w:r>
      <w:r w:rsidR="0064653C">
        <w:rPr>
          <w:szCs w:val="24"/>
        </w:rPr>
        <w:t xml:space="preserve">                    </w:t>
      </w:r>
      <w:r w:rsidRPr="0064653C">
        <w:rPr>
          <w:szCs w:val="24"/>
        </w:rPr>
        <w:t>Bilaga 1 till protokoll 20</w:t>
      </w:r>
      <w:r w:rsidR="00914E3E" w:rsidRPr="0064653C">
        <w:rPr>
          <w:szCs w:val="24"/>
        </w:rPr>
        <w:t>21</w:t>
      </w:r>
      <w:r w:rsidRPr="0064653C">
        <w:rPr>
          <w:szCs w:val="24"/>
        </w:rPr>
        <w:t>/</w:t>
      </w:r>
      <w:r w:rsidR="00917732" w:rsidRPr="0064653C">
        <w:rPr>
          <w:szCs w:val="24"/>
        </w:rPr>
        <w:t>2</w:t>
      </w:r>
      <w:r w:rsidR="00914E3E" w:rsidRPr="0064653C">
        <w:rPr>
          <w:szCs w:val="24"/>
        </w:rPr>
        <w:t>2</w:t>
      </w:r>
      <w:r w:rsidRPr="0064653C">
        <w:rPr>
          <w:szCs w:val="24"/>
        </w:rPr>
        <w:t>:</w:t>
      </w:r>
      <w:r w:rsidR="00900C13" w:rsidRPr="0064653C">
        <w:rPr>
          <w:szCs w:val="24"/>
        </w:rPr>
        <w:t>64</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64653C" w:rsidRDefault="00900C13" w:rsidP="006B55D9">
            <w:pPr>
              <w:spacing w:line="360" w:lineRule="auto"/>
              <w:rPr>
                <w:sz w:val="22"/>
                <w:szCs w:val="22"/>
              </w:rPr>
            </w:pPr>
            <w:r w:rsidRPr="0064653C">
              <w:rPr>
                <w:sz w:val="22"/>
                <w:szCs w:val="22"/>
              </w:rPr>
              <w:t>§1</w:t>
            </w:r>
            <w:r w:rsidR="0065688B">
              <w:rPr>
                <w:sz w:val="22"/>
                <w:szCs w:val="22"/>
              </w:rPr>
              <w:t>-13</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64653C" w:rsidRDefault="0065688B" w:rsidP="006B55D9">
            <w:pPr>
              <w:rPr>
                <w:sz w:val="22"/>
                <w:szCs w:val="22"/>
              </w:rPr>
            </w:pPr>
            <w:r>
              <w:rPr>
                <w:sz w:val="22"/>
                <w:szCs w:val="22"/>
              </w:rPr>
              <w:t>§14-16</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pacing w:val="4"/>
                <w:kern w:val="16"/>
                <w:sz w:val="22"/>
                <w:szCs w:val="22"/>
              </w:rPr>
            </w:pPr>
            <w:r w:rsidRPr="0064653C">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1D4484" w:rsidP="006B55D9">
            <w:pPr>
              <w:rPr>
                <w:sz w:val="22"/>
                <w:szCs w:val="22"/>
              </w:rPr>
            </w:pPr>
            <w:r w:rsidRPr="0064653C">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1D4484" w:rsidP="006B55D9">
            <w:pPr>
              <w:rPr>
                <w:sz w:val="22"/>
                <w:szCs w:val="22"/>
              </w:rPr>
            </w:pPr>
            <w:r w:rsidRPr="0064653C">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r w:rsidRPr="0064653C">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r w:rsidRPr="0064653C">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r w:rsidRPr="0064653C">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r w:rsidRPr="0064653C">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r w:rsidRPr="0064653C">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r w:rsidRPr="0064653C">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r w:rsidRPr="0064653C">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r w:rsidRPr="0064653C">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r w:rsidRPr="0064653C">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r w:rsidRPr="0064653C">
              <w:rPr>
                <w:sz w:val="22"/>
                <w:szCs w:val="22"/>
              </w:rPr>
              <w:t>V</w:t>
            </w: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b/>
                <w:i/>
                <w:sz w:val="22"/>
                <w:szCs w:val="22"/>
              </w:rPr>
            </w:pPr>
            <w:r w:rsidRPr="0064653C">
              <w:rPr>
                <w:snapToGrid w:val="0"/>
                <w:sz w:val="22"/>
                <w:szCs w:val="22"/>
              </w:rPr>
              <w:t xml:space="preserve"> Åsa Westlund (S) </w:t>
            </w:r>
            <w:r w:rsidRPr="0064653C">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70"/>
              </w:tabs>
              <w:ind w:left="-354" w:firstLine="426"/>
              <w:rPr>
                <w:snapToGrid w:val="0"/>
                <w:sz w:val="22"/>
                <w:szCs w:val="22"/>
              </w:rPr>
            </w:pPr>
            <w:r w:rsidRPr="0064653C">
              <w:rPr>
                <w:snapToGrid w:val="0"/>
                <w:sz w:val="22"/>
                <w:szCs w:val="22"/>
              </w:rPr>
              <w:t xml:space="preserve">Elisabeth Svantesson (M) </w:t>
            </w:r>
            <w:r w:rsidRPr="0064653C">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70"/>
              </w:tabs>
              <w:rPr>
                <w:snapToGrid w:val="0"/>
                <w:sz w:val="22"/>
                <w:szCs w:val="22"/>
              </w:rPr>
            </w:pPr>
            <w:r w:rsidRPr="0064653C">
              <w:rPr>
                <w:snapToGrid w:val="0"/>
                <w:sz w:val="22"/>
                <w:szCs w:val="22"/>
              </w:rPr>
              <w:t xml:space="preserve"> Gunilla Carlsson (S) </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70"/>
              </w:tabs>
              <w:rPr>
                <w:snapToGrid w:val="0"/>
                <w:sz w:val="22"/>
                <w:szCs w:val="22"/>
              </w:rPr>
            </w:pPr>
            <w:r w:rsidRPr="0064653C">
              <w:rPr>
                <w:snapToGrid w:val="0"/>
                <w:sz w:val="22"/>
                <w:szCs w:val="22"/>
              </w:rPr>
              <w:t xml:space="preserve"> Edward Riedl (M)</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70"/>
              </w:tabs>
              <w:rPr>
                <w:snapToGrid w:val="0"/>
                <w:sz w:val="22"/>
                <w:szCs w:val="22"/>
              </w:rPr>
            </w:pPr>
            <w:r w:rsidRPr="0064653C">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356"/>
              </w:tabs>
              <w:rPr>
                <w:snapToGrid w:val="0"/>
                <w:sz w:val="22"/>
                <w:szCs w:val="22"/>
              </w:rPr>
            </w:pPr>
            <w:r w:rsidRPr="0064653C">
              <w:rPr>
                <w:spacing w:val="4"/>
                <w:kern w:val="16"/>
                <w:sz w:val="22"/>
                <w:szCs w:val="22"/>
              </w:rPr>
              <w:t xml:space="preserve"> </w:t>
            </w:r>
            <w:r w:rsidRPr="0064653C">
              <w:rPr>
                <w:snapToGrid w:val="0"/>
                <w:sz w:val="22"/>
                <w:szCs w:val="22"/>
                <w:lang w:val="en-US"/>
              </w:rPr>
              <w:t xml:space="preserve">Adnan Dibrani </w:t>
            </w:r>
            <w:r w:rsidRPr="0064653C">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70"/>
              </w:tabs>
              <w:ind w:left="-354" w:firstLine="426"/>
              <w:rPr>
                <w:snapToGrid w:val="0"/>
                <w:sz w:val="22"/>
                <w:szCs w:val="22"/>
              </w:rPr>
            </w:pPr>
            <w:r w:rsidRPr="0064653C">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497"/>
              </w:tabs>
              <w:ind w:left="72"/>
              <w:rPr>
                <w:snapToGrid w:val="0"/>
                <w:sz w:val="22"/>
                <w:szCs w:val="22"/>
              </w:rPr>
            </w:pPr>
            <w:r w:rsidRPr="0064653C">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497"/>
              </w:tabs>
              <w:ind w:left="72"/>
              <w:rPr>
                <w:snapToGrid w:val="0"/>
                <w:sz w:val="22"/>
                <w:szCs w:val="22"/>
              </w:rPr>
            </w:pPr>
            <w:r w:rsidRPr="0064653C">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497"/>
              </w:tabs>
              <w:ind w:left="72"/>
              <w:rPr>
                <w:snapToGrid w:val="0"/>
                <w:sz w:val="22"/>
                <w:szCs w:val="22"/>
              </w:rPr>
            </w:pPr>
            <w:r w:rsidRPr="0064653C">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497"/>
              </w:tabs>
              <w:ind w:left="72"/>
              <w:rPr>
                <w:snapToGrid w:val="0"/>
                <w:sz w:val="22"/>
                <w:szCs w:val="22"/>
              </w:rPr>
            </w:pPr>
            <w:r w:rsidRPr="0064653C">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497"/>
              </w:tabs>
              <w:ind w:left="72"/>
              <w:rPr>
                <w:snapToGrid w:val="0"/>
                <w:sz w:val="22"/>
                <w:szCs w:val="22"/>
              </w:rPr>
            </w:pPr>
            <w:r w:rsidRPr="0064653C">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497"/>
              </w:tabs>
              <w:ind w:left="72"/>
              <w:rPr>
                <w:snapToGrid w:val="0"/>
                <w:sz w:val="22"/>
                <w:szCs w:val="22"/>
              </w:rPr>
            </w:pPr>
            <w:r w:rsidRPr="0064653C">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497"/>
              </w:tabs>
              <w:ind w:left="72"/>
              <w:rPr>
                <w:snapToGrid w:val="0"/>
                <w:sz w:val="22"/>
                <w:szCs w:val="22"/>
              </w:rPr>
            </w:pPr>
            <w:r w:rsidRPr="0064653C">
              <w:rPr>
                <w:snapToGrid w:val="0"/>
                <w:sz w:val="22"/>
                <w:szCs w:val="22"/>
              </w:rPr>
              <w:t>Mats Persson (L)</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497"/>
              </w:tabs>
              <w:ind w:left="72"/>
              <w:rPr>
                <w:snapToGrid w:val="0"/>
                <w:sz w:val="22"/>
                <w:szCs w:val="22"/>
              </w:rPr>
            </w:pPr>
            <w:r w:rsidRPr="0064653C">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497"/>
              </w:tabs>
              <w:ind w:left="72"/>
              <w:rPr>
                <w:snapToGrid w:val="0"/>
                <w:sz w:val="22"/>
                <w:szCs w:val="22"/>
              </w:rPr>
            </w:pPr>
            <w:r w:rsidRPr="0064653C">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497"/>
              </w:tabs>
              <w:ind w:left="72"/>
              <w:rPr>
                <w:snapToGrid w:val="0"/>
                <w:sz w:val="22"/>
                <w:szCs w:val="22"/>
              </w:rPr>
            </w:pPr>
            <w:r w:rsidRPr="0064653C">
              <w:rPr>
                <w:snapToGrid w:val="0"/>
                <w:sz w:val="22"/>
                <w:szCs w:val="22"/>
              </w:rPr>
              <w:t>Boriana Åberg (M)</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02748E" w:rsidRPr="0064653C" w:rsidTr="006B55D9">
        <w:tc>
          <w:tcPr>
            <w:tcW w:w="4395"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spacing w:line="360" w:lineRule="auto"/>
              <w:rPr>
                <w:b/>
                <w:spacing w:val="4"/>
                <w:kern w:val="16"/>
                <w:sz w:val="22"/>
                <w:szCs w:val="22"/>
              </w:rPr>
            </w:pPr>
            <w:r w:rsidRPr="0064653C">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64653C" w:rsidRDefault="0002748E" w:rsidP="0002748E">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873755" w:rsidP="006B55D9">
            <w:pPr>
              <w:numPr>
                <w:ilvl w:val="0"/>
                <w:numId w:val="3"/>
              </w:numPr>
              <w:tabs>
                <w:tab w:val="clear" w:pos="360"/>
                <w:tab w:val="left" w:pos="0"/>
              </w:tabs>
              <w:ind w:hanging="720"/>
              <w:rPr>
                <w:snapToGrid w:val="0"/>
                <w:sz w:val="22"/>
                <w:szCs w:val="22"/>
              </w:rPr>
            </w:pPr>
            <w:r w:rsidRPr="0064653C">
              <w:rPr>
                <w:snapToGrid w:val="0"/>
                <w:sz w:val="22"/>
                <w:szCs w:val="22"/>
              </w:rPr>
              <w:t xml:space="preserve"> Joakim Sandell</w:t>
            </w:r>
            <w:r w:rsidR="00540593" w:rsidRPr="0064653C">
              <w:rPr>
                <w:snapToGrid w:val="0"/>
                <w:sz w:val="22"/>
                <w:szCs w:val="22"/>
              </w:rPr>
              <w:t xml:space="preserve"> </w:t>
            </w:r>
            <w:r w:rsidR="004C6601" w:rsidRPr="0064653C">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napToGrid w:val="0"/>
                <w:sz w:val="22"/>
                <w:szCs w:val="22"/>
              </w:rPr>
            </w:pPr>
            <w:r w:rsidRPr="0064653C">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356"/>
              </w:tabs>
              <w:rPr>
                <w:snapToGrid w:val="0"/>
                <w:sz w:val="22"/>
                <w:szCs w:val="22"/>
              </w:rPr>
            </w:pPr>
            <w:r w:rsidRPr="0064653C">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1701"/>
              </w:tabs>
              <w:rPr>
                <w:snapToGrid w:val="0"/>
                <w:sz w:val="22"/>
                <w:szCs w:val="22"/>
                <w:lang w:val="en-US"/>
              </w:rPr>
            </w:pPr>
            <w:r w:rsidRPr="0064653C">
              <w:rPr>
                <w:spacing w:val="4"/>
                <w:kern w:val="16"/>
                <w:sz w:val="22"/>
                <w:szCs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1701"/>
              </w:tabs>
              <w:rPr>
                <w:snapToGrid w:val="0"/>
                <w:sz w:val="22"/>
                <w:szCs w:val="22"/>
                <w:lang w:val="en-US"/>
              </w:rPr>
            </w:pPr>
            <w:r w:rsidRPr="0064653C">
              <w:rPr>
                <w:snapToGrid w:val="0"/>
                <w:sz w:val="22"/>
                <w:szCs w:val="22"/>
                <w:lang w:val="en-US"/>
              </w:rPr>
              <w:t xml:space="preserve"> </w:t>
            </w:r>
            <w:r w:rsidRPr="0064653C">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1701"/>
              </w:tabs>
              <w:rPr>
                <w:snapToGrid w:val="0"/>
                <w:sz w:val="22"/>
                <w:szCs w:val="22"/>
                <w:lang w:val="en-US"/>
              </w:rPr>
            </w:pPr>
            <w:r w:rsidRPr="0064653C">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1701"/>
              </w:tabs>
              <w:rPr>
                <w:snapToGrid w:val="0"/>
                <w:sz w:val="22"/>
                <w:szCs w:val="22"/>
                <w:lang w:val="en-US"/>
              </w:rPr>
            </w:pPr>
            <w:r w:rsidRPr="0064653C">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F3496A" w:rsidP="0065688B">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1701"/>
              </w:tabs>
              <w:rPr>
                <w:snapToGrid w:val="0"/>
                <w:sz w:val="22"/>
                <w:szCs w:val="22"/>
                <w:lang w:val="en-US"/>
              </w:rPr>
            </w:pPr>
            <w:r w:rsidRPr="0064653C">
              <w:rPr>
                <w:snapToGrid w:val="0"/>
                <w:sz w:val="22"/>
                <w:szCs w:val="22"/>
                <w:lang w:val="en-US"/>
              </w:rPr>
              <w:t xml:space="preserve"> Ulla Andersson (V)</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1701"/>
              </w:tabs>
              <w:rPr>
                <w:snapToGrid w:val="0"/>
                <w:sz w:val="22"/>
                <w:szCs w:val="22"/>
                <w:lang w:val="en-US"/>
              </w:rPr>
            </w:pPr>
            <w:r w:rsidRPr="0064653C">
              <w:rPr>
                <w:snapToGrid w:val="0"/>
                <w:sz w:val="22"/>
                <w:szCs w:val="22"/>
                <w:lang w:val="en-US"/>
              </w:rPr>
              <w:t xml:space="preserve"> </w:t>
            </w:r>
            <w:r w:rsidRPr="0064653C">
              <w:rPr>
                <w:snapToGrid w:val="0"/>
                <w:sz w:val="22"/>
                <w:szCs w:val="22"/>
              </w:rPr>
              <w:t>Hanif Bali (M)</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1701"/>
              </w:tabs>
              <w:rPr>
                <w:snapToGrid w:val="0"/>
                <w:sz w:val="22"/>
                <w:szCs w:val="22"/>
              </w:rPr>
            </w:pPr>
            <w:r w:rsidRPr="0064653C">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65688B" w:rsidRPr="0064653C" w:rsidTr="006B55D9">
        <w:tc>
          <w:tcPr>
            <w:tcW w:w="4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tabs>
                <w:tab w:val="left" w:pos="1701"/>
              </w:tabs>
              <w:rPr>
                <w:snapToGrid w:val="0"/>
                <w:sz w:val="22"/>
                <w:szCs w:val="22"/>
              </w:rPr>
            </w:pPr>
            <w:r w:rsidRPr="0064653C">
              <w:rPr>
                <w:snapToGrid w:val="0"/>
                <w:sz w:val="22"/>
                <w:szCs w:val="22"/>
              </w:rPr>
              <w:t xml:space="preserve"> Mubarik Mohamed Abdirahman (S)</w:t>
            </w:r>
          </w:p>
        </w:tc>
        <w:tc>
          <w:tcPr>
            <w:tcW w:w="488"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r w:rsidRPr="0064653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5688B" w:rsidRPr="0064653C" w:rsidRDefault="0065688B" w:rsidP="0065688B">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1701"/>
              </w:tabs>
              <w:rPr>
                <w:snapToGrid w:val="0"/>
                <w:sz w:val="22"/>
                <w:szCs w:val="22"/>
              </w:rPr>
            </w:pPr>
            <w:r w:rsidRPr="0064653C">
              <w:rPr>
                <w:snapToGrid w:val="0"/>
                <w:sz w:val="22"/>
                <w:szCs w:val="22"/>
              </w:rPr>
              <w:t xml:space="preserve"> </w:t>
            </w:r>
            <w:r w:rsidR="00617AB2" w:rsidRPr="0064653C">
              <w:rPr>
                <w:snapToGrid w:val="0"/>
                <w:sz w:val="22"/>
                <w:szCs w:val="22"/>
              </w:rPr>
              <w:t>Robert Halef</w:t>
            </w:r>
            <w:r w:rsidRPr="0064653C">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1701"/>
              </w:tabs>
              <w:rPr>
                <w:snapToGrid w:val="0"/>
                <w:sz w:val="22"/>
                <w:szCs w:val="22"/>
              </w:rPr>
            </w:pPr>
            <w:r w:rsidRPr="0064653C">
              <w:rPr>
                <w:snapToGrid w:val="0"/>
                <w:sz w:val="22"/>
                <w:szCs w:val="22"/>
              </w:rPr>
              <w:t xml:space="preserve"> 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1701"/>
              </w:tabs>
              <w:rPr>
                <w:snapToGrid w:val="0"/>
                <w:sz w:val="22"/>
                <w:szCs w:val="22"/>
              </w:rPr>
            </w:pPr>
            <w:r w:rsidRPr="0064653C">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1701"/>
              </w:tabs>
              <w:rPr>
                <w:snapToGrid w:val="0"/>
                <w:sz w:val="22"/>
                <w:szCs w:val="22"/>
              </w:rPr>
            </w:pPr>
            <w:r w:rsidRPr="0064653C">
              <w:rPr>
                <w:snapToGrid w:val="0"/>
                <w:sz w:val="22"/>
                <w:szCs w:val="22"/>
              </w:rPr>
              <w:t xml:space="preserve"> </w:t>
            </w:r>
            <w:r w:rsidR="00617AB2" w:rsidRPr="0064653C">
              <w:rPr>
                <w:snapToGrid w:val="0"/>
                <w:sz w:val="22"/>
                <w:szCs w:val="22"/>
              </w:rPr>
              <w:t>Staffan Eklöf</w:t>
            </w:r>
            <w:r w:rsidR="00540593" w:rsidRPr="0064653C">
              <w:rPr>
                <w:snapToGrid w:val="0"/>
                <w:sz w:val="22"/>
                <w:szCs w:val="22"/>
              </w:rPr>
              <w:t xml:space="preserve"> </w:t>
            </w:r>
            <w:r w:rsidRPr="0064653C">
              <w:rPr>
                <w:snapToGrid w:val="0"/>
                <w:sz w:val="22"/>
                <w:szCs w:val="22"/>
              </w:rPr>
              <w:t>(SD)</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1701"/>
              </w:tabs>
              <w:rPr>
                <w:snapToGrid w:val="0"/>
                <w:sz w:val="22"/>
                <w:szCs w:val="22"/>
              </w:rPr>
            </w:pPr>
            <w:r w:rsidRPr="0064653C">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1701"/>
              </w:tabs>
              <w:rPr>
                <w:snapToGrid w:val="0"/>
                <w:sz w:val="22"/>
                <w:szCs w:val="22"/>
              </w:rPr>
            </w:pPr>
            <w:r w:rsidRPr="0064653C">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497"/>
              </w:tabs>
              <w:rPr>
                <w:snapToGrid w:val="0"/>
                <w:sz w:val="22"/>
                <w:szCs w:val="22"/>
              </w:rPr>
            </w:pPr>
            <w:r w:rsidRPr="0064653C">
              <w:rPr>
                <w:snapToGrid w:val="0"/>
                <w:sz w:val="22"/>
                <w:szCs w:val="22"/>
              </w:rPr>
              <w:t xml:space="preserve"> </w:t>
            </w:r>
            <w:r w:rsidR="007826B0" w:rsidRPr="0064653C">
              <w:rPr>
                <w:snapToGrid w:val="0"/>
                <w:sz w:val="22"/>
                <w:szCs w:val="22"/>
              </w:rPr>
              <w:t>Ida Gabrielsson</w:t>
            </w:r>
            <w:r w:rsidRPr="0064653C">
              <w:rPr>
                <w:snapToGrid w:val="0"/>
                <w:sz w:val="22"/>
                <w:szCs w:val="22"/>
              </w:rPr>
              <w:t xml:space="preserve"> (</w:t>
            </w:r>
            <w:r w:rsidR="007826B0" w:rsidRPr="0064653C">
              <w:rPr>
                <w:snapToGrid w:val="0"/>
                <w:sz w:val="22"/>
                <w:szCs w:val="22"/>
              </w:rPr>
              <w:t>V</w:t>
            </w:r>
            <w:r w:rsidRPr="0064653C">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497"/>
              </w:tabs>
              <w:rPr>
                <w:snapToGrid w:val="0"/>
                <w:sz w:val="22"/>
                <w:szCs w:val="22"/>
              </w:rPr>
            </w:pPr>
            <w:r w:rsidRPr="0064653C">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497"/>
              </w:tabs>
              <w:rPr>
                <w:snapToGrid w:val="0"/>
                <w:sz w:val="22"/>
                <w:szCs w:val="22"/>
              </w:rPr>
            </w:pPr>
            <w:r w:rsidRPr="0064653C">
              <w:rPr>
                <w:snapToGrid w:val="0"/>
                <w:sz w:val="22"/>
                <w:szCs w:val="22"/>
              </w:rPr>
              <w:t xml:space="preserve"> </w:t>
            </w:r>
            <w:r w:rsidR="00917732" w:rsidRPr="0064653C">
              <w:rPr>
                <w:snapToGrid w:val="0"/>
                <w:sz w:val="22"/>
                <w:szCs w:val="22"/>
              </w:rPr>
              <w:t xml:space="preserve">Johan Pehrson </w:t>
            </w:r>
            <w:r w:rsidRPr="0064653C">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497"/>
              </w:tabs>
              <w:rPr>
                <w:snapToGrid w:val="0"/>
                <w:sz w:val="22"/>
                <w:szCs w:val="22"/>
              </w:rPr>
            </w:pPr>
            <w:r w:rsidRPr="0064653C">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497"/>
              </w:tabs>
              <w:rPr>
                <w:snapToGrid w:val="0"/>
                <w:sz w:val="22"/>
                <w:szCs w:val="22"/>
              </w:rPr>
            </w:pPr>
            <w:r w:rsidRPr="0064653C">
              <w:rPr>
                <w:snapToGrid w:val="0"/>
                <w:sz w:val="22"/>
                <w:szCs w:val="22"/>
              </w:rPr>
              <w:t xml:space="preserve"> </w:t>
            </w:r>
            <w:r w:rsidR="00873755" w:rsidRPr="0064653C">
              <w:rPr>
                <w:snapToGrid w:val="0"/>
                <w:sz w:val="22"/>
                <w:szCs w:val="22"/>
              </w:rPr>
              <w:t xml:space="preserve">Alireza Akhondi </w:t>
            </w:r>
            <w:r w:rsidRPr="0064653C">
              <w:rPr>
                <w:snapToGrid w:val="0"/>
                <w:sz w:val="22"/>
                <w:szCs w:val="22"/>
              </w:rPr>
              <w:t>(C)</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497"/>
              </w:tabs>
              <w:rPr>
                <w:snapToGrid w:val="0"/>
                <w:sz w:val="22"/>
                <w:szCs w:val="22"/>
              </w:rPr>
            </w:pPr>
            <w:r w:rsidRPr="0064653C">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497"/>
              </w:tabs>
              <w:rPr>
                <w:snapToGrid w:val="0"/>
                <w:sz w:val="22"/>
                <w:szCs w:val="22"/>
              </w:rPr>
            </w:pPr>
            <w:r w:rsidRPr="0064653C">
              <w:rPr>
                <w:snapToGrid w:val="0"/>
                <w:sz w:val="22"/>
                <w:szCs w:val="22"/>
              </w:rPr>
              <w:t xml:space="preserve"> </w:t>
            </w:r>
            <w:r w:rsidR="00900C13" w:rsidRPr="0064653C">
              <w:rPr>
                <w:snapToGrid w:val="0"/>
                <w:sz w:val="22"/>
                <w:szCs w:val="22"/>
              </w:rPr>
              <w:t>Larry Söder</w:t>
            </w:r>
            <w:r w:rsidRPr="0064653C">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900C13" w:rsidP="006B55D9">
            <w:pPr>
              <w:rPr>
                <w:sz w:val="22"/>
                <w:szCs w:val="22"/>
              </w:rPr>
            </w:pPr>
            <w:r w:rsidRPr="0064653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65688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617AB2" w:rsidP="006B55D9">
            <w:pPr>
              <w:tabs>
                <w:tab w:val="left" w:pos="497"/>
              </w:tabs>
              <w:rPr>
                <w:snapToGrid w:val="0"/>
                <w:sz w:val="22"/>
                <w:szCs w:val="22"/>
              </w:rPr>
            </w:pPr>
            <w:r w:rsidRPr="0064653C">
              <w:rPr>
                <w:snapToGrid w:val="0"/>
                <w:sz w:val="22"/>
                <w:szCs w:val="22"/>
              </w:rPr>
              <w:t xml:space="preserve"> Andreas Carlsson </w:t>
            </w:r>
            <w:r w:rsidR="004C6601" w:rsidRPr="0064653C">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497"/>
              </w:tabs>
              <w:rPr>
                <w:snapToGrid w:val="0"/>
                <w:sz w:val="22"/>
                <w:szCs w:val="22"/>
              </w:rPr>
            </w:pPr>
            <w:r w:rsidRPr="0064653C">
              <w:rPr>
                <w:snapToGrid w:val="0"/>
                <w:sz w:val="22"/>
                <w:szCs w:val="22"/>
              </w:rPr>
              <w:t xml:space="preserve"> </w:t>
            </w:r>
            <w:r w:rsidR="00293DD6" w:rsidRPr="0064653C">
              <w:rPr>
                <w:snapToGrid w:val="0"/>
                <w:sz w:val="22"/>
                <w:szCs w:val="22"/>
              </w:rPr>
              <w:t>Elisabeth Falkhaven</w:t>
            </w:r>
            <w:r w:rsidRPr="0064653C">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6B55D9">
        <w:tc>
          <w:tcPr>
            <w:tcW w:w="4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tabs>
                <w:tab w:val="left" w:pos="497"/>
              </w:tabs>
              <w:rPr>
                <w:snapToGrid w:val="0"/>
                <w:sz w:val="22"/>
                <w:szCs w:val="22"/>
              </w:rPr>
            </w:pPr>
            <w:r w:rsidRPr="0064653C">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64653C" w:rsidRDefault="004C6601" w:rsidP="006B55D9">
            <w:pPr>
              <w:rPr>
                <w:sz w:val="22"/>
                <w:szCs w:val="22"/>
              </w:rPr>
            </w:pPr>
          </w:p>
        </w:tc>
      </w:tr>
      <w:tr w:rsidR="004C6601" w:rsidRPr="0064653C" w:rsidTr="001F64CD">
        <w:tc>
          <w:tcPr>
            <w:tcW w:w="4395"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tabs>
                <w:tab w:val="left" w:pos="497"/>
              </w:tabs>
              <w:rPr>
                <w:snapToGrid w:val="0"/>
                <w:sz w:val="22"/>
                <w:szCs w:val="22"/>
              </w:rPr>
            </w:pPr>
            <w:r w:rsidRPr="0064653C">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64653C" w:rsidRDefault="004C6601" w:rsidP="006B55D9">
            <w:pPr>
              <w:rPr>
                <w:sz w:val="22"/>
                <w:szCs w:val="22"/>
              </w:rPr>
            </w:pPr>
          </w:p>
        </w:tc>
      </w:tr>
      <w:tr w:rsidR="001F64CD" w:rsidRPr="0064653C" w:rsidTr="001F64CD">
        <w:tc>
          <w:tcPr>
            <w:tcW w:w="4395" w:type="dxa"/>
            <w:tcBorders>
              <w:top w:val="single" w:sz="4" w:space="0" w:color="auto"/>
              <w:left w:val="single" w:sz="4" w:space="0" w:color="auto"/>
              <w:bottom w:val="single" w:sz="4" w:space="0" w:color="auto"/>
              <w:right w:val="single" w:sz="4" w:space="0" w:color="auto"/>
            </w:tcBorders>
          </w:tcPr>
          <w:p w:rsidR="001F64CD" w:rsidRPr="0064653C" w:rsidRDefault="00873755" w:rsidP="006B55D9">
            <w:pPr>
              <w:tabs>
                <w:tab w:val="left" w:pos="497"/>
              </w:tabs>
              <w:rPr>
                <w:snapToGrid w:val="0"/>
                <w:sz w:val="22"/>
                <w:szCs w:val="22"/>
              </w:rPr>
            </w:pPr>
            <w:r w:rsidRPr="0064653C">
              <w:rPr>
                <w:snapToGrid w:val="0"/>
                <w:sz w:val="22"/>
                <w:szCs w:val="22"/>
              </w:rPr>
              <w:t xml:space="preserve"> </w:t>
            </w:r>
            <w:r w:rsidR="00540593" w:rsidRPr="0064653C">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64653C" w:rsidRDefault="001F64CD" w:rsidP="006B55D9">
            <w:pPr>
              <w:rPr>
                <w:sz w:val="22"/>
                <w:szCs w:val="22"/>
              </w:rPr>
            </w:pPr>
          </w:p>
        </w:tc>
      </w:tr>
      <w:tr w:rsidR="00617AB2" w:rsidRPr="0064653C" w:rsidTr="001F64CD">
        <w:tc>
          <w:tcPr>
            <w:tcW w:w="4395"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tabs>
                <w:tab w:val="left" w:pos="497"/>
              </w:tabs>
              <w:rPr>
                <w:snapToGrid w:val="0"/>
                <w:sz w:val="22"/>
                <w:szCs w:val="22"/>
              </w:rPr>
            </w:pPr>
            <w:r w:rsidRPr="0064653C">
              <w:rPr>
                <w:snapToGrid w:val="0"/>
                <w:sz w:val="22"/>
                <w:szCs w:val="22"/>
              </w:rPr>
              <w:t xml:space="preserve"> Jessica Rosencrantz (M)</w:t>
            </w:r>
          </w:p>
        </w:tc>
        <w:tc>
          <w:tcPr>
            <w:tcW w:w="488"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17AB2" w:rsidRPr="0064653C" w:rsidRDefault="00617AB2" w:rsidP="006B55D9">
            <w:pPr>
              <w:rPr>
                <w:sz w:val="22"/>
                <w:szCs w:val="22"/>
              </w:rPr>
            </w:pPr>
          </w:p>
        </w:tc>
      </w:tr>
      <w:tr w:rsidR="00444CAA" w:rsidRPr="0064653C" w:rsidTr="001F64CD">
        <w:tc>
          <w:tcPr>
            <w:tcW w:w="4395"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tabs>
                <w:tab w:val="left" w:pos="497"/>
              </w:tabs>
              <w:rPr>
                <w:snapToGrid w:val="0"/>
                <w:sz w:val="22"/>
                <w:szCs w:val="22"/>
              </w:rPr>
            </w:pPr>
            <w:r w:rsidRPr="0064653C">
              <w:rPr>
                <w:snapToGrid w:val="0"/>
                <w:sz w:val="22"/>
                <w:szCs w:val="22"/>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rsidR="00444CAA" w:rsidRPr="0064653C" w:rsidRDefault="00900C13" w:rsidP="006B55D9">
            <w:pPr>
              <w:rPr>
                <w:sz w:val="22"/>
                <w:szCs w:val="22"/>
              </w:rPr>
            </w:pPr>
            <w:r w:rsidRPr="0064653C">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64653C" w:rsidRDefault="0065688B"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44CAA" w:rsidRPr="0064653C" w:rsidRDefault="00444CAA" w:rsidP="006B55D9">
            <w:pPr>
              <w:rPr>
                <w:sz w:val="22"/>
                <w:szCs w:val="22"/>
              </w:rPr>
            </w:pPr>
          </w:p>
        </w:tc>
      </w:tr>
    </w:tbl>
    <w:p w:rsidR="004C6601" w:rsidRPr="0064653C" w:rsidRDefault="004C6601" w:rsidP="004C6601">
      <w:pPr>
        <w:ind w:left="-709"/>
        <w:rPr>
          <w:spacing w:val="2"/>
          <w:sz w:val="22"/>
          <w:szCs w:val="22"/>
        </w:rPr>
      </w:pPr>
      <w:r w:rsidRPr="0064653C">
        <w:rPr>
          <w:spacing w:val="2"/>
          <w:sz w:val="22"/>
          <w:szCs w:val="22"/>
        </w:rPr>
        <w:t>N= Närvarande                                                                    X= ledamöter som deltagit i handläggningen</w:t>
      </w:r>
    </w:p>
    <w:p w:rsidR="004C6601" w:rsidRPr="0064653C" w:rsidRDefault="004C6601" w:rsidP="004C6601">
      <w:pPr>
        <w:ind w:left="-709"/>
        <w:rPr>
          <w:spacing w:val="2"/>
          <w:sz w:val="22"/>
          <w:szCs w:val="22"/>
        </w:rPr>
      </w:pPr>
      <w:r w:rsidRPr="0064653C">
        <w:rPr>
          <w:spacing w:val="2"/>
          <w:sz w:val="22"/>
          <w:szCs w:val="22"/>
        </w:rPr>
        <w:t>V=  Votering                                                                      O= ledamöter som härutöver varit närvarande</w:t>
      </w:r>
    </w:p>
    <w:p w:rsidR="00900C13" w:rsidRPr="0064653C" w:rsidRDefault="00900C13" w:rsidP="004C6601">
      <w:pPr>
        <w:ind w:left="-709"/>
        <w:rPr>
          <w:spacing w:val="2"/>
          <w:szCs w:val="24"/>
        </w:rPr>
      </w:pPr>
    </w:p>
    <w:p w:rsidR="00900C13" w:rsidRPr="0064653C" w:rsidRDefault="00900C13">
      <w:pPr>
        <w:widowControl/>
        <w:rPr>
          <w:spacing w:val="2"/>
          <w:szCs w:val="24"/>
        </w:rPr>
      </w:pPr>
    </w:p>
    <w:p w:rsidR="00900C13" w:rsidRPr="0064653C" w:rsidRDefault="00900C13" w:rsidP="00900C13">
      <w:pPr>
        <w:ind w:left="-709"/>
        <w:rPr>
          <w:szCs w:val="24"/>
        </w:rPr>
      </w:pPr>
      <w:r w:rsidRPr="0064653C">
        <w:rPr>
          <w:szCs w:val="24"/>
        </w:rPr>
        <w:t>Bilaga 2 till protokoll 2021/22:64</w:t>
      </w:r>
    </w:p>
    <w:p w:rsidR="00900C13" w:rsidRPr="0064653C" w:rsidRDefault="00900C13" w:rsidP="00900C13">
      <w:pPr>
        <w:ind w:left="-709"/>
        <w:rPr>
          <w:spacing w:val="2"/>
          <w:szCs w:val="24"/>
        </w:rPr>
      </w:pPr>
    </w:p>
    <w:p w:rsidR="00900C13" w:rsidRPr="0064653C" w:rsidRDefault="00900C13" w:rsidP="00900C13">
      <w:pPr>
        <w:ind w:left="-709"/>
        <w:rPr>
          <w:spacing w:val="2"/>
          <w:szCs w:val="24"/>
        </w:rPr>
      </w:pPr>
    </w:p>
    <w:p w:rsidR="00900C13" w:rsidRPr="0064653C" w:rsidRDefault="00900C13" w:rsidP="00900C13">
      <w:pPr>
        <w:ind w:left="-709"/>
        <w:rPr>
          <w:spacing w:val="2"/>
          <w:szCs w:val="24"/>
        </w:rPr>
      </w:pPr>
    </w:p>
    <w:p w:rsidR="00900C13" w:rsidRPr="0064653C" w:rsidRDefault="00900C13" w:rsidP="00900C13">
      <w:pPr>
        <w:ind w:left="-709"/>
        <w:rPr>
          <w:szCs w:val="24"/>
        </w:rPr>
      </w:pPr>
      <w:r w:rsidRPr="0064653C">
        <w:rPr>
          <w:spacing w:val="2"/>
          <w:szCs w:val="24"/>
        </w:rPr>
        <w:t xml:space="preserve">Inkommen skrivelse </w:t>
      </w:r>
    </w:p>
    <w:p w:rsidR="00900C13" w:rsidRPr="0064653C" w:rsidRDefault="00900C13" w:rsidP="00900C13">
      <w:pPr>
        <w:ind w:left="-709"/>
        <w:rPr>
          <w:spacing w:val="2"/>
          <w:szCs w:val="24"/>
        </w:rPr>
      </w:pPr>
    </w:p>
    <w:p w:rsidR="00900C13" w:rsidRPr="0064653C" w:rsidRDefault="00900C13" w:rsidP="00900C13">
      <w:pPr>
        <w:ind w:left="-709"/>
        <w:rPr>
          <w:spacing w:val="2"/>
          <w:szCs w:val="24"/>
        </w:rPr>
      </w:pPr>
    </w:p>
    <w:p w:rsidR="00900C13" w:rsidRPr="0064653C" w:rsidRDefault="00900C13" w:rsidP="00900C13">
      <w:pPr>
        <w:ind w:left="-709"/>
        <w:rPr>
          <w:spacing w:val="2"/>
          <w:szCs w:val="24"/>
        </w:rPr>
      </w:pPr>
      <w:r w:rsidRPr="0064653C">
        <w:rPr>
          <w:spacing w:val="2"/>
          <w:szCs w:val="24"/>
        </w:rPr>
        <w:t>Dnr 1854:2021/22</w:t>
      </w:r>
    </w:p>
    <w:p w:rsidR="00900C13" w:rsidRPr="0064653C" w:rsidRDefault="00900C13" w:rsidP="00900C13">
      <w:pPr>
        <w:ind w:left="-709"/>
        <w:rPr>
          <w:iCs/>
          <w:spacing w:val="2"/>
          <w:szCs w:val="24"/>
        </w:rPr>
      </w:pPr>
      <w:r w:rsidRPr="0064653C">
        <w:rPr>
          <w:iCs/>
          <w:spacing w:val="2"/>
          <w:szCs w:val="24"/>
        </w:rPr>
        <w:t>Avsändare: Oberoende journalisters förbund</w:t>
      </w:r>
    </w:p>
    <w:p w:rsidR="00900C13" w:rsidRPr="0064653C" w:rsidRDefault="00900C13" w:rsidP="00900C13">
      <w:pPr>
        <w:ind w:left="-709"/>
        <w:rPr>
          <w:spacing w:val="2"/>
          <w:szCs w:val="24"/>
        </w:rPr>
      </w:pPr>
      <w:r w:rsidRPr="0064653C">
        <w:rPr>
          <w:spacing w:val="2"/>
          <w:szCs w:val="24"/>
        </w:rPr>
        <w:br/>
      </w:r>
      <w:r w:rsidRPr="0064653C">
        <w:rPr>
          <w:szCs w:val="24"/>
        </w:rPr>
        <w:t xml:space="preserve">Synpunkter om att utskottet bör förtydliga i sitt betänkande (FiU27) om vanlig journalistisk verksamhet räknas som "bearbetning av data" enligt den nya lagen. </w:t>
      </w:r>
      <w:r w:rsidRPr="0064653C">
        <w:rPr>
          <w:spacing w:val="2"/>
          <w:szCs w:val="24"/>
        </w:rPr>
        <w:t>(proposition 2021/22:225).</w:t>
      </w:r>
    </w:p>
    <w:p w:rsidR="0064653C" w:rsidRPr="0064653C" w:rsidRDefault="0064653C">
      <w:pPr>
        <w:widowControl/>
        <w:rPr>
          <w:spacing w:val="2"/>
          <w:szCs w:val="24"/>
        </w:rPr>
      </w:pPr>
      <w:r w:rsidRPr="0064653C">
        <w:rPr>
          <w:spacing w:val="2"/>
          <w:szCs w:val="24"/>
        </w:rPr>
        <w:br w:type="page"/>
      </w:r>
    </w:p>
    <w:p w:rsidR="0064653C" w:rsidRPr="0064653C" w:rsidRDefault="0064653C" w:rsidP="0064653C">
      <w:pPr>
        <w:ind w:left="-709"/>
        <w:rPr>
          <w:szCs w:val="24"/>
        </w:rPr>
      </w:pPr>
    </w:p>
    <w:p w:rsidR="0064653C" w:rsidRPr="0064653C" w:rsidRDefault="0064653C" w:rsidP="0064653C">
      <w:pPr>
        <w:ind w:left="-709"/>
        <w:rPr>
          <w:szCs w:val="24"/>
        </w:rPr>
      </w:pPr>
      <w:r w:rsidRPr="0064653C">
        <w:rPr>
          <w:szCs w:val="24"/>
        </w:rPr>
        <w:t>Bilaga 3 till protokoll 2021/22:64</w:t>
      </w:r>
    </w:p>
    <w:p w:rsidR="0064653C" w:rsidRPr="0064653C" w:rsidRDefault="0064653C" w:rsidP="0064653C">
      <w:pPr>
        <w:ind w:left="-709"/>
        <w:rPr>
          <w:szCs w:val="24"/>
        </w:rPr>
      </w:pPr>
    </w:p>
    <w:p w:rsidR="0064653C" w:rsidRPr="0064653C" w:rsidRDefault="0064653C" w:rsidP="0064653C">
      <w:pPr>
        <w:pStyle w:val="Rubrik1"/>
        <w:rPr>
          <w:sz w:val="24"/>
          <w:szCs w:val="24"/>
        </w:rPr>
      </w:pPr>
      <w:r w:rsidRPr="0064653C">
        <w:rPr>
          <w:sz w:val="24"/>
          <w:szCs w:val="24"/>
        </w:rPr>
        <w:t>Förslag till utskottsinitiativ – justering av vårändringsbudgeten för 2022</w:t>
      </w:r>
    </w:p>
    <w:p w:rsidR="0064653C" w:rsidRPr="0064653C" w:rsidRDefault="0064653C" w:rsidP="0064653C">
      <w:pPr>
        <w:rPr>
          <w:szCs w:val="24"/>
        </w:rPr>
      </w:pPr>
    </w:p>
    <w:p w:rsidR="0064653C" w:rsidRPr="0064653C" w:rsidRDefault="0064653C" w:rsidP="0064653C">
      <w:pPr>
        <w:tabs>
          <w:tab w:val="left" w:pos="1304"/>
        </w:tabs>
        <w:rPr>
          <w:szCs w:val="24"/>
        </w:rPr>
      </w:pPr>
      <w:r w:rsidRPr="0064653C">
        <w:rPr>
          <w:szCs w:val="24"/>
        </w:rPr>
        <w:t>Utskottsinitiativet innehåller förslag till ändrade ramar för utgiftsområden, förändrad inkomstberäkning samt ändrade och nya anslag för budgetåret 2022.</w:t>
      </w:r>
    </w:p>
    <w:p w:rsidR="0064653C" w:rsidRPr="0064653C" w:rsidRDefault="0064653C" w:rsidP="0064653C">
      <w:pPr>
        <w:tabs>
          <w:tab w:val="left" w:pos="1304"/>
        </w:tabs>
        <w:rPr>
          <w:b/>
          <w:szCs w:val="24"/>
        </w:rPr>
      </w:pPr>
    </w:p>
    <w:p w:rsidR="0064653C" w:rsidRPr="0064653C" w:rsidRDefault="0064653C" w:rsidP="0064653C">
      <w:pPr>
        <w:pStyle w:val="Rubrik2"/>
        <w:keepLines w:val="0"/>
        <w:widowControl/>
        <w:numPr>
          <w:ilvl w:val="0"/>
          <w:numId w:val="11"/>
        </w:numPr>
        <w:tabs>
          <w:tab w:val="left" w:pos="284"/>
        </w:tabs>
        <w:spacing w:before="60" w:after="60" w:line="260" w:lineRule="atLeast"/>
        <w:rPr>
          <w:sz w:val="24"/>
          <w:szCs w:val="24"/>
        </w:rPr>
      </w:pPr>
      <w:r w:rsidRPr="0064653C">
        <w:rPr>
          <w:sz w:val="24"/>
          <w:szCs w:val="24"/>
        </w:rPr>
        <w:t>Förslag till riksdagsbeslut</w:t>
      </w:r>
    </w:p>
    <w:p w:rsidR="0064653C" w:rsidRPr="0064653C" w:rsidRDefault="0064653C" w:rsidP="0064653C">
      <w:pPr>
        <w:pStyle w:val="Liststycke"/>
        <w:widowControl/>
        <w:numPr>
          <w:ilvl w:val="0"/>
          <w:numId w:val="13"/>
        </w:numPr>
        <w:tabs>
          <w:tab w:val="left" w:pos="284"/>
        </w:tabs>
        <w:rPr>
          <w:szCs w:val="24"/>
        </w:rPr>
      </w:pPr>
      <w:r w:rsidRPr="0064653C">
        <w:rPr>
          <w:szCs w:val="24"/>
        </w:rPr>
        <w:t>Riksdagen godkänner ändrade ramar för utgiftsområden och anvisar ändrade och nya anslag enligt tabell 1.1.</w:t>
      </w:r>
    </w:p>
    <w:p w:rsidR="0064653C" w:rsidRPr="0064653C" w:rsidRDefault="0064653C" w:rsidP="0064653C">
      <w:pPr>
        <w:pStyle w:val="Liststycke"/>
        <w:widowControl/>
        <w:numPr>
          <w:ilvl w:val="1"/>
          <w:numId w:val="13"/>
        </w:numPr>
        <w:tabs>
          <w:tab w:val="left" w:pos="284"/>
        </w:tabs>
        <w:rPr>
          <w:szCs w:val="24"/>
        </w:rPr>
      </w:pPr>
      <w:r w:rsidRPr="0064653C">
        <w:rPr>
          <w:szCs w:val="24"/>
        </w:rPr>
        <w:t>Direktstöd material till Ukraina via UO6 – se bilaga 1</w:t>
      </w:r>
    </w:p>
    <w:p w:rsidR="0064653C" w:rsidRPr="0064653C" w:rsidRDefault="0064653C" w:rsidP="0064653C">
      <w:pPr>
        <w:pStyle w:val="Liststycke"/>
        <w:widowControl/>
        <w:numPr>
          <w:ilvl w:val="1"/>
          <w:numId w:val="13"/>
        </w:numPr>
        <w:tabs>
          <w:tab w:val="left" w:pos="284"/>
        </w:tabs>
        <w:rPr>
          <w:szCs w:val="24"/>
        </w:rPr>
      </w:pPr>
      <w:r w:rsidRPr="0064653C">
        <w:rPr>
          <w:szCs w:val="24"/>
        </w:rPr>
        <w:t>Ekonomiskt stöd till Ukraina via UO5 – se bilaga 2</w:t>
      </w:r>
    </w:p>
    <w:p w:rsidR="0064653C" w:rsidRPr="0064653C" w:rsidRDefault="0064653C" w:rsidP="0064653C">
      <w:pPr>
        <w:rPr>
          <w:szCs w:val="24"/>
        </w:rPr>
      </w:pPr>
    </w:p>
    <w:p w:rsidR="0064653C" w:rsidRPr="0064653C" w:rsidRDefault="0064653C" w:rsidP="0064653C">
      <w:pPr>
        <w:pStyle w:val="Liststycke"/>
        <w:widowControl/>
        <w:numPr>
          <w:ilvl w:val="0"/>
          <w:numId w:val="13"/>
        </w:numPr>
        <w:tabs>
          <w:tab w:val="left" w:pos="284"/>
        </w:tabs>
        <w:rPr>
          <w:szCs w:val="24"/>
        </w:rPr>
      </w:pPr>
      <w:r w:rsidRPr="0064653C">
        <w:rPr>
          <w:szCs w:val="24"/>
        </w:rPr>
        <w:t>Riksdagen avslår regeringens förslag om garantitillägg i bostadstillägget.</w:t>
      </w:r>
    </w:p>
    <w:p w:rsidR="0064653C" w:rsidRPr="0064653C" w:rsidRDefault="0064653C" w:rsidP="0064653C">
      <w:pPr>
        <w:rPr>
          <w:szCs w:val="24"/>
        </w:rPr>
      </w:pPr>
    </w:p>
    <w:p w:rsidR="0064653C" w:rsidRPr="0064653C" w:rsidRDefault="0064653C" w:rsidP="0064653C">
      <w:pPr>
        <w:pStyle w:val="Liststycke"/>
        <w:widowControl/>
        <w:numPr>
          <w:ilvl w:val="0"/>
          <w:numId w:val="13"/>
        </w:numPr>
        <w:tabs>
          <w:tab w:val="left" w:pos="284"/>
        </w:tabs>
        <w:rPr>
          <w:szCs w:val="24"/>
        </w:rPr>
      </w:pPr>
      <w:r w:rsidRPr="0064653C">
        <w:rPr>
          <w:szCs w:val="24"/>
        </w:rPr>
        <w:t>Riksdagen ställer sig bakom lag om ändring i socialförsäkringsbalken i enlighet med bilaga 5.</w:t>
      </w:r>
    </w:p>
    <w:p w:rsidR="0064653C" w:rsidRPr="0064653C" w:rsidRDefault="0064653C" w:rsidP="0064653C">
      <w:pPr>
        <w:rPr>
          <w:szCs w:val="24"/>
        </w:rPr>
      </w:pPr>
    </w:p>
    <w:p w:rsidR="0064653C" w:rsidRPr="0064653C" w:rsidRDefault="0064653C" w:rsidP="0064653C">
      <w:pPr>
        <w:pStyle w:val="Liststycke"/>
        <w:widowControl/>
        <w:numPr>
          <w:ilvl w:val="0"/>
          <w:numId w:val="13"/>
        </w:numPr>
        <w:tabs>
          <w:tab w:val="left" w:pos="284"/>
        </w:tabs>
        <w:rPr>
          <w:szCs w:val="24"/>
        </w:rPr>
      </w:pPr>
      <w:r w:rsidRPr="0064653C">
        <w:rPr>
          <w:szCs w:val="24"/>
        </w:rPr>
        <w:t>Riksdagen ställer sig bakom lag om ändring i socialtjänstlagen i enlighet med bilaga 5.</w:t>
      </w:r>
    </w:p>
    <w:p w:rsidR="0064653C" w:rsidRPr="0064653C" w:rsidRDefault="0064653C" w:rsidP="0064653C">
      <w:pPr>
        <w:rPr>
          <w:szCs w:val="24"/>
        </w:rPr>
      </w:pPr>
    </w:p>
    <w:p w:rsidR="0064653C" w:rsidRPr="0064653C" w:rsidRDefault="0064653C" w:rsidP="0064653C">
      <w:pPr>
        <w:pStyle w:val="Liststycke"/>
        <w:widowControl/>
        <w:numPr>
          <w:ilvl w:val="0"/>
          <w:numId w:val="13"/>
        </w:numPr>
        <w:tabs>
          <w:tab w:val="left" w:pos="284"/>
        </w:tabs>
        <w:rPr>
          <w:szCs w:val="24"/>
        </w:rPr>
      </w:pPr>
      <w:r w:rsidRPr="0064653C">
        <w:rPr>
          <w:szCs w:val="24"/>
        </w:rPr>
        <w:t>Riksdagen bemyndigar regeringen att utöver förslagen i vårändringsbudgeten under 2022 ingå ekonomiska åtaganden som inklusive tidigare åtaganden medför behov av framtida anslag på högst de belopp och inom de tidsperioder som anges i tabell 1.2.</w:t>
      </w:r>
    </w:p>
    <w:p w:rsidR="0064653C" w:rsidRPr="0064653C" w:rsidRDefault="0064653C" w:rsidP="0064653C">
      <w:pPr>
        <w:rPr>
          <w:szCs w:val="24"/>
        </w:rPr>
      </w:pPr>
    </w:p>
    <w:p w:rsidR="0064653C" w:rsidRPr="0064653C" w:rsidRDefault="0064653C" w:rsidP="0064653C">
      <w:pPr>
        <w:pStyle w:val="Liststycke"/>
        <w:widowControl/>
        <w:numPr>
          <w:ilvl w:val="0"/>
          <w:numId w:val="13"/>
        </w:numPr>
        <w:tabs>
          <w:tab w:val="left" w:pos="284"/>
        </w:tabs>
        <w:rPr>
          <w:szCs w:val="24"/>
        </w:rPr>
      </w:pPr>
      <w:r w:rsidRPr="0064653C">
        <w:rPr>
          <w:szCs w:val="24"/>
        </w:rPr>
        <w:t>Riksdagen bemyndigar regeringen att under 2022 besluta att till Ukraina skänka försvarsmateriel som kan avvaras av Försvarsmakten under en begränsad tid, till ett värde om högst 1 000 000 000 kronor.</w:t>
      </w:r>
    </w:p>
    <w:p w:rsidR="0064653C" w:rsidRPr="0064653C" w:rsidRDefault="0064653C" w:rsidP="0064653C">
      <w:pPr>
        <w:pStyle w:val="Liststycke"/>
        <w:rPr>
          <w:szCs w:val="24"/>
        </w:rPr>
      </w:pPr>
    </w:p>
    <w:p w:rsidR="0064653C" w:rsidRPr="0064653C" w:rsidRDefault="0064653C" w:rsidP="0064653C">
      <w:pPr>
        <w:pStyle w:val="Liststycke"/>
        <w:widowControl/>
        <w:numPr>
          <w:ilvl w:val="0"/>
          <w:numId w:val="13"/>
        </w:numPr>
        <w:tabs>
          <w:tab w:val="left" w:pos="284"/>
        </w:tabs>
        <w:rPr>
          <w:szCs w:val="24"/>
        </w:rPr>
      </w:pPr>
      <w:r w:rsidRPr="0064653C">
        <w:rPr>
          <w:szCs w:val="24"/>
        </w:rPr>
        <w:t>Riksdagen ställer sig bakom det som anförs om reviderade investeringsplaner för Försvarsmakten och tillkännager detta för regeringen.</w:t>
      </w:r>
    </w:p>
    <w:p w:rsidR="0064653C" w:rsidRPr="0064653C" w:rsidRDefault="0064653C" w:rsidP="0064653C">
      <w:pPr>
        <w:rPr>
          <w:szCs w:val="24"/>
        </w:rPr>
      </w:pPr>
    </w:p>
    <w:p w:rsidR="0064653C" w:rsidRPr="0064653C" w:rsidRDefault="0064653C" w:rsidP="0064653C">
      <w:pPr>
        <w:pStyle w:val="Liststycke"/>
        <w:widowControl/>
        <w:numPr>
          <w:ilvl w:val="0"/>
          <w:numId w:val="13"/>
        </w:numPr>
        <w:tabs>
          <w:tab w:val="left" w:pos="284"/>
        </w:tabs>
        <w:rPr>
          <w:szCs w:val="24"/>
        </w:rPr>
      </w:pPr>
      <w:r w:rsidRPr="0064653C">
        <w:rPr>
          <w:szCs w:val="24"/>
        </w:rPr>
        <w:t xml:space="preserve">Riksdagen höjer det minimibelopp som används för att fastställa avgifter för insatser enligt socialtjänstlagen med motsvarande 350 kronor per månad för ensamstående och med motsvarande 175 kronor per månad för var och en av sammanlevande makar och sambor. </w:t>
      </w:r>
    </w:p>
    <w:p w:rsidR="0064653C" w:rsidRPr="0064653C" w:rsidRDefault="0064653C" w:rsidP="0064653C">
      <w:pPr>
        <w:rPr>
          <w:szCs w:val="24"/>
        </w:rPr>
      </w:pPr>
    </w:p>
    <w:p w:rsidR="0064653C" w:rsidRPr="0064653C" w:rsidRDefault="0064653C" w:rsidP="0064653C">
      <w:pPr>
        <w:pStyle w:val="Liststycke"/>
        <w:widowControl/>
        <w:numPr>
          <w:ilvl w:val="0"/>
          <w:numId w:val="13"/>
        </w:numPr>
        <w:tabs>
          <w:tab w:val="left" w:pos="284"/>
        </w:tabs>
        <w:rPr>
          <w:szCs w:val="24"/>
        </w:rPr>
      </w:pPr>
      <w:r w:rsidRPr="0064653C">
        <w:rPr>
          <w:szCs w:val="24"/>
        </w:rPr>
        <w:t>Riksdagen ställer sig bakom det som anförs om att införa en gas i pensionssystemet så fort som möjligt och tillkännager detta för regeringen.</w:t>
      </w:r>
    </w:p>
    <w:p w:rsidR="0064653C" w:rsidRPr="0064653C" w:rsidRDefault="0064653C" w:rsidP="0064653C">
      <w:pPr>
        <w:rPr>
          <w:szCs w:val="24"/>
        </w:rPr>
      </w:pPr>
    </w:p>
    <w:p w:rsidR="0064653C" w:rsidRPr="0064653C" w:rsidRDefault="0064653C" w:rsidP="0064653C">
      <w:pPr>
        <w:pStyle w:val="Liststycke"/>
        <w:widowControl/>
        <w:numPr>
          <w:ilvl w:val="0"/>
          <w:numId w:val="13"/>
        </w:numPr>
        <w:tabs>
          <w:tab w:val="left" w:pos="284"/>
        </w:tabs>
        <w:rPr>
          <w:szCs w:val="24"/>
        </w:rPr>
      </w:pPr>
      <w:r w:rsidRPr="0064653C">
        <w:rPr>
          <w:szCs w:val="24"/>
        </w:rPr>
        <w:t>Riksdagen ställer sig bakom det som anförs om att sänka skatten för pensionärer från 1 januari 2023 och tillkännager detta för regeringen.</w:t>
      </w:r>
    </w:p>
    <w:p w:rsidR="0064653C" w:rsidRPr="0064653C" w:rsidRDefault="0064653C" w:rsidP="0064653C">
      <w:pPr>
        <w:rPr>
          <w:szCs w:val="24"/>
        </w:rPr>
      </w:pPr>
    </w:p>
    <w:p w:rsidR="0064653C" w:rsidRPr="0064653C" w:rsidRDefault="0064653C" w:rsidP="0064653C">
      <w:pPr>
        <w:pStyle w:val="Rubrik2"/>
        <w:keepLines w:val="0"/>
        <w:widowControl/>
        <w:numPr>
          <w:ilvl w:val="0"/>
          <w:numId w:val="11"/>
        </w:numPr>
        <w:tabs>
          <w:tab w:val="left" w:pos="284"/>
        </w:tabs>
        <w:spacing w:before="60" w:after="60" w:line="260" w:lineRule="atLeast"/>
        <w:rPr>
          <w:sz w:val="24"/>
          <w:szCs w:val="24"/>
        </w:rPr>
      </w:pPr>
      <w:r w:rsidRPr="0064653C">
        <w:rPr>
          <w:sz w:val="24"/>
          <w:szCs w:val="24"/>
        </w:rPr>
        <w:t xml:space="preserve">Inledning </w:t>
      </w:r>
    </w:p>
    <w:p w:rsidR="0064653C" w:rsidRPr="0064653C" w:rsidRDefault="0064653C" w:rsidP="0064653C">
      <w:pPr>
        <w:tabs>
          <w:tab w:val="left" w:pos="1304"/>
        </w:tabs>
        <w:rPr>
          <w:szCs w:val="24"/>
        </w:rPr>
      </w:pPr>
      <w:r w:rsidRPr="0064653C">
        <w:rPr>
          <w:szCs w:val="24"/>
        </w:rPr>
        <w:t xml:space="preserve">Moderaterna, Sverigedemokraterna, Kristdemokraterna och Liberalerna är överens om att göra den största förstärkningen av pensionärernas ekonomi sedan det nuvarande pensionssystemet infördes. Redan under hösten kommer ersättningen till de sämst ställda pensionärerna öka med 1 000 kr per månad, genom en höjning av garantipensionen och bostadstillägget. Därefter kommer skatten på pensioner sänkas med ytterligare 6 miljarder </w:t>
      </w:r>
      <w:r w:rsidRPr="0064653C">
        <w:rPr>
          <w:szCs w:val="24"/>
        </w:rPr>
        <w:lastRenderedPageBreak/>
        <w:t>kronor och vi inför en helt ny ”gas” i pensionssystemet, som ger högre pension när Sveriges ekonomi är god. Genom den här kombinationen av tre reformer kan vi både ge ett rejält tillskott till de sämst ställda pensionärerna, förbättra alla pensionärers ekonomi och värna arbetslinjen i pensionssystemet.</w:t>
      </w:r>
    </w:p>
    <w:p w:rsidR="0064653C" w:rsidRPr="0064653C" w:rsidRDefault="0064653C" w:rsidP="0064653C">
      <w:pPr>
        <w:tabs>
          <w:tab w:val="left" w:pos="1304"/>
        </w:tabs>
        <w:rPr>
          <w:szCs w:val="24"/>
        </w:rPr>
      </w:pPr>
    </w:p>
    <w:p w:rsidR="0064653C" w:rsidRPr="0064653C" w:rsidRDefault="0064653C" w:rsidP="0064653C">
      <w:pPr>
        <w:tabs>
          <w:tab w:val="left" w:pos="1304"/>
        </w:tabs>
        <w:rPr>
          <w:szCs w:val="24"/>
        </w:rPr>
      </w:pPr>
      <w:r w:rsidRPr="0064653C">
        <w:rPr>
          <w:szCs w:val="24"/>
        </w:rPr>
        <w:t>I en tid när priserna stiger kraftigt på just de varor och tjänster som är svårast att avvara – mat, värme och bränsle - är det nödvändigt att förbättra de svenska pensionärernas situation. Det ska dock göras på ett sätt som värnar arbetslinjen i pensionssystemet och som inte gör pensionssystemet ännu mer komplext. Det av regeringen föreslagna garantitillägget har kritiserats hårt av både expertmyndigheter, pensionärsorganisationer och fackföreningar just för att arbetslinjen försvagas, marginaleffekterna kan bli över 100 procent, och för att pensionssystemet blir än mer svåröverskådligt. Vi föreslår därför att regeringens förslag om garantitillägg i bostadstillägget avslås. Istället föreslår vi förbättringar inom det befintliga grundskyddet. Garantipensionen höjs med 600 kr per månad och konsumtionsstödet i bostadstillägget höjs med 350 kr för ensamstående och 175 kr för sammanboende. Dessa förändringar ska träda ikraft 1 oktober 2022. Vi aviserar också att skatten för samtliga pensionärer ska sänkas från den 1 januari 2023 och att en gas införs där delar av överskottet i pensionssystemet används för att höja pensionerna. Vi föreslår därför förändrade anslag under utgiftsområde 11. Förslaget kommer diskuteras i pensionsgruppen.</w:t>
      </w:r>
    </w:p>
    <w:p w:rsidR="0064653C" w:rsidRPr="0064653C" w:rsidRDefault="0064653C" w:rsidP="0064653C">
      <w:pPr>
        <w:tabs>
          <w:tab w:val="left" w:pos="1304"/>
        </w:tabs>
        <w:rPr>
          <w:szCs w:val="24"/>
        </w:rPr>
      </w:pPr>
    </w:p>
    <w:p w:rsidR="0064653C" w:rsidRPr="0064653C" w:rsidRDefault="0064653C" w:rsidP="0064653C">
      <w:pPr>
        <w:tabs>
          <w:tab w:val="left" w:pos="1304"/>
        </w:tabs>
        <w:rPr>
          <w:szCs w:val="24"/>
        </w:rPr>
      </w:pPr>
      <w:r w:rsidRPr="0064653C">
        <w:rPr>
          <w:szCs w:val="24"/>
        </w:rPr>
        <w:t xml:space="preserve">Det behövs ett omedelbart tillskott för att stärka polisen. Polismyndigheten är i behov av ökade resurser för att kunna säkra tryggheten för medborgarna. Polisen behöver här och nu framför allt bättre utrustning för att kunna bekämpa våldsverkare och grovt kriminella. Vidare är det viktigt att resurser tillförs till Polismyndigheten för att säkra kortare handläggningstider för pass, exempelvis genom att under en begränsad tid kunna hålla passexpeditioner öppna under kvällar och helger. Vi föreslår därför att ytterligare tillskott görs inom utgiftsområde 4. </w:t>
      </w:r>
      <w:r w:rsidRPr="0064653C">
        <w:rPr>
          <w:szCs w:val="24"/>
        </w:rPr>
        <w:br/>
      </w:r>
      <w:r w:rsidRPr="0064653C">
        <w:rPr>
          <w:szCs w:val="24"/>
        </w:rPr>
        <w:br/>
        <w:t>Det militära försvaret behöver stärkas. Sveriges målsättning bör vara att försvarsanslagen ska uppgå till motsvarande 2 procent av BNP år 2025. Det är nödvändigt i ljuset av det allvarliga säkerhetspolitiska läget men även för en snabb och framgångsrik anslutning av Sverige till Nato. En förutsättning för att kunna växa snabbt är att upprustningen inleds snarast möjligt. Det är därför angeläget att Försvarsmaktens bemyndiganderam höjs i närtid. Därigenom skapas förutsättningar och handlingsfrihet för att utöka anskaffningen av nödvändig materiel. Detta skulle medföra att försvaret snabbt kan öka inköpsvolymerna och minskar risken för att Sverige halkar efter i kön vad gäller leveransen från försvarsindustrin. Den snabbare upprustningen av försvaret bör ske på ett sådant sätt att dagens försvarsförmåga inte äventyras under tillväxtfasen, och att förstärkningen blir kostnadseffektiv. Den 16/3–2022 enades riksdagens partier om snabb förstärkning av försvarsförmågan här och nu. Vi föreslår nu hur nästa steg kan tas med sikte på en snabb upprustning fram till 2025.</w:t>
      </w:r>
    </w:p>
    <w:p w:rsidR="0064653C" w:rsidRPr="0064653C" w:rsidRDefault="0064653C" w:rsidP="0064653C">
      <w:pPr>
        <w:tabs>
          <w:tab w:val="left" w:pos="1304"/>
        </w:tabs>
        <w:rPr>
          <w:szCs w:val="24"/>
        </w:rPr>
      </w:pPr>
    </w:p>
    <w:p w:rsidR="0064653C" w:rsidRPr="0064653C" w:rsidRDefault="0064653C" w:rsidP="0064653C">
      <w:pPr>
        <w:tabs>
          <w:tab w:val="left" w:pos="1304"/>
        </w:tabs>
        <w:rPr>
          <w:szCs w:val="24"/>
        </w:rPr>
      </w:pPr>
      <w:r w:rsidRPr="0064653C">
        <w:rPr>
          <w:szCs w:val="24"/>
        </w:rPr>
        <w:t>Det är i Sveriges utrikes- och säkerhetspolitiska intresse att stödja Ukraina med försvarsmateriel. Många västländer ökar nu sitt militära stöd till Ukraina, inte minst då Ryssland påbörjat en förnyad offensiv i Donbas. Det är naturligt att Sverige ökar sitt militära och ekonomiska stöd till Ukraina, bland annat genom ytterligare vapenleveranser. Vi föreslår därför att ytterligare tillskott görs inom utgiftsområde 6.</w:t>
      </w:r>
      <w:r w:rsidRPr="0064653C">
        <w:rPr>
          <w:b/>
          <w:szCs w:val="24"/>
          <w:highlight w:val="yellow"/>
        </w:rPr>
        <w:br/>
      </w:r>
    </w:p>
    <w:p w:rsidR="0064653C" w:rsidRPr="0064653C" w:rsidRDefault="0064653C" w:rsidP="0064653C">
      <w:pPr>
        <w:pStyle w:val="Rubrik2"/>
        <w:keepLines w:val="0"/>
        <w:widowControl/>
        <w:numPr>
          <w:ilvl w:val="0"/>
          <w:numId w:val="11"/>
        </w:numPr>
        <w:tabs>
          <w:tab w:val="left" w:pos="284"/>
        </w:tabs>
        <w:spacing w:before="60" w:after="60" w:line="260" w:lineRule="atLeast"/>
        <w:rPr>
          <w:sz w:val="24"/>
          <w:szCs w:val="24"/>
        </w:rPr>
      </w:pPr>
      <w:r w:rsidRPr="0064653C">
        <w:rPr>
          <w:sz w:val="24"/>
          <w:szCs w:val="24"/>
        </w:rPr>
        <w:t xml:space="preserve">Ändringar avseende statens utgifter </w:t>
      </w:r>
    </w:p>
    <w:p w:rsidR="0064653C" w:rsidRPr="0064653C" w:rsidRDefault="0064653C" w:rsidP="0064653C">
      <w:pPr>
        <w:tabs>
          <w:tab w:val="left" w:pos="1304"/>
        </w:tabs>
        <w:rPr>
          <w:szCs w:val="24"/>
        </w:rPr>
      </w:pPr>
      <w:r w:rsidRPr="0064653C">
        <w:rPr>
          <w:szCs w:val="24"/>
        </w:rPr>
        <w:t xml:space="preserve">Nedan lämnas förslag till ändringar avseende statens utgifter 2022 utöver det som anges i vårändringsbudgeten. Det samlade förslaget till ytterligare ändrade ramar för utgiftsområden och ändrade anslag för 2022 finns i avsnitt 1 tabell 1.1. </w:t>
      </w:r>
    </w:p>
    <w:p w:rsidR="0064653C" w:rsidRPr="0064653C" w:rsidRDefault="0064653C" w:rsidP="0064653C">
      <w:pPr>
        <w:rPr>
          <w:szCs w:val="24"/>
        </w:rPr>
      </w:pPr>
    </w:p>
    <w:p w:rsidR="0064653C" w:rsidRPr="0064653C" w:rsidRDefault="0064653C" w:rsidP="0064653C">
      <w:pPr>
        <w:rPr>
          <w:szCs w:val="24"/>
        </w:rPr>
      </w:pPr>
    </w:p>
    <w:p w:rsidR="0064653C" w:rsidRPr="0064653C" w:rsidRDefault="0064653C" w:rsidP="0064653C">
      <w:pPr>
        <w:pStyle w:val="Rubrik3"/>
        <w:rPr>
          <w:sz w:val="24"/>
          <w:szCs w:val="24"/>
        </w:rPr>
      </w:pPr>
      <w:bookmarkStart w:id="3" w:name="_Hlk29497437"/>
      <w:r w:rsidRPr="0064653C">
        <w:rPr>
          <w:sz w:val="24"/>
          <w:szCs w:val="24"/>
        </w:rPr>
        <w:t>3.1</w:t>
      </w:r>
      <w:r w:rsidRPr="0064653C">
        <w:rPr>
          <w:sz w:val="24"/>
          <w:szCs w:val="24"/>
        </w:rPr>
        <w:tab/>
        <w:t>Utgiftsområde 4 – Rättsväsendet</w:t>
      </w:r>
    </w:p>
    <w:p w:rsidR="0064653C" w:rsidRPr="0064653C" w:rsidRDefault="0064653C" w:rsidP="0064653C">
      <w:pPr>
        <w:pStyle w:val="Rubrik4"/>
        <w:rPr>
          <w:sz w:val="24"/>
          <w:szCs w:val="24"/>
        </w:rPr>
      </w:pPr>
    </w:p>
    <w:p w:rsidR="0064653C" w:rsidRPr="0064653C" w:rsidRDefault="0064653C" w:rsidP="0064653C">
      <w:pPr>
        <w:pStyle w:val="Rubrik4"/>
        <w:rPr>
          <w:sz w:val="24"/>
          <w:szCs w:val="24"/>
        </w:rPr>
      </w:pPr>
      <w:r w:rsidRPr="0064653C">
        <w:rPr>
          <w:sz w:val="24"/>
          <w:szCs w:val="24"/>
        </w:rPr>
        <w:t>1:1</w:t>
      </w:r>
      <w:r w:rsidRPr="0064653C">
        <w:rPr>
          <w:sz w:val="24"/>
          <w:szCs w:val="24"/>
        </w:rPr>
        <w:tab/>
      </w:r>
      <w:r w:rsidRPr="0064653C">
        <w:rPr>
          <w:sz w:val="24"/>
          <w:szCs w:val="24"/>
        </w:rPr>
        <w:tab/>
        <w:t>Polismyndigheten</w:t>
      </w:r>
    </w:p>
    <w:p w:rsidR="0064653C" w:rsidRPr="0064653C" w:rsidRDefault="0064653C" w:rsidP="0064653C">
      <w:pPr>
        <w:pBdr>
          <w:bottom w:val="single" w:sz="12" w:space="1" w:color="auto"/>
        </w:pBdr>
        <w:rPr>
          <w:szCs w:val="24"/>
        </w:rPr>
      </w:pPr>
    </w:p>
    <w:p w:rsidR="0064653C" w:rsidRPr="0064653C" w:rsidRDefault="0064653C" w:rsidP="0064653C">
      <w:pPr>
        <w:rPr>
          <w:szCs w:val="24"/>
        </w:rPr>
      </w:pPr>
    </w:p>
    <w:p w:rsidR="0064653C" w:rsidRPr="0064653C" w:rsidRDefault="0064653C" w:rsidP="0064653C">
      <w:pPr>
        <w:rPr>
          <w:szCs w:val="24"/>
        </w:rPr>
      </w:pPr>
      <w:r w:rsidRPr="0064653C">
        <w:rPr>
          <w:b/>
          <w:i/>
          <w:szCs w:val="24"/>
        </w:rPr>
        <w:t>Förslag:</w:t>
      </w:r>
      <w:r w:rsidRPr="0064653C">
        <w:rPr>
          <w:szCs w:val="24"/>
        </w:rPr>
        <w:t xml:space="preserve"> Anslaget 1:1 </w:t>
      </w:r>
      <w:r w:rsidRPr="0064653C">
        <w:rPr>
          <w:i/>
          <w:szCs w:val="24"/>
        </w:rPr>
        <w:t>Polismyndigheten</w:t>
      </w:r>
      <w:r w:rsidRPr="0064653C">
        <w:rPr>
          <w:szCs w:val="24"/>
        </w:rPr>
        <w:t xml:space="preserve"> ökar med 500 000 000 kronor utöver det som anges i vårändringsbudgeten för 2022.</w:t>
      </w:r>
    </w:p>
    <w:p w:rsidR="0064653C" w:rsidRPr="0064653C" w:rsidRDefault="0064653C" w:rsidP="0064653C">
      <w:pPr>
        <w:pBdr>
          <w:bottom w:val="single" w:sz="12" w:space="1" w:color="auto"/>
        </w:pBdr>
        <w:rPr>
          <w:szCs w:val="24"/>
        </w:rPr>
      </w:pPr>
    </w:p>
    <w:p w:rsidR="0064653C" w:rsidRPr="0064653C" w:rsidRDefault="0064653C" w:rsidP="0064653C">
      <w:pPr>
        <w:rPr>
          <w:szCs w:val="24"/>
        </w:rPr>
      </w:pPr>
    </w:p>
    <w:p w:rsidR="0064653C" w:rsidRPr="0064653C" w:rsidRDefault="0064653C" w:rsidP="0064653C">
      <w:pPr>
        <w:rPr>
          <w:b/>
          <w:szCs w:val="24"/>
        </w:rPr>
      </w:pPr>
    </w:p>
    <w:p w:rsidR="0064653C" w:rsidRPr="0064653C" w:rsidRDefault="0064653C" w:rsidP="0064653C">
      <w:pPr>
        <w:rPr>
          <w:b/>
          <w:szCs w:val="24"/>
        </w:rPr>
      </w:pPr>
    </w:p>
    <w:p w:rsidR="0064653C" w:rsidRPr="0064653C" w:rsidRDefault="0064653C" w:rsidP="0064653C">
      <w:pPr>
        <w:rPr>
          <w:b/>
          <w:szCs w:val="24"/>
        </w:rPr>
      </w:pPr>
      <w:r w:rsidRPr="0064653C">
        <w:rPr>
          <w:b/>
          <w:szCs w:val="24"/>
        </w:rPr>
        <w:t>Skälen för utskottets förslag</w:t>
      </w:r>
    </w:p>
    <w:p w:rsidR="0064653C" w:rsidRPr="0064653C" w:rsidRDefault="0064653C" w:rsidP="0064653C">
      <w:pPr>
        <w:pStyle w:val="Rubrik3"/>
        <w:rPr>
          <w:b w:val="0"/>
          <w:sz w:val="24"/>
          <w:szCs w:val="24"/>
        </w:rPr>
      </w:pPr>
      <w:r w:rsidRPr="0064653C">
        <w:rPr>
          <w:b w:val="0"/>
          <w:bCs/>
          <w:sz w:val="24"/>
          <w:szCs w:val="24"/>
        </w:rPr>
        <w:t>Anslagsökningen syftar till att finansiera inköp av bättre utrustning och verktyg för polisen under innevarande år såsom vattenkanoner, tårgas och kroppskameror och annan nödvändig utrustning som används i andra europeiska rättsstater för att hantera allvarliga ordningsstörningar och våldsamma upplopp. Därtill ska resurserna även finansiera inköp av nya polisfordon. Vidare ska anslagsökningen skapa ökade förutsättningar för polisen att korta de rådande långa handläggningstiderna inom Polismyndigheten för att få pass, exempelvis genom att under en begränsad tid kunna hålla passexpeditioner öppna under kvällar och helger.</w:t>
      </w:r>
    </w:p>
    <w:p w:rsidR="0064653C" w:rsidRPr="0064653C" w:rsidRDefault="0064653C" w:rsidP="0064653C">
      <w:pPr>
        <w:rPr>
          <w:szCs w:val="24"/>
        </w:rPr>
      </w:pPr>
    </w:p>
    <w:p w:rsidR="0064653C" w:rsidRPr="0064653C" w:rsidRDefault="0064653C" w:rsidP="0064653C">
      <w:pPr>
        <w:pStyle w:val="Rubrik3"/>
        <w:rPr>
          <w:sz w:val="24"/>
          <w:szCs w:val="24"/>
        </w:rPr>
      </w:pPr>
      <w:bookmarkStart w:id="4" w:name="_Hlk29497986"/>
      <w:bookmarkEnd w:id="3"/>
      <w:r w:rsidRPr="0064653C">
        <w:rPr>
          <w:sz w:val="24"/>
          <w:szCs w:val="24"/>
        </w:rPr>
        <w:t>3.2</w:t>
      </w:r>
      <w:r w:rsidRPr="0064653C">
        <w:rPr>
          <w:sz w:val="24"/>
          <w:szCs w:val="24"/>
        </w:rPr>
        <w:tab/>
        <w:t>Utgiftsområde 6 – Försvar och samhällets krisberedskap</w:t>
      </w:r>
    </w:p>
    <w:bookmarkEnd w:id="4"/>
    <w:p w:rsidR="0064653C" w:rsidRPr="0064653C" w:rsidRDefault="0064653C" w:rsidP="0064653C">
      <w:pPr>
        <w:rPr>
          <w:szCs w:val="24"/>
        </w:rPr>
      </w:pPr>
    </w:p>
    <w:p w:rsidR="0064653C" w:rsidRPr="0064653C" w:rsidRDefault="0064653C" w:rsidP="0064653C">
      <w:pPr>
        <w:pBdr>
          <w:bottom w:val="single" w:sz="12" w:space="1" w:color="auto"/>
        </w:pBdr>
        <w:rPr>
          <w:b/>
          <w:bCs/>
          <w:kern w:val="28"/>
          <w:szCs w:val="24"/>
        </w:rPr>
      </w:pPr>
      <w:r w:rsidRPr="0064653C">
        <w:rPr>
          <w:b/>
          <w:bCs/>
          <w:kern w:val="28"/>
          <w:szCs w:val="24"/>
        </w:rPr>
        <w:t xml:space="preserve">1:1 </w:t>
      </w:r>
      <w:r w:rsidRPr="0064653C">
        <w:rPr>
          <w:b/>
          <w:bCs/>
          <w:kern w:val="28"/>
          <w:szCs w:val="24"/>
        </w:rPr>
        <w:tab/>
      </w:r>
      <w:bookmarkStart w:id="5" w:name="_Hlk30530784"/>
      <w:r w:rsidRPr="0064653C">
        <w:rPr>
          <w:b/>
          <w:bCs/>
          <w:kern w:val="28"/>
          <w:szCs w:val="24"/>
        </w:rPr>
        <w:tab/>
      </w:r>
      <w:bookmarkEnd w:id="5"/>
      <w:r w:rsidRPr="0064653C">
        <w:rPr>
          <w:b/>
          <w:bCs/>
          <w:kern w:val="28"/>
          <w:szCs w:val="24"/>
        </w:rPr>
        <w:t>Förbandsverksamhet och beredskap</w:t>
      </w:r>
    </w:p>
    <w:p w:rsidR="0064653C" w:rsidRPr="0064653C" w:rsidRDefault="0064653C" w:rsidP="0064653C">
      <w:pPr>
        <w:pBdr>
          <w:bottom w:val="single" w:sz="12" w:space="1" w:color="auto"/>
        </w:pBdr>
        <w:rPr>
          <w:szCs w:val="24"/>
        </w:rPr>
      </w:pPr>
    </w:p>
    <w:p w:rsidR="0064653C" w:rsidRPr="0064653C" w:rsidRDefault="0064653C" w:rsidP="0064653C">
      <w:pPr>
        <w:rPr>
          <w:szCs w:val="24"/>
        </w:rPr>
      </w:pPr>
      <w:r w:rsidRPr="0064653C">
        <w:rPr>
          <w:szCs w:val="24"/>
        </w:rPr>
        <w:t xml:space="preserve">  </w:t>
      </w:r>
    </w:p>
    <w:p w:rsidR="0064653C" w:rsidRPr="0064653C" w:rsidRDefault="0064653C" w:rsidP="0064653C">
      <w:pPr>
        <w:pBdr>
          <w:bottom w:val="single" w:sz="12" w:space="1" w:color="auto"/>
        </w:pBdr>
        <w:rPr>
          <w:szCs w:val="24"/>
        </w:rPr>
      </w:pPr>
      <w:r w:rsidRPr="0064653C">
        <w:rPr>
          <w:b/>
          <w:i/>
          <w:szCs w:val="24"/>
        </w:rPr>
        <w:t>Förslag:</w:t>
      </w:r>
      <w:r w:rsidRPr="0064653C">
        <w:rPr>
          <w:szCs w:val="24"/>
        </w:rPr>
        <w:t xml:space="preserve"> Regeringen bemyndigas att under 2022 för anslaget 1:1 Förbandsverksamhet och beredskap besluta om beställningar av materiel och anläggningar som inklusive tidigare åtaganden medför behov av framtida anslag på högst 65 000 000 000 kronor 2023–2028.</w:t>
      </w:r>
    </w:p>
    <w:p w:rsidR="0064653C" w:rsidRPr="0064653C" w:rsidRDefault="0064653C" w:rsidP="0064653C">
      <w:pPr>
        <w:pBdr>
          <w:bottom w:val="single" w:sz="12" w:space="1" w:color="auto"/>
        </w:pBdr>
        <w:rPr>
          <w:szCs w:val="24"/>
        </w:rPr>
      </w:pPr>
      <w:r w:rsidRPr="0064653C">
        <w:rPr>
          <w:szCs w:val="24"/>
        </w:rPr>
        <w:t xml:space="preserve"> </w:t>
      </w:r>
    </w:p>
    <w:p w:rsidR="0064653C" w:rsidRPr="0064653C" w:rsidRDefault="0064653C" w:rsidP="0064653C">
      <w:pPr>
        <w:rPr>
          <w:szCs w:val="24"/>
        </w:rPr>
      </w:pP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p>
    <w:p w:rsidR="0064653C" w:rsidRPr="0064653C" w:rsidRDefault="0064653C" w:rsidP="0064653C">
      <w:pPr>
        <w:rPr>
          <w:szCs w:val="24"/>
        </w:rPr>
      </w:pPr>
      <w:r w:rsidRPr="0064653C">
        <w:rPr>
          <w:b/>
          <w:szCs w:val="24"/>
        </w:rPr>
        <w:t xml:space="preserve">Skälen för utskottets förslag: </w:t>
      </w:r>
      <w:r w:rsidRPr="0064653C">
        <w:rPr>
          <w:szCs w:val="24"/>
        </w:rPr>
        <w:br/>
        <w:t>Beställningsbemyndigandet som är knutet till anslaget omfattar bl.a. underhåll av Försvarsmaktens materiel och anläggningar som inte är av löpande eller driftskaraktär. Det beställningsbemyndigande som är kopplat till anslaget föreslås ökas med 31 997 miljoner kronor för tidsperioden 2023–2028 för att möjliggöra en kraftfull upprustning av det svenska militära försvaret.</w:t>
      </w:r>
    </w:p>
    <w:p w:rsidR="0064653C" w:rsidRPr="0064653C" w:rsidRDefault="0064653C" w:rsidP="0064653C">
      <w:pPr>
        <w:rPr>
          <w:szCs w:val="24"/>
        </w:rPr>
      </w:pPr>
    </w:p>
    <w:p w:rsidR="0064653C" w:rsidRPr="0064653C" w:rsidRDefault="0064653C" w:rsidP="0064653C">
      <w:pPr>
        <w:rPr>
          <w:b/>
          <w:bCs/>
          <w:kern w:val="28"/>
          <w:szCs w:val="24"/>
        </w:rPr>
      </w:pPr>
      <w:r w:rsidRPr="0064653C">
        <w:rPr>
          <w:szCs w:val="24"/>
        </w:rPr>
        <w:t xml:space="preserve">I samband med det ökade bemyndigandet bör investeringsplanen för Försvarsmakten revideras för att i större utsträckning ta hänsyn till den upprustning som nu bör ske. </w:t>
      </w:r>
      <w:r w:rsidRPr="0064653C">
        <w:rPr>
          <w:szCs w:val="24"/>
        </w:rPr>
        <w:br/>
      </w:r>
    </w:p>
    <w:p w:rsidR="0064653C" w:rsidRPr="0064653C" w:rsidRDefault="0064653C" w:rsidP="0064653C">
      <w:pPr>
        <w:rPr>
          <w:b/>
          <w:bCs/>
          <w:kern w:val="28"/>
          <w:szCs w:val="24"/>
        </w:rPr>
      </w:pPr>
      <w:r w:rsidRPr="0064653C">
        <w:rPr>
          <w:b/>
          <w:bCs/>
          <w:kern w:val="28"/>
          <w:szCs w:val="24"/>
        </w:rPr>
        <w:br/>
        <w:t xml:space="preserve">1:3 </w:t>
      </w:r>
      <w:r w:rsidRPr="0064653C">
        <w:rPr>
          <w:b/>
          <w:bCs/>
          <w:kern w:val="28"/>
          <w:szCs w:val="24"/>
        </w:rPr>
        <w:tab/>
      </w:r>
      <w:r w:rsidRPr="0064653C">
        <w:rPr>
          <w:b/>
          <w:bCs/>
          <w:kern w:val="28"/>
          <w:szCs w:val="24"/>
        </w:rPr>
        <w:tab/>
      </w:r>
      <w:bookmarkStart w:id="6" w:name="_Hlk101957210"/>
      <w:r w:rsidRPr="0064653C">
        <w:rPr>
          <w:b/>
          <w:bCs/>
          <w:kern w:val="28"/>
          <w:szCs w:val="24"/>
        </w:rPr>
        <w:t>Anskaffning av materiel och anläggningar</w:t>
      </w:r>
      <w:bookmarkEnd w:id="6"/>
    </w:p>
    <w:p w:rsidR="0064653C" w:rsidRPr="0064653C" w:rsidRDefault="0064653C" w:rsidP="0064653C">
      <w:pPr>
        <w:pBdr>
          <w:bottom w:val="single" w:sz="12" w:space="1" w:color="auto"/>
        </w:pBdr>
        <w:rPr>
          <w:szCs w:val="24"/>
        </w:rPr>
      </w:pPr>
    </w:p>
    <w:p w:rsidR="0064653C" w:rsidRPr="0064653C" w:rsidRDefault="0064653C" w:rsidP="0064653C">
      <w:pPr>
        <w:rPr>
          <w:szCs w:val="24"/>
        </w:rPr>
      </w:pPr>
      <w:r w:rsidRPr="0064653C">
        <w:rPr>
          <w:szCs w:val="24"/>
        </w:rPr>
        <w:t xml:space="preserve">  </w:t>
      </w:r>
    </w:p>
    <w:p w:rsidR="0064653C" w:rsidRPr="0064653C" w:rsidRDefault="0064653C" w:rsidP="0064653C">
      <w:pPr>
        <w:pBdr>
          <w:bottom w:val="single" w:sz="12" w:space="1" w:color="auto"/>
        </w:pBdr>
        <w:rPr>
          <w:szCs w:val="24"/>
        </w:rPr>
      </w:pPr>
      <w:r w:rsidRPr="0064653C">
        <w:rPr>
          <w:b/>
          <w:i/>
          <w:szCs w:val="24"/>
        </w:rPr>
        <w:t>Förslag:</w:t>
      </w:r>
      <w:r w:rsidRPr="0064653C">
        <w:rPr>
          <w:szCs w:val="24"/>
        </w:rPr>
        <w:t xml:space="preserve"> Anslaget 1:3 </w:t>
      </w:r>
      <w:r w:rsidRPr="0064653C">
        <w:rPr>
          <w:i/>
          <w:szCs w:val="24"/>
        </w:rPr>
        <w:t>Anskaffning av materiel och anläggningar</w:t>
      </w:r>
      <w:r w:rsidRPr="0064653C">
        <w:rPr>
          <w:szCs w:val="24"/>
        </w:rPr>
        <w:t xml:space="preserve"> ökar med 1 000 000 000</w:t>
      </w:r>
      <w:r w:rsidRPr="0064653C">
        <w:rPr>
          <w:color w:val="FF0000"/>
          <w:szCs w:val="24"/>
        </w:rPr>
        <w:t xml:space="preserve"> </w:t>
      </w:r>
      <w:r w:rsidRPr="0064653C">
        <w:rPr>
          <w:szCs w:val="24"/>
        </w:rPr>
        <w:t>kronor.</w:t>
      </w:r>
    </w:p>
    <w:p w:rsidR="0064653C" w:rsidRPr="0064653C" w:rsidRDefault="0064653C" w:rsidP="0064653C">
      <w:pPr>
        <w:pBdr>
          <w:bottom w:val="single" w:sz="12" w:space="1" w:color="auto"/>
        </w:pBdr>
        <w:rPr>
          <w:szCs w:val="24"/>
        </w:rPr>
      </w:pPr>
    </w:p>
    <w:p w:rsidR="0064653C" w:rsidRPr="0064653C" w:rsidRDefault="0064653C" w:rsidP="0064653C">
      <w:pPr>
        <w:pBdr>
          <w:bottom w:val="single" w:sz="12" w:space="1" w:color="auto"/>
        </w:pBdr>
        <w:rPr>
          <w:szCs w:val="24"/>
        </w:rPr>
      </w:pPr>
      <w:r w:rsidRPr="0064653C">
        <w:rPr>
          <w:szCs w:val="24"/>
        </w:rPr>
        <w:lastRenderedPageBreak/>
        <w:t>Regeringen bemyndigas att under 2022 för anslaget 1:3 Anskaffning av materiel och anläggningar besluta om beställningar av materiel och anläggningar som inklusive tidigare åtaganden medför behov av framtida anslag på högst 185 000 000 000 kronor 2023–2031.</w:t>
      </w:r>
    </w:p>
    <w:p w:rsidR="0064653C" w:rsidRPr="0064653C" w:rsidRDefault="0064653C" w:rsidP="0064653C">
      <w:pPr>
        <w:pBdr>
          <w:bottom w:val="single" w:sz="12" w:space="1" w:color="auto"/>
        </w:pBdr>
        <w:rPr>
          <w:szCs w:val="24"/>
        </w:rPr>
      </w:pPr>
      <w:r w:rsidRPr="0064653C">
        <w:rPr>
          <w:szCs w:val="24"/>
        </w:rPr>
        <w:t xml:space="preserve"> </w:t>
      </w:r>
    </w:p>
    <w:p w:rsidR="0064653C" w:rsidRPr="0064653C" w:rsidRDefault="0064653C" w:rsidP="0064653C">
      <w:pPr>
        <w:rPr>
          <w:szCs w:val="24"/>
        </w:rPr>
      </w:pP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t xml:space="preserve"> </w:t>
      </w:r>
    </w:p>
    <w:p w:rsidR="0064653C" w:rsidRPr="0064653C" w:rsidRDefault="0064653C" w:rsidP="0064653C">
      <w:pPr>
        <w:rPr>
          <w:szCs w:val="24"/>
        </w:rPr>
      </w:pPr>
      <w:r w:rsidRPr="0064653C">
        <w:rPr>
          <w:b/>
          <w:szCs w:val="24"/>
        </w:rPr>
        <w:t xml:space="preserve">Skälen för utskottets förslag: </w:t>
      </w:r>
      <w:r w:rsidRPr="0064653C">
        <w:rPr>
          <w:szCs w:val="24"/>
        </w:rPr>
        <w:t xml:space="preserve">Anslaget används bland annat för att finansiera utveckling, anskaffning, återanskaffning och avveckling av anslagsfinansierad materiel och anläggningar. </w:t>
      </w:r>
    </w:p>
    <w:p w:rsidR="0064653C" w:rsidRPr="0064653C" w:rsidRDefault="0064653C" w:rsidP="0064653C">
      <w:pPr>
        <w:rPr>
          <w:szCs w:val="24"/>
        </w:rPr>
      </w:pPr>
    </w:p>
    <w:p w:rsidR="0064653C" w:rsidRPr="0064653C" w:rsidRDefault="0064653C" w:rsidP="0064653C">
      <w:pPr>
        <w:rPr>
          <w:szCs w:val="24"/>
        </w:rPr>
      </w:pPr>
      <w:r w:rsidRPr="0064653C">
        <w:rPr>
          <w:szCs w:val="24"/>
        </w:rPr>
        <w:t xml:space="preserve">Anslagsökningen syftar till att säkra mer försvarsmateriel som stöd till Ukraina då landet efterfrågar fortsatt stöd med försvarsmateriel i form av vapen och övrig personlig utrustning. I första hand föreslås den föreslagna anslagsökningen användas för att kompensera för återinköp av försvarsmateriel som kan avvaras från statens verksamhet och som skänks till Ukraina. I andra hand kan anslagsökningen användas för att skyndsamt köpa in materiel från försvarsindustrin som därefter ges som stöd till Ukraina. Om det inte är möjligt att vare sig avvara lämplig försvarsmateriel eller att snabbt köpa in materiel för att skänka till Ukraina bör avsatta medel överföras till Ukraina för att stödja deras inköp av materiel och förnödenheter. Tillskott av medel föreslås då anslås på anslag 1:2 inom utgiftsområde 5. Det skulle kunna vara stöd i form av ett ekonomiskt bidrag till den ukrainska centralbankens fond till stöd för landets väpnade styrkor. Ett sådant stöd innebär att Ukrainas möjligheter att bekämpa den ryska invasionen och det väpnade angreppet stärks vid en kritisk tidpunkt. Anslaget 1:2 Freds- och säkerhetsfrämjande verksamhet, som får användas för extraordinärt stöd till Ukraina, bör därför om inte medlen anvisas under anslaget 1:3 inom utgiftsområde 6, ökas med 1 000 000 000 kronor. </w:t>
      </w:r>
    </w:p>
    <w:p w:rsidR="0064653C" w:rsidRPr="0064653C" w:rsidRDefault="0064653C" w:rsidP="0064653C">
      <w:pPr>
        <w:rPr>
          <w:szCs w:val="24"/>
        </w:rPr>
      </w:pPr>
    </w:p>
    <w:p w:rsidR="0064653C" w:rsidRPr="0064653C" w:rsidRDefault="0064653C" w:rsidP="0064653C">
      <w:pPr>
        <w:rPr>
          <w:szCs w:val="24"/>
        </w:rPr>
      </w:pPr>
      <w:r w:rsidRPr="0064653C">
        <w:rPr>
          <w:szCs w:val="24"/>
        </w:rPr>
        <w:t>Det beställningsbemyndigande som är kopplat till anslaget föreslås ökas med 72 103 miljoner kronor för tidsperioden 2023–2031 för att möjliggöra en kraftfull upprustning av det svenska militära försvaret.</w:t>
      </w:r>
    </w:p>
    <w:p w:rsidR="0064653C" w:rsidRPr="0064653C" w:rsidRDefault="0064653C" w:rsidP="0064653C">
      <w:pPr>
        <w:rPr>
          <w:szCs w:val="24"/>
        </w:rPr>
      </w:pPr>
    </w:p>
    <w:p w:rsidR="0064653C" w:rsidRPr="0064653C" w:rsidRDefault="0064653C" w:rsidP="0064653C">
      <w:pPr>
        <w:rPr>
          <w:szCs w:val="24"/>
        </w:rPr>
      </w:pPr>
      <w:r w:rsidRPr="0064653C">
        <w:rPr>
          <w:szCs w:val="24"/>
        </w:rPr>
        <w:t xml:space="preserve">I samband med det ökade bemyndigandet bör investeringsplanen för Försvarsmakten revideras för att i större utsträckning ta hänsyn till den upprustning som nu bör ske. </w:t>
      </w:r>
    </w:p>
    <w:p w:rsidR="0064653C" w:rsidRPr="0064653C" w:rsidRDefault="0064653C" w:rsidP="0064653C">
      <w:pPr>
        <w:rPr>
          <w:szCs w:val="24"/>
        </w:rPr>
      </w:pPr>
    </w:p>
    <w:p w:rsidR="0064653C" w:rsidRPr="0064653C" w:rsidRDefault="0064653C" w:rsidP="0064653C">
      <w:pPr>
        <w:keepNext/>
        <w:spacing w:before="60" w:after="20" w:line="240" w:lineRule="atLeast"/>
        <w:outlineLvl w:val="2"/>
        <w:rPr>
          <w:b/>
          <w:bCs/>
          <w:kern w:val="28"/>
          <w:szCs w:val="24"/>
        </w:rPr>
      </w:pPr>
      <w:r w:rsidRPr="0064653C">
        <w:rPr>
          <w:b/>
          <w:bCs/>
          <w:kern w:val="28"/>
          <w:szCs w:val="24"/>
        </w:rPr>
        <w:t>3.3</w:t>
      </w:r>
      <w:r w:rsidRPr="0064653C">
        <w:rPr>
          <w:b/>
          <w:bCs/>
          <w:kern w:val="28"/>
          <w:szCs w:val="24"/>
        </w:rPr>
        <w:tab/>
        <w:t>Utgiftsområde 11 – Ekonomisk trygghet vid ålderdom</w:t>
      </w:r>
    </w:p>
    <w:p w:rsidR="0064653C" w:rsidRPr="0064653C" w:rsidRDefault="0064653C" w:rsidP="0064653C">
      <w:pPr>
        <w:pBdr>
          <w:bottom w:val="single" w:sz="12" w:space="1" w:color="auto"/>
        </w:pBdr>
        <w:rPr>
          <w:b/>
          <w:bCs/>
          <w:kern w:val="28"/>
          <w:szCs w:val="24"/>
        </w:rPr>
      </w:pPr>
    </w:p>
    <w:p w:rsidR="0064653C" w:rsidRPr="0064653C" w:rsidRDefault="0064653C" w:rsidP="0064653C">
      <w:pPr>
        <w:pBdr>
          <w:bottom w:val="single" w:sz="12" w:space="1" w:color="auto"/>
        </w:pBdr>
        <w:rPr>
          <w:b/>
          <w:bCs/>
          <w:kern w:val="28"/>
          <w:szCs w:val="24"/>
        </w:rPr>
      </w:pPr>
    </w:p>
    <w:p w:rsidR="0064653C" w:rsidRPr="0064653C" w:rsidRDefault="0064653C" w:rsidP="0064653C">
      <w:pPr>
        <w:pBdr>
          <w:bottom w:val="single" w:sz="12" w:space="1" w:color="auto"/>
        </w:pBdr>
        <w:rPr>
          <w:b/>
          <w:bCs/>
          <w:kern w:val="28"/>
          <w:szCs w:val="24"/>
        </w:rPr>
      </w:pPr>
      <w:r w:rsidRPr="0064653C">
        <w:rPr>
          <w:b/>
          <w:bCs/>
          <w:kern w:val="28"/>
          <w:szCs w:val="24"/>
        </w:rPr>
        <w:t xml:space="preserve">1:1 </w:t>
      </w:r>
      <w:r w:rsidRPr="0064653C">
        <w:rPr>
          <w:b/>
          <w:bCs/>
          <w:kern w:val="28"/>
          <w:szCs w:val="24"/>
        </w:rPr>
        <w:tab/>
      </w:r>
      <w:r w:rsidRPr="0064653C">
        <w:rPr>
          <w:b/>
          <w:bCs/>
          <w:kern w:val="28"/>
          <w:szCs w:val="24"/>
        </w:rPr>
        <w:tab/>
        <w:t>Garantipension vid ålderspension</w:t>
      </w:r>
    </w:p>
    <w:p w:rsidR="0064653C" w:rsidRPr="0064653C" w:rsidRDefault="0064653C" w:rsidP="0064653C">
      <w:pPr>
        <w:pBdr>
          <w:bottom w:val="single" w:sz="12" w:space="1" w:color="auto"/>
        </w:pBdr>
        <w:rPr>
          <w:szCs w:val="24"/>
        </w:rPr>
      </w:pPr>
    </w:p>
    <w:p w:rsidR="0064653C" w:rsidRPr="0064653C" w:rsidRDefault="0064653C" w:rsidP="0064653C">
      <w:pPr>
        <w:rPr>
          <w:szCs w:val="24"/>
        </w:rPr>
      </w:pPr>
      <w:r w:rsidRPr="0064653C">
        <w:rPr>
          <w:szCs w:val="24"/>
        </w:rPr>
        <w:t xml:space="preserve">  </w:t>
      </w:r>
    </w:p>
    <w:p w:rsidR="0064653C" w:rsidRPr="0064653C" w:rsidRDefault="0064653C" w:rsidP="0064653C">
      <w:pPr>
        <w:pBdr>
          <w:bottom w:val="single" w:sz="12" w:space="1" w:color="auto"/>
        </w:pBdr>
        <w:rPr>
          <w:szCs w:val="24"/>
        </w:rPr>
      </w:pPr>
      <w:r w:rsidRPr="0064653C">
        <w:rPr>
          <w:b/>
          <w:i/>
          <w:szCs w:val="24"/>
        </w:rPr>
        <w:t>Förslag:</w:t>
      </w:r>
      <w:r w:rsidRPr="0064653C">
        <w:rPr>
          <w:szCs w:val="24"/>
        </w:rPr>
        <w:t xml:space="preserve"> Anslaget 1:1 </w:t>
      </w:r>
      <w:r w:rsidRPr="0064653C">
        <w:rPr>
          <w:i/>
          <w:szCs w:val="24"/>
        </w:rPr>
        <w:t>Garantipension vid ålderspension</w:t>
      </w:r>
      <w:r w:rsidRPr="0064653C">
        <w:rPr>
          <w:szCs w:val="24"/>
        </w:rPr>
        <w:t xml:space="preserve"> ökar med 1 075 000 000 kronor utöver det som anges i vårändringsbudgeten för 2022.</w:t>
      </w:r>
    </w:p>
    <w:p w:rsidR="0064653C" w:rsidRPr="0064653C" w:rsidRDefault="0064653C" w:rsidP="0064653C">
      <w:pPr>
        <w:pBdr>
          <w:bottom w:val="single" w:sz="12" w:space="1" w:color="auto"/>
        </w:pBdr>
        <w:rPr>
          <w:szCs w:val="24"/>
        </w:rPr>
      </w:pPr>
      <w:r w:rsidRPr="0064653C">
        <w:rPr>
          <w:szCs w:val="24"/>
        </w:rPr>
        <w:t xml:space="preserve"> </w:t>
      </w:r>
    </w:p>
    <w:p w:rsidR="0064653C" w:rsidRPr="0064653C" w:rsidRDefault="0064653C" w:rsidP="0064653C">
      <w:pPr>
        <w:rPr>
          <w:szCs w:val="24"/>
        </w:rPr>
      </w:pP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t xml:space="preserve"> </w:t>
      </w:r>
    </w:p>
    <w:p w:rsidR="0064653C" w:rsidRPr="0064653C" w:rsidRDefault="0064653C" w:rsidP="0064653C">
      <w:pPr>
        <w:rPr>
          <w:szCs w:val="24"/>
        </w:rPr>
      </w:pPr>
      <w:r w:rsidRPr="0064653C">
        <w:rPr>
          <w:b/>
          <w:szCs w:val="24"/>
        </w:rPr>
        <w:t xml:space="preserve">Skälen för utskottets förslag: </w:t>
      </w:r>
      <w:r w:rsidRPr="0064653C">
        <w:rPr>
          <w:szCs w:val="24"/>
        </w:rPr>
        <w:t>Anslagsökningen syftar till att finansiera höjningen av garantipensionen med 600 kr per månad från och med oktober 2022.</w:t>
      </w:r>
      <w:r w:rsidRPr="0064653C">
        <w:rPr>
          <w:szCs w:val="24"/>
        </w:rPr>
        <w:br/>
      </w:r>
    </w:p>
    <w:p w:rsidR="0064653C" w:rsidRPr="0064653C" w:rsidRDefault="0064653C" w:rsidP="0064653C">
      <w:pPr>
        <w:rPr>
          <w:szCs w:val="24"/>
        </w:rPr>
      </w:pPr>
    </w:p>
    <w:p w:rsidR="0064653C" w:rsidRPr="0064653C" w:rsidRDefault="0064653C" w:rsidP="0064653C">
      <w:pPr>
        <w:pBdr>
          <w:bottom w:val="single" w:sz="12" w:space="1" w:color="auto"/>
        </w:pBdr>
        <w:rPr>
          <w:b/>
          <w:bCs/>
          <w:kern w:val="28"/>
          <w:szCs w:val="24"/>
        </w:rPr>
      </w:pPr>
      <w:r w:rsidRPr="0064653C">
        <w:rPr>
          <w:b/>
          <w:bCs/>
          <w:kern w:val="28"/>
          <w:szCs w:val="24"/>
        </w:rPr>
        <w:t xml:space="preserve">1:3 </w:t>
      </w:r>
      <w:r w:rsidRPr="0064653C">
        <w:rPr>
          <w:b/>
          <w:bCs/>
          <w:kern w:val="28"/>
          <w:szCs w:val="24"/>
        </w:rPr>
        <w:tab/>
      </w:r>
      <w:r w:rsidRPr="0064653C">
        <w:rPr>
          <w:b/>
          <w:bCs/>
          <w:kern w:val="28"/>
          <w:szCs w:val="24"/>
        </w:rPr>
        <w:tab/>
        <w:t>Bostadstillägg till pensionärer</w:t>
      </w:r>
    </w:p>
    <w:p w:rsidR="0064653C" w:rsidRPr="0064653C" w:rsidRDefault="0064653C" w:rsidP="0064653C">
      <w:pPr>
        <w:pBdr>
          <w:bottom w:val="single" w:sz="12" w:space="1" w:color="auto"/>
        </w:pBdr>
        <w:rPr>
          <w:szCs w:val="24"/>
        </w:rPr>
      </w:pPr>
    </w:p>
    <w:p w:rsidR="0064653C" w:rsidRPr="0064653C" w:rsidRDefault="0064653C" w:rsidP="0064653C">
      <w:pPr>
        <w:rPr>
          <w:szCs w:val="24"/>
        </w:rPr>
      </w:pPr>
      <w:r w:rsidRPr="0064653C">
        <w:rPr>
          <w:szCs w:val="24"/>
        </w:rPr>
        <w:t xml:space="preserve">  </w:t>
      </w:r>
    </w:p>
    <w:p w:rsidR="0064653C" w:rsidRPr="0064653C" w:rsidRDefault="0064653C" w:rsidP="0064653C">
      <w:pPr>
        <w:pBdr>
          <w:bottom w:val="single" w:sz="12" w:space="1" w:color="auto"/>
        </w:pBdr>
        <w:rPr>
          <w:szCs w:val="24"/>
        </w:rPr>
      </w:pPr>
      <w:r w:rsidRPr="0064653C">
        <w:rPr>
          <w:b/>
          <w:i/>
          <w:szCs w:val="24"/>
        </w:rPr>
        <w:t>Förslag:</w:t>
      </w:r>
      <w:r w:rsidRPr="0064653C">
        <w:rPr>
          <w:szCs w:val="24"/>
        </w:rPr>
        <w:t xml:space="preserve"> Anslaget 1:3 </w:t>
      </w:r>
      <w:r w:rsidRPr="0064653C">
        <w:rPr>
          <w:i/>
          <w:szCs w:val="24"/>
        </w:rPr>
        <w:t>Bostadstillägg till pensionärer</w:t>
      </w:r>
      <w:r w:rsidRPr="0064653C">
        <w:rPr>
          <w:szCs w:val="24"/>
        </w:rPr>
        <w:t xml:space="preserve"> minskar med 3 495 000 000 kronor jämfört med det som anges i vårändringsbudgeten för 2022.</w:t>
      </w:r>
    </w:p>
    <w:p w:rsidR="0064653C" w:rsidRPr="0064653C" w:rsidRDefault="0064653C" w:rsidP="0064653C">
      <w:pPr>
        <w:pBdr>
          <w:bottom w:val="single" w:sz="12" w:space="1" w:color="auto"/>
        </w:pBdr>
        <w:rPr>
          <w:szCs w:val="24"/>
        </w:rPr>
      </w:pPr>
      <w:r w:rsidRPr="0064653C">
        <w:rPr>
          <w:szCs w:val="24"/>
        </w:rPr>
        <w:lastRenderedPageBreak/>
        <w:t xml:space="preserve"> </w:t>
      </w:r>
    </w:p>
    <w:p w:rsidR="0064653C" w:rsidRPr="0064653C" w:rsidRDefault="0064653C" w:rsidP="0064653C">
      <w:pPr>
        <w:rPr>
          <w:szCs w:val="24"/>
        </w:rPr>
      </w:pP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t xml:space="preserve"> </w:t>
      </w:r>
    </w:p>
    <w:p w:rsidR="0064653C" w:rsidRPr="0064653C" w:rsidRDefault="0064653C" w:rsidP="0064653C">
      <w:pPr>
        <w:rPr>
          <w:szCs w:val="24"/>
        </w:rPr>
      </w:pPr>
      <w:r w:rsidRPr="0064653C">
        <w:rPr>
          <w:b/>
          <w:szCs w:val="24"/>
        </w:rPr>
        <w:t xml:space="preserve">Skälen för utskottets förslag: </w:t>
      </w:r>
      <w:r w:rsidRPr="0064653C">
        <w:rPr>
          <w:szCs w:val="24"/>
        </w:rPr>
        <w:t xml:space="preserve">Om garantitillägget i bostadstillägget avslås bör anslaget minskas med 4 000 000 000 kronor. Dessutom bör anslaget höjas med 380 000 000 kronor för att finansiera höjningen av konsumtionsstödet i bostadstillägget med 350 kr per månad för ensamstående och 175 kronor för den som är gift från och med oktober 2022. För att finansiera förändringen av fribeloppet i bostadstillägget höjs anslaget med 125 000 000 kronor. </w:t>
      </w:r>
      <w:r w:rsidRPr="0064653C">
        <w:rPr>
          <w:szCs w:val="24"/>
        </w:rPr>
        <w:br/>
      </w:r>
    </w:p>
    <w:p w:rsidR="0064653C" w:rsidRPr="0064653C" w:rsidRDefault="0064653C" w:rsidP="0064653C">
      <w:pPr>
        <w:rPr>
          <w:szCs w:val="24"/>
        </w:rPr>
      </w:pPr>
    </w:p>
    <w:p w:rsidR="0064653C" w:rsidRPr="0064653C" w:rsidRDefault="0064653C" w:rsidP="0064653C">
      <w:pPr>
        <w:rPr>
          <w:b/>
          <w:szCs w:val="24"/>
        </w:rPr>
      </w:pPr>
      <w:r w:rsidRPr="0064653C">
        <w:rPr>
          <w:b/>
          <w:szCs w:val="24"/>
        </w:rPr>
        <w:t>1:4</w:t>
      </w:r>
      <w:r w:rsidRPr="0064653C">
        <w:rPr>
          <w:b/>
          <w:szCs w:val="24"/>
        </w:rPr>
        <w:tab/>
      </w:r>
      <w:r w:rsidRPr="0064653C">
        <w:rPr>
          <w:b/>
          <w:szCs w:val="24"/>
        </w:rPr>
        <w:tab/>
        <w:t>Äldreförsörjningsstöd</w:t>
      </w:r>
    </w:p>
    <w:p w:rsidR="0064653C" w:rsidRPr="0064653C" w:rsidRDefault="0064653C" w:rsidP="0064653C">
      <w:pPr>
        <w:pBdr>
          <w:bottom w:val="single" w:sz="12" w:space="1" w:color="auto"/>
        </w:pBdr>
        <w:rPr>
          <w:szCs w:val="24"/>
        </w:rPr>
      </w:pPr>
    </w:p>
    <w:p w:rsidR="0064653C" w:rsidRPr="0064653C" w:rsidRDefault="0064653C" w:rsidP="0064653C">
      <w:pPr>
        <w:rPr>
          <w:szCs w:val="24"/>
        </w:rPr>
      </w:pPr>
      <w:r w:rsidRPr="0064653C">
        <w:rPr>
          <w:szCs w:val="24"/>
        </w:rPr>
        <w:t xml:space="preserve">  </w:t>
      </w:r>
    </w:p>
    <w:p w:rsidR="0064653C" w:rsidRPr="0064653C" w:rsidRDefault="0064653C" w:rsidP="0064653C">
      <w:pPr>
        <w:pBdr>
          <w:bottom w:val="single" w:sz="12" w:space="1" w:color="auto"/>
        </w:pBdr>
        <w:rPr>
          <w:szCs w:val="24"/>
        </w:rPr>
      </w:pPr>
      <w:r w:rsidRPr="0064653C">
        <w:rPr>
          <w:b/>
          <w:i/>
          <w:szCs w:val="24"/>
        </w:rPr>
        <w:t>Förslag:</w:t>
      </w:r>
      <w:r w:rsidRPr="0064653C">
        <w:rPr>
          <w:szCs w:val="24"/>
        </w:rPr>
        <w:t xml:space="preserve"> Anslaget överensstämmer med vårändringsbudgeten</w:t>
      </w:r>
    </w:p>
    <w:p w:rsidR="0064653C" w:rsidRPr="0064653C" w:rsidRDefault="0064653C" w:rsidP="0064653C">
      <w:pPr>
        <w:pBdr>
          <w:bottom w:val="single" w:sz="12" w:space="1" w:color="auto"/>
        </w:pBdr>
        <w:rPr>
          <w:szCs w:val="24"/>
        </w:rPr>
      </w:pPr>
      <w:r w:rsidRPr="0064653C">
        <w:rPr>
          <w:szCs w:val="24"/>
        </w:rPr>
        <w:t xml:space="preserve"> </w:t>
      </w:r>
    </w:p>
    <w:p w:rsidR="0064653C" w:rsidRPr="0064653C" w:rsidRDefault="0064653C" w:rsidP="0064653C">
      <w:pPr>
        <w:rPr>
          <w:szCs w:val="24"/>
        </w:rPr>
      </w:pP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t xml:space="preserve"> </w:t>
      </w:r>
    </w:p>
    <w:p w:rsidR="0064653C" w:rsidRPr="0064653C" w:rsidRDefault="0064653C" w:rsidP="0064653C">
      <w:pPr>
        <w:rPr>
          <w:b/>
          <w:szCs w:val="24"/>
        </w:rPr>
      </w:pPr>
      <w:r w:rsidRPr="0064653C">
        <w:rPr>
          <w:b/>
          <w:szCs w:val="24"/>
        </w:rPr>
        <w:t>Skälen för utskottets förslag:</w:t>
      </w:r>
      <w:r w:rsidRPr="0064653C">
        <w:rPr>
          <w:szCs w:val="24"/>
        </w:rPr>
        <w:t xml:space="preserve"> Till följd av den pensionsreform som föreslås i utskottsinitiativet bedöms kostnaderna för anslaget att minska. Minskningen för 2022 bedöms ligga i linje med den minskning som anges i vårändringsbudgeten till följd av förslaget om införandet av ett garantitillägg i bostadstillägget.</w:t>
      </w:r>
    </w:p>
    <w:p w:rsidR="0064653C" w:rsidRPr="0064653C" w:rsidRDefault="0064653C" w:rsidP="0064653C">
      <w:pPr>
        <w:rPr>
          <w:szCs w:val="24"/>
        </w:rPr>
      </w:pPr>
    </w:p>
    <w:p w:rsidR="0064653C" w:rsidRPr="0064653C" w:rsidRDefault="0064653C" w:rsidP="0064653C">
      <w:pPr>
        <w:rPr>
          <w:szCs w:val="24"/>
        </w:rPr>
      </w:pPr>
    </w:p>
    <w:p w:rsidR="0064653C" w:rsidRPr="0064653C" w:rsidRDefault="0064653C" w:rsidP="0064653C">
      <w:pPr>
        <w:rPr>
          <w:szCs w:val="24"/>
        </w:rPr>
      </w:pPr>
    </w:p>
    <w:p w:rsidR="0064653C" w:rsidRPr="0064653C" w:rsidRDefault="0064653C" w:rsidP="0064653C">
      <w:pPr>
        <w:rPr>
          <w:szCs w:val="24"/>
        </w:rPr>
      </w:pPr>
    </w:p>
    <w:p w:rsidR="0064653C" w:rsidRPr="0064653C" w:rsidRDefault="0064653C" w:rsidP="0064653C">
      <w:pPr>
        <w:rPr>
          <w:szCs w:val="24"/>
        </w:rPr>
      </w:pPr>
    </w:p>
    <w:p w:rsidR="0064653C" w:rsidRPr="0064653C" w:rsidRDefault="0064653C" w:rsidP="0064653C">
      <w:pPr>
        <w:pBdr>
          <w:bottom w:val="single" w:sz="12" w:space="1" w:color="auto"/>
        </w:pBdr>
        <w:rPr>
          <w:b/>
          <w:bCs/>
          <w:kern w:val="28"/>
          <w:szCs w:val="24"/>
        </w:rPr>
      </w:pPr>
      <w:r w:rsidRPr="0064653C">
        <w:rPr>
          <w:b/>
          <w:bCs/>
          <w:kern w:val="28"/>
          <w:szCs w:val="24"/>
        </w:rPr>
        <w:t xml:space="preserve">2:1 </w:t>
      </w:r>
      <w:r w:rsidRPr="0064653C">
        <w:rPr>
          <w:b/>
          <w:bCs/>
          <w:kern w:val="28"/>
          <w:szCs w:val="24"/>
        </w:rPr>
        <w:tab/>
      </w:r>
      <w:r w:rsidRPr="0064653C">
        <w:rPr>
          <w:b/>
          <w:bCs/>
          <w:kern w:val="28"/>
          <w:szCs w:val="24"/>
        </w:rPr>
        <w:tab/>
        <w:t>Pensionsmyndigheten</w:t>
      </w:r>
    </w:p>
    <w:p w:rsidR="0064653C" w:rsidRPr="0064653C" w:rsidRDefault="0064653C" w:rsidP="0064653C">
      <w:pPr>
        <w:pBdr>
          <w:bottom w:val="single" w:sz="12" w:space="1" w:color="auto"/>
        </w:pBdr>
        <w:rPr>
          <w:szCs w:val="24"/>
        </w:rPr>
      </w:pPr>
    </w:p>
    <w:p w:rsidR="0064653C" w:rsidRPr="0064653C" w:rsidRDefault="0064653C" w:rsidP="0064653C">
      <w:pPr>
        <w:rPr>
          <w:szCs w:val="24"/>
        </w:rPr>
      </w:pPr>
      <w:r w:rsidRPr="0064653C">
        <w:rPr>
          <w:szCs w:val="24"/>
        </w:rPr>
        <w:t xml:space="preserve">  </w:t>
      </w:r>
    </w:p>
    <w:p w:rsidR="0064653C" w:rsidRPr="0064653C" w:rsidRDefault="0064653C" w:rsidP="0064653C">
      <w:pPr>
        <w:pBdr>
          <w:bottom w:val="single" w:sz="12" w:space="1" w:color="auto"/>
        </w:pBdr>
        <w:rPr>
          <w:szCs w:val="24"/>
        </w:rPr>
      </w:pPr>
      <w:r w:rsidRPr="0064653C">
        <w:rPr>
          <w:b/>
          <w:i/>
          <w:szCs w:val="24"/>
        </w:rPr>
        <w:t>Förslag:</w:t>
      </w:r>
      <w:r w:rsidRPr="0064653C">
        <w:rPr>
          <w:szCs w:val="24"/>
        </w:rPr>
        <w:t xml:space="preserve"> Anslaget 2:1 </w:t>
      </w:r>
      <w:r w:rsidRPr="0064653C">
        <w:rPr>
          <w:i/>
          <w:szCs w:val="24"/>
        </w:rPr>
        <w:t>Pensionsmyndigheten</w:t>
      </w:r>
      <w:r w:rsidRPr="0064653C">
        <w:rPr>
          <w:szCs w:val="24"/>
        </w:rPr>
        <w:t xml:space="preserve"> ökar med 10 000 000 kronor utöver med det som anges i vårändringsbudgeten för 2022.</w:t>
      </w:r>
    </w:p>
    <w:p w:rsidR="0064653C" w:rsidRPr="0064653C" w:rsidRDefault="0064653C" w:rsidP="0064653C">
      <w:pPr>
        <w:pBdr>
          <w:bottom w:val="single" w:sz="12" w:space="1" w:color="auto"/>
        </w:pBdr>
        <w:rPr>
          <w:szCs w:val="24"/>
        </w:rPr>
      </w:pPr>
      <w:r w:rsidRPr="0064653C">
        <w:rPr>
          <w:szCs w:val="24"/>
        </w:rPr>
        <w:t xml:space="preserve"> </w:t>
      </w:r>
    </w:p>
    <w:p w:rsidR="0064653C" w:rsidRPr="0064653C" w:rsidRDefault="0064653C" w:rsidP="0064653C">
      <w:pPr>
        <w:rPr>
          <w:szCs w:val="24"/>
        </w:rPr>
      </w:pP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r>
      <w:r w:rsidRPr="0064653C">
        <w:rPr>
          <w:szCs w:val="24"/>
        </w:rPr>
        <w:softHyphen/>
        <w:t xml:space="preserve"> </w:t>
      </w:r>
    </w:p>
    <w:p w:rsidR="0064653C" w:rsidRPr="0064653C" w:rsidRDefault="0064653C" w:rsidP="0064653C">
      <w:pPr>
        <w:rPr>
          <w:b/>
          <w:szCs w:val="24"/>
        </w:rPr>
      </w:pPr>
      <w:r w:rsidRPr="0064653C">
        <w:rPr>
          <w:b/>
          <w:szCs w:val="24"/>
        </w:rPr>
        <w:t xml:space="preserve">Skälen för utskottets förslag: </w:t>
      </w:r>
      <w:r w:rsidRPr="0064653C">
        <w:rPr>
          <w:szCs w:val="24"/>
        </w:rPr>
        <w:t>Höjningen av garantipensionen kommer att innebära ökade arbetsuppgifter för Pensionsmyndigheten. Anslaget ökas därför med 10 000 000 kronor.</w:t>
      </w:r>
      <w:r w:rsidRPr="0064653C">
        <w:rPr>
          <w:b/>
          <w:szCs w:val="24"/>
        </w:rPr>
        <w:t xml:space="preserve"> </w:t>
      </w:r>
    </w:p>
    <w:p w:rsidR="0064653C" w:rsidRPr="0064653C" w:rsidRDefault="0064653C" w:rsidP="0064653C">
      <w:pPr>
        <w:rPr>
          <w:szCs w:val="24"/>
        </w:rPr>
      </w:pPr>
    </w:p>
    <w:p w:rsidR="0064653C" w:rsidRPr="0064653C" w:rsidRDefault="0064653C" w:rsidP="0064653C">
      <w:pPr>
        <w:rPr>
          <w:szCs w:val="24"/>
        </w:rPr>
      </w:pPr>
    </w:p>
    <w:p w:rsidR="0064653C" w:rsidRPr="0064653C" w:rsidRDefault="0064653C" w:rsidP="0064653C">
      <w:pPr>
        <w:rPr>
          <w:szCs w:val="24"/>
        </w:rPr>
      </w:pPr>
    </w:p>
    <w:p w:rsidR="0064653C" w:rsidRPr="0064653C" w:rsidRDefault="0064653C" w:rsidP="0064653C">
      <w:pPr>
        <w:rPr>
          <w:i/>
          <w:szCs w:val="24"/>
        </w:rPr>
      </w:pPr>
      <w:r w:rsidRPr="0064653C">
        <w:rPr>
          <w:i/>
          <w:szCs w:val="24"/>
        </w:rPr>
        <w:t>Elisabeth Svantesson (M), Oscar Sjöstedt (SD), Jakob Forssmed (KD) och Mats Persson (L)</w:t>
      </w:r>
      <w:r w:rsidRPr="0064653C">
        <w:rPr>
          <w:i/>
          <w:szCs w:val="24"/>
        </w:rPr>
        <w:br/>
      </w:r>
    </w:p>
    <w:p w:rsidR="0064653C" w:rsidRPr="0064653C" w:rsidRDefault="0064653C" w:rsidP="0064653C">
      <w:pPr>
        <w:tabs>
          <w:tab w:val="left" w:pos="1304"/>
        </w:tabs>
        <w:spacing w:after="160" w:line="256" w:lineRule="auto"/>
        <w:rPr>
          <w:b/>
          <w:kern w:val="28"/>
          <w:szCs w:val="24"/>
        </w:rPr>
      </w:pPr>
      <w:r w:rsidRPr="0064653C">
        <w:rPr>
          <w:szCs w:val="24"/>
        </w:rPr>
        <w:br w:type="page"/>
      </w:r>
    </w:p>
    <w:p w:rsidR="0064653C" w:rsidRPr="0064653C" w:rsidRDefault="0064653C" w:rsidP="0064653C">
      <w:pPr>
        <w:pStyle w:val="Rubrik1"/>
        <w:rPr>
          <w:kern w:val="28"/>
          <w:sz w:val="24"/>
          <w:szCs w:val="24"/>
        </w:rPr>
      </w:pPr>
      <w:r w:rsidRPr="0064653C">
        <w:rPr>
          <w:sz w:val="24"/>
          <w:szCs w:val="24"/>
        </w:rPr>
        <w:lastRenderedPageBreak/>
        <w:t>Bilaga 1</w:t>
      </w:r>
    </w:p>
    <w:p w:rsidR="0064653C" w:rsidRPr="0064653C" w:rsidRDefault="0064653C" w:rsidP="0064653C">
      <w:pPr>
        <w:rPr>
          <w:szCs w:val="24"/>
        </w:rPr>
      </w:pPr>
      <w:r w:rsidRPr="0064653C">
        <w:rPr>
          <w:szCs w:val="24"/>
        </w:rPr>
        <w:t>Tabell 1.1. Specifikation av ändrade ramar för utgiftsområden och ändrade och nya anslag 2022</w:t>
      </w:r>
    </w:p>
    <w:p w:rsidR="0064653C" w:rsidRPr="0064653C" w:rsidRDefault="0064653C" w:rsidP="0064653C">
      <w:pPr>
        <w:rPr>
          <w:szCs w:val="24"/>
        </w:rPr>
      </w:pPr>
    </w:p>
    <w:tbl>
      <w:tblPr>
        <w:tblW w:w="5000" w:type="pct"/>
        <w:tblCellMar>
          <w:left w:w="70" w:type="dxa"/>
          <w:right w:w="70" w:type="dxa"/>
        </w:tblCellMar>
        <w:tblLook w:val="04A0" w:firstRow="1" w:lastRow="0" w:firstColumn="1" w:lastColumn="0" w:noHBand="0" w:noVBand="1"/>
      </w:tblPr>
      <w:tblGrid>
        <w:gridCol w:w="1544"/>
        <w:gridCol w:w="925"/>
        <w:gridCol w:w="2715"/>
        <w:gridCol w:w="1170"/>
        <w:gridCol w:w="1121"/>
        <w:gridCol w:w="1170"/>
      </w:tblGrid>
      <w:tr w:rsidR="0064653C" w:rsidRPr="0064653C" w:rsidTr="0064653C">
        <w:trPr>
          <w:trHeight w:val="420"/>
        </w:trPr>
        <w:tc>
          <w:tcPr>
            <w:tcW w:w="5000" w:type="pct"/>
            <w:gridSpan w:val="6"/>
            <w:shd w:val="clear" w:color="auto" w:fill="FFFFFF"/>
            <w:noWrap/>
            <w:vAlign w:val="center"/>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Specifikation av ändrade ramar för utgiftsområden och ändrade och nya anslag 2022</w:t>
            </w:r>
          </w:p>
        </w:tc>
      </w:tr>
      <w:tr w:rsidR="0064653C" w:rsidRPr="0064653C" w:rsidTr="0064653C">
        <w:trPr>
          <w:trHeight w:val="300"/>
        </w:trPr>
        <w:tc>
          <w:tcPr>
            <w:tcW w:w="522"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c>
          <w:tcPr>
            <w:tcW w:w="481"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c>
          <w:tcPr>
            <w:tcW w:w="2430"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r>
      <w:tr w:rsidR="0064653C" w:rsidRPr="0064653C" w:rsidTr="0064653C">
        <w:trPr>
          <w:trHeight w:val="300"/>
        </w:trPr>
        <w:tc>
          <w:tcPr>
            <w:tcW w:w="522"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Tusental kronor</w:t>
            </w:r>
          </w:p>
        </w:tc>
        <w:tc>
          <w:tcPr>
            <w:tcW w:w="481"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2430"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r>
      <w:tr w:rsidR="0064653C" w:rsidRPr="0064653C" w:rsidTr="0064653C">
        <w:trPr>
          <w:trHeight w:val="585"/>
        </w:trPr>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Utgifts-område</w:t>
            </w:r>
          </w:p>
        </w:tc>
        <w:tc>
          <w:tcPr>
            <w:tcW w:w="481"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Anslags-nummer</w:t>
            </w:r>
          </w:p>
        </w:tc>
        <w:tc>
          <w:tcPr>
            <w:tcW w:w="2430"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Beslutad ram/anvisat anslag</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Förändring av ram/anslag</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Ny ram/Ny anslagsnivå</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Rikets styrelse</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17 433 338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172 000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17 605 338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Kungliga hov- och slottsstaten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149 157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38 000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187 157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Riksdagens fastighetsanslag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180 000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3:1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Sametinget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61 800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59 300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5:1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Länsstyrelserna m.m.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3 678 121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76 500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3 754 621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Samhällsekonomi och finansförvaltning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17 971 183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13 750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17 984 933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Kammarkollegiet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114 574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4 250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118 824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Konjunkturinstitutet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67 682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70 682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1:9</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Statistiska centralbyrån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592 901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591 901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Finansinspektionen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733 787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735 787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Riksgäldskontoret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338 983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344 983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Statens servicecenter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882 068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881 568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3</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Skatt, tull och exekution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12 929 734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12 931 734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Skatteverket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8 302 898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8 304 898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4</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Rättsväsendet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62 918 986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580 000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63 498 986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Polismyndigheten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33 835 967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34 337 967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Säkerhetspolisen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1 878 382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1 898 382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Åklagarmyndigheten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2 022 249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2 023 249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Sveriges Domstolar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6 682 674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6 683 674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Kriminalvården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12 362 399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12 363 399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Kostnader för vissa skaderegleringar m.m.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39 987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94 987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5</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Internationell samverkan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2 735 117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2 825 117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Avgifter till internationella organisationer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1 533 554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1 623 554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6</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xml:space="preserve">Försvar och samhällets </w:t>
            </w:r>
            <w:r w:rsidRPr="0064653C">
              <w:rPr>
                <w:b/>
                <w:bCs/>
                <w:szCs w:val="24"/>
                <w:lang w:val="en-GB" w:eastAsia="en-US"/>
              </w:rPr>
              <w:lastRenderedPageBreak/>
              <w:t>krisberedskap</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lastRenderedPageBreak/>
              <w:t xml:space="preserve">79 208 </w:t>
            </w:r>
            <w:r w:rsidRPr="0064653C">
              <w:rPr>
                <w:b/>
                <w:bCs/>
                <w:szCs w:val="24"/>
                <w:lang w:val="en-GB" w:eastAsia="en-US"/>
              </w:rPr>
              <w:lastRenderedPageBreak/>
              <w:t>299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lastRenderedPageBreak/>
              <w:t>1 411 000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 xml:space="preserve">80 619 </w:t>
            </w:r>
            <w:r w:rsidRPr="0064653C">
              <w:rPr>
                <w:b/>
                <w:bCs/>
                <w:szCs w:val="24"/>
                <w:lang w:val="en-GB" w:eastAsia="en-US"/>
              </w:rPr>
              <w:lastRenderedPageBreak/>
              <w:t>299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lastRenderedPageBreak/>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Anskaffning av materiel och anläggning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22 059 713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23 059 713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Förebyggande åtgärder mot jordskred och andra naturolyckor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521 850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519 850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Krisberedskap</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1 273 788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236 000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1 509 788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Ersättning till SOS Alarm Sverige AB för alarmeringstjänst enligt avtal</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401 671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426 671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Myndigheten för samhällsskydd och beredskap</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1 448 916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1 578 916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Myndigheten för psykologiskt försvar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113 000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3:1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Strålsäkerhetsmyndigheten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407 892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419 892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7</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Internationellt bistånd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51 939 762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51 939 762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Biståndsverksamhet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49 985 150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13 774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49 998 924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Styrelsen för internationellt utvecklingssamarbete (Sida)</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1 652 317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-13 774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1 638 543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8</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Migration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8 541 364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10 300 000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18 841 364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Ersättningar och bostadskostnader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2 190 000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9 800 000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11 990 000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1:9</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Tillfälligt stöd till kommuner med anledning av kriget i Ukraina</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500 000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9</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Hälsovård, sjukvård och social omsorg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119 461 613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1 633 000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121 094 613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Socialstyrelsen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765 160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767 160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Bidrag till folkhälsa och sjukvård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31 417 886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1 736 000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33 153 886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Bidrag till WHO</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46 665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41 665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4:7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Bidrag till utveckling av socialt arbete m.m.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669 151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569 151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10</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Ekonomisk trygghet vid sjukdom och funktionsnedsättning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106 203 457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5 802 000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112 005 457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Ersättning för höga sjuklönekostnader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7 407 000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5 800 000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13 207 000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Försäkringskassan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9 281 366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9 283 366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11</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Ekonomisk trygghet vid ålderdom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42 161 128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1 863 000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44 024 128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xml:space="preserve">Garantipension till </w:t>
            </w:r>
            <w:r w:rsidRPr="0064653C">
              <w:rPr>
                <w:szCs w:val="24"/>
                <w:lang w:val="en-GB" w:eastAsia="en-US"/>
              </w:rPr>
              <w:lastRenderedPageBreak/>
              <w:t>ålderspension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lastRenderedPageBreak/>
              <w:t xml:space="preserve">13 416 </w:t>
            </w:r>
            <w:r w:rsidRPr="0064653C">
              <w:rPr>
                <w:szCs w:val="24"/>
                <w:lang w:val="en-GB" w:eastAsia="en-US"/>
              </w:rPr>
              <w:lastRenderedPageBreak/>
              <w:t>400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lastRenderedPageBreak/>
              <w:t>1 193 000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 xml:space="preserve">14 609 </w:t>
            </w:r>
            <w:r w:rsidRPr="0064653C">
              <w:rPr>
                <w:szCs w:val="24"/>
                <w:lang w:val="en-GB" w:eastAsia="en-US"/>
              </w:rPr>
              <w:lastRenderedPageBreak/>
              <w:t>400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lastRenderedPageBreak/>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Bostadstillägg till pensionärer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11 836 400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12 341 400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Äldreförsörjningsstöd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1 252 200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1 242 200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Pensionsmyndigheten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700 228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175 000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875 228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12</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Ekonomisk trygghet för familjer och barn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99 846 770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1 653 000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101 499 770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Föräldraförsäkring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45 031 247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1 140 000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46 171 247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Bostadsbidrag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4 286 404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513 000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4 799 404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13</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Jämställdhet och nyanlända invandrares etablering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6 151 744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30 000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6 181 744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Etableringsåtgärder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142 030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172 030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4:1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Åtgärder mot segregation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489 500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4:2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Delegationen mot segregation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18 416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28 916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14</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Arbetsmarknad och arbetsliv</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93 220 726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93 271 726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Arbetsförmedlingens förvaltningskostnader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7 810 253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7 861 253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16</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Utbildning och universitetsforskning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95 384 445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89 000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95 473 445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Statens skolverk</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1 367 338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1 368 338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Bidrag till viss verksamhet inom skolväsendet, m.m.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200 720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230 720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Statligt stöd till vuxenutbildning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5 417 422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5 117 422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1:19</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Statligt stöd till yrkeshögskoleutbildning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3 815 236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3 858 236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2:64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Särskilda utgifter inom universitet och högskolor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950 902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965 902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3:1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Vetenskapsrådet: Forskning och forskningsinformation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7 028 846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7 328 846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17</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Kultur, medier, trossamfund och fritid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20 049 593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108 510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20 158 103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9:2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Stöd till trossamfund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81 919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8 510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90 429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13:5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Insatser för den ideella sektorn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128 758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228 758</w:t>
            </w:r>
          </w:p>
        </w:tc>
      </w:tr>
      <w:tr w:rsidR="0064653C" w:rsidRPr="0064653C" w:rsidTr="0064653C">
        <w:trPr>
          <w:trHeight w:val="465"/>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18</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Samhällsplanering, bostadsförsörjning och byggande samt konsumentpolitik</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5 771 334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5 773 334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Statens geotekniska institut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56 847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57 847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Lantmäteriet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688 817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689 817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20</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xml:space="preserve">Allmän miljö- och </w:t>
            </w:r>
            <w:r w:rsidRPr="0064653C">
              <w:rPr>
                <w:b/>
                <w:bCs/>
                <w:szCs w:val="24"/>
                <w:lang w:val="en-GB" w:eastAsia="en-US"/>
              </w:rPr>
              <w:lastRenderedPageBreak/>
              <w:t>naturvård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lastRenderedPageBreak/>
              <w:t xml:space="preserve">20 951 </w:t>
            </w:r>
            <w:r w:rsidRPr="0064653C">
              <w:rPr>
                <w:b/>
                <w:bCs/>
                <w:szCs w:val="24"/>
                <w:lang w:val="en-GB" w:eastAsia="en-US"/>
              </w:rPr>
              <w:lastRenderedPageBreak/>
              <w:t>580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lastRenderedPageBreak/>
              <w:t>3 847 000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 xml:space="preserve">24 798 </w:t>
            </w:r>
            <w:r w:rsidRPr="0064653C">
              <w:rPr>
                <w:b/>
                <w:bCs/>
                <w:szCs w:val="24"/>
                <w:lang w:val="en-GB" w:eastAsia="en-US"/>
              </w:rPr>
              <w:lastRenderedPageBreak/>
              <w:t>580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lastRenderedPageBreak/>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Naturvårdsverket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645 033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646 033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Åtgärder för värdefull natur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2 064 035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2 061 035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Sanering och återställning av förorenade områden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1 167 318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-10 750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1 156 568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Avgifter till Internationella organisationer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282 131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7 750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289 881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Klimatbonus</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3 510 000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3 900 000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7 410 000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1:9</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Sveriges meteorologiska och hydrologiska institut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298 143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300 143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Biogasstöd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450 000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21</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Energi</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11 674 924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11 767 924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Statens energimyndighet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419 387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421 387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Insatser för energieffektivisering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28 000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Energimarknadsinspektionen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184 294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185 294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Elberedskap</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361 000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441 000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22</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Kommunikationer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77 091 052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882 000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77 973 052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Utveckling av statens transportinfrastruktur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31 929 785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31 959 785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Vidmakthållande av statens transportinfrastruktur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30 402 263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769 000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31 171 263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Post- och telestyrelsen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87 679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92 679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Driftsäker och tillgänglig elektronisk kommunikation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1 561 014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77 000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1 638 014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Myndigheten för digital förvaltning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156 845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157 845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23</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Areella näringar, landsbygd och livsmedel</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21 644 754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461 000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22 105 754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Bekämpning av smittsamma djursjukdomar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183 349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84 000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267 349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Statens jordbruksverk</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615 698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621 198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Livsmedelsverket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344 398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341 398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Konkurrenskraftig livsmedelssektor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204 160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199 660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Åtgärder för landsbygdens miljö och struktur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3 783 297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4 083 297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1:19</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Miljöförbättrande åtgärder i jordbruket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42 330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92 330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Främjande av rennäringen m.m.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125 915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135 915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lastRenderedPageBreak/>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Nedsättning av slakteriavgifter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73 237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82 237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Åtgärder för beredskap inom livsmedels- och dricksvattenområdet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25 000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24</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Näringsliv</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14 248 901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583 000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14 831 901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Bolagsverket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65 542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66 542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Omstrukturering och genomlysning av statligt ägda företag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18 850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27 850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Kapitalinsatser i statligt ägda företag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476 000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477 000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Exportfrämjande verksamhet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361 367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411 367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AB Svensk Exportkredits statsstödda exportkreditgivning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47 000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147 000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25</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Allmänna bidrag till kommuner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156 498 194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425 000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156 923 194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Tillfälligt stöd till enskilda kommuner och regioner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250 000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375 000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Tillfälligt stöd för ökade kostnader för finansiering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300 000</w:t>
            </w:r>
          </w:p>
        </w:tc>
      </w:tr>
      <w:tr w:rsidR="0064653C" w:rsidRPr="0064653C" w:rsidTr="0064653C">
        <w:trPr>
          <w:trHeight w:val="315"/>
        </w:trPr>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481"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Summa anslagsförändring på ändringsbudget</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30 091 260</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r>
    </w:tbl>
    <w:p w:rsidR="0064653C" w:rsidRPr="0064653C" w:rsidRDefault="0064653C" w:rsidP="0064653C">
      <w:pPr>
        <w:tabs>
          <w:tab w:val="left" w:pos="1304"/>
        </w:tabs>
        <w:spacing w:after="160" w:line="256" w:lineRule="auto"/>
        <w:rPr>
          <w:szCs w:val="24"/>
        </w:rPr>
      </w:pPr>
      <w:r w:rsidRPr="0064653C">
        <w:rPr>
          <w:szCs w:val="24"/>
        </w:rPr>
        <w:br w:type="page"/>
      </w:r>
    </w:p>
    <w:p w:rsidR="0064653C" w:rsidRPr="0064653C" w:rsidRDefault="0064653C" w:rsidP="0064653C">
      <w:pPr>
        <w:pStyle w:val="Rubrik1"/>
        <w:rPr>
          <w:sz w:val="24"/>
          <w:szCs w:val="24"/>
        </w:rPr>
      </w:pPr>
      <w:r w:rsidRPr="0064653C">
        <w:rPr>
          <w:sz w:val="24"/>
          <w:szCs w:val="24"/>
        </w:rPr>
        <w:lastRenderedPageBreak/>
        <w:t>Bilaga 2</w:t>
      </w:r>
    </w:p>
    <w:p w:rsidR="0064653C" w:rsidRPr="0064653C" w:rsidRDefault="0064653C" w:rsidP="0064653C">
      <w:pPr>
        <w:rPr>
          <w:szCs w:val="24"/>
        </w:rPr>
      </w:pPr>
      <w:r w:rsidRPr="0064653C">
        <w:rPr>
          <w:szCs w:val="24"/>
        </w:rPr>
        <w:t>Tabell 1.1. Specifikation av ändrade ramar för utgiftsområden och ändrade och nya anslag 2022</w:t>
      </w:r>
    </w:p>
    <w:p w:rsidR="0064653C" w:rsidRPr="0064653C" w:rsidRDefault="0064653C" w:rsidP="0064653C">
      <w:pPr>
        <w:rPr>
          <w:szCs w:val="24"/>
        </w:rPr>
      </w:pPr>
    </w:p>
    <w:tbl>
      <w:tblPr>
        <w:tblW w:w="5000" w:type="pct"/>
        <w:tblCellMar>
          <w:left w:w="70" w:type="dxa"/>
          <w:right w:w="70" w:type="dxa"/>
        </w:tblCellMar>
        <w:tblLook w:val="04A0" w:firstRow="1" w:lastRow="0" w:firstColumn="1" w:lastColumn="0" w:noHBand="0" w:noVBand="1"/>
      </w:tblPr>
      <w:tblGrid>
        <w:gridCol w:w="1544"/>
        <w:gridCol w:w="925"/>
        <w:gridCol w:w="2715"/>
        <w:gridCol w:w="1170"/>
        <w:gridCol w:w="1121"/>
        <w:gridCol w:w="1170"/>
      </w:tblGrid>
      <w:tr w:rsidR="0064653C" w:rsidRPr="0064653C" w:rsidTr="0064653C">
        <w:trPr>
          <w:trHeight w:val="420"/>
        </w:trPr>
        <w:tc>
          <w:tcPr>
            <w:tcW w:w="5000" w:type="pct"/>
            <w:gridSpan w:val="6"/>
            <w:shd w:val="clear" w:color="auto" w:fill="FFFFFF"/>
            <w:noWrap/>
            <w:vAlign w:val="center"/>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Specifikation av ändrade ramar för utgiftsområden och ändrade och nya anslag 2022</w:t>
            </w:r>
          </w:p>
        </w:tc>
      </w:tr>
      <w:tr w:rsidR="0064653C" w:rsidRPr="0064653C" w:rsidTr="0064653C">
        <w:trPr>
          <w:trHeight w:val="300"/>
        </w:trPr>
        <w:tc>
          <w:tcPr>
            <w:tcW w:w="522"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c>
          <w:tcPr>
            <w:tcW w:w="481"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c>
          <w:tcPr>
            <w:tcW w:w="2430"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color w:val="000000"/>
                <w:szCs w:val="24"/>
                <w:lang w:val="en-GB" w:eastAsia="en-US"/>
              </w:rPr>
            </w:pPr>
            <w:r w:rsidRPr="0064653C">
              <w:rPr>
                <w:color w:val="000000"/>
                <w:szCs w:val="24"/>
                <w:lang w:val="en-GB" w:eastAsia="en-US"/>
              </w:rPr>
              <w:t> </w:t>
            </w:r>
          </w:p>
        </w:tc>
      </w:tr>
      <w:tr w:rsidR="0064653C" w:rsidRPr="0064653C" w:rsidTr="0064653C">
        <w:trPr>
          <w:trHeight w:val="300"/>
        </w:trPr>
        <w:tc>
          <w:tcPr>
            <w:tcW w:w="522"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Tusental kronor</w:t>
            </w:r>
          </w:p>
        </w:tc>
        <w:tc>
          <w:tcPr>
            <w:tcW w:w="481"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2430"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522" w:type="pct"/>
            <w:shd w:val="clear" w:color="auto" w:fill="FFFFFF"/>
            <w:noWrap/>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r>
      <w:tr w:rsidR="0064653C" w:rsidRPr="0064653C" w:rsidTr="0064653C">
        <w:trPr>
          <w:trHeight w:val="585"/>
        </w:trPr>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Utgifts-område</w:t>
            </w:r>
          </w:p>
        </w:tc>
        <w:tc>
          <w:tcPr>
            <w:tcW w:w="481"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Anslags-nummer</w:t>
            </w:r>
          </w:p>
        </w:tc>
        <w:tc>
          <w:tcPr>
            <w:tcW w:w="2430"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Beslutad ram/anvisat anslag</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Förändring av ram/anslag</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Ny ram/Ny anslagsnivå</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Rikets styrelse</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17 433 338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172 000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17 605 338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Kungliga hov- och slottsstaten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149 157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38 000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187 157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Riksdagens fastighetsanslag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180 000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3:1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Sametinget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61 800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59 300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5:1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Länsstyrelserna m.m.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3 678 121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76 500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3 754 621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Samhällsekonomi och finansförvaltning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17 971 183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13 750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17 984 933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Kammarkollegiet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114 574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4 250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118 824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Konjunkturinstitutet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67 682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70 682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1:9</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Statistiska centralbyrån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592 901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591 901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Finansinspektionen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733 787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735 787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Riksgäldskontoret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338 983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344 983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Statens servicecenter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882 068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881 568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3</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Skatt, tull och exekution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12 929 734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12 931 734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Skatteverket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8 302 898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8 304 898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4</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Rättsväsendet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62 918 986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580 000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63 498 986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Polismyndigheten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33 835 967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34 337 967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Säkerhetspolisen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1 878 382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1 898 382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Åklagarmyndigheten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2 022 249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2 023 249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Sveriges Domstolar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6 682 674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6 683 674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Kriminalvården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12 362 399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12 363 399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Kostnader för vissa skaderegleringar m.m.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39 987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94 987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5</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Internationell samverkan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2 735 117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1 090 000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3 825 117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Avgifter till internationella organisationer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1 533 554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1 623 554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xml:space="preserve">Freds- och </w:t>
            </w:r>
            <w:r w:rsidRPr="0064653C">
              <w:rPr>
                <w:szCs w:val="24"/>
                <w:lang w:val="en-GB" w:eastAsia="en-US"/>
              </w:rPr>
              <w:lastRenderedPageBreak/>
              <w:t>säkerhetsfrämjande åtgärder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lastRenderedPageBreak/>
              <w:t>681 848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1 681 848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6</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Försvar och samhällets krisberedskap</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79 208 299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411 000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79 619 299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Förebyggande åtgärder mot jordskred och andra naturolyckor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521 850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519 850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Krisberedskap</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1 273 788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236 000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1 509 788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Ersättning till SOS Alarm Sverige AB för alarmeringstjänst enligt avtal</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401 671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426 671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Myndigheten för samhällsskydd och beredskap</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1 448 916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1 578 916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Myndigheten för psykologiskt försvar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113 000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3:1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Strålsäkerhetsmyndigheten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407 892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419 892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7</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Internationellt bistånd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51 939 762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51 939 762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Biståndsverksamhet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49 985 150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13 774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49 998 924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Styrelsen för internationellt utvecklingssamarbete (Sida)</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1 652 317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-13 774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1 638 543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8</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Migration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8 541 364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10 300 000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18 841 364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Ersättningar och bostadskostnader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2 190 000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9 800 000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11 990 000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1:9</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Tillfälligt stöd till kommuner med anledning av kriget i Ukraina</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500 000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9</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Hälsovård, sjukvård och social omsorg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119 461 613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1 633 000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121 094 613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Socialstyrelsen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765 160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767 160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Bidrag till folkhälsa och sjukvård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31 417 886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1 736 000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33 153 886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Bidrag till WHO</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46 665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41 665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4:7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Bidrag till utveckling av socialt arbete m.m.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669 151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569 151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10</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Ekonomisk trygghet vid sjukdom och funktionsnedsättning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106 203 457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5 802 000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112 005 457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Ersättning för höga sjuklönekostnader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7 407 000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5 800 000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13 207 000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Försäkringskassan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9 281 366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9 283 366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11</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Ekonomisk trygghet vid ålderdom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42 161 128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1 863 000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44 024 128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lastRenderedPageBreak/>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Garantipension till ålderspension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13 416 400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1 193 000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14 609 400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Bostadstillägg till pensionärer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11 836 400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12 341 400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Äldreförsörjningsstöd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1 252 200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1 242 200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Pensionsmyndigheten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700 228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175 000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875 228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12</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Ekonomisk trygghet för familjer och barn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99 846 770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1 653 000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101 499 770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Föräldraförsäkring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45 031 247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1 140 000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46 171 247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Bostadsbidrag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4 286 404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513 000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4 799 404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13</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Jämställdhet och nyanlända invandrares etablering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6 151 744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30 000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6 181 744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Etableringsåtgärder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142 030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172 030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4:1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Åtgärder mot segregation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489 500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4:2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Delegationen mot segregation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18 416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28 916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14</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Arbetsmarknad och arbetsliv</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93 220 726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93 271 726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Arbetsförmedlingens förvaltningskostnader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7 810 253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7 861 253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16</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Utbildning och universitetsforskning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95 384 445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89 000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95 473 445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Statens skolverk</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1 367 338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1 368 338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Bidrag till viss verksamhet inom skolväsendet, m.m.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200 720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230 720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Statligt stöd till vuxenutbildning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5 417 422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5 117 422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1:19</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Statligt stöd till yrkeshögskoleutbildning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3 815 236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3 858 236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2:64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Särskilda utgifter inom universitet och högskolor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950 902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965 902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3:1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Vetenskapsrådet: Forskning och forskningsinformation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7 028 846</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7 328 846</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17</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Kultur, medier, trossamfund och fritid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20 049 593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108 510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20 158 103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9:2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Stöd till trossamfund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81 919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8 510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90 429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13:5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Insatser för den ideella sektorn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128 758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228 758</w:t>
            </w:r>
          </w:p>
        </w:tc>
      </w:tr>
      <w:tr w:rsidR="0064653C" w:rsidRPr="0064653C" w:rsidTr="0064653C">
        <w:trPr>
          <w:trHeight w:val="465"/>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18</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Samhällsplanering, bostadsförsörjning och byggande samt konsumentpolitik</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5 771 334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5 773 334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Statens geotekniska institut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56 847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57 847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Lantmäteriet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688 817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689 817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lastRenderedPageBreak/>
              <w:t>20</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Allmän miljö- och naturvård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20 951 580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3 847 000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24 798 580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Naturvårdsverket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645 033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646 033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Åtgärder för värdefull natur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2 064 035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2 061 035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Sanering och återställning av förorenade områden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1 167 318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-10 750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1 156 568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Avgifter till Internationella organisationer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282 131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7 750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289 881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Klimatbonus</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3 510 000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3 900 000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7 410 000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1:9</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Sveriges meteorologiska och hydrologiska institut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298 143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300 143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Biogasstöd</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450 000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21</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Energi</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11 674 924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93 000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11 767 924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Statens energimyndighet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419 387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421 387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Insatser för energieffektivisering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28 000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Energimarknadsinspektionen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184 294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185 294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Elberedskap</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361 000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441 000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22</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Kommunikationer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77 091 052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882 000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77 973 052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Utveckling av statens transportinfrastruktur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31 929 785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31 959 785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Vidmakthållande av statens transportinfrastruktur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30 402 263</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769 000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31 171 263</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Post- och telestyrelsen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87 679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92 679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Driftsäker och tillgänglig elektronisk kommunikation</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1 561 014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77 000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1 638 014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Myndigheten för digital förvaltning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156 845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157 845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23</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Areella näringar, landsbygd och livsmedel</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21 644 754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461 000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22 105 754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Bekämpning av smittsamma djursjukdomar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183 349</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84 000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267 349</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1:8</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Statens jordbruksverk</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615 698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621 198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Livsmedelsverket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344 398</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341 398</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1:15</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Konkurrenskraftig livsmedelssektor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204 160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-4 500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199 660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Åtgärder för landsbygdens miljö och struktur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3 783 297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4 083 297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1:19</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Miljöförbättrande åtgärder i jordbruket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42 330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92 330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1:22</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Främjande av rennäringen m.m.</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125 915</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135 915</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lastRenderedPageBreak/>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Nedsättning av slakteriavgifter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73 237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82 237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1:27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Åtgärder för beredskap inom livsmedels- och dricksvattenområdet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25 000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24</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Näringsliv</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14 248 901</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583 000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14 831 901</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1:11</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Bolagsverket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65 542</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66 542</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Omstrukturering och genomlysning av statligt ägda företag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18 850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9 000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27 850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1:17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Kapitalinsatser i statligt ägda företag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476 000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477 000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2:3</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Exportfrämjande verksamhet</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361 367</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50 000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411 367</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2:7</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AB Svensk Exportkredits statsstödda exportkreditgivning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47 000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147 000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25</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Allmänna bidrag till kommuner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156 498 194</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425 000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156 923 194</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1:4</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Tillfälligt stöd till enskilda kommuner och regioner</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250 000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125 000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375 000</w:t>
            </w:r>
          </w:p>
        </w:tc>
      </w:tr>
      <w:tr w:rsidR="0064653C" w:rsidRPr="0064653C" w:rsidTr="0064653C">
        <w:trPr>
          <w:trHeight w:val="300"/>
        </w:trPr>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c>
          <w:tcPr>
            <w:tcW w:w="481"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1:6</w:t>
            </w:r>
          </w:p>
        </w:tc>
        <w:tc>
          <w:tcPr>
            <w:tcW w:w="2430"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Tillfälligt stöd för ökade kostnader för finansiering</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300 000</w:t>
            </w:r>
          </w:p>
        </w:tc>
        <w:tc>
          <w:tcPr>
            <w:tcW w:w="522" w:type="pct"/>
            <w:tcBorders>
              <w:top w:val="nil"/>
              <w:left w:val="nil"/>
              <w:bottom w:val="single" w:sz="4" w:space="0" w:color="000000"/>
              <w:right w:val="nil"/>
            </w:tcBorders>
            <w:shd w:val="clear" w:color="auto" w:fill="FFFFFF"/>
            <w:vAlign w:val="bottom"/>
            <w:hideMark/>
          </w:tcPr>
          <w:p w:rsidR="0064653C" w:rsidRPr="0064653C" w:rsidRDefault="0064653C">
            <w:pPr>
              <w:tabs>
                <w:tab w:val="left" w:pos="1304"/>
              </w:tabs>
              <w:spacing w:line="256" w:lineRule="auto"/>
              <w:jc w:val="right"/>
              <w:rPr>
                <w:szCs w:val="24"/>
                <w:lang w:val="en-GB" w:eastAsia="en-US"/>
              </w:rPr>
            </w:pPr>
            <w:r w:rsidRPr="0064653C">
              <w:rPr>
                <w:szCs w:val="24"/>
                <w:lang w:val="en-GB" w:eastAsia="en-US"/>
              </w:rPr>
              <w:t>300 000</w:t>
            </w:r>
          </w:p>
        </w:tc>
      </w:tr>
      <w:tr w:rsidR="0064653C" w:rsidRPr="0064653C" w:rsidTr="0064653C">
        <w:trPr>
          <w:trHeight w:val="315"/>
        </w:trPr>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481"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2430"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Summa anslagsförändring på ändringsbudget</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b/>
                <w:bCs/>
                <w:szCs w:val="24"/>
                <w:lang w:val="en-GB" w:eastAsia="en-US"/>
              </w:rPr>
            </w:pPr>
            <w:r w:rsidRPr="0064653C">
              <w:rPr>
                <w:b/>
                <w:bCs/>
                <w:szCs w:val="24"/>
                <w:lang w:val="en-GB" w:eastAsia="en-US"/>
              </w:rPr>
              <w:t> </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jc w:val="right"/>
              <w:rPr>
                <w:b/>
                <w:bCs/>
                <w:szCs w:val="24"/>
                <w:lang w:val="en-GB" w:eastAsia="en-US"/>
              </w:rPr>
            </w:pPr>
            <w:r w:rsidRPr="0064653C">
              <w:rPr>
                <w:b/>
                <w:bCs/>
                <w:szCs w:val="24"/>
                <w:lang w:val="en-GB" w:eastAsia="en-US"/>
              </w:rPr>
              <w:t>30 091 260</w:t>
            </w:r>
          </w:p>
        </w:tc>
        <w:tc>
          <w:tcPr>
            <w:tcW w:w="522" w:type="pct"/>
            <w:tcBorders>
              <w:top w:val="nil"/>
              <w:left w:val="nil"/>
              <w:bottom w:val="single" w:sz="8" w:space="0" w:color="000000"/>
              <w:right w:val="nil"/>
            </w:tcBorders>
            <w:shd w:val="clear" w:color="auto" w:fill="FFFFFF"/>
            <w:vAlign w:val="bottom"/>
            <w:hideMark/>
          </w:tcPr>
          <w:p w:rsidR="0064653C" w:rsidRPr="0064653C" w:rsidRDefault="0064653C">
            <w:pPr>
              <w:tabs>
                <w:tab w:val="left" w:pos="1304"/>
              </w:tabs>
              <w:spacing w:line="256" w:lineRule="auto"/>
              <w:rPr>
                <w:szCs w:val="24"/>
                <w:lang w:val="en-GB" w:eastAsia="en-US"/>
              </w:rPr>
            </w:pPr>
            <w:r w:rsidRPr="0064653C">
              <w:rPr>
                <w:szCs w:val="24"/>
                <w:lang w:val="en-GB" w:eastAsia="en-US"/>
              </w:rPr>
              <w:t> </w:t>
            </w:r>
          </w:p>
        </w:tc>
      </w:tr>
    </w:tbl>
    <w:p w:rsidR="0064653C" w:rsidRPr="0064653C" w:rsidRDefault="0064653C" w:rsidP="0064653C">
      <w:pPr>
        <w:rPr>
          <w:szCs w:val="24"/>
        </w:rPr>
      </w:pPr>
    </w:p>
    <w:p w:rsidR="0064653C" w:rsidRPr="0064653C" w:rsidRDefault="0064653C" w:rsidP="0064653C">
      <w:pPr>
        <w:tabs>
          <w:tab w:val="left" w:pos="1304"/>
        </w:tabs>
        <w:spacing w:after="160" w:line="256" w:lineRule="auto"/>
        <w:rPr>
          <w:szCs w:val="24"/>
        </w:rPr>
      </w:pPr>
      <w:r w:rsidRPr="0064653C">
        <w:rPr>
          <w:szCs w:val="24"/>
        </w:rPr>
        <w:br w:type="page"/>
      </w:r>
    </w:p>
    <w:p w:rsidR="0064653C" w:rsidRPr="0064653C" w:rsidRDefault="0064653C" w:rsidP="0064653C">
      <w:pPr>
        <w:pStyle w:val="Rubrik1"/>
        <w:rPr>
          <w:sz w:val="24"/>
          <w:szCs w:val="24"/>
        </w:rPr>
      </w:pPr>
      <w:r w:rsidRPr="0064653C">
        <w:rPr>
          <w:sz w:val="24"/>
          <w:szCs w:val="24"/>
        </w:rPr>
        <w:lastRenderedPageBreak/>
        <w:t>Bilaga 3</w:t>
      </w:r>
    </w:p>
    <w:p w:rsidR="0064653C" w:rsidRPr="0064653C" w:rsidRDefault="0064653C" w:rsidP="0064653C">
      <w:pPr>
        <w:rPr>
          <w:szCs w:val="24"/>
        </w:rPr>
      </w:pPr>
      <w:r w:rsidRPr="0064653C">
        <w:rPr>
          <w:szCs w:val="24"/>
        </w:rPr>
        <w:t>Tabell 1.2 – ökade bemyndiganden utöver förslagen i vårändringsbudgeten (tusentals kronor)</w:t>
      </w:r>
    </w:p>
    <w:p w:rsidR="0064653C" w:rsidRPr="0064653C" w:rsidRDefault="0064653C" w:rsidP="0064653C">
      <w:pPr>
        <w:rPr>
          <w:szCs w:val="24"/>
        </w:rPr>
      </w:pPr>
    </w:p>
    <w:p w:rsidR="0064653C" w:rsidRPr="0064653C" w:rsidRDefault="0064653C" w:rsidP="0064653C">
      <w:pPr>
        <w:rPr>
          <w:szCs w:val="24"/>
        </w:rPr>
      </w:pPr>
      <w:r w:rsidRPr="0064653C">
        <w:rPr>
          <w:noProof/>
          <w:szCs w:val="24"/>
        </w:rPr>
        <w:drawing>
          <wp:inline distT="0" distB="0" distL="0" distR="0">
            <wp:extent cx="5765800" cy="76200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0" cy="762000"/>
                    </a:xfrm>
                    <a:prstGeom prst="rect">
                      <a:avLst/>
                    </a:prstGeom>
                    <a:noFill/>
                    <a:ln>
                      <a:noFill/>
                    </a:ln>
                  </pic:spPr>
                </pic:pic>
              </a:graphicData>
            </a:graphic>
          </wp:inline>
        </w:drawing>
      </w:r>
    </w:p>
    <w:p w:rsidR="0064653C" w:rsidRPr="0064653C" w:rsidRDefault="0064653C" w:rsidP="0064653C">
      <w:pPr>
        <w:tabs>
          <w:tab w:val="left" w:pos="1304"/>
        </w:tabs>
        <w:spacing w:after="160" w:line="256" w:lineRule="auto"/>
        <w:rPr>
          <w:szCs w:val="24"/>
        </w:rPr>
      </w:pPr>
      <w:r w:rsidRPr="0064653C">
        <w:rPr>
          <w:szCs w:val="24"/>
        </w:rPr>
        <w:br w:type="page"/>
      </w:r>
    </w:p>
    <w:p w:rsidR="0064653C" w:rsidRPr="0064653C" w:rsidRDefault="0064653C" w:rsidP="0064653C">
      <w:pPr>
        <w:pStyle w:val="Rubrik1"/>
        <w:rPr>
          <w:sz w:val="24"/>
          <w:szCs w:val="24"/>
        </w:rPr>
      </w:pPr>
      <w:r w:rsidRPr="0064653C">
        <w:rPr>
          <w:sz w:val="24"/>
          <w:szCs w:val="24"/>
        </w:rPr>
        <w:lastRenderedPageBreak/>
        <w:t>Bilaga 4</w:t>
      </w:r>
    </w:p>
    <w:p w:rsidR="0064653C" w:rsidRPr="0064653C" w:rsidRDefault="0064653C" w:rsidP="0064653C">
      <w:pPr>
        <w:rPr>
          <w:szCs w:val="24"/>
        </w:rPr>
      </w:pPr>
    </w:p>
    <w:p w:rsidR="0064653C" w:rsidRPr="0064653C" w:rsidRDefault="0064653C" w:rsidP="0064653C">
      <w:pPr>
        <w:rPr>
          <w:szCs w:val="24"/>
        </w:rPr>
      </w:pPr>
      <w:r w:rsidRPr="0064653C">
        <w:rPr>
          <w:szCs w:val="24"/>
        </w:rPr>
        <w:t>Samlad förstärkning av pensionärernas ekonomi med förslaget i utskottsinitiativet</w:t>
      </w:r>
    </w:p>
    <w:tbl>
      <w:tblPr>
        <w:tblStyle w:val="Tabellrutnt"/>
        <w:tblW w:w="7349" w:type="dxa"/>
        <w:tblInd w:w="0" w:type="dxa"/>
        <w:tblLook w:val="04A0" w:firstRow="1" w:lastRow="0" w:firstColumn="1" w:lastColumn="0" w:noHBand="0" w:noVBand="1"/>
      </w:tblPr>
      <w:tblGrid>
        <w:gridCol w:w="1789"/>
        <w:gridCol w:w="1203"/>
        <w:gridCol w:w="1603"/>
        <w:gridCol w:w="1603"/>
        <w:gridCol w:w="1603"/>
      </w:tblGrid>
      <w:tr w:rsidR="0064653C" w:rsidRPr="0064653C" w:rsidTr="0064653C">
        <w:trPr>
          <w:trHeight w:val="312"/>
        </w:trPr>
        <w:tc>
          <w:tcPr>
            <w:tcW w:w="1659" w:type="dxa"/>
            <w:tcBorders>
              <w:top w:val="single" w:sz="4" w:space="0" w:color="auto"/>
              <w:left w:val="single" w:sz="4" w:space="0" w:color="auto"/>
              <w:bottom w:val="single" w:sz="4" w:space="0" w:color="auto"/>
              <w:right w:val="single" w:sz="4" w:space="0" w:color="auto"/>
            </w:tcBorders>
          </w:tcPr>
          <w:p w:rsidR="0064653C" w:rsidRPr="0064653C" w:rsidRDefault="0064653C">
            <w:pPr>
              <w:tabs>
                <w:tab w:val="left" w:pos="1304"/>
              </w:tabs>
              <w:rPr>
                <w:rFonts w:ascii="Times New Roman" w:hAnsi="Times New Roman" w:cs="Times New Roman"/>
                <w:szCs w:val="24"/>
              </w:rPr>
            </w:pPr>
          </w:p>
        </w:tc>
        <w:tc>
          <w:tcPr>
            <w:tcW w:w="5690" w:type="dxa"/>
            <w:gridSpan w:val="4"/>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Ökning per månad, efter skatt</w:t>
            </w:r>
          </w:p>
        </w:tc>
      </w:tr>
      <w:tr w:rsidR="0064653C" w:rsidRPr="0064653C" w:rsidTr="0064653C">
        <w:trPr>
          <w:trHeight w:val="1076"/>
        </w:trPr>
        <w:tc>
          <w:tcPr>
            <w:tcW w:w="1659"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Åtgärd</w:t>
            </w:r>
          </w:p>
        </w:tc>
        <w:tc>
          <w:tcPr>
            <w:tcW w:w="1216"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Garanti-pensionär</w:t>
            </w: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(8 800 kr/månad)</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Medelinkomst kvinna</w:t>
            </w:r>
            <w:r w:rsidRPr="0064653C">
              <w:rPr>
                <w:rFonts w:ascii="Times New Roman" w:hAnsi="Times New Roman" w:cs="Times New Roman"/>
                <w:szCs w:val="24"/>
              </w:rPr>
              <w:br/>
              <w:t>(13 100 kr/månad)</w:t>
            </w:r>
          </w:p>
        </w:tc>
        <w:tc>
          <w:tcPr>
            <w:tcW w:w="149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Medelinkomst man</w:t>
            </w:r>
            <w:r w:rsidRPr="0064653C">
              <w:rPr>
                <w:rFonts w:ascii="Times New Roman" w:hAnsi="Times New Roman" w:cs="Times New Roman"/>
                <w:szCs w:val="24"/>
              </w:rPr>
              <w:br/>
              <w:t>(16 300 kr/mån)</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Medelinkomst samtliga</w:t>
            </w:r>
            <w:r w:rsidRPr="0064653C">
              <w:rPr>
                <w:rFonts w:ascii="Times New Roman" w:hAnsi="Times New Roman" w:cs="Times New Roman"/>
                <w:szCs w:val="24"/>
              </w:rPr>
              <w:br/>
              <w:t>(14 600 kr/mån)</w:t>
            </w:r>
          </w:p>
        </w:tc>
      </w:tr>
      <w:tr w:rsidR="0064653C" w:rsidRPr="0064653C" w:rsidTr="0064653C">
        <w:trPr>
          <w:trHeight w:val="1076"/>
        </w:trPr>
        <w:tc>
          <w:tcPr>
            <w:tcW w:w="1659"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Höjd garantipension 600 kr</w:t>
            </w: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(från oktober)</w:t>
            </w:r>
          </w:p>
        </w:tc>
        <w:tc>
          <w:tcPr>
            <w:tcW w:w="1216"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480</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400</w:t>
            </w:r>
          </w:p>
        </w:tc>
        <w:tc>
          <w:tcPr>
            <w:tcW w:w="149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0</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0</w:t>
            </w:r>
          </w:p>
        </w:tc>
      </w:tr>
      <w:tr w:rsidR="0064653C" w:rsidRPr="0064653C" w:rsidTr="0064653C">
        <w:trPr>
          <w:trHeight w:val="1076"/>
        </w:trPr>
        <w:tc>
          <w:tcPr>
            <w:tcW w:w="1659"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Höjt bostadstillägg 350 kr (175 för sammanboende)</w:t>
            </w: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(från oktober)</w:t>
            </w:r>
          </w:p>
        </w:tc>
        <w:tc>
          <w:tcPr>
            <w:tcW w:w="1216"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350</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350</w:t>
            </w:r>
          </w:p>
        </w:tc>
        <w:tc>
          <w:tcPr>
            <w:tcW w:w="149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0</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0</w:t>
            </w:r>
          </w:p>
        </w:tc>
      </w:tr>
      <w:tr w:rsidR="0064653C" w:rsidRPr="0064653C" w:rsidTr="0064653C">
        <w:trPr>
          <w:trHeight w:val="710"/>
        </w:trPr>
        <w:tc>
          <w:tcPr>
            <w:tcW w:w="1659"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Sänkt skatt 6 miljarder kr</w:t>
            </w: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(1 januari 2023)</w:t>
            </w:r>
          </w:p>
        </w:tc>
        <w:tc>
          <w:tcPr>
            <w:tcW w:w="1216"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90</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155</w:t>
            </w:r>
          </w:p>
        </w:tc>
        <w:tc>
          <w:tcPr>
            <w:tcW w:w="149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200</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200</w:t>
            </w:r>
          </w:p>
        </w:tc>
      </w:tr>
      <w:tr w:rsidR="0064653C" w:rsidRPr="0064653C" w:rsidTr="0064653C">
        <w:trPr>
          <w:trHeight w:val="710"/>
        </w:trPr>
        <w:tc>
          <w:tcPr>
            <w:tcW w:w="1659"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Gas</w:t>
            </w: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(så fort som möjligt)</w:t>
            </w:r>
          </w:p>
        </w:tc>
        <w:tc>
          <w:tcPr>
            <w:tcW w:w="1216"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70</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135</w:t>
            </w:r>
          </w:p>
        </w:tc>
        <w:tc>
          <w:tcPr>
            <w:tcW w:w="149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190</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200</w:t>
            </w:r>
          </w:p>
        </w:tc>
      </w:tr>
      <w:tr w:rsidR="0064653C" w:rsidRPr="0064653C" w:rsidTr="0064653C">
        <w:trPr>
          <w:trHeight w:val="366"/>
        </w:trPr>
        <w:tc>
          <w:tcPr>
            <w:tcW w:w="1659"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Totalt</w:t>
            </w:r>
          </w:p>
        </w:tc>
        <w:tc>
          <w:tcPr>
            <w:tcW w:w="1216" w:type="dxa"/>
            <w:tcBorders>
              <w:top w:val="single" w:sz="4" w:space="0" w:color="auto"/>
              <w:left w:val="single" w:sz="4" w:space="0" w:color="auto"/>
              <w:bottom w:val="single" w:sz="4" w:space="0" w:color="auto"/>
              <w:right w:val="single" w:sz="4" w:space="0" w:color="auto"/>
            </w:tcBorders>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990</w:t>
            </w:r>
          </w:p>
          <w:p w:rsidR="0064653C" w:rsidRPr="0064653C" w:rsidRDefault="0064653C">
            <w:pPr>
              <w:tabs>
                <w:tab w:val="left" w:pos="1304"/>
              </w:tabs>
              <w:rPr>
                <w:rFonts w:ascii="Times New Roman" w:hAnsi="Times New Roman" w:cs="Times New Roman"/>
                <w:szCs w:val="24"/>
              </w:rPr>
            </w:pP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1040</w:t>
            </w:r>
          </w:p>
        </w:tc>
        <w:tc>
          <w:tcPr>
            <w:tcW w:w="149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390</w:t>
            </w:r>
          </w:p>
        </w:tc>
        <w:tc>
          <w:tcPr>
            <w:tcW w:w="1488" w:type="dxa"/>
            <w:tcBorders>
              <w:top w:val="single" w:sz="4" w:space="0" w:color="auto"/>
              <w:left w:val="single" w:sz="4" w:space="0" w:color="auto"/>
              <w:bottom w:val="single" w:sz="4" w:space="0" w:color="auto"/>
              <w:right w:val="single" w:sz="4" w:space="0" w:color="auto"/>
            </w:tcBorders>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400</w:t>
            </w:r>
          </w:p>
        </w:tc>
      </w:tr>
    </w:tbl>
    <w:p w:rsidR="0064653C" w:rsidRPr="0064653C" w:rsidRDefault="0064653C" w:rsidP="0064653C">
      <w:pPr>
        <w:rPr>
          <w:szCs w:val="24"/>
        </w:rPr>
      </w:pPr>
    </w:p>
    <w:p w:rsidR="0064653C" w:rsidRPr="0064653C" w:rsidRDefault="0064653C" w:rsidP="0064653C">
      <w:pPr>
        <w:tabs>
          <w:tab w:val="left" w:pos="1304"/>
        </w:tabs>
        <w:spacing w:after="160" w:line="256" w:lineRule="auto"/>
        <w:rPr>
          <w:szCs w:val="24"/>
        </w:rPr>
      </w:pPr>
      <w:r w:rsidRPr="0064653C">
        <w:rPr>
          <w:szCs w:val="24"/>
        </w:rPr>
        <w:br w:type="page"/>
      </w:r>
    </w:p>
    <w:p w:rsidR="0064653C" w:rsidRPr="0064653C" w:rsidRDefault="0064653C" w:rsidP="0064653C">
      <w:pPr>
        <w:pStyle w:val="Rubrik1"/>
        <w:rPr>
          <w:sz w:val="24"/>
          <w:szCs w:val="24"/>
        </w:rPr>
      </w:pPr>
      <w:r w:rsidRPr="0064653C">
        <w:rPr>
          <w:sz w:val="24"/>
          <w:szCs w:val="24"/>
        </w:rPr>
        <w:lastRenderedPageBreak/>
        <w:t>Bilaga 5</w:t>
      </w:r>
    </w:p>
    <w:p w:rsidR="0064653C" w:rsidRPr="0064653C" w:rsidRDefault="0064653C" w:rsidP="0064653C">
      <w:pPr>
        <w:pStyle w:val="Rubrik2"/>
        <w:rPr>
          <w:sz w:val="24"/>
          <w:szCs w:val="24"/>
        </w:rPr>
      </w:pPr>
      <w:r w:rsidRPr="0064653C">
        <w:rPr>
          <w:sz w:val="24"/>
          <w:szCs w:val="24"/>
        </w:rPr>
        <w:t xml:space="preserve">Förslag till lag om ändring i socialförsäkringsbalken </w:t>
      </w:r>
    </w:p>
    <w:p w:rsidR="0064653C" w:rsidRPr="0064653C" w:rsidRDefault="0064653C" w:rsidP="0064653C">
      <w:pPr>
        <w:tabs>
          <w:tab w:val="left" w:pos="1304"/>
        </w:tabs>
        <w:rPr>
          <w:szCs w:val="24"/>
        </w:rPr>
      </w:pPr>
    </w:p>
    <w:p w:rsidR="0064653C" w:rsidRPr="0064653C" w:rsidRDefault="0064653C" w:rsidP="0064653C">
      <w:pPr>
        <w:tabs>
          <w:tab w:val="left" w:pos="1304"/>
        </w:tabs>
        <w:rPr>
          <w:szCs w:val="24"/>
        </w:rPr>
      </w:pPr>
      <w:r w:rsidRPr="0064653C">
        <w:rPr>
          <w:szCs w:val="24"/>
        </w:rPr>
        <w:t xml:space="preserve">Härigenom föreskrivs ifråga om socialförsäkringsbalken </w:t>
      </w:r>
    </w:p>
    <w:p w:rsidR="0064653C" w:rsidRPr="0064653C" w:rsidRDefault="0064653C" w:rsidP="0064653C">
      <w:pPr>
        <w:tabs>
          <w:tab w:val="left" w:pos="1304"/>
        </w:tabs>
        <w:rPr>
          <w:szCs w:val="24"/>
        </w:rPr>
      </w:pPr>
      <w:r w:rsidRPr="0064653C">
        <w:rPr>
          <w:szCs w:val="24"/>
        </w:rPr>
        <w:t xml:space="preserve">att 66 kap. 20a §, 22§ och 22 a §, 67 kap. 21-24 §§ och 102 kap 17§ 22 a § ska ha följande lydelse. </w:t>
      </w:r>
    </w:p>
    <w:p w:rsidR="0064653C" w:rsidRPr="0064653C" w:rsidRDefault="0064653C" w:rsidP="0064653C">
      <w:pPr>
        <w:tabs>
          <w:tab w:val="left" w:pos="1304"/>
        </w:tabs>
        <w:rPr>
          <w:szCs w:val="24"/>
        </w:rPr>
      </w:pPr>
    </w:p>
    <w:p w:rsidR="0064653C" w:rsidRPr="0064653C" w:rsidRDefault="0064653C" w:rsidP="0064653C">
      <w:pPr>
        <w:tabs>
          <w:tab w:val="left" w:pos="1304"/>
        </w:tabs>
        <w:rPr>
          <w:i/>
          <w:szCs w:val="24"/>
        </w:rPr>
      </w:pPr>
      <w:r w:rsidRPr="0064653C">
        <w:rPr>
          <w:i/>
          <w:szCs w:val="24"/>
        </w:rPr>
        <w:t>Nuvarande lydelse</w:t>
      </w:r>
      <w:r w:rsidRPr="0064653C">
        <w:rPr>
          <w:i/>
          <w:szCs w:val="24"/>
        </w:rPr>
        <w:tab/>
      </w:r>
      <w:r w:rsidRPr="0064653C">
        <w:rPr>
          <w:i/>
          <w:szCs w:val="24"/>
        </w:rPr>
        <w:tab/>
      </w:r>
      <w:r w:rsidRPr="0064653C">
        <w:rPr>
          <w:i/>
          <w:szCs w:val="24"/>
        </w:rPr>
        <w:tab/>
      </w:r>
      <w:r w:rsidRPr="0064653C">
        <w:rPr>
          <w:i/>
          <w:szCs w:val="24"/>
        </w:rPr>
        <w:tab/>
      </w:r>
      <w:r w:rsidRPr="0064653C">
        <w:rPr>
          <w:i/>
          <w:szCs w:val="24"/>
        </w:rPr>
        <w:tab/>
      </w:r>
      <w:r w:rsidRPr="0064653C">
        <w:rPr>
          <w:i/>
          <w:szCs w:val="24"/>
        </w:rPr>
        <w:tab/>
        <w:t xml:space="preserve"> Föreslagen lydelse </w:t>
      </w:r>
    </w:p>
    <w:p w:rsidR="0064653C" w:rsidRPr="0064653C" w:rsidRDefault="0064653C" w:rsidP="0064653C">
      <w:pPr>
        <w:tabs>
          <w:tab w:val="left" w:pos="1304"/>
        </w:tabs>
        <w:rPr>
          <w:i/>
          <w:szCs w:val="24"/>
        </w:rPr>
      </w:pPr>
    </w:p>
    <w:p w:rsidR="0064653C" w:rsidRPr="0064653C" w:rsidRDefault="0064653C" w:rsidP="0064653C">
      <w:pPr>
        <w:tabs>
          <w:tab w:val="left" w:pos="1304"/>
        </w:tabs>
        <w:jc w:val="center"/>
        <w:rPr>
          <w:b/>
          <w:szCs w:val="24"/>
        </w:rPr>
      </w:pPr>
      <w:r w:rsidRPr="0064653C">
        <w:rPr>
          <w:b/>
          <w:szCs w:val="24"/>
        </w:rPr>
        <w:t>66 kap.</w:t>
      </w:r>
    </w:p>
    <w:p w:rsidR="0064653C" w:rsidRPr="0064653C" w:rsidRDefault="0064653C" w:rsidP="0064653C">
      <w:pPr>
        <w:tabs>
          <w:tab w:val="left" w:pos="1304"/>
        </w:tabs>
        <w:jc w:val="center"/>
        <w:rPr>
          <w:b/>
          <w:i/>
          <w:szCs w:val="24"/>
        </w:rPr>
      </w:pPr>
      <w:r w:rsidRPr="0064653C">
        <w:rPr>
          <w:b/>
          <w:i/>
          <w:szCs w:val="24"/>
        </w:rPr>
        <w:t>20 a §</w:t>
      </w:r>
    </w:p>
    <w:p w:rsidR="0064653C" w:rsidRPr="0064653C" w:rsidRDefault="0064653C" w:rsidP="0064653C">
      <w:pPr>
        <w:tabs>
          <w:tab w:val="left" w:pos="1304"/>
        </w:tabs>
        <w:jc w:val="center"/>
        <w:rPr>
          <w:b/>
          <w:i/>
          <w:szCs w:val="24"/>
        </w:rPr>
      </w:pP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2"/>
      </w:tblGrid>
      <w:tr w:rsidR="0064653C" w:rsidRPr="0064653C" w:rsidTr="0064653C">
        <w:tc>
          <w:tcPr>
            <w:tcW w:w="4531" w:type="dxa"/>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 xml:space="preserve">Det beräkningsunderlag som har räknats fram enligt 17-20 §§ ska ökas med </w:t>
            </w:r>
            <w:r w:rsidRPr="0064653C">
              <w:rPr>
                <w:rFonts w:ascii="Times New Roman" w:hAnsi="Times New Roman" w:cs="Times New Roman"/>
                <w:i/>
                <w:szCs w:val="24"/>
              </w:rPr>
              <w:t>0,051</w:t>
            </w:r>
            <w:r w:rsidRPr="0064653C">
              <w:rPr>
                <w:rFonts w:ascii="Times New Roman" w:hAnsi="Times New Roman" w:cs="Times New Roman"/>
                <w:szCs w:val="24"/>
              </w:rPr>
              <w:t xml:space="preserve"> prisbasbelopp. Ökningen ska dock beräknas på samma sätt som anges i 13 § andra stycket första meningen.</w:t>
            </w:r>
          </w:p>
        </w:tc>
        <w:tc>
          <w:tcPr>
            <w:tcW w:w="4531" w:type="dxa"/>
            <w:hideMark/>
          </w:tcPr>
          <w:p w:rsidR="0064653C" w:rsidRPr="0064653C" w:rsidRDefault="0064653C">
            <w:pPr>
              <w:tabs>
                <w:tab w:val="left" w:pos="1304"/>
              </w:tabs>
              <w:rPr>
                <w:rFonts w:ascii="Times New Roman" w:hAnsi="Times New Roman" w:cs="Times New Roman"/>
                <w:i/>
                <w:szCs w:val="24"/>
              </w:rPr>
            </w:pPr>
            <w:r w:rsidRPr="0064653C">
              <w:rPr>
                <w:rFonts w:ascii="Times New Roman" w:hAnsi="Times New Roman" w:cs="Times New Roman"/>
                <w:szCs w:val="24"/>
              </w:rPr>
              <w:t xml:space="preserve">Det beräkningsunderlag som har räknats fram enligt 17-20 §§ ska ökas med </w:t>
            </w:r>
            <w:r w:rsidRPr="0064653C">
              <w:rPr>
                <w:rFonts w:ascii="Times New Roman" w:hAnsi="Times New Roman" w:cs="Times New Roman"/>
                <w:i/>
                <w:szCs w:val="24"/>
              </w:rPr>
              <w:t>0,20</w:t>
            </w:r>
            <w:r w:rsidRPr="0064653C">
              <w:rPr>
                <w:rFonts w:ascii="Times New Roman" w:hAnsi="Times New Roman" w:cs="Times New Roman"/>
                <w:szCs w:val="24"/>
              </w:rPr>
              <w:t xml:space="preserve"> prisbasbelopp. Ökningen ska dock beräknas på samma sätt som anges i 13 § andra stycket första meningen.</w:t>
            </w:r>
          </w:p>
        </w:tc>
      </w:tr>
    </w:tbl>
    <w:p w:rsidR="0064653C" w:rsidRPr="0064653C" w:rsidRDefault="0064653C" w:rsidP="0064653C">
      <w:pPr>
        <w:tabs>
          <w:tab w:val="left" w:pos="1304"/>
        </w:tabs>
        <w:jc w:val="center"/>
        <w:rPr>
          <w:b/>
          <w:i/>
          <w:szCs w:val="24"/>
        </w:rPr>
      </w:pPr>
    </w:p>
    <w:p w:rsidR="0064653C" w:rsidRPr="0064653C" w:rsidRDefault="0064653C" w:rsidP="0064653C">
      <w:pPr>
        <w:tabs>
          <w:tab w:val="left" w:pos="1304"/>
        </w:tabs>
        <w:jc w:val="center"/>
        <w:rPr>
          <w:b/>
          <w:i/>
          <w:szCs w:val="24"/>
        </w:rPr>
      </w:pPr>
      <w:r w:rsidRPr="0064653C">
        <w:rPr>
          <w:b/>
          <w:i/>
          <w:szCs w:val="24"/>
        </w:rPr>
        <w:t>22 §</w:t>
      </w: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2"/>
      </w:tblGrid>
      <w:tr w:rsidR="0064653C" w:rsidRPr="0064653C" w:rsidTr="0064653C">
        <w:tc>
          <w:tcPr>
            <w:tcW w:w="4531" w:type="dxa"/>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För den vars beräkningsunderlag inte överstiger 0,25 prisbasbelopp gäller följande:</w:t>
            </w:r>
          </w:p>
          <w:p w:rsidR="0064653C" w:rsidRPr="0064653C" w:rsidRDefault="0064653C">
            <w:pPr>
              <w:tabs>
                <w:tab w:val="left" w:pos="1304"/>
              </w:tabs>
              <w:rPr>
                <w:rFonts w:ascii="Times New Roman" w:hAnsi="Times New Roman" w:cs="Times New Roman"/>
                <w:szCs w:val="24"/>
              </w:rPr>
            </w:pP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Den årliga garantipensionen motsvarar differensen mellan</w:t>
            </w: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 xml:space="preserve">   - beräkningsunderlaget som först har multiplicerats med 1,04 och därefter har ökats med </w:t>
            </w:r>
            <w:r w:rsidRPr="0064653C">
              <w:rPr>
                <w:rFonts w:ascii="Times New Roman" w:hAnsi="Times New Roman" w:cs="Times New Roman"/>
                <w:i/>
                <w:szCs w:val="24"/>
              </w:rPr>
              <w:t>0,051</w:t>
            </w:r>
            <w:r w:rsidRPr="0064653C">
              <w:rPr>
                <w:rFonts w:ascii="Times New Roman" w:hAnsi="Times New Roman" w:cs="Times New Roman"/>
                <w:szCs w:val="24"/>
              </w:rPr>
              <w:t xml:space="preserve"> prisbasbelopp som i sin tur har beräknats på samma sätt som anges i 13 § andra stycket första meningen och</w:t>
            </w: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 xml:space="preserve">   - summan av sådan tilläggspension, tjänstepension, änkepension, utländsk pension och sådana andra förmåner som enligt 5 § andra stycket 7 har ingått i beräkningsunderlaget.</w:t>
            </w:r>
          </w:p>
        </w:tc>
        <w:tc>
          <w:tcPr>
            <w:tcW w:w="4531" w:type="dxa"/>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För den vars beräkningsunderlag inte överstiger 0,25 prisbasbelopp gäller följande:</w:t>
            </w:r>
          </w:p>
          <w:p w:rsidR="0064653C" w:rsidRPr="0064653C" w:rsidRDefault="0064653C">
            <w:pPr>
              <w:tabs>
                <w:tab w:val="left" w:pos="1304"/>
              </w:tabs>
              <w:rPr>
                <w:rFonts w:ascii="Times New Roman" w:hAnsi="Times New Roman" w:cs="Times New Roman"/>
                <w:szCs w:val="24"/>
              </w:rPr>
            </w:pP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Den årliga garantipensionen motsvarar differensen mellan</w:t>
            </w: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 xml:space="preserve">   - beräkningsunderlaget som först har multiplicerats med 1,04 och därefter har ökats med 0,20 prisbasbelopp som i sin tur har beräknats på samma sätt som anges i 13 § andra stycket första meningen och</w:t>
            </w:r>
          </w:p>
          <w:p w:rsidR="0064653C" w:rsidRPr="0064653C" w:rsidRDefault="0064653C">
            <w:pPr>
              <w:tabs>
                <w:tab w:val="left" w:pos="1304"/>
              </w:tabs>
              <w:rPr>
                <w:rFonts w:ascii="Times New Roman" w:hAnsi="Times New Roman" w:cs="Times New Roman"/>
                <w:i/>
                <w:szCs w:val="24"/>
              </w:rPr>
            </w:pPr>
            <w:r w:rsidRPr="0064653C">
              <w:rPr>
                <w:rFonts w:ascii="Times New Roman" w:hAnsi="Times New Roman" w:cs="Times New Roman"/>
                <w:szCs w:val="24"/>
              </w:rPr>
              <w:t xml:space="preserve">   - summan av sådan tilläggspension, tjänstepension, änkepension, utländsk pension och sådana andra förmåner som enligt 5 § andra stycket 7 har ingått i beräkningsunderlaget.</w:t>
            </w:r>
          </w:p>
        </w:tc>
      </w:tr>
    </w:tbl>
    <w:p w:rsidR="0064653C" w:rsidRPr="0064653C" w:rsidRDefault="0064653C" w:rsidP="0064653C">
      <w:pPr>
        <w:tabs>
          <w:tab w:val="left" w:pos="1304"/>
        </w:tabs>
        <w:jc w:val="center"/>
        <w:rPr>
          <w:b/>
          <w:i/>
          <w:szCs w:val="24"/>
        </w:rPr>
      </w:pPr>
    </w:p>
    <w:p w:rsidR="0064653C" w:rsidRPr="0064653C" w:rsidRDefault="0064653C" w:rsidP="0064653C">
      <w:pPr>
        <w:tabs>
          <w:tab w:val="left" w:pos="1304"/>
        </w:tabs>
        <w:jc w:val="center"/>
        <w:rPr>
          <w:b/>
          <w:i/>
          <w:szCs w:val="24"/>
        </w:rPr>
      </w:pPr>
      <w:r w:rsidRPr="0064653C">
        <w:rPr>
          <w:b/>
          <w:i/>
          <w:szCs w:val="24"/>
        </w:rPr>
        <w:t>22 a §</w:t>
      </w: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2"/>
      </w:tblGrid>
      <w:tr w:rsidR="0064653C" w:rsidRPr="0064653C" w:rsidTr="0064653C">
        <w:tc>
          <w:tcPr>
            <w:tcW w:w="4531" w:type="dxa"/>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 xml:space="preserve">För den som är ogift och vars beräkningsunderlag överstiger 3,16 prisbasbelopp eller för den som är gift och vars beräkningsunderlag överstiger 2,8275 prisbasbelopp ska beräkningsunderlaget ökas med </w:t>
            </w:r>
            <w:r w:rsidRPr="0064653C">
              <w:rPr>
                <w:rFonts w:ascii="Times New Roman" w:hAnsi="Times New Roman" w:cs="Times New Roman"/>
                <w:i/>
                <w:szCs w:val="24"/>
              </w:rPr>
              <w:t>0,051</w:t>
            </w:r>
            <w:r w:rsidRPr="0064653C">
              <w:rPr>
                <w:rFonts w:ascii="Times New Roman" w:hAnsi="Times New Roman" w:cs="Times New Roman"/>
                <w:szCs w:val="24"/>
              </w:rPr>
              <w:t xml:space="preserve"> prisbasbelopp. Ökningen ska dock beräknas på samma sätt som anges i 13 § andra stycket första meningen.</w:t>
            </w:r>
          </w:p>
          <w:p w:rsidR="0064653C" w:rsidRPr="0064653C" w:rsidRDefault="0064653C">
            <w:pPr>
              <w:tabs>
                <w:tab w:val="left" w:pos="1304"/>
              </w:tabs>
              <w:rPr>
                <w:rFonts w:ascii="Times New Roman" w:hAnsi="Times New Roman" w:cs="Times New Roman"/>
                <w:szCs w:val="24"/>
              </w:rPr>
            </w:pPr>
          </w:p>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 xml:space="preserve">För den som det i beräkningsunderlaget inte ingår något belopp enligt 5 § andra stycket 5 ska det belopp som enligt första stycket har ökat beräkningsunderlaget reduceras med 0,4 multiplicerat med den </w:t>
            </w:r>
            <w:r w:rsidRPr="0064653C">
              <w:rPr>
                <w:rFonts w:ascii="Times New Roman" w:hAnsi="Times New Roman" w:cs="Times New Roman"/>
                <w:szCs w:val="24"/>
              </w:rPr>
              <w:lastRenderedPageBreak/>
              <w:t>del av beräkningsunderlaget enligt 5 § som överstiger 3,16 prisbasbelopp för ogifta eller 2,8275 prisbasbelopp för gifta.</w:t>
            </w:r>
          </w:p>
        </w:tc>
        <w:tc>
          <w:tcPr>
            <w:tcW w:w="4531" w:type="dxa"/>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lastRenderedPageBreak/>
              <w:t xml:space="preserve">För den som är ogift och vars beräkningsunderlag överstiger 3,16 prisbasbelopp eller för den som är gift och vars beräkningsunderlag överstiger 2,8275 prisbasbelopp ska beräkningsunderlaget ökas med </w:t>
            </w:r>
            <w:r w:rsidRPr="0064653C">
              <w:rPr>
                <w:rFonts w:ascii="Times New Roman" w:hAnsi="Times New Roman" w:cs="Times New Roman"/>
                <w:i/>
                <w:szCs w:val="24"/>
              </w:rPr>
              <w:t>0,20</w:t>
            </w:r>
            <w:r w:rsidRPr="0064653C">
              <w:rPr>
                <w:rFonts w:ascii="Times New Roman" w:hAnsi="Times New Roman" w:cs="Times New Roman"/>
                <w:szCs w:val="24"/>
              </w:rPr>
              <w:t xml:space="preserve"> prisbasbelopp. Ökningen ska dock beräknas på samma sätt som anges i 13 § andra stycket första meningen.</w:t>
            </w:r>
          </w:p>
          <w:p w:rsidR="0064653C" w:rsidRPr="0064653C" w:rsidRDefault="0064653C">
            <w:pPr>
              <w:tabs>
                <w:tab w:val="left" w:pos="1304"/>
              </w:tabs>
              <w:rPr>
                <w:rFonts w:ascii="Times New Roman" w:hAnsi="Times New Roman" w:cs="Times New Roman"/>
                <w:szCs w:val="24"/>
              </w:rPr>
            </w:pPr>
          </w:p>
          <w:p w:rsidR="0064653C" w:rsidRPr="0064653C" w:rsidRDefault="0064653C">
            <w:pPr>
              <w:tabs>
                <w:tab w:val="left" w:pos="1304"/>
              </w:tabs>
              <w:rPr>
                <w:rFonts w:ascii="Times New Roman" w:hAnsi="Times New Roman" w:cs="Times New Roman"/>
                <w:i/>
                <w:szCs w:val="24"/>
              </w:rPr>
            </w:pPr>
            <w:r w:rsidRPr="0064653C">
              <w:rPr>
                <w:rFonts w:ascii="Times New Roman" w:hAnsi="Times New Roman" w:cs="Times New Roman"/>
                <w:szCs w:val="24"/>
              </w:rPr>
              <w:t xml:space="preserve">För den som det i beräkningsunderlaget inte ingår något belopp enligt 5 § andra stycket 5 ska det belopp som enligt första stycket har ökat beräkningsunderlaget reduceras med 0,4 multiplicerat med den </w:t>
            </w:r>
            <w:r w:rsidRPr="0064653C">
              <w:rPr>
                <w:rFonts w:ascii="Times New Roman" w:hAnsi="Times New Roman" w:cs="Times New Roman"/>
                <w:szCs w:val="24"/>
              </w:rPr>
              <w:lastRenderedPageBreak/>
              <w:t>del av beräkningsunderlaget enligt 5 § som överstiger 3,16 prisbasbelopp för ogifta eller 2,8275 prisbasbelopp för gifta.</w:t>
            </w:r>
          </w:p>
        </w:tc>
      </w:tr>
    </w:tbl>
    <w:p w:rsidR="0064653C" w:rsidRPr="0064653C" w:rsidRDefault="0064653C" w:rsidP="0064653C">
      <w:pPr>
        <w:tabs>
          <w:tab w:val="left" w:pos="1304"/>
        </w:tabs>
        <w:jc w:val="center"/>
        <w:rPr>
          <w:b/>
          <w:i/>
          <w:szCs w:val="24"/>
        </w:rPr>
      </w:pPr>
    </w:p>
    <w:p w:rsidR="0064653C" w:rsidRPr="0064653C" w:rsidRDefault="0064653C" w:rsidP="0064653C">
      <w:pPr>
        <w:tabs>
          <w:tab w:val="left" w:pos="1304"/>
        </w:tabs>
        <w:rPr>
          <w:i/>
          <w:szCs w:val="24"/>
        </w:rPr>
      </w:pPr>
    </w:p>
    <w:p w:rsidR="0064653C" w:rsidRPr="0064653C" w:rsidRDefault="0064653C" w:rsidP="0064653C">
      <w:pPr>
        <w:tabs>
          <w:tab w:val="left" w:pos="1304"/>
        </w:tabs>
        <w:rPr>
          <w:i/>
          <w:szCs w:val="24"/>
        </w:rPr>
      </w:pPr>
    </w:p>
    <w:p w:rsidR="0064653C" w:rsidRPr="0064653C" w:rsidRDefault="0064653C" w:rsidP="0064653C">
      <w:pPr>
        <w:tabs>
          <w:tab w:val="left" w:pos="1304"/>
        </w:tabs>
        <w:rPr>
          <w:i/>
          <w:szCs w:val="24"/>
        </w:rPr>
      </w:pPr>
    </w:p>
    <w:p w:rsidR="0064653C" w:rsidRPr="0064653C" w:rsidRDefault="0064653C" w:rsidP="0064653C">
      <w:pPr>
        <w:tabs>
          <w:tab w:val="left" w:pos="1304"/>
        </w:tabs>
        <w:jc w:val="center"/>
        <w:rPr>
          <w:b/>
          <w:szCs w:val="24"/>
        </w:rPr>
      </w:pPr>
      <w:r w:rsidRPr="0064653C">
        <w:rPr>
          <w:b/>
          <w:szCs w:val="24"/>
        </w:rPr>
        <w:t>67 kap.</w:t>
      </w:r>
    </w:p>
    <w:p w:rsidR="0064653C" w:rsidRPr="0064653C" w:rsidRDefault="0064653C" w:rsidP="0064653C">
      <w:pPr>
        <w:tabs>
          <w:tab w:val="left" w:pos="1304"/>
        </w:tabs>
        <w:jc w:val="center"/>
        <w:rPr>
          <w:b/>
          <w:szCs w:val="24"/>
        </w:rPr>
      </w:pPr>
      <w:r w:rsidRPr="0064653C">
        <w:rPr>
          <w:b/>
          <w:szCs w:val="24"/>
        </w:rPr>
        <w:t>21 §</w:t>
      </w:r>
    </w:p>
    <w:p w:rsidR="0064653C" w:rsidRPr="0064653C" w:rsidRDefault="0064653C" w:rsidP="0064653C">
      <w:pPr>
        <w:tabs>
          <w:tab w:val="left" w:pos="1304"/>
        </w:tabs>
        <w:rPr>
          <w:b/>
          <w:szCs w:val="24"/>
        </w:rPr>
      </w:pPr>
    </w:p>
    <w:tbl>
      <w:tblPr>
        <w:tblStyle w:val="Tabellrutnt"/>
        <w:tblW w:w="90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4653C" w:rsidRPr="0064653C" w:rsidTr="0064653C">
        <w:tc>
          <w:tcPr>
            <w:tcW w:w="4531" w:type="dxa"/>
            <w:hideMark/>
          </w:tcPr>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För den som är ogift och vars beräkningsunderlag inte överstiger 1,26 prisbasbelopp gäller följande.</w:t>
            </w:r>
          </w:p>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 xml:space="preserve">Den årliga garantipensionen är </w:t>
            </w:r>
            <w:r w:rsidRPr="0064653C">
              <w:rPr>
                <w:rFonts w:ascii="Times New Roman" w:hAnsi="Times New Roman" w:cs="Times New Roman"/>
                <w:i/>
                <w:szCs w:val="24"/>
              </w:rPr>
              <w:t>2,181</w:t>
            </w:r>
            <w:r w:rsidRPr="0064653C">
              <w:rPr>
                <w:rFonts w:ascii="Times New Roman" w:hAnsi="Times New Roman" w:cs="Times New Roman"/>
                <w:szCs w:val="24"/>
              </w:rPr>
              <w:t xml:space="preserve"> prisbasbelopp (basnivån för ogifta) minskat med beräkningsunderlaget. </w:t>
            </w:r>
          </w:p>
        </w:tc>
        <w:tc>
          <w:tcPr>
            <w:tcW w:w="4531" w:type="dxa"/>
            <w:hideMark/>
          </w:tcPr>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För den som är ogift och vars beräkningsunderlag inte överstiger 1,26</w:t>
            </w:r>
            <w:r w:rsidRPr="0064653C">
              <w:rPr>
                <w:rFonts w:ascii="Times New Roman" w:hAnsi="Times New Roman" w:cs="Times New Roman"/>
                <w:i/>
                <w:szCs w:val="24"/>
              </w:rPr>
              <w:t xml:space="preserve"> </w:t>
            </w:r>
            <w:r w:rsidRPr="0064653C">
              <w:rPr>
                <w:rFonts w:ascii="Times New Roman" w:hAnsi="Times New Roman" w:cs="Times New Roman"/>
                <w:szCs w:val="24"/>
              </w:rPr>
              <w:t>prisbasbelopp gäller följande.</w:t>
            </w:r>
          </w:p>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 xml:space="preserve">Den årliga garantipensionen är </w:t>
            </w:r>
            <w:r w:rsidRPr="0064653C">
              <w:rPr>
                <w:rFonts w:ascii="Times New Roman" w:hAnsi="Times New Roman" w:cs="Times New Roman"/>
                <w:i/>
                <w:szCs w:val="24"/>
              </w:rPr>
              <w:t>2,33</w:t>
            </w:r>
            <w:r w:rsidRPr="0064653C">
              <w:rPr>
                <w:rFonts w:ascii="Times New Roman" w:hAnsi="Times New Roman" w:cs="Times New Roman"/>
                <w:szCs w:val="24"/>
              </w:rPr>
              <w:t xml:space="preserve"> prisbasbelopp (basnivån för ogifta) minskat med beräkningsunderlaget. </w:t>
            </w:r>
          </w:p>
        </w:tc>
      </w:tr>
    </w:tbl>
    <w:p w:rsidR="0064653C" w:rsidRPr="0064653C" w:rsidRDefault="0064653C" w:rsidP="0064653C">
      <w:pPr>
        <w:tabs>
          <w:tab w:val="left" w:pos="1304"/>
        </w:tabs>
        <w:spacing w:after="160" w:line="256" w:lineRule="auto"/>
        <w:rPr>
          <w:szCs w:val="24"/>
        </w:rPr>
      </w:pPr>
    </w:p>
    <w:p w:rsidR="0064653C" w:rsidRPr="0064653C" w:rsidRDefault="0064653C" w:rsidP="0064653C">
      <w:pPr>
        <w:tabs>
          <w:tab w:val="left" w:pos="1304"/>
        </w:tabs>
        <w:jc w:val="center"/>
        <w:rPr>
          <w:b/>
          <w:szCs w:val="24"/>
        </w:rPr>
      </w:pPr>
      <w:r w:rsidRPr="0064653C">
        <w:rPr>
          <w:b/>
          <w:szCs w:val="24"/>
        </w:rPr>
        <w:t>22 §</w:t>
      </w: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2"/>
      </w:tblGrid>
      <w:tr w:rsidR="0064653C" w:rsidRPr="0064653C" w:rsidTr="0064653C">
        <w:tc>
          <w:tcPr>
            <w:tcW w:w="4531" w:type="dxa"/>
            <w:hideMark/>
          </w:tcPr>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För den som är ogift och vars beräkningsunderlag överstiger 1,26 prisbasbelopp gäller följande.</w:t>
            </w:r>
          </w:p>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 xml:space="preserve">Den årliga garantipensionen är </w:t>
            </w:r>
            <w:r w:rsidRPr="0064653C">
              <w:rPr>
                <w:rFonts w:ascii="Times New Roman" w:hAnsi="Times New Roman" w:cs="Times New Roman"/>
                <w:i/>
                <w:szCs w:val="24"/>
              </w:rPr>
              <w:t>0,921</w:t>
            </w:r>
            <w:r w:rsidRPr="0064653C">
              <w:rPr>
                <w:rFonts w:ascii="Times New Roman" w:hAnsi="Times New Roman" w:cs="Times New Roman"/>
                <w:szCs w:val="24"/>
              </w:rPr>
              <w:t xml:space="preserve"> prisbasbelopp minskat med 48 procent av den del av beräkningsunderlaget som överstiger </w:t>
            </w:r>
            <w:r w:rsidRPr="0064653C">
              <w:rPr>
                <w:rFonts w:ascii="Times New Roman" w:hAnsi="Times New Roman" w:cs="Times New Roman"/>
                <w:i/>
                <w:szCs w:val="24"/>
              </w:rPr>
              <w:t xml:space="preserve">1,26 </w:t>
            </w:r>
            <w:r w:rsidRPr="0064653C">
              <w:rPr>
                <w:rFonts w:ascii="Times New Roman" w:hAnsi="Times New Roman" w:cs="Times New Roman"/>
                <w:szCs w:val="24"/>
              </w:rPr>
              <w:t xml:space="preserve">prisbasbelopp. </w:t>
            </w:r>
          </w:p>
        </w:tc>
        <w:tc>
          <w:tcPr>
            <w:tcW w:w="4531" w:type="dxa"/>
            <w:hideMark/>
          </w:tcPr>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För den som är ogift och vars beräkningsunderlag överstiger 1,26 prisbasbelopp gäller följande.</w:t>
            </w:r>
          </w:p>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 xml:space="preserve">Den årliga garantipensionen är </w:t>
            </w:r>
            <w:r w:rsidRPr="0064653C">
              <w:rPr>
                <w:rFonts w:ascii="Times New Roman" w:hAnsi="Times New Roman" w:cs="Times New Roman"/>
                <w:i/>
                <w:szCs w:val="24"/>
              </w:rPr>
              <w:t xml:space="preserve">1,07 </w:t>
            </w:r>
            <w:r w:rsidRPr="0064653C">
              <w:rPr>
                <w:rFonts w:ascii="Times New Roman" w:hAnsi="Times New Roman" w:cs="Times New Roman"/>
                <w:szCs w:val="24"/>
              </w:rPr>
              <w:t xml:space="preserve">prisbasbelopp minskat med 48 procent av den del av beräkningsunderlaget som överstiger </w:t>
            </w:r>
            <w:r w:rsidRPr="0064653C">
              <w:rPr>
                <w:rFonts w:ascii="Times New Roman" w:hAnsi="Times New Roman" w:cs="Times New Roman"/>
                <w:i/>
                <w:szCs w:val="24"/>
              </w:rPr>
              <w:t>1,26</w:t>
            </w:r>
            <w:r w:rsidRPr="0064653C">
              <w:rPr>
                <w:rFonts w:ascii="Times New Roman" w:hAnsi="Times New Roman" w:cs="Times New Roman"/>
                <w:szCs w:val="24"/>
              </w:rPr>
              <w:t xml:space="preserve"> prisbasbelopp. </w:t>
            </w:r>
          </w:p>
        </w:tc>
      </w:tr>
    </w:tbl>
    <w:p w:rsidR="0064653C" w:rsidRPr="0064653C" w:rsidRDefault="0064653C" w:rsidP="0064653C">
      <w:pPr>
        <w:tabs>
          <w:tab w:val="left" w:pos="1304"/>
        </w:tabs>
        <w:spacing w:after="160" w:line="256" w:lineRule="auto"/>
        <w:rPr>
          <w:szCs w:val="24"/>
        </w:rPr>
      </w:pPr>
    </w:p>
    <w:p w:rsidR="0064653C" w:rsidRPr="0064653C" w:rsidRDefault="0064653C" w:rsidP="0064653C">
      <w:pPr>
        <w:tabs>
          <w:tab w:val="left" w:pos="1304"/>
        </w:tabs>
        <w:jc w:val="center"/>
        <w:rPr>
          <w:b/>
          <w:szCs w:val="24"/>
        </w:rPr>
      </w:pPr>
      <w:r w:rsidRPr="0064653C">
        <w:rPr>
          <w:b/>
          <w:szCs w:val="24"/>
        </w:rPr>
        <w:t>23 §</w:t>
      </w: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2"/>
      </w:tblGrid>
      <w:tr w:rsidR="0064653C" w:rsidRPr="0064653C" w:rsidTr="0064653C">
        <w:tc>
          <w:tcPr>
            <w:tcW w:w="4531" w:type="dxa"/>
            <w:hideMark/>
          </w:tcPr>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För den som är gift och vars beräkningsunderlag inte överstiger 1,14 prisbasbelopp gäller följande.</w:t>
            </w:r>
          </w:p>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 xml:space="preserve">Den årliga garantipensionen är </w:t>
            </w:r>
            <w:r w:rsidRPr="0064653C">
              <w:rPr>
                <w:rFonts w:ascii="Times New Roman" w:hAnsi="Times New Roman" w:cs="Times New Roman"/>
                <w:i/>
                <w:szCs w:val="24"/>
              </w:rPr>
              <w:t>1,951</w:t>
            </w:r>
            <w:r w:rsidRPr="0064653C">
              <w:rPr>
                <w:rFonts w:ascii="Times New Roman" w:hAnsi="Times New Roman" w:cs="Times New Roman"/>
                <w:szCs w:val="24"/>
              </w:rPr>
              <w:t xml:space="preserve"> prisbasbelopp (basnivån för gifta) minskat med beräkningsunderlaget.</w:t>
            </w:r>
          </w:p>
        </w:tc>
        <w:tc>
          <w:tcPr>
            <w:tcW w:w="4531" w:type="dxa"/>
            <w:hideMark/>
          </w:tcPr>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För den som är gift och vars beräkningsunderlag inte överstiger 1,14 prisbasbelopp gäller följande.</w:t>
            </w:r>
          </w:p>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Den årliga garantipensionen är 2,10 prisbasbelopp (basnivån för gifta) minskat med beräkningsunderlaget.</w:t>
            </w:r>
          </w:p>
        </w:tc>
      </w:tr>
    </w:tbl>
    <w:p w:rsidR="0064653C" w:rsidRPr="0064653C" w:rsidRDefault="0064653C" w:rsidP="0064653C">
      <w:pPr>
        <w:tabs>
          <w:tab w:val="left" w:pos="1304"/>
        </w:tabs>
        <w:spacing w:after="160" w:line="256" w:lineRule="auto"/>
        <w:rPr>
          <w:szCs w:val="24"/>
        </w:rPr>
      </w:pPr>
    </w:p>
    <w:p w:rsidR="0064653C" w:rsidRPr="0064653C" w:rsidRDefault="0064653C" w:rsidP="0064653C">
      <w:pPr>
        <w:tabs>
          <w:tab w:val="left" w:pos="1304"/>
        </w:tabs>
        <w:spacing w:after="160" w:line="256" w:lineRule="auto"/>
        <w:jc w:val="center"/>
        <w:rPr>
          <w:b/>
          <w:szCs w:val="24"/>
        </w:rPr>
      </w:pPr>
      <w:r w:rsidRPr="0064653C">
        <w:rPr>
          <w:b/>
          <w:szCs w:val="24"/>
        </w:rPr>
        <w:t>24 §</w:t>
      </w:r>
    </w:p>
    <w:tbl>
      <w:tblPr>
        <w:tblStyle w:val="Tabellrutnt"/>
        <w:tblW w:w="90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4653C" w:rsidRPr="0064653C" w:rsidTr="0064653C">
        <w:tc>
          <w:tcPr>
            <w:tcW w:w="4531" w:type="dxa"/>
            <w:hideMark/>
          </w:tcPr>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För den som är gift och vars beräkningsunderlag överstiger 1,14 prisbasbelopp gäller följande.</w:t>
            </w:r>
          </w:p>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 xml:space="preserve">Den årliga garantipensionen är </w:t>
            </w:r>
            <w:r w:rsidRPr="0064653C">
              <w:rPr>
                <w:rFonts w:ascii="Times New Roman" w:hAnsi="Times New Roman" w:cs="Times New Roman"/>
                <w:i/>
                <w:szCs w:val="24"/>
              </w:rPr>
              <w:t>0,811</w:t>
            </w:r>
            <w:r w:rsidRPr="0064653C">
              <w:rPr>
                <w:rFonts w:ascii="Times New Roman" w:hAnsi="Times New Roman" w:cs="Times New Roman"/>
                <w:szCs w:val="24"/>
              </w:rPr>
              <w:t xml:space="preserve"> prisbasbelopp minskat med 48 procent av den del av beräkningsunderlaget som överstiger </w:t>
            </w:r>
            <w:r w:rsidRPr="0064653C">
              <w:rPr>
                <w:rFonts w:ascii="Times New Roman" w:hAnsi="Times New Roman" w:cs="Times New Roman"/>
                <w:i/>
                <w:szCs w:val="24"/>
              </w:rPr>
              <w:t>1,14</w:t>
            </w:r>
            <w:r w:rsidRPr="0064653C">
              <w:rPr>
                <w:rFonts w:ascii="Times New Roman" w:hAnsi="Times New Roman" w:cs="Times New Roman"/>
                <w:szCs w:val="24"/>
              </w:rPr>
              <w:t xml:space="preserve"> prisbasbelopp.</w:t>
            </w:r>
          </w:p>
        </w:tc>
        <w:tc>
          <w:tcPr>
            <w:tcW w:w="4531" w:type="dxa"/>
            <w:hideMark/>
          </w:tcPr>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För den som är gift och vars beräkningsunderlag överstiger 1,14 prisbasbelopp gäller följande.</w:t>
            </w:r>
          </w:p>
          <w:p w:rsidR="0064653C" w:rsidRPr="0064653C" w:rsidRDefault="0064653C">
            <w:pPr>
              <w:tabs>
                <w:tab w:val="left" w:pos="1304"/>
              </w:tabs>
              <w:spacing w:after="160" w:line="256" w:lineRule="auto"/>
              <w:rPr>
                <w:rFonts w:ascii="Times New Roman" w:hAnsi="Times New Roman" w:cs="Times New Roman"/>
                <w:szCs w:val="24"/>
              </w:rPr>
            </w:pPr>
            <w:r w:rsidRPr="0064653C">
              <w:rPr>
                <w:rFonts w:ascii="Times New Roman" w:hAnsi="Times New Roman" w:cs="Times New Roman"/>
                <w:szCs w:val="24"/>
              </w:rPr>
              <w:t xml:space="preserve">Den årliga garantipensionen är </w:t>
            </w:r>
            <w:r w:rsidRPr="0064653C">
              <w:rPr>
                <w:rFonts w:ascii="Times New Roman" w:hAnsi="Times New Roman" w:cs="Times New Roman"/>
                <w:i/>
                <w:szCs w:val="24"/>
              </w:rPr>
              <w:t>0,960</w:t>
            </w:r>
            <w:r w:rsidRPr="0064653C">
              <w:rPr>
                <w:rFonts w:ascii="Times New Roman" w:hAnsi="Times New Roman" w:cs="Times New Roman"/>
                <w:szCs w:val="24"/>
              </w:rPr>
              <w:t xml:space="preserve"> prisbasbelopp minskat med 48 procent av den del av beräkningsunderlaget som överstiger </w:t>
            </w:r>
            <w:r w:rsidRPr="0064653C">
              <w:rPr>
                <w:rFonts w:ascii="Times New Roman" w:hAnsi="Times New Roman" w:cs="Times New Roman"/>
                <w:i/>
                <w:szCs w:val="24"/>
              </w:rPr>
              <w:t>1,14</w:t>
            </w:r>
            <w:r w:rsidRPr="0064653C">
              <w:rPr>
                <w:rFonts w:ascii="Times New Roman" w:hAnsi="Times New Roman" w:cs="Times New Roman"/>
                <w:szCs w:val="24"/>
              </w:rPr>
              <w:t xml:space="preserve"> prisbasbelopp.</w:t>
            </w:r>
          </w:p>
        </w:tc>
      </w:tr>
    </w:tbl>
    <w:p w:rsidR="0064653C" w:rsidRPr="0064653C" w:rsidRDefault="0064653C" w:rsidP="0064653C">
      <w:pPr>
        <w:tabs>
          <w:tab w:val="left" w:pos="1304"/>
        </w:tabs>
        <w:spacing w:after="160" w:line="256" w:lineRule="auto"/>
        <w:rPr>
          <w:szCs w:val="24"/>
        </w:rPr>
      </w:pPr>
    </w:p>
    <w:p w:rsidR="0064653C" w:rsidRPr="0064653C" w:rsidRDefault="0064653C" w:rsidP="0064653C">
      <w:pPr>
        <w:tabs>
          <w:tab w:val="left" w:pos="1304"/>
        </w:tabs>
        <w:spacing w:after="160" w:line="256" w:lineRule="auto"/>
        <w:jc w:val="center"/>
        <w:rPr>
          <w:b/>
          <w:szCs w:val="24"/>
        </w:rPr>
      </w:pPr>
      <w:r w:rsidRPr="0064653C">
        <w:rPr>
          <w:b/>
          <w:szCs w:val="24"/>
        </w:rPr>
        <w:t>102 kap.</w:t>
      </w:r>
    </w:p>
    <w:p w:rsidR="0064653C" w:rsidRPr="0064653C" w:rsidRDefault="0064653C" w:rsidP="0064653C">
      <w:pPr>
        <w:tabs>
          <w:tab w:val="left" w:pos="1304"/>
        </w:tabs>
        <w:spacing w:after="160" w:line="256" w:lineRule="auto"/>
        <w:jc w:val="center"/>
        <w:rPr>
          <w:b/>
          <w:szCs w:val="24"/>
        </w:rPr>
      </w:pPr>
      <w:r w:rsidRPr="0064653C">
        <w:rPr>
          <w:b/>
          <w:szCs w:val="24"/>
        </w:rPr>
        <w:lastRenderedPageBreak/>
        <w:t>17 §</w:t>
      </w: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2"/>
      </w:tblGrid>
      <w:tr w:rsidR="0064653C" w:rsidRPr="0064653C" w:rsidTr="0064653C">
        <w:tc>
          <w:tcPr>
            <w:tcW w:w="4531" w:type="dxa"/>
            <w:hideMark/>
          </w:tcPr>
          <w:p w:rsidR="0064653C" w:rsidRPr="0064653C" w:rsidRDefault="0064653C">
            <w:pPr>
              <w:tabs>
                <w:tab w:val="left" w:pos="1304"/>
              </w:tabs>
              <w:rPr>
                <w:rFonts w:ascii="Times New Roman" w:hAnsi="Times New Roman" w:cs="Times New Roman"/>
                <w:szCs w:val="24"/>
              </w:rPr>
            </w:pPr>
            <w:r w:rsidRPr="0064653C">
              <w:rPr>
                <w:rFonts w:ascii="Times New Roman" w:hAnsi="Times New Roman" w:cs="Times New Roman"/>
                <w:szCs w:val="24"/>
              </w:rPr>
              <w:t xml:space="preserve">Det fribelopp som avses i 16 och 16 a §§ motsvarar </w:t>
            </w:r>
            <w:r w:rsidRPr="0064653C">
              <w:rPr>
                <w:rFonts w:ascii="Times New Roman" w:hAnsi="Times New Roman" w:cs="Times New Roman"/>
                <w:i/>
                <w:szCs w:val="24"/>
              </w:rPr>
              <w:t>2,181</w:t>
            </w:r>
            <w:r w:rsidRPr="0064653C">
              <w:rPr>
                <w:rFonts w:ascii="Times New Roman" w:hAnsi="Times New Roman" w:cs="Times New Roman"/>
                <w:szCs w:val="24"/>
              </w:rPr>
              <w:t xml:space="preserve"> prisbasbelopp för den som är ogift och </w:t>
            </w:r>
            <w:r w:rsidRPr="0064653C">
              <w:rPr>
                <w:rFonts w:ascii="Times New Roman" w:hAnsi="Times New Roman" w:cs="Times New Roman"/>
                <w:i/>
                <w:szCs w:val="24"/>
              </w:rPr>
              <w:t>1,951</w:t>
            </w:r>
            <w:r w:rsidRPr="0064653C">
              <w:rPr>
                <w:rFonts w:ascii="Times New Roman" w:hAnsi="Times New Roman" w:cs="Times New Roman"/>
                <w:szCs w:val="24"/>
              </w:rPr>
              <w:t xml:space="preserve"> prisbasbelopp för den som är gift.</w:t>
            </w:r>
          </w:p>
        </w:tc>
        <w:tc>
          <w:tcPr>
            <w:tcW w:w="4531" w:type="dxa"/>
            <w:hideMark/>
          </w:tcPr>
          <w:p w:rsidR="0064653C" w:rsidRPr="0064653C" w:rsidRDefault="0064653C">
            <w:pPr>
              <w:tabs>
                <w:tab w:val="left" w:pos="1304"/>
              </w:tabs>
              <w:rPr>
                <w:rFonts w:ascii="Times New Roman" w:hAnsi="Times New Roman" w:cs="Times New Roman"/>
                <w:b/>
                <w:szCs w:val="24"/>
              </w:rPr>
            </w:pPr>
            <w:r w:rsidRPr="0064653C">
              <w:rPr>
                <w:rFonts w:ascii="Times New Roman" w:hAnsi="Times New Roman" w:cs="Times New Roman"/>
                <w:szCs w:val="24"/>
              </w:rPr>
              <w:t xml:space="preserve">Det fribelopp som avses i 16 och 16 a §§ motsvarar </w:t>
            </w:r>
            <w:r w:rsidRPr="0064653C">
              <w:rPr>
                <w:rFonts w:ascii="Times New Roman" w:hAnsi="Times New Roman" w:cs="Times New Roman"/>
                <w:i/>
                <w:szCs w:val="24"/>
              </w:rPr>
              <w:t>2,326</w:t>
            </w:r>
            <w:r w:rsidRPr="0064653C">
              <w:rPr>
                <w:rFonts w:ascii="Times New Roman" w:hAnsi="Times New Roman" w:cs="Times New Roman"/>
                <w:szCs w:val="24"/>
              </w:rPr>
              <w:t xml:space="preserve"> prisbasbelopp för den som är ogift och </w:t>
            </w:r>
            <w:r w:rsidRPr="0064653C">
              <w:rPr>
                <w:rFonts w:ascii="Times New Roman" w:hAnsi="Times New Roman" w:cs="Times New Roman"/>
                <w:i/>
                <w:szCs w:val="24"/>
              </w:rPr>
              <w:t>2,096</w:t>
            </w:r>
            <w:r w:rsidRPr="0064653C">
              <w:rPr>
                <w:rFonts w:ascii="Times New Roman" w:hAnsi="Times New Roman" w:cs="Times New Roman"/>
                <w:szCs w:val="24"/>
              </w:rPr>
              <w:t xml:space="preserve"> prisbasbelopp för den som är gift.</w:t>
            </w:r>
          </w:p>
        </w:tc>
      </w:tr>
    </w:tbl>
    <w:p w:rsidR="0064653C" w:rsidRPr="0064653C" w:rsidRDefault="0064653C" w:rsidP="0064653C">
      <w:pPr>
        <w:tabs>
          <w:tab w:val="left" w:pos="1304"/>
        </w:tabs>
        <w:rPr>
          <w:b/>
          <w:szCs w:val="24"/>
        </w:rPr>
      </w:pPr>
    </w:p>
    <w:p w:rsidR="0064653C" w:rsidRPr="0064653C" w:rsidRDefault="0064653C" w:rsidP="0064653C">
      <w:pPr>
        <w:tabs>
          <w:tab w:val="left" w:pos="1304"/>
        </w:tabs>
        <w:jc w:val="center"/>
        <w:rPr>
          <w:b/>
          <w:szCs w:val="24"/>
        </w:rPr>
      </w:pPr>
    </w:p>
    <w:p w:rsidR="0064653C" w:rsidRPr="0064653C" w:rsidRDefault="0064653C" w:rsidP="0064653C">
      <w:pPr>
        <w:tabs>
          <w:tab w:val="left" w:pos="1304"/>
        </w:tabs>
        <w:jc w:val="center"/>
        <w:rPr>
          <w:b/>
          <w:szCs w:val="24"/>
        </w:rPr>
      </w:pPr>
      <w:r w:rsidRPr="0064653C">
        <w:rPr>
          <w:b/>
          <w:szCs w:val="24"/>
        </w:rPr>
        <w:t>22 a §</w:t>
      </w:r>
    </w:p>
    <w:p w:rsidR="0064653C" w:rsidRPr="0064653C" w:rsidRDefault="0064653C" w:rsidP="0064653C">
      <w:pPr>
        <w:tabs>
          <w:tab w:val="left" w:pos="1304"/>
        </w:tabs>
        <w:rPr>
          <w:b/>
          <w:szCs w:val="24"/>
        </w:rPr>
      </w:pPr>
    </w:p>
    <w:p w:rsidR="0064653C" w:rsidRPr="0064653C" w:rsidRDefault="0064653C" w:rsidP="0064653C">
      <w:pPr>
        <w:tabs>
          <w:tab w:val="left" w:pos="1304"/>
        </w:tabs>
        <w:jc w:val="both"/>
        <w:rPr>
          <w:szCs w:val="24"/>
        </w:rPr>
      </w:pPr>
      <w:r w:rsidRPr="0064653C">
        <w:rPr>
          <w:szCs w:val="24"/>
        </w:rPr>
        <w:t>Från och med den månad en försäkrad fyller 65 år beaktas vid beräkning av bostadstillägg hela bostadskostnaden per månad av den del som inte överstiger 3 000 kronor för den som är ogift och</w:t>
      </w:r>
    </w:p>
    <w:p w:rsidR="0064653C" w:rsidRPr="0064653C" w:rsidRDefault="0064653C" w:rsidP="0064653C">
      <w:pPr>
        <w:tabs>
          <w:tab w:val="left" w:pos="1304"/>
        </w:tabs>
        <w:jc w:val="both"/>
        <w:rPr>
          <w:szCs w:val="24"/>
        </w:rPr>
      </w:pPr>
      <w:r w:rsidRPr="0064653C">
        <w:rPr>
          <w:szCs w:val="24"/>
        </w:rPr>
        <w:t xml:space="preserve">1 500 kronor för den som är gift. </w:t>
      </w:r>
    </w:p>
    <w:p w:rsidR="0064653C" w:rsidRPr="0064653C" w:rsidRDefault="0064653C" w:rsidP="0064653C">
      <w:pPr>
        <w:tabs>
          <w:tab w:val="left" w:pos="1304"/>
        </w:tabs>
        <w:ind w:firstLine="720"/>
        <w:jc w:val="both"/>
        <w:rPr>
          <w:szCs w:val="24"/>
        </w:rPr>
      </w:pPr>
      <w:r w:rsidRPr="0064653C">
        <w:rPr>
          <w:szCs w:val="24"/>
        </w:rPr>
        <w:t xml:space="preserve">Om bostadskostnaden överstiger de belopp som anges i första stycket beaktas 90 procent av den överskjutande bostadskostnaden per månad upp till 5 000 kronor för den som är ogift och 2 500 kronor för den som är gift. Därutöver beaktas 70 procent av bostadskostnaden per månad mellan 5 001 kronor och 7 000 kronor för den som är ogift och mellan 2 501 kronor och 3 500 kronor för den som är gift. Vidare beaktas 50 procent av bostadskostnaden per månad mellan 7 001 kronor och 7 500 kronor för den som är ogift och mellan 3 501 kronor och 3 750 kronor för den som är gift. </w:t>
      </w:r>
    </w:p>
    <w:p w:rsidR="0064653C" w:rsidRPr="0064653C" w:rsidRDefault="0064653C" w:rsidP="0064653C">
      <w:pPr>
        <w:tabs>
          <w:tab w:val="left" w:pos="1304"/>
        </w:tabs>
        <w:ind w:firstLine="720"/>
        <w:jc w:val="both"/>
        <w:rPr>
          <w:szCs w:val="24"/>
        </w:rPr>
      </w:pPr>
      <w:r w:rsidRPr="0064653C">
        <w:rPr>
          <w:szCs w:val="24"/>
        </w:rPr>
        <w:t>För var och en av makar ska bostadskostnaden beräknas till hälften av deras sammanlagda bostadskostnad.</w:t>
      </w:r>
    </w:p>
    <w:p w:rsidR="0064653C" w:rsidRPr="0064653C" w:rsidRDefault="0064653C" w:rsidP="0064653C">
      <w:pPr>
        <w:tabs>
          <w:tab w:val="left" w:pos="1304"/>
        </w:tabs>
        <w:jc w:val="both"/>
        <w:rPr>
          <w:szCs w:val="24"/>
        </w:rPr>
      </w:pP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2"/>
      </w:tblGrid>
      <w:tr w:rsidR="0064653C" w:rsidRPr="0064653C" w:rsidTr="0064653C">
        <w:tc>
          <w:tcPr>
            <w:tcW w:w="4531" w:type="dxa"/>
            <w:hideMark/>
          </w:tcPr>
          <w:p w:rsidR="0064653C" w:rsidRPr="0064653C" w:rsidRDefault="0064653C">
            <w:pPr>
              <w:tabs>
                <w:tab w:val="left" w:pos="1304"/>
              </w:tabs>
              <w:jc w:val="both"/>
              <w:rPr>
                <w:rFonts w:ascii="Times New Roman" w:hAnsi="Times New Roman" w:cs="Times New Roman"/>
                <w:szCs w:val="24"/>
              </w:rPr>
            </w:pPr>
            <w:r w:rsidRPr="0064653C">
              <w:rPr>
                <w:rFonts w:ascii="Times New Roman" w:hAnsi="Times New Roman" w:cs="Times New Roman"/>
                <w:szCs w:val="24"/>
              </w:rPr>
              <w:t xml:space="preserve">Ett belopp om </w:t>
            </w:r>
            <w:r w:rsidRPr="0064653C">
              <w:rPr>
                <w:rFonts w:ascii="Times New Roman" w:hAnsi="Times New Roman" w:cs="Times New Roman"/>
                <w:i/>
                <w:szCs w:val="24"/>
              </w:rPr>
              <w:t>540</w:t>
            </w:r>
            <w:r w:rsidRPr="0064653C">
              <w:rPr>
                <w:rFonts w:ascii="Times New Roman" w:hAnsi="Times New Roman" w:cs="Times New Roman"/>
                <w:szCs w:val="24"/>
              </w:rPr>
              <w:t xml:space="preserve"> kronor för den som är ogift och </w:t>
            </w:r>
            <w:r w:rsidRPr="0064653C">
              <w:rPr>
                <w:rFonts w:ascii="Times New Roman" w:hAnsi="Times New Roman" w:cs="Times New Roman"/>
                <w:i/>
                <w:szCs w:val="24"/>
              </w:rPr>
              <w:t>270</w:t>
            </w:r>
            <w:r w:rsidRPr="0064653C">
              <w:rPr>
                <w:rFonts w:ascii="Times New Roman" w:hAnsi="Times New Roman" w:cs="Times New Roman"/>
                <w:szCs w:val="24"/>
              </w:rPr>
              <w:t xml:space="preserve"> kronor för den som är gift ska läggas till den bostadskostnad som har beaktats enligt första–tredje styckena och 23 §.</w:t>
            </w:r>
          </w:p>
        </w:tc>
        <w:tc>
          <w:tcPr>
            <w:tcW w:w="4531" w:type="dxa"/>
            <w:hideMark/>
          </w:tcPr>
          <w:p w:rsidR="0064653C" w:rsidRPr="0064653C" w:rsidRDefault="0064653C">
            <w:pPr>
              <w:tabs>
                <w:tab w:val="left" w:pos="1304"/>
              </w:tabs>
              <w:jc w:val="both"/>
              <w:rPr>
                <w:rFonts w:ascii="Times New Roman" w:hAnsi="Times New Roman" w:cs="Times New Roman"/>
                <w:szCs w:val="24"/>
              </w:rPr>
            </w:pPr>
            <w:r w:rsidRPr="0064653C">
              <w:rPr>
                <w:rFonts w:ascii="Times New Roman" w:hAnsi="Times New Roman" w:cs="Times New Roman"/>
                <w:szCs w:val="24"/>
              </w:rPr>
              <w:t xml:space="preserve">Ett belopp om </w:t>
            </w:r>
            <w:r w:rsidRPr="0064653C">
              <w:rPr>
                <w:rFonts w:ascii="Times New Roman" w:hAnsi="Times New Roman" w:cs="Times New Roman"/>
                <w:i/>
                <w:szCs w:val="24"/>
              </w:rPr>
              <w:t>1090</w:t>
            </w:r>
            <w:r w:rsidRPr="0064653C">
              <w:rPr>
                <w:rFonts w:ascii="Times New Roman" w:hAnsi="Times New Roman" w:cs="Times New Roman"/>
                <w:szCs w:val="24"/>
              </w:rPr>
              <w:t xml:space="preserve"> kronor för den som är ogift och </w:t>
            </w:r>
            <w:r w:rsidRPr="0064653C">
              <w:rPr>
                <w:rFonts w:ascii="Times New Roman" w:hAnsi="Times New Roman" w:cs="Times New Roman"/>
                <w:i/>
                <w:szCs w:val="24"/>
              </w:rPr>
              <w:t>545</w:t>
            </w:r>
            <w:r w:rsidRPr="0064653C">
              <w:rPr>
                <w:rFonts w:ascii="Times New Roman" w:hAnsi="Times New Roman" w:cs="Times New Roman"/>
                <w:szCs w:val="24"/>
              </w:rPr>
              <w:t xml:space="preserve"> kronor för den som är gift ska läggas till den bostadskostnad som har beaktats enligt första–tredje styckena och 23 §.</w:t>
            </w:r>
          </w:p>
        </w:tc>
      </w:tr>
    </w:tbl>
    <w:p w:rsidR="0064653C" w:rsidRPr="0064653C" w:rsidRDefault="0064653C" w:rsidP="0064653C">
      <w:pPr>
        <w:tabs>
          <w:tab w:val="left" w:pos="1304"/>
        </w:tabs>
        <w:jc w:val="both"/>
        <w:rPr>
          <w:szCs w:val="24"/>
        </w:rPr>
      </w:pPr>
    </w:p>
    <w:p w:rsidR="0064653C" w:rsidRPr="0064653C" w:rsidRDefault="0064653C" w:rsidP="0064653C">
      <w:pPr>
        <w:tabs>
          <w:tab w:val="left" w:pos="1304"/>
        </w:tabs>
        <w:jc w:val="both"/>
        <w:rPr>
          <w:szCs w:val="24"/>
        </w:rPr>
      </w:pPr>
    </w:p>
    <w:p w:rsidR="0064653C" w:rsidRPr="0064653C" w:rsidRDefault="0064653C" w:rsidP="0064653C">
      <w:pPr>
        <w:tabs>
          <w:tab w:val="left" w:pos="1304"/>
        </w:tabs>
        <w:jc w:val="both"/>
        <w:rPr>
          <w:szCs w:val="24"/>
        </w:rPr>
      </w:pPr>
    </w:p>
    <w:p w:rsidR="0064653C" w:rsidRPr="0064653C" w:rsidRDefault="0064653C" w:rsidP="0064653C">
      <w:pPr>
        <w:tabs>
          <w:tab w:val="left" w:pos="1304"/>
        </w:tabs>
        <w:jc w:val="both"/>
        <w:rPr>
          <w:szCs w:val="24"/>
        </w:rPr>
      </w:pPr>
      <w:r w:rsidRPr="0064653C">
        <w:rPr>
          <w:szCs w:val="24"/>
        </w:rPr>
        <w:t>1. Denna lag träder i kraft den 1 september 2022</w:t>
      </w:r>
    </w:p>
    <w:p w:rsidR="0064653C" w:rsidRPr="0064653C" w:rsidRDefault="0064653C" w:rsidP="0064653C">
      <w:pPr>
        <w:tabs>
          <w:tab w:val="left" w:pos="1304"/>
        </w:tabs>
        <w:jc w:val="both"/>
        <w:rPr>
          <w:szCs w:val="24"/>
        </w:rPr>
      </w:pPr>
      <w:r w:rsidRPr="0064653C">
        <w:rPr>
          <w:szCs w:val="24"/>
        </w:rPr>
        <w:t>2. Lagen tillämpas första gången för bostadstillägg som avser oktober 2022</w:t>
      </w:r>
    </w:p>
    <w:p w:rsidR="0064653C" w:rsidRPr="0064653C" w:rsidRDefault="0064653C" w:rsidP="0064653C">
      <w:pPr>
        <w:tabs>
          <w:tab w:val="left" w:pos="1304"/>
        </w:tabs>
        <w:jc w:val="both"/>
        <w:rPr>
          <w:szCs w:val="24"/>
        </w:rPr>
      </w:pPr>
      <w:r w:rsidRPr="0064653C">
        <w:rPr>
          <w:szCs w:val="24"/>
        </w:rPr>
        <w:t xml:space="preserve">3. Äldre bestämmelser gäller fortfarande för bostadstillägg som avser tid före den 1 oktober 2022. </w:t>
      </w:r>
    </w:p>
    <w:p w:rsidR="0064653C" w:rsidRPr="0064653C" w:rsidRDefault="0064653C" w:rsidP="0064653C">
      <w:pPr>
        <w:tabs>
          <w:tab w:val="left" w:pos="1304"/>
        </w:tabs>
        <w:jc w:val="both"/>
        <w:rPr>
          <w:szCs w:val="24"/>
        </w:rPr>
      </w:pPr>
    </w:p>
    <w:p w:rsidR="0064653C" w:rsidRPr="0064653C" w:rsidRDefault="0064653C" w:rsidP="0064653C">
      <w:pPr>
        <w:tabs>
          <w:tab w:val="left" w:pos="1304"/>
        </w:tabs>
        <w:spacing w:after="160" w:line="256" w:lineRule="auto"/>
        <w:rPr>
          <w:szCs w:val="24"/>
        </w:rPr>
      </w:pPr>
      <w:r w:rsidRPr="0064653C">
        <w:rPr>
          <w:szCs w:val="24"/>
        </w:rPr>
        <w:br w:type="page"/>
      </w:r>
    </w:p>
    <w:p w:rsidR="0064653C" w:rsidRPr="0064653C" w:rsidRDefault="0064653C" w:rsidP="0064653C">
      <w:pPr>
        <w:pStyle w:val="Rubrik2"/>
        <w:rPr>
          <w:sz w:val="24"/>
          <w:szCs w:val="24"/>
        </w:rPr>
      </w:pPr>
      <w:r w:rsidRPr="0064653C">
        <w:rPr>
          <w:sz w:val="24"/>
          <w:szCs w:val="24"/>
        </w:rPr>
        <w:lastRenderedPageBreak/>
        <w:t xml:space="preserve">Förslag till lag om ändring i socialtjänstlagen (2001:453) </w:t>
      </w:r>
    </w:p>
    <w:p w:rsidR="0064653C" w:rsidRPr="0064653C" w:rsidRDefault="0064653C" w:rsidP="0064653C">
      <w:pPr>
        <w:rPr>
          <w:szCs w:val="24"/>
        </w:rPr>
      </w:pPr>
      <w:r w:rsidRPr="0064653C">
        <w:rPr>
          <w:szCs w:val="24"/>
        </w:rPr>
        <w:t>Härigenom föreskrivs att 8 kap. 7 § socialtjänstlagen (2001:453) ska ha följande lydelse.</w:t>
      </w:r>
    </w:p>
    <w:p w:rsidR="0064653C" w:rsidRPr="0064653C" w:rsidRDefault="0064653C" w:rsidP="0064653C">
      <w:pPr>
        <w:rPr>
          <w:szCs w:val="24"/>
        </w:rPr>
      </w:pPr>
    </w:p>
    <w:p w:rsidR="0064653C" w:rsidRPr="0064653C" w:rsidRDefault="0064653C" w:rsidP="0064653C">
      <w:pPr>
        <w:rPr>
          <w:i/>
          <w:szCs w:val="24"/>
        </w:rPr>
      </w:pPr>
      <w:r w:rsidRPr="0064653C">
        <w:rPr>
          <w:i/>
          <w:szCs w:val="24"/>
        </w:rPr>
        <w:t xml:space="preserve">Nuvarande lydelse </w:t>
      </w:r>
      <w:r w:rsidRPr="0064653C">
        <w:rPr>
          <w:i/>
          <w:szCs w:val="24"/>
        </w:rPr>
        <w:tab/>
      </w:r>
      <w:r w:rsidRPr="0064653C">
        <w:rPr>
          <w:i/>
          <w:szCs w:val="24"/>
        </w:rPr>
        <w:tab/>
      </w:r>
      <w:r w:rsidRPr="0064653C">
        <w:rPr>
          <w:i/>
          <w:szCs w:val="24"/>
        </w:rPr>
        <w:tab/>
      </w:r>
      <w:r w:rsidRPr="0064653C">
        <w:rPr>
          <w:i/>
          <w:szCs w:val="24"/>
        </w:rPr>
        <w:tab/>
      </w:r>
      <w:r w:rsidRPr="0064653C">
        <w:rPr>
          <w:i/>
          <w:szCs w:val="24"/>
        </w:rPr>
        <w:tab/>
        <w:t>Föreslagen lydelse</w:t>
      </w:r>
    </w:p>
    <w:p w:rsidR="0064653C" w:rsidRPr="0064653C" w:rsidRDefault="0064653C" w:rsidP="0064653C">
      <w:pPr>
        <w:jc w:val="center"/>
        <w:rPr>
          <w:szCs w:val="24"/>
        </w:rPr>
      </w:pPr>
      <w:r w:rsidRPr="0064653C">
        <w:rPr>
          <w:szCs w:val="24"/>
        </w:rPr>
        <w:t>8 kap.</w:t>
      </w:r>
    </w:p>
    <w:p w:rsidR="0064653C" w:rsidRPr="0064653C" w:rsidRDefault="0064653C" w:rsidP="0064653C">
      <w:pPr>
        <w:jc w:val="center"/>
        <w:rPr>
          <w:szCs w:val="24"/>
        </w:rPr>
      </w:pPr>
      <w:r w:rsidRPr="0064653C">
        <w:rPr>
          <w:szCs w:val="24"/>
        </w:rPr>
        <w:t>7 §</w:t>
      </w:r>
    </w:p>
    <w:p w:rsidR="0064653C" w:rsidRPr="0064653C" w:rsidRDefault="0064653C" w:rsidP="0064653C">
      <w:pPr>
        <w:jc w:val="both"/>
        <w:rPr>
          <w:szCs w:val="24"/>
        </w:rPr>
      </w:pPr>
      <w:r w:rsidRPr="0064653C">
        <w:rPr>
          <w:szCs w:val="24"/>
        </w:rPr>
        <w:tab/>
        <w:t>Kommunen ska bestämma den enskildes förbehållsbelopp genom att beräkna den enskildes levnadskostnader, utom boendekostnaden, med ledning av ett minimibelopp. Boendekostnaden ska beräknas för sig och läggas till minimibeloppet. För sådan boendekostnad som anges i 5 § ska dock inget förbehåll göras.</w:t>
      </w:r>
    </w:p>
    <w:p w:rsidR="0064653C" w:rsidRPr="0064653C" w:rsidRDefault="0064653C" w:rsidP="0064653C">
      <w:pPr>
        <w:jc w:val="both"/>
        <w:rPr>
          <w:szCs w:val="24"/>
        </w:rPr>
      </w:pPr>
      <w:r w:rsidRPr="0064653C">
        <w:rPr>
          <w:szCs w:val="24"/>
        </w:rPr>
        <w:tab/>
        <w:t>Minimibeloppet ska, om inte annat följer av 8 §, alltid per månad utgöra lägst en tolftedel av</w:t>
      </w: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2"/>
      </w:tblGrid>
      <w:tr w:rsidR="0064653C" w:rsidRPr="0064653C" w:rsidTr="0064653C">
        <w:tc>
          <w:tcPr>
            <w:tcW w:w="4531" w:type="dxa"/>
            <w:hideMark/>
          </w:tcPr>
          <w:p w:rsidR="0064653C" w:rsidRPr="0064653C" w:rsidRDefault="0064653C" w:rsidP="0064653C">
            <w:pPr>
              <w:pStyle w:val="Liststycke"/>
              <w:widowControl/>
              <w:numPr>
                <w:ilvl w:val="0"/>
                <w:numId w:val="15"/>
              </w:numPr>
              <w:tabs>
                <w:tab w:val="left" w:pos="284"/>
              </w:tabs>
              <w:rPr>
                <w:rFonts w:ascii="Times New Roman" w:hAnsi="Times New Roman" w:cs="Times New Roman"/>
                <w:szCs w:val="24"/>
              </w:rPr>
            </w:pPr>
            <w:r w:rsidRPr="0064653C">
              <w:rPr>
                <w:rFonts w:ascii="Times New Roman" w:hAnsi="Times New Roman" w:cs="Times New Roman"/>
                <w:i/>
                <w:szCs w:val="24"/>
              </w:rPr>
              <w:t>1,4044</w:t>
            </w:r>
            <w:r w:rsidRPr="0064653C">
              <w:rPr>
                <w:rFonts w:ascii="Times New Roman" w:hAnsi="Times New Roman" w:cs="Times New Roman"/>
                <w:szCs w:val="24"/>
              </w:rPr>
              <w:t xml:space="preserve"> prisbasbelopp för ensamstående, eller</w:t>
            </w:r>
          </w:p>
          <w:p w:rsidR="0064653C" w:rsidRPr="0064653C" w:rsidRDefault="0064653C" w:rsidP="0064653C">
            <w:pPr>
              <w:pStyle w:val="Liststycke"/>
              <w:widowControl/>
              <w:numPr>
                <w:ilvl w:val="0"/>
                <w:numId w:val="15"/>
              </w:numPr>
              <w:tabs>
                <w:tab w:val="left" w:pos="284"/>
              </w:tabs>
              <w:rPr>
                <w:rFonts w:ascii="Times New Roman" w:hAnsi="Times New Roman" w:cs="Times New Roman"/>
                <w:szCs w:val="24"/>
              </w:rPr>
            </w:pPr>
            <w:r w:rsidRPr="0064653C">
              <w:rPr>
                <w:rFonts w:ascii="Times New Roman" w:hAnsi="Times New Roman" w:cs="Times New Roman"/>
                <w:i/>
                <w:szCs w:val="24"/>
              </w:rPr>
              <w:t>1,1694</w:t>
            </w:r>
            <w:r w:rsidRPr="0064653C">
              <w:rPr>
                <w:rFonts w:ascii="Times New Roman" w:hAnsi="Times New Roman" w:cs="Times New Roman"/>
                <w:szCs w:val="24"/>
              </w:rPr>
              <w:t xml:space="preserve"> prisbasbelopp för var och en av sammanlevande makar och sambor</w:t>
            </w:r>
          </w:p>
        </w:tc>
        <w:tc>
          <w:tcPr>
            <w:tcW w:w="4531" w:type="dxa"/>
            <w:hideMark/>
          </w:tcPr>
          <w:p w:rsidR="0064653C" w:rsidRPr="0064653C" w:rsidRDefault="0064653C" w:rsidP="0064653C">
            <w:pPr>
              <w:pStyle w:val="Liststycke"/>
              <w:widowControl/>
              <w:numPr>
                <w:ilvl w:val="0"/>
                <w:numId w:val="17"/>
              </w:numPr>
              <w:tabs>
                <w:tab w:val="left" w:pos="284"/>
              </w:tabs>
              <w:rPr>
                <w:rFonts w:ascii="Times New Roman" w:hAnsi="Times New Roman" w:cs="Times New Roman"/>
                <w:szCs w:val="24"/>
              </w:rPr>
            </w:pPr>
            <w:r w:rsidRPr="0064653C">
              <w:rPr>
                <w:rFonts w:ascii="Times New Roman" w:hAnsi="Times New Roman" w:cs="Times New Roman"/>
                <w:i/>
                <w:szCs w:val="24"/>
              </w:rPr>
              <w:t>1,5411</w:t>
            </w:r>
            <w:r w:rsidRPr="0064653C">
              <w:rPr>
                <w:rFonts w:ascii="Times New Roman" w:hAnsi="Times New Roman" w:cs="Times New Roman"/>
                <w:szCs w:val="24"/>
              </w:rPr>
              <w:t xml:space="preserve"> prisbasbelopp för ensamstående, eller</w:t>
            </w:r>
          </w:p>
          <w:p w:rsidR="0064653C" w:rsidRPr="0064653C" w:rsidRDefault="0064653C" w:rsidP="0064653C">
            <w:pPr>
              <w:pStyle w:val="Liststycke"/>
              <w:widowControl/>
              <w:numPr>
                <w:ilvl w:val="0"/>
                <w:numId w:val="17"/>
              </w:numPr>
              <w:tabs>
                <w:tab w:val="left" w:pos="284"/>
              </w:tabs>
              <w:rPr>
                <w:rFonts w:ascii="Times New Roman" w:hAnsi="Times New Roman" w:cs="Times New Roman"/>
                <w:szCs w:val="24"/>
              </w:rPr>
            </w:pPr>
            <w:r w:rsidRPr="0064653C">
              <w:rPr>
                <w:rFonts w:ascii="Times New Roman" w:hAnsi="Times New Roman" w:cs="Times New Roman"/>
                <w:i/>
                <w:szCs w:val="24"/>
              </w:rPr>
              <w:t xml:space="preserve">1,2377 </w:t>
            </w:r>
            <w:r w:rsidRPr="0064653C">
              <w:rPr>
                <w:rFonts w:ascii="Times New Roman" w:hAnsi="Times New Roman" w:cs="Times New Roman"/>
                <w:szCs w:val="24"/>
              </w:rPr>
              <w:t>prisbasbelopp för var och en av sammanlevande makar och sambor</w:t>
            </w:r>
          </w:p>
        </w:tc>
      </w:tr>
    </w:tbl>
    <w:p w:rsidR="0064653C" w:rsidRPr="0064653C" w:rsidRDefault="0064653C" w:rsidP="0064653C">
      <w:pPr>
        <w:rPr>
          <w:szCs w:val="24"/>
        </w:rPr>
      </w:pPr>
    </w:p>
    <w:p w:rsidR="0064653C" w:rsidRPr="0064653C" w:rsidRDefault="0064653C" w:rsidP="0064653C">
      <w:pPr>
        <w:rPr>
          <w:szCs w:val="24"/>
        </w:rPr>
      </w:pPr>
      <w:r w:rsidRPr="0064653C">
        <w:rPr>
          <w:szCs w:val="24"/>
        </w:rPr>
        <w:t xml:space="preserve">Minimibeloppet enligt första stycket ska täcka normalkostnader för livsmedel, kläder, skor, fritid, hygien, dagstidning, telefon, hemförsäkring, öppen hälso- och sjukvård, tandvård, hushållsel, förbrukningsvaror, resor, möbler, husgeråd och läkemedel. </w:t>
      </w:r>
    </w:p>
    <w:p w:rsidR="0064653C" w:rsidRPr="0064653C" w:rsidRDefault="0064653C" w:rsidP="0064653C">
      <w:pPr>
        <w:rPr>
          <w:szCs w:val="24"/>
        </w:rPr>
      </w:pPr>
    </w:p>
    <w:p w:rsidR="0064653C" w:rsidRPr="0064653C" w:rsidRDefault="0064653C" w:rsidP="0064653C">
      <w:pPr>
        <w:rPr>
          <w:szCs w:val="24"/>
        </w:rPr>
      </w:pPr>
      <w:r w:rsidRPr="0064653C">
        <w:rPr>
          <w:szCs w:val="24"/>
        </w:rPr>
        <w:t xml:space="preserve">Denna lag träder i kraft den 1 oktober 2022. </w:t>
      </w:r>
    </w:p>
    <w:p w:rsidR="0064653C" w:rsidRPr="0064653C" w:rsidRDefault="0064653C" w:rsidP="0064653C">
      <w:pPr>
        <w:rPr>
          <w:szCs w:val="24"/>
        </w:rPr>
      </w:pPr>
    </w:p>
    <w:p w:rsidR="0064653C" w:rsidRPr="0064653C" w:rsidRDefault="0064653C" w:rsidP="0064653C">
      <w:pPr>
        <w:ind w:left="-709"/>
        <w:rPr>
          <w:szCs w:val="24"/>
        </w:rPr>
      </w:pPr>
    </w:p>
    <w:p w:rsidR="0064653C" w:rsidRPr="0064653C" w:rsidRDefault="0064653C" w:rsidP="0064653C">
      <w:pPr>
        <w:ind w:left="-709"/>
        <w:rPr>
          <w:spacing w:val="2"/>
          <w:szCs w:val="24"/>
        </w:rPr>
      </w:pPr>
    </w:p>
    <w:p w:rsidR="0064653C" w:rsidRPr="0064653C" w:rsidRDefault="0064653C" w:rsidP="0064653C">
      <w:pPr>
        <w:ind w:left="-709"/>
        <w:rPr>
          <w:spacing w:val="2"/>
          <w:szCs w:val="24"/>
        </w:rPr>
      </w:pPr>
    </w:p>
    <w:p w:rsidR="00900C13" w:rsidRPr="0064653C" w:rsidRDefault="00900C13" w:rsidP="004C6601">
      <w:pPr>
        <w:ind w:left="-709"/>
        <w:rPr>
          <w:spacing w:val="2"/>
          <w:szCs w:val="24"/>
        </w:rPr>
      </w:pPr>
    </w:p>
    <w:sectPr w:rsidR="00900C13" w:rsidRPr="0064653C" w:rsidSect="0002748E">
      <w:headerReference w:type="default" r:id="rId9"/>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7" w:name="Svenska"/>
    <w:r>
      <w:t>Finansutskottet</w:t>
    </w:r>
    <w:r>
      <w:tab/>
    </w:r>
    <w:r>
      <w:tab/>
    </w:r>
    <w:r>
      <w:rPr>
        <w:noProof/>
      </w:rPr>
      <w:drawing>
        <wp:inline distT="0" distB="0" distL="0" distR="0">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4F018BD"/>
    <w:multiLevelType w:val="multilevel"/>
    <w:tmpl w:val="9A70609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6D55855"/>
    <w:multiLevelType w:val="hybridMultilevel"/>
    <w:tmpl w:val="D6BEEF8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1325BAF"/>
    <w:multiLevelType w:val="hybridMultilevel"/>
    <w:tmpl w:val="141E4A72"/>
    <w:lvl w:ilvl="0" w:tplc="B4B28D6C">
      <w:start w:val="1"/>
      <w:numFmt w:val="decimal"/>
      <w:lvlText w:val="%1."/>
      <w:lvlJc w:val="left"/>
      <w:pPr>
        <w:ind w:left="720" w:hanging="360"/>
      </w:pPr>
      <w:rPr>
        <w:i/>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124122"/>
    <w:multiLevelType w:val="hybridMultilevel"/>
    <w:tmpl w:val="38E652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11"/>
  </w:num>
  <w:num w:numId="6">
    <w:abstractNumId w:val="2"/>
  </w:num>
  <w:num w:numId="7">
    <w:abstractNumId w:val="9"/>
  </w:num>
  <w:num w:numId="8">
    <w:abstractNumId w:val="5"/>
  </w:num>
  <w:num w:numId="9">
    <w:abstractNumId w:val="6"/>
  </w:num>
  <w:num w:numId="10">
    <w:abstractNumId w:val="3"/>
  </w:num>
  <w:num w:numId="1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58D4"/>
    <w:rsid w:val="00116AAA"/>
    <w:rsid w:val="00124F45"/>
    <w:rsid w:val="00126BB8"/>
    <w:rsid w:val="00126F53"/>
    <w:rsid w:val="0013018A"/>
    <w:rsid w:val="001418E1"/>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66621"/>
    <w:rsid w:val="00281FD0"/>
    <w:rsid w:val="00282678"/>
    <w:rsid w:val="002854B7"/>
    <w:rsid w:val="00293DD6"/>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2371D"/>
    <w:rsid w:val="005345E8"/>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43E28"/>
    <w:rsid w:val="006457B3"/>
    <w:rsid w:val="0064653C"/>
    <w:rsid w:val="0065688B"/>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28B9"/>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0C13"/>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56380"/>
    <w:rsid w:val="00A63190"/>
    <w:rsid w:val="00A640B1"/>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3B1E"/>
    <w:rsid w:val="00CA58BF"/>
    <w:rsid w:val="00CB01C5"/>
    <w:rsid w:val="00CB50C7"/>
    <w:rsid w:val="00CB78DD"/>
    <w:rsid w:val="00CC0949"/>
    <w:rsid w:val="00CC1AE1"/>
    <w:rsid w:val="00CC4B83"/>
    <w:rsid w:val="00CC60EB"/>
    <w:rsid w:val="00CD1527"/>
    <w:rsid w:val="00CD4718"/>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D11DB"/>
    <w:rsid w:val="00DE54FF"/>
    <w:rsid w:val="00DF06AE"/>
    <w:rsid w:val="00E0219D"/>
    <w:rsid w:val="00E15BE8"/>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496A"/>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link w:val="Rubrik3Char"/>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Rubrik4"/>
    <w:next w:val="Normal"/>
    <w:link w:val="Rubrik5Char"/>
    <w:semiHidden/>
    <w:unhideWhenUsed/>
    <w:qFormat/>
    <w:rsid w:val="0064653C"/>
    <w:pPr>
      <w:tabs>
        <w:tab w:val="clear" w:pos="1304"/>
        <w:tab w:val="clear" w:pos="2608"/>
        <w:tab w:val="clear" w:pos="3912"/>
        <w:tab w:val="clear" w:pos="5216"/>
        <w:tab w:val="clear" w:pos="6520"/>
        <w:tab w:val="clear" w:pos="7824"/>
        <w:tab w:val="clear" w:pos="9128"/>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left" w:pos="284"/>
      </w:tabs>
      <w:spacing w:after="40" w:line="200" w:lineRule="atLeast"/>
      <w:outlineLvl w:val="4"/>
    </w:pPr>
    <w:rPr>
      <w:i/>
      <w:iCs/>
      <w:kern w:val="28"/>
      <w:szCs w:val="26"/>
    </w:rPr>
  </w:style>
  <w:style w:type="paragraph" w:styleId="Rubrik6">
    <w:name w:val="heading 6"/>
    <w:basedOn w:val="Rubrik5"/>
    <w:next w:val="Normal"/>
    <w:link w:val="Rubrik6Char"/>
    <w:semiHidden/>
    <w:unhideWhenUsed/>
    <w:qFormat/>
    <w:rsid w:val="0064653C"/>
    <w:pPr>
      <w:outlineLvl w:val="5"/>
    </w:pPr>
    <w:rPr>
      <w:b w:val="0"/>
      <w:bCs/>
      <w:i w:val="0"/>
      <w:szCs w:val="22"/>
    </w:rPr>
  </w:style>
  <w:style w:type="paragraph" w:styleId="Rubrik7">
    <w:name w:val="heading 7"/>
    <w:basedOn w:val="Normal"/>
    <w:next w:val="Normal"/>
    <w:link w:val="Rubrik7Char"/>
    <w:uiPriority w:val="9"/>
    <w:semiHidden/>
    <w:unhideWhenUsed/>
    <w:qFormat/>
    <w:rsid w:val="0064653C"/>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uiPriority w:val="99"/>
    <w:semiHidden/>
    <w:rsid w:val="005874E8"/>
    <w:rPr>
      <w:rFonts w:ascii="Tahoma" w:hAnsi="Tahoma" w:cs="Tahoma"/>
      <w:sz w:val="16"/>
      <w:szCs w:val="16"/>
    </w:rPr>
  </w:style>
  <w:style w:type="paragraph" w:styleId="Sidhuvud">
    <w:name w:val="header"/>
    <w:basedOn w:val="Normal"/>
    <w:link w:val="SidhuvudChar"/>
    <w:uiPriority w:val="99"/>
    <w:rsid w:val="00237DF5"/>
    <w:pPr>
      <w:widowControl/>
      <w:tabs>
        <w:tab w:val="center" w:pos="4536"/>
        <w:tab w:val="right" w:pos="9072"/>
      </w:tabs>
    </w:pPr>
  </w:style>
  <w:style w:type="paragraph" w:styleId="Sidfot">
    <w:name w:val="footer"/>
    <w:basedOn w:val="Normal"/>
    <w:link w:val="SidfotChar"/>
    <w:uiPriority w:val="99"/>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5Char">
    <w:name w:val="Rubrik 5 Char"/>
    <w:basedOn w:val="Standardstycketeckensnitt"/>
    <w:link w:val="Rubrik5"/>
    <w:semiHidden/>
    <w:rsid w:val="0064653C"/>
    <w:rPr>
      <w:b/>
      <w:i/>
      <w:iCs/>
      <w:kern w:val="28"/>
      <w:sz w:val="22"/>
      <w:szCs w:val="26"/>
    </w:rPr>
  </w:style>
  <w:style w:type="character" w:customStyle="1" w:styleId="Rubrik6Char">
    <w:name w:val="Rubrik 6 Char"/>
    <w:basedOn w:val="Standardstycketeckensnitt"/>
    <w:link w:val="Rubrik6"/>
    <w:semiHidden/>
    <w:rsid w:val="0064653C"/>
    <w:rPr>
      <w:bCs/>
      <w:iCs/>
      <w:kern w:val="28"/>
      <w:sz w:val="22"/>
      <w:szCs w:val="22"/>
    </w:rPr>
  </w:style>
  <w:style w:type="character" w:customStyle="1" w:styleId="Rubrik7Char">
    <w:name w:val="Rubrik 7 Char"/>
    <w:basedOn w:val="Standardstycketeckensnitt"/>
    <w:link w:val="Rubrik7"/>
    <w:uiPriority w:val="9"/>
    <w:semiHidden/>
    <w:rsid w:val="0064653C"/>
    <w:rPr>
      <w:rFonts w:ascii="GillSans Pro for Riksdagen Lt" w:eastAsiaTheme="majorEastAsia" w:hAnsi="GillSans Pro for Riksdagen Lt" w:cstheme="majorBidi"/>
      <w:i/>
      <w:iCs/>
      <w:color w:val="1F4D78" w:themeColor="accent1" w:themeShade="7F"/>
      <w:sz w:val="22"/>
      <w:szCs w:val="36"/>
    </w:rPr>
  </w:style>
  <w:style w:type="character" w:customStyle="1" w:styleId="Rubrik1Char">
    <w:name w:val="Rubrik 1 Char"/>
    <w:basedOn w:val="Standardstycketeckensnitt"/>
    <w:link w:val="Rubrik1"/>
    <w:rsid w:val="0064653C"/>
    <w:rPr>
      <w:b/>
      <w:kern w:val="36"/>
      <w:sz w:val="48"/>
    </w:rPr>
  </w:style>
  <w:style w:type="character" w:customStyle="1" w:styleId="Rubrik2Char">
    <w:name w:val="Rubrik 2 Char"/>
    <w:basedOn w:val="Standardstycketeckensnitt"/>
    <w:link w:val="Rubrik2"/>
    <w:rsid w:val="0064653C"/>
    <w:rPr>
      <w:b/>
      <w:kern w:val="36"/>
      <w:sz w:val="36"/>
    </w:rPr>
  </w:style>
  <w:style w:type="character" w:customStyle="1" w:styleId="Rubrik3Char">
    <w:name w:val="Rubrik 3 Char"/>
    <w:basedOn w:val="Standardstycketeckensnitt"/>
    <w:link w:val="Rubrik3"/>
    <w:rsid w:val="0064653C"/>
    <w:rPr>
      <w:b/>
      <w:sz w:val="28"/>
    </w:rPr>
  </w:style>
  <w:style w:type="character" w:customStyle="1" w:styleId="Rubrik4Char">
    <w:name w:val="Rubrik 4 Char"/>
    <w:basedOn w:val="Standardstycketeckensnitt"/>
    <w:link w:val="Rubrik4"/>
    <w:rsid w:val="0064653C"/>
    <w:rPr>
      <w:b/>
      <w:sz w:val="22"/>
    </w:rPr>
  </w:style>
  <w:style w:type="paragraph" w:customStyle="1" w:styleId="msonormal0">
    <w:name w:val="msonormal"/>
    <w:basedOn w:val="Normal"/>
    <w:rsid w:val="0064653C"/>
    <w:pPr>
      <w:widowControl/>
      <w:spacing w:before="100" w:beforeAutospacing="1" w:after="100" w:afterAutospacing="1"/>
    </w:pPr>
    <w:rPr>
      <w:szCs w:val="24"/>
    </w:rPr>
  </w:style>
  <w:style w:type="paragraph" w:styleId="Fotnotstext">
    <w:name w:val="footnote text"/>
    <w:basedOn w:val="Normal"/>
    <w:link w:val="FotnotstextChar"/>
    <w:uiPriority w:val="99"/>
    <w:unhideWhenUsed/>
    <w:rsid w:val="0064653C"/>
    <w:pPr>
      <w:widowControl/>
      <w:tabs>
        <w:tab w:val="left" w:pos="284"/>
      </w:tabs>
    </w:pPr>
    <w:rPr>
      <w:rFonts w:ascii="Arial" w:hAnsi="Arial"/>
      <w:sz w:val="20"/>
    </w:rPr>
  </w:style>
  <w:style w:type="character" w:customStyle="1" w:styleId="FotnotstextChar">
    <w:name w:val="Fotnotstext Char"/>
    <w:basedOn w:val="Standardstycketeckensnitt"/>
    <w:link w:val="Fotnotstext"/>
    <w:uiPriority w:val="99"/>
    <w:rsid w:val="0064653C"/>
    <w:rPr>
      <w:rFonts w:ascii="Arial" w:hAnsi="Arial"/>
    </w:rPr>
  </w:style>
  <w:style w:type="paragraph" w:styleId="Kommentarer">
    <w:name w:val="annotation text"/>
    <w:basedOn w:val="Normal"/>
    <w:link w:val="KommentarerChar"/>
    <w:uiPriority w:val="99"/>
    <w:unhideWhenUsed/>
    <w:rsid w:val="0064653C"/>
    <w:pPr>
      <w:widowControl/>
      <w:tabs>
        <w:tab w:val="left" w:pos="284"/>
      </w:tabs>
    </w:pPr>
    <w:rPr>
      <w:sz w:val="20"/>
    </w:rPr>
  </w:style>
  <w:style w:type="character" w:customStyle="1" w:styleId="KommentarerChar">
    <w:name w:val="Kommentarer Char"/>
    <w:basedOn w:val="Standardstycketeckensnitt"/>
    <w:link w:val="Kommentarer"/>
    <w:uiPriority w:val="99"/>
    <w:rsid w:val="0064653C"/>
  </w:style>
  <w:style w:type="character" w:customStyle="1" w:styleId="SidhuvudChar">
    <w:name w:val="Sidhuvud Char"/>
    <w:basedOn w:val="Standardstycketeckensnitt"/>
    <w:link w:val="Sidhuvud"/>
    <w:uiPriority w:val="99"/>
    <w:rsid w:val="0064653C"/>
    <w:rPr>
      <w:sz w:val="24"/>
    </w:rPr>
  </w:style>
  <w:style w:type="character" w:customStyle="1" w:styleId="SidfotChar">
    <w:name w:val="Sidfot Char"/>
    <w:basedOn w:val="Standardstycketeckensnitt"/>
    <w:link w:val="Sidfot"/>
    <w:uiPriority w:val="99"/>
    <w:rsid w:val="0064653C"/>
    <w:rPr>
      <w:sz w:val="24"/>
    </w:rPr>
  </w:style>
  <w:style w:type="paragraph" w:styleId="Kommentarsmne">
    <w:name w:val="annotation subject"/>
    <w:basedOn w:val="Kommentarer"/>
    <w:next w:val="Kommentarer"/>
    <w:link w:val="KommentarsmneChar"/>
    <w:uiPriority w:val="99"/>
    <w:unhideWhenUsed/>
    <w:rsid w:val="0064653C"/>
    <w:rPr>
      <w:b/>
      <w:bCs/>
    </w:rPr>
  </w:style>
  <w:style w:type="character" w:customStyle="1" w:styleId="KommentarsmneChar">
    <w:name w:val="Kommentarsämne Char"/>
    <w:basedOn w:val="KommentarerChar"/>
    <w:link w:val="Kommentarsmne"/>
    <w:uiPriority w:val="99"/>
    <w:rsid w:val="0064653C"/>
    <w:rPr>
      <w:b/>
      <w:bCs/>
    </w:rPr>
  </w:style>
  <w:style w:type="character" w:customStyle="1" w:styleId="BallongtextChar">
    <w:name w:val="Ballongtext Char"/>
    <w:basedOn w:val="Standardstycketeckensnitt"/>
    <w:link w:val="Ballongtext"/>
    <w:uiPriority w:val="99"/>
    <w:semiHidden/>
    <w:rsid w:val="0064653C"/>
    <w:rPr>
      <w:rFonts w:ascii="Tahoma" w:hAnsi="Tahoma" w:cs="Tahoma"/>
      <w:sz w:val="16"/>
      <w:szCs w:val="16"/>
    </w:rPr>
  </w:style>
  <w:style w:type="character" w:styleId="Fotnotsreferens">
    <w:name w:val="footnote reference"/>
    <w:basedOn w:val="Standardstycketeckensnitt"/>
    <w:uiPriority w:val="99"/>
    <w:unhideWhenUsed/>
    <w:rsid w:val="0064653C"/>
    <w:rPr>
      <w:vertAlign w:val="superscript"/>
    </w:rPr>
  </w:style>
  <w:style w:type="character" w:styleId="Kommentarsreferens">
    <w:name w:val="annotation reference"/>
    <w:basedOn w:val="Standardstycketeckensnitt"/>
    <w:uiPriority w:val="99"/>
    <w:unhideWhenUsed/>
    <w:rsid w:val="0064653C"/>
    <w:rPr>
      <w:sz w:val="16"/>
      <w:szCs w:val="16"/>
    </w:rPr>
  </w:style>
  <w:style w:type="table" w:styleId="Tabellrutnt">
    <w:name w:val="Table Grid"/>
    <w:basedOn w:val="Normaltabell"/>
    <w:uiPriority w:val="39"/>
    <w:rsid w:val="0064653C"/>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uiPriority w:val="39"/>
    <w:rsid w:val="0064653C"/>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uiPriority w:val="39"/>
    <w:rsid w:val="0064653C"/>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303198084">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6D112-B4D9-48DF-80A7-16CA2B7E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26</Pages>
  <Words>6268</Words>
  <Characters>35089</Characters>
  <Application>Microsoft Office Word</Application>
  <DocSecurity>0</DocSecurity>
  <Lines>3508</Lines>
  <Paragraphs>1798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13</cp:revision>
  <cp:lastPrinted>2018-10-02T11:13:00Z</cp:lastPrinted>
  <dcterms:created xsi:type="dcterms:W3CDTF">2022-05-11T12:28:00Z</dcterms:created>
  <dcterms:modified xsi:type="dcterms:W3CDTF">2022-05-31T07:15:00Z</dcterms:modified>
</cp:coreProperties>
</file>