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5D1" w:rsidRPr="004B35B9" w:rsidRDefault="008D65D1">
      <w:pPr>
        <w:pStyle w:val="Frslagsrubrik"/>
      </w:pPr>
      <w:r w:rsidRPr="004B35B9">
        <w:t>Förslag till riksdagsbeslut</w:t>
      </w:r>
    </w:p>
    <w:p w:rsidR="008D65D1" w:rsidRPr="004B35B9" w:rsidRDefault="008D65D1">
      <w:pPr>
        <w:pStyle w:val="Hemstlatt"/>
      </w:pPr>
      <w:r w:rsidRPr="004B35B9">
        <w:t>Riksdagen tillkännager för regeringen som sin mening vad som anförs i motionen om att i infrastrukturplaneringen beakta behovet av investeringar i vägar och järnvägar i Uppsala län.</w:t>
      </w:r>
    </w:p>
    <w:p w:rsidR="008D65D1" w:rsidRPr="004B35B9" w:rsidRDefault="008D65D1">
      <w:pPr>
        <w:pStyle w:val="Rubrik1"/>
      </w:pPr>
      <w:r w:rsidRPr="004B35B9">
        <w:t>Motivering</w:t>
      </w:r>
    </w:p>
    <w:p w:rsidR="008D65D1" w:rsidRPr="004B35B9" w:rsidRDefault="008D65D1">
      <w:r w:rsidRPr="004B35B9">
        <w:t>Uppsala län med sitt geografiska läge är starkt beroende av goda kommunik</w:t>
      </w:r>
      <w:r w:rsidRPr="004B35B9">
        <w:t>a</w:t>
      </w:r>
      <w:r w:rsidRPr="004B35B9">
        <w:t>tioner. Pendlingsströmmar såväl inom länet som till och från länet är omfa</w:t>
      </w:r>
      <w:r w:rsidRPr="004B35B9">
        <w:t>t</w:t>
      </w:r>
      <w:r w:rsidRPr="004B35B9">
        <w:t>tande och därutöver korsas länet av fjärrtrafik på spår och på vägar. Under senare år har vi upplevt en dramatisk försämring avseende tågtrafikens effe</w:t>
      </w:r>
      <w:r w:rsidRPr="004B35B9">
        <w:t>k</w:t>
      </w:r>
      <w:r w:rsidRPr="004B35B9">
        <w:t>tivitet och service visavi pendlarna. Ständiga trafikstörningar, inställda tåg, växlar som frusit fast, pendlare som saknat alternativa möjligheter till tran</w:t>
      </w:r>
      <w:r w:rsidRPr="004B35B9">
        <w:t>s</w:t>
      </w:r>
      <w:r w:rsidRPr="004B35B9">
        <w:t>porter m.m. Uppsala län är osedvanligt hårt drabbad, inte minst kommunerna Uppsala, Knivsta, Enköping och Håbo. Störningarna i</w:t>
      </w:r>
      <w:r w:rsidRPr="004B35B9">
        <w:t xml:space="preserve"> trafiken på sträckorna Stockholm–Västerås, Stockholm–Uppsala, Stockholm–Bålsta drabbar tiot</w:t>
      </w:r>
      <w:r w:rsidRPr="004B35B9">
        <w:t>u</w:t>
      </w:r>
      <w:r w:rsidRPr="004B35B9">
        <w:t>sentals pendlare och skapar onödiga tidsförluster, irritation och en mycket negativ inställning till järnvägstransporterna som framtidens bästa transporta</w:t>
      </w:r>
      <w:r w:rsidRPr="004B35B9">
        <w:t>l</w:t>
      </w:r>
      <w:r w:rsidRPr="004B35B9">
        <w:t>ternativ.</w:t>
      </w:r>
    </w:p>
    <w:p w:rsidR="008D65D1" w:rsidRPr="004B35B9" w:rsidRDefault="008D65D1">
      <w:pPr>
        <w:pStyle w:val="Normaltindrag"/>
      </w:pPr>
      <w:r w:rsidRPr="004B35B9">
        <w:t>Här måste regeringen agera kraftfullt för att minska störningarna, inte främst genom bestraffningar av SJ och Trafikverket, utan genom en snabb spårutbyggnad enligt våra intentioner och en förändrad personalpolitik hos den huvudman som ansvarar för att s</w:t>
      </w:r>
      <w:r w:rsidRPr="004B35B9">
        <w:t>pårkapaciteten hålls så intakt som mö</w:t>
      </w:r>
      <w:r w:rsidRPr="004B35B9">
        <w:t>j</w:t>
      </w:r>
      <w:r w:rsidRPr="004B35B9">
        <w:t>ligt, oavsett väderlek och årstid.</w:t>
      </w:r>
    </w:p>
    <w:p w:rsidR="008D65D1" w:rsidRPr="004B35B9" w:rsidRDefault="008D65D1">
      <w:pPr>
        <w:pStyle w:val="Normaltindrag"/>
      </w:pPr>
      <w:r w:rsidRPr="004B35B9">
        <w:t>Goda kommunikationer bidrar till en högre tillväxt eftersom fler männ</w:t>
      </w:r>
      <w:r w:rsidRPr="004B35B9">
        <w:t>i</w:t>
      </w:r>
      <w:r w:rsidRPr="004B35B9">
        <w:t>skor kan nå arbete eller studier inom en större region. Ett ökat utbud av sy</w:t>
      </w:r>
      <w:r w:rsidRPr="004B35B9">
        <w:t>s</w:t>
      </w:r>
      <w:r w:rsidRPr="004B35B9">
        <w:t xml:space="preserve">selsättning ger den enskilde fler möjligheter till jobb, vilket ökar rörligheten på arbetsmarknaden. Omvänt kan företagens behov av arbetskraft bättre </w:t>
      </w:r>
      <w:r w:rsidRPr="004B35B9">
        <w:lastRenderedPageBreak/>
        <w:t>til</w:t>
      </w:r>
      <w:r w:rsidRPr="004B35B9">
        <w:t>l</w:t>
      </w:r>
      <w:r w:rsidRPr="004B35B9">
        <w:t>godoses, vilket minskar risken för hämmande flaskhalsar i produktionen av varor och tjänster. Tillväxt främjas av god infrastruktur.</w:t>
      </w:r>
    </w:p>
    <w:p w:rsidR="008D65D1" w:rsidRPr="004B35B9" w:rsidRDefault="008D65D1">
      <w:pPr>
        <w:pStyle w:val="Normaltindrag"/>
      </w:pPr>
      <w:r w:rsidRPr="004B35B9">
        <w:t xml:space="preserve">Miljömålen kräver att transportsektorn ställs om. Fler måste åka kollektivt, och transporter av gods måste flyttas från väg över till järnväg. En </w:t>
      </w:r>
      <w:r w:rsidRPr="004B35B9">
        <w:t>god och modern infrastruktur är nödvändig för en bättre miljö.</w:t>
      </w:r>
    </w:p>
    <w:p w:rsidR="008D65D1" w:rsidRPr="004B35B9" w:rsidRDefault="008D65D1">
      <w:pPr>
        <w:pStyle w:val="Rubrik2"/>
      </w:pPr>
      <w:r w:rsidRPr="004B35B9">
        <w:t>Järnvägar</w:t>
      </w:r>
    </w:p>
    <w:p w:rsidR="008D65D1" w:rsidRPr="004B35B9" w:rsidRDefault="008D65D1">
      <w:r w:rsidRPr="004B35B9">
        <w:t>Fortsatt framgångsrik utbyggnad av tågtrafiken förutsätter att återstående enkelspår på Ostkustbanan snarast byggs ut till dubbelspår. De aktuella sträckorna är genom Gamla Uppsala och Skutskär–Furuvik.</w:t>
      </w:r>
    </w:p>
    <w:p w:rsidR="008D65D1" w:rsidRPr="004B35B9" w:rsidRDefault="008D65D1">
      <w:pPr>
        <w:pStyle w:val="Normaltindrag"/>
      </w:pPr>
      <w:r w:rsidRPr="004B35B9">
        <w:t>Behovet av att på Dalabanan förbättra möjligheterna till tågpendling Up</w:t>
      </w:r>
      <w:r w:rsidRPr="004B35B9">
        <w:t>p</w:t>
      </w:r>
      <w:r w:rsidRPr="004B35B9">
        <w:t>sala–Heby–Sala är stort. Detta kräver mötesspår på längre sträckor och ett dubbelspår, på sikt, för att trafiken ska vara pålitlig och hålla god standard.</w:t>
      </w:r>
    </w:p>
    <w:p w:rsidR="008D65D1" w:rsidRPr="004B35B9" w:rsidRDefault="008D65D1">
      <w:pPr>
        <w:pStyle w:val="Normaltindrag"/>
      </w:pPr>
      <w:r w:rsidRPr="004B35B9">
        <w:t>Den tredje järnvägssträckan som berör Uppsala län är Mälarbanan. Spåret har stora kapacitetsproblem på sträckan Kallhäll–Tomteboda, där kraftiga förseningar är vanligt förekommande. Det finns också brist på vagnskapacitet hos SJ, vilket innebär att många pendlare från Enköping och Bålsta tvingas stå hela resan.</w:t>
      </w:r>
    </w:p>
    <w:p w:rsidR="008D65D1" w:rsidRPr="004B35B9" w:rsidRDefault="008D65D1">
      <w:pPr>
        <w:pStyle w:val="Normaltindrag"/>
      </w:pPr>
      <w:r w:rsidRPr="004B35B9">
        <w:t>Det saknas också spår mellan Enköping och Uppsala på den gamla banva</w:t>
      </w:r>
      <w:r w:rsidRPr="004B35B9">
        <w:t>l</w:t>
      </w:r>
      <w:r w:rsidRPr="004B35B9">
        <w:t>len. Järnvägstrafik mellan Uppsala och Enköping skulle knyta samman de olika trafikstråken och skapa snabbare och mer miljövänliga transporter, inte minst västerut till Arlanda. Dessutom skulle många resenärer från norr till väster slippa ta omvägen via Stockholm.</w:t>
      </w:r>
    </w:p>
    <w:p w:rsidR="008D65D1" w:rsidRPr="004B35B9" w:rsidRDefault="008D65D1">
      <w:pPr>
        <w:pStyle w:val="Rubrik2"/>
      </w:pPr>
      <w:r w:rsidRPr="004B35B9">
        <w:t>Vägar</w:t>
      </w:r>
    </w:p>
    <w:p w:rsidR="008D65D1" w:rsidRPr="004B35B9" w:rsidRDefault="008D65D1">
      <w:r w:rsidRPr="004B35B9">
        <w:t>Den viktigaste väginvesteringen i länet är nu väg 288 mellan Uppsala och Östhammar. Den är hårt belastad med en trafikvolym vägen inte har kapacitet för, vilket leder till många olyckor. Sänkta hastigheter gör vägen till en besv</w:t>
      </w:r>
      <w:r w:rsidRPr="004B35B9">
        <w:t>ä</w:t>
      </w:r>
      <w:r w:rsidRPr="004B35B9">
        <w:t>rande flaskhals för enskilda och företag i Östhammars kommun. Landstinget och berörda kommuner har förklarat sig beredda att låna ut pengar till Vä</w:t>
      </w:r>
      <w:r w:rsidRPr="004B35B9">
        <w:t>g</w:t>
      </w:r>
      <w:r w:rsidRPr="004B35B9">
        <w:t>verket för den första etappen, vilket görs motvilligt av principiella skäl men som understryker betydelsen av denna investering.</w:t>
      </w:r>
    </w:p>
    <w:p w:rsidR="008D65D1" w:rsidRPr="004B35B9" w:rsidRDefault="008D65D1">
      <w:pPr>
        <w:pStyle w:val="Normaltindrag"/>
      </w:pPr>
      <w:r w:rsidRPr="004B35B9">
        <w:t>Andra väginvesteringar med hög angelägenhetsgrad inom länet är väg 70 mellan Enköping och Sala samt väg 67 Tärnsjö–Stingtorpet. På väg 55 mellan Enköping och Strängnäs behövs en standardförbättring och breddning av vägen för att öka f</w:t>
      </w:r>
      <w:r w:rsidRPr="004B35B9">
        <w:t>ramko</w:t>
      </w:r>
      <w:r w:rsidRPr="004B35B9">
        <w:t>m</w:t>
      </w:r>
      <w:r w:rsidRPr="004B35B9">
        <w:t>ligheten och säkerheten, vilket även skulle gynna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5B9">
        <w:trPr>
          <w:cantSplit/>
        </w:trPr>
        <w:tc>
          <w:tcPr>
            <w:tcW w:w="3046" w:type="dxa"/>
          </w:tcPr>
          <w:p w:rsidR="008D65D1" w:rsidRPr="004B35B9" w:rsidRDefault="008D65D1">
            <w:pPr>
              <w:pStyle w:val="UnderskriftDatum"/>
              <w:spacing w:before="240"/>
            </w:pPr>
            <w:r w:rsidRPr="004B35B9">
              <w:t>Stockholm den 28 september 2011</w:t>
            </w:r>
          </w:p>
        </w:tc>
        <w:tc>
          <w:tcPr>
            <w:tcW w:w="3047" w:type="dxa"/>
          </w:tcPr>
          <w:p w:rsidR="008D65D1" w:rsidRPr="004B35B9" w:rsidRDefault="008D65D1">
            <w:pPr>
              <w:pStyle w:val="Underskrifter"/>
              <w:spacing w:before="240"/>
            </w:pPr>
          </w:p>
        </w:tc>
      </w:tr>
      <w:tr w:rsidR="00000000" w:rsidRPr="004B35B9">
        <w:trPr>
          <w:cantSplit/>
        </w:trPr>
        <w:tc>
          <w:tcPr>
            <w:tcW w:w="3046" w:type="dxa"/>
          </w:tcPr>
          <w:p w:rsidR="008D65D1" w:rsidRPr="004B35B9" w:rsidRDefault="008D65D1">
            <w:pPr>
              <w:pStyle w:val="Underskrifter"/>
            </w:pPr>
            <w:r w:rsidRPr="004B35B9">
              <w:t>Agneta Gille (S)</w:t>
            </w:r>
          </w:p>
        </w:tc>
        <w:tc>
          <w:tcPr>
            <w:tcW w:w="3046" w:type="dxa"/>
          </w:tcPr>
          <w:p w:rsidR="008D65D1" w:rsidRPr="004B35B9" w:rsidRDefault="008D65D1">
            <w:pPr>
              <w:pStyle w:val="Underskrifter"/>
            </w:pPr>
          </w:p>
        </w:tc>
      </w:tr>
      <w:tr w:rsidR="00000000" w:rsidRPr="004B35B9">
        <w:trPr>
          <w:cantSplit/>
        </w:trPr>
        <w:tc>
          <w:tcPr>
            <w:tcW w:w="3046" w:type="dxa"/>
          </w:tcPr>
          <w:p w:rsidR="008D65D1" w:rsidRPr="004B35B9" w:rsidRDefault="008D65D1">
            <w:pPr>
              <w:pStyle w:val="Underskrifter"/>
            </w:pPr>
            <w:r w:rsidRPr="004B35B9">
              <w:t>Pyry Niemi (S)</w:t>
            </w:r>
          </w:p>
        </w:tc>
        <w:tc>
          <w:tcPr>
            <w:tcW w:w="3046" w:type="dxa"/>
          </w:tcPr>
          <w:p w:rsidR="008D65D1" w:rsidRPr="004B35B9" w:rsidRDefault="008D65D1">
            <w:pPr>
              <w:pStyle w:val="Underskrifter"/>
            </w:pPr>
            <w:r w:rsidRPr="004B35B9">
              <w:t>Thomas Östros (S)</w:t>
            </w:r>
          </w:p>
        </w:tc>
      </w:tr>
    </w:tbl>
    <w:p w:rsidR="008D65D1" w:rsidRPr="004B35B9" w:rsidRDefault="008D65D1">
      <w:pPr>
        <w:pStyle w:val="Normaltindrag"/>
      </w:pPr>
    </w:p>
    <w:sectPr w:rsidR="008D65D1" w:rsidRPr="004B35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5D1" w:rsidRPr="004B35B9" w:rsidRDefault="008D65D1">
      <w:r w:rsidRPr="004B35B9">
        <w:separator/>
      </w:r>
    </w:p>
  </w:endnote>
  <w:endnote w:type="continuationSeparator" w:id="0">
    <w:p w:rsidR="008D65D1" w:rsidRPr="004B35B9" w:rsidRDefault="008D65D1">
      <w:r w:rsidRPr="004B35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5D1" w:rsidRPr="004B35B9" w:rsidRDefault="004B35B9">
    <w:pPr>
      <w:pStyle w:val="Sidfot"/>
    </w:pPr>
    <w:r w:rsidRPr="004B35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77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5D1" w:rsidRDefault="008D65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5D1" w:rsidRDefault="008D65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5D1" w:rsidRPr="004B35B9" w:rsidRDefault="004B35B9">
    <w:pPr>
      <w:pStyle w:val="Sidfot"/>
    </w:pPr>
    <w:r w:rsidRPr="004B35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143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5D1" w:rsidRDefault="008D65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5D1" w:rsidRDefault="008D65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5D1" w:rsidRPr="004B35B9" w:rsidRDefault="004B35B9">
    <w:pPr>
      <w:pStyle w:val="Sidfot"/>
    </w:pPr>
    <w:r w:rsidRPr="004B35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576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5D1" w:rsidRDefault="008D65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5D1" w:rsidRDefault="008D65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5D1" w:rsidRPr="004B35B9" w:rsidRDefault="008D65D1">
      <w:r w:rsidRPr="004B35B9">
        <w:separator/>
      </w:r>
    </w:p>
  </w:footnote>
  <w:footnote w:type="continuationSeparator" w:id="0">
    <w:p w:rsidR="008D65D1" w:rsidRPr="004B35B9" w:rsidRDefault="008D65D1">
      <w:r w:rsidRPr="004B35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5D1" w:rsidRPr="004B35B9" w:rsidRDefault="004B35B9">
    <w:pPr>
      <w:pStyle w:val="Sidhuvud"/>
    </w:pPr>
    <w:r w:rsidRPr="004B35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926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5D1" w:rsidRDefault="008D65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5D1" w:rsidRDefault="008D65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5D1" w:rsidRPr="004B35B9" w:rsidRDefault="004B35B9">
    <w:pPr>
      <w:pStyle w:val="Sidhuvud"/>
    </w:pPr>
    <w:r w:rsidRPr="004B35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42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5D1" w:rsidRDefault="008D65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5D1" w:rsidRDefault="008D65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5D1" w:rsidRPr="004B35B9" w:rsidRDefault="008D65D1">
    <w:pPr>
      <w:pStyle w:val="FSHNormal"/>
      <w:tabs>
        <w:tab w:val="right" w:pos="5840"/>
      </w:tabs>
    </w:pPr>
    <w:r w:rsidRPr="004B35B9">
      <w:br/>
    </w:r>
    <w:r w:rsidRPr="004B35B9">
      <w:fldChar w:fldCharType="begin" w:fldLock="1"/>
    </w:r>
    <w:r w:rsidRPr="004B35B9">
      <w:instrText xml:space="preserve"> DOCPROPERTY</w:instrText>
    </w:r>
    <w:r w:rsidRPr="004B35B9">
      <w:rPr>
        <w:sz w:val="18"/>
      </w:rPr>
      <w:instrText xml:space="preserve"> "YearUser" *\charformat </w:instrText>
    </w:r>
    <w:r w:rsidRPr="004B35B9">
      <w:fldChar w:fldCharType="separate"/>
    </w:r>
    <w:r w:rsidRPr="004B35B9">
      <w:t>2011/12</w:t>
    </w:r>
    <w:r w:rsidRPr="004B35B9">
      <w:fldChar w:fldCharType="end"/>
    </w:r>
    <w:r w:rsidRPr="004B35B9">
      <w:t xml:space="preserve"> </w:t>
    </w:r>
    <w:r w:rsidRPr="004B35B9">
      <w:tab/>
      <w:t xml:space="preserve">mnr: </w:t>
    </w:r>
    <w:r w:rsidRPr="004B35B9">
      <w:fldChar w:fldCharType="begin" w:fldLock="1"/>
    </w:r>
    <w:r w:rsidRPr="004B35B9">
      <w:instrText xml:space="preserve"> DOCPROPERTY</w:instrText>
    </w:r>
    <w:r w:rsidRPr="004B35B9">
      <w:rPr>
        <w:sz w:val="18"/>
      </w:rPr>
      <w:instrText xml:space="preserve"> "Motionsnummer" *\charformat </w:instrText>
    </w:r>
    <w:r w:rsidRPr="004B35B9">
      <w:fldChar w:fldCharType="separate"/>
    </w:r>
    <w:r w:rsidRPr="004B35B9">
      <w:t>T320</w:t>
    </w:r>
    <w:r w:rsidRPr="004B35B9">
      <w:fldChar w:fldCharType="end"/>
    </w:r>
    <w:r w:rsidRPr="004B35B9">
      <w:br/>
    </w:r>
    <w:r w:rsidRPr="004B35B9">
      <w:fldChar w:fldCharType="begin" w:fldLock="1"/>
    </w:r>
    <w:r w:rsidRPr="004B35B9">
      <w:instrText xml:space="preserve"> DOCPROPERTY</w:instrText>
    </w:r>
    <w:r w:rsidRPr="004B35B9">
      <w:rPr>
        <w:sz w:val="18"/>
      </w:rPr>
      <w:instrText xml:space="preserve"> "Samling" *\charformat </w:instrText>
    </w:r>
    <w:r w:rsidRPr="004B35B9">
      <w:fldChar w:fldCharType="end"/>
    </w:r>
    <w:r w:rsidRPr="004B35B9">
      <w:tab/>
      <w:t xml:space="preserve">pnr: </w:t>
    </w:r>
    <w:r w:rsidRPr="004B35B9">
      <w:fldChar w:fldCharType="begin" w:fldLock="1"/>
    </w:r>
    <w:r w:rsidRPr="004B35B9">
      <w:instrText xml:space="preserve"> DOCPROPERTY</w:instrText>
    </w:r>
    <w:r w:rsidRPr="004B35B9">
      <w:rPr>
        <w:sz w:val="18"/>
      </w:rPr>
      <w:instrText xml:space="preserve"> "Partinummer" *\charformat </w:instrText>
    </w:r>
    <w:r w:rsidRPr="004B35B9">
      <w:fldChar w:fldCharType="separate"/>
    </w:r>
    <w:r w:rsidRPr="004B35B9">
      <w:t>S10014</w:t>
    </w:r>
    <w:r w:rsidRPr="004B35B9">
      <w:fldChar w:fldCharType="end"/>
    </w:r>
  </w:p>
  <w:p w:rsidR="008D65D1" w:rsidRPr="004B35B9" w:rsidRDefault="008D65D1">
    <w:pPr>
      <w:pStyle w:val="FSHRub1"/>
    </w:pPr>
    <w:r w:rsidRPr="004B35B9">
      <w:t>Motion till riksdagen</w:t>
    </w:r>
    <w:r w:rsidRPr="004B35B9">
      <w:br/>
    </w:r>
    <w:r w:rsidRPr="004B35B9">
      <w:fldChar w:fldCharType="begin" w:fldLock="1"/>
    </w:r>
    <w:r w:rsidRPr="004B35B9">
      <w:instrText xml:space="preserve"> DOCPROPERTY "YearUser" *\charformat </w:instrText>
    </w:r>
    <w:r w:rsidRPr="004B35B9">
      <w:fldChar w:fldCharType="separate"/>
    </w:r>
    <w:r w:rsidRPr="004B35B9">
      <w:t>2011/12</w:t>
    </w:r>
    <w:r w:rsidRPr="004B35B9">
      <w:fldChar w:fldCharType="end"/>
    </w:r>
    <w:r w:rsidRPr="004B35B9">
      <w:t>:</w:t>
    </w:r>
    <w:r w:rsidRPr="004B35B9">
      <w:fldChar w:fldCharType="begin" w:fldLock="1"/>
    </w:r>
    <w:r w:rsidRPr="004B35B9">
      <w:instrText xml:space="preserve"> DOCPROPERTY "Motionsnummer" *\charformat </w:instrText>
    </w:r>
    <w:r w:rsidRPr="004B35B9">
      <w:fldChar w:fldCharType="separate"/>
    </w:r>
    <w:r w:rsidRPr="004B35B9">
      <w:t>T320</w:t>
    </w:r>
    <w:r w:rsidRPr="004B35B9">
      <w:fldChar w:fldCharType="end"/>
    </w:r>
  </w:p>
  <w:p w:rsidR="008D65D1" w:rsidRPr="004B35B9" w:rsidRDefault="008D65D1">
    <w:pPr>
      <w:pStyle w:val="FSHNormalS5"/>
    </w:pPr>
    <w:r w:rsidRPr="004B35B9">
      <w:fldChar w:fldCharType="begin" w:fldLock="1"/>
    </w:r>
    <w:r w:rsidRPr="004B35B9">
      <w:instrText xml:space="preserve"> DOCPROPERTY "MotionarText" *\charformat </w:instrText>
    </w:r>
    <w:r w:rsidRPr="004B35B9">
      <w:fldChar w:fldCharType="separate"/>
    </w:r>
    <w:r w:rsidRPr="004B35B9">
      <w:t>av Agneta Gille m.fl. (S)</w:t>
    </w:r>
    <w:r w:rsidRPr="004B35B9">
      <w:fldChar w:fldCharType="end"/>
    </w:r>
    <w:r w:rsidRPr="004B35B9">
      <w:br/>
    </w:r>
    <w:r w:rsidRPr="004B35B9">
      <w:fldChar w:fldCharType="begin" w:fldLock="1"/>
    </w:r>
    <w:r w:rsidRPr="004B35B9">
      <w:instrText xml:space="preserve"> DOCPROPERTY "SvarFrasKort" *\charformat </w:instrText>
    </w:r>
    <w:r w:rsidRPr="004B35B9">
      <w:fldChar w:fldCharType="end"/>
    </w:r>
  </w:p>
  <w:p w:rsidR="008D65D1" w:rsidRPr="004B35B9" w:rsidRDefault="008D65D1">
    <w:pPr>
      <w:pStyle w:val="FSHTitel"/>
    </w:pPr>
    <w:r w:rsidRPr="004B35B9">
      <w:fldChar w:fldCharType="begin" w:fldLock="1"/>
    </w:r>
    <w:r w:rsidRPr="004B35B9">
      <w:instrText xml:space="preserve"> DOCPROPERTY</w:instrText>
    </w:r>
    <w:r w:rsidRPr="004B35B9">
      <w:rPr>
        <w:sz w:val="18"/>
      </w:rPr>
      <w:instrText xml:space="preserve"> "RubrikSvar" *\charformat </w:instrText>
    </w:r>
    <w:r w:rsidRPr="004B35B9">
      <w:fldChar w:fldCharType="separate"/>
    </w:r>
    <w:r w:rsidRPr="004B35B9">
      <w:t>Infrastruktursatsningar i Uppsala län</w:t>
    </w:r>
    <w:r w:rsidRPr="004B35B9">
      <w:fldChar w:fldCharType="end"/>
    </w:r>
  </w:p>
  <w:p w:rsidR="008D65D1" w:rsidRPr="004B35B9" w:rsidRDefault="008D65D1">
    <w:pPr>
      <w:pStyle w:val="Normal00"/>
    </w:pPr>
  </w:p>
  <w:p w:rsidR="008D65D1" w:rsidRPr="004B35B9" w:rsidRDefault="008D65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2017458">
    <w:abstractNumId w:val="3"/>
  </w:num>
  <w:num w:numId="2" w16cid:durableId="661079860">
    <w:abstractNumId w:val="2"/>
  </w:num>
  <w:num w:numId="3" w16cid:durableId="1282960239">
    <w:abstractNumId w:val="1"/>
  </w:num>
  <w:num w:numId="4" w16cid:durableId="1260406486">
    <w:abstractNumId w:val="0"/>
  </w:num>
  <w:num w:numId="5" w16cid:durableId="1356417788">
    <w:abstractNumId w:val="7"/>
  </w:num>
  <w:num w:numId="6" w16cid:durableId="1852917468">
    <w:abstractNumId w:val="6"/>
  </w:num>
  <w:num w:numId="7" w16cid:durableId="674847375">
    <w:abstractNumId w:val="5"/>
  </w:num>
  <w:num w:numId="8" w16cid:durableId="1824002708">
    <w:abstractNumId w:val="4"/>
  </w:num>
  <w:num w:numId="9" w16cid:durableId="1752387499">
    <w:abstractNumId w:val="8"/>
  </w:num>
  <w:num w:numId="10" w16cid:durableId="250088985">
    <w:abstractNumId w:val="9"/>
  </w:num>
  <w:num w:numId="11" w16cid:durableId="2143691395">
    <w:abstractNumId w:val="10"/>
  </w:num>
  <w:num w:numId="12" w16cid:durableId="820121018">
    <w:abstractNumId w:val="13"/>
  </w:num>
  <w:num w:numId="13" w16cid:durableId="1336305465">
    <w:abstractNumId w:val="15"/>
  </w:num>
  <w:num w:numId="14" w16cid:durableId="1431699554">
    <w:abstractNumId w:val="16"/>
  </w:num>
  <w:num w:numId="15" w16cid:durableId="1284843454">
    <w:abstractNumId w:val="11"/>
  </w:num>
  <w:num w:numId="16" w16cid:durableId="1660576646">
    <w:abstractNumId w:val="18"/>
  </w:num>
  <w:num w:numId="17" w16cid:durableId="1606038533">
    <w:abstractNumId w:val="17"/>
  </w:num>
  <w:num w:numId="18" w16cid:durableId="1645309696">
    <w:abstractNumId w:val="14"/>
  </w:num>
  <w:num w:numId="19" w16cid:durableId="412971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7"/>
    <w:docVar w:name="PersonGUIDs" w:val="{9A5F98B8-5D82-4A37-A12A-4600630C44F0},{AD372783-524A-4018-B2C3-988C905381D7},{FC218445-3A7E-44DF-BD0A-B9CEFE3546CD}"/>
  </w:docVars>
  <w:rsids>
    <w:rsidRoot w:val="0066628E"/>
    <w:rsid w:val="004B35B9"/>
    <w:rsid w:val="0066628E"/>
    <w:rsid w:val="008D65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B56656-AB7F-4BAA-BFB0-08BE0FAB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3451</Characters>
  <Application>Microsoft Office Word</Application>
  <DocSecurity>4</DocSecurity>
  <Lines>67</Lines>
  <Paragraphs>22</Paragraphs>
  <ScaleCrop>false</ScaleCrop>
  <HeadingPairs>
    <vt:vector size="2" baseType="variant">
      <vt:variant>
        <vt:lpstr>Rubrik</vt:lpstr>
      </vt:variant>
      <vt:variant>
        <vt:i4>1</vt:i4>
      </vt:variant>
    </vt:vector>
  </HeadingPairs>
  <TitlesOfParts>
    <vt:vector size="1" baseType="lpstr">
      <vt:lpstr>S10014</vt:lpstr>
    </vt:vector>
  </TitlesOfParts>
  <Company>Riksdagen</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S10014</dc:title>
  <dc:subject>S10014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2011-12-03T09:19:00Z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mot2000_533_2011-07-07</vt:lpwstr>
  </property>
  <property fmtid="{D5CDD505-2E9C-101B-9397-08002B2CF9AE}" pid="3" name="version">
    <vt:lpwstr>mot2000_533_2011-07-07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Infrastruktursatsningar i Uppsala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i Uppsala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Gille m.fl. (S)</vt:lpwstr>
  </property>
  <property fmtid="{D5CDD505-2E9C-101B-9397-08002B2CF9AE}" pid="26" name="MotionarLista">
    <vt:lpwstr>Gille, Agneta (S)\Niemi, Pyry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20112012000000000083000100140069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20112012000000000083000100140069</vt:lpwstr>
  </property>
  <property fmtid="{D5CDD505-2E9C-101B-9397-08002B2CF9AE}" pid="50" name="nummer">
    <vt:lpwstr>320</vt:lpwstr>
  </property>
  <property fmtid="{D5CDD505-2E9C-101B-9397-08002B2CF9AE}" pid="51" name="utskottsbeteckning">
    <vt:lpwstr>T</vt:lpwstr>
  </property>
  <property fmtid="{D5CDD505-2E9C-101B-9397-08002B2CF9AE}" pid="52" name="GlobalUID">
    <vt:lpwstr>{0F7A79DD-19FB-4606-9823-83B3E2187F2D}</vt:lpwstr>
  </property>
  <property fmtid="{D5CDD505-2E9C-101B-9397-08002B2CF9AE}" pid="53" name="Överföringar">
    <vt:i4>0</vt:i4>
  </property>
  <property fmtid="{D5CDD505-2E9C-101B-9397-08002B2CF9AE}" pid="54" name="Checksum">
    <vt:lpwstr>*1004249392413*</vt:lpwstr>
  </property>
  <property fmtid="{D5CDD505-2E9C-101B-9397-08002B2CF9AE}" pid="55" name="skuggnummer">
    <vt:lpwstr>1268</vt:lpwstr>
  </property>
  <property fmtid="{D5CDD505-2E9C-101B-9397-08002B2CF9AE}" pid="56" name="urixVersion">
    <vt:lpwstr>4.5.0.25</vt:lpwstr>
  </property>
  <property fmtid="{D5CDD505-2E9C-101B-9397-08002B2CF9AE}" pid="57" name="urixOrigin">
    <vt:lpwstr>111213 08:05:15.533</vt:lpwstr>
  </property>
  <property fmtid="{D5CDD505-2E9C-101B-9397-08002B2CF9AE}" pid="58" name="urixGuid">
    <vt:lpwstr>{5B05FDC0-F662-4E79-B2C5-E68140FC5183}</vt:lpwstr>
  </property>
</Properties>
</file>