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442" w:type="dxa"/>
        <w:tblLayout w:type="fixed"/>
        <w:tblCellMar>
          <w:left w:w="70" w:type="dxa"/>
          <w:right w:w="70" w:type="dxa"/>
        </w:tblCellMar>
        <w:tblLook w:val="0000" w:firstRow="0" w:lastRow="0" w:firstColumn="0" w:lastColumn="0" w:noHBand="0" w:noVBand="0"/>
      </w:tblPr>
      <w:tblGrid>
        <w:gridCol w:w="3012"/>
        <w:gridCol w:w="3012"/>
        <w:gridCol w:w="1418"/>
      </w:tblGrid>
      <w:tr w:rsidR="00000000" w:rsidRPr="00F5723F">
        <w:tblPrEx>
          <w:tblCellMar>
            <w:top w:w="0" w:type="dxa"/>
            <w:bottom w:w="0" w:type="dxa"/>
          </w:tblCellMar>
        </w:tblPrEx>
        <w:trPr>
          <w:cantSplit/>
          <w:trHeight w:val="1720"/>
        </w:trPr>
        <w:tc>
          <w:tcPr>
            <w:tcW w:w="6024" w:type="dxa"/>
            <w:gridSpan w:val="2"/>
          </w:tcPr>
          <w:p w:rsidR="00B43C57" w:rsidRPr="00F5723F" w:rsidRDefault="00B43C57">
            <w:pPr>
              <w:pStyle w:val="HuvudRubrik"/>
            </w:pPr>
          </w:p>
          <w:p w:rsidR="00B43C57" w:rsidRPr="00F5723F" w:rsidRDefault="00B43C57">
            <w:pPr>
              <w:pStyle w:val="HuvudRubrikRad2"/>
            </w:pPr>
            <w:bookmarkStart w:id="0" w:name="BetänkandeNr"/>
            <w:bookmarkEnd w:id="0"/>
          </w:p>
        </w:tc>
        <w:tc>
          <w:tcPr>
            <w:tcW w:w="1418" w:type="dxa"/>
            <w:tcBorders>
              <w:bottom w:val="nil"/>
            </w:tcBorders>
          </w:tcPr>
          <w:p w:rsidR="00B43C57" w:rsidRPr="00F5723F" w:rsidRDefault="00B43C57">
            <w:pPr>
              <w:spacing w:line="230" w:lineRule="auto"/>
              <w:jc w:val="center"/>
            </w:pPr>
          </w:p>
          <w:p w:rsidR="00B43C57" w:rsidRPr="00F5723F" w:rsidRDefault="00B43C57">
            <w:pPr>
              <w:pStyle w:val="Normaltindrag"/>
              <w:jc w:val="center"/>
            </w:pPr>
          </w:p>
          <w:p w:rsidR="00B43C57" w:rsidRPr="00F5723F" w:rsidRDefault="00B43C57">
            <w:pPr>
              <w:pStyle w:val="StatusSida1"/>
            </w:pPr>
          </w:p>
          <w:p w:rsidR="00B43C57" w:rsidRPr="00F5723F" w:rsidRDefault="00B43C57">
            <w:pPr>
              <w:pStyle w:val="UtskriftsdatumSida1"/>
              <w:framePr w:wrap="around"/>
            </w:pPr>
          </w:p>
        </w:tc>
      </w:tr>
      <w:tr w:rsidR="00000000" w:rsidRPr="00F5723F">
        <w:tblPrEx>
          <w:tblCellMar>
            <w:top w:w="0" w:type="dxa"/>
            <w:bottom w:w="0" w:type="dxa"/>
          </w:tblCellMar>
        </w:tblPrEx>
        <w:trPr>
          <w:cantSplit/>
          <w:trHeight w:hRule="exact" w:val="360"/>
        </w:trPr>
        <w:tc>
          <w:tcPr>
            <w:tcW w:w="3012" w:type="dxa"/>
          </w:tcPr>
          <w:p w:rsidR="00B43C57" w:rsidRPr="00F5723F" w:rsidRDefault="00B43C57">
            <w:bookmarkStart w:id="1" w:name="Huvudrubrik"/>
            <w:bookmarkEnd w:id="1"/>
          </w:p>
        </w:tc>
        <w:tc>
          <w:tcPr>
            <w:tcW w:w="3012" w:type="dxa"/>
          </w:tcPr>
          <w:p w:rsidR="00B43C57" w:rsidRPr="00F5723F" w:rsidRDefault="00B43C57"/>
        </w:tc>
        <w:tc>
          <w:tcPr>
            <w:tcW w:w="1418" w:type="dxa"/>
          </w:tcPr>
          <w:p w:rsidR="00B43C57" w:rsidRPr="00F5723F" w:rsidRDefault="00B43C57"/>
        </w:tc>
      </w:tr>
    </w:tbl>
    <w:p w:rsidR="00B43C57" w:rsidRPr="00F5723F" w:rsidRDefault="00B43C57"/>
    <w:p w:rsidR="00B43C57" w:rsidRPr="00F5723F" w:rsidRDefault="00B43C57">
      <w:bookmarkStart w:id="2" w:name="TextStart"/>
      <w:bookmarkEnd w:id="2"/>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jc w:val="center"/>
        <w:rPr>
          <w:sz w:val="52"/>
          <w:szCs w:val="52"/>
        </w:rPr>
      </w:pPr>
      <w:r w:rsidRPr="00F5723F">
        <w:rPr>
          <w:sz w:val="52"/>
          <w:szCs w:val="52"/>
        </w:rPr>
        <w:t>Riksdagen i en ny tid</w:t>
      </w: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r w:rsidRPr="00F5723F">
        <w:rPr>
          <w:sz w:val="28"/>
          <w:szCs w:val="28"/>
        </w:rPr>
        <w:t xml:space="preserve">Bilaga 5 </w:t>
      </w: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r w:rsidRPr="00F5723F">
        <w:rPr>
          <w:sz w:val="28"/>
          <w:szCs w:val="28"/>
        </w:rPr>
        <w:t xml:space="preserve">Sex rapporter till 2002 års </w:t>
      </w:r>
    </w:p>
    <w:p w:rsidR="00B43C57" w:rsidRPr="00F5723F" w:rsidRDefault="00B43C57">
      <w:pPr>
        <w:pStyle w:val="Normaltindrag"/>
        <w:jc w:val="center"/>
        <w:rPr>
          <w:sz w:val="28"/>
          <w:szCs w:val="28"/>
        </w:rPr>
      </w:pPr>
      <w:r w:rsidRPr="00F5723F">
        <w:rPr>
          <w:sz w:val="28"/>
          <w:szCs w:val="28"/>
        </w:rPr>
        <w:t>riksdagsko</w:t>
      </w:r>
      <w:r w:rsidRPr="00F5723F">
        <w:rPr>
          <w:sz w:val="28"/>
          <w:szCs w:val="28"/>
        </w:rPr>
        <w:t>m</w:t>
      </w:r>
      <w:r w:rsidRPr="00F5723F">
        <w:rPr>
          <w:sz w:val="28"/>
          <w:szCs w:val="28"/>
        </w:rPr>
        <w:t>mitté</w:t>
      </w: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p>
    <w:p w:rsidR="00B43C57" w:rsidRPr="00F5723F" w:rsidRDefault="00B43C57">
      <w:pPr>
        <w:pStyle w:val="Normaltindrag"/>
        <w:jc w:val="center"/>
        <w:rPr>
          <w:sz w:val="28"/>
          <w:szCs w:val="28"/>
        </w:rPr>
      </w:pPr>
      <w:r w:rsidRPr="00F5723F">
        <w:rPr>
          <w:sz w:val="28"/>
          <w:szCs w:val="28"/>
        </w:rPr>
        <w:t>2005-12-07</w:t>
      </w:r>
    </w:p>
    <w:p w:rsidR="00B43C57" w:rsidRPr="00F5723F" w:rsidRDefault="00B43C57">
      <w:bookmarkStart w:id="3" w:name="_Toc121738877"/>
    </w:p>
    <w:p w:rsidR="00B43C57" w:rsidRPr="00F5723F" w:rsidRDefault="00B43C57">
      <w:pPr>
        <w:sectPr w:rsidR="00000000" w:rsidRPr="00F5723F">
          <w:headerReference w:type="even" r:id="rId7"/>
          <w:headerReference w:type="default" r:id="rId8"/>
          <w:footerReference w:type="even" r:id="rId9"/>
          <w:footerReference w:type="default" r:id="rId10"/>
          <w:headerReference w:type="first" r:id="rId11"/>
          <w:footerReference w:type="first" r:id="rId12"/>
          <w:pgSz w:w="11906" w:h="16838" w:code="9"/>
          <w:pgMar w:top="907" w:right="4649" w:bottom="4508" w:left="1304" w:header="340" w:footer="227" w:gutter="0"/>
          <w:cols w:space="720"/>
          <w:titlePg/>
        </w:sectPr>
      </w:pPr>
    </w:p>
    <w:p w:rsidR="00B43C57" w:rsidRPr="00F5723F" w:rsidRDefault="00B43C57">
      <w:pPr>
        <w:pStyle w:val="Rubrik1"/>
        <w:rPr>
          <w:noProof w:val="0"/>
        </w:rPr>
      </w:pPr>
      <w:bookmarkStart w:id="4" w:name="_Toc124697769"/>
      <w:r w:rsidRPr="00F5723F">
        <w:rPr>
          <w:noProof w:val="0"/>
        </w:rPr>
        <w:lastRenderedPageBreak/>
        <w:t>Förord</w:t>
      </w:r>
      <w:bookmarkEnd w:id="3"/>
      <w:bookmarkEnd w:id="4"/>
    </w:p>
    <w:p w:rsidR="00B43C57" w:rsidRPr="00F5723F" w:rsidRDefault="00B43C57">
      <w:r w:rsidRPr="00F5723F">
        <w:t>I syfte att få ett kvalificerat underlag för Riksdagskommitténs ställningst</w:t>
      </w:r>
      <w:r w:rsidRPr="00F5723F">
        <w:t>a</w:t>
      </w:r>
      <w:r w:rsidRPr="00F5723F">
        <w:t>ganden har k</w:t>
      </w:r>
      <w:r w:rsidRPr="00F5723F">
        <w:t xml:space="preserve">ommittén </w:t>
      </w:r>
      <w:r w:rsidRPr="00F5723F">
        <w:t>f</w:t>
      </w:r>
      <w:r w:rsidRPr="00F5723F">
        <w:t xml:space="preserve">ortlöpande under arbetet genomfört </w:t>
      </w:r>
      <w:r w:rsidRPr="00F5723F">
        <w:t>olika</w:t>
      </w:r>
      <w:r w:rsidRPr="00F5723F">
        <w:t xml:space="preserve"> undersö</w:t>
      </w:r>
      <w:r w:rsidRPr="00F5723F">
        <w:t>k</w:t>
      </w:r>
      <w:r w:rsidRPr="00F5723F">
        <w:t xml:space="preserve">ningar. </w:t>
      </w:r>
      <w:r w:rsidRPr="00F5723F">
        <w:t>I denna bilaga till Riksdagskommitténs huvudbetänkande red</w:t>
      </w:r>
      <w:r w:rsidRPr="00F5723F">
        <w:t>o</w:t>
      </w:r>
      <w:r w:rsidRPr="00F5723F">
        <w:t>visas de större undersökningar som kommittén låtit göra. Riksdagsk</w:t>
      </w:r>
      <w:r w:rsidRPr="00F5723F">
        <w:t>ommi</w:t>
      </w:r>
      <w:r w:rsidRPr="00F5723F">
        <w:t>t</w:t>
      </w:r>
      <w:r w:rsidRPr="00F5723F">
        <w:t xml:space="preserve">tén lät </w:t>
      </w:r>
      <w:r w:rsidRPr="00F5723F">
        <w:t xml:space="preserve">till exempel </w:t>
      </w:r>
      <w:r w:rsidRPr="00F5723F">
        <w:t>genomföra en undersökning med samtliga riksdagsledamöter om rik</w:t>
      </w:r>
      <w:r w:rsidRPr="00F5723F">
        <w:t>s</w:t>
      </w:r>
      <w:r w:rsidRPr="00F5723F">
        <w:t>dagsarbetet och riksdagens arbetsformer</w:t>
      </w:r>
      <w:r w:rsidRPr="00F5723F">
        <w:t xml:space="preserve"> </w:t>
      </w:r>
      <w:r w:rsidRPr="00F5723F">
        <w:t>våren 2004</w:t>
      </w:r>
      <w:r w:rsidRPr="00F5723F">
        <w:t>, vilken redovisats i två ra</w:t>
      </w:r>
      <w:r w:rsidRPr="00F5723F">
        <w:t>p</w:t>
      </w:r>
      <w:r w:rsidRPr="00F5723F">
        <w:t>porter till kommittén</w:t>
      </w:r>
      <w:r w:rsidRPr="00F5723F">
        <w:t>.</w:t>
      </w:r>
      <w:r w:rsidRPr="00F5723F">
        <w:t xml:space="preserve"> Kommittén har</w:t>
      </w:r>
      <w:r w:rsidRPr="00F5723F">
        <w:t xml:space="preserve"> </w:t>
      </w:r>
      <w:r w:rsidRPr="00F5723F">
        <w:t xml:space="preserve">vidare </w:t>
      </w:r>
      <w:r w:rsidRPr="00F5723F">
        <w:t>under hösten 2004</w:t>
      </w:r>
      <w:r w:rsidRPr="00F5723F">
        <w:t xml:space="preserve"> låtit</w:t>
      </w:r>
      <w:r w:rsidRPr="00F5723F">
        <w:t xml:space="preserve"> genomf</w:t>
      </w:r>
      <w:r w:rsidRPr="00F5723F">
        <w:t>ö</w:t>
      </w:r>
      <w:r w:rsidRPr="00F5723F">
        <w:t>ra en undersökning om utskottens arbetsuppgifter, arbetssätt oc</w:t>
      </w:r>
      <w:r w:rsidRPr="00F5723F">
        <w:t>h arbetsbelastning</w:t>
      </w:r>
      <w:r w:rsidRPr="00F5723F">
        <w:t>.</w:t>
      </w:r>
      <w:r w:rsidRPr="00F5723F">
        <w:t xml:space="preserve"> </w:t>
      </w:r>
      <w:r w:rsidRPr="00F5723F">
        <w:t>Kommittén har också låtit sammanställa en forskningsöve</w:t>
      </w:r>
      <w:r w:rsidRPr="00F5723F">
        <w:t>r</w:t>
      </w:r>
      <w:r w:rsidRPr="00F5723F">
        <w:t>sikt om riksdagsuppdraget ur ett genusperspektiv</w:t>
      </w:r>
      <w:r w:rsidRPr="00F5723F">
        <w:t>, vilken pr</w:t>
      </w:r>
      <w:r w:rsidRPr="00F5723F">
        <w:t>e</w:t>
      </w:r>
      <w:r w:rsidRPr="00F5723F">
        <w:t>senterades vid ett offentligt seminarium i rik</w:t>
      </w:r>
      <w:r w:rsidRPr="00F5723F">
        <w:t>s</w:t>
      </w:r>
      <w:r w:rsidRPr="00F5723F">
        <w:t>dagen i maj 2005</w:t>
      </w:r>
      <w:r w:rsidRPr="00F5723F">
        <w:t>.</w:t>
      </w:r>
      <w:r w:rsidRPr="00F5723F">
        <w:t xml:space="preserve"> </w:t>
      </w:r>
    </w:p>
    <w:p w:rsidR="00B43C57" w:rsidRPr="00F5723F" w:rsidRDefault="00B43C57">
      <w:pPr>
        <w:pStyle w:val="Normaltindrag"/>
      </w:pPr>
      <w:r w:rsidRPr="00F5723F">
        <w:t>Totalt är det sex rapporter som beställts av Riksdagskommittén. En ko</w:t>
      </w:r>
      <w:r w:rsidRPr="00F5723F">
        <w:t>r</w:t>
      </w:r>
      <w:r w:rsidRPr="00F5723F">
        <w:t>tare redogörelse för r</w:t>
      </w:r>
      <w:r w:rsidRPr="00F5723F">
        <w:t>e</w:t>
      </w:r>
      <w:r w:rsidRPr="00F5723F">
        <w:t xml:space="preserve">spektive undersökning lämnas i det följande. </w:t>
      </w:r>
    </w:p>
    <w:p w:rsidR="00B43C57" w:rsidRPr="00F5723F" w:rsidRDefault="00B43C57">
      <w:r w:rsidRPr="00F5723F">
        <w:rPr>
          <w:i/>
        </w:rPr>
        <w:t xml:space="preserve">Martin Brothén </w:t>
      </w:r>
      <w:r w:rsidRPr="00F5723F">
        <w:t>har studerat medborgarnas och riksdagsledamöternas bedö</w:t>
      </w:r>
      <w:r w:rsidRPr="00F5723F">
        <w:t>m</w:t>
      </w:r>
      <w:r w:rsidRPr="00F5723F">
        <w:t>ningar av riksdagens starka och sva</w:t>
      </w:r>
      <w:r w:rsidRPr="00F5723F">
        <w:t>ga sidor. Genom att ställa likal</w:t>
      </w:r>
      <w:r w:rsidRPr="00F5723F">
        <w:t>y</w:t>
      </w:r>
      <w:r w:rsidRPr="00F5723F">
        <w:t>dande frågor till medborgare och riksdagsledamöter om hur riksdagen sköter sina huvudfunktioner kan jämförelser göras mellan väljares och valdas uppfat</w:t>
      </w:r>
      <w:r w:rsidRPr="00F5723F">
        <w:t>t</w:t>
      </w:r>
      <w:r w:rsidRPr="00F5723F">
        <w:t>ningar om riksdagens ”starka och svaga s</w:t>
      </w:r>
      <w:r w:rsidRPr="00F5723F">
        <w:t>i</w:t>
      </w:r>
      <w:r w:rsidRPr="00F5723F">
        <w:t xml:space="preserve">dor”. </w:t>
      </w:r>
    </w:p>
    <w:p w:rsidR="00B43C57" w:rsidRPr="00F5723F" w:rsidRDefault="00B43C57">
      <w:pPr>
        <w:pStyle w:val="Normaltindrag"/>
      </w:pPr>
      <w:r w:rsidRPr="00F5723F">
        <w:t>Riksdagsledamöter gör i de allra flesta fall mer pos</w:t>
      </w:r>
      <w:r w:rsidRPr="00F5723F">
        <w:t>i</w:t>
      </w:r>
      <w:r w:rsidRPr="00F5723F">
        <w:t>tiva bedömningar än medborgarna av hur riksdagen hanterar olika uppgifter. Om fem av riksd</w:t>
      </w:r>
      <w:r w:rsidRPr="00F5723F">
        <w:t>a</w:t>
      </w:r>
      <w:r w:rsidRPr="00F5723F">
        <w:t>gens uppgifter är ledamöternas bedömning huvudsakligen positiv: att överv</w:t>
      </w:r>
      <w:r w:rsidRPr="00F5723F">
        <w:t>a</w:t>
      </w:r>
      <w:r w:rsidRPr="00F5723F">
        <w:t>ka regeringens arbete, att fatta avgörande beslut, att avspegla åsiktsförde</w:t>
      </w:r>
      <w:r w:rsidRPr="00F5723F">
        <w:t>l</w:t>
      </w:r>
      <w:r w:rsidRPr="00F5723F">
        <w:t>ningen bland väljarna, att ta initiativ i frågor som inte tas upp av rege</w:t>
      </w:r>
      <w:r w:rsidRPr="00F5723F">
        <w:t>r</w:t>
      </w:r>
      <w:r w:rsidRPr="00F5723F">
        <w:t>ingen samt att bevaka utvecklingen inom EU. För två uppgifter är andelen riksdag</w:t>
      </w:r>
      <w:r w:rsidRPr="00F5723F">
        <w:t>s</w:t>
      </w:r>
      <w:r w:rsidRPr="00F5723F">
        <w:t>ledamöter som tycker att riksdagen hanterar uppgifterna dåligt större än and</w:t>
      </w:r>
      <w:r w:rsidRPr="00F5723F">
        <w:t>e</w:t>
      </w:r>
      <w:r w:rsidRPr="00F5723F">
        <w:t xml:space="preserve">len som tycker att riksdagen hanterar </w:t>
      </w:r>
      <w:r w:rsidRPr="00F5723F">
        <w:t>dessa uppgifter bra. Det gäller uppgi</w:t>
      </w:r>
      <w:r w:rsidRPr="00F5723F">
        <w:t>f</w:t>
      </w:r>
      <w:r w:rsidRPr="00F5723F">
        <w:t>terna att vara central debattarena och att förutse framtida problem innan de blir akuta. Mellan 1998 och 2002 har riksdagsledamöternas egna bedömnin</w:t>
      </w:r>
      <w:r w:rsidRPr="00F5723F">
        <w:t>g</w:t>
      </w:r>
      <w:r w:rsidRPr="00F5723F">
        <w:t>ar av riksdagen och riksdagens led</w:t>
      </w:r>
      <w:r w:rsidRPr="00F5723F">
        <w:t>a</w:t>
      </w:r>
      <w:r w:rsidRPr="00F5723F">
        <w:t xml:space="preserve">möter blivit mer positiva i fyra fall och mer negativa i tre. </w:t>
      </w:r>
    </w:p>
    <w:p w:rsidR="00B43C57" w:rsidRPr="00F5723F" w:rsidRDefault="00B43C57">
      <w:pPr>
        <w:pStyle w:val="Normaltindrag"/>
      </w:pPr>
      <w:r w:rsidRPr="00F5723F">
        <w:t>I studien visas också att riksdagsledamöter och medborgare rangordnar uppgifterna e</w:t>
      </w:r>
      <w:r w:rsidRPr="00F5723F">
        <w:t>f</w:t>
      </w:r>
      <w:r w:rsidRPr="00F5723F">
        <w:t>ter bedömningen av hur väl de fullgörs på ett likartat sätt, även om rangordningarna var mer överensstämmande 1998. Riksdagsl</w:t>
      </w:r>
      <w:r w:rsidRPr="00F5723F">
        <w:t>e</w:t>
      </w:r>
      <w:r w:rsidRPr="00F5723F">
        <w:t>damöter och medborgare är till exempel överens om vilka två uppgifter som riksdagen hanterar bäst (fatta avgörande beslut och övervaka regeringen). Likaså är me</w:t>
      </w:r>
      <w:r w:rsidRPr="00F5723F">
        <w:t>d</w:t>
      </w:r>
      <w:r w:rsidRPr="00F5723F">
        <w:t>borgare och folkvalda överens om att riksdagen inte är särskilt bra på att förutse framtidens problem. Studien visar också på en ma</w:t>
      </w:r>
      <w:r w:rsidRPr="00F5723F">
        <w:t>r</w:t>
      </w:r>
      <w:r w:rsidRPr="00F5723F">
        <w:t>kant skillnad när det gäller uppgiften att avspegla åsiktsfördelningen bland väljarna. Medbo</w:t>
      </w:r>
      <w:r w:rsidRPr="00F5723F">
        <w:t>r</w:t>
      </w:r>
      <w:r w:rsidRPr="00F5723F">
        <w:t>garna är inte lika positiva i sina bedömningar av denna uppgift som riksdag</w:t>
      </w:r>
      <w:r w:rsidRPr="00F5723F">
        <w:t>s</w:t>
      </w:r>
      <w:r w:rsidRPr="00F5723F">
        <w:t xml:space="preserve">ledamöterna. </w:t>
      </w:r>
    </w:p>
    <w:p w:rsidR="00B43C57" w:rsidRPr="00F5723F" w:rsidRDefault="00B43C57">
      <w:pPr>
        <w:pStyle w:val="Normaltindrag"/>
      </w:pPr>
      <w:r w:rsidRPr="00F5723F">
        <w:lastRenderedPageBreak/>
        <w:t>En annan viktig slutsats är att politiska val tenderar att fungera som mot</w:t>
      </w:r>
      <w:r w:rsidRPr="00F5723F">
        <w:t>o</w:t>
      </w:r>
      <w:r w:rsidRPr="00F5723F">
        <w:t>rer för utvecklingen av förtroendet för riksdagen. Förtroendet stiger under valåren för att falla tillbaka något året därpå. En viktig slutsats på samma område är att det finns skäl att se förtroendet för nationella pa</w:t>
      </w:r>
      <w:r w:rsidRPr="00F5723F">
        <w:t>r</w:t>
      </w:r>
      <w:r w:rsidRPr="00F5723F">
        <w:t>lament i ljuset av hur människor uppfattar att parlamenten hanterar olika uppgifter. Männ</w:t>
      </w:r>
      <w:r w:rsidRPr="00F5723F">
        <w:t>i</w:t>
      </w:r>
      <w:r w:rsidRPr="00F5723F">
        <w:t>skors allmänna och generella bedömning av förtroendet för riksdagen visade sig vara starkt kop</w:t>
      </w:r>
      <w:r w:rsidRPr="00F5723F">
        <w:t>p</w:t>
      </w:r>
      <w:r w:rsidRPr="00F5723F">
        <w:t>lat till de bedömningar som görs av hur riksdagen hanterar de funktioner institutionen har i det representa</w:t>
      </w:r>
      <w:r w:rsidRPr="00F5723F">
        <w:t>tiva styre</w:t>
      </w:r>
      <w:r w:rsidRPr="00F5723F">
        <w:t>l</w:t>
      </w:r>
      <w:r w:rsidRPr="00F5723F">
        <w:t xml:space="preserve">seskicket. </w:t>
      </w:r>
    </w:p>
    <w:p w:rsidR="00B43C57" w:rsidRPr="00F5723F" w:rsidRDefault="00B43C57">
      <w:pPr>
        <w:pStyle w:val="Normaltindrag"/>
      </w:pPr>
      <w:r w:rsidRPr="00F5723F">
        <w:t>Medborgarnas förtroende för riksdagen har säkert flera förklaringar. Det står dock klart att förtroendet i inte ringa utsträckning bestäms av bedömnin</w:t>
      </w:r>
      <w:r w:rsidRPr="00F5723F">
        <w:t>g</w:t>
      </w:r>
      <w:r w:rsidRPr="00F5723F">
        <w:t>arna av hur riksdagen hanterar ett antal olika uppgifter. Ett sådant r</w:t>
      </w:r>
      <w:r w:rsidRPr="00F5723F">
        <w:t>e</w:t>
      </w:r>
      <w:r w:rsidRPr="00F5723F">
        <w:t>sultat pekar på att förtroendet för riksdagen inte är oberoende av instituti</w:t>
      </w:r>
      <w:r w:rsidRPr="00F5723F">
        <w:t>o</w:t>
      </w:r>
      <w:r w:rsidRPr="00F5723F">
        <w:t>nella spelregler och de eventuella institutionella brister som omger det parlament</w:t>
      </w:r>
      <w:r w:rsidRPr="00F5723F">
        <w:t>a</w:t>
      </w:r>
      <w:r w:rsidRPr="00F5723F">
        <w:t xml:space="preserve">riska arbetet. </w:t>
      </w:r>
    </w:p>
    <w:p w:rsidR="00B43C57" w:rsidRPr="00F5723F" w:rsidRDefault="00B43C57">
      <w:r w:rsidRPr="00F5723F">
        <w:t xml:space="preserve">På Riksdagskommitténs uppdrag genomförde </w:t>
      </w:r>
      <w:r w:rsidRPr="00F5723F">
        <w:rPr>
          <w:i/>
        </w:rPr>
        <w:t>Peder Nielsen</w:t>
      </w:r>
      <w:r w:rsidRPr="00F5723F">
        <w:t xml:space="preserve"> under år 2004 en särskild undersökning om utskottens arbetsformer och arbetsb</w:t>
      </w:r>
      <w:r w:rsidRPr="00F5723F">
        <w:t>e</w:t>
      </w:r>
      <w:r w:rsidRPr="00F5723F">
        <w:t>lastning. I undersökningen ingår totalt tio indikatorer på utskottens a</w:t>
      </w:r>
      <w:r w:rsidRPr="00F5723F">
        <w:t>r</w:t>
      </w:r>
      <w:r w:rsidRPr="00F5723F">
        <w:t xml:space="preserve">betsbelastning. </w:t>
      </w:r>
      <w:r w:rsidRPr="00F5723F">
        <w:t>Bland i</w:t>
      </w:r>
      <w:r w:rsidRPr="00F5723F">
        <w:t>ndikatorerna återfinns sammanträdestimmar, remitterade propos</w:t>
      </w:r>
      <w:r w:rsidRPr="00F5723F">
        <w:t>i</w:t>
      </w:r>
      <w:r w:rsidRPr="00F5723F">
        <w:t>tioner och skrivelser, remitterade motioner, remitterade motionsyrkanden, avgivna reservationer, antal utskottsbetänkanden, antal yttranden, antal trycksidor i betänkandena samt antal faktapr</w:t>
      </w:r>
      <w:r w:rsidRPr="00F5723F">
        <w:t>o</w:t>
      </w:r>
      <w:r w:rsidRPr="00F5723F">
        <w:t>memorior och EU-dokument.</w:t>
      </w:r>
    </w:p>
    <w:p w:rsidR="00B43C57" w:rsidRPr="00F5723F" w:rsidRDefault="00B43C57">
      <w:pPr>
        <w:pStyle w:val="Normaltindrag"/>
      </w:pPr>
      <w:r w:rsidRPr="00F5723F">
        <w:t>Ingen indikator ger i sig en heltäckande bild</w:t>
      </w:r>
      <w:r w:rsidRPr="00F5723F">
        <w:t xml:space="preserve"> av hur arbet</w:t>
      </w:r>
      <w:r w:rsidRPr="00F5723F">
        <w:t>s</w:t>
      </w:r>
      <w:r w:rsidRPr="00F5723F">
        <w:t>belastningen ser ut i olika utskott, men tillsammans torde de ändå ge en fö</w:t>
      </w:r>
      <w:r w:rsidRPr="00F5723F">
        <w:t>r</w:t>
      </w:r>
      <w:r w:rsidRPr="00F5723F">
        <w:t xml:space="preserve">hållandevis god bild av hur belastat respektive utskott är och skillnaderna mellan </w:t>
      </w:r>
      <w:r w:rsidRPr="00F5723F">
        <w:t>utskotten</w:t>
      </w:r>
      <w:r w:rsidRPr="00F5723F">
        <w:t xml:space="preserve"> härvidlag. </w:t>
      </w:r>
      <w:r w:rsidRPr="00F5723F">
        <w:t>I</w:t>
      </w:r>
      <w:r w:rsidRPr="00F5723F">
        <w:t xml:space="preserve"> undersökningen </w:t>
      </w:r>
      <w:r w:rsidRPr="00F5723F">
        <w:t xml:space="preserve">studeras </w:t>
      </w:r>
      <w:r w:rsidRPr="00F5723F">
        <w:t>hur utskottens ar</w:t>
      </w:r>
      <w:r w:rsidRPr="00F5723F">
        <w:t>betsb</w:t>
      </w:r>
      <w:r w:rsidRPr="00F5723F">
        <w:t>e</w:t>
      </w:r>
      <w:r w:rsidRPr="00F5723F">
        <w:t>lastning</w:t>
      </w:r>
      <w:r w:rsidRPr="00F5723F">
        <w:t xml:space="preserve"> har sett</w:t>
      </w:r>
      <w:r w:rsidRPr="00F5723F">
        <w:t xml:space="preserve"> ut under den senaste tioårsperi</w:t>
      </w:r>
      <w:r w:rsidRPr="00F5723F">
        <w:t>oden. Därigenom är det möjligt att säga om eventuella skil</w:t>
      </w:r>
      <w:r w:rsidRPr="00F5723F">
        <w:t>lnader mellan de olika</w:t>
      </w:r>
      <w:r w:rsidRPr="00F5723F">
        <w:t xml:space="preserve"> utskottens a</w:t>
      </w:r>
      <w:r w:rsidRPr="00F5723F">
        <w:t>r</w:t>
      </w:r>
      <w:r w:rsidRPr="00F5723F">
        <w:t>betsbelastning är stabila eller om de var</w:t>
      </w:r>
      <w:r w:rsidRPr="00F5723F">
        <w:t>i</w:t>
      </w:r>
      <w:r w:rsidRPr="00F5723F">
        <w:t>erar över tid.</w:t>
      </w:r>
    </w:p>
    <w:p w:rsidR="00B43C57" w:rsidRPr="00F5723F" w:rsidRDefault="00B43C57">
      <w:pPr>
        <w:pStyle w:val="Normaltindrag"/>
      </w:pPr>
      <w:r w:rsidRPr="00F5723F">
        <w:t>Den samlade bedömningen i rapporten är att det finns systematiska ski</w:t>
      </w:r>
      <w:r w:rsidRPr="00F5723F">
        <w:t>l</w:t>
      </w:r>
      <w:r w:rsidRPr="00F5723F">
        <w:t>l</w:t>
      </w:r>
      <w:r w:rsidRPr="00F5723F">
        <w:t>nader mellan utsko</w:t>
      </w:r>
      <w:r w:rsidRPr="00F5723F">
        <w:t>t</w:t>
      </w:r>
      <w:r w:rsidRPr="00F5723F">
        <w:t xml:space="preserve">ten som också är stabila över tid. Vissa utskott tenderar att ha jämförelsevis hög arbetsbelastning i ett antal avseenden. Bland dessa </w:t>
      </w:r>
      <w:r w:rsidRPr="00F5723F">
        <w:t>u</w:t>
      </w:r>
      <w:r w:rsidRPr="00F5723F">
        <w:t>t</w:t>
      </w:r>
      <w:r w:rsidRPr="00F5723F">
        <w:t xml:space="preserve">skott </w:t>
      </w:r>
      <w:r w:rsidRPr="00F5723F">
        <w:t xml:space="preserve">märks främst </w:t>
      </w:r>
      <w:r w:rsidRPr="00F5723F">
        <w:t>konstitutions-, finans-, skatte-, justitie-, social- och utbil</w:t>
      </w:r>
      <w:r w:rsidRPr="00F5723F">
        <w:t>d</w:t>
      </w:r>
      <w:r w:rsidRPr="00F5723F">
        <w:t>ningsutskotten och miljö- och jordbruksutskottet.</w:t>
      </w:r>
      <w:r w:rsidRPr="00F5723F">
        <w:t xml:space="preserve"> Vad gäll</w:t>
      </w:r>
      <w:r w:rsidRPr="00F5723F">
        <w:t>er finans-, skatte-, just</w:t>
      </w:r>
      <w:r w:rsidRPr="00F5723F">
        <w:t>i</w:t>
      </w:r>
      <w:r w:rsidRPr="00F5723F">
        <w:t xml:space="preserve">tie-, social- och utbildningsutskotten </w:t>
      </w:r>
      <w:r w:rsidRPr="00F5723F">
        <w:t>beror arbetsbelastningen främst på en stor ärend</w:t>
      </w:r>
      <w:r w:rsidRPr="00F5723F">
        <w:t>e</w:t>
      </w:r>
      <w:r w:rsidRPr="00F5723F">
        <w:t xml:space="preserve">mängd i form av propositioner och/eller motioner, medan </w:t>
      </w:r>
      <w:r w:rsidRPr="00F5723F">
        <w:t>miljö- och jordbruksutskotten k</w:t>
      </w:r>
      <w:r w:rsidRPr="00F5723F">
        <w:t>ännetecknas a</w:t>
      </w:r>
      <w:r w:rsidRPr="00F5723F">
        <w:t>v att hantera en stor mängd ärende</w:t>
      </w:r>
      <w:r w:rsidRPr="00F5723F">
        <w:t>n med koppling till EU. För konstitutionsutskottets</w:t>
      </w:r>
      <w:r w:rsidRPr="00F5723F">
        <w:t xml:space="preserve"> del hänger den höga belas</w:t>
      </w:r>
      <w:r w:rsidRPr="00F5723F">
        <w:t>t</w:t>
      </w:r>
      <w:r w:rsidRPr="00F5723F">
        <w:t>ningen till stor del samman med utskottets granskning av r</w:t>
      </w:r>
      <w:r w:rsidRPr="00F5723F">
        <w:t>e</w:t>
      </w:r>
      <w:r w:rsidRPr="00F5723F">
        <w:t>geringen.</w:t>
      </w:r>
    </w:p>
    <w:p w:rsidR="00B43C57" w:rsidRPr="00F5723F" w:rsidRDefault="00B43C57">
      <w:pPr>
        <w:pStyle w:val="Normaltindrag"/>
      </w:pPr>
      <w:r w:rsidRPr="00F5723F">
        <w:t>Andra utskott tenderar att ha jämförelsevis låg belastning i flera avsee</w:t>
      </w:r>
      <w:r w:rsidRPr="00F5723F">
        <w:t>n</w:t>
      </w:r>
      <w:r w:rsidRPr="00F5723F">
        <w:t xml:space="preserve">den. Här märks framför allt </w:t>
      </w:r>
      <w:r w:rsidRPr="00F5723F">
        <w:t>försvars-, kultur-, arbetsmarknads- och bostadsu</w:t>
      </w:r>
      <w:r w:rsidRPr="00F5723F">
        <w:t>t</w:t>
      </w:r>
      <w:r w:rsidRPr="00F5723F">
        <w:t>skotten</w:t>
      </w:r>
      <w:r w:rsidRPr="00F5723F">
        <w:t>. Dessa utskott erhåller i regel färre ärenden (motioner och propositi</w:t>
      </w:r>
      <w:r w:rsidRPr="00F5723F">
        <w:t>o</w:t>
      </w:r>
      <w:r w:rsidRPr="00F5723F">
        <w:t xml:space="preserve">ner) än övriga utskott och de har mycket få EU-relaterade frågor. </w:t>
      </w:r>
    </w:p>
    <w:p w:rsidR="00B43C57" w:rsidRPr="00F5723F" w:rsidRDefault="00B43C57">
      <w:pPr>
        <w:pStyle w:val="Normaltindrag"/>
      </w:pPr>
      <w:r w:rsidRPr="00F5723F">
        <w:t>S</w:t>
      </w:r>
      <w:r w:rsidRPr="00F5723F">
        <w:t xml:space="preserve">killnaderna i arbetsbelastning </w:t>
      </w:r>
      <w:r w:rsidRPr="00F5723F">
        <w:t xml:space="preserve">korrigeras </w:t>
      </w:r>
      <w:r w:rsidRPr="00F5723F">
        <w:t>något genom att utskott med hög b</w:t>
      </w:r>
      <w:r w:rsidRPr="00F5723F">
        <w:t>e</w:t>
      </w:r>
      <w:r w:rsidRPr="00F5723F">
        <w:t>lastning h</w:t>
      </w:r>
      <w:r w:rsidRPr="00F5723F">
        <w:t>ar större kanslier med fyra</w:t>
      </w:r>
      <w:r w:rsidRPr="00F5723F">
        <w:t xml:space="preserve"> fem föredragande och utskott med låg belastning har mindre kanslier, i vissa fall med</w:t>
      </w:r>
      <w:r w:rsidRPr="00F5723F">
        <w:t xml:space="preserve"> endast två för</w:t>
      </w:r>
      <w:r w:rsidRPr="00F5723F">
        <w:t>e</w:t>
      </w:r>
      <w:r w:rsidRPr="00F5723F">
        <w:t>dragande</w:t>
      </w:r>
      <w:r w:rsidRPr="00F5723F">
        <w:t>.</w:t>
      </w:r>
    </w:p>
    <w:p w:rsidR="00B43C57" w:rsidRPr="00F5723F" w:rsidRDefault="00B43C57">
      <w:r w:rsidRPr="00F5723F">
        <w:lastRenderedPageBreak/>
        <w:t>På senare år har uppmärksamhet riktats mot riksdagens engagemang i fors</w:t>
      </w:r>
      <w:r w:rsidRPr="00F5723F">
        <w:t>k</w:t>
      </w:r>
      <w:r w:rsidRPr="00F5723F">
        <w:t xml:space="preserve">nings- och framtidsfrågor. I en undersökning </w:t>
      </w:r>
      <w:r w:rsidRPr="00F5723F">
        <w:t xml:space="preserve">har </w:t>
      </w:r>
      <w:r w:rsidRPr="00F5723F">
        <w:rPr>
          <w:i/>
        </w:rPr>
        <w:t>Kai Kronvall</w:t>
      </w:r>
      <w:r w:rsidRPr="00F5723F">
        <w:t xml:space="preserve"> sa</w:t>
      </w:r>
      <w:r w:rsidRPr="00F5723F">
        <w:t>m</w:t>
      </w:r>
      <w:r w:rsidRPr="00F5723F">
        <w:t>manställt uppgift</w:t>
      </w:r>
      <w:r w:rsidRPr="00F5723F">
        <w:t>er från utskotten om bland annat</w:t>
      </w:r>
      <w:r w:rsidRPr="00F5723F">
        <w:t xml:space="preserve"> i vilken utsträckning forsknings- och framtidsfrågor inryms i utskottsarbetet. I studien avses med </w:t>
      </w:r>
      <w:r w:rsidRPr="00F5723F">
        <w:rPr>
          <w:i/>
        </w:rPr>
        <w:t>forskning</w:t>
      </w:r>
      <w:r w:rsidRPr="00F5723F">
        <w:rPr>
          <w:i/>
        </w:rPr>
        <w:t>s</w:t>
      </w:r>
      <w:r w:rsidRPr="00F5723F">
        <w:rPr>
          <w:i/>
        </w:rPr>
        <w:t xml:space="preserve">frågor </w:t>
      </w:r>
      <w:r w:rsidRPr="00F5723F">
        <w:t>närmast vad som kan kallas ”forskning för politik”, alltså i vad mån vete</w:t>
      </w:r>
      <w:r w:rsidRPr="00F5723F">
        <w:t>n</w:t>
      </w:r>
      <w:r w:rsidRPr="00F5723F">
        <w:t>skapligt baserad kunskap ligger till grund för eller på annat sätt är en integr</w:t>
      </w:r>
      <w:r w:rsidRPr="00F5723F">
        <w:t>e</w:t>
      </w:r>
      <w:r w:rsidRPr="00F5723F">
        <w:t xml:space="preserve">rad del av det politiska arbetet i utskotten. Med </w:t>
      </w:r>
      <w:r w:rsidRPr="00F5723F">
        <w:rPr>
          <w:i/>
        </w:rPr>
        <w:t xml:space="preserve">framtidsfrågor </w:t>
      </w:r>
      <w:r w:rsidRPr="00F5723F">
        <w:t>menas i sa</w:t>
      </w:r>
      <w:r w:rsidRPr="00F5723F">
        <w:t>m</w:t>
      </w:r>
      <w:r w:rsidRPr="00F5723F">
        <w:t>ma undersökning de frågor som avser konsekvenser a</w:t>
      </w:r>
      <w:r w:rsidRPr="00F5723F">
        <w:t>v samhällsutvec</w:t>
      </w:r>
      <w:r w:rsidRPr="00F5723F">
        <w:t>k</w:t>
      </w:r>
      <w:r w:rsidRPr="00F5723F">
        <w:t>lingen på längre sikt (10–</w:t>
      </w:r>
      <w:r w:rsidRPr="00F5723F">
        <w:t>20 år</w:t>
      </w:r>
      <w:r w:rsidRPr="00F5723F">
        <w:t>) och vilka behov av bland annat</w:t>
      </w:r>
      <w:r w:rsidRPr="00F5723F">
        <w:t xml:space="preserve"> politisk handlingsb</w:t>
      </w:r>
      <w:r w:rsidRPr="00F5723F">
        <w:t>e</w:t>
      </w:r>
      <w:r w:rsidRPr="00F5723F">
        <w:t>redskap denna utveckling och dessa konsekvenser ger upphov till. I unde</w:t>
      </w:r>
      <w:r w:rsidRPr="00F5723F">
        <w:t>r</w:t>
      </w:r>
      <w:r w:rsidRPr="00F5723F">
        <w:t>sökningen redovisas på vilket sätt utskotten generellt arbetar med forsknings- och framtidsfr</w:t>
      </w:r>
      <w:r w:rsidRPr="00F5723F">
        <w:t>å</w:t>
      </w:r>
      <w:r w:rsidRPr="00F5723F">
        <w:t>gor och vil</w:t>
      </w:r>
      <w:r w:rsidRPr="00F5723F">
        <w:t>ka synpunkter utskotten och deras</w:t>
      </w:r>
      <w:r w:rsidRPr="00F5723F">
        <w:t xml:space="preserve"> kanslier kan ha på hur riksdagen framgent kan arbeta praktiskt med forsknings- och framtid</w:t>
      </w:r>
      <w:r w:rsidRPr="00F5723F">
        <w:t>s</w:t>
      </w:r>
      <w:r w:rsidRPr="00F5723F">
        <w:t>frågor och hur kunskap på denna grund kan utnyttjas och integreras i beslut</w:t>
      </w:r>
      <w:r w:rsidRPr="00F5723F">
        <w:t>s</w:t>
      </w:r>
      <w:r w:rsidRPr="00F5723F">
        <w:t xml:space="preserve">fattandet. </w:t>
      </w:r>
    </w:p>
    <w:p w:rsidR="00B43C57" w:rsidRPr="00F5723F" w:rsidRDefault="00B43C57">
      <w:pPr>
        <w:pStyle w:val="Normaltindrag"/>
      </w:pPr>
      <w:r w:rsidRPr="00F5723F">
        <w:t>De flesta av utskotten</w:t>
      </w:r>
      <w:r w:rsidRPr="00F5723F">
        <w:t xml:space="preserve"> som medverkade i undersökningen ansåg sig ha väl upparbetade </w:t>
      </w:r>
      <w:r w:rsidRPr="00F5723F">
        <w:t>rutiner för hantering av forsknings- och framtidsfrågor</w:t>
      </w:r>
      <w:r w:rsidRPr="00F5723F">
        <w:t>. I några fall uppges explicit att forsknings- och fra</w:t>
      </w:r>
      <w:r w:rsidRPr="00F5723F">
        <w:t>m</w:t>
      </w:r>
      <w:r w:rsidRPr="00F5723F">
        <w:t>tidsfrågor är en del av utskottets strategiska beslutsfattande. Detta förhållningssätt stämmer väl överens med bedömningen att forsknings- och framtidsfrågor naturligt knyter an till me</w:t>
      </w:r>
      <w:r w:rsidRPr="00F5723F">
        <w:t>r</w:t>
      </w:r>
      <w:r w:rsidRPr="00F5723F">
        <w:t>parten av riksdagens huvuduppgifter</w:t>
      </w:r>
      <w:r w:rsidRPr="00F5723F">
        <w:t>.</w:t>
      </w:r>
      <w:r w:rsidRPr="00F5723F">
        <w:t xml:space="preserve"> Utbildning</w:t>
      </w:r>
      <w:r w:rsidRPr="00F5723F">
        <w:t>s</w:t>
      </w:r>
      <w:r w:rsidRPr="00F5723F">
        <w:t xml:space="preserve">utskottet skiljer sig </w:t>
      </w:r>
      <w:r w:rsidRPr="00F5723F">
        <w:t xml:space="preserve">från övriga utskott </w:t>
      </w:r>
      <w:r w:rsidRPr="00F5723F">
        <w:t>genom</w:t>
      </w:r>
      <w:r w:rsidRPr="00F5723F">
        <w:t xml:space="preserve"> att forskning är både ett ansvarsområde (forskningspol</w:t>
      </w:r>
      <w:r w:rsidRPr="00F5723F">
        <w:t>i</w:t>
      </w:r>
      <w:r w:rsidRPr="00F5723F">
        <w:t>tik</w:t>
      </w:r>
      <w:r w:rsidRPr="00F5723F">
        <w:t>)</w:t>
      </w:r>
      <w:r w:rsidRPr="00F5723F">
        <w:t xml:space="preserve"> för utskottet och ett stöd för</w:t>
      </w:r>
      <w:r w:rsidRPr="00F5723F">
        <w:t xml:space="preserve"> utskottets verksa</w:t>
      </w:r>
      <w:r w:rsidRPr="00F5723F">
        <w:t>m</w:t>
      </w:r>
      <w:r w:rsidRPr="00F5723F">
        <w:t xml:space="preserve">het i allmänhet. </w:t>
      </w:r>
    </w:p>
    <w:p w:rsidR="00B43C57" w:rsidRPr="00F5723F" w:rsidRDefault="00B43C57">
      <w:pPr>
        <w:pStyle w:val="Normaltindrag"/>
      </w:pPr>
      <w:r w:rsidRPr="00F5723F">
        <w:t xml:space="preserve">Flera olika </w:t>
      </w:r>
      <w:r w:rsidRPr="00F5723F">
        <w:t xml:space="preserve">former för utskottens arbete </w:t>
      </w:r>
      <w:r w:rsidRPr="00F5723F">
        <w:t>med forskningsbaserad och fra</w:t>
      </w:r>
      <w:r w:rsidRPr="00F5723F">
        <w:t>m</w:t>
      </w:r>
      <w:r w:rsidRPr="00F5723F">
        <w:t>tidsinriktad inform</w:t>
      </w:r>
      <w:r w:rsidRPr="00F5723F">
        <w:t>a</w:t>
      </w:r>
      <w:r w:rsidRPr="00F5723F">
        <w:t>tion kunde identifieras. Inte sällan arbetar utskotten med följande former eller med en kombi</w:t>
      </w:r>
      <w:r w:rsidRPr="00F5723F">
        <w:t>nation av dessa. Utskotten erhåller till exempel forskningsbaserad och framtidsinriktad information i</w:t>
      </w:r>
      <w:r w:rsidRPr="00F5723F">
        <w:t xml:space="preserve"> samband med utfrågningar och seminarier, ofta inför behandlingen av en prop</w:t>
      </w:r>
      <w:r w:rsidRPr="00F5723F">
        <w:t>o</w:t>
      </w:r>
      <w:r w:rsidRPr="00F5723F">
        <w:t>sition, då man bjuder in forskare och andra experter. Utskotten gör också studieb</w:t>
      </w:r>
      <w:r w:rsidRPr="00F5723F">
        <w:t>e</w:t>
      </w:r>
      <w:r w:rsidRPr="00F5723F">
        <w:t>sök vid universitet, högskolor och sektorsforskningsorgan samt myndigheter som i</w:t>
      </w:r>
      <w:r w:rsidRPr="00F5723F">
        <w:t xml:space="preserve"> vissa fall bedriver egen forskning. I arbetet med uppföljning och utvärd</w:t>
      </w:r>
      <w:r w:rsidRPr="00F5723F">
        <w:t>e</w:t>
      </w:r>
      <w:r w:rsidRPr="00F5723F">
        <w:t>ring, genom att till exempel</w:t>
      </w:r>
      <w:r w:rsidRPr="00F5723F">
        <w:t xml:space="preserve"> lägga ut uppdrag på enskilda forskare eller fors</w:t>
      </w:r>
      <w:r w:rsidRPr="00F5723F">
        <w:t>k</w:t>
      </w:r>
      <w:r w:rsidRPr="00F5723F">
        <w:t>ningsinstitutioner eller bilda referensgrupper i vilka forskare ingår, ko</w:t>
      </w:r>
      <w:r w:rsidRPr="00F5723F">
        <w:t>m</w:t>
      </w:r>
      <w:r w:rsidRPr="00F5723F">
        <w:t xml:space="preserve">mer utskott också i kontakt med forsknings- och framtidsfrågor. </w:t>
      </w:r>
    </w:p>
    <w:p w:rsidR="00B43C57" w:rsidRPr="00F5723F" w:rsidRDefault="00B43C57">
      <w:pPr>
        <w:pStyle w:val="Normaltindrag"/>
      </w:pPr>
      <w:r w:rsidRPr="00F5723F">
        <w:t xml:space="preserve">Kontakter med forskning sker också i andra former, </w:t>
      </w:r>
      <w:r w:rsidRPr="00F5723F">
        <w:t>till exempel</w:t>
      </w:r>
      <w:r w:rsidRPr="00F5723F">
        <w:t xml:space="preserve"> att led</w:t>
      </w:r>
      <w:r w:rsidRPr="00F5723F">
        <w:t>a</w:t>
      </w:r>
      <w:r w:rsidRPr="00F5723F">
        <w:t>möter och kanslipersonal deltar i forskningskonferenser, att ledamöterna får information via interna nyhetsbrev, att ledamöterna medverkar i statliga kommitt</w:t>
      </w:r>
      <w:r w:rsidRPr="00F5723F">
        <w:t>é</w:t>
      </w:r>
      <w:r w:rsidRPr="00F5723F">
        <w:t>er eller i styrelser för forskningsfinansieringsorgan.</w:t>
      </w:r>
      <w:r w:rsidRPr="00F5723F">
        <w:t xml:space="preserve"> </w:t>
      </w:r>
    </w:p>
    <w:p w:rsidR="00B43C57" w:rsidRPr="00F5723F" w:rsidRDefault="00B43C57">
      <w:pPr>
        <w:pStyle w:val="Normaltindrag"/>
      </w:pPr>
      <w:r w:rsidRPr="00F5723F">
        <w:t xml:space="preserve">När det gäller utskottens syn på </w:t>
      </w:r>
      <w:r w:rsidRPr="00F5723F">
        <w:t>hur man framgent kan arbeta</w:t>
      </w:r>
      <w:r w:rsidRPr="00F5723F">
        <w:t xml:space="preserve"> med fors</w:t>
      </w:r>
      <w:r w:rsidRPr="00F5723F">
        <w:t>k</w:t>
      </w:r>
      <w:r w:rsidRPr="00F5723F">
        <w:t>ningsrel</w:t>
      </w:r>
      <w:r w:rsidRPr="00F5723F">
        <w:t>a</w:t>
      </w:r>
      <w:r w:rsidRPr="00F5723F">
        <w:t>terad och framtidsinriktad information, är det relativt vanligt att man framhåller att utskottets kontakter med forskningen funnit ändamålsenliga former och att man avser att fortsätta ungefär som hittills. Mot denna ba</w:t>
      </w:r>
      <w:r w:rsidRPr="00F5723F">
        <w:t>k</w:t>
      </w:r>
      <w:r w:rsidRPr="00F5723F">
        <w:t>grund är det inte förvånande att utskotten är återhållsamma med att lämna förslag som syftar till organisatori</w:t>
      </w:r>
      <w:r w:rsidRPr="00F5723F">
        <w:t>ska förändringar och samordning</w:t>
      </w:r>
      <w:r w:rsidRPr="00F5723F">
        <w:t xml:space="preserve">. I flera fall säger man explicit att förändringar med sådan inriktning inte behövs; </w:t>
      </w:r>
      <w:r w:rsidRPr="00F5723F">
        <w:lastRenderedPageBreak/>
        <w:t>forsknings- och fram</w:t>
      </w:r>
      <w:r w:rsidRPr="00F5723F">
        <w:t>tidsfrågor bör företrädesvis hanteras i den regu</w:t>
      </w:r>
      <w:r w:rsidRPr="00F5723F">
        <w:t>l</w:t>
      </w:r>
      <w:r w:rsidRPr="00F5723F">
        <w:t>jära organisa</w:t>
      </w:r>
      <w:r w:rsidRPr="00F5723F">
        <w:t>tionen, eventuellt</w:t>
      </w:r>
      <w:r w:rsidRPr="00F5723F">
        <w:t xml:space="preserve"> i sammansatta utskott vid behov. Samtidigt fra</w:t>
      </w:r>
      <w:r w:rsidRPr="00F5723F">
        <w:t>m</w:t>
      </w:r>
      <w:r w:rsidRPr="00F5723F">
        <w:t>håller några utskott att intresset för forskningsfrågor bör stim</w:t>
      </w:r>
      <w:r w:rsidRPr="00F5723F">
        <w:t>u</w:t>
      </w:r>
      <w:r w:rsidRPr="00F5723F">
        <w:t xml:space="preserve">leras genom </w:t>
      </w:r>
      <w:r w:rsidRPr="00F5723F">
        <w:t>till exempel Rifo</w:t>
      </w:r>
      <w:r w:rsidRPr="00F5723F">
        <w:t xml:space="preserve"> och forskningsdagar inom riksdagen av det slag som nyligen prövats för första gången.</w:t>
      </w:r>
      <w:r w:rsidRPr="00F5723F">
        <w:t xml:space="preserve"> I studien redovisas några förslag till </w:t>
      </w:r>
      <w:r w:rsidRPr="00F5723F">
        <w:t xml:space="preserve">åtgärder </w:t>
      </w:r>
      <w:r w:rsidRPr="00F5723F">
        <w:t xml:space="preserve">som utskotten lyft fram och som vore </w:t>
      </w:r>
      <w:r w:rsidRPr="00F5723F">
        <w:t>ägnade att förbättra den nuvarande situati</w:t>
      </w:r>
      <w:r w:rsidRPr="00F5723F">
        <w:t>o</w:t>
      </w:r>
      <w:r w:rsidRPr="00F5723F">
        <w:t>nen. De utskott som har en mer omfattande verksamhet på det här aktuella o</w:t>
      </w:r>
      <w:r w:rsidRPr="00F5723F">
        <w:t>m</w:t>
      </w:r>
      <w:r w:rsidRPr="00F5723F">
        <w:t xml:space="preserve">rådet anser tämligen samstämmigt att en ökning av olika slags </w:t>
      </w:r>
      <w:r w:rsidRPr="00F5723F">
        <w:rPr>
          <w:i/>
        </w:rPr>
        <w:t>stöd och resurser</w:t>
      </w:r>
      <w:r w:rsidRPr="00F5723F">
        <w:t xml:space="preserve"> behövs för att utskotten skall kunna arbeta effektivt med forsknings- och framtidsfr</w:t>
      </w:r>
      <w:r w:rsidRPr="00F5723F">
        <w:t>å</w:t>
      </w:r>
      <w:r w:rsidRPr="00F5723F">
        <w:t>gor.</w:t>
      </w:r>
    </w:p>
    <w:p w:rsidR="00B43C57" w:rsidRPr="00F5723F" w:rsidRDefault="00B43C57">
      <w:pPr>
        <w:pStyle w:val="Normaltindrag"/>
      </w:pPr>
      <w:r w:rsidRPr="00F5723F">
        <w:t>I studien konstateras</w:t>
      </w:r>
      <w:r w:rsidRPr="00F5723F">
        <w:t xml:space="preserve"> att utskotten fortlöpande i den reguljära verksa</w:t>
      </w:r>
      <w:r w:rsidRPr="00F5723F">
        <w:t>m</w:t>
      </w:r>
      <w:r w:rsidRPr="00F5723F">
        <w:t>heten arbetar i vari</w:t>
      </w:r>
      <w:r w:rsidRPr="00F5723F">
        <w:t>e</w:t>
      </w:r>
      <w:r w:rsidRPr="00F5723F">
        <w:t>rande omfattning och med varierande intensitet med att söka och tolka vetenskapliga rön och framtidsinriktade bedömningar samt att inf</w:t>
      </w:r>
      <w:r w:rsidRPr="00F5723F">
        <w:t>o</w:t>
      </w:r>
      <w:r w:rsidRPr="00F5723F">
        <w:t>ga dessa rön och bedömningar i betänkanden och i uppföljnings- och utvärd</w:t>
      </w:r>
      <w:r w:rsidRPr="00F5723F">
        <w:t>e</w:t>
      </w:r>
      <w:r w:rsidRPr="00F5723F">
        <w:t>ringsverksamheten. Detta sker i varierande former som de enskilda utskotten bedömer som ändamålsenliga utifrån deras respektive ambition</w:t>
      </w:r>
      <w:r w:rsidRPr="00F5723F">
        <w:t>s</w:t>
      </w:r>
      <w:r w:rsidRPr="00F5723F">
        <w:t>nivå, behov och traditioner. Det är därför inte särskilt överraskande att inga långtgående förs</w:t>
      </w:r>
      <w:r w:rsidRPr="00F5723F">
        <w:t>lag framförs om förändringar på d</w:t>
      </w:r>
      <w:r w:rsidRPr="00F5723F">
        <w:t>et här aktuella området av till exempel</w:t>
      </w:r>
      <w:r w:rsidRPr="00F5723F">
        <w:t xml:space="preserve"> utsko</w:t>
      </w:r>
      <w:r w:rsidRPr="00F5723F">
        <w:t>t</w:t>
      </w:r>
      <w:r w:rsidRPr="00F5723F">
        <w:t>tens organisation eller uppgiftsfördelningen dem emellan. Några mer blygsamma förslag befanns ha utskottens stöd. Det gäller framför allt försl</w:t>
      </w:r>
      <w:r w:rsidRPr="00F5723F">
        <w:t>a</w:t>
      </w:r>
      <w:r w:rsidRPr="00F5723F">
        <w:t>gen om en höjning av forsknings- och framtidsfrågornas status i lagstiftning</w:t>
      </w:r>
      <w:r w:rsidRPr="00F5723F">
        <w:t>s</w:t>
      </w:r>
      <w:r w:rsidRPr="00F5723F">
        <w:t>arbetet, ökad kompetens både på ledamots- och tjänstemannasidan samt ök</w:t>
      </w:r>
      <w:r w:rsidRPr="00F5723F">
        <w:t>a</w:t>
      </w:r>
      <w:r w:rsidRPr="00F5723F">
        <w:t>de mat</w:t>
      </w:r>
      <w:r w:rsidRPr="00F5723F">
        <w:t>e</w:t>
      </w:r>
      <w:r w:rsidRPr="00F5723F">
        <w:t xml:space="preserve">riella </w:t>
      </w:r>
      <w:r w:rsidRPr="00F5723F">
        <w:t>resurser i olika hänseenden, eventuellt</w:t>
      </w:r>
      <w:r w:rsidRPr="00F5723F">
        <w:t xml:space="preserve"> också förstärkningar av utskottens kompetens och initiativrätt på det aktuella o</w:t>
      </w:r>
      <w:r w:rsidRPr="00F5723F">
        <w:t>m</w:t>
      </w:r>
      <w:r w:rsidRPr="00F5723F">
        <w:t>rådet</w:t>
      </w:r>
      <w:r w:rsidRPr="00F5723F">
        <w:t>.</w:t>
      </w:r>
    </w:p>
    <w:p w:rsidR="00B43C57" w:rsidRPr="00F5723F" w:rsidRDefault="00B43C57">
      <w:r w:rsidRPr="00F5723F">
        <w:t>Med hjälp av en år 2004 genomförd undersökning bland samtliga riksdagsl</w:t>
      </w:r>
      <w:r w:rsidRPr="00F5723F">
        <w:t>e</w:t>
      </w:r>
      <w:r w:rsidRPr="00F5723F">
        <w:t xml:space="preserve">damöter studerar </w:t>
      </w:r>
      <w:r w:rsidRPr="00F5723F">
        <w:rPr>
          <w:i/>
        </w:rPr>
        <w:t>Martin Brothén</w:t>
      </w:r>
      <w:r w:rsidRPr="00F5723F">
        <w:t xml:space="preserve"> riksdagsledamöternas arbetsförhålla</w:t>
      </w:r>
      <w:r w:rsidRPr="00F5723F">
        <w:t>n</w:t>
      </w:r>
      <w:r w:rsidRPr="00F5723F">
        <w:t>den i och utanför riksdagen. Riksdagskommitténs tidsbudgetstudie med ledamöte</w:t>
      </w:r>
      <w:r w:rsidRPr="00F5723F">
        <w:t>r</w:t>
      </w:r>
      <w:r w:rsidRPr="00F5723F">
        <w:t>na är den fjärde i ordningen. Tidigare undersökningar med motsvarande up</w:t>
      </w:r>
      <w:r w:rsidRPr="00F5723F">
        <w:t>p</w:t>
      </w:r>
      <w:r w:rsidRPr="00F5723F">
        <w:t>lägg har genomförts 1974, 1977 och 1985, vilket möjliggör tidsjämfö</w:t>
      </w:r>
      <w:r w:rsidRPr="00F5723F">
        <w:t>rande analyser över en 30</w:t>
      </w:r>
      <w:r w:rsidRPr="00F5723F">
        <w:t>årsperiod. Resultatet av tidsbudge</w:t>
      </w:r>
      <w:r w:rsidRPr="00F5723F">
        <w:t>t</w:t>
      </w:r>
      <w:r w:rsidRPr="00F5723F">
        <w:t xml:space="preserve">studien visar att några större förändringar i riksdagsledamöternas totala arbetssituation inte har </w:t>
      </w:r>
      <w:r w:rsidRPr="00F5723F">
        <w:t>skett under den 30</w:t>
      </w:r>
      <w:r w:rsidRPr="00F5723F">
        <w:t>årsperiod som kan överblickas. Arbetstiden är fo</w:t>
      </w:r>
      <w:r w:rsidRPr="00F5723F">
        <w:t>rtfarande myc</w:t>
      </w:r>
      <w:r w:rsidRPr="00F5723F">
        <w:t>k</w:t>
      </w:r>
      <w:r w:rsidRPr="00F5723F">
        <w:t>et omfattande och uppgår till i g</w:t>
      </w:r>
      <w:r w:rsidRPr="00F5723F">
        <w:t>e</w:t>
      </w:r>
      <w:r w:rsidRPr="00F5723F">
        <w:t>nomsnitt 53 timmar</w:t>
      </w:r>
      <w:r w:rsidRPr="00F5723F">
        <w:t xml:space="preserve"> i veckan</w:t>
      </w:r>
      <w:r w:rsidRPr="00F5723F">
        <w:t xml:space="preserve">. </w:t>
      </w:r>
    </w:p>
    <w:p w:rsidR="00B43C57" w:rsidRPr="00F5723F" w:rsidRDefault="00B43C57">
      <w:pPr>
        <w:pStyle w:val="Normaltindrag"/>
      </w:pPr>
      <w:r w:rsidRPr="00F5723F">
        <w:t xml:space="preserve">Några </w:t>
      </w:r>
      <w:r w:rsidRPr="00F5723F">
        <w:t xml:space="preserve">av ledamöternas </w:t>
      </w:r>
      <w:r w:rsidRPr="00F5723F">
        <w:t>uppgifter har ökat kraftigt i tidsomfattning. Det gäller kontaktverksamhet och uppvaktningar i form av sammanträ</w:t>
      </w:r>
      <w:r w:rsidRPr="00F5723F">
        <w:t>f</w:t>
      </w:r>
      <w:r w:rsidRPr="00F5723F">
        <w:t>fanden med grupper av olika slag och besök av enskilda. I den kateg</w:t>
      </w:r>
      <w:r w:rsidRPr="00F5723F">
        <w:t>o</w:t>
      </w:r>
      <w:r w:rsidRPr="00F5723F">
        <w:t>rin inr</w:t>
      </w:r>
      <w:r w:rsidRPr="00F5723F">
        <w:t xml:space="preserve">äknas också besvarande av brev </w:t>
      </w:r>
      <w:r w:rsidRPr="00F5723F">
        <w:t>och</w:t>
      </w:r>
      <w:r w:rsidRPr="00F5723F">
        <w:t xml:space="preserve"> är</w:t>
      </w:r>
      <w:r w:rsidRPr="00F5723F">
        <w:t xml:space="preserve"> i 2004 års undersökning, även besvara</w:t>
      </w:r>
      <w:r w:rsidRPr="00F5723F">
        <w:t>n</w:t>
      </w:r>
      <w:r w:rsidRPr="00F5723F">
        <w:t>de av e-post. En annan kategori som tar betydligt större tid i anspråk 2004 jämfört med 1974 är föredrag och mediemedverkan samt det allmänna inlä</w:t>
      </w:r>
      <w:r w:rsidRPr="00F5723F">
        <w:t>s</w:t>
      </w:r>
      <w:r w:rsidRPr="00F5723F">
        <w:t>nings- och studiearbetet. Ytterligare uppgifter som ökat i omfattning är delt</w:t>
      </w:r>
      <w:r w:rsidRPr="00F5723F">
        <w:t>a</w:t>
      </w:r>
      <w:r w:rsidRPr="00F5723F">
        <w:t>gande i</w:t>
      </w:r>
      <w:r w:rsidRPr="00F5723F">
        <w:t xml:space="preserve"> kammardebatten, utskottsarbetet, riksdagsgruppsarbetet och partiarbetet i övrigt. Att följa ka</w:t>
      </w:r>
      <w:r w:rsidRPr="00F5723F">
        <w:t>m</w:t>
      </w:r>
      <w:r w:rsidRPr="00F5723F">
        <w:t>mardebatten och arbeta med kommunala uppdrag har däremot blivit allt mindre tidskrävande uppgift</w:t>
      </w:r>
      <w:r w:rsidRPr="00F5723F">
        <w:t>er</w:t>
      </w:r>
      <w:r w:rsidRPr="00F5723F">
        <w:t xml:space="preserve"> för riksdag</w:t>
      </w:r>
      <w:r w:rsidRPr="00F5723F">
        <w:t>s</w:t>
      </w:r>
      <w:r w:rsidRPr="00F5723F">
        <w:t>ledamöterna. Också tiden som ledamöterna lägger ned på deltagandet i statl</w:t>
      </w:r>
      <w:r w:rsidRPr="00F5723F">
        <w:t>i</w:t>
      </w:r>
      <w:r w:rsidRPr="00F5723F">
        <w:t>ga utredningar och styrelser samt i organisationer av olika slag har minskat. Materialet utv</w:t>
      </w:r>
      <w:r w:rsidRPr="00F5723F">
        <w:t>i</w:t>
      </w:r>
      <w:r w:rsidRPr="00F5723F">
        <w:lastRenderedPageBreak/>
        <w:t>sar tydliga skillnader mellan partierna. Den geno</w:t>
      </w:r>
      <w:r w:rsidRPr="00F5723F">
        <w:t>m</w:t>
      </w:r>
      <w:r w:rsidRPr="00F5723F">
        <w:t>snittliga arbetstiden är lägst för riksdagens tre största partier (s, m och fp). Ledamö</w:t>
      </w:r>
      <w:r w:rsidRPr="00F5723F">
        <w:t>terna i Vänste</w:t>
      </w:r>
      <w:r w:rsidRPr="00F5723F">
        <w:t>r</w:t>
      </w:r>
      <w:r w:rsidRPr="00F5723F">
        <w:t>partiet och Miljöpartiet är de som uppger den högsta genomsnittliga tiden för arbet</w:t>
      </w:r>
      <w:r w:rsidRPr="00F5723F">
        <w:t>s</w:t>
      </w:r>
      <w:r w:rsidRPr="00F5723F">
        <w:t>uppgifter med anknytning till riksdagsuppdraget (60 r</w:t>
      </w:r>
      <w:r w:rsidRPr="00F5723F">
        <w:t>e</w:t>
      </w:r>
      <w:r w:rsidRPr="00F5723F">
        <w:t xml:space="preserve">spektive 59 timmar). Skillnaderna mellan kvinnor och män är </w:t>
      </w:r>
      <w:r w:rsidRPr="00F5723F">
        <w:t>däremot</w:t>
      </w:r>
      <w:r w:rsidRPr="00F5723F">
        <w:t xml:space="preserve"> liten; riksdagsmännen up</w:t>
      </w:r>
      <w:r w:rsidRPr="00F5723F">
        <w:t>p</w:t>
      </w:r>
      <w:r w:rsidRPr="00F5723F">
        <w:t>ger sig arbeta i genomsnitt en timme mer per vecka än riksdag</w:t>
      </w:r>
      <w:r w:rsidRPr="00F5723F">
        <w:t>s</w:t>
      </w:r>
      <w:r w:rsidRPr="00F5723F">
        <w:t xml:space="preserve">kvinnorna. </w:t>
      </w:r>
    </w:p>
    <w:p w:rsidR="00B43C57" w:rsidRPr="00F5723F" w:rsidRDefault="00B43C57">
      <w:pPr>
        <w:pStyle w:val="Normaltindrag"/>
      </w:pPr>
      <w:r w:rsidRPr="00F5723F">
        <w:t>Fortfarande har en majoritet av ledamöterna varit kommunpolitiskt a</w:t>
      </w:r>
      <w:r w:rsidRPr="00F5723F">
        <w:t>k</w:t>
      </w:r>
      <w:r w:rsidRPr="00F5723F">
        <w:t>tiva före invalet i riksd</w:t>
      </w:r>
      <w:r w:rsidRPr="00F5723F">
        <w:t>a</w:t>
      </w:r>
      <w:r w:rsidRPr="00F5723F">
        <w:t>gen. Andelen ledamöter som efter invalet är fortsatt aktiva i kommun- eller landstingspolitiken har dock minskat kraftigt sedan tvåka</w:t>
      </w:r>
      <w:r w:rsidRPr="00F5723F">
        <w:t>m</w:t>
      </w:r>
      <w:r w:rsidRPr="00F5723F">
        <w:t>martiden. Andelen ledamöter med kommunala eller landsting</w:t>
      </w:r>
      <w:r w:rsidRPr="00F5723F">
        <w:t>s</w:t>
      </w:r>
      <w:r w:rsidRPr="00F5723F">
        <w:t>kommunala uppdrag minskade markant mellan 1969 och 1983. Därefter har utvec</w:t>
      </w:r>
      <w:r w:rsidRPr="00F5723F">
        <w:t>k</w:t>
      </w:r>
      <w:r w:rsidRPr="00F5723F">
        <w:t>lingen varit relativt oförändrad. Ungefä</w:t>
      </w:r>
      <w:r w:rsidRPr="00F5723F">
        <w:t>r var tredje ledamot (32 procent</w:t>
      </w:r>
      <w:r w:rsidRPr="00F5723F">
        <w:t xml:space="preserve">) har </w:t>
      </w:r>
      <w:r w:rsidRPr="00F5723F">
        <w:t xml:space="preserve">nu </w:t>
      </w:r>
      <w:r w:rsidRPr="00F5723F">
        <w:t>n</w:t>
      </w:r>
      <w:r w:rsidRPr="00F5723F">
        <w:t>å</w:t>
      </w:r>
      <w:r w:rsidRPr="00F5723F">
        <w:t xml:space="preserve">gon typ av kommunalt uppdrag. </w:t>
      </w:r>
    </w:p>
    <w:p w:rsidR="00B43C57" w:rsidRPr="00F5723F" w:rsidRDefault="00B43C57">
      <w:pPr>
        <w:pStyle w:val="Normaltindrag"/>
      </w:pPr>
      <w:r w:rsidRPr="00F5723F">
        <w:t>Ledamöterna i riksdagen är nöjda med arbetet som riksdagsledamot. And</w:t>
      </w:r>
      <w:r w:rsidRPr="00F5723F">
        <w:t>e</w:t>
      </w:r>
      <w:r w:rsidRPr="00F5723F">
        <w:t xml:space="preserve">len ledamöter som uttrycker trivsel har tydligt ökat mellan 1985 och </w:t>
      </w:r>
      <w:r w:rsidRPr="00F5723F">
        <w:t>2002. Knappt hälften (47 procent</w:t>
      </w:r>
      <w:r w:rsidRPr="00F5723F">
        <w:t>) av ledamöterna ansåg sig trivas mycket bra med uppdraget som riksdagsledamot 1985. År 2002 var den andelen 9 procente</w:t>
      </w:r>
      <w:r w:rsidRPr="00F5723F">
        <w:t>n</w:t>
      </w:r>
      <w:r w:rsidRPr="00F5723F">
        <w:t>heter högre (56 procent</w:t>
      </w:r>
      <w:r w:rsidRPr="00F5723F">
        <w:t xml:space="preserve">). </w:t>
      </w:r>
    </w:p>
    <w:p w:rsidR="00B43C57" w:rsidRPr="00F5723F" w:rsidRDefault="00B43C57">
      <w:pPr>
        <w:pStyle w:val="Normaltindrag"/>
      </w:pPr>
      <w:r w:rsidRPr="00F5723F">
        <w:t>Ledamöter vill öka möjligheterna att få tid för möten och kontakter med människor, såväl e</w:t>
      </w:r>
      <w:r w:rsidRPr="00F5723F">
        <w:t>n</w:t>
      </w:r>
      <w:r w:rsidRPr="00F5723F">
        <w:t>skilda väljare som organisationer, särskilt i valkretsen. Dessutom vill ledamöterna ägna mer tid åt opinionsbildande arbete och lån</w:t>
      </w:r>
      <w:r w:rsidRPr="00F5723F">
        <w:t>g</w:t>
      </w:r>
      <w:r w:rsidRPr="00F5723F">
        <w:t>siktigt arbete. Det internationella arbetet, såväl inom som utom Europ</w:t>
      </w:r>
      <w:r w:rsidRPr="00F5723F">
        <w:t>e</w:t>
      </w:r>
      <w:r w:rsidRPr="00F5723F">
        <w:t>iska unionen, framstår också som en uppgift ledamöter</w:t>
      </w:r>
      <w:r w:rsidRPr="00F5723F">
        <w:t>na</w:t>
      </w:r>
      <w:r w:rsidRPr="00F5723F">
        <w:t xml:space="preserve"> gen</w:t>
      </w:r>
      <w:r w:rsidRPr="00F5723F">
        <w:t>e</w:t>
      </w:r>
      <w:r w:rsidRPr="00F5723F">
        <w:t>rellt sett önskar ägna</w:t>
      </w:r>
      <w:r w:rsidRPr="00F5723F">
        <w:t xml:space="preserve"> mer tid åt. Ett antal punkter</w:t>
      </w:r>
      <w:r w:rsidRPr="00F5723F">
        <w:t xml:space="preserve"> stå</w:t>
      </w:r>
      <w:r w:rsidRPr="00F5723F">
        <w:t>r på listan över vilka uppgifter</w:t>
      </w:r>
      <w:r w:rsidRPr="00F5723F">
        <w:t xml:space="preserve"> ledam</w:t>
      </w:r>
      <w:r w:rsidRPr="00F5723F">
        <w:t>ö</w:t>
      </w:r>
      <w:r w:rsidRPr="00F5723F">
        <w:t>ter</w:t>
      </w:r>
      <w:r w:rsidRPr="00F5723F">
        <w:t>na</w:t>
      </w:r>
      <w:r w:rsidRPr="00F5723F">
        <w:t xml:space="preserve"> skulle vilja ägna mindre tid åt. </w:t>
      </w:r>
      <w:r w:rsidRPr="00F5723F">
        <w:t>De valda</w:t>
      </w:r>
      <w:r w:rsidRPr="00F5723F">
        <w:t xml:space="preserve"> önskar generellt sett minska omfatt</w:t>
      </w:r>
      <w:r w:rsidRPr="00F5723F">
        <w:t>ningen av tid som lägg</w:t>
      </w:r>
      <w:r w:rsidRPr="00F5723F">
        <w:t>s ned på kontorsgöromål, administration och samm</w:t>
      </w:r>
      <w:r w:rsidRPr="00F5723F">
        <w:t>a</w:t>
      </w:r>
      <w:r w:rsidRPr="00F5723F">
        <w:t>n</w:t>
      </w:r>
      <w:r w:rsidRPr="00F5723F">
        <w:t xml:space="preserve">träden. </w:t>
      </w:r>
    </w:p>
    <w:p w:rsidR="00B43C57" w:rsidRPr="00F5723F" w:rsidRDefault="00B43C57">
      <w:r w:rsidRPr="00F5723F">
        <w:t>Arbetet i valkretsen är centralt i riksdagsuppdraget. Enligt vad som fra</w:t>
      </w:r>
      <w:r w:rsidRPr="00F5723F">
        <w:t>m</w:t>
      </w:r>
      <w:r w:rsidRPr="00F5723F">
        <w:t>kommer i studien av riksdagsledamöternas arbetsvecka önskar många led</w:t>
      </w:r>
      <w:r w:rsidRPr="00F5723F">
        <w:t>a</w:t>
      </w:r>
      <w:r w:rsidRPr="00F5723F">
        <w:t>möter öka sin tid</w:t>
      </w:r>
      <w:r w:rsidRPr="00F5723F">
        <w:t xml:space="preserve"> för valkretsorienterat arbete. </w:t>
      </w:r>
      <w:r w:rsidRPr="00F5723F">
        <w:rPr>
          <w:i/>
        </w:rPr>
        <w:t>Martin Brothén</w:t>
      </w:r>
      <w:r w:rsidRPr="00F5723F">
        <w:rPr>
          <w:i/>
        </w:rPr>
        <w:t>s</w:t>
      </w:r>
      <w:r w:rsidRPr="00F5723F">
        <w:t xml:space="preserve"> och</w:t>
      </w:r>
      <w:r w:rsidRPr="00F5723F">
        <w:rPr>
          <w:i/>
        </w:rPr>
        <w:t xml:space="preserve"> Mikael Gilljam</w:t>
      </w:r>
      <w:r w:rsidRPr="00F5723F">
        <w:rPr>
          <w:i/>
        </w:rPr>
        <w:t>s</w:t>
      </w:r>
      <w:r w:rsidRPr="00F5723F">
        <w:rPr>
          <w:i/>
        </w:rPr>
        <w:t xml:space="preserve"> </w:t>
      </w:r>
      <w:r w:rsidRPr="00F5723F">
        <w:t xml:space="preserve">undersökning analyseras bland annat </w:t>
      </w:r>
      <w:r w:rsidRPr="00F5723F">
        <w:t>riksdagsledamöternas arbete i va</w:t>
      </w:r>
      <w:r w:rsidRPr="00F5723F">
        <w:t>l</w:t>
      </w:r>
      <w:r w:rsidRPr="00F5723F">
        <w:t>kretsen</w:t>
      </w:r>
      <w:r w:rsidRPr="00F5723F">
        <w:t xml:space="preserve">. </w:t>
      </w:r>
    </w:p>
    <w:p w:rsidR="00B43C57" w:rsidRPr="00F5723F" w:rsidRDefault="00B43C57">
      <w:pPr>
        <w:pStyle w:val="Normaltindrag"/>
      </w:pPr>
      <w:r w:rsidRPr="00F5723F">
        <w:t xml:space="preserve">I </w:t>
      </w:r>
      <w:r w:rsidRPr="00F5723F">
        <w:t xml:space="preserve">den representativa demokratin antas </w:t>
      </w:r>
      <w:r w:rsidRPr="00F5723F">
        <w:t xml:space="preserve">medborgarna </w:t>
      </w:r>
      <w:r w:rsidRPr="00F5723F">
        <w:t xml:space="preserve">påverka </w:t>
      </w:r>
      <w:r w:rsidRPr="00F5723F">
        <w:t>politikens u</w:t>
      </w:r>
      <w:r w:rsidRPr="00F5723F">
        <w:t>t</w:t>
      </w:r>
      <w:r w:rsidRPr="00F5723F">
        <w:t>formning ge</w:t>
      </w:r>
      <w:r w:rsidRPr="00F5723F">
        <w:t>nom att rösta på partier och po</w:t>
      </w:r>
      <w:r w:rsidRPr="00F5723F">
        <w:t xml:space="preserve">litiker. Mellan valen är det sedan de folkvalda representanterna </w:t>
      </w:r>
      <w:r w:rsidRPr="00F5723F">
        <w:t>som sköter beslutsfattandet. En väl fungerande</w:t>
      </w:r>
      <w:r w:rsidRPr="00F5723F">
        <w:t xml:space="preserve"> </w:t>
      </w:r>
      <w:r w:rsidRPr="00F5723F">
        <w:t>representativ demokrati</w:t>
      </w:r>
      <w:r w:rsidRPr="00F5723F">
        <w:t xml:space="preserve"> utesluter dock </w:t>
      </w:r>
      <w:r w:rsidRPr="00F5723F">
        <w:t xml:space="preserve">inte </w:t>
      </w:r>
      <w:r w:rsidRPr="00F5723F">
        <w:t>att de politiska r</w:t>
      </w:r>
      <w:r w:rsidRPr="00F5723F">
        <w:t>e</w:t>
      </w:r>
      <w:r w:rsidRPr="00F5723F">
        <w:t>presentanterna är lyhör</w:t>
      </w:r>
      <w:r w:rsidRPr="00F5723F">
        <w:t>da</w:t>
      </w:r>
      <w:r w:rsidRPr="00F5723F">
        <w:t xml:space="preserve"> och kommunicerar me</w:t>
      </w:r>
      <w:r w:rsidRPr="00F5723F">
        <w:t>d medborgarna även me</w:t>
      </w:r>
      <w:r w:rsidRPr="00F5723F">
        <w:t>l</w:t>
      </w:r>
      <w:r w:rsidRPr="00F5723F">
        <w:t>lan valen. Tvärtom förenas olika demokratiteorier i uppfattningen om kontakternas centrala vä</w:t>
      </w:r>
      <w:r w:rsidRPr="00F5723F">
        <w:t>r</w:t>
      </w:r>
      <w:r w:rsidRPr="00F5723F">
        <w:t>de. K</w:t>
      </w:r>
      <w:r w:rsidRPr="00F5723F">
        <w:t>ontakter</w:t>
      </w:r>
      <w:r w:rsidRPr="00F5723F">
        <w:t xml:space="preserve"> mellan väljare och valda kan ha olika syften. För d</w:t>
      </w:r>
      <w:r w:rsidRPr="00F5723F">
        <w:t>e valda r</w:t>
      </w:r>
      <w:r w:rsidRPr="00F5723F">
        <w:t>e</w:t>
      </w:r>
      <w:r w:rsidRPr="00F5723F">
        <w:t xml:space="preserve">presentanterna handlar kontakterna om att </w:t>
      </w:r>
      <w:r w:rsidRPr="00F5723F">
        <w:t>informera sig om sakförhållanden, att lyssna av folkopinionen och att motivera de politiska besluten.</w:t>
      </w:r>
      <w:r w:rsidRPr="00F5723F">
        <w:t xml:space="preserve"> </w:t>
      </w:r>
    </w:p>
    <w:p w:rsidR="00B43C57" w:rsidRPr="00F5723F" w:rsidRDefault="00B43C57">
      <w:pPr>
        <w:pStyle w:val="Normaltindrag"/>
      </w:pPr>
      <w:r w:rsidRPr="00F5723F">
        <w:t>I studien u</w:t>
      </w:r>
      <w:r w:rsidRPr="00F5723F">
        <w:t>n</w:t>
      </w:r>
      <w:r w:rsidRPr="00F5723F">
        <w:t>dersöks f</w:t>
      </w:r>
      <w:r w:rsidRPr="00F5723F">
        <w:t>ör det för</w:t>
      </w:r>
      <w:r w:rsidRPr="00F5723F">
        <w:t>sta hur de svenska riksdagsleda</w:t>
      </w:r>
      <w:r w:rsidRPr="00F5723F">
        <w:t xml:space="preserve">möterna ser på sin roll som representanter mellan valen och då främst hur de ser på sin relation till medborgarna och till de väljare som har valt dem. </w:t>
      </w:r>
      <w:r w:rsidRPr="00F5723F">
        <w:t>Vilka</w:t>
      </w:r>
      <w:r w:rsidRPr="00F5723F">
        <w:t xml:space="preserve"> uppfat</w:t>
      </w:r>
      <w:r w:rsidRPr="00F5723F">
        <w:t>t</w:t>
      </w:r>
      <w:r w:rsidRPr="00F5723F">
        <w:t xml:space="preserve">ningar </w:t>
      </w:r>
      <w:r w:rsidRPr="00F5723F">
        <w:t xml:space="preserve">har riksdagsledamöterna själva </w:t>
      </w:r>
      <w:r w:rsidRPr="00F5723F">
        <w:t xml:space="preserve">om </w:t>
      </w:r>
      <w:r w:rsidRPr="00F5723F">
        <w:t xml:space="preserve">behovet av </w:t>
      </w:r>
      <w:r w:rsidRPr="00F5723F">
        <w:t>kontakter med medbo</w:t>
      </w:r>
      <w:r w:rsidRPr="00F5723F">
        <w:t>r</w:t>
      </w:r>
      <w:r w:rsidRPr="00F5723F">
        <w:lastRenderedPageBreak/>
        <w:t>garna</w:t>
      </w:r>
      <w:r w:rsidRPr="00F5723F">
        <w:t xml:space="preserve"> </w:t>
      </w:r>
      <w:r w:rsidRPr="00F5723F">
        <w:t>och vilka eventuella skillnader finns det mellan olika ty</w:t>
      </w:r>
      <w:r w:rsidRPr="00F5723F">
        <w:softHyphen/>
        <w:t>per av riksdag</w:t>
      </w:r>
      <w:r w:rsidRPr="00F5723F">
        <w:t>s</w:t>
      </w:r>
      <w:r w:rsidRPr="00F5723F">
        <w:t xml:space="preserve">ledamöter? För det andra kartläggs vad riksdagsledamöterna </w:t>
      </w:r>
      <w:r w:rsidRPr="00F5723F">
        <w:t>fa</w:t>
      </w:r>
      <w:r w:rsidRPr="00F5723F">
        <w:t>k</w:t>
      </w:r>
      <w:r w:rsidRPr="00F5723F">
        <w:t>tiskt</w:t>
      </w:r>
      <w:r w:rsidRPr="00F5723F">
        <w:t xml:space="preserve"> gör mellan valen i dessa avsee</w:t>
      </w:r>
      <w:r w:rsidRPr="00F5723F">
        <w:t>n</w:t>
      </w:r>
      <w:r w:rsidRPr="00F5723F">
        <w:t>den och i vilken utsträckning de lever upp til</w:t>
      </w:r>
      <w:r w:rsidRPr="00F5723F">
        <w:t>l de</w:t>
      </w:r>
      <w:r w:rsidRPr="00F5723F">
        <w:t xml:space="preserve"> egna idealen om vad som karakte</w:t>
      </w:r>
      <w:r w:rsidRPr="00F5723F">
        <w:t>riserar en lyhörd mellanvalsreprese</w:t>
      </w:r>
      <w:r w:rsidRPr="00F5723F">
        <w:t>n</w:t>
      </w:r>
      <w:r w:rsidRPr="00F5723F">
        <w:t>tant.</w:t>
      </w:r>
    </w:p>
    <w:p w:rsidR="00B43C57" w:rsidRPr="00F5723F" w:rsidRDefault="00B43C57">
      <w:pPr>
        <w:pStyle w:val="Normaltindrag"/>
      </w:pPr>
      <w:r w:rsidRPr="00F5723F">
        <w:t>Det är tre huvudresultat som lyfts fram i s</w:t>
      </w:r>
      <w:r w:rsidRPr="00F5723F">
        <w:t>tudie</w:t>
      </w:r>
      <w:r w:rsidRPr="00F5723F">
        <w:t>n. För det första har partiet inte längre samma dominerande ställning i riksdagsledamöternas represent</w:t>
      </w:r>
      <w:r w:rsidRPr="00F5723F">
        <w:t>a</w:t>
      </w:r>
      <w:r w:rsidRPr="00F5723F">
        <w:t>tionsideologier. Det andra huvudresultatet av undersökningen är att mella</w:t>
      </w:r>
      <w:r w:rsidRPr="00F5723F">
        <w:t>n</w:t>
      </w:r>
      <w:r w:rsidRPr="00F5723F">
        <w:t>valskontakter med olika medbo</w:t>
      </w:r>
      <w:r w:rsidRPr="00F5723F">
        <w:t>r</w:t>
      </w:r>
      <w:r w:rsidRPr="00F5723F">
        <w:t>gargrupper successivt har blivit ett viktigare inslag i riksdagsledamöternas arbetsuppgifter. Riksdagsledamöterna lägger allt större vikt vid mellanval</w:t>
      </w:r>
      <w:r w:rsidRPr="00F5723F">
        <w:t>s</w:t>
      </w:r>
      <w:r w:rsidRPr="00F5723F">
        <w:t>kontakter med den egna valkretsen, men även andra typer av medborgarko</w:t>
      </w:r>
      <w:r w:rsidRPr="00F5723F">
        <w:t>n</w:t>
      </w:r>
      <w:r w:rsidRPr="00F5723F">
        <w:t>takter har blivit vanligare. För det tredje visar studien att riksdagsledamöt</w:t>
      </w:r>
      <w:r w:rsidRPr="00F5723F">
        <w:t>erna i sin mellanvalskommunikation med den egna valkretsen är goda tvåväg</w:t>
      </w:r>
      <w:r w:rsidRPr="00F5723F">
        <w:t>s</w:t>
      </w:r>
      <w:r w:rsidRPr="00F5723F">
        <w:t xml:space="preserve">kommunikatörer. Enligt ledamöterna är det i dessa sammanhang viktigt att </w:t>
      </w:r>
      <w:r w:rsidRPr="00F5723F">
        <w:rPr>
          <w:i/>
        </w:rPr>
        <w:t>inform</w:t>
      </w:r>
      <w:r w:rsidRPr="00F5723F">
        <w:rPr>
          <w:i/>
        </w:rPr>
        <w:t xml:space="preserve">era </w:t>
      </w:r>
      <w:r w:rsidRPr="00F5723F">
        <w:t>om det pågående arbetet i riksd</w:t>
      </w:r>
      <w:r w:rsidRPr="00F5723F">
        <w:t>a</w:t>
      </w:r>
      <w:r w:rsidRPr="00F5723F">
        <w:t xml:space="preserve">gen men det är också viktigt att </w:t>
      </w:r>
      <w:r w:rsidRPr="00F5723F">
        <w:rPr>
          <w:i/>
        </w:rPr>
        <w:t>informera sig</w:t>
      </w:r>
      <w:r w:rsidRPr="00F5723F">
        <w:t xml:space="preserve"> om problemen på hemm</w:t>
      </w:r>
      <w:r w:rsidRPr="00F5723F">
        <w:t>a</w:t>
      </w:r>
      <w:r w:rsidRPr="00F5723F">
        <w:t>plan.</w:t>
      </w:r>
    </w:p>
    <w:p w:rsidR="00B43C57" w:rsidRPr="00F5723F" w:rsidRDefault="00B43C57">
      <w:r w:rsidRPr="00F5723F">
        <w:t>U</w:t>
      </w:r>
      <w:r w:rsidRPr="00F5723F">
        <w:t>ppdraget som riksdagsledamot är speciellt</w:t>
      </w:r>
      <w:r w:rsidRPr="00F5723F">
        <w:t>. S</w:t>
      </w:r>
      <w:r w:rsidRPr="00F5723F">
        <w:t>amtidigt som riksdagsledam</w:t>
      </w:r>
      <w:r w:rsidRPr="00F5723F">
        <w:t>ö</w:t>
      </w:r>
      <w:r w:rsidRPr="00F5723F">
        <w:t>terna är folkvalda och i riksdagen fö</w:t>
      </w:r>
      <w:r w:rsidRPr="00F5723F">
        <w:t>r</w:t>
      </w:r>
      <w:r w:rsidRPr="00F5723F">
        <w:t>väntas representera sina partier och sina väljare, är riksdagen även en arbetsplats där polit</w:t>
      </w:r>
      <w:r w:rsidRPr="00F5723F">
        <w:t>i</w:t>
      </w:r>
      <w:r w:rsidRPr="00F5723F">
        <w:t>ker och tjänstemän arbetar nära varandra. För tjänstemännen gäller den arbetsrättsliga lagstif</w:t>
      </w:r>
      <w:r w:rsidRPr="00F5723F">
        <w:t>t</w:t>
      </w:r>
      <w:r w:rsidRPr="00F5723F">
        <w:t>ningen om jämställdhet, medan motsvarande inte gäller för riksdagsledam</w:t>
      </w:r>
      <w:r w:rsidRPr="00F5723F">
        <w:t>ö</w:t>
      </w:r>
      <w:r w:rsidRPr="00F5723F">
        <w:t>terna.</w:t>
      </w:r>
      <w:r w:rsidRPr="00F5723F">
        <w:t xml:space="preserve"> </w:t>
      </w:r>
    </w:p>
    <w:p w:rsidR="00B43C57" w:rsidRPr="00F5723F" w:rsidRDefault="00B43C57">
      <w:pPr>
        <w:pStyle w:val="Normaltindrag"/>
      </w:pPr>
      <w:r w:rsidRPr="00F5723F">
        <w:t>Riksdagskommittén arrangerade i maj 2005 tillsammans med Riksba</w:t>
      </w:r>
      <w:r w:rsidRPr="00F5723F">
        <w:t>n</w:t>
      </w:r>
      <w:r w:rsidRPr="00F5723F">
        <w:t xml:space="preserve">kens </w:t>
      </w:r>
      <w:r w:rsidRPr="00F5723F">
        <w:t>J</w:t>
      </w:r>
      <w:r w:rsidRPr="00F5723F">
        <w:t>ubileumsfond ett offentligt seminarium om riksdagsuppdraget ur genuspe</w:t>
      </w:r>
      <w:r w:rsidRPr="00F5723F">
        <w:t>r</w:t>
      </w:r>
      <w:r w:rsidRPr="00F5723F">
        <w:t>spektiv. Till grund för seminariet, som syftade till att utgöra ett led i en fö</w:t>
      </w:r>
      <w:r w:rsidRPr="00F5723F">
        <w:t>r</w:t>
      </w:r>
      <w:r w:rsidRPr="00F5723F">
        <w:t>djupad diskussion om hur arbetsförhållandena mellan ma</w:t>
      </w:r>
      <w:r w:rsidRPr="00F5723F">
        <w:t>n</w:t>
      </w:r>
      <w:r w:rsidRPr="00F5723F">
        <w:t xml:space="preserve">liga och kvinnliga ledamöter ser ut och kan förbättras, låg en forskningsöversikt </w:t>
      </w:r>
      <w:r w:rsidRPr="00F5723F">
        <w:t>författad</w:t>
      </w:r>
      <w:r w:rsidRPr="00F5723F">
        <w:t xml:space="preserve"> av </w:t>
      </w:r>
      <w:r w:rsidRPr="00F5723F">
        <w:rPr>
          <w:i/>
        </w:rPr>
        <w:t>Lenita Freidenvall</w:t>
      </w:r>
      <w:r w:rsidRPr="00F5723F">
        <w:t>. Ett led i arbetet med att bidra till ökad kunskap och fö</w:t>
      </w:r>
      <w:r w:rsidRPr="00F5723F">
        <w:t>r</w:t>
      </w:r>
      <w:r w:rsidRPr="00F5723F">
        <w:t>ståelse av kvinnliga riksdagsledamöters situation och villkor i riksdagen är att kartlägga befintlig forskning på området. Geno</w:t>
      </w:r>
      <w:r w:rsidRPr="00F5723F">
        <w:t>m kartläg</w:t>
      </w:r>
      <w:r w:rsidRPr="00F5723F">
        <w:t>g</w:t>
      </w:r>
      <w:r w:rsidRPr="00F5723F">
        <w:t>ning av forskning kan kunskapsluckor identifieras och särskild uppmär</w:t>
      </w:r>
      <w:r w:rsidRPr="00F5723F">
        <w:t>k</w:t>
      </w:r>
      <w:r w:rsidRPr="00F5723F">
        <w:t>samhet riktas mot dessa områden. Om vissa områden däremot är välutfor</w:t>
      </w:r>
      <w:r w:rsidRPr="00F5723F">
        <w:t>s</w:t>
      </w:r>
      <w:r w:rsidRPr="00F5723F">
        <w:t>kade kan kunskapsbehovet bestå i att ställa andra frågor och anlägga nya perspektiv. Ur en forskning</w:t>
      </w:r>
      <w:r w:rsidRPr="00F5723F">
        <w:t>s</w:t>
      </w:r>
      <w:r w:rsidRPr="00F5723F">
        <w:t>översikt finns även möjlighet att härleda teoretiskt förankrade problemstäl</w:t>
      </w:r>
      <w:r w:rsidRPr="00F5723F">
        <w:t>l</w:t>
      </w:r>
      <w:r w:rsidRPr="00F5723F">
        <w:t>ningar och konkreta fors</w:t>
      </w:r>
      <w:r w:rsidRPr="00F5723F">
        <w:t>k</w:t>
      </w:r>
      <w:r w:rsidRPr="00F5723F">
        <w:t>ningsuppgifter.</w:t>
      </w:r>
    </w:p>
    <w:p w:rsidR="00B43C57" w:rsidRPr="00F5723F" w:rsidRDefault="00B43C57">
      <w:pPr>
        <w:pStyle w:val="Normaltindrag"/>
      </w:pPr>
      <w:r w:rsidRPr="00F5723F">
        <w:t>En utgångspunkt har varit att forskning om riksdagen primärt hä</w:t>
      </w:r>
      <w:r w:rsidRPr="00F5723F">
        <w:t>rbärg</w:t>
      </w:r>
      <w:r w:rsidRPr="00F5723F">
        <w:t>e</w:t>
      </w:r>
      <w:r w:rsidRPr="00F5723F">
        <w:t>ras inom ämnet statsvetenskap</w:t>
      </w:r>
      <w:r w:rsidRPr="00F5723F">
        <w:t xml:space="preserve">. </w:t>
      </w:r>
      <w:r w:rsidRPr="00F5723F">
        <w:t>Ö</w:t>
      </w:r>
      <w:r w:rsidRPr="00F5723F">
        <w:t>versikt</w:t>
      </w:r>
      <w:r w:rsidRPr="00F5723F">
        <w:t xml:space="preserve">en tar därför sin utgångspunkt i </w:t>
      </w:r>
      <w:r w:rsidRPr="00F5723F">
        <w:t>statsv</w:t>
      </w:r>
      <w:r w:rsidRPr="00F5723F">
        <w:t>e</w:t>
      </w:r>
      <w:r w:rsidRPr="00F5723F">
        <w:t xml:space="preserve">tenskaplig forskning och kompletterar med forskning från andra discipliner. </w:t>
      </w:r>
      <w:r w:rsidRPr="00F5723F">
        <w:t>I</w:t>
      </w:r>
      <w:r w:rsidRPr="00F5723F">
        <w:t>nternationella studier om nationella parlament ur ett genusperspektiv inkl</w:t>
      </w:r>
      <w:r w:rsidRPr="00F5723F">
        <w:t>u</w:t>
      </w:r>
      <w:r w:rsidRPr="00F5723F">
        <w:t xml:space="preserve">deras också i studien. Primärt </w:t>
      </w:r>
      <w:r w:rsidRPr="00F5723F">
        <w:t>lyfter Lenita Freidenvall fram forskning om den</w:t>
      </w:r>
      <w:r w:rsidRPr="00F5723F">
        <w:t xml:space="preserve"> svens</w:t>
      </w:r>
      <w:r w:rsidRPr="00F5723F">
        <w:t xml:space="preserve">ka riksdagen men utblickar görs också </w:t>
      </w:r>
      <w:r w:rsidRPr="00F5723F">
        <w:t xml:space="preserve">mot </w:t>
      </w:r>
      <w:r w:rsidRPr="00F5723F">
        <w:t xml:space="preserve">andra </w:t>
      </w:r>
      <w:r w:rsidRPr="00F5723F">
        <w:t>nordiska parlament. Fors</w:t>
      </w:r>
      <w:r w:rsidRPr="00F5723F">
        <w:t>k</w:t>
      </w:r>
      <w:r w:rsidRPr="00F5723F">
        <w:t xml:space="preserve">ning om övriga nationella parlament bedöms som mindre relevanta i detta sammanhang, </w:t>
      </w:r>
      <w:r w:rsidRPr="00F5723F">
        <w:t>eftersom</w:t>
      </w:r>
      <w:r w:rsidRPr="00F5723F">
        <w:t xml:space="preserve"> kvinnorepresentation i de</w:t>
      </w:r>
      <w:r w:rsidRPr="00F5723F">
        <w:t xml:space="preserve"> nordiska parlamenten skiljer sig stort från övriga nationella parlament. Dä</w:t>
      </w:r>
      <w:r w:rsidRPr="00F5723F">
        <w:t>r</w:t>
      </w:r>
      <w:r w:rsidRPr="00F5723F">
        <w:t>emot inkluderas svenska och nordiska kommunst</w:t>
      </w:r>
      <w:r w:rsidRPr="00F5723F">
        <w:t>u</w:t>
      </w:r>
      <w:r w:rsidRPr="00F5723F">
        <w:t xml:space="preserve">dier som bedöms </w:t>
      </w:r>
      <w:r w:rsidRPr="00F5723F">
        <w:t xml:space="preserve">som </w:t>
      </w:r>
      <w:r w:rsidRPr="00F5723F">
        <w:t>relevanta.</w:t>
      </w:r>
    </w:p>
    <w:p w:rsidR="00B43C57" w:rsidRPr="00F5723F" w:rsidRDefault="00B43C57">
      <w:pPr>
        <w:pStyle w:val="Normaltindrag"/>
      </w:pPr>
      <w:r w:rsidRPr="00F5723F">
        <w:t xml:space="preserve"> </w:t>
      </w:r>
      <w:r w:rsidRPr="00F5723F">
        <w:t>I forskningsöversikten konstatera</w:t>
      </w:r>
      <w:r w:rsidRPr="00F5723F">
        <w:t>s</w:t>
      </w:r>
      <w:r w:rsidRPr="00F5723F">
        <w:t xml:space="preserve"> att det finns begränsad kunskap om kvinnors villkor och situation i beslutsfattande försa</w:t>
      </w:r>
      <w:r w:rsidRPr="00F5723F">
        <w:t>m</w:t>
      </w:r>
      <w:r w:rsidRPr="00F5723F">
        <w:t>lingar. I synnerhet sak</w:t>
      </w:r>
      <w:r w:rsidRPr="00F5723F">
        <w:softHyphen/>
      </w:r>
      <w:r w:rsidRPr="00F5723F">
        <w:lastRenderedPageBreak/>
        <w:t>nas empirisk forskning om kvinnors villkor i ett parlament som det sven</w:t>
      </w:r>
      <w:r w:rsidRPr="00F5723F">
        <w:t>s</w:t>
      </w:r>
      <w:r w:rsidRPr="00F5723F">
        <w:t>ka, som med en nästan jämn sammansät</w:t>
      </w:r>
      <w:r w:rsidRPr="00F5723F">
        <w:t>t</w:t>
      </w:r>
      <w:r w:rsidRPr="00F5723F">
        <w:t>ning mellan könen skiljer sig från övriga nationella parlament. Den befintliga forskningen har primärt fokuserat kvi</w:t>
      </w:r>
      <w:r w:rsidRPr="00F5723F">
        <w:t>n</w:t>
      </w:r>
      <w:r w:rsidRPr="00F5723F">
        <w:t xml:space="preserve">nors organisering och väg in i politiken. Däremot finns </w:t>
      </w:r>
      <w:r w:rsidRPr="00F5723F">
        <w:t xml:space="preserve">endast </w:t>
      </w:r>
      <w:r w:rsidRPr="00F5723F">
        <w:t>begränsad forskning om effekterna av en ökad kvinnorepresentation. En anna</w:t>
      </w:r>
      <w:r w:rsidRPr="00F5723F">
        <w:t>n konkl</w:t>
      </w:r>
      <w:r w:rsidRPr="00F5723F">
        <w:t>u</w:t>
      </w:r>
      <w:r w:rsidRPr="00F5723F">
        <w:t xml:space="preserve">sion är att det finns olika förståelser om hur kvinnors villkor och situation i beslutsfattande församlingar skall tolkas, </w:t>
      </w:r>
      <w:r w:rsidRPr="00F5723F">
        <w:t>bland annat</w:t>
      </w:r>
      <w:r w:rsidRPr="00F5723F">
        <w:t xml:space="preserve"> ber</w:t>
      </w:r>
      <w:r w:rsidRPr="00F5723F">
        <w:t>o</w:t>
      </w:r>
      <w:r w:rsidRPr="00F5723F">
        <w:t xml:space="preserve">ende på att det vuxit fram olika forskningstraditioner, som baseras på olika grundantaganden eller paradigmatiska ramar. En skiljelinje går </w:t>
      </w:r>
      <w:r w:rsidRPr="00F5723F">
        <w:t>till exempel</w:t>
      </w:r>
      <w:r w:rsidRPr="00F5723F">
        <w:t xml:space="preserve"> mellan mer emp</w:t>
      </w:r>
      <w:r w:rsidRPr="00F5723F">
        <w:t>i</w:t>
      </w:r>
      <w:r w:rsidRPr="00F5723F">
        <w:t>riskt</w:t>
      </w:r>
      <w:r w:rsidRPr="00F5723F">
        <w:t xml:space="preserve"> aktörsorienterade forskningstraditioner och mer teoretiserande, struktu</w:t>
      </w:r>
      <w:r w:rsidRPr="00F5723F">
        <w:t>r</w:t>
      </w:r>
      <w:r w:rsidRPr="00F5723F">
        <w:t>orie</w:t>
      </w:r>
      <w:r w:rsidRPr="00F5723F">
        <w:t>n</w:t>
      </w:r>
      <w:r w:rsidRPr="00F5723F">
        <w:t>terade forskningstraditioner. En tredje konklusion är att forskning</w:t>
      </w:r>
      <w:r w:rsidRPr="00F5723F">
        <w:t>en</w:t>
      </w:r>
      <w:r w:rsidRPr="00F5723F">
        <w:t xml:space="preserve"> om riksdagen ur ett pos</w:t>
      </w:r>
      <w:r w:rsidRPr="00F5723F">
        <w:t>t</w:t>
      </w:r>
      <w:r w:rsidRPr="00F5723F">
        <w:t>modernt inspirerat g</w:t>
      </w:r>
      <w:r w:rsidRPr="00F5723F">
        <w:t>enusperspektiv är begränsad.</w:t>
      </w:r>
    </w:p>
    <w:p w:rsidR="00B43C57" w:rsidRPr="00F5723F" w:rsidRDefault="00B43C57">
      <w:r w:rsidRPr="00F5723F">
        <w:t>Det är v</w:t>
      </w:r>
      <w:r w:rsidRPr="00F5723F">
        <w:t xml:space="preserve">iktigt </w:t>
      </w:r>
      <w:r w:rsidRPr="00F5723F">
        <w:t xml:space="preserve">att </w:t>
      </w:r>
      <w:r w:rsidRPr="00F5723F">
        <w:t xml:space="preserve">riksdagen själv tar ett ansvar för forskning om riksdagen som institution. </w:t>
      </w:r>
      <w:r w:rsidRPr="00F5723F">
        <w:t>Riksdagskommittén har i sitt huvudbetänkande diskut</w:t>
      </w:r>
      <w:r w:rsidRPr="00F5723F">
        <w:t>e</w:t>
      </w:r>
      <w:r w:rsidRPr="00F5723F">
        <w:t>rat på vilket sätt detta låter sig göras i ett längre tidsperspektiv. De nu avrapporter</w:t>
      </w:r>
      <w:r w:rsidRPr="00F5723F">
        <w:t>a</w:t>
      </w:r>
      <w:r w:rsidRPr="00F5723F">
        <w:t>de studierna och undersökningarna behöver inte vara de enda, utan kan beh</w:t>
      </w:r>
      <w:r w:rsidRPr="00F5723F">
        <w:t>ö</w:t>
      </w:r>
      <w:r w:rsidRPr="00F5723F">
        <w:t>va följas upp med andra kompletterande studier eller av nya motsv</w:t>
      </w:r>
      <w:r w:rsidRPr="00F5723F">
        <w:t>a</w:t>
      </w:r>
      <w:r w:rsidRPr="00F5723F">
        <w:t xml:space="preserve">rande studier. Undersökningar och specifika forskningsresultat </w:t>
      </w:r>
      <w:r w:rsidRPr="00F5723F">
        <w:t>kan ge ett vi</w:t>
      </w:r>
      <w:r w:rsidRPr="00F5723F">
        <w:t>k</w:t>
      </w:r>
      <w:r w:rsidRPr="00F5723F">
        <w:t>tigt bidrag i arbete</w:t>
      </w:r>
      <w:r w:rsidRPr="00F5723F">
        <w:t>t</w:t>
      </w:r>
      <w:r w:rsidRPr="00F5723F">
        <w:t xml:space="preserve"> att reformera arbetsformerna för den representa</w:t>
      </w:r>
      <w:r w:rsidRPr="00F5723F">
        <w:t>tiva demokr</w:t>
      </w:r>
      <w:r w:rsidRPr="00F5723F">
        <w:t>a</w:t>
      </w:r>
      <w:r w:rsidRPr="00F5723F">
        <w:t>tins viktigaste institution, riksd</w:t>
      </w:r>
      <w:r w:rsidRPr="00F5723F">
        <w:t>a</w:t>
      </w:r>
      <w:r w:rsidRPr="00F5723F">
        <w:t>gen.</w:t>
      </w:r>
    </w:p>
    <w:p w:rsidR="00B43C57" w:rsidRPr="00F5723F" w:rsidRDefault="00B43C57">
      <w:pPr>
        <w:sectPr w:rsidR="00000000" w:rsidRPr="00F5723F">
          <w:headerReference w:type="even" r:id="rId13"/>
          <w:headerReference w:type="default" r:id="rId14"/>
          <w:footerReference w:type="even" r:id="rId15"/>
          <w:footerReference w:type="default" r:id="rId16"/>
          <w:headerReference w:type="first" r:id="rId17"/>
          <w:footerReference w:type="first" r:id="rId18"/>
          <w:pgSz w:w="11906" w:h="16838" w:code="9"/>
          <w:pgMar w:top="907" w:right="4649" w:bottom="4507" w:left="1304" w:header="340" w:footer="227" w:gutter="0"/>
          <w:cols w:space="720"/>
          <w:titlePg/>
          <w:docGrid w:linePitch="258"/>
        </w:sectPr>
      </w:pPr>
    </w:p>
    <w:p w:rsidR="00B43C57" w:rsidRPr="00F5723F" w:rsidRDefault="00B43C57">
      <w:pPr>
        <w:pStyle w:val="Rubrik1"/>
        <w:spacing w:after="120"/>
        <w:rPr>
          <w:noProof w:val="0"/>
          <w:snapToGrid w:val="0"/>
        </w:rPr>
      </w:pPr>
      <w:bookmarkStart w:id="5" w:name="_Toc124697770"/>
      <w:r w:rsidRPr="00F5723F">
        <w:rPr>
          <w:noProof w:val="0"/>
          <w:snapToGrid w:val="0"/>
        </w:rPr>
        <w:lastRenderedPageBreak/>
        <w:t>Innehållsförteckning</w:t>
      </w:r>
      <w:bookmarkEnd w:id="5"/>
    </w:p>
    <w:p w:rsidR="00B43C57" w:rsidRPr="00F5723F" w:rsidRDefault="00B43C57">
      <w:pPr>
        <w:pStyle w:val="Innehll1"/>
        <w:rPr>
          <w:sz w:val="24"/>
          <w:szCs w:val="24"/>
        </w:rPr>
      </w:pPr>
      <w:r w:rsidRPr="00F5723F">
        <w:rPr>
          <w:rStyle w:val="Hyperlnk"/>
        </w:rPr>
        <w:t>Förord</w:t>
      </w:r>
      <w:r w:rsidRPr="00F5723F">
        <w:rPr>
          <w:webHidden/>
        </w:rPr>
        <w:tab/>
        <w:t>2</w:t>
      </w:r>
    </w:p>
    <w:p w:rsidR="00B43C57" w:rsidRPr="00F5723F" w:rsidRDefault="00B43C57">
      <w:pPr>
        <w:pStyle w:val="Innehll1"/>
        <w:rPr>
          <w:sz w:val="24"/>
          <w:szCs w:val="24"/>
        </w:rPr>
      </w:pPr>
      <w:r w:rsidRPr="00F5723F">
        <w:rPr>
          <w:rStyle w:val="Hyperlnk"/>
          <w:snapToGrid w:val="0"/>
        </w:rPr>
        <w:t>Innehållsförteckning</w:t>
      </w:r>
      <w:r w:rsidRPr="00F5723F">
        <w:rPr>
          <w:webHidden/>
        </w:rPr>
        <w:tab/>
        <w:t>9</w:t>
      </w:r>
    </w:p>
    <w:p w:rsidR="00B43C57" w:rsidRPr="00F5723F" w:rsidRDefault="00B43C57">
      <w:pPr>
        <w:pStyle w:val="Innehll1"/>
        <w:rPr>
          <w:sz w:val="24"/>
          <w:szCs w:val="24"/>
        </w:rPr>
      </w:pPr>
      <w:r w:rsidRPr="00F5723F">
        <w:rPr>
          <w:rStyle w:val="Hyperlnk"/>
          <w:b/>
        </w:rPr>
        <w:t>Rapport 1</w:t>
      </w:r>
      <w:r w:rsidRPr="00F5723F">
        <w:rPr>
          <w:webHidden/>
        </w:rPr>
        <w:tab/>
        <w:t>13</w:t>
      </w:r>
    </w:p>
    <w:p w:rsidR="00B43C57" w:rsidRPr="00F5723F" w:rsidRDefault="00B43C57">
      <w:pPr>
        <w:pStyle w:val="Innehll1"/>
        <w:rPr>
          <w:sz w:val="24"/>
          <w:szCs w:val="24"/>
        </w:rPr>
      </w:pPr>
      <w:r w:rsidRPr="00F5723F">
        <w:rPr>
          <w:rStyle w:val="Hyperlnk"/>
        </w:rPr>
        <w:t>Riksdagens starka och svaga sidor</w:t>
      </w:r>
      <w:r w:rsidRPr="00F5723F">
        <w:rPr>
          <w:webHidden/>
        </w:rPr>
        <w:tab/>
        <w:t>13</w:t>
      </w:r>
    </w:p>
    <w:p w:rsidR="00B43C57" w:rsidRPr="00F5723F" w:rsidRDefault="00B43C57">
      <w:pPr>
        <w:pStyle w:val="Innehll2"/>
        <w:rPr>
          <w:sz w:val="24"/>
          <w:szCs w:val="24"/>
        </w:rPr>
      </w:pPr>
      <w:r w:rsidRPr="00F5723F">
        <w:rPr>
          <w:rStyle w:val="Hyperlnk"/>
        </w:rPr>
        <w:t>Förtroendet för riksdagen över tid</w:t>
      </w:r>
      <w:r w:rsidRPr="00F5723F">
        <w:rPr>
          <w:webHidden/>
        </w:rPr>
        <w:tab/>
        <w:t>15</w:t>
      </w:r>
    </w:p>
    <w:p w:rsidR="00B43C57" w:rsidRPr="00F5723F" w:rsidRDefault="00B43C57">
      <w:pPr>
        <w:pStyle w:val="Innehll2"/>
        <w:rPr>
          <w:sz w:val="24"/>
          <w:szCs w:val="24"/>
        </w:rPr>
      </w:pPr>
      <w:r w:rsidRPr="00F5723F">
        <w:rPr>
          <w:rStyle w:val="Hyperlnk"/>
        </w:rPr>
        <w:t>Medborgares och riksdagsledamöters bedömning av riksdagen</w:t>
      </w:r>
      <w:r w:rsidRPr="00F5723F">
        <w:rPr>
          <w:webHidden/>
        </w:rPr>
        <w:tab/>
        <w:t>19</w:t>
      </w:r>
    </w:p>
    <w:p w:rsidR="00B43C57" w:rsidRPr="00F5723F" w:rsidRDefault="00B43C57">
      <w:pPr>
        <w:pStyle w:val="Innehll2"/>
        <w:rPr>
          <w:sz w:val="24"/>
          <w:szCs w:val="24"/>
        </w:rPr>
      </w:pPr>
      <w:r w:rsidRPr="00F5723F">
        <w:rPr>
          <w:rStyle w:val="Hyperlnk"/>
        </w:rPr>
        <w:t>Avslutande reflexioner</w:t>
      </w:r>
      <w:r w:rsidRPr="00F5723F">
        <w:rPr>
          <w:webHidden/>
        </w:rPr>
        <w:tab/>
        <w:t>25</w:t>
      </w:r>
    </w:p>
    <w:p w:rsidR="00B43C57" w:rsidRPr="00F5723F" w:rsidRDefault="00B43C57">
      <w:pPr>
        <w:pStyle w:val="Innehll2"/>
        <w:rPr>
          <w:sz w:val="24"/>
          <w:szCs w:val="24"/>
        </w:rPr>
      </w:pPr>
      <w:r w:rsidRPr="00F5723F">
        <w:rPr>
          <w:rStyle w:val="Hyperlnk"/>
        </w:rPr>
        <w:t>Referenser</w:t>
      </w:r>
      <w:r w:rsidRPr="00F5723F">
        <w:rPr>
          <w:webHidden/>
        </w:rPr>
        <w:tab/>
        <w:t>27</w:t>
      </w:r>
    </w:p>
    <w:p w:rsidR="00B43C57" w:rsidRPr="00F5723F" w:rsidRDefault="00B43C57">
      <w:pPr>
        <w:pStyle w:val="Innehll1"/>
        <w:rPr>
          <w:sz w:val="24"/>
          <w:szCs w:val="24"/>
        </w:rPr>
      </w:pPr>
      <w:r w:rsidRPr="00F5723F">
        <w:rPr>
          <w:rStyle w:val="Hyperlnk"/>
          <w:b/>
        </w:rPr>
        <w:t>Rapport 2</w:t>
      </w:r>
      <w:r w:rsidRPr="00F5723F">
        <w:rPr>
          <w:webHidden/>
        </w:rPr>
        <w:tab/>
        <w:t>29</w:t>
      </w:r>
    </w:p>
    <w:p w:rsidR="00B43C57" w:rsidRPr="00F5723F" w:rsidRDefault="00B43C57">
      <w:pPr>
        <w:pStyle w:val="Innehll1"/>
        <w:rPr>
          <w:sz w:val="24"/>
          <w:szCs w:val="24"/>
        </w:rPr>
      </w:pPr>
      <w:r w:rsidRPr="00F5723F">
        <w:rPr>
          <w:rStyle w:val="Hyperlnk"/>
        </w:rPr>
        <w:t>Utskottsundersökning 2004</w:t>
      </w:r>
      <w:r w:rsidRPr="00F5723F">
        <w:rPr>
          <w:webHidden/>
        </w:rPr>
        <w:tab/>
        <w:t>29</w:t>
      </w:r>
    </w:p>
    <w:p w:rsidR="00B43C57" w:rsidRPr="00F5723F" w:rsidRDefault="00B43C57">
      <w:pPr>
        <w:pStyle w:val="Innehll2"/>
        <w:rPr>
          <w:sz w:val="24"/>
          <w:szCs w:val="24"/>
        </w:rPr>
      </w:pPr>
      <w:r w:rsidRPr="00F5723F">
        <w:rPr>
          <w:rStyle w:val="Hyperlnk"/>
        </w:rPr>
        <w:t>Allmän bakgrund</w:t>
      </w:r>
      <w:r w:rsidRPr="00F5723F">
        <w:rPr>
          <w:webHidden/>
        </w:rPr>
        <w:tab/>
        <w:t>30</w:t>
      </w:r>
    </w:p>
    <w:p w:rsidR="00B43C57" w:rsidRPr="00F5723F" w:rsidRDefault="00B43C57">
      <w:pPr>
        <w:pStyle w:val="Innehll3"/>
        <w:rPr>
          <w:sz w:val="24"/>
          <w:szCs w:val="24"/>
        </w:rPr>
      </w:pPr>
      <w:r w:rsidRPr="00F5723F">
        <w:rPr>
          <w:rStyle w:val="Hyperlnk"/>
        </w:rPr>
        <w:t>Principer för utskottsväsendet och dess organisering</w:t>
      </w:r>
      <w:r w:rsidRPr="00F5723F">
        <w:rPr>
          <w:webHidden/>
        </w:rPr>
        <w:tab/>
        <w:t>30</w:t>
      </w:r>
    </w:p>
    <w:p w:rsidR="00B43C57" w:rsidRPr="00F5723F" w:rsidRDefault="00B43C57">
      <w:pPr>
        <w:pStyle w:val="Innehll3"/>
        <w:rPr>
          <w:sz w:val="24"/>
          <w:szCs w:val="24"/>
        </w:rPr>
      </w:pPr>
      <w:r w:rsidRPr="00F5723F">
        <w:rPr>
          <w:rStyle w:val="Hyperlnk"/>
        </w:rPr>
        <w:t>Utskottsorganisationens historiska utveckling</w:t>
      </w:r>
      <w:r w:rsidRPr="00F5723F">
        <w:rPr>
          <w:webHidden/>
        </w:rPr>
        <w:tab/>
        <w:t>32</w:t>
      </w:r>
    </w:p>
    <w:p w:rsidR="00B43C57" w:rsidRPr="00F5723F" w:rsidRDefault="00B43C57">
      <w:pPr>
        <w:pStyle w:val="Innehll3"/>
        <w:rPr>
          <w:sz w:val="24"/>
          <w:szCs w:val="24"/>
        </w:rPr>
      </w:pPr>
      <w:r w:rsidRPr="00F5723F">
        <w:rPr>
          <w:rStyle w:val="Hyperlnk"/>
        </w:rPr>
        <w:t>Tidigare undersökningar av utskottens organisation och arbetssituation</w:t>
      </w:r>
      <w:r w:rsidRPr="00F5723F">
        <w:rPr>
          <w:webHidden/>
        </w:rPr>
        <w:tab/>
        <w:t>33</w:t>
      </w:r>
    </w:p>
    <w:p w:rsidR="00B43C57" w:rsidRPr="00F5723F" w:rsidRDefault="00B43C57">
      <w:pPr>
        <w:pStyle w:val="Innehll3"/>
        <w:rPr>
          <w:sz w:val="24"/>
          <w:szCs w:val="24"/>
        </w:rPr>
      </w:pPr>
      <w:r w:rsidRPr="00F5723F">
        <w:rPr>
          <w:rStyle w:val="Hyperlnk"/>
        </w:rPr>
        <w:t>Diskussion om utskottsindelningen</w:t>
      </w:r>
      <w:r w:rsidRPr="00F5723F">
        <w:rPr>
          <w:webHidden/>
        </w:rPr>
        <w:tab/>
        <w:t>38</w:t>
      </w:r>
    </w:p>
    <w:p w:rsidR="00B43C57" w:rsidRPr="00F5723F" w:rsidRDefault="00B43C57">
      <w:pPr>
        <w:pStyle w:val="Innehll3"/>
        <w:rPr>
          <w:sz w:val="24"/>
          <w:szCs w:val="24"/>
        </w:rPr>
      </w:pPr>
      <w:r w:rsidRPr="00F5723F">
        <w:rPr>
          <w:rStyle w:val="Hyperlnk"/>
        </w:rPr>
        <w:t>Regleringen av utskottsväsendet</w:t>
      </w:r>
      <w:r w:rsidRPr="00F5723F">
        <w:rPr>
          <w:webHidden/>
        </w:rPr>
        <w:tab/>
        <w:t>39</w:t>
      </w:r>
    </w:p>
    <w:p w:rsidR="00B43C57" w:rsidRPr="00F5723F" w:rsidRDefault="00B43C57">
      <w:pPr>
        <w:pStyle w:val="Innehll3"/>
        <w:rPr>
          <w:sz w:val="24"/>
          <w:szCs w:val="24"/>
        </w:rPr>
      </w:pPr>
      <w:r w:rsidRPr="00F5723F">
        <w:rPr>
          <w:rStyle w:val="Hyperlnk"/>
        </w:rPr>
        <w:t>Riktlinjer för utskottens arbetsformer</w:t>
      </w:r>
      <w:r w:rsidRPr="00F5723F">
        <w:rPr>
          <w:webHidden/>
        </w:rPr>
        <w:tab/>
        <w:t>40</w:t>
      </w:r>
    </w:p>
    <w:p w:rsidR="00B43C57" w:rsidRPr="00F5723F" w:rsidRDefault="00B43C57">
      <w:pPr>
        <w:pStyle w:val="Innehll2"/>
        <w:rPr>
          <w:sz w:val="24"/>
          <w:szCs w:val="24"/>
        </w:rPr>
      </w:pPr>
      <w:r w:rsidRPr="00F5723F">
        <w:rPr>
          <w:rStyle w:val="Hyperlnk"/>
        </w:rPr>
        <w:t>Organisation</w:t>
      </w:r>
      <w:r w:rsidRPr="00F5723F">
        <w:rPr>
          <w:webHidden/>
        </w:rPr>
        <w:tab/>
        <w:t>41</w:t>
      </w:r>
    </w:p>
    <w:p w:rsidR="00B43C57" w:rsidRPr="00F5723F" w:rsidRDefault="00B43C57">
      <w:pPr>
        <w:pStyle w:val="Innehll3"/>
        <w:rPr>
          <w:sz w:val="24"/>
          <w:szCs w:val="24"/>
        </w:rPr>
      </w:pPr>
      <w:r w:rsidRPr="00F5723F">
        <w:rPr>
          <w:rStyle w:val="Hyperlnk"/>
        </w:rPr>
        <w:t>Antal utskott och ledamöter</w:t>
      </w:r>
      <w:r w:rsidRPr="00F5723F">
        <w:rPr>
          <w:webHidden/>
        </w:rPr>
        <w:tab/>
        <w:t>41</w:t>
      </w:r>
    </w:p>
    <w:p w:rsidR="00B43C57" w:rsidRPr="00F5723F" w:rsidRDefault="00B43C57">
      <w:pPr>
        <w:pStyle w:val="Innehll3"/>
        <w:rPr>
          <w:sz w:val="24"/>
          <w:szCs w:val="24"/>
        </w:rPr>
      </w:pPr>
      <w:r w:rsidRPr="00F5723F">
        <w:rPr>
          <w:rStyle w:val="Hyperlnk"/>
        </w:rPr>
        <w:t>Utskottens beredningsområden</w:t>
      </w:r>
      <w:r w:rsidRPr="00F5723F">
        <w:rPr>
          <w:webHidden/>
        </w:rPr>
        <w:tab/>
        <w:t>43</w:t>
      </w:r>
    </w:p>
    <w:p w:rsidR="00B43C57" w:rsidRPr="00F5723F" w:rsidRDefault="00B43C57">
      <w:pPr>
        <w:pStyle w:val="Innehll3"/>
        <w:rPr>
          <w:sz w:val="24"/>
          <w:szCs w:val="24"/>
        </w:rPr>
      </w:pPr>
      <w:r w:rsidRPr="00F5723F">
        <w:rPr>
          <w:rStyle w:val="Hyperlnk"/>
        </w:rPr>
        <w:t>Kanslierna och deras personal</w:t>
      </w:r>
      <w:r w:rsidRPr="00F5723F">
        <w:rPr>
          <w:webHidden/>
        </w:rPr>
        <w:tab/>
        <w:t>44</w:t>
      </w:r>
    </w:p>
    <w:p w:rsidR="00B43C57" w:rsidRPr="00F5723F" w:rsidRDefault="00B43C57">
      <w:pPr>
        <w:pStyle w:val="Innehll2"/>
        <w:rPr>
          <w:sz w:val="24"/>
          <w:szCs w:val="24"/>
        </w:rPr>
      </w:pPr>
      <w:r w:rsidRPr="00F5723F">
        <w:rPr>
          <w:rStyle w:val="Hyperlnk"/>
        </w:rPr>
        <w:t>Sammanträden</w:t>
      </w:r>
      <w:r w:rsidRPr="00F5723F">
        <w:rPr>
          <w:webHidden/>
        </w:rPr>
        <w:tab/>
        <w:t>47</w:t>
      </w:r>
    </w:p>
    <w:p w:rsidR="00B43C57" w:rsidRPr="00F5723F" w:rsidRDefault="00B43C57">
      <w:pPr>
        <w:pStyle w:val="Innehll3"/>
        <w:rPr>
          <w:sz w:val="24"/>
          <w:szCs w:val="24"/>
        </w:rPr>
      </w:pPr>
      <w:r w:rsidRPr="00F5723F">
        <w:rPr>
          <w:rStyle w:val="Hyperlnk"/>
        </w:rPr>
        <w:t>Antal sammanträden och sammanträdestimmar</w:t>
      </w:r>
      <w:r w:rsidRPr="00F5723F">
        <w:rPr>
          <w:webHidden/>
        </w:rPr>
        <w:tab/>
        <w:t>47</w:t>
      </w:r>
    </w:p>
    <w:p w:rsidR="00B43C57" w:rsidRPr="00F5723F" w:rsidRDefault="00B43C57">
      <w:pPr>
        <w:pStyle w:val="Innehll3"/>
        <w:rPr>
          <w:sz w:val="24"/>
          <w:szCs w:val="24"/>
        </w:rPr>
      </w:pPr>
      <w:r w:rsidRPr="00F5723F">
        <w:rPr>
          <w:rStyle w:val="Hyperlnk"/>
        </w:rPr>
        <w:t>Samband mellan sammanträdestid och ärendemängd med mera</w:t>
      </w:r>
      <w:r w:rsidRPr="00F5723F">
        <w:rPr>
          <w:webHidden/>
        </w:rPr>
        <w:tab/>
        <w:t>52</w:t>
      </w:r>
    </w:p>
    <w:p w:rsidR="00B43C57" w:rsidRPr="00F5723F" w:rsidRDefault="00B43C57">
      <w:pPr>
        <w:pStyle w:val="Innehll3"/>
        <w:rPr>
          <w:sz w:val="24"/>
          <w:szCs w:val="24"/>
        </w:rPr>
      </w:pPr>
      <w:r w:rsidRPr="00F5723F">
        <w:rPr>
          <w:rStyle w:val="Hyperlnk"/>
        </w:rPr>
        <w:t>Sammanträdesbehov</w:t>
      </w:r>
      <w:r w:rsidRPr="00F5723F">
        <w:rPr>
          <w:webHidden/>
        </w:rPr>
        <w:tab/>
        <w:t>54</w:t>
      </w:r>
    </w:p>
    <w:p w:rsidR="00B43C57" w:rsidRPr="00F5723F" w:rsidRDefault="00B43C57">
      <w:pPr>
        <w:pStyle w:val="Innehll3"/>
        <w:rPr>
          <w:sz w:val="24"/>
          <w:szCs w:val="24"/>
        </w:rPr>
      </w:pPr>
      <w:r w:rsidRPr="00F5723F">
        <w:rPr>
          <w:rStyle w:val="Hyperlnk"/>
        </w:rPr>
        <w:t>Närvaro på utskottssammanträdena</w:t>
      </w:r>
      <w:r w:rsidRPr="00F5723F">
        <w:rPr>
          <w:webHidden/>
        </w:rPr>
        <w:tab/>
        <w:t>54</w:t>
      </w:r>
    </w:p>
    <w:p w:rsidR="00B43C57" w:rsidRPr="00F5723F" w:rsidRDefault="00B43C57">
      <w:pPr>
        <w:pStyle w:val="Innehll3"/>
        <w:rPr>
          <w:sz w:val="24"/>
          <w:szCs w:val="24"/>
        </w:rPr>
      </w:pPr>
      <w:r w:rsidRPr="00F5723F">
        <w:rPr>
          <w:rStyle w:val="Hyperlnk"/>
        </w:rPr>
        <w:t>Sammanträdenas form och innehåll</w:t>
      </w:r>
      <w:r w:rsidRPr="00F5723F">
        <w:rPr>
          <w:webHidden/>
        </w:rPr>
        <w:tab/>
        <w:t>55</w:t>
      </w:r>
    </w:p>
    <w:p w:rsidR="00B43C57" w:rsidRPr="00F5723F" w:rsidRDefault="00B43C57">
      <w:pPr>
        <w:pStyle w:val="Innehll3"/>
        <w:rPr>
          <w:sz w:val="24"/>
          <w:szCs w:val="24"/>
        </w:rPr>
      </w:pPr>
      <w:r w:rsidRPr="00F5723F">
        <w:rPr>
          <w:rStyle w:val="Hyperlnk"/>
        </w:rPr>
        <w:t>Planering av utskottens sammanträden</w:t>
      </w:r>
      <w:r w:rsidRPr="00F5723F">
        <w:rPr>
          <w:webHidden/>
        </w:rPr>
        <w:tab/>
        <w:t>57</w:t>
      </w:r>
    </w:p>
    <w:p w:rsidR="00B43C57" w:rsidRPr="00F5723F" w:rsidRDefault="00B43C57">
      <w:pPr>
        <w:pStyle w:val="Innehll2"/>
        <w:rPr>
          <w:sz w:val="24"/>
          <w:szCs w:val="24"/>
        </w:rPr>
      </w:pPr>
      <w:r w:rsidRPr="00F5723F">
        <w:rPr>
          <w:rStyle w:val="Hyperlnk"/>
        </w:rPr>
        <w:t>Produktion</w:t>
      </w:r>
      <w:r w:rsidRPr="00F5723F">
        <w:rPr>
          <w:webHidden/>
        </w:rPr>
        <w:tab/>
        <w:t>58</w:t>
      </w:r>
    </w:p>
    <w:p w:rsidR="00B43C57" w:rsidRPr="00F5723F" w:rsidRDefault="00B43C57">
      <w:pPr>
        <w:pStyle w:val="Innehll3"/>
        <w:rPr>
          <w:sz w:val="24"/>
          <w:szCs w:val="24"/>
        </w:rPr>
      </w:pPr>
      <w:r w:rsidRPr="00F5723F">
        <w:rPr>
          <w:rStyle w:val="Hyperlnk"/>
        </w:rPr>
        <w:t>Propositioner och motioner</w:t>
      </w:r>
      <w:r w:rsidRPr="00F5723F">
        <w:rPr>
          <w:webHidden/>
        </w:rPr>
        <w:tab/>
        <w:t>58</w:t>
      </w:r>
    </w:p>
    <w:p w:rsidR="00B43C57" w:rsidRPr="00F5723F" w:rsidRDefault="00B43C57">
      <w:pPr>
        <w:pStyle w:val="Innehll3"/>
        <w:rPr>
          <w:sz w:val="24"/>
          <w:szCs w:val="24"/>
        </w:rPr>
      </w:pPr>
      <w:r w:rsidRPr="00F5723F">
        <w:rPr>
          <w:rStyle w:val="Hyperlnk"/>
        </w:rPr>
        <w:t>Reservationer</w:t>
      </w:r>
      <w:r w:rsidRPr="00F5723F">
        <w:rPr>
          <w:webHidden/>
        </w:rPr>
        <w:tab/>
        <w:t>63</w:t>
      </w:r>
    </w:p>
    <w:p w:rsidR="00B43C57" w:rsidRPr="00F5723F" w:rsidRDefault="00B43C57">
      <w:pPr>
        <w:pStyle w:val="Innehll3"/>
        <w:rPr>
          <w:sz w:val="24"/>
          <w:szCs w:val="24"/>
        </w:rPr>
      </w:pPr>
      <w:r w:rsidRPr="00F5723F">
        <w:rPr>
          <w:rStyle w:val="Hyperlnk"/>
        </w:rPr>
        <w:t>Betänkanden och yttranden</w:t>
      </w:r>
      <w:r w:rsidRPr="00F5723F">
        <w:rPr>
          <w:webHidden/>
        </w:rPr>
        <w:tab/>
        <w:t>65</w:t>
      </w:r>
    </w:p>
    <w:p w:rsidR="00B43C57" w:rsidRPr="00F5723F" w:rsidRDefault="00B43C57">
      <w:pPr>
        <w:pStyle w:val="Innehll3"/>
        <w:rPr>
          <w:sz w:val="24"/>
          <w:szCs w:val="24"/>
        </w:rPr>
      </w:pPr>
      <w:r w:rsidRPr="00F5723F">
        <w:rPr>
          <w:rStyle w:val="Hyperlnk"/>
        </w:rPr>
        <w:t>Trycksidor i utskottens produktion</w:t>
      </w:r>
      <w:r w:rsidRPr="00F5723F">
        <w:rPr>
          <w:webHidden/>
        </w:rPr>
        <w:tab/>
        <w:t>67</w:t>
      </w:r>
    </w:p>
    <w:p w:rsidR="00B43C57" w:rsidRPr="00F5723F" w:rsidRDefault="00B43C57">
      <w:pPr>
        <w:pStyle w:val="Innehll3"/>
        <w:rPr>
          <w:sz w:val="24"/>
          <w:szCs w:val="24"/>
        </w:rPr>
      </w:pPr>
      <w:r w:rsidRPr="00F5723F">
        <w:rPr>
          <w:rStyle w:val="Hyperlnk"/>
        </w:rPr>
        <w:t>Förenklad motionshantering – omfattning och erfarenheter</w:t>
      </w:r>
      <w:r w:rsidRPr="00F5723F">
        <w:rPr>
          <w:webHidden/>
        </w:rPr>
        <w:tab/>
        <w:t>69</w:t>
      </w:r>
    </w:p>
    <w:p w:rsidR="00B43C57" w:rsidRPr="00F5723F" w:rsidRDefault="00B43C57">
      <w:pPr>
        <w:pStyle w:val="Innehll2"/>
        <w:rPr>
          <w:sz w:val="24"/>
          <w:szCs w:val="24"/>
        </w:rPr>
      </w:pPr>
      <w:r w:rsidRPr="00F5723F">
        <w:rPr>
          <w:rStyle w:val="Hyperlnk"/>
        </w:rPr>
        <w:t>Kunskapsförsörjning</w:t>
      </w:r>
      <w:r w:rsidRPr="00F5723F">
        <w:rPr>
          <w:webHidden/>
        </w:rPr>
        <w:tab/>
        <w:t>73</w:t>
      </w:r>
    </w:p>
    <w:p w:rsidR="00B43C57" w:rsidRPr="00F5723F" w:rsidRDefault="00B43C57">
      <w:pPr>
        <w:pStyle w:val="Innehll3"/>
        <w:rPr>
          <w:sz w:val="24"/>
          <w:szCs w:val="24"/>
        </w:rPr>
      </w:pPr>
      <w:r w:rsidRPr="00F5723F">
        <w:rPr>
          <w:rStyle w:val="Hyperlnk"/>
        </w:rPr>
        <w:t>Utfrågningar</w:t>
      </w:r>
      <w:r w:rsidRPr="00F5723F">
        <w:rPr>
          <w:webHidden/>
        </w:rPr>
        <w:tab/>
        <w:t>74</w:t>
      </w:r>
    </w:p>
    <w:p w:rsidR="00B43C57" w:rsidRPr="00F5723F" w:rsidRDefault="00B43C57">
      <w:pPr>
        <w:pStyle w:val="Innehll3"/>
        <w:rPr>
          <w:sz w:val="24"/>
          <w:szCs w:val="24"/>
        </w:rPr>
      </w:pPr>
      <w:r w:rsidRPr="00F5723F">
        <w:rPr>
          <w:rStyle w:val="Hyperlnk"/>
        </w:rPr>
        <w:t>Uppföljning och utvärdering</w:t>
      </w:r>
      <w:r w:rsidRPr="00F5723F">
        <w:rPr>
          <w:webHidden/>
        </w:rPr>
        <w:tab/>
        <w:t>76</w:t>
      </w:r>
    </w:p>
    <w:p w:rsidR="00B43C57" w:rsidRPr="00F5723F" w:rsidRDefault="00B43C57">
      <w:pPr>
        <w:pStyle w:val="Innehll2"/>
        <w:rPr>
          <w:sz w:val="24"/>
          <w:szCs w:val="24"/>
        </w:rPr>
      </w:pPr>
      <w:r w:rsidRPr="00F5723F">
        <w:rPr>
          <w:rStyle w:val="Hyperlnk"/>
        </w:rPr>
        <w:t>Arbete med EU-frågor</w:t>
      </w:r>
      <w:r w:rsidRPr="00F5723F">
        <w:rPr>
          <w:webHidden/>
        </w:rPr>
        <w:tab/>
        <w:t>81</w:t>
      </w:r>
    </w:p>
    <w:p w:rsidR="00B43C57" w:rsidRPr="00F5723F" w:rsidRDefault="00B43C57">
      <w:pPr>
        <w:pStyle w:val="Innehll3"/>
        <w:rPr>
          <w:sz w:val="24"/>
          <w:szCs w:val="24"/>
        </w:rPr>
      </w:pPr>
      <w:r w:rsidRPr="00F5723F">
        <w:rPr>
          <w:rStyle w:val="Hyperlnk"/>
        </w:rPr>
        <w:t>Ärendemängd</w:t>
      </w:r>
      <w:r w:rsidRPr="00F5723F">
        <w:rPr>
          <w:webHidden/>
        </w:rPr>
        <w:tab/>
        <w:t>82</w:t>
      </w:r>
    </w:p>
    <w:p w:rsidR="00B43C57" w:rsidRPr="00F5723F" w:rsidRDefault="00B43C57">
      <w:pPr>
        <w:pStyle w:val="Innehll3"/>
        <w:rPr>
          <w:sz w:val="24"/>
          <w:szCs w:val="24"/>
        </w:rPr>
      </w:pPr>
      <w:r w:rsidRPr="00F5723F">
        <w:rPr>
          <w:rStyle w:val="Hyperlnk"/>
        </w:rPr>
        <w:t>Förekomst av muntlig information och informella samråd</w:t>
      </w:r>
      <w:r w:rsidRPr="00F5723F">
        <w:rPr>
          <w:webHidden/>
        </w:rPr>
        <w:tab/>
        <w:t>84</w:t>
      </w:r>
    </w:p>
    <w:p w:rsidR="00B43C57" w:rsidRPr="00F5723F" w:rsidRDefault="00B43C57">
      <w:pPr>
        <w:pStyle w:val="Innehll3"/>
        <w:rPr>
          <w:sz w:val="24"/>
          <w:szCs w:val="24"/>
        </w:rPr>
      </w:pPr>
      <w:r w:rsidRPr="00F5723F">
        <w:rPr>
          <w:rStyle w:val="Hyperlnk"/>
        </w:rPr>
        <w:t>Utskottens och deras kansliers interna arbete med EU-frågor</w:t>
      </w:r>
      <w:r w:rsidRPr="00F5723F">
        <w:rPr>
          <w:webHidden/>
        </w:rPr>
        <w:tab/>
        <w:t>86</w:t>
      </w:r>
    </w:p>
    <w:p w:rsidR="00B43C57" w:rsidRPr="00F5723F" w:rsidRDefault="00B43C57">
      <w:pPr>
        <w:pStyle w:val="Innehll3"/>
        <w:rPr>
          <w:sz w:val="24"/>
          <w:szCs w:val="24"/>
        </w:rPr>
      </w:pPr>
      <w:r w:rsidRPr="00F5723F">
        <w:rPr>
          <w:rStyle w:val="Hyperlnk"/>
        </w:rPr>
        <w:t>Kontakter med andra utskott inom EU</w:t>
      </w:r>
      <w:r w:rsidRPr="00F5723F">
        <w:rPr>
          <w:webHidden/>
        </w:rPr>
        <w:tab/>
        <w:t>87</w:t>
      </w:r>
    </w:p>
    <w:p w:rsidR="00B43C57" w:rsidRPr="00F5723F" w:rsidRDefault="00B43C57">
      <w:pPr>
        <w:pStyle w:val="Innehll2"/>
        <w:rPr>
          <w:sz w:val="24"/>
          <w:szCs w:val="24"/>
        </w:rPr>
      </w:pPr>
      <w:r w:rsidRPr="00F5723F">
        <w:rPr>
          <w:rStyle w:val="Hyperlnk"/>
        </w:rPr>
        <w:lastRenderedPageBreak/>
        <w:t>Inrikes och utrikes kontakter</w:t>
      </w:r>
      <w:r w:rsidRPr="00F5723F">
        <w:rPr>
          <w:webHidden/>
        </w:rPr>
        <w:tab/>
        <w:t>88</w:t>
      </w:r>
    </w:p>
    <w:p w:rsidR="00B43C57" w:rsidRPr="00F5723F" w:rsidRDefault="00B43C57">
      <w:pPr>
        <w:pStyle w:val="Innehll3"/>
        <w:rPr>
          <w:sz w:val="24"/>
          <w:szCs w:val="24"/>
        </w:rPr>
      </w:pPr>
      <w:r w:rsidRPr="00F5723F">
        <w:rPr>
          <w:rStyle w:val="Hyperlnk"/>
        </w:rPr>
        <w:t>Kontakter inom Sverige</w:t>
      </w:r>
      <w:r w:rsidRPr="00F5723F">
        <w:rPr>
          <w:webHidden/>
        </w:rPr>
        <w:tab/>
        <w:t>89</w:t>
      </w:r>
    </w:p>
    <w:p w:rsidR="00B43C57" w:rsidRPr="00F5723F" w:rsidRDefault="00B43C57">
      <w:pPr>
        <w:pStyle w:val="Innehll3"/>
        <w:rPr>
          <w:sz w:val="24"/>
          <w:szCs w:val="24"/>
        </w:rPr>
      </w:pPr>
      <w:r w:rsidRPr="00F5723F">
        <w:rPr>
          <w:rStyle w:val="Hyperlnk"/>
        </w:rPr>
        <w:t>Kontakter utanför Sverige</w:t>
      </w:r>
      <w:r w:rsidRPr="00F5723F">
        <w:rPr>
          <w:webHidden/>
        </w:rPr>
        <w:tab/>
        <w:t>90</w:t>
      </w:r>
    </w:p>
    <w:p w:rsidR="00B43C57" w:rsidRPr="00F5723F" w:rsidRDefault="00B43C57">
      <w:pPr>
        <w:pStyle w:val="Innehll2"/>
        <w:rPr>
          <w:sz w:val="24"/>
          <w:szCs w:val="24"/>
        </w:rPr>
      </w:pPr>
      <w:r w:rsidRPr="00F5723F">
        <w:rPr>
          <w:rStyle w:val="Hyperlnk"/>
        </w:rPr>
        <w:t>Arbetsbelastning</w:t>
      </w:r>
      <w:r w:rsidRPr="00F5723F">
        <w:rPr>
          <w:webHidden/>
        </w:rPr>
        <w:tab/>
        <w:t>91</w:t>
      </w:r>
    </w:p>
    <w:p w:rsidR="00B43C57" w:rsidRPr="00F5723F" w:rsidRDefault="00B43C57">
      <w:pPr>
        <w:pStyle w:val="Innehll3"/>
        <w:rPr>
          <w:sz w:val="24"/>
          <w:szCs w:val="24"/>
        </w:rPr>
      </w:pPr>
      <w:r w:rsidRPr="00F5723F">
        <w:rPr>
          <w:rStyle w:val="Hyperlnk"/>
        </w:rPr>
        <w:t>Belastning i olika avseenden</w:t>
      </w:r>
      <w:r w:rsidRPr="00F5723F">
        <w:rPr>
          <w:webHidden/>
        </w:rPr>
        <w:tab/>
        <w:t>92</w:t>
      </w:r>
    </w:p>
    <w:p w:rsidR="00B43C57" w:rsidRPr="00F5723F" w:rsidRDefault="00B43C57">
      <w:pPr>
        <w:pStyle w:val="Innehll3"/>
        <w:rPr>
          <w:sz w:val="24"/>
          <w:szCs w:val="24"/>
        </w:rPr>
      </w:pPr>
      <w:r w:rsidRPr="00F5723F">
        <w:rPr>
          <w:rStyle w:val="Hyperlnk"/>
        </w:rPr>
        <w:t>Belastning i förhållande till kansliresurser</w:t>
      </w:r>
      <w:r w:rsidRPr="00F5723F">
        <w:rPr>
          <w:webHidden/>
        </w:rPr>
        <w:tab/>
        <w:t>104</w:t>
      </w:r>
    </w:p>
    <w:p w:rsidR="00B43C57" w:rsidRPr="00F5723F" w:rsidRDefault="00B43C57">
      <w:pPr>
        <w:pStyle w:val="Innehll3"/>
        <w:rPr>
          <w:sz w:val="24"/>
          <w:szCs w:val="24"/>
        </w:rPr>
      </w:pPr>
      <w:r w:rsidRPr="00F5723F">
        <w:rPr>
          <w:rStyle w:val="Hyperlnk"/>
        </w:rPr>
        <w:t>Bedömning avseende utskottens arbetsbelastning</w:t>
      </w:r>
      <w:r w:rsidRPr="00F5723F">
        <w:rPr>
          <w:webHidden/>
        </w:rPr>
        <w:tab/>
        <w:t>106</w:t>
      </w:r>
    </w:p>
    <w:p w:rsidR="00B43C57" w:rsidRPr="00F5723F" w:rsidRDefault="00B43C57">
      <w:pPr>
        <w:pStyle w:val="Innehll2"/>
        <w:rPr>
          <w:sz w:val="24"/>
          <w:szCs w:val="24"/>
        </w:rPr>
      </w:pPr>
      <w:r w:rsidRPr="00F5723F">
        <w:rPr>
          <w:rStyle w:val="Hyperlnk"/>
        </w:rPr>
        <w:t>Sammanfattning</w:t>
      </w:r>
      <w:r w:rsidRPr="00F5723F">
        <w:rPr>
          <w:webHidden/>
        </w:rPr>
        <w:tab/>
        <w:t>106</w:t>
      </w:r>
    </w:p>
    <w:p w:rsidR="00B43C57" w:rsidRPr="00F5723F" w:rsidRDefault="00B43C57">
      <w:pPr>
        <w:pStyle w:val="Innehll3"/>
        <w:rPr>
          <w:sz w:val="24"/>
          <w:szCs w:val="24"/>
        </w:rPr>
      </w:pPr>
      <w:r w:rsidRPr="00F5723F">
        <w:rPr>
          <w:rStyle w:val="Hyperlnk"/>
        </w:rPr>
        <w:t>Appendix 1</w:t>
      </w:r>
      <w:r w:rsidRPr="00F5723F">
        <w:rPr>
          <w:webHidden/>
        </w:rPr>
        <w:tab/>
        <w:t>110</w:t>
      </w:r>
    </w:p>
    <w:p w:rsidR="00B43C57" w:rsidRPr="00F5723F" w:rsidRDefault="00B43C57">
      <w:pPr>
        <w:pStyle w:val="Innehll3"/>
        <w:rPr>
          <w:sz w:val="24"/>
          <w:szCs w:val="24"/>
        </w:rPr>
      </w:pPr>
      <w:r w:rsidRPr="00F5723F">
        <w:rPr>
          <w:rStyle w:val="Hyperlnk"/>
        </w:rPr>
        <w:t>Appendix 2</w:t>
      </w:r>
      <w:r w:rsidRPr="00F5723F">
        <w:rPr>
          <w:webHidden/>
        </w:rPr>
        <w:tab/>
        <w:t>115</w:t>
      </w:r>
    </w:p>
    <w:p w:rsidR="00B43C57" w:rsidRPr="00F5723F" w:rsidRDefault="00B43C57">
      <w:pPr>
        <w:pStyle w:val="Innehll3"/>
        <w:rPr>
          <w:sz w:val="24"/>
          <w:szCs w:val="24"/>
        </w:rPr>
      </w:pPr>
      <w:r w:rsidRPr="00F5723F">
        <w:rPr>
          <w:rStyle w:val="Hyperlnk"/>
        </w:rPr>
        <w:t>Appendix 3</w:t>
      </w:r>
      <w:r w:rsidRPr="00F5723F">
        <w:rPr>
          <w:webHidden/>
        </w:rPr>
        <w:tab/>
        <w:t>116</w:t>
      </w:r>
    </w:p>
    <w:p w:rsidR="00B43C57" w:rsidRPr="00F5723F" w:rsidRDefault="00B43C57">
      <w:pPr>
        <w:pStyle w:val="Innehll3"/>
        <w:rPr>
          <w:sz w:val="24"/>
          <w:szCs w:val="24"/>
        </w:rPr>
      </w:pPr>
      <w:r w:rsidRPr="00F5723F">
        <w:rPr>
          <w:rStyle w:val="Hyperlnk"/>
        </w:rPr>
        <w:t>Appendix 4</w:t>
      </w:r>
      <w:r w:rsidRPr="00F5723F">
        <w:rPr>
          <w:webHidden/>
        </w:rPr>
        <w:tab/>
        <w:t>117</w:t>
      </w:r>
    </w:p>
    <w:p w:rsidR="00B43C57" w:rsidRPr="00F5723F" w:rsidRDefault="00B43C57">
      <w:pPr>
        <w:pStyle w:val="Innehll3"/>
        <w:rPr>
          <w:sz w:val="24"/>
          <w:szCs w:val="24"/>
        </w:rPr>
      </w:pPr>
      <w:r w:rsidRPr="00F5723F">
        <w:rPr>
          <w:rStyle w:val="Hyperlnk"/>
        </w:rPr>
        <w:t>Appendix 5</w:t>
      </w:r>
      <w:r w:rsidRPr="00F5723F">
        <w:rPr>
          <w:webHidden/>
        </w:rPr>
        <w:tab/>
        <w:t>118</w:t>
      </w:r>
    </w:p>
    <w:p w:rsidR="00B43C57" w:rsidRPr="00F5723F" w:rsidRDefault="00B43C57">
      <w:pPr>
        <w:pStyle w:val="Innehll3"/>
        <w:rPr>
          <w:sz w:val="24"/>
          <w:szCs w:val="24"/>
        </w:rPr>
      </w:pPr>
      <w:r w:rsidRPr="00F5723F">
        <w:rPr>
          <w:rStyle w:val="Hyperlnk"/>
        </w:rPr>
        <w:t>Appendix 6</w:t>
      </w:r>
      <w:r w:rsidRPr="00F5723F">
        <w:rPr>
          <w:webHidden/>
        </w:rPr>
        <w:tab/>
        <w:t>119</w:t>
      </w:r>
    </w:p>
    <w:p w:rsidR="00B43C57" w:rsidRPr="00F5723F" w:rsidRDefault="00B43C57">
      <w:pPr>
        <w:pStyle w:val="Innehll3"/>
        <w:rPr>
          <w:sz w:val="24"/>
          <w:szCs w:val="24"/>
        </w:rPr>
      </w:pPr>
      <w:r w:rsidRPr="00F5723F">
        <w:rPr>
          <w:rStyle w:val="Hyperlnk"/>
        </w:rPr>
        <w:t>Appendix 7</w:t>
      </w:r>
      <w:r w:rsidRPr="00F5723F">
        <w:rPr>
          <w:webHidden/>
        </w:rPr>
        <w:tab/>
        <w:t>120</w:t>
      </w:r>
    </w:p>
    <w:p w:rsidR="00B43C57" w:rsidRPr="00F5723F" w:rsidRDefault="00B43C57">
      <w:pPr>
        <w:pStyle w:val="Innehll3"/>
        <w:rPr>
          <w:sz w:val="24"/>
          <w:szCs w:val="24"/>
        </w:rPr>
      </w:pPr>
      <w:r w:rsidRPr="00F5723F">
        <w:rPr>
          <w:rStyle w:val="Hyperlnk"/>
        </w:rPr>
        <w:t>Appendix 8</w:t>
      </w:r>
      <w:r w:rsidRPr="00F5723F">
        <w:rPr>
          <w:webHidden/>
        </w:rPr>
        <w:tab/>
        <w:t>121</w:t>
      </w:r>
    </w:p>
    <w:p w:rsidR="00B43C57" w:rsidRPr="00F5723F" w:rsidRDefault="00B43C57">
      <w:pPr>
        <w:pStyle w:val="Innehll3"/>
        <w:rPr>
          <w:sz w:val="24"/>
          <w:szCs w:val="24"/>
        </w:rPr>
      </w:pPr>
      <w:r w:rsidRPr="00F5723F">
        <w:rPr>
          <w:rStyle w:val="Hyperlnk"/>
        </w:rPr>
        <w:t>Appendix 9</w:t>
      </w:r>
      <w:r w:rsidRPr="00F5723F">
        <w:rPr>
          <w:webHidden/>
        </w:rPr>
        <w:tab/>
        <w:t>122</w:t>
      </w:r>
    </w:p>
    <w:p w:rsidR="00B43C57" w:rsidRPr="00F5723F" w:rsidRDefault="00B43C57">
      <w:pPr>
        <w:pStyle w:val="Innehll3"/>
        <w:rPr>
          <w:sz w:val="24"/>
          <w:szCs w:val="24"/>
        </w:rPr>
      </w:pPr>
      <w:r w:rsidRPr="00F5723F">
        <w:rPr>
          <w:rStyle w:val="Hyperlnk"/>
        </w:rPr>
        <w:t>Appendix 10</w:t>
      </w:r>
      <w:r w:rsidRPr="00F5723F">
        <w:rPr>
          <w:webHidden/>
        </w:rPr>
        <w:tab/>
        <w:t>123</w:t>
      </w:r>
    </w:p>
    <w:p w:rsidR="00B43C57" w:rsidRPr="00F5723F" w:rsidRDefault="00B43C57">
      <w:pPr>
        <w:pStyle w:val="Innehll1"/>
        <w:rPr>
          <w:sz w:val="24"/>
          <w:szCs w:val="24"/>
        </w:rPr>
      </w:pPr>
      <w:r w:rsidRPr="00F5723F">
        <w:rPr>
          <w:rStyle w:val="Hyperlnk"/>
          <w:b/>
        </w:rPr>
        <w:t>Rapport 3</w:t>
      </w:r>
      <w:r w:rsidRPr="00F5723F">
        <w:rPr>
          <w:webHidden/>
        </w:rPr>
        <w:tab/>
        <w:t>124</w:t>
      </w:r>
    </w:p>
    <w:p w:rsidR="00B43C57" w:rsidRPr="00F5723F" w:rsidRDefault="00B43C57">
      <w:pPr>
        <w:pStyle w:val="Innehll1"/>
        <w:rPr>
          <w:sz w:val="24"/>
          <w:szCs w:val="24"/>
        </w:rPr>
      </w:pPr>
      <w:r w:rsidRPr="00F5723F">
        <w:rPr>
          <w:rStyle w:val="Hyperlnk"/>
        </w:rPr>
        <w:t>Utskottens arbete med forsknings- och framtidsfrågor</w:t>
      </w:r>
      <w:r w:rsidRPr="00F5723F">
        <w:rPr>
          <w:webHidden/>
        </w:rPr>
        <w:tab/>
        <w:t>124</w:t>
      </w:r>
    </w:p>
    <w:p w:rsidR="00B43C57" w:rsidRPr="00F5723F" w:rsidRDefault="00B43C57">
      <w:pPr>
        <w:pStyle w:val="Innehll2"/>
        <w:rPr>
          <w:sz w:val="24"/>
          <w:szCs w:val="24"/>
        </w:rPr>
      </w:pPr>
      <w:r w:rsidRPr="00F5723F">
        <w:rPr>
          <w:rStyle w:val="Hyperlnk"/>
        </w:rPr>
        <w:t>Samspelet mellan forskning och politik</w:t>
      </w:r>
      <w:r w:rsidRPr="00F5723F">
        <w:rPr>
          <w:webHidden/>
        </w:rPr>
        <w:tab/>
        <w:t>125</w:t>
      </w:r>
    </w:p>
    <w:p w:rsidR="00B43C57" w:rsidRPr="00F5723F" w:rsidRDefault="00B43C57">
      <w:pPr>
        <w:pStyle w:val="Innehll2"/>
        <w:rPr>
          <w:sz w:val="24"/>
          <w:szCs w:val="24"/>
        </w:rPr>
      </w:pPr>
      <w:r w:rsidRPr="00F5723F">
        <w:rPr>
          <w:rStyle w:val="Hyperlnk"/>
        </w:rPr>
        <w:t>Hur utskotten arbetar med forsknings- och framtidsfrågor</w:t>
      </w:r>
      <w:r w:rsidRPr="00F5723F">
        <w:rPr>
          <w:webHidden/>
        </w:rPr>
        <w:tab/>
        <w:t>127</w:t>
      </w:r>
    </w:p>
    <w:p w:rsidR="00B43C57" w:rsidRPr="00F5723F" w:rsidRDefault="00B43C57">
      <w:pPr>
        <w:pStyle w:val="Innehll3"/>
        <w:rPr>
          <w:sz w:val="24"/>
          <w:szCs w:val="24"/>
        </w:rPr>
      </w:pPr>
      <w:r w:rsidRPr="00F5723F">
        <w:rPr>
          <w:rStyle w:val="Hyperlnk"/>
        </w:rPr>
        <w:t>Konstitutionsutskottet</w:t>
      </w:r>
      <w:r w:rsidRPr="00F5723F">
        <w:rPr>
          <w:webHidden/>
        </w:rPr>
        <w:tab/>
        <w:t>130</w:t>
      </w:r>
    </w:p>
    <w:p w:rsidR="00B43C57" w:rsidRPr="00F5723F" w:rsidRDefault="00B43C57">
      <w:pPr>
        <w:pStyle w:val="Innehll3"/>
        <w:rPr>
          <w:sz w:val="24"/>
          <w:szCs w:val="24"/>
        </w:rPr>
      </w:pPr>
      <w:r w:rsidRPr="00F5723F">
        <w:rPr>
          <w:rStyle w:val="Hyperlnk"/>
        </w:rPr>
        <w:t>Finansutskottet</w:t>
      </w:r>
      <w:r w:rsidRPr="00F5723F">
        <w:rPr>
          <w:webHidden/>
        </w:rPr>
        <w:tab/>
        <w:t>130</w:t>
      </w:r>
    </w:p>
    <w:p w:rsidR="00B43C57" w:rsidRPr="00F5723F" w:rsidRDefault="00B43C57">
      <w:pPr>
        <w:pStyle w:val="Innehll3"/>
        <w:rPr>
          <w:sz w:val="24"/>
          <w:szCs w:val="24"/>
        </w:rPr>
      </w:pPr>
      <w:r w:rsidRPr="00F5723F">
        <w:rPr>
          <w:rStyle w:val="Hyperlnk"/>
        </w:rPr>
        <w:t>Utrikesutskottet</w:t>
      </w:r>
      <w:r w:rsidRPr="00F5723F">
        <w:rPr>
          <w:webHidden/>
        </w:rPr>
        <w:tab/>
        <w:t>131</w:t>
      </w:r>
    </w:p>
    <w:p w:rsidR="00B43C57" w:rsidRPr="00F5723F" w:rsidRDefault="00B43C57">
      <w:pPr>
        <w:pStyle w:val="Innehll3"/>
        <w:rPr>
          <w:sz w:val="24"/>
          <w:szCs w:val="24"/>
        </w:rPr>
      </w:pPr>
      <w:r w:rsidRPr="00F5723F">
        <w:rPr>
          <w:rStyle w:val="Hyperlnk"/>
        </w:rPr>
        <w:t>Försvarsutskottet</w:t>
      </w:r>
      <w:r w:rsidRPr="00F5723F">
        <w:rPr>
          <w:webHidden/>
        </w:rPr>
        <w:tab/>
        <w:t>131</w:t>
      </w:r>
    </w:p>
    <w:p w:rsidR="00B43C57" w:rsidRPr="00F5723F" w:rsidRDefault="00B43C57">
      <w:pPr>
        <w:pStyle w:val="Innehll3"/>
        <w:rPr>
          <w:sz w:val="24"/>
          <w:szCs w:val="24"/>
        </w:rPr>
      </w:pPr>
      <w:r w:rsidRPr="00F5723F">
        <w:rPr>
          <w:rStyle w:val="Hyperlnk"/>
        </w:rPr>
        <w:t>Socialförsäkringsutskottet</w:t>
      </w:r>
      <w:r w:rsidRPr="00F5723F">
        <w:rPr>
          <w:webHidden/>
        </w:rPr>
        <w:tab/>
        <w:t>131</w:t>
      </w:r>
    </w:p>
    <w:p w:rsidR="00B43C57" w:rsidRPr="00F5723F" w:rsidRDefault="00B43C57">
      <w:pPr>
        <w:pStyle w:val="Innehll3"/>
        <w:rPr>
          <w:sz w:val="24"/>
          <w:szCs w:val="24"/>
        </w:rPr>
      </w:pPr>
      <w:r w:rsidRPr="00F5723F">
        <w:rPr>
          <w:rStyle w:val="Hyperlnk"/>
        </w:rPr>
        <w:t>Socialutskottet</w:t>
      </w:r>
      <w:r w:rsidRPr="00F5723F">
        <w:rPr>
          <w:webHidden/>
        </w:rPr>
        <w:tab/>
        <w:t>131</w:t>
      </w:r>
    </w:p>
    <w:p w:rsidR="00B43C57" w:rsidRPr="00F5723F" w:rsidRDefault="00B43C57">
      <w:pPr>
        <w:pStyle w:val="Innehll3"/>
        <w:rPr>
          <w:sz w:val="24"/>
          <w:szCs w:val="24"/>
        </w:rPr>
      </w:pPr>
      <w:r w:rsidRPr="00F5723F">
        <w:rPr>
          <w:rStyle w:val="Hyperlnk"/>
        </w:rPr>
        <w:t>Kulturutskottet</w:t>
      </w:r>
      <w:r w:rsidRPr="00F5723F">
        <w:rPr>
          <w:webHidden/>
        </w:rPr>
        <w:tab/>
        <w:t>132</w:t>
      </w:r>
    </w:p>
    <w:p w:rsidR="00B43C57" w:rsidRPr="00F5723F" w:rsidRDefault="00B43C57">
      <w:pPr>
        <w:pStyle w:val="Innehll3"/>
        <w:rPr>
          <w:sz w:val="24"/>
          <w:szCs w:val="24"/>
        </w:rPr>
      </w:pPr>
      <w:r w:rsidRPr="00F5723F">
        <w:rPr>
          <w:rStyle w:val="Hyperlnk"/>
        </w:rPr>
        <w:t>Utbildningsutskottet</w:t>
      </w:r>
      <w:r w:rsidRPr="00F5723F">
        <w:rPr>
          <w:webHidden/>
        </w:rPr>
        <w:tab/>
        <w:t>132</w:t>
      </w:r>
    </w:p>
    <w:p w:rsidR="00B43C57" w:rsidRPr="00F5723F" w:rsidRDefault="00B43C57">
      <w:pPr>
        <w:pStyle w:val="Innehll3"/>
        <w:rPr>
          <w:sz w:val="24"/>
          <w:szCs w:val="24"/>
        </w:rPr>
      </w:pPr>
      <w:r w:rsidRPr="00F5723F">
        <w:rPr>
          <w:rStyle w:val="Hyperlnk"/>
        </w:rPr>
        <w:t>Trafikutskottet</w:t>
      </w:r>
      <w:r w:rsidRPr="00F5723F">
        <w:rPr>
          <w:webHidden/>
        </w:rPr>
        <w:tab/>
        <w:t>132</w:t>
      </w:r>
    </w:p>
    <w:p w:rsidR="00B43C57" w:rsidRPr="00F5723F" w:rsidRDefault="00B43C57">
      <w:pPr>
        <w:pStyle w:val="Innehll3"/>
        <w:rPr>
          <w:sz w:val="24"/>
          <w:szCs w:val="24"/>
        </w:rPr>
      </w:pPr>
      <w:r w:rsidRPr="00F5723F">
        <w:rPr>
          <w:rStyle w:val="Hyperlnk"/>
        </w:rPr>
        <w:t>Miljö- och jordbruksutskottet</w:t>
      </w:r>
      <w:r w:rsidRPr="00F5723F">
        <w:rPr>
          <w:webHidden/>
        </w:rPr>
        <w:tab/>
        <w:t>132</w:t>
      </w:r>
    </w:p>
    <w:p w:rsidR="00B43C57" w:rsidRPr="00F5723F" w:rsidRDefault="00B43C57">
      <w:pPr>
        <w:pStyle w:val="Innehll3"/>
        <w:rPr>
          <w:sz w:val="24"/>
          <w:szCs w:val="24"/>
        </w:rPr>
      </w:pPr>
      <w:r w:rsidRPr="00F5723F">
        <w:rPr>
          <w:rStyle w:val="Hyperlnk"/>
        </w:rPr>
        <w:t>Näringsutskottet</w:t>
      </w:r>
      <w:r w:rsidRPr="00F5723F">
        <w:rPr>
          <w:webHidden/>
        </w:rPr>
        <w:tab/>
        <w:t>133</w:t>
      </w:r>
    </w:p>
    <w:p w:rsidR="00B43C57" w:rsidRPr="00F5723F" w:rsidRDefault="00B43C57">
      <w:pPr>
        <w:pStyle w:val="Innehll3"/>
        <w:rPr>
          <w:sz w:val="24"/>
          <w:szCs w:val="24"/>
        </w:rPr>
      </w:pPr>
      <w:r w:rsidRPr="00F5723F">
        <w:rPr>
          <w:rStyle w:val="Hyperlnk"/>
        </w:rPr>
        <w:t>Arbetsmarknadsutskottet</w:t>
      </w:r>
      <w:r w:rsidRPr="00F5723F">
        <w:rPr>
          <w:webHidden/>
        </w:rPr>
        <w:tab/>
        <w:t>133</w:t>
      </w:r>
    </w:p>
    <w:p w:rsidR="00B43C57" w:rsidRPr="00F5723F" w:rsidRDefault="00B43C57">
      <w:pPr>
        <w:pStyle w:val="Innehll2"/>
        <w:rPr>
          <w:sz w:val="24"/>
          <w:szCs w:val="24"/>
        </w:rPr>
      </w:pPr>
      <w:r w:rsidRPr="00F5723F">
        <w:rPr>
          <w:rStyle w:val="Hyperlnk"/>
        </w:rPr>
        <w:t>Synpunkter på och förslag om utskottens framtida arbete med forsknings- och framtidsfrågor</w:t>
      </w:r>
      <w:r w:rsidRPr="00F5723F">
        <w:rPr>
          <w:webHidden/>
        </w:rPr>
        <w:tab/>
        <w:t>134</w:t>
      </w:r>
    </w:p>
    <w:p w:rsidR="00B43C57" w:rsidRPr="00F5723F" w:rsidRDefault="00B43C57">
      <w:pPr>
        <w:pStyle w:val="Innehll2"/>
        <w:rPr>
          <w:sz w:val="24"/>
          <w:szCs w:val="24"/>
        </w:rPr>
      </w:pPr>
      <w:r w:rsidRPr="00F5723F">
        <w:rPr>
          <w:rStyle w:val="Hyperlnk"/>
        </w:rPr>
        <w:t>Behov av stöd och resurser</w:t>
      </w:r>
      <w:r w:rsidRPr="00F5723F">
        <w:rPr>
          <w:webHidden/>
        </w:rPr>
        <w:tab/>
        <w:t>136</w:t>
      </w:r>
    </w:p>
    <w:p w:rsidR="00B43C57" w:rsidRPr="00F5723F" w:rsidRDefault="00B43C57">
      <w:pPr>
        <w:pStyle w:val="Innehll2"/>
        <w:rPr>
          <w:sz w:val="24"/>
          <w:szCs w:val="24"/>
        </w:rPr>
      </w:pPr>
      <w:r w:rsidRPr="00F5723F">
        <w:rPr>
          <w:rStyle w:val="Hyperlnk"/>
        </w:rPr>
        <w:t>Sammanfattning och avslutande synpunkter</w:t>
      </w:r>
      <w:r w:rsidRPr="00F5723F">
        <w:rPr>
          <w:webHidden/>
        </w:rPr>
        <w:tab/>
        <w:t>137</w:t>
      </w:r>
    </w:p>
    <w:p w:rsidR="00B43C57" w:rsidRPr="00F5723F" w:rsidRDefault="00B43C57">
      <w:pPr>
        <w:pStyle w:val="Innehll1"/>
        <w:rPr>
          <w:sz w:val="24"/>
          <w:szCs w:val="24"/>
        </w:rPr>
      </w:pPr>
      <w:r w:rsidRPr="00F5723F">
        <w:rPr>
          <w:rStyle w:val="Hyperlnk"/>
          <w:b/>
        </w:rPr>
        <w:t>Rapport 4</w:t>
      </w:r>
      <w:r w:rsidRPr="00F5723F">
        <w:rPr>
          <w:webHidden/>
        </w:rPr>
        <w:tab/>
        <w:t>140</w:t>
      </w:r>
    </w:p>
    <w:p w:rsidR="00B43C57" w:rsidRPr="00F5723F" w:rsidRDefault="00B43C57">
      <w:pPr>
        <w:pStyle w:val="Innehll1"/>
        <w:rPr>
          <w:sz w:val="24"/>
          <w:szCs w:val="24"/>
        </w:rPr>
      </w:pPr>
      <w:r w:rsidRPr="00F5723F">
        <w:rPr>
          <w:rStyle w:val="Hyperlnk"/>
        </w:rPr>
        <w:t>Riksdagsledamöternas arbetsvecka</w:t>
      </w:r>
      <w:r w:rsidRPr="00F5723F">
        <w:rPr>
          <w:webHidden/>
        </w:rPr>
        <w:tab/>
        <w:t>140</w:t>
      </w:r>
    </w:p>
    <w:p w:rsidR="00B43C57" w:rsidRPr="00F5723F" w:rsidRDefault="00B43C57">
      <w:pPr>
        <w:pStyle w:val="Innehll2"/>
        <w:rPr>
          <w:sz w:val="24"/>
          <w:szCs w:val="24"/>
        </w:rPr>
      </w:pPr>
      <w:r w:rsidRPr="00F5723F">
        <w:rPr>
          <w:rStyle w:val="Hyperlnk"/>
        </w:rPr>
        <w:t>Undersökningens uppläggning</w:t>
      </w:r>
      <w:r w:rsidRPr="00F5723F">
        <w:rPr>
          <w:webHidden/>
        </w:rPr>
        <w:tab/>
        <w:t>143</w:t>
      </w:r>
    </w:p>
    <w:p w:rsidR="00B43C57" w:rsidRPr="00F5723F" w:rsidRDefault="00B43C57">
      <w:pPr>
        <w:pStyle w:val="Innehll3"/>
        <w:rPr>
          <w:sz w:val="24"/>
          <w:szCs w:val="24"/>
        </w:rPr>
      </w:pPr>
      <w:r w:rsidRPr="00F5723F">
        <w:rPr>
          <w:rStyle w:val="Hyperlnk"/>
        </w:rPr>
        <w:t>Val av undersökningsvecka</w:t>
      </w:r>
      <w:r w:rsidRPr="00F5723F">
        <w:rPr>
          <w:webHidden/>
        </w:rPr>
        <w:tab/>
        <w:t>144</w:t>
      </w:r>
    </w:p>
    <w:p w:rsidR="00B43C57" w:rsidRPr="00F5723F" w:rsidRDefault="00B43C57">
      <w:pPr>
        <w:pStyle w:val="Innehll3"/>
        <w:rPr>
          <w:sz w:val="24"/>
          <w:szCs w:val="24"/>
        </w:rPr>
      </w:pPr>
      <w:r w:rsidRPr="00F5723F">
        <w:rPr>
          <w:rStyle w:val="Hyperlnk"/>
        </w:rPr>
        <w:t>Undersökningens genomförande</w:t>
      </w:r>
      <w:r w:rsidRPr="00F5723F">
        <w:rPr>
          <w:webHidden/>
        </w:rPr>
        <w:tab/>
        <w:t>147</w:t>
      </w:r>
    </w:p>
    <w:p w:rsidR="00B43C57" w:rsidRPr="00F5723F" w:rsidRDefault="00B43C57">
      <w:pPr>
        <w:pStyle w:val="Innehll2"/>
        <w:rPr>
          <w:sz w:val="24"/>
          <w:szCs w:val="24"/>
        </w:rPr>
      </w:pPr>
      <w:r w:rsidRPr="00F5723F">
        <w:rPr>
          <w:rStyle w:val="Hyperlnk"/>
        </w:rPr>
        <w:t>Arbetsveckan för en riksdagsledamot</w:t>
      </w:r>
      <w:r w:rsidRPr="00F5723F">
        <w:rPr>
          <w:webHidden/>
        </w:rPr>
        <w:tab/>
        <w:t>150</w:t>
      </w:r>
    </w:p>
    <w:p w:rsidR="00B43C57" w:rsidRPr="00F5723F" w:rsidRDefault="00B43C57">
      <w:pPr>
        <w:pStyle w:val="Innehll3"/>
        <w:rPr>
          <w:sz w:val="24"/>
          <w:szCs w:val="24"/>
        </w:rPr>
      </w:pPr>
      <w:r w:rsidRPr="00F5723F">
        <w:rPr>
          <w:rStyle w:val="Hyperlnk"/>
        </w:rPr>
        <w:t>Arbetsveckan i riksdagen</w:t>
      </w:r>
      <w:r w:rsidRPr="00F5723F">
        <w:rPr>
          <w:webHidden/>
        </w:rPr>
        <w:tab/>
        <w:t>150</w:t>
      </w:r>
    </w:p>
    <w:p w:rsidR="00B43C57" w:rsidRPr="00F5723F" w:rsidRDefault="00B43C57">
      <w:pPr>
        <w:pStyle w:val="Innehll3"/>
        <w:rPr>
          <w:sz w:val="24"/>
          <w:szCs w:val="24"/>
        </w:rPr>
      </w:pPr>
      <w:r w:rsidRPr="00F5723F">
        <w:rPr>
          <w:rStyle w:val="Hyperlnk"/>
        </w:rPr>
        <w:lastRenderedPageBreak/>
        <w:t>Riksdagsledamöternas arbetsvecka: tidsbudgetstudien</w:t>
      </w:r>
      <w:r w:rsidRPr="00F5723F">
        <w:rPr>
          <w:webHidden/>
        </w:rPr>
        <w:tab/>
        <w:t>152</w:t>
      </w:r>
    </w:p>
    <w:p w:rsidR="00B43C57" w:rsidRPr="00F5723F" w:rsidRDefault="00B43C57">
      <w:pPr>
        <w:pStyle w:val="Innehll2"/>
        <w:rPr>
          <w:sz w:val="24"/>
          <w:szCs w:val="24"/>
        </w:rPr>
      </w:pPr>
      <w:r w:rsidRPr="00F5723F">
        <w:rPr>
          <w:rStyle w:val="Hyperlnk"/>
        </w:rPr>
        <w:t>Politiska uppdrag utanför riksdagen</w:t>
      </w:r>
      <w:r w:rsidRPr="00F5723F">
        <w:rPr>
          <w:webHidden/>
        </w:rPr>
        <w:tab/>
        <w:t>163</w:t>
      </w:r>
    </w:p>
    <w:p w:rsidR="00B43C57" w:rsidRPr="00F5723F" w:rsidRDefault="00B43C57">
      <w:pPr>
        <w:pStyle w:val="Innehll3"/>
        <w:rPr>
          <w:sz w:val="24"/>
          <w:szCs w:val="24"/>
        </w:rPr>
      </w:pPr>
      <w:r w:rsidRPr="00F5723F">
        <w:rPr>
          <w:rStyle w:val="Hyperlnk"/>
        </w:rPr>
        <w:t>Uppdrag i kommuner och landsting</w:t>
      </w:r>
      <w:r w:rsidRPr="00F5723F">
        <w:rPr>
          <w:webHidden/>
        </w:rPr>
        <w:tab/>
        <w:t>164</w:t>
      </w:r>
    </w:p>
    <w:p w:rsidR="00B43C57" w:rsidRPr="00F5723F" w:rsidRDefault="00B43C57">
      <w:pPr>
        <w:pStyle w:val="Innehll3"/>
        <w:rPr>
          <w:sz w:val="24"/>
          <w:szCs w:val="24"/>
        </w:rPr>
      </w:pPr>
      <w:r w:rsidRPr="00F5723F">
        <w:rPr>
          <w:rStyle w:val="Hyperlnk"/>
        </w:rPr>
        <w:t>Uppdrag i statliga organ</w:t>
      </w:r>
      <w:r w:rsidRPr="00F5723F">
        <w:rPr>
          <w:webHidden/>
        </w:rPr>
        <w:tab/>
        <w:t>167</w:t>
      </w:r>
    </w:p>
    <w:p w:rsidR="00B43C57" w:rsidRPr="00F5723F" w:rsidRDefault="00B43C57">
      <w:pPr>
        <w:pStyle w:val="Innehll2"/>
        <w:rPr>
          <w:sz w:val="24"/>
          <w:szCs w:val="24"/>
        </w:rPr>
      </w:pPr>
      <w:r w:rsidRPr="00F5723F">
        <w:rPr>
          <w:rStyle w:val="Hyperlnk"/>
        </w:rPr>
        <w:t>Deltagande i det regionala och lokala partiarbetet</w:t>
      </w:r>
      <w:r w:rsidRPr="00F5723F">
        <w:rPr>
          <w:webHidden/>
        </w:rPr>
        <w:tab/>
        <w:t>168</w:t>
      </w:r>
    </w:p>
    <w:p w:rsidR="00B43C57" w:rsidRPr="00F5723F" w:rsidRDefault="00B43C57">
      <w:pPr>
        <w:pStyle w:val="Innehll2"/>
        <w:rPr>
          <w:sz w:val="24"/>
          <w:szCs w:val="24"/>
        </w:rPr>
      </w:pPr>
      <w:r w:rsidRPr="00F5723F">
        <w:rPr>
          <w:rStyle w:val="Hyperlnk"/>
        </w:rPr>
        <w:t>Ledamöternas uppfattningar om arbetssituationen</w:t>
      </w:r>
      <w:r w:rsidRPr="00F5723F">
        <w:rPr>
          <w:webHidden/>
        </w:rPr>
        <w:tab/>
        <w:t>171</w:t>
      </w:r>
    </w:p>
    <w:p w:rsidR="00B43C57" w:rsidRPr="00F5723F" w:rsidRDefault="00B43C57">
      <w:pPr>
        <w:pStyle w:val="Innehll3"/>
        <w:rPr>
          <w:sz w:val="24"/>
          <w:szCs w:val="24"/>
        </w:rPr>
      </w:pPr>
      <w:r w:rsidRPr="00F5723F">
        <w:rPr>
          <w:rStyle w:val="Hyperlnk"/>
        </w:rPr>
        <w:t>Trivseln i arbetet som riksdagsledamot</w:t>
      </w:r>
      <w:r w:rsidRPr="00F5723F">
        <w:rPr>
          <w:webHidden/>
        </w:rPr>
        <w:tab/>
        <w:t>171</w:t>
      </w:r>
    </w:p>
    <w:p w:rsidR="00B43C57" w:rsidRPr="00F5723F" w:rsidRDefault="00B43C57">
      <w:pPr>
        <w:pStyle w:val="Innehll3"/>
        <w:rPr>
          <w:sz w:val="24"/>
          <w:szCs w:val="24"/>
        </w:rPr>
      </w:pPr>
      <w:r w:rsidRPr="00F5723F">
        <w:rPr>
          <w:rStyle w:val="Hyperlnk"/>
        </w:rPr>
        <w:t>Den egna arbetssituationen</w:t>
      </w:r>
      <w:r w:rsidRPr="00F5723F">
        <w:rPr>
          <w:webHidden/>
        </w:rPr>
        <w:tab/>
        <w:t>173</w:t>
      </w:r>
    </w:p>
    <w:p w:rsidR="00B43C57" w:rsidRPr="00F5723F" w:rsidRDefault="00B43C57">
      <w:pPr>
        <w:pStyle w:val="Innehll3"/>
        <w:rPr>
          <w:sz w:val="24"/>
          <w:szCs w:val="24"/>
        </w:rPr>
      </w:pPr>
      <w:r w:rsidRPr="00F5723F">
        <w:rPr>
          <w:rStyle w:val="Hyperlnk"/>
        </w:rPr>
        <w:t>Förslag till förändringar</w:t>
      </w:r>
      <w:r w:rsidRPr="00F5723F">
        <w:rPr>
          <w:webHidden/>
        </w:rPr>
        <w:tab/>
        <w:t>176</w:t>
      </w:r>
    </w:p>
    <w:p w:rsidR="00B43C57" w:rsidRPr="00F5723F" w:rsidRDefault="00B43C57">
      <w:pPr>
        <w:pStyle w:val="Innehll2"/>
        <w:rPr>
          <w:sz w:val="24"/>
          <w:szCs w:val="24"/>
        </w:rPr>
      </w:pPr>
      <w:r w:rsidRPr="00F5723F">
        <w:rPr>
          <w:rStyle w:val="Hyperlnk"/>
        </w:rPr>
        <w:t>Sammanfattning</w:t>
      </w:r>
      <w:r w:rsidRPr="00F5723F">
        <w:rPr>
          <w:webHidden/>
        </w:rPr>
        <w:tab/>
        <w:t>179</w:t>
      </w:r>
    </w:p>
    <w:p w:rsidR="00B43C57" w:rsidRPr="00F5723F" w:rsidRDefault="00B43C57">
      <w:pPr>
        <w:pStyle w:val="Innehll3"/>
        <w:rPr>
          <w:sz w:val="24"/>
          <w:szCs w:val="24"/>
        </w:rPr>
      </w:pPr>
      <w:r w:rsidRPr="00F5723F">
        <w:rPr>
          <w:rStyle w:val="Hyperlnk"/>
        </w:rPr>
        <w:t>Undersökningen</w:t>
      </w:r>
      <w:r w:rsidRPr="00F5723F">
        <w:rPr>
          <w:webHidden/>
        </w:rPr>
        <w:tab/>
        <w:t>179</w:t>
      </w:r>
    </w:p>
    <w:p w:rsidR="00B43C57" w:rsidRPr="00F5723F" w:rsidRDefault="00B43C57">
      <w:pPr>
        <w:pStyle w:val="Innehll3"/>
        <w:rPr>
          <w:sz w:val="24"/>
          <w:szCs w:val="24"/>
        </w:rPr>
      </w:pPr>
      <w:r w:rsidRPr="00F5723F">
        <w:rPr>
          <w:rStyle w:val="Hyperlnk"/>
        </w:rPr>
        <w:t>Stabil arbetssituation mellan 1974 och 2004</w:t>
      </w:r>
      <w:r w:rsidRPr="00F5723F">
        <w:rPr>
          <w:webHidden/>
        </w:rPr>
        <w:tab/>
        <w:t>179</w:t>
      </w:r>
    </w:p>
    <w:p w:rsidR="00B43C57" w:rsidRPr="00F5723F" w:rsidRDefault="00B43C57">
      <w:pPr>
        <w:pStyle w:val="Innehll3"/>
        <w:rPr>
          <w:sz w:val="24"/>
          <w:szCs w:val="24"/>
        </w:rPr>
      </w:pPr>
      <w:r w:rsidRPr="00F5723F">
        <w:rPr>
          <w:rStyle w:val="Hyperlnk"/>
        </w:rPr>
        <w:t>Stora partiskillnader men små skillnader mellan kvinnor och män</w:t>
      </w:r>
      <w:r w:rsidRPr="00F5723F">
        <w:rPr>
          <w:webHidden/>
        </w:rPr>
        <w:tab/>
        <w:t>180</w:t>
      </w:r>
    </w:p>
    <w:p w:rsidR="00B43C57" w:rsidRPr="00F5723F" w:rsidRDefault="00B43C57">
      <w:pPr>
        <w:pStyle w:val="Innehll3"/>
        <w:rPr>
          <w:sz w:val="24"/>
          <w:szCs w:val="24"/>
        </w:rPr>
      </w:pPr>
      <w:r w:rsidRPr="00F5723F">
        <w:rPr>
          <w:rStyle w:val="Hyperlnk"/>
        </w:rPr>
        <w:t>Färre kommunpolitiskt aktiva</w:t>
      </w:r>
      <w:r w:rsidRPr="00F5723F">
        <w:rPr>
          <w:webHidden/>
        </w:rPr>
        <w:tab/>
        <w:t>180</w:t>
      </w:r>
    </w:p>
    <w:p w:rsidR="00B43C57" w:rsidRPr="00F5723F" w:rsidRDefault="00B43C57">
      <w:pPr>
        <w:pStyle w:val="Innehll3"/>
        <w:rPr>
          <w:sz w:val="24"/>
          <w:szCs w:val="24"/>
        </w:rPr>
      </w:pPr>
      <w:r w:rsidRPr="00F5723F">
        <w:rPr>
          <w:rStyle w:val="Hyperlnk"/>
        </w:rPr>
        <w:t>Riksdagsledamöter trivs med arbetet som riksdagsledamot</w:t>
      </w:r>
      <w:r w:rsidRPr="00F5723F">
        <w:rPr>
          <w:webHidden/>
        </w:rPr>
        <w:tab/>
        <w:t>180</w:t>
      </w:r>
    </w:p>
    <w:p w:rsidR="00B43C57" w:rsidRPr="00F5723F" w:rsidRDefault="00B43C57">
      <w:pPr>
        <w:pStyle w:val="Innehll3"/>
        <w:rPr>
          <w:sz w:val="24"/>
          <w:szCs w:val="24"/>
        </w:rPr>
      </w:pPr>
      <w:r w:rsidRPr="00F5723F">
        <w:rPr>
          <w:rStyle w:val="Hyperlnk"/>
        </w:rPr>
        <w:t>Mer tid åt kontakter med valkretsen och väljarna</w:t>
      </w:r>
      <w:r w:rsidRPr="00F5723F">
        <w:rPr>
          <w:webHidden/>
        </w:rPr>
        <w:tab/>
        <w:t>181</w:t>
      </w:r>
    </w:p>
    <w:p w:rsidR="00B43C57" w:rsidRPr="00F5723F" w:rsidRDefault="00B43C57">
      <w:pPr>
        <w:pStyle w:val="Innehll3"/>
        <w:rPr>
          <w:sz w:val="24"/>
          <w:szCs w:val="24"/>
        </w:rPr>
      </w:pPr>
      <w:r w:rsidRPr="00F5723F">
        <w:rPr>
          <w:rStyle w:val="Hyperlnk"/>
        </w:rPr>
        <w:t>Mindre tid åt kontorsgöromål, administration och sammanträden</w:t>
      </w:r>
      <w:r w:rsidRPr="00F5723F">
        <w:rPr>
          <w:webHidden/>
        </w:rPr>
        <w:tab/>
        <w:t>181</w:t>
      </w:r>
    </w:p>
    <w:p w:rsidR="00B43C57" w:rsidRPr="00F5723F" w:rsidRDefault="00B43C57">
      <w:pPr>
        <w:pStyle w:val="Innehll3"/>
        <w:rPr>
          <w:sz w:val="24"/>
          <w:szCs w:val="24"/>
        </w:rPr>
      </w:pPr>
      <w:r w:rsidRPr="00F5723F">
        <w:rPr>
          <w:rStyle w:val="Hyperlnk"/>
        </w:rPr>
        <w:t>Riksdagsledamöternas önskelista</w:t>
      </w:r>
      <w:r w:rsidRPr="00F5723F">
        <w:rPr>
          <w:webHidden/>
        </w:rPr>
        <w:tab/>
        <w:t>181</w:t>
      </w:r>
    </w:p>
    <w:p w:rsidR="00B43C57" w:rsidRPr="00F5723F" w:rsidRDefault="00B43C57">
      <w:pPr>
        <w:pStyle w:val="Innehll2"/>
        <w:rPr>
          <w:sz w:val="24"/>
          <w:szCs w:val="24"/>
        </w:rPr>
      </w:pPr>
      <w:r w:rsidRPr="00F5723F">
        <w:rPr>
          <w:rStyle w:val="Hyperlnk"/>
        </w:rPr>
        <w:t>Referenser</w:t>
      </w:r>
      <w:r w:rsidRPr="00F5723F">
        <w:rPr>
          <w:webHidden/>
        </w:rPr>
        <w:tab/>
        <w:t>182</w:t>
      </w:r>
    </w:p>
    <w:p w:rsidR="00B43C57" w:rsidRPr="00F5723F" w:rsidRDefault="00B43C57">
      <w:pPr>
        <w:pStyle w:val="Innehll3"/>
        <w:rPr>
          <w:sz w:val="24"/>
          <w:szCs w:val="24"/>
        </w:rPr>
      </w:pPr>
      <w:r w:rsidRPr="00F5723F">
        <w:rPr>
          <w:rStyle w:val="Hyperlnk"/>
          <w:spacing w:val="-4"/>
        </w:rPr>
        <w:t>Appendix: Riksdagskommitténs dagboksstudie och enkätundersökning 2004.</w:t>
      </w:r>
      <w:r w:rsidRPr="00F5723F">
        <w:rPr>
          <w:webHidden/>
        </w:rPr>
        <w:tab/>
        <w:t>185</w:t>
      </w:r>
    </w:p>
    <w:p w:rsidR="00B43C57" w:rsidRPr="00F5723F" w:rsidRDefault="00B43C57">
      <w:pPr>
        <w:pStyle w:val="Innehll1"/>
        <w:rPr>
          <w:sz w:val="24"/>
          <w:szCs w:val="24"/>
        </w:rPr>
      </w:pPr>
      <w:r w:rsidRPr="00F5723F">
        <w:rPr>
          <w:rStyle w:val="Hyperlnk"/>
          <w:b/>
        </w:rPr>
        <w:t>Rapport 5</w:t>
      </w:r>
      <w:r w:rsidRPr="00F5723F">
        <w:rPr>
          <w:webHidden/>
        </w:rPr>
        <w:tab/>
        <w:t>190</w:t>
      </w:r>
    </w:p>
    <w:p w:rsidR="00B43C57" w:rsidRPr="00F5723F" w:rsidRDefault="00B43C57">
      <w:pPr>
        <w:pStyle w:val="Innehll1"/>
        <w:rPr>
          <w:sz w:val="24"/>
          <w:szCs w:val="24"/>
        </w:rPr>
      </w:pPr>
      <w:r w:rsidRPr="00F5723F">
        <w:rPr>
          <w:rStyle w:val="Hyperlnk"/>
        </w:rPr>
        <w:t>Mellanvalsdemokrati</w:t>
      </w:r>
      <w:r w:rsidRPr="00F5723F">
        <w:rPr>
          <w:webHidden/>
        </w:rPr>
        <w:tab/>
        <w:t>190</w:t>
      </w:r>
    </w:p>
    <w:p w:rsidR="00B43C57" w:rsidRPr="00F5723F" w:rsidRDefault="00B43C57">
      <w:pPr>
        <w:pStyle w:val="Innehll2"/>
        <w:rPr>
          <w:sz w:val="24"/>
          <w:szCs w:val="24"/>
        </w:rPr>
      </w:pPr>
      <w:r w:rsidRPr="00F5723F">
        <w:rPr>
          <w:rStyle w:val="Hyperlnk"/>
        </w:rPr>
        <w:t>Begreppsbestämning</w:t>
      </w:r>
      <w:r w:rsidRPr="00F5723F">
        <w:rPr>
          <w:webHidden/>
        </w:rPr>
        <w:tab/>
        <w:t>191</w:t>
      </w:r>
    </w:p>
    <w:p w:rsidR="00B43C57" w:rsidRPr="00F5723F" w:rsidRDefault="00B43C57">
      <w:pPr>
        <w:pStyle w:val="Innehll3"/>
        <w:rPr>
          <w:sz w:val="24"/>
          <w:szCs w:val="24"/>
        </w:rPr>
      </w:pPr>
      <w:r w:rsidRPr="00F5723F">
        <w:rPr>
          <w:rStyle w:val="Hyperlnk"/>
        </w:rPr>
        <w:t>Mellanvalsdemokrati ovanifrån eller underifrån?</w:t>
      </w:r>
      <w:r w:rsidRPr="00F5723F">
        <w:rPr>
          <w:webHidden/>
        </w:rPr>
        <w:tab/>
        <w:t>192</w:t>
      </w:r>
    </w:p>
    <w:p w:rsidR="00B43C57" w:rsidRPr="00F5723F" w:rsidRDefault="00B43C57">
      <w:pPr>
        <w:pStyle w:val="Innehll3"/>
        <w:rPr>
          <w:sz w:val="24"/>
          <w:szCs w:val="24"/>
        </w:rPr>
      </w:pPr>
      <w:r w:rsidRPr="00F5723F">
        <w:rPr>
          <w:rStyle w:val="Hyperlnk"/>
        </w:rPr>
        <w:t>Vem har kontakt med vem?</w:t>
      </w:r>
      <w:r w:rsidRPr="00F5723F">
        <w:rPr>
          <w:webHidden/>
        </w:rPr>
        <w:tab/>
        <w:t>192</w:t>
      </w:r>
    </w:p>
    <w:p w:rsidR="00B43C57" w:rsidRPr="00F5723F" w:rsidRDefault="00B43C57">
      <w:pPr>
        <w:pStyle w:val="Innehll3"/>
        <w:rPr>
          <w:sz w:val="24"/>
          <w:szCs w:val="24"/>
        </w:rPr>
      </w:pPr>
      <w:r w:rsidRPr="00F5723F">
        <w:rPr>
          <w:rStyle w:val="Hyperlnk"/>
        </w:rPr>
        <w:t>Kontakter före eller efter beslut?</w:t>
      </w:r>
      <w:r w:rsidRPr="00F5723F">
        <w:rPr>
          <w:webHidden/>
        </w:rPr>
        <w:tab/>
        <w:t>193</w:t>
      </w:r>
    </w:p>
    <w:p w:rsidR="00B43C57" w:rsidRPr="00F5723F" w:rsidRDefault="00B43C57">
      <w:pPr>
        <w:pStyle w:val="Innehll3"/>
        <w:rPr>
          <w:sz w:val="24"/>
          <w:szCs w:val="24"/>
        </w:rPr>
      </w:pPr>
      <w:r w:rsidRPr="00F5723F">
        <w:rPr>
          <w:rStyle w:val="Hyperlnk"/>
        </w:rPr>
        <w:t>Direkta eller indirekta kontakter?</w:t>
      </w:r>
      <w:r w:rsidRPr="00F5723F">
        <w:rPr>
          <w:webHidden/>
        </w:rPr>
        <w:tab/>
        <w:t>194</w:t>
      </w:r>
    </w:p>
    <w:p w:rsidR="00B43C57" w:rsidRPr="00F5723F" w:rsidRDefault="00B43C57">
      <w:pPr>
        <w:pStyle w:val="Innehll3"/>
        <w:rPr>
          <w:sz w:val="24"/>
          <w:szCs w:val="24"/>
        </w:rPr>
      </w:pPr>
      <w:r w:rsidRPr="00F5723F">
        <w:rPr>
          <w:rStyle w:val="Hyperlnk"/>
        </w:rPr>
        <w:t>Vad handlar kontakterna om?</w:t>
      </w:r>
      <w:r w:rsidRPr="00F5723F">
        <w:rPr>
          <w:webHidden/>
        </w:rPr>
        <w:tab/>
        <w:t>194</w:t>
      </w:r>
    </w:p>
    <w:p w:rsidR="00B43C57" w:rsidRPr="00F5723F" w:rsidRDefault="00B43C57">
      <w:pPr>
        <w:pStyle w:val="Innehll2"/>
        <w:rPr>
          <w:sz w:val="24"/>
          <w:szCs w:val="24"/>
        </w:rPr>
      </w:pPr>
      <w:r w:rsidRPr="00F5723F">
        <w:rPr>
          <w:rStyle w:val="Hyperlnk"/>
        </w:rPr>
        <w:t>Riksdagsledamöterna i mellanvalsdemokratin</w:t>
      </w:r>
      <w:r w:rsidRPr="00F5723F">
        <w:rPr>
          <w:webHidden/>
        </w:rPr>
        <w:tab/>
        <w:t>195</w:t>
      </w:r>
    </w:p>
    <w:p w:rsidR="00B43C57" w:rsidRPr="00F5723F" w:rsidRDefault="00B43C57">
      <w:pPr>
        <w:pStyle w:val="Innehll2"/>
        <w:rPr>
          <w:sz w:val="24"/>
          <w:szCs w:val="24"/>
        </w:rPr>
      </w:pPr>
      <w:r w:rsidRPr="00F5723F">
        <w:rPr>
          <w:rStyle w:val="Hyperlnk"/>
        </w:rPr>
        <w:t>Den goda representationen</w:t>
      </w:r>
      <w:r w:rsidRPr="00F5723F">
        <w:rPr>
          <w:webHidden/>
        </w:rPr>
        <w:tab/>
        <w:t>197</w:t>
      </w:r>
    </w:p>
    <w:p w:rsidR="00B43C57" w:rsidRPr="00F5723F" w:rsidRDefault="00B43C57">
      <w:pPr>
        <w:pStyle w:val="Innehll3"/>
        <w:rPr>
          <w:sz w:val="24"/>
          <w:szCs w:val="24"/>
        </w:rPr>
      </w:pPr>
      <w:r w:rsidRPr="00F5723F">
        <w:rPr>
          <w:rStyle w:val="Hyperlnk"/>
        </w:rPr>
        <w:t>Riksdagsledamöternas representationsprinciper</w:t>
      </w:r>
      <w:r w:rsidRPr="00F5723F">
        <w:rPr>
          <w:webHidden/>
        </w:rPr>
        <w:tab/>
        <w:t>198</w:t>
      </w:r>
    </w:p>
    <w:p w:rsidR="00B43C57" w:rsidRPr="00F5723F" w:rsidRDefault="00B43C57">
      <w:pPr>
        <w:pStyle w:val="Innehll3"/>
        <w:rPr>
          <w:sz w:val="24"/>
          <w:szCs w:val="24"/>
        </w:rPr>
      </w:pPr>
      <w:r w:rsidRPr="00F5723F">
        <w:rPr>
          <w:rStyle w:val="Hyperlnk"/>
        </w:rPr>
        <w:t>Riksdagsledamöternas representationsideologier i förändring</w:t>
      </w:r>
      <w:r w:rsidRPr="00F5723F">
        <w:rPr>
          <w:webHidden/>
        </w:rPr>
        <w:tab/>
        <w:t>203</w:t>
      </w:r>
    </w:p>
    <w:p w:rsidR="00B43C57" w:rsidRPr="00F5723F" w:rsidRDefault="00B43C57">
      <w:pPr>
        <w:pStyle w:val="Innehll2"/>
        <w:rPr>
          <w:sz w:val="24"/>
          <w:szCs w:val="24"/>
        </w:rPr>
      </w:pPr>
      <w:r w:rsidRPr="00F5723F">
        <w:rPr>
          <w:rStyle w:val="Hyperlnk"/>
        </w:rPr>
        <w:t>Riksdagsledamöternas mellanvalskontakter</w:t>
      </w:r>
      <w:r w:rsidRPr="00F5723F">
        <w:rPr>
          <w:webHidden/>
        </w:rPr>
        <w:tab/>
        <w:t>204</w:t>
      </w:r>
    </w:p>
    <w:p w:rsidR="00B43C57" w:rsidRPr="00F5723F" w:rsidRDefault="00B43C57">
      <w:pPr>
        <w:pStyle w:val="Innehll2"/>
        <w:rPr>
          <w:sz w:val="24"/>
          <w:szCs w:val="24"/>
        </w:rPr>
      </w:pPr>
      <w:r w:rsidRPr="00F5723F">
        <w:rPr>
          <w:rStyle w:val="Hyperlnk"/>
        </w:rPr>
        <w:t>Mellanvalskontakternas innehåll</w:t>
      </w:r>
      <w:r w:rsidRPr="00F5723F">
        <w:rPr>
          <w:webHidden/>
        </w:rPr>
        <w:tab/>
        <w:t>209</w:t>
      </w:r>
    </w:p>
    <w:p w:rsidR="00B43C57" w:rsidRPr="00F5723F" w:rsidRDefault="00B43C57">
      <w:pPr>
        <w:pStyle w:val="Innehll2"/>
        <w:rPr>
          <w:sz w:val="24"/>
          <w:szCs w:val="24"/>
        </w:rPr>
      </w:pPr>
      <w:r w:rsidRPr="00F5723F">
        <w:rPr>
          <w:rStyle w:val="Hyperlnk"/>
        </w:rPr>
        <w:t>Den goda mellanvalsdemokratin</w:t>
      </w:r>
      <w:r w:rsidRPr="00F5723F">
        <w:rPr>
          <w:webHidden/>
        </w:rPr>
        <w:tab/>
        <w:t>211</w:t>
      </w:r>
    </w:p>
    <w:p w:rsidR="00B43C57" w:rsidRPr="00F5723F" w:rsidRDefault="00B43C57">
      <w:pPr>
        <w:pStyle w:val="Innehll2"/>
        <w:rPr>
          <w:sz w:val="24"/>
          <w:szCs w:val="24"/>
        </w:rPr>
      </w:pPr>
      <w:r w:rsidRPr="00F5723F">
        <w:rPr>
          <w:rStyle w:val="Hyperlnk"/>
        </w:rPr>
        <w:t>Referenser</w:t>
      </w:r>
      <w:r w:rsidRPr="00F5723F">
        <w:rPr>
          <w:webHidden/>
        </w:rPr>
        <w:tab/>
        <w:t>214</w:t>
      </w:r>
    </w:p>
    <w:p w:rsidR="00B43C57" w:rsidRPr="00F5723F" w:rsidRDefault="00B43C57">
      <w:pPr>
        <w:pStyle w:val="Innehll1"/>
        <w:rPr>
          <w:sz w:val="24"/>
          <w:szCs w:val="24"/>
        </w:rPr>
      </w:pPr>
      <w:r w:rsidRPr="00F5723F">
        <w:rPr>
          <w:rStyle w:val="Hyperlnk"/>
          <w:b/>
        </w:rPr>
        <w:t>Rapport 6</w:t>
      </w:r>
      <w:r w:rsidRPr="00F5723F">
        <w:rPr>
          <w:webHidden/>
        </w:rPr>
        <w:tab/>
        <w:t>217</w:t>
      </w:r>
    </w:p>
    <w:p w:rsidR="00B43C57" w:rsidRPr="00F5723F" w:rsidRDefault="00B43C57">
      <w:pPr>
        <w:pStyle w:val="Innehll1"/>
        <w:rPr>
          <w:sz w:val="24"/>
          <w:szCs w:val="24"/>
        </w:rPr>
      </w:pPr>
      <w:r w:rsidRPr="00F5723F">
        <w:rPr>
          <w:rStyle w:val="Hyperlnk"/>
        </w:rPr>
        <w:t>Riksdagen ur ett genusperspektiv</w:t>
      </w:r>
      <w:r w:rsidRPr="00F5723F">
        <w:rPr>
          <w:webHidden/>
        </w:rPr>
        <w:tab/>
        <w:t>217</w:t>
      </w:r>
    </w:p>
    <w:p w:rsidR="00B43C57" w:rsidRPr="00F5723F" w:rsidRDefault="00B43C57">
      <w:pPr>
        <w:pStyle w:val="Innehll3"/>
        <w:rPr>
          <w:sz w:val="24"/>
          <w:szCs w:val="24"/>
        </w:rPr>
      </w:pPr>
      <w:r w:rsidRPr="00F5723F">
        <w:rPr>
          <w:rStyle w:val="Hyperlnk"/>
        </w:rPr>
        <w:t>Bakgrund</w:t>
      </w:r>
      <w:r w:rsidRPr="00F5723F">
        <w:rPr>
          <w:webHidden/>
        </w:rPr>
        <w:tab/>
        <w:t>217</w:t>
      </w:r>
    </w:p>
    <w:p w:rsidR="00B43C57" w:rsidRPr="00F5723F" w:rsidRDefault="00B43C57">
      <w:pPr>
        <w:pStyle w:val="Innehll3"/>
        <w:rPr>
          <w:sz w:val="24"/>
          <w:szCs w:val="24"/>
        </w:rPr>
      </w:pPr>
      <w:r w:rsidRPr="00F5723F">
        <w:rPr>
          <w:rStyle w:val="Hyperlnk"/>
        </w:rPr>
        <w:t>Avgränsningar av uppdraget</w:t>
      </w:r>
      <w:r w:rsidRPr="00F5723F">
        <w:rPr>
          <w:webHidden/>
        </w:rPr>
        <w:tab/>
        <w:t>218</w:t>
      </w:r>
    </w:p>
    <w:p w:rsidR="00B43C57" w:rsidRPr="00F5723F" w:rsidRDefault="00B43C57">
      <w:pPr>
        <w:pStyle w:val="Innehll3"/>
        <w:rPr>
          <w:sz w:val="24"/>
          <w:szCs w:val="24"/>
        </w:rPr>
      </w:pPr>
      <w:r w:rsidRPr="00F5723F">
        <w:rPr>
          <w:rStyle w:val="Hyperlnk"/>
        </w:rPr>
        <w:t>Källmaterial</w:t>
      </w:r>
      <w:r w:rsidRPr="00F5723F">
        <w:rPr>
          <w:webHidden/>
        </w:rPr>
        <w:tab/>
        <w:t>219</w:t>
      </w:r>
    </w:p>
    <w:p w:rsidR="00B43C57" w:rsidRPr="00F5723F" w:rsidRDefault="00B43C57">
      <w:pPr>
        <w:pStyle w:val="Innehll3"/>
        <w:rPr>
          <w:sz w:val="24"/>
          <w:szCs w:val="24"/>
        </w:rPr>
      </w:pPr>
      <w:r w:rsidRPr="00F5723F">
        <w:rPr>
          <w:rStyle w:val="Hyperlnk"/>
        </w:rPr>
        <w:t>Disposition</w:t>
      </w:r>
      <w:r w:rsidRPr="00F5723F">
        <w:rPr>
          <w:webHidden/>
        </w:rPr>
        <w:tab/>
        <w:t>220</w:t>
      </w:r>
    </w:p>
    <w:p w:rsidR="00B43C57" w:rsidRPr="00F5723F" w:rsidRDefault="00B43C57">
      <w:pPr>
        <w:pStyle w:val="Innehll2"/>
        <w:rPr>
          <w:sz w:val="24"/>
          <w:szCs w:val="24"/>
        </w:rPr>
      </w:pPr>
      <w:r w:rsidRPr="00F5723F">
        <w:rPr>
          <w:rStyle w:val="Hyperlnk"/>
        </w:rPr>
        <w:lastRenderedPageBreak/>
        <w:t>Begrepp och definitioner</w:t>
      </w:r>
      <w:r w:rsidRPr="00F5723F">
        <w:rPr>
          <w:webHidden/>
        </w:rPr>
        <w:tab/>
        <w:t>221</w:t>
      </w:r>
    </w:p>
    <w:p w:rsidR="00B43C57" w:rsidRPr="00F5723F" w:rsidRDefault="00B43C57">
      <w:pPr>
        <w:pStyle w:val="Innehll3"/>
        <w:rPr>
          <w:sz w:val="24"/>
          <w:szCs w:val="24"/>
        </w:rPr>
      </w:pPr>
      <w:r w:rsidRPr="00F5723F">
        <w:rPr>
          <w:rStyle w:val="Hyperlnk"/>
        </w:rPr>
        <w:t>Institution som begrepp</w:t>
      </w:r>
      <w:r w:rsidRPr="00F5723F">
        <w:rPr>
          <w:webHidden/>
        </w:rPr>
        <w:tab/>
        <w:t>221</w:t>
      </w:r>
    </w:p>
    <w:p w:rsidR="00B43C57" w:rsidRPr="00F5723F" w:rsidRDefault="00B43C57">
      <w:pPr>
        <w:pStyle w:val="Innehll3"/>
        <w:rPr>
          <w:sz w:val="24"/>
          <w:szCs w:val="24"/>
        </w:rPr>
      </w:pPr>
      <w:r w:rsidRPr="00F5723F">
        <w:rPr>
          <w:rStyle w:val="Hyperlnk"/>
        </w:rPr>
        <w:t>Genus som begrepp</w:t>
      </w:r>
      <w:r w:rsidRPr="00F5723F">
        <w:rPr>
          <w:webHidden/>
        </w:rPr>
        <w:tab/>
        <w:t>221</w:t>
      </w:r>
    </w:p>
    <w:p w:rsidR="00B43C57" w:rsidRPr="00F5723F" w:rsidRDefault="00B43C57">
      <w:pPr>
        <w:pStyle w:val="Innehll4"/>
        <w:rPr>
          <w:sz w:val="24"/>
          <w:szCs w:val="24"/>
        </w:rPr>
      </w:pPr>
      <w:r w:rsidRPr="00F5723F">
        <w:rPr>
          <w:rStyle w:val="Hyperlnk"/>
        </w:rPr>
        <w:t>Genusforskning och genusperspektiv</w:t>
      </w:r>
      <w:r w:rsidRPr="00F5723F">
        <w:rPr>
          <w:webHidden/>
        </w:rPr>
        <w:tab/>
        <w:t>221</w:t>
      </w:r>
    </w:p>
    <w:p w:rsidR="00B43C57" w:rsidRPr="00F5723F" w:rsidRDefault="00B43C57">
      <w:pPr>
        <w:pStyle w:val="Innehll4"/>
        <w:rPr>
          <w:sz w:val="24"/>
          <w:szCs w:val="24"/>
        </w:rPr>
      </w:pPr>
      <w:r w:rsidRPr="00F5723F">
        <w:rPr>
          <w:rStyle w:val="Hyperlnk"/>
        </w:rPr>
        <w:t>Vad är genus? Skillnaden mellan kön och genus?</w:t>
      </w:r>
      <w:r w:rsidRPr="00F5723F">
        <w:rPr>
          <w:webHidden/>
        </w:rPr>
        <w:tab/>
        <w:t>222</w:t>
      </w:r>
    </w:p>
    <w:p w:rsidR="00B43C57" w:rsidRPr="00F5723F" w:rsidRDefault="00B43C57">
      <w:pPr>
        <w:pStyle w:val="Innehll4"/>
        <w:rPr>
          <w:sz w:val="24"/>
          <w:szCs w:val="24"/>
        </w:rPr>
      </w:pPr>
      <w:r w:rsidRPr="00F5723F">
        <w:rPr>
          <w:rStyle w:val="Hyperlnk"/>
        </w:rPr>
        <w:t>Skillnaden mellan kön och genus</w:t>
      </w:r>
      <w:r w:rsidRPr="00F5723F">
        <w:rPr>
          <w:webHidden/>
        </w:rPr>
        <w:tab/>
        <w:t>223</w:t>
      </w:r>
    </w:p>
    <w:p w:rsidR="00B43C57" w:rsidRPr="00F5723F" w:rsidRDefault="00B43C57">
      <w:pPr>
        <w:pStyle w:val="Innehll4"/>
        <w:rPr>
          <w:sz w:val="24"/>
          <w:szCs w:val="24"/>
        </w:rPr>
      </w:pPr>
      <w:r w:rsidRPr="00F5723F">
        <w:rPr>
          <w:rStyle w:val="Hyperlnk"/>
        </w:rPr>
        <w:t>Genussystem, genusordning, genuskontrakt</w:t>
      </w:r>
      <w:r w:rsidRPr="00F5723F">
        <w:rPr>
          <w:webHidden/>
        </w:rPr>
        <w:tab/>
        <w:t>224</w:t>
      </w:r>
    </w:p>
    <w:p w:rsidR="00B43C57" w:rsidRPr="00F5723F" w:rsidRDefault="00B43C57">
      <w:pPr>
        <w:pStyle w:val="Innehll4"/>
        <w:rPr>
          <w:sz w:val="24"/>
          <w:szCs w:val="24"/>
        </w:rPr>
      </w:pPr>
      <w:r w:rsidRPr="00F5723F">
        <w:rPr>
          <w:rStyle w:val="Hyperlnk"/>
        </w:rPr>
        <w:t>Feminism och genusperspektiv – samma sak?</w:t>
      </w:r>
      <w:r w:rsidRPr="00F5723F">
        <w:rPr>
          <w:webHidden/>
        </w:rPr>
        <w:tab/>
        <w:t>225</w:t>
      </w:r>
    </w:p>
    <w:p w:rsidR="00B43C57" w:rsidRPr="00F5723F" w:rsidRDefault="00B43C57">
      <w:pPr>
        <w:pStyle w:val="Innehll4"/>
        <w:rPr>
          <w:sz w:val="24"/>
          <w:szCs w:val="24"/>
        </w:rPr>
      </w:pPr>
      <w:r w:rsidRPr="00F5723F">
        <w:rPr>
          <w:rStyle w:val="Hyperlnk"/>
        </w:rPr>
        <w:t>Feminism och jämställdhet – samma sak?</w:t>
      </w:r>
      <w:r w:rsidRPr="00F5723F">
        <w:rPr>
          <w:webHidden/>
        </w:rPr>
        <w:tab/>
        <w:t>225</w:t>
      </w:r>
    </w:p>
    <w:p w:rsidR="00B43C57" w:rsidRPr="00F5723F" w:rsidRDefault="00B43C57">
      <w:pPr>
        <w:pStyle w:val="Innehll4"/>
        <w:rPr>
          <w:sz w:val="24"/>
          <w:szCs w:val="24"/>
        </w:rPr>
      </w:pPr>
      <w:r w:rsidRPr="00F5723F">
        <w:rPr>
          <w:rStyle w:val="Hyperlnk"/>
        </w:rPr>
        <w:t>Genus och intersektionalitet</w:t>
      </w:r>
      <w:r w:rsidRPr="00F5723F">
        <w:rPr>
          <w:webHidden/>
        </w:rPr>
        <w:tab/>
        <w:t>226</w:t>
      </w:r>
    </w:p>
    <w:p w:rsidR="00B43C57" w:rsidRPr="00F5723F" w:rsidRDefault="00B43C57">
      <w:pPr>
        <w:pStyle w:val="Innehll4"/>
        <w:rPr>
          <w:sz w:val="24"/>
          <w:szCs w:val="24"/>
        </w:rPr>
      </w:pPr>
      <w:r w:rsidRPr="00F5723F">
        <w:rPr>
          <w:rStyle w:val="Hyperlnk"/>
        </w:rPr>
        <w:t>Centrala termer</w:t>
      </w:r>
      <w:r w:rsidRPr="00F5723F">
        <w:rPr>
          <w:webHidden/>
        </w:rPr>
        <w:tab/>
        <w:t>226</w:t>
      </w:r>
    </w:p>
    <w:p w:rsidR="00B43C57" w:rsidRPr="00F5723F" w:rsidRDefault="00B43C57">
      <w:pPr>
        <w:pStyle w:val="Innehll2"/>
        <w:rPr>
          <w:sz w:val="24"/>
          <w:szCs w:val="24"/>
        </w:rPr>
      </w:pPr>
      <w:r w:rsidRPr="00F5723F">
        <w:rPr>
          <w:rStyle w:val="Hyperlnk"/>
        </w:rPr>
        <w:t>Bakgrund – kvinnor och män i Sveriges riksdag</w:t>
      </w:r>
      <w:r w:rsidRPr="00F5723F">
        <w:rPr>
          <w:webHidden/>
        </w:rPr>
        <w:tab/>
        <w:t>228</w:t>
      </w:r>
    </w:p>
    <w:p w:rsidR="00B43C57" w:rsidRPr="00F5723F" w:rsidRDefault="00B43C57">
      <w:pPr>
        <w:pStyle w:val="Innehll3"/>
        <w:rPr>
          <w:sz w:val="24"/>
          <w:szCs w:val="24"/>
        </w:rPr>
      </w:pPr>
      <w:r w:rsidRPr="00F5723F">
        <w:rPr>
          <w:rStyle w:val="Hyperlnk"/>
        </w:rPr>
        <w:t>Kvinnor och män i Sveriges riksdag</w:t>
      </w:r>
      <w:r w:rsidRPr="00F5723F">
        <w:rPr>
          <w:webHidden/>
        </w:rPr>
        <w:tab/>
        <w:t>228</w:t>
      </w:r>
    </w:p>
    <w:p w:rsidR="00B43C57" w:rsidRPr="00F5723F" w:rsidRDefault="00B43C57">
      <w:pPr>
        <w:pStyle w:val="Innehll3"/>
        <w:rPr>
          <w:sz w:val="24"/>
          <w:szCs w:val="24"/>
        </w:rPr>
      </w:pPr>
      <w:r w:rsidRPr="00F5723F">
        <w:rPr>
          <w:rStyle w:val="Hyperlnk"/>
        </w:rPr>
        <w:t>Kvinnorepresentationens utveckling 1921–2002</w:t>
      </w:r>
      <w:r w:rsidRPr="00F5723F">
        <w:rPr>
          <w:webHidden/>
        </w:rPr>
        <w:tab/>
        <w:t>228</w:t>
      </w:r>
    </w:p>
    <w:p w:rsidR="00B43C57" w:rsidRPr="00F5723F" w:rsidRDefault="00B43C57">
      <w:pPr>
        <w:pStyle w:val="Innehll3"/>
        <w:rPr>
          <w:sz w:val="24"/>
          <w:szCs w:val="24"/>
        </w:rPr>
      </w:pPr>
      <w:r w:rsidRPr="00F5723F">
        <w:rPr>
          <w:rStyle w:val="Hyperlnk"/>
        </w:rPr>
        <w:t>Förklaringsfaktorer bakom den höga representationen av kvinnor i riksdagen</w:t>
      </w:r>
      <w:r w:rsidRPr="00F5723F">
        <w:rPr>
          <w:webHidden/>
        </w:rPr>
        <w:tab/>
        <w:t>230</w:t>
      </w:r>
    </w:p>
    <w:p w:rsidR="00B43C57" w:rsidRPr="00F5723F" w:rsidRDefault="00B43C57">
      <w:pPr>
        <w:pStyle w:val="Innehll2"/>
        <w:rPr>
          <w:sz w:val="24"/>
          <w:szCs w:val="24"/>
        </w:rPr>
      </w:pPr>
      <w:r w:rsidRPr="00F5723F">
        <w:rPr>
          <w:rStyle w:val="Hyperlnk"/>
        </w:rPr>
        <w:t>Kartläggning av forskning om riksdagen som institution i ett genusperspektiv</w:t>
      </w:r>
      <w:r w:rsidRPr="00F5723F">
        <w:rPr>
          <w:webHidden/>
        </w:rPr>
        <w:tab/>
        <w:t>231</w:t>
      </w:r>
    </w:p>
    <w:p w:rsidR="00B43C57" w:rsidRPr="00F5723F" w:rsidRDefault="00B43C57">
      <w:pPr>
        <w:pStyle w:val="Innehll3"/>
        <w:rPr>
          <w:sz w:val="24"/>
          <w:szCs w:val="24"/>
        </w:rPr>
      </w:pPr>
      <w:r w:rsidRPr="00F5723F">
        <w:rPr>
          <w:rStyle w:val="Hyperlnk"/>
        </w:rPr>
        <w:t>Rösträttsrörelsen och kvinnors organisering</w:t>
      </w:r>
      <w:r w:rsidRPr="00F5723F">
        <w:rPr>
          <w:webHidden/>
        </w:rPr>
        <w:tab/>
        <w:t>231</w:t>
      </w:r>
    </w:p>
    <w:p w:rsidR="00B43C57" w:rsidRPr="00F5723F" w:rsidRDefault="00B43C57">
      <w:pPr>
        <w:pStyle w:val="Innehll3"/>
        <w:rPr>
          <w:sz w:val="24"/>
          <w:szCs w:val="24"/>
        </w:rPr>
      </w:pPr>
      <w:r w:rsidRPr="00F5723F">
        <w:rPr>
          <w:rStyle w:val="Hyperlnk"/>
        </w:rPr>
        <w:t>Politisk representation</w:t>
      </w:r>
      <w:r w:rsidRPr="00F5723F">
        <w:rPr>
          <w:webHidden/>
        </w:rPr>
        <w:tab/>
        <w:t>233</w:t>
      </w:r>
    </w:p>
    <w:p w:rsidR="00B43C57" w:rsidRPr="00F5723F" w:rsidRDefault="00B43C57">
      <w:pPr>
        <w:pStyle w:val="Innehll4"/>
        <w:rPr>
          <w:sz w:val="24"/>
          <w:szCs w:val="24"/>
        </w:rPr>
      </w:pPr>
      <w:r w:rsidRPr="00F5723F">
        <w:rPr>
          <w:rStyle w:val="Hyperlnk"/>
        </w:rPr>
        <w:t>Kvinnors inom- och utomparlamentariska organisering</w:t>
      </w:r>
      <w:r w:rsidRPr="00F5723F">
        <w:rPr>
          <w:webHidden/>
        </w:rPr>
        <w:tab/>
        <w:t>236</w:t>
      </w:r>
    </w:p>
    <w:p w:rsidR="00B43C57" w:rsidRPr="00F5723F" w:rsidRDefault="00B43C57">
      <w:pPr>
        <w:pStyle w:val="Innehll3"/>
        <w:rPr>
          <w:sz w:val="24"/>
          <w:szCs w:val="24"/>
        </w:rPr>
      </w:pPr>
      <w:r w:rsidRPr="00F5723F">
        <w:rPr>
          <w:rStyle w:val="Hyperlnk"/>
        </w:rPr>
        <w:t>Rekrytering och nominering till Sveriges riksdag</w:t>
      </w:r>
      <w:r w:rsidRPr="00F5723F">
        <w:rPr>
          <w:webHidden/>
        </w:rPr>
        <w:tab/>
        <w:t>239</w:t>
      </w:r>
    </w:p>
    <w:p w:rsidR="00B43C57" w:rsidRPr="00F5723F" w:rsidRDefault="00B43C57">
      <w:pPr>
        <w:pStyle w:val="Innehll3"/>
        <w:rPr>
          <w:sz w:val="24"/>
          <w:szCs w:val="24"/>
        </w:rPr>
      </w:pPr>
      <w:r w:rsidRPr="00F5723F">
        <w:rPr>
          <w:rStyle w:val="Hyperlnk"/>
        </w:rPr>
        <w:t>Riksdagsledamöters utskottsplacering, intressen och åsikter</w:t>
      </w:r>
      <w:r w:rsidRPr="00F5723F">
        <w:rPr>
          <w:webHidden/>
        </w:rPr>
        <w:tab/>
        <w:t>244</w:t>
      </w:r>
    </w:p>
    <w:p w:rsidR="00B43C57" w:rsidRPr="00F5723F" w:rsidRDefault="00B43C57">
      <w:pPr>
        <w:pStyle w:val="Innehll4"/>
        <w:rPr>
          <w:sz w:val="24"/>
          <w:szCs w:val="24"/>
        </w:rPr>
      </w:pPr>
      <w:r w:rsidRPr="00F5723F">
        <w:rPr>
          <w:rStyle w:val="Hyperlnk"/>
        </w:rPr>
        <w:t>Utskottsplacering</w:t>
      </w:r>
      <w:r w:rsidRPr="00F5723F">
        <w:rPr>
          <w:webHidden/>
        </w:rPr>
        <w:tab/>
        <w:t>245</w:t>
      </w:r>
    </w:p>
    <w:p w:rsidR="00B43C57" w:rsidRPr="00F5723F" w:rsidRDefault="00B43C57">
      <w:pPr>
        <w:pStyle w:val="Innehll4"/>
        <w:rPr>
          <w:sz w:val="24"/>
          <w:szCs w:val="24"/>
        </w:rPr>
      </w:pPr>
      <w:r w:rsidRPr="00F5723F">
        <w:rPr>
          <w:rStyle w:val="Hyperlnk"/>
        </w:rPr>
        <w:t>Åsikter och intressen</w:t>
      </w:r>
      <w:r w:rsidRPr="00F5723F">
        <w:rPr>
          <w:webHidden/>
        </w:rPr>
        <w:tab/>
        <w:t>246</w:t>
      </w:r>
    </w:p>
    <w:p w:rsidR="00B43C57" w:rsidRPr="00F5723F" w:rsidRDefault="00B43C57">
      <w:pPr>
        <w:pStyle w:val="Innehll4"/>
        <w:rPr>
          <w:sz w:val="24"/>
          <w:szCs w:val="24"/>
        </w:rPr>
      </w:pPr>
      <w:r w:rsidRPr="00F5723F">
        <w:rPr>
          <w:rStyle w:val="Hyperlnk"/>
        </w:rPr>
        <w:t>Riksdagsledamöters språk</w:t>
      </w:r>
      <w:r w:rsidRPr="00F5723F">
        <w:rPr>
          <w:webHidden/>
        </w:rPr>
        <w:tab/>
        <w:t>248</w:t>
      </w:r>
    </w:p>
    <w:p w:rsidR="00B43C57" w:rsidRPr="00F5723F" w:rsidRDefault="00B43C57">
      <w:pPr>
        <w:pStyle w:val="Innehll3"/>
        <w:rPr>
          <w:sz w:val="24"/>
          <w:szCs w:val="24"/>
        </w:rPr>
      </w:pPr>
      <w:r w:rsidRPr="00F5723F">
        <w:rPr>
          <w:rStyle w:val="Hyperlnk"/>
        </w:rPr>
        <w:t>Riksdagsledamöters villkor och situation i riksdagen</w:t>
      </w:r>
      <w:r w:rsidRPr="00F5723F">
        <w:rPr>
          <w:webHidden/>
        </w:rPr>
        <w:tab/>
        <w:t>249</w:t>
      </w:r>
    </w:p>
    <w:p w:rsidR="00B43C57" w:rsidRPr="00F5723F" w:rsidRDefault="00B43C57">
      <w:pPr>
        <w:pStyle w:val="Innehll3"/>
        <w:rPr>
          <w:sz w:val="24"/>
          <w:szCs w:val="24"/>
        </w:rPr>
      </w:pPr>
      <w:r w:rsidRPr="00F5723F">
        <w:rPr>
          <w:rStyle w:val="Hyperlnk"/>
        </w:rPr>
        <w:t>Jämställdhet</w:t>
      </w:r>
      <w:r w:rsidRPr="00F5723F">
        <w:rPr>
          <w:webHidden/>
        </w:rPr>
        <w:tab/>
        <w:t>260</w:t>
      </w:r>
    </w:p>
    <w:p w:rsidR="00B43C57" w:rsidRPr="00F5723F" w:rsidRDefault="00B43C57">
      <w:pPr>
        <w:pStyle w:val="Innehll2"/>
        <w:rPr>
          <w:sz w:val="24"/>
          <w:szCs w:val="24"/>
        </w:rPr>
      </w:pPr>
      <w:r w:rsidRPr="00F5723F">
        <w:rPr>
          <w:rStyle w:val="Hyperlnk"/>
        </w:rPr>
        <w:t>Olika förståelser av könsmönster och kvinnors villkor i politiken</w:t>
      </w:r>
      <w:r w:rsidRPr="00F5723F">
        <w:rPr>
          <w:webHidden/>
        </w:rPr>
        <w:tab/>
        <w:t>265</w:t>
      </w:r>
    </w:p>
    <w:p w:rsidR="00B43C57" w:rsidRPr="00F5723F" w:rsidRDefault="00B43C57">
      <w:pPr>
        <w:pStyle w:val="Innehll2"/>
        <w:rPr>
          <w:sz w:val="24"/>
          <w:szCs w:val="24"/>
        </w:rPr>
      </w:pPr>
      <w:r w:rsidRPr="00F5723F">
        <w:rPr>
          <w:rStyle w:val="Hyperlnk"/>
        </w:rPr>
        <w:t>Sammanfattning och blickar</w:t>
      </w:r>
      <w:r w:rsidRPr="00F5723F">
        <w:rPr>
          <w:webHidden/>
        </w:rPr>
        <w:tab/>
        <w:t>268</w:t>
      </w:r>
    </w:p>
    <w:p w:rsidR="00B43C57" w:rsidRPr="00F5723F" w:rsidRDefault="00B43C57">
      <w:pPr>
        <w:pStyle w:val="Innehll2"/>
        <w:rPr>
          <w:sz w:val="24"/>
          <w:szCs w:val="24"/>
        </w:rPr>
      </w:pPr>
      <w:r w:rsidRPr="00F5723F">
        <w:rPr>
          <w:rStyle w:val="Hyperlnk"/>
        </w:rPr>
        <w:t>Referenser</w:t>
      </w:r>
      <w:r w:rsidRPr="00F5723F">
        <w:rPr>
          <w:webHidden/>
        </w:rPr>
        <w:tab/>
        <w:t>270</w:t>
      </w:r>
    </w:p>
    <w:p w:rsidR="00B43C57" w:rsidRPr="00F5723F" w:rsidRDefault="00B43C57">
      <w:pPr>
        <w:pStyle w:val="Innehll1"/>
        <w:rPr>
          <w:sz w:val="24"/>
          <w:szCs w:val="24"/>
        </w:rPr>
      </w:pPr>
      <w:r w:rsidRPr="00F5723F">
        <w:rPr>
          <w:rStyle w:val="Hyperlnk"/>
          <w:b/>
        </w:rPr>
        <w:t>Författarpresentationer</w:t>
      </w:r>
      <w:r w:rsidRPr="00F5723F">
        <w:rPr>
          <w:webHidden/>
        </w:rPr>
        <w:tab/>
        <w:t>286</w:t>
      </w:r>
    </w:p>
    <w:p w:rsidR="00B43C57" w:rsidRPr="00F5723F" w:rsidRDefault="00B43C57">
      <w:pPr>
        <w:pStyle w:val="Innehll1"/>
      </w:pPr>
    </w:p>
    <w:p w:rsidR="00B43C57" w:rsidRPr="00F5723F" w:rsidRDefault="00B43C57">
      <w:pPr>
        <w:pStyle w:val="Normaltindrag"/>
      </w:pPr>
    </w:p>
    <w:p w:rsidR="00B43C57" w:rsidRPr="00F5723F" w:rsidRDefault="00B43C57">
      <w:pPr>
        <w:pStyle w:val="Normaltindrag"/>
        <w:sectPr w:rsidR="00000000" w:rsidRPr="00F5723F">
          <w:headerReference w:type="even" r:id="rId19"/>
          <w:headerReference w:type="default" r:id="rId20"/>
          <w:footerReference w:type="even" r:id="rId21"/>
          <w:footerReference w:type="default" r:id="rId22"/>
          <w:headerReference w:type="first" r:id="rId23"/>
          <w:footerReference w:type="first" r:id="rId24"/>
          <w:pgSz w:w="11906" w:h="16838" w:code="9"/>
          <w:pgMar w:top="907" w:right="4649" w:bottom="4508" w:left="1304" w:header="340" w:footer="227" w:gutter="0"/>
          <w:cols w:space="720"/>
          <w:titlePg/>
        </w:sectPr>
      </w:pPr>
    </w:p>
    <w:p w:rsidR="00B43C57" w:rsidRPr="00F5723F" w:rsidRDefault="00B43C57"/>
    <w:p w:rsidR="00B43C57" w:rsidRPr="00F5723F" w:rsidRDefault="00B43C57">
      <w:pPr>
        <w:pStyle w:val="Rubrik1"/>
        <w:jc w:val="center"/>
        <w:rPr>
          <w:b/>
          <w:noProof w:val="0"/>
        </w:rPr>
      </w:pPr>
      <w:bookmarkStart w:id="6" w:name="_Toc121738878"/>
      <w:bookmarkStart w:id="7" w:name="_Toc124697771"/>
      <w:r w:rsidRPr="00F5723F">
        <w:rPr>
          <w:b/>
          <w:noProof w:val="0"/>
        </w:rPr>
        <w:t>Rapport 1</w:t>
      </w:r>
      <w:bookmarkEnd w:id="7"/>
    </w:p>
    <w:p w:rsidR="00B43C57" w:rsidRPr="00F5723F" w:rsidRDefault="00B43C57">
      <w:pPr>
        <w:pStyle w:val="Rubrik1"/>
        <w:jc w:val="center"/>
        <w:rPr>
          <w:noProof w:val="0"/>
        </w:rPr>
      </w:pPr>
      <w:bookmarkStart w:id="8" w:name="_Toc124697772"/>
      <w:r w:rsidRPr="00F5723F">
        <w:rPr>
          <w:noProof w:val="0"/>
        </w:rPr>
        <w:t>Riksdagens starka och svaga sidor</w:t>
      </w:r>
      <w:bookmarkEnd w:id="6"/>
      <w:bookmarkEnd w:id="8"/>
    </w:p>
    <w:p w:rsidR="00B43C57" w:rsidRPr="00F5723F" w:rsidRDefault="00B43C57">
      <w:pPr>
        <w:jc w:val="center"/>
        <w:rPr>
          <w:b/>
        </w:rPr>
      </w:pPr>
      <w:r w:rsidRPr="00F5723F">
        <w:rPr>
          <w:b/>
        </w:rPr>
        <w:t>Martin Brothén</w:t>
      </w:r>
    </w:p>
    <w:p w:rsidR="00B43C57" w:rsidRPr="00F5723F" w:rsidRDefault="00B43C57"/>
    <w:p w:rsidR="00B43C57" w:rsidRPr="00F5723F" w:rsidRDefault="00B43C57"/>
    <w:p w:rsidR="00B43C57" w:rsidRPr="00F5723F" w:rsidRDefault="00B43C57"/>
    <w:p w:rsidR="00B43C57" w:rsidRPr="00F5723F" w:rsidRDefault="00B43C57"/>
    <w:p w:rsidR="00B43C57" w:rsidRPr="00F5723F" w:rsidRDefault="00B43C57">
      <w:r w:rsidRPr="00F5723F">
        <w:t>Bristen på förtroende för politiker, partier och nationella parlament utgör ett stort samhälleligt problem i västerländska demokratier.</w:t>
      </w:r>
      <w:r w:rsidRPr="00F5723F">
        <w:rPr>
          <w:rStyle w:val="Fotnotsreferens"/>
        </w:rPr>
        <w:footnoteReference w:id="1"/>
      </w:r>
      <w:r w:rsidRPr="00F5723F">
        <w:t xml:space="preserve"> Den samhällsvete</w:t>
      </w:r>
      <w:r w:rsidRPr="00F5723F">
        <w:t>n</w:t>
      </w:r>
      <w:r w:rsidRPr="00F5723F">
        <w:t>skapliga forskningen har under ett flertal decennier studerat medborga</w:t>
      </w:r>
      <w:r w:rsidRPr="00F5723F">
        <w:t>r</w:t>
      </w:r>
      <w:r w:rsidRPr="00F5723F">
        <w:t>nas förtroende för det politiska systemet och för politiker. Den u</w:t>
      </w:r>
      <w:r w:rsidRPr="00F5723F">
        <w:t>t</w:t>
      </w:r>
      <w:r w:rsidRPr="00F5723F">
        <w:t>veckling som tecknats i svenska och internationella studier har inte alltid varit ljus. I ett stort antal västerländska demokratier har trenden visat på ett växande misstr</w:t>
      </w:r>
      <w:r w:rsidRPr="00F5723F">
        <w:t>o</w:t>
      </w:r>
      <w:r w:rsidRPr="00F5723F">
        <w:t>ende mot politiker (Österman 1981; Holmberg &amp; Gilljam 1987:235 ff.; Gil</w:t>
      </w:r>
      <w:r w:rsidRPr="00F5723F">
        <w:t>l</w:t>
      </w:r>
      <w:r w:rsidRPr="00F5723F">
        <w:t>jam &amp; Holmberg 1995:85 ff.; Dalton 1999:64; Holmberg 1999c; 1999d; 2000, j</w:t>
      </w:r>
      <w:r w:rsidRPr="00F5723F">
        <w:t xml:space="preserve">fr Lipset &amp; Schneider 1983). </w:t>
      </w:r>
    </w:p>
    <w:p w:rsidR="00B43C57" w:rsidRPr="00F5723F" w:rsidRDefault="00B43C57">
      <w:pPr>
        <w:pStyle w:val="Normaltindrag"/>
      </w:pPr>
      <w:r w:rsidRPr="00F5723F">
        <w:t>Under se</w:t>
      </w:r>
      <w:r w:rsidRPr="00F5723F">
        <w:t>nare år har också särskilt parlamentens situation visat sig beky</w:t>
      </w:r>
      <w:r w:rsidRPr="00F5723F">
        <w:t>m</w:t>
      </w:r>
      <w:r w:rsidRPr="00F5723F">
        <w:t>mersam.</w:t>
      </w:r>
      <w:r w:rsidRPr="00F5723F">
        <w:rPr>
          <w:rStyle w:val="Fotnotsreferens"/>
        </w:rPr>
        <w:footnoteReference w:id="2"/>
      </w:r>
      <w:r w:rsidRPr="00F5723F">
        <w:t xml:space="preserve"> Trenden för medborgarnas förtroende för det egna landets parl</w:t>
      </w:r>
      <w:r w:rsidRPr="00F5723F">
        <w:t>a</w:t>
      </w:r>
      <w:r w:rsidRPr="00F5723F">
        <w:t>ment har de senaste decennierna varit nedåtgående. De amerikanska sa</w:t>
      </w:r>
      <w:r w:rsidRPr="00F5723F">
        <w:t>m</w:t>
      </w:r>
      <w:r w:rsidRPr="00F5723F">
        <w:t>hällsvetarna Se</w:t>
      </w:r>
      <w:r w:rsidRPr="00F5723F">
        <w:t>y</w:t>
      </w:r>
      <w:r w:rsidRPr="00F5723F">
        <w:t>mour Martin Lipset och Wi</w:t>
      </w:r>
      <w:r w:rsidRPr="00F5723F">
        <w:t>lliam Schneider har till exempel</w:t>
      </w:r>
      <w:r w:rsidRPr="00F5723F">
        <w:t xml:space="preserve"> visat på ett närmast halverat förtroende för den amerikanska kongressen me</w:t>
      </w:r>
      <w:r w:rsidRPr="00F5723F">
        <w:t>l</w:t>
      </w:r>
      <w:r w:rsidRPr="00F5723F">
        <w:t>lan 1960-talets mitt och början av 1980-talet, även om en viss återhämtning av förtr</w:t>
      </w:r>
      <w:r w:rsidRPr="00F5723F">
        <w:t>o</w:t>
      </w:r>
      <w:r w:rsidRPr="00F5723F">
        <w:t>endet kunnat iakttas under 1980-talet (Lipset &amp; Schneider 1983; 1987, jfr Hibbing &amp; Theiss-Morse 1998). I en komparativ undersökning av förtroende</w:t>
      </w:r>
      <w:r w:rsidRPr="00F5723F">
        <w:t>t för parlament i väs</w:t>
      </w:r>
      <w:r w:rsidRPr="00F5723F">
        <w:t>t</w:t>
      </w:r>
      <w:r w:rsidRPr="00F5723F">
        <w:t>europeiska länder 1981 och 1990 visar dock Ola Listhaug och Matti Wiberg att förtroendet, med unda</w:t>
      </w:r>
      <w:r w:rsidRPr="00F5723F">
        <w:t>n</w:t>
      </w:r>
      <w:r w:rsidRPr="00F5723F">
        <w:t>tag av Norges Storting, har varit i det närmaste stabilt. Förtroendet i Norge har visat en positiv u</w:t>
      </w:r>
      <w:r w:rsidRPr="00F5723F">
        <w:t>t</w:t>
      </w:r>
      <w:r w:rsidRPr="00F5723F">
        <w:t>veckling. Förtroendet för parlamenten har under 1990-talet visat på en</w:t>
      </w:r>
      <w:r w:rsidRPr="00F5723F">
        <w:rPr>
          <w:sz w:val="24"/>
        </w:rPr>
        <w:t xml:space="preserve"> </w:t>
      </w:r>
      <w:r w:rsidRPr="00F5723F">
        <w:t>ne</w:t>
      </w:r>
      <w:r w:rsidRPr="00F5723F">
        <w:t>d</w:t>
      </w:r>
      <w:r w:rsidRPr="00F5723F">
        <w:t>gång, särskilt tydlig i många östeuropeiska länder. Bland västländerna uppvisar USA den klaraste ne</w:t>
      </w:r>
      <w:r w:rsidRPr="00F5723F">
        <w:t>d</w:t>
      </w:r>
      <w:r w:rsidRPr="00F5723F">
        <w:t xml:space="preserve">gången (Listhaug &amp; Wiberg 1995; Dalton 1999; Holmberg 1999c; 1999d; Brothén 2002:133 ff.). </w:t>
      </w:r>
    </w:p>
    <w:p w:rsidR="00B43C57" w:rsidRPr="00F5723F" w:rsidRDefault="00B43C57">
      <w:pPr>
        <w:pStyle w:val="Normaltindrag"/>
      </w:pPr>
      <w:r w:rsidRPr="00F5723F">
        <w:lastRenderedPageBreak/>
        <w:t>Samhällsvetenskaplig for</w:t>
      </w:r>
      <w:r w:rsidRPr="00F5723F">
        <w:t>skning har ägnat stor kraft åt att försöka förklara medborgarnas bristande förtroende för politiska institutioner. Dessa försök har inte alltid varit helt framgångsrika; förtroende är ett svårfångat fen</w:t>
      </w:r>
      <w:r w:rsidRPr="00F5723F">
        <w:t>o</w:t>
      </w:r>
      <w:r w:rsidRPr="00F5723F">
        <w:t xml:space="preserve">men. Ett flertal forskare har utgått från en institutionell ansats när det bristande förtroendet skall förklaras. Pippa Norris har till exempel i boken </w:t>
      </w:r>
      <w:r w:rsidRPr="00F5723F">
        <w:rPr>
          <w:i/>
        </w:rPr>
        <w:t>Critical Citizens</w:t>
      </w:r>
      <w:r w:rsidRPr="00F5723F">
        <w:t xml:space="preserve"> u</w:t>
      </w:r>
      <w:r w:rsidRPr="00F5723F">
        <w:t>n</w:t>
      </w:r>
      <w:r w:rsidRPr="00F5723F">
        <w:t xml:space="preserve">dersökt om förtroendeminskningarna har att göra med brister i det politiska systemets utformning (Norris 1999:21 ff. och 217 ff.; Möller </w:t>
      </w:r>
      <w:r w:rsidRPr="00F5723F">
        <w:t>2000:58 ff.).</w:t>
      </w:r>
    </w:p>
    <w:p w:rsidR="00B43C57" w:rsidRPr="00F5723F" w:rsidRDefault="00B43C57">
      <w:pPr>
        <w:pStyle w:val="Normaltindrag"/>
      </w:pPr>
      <w:r w:rsidRPr="00F5723F">
        <w:t>Utgångspunkten för det resonemang som Pippa Norris för är att det finns ett samband mellan politikerförtroende och politikens spelregler. Politikerfö</w:t>
      </w:r>
      <w:r w:rsidRPr="00F5723F">
        <w:t>r</w:t>
      </w:r>
      <w:r w:rsidRPr="00F5723F">
        <w:t>troendet är högre i länder med majoritetsvalsystem än i länder med proporti</w:t>
      </w:r>
      <w:r w:rsidRPr="00F5723F">
        <w:t>o</w:t>
      </w:r>
      <w:r w:rsidRPr="00F5723F">
        <w:t>nella valsystem, högre i länder med parlamentariska system än i lä</w:t>
      </w:r>
      <w:r w:rsidRPr="00F5723F">
        <w:t>n</w:t>
      </w:r>
      <w:r w:rsidRPr="00F5723F">
        <w:t>der med presidentsystem och högre i länder med få partier än i länder med många partier (Norris 1999:232 f.). Därmed skulle politikermisstron kunna tillskr</w:t>
      </w:r>
      <w:r w:rsidRPr="00F5723F">
        <w:t>i</w:t>
      </w:r>
      <w:r w:rsidRPr="00F5723F">
        <w:t>vas brister i det politiska systemets utformning. Enligt detta synsätt skulle u</w:t>
      </w:r>
      <w:r w:rsidRPr="00F5723F">
        <w:t>t</w:t>
      </w:r>
      <w:r w:rsidRPr="00F5723F">
        <w:t>formningen av det politiska systemet och dess funktioner, uppgifter och a</w:t>
      </w:r>
      <w:r w:rsidRPr="00F5723F">
        <w:t>r</w:t>
      </w:r>
      <w:r w:rsidRPr="00F5723F">
        <w:t>betssätt kunna påverka graden av förtroende hos medborgarn</w:t>
      </w:r>
      <w:r w:rsidRPr="00F5723F">
        <w:t xml:space="preserve">a. </w:t>
      </w:r>
    </w:p>
    <w:p w:rsidR="00B43C57" w:rsidRPr="00F5723F" w:rsidRDefault="00B43C57">
      <w:pPr>
        <w:pStyle w:val="Normaltindrag"/>
        <w:rPr>
          <w:spacing w:val="-4"/>
          <w:szCs w:val="19"/>
        </w:rPr>
      </w:pPr>
      <w:r w:rsidRPr="00F5723F">
        <w:t>Olof Petersson har kommit till en liknande slutsats: ”Det faktum att sven</w:t>
      </w:r>
      <w:r w:rsidRPr="00F5723F">
        <w:t>s</w:t>
      </w:r>
      <w:r w:rsidRPr="00F5723F">
        <w:t>ka</w:t>
      </w:r>
      <w:r w:rsidRPr="00F5723F">
        <w:t>r</w:t>
      </w:r>
      <w:r w:rsidRPr="00F5723F">
        <w:t>na i dag har mycket lågt förtroende för partier och politiker kan inte bara skyllas på yttre omständigheter. En viktig förklaring är också att det politi</w:t>
      </w:r>
      <w:r w:rsidRPr="00F5723F">
        <w:t>s</w:t>
      </w:r>
      <w:r w:rsidRPr="00F5723F">
        <w:t xml:space="preserve">ka ledarskapet och </w:t>
      </w:r>
      <w:r w:rsidRPr="00F5723F">
        <w:rPr>
          <w:i/>
        </w:rPr>
        <w:t>de politiska institutionerna har stora brister</w:t>
      </w:r>
      <w:r w:rsidRPr="00F5723F">
        <w:t xml:space="preserve"> [min kursiv</w:t>
      </w:r>
      <w:r w:rsidRPr="00F5723F">
        <w:t>e</w:t>
      </w:r>
      <w:r w:rsidRPr="00F5723F">
        <w:rPr>
          <w:spacing w:val="-4"/>
          <w:szCs w:val="19"/>
        </w:rPr>
        <w:t xml:space="preserve">ring].” (Petersson 1997, jfr Petersson 1999:108; Mattson &amp; Petersson 2003:25 f.) </w:t>
      </w:r>
    </w:p>
    <w:p w:rsidR="00B43C57" w:rsidRPr="00F5723F" w:rsidRDefault="00B43C57">
      <w:pPr>
        <w:pStyle w:val="Normaltindrag"/>
      </w:pPr>
      <w:r w:rsidRPr="00F5723F">
        <w:t>Både Pippa Norris och Olof Petersson vill således koppla allmänhetens låga förtroende för politik, partier och politiker till de institutionella forme</w:t>
      </w:r>
      <w:r w:rsidRPr="00F5723F">
        <w:t>r</w:t>
      </w:r>
      <w:r w:rsidRPr="00F5723F">
        <w:t>na för det politiska systemet. Vad som i båda fallen diskuteras är närmast de konst</w:t>
      </w:r>
      <w:r w:rsidRPr="00F5723F">
        <w:t>i</w:t>
      </w:r>
      <w:r w:rsidRPr="00F5723F">
        <w:t xml:space="preserve">tutionella spelreglerna för det politiska systemet. </w:t>
      </w:r>
    </w:p>
    <w:p w:rsidR="00B43C57" w:rsidRPr="00F5723F" w:rsidRDefault="00B43C57">
      <w:pPr>
        <w:pStyle w:val="Normaltindrag"/>
      </w:pPr>
      <w:r w:rsidRPr="00F5723F">
        <w:t>Överfört på riksdagen skulle vi kunna förvänta oss att medborgarnas låga förtroende för riksdagen skulle kunna härledas till faktiska eller upplevda brister i institutionen riksdagen och dess sätt att fungera. Något strikt test av teorier om att institutionella spelregler förklarar graden av medborgarnas tillit till det nationella parlamentet kommer inte att ske i detta k</w:t>
      </w:r>
      <w:r w:rsidRPr="00F5723F">
        <w:t>apitel; ett sådant test skulle förutsätta data från flera olika länder. En närliggande tanke skulle däremot kunna vara att institutionens och dess ledamöters sätt att hantera och fullgöra de egna uppgifterna ifrågasätts av medborgarna, vilket i sin tur p</w:t>
      </w:r>
      <w:r w:rsidRPr="00F5723F">
        <w:t>å</w:t>
      </w:r>
      <w:r w:rsidRPr="00F5723F">
        <w:t>verkar förtroendet för riksdagen negativt. Ett samband skulle dä</w:t>
      </w:r>
      <w:r w:rsidRPr="00F5723F">
        <w:t>r</w:t>
      </w:r>
      <w:r w:rsidRPr="00F5723F">
        <w:t>för kunna förväntas mellan medborgarnas bedömningar av hur riksdagen och dess l</w:t>
      </w:r>
      <w:r w:rsidRPr="00F5723F">
        <w:t>e</w:t>
      </w:r>
      <w:r w:rsidRPr="00F5723F">
        <w:t>damöter sköter sina uppgifter och vilket förtroende som riksd</w:t>
      </w:r>
      <w:r w:rsidRPr="00F5723F">
        <w:t>a</w:t>
      </w:r>
      <w:r w:rsidRPr="00F5723F">
        <w:t xml:space="preserve">gen åtnjuter. </w:t>
      </w:r>
    </w:p>
    <w:p w:rsidR="00B43C57" w:rsidRPr="00F5723F" w:rsidRDefault="00B43C57">
      <w:pPr>
        <w:pStyle w:val="Normaltindrag"/>
      </w:pPr>
      <w:r w:rsidRPr="00F5723F">
        <w:t>Statsrättsligt sett brukar riksdage</w:t>
      </w:r>
      <w:r w:rsidRPr="00F5723F">
        <w:t>n tillskrivas tre funktioner. Till riksd</w:t>
      </w:r>
      <w:r w:rsidRPr="00F5723F">
        <w:t>a</w:t>
      </w:r>
      <w:r w:rsidRPr="00F5723F">
        <w:t>gen hänförs lagstiftningsmakten, finansmakten och kontrollmakten (Hol</w:t>
      </w:r>
      <w:r w:rsidRPr="00F5723F">
        <w:t>m</w:t>
      </w:r>
      <w:r w:rsidRPr="00F5723F">
        <w:t>berg &amp; Stjernquist 1980:29 f. och 49). Funktionerna framgår av 1 kap. 4 § regering</w:t>
      </w:r>
      <w:r w:rsidRPr="00F5723F">
        <w:t>s</w:t>
      </w:r>
      <w:r w:rsidRPr="00F5723F">
        <w:t>formen som lyder: ”Riksdagen stiftar lag, beslutar om skatt till staten och bestämmer hur statens medel skall användas. Riksdagen granskar rikets st</w:t>
      </w:r>
      <w:r w:rsidRPr="00F5723F">
        <w:t>y</w:t>
      </w:r>
      <w:r w:rsidRPr="00F5723F">
        <w:t>relse och förvaltning.” I litteraturen om nationella parlament brukar ytterlig</w:t>
      </w:r>
      <w:r w:rsidRPr="00F5723F">
        <w:t>a</w:t>
      </w:r>
      <w:r w:rsidRPr="00F5723F">
        <w:t>re ett antal uppgifter och funktioner omnämnas. Avsikten med detta kapitel är att undersök</w:t>
      </w:r>
      <w:r w:rsidRPr="00F5723F">
        <w:t xml:space="preserve">a om det finns stöd för tesen att allmänhetens bedömning av </w:t>
      </w:r>
      <w:r w:rsidRPr="00F5723F">
        <w:lastRenderedPageBreak/>
        <w:t>hur olika tänkbara riksdagsuppgifter hanteras påverkar det generella förtroendet för riksdagen. Har förtroendebedömningen något att göra med i vilken grad medborgarna anser att riksdagen sköter sina uppgi</w:t>
      </w:r>
      <w:r w:rsidRPr="00F5723F">
        <w:t>f</w:t>
      </w:r>
      <w:r w:rsidRPr="00F5723F">
        <w:t>ter på ett bra eller dåligt sätt?</w:t>
      </w:r>
      <w:r w:rsidRPr="00F5723F">
        <w:rPr>
          <w:rStyle w:val="Fotnotsreferens"/>
        </w:rPr>
        <w:footnoteReference w:id="3"/>
      </w:r>
    </w:p>
    <w:p w:rsidR="00B43C57" w:rsidRPr="00F5723F" w:rsidRDefault="00B43C57">
      <w:pPr>
        <w:pStyle w:val="Rubrik2"/>
      </w:pPr>
      <w:bookmarkStart w:id="9" w:name="_Toc121738879"/>
      <w:bookmarkStart w:id="10" w:name="_Toc124697773"/>
      <w:r w:rsidRPr="00F5723F">
        <w:t>Förtroendet för riksdagen över tid</w:t>
      </w:r>
      <w:bookmarkEnd w:id="9"/>
      <w:bookmarkEnd w:id="10"/>
    </w:p>
    <w:p w:rsidR="00B43C57" w:rsidRPr="00F5723F" w:rsidRDefault="00B43C57">
      <w:r w:rsidRPr="00F5723F">
        <w:t xml:space="preserve">Förtroendet för politiker och partier i Sverige har sjunkit under en 30-årsperiod. Sören Holmberg redovisar i boken </w:t>
      </w:r>
      <w:r w:rsidRPr="00F5723F">
        <w:rPr>
          <w:i/>
        </w:rPr>
        <w:t>Välja parti</w:t>
      </w:r>
      <w:r w:rsidRPr="00F5723F">
        <w:t xml:space="preserve"> hur andelen väljare som instämmer i påståendena </w:t>
      </w:r>
      <w:r w:rsidRPr="00F5723F">
        <w:t>”</w:t>
      </w:r>
      <w:r w:rsidRPr="00F5723F">
        <w:rPr>
          <w:i/>
        </w:rPr>
        <w:t>de som sitter i riksdagen och beslutar tar inte mycket hänsyn till vad vanligt folk tycker och tänker</w:t>
      </w:r>
      <w:r w:rsidRPr="00F5723F">
        <w:t>”</w:t>
      </w:r>
      <w:r w:rsidRPr="00F5723F">
        <w:rPr>
          <w:i/>
        </w:rPr>
        <w:t xml:space="preserve"> </w:t>
      </w:r>
      <w:r w:rsidRPr="00F5723F">
        <w:t xml:space="preserve">och </w:t>
      </w:r>
      <w:r w:rsidRPr="00F5723F">
        <w:t>”</w:t>
      </w:r>
      <w:r w:rsidRPr="00F5723F">
        <w:rPr>
          <w:i/>
        </w:rPr>
        <w:t>partierna är bara intresserade av folks röster, men inte av deras åsikter</w:t>
      </w:r>
      <w:r w:rsidRPr="00F5723F">
        <w:t>”</w:t>
      </w:r>
      <w:r w:rsidRPr="00F5723F">
        <w:rPr>
          <w:i/>
        </w:rPr>
        <w:t xml:space="preserve"> </w:t>
      </w:r>
      <w:r w:rsidRPr="00F5723F">
        <w:t>har ökat över tid (Holmberg 2000:32 ff.). År 1968 var andelen väljare som instämde i det första påståendet 46 procent. Exakt 30 år senare – i riksdagsvalet 1998 – uppmättes att 75 procent av väljarna instämde i samma påstående. Misstron mot polit</w:t>
      </w:r>
      <w:r w:rsidRPr="00F5723F">
        <w:t>i</w:t>
      </w:r>
      <w:r w:rsidRPr="00F5723F">
        <w:t xml:space="preserve">ker har således ökat </w:t>
      </w:r>
      <w:r w:rsidRPr="00F5723F">
        <w:t>kraftigt i Sverige under perioden 1968–1998. I 2002 års valu</w:t>
      </w:r>
      <w:r w:rsidRPr="00F5723F">
        <w:t>n</w:t>
      </w:r>
      <w:r w:rsidRPr="00F5723F">
        <w:t>dersökning har andelen väljare som instämmer i påståendet sjunkit till 68 procent. Utvecklingen är densamma om vi ser till det andra påståendet om partierna</w:t>
      </w:r>
      <w:r w:rsidRPr="00F5723F">
        <w:rPr>
          <w:i/>
        </w:rPr>
        <w:t xml:space="preserve">. </w:t>
      </w:r>
      <w:r w:rsidRPr="00F5723F">
        <w:t>1968 instämde 37 procent av väljarna i detta påst</w:t>
      </w:r>
      <w:r w:rsidRPr="00F5723F">
        <w:t>å</w:t>
      </w:r>
      <w:r w:rsidRPr="00F5723F">
        <w:t>ende; 1998 hade andelen stigit till 75 procent. I 2002 års undersökning uppgår andelen till 69 procent.</w:t>
      </w:r>
      <w:r w:rsidRPr="00F5723F">
        <w:rPr>
          <w:rStyle w:val="Fotnotsreferens"/>
        </w:rPr>
        <w:footnoteReference w:id="4"/>
      </w:r>
      <w:r w:rsidRPr="00F5723F">
        <w:t xml:space="preserve"> Resu</w:t>
      </w:r>
      <w:r w:rsidRPr="00F5723F">
        <w:t>l</w:t>
      </w:r>
      <w:r w:rsidRPr="00F5723F">
        <w:t xml:space="preserve">taten framgår av figur 1. </w:t>
      </w:r>
    </w:p>
    <w:p w:rsidR="00B43C57" w:rsidRPr="00F5723F" w:rsidRDefault="00B43C57">
      <w:pPr>
        <w:pStyle w:val="Tabellrubrik"/>
      </w:pPr>
      <w:r w:rsidRPr="00F5723F">
        <w:br w:type="page"/>
      </w:r>
      <w:r w:rsidRPr="00F5723F">
        <w:lastRenderedPageBreak/>
        <w:t>Figur 1</w:t>
      </w:r>
      <w:r w:rsidRPr="00F5723F">
        <w:tab/>
        <w:t>Misstro mot partier och politiker 1968–2002 (pr</w:t>
      </w:r>
      <w:r w:rsidRPr="00F5723F">
        <w:t>o</w:t>
      </w:r>
      <w:r w:rsidRPr="00F5723F">
        <w:t>cent)</w:t>
      </w:r>
    </w:p>
    <w:p w:rsidR="00B43C57" w:rsidRPr="00F5723F" w:rsidRDefault="00F5723F">
      <w:pPr>
        <w:rPr>
          <w:b/>
        </w:rPr>
      </w:pPr>
      <w:r w:rsidRPr="00F5723F">
        <w:rPr>
          <w:i/>
          <w:noProof/>
        </w:rPr>
        <mc:AlternateContent>
          <mc:Choice Requires="wps">
            <w:drawing>
              <wp:anchor distT="0" distB="0" distL="114300" distR="114300" simplePos="0" relativeHeight="251652096" behindDoc="0" locked="0" layoutInCell="1" allowOverlap="1">
                <wp:simplePos x="0" y="0"/>
                <wp:positionH relativeFrom="column">
                  <wp:posOffset>-120650</wp:posOffset>
                </wp:positionH>
                <wp:positionV relativeFrom="paragraph">
                  <wp:posOffset>171450</wp:posOffset>
                </wp:positionV>
                <wp:extent cx="731520" cy="457200"/>
                <wp:effectExtent l="0" t="0" r="0" b="0"/>
                <wp:wrapNone/>
                <wp:docPr id="10926090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pStyle w:val="Tabelltext"/>
                              <w:rPr>
                                <w:rFonts w:ascii="Arial" w:hAnsi="Arial" w:cs="Arial"/>
                                <w:sz w:val="12"/>
                                <w:szCs w:val="12"/>
                              </w:rPr>
                            </w:pPr>
                            <w:r w:rsidRPr="00F5723F">
                              <w:rPr>
                                <w:rFonts w:ascii="Arial" w:hAnsi="Arial" w:cs="Arial"/>
                                <w:sz w:val="12"/>
                                <w:szCs w:val="12"/>
                              </w:rPr>
                              <w:t xml:space="preserve">procent </w:t>
                            </w:r>
                          </w:p>
                          <w:p w:rsidR="00B43C57" w:rsidRPr="00F5723F" w:rsidRDefault="00B43C57">
                            <w:pPr>
                              <w:pStyle w:val="Tabelltext"/>
                              <w:rPr>
                                <w:rFonts w:ascii="Arial" w:hAnsi="Arial" w:cs="Arial"/>
                                <w:sz w:val="12"/>
                                <w:szCs w:val="12"/>
                              </w:rPr>
                            </w:pPr>
                            <w:r w:rsidRPr="00F5723F">
                              <w:rPr>
                                <w:rFonts w:ascii="Arial" w:hAnsi="Arial" w:cs="Arial"/>
                                <w:sz w:val="12"/>
                                <w:szCs w:val="12"/>
                              </w:rPr>
                              <w:t>i</w:t>
                            </w:r>
                            <w:r w:rsidRPr="00F5723F">
                              <w:rPr>
                                <w:rFonts w:ascii="Arial" w:hAnsi="Arial" w:cs="Arial"/>
                                <w:sz w:val="12"/>
                                <w:szCs w:val="12"/>
                              </w:rPr>
                              <w:t>n</w:t>
                            </w:r>
                            <w:r w:rsidRPr="00F5723F">
                              <w:rPr>
                                <w:rFonts w:ascii="Arial" w:hAnsi="Arial" w:cs="Arial"/>
                                <w:sz w:val="12"/>
                                <w:szCs w:val="12"/>
                              </w:rPr>
                              <w:t>stämmer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9.5pt;margin-top:13.5pt;width:57.6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" filled="f" stroked="f">
                <v:textbox>
                  <w:txbxContent>
                    <w:p w:rsidR="00B43C57" w:rsidRPr="00F5723F" w:rsidRDefault="00B43C57">
                      <w:pPr>
                        <w:pStyle w:val="Tabelltext"/>
                        <w:rPr>
                          <w:rFonts w:ascii="Arial" w:hAnsi="Arial" w:cs="Arial"/>
                          <w:sz w:val="12"/>
                          <w:szCs w:val="12"/>
                        </w:rPr>
                      </w:pPr>
                      <w:r w:rsidRPr="00F5723F">
                        <w:rPr>
                          <w:rFonts w:ascii="Arial" w:hAnsi="Arial" w:cs="Arial"/>
                          <w:sz w:val="12"/>
                          <w:szCs w:val="12"/>
                        </w:rPr>
                        <w:t xml:space="preserve">procent </w:t>
                      </w:r>
                    </w:p>
                    <w:p w:rsidR="00B43C57" w:rsidRPr="00F5723F" w:rsidRDefault="00B43C57">
                      <w:pPr>
                        <w:pStyle w:val="Tabelltext"/>
                        <w:rPr>
                          <w:rFonts w:ascii="Arial" w:hAnsi="Arial" w:cs="Arial"/>
                          <w:sz w:val="12"/>
                          <w:szCs w:val="12"/>
                        </w:rPr>
                      </w:pPr>
                      <w:r w:rsidRPr="00F5723F">
                        <w:rPr>
                          <w:rFonts w:ascii="Arial" w:hAnsi="Arial" w:cs="Arial"/>
                          <w:sz w:val="12"/>
                          <w:szCs w:val="12"/>
                        </w:rPr>
                        <w:t>i</w:t>
                      </w:r>
                      <w:r w:rsidRPr="00F5723F">
                        <w:rPr>
                          <w:rFonts w:ascii="Arial" w:hAnsi="Arial" w:cs="Arial"/>
                          <w:sz w:val="12"/>
                          <w:szCs w:val="12"/>
                        </w:rPr>
                        <w:t>n</w:t>
                      </w:r>
                      <w:r w:rsidRPr="00F5723F">
                        <w:rPr>
                          <w:rFonts w:ascii="Arial" w:hAnsi="Arial" w:cs="Arial"/>
                          <w:sz w:val="12"/>
                          <w:szCs w:val="12"/>
                        </w:rPr>
                        <w:t>stämmer</w:t>
                      </w:r>
                    </w:p>
                  </w:txbxContent>
                </v:textbox>
              </v:shape>
            </w:pict>
          </mc:Fallback>
        </mc:AlternateContent>
      </w:r>
      <w:r w:rsidR="00B43C57" w:rsidRPr="00F5723F">
        <w:rPr>
          <w:rFonts w:ascii="Arial" w:hAnsi="Arial" w:cs="Arial"/>
          <w:b/>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0;text-align:left;margin-left:1.85pt;margin-top:36.85pt;width:304.25pt;height:173.2pt;z-index:-251645952;mso-position-horizontal-relative:text;mso-position-vertical-relative:text">
            <v:imagedata r:id="rId25" o:title=""/>
            <w10:wrap type="topAndBottom"/>
          </v:shape>
          <o:OLEObject Type="Embed" ProgID="Excel.Sheet.8" ShapeID="_x0000_s1082" DrawAspect="Content" ObjectID="_1827438470" r:id="rId26"/>
        </w:object>
      </w:r>
    </w:p>
    <w:p w:rsidR="00B43C57" w:rsidRPr="00F5723F" w:rsidRDefault="00F5723F">
      <w:r w:rsidRPr="00F5723F">
        <w:rPr>
          <w:i/>
          <w:noProof/>
        </w:rPr>
        <mc:AlternateContent>
          <mc:Choice Requires="wps">
            <w:drawing>
              <wp:anchor distT="0" distB="0" distL="114300" distR="114300" simplePos="0" relativeHeight="251653120" behindDoc="0" locked="0" layoutInCell="0" allowOverlap="1">
                <wp:simplePos x="0" y="0"/>
                <wp:positionH relativeFrom="column">
                  <wp:posOffset>4594860</wp:posOffset>
                </wp:positionH>
                <wp:positionV relativeFrom="paragraph">
                  <wp:posOffset>2404745</wp:posOffset>
                </wp:positionV>
                <wp:extent cx="731520" cy="365760"/>
                <wp:effectExtent l="0" t="0" r="0" b="0"/>
                <wp:wrapNone/>
                <wp:docPr id="4386766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jc w:val="center"/>
                              <w:rPr>
                                <w:rFonts w:ascii="Arial" w:hAnsi="Arial"/>
                                <w:sz w:val="4"/>
                              </w:rPr>
                            </w:pPr>
                          </w:p>
                          <w:p w:rsidR="00B43C57" w:rsidRPr="00F5723F" w:rsidRDefault="00B43C57">
                            <w:pPr>
                              <w:jc w:val="center"/>
                              <w:rPr>
                                <w:rFonts w:ascii="Arial" w:hAnsi="Arial"/>
                                <w:sz w:val="4"/>
                              </w:rPr>
                            </w:pPr>
                          </w:p>
                          <w:p w:rsidR="00B43C57" w:rsidRPr="00F5723F" w:rsidRDefault="00B43C57">
                            <w:pPr>
                              <w:jc w:val="center"/>
                              <w:rPr>
                                <w:rFonts w:ascii="Arial" w:hAnsi="Arial"/>
                                <w:sz w:val="18"/>
                              </w:rPr>
                            </w:pPr>
                            <w:r w:rsidRPr="00F5723F">
                              <w:rPr>
                                <w:rFonts w:ascii="Arial" w:hAnsi="Arial"/>
                                <w:sz w:val="18"/>
                              </w:rPr>
                              <w:t>valår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361.8pt;margin-top:189.35pt;width:57.6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" o:allowincell="f" filled="f" stroked="f">
                <v:textbox>
                  <w:txbxContent>
                    <w:p w:rsidR="00B43C57" w:rsidRPr="00F5723F" w:rsidRDefault="00B43C57">
                      <w:pPr>
                        <w:jc w:val="center"/>
                        <w:rPr>
                          <w:rFonts w:ascii="Arial" w:hAnsi="Arial"/>
                          <w:sz w:val="4"/>
                        </w:rPr>
                      </w:pPr>
                    </w:p>
                    <w:p w:rsidR="00B43C57" w:rsidRPr="00F5723F" w:rsidRDefault="00B43C57">
                      <w:pPr>
                        <w:jc w:val="center"/>
                        <w:rPr>
                          <w:rFonts w:ascii="Arial" w:hAnsi="Arial"/>
                          <w:sz w:val="4"/>
                        </w:rPr>
                      </w:pPr>
                    </w:p>
                    <w:p w:rsidR="00B43C57" w:rsidRPr="00F5723F" w:rsidRDefault="00B43C57">
                      <w:pPr>
                        <w:jc w:val="center"/>
                        <w:rPr>
                          <w:rFonts w:ascii="Arial" w:hAnsi="Arial"/>
                          <w:sz w:val="18"/>
                        </w:rPr>
                      </w:pPr>
                      <w:r w:rsidRPr="00F5723F">
                        <w:rPr>
                          <w:rFonts w:ascii="Arial" w:hAnsi="Arial"/>
                          <w:sz w:val="18"/>
                        </w:rPr>
                        <w:t>valår</w:t>
                      </w:r>
                    </w:p>
                  </w:txbxContent>
                </v:textbox>
              </v:shape>
            </w:pict>
          </mc:Fallback>
        </mc:AlternateContent>
      </w:r>
    </w:p>
    <w:p w:rsidR="00B43C57" w:rsidRPr="00F5723F" w:rsidRDefault="00B43C57">
      <w:pPr>
        <w:spacing w:line="240" w:lineRule="auto"/>
        <w:rPr>
          <w:sz w:val="16"/>
          <w:szCs w:val="16"/>
        </w:rPr>
      </w:pPr>
      <w:r w:rsidRPr="00F5723F">
        <w:rPr>
          <w:rFonts w:ascii="Arial" w:hAnsi="Arial" w:cs="Arial"/>
          <w:b/>
          <w:sz w:val="16"/>
          <w:szCs w:val="16"/>
        </w:rPr>
        <w:t xml:space="preserve">Kommentar: </w:t>
      </w:r>
      <w:r w:rsidRPr="00F5723F">
        <w:rPr>
          <w:rFonts w:ascii="Arial" w:hAnsi="Arial" w:cs="Arial"/>
          <w:sz w:val="16"/>
          <w:szCs w:val="16"/>
        </w:rPr>
        <w:t xml:space="preserve">Påståendena löd: </w:t>
      </w:r>
      <w:r w:rsidRPr="00F5723F">
        <w:rPr>
          <w:rFonts w:ascii="Arial" w:hAnsi="Arial" w:cs="Arial"/>
          <w:i/>
          <w:sz w:val="16"/>
          <w:szCs w:val="16"/>
        </w:rPr>
        <w:t xml:space="preserve">”Partierna är bara intresserade av folks röster, men inte av deras åsikter” </w:t>
      </w:r>
      <w:r w:rsidRPr="00F5723F">
        <w:rPr>
          <w:rFonts w:ascii="Arial" w:hAnsi="Arial" w:cs="Arial"/>
          <w:sz w:val="16"/>
          <w:szCs w:val="16"/>
        </w:rPr>
        <w:t xml:space="preserve">och </w:t>
      </w:r>
      <w:r w:rsidRPr="00F5723F">
        <w:rPr>
          <w:rFonts w:ascii="Arial" w:hAnsi="Arial" w:cs="Arial"/>
          <w:i/>
          <w:sz w:val="16"/>
          <w:szCs w:val="16"/>
        </w:rPr>
        <w:t>”De som sitter i riksdagen och besl</w:t>
      </w:r>
      <w:r w:rsidRPr="00F5723F">
        <w:rPr>
          <w:rFonts w:ascii="Arial" w:hAnsi="Arial" w:cs="Arial"/>
          <w:i/>
          <w:sz w:val="16"/>
          <w:szCs w:val="16"/>
        </w:rPr>
        <w:t>u</w:t>
      </w:r>
      <w:r w:rsidRPr="00F5723F">
        <w:rPr>
          <w:rFonts w:ascii="Arial" w:hAnsi="Arial" w:cs="Arial"/>
          <w:i/>
          <w:sz w:val="16"/>
          <w:szCs w:val="16"/>
        </w:rPr>
        <w:t xml:space="preserve">tar tar inte mycket hänsyn till vad vanligt folk tycker och tänker”. </w:t>
      </w:r>
      <w:r w:rsidRPr="00F5723F">
        <w:rPr>
          <w:rFonts w:ascii="Arial" w:hAnsi="Arial" w:cs="Arial"/>
          <w:sz w:val="16"/>
          <w:szCs w:val="16"/>
        </w:rPr>
        <w:t>Påståendefrågorna om politikerförtr</w:t>
      </w:r>
      <w:r w:rsidRPr="00F5723F">
        <w:rPr>
          <w:rFonts w:ascii="Arial" w:hAnsi="Arial" w:cs="Arial"/>
          <w:sz w:val="16"/>
          <w:szCs w:val="16"/>
        </w:rPr>
        <w:t>o</w:t>
      </w:r>
      <w:r w:rsidRPr="00F5723F">
        <w:rPr>
          <w:rFonts w:ascii="Arial" w:hAnsi="Arial" w:cs="Arial"/>
          <w:sz w:val="16"/>
          <w:szCs w:val="16"/>
        </w:rPr>
        <w:t xml:space="preserve">ende fanns inte med i 1970 års valundersökning. </w:t>
      </w:r>
      <w:r w:rsidRPr="00F5723F">
        <w:rPr>
          <w:rFonts w:ascii="Arial" w:hAnsi="Arial" w:cs="Arial"/>
          <w:b/>
          <w:sz w:val="16"/>
          <w:szCs w:val="16"/>
        </w:rPr>
        <w:t>Källa:</w:t>
      </w:r>
      <w:r w:rsidRPr="00F5723F">
        <w:rPr>
          <w:rFonts w:ascii="Arial" w:hAnsi="Arial" w:cs="Arial"/>
          <w:sz w:val="16"/>
          <w:szCs w:val="16"/>
        </w:rPr>
        <w:t xml:space="preserve"> Valundersökninga</w:t>
      </w:r>
      <w:r w:rsidRPr="00F5723F">
        <w:rPr>
          <w:rFonts w:ascii="Arial" w:hAnsi="Arial" w:cs="Arial"/>
          <w:sz w:val="16"/>
          <w:szCs w:val="16"/>
        </w:rPr>
        <w:t>r</w:t>
      </w:r>
      <w:r w:rsidRPr="00F5723F">
        <w:rPr>
          <w:rFonts w:ascii="Arial" w:hAnsi="Arial" w:cs="Arial"/>
          <w:sz w:val="16"/>
          <w:szCs w:val="16"/>
        </w:rPr>
        <w:t>na 1968–2002</w:t>
      </w:r>
      <w:r w:rsidRPr="00F5723F">
        <w:rPr>
          <w:rFonts w:ascii="Arial" w:hAnsi="Arial" w:cs="Arial"/>
          <w:sz w:val="16"/>
          <w:szCs w:val="16"/>
        </w:rPr>
        <w:t xml:space="preserve"> samt Holmberg 2000:32 ff.</w:t>
      </w:r>
    </w:p>
    <w:p w:rsidR="00B43C57" w:rsidRPr="00F5723F" w:rsidRDefault="00B43C57">
      <w:pPr>
        <w:spacing w:line="360" w:lineRule="auto"/>
      </w:pPr>
    </w:p>
    <w:p w:rsidR="00B43C57" w:rsidRPr="00F5723F" w:rsidRDefault="00B43C57">
      <w:r w:rsidRPr="00F5723F">
        <w:t>Valåren – de år undersökningarna som redovisas i figur 1 genomförts – är speciella. Under valåren bedrivs politiska kampanjer, politiker och kandid</w:t>
      </w:r>
      <w:r w:rsidRPr="00F5723F">
        <w:t>a</w:t>
      </w:r>
      <w:r w:rsidRPr="00F5723F">
        <w:t>ter är ute och möter medborgare i större utsträckning än andra år och massmed</w:t>
      </w:r>
      <w:r w:rsidRPr="00F5723F">
        <w:t>i</w:t>
      </w:r>
      <w:r w:rsidRPr="00F5723F">
        <w:t>erna innehåller mer politikrelevant material än annars. Det kan därför finnas anledning att systematiskt studera förtroendet för politiker också mellan va</w:t>
      </w:r>
      <w:r w:rsidRPr="00F5723F">
        <w:t>l</w:t>
      </w:r>
      <w:r w:rsidRPr="00F5723F">
        <w:t xml:space="preserve">åren. SOM-institutet, med sina årliga mätningar, erbjuder sådana systematiska studier av förtroendet för riksdagen ända tillbaka till 1986. </w:t>
      </w:r>
    </w:p>
    <w:p w:rsidR="00B43C57" w:rsidRPr="00F5723F" w:rsidRDefault="00B43C57">
      <w:pPr>
        <w:pStyle w:val="Normaltindrag"/>
      </w:pPr>
      <w:r w:rsidRPr="00F5723F">
        <w:t>Den frågeformulering som undersökningen i kapitlet baseras på lyder: ”Hur stort förtroende har Du för det sätt på vilket följande samhäll</w:t>
      </w:r>
      <w:r w:rsidRPr="00F5723F">
        <w:t>sinstituti</w:t>
      </w:r>
      <w:r w:rsidRPr="00F5723F">
        <w:t>o</w:t>
      </w:r>
      <w:r w:rsidRPr="00F5723F">
        <w:t>ner och grupper sköter sitt arbete?” Svarsalternativen har varit ”mycket stort förtroende”, ”ganska stort förtroende”, ”varken stort eller litet förtr</w:t>
      </w:r>
      <w:r w:rsidRPr="00F5723F">
        <w:t>o</w:t>
      </w:r>
      <w:r w:rsidRPr="00F5723F">
        <w:t>ende”, ”ganska litet förtroende” och ”mycket litet förtroende”.</w:t>
      </w:r>
      <w:r w:rsidRPr="00F5723F">
        <w:rPr>
          <w:rStyle w:val="Fotnotsreferens"/>
        </w:rPr>
        <w:footnoteReference w:id="5"/>
      </w:r>
      <w:r w:rsidRPr="00F5723F">
        <w:t xml:space="preserve"> </w:t>
      </w:r>
    </w:p>
    <w:p w:rsidR="00B43C57" w:rsidRPr="00F5723F" w:rsidRDefault="00B43C57">
      <w:pPr>
        <w:pStyle w:val="Normaltindrag"/>
      </w:pPr>
      <w:r w:rsidRPr="00F5723F">
        <w:t>Förtroendet för riksdagen, mätt med SOM-institutets förtroendefråga, r</w:t>
      </w:r>
      <w:r w:rsidRPr="00F5723F">
        <w:t>e</w:t>
      </w:r>
      <w:r w:rsidRPr="00F5723F">
        <w:t>dov</w:t>
      </w:r>
      <w:r w:rsidRPr="00F5723F">
        <w:t>i</w:t>
      </w:r>
      <w:r w:rsidRPr="00F5723F">
        <w:t>sas i tabell 1 och figur 2 (jfr Holmberg &amp; Weibull 2003b). I tabell 1 re</w:t>
      </w:r>
      <w:r w:rsidRPr="00F5723F">
        <w:lastRenderedPageBreak/>
        <w:t>dov</w:t>
      </w:r>
      <w:r w:rsidRPr="00F5723F">
        <w:t>i</w:t>
      </w:r>
      <w:r w:rsidRPr="00F5723F">
        <w:t>sas hur förtroendet för riksdagen har utvecklats mellan 1986 och 2002. I tabellen redovisas dels hur svarspersonerna fördelar sig på de fem alternat</w:t>
      </w:r>
      <w:r w:rsidRPr="00F5723F">
        <w:t>i</w:t>
      </w:r>
      <w:r w:rsidRPr="00F5723F">
        <w:t>va svar</w:t>
      </w:r>
      <w:r w:rsidRPr="00F5723F">
        <w:t>s</w:t>
      </w:r>
      <w:r w:rsidRPr="00F5723F">
        <w:t>möjligheterna, dels hur andelen svarspersoner med stort förtroende minus andelen svarspersoner med litet förtroende (det s.k. balan</w:t>
      </w:r>
      <w:r w:rsidRPr="00F5723F">
        <w:t>s</w:t>
      </w:r>
      <w:r w:rsidRPr="00F5723F">
        <w:t>måttet) har varierat under samma period. Figur 2 åskådliggör tabellens resu</w:t>
      </w:r>
      <w:r w:rsidRPr="00F5723F">
        <w:t>l</w:t>
      </w:r>
      <w:r w:rsidRPr="00F5723F">
        <w:t>tat genom att visa hur andelen personer med mycket eller ganska st</w:t>
      </w:r>
      <w:r w:rsidRPr="00F5723F">
        <w:t>ort förtroende har u</w:t>
      </w:r>
      <w:r w:rsidRPr="00F5723F">
        <w:t>t</w:t>
      </w:r>
      <w:r w:rsidRPr="00F5723F">
        <w:t xml:space="preserve">vecklats under den aktuella tidsperioden. </w:t>
      </w:r>
    </w:p>
    <w:p w:rsidR="00B43C57" w:rsidRPr="00F5723F" w:rsidRDefault="00B43C57">
      <w:pPr>
        <w:pStyle w:val="Tabellrubrik"/>
      </w:pPr>
      <w:r w:rsidRPr="00F5723F">
        <w:t xml:space="preserve">Tabell 1 </w:t>
      </w:r>
      <w:r w:rsidRPr="00F5723F">
        <w:tab/>
        <w:t>Förtroendet för riksdagen 1986–2002 (procent, balan</w:t>
      </w:r>
      <w:r w:rsidRPr="00F5723F">
        <w:t>s</w:t>
      </w:r>
      <w:r w:rsidRPr="00F5723F">
        <w:t>mått)</w:t>
      </w:r>
    </w:p>
    <w:tbl>
      <w:tblPr>
        <w:tblW w:w="0" w:type="auto"/>
        <w:tblInd w:w="70" w:type="dxa"/>
        <w:tblBorders>
          <w:top w:val="single" w:sz="12" w:space="0" w:color="808080"/>
          <w:left w:val="nil"/>
          <w:bottom w:val="single" w:sz="12" w:space="0" w:color="808080"/>
          <w:right w:val="nil"/>
          <w:insideH w:val="nil"/>
          <w:insideV w:val="nil"/>
        </w:tblBorders>
        <w:tblLayout w:type="fixed"/>
        <w:tblCellMar>
          <w:left w:w="70" w:type="dxa"/>
          <w:right w:w="70" w:type="dxa"/>
        </w:tblCellMar>
        <w:tblLook w:val="00A7" w:firstRow="1" w:lastRow="0" w:firstColumn="1" w:lastColumn="0" w:noHBand="0" w:noVBand="0"/>
      </w:tblPr>
      <w:tblGrid>
        <w:gridCol w:w="794"/>
        <w:gridCol w:w="629"/>
        <w:gridCol w:w="647"/>
        <w:gridCol w:w="709"/>
        <w:gridCol w:w="620"/>
        <w:gridCol w:w="655"/>
        <w:gridCol w:w="567"/>
        <w:gridCol w:w="709"/>
        <w:gridCol w:w="567"/>
      </w:tblGrid>
      <w:tr w:rsidR="00000000" w:rsidRPr="00F5723F">
        <w:tblPrEx>
          <w:tblCellMar>
            <w:top w:w="0" w:type="dxa"/>
            <w:bottom w:w="0" w:type="dxa"/>
          </w:tblCellMar>
        </w:tblPrEx>
        <w:tc>
          <w:tcPr>
            <w:tcW w:w="794" w:type="dxa"/>
            <w:tcBorders>
              <w:top w:val="single" w:sz="4" w:space="0" w:color="auto"/>
              <w:bottom w:val="single" w:sz="4" w:space="0" w:color="auto"/>
            </w:tcBorders>
          </w:tcPr>
          <w:p w:rsidR="00B43C57" w:rsidRPr="00F5723F" w:rsidRDefault="00B43C57">
            <w:pPr>
              <w:rPr>
                <w:rFonts w:ascii="Arial" w:hAnsi="Arial" w:cs="Arial"/>
                <w:b/>
                <w:sz w:val="16"/>
                <w:szCs w:val="16"/>
              </w:rPr>
            </w:pPr>
          </w:p>
        </w:tc>
        <w:tc>
          <w:tcPr>
            <w:tcW w:w="629"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p>
          <w:p w:rsidR="00B43C57" w:rsidRPr="00F5723F" w:rsidRDefault="00B43C57">
            <w:pPr>
              <w:pStyle w:val="Tabelltext"/>
              <w:jc w:val="center"/>
            </w:pPr>
            <w:r w:rsidRPr="00F5723F">
              <w:t>Mycket stort</w:t>
            </w:r>
          </w:p>
        </w:tc>
        <w:tc>
          <w:tcPr>
            <w:tcW w:w="647"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p>
          <w:p w:rsidR="00B43C57" w:rsidRPr="00F5723F" w:rsidRDefault="00B43C57">
            <w:pPr>
              <w:pStyle w:val="Tabelltext"/>
              <w:jc w:val="center"/>
            </w:pPr>
            <w:r w:rsidRPr="00F5723F">
              <w:t>Ganska stort</w:t>
            </w:r>
          </w:p>
        </w:tc>
        <w:tc>
          <w:tcPr>
            <w:tcW w:w="709" w:type="dxa"/>
            <w:tcBorders>
              <w:top w:val="single" w:sz="4" w:space="0" w:color="auto"/>
              <w:bottom w:val="single" w:sz="4" w:space="0" w:color="auto"/>
            </w:tcBorders>
          </w:tcPr>
          <w:p w:rsidR="00B43C57" w:rsidRPr="00F5723F" w:rsidRDefault="00B43C57">
            <w:pPr>
              <w:pStyle w:val="Tabelltext"/>
              <w:jc w:val="center"/>
            </w:pPr>
            <w:r w:rsidRPr="00F5723F">
              <w:t>Va</w:t>
            </w:r>
            <w:r w:rsidRPr="00F5723F">
              <w:t>r</w:t>
            </w:r>
            <w:r w:rsidRPr="00F5723F">
              <w:t>ken stort eller litet</w:t>
            </w:r>
          </w:p>
        </w:tc>
        <w:tc>
          <w:tcPr>
            <w:tcW w:w="620"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p>
          <w:p w:rsidR="00B43C57" w:rsidRPr="00F5723F" w:rsidRDefault="00B43C57">
            <w:pPr>
              <w:pStyle w:val="Tabelltext"/>
              <w:jc w:val="center"/>
            </w:pPr>
            <w:r w:rsidRPr="00F5723F">
              <w:t>Ganska litet</w:t>
            </w:r>
          </w:p>
        </w:tc>
        <w:tc>
          <w:tcPr>
            <w:tcW w:w="655"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p>
          <w:p w:rsidR="00B43C57" w:rsidRPr="00F5723F" w:rsidRDefault="00B43C57">
            <w:pPr>
              <w:pStyle w:val="Tabelltext"/>
              <w:jc w:val="center"/>
            </w:pPr>
            <w:r w:rsidRPr="00F5723F">
              <w:t>Mycket litet</w:t>
            </w:r>
          </w:p>
        </w:tc>
        <w:tc>
          <w:tcPr>
            <w:tcW w:w="567"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p>
          <w:p w:rsidR="00B43C57" w:rsidRPr="00F5723F" w:rsidRDefault="00B43C57">
            <w:pPr>
              <w:pStyle w:val="Tabelltext"/>
              <w:jc w:val="center"/>
            </w:pPr>
            <w:r w:rsidRPr="00F5723F">
              <w:t>Su</w:t>
            </w:r>
            <w:r w:rsidRPr="00F5723F">
              <w:t>m</w:t>
            </w:r>
            <w:r w:rsidRPr="00F5723F">
              <w:t>ma</w:t>
            </w:r>
          </w:p>
        </w:tc>
        <w:tc>
          <w:tcPr>
            <w:tcW w:w="709" w:type="dxa"/>
            <w:tcBorders>
              <w:top w:val="single" w:sz="4" w:space="0" w:color="auto"/>
              <w:bottom w:val="single" w:sz="4" w:space="0" w:color="auto"/>
            </w:tcBorders>
          </w:tcPr>
          <w:p w:rsidR="00B43C57" w:rsidRPr="00F5723F" w:rsidRDefault="00B43C57">
            <w:pPr>
              <w:pStyle w:val="Tabelltextsiffror"/>
              <w:jc w:val="center"/>
            </w:pPr>
          </w:p>
          <w:p w:rsidR="00B43C57" w:rsidRPr="00F5723F" w:rsidRDefault="00B43C57">
            <w:pPr>
              <w:pStyle w:val="Tabelltextsiffror"/>
              <w:jc w:val="center"/>
            </w:pPr>
          </w:p>
          <w:p w:rsidR="00B43C57" w:rsidRPr="00F5723F" w:rsidRDefault="00B43C57">
            <w:pPr>
              <w:pStyle w:val="Tabelltextsiffror"/>
              <w:jc w:val="center"/>
            </w:pPr>
            <w:r w:rsidRPr="00F5723F">
              <w:t>B</w:t>
            </w:r>
            <w:r w:rsidRPr="00F5723F">
              <w:t>a</w:t>
            </w:r>
            <w:r w:rsidRPr="00F5723F">
              <w:t>lans-mått</w:t>
            </w:r>
          </w:p>
        </w:tc>
        <w:tc>
          <w:tcPr>
            <w:tcW w:w="567" w:type="dxa"/>
            <w:tcBorders>
              <w:top w:val="single" w:sz="4" w:space="0" w:color="auto"/>
              <w:bottom w:val="single" w:sz="4" w:space="0" w:color="auto"/>
            </w:tcBorders>
          </w:tcPr>
          <w:p w:rsidR="00B43C57" w:rsidRPr="00F5723F" w:rsidRDefault="00B43C57">
            <w:pPr>
              <w:pStyle w:val="Tabelltextsiffror"/>
              <w:jc w:val="center"/>
            </w:pPr>
          </w:p>
          <w:p w:rsidR="00B43C57" w:rsidRPr="00F5723F" w:rsidRDefault="00B43C57">
            <w:pPr>
              <w:pStyle w:val="Tabelltextsiffror"/>
              <w:jc w:val="center"/>
            </w:pPr>
          </w:p>
          <w:p w:rsidR="00B43C57" w:rsidRPr="00F5723F" w:rsidRDefault="00B43C57">
            <w:pPr>
              <w:pStyle w:val="Tabelltextsiffror"/>
              <w:jc w:val="center"/>
            </w:pPr>
          </w:p>
          <w:p w:rsidR="00B43C57" w:rsidRPr="00F5723F" w:rsidRDefault="00B43C57">
            <w:pPr>
              <w:pStyle w:val="Tabelltextsiffror"/>
              <w:jc w:val="center"/>
            </w:pPr>
            <w:r w:rsidRPr="00F5723F">
              <w:t>N</w:t>
            </w:r>
          </w:p>
        </w:tc>
      </w:tr>
      <w:tr w:rsidR="00000000" w:rsidRPr="00F5723F">
        <w:tblPrEx>
          <w:tblCellMar>
            <w:top w:w="0" w:type="dxa"/>
            <w:bottom w:w="0" w:type="dxa"/>
          </w:tblCellMar>
        </w:tblPrEx>
        <w:tc>
          <w:tcPr>
            <w:tcW w:w="794" w:type="dxa"/>
            <w:tcBorders>
              <w:top w:val="single" w:sz="4" w:space="0" w:color="auto"/>
              <w:bottom w:val="nil"/>
            </w:tcBorders>
          </w:tcPr>
          <w:p w:rsidR="00B43C57" w:rsidRPr="00F5723F" w:rsidRDefault="00B43C57">
            <w:pPr>
              <w:pStyle w:val="Tabelltext"/>
            </w:pPr>
          </w:p>
        </w:tc>
        <w:tc>
          <w:tcPr>
            <w:tcW w:w="629" w:type="dxa"/>
            <w:tcBorders>
              <w:top w:val="single" w:sz="4" w:space="0" w:color="auto"/>
              <w:bottom w:val="nil"/>
            </w:tcBorders>
          </w:tcPr>
          <w:p w:rsidR="00B43C57" w:rsidRPr="00F5723F" w:rsidRDefault="00B43C57">
            <w:pPr>
              <w:pStyle w:val="Tabelltextsiffror"/>
            </w:pPr>
          </w:p>
        </w:tc>
        <w:tc>
          <w:tcPr>
            <w:tcW w:w="647" w:type="dxa"/>
            <w:tcBorders>
              <w:top w:val="single" w:sz="4" w:space="0" w:color="auto"/>
              <w:bottom w:val="nil"/>
            </w:tcBorders>
          </w:tcPr>
          <w:p w:rsidR="00B43C57" w:rsidRPr="00F5723F" w:rsidRDefault="00B43C57">
            <w:pPr>
              <w:pStyle w:val="Tabelltextsiffror"/>
            </w:pPr>
          </w:p>
        </w:tc>
        <w:tc>
          <w:tcPr>
            <w:tcW w:w="709" w:type="dxa"/>
            <w:tcBorders>
              <w:top w:val="single" w:sz="4" w:space="0" w:color="auto"/>
              <w:bottom w:val="nil"/>
            </w:tcBorders>
          </w:tcPr>
          <w:p w:rsidR="00B43C57" w:rsidRPr="00F5723F" w:rsidRDefault="00B43C57">
            <w:pPr>
              <w:pStyle w:val="Tabelltextsiffror"/>
            </w:pPr>
          </w:p>
        </w:tc>
        <w:tc>
          <w:tcPr>
            <w:tcW w:w="620" w:type="dxa"/>
            <w:tcBorders>
              <w:top w:val="single" w:sz="4" w:space="0" w:color="auto"/>
              <w:bottom w:val="nil"/>
            </w:tcBorders>
          </w:tcPr>
          <w:p w:rsidR="00B43C57" w:rsidRPr="00F5723F" w:rsidRDefault="00B43C57">
            <w:pPr>
              <w:pStyle w:val="Tabelltextsiffror"/>
            </w:pPr>
          </w:p>
        </w:tc>
        <w:tc>
          <w:tcPr>
            <w:tcW w:w="655" w:type="dxa"/>
            <w:tcBorders>
              <w:top w:val="single" w:sz="4" w:space="0" w:color="auto"/>
              <w:bottom w:val="nil"/>
            </w:tcBorders>
          </w:tcPr>
          <w:p w:rsidR="00B43C57" w:rsidRPr="00F5723F" w:rsidRDefault="00B43C57">
            <w:pPr>
              <w:pStyle w:val="Tabelltextsiffror"/>
            </w:pPr>
          </w:p>
        </w:tc>
        <w:tc>
          <w:tcPr>
            <w:tcW w:w="567" w:type="dxa"/>
            <w:tcBorders>
              <w:top w:val="single" w:sz="4" w:space="0" w:color="auto"/>
              <w:bottom w:val="nil"/>
            </w:tcBorders>
          </w:tcPr>
          <w:p w:rsidR="00B43C57" w:rsidRPr="00F5723F" w:rsidRDefault="00B43C57">
            <w:pPr>
              <w:pStyle w:val="Tabelltextsiffror"/>
            </w:pPr>
          </w:p>
        </w:tc>
        <w:tc>
          <w:tcPr>
            <w:tcW w:w="709" w:type="dxa"/>
            <w:tcBorders>
              <w:top w:val="single" w:sz="4" w:space="0" w:color="auto"/>
              <w:bottom w:val="nil"/>
            </w:tcBorders>
          </w:tcPr>
          <w:p w:rsidR="00B43C57" w:rsidRPr="00F5723F" w:rsidRDefault="00B43C57">
            <w:pPr>
              <w:pStyle w:val="Tabelltextsiffror"/>
            </w:pPr>
          </w:p>
        </w:tc>
        <w:tc>
          <w:tcPr>
            <w:tcW w:w="567" w:type="dxa"/>
            <w:tcBorders>
              <w:top w:val="single" w:sz="4" w:space="0" w:color="auto"/>
              <w:bottom w:val="nil"/>
            </w:tcBorders>
          </w:tcPr>
          <w:p w:rsidR="00B43C57" w:rsidRPr="00F5723F" w:rsidRDefault="00B43C57">
            <w:pPr>
              <w:pStyle w:val="Tabelltextsiffror"/>
            </w:pPr>
          </w:p>
        </w:tc>
      </w:tr>
      <w:tr w:rsidR="00000000" w:rsidRPr="00F5723F">
        <w:tblPrEx>
          <w:tblCellMar>
            <w:top w:w="0" w:type="dxa"/>
            <w:bottom w:w="0" w:type="dxa"/>
          </w:tblCellMar>
        </w:tblPrEx>
        <w:tc>
          <w:tcPr>
            <w:tcW w:w="794" w:type="dxa"/>
            <w:tcBorders>
              <w:top w:val="nil"/>
            </w:tcBorders>
          </w:tcPr>
          <w:p w:rsidR="00B43C57" w:rsidRPr="00F5723F" w:rsidRDefault="00B43C57">
            <w:pPr>
              <w:pStyle w:val="Tabelltext"/>
            </w:pPr>
            <w:r w:rsidRPr="00F5723F">
              <w:t>1986</w:t>
            </w:r>
          </w:p>
        </w:tc>
        <w:tc>
          <w:tcPr>
            <w:tcW w:w="629" w:type="dxa"/>
            <w:tcBorders>
              <w:top w:val="nil"/>
            </w:tcBorders>
          </w:tcPr>
          <w:p w:rsidR="00B43C57" w:rsidRPr="00F5723F" w:rsidRDefault="00B43C57">
            <w:pPr>
              <w:pStyle w:val="Tabelltext"/>
              <w:jc w:val="center"/>
            </w:pPr>
            <w:r w:rsidRPr="00F5723F">
              <w:t>10</w:t>
            </w:r>
          </w:p>
        </w:tc>
        <w:tc>
          <w:tcPr>
            <w:tcW w:w="647" w:type="dxa"/>
            <w:tcBorders>
              <w:top w:val="nil"/>
            </w:tcBorders>
          </w:tcPr>
          <w:p w:rsidR="00B43C57" w:rsidRPr="00F5723F" w:rsidRDefault="00B43C57">
            <w:pPr>
              <w:pStyle w:val="Tabelltext"/>
              <w:jc w:val="center"/>
            </w:pPr>
            <w:r w:rsidRPr="00F5723F">
              <w:t>37</w:t>
            </w:r>
          </w:p>
        </w:tc>
        <w:tc>
          <w:tcPr>
            <w:tcW w:w="709" w:type="dxa"/>
            <w:tcBorders>
              <w:top w:val="nil"/>
            </w:tcBorders>
          </w:tcPr>
          <w:p w:rsidR="00B43C57" w:rsidRPr="00F5723F" w:rsidRDefault="00B43C57">
            <w:pPr>
              <w:pStyle w:val="Tabelltext"/>
              <w:jc w:val="center"/>
            </w:pPr>
            <w:r w:rsidRPr="00F5723F">
              <w:t>38</w:t>
            </w:r>
          </w:p>
        </w:tc>
        <w:tc>
          <w:tcPr>
            <w:tcW w:w="620" w:type="dxa"/>
            <w:tcBorders>
              <w:top w:val="nil"/>
            </w:tcBorders>
          </w:tcPr>
          <w:p w:rsidR="00B43C57" w:rsidRPr="00F5723F" w:rsidRDefault="00B43C57">
            <w:pPr>
              <w:pStyle w:val="Tabelltext"/>
              <w:jc w:val="center"/>
            </w:pPr>
            <w:r w:rsidRPr="00F5723F">
              <w:t>11</w:t>
            </w:r>
          </w:p>
        </w:tc>
        <w:tc>
          <w:tcPr>
            <w:tcW w:w="655" w:type="dxa"/>
            <w:tcBorders>
              <w:top w:val="nil"/>
            </w:tcBorders>
          </w:tcPr>
          <w:p w:rsidR="00B43C57" w:rsidRPr="00F5723F" w:rsidRDefault="00B43C57">
            <w:pPr>
              <w:pStyle w:val="Tabelltext"/>
              <w:jc w:val="center"/>
            </w:pPr>
            <w:r w:rsidRPr="00F5723F">
              <w:t>4</w:t>
            </w:r>
          </w:p>
        </w:tc>
        <w:tc>
          <w:tcPr>
            <w:tcW w:w="567" w:type="dxa"/>
            <w:tcBorders>
              <w:top w:val="nil"/>
            </w:tcBorders>
          </w:tcPr>
          <w:p w:rsidR="00B43C57" w:rsidRPr="00F5723F" w:rsidRDefault="00B43C57">
            <w:pPr>
              <w:pStyle w:val="Tabelltext"/>
              <w:jc w:val="center"/>
            </w:pPr>
            <w:r w:rsidRPr="00F5723F">
              <w:t>100</w:t>
            </w:r>
          </w:p>
        </w:tc>
        <w:tc>
          <w:tcPr>
            <w:tcW w:w="709" w:type="dxa"/>
            <w:tcBorders>
              <w:top w:val="nil"/>
            </w:tcBorders>
          </w:tcPr>
          <w:p w:rsidR="00B43C57" w:rsidRPr="00F5723F" w:rsidRDefault="00B43C57">
            <w:pPr>
              <w:pStyle w:val="Tabelltextsiffror"/>
              <w:jc w:val="center"/>
            </w:pPr>
            <w:r w:rsidRPr="00F5723F">
              <w:t>+32</w:t>
            </w:r>
          </w:p>
        </w:tc>
        <w:tc>
          <w:tcPr>
            <w:tcW w:w="567" w:type="dxa"/>
            <w:tcBorders>
              <w:top w:val="nil"/>
            </w:tcBorders>
          </w:tcPr>
          <w:p w:rsidR="00B43C57" w:rsidRPr="00F5723F" w:rsidRDefault="00B43C57">
            <w:pPr>
              <w:pStyle w:val="Tabelltextsiffror"/>
              <w:jc w:val="center"/>
            </w:pPr>
            <w:r w:rsidRPr="00F5723F">
              <w:t>1</w:t>
            </w:r>
            <w:r w:rsidRPr="00F5723F">
              <w:t xml:space="preserve"> </w:t>
            </w:r>
            <w:r w:rsidRPr="00F5723F">
              <w:t>556</w:t>
            </w:r>
          </w:p>
        </w:tc>
      </w:tr>
      <w:tr w:rsidR="00000000" w:rsidRPr="00F5723F">
        <w:tblPrEx>
          <w:tblCellMar>
            <w:top w:w="0" w:type="dxa"/>
            <w:bottom w:w="0" w:type="dxa"/>
          </w:tblCellMar>
        </w:tblPrEx>
        <w:trPr>
          <w:trHeight w:val="80"/>
        </w:trPr>
        <w:tc>
          <w:tcPr>
            <w:tcW w:w="794" w:type="dxa"/>
          </w:tcPr>
          <w:p w:rsidR="00B43C57" w:rsidRPr="00F5723F" w:rsidRDefault="00B43C57">
            <w:pPr>
              <w:pStyle w:val="Tabelltext"/>
            </w:pPr>
            <w:r w:rsidRPr="00F5723F">
              <w:t>1987</w:t>
            </w:r>
            <w:r w:rsidRPr="00F5723F">
              <w:rPr>
                <w:vertAlign w:val="superscript"/>
              </w:rPr>
              <w:t>1)</w:t>
            </w:r>
          </w:p>
        </w:tc>
        <w:tc>
          <w:tcPr>
            <w:tcW w:w="629" w:type="dxa"/>
          </w:tcPr>
          <w:p w:rsidR="00B43C57" w:rsidRPr="00F5723F" w:rsidRDefault="00B43C57">
            <w:pPr>
              <w:pStyle w:val="Tabelltext"/>
              <w:jc w:val="center"/>
            </w:pPr>
            <w:r w:rsidRPr="00F5723F">
              <w:t>12</w:t>
            </w:r>
          </w:p>
        </w:tc>
        <w:tc>
          <w:tcPr>
            <w:tcW w:w="647" w:type="dxa"/>
          </w:tcPr>
          <w:p w:rsidR="00B43C57" w:rsidRPr="00F5723F" w:rsidRDefault="00B43C57">
            <w:pPr>
              <w:pStyle w:val="Tabelltext"/>
              <w:jc w:val="center"/>
            </w:pPr>
            <w:r w:rsidRPr="00F5723F">
              <w:t>52</w:t>
            </w:r>
          </w:p>
        </w:tc>
        <w:tc>
          <w:tcPr>
            <w:tcW w:w="709" w:type="dxa"/>
          </w:tcPr>
          <w:p w:rsidR="00B43C57" w:rsidRPr="00F5723F" w:rsidRDefault="00B43C57">
            <w:pPr>
              <w:pStyle w:val="Tabelltext"/>
              <w:jc w:val="center"/>
            </w:pPr>
            <w:r w:rsidRPr="00F5723F">
              <w:t>–</w:t>
            </w:r>
          </w:p>
        </w:tc>
        <w:tc>
          <w:tcPr>
            <w:tcW w:w="620" w:type="dxa"/>
          </w:tcPr>
          <w:p w:rsidR="00B43C57" w:rsidRPr="00F5723F" w:rsidRDefault="00B43C57">
            <w:pPr>
              <w:pStyle w:val="Tabelltext"/>
              <w:jc w:val="center"/>
            </w:pPr>
            <w:r w:rsidRPr="00F5723F">
              <w:t>29</w:t>
            </w:r>
          </w:p>
        </w:tc>
        <w:tc>
          <w:tcPr>
            <w:tcW w:w="655" w:type="dxa"/>
          </w:tcPr>
          <w:p w:rsidR="00B43C57" w:rsidRPr="00F5723F" w:rsidRDefault="00B43C57">
            <w:pPr>
              <w:pStyle w:val="Tabelltext"/>
              <w:jc w:val="center"/>
            </w:pPr>
            <w:r w:rsidRPr="00F5723F">
              <w:t>7</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+28</w:t>
            </w:r>
          </w:p>
        </w:tc>
        <w:tc>
          <w:tcPr>
            <w:tcW w:w="567" w:type="dxa"/>
          </w:tcPr>
          <w:p w:rsidR="00B43C57" w:rsidRPr="00F5723F" w:rsidRDefault="00B43C57">
            <w:pPr>
              <w:pStyle w:val="Tabelltextsiffror"/>
              <w:jc w:val="center"/>
            </w:pPr>
            <w:r w:rsidRPr="00F5723F">
              <w:t>1</w:t>
            </w:r>
            <w:r w:rsidRPr="00F5723F">
              <w:t xml:space="preserve"> </w:t>
            </w:r>
            <w:r w:rsidRPr="00F5723F">
              <w:t>606</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1988</w:t>
            </w:r>
          </w:p>
        </w:tc>
        <w:tc>
          <w:tcPr>
            <w:tcW w:w="629" w:type="dxa"/>
          </w:tcPr>
          <w:p w:rsidR="00B43C57" w:rsidRPr="00F5723F" w:rsidRDefault="00B43C57">
            <w:pPr>
              <w:pStyle w:val="Tabelltext"/>
              <w:jc w:val="center"/>
            </w:pPr>
            <w:r w:rsidRPr="00F5723F">
              <w:t>10</w:t>
            </w:r>
          </w:p>
        </w:tc>
        <w:tc>
          <w:tcPr>
            <w:tcW w:w="647" w:type="dxa"/>
          </w:tcPr>
          <w:p w:rsidR="00B43C57" w:rsidRPr="00F5723F" w:rsidRDefault="00B43C57">
            <w:pPr>
              <w:pStyle w:val="Tabelltext"/>
              <w:jc w:val="center"/>
            </w:pPr>
            <w:r w:rsidRPr="00F5723F">
              <w:t>39</w:t>
            </w:r>
          </w:p>
        </w:tc>
        <w:tc>
          <w:tcPr>
            <w:tcW w:w="709" w:type="dxa"/>
          </w:tcPr>
          <w:p w:rsidR="00B43C57" w:rsidRPr="00F5723F" w:rsidRDefault="00B43C57">
            <w:pPr>
              <w:pStyle w:val="Tabelltext"/>
              <w:jc w:val="center"/>
            </w:pPr>
            <w:r w:rsidRPr="00F5723F">
              <w:t>37</w:t>
            </w:r>
          </w:p>
        </w:tc>
        <w:tc>
          <w:tcPr>
            <w:tcW w:w="620" w:type="dxa"/>
          </w:tcPr>
          <w:p w:rsidR="00B43C57" w:rsidRPr="00F5723F" w:rsidRDefault="00B43C57">
            <w:pPr>
              <w:pStyle w:val="Tabelltext"/>
              <w:jc w:val="center"/>
            </w:pPr>
            <w:r w:rsidRPr="00F5723F">
              <w:t>10</w:t>
            </w:r>
          </w:p>
        </w:tc>
        <w:tc>
          <w:tcPr>
            <w:tcW w:w="655" w:type="dxa"/>
          </w:tcPr>
          <w:p w:rsidR="00B43C57" w:rsidRPr="00F5723F" w:rsidRDefault="00B43C57">
            <w:pPr>
              <w:pStyle w:val="Tabelltext"/>
              <w:jc w:val="center"/>
            </w:pPr>
            <w:r w:rsidRPr="00F5723F">
              <w:t>4</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+34</w:t>
            </w:r>
          </w:p>
        </w:tc>
        <w:tc>
          <w:tcPr>
            <w:tcW w:w="567" w:type="dxa"/>
          </w:tcPr>
          <w:p w:rsidR="00B43C57" w:rsidRPr="00F5723F" w:rsidRDefault="00B43C57">
            <w:pPr>
              <w:pStyle w:val="Tabelltextsiffror"/>
              <w:jc w:val="center"/>
            </w:pPr>
            <w:r w:rsidRPr="00F5723F">
              <w:t>1</w:t>
            </w:r>
            <w:r w:rsidRPr="00F5723F">
              <w:t xml:space="preserve"> </w:t>
            </w:r>
            <w:r w:rsidRPr="00F5723F">
              <w:t>558</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1989</w:t>
            </w:r>
          </w:p>
        </w:tc>
        <w:tc>
          <w:tcPr>
            <w:tcW w:w="629" w:type="dxa"/>
          </w:tcPr>
          <w:p w:rsidR="00B43C57" w:rsidRPr="00F5723F" w:rsidRDefault="00B43C57">
            <w:pPr>
              <w:pStyle w:val="Tabelltext"/>
              <w:jc w:val="center"/>
            </w:pPr>
            <w:r w:rsidRPr="00F5723F">
              <w:t>6</w:t>
            </w:r>
          </w:p>
        </w:tc>
        <w:tc>
          <w:tcPr>
            <w:tcW w:w="647" w:type="dxa"/>
          </w:tcPr>
          <w:p w:rsidR="00B43C57" w:rsidRPr="00F5723F" w:rsidRDefault="00B43C57">
            <w:pPr>
              <w:pStyle w:val="Tabelltext"/>
              <w:jc w:val="center"/>
            </w:pPr>
            <w:r w:rsidRPr="00F5723F">
              <w:t>31</w:t>
            </w:r>
          </w:p>
        </w:tc>
        <w:tc>
          <w:tcPr>
            <w:tcW w:w="709" w:type="dxa"/>
          </w:tcPr>
          <w:p w:rsidR="00B43C57" w:rsidRPr="00F5723F" w:rsidRDefault="00B43C57">
            <w:pPr>
              <w:pStyle w:val="Tabelltext"/>
              <w:jc w:val="center"/>
            </w:pPr>
            <w:r w:rsidRPr="00F5723F">
              <w:t>41</w:t>
            </w:r>
          </w:p>
        </w:tc>
        <w:tc>
          <w:tcPr>
            <w:tcW w:w="620" w:type="dxa"/>
          </w:tcPr>
          <w:p w:rsidR="00B43C57" w:rsidRPr="00F5723F" w:rsidRDefault="00B43C57">
            <w:pPr>
              <w:pStyle w:val="Tabelltext"/>
              <w:jc w:val="center"/>
            </w:pPr>
            <w:r w:rsidRPr="00F5723F">
              <w:t>16</w:t>
            </w:r>
          </w:p>
        </w:tc>
        <w:tc>
          <w:tcPr>
            <w:tcW w:w="655" w:type="dxa"/>
          </w:tcPr>
          <w:p w:rsidR="00B43C57" w:rsidRPr="00F5723F" w:rsidRDefault="00B43C57">
            <w:pPr>
              <w:pStyle w:val="Tabelltext"/>
              <w:jc w:val="center"/>
            </w:pPr>
            <w:r w:rsidRPr="00F5723F">
              <w:t>6</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+14</w:t>
            </w:r>
          </w:p>
        </w:tc>
        <w:tc>
          <w:tcPr>
            <w:tcW w:w="567" w:type="dxa"/>
          </w:tcPr>
          <w:p w:rsidR="00B43C57" w:rsidRPr="00F5723F" w:rsidRDefault="00B43C57">
            <w:pPr>
              <w:pStyle w:val="Tabelltextsiffror"/>
              <w:jc w:val="center"/>
            </w:pPr>
            <w:r w:rsidRPr="00F5723F">
              <w:t>1</w:t>
            </w:r>
            <w:r w:rsidRPr="00F5723F">
              <w:t xml:space="preserve"> </w:t>
            </w:r>
            <w:r w:rsidRPr="00F5723F">
              <w:t>483</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1990</w:t>
            </w:r>
          </w:p>
        </w:tc>
        <w:tc>
          <w:tcPr>
            <w:tcW w:w="629" w:type="dxa"/>
          </w:tcPr>
          <w:p w:rsidR="00B43C57" w:rsidRPr="00F5723F" w:rsidRDefault="00B43C57">
            <w:pPr>
              <w:pStyle w:val="Tabelltext"/>
              <w:jc w:val="center"/>
            </w:pPr>
            <w:r w:rsidRPr="00F5723F">
              <w:t>4</w:t>
            </w:r>
          </w:p>
        </w:tc>
        <w:tc>
          <w:tcPr>
            <w:tcW w:w="647" w:type="dxa"/>
          </w:tcPr>
          <w:p w:rsidR="00B43C57" w:rsidRPr="00F5723F" w:rsidRDefault="00B43C57">
            <w:pPr>
              <w:pStyle w:val="Tabelltext"/>
              <w:jc w:val="center"/>
            </w:pPr>
            <w:r w:rsidRPr="00F5723F">
              <w:t>21</w:t>
            </w:r>
          </w:p>
        </w:tc>
        <w:tc>
          <w:tcPr>
            <w:tcW w:w="709" w:type="dxa"/>
          </w:tcPr>
          <w:p w:rsidR="00B43C57" w:rsidRPr="00F5723F" w:rsidRDefault="00B43C57">
            <w:pPr>
              <w:pStyle w:val="Tabelltext"/>
              <w:jc w:val="center"/>
            </w:pPr>
            <w:r w:rsidRPr="00F5723F">
              <w:t>39</w:t>
            </w:r>
          </w:p>
        </w:tc>
        <w:tc>
          <w:tcPr>
            <w:tcW w:w="620" w:type="dxa"/>
          </w:tcPr>
          <w:p w:rsidR="00B43C57" w:rsidRPr="00F5723F" w:rsidRDefault="00B43C57">
            <w:pPr>
              <w:pStyle w:val="Tabelltext"/>
              <w:jc w:val="center"/>
            </w:pPr>
            <w:r w:rsidRPr="00F5723F">
              <w:t>22</w:t>
            </w:r>
          </w:p>
        </w:tc>
        <w:tc>
          <w:tcPr>
            <w:tcW w:w="655" w:type="dxa"/>
          </w:tcPr>
          <w:p w:rsidR="00B43C57" w:rsidRPr="00F5723F" w:rsidRDefault="00B43C57">
            <w:pPr>
              <w:pStyle w:val="Tabelltext"/>
              <w:jc w:val="center"/>
            </w:pPr>
            <w:r w:rsidRPr="00F5723F">
              <w:t>14</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w:t>
            </w:r>
            <w:r w:rsidRPr="00F5723F">
              <w:t>11</w:t>
            </w:r>
          </w:p>
        </w:tc>
        <w:tc>
          <w:tcPr>
            <w:tcW w:w="567" w:type="dxa"/>
          </w:tcPr>
          <w:p w:rsidR="00B43C57" w:rsidRPr="00F5723F" w:rsidRDefault="00B43C57">
            <w:pPr>
              <w:pStyle w:val="Tabelltextsiffror"/>
              <w:jc w:val="center"/>
            </w:pPr>
            <w:r w:rsidRPr="00F5723F">
              <w:t>1</w:t>
            </w:r>
            <w:r w:rsidRPr="00F5723F">
              <w:t xml:space="preserve"> </w:t>
            </w:r>
            <w:r w:rsidRPr="00F5723F">
              <w:t>522</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1991</w:t>
            </w:r>
          </w:p>
        </w:tc>
        <w:tc>
          <w:tcPr>
            <w:tcW w:w="629" w:type="dxa"/>
          </w:tcPr>
          <w:p w:rsidR="00B43C57" w:rsidRPr="00F5723F" w:rsidRDefault="00B43C57">
            <w:pPr>
              <w:pStyle w:val="Tabelltext"/>
              <w:jc w:val="center"/>
            </w:pPr>
            <w:r w:rsidRPr="00F5723F">
              <w:t>4</w:t>
            </w:r>
          </w:p>
        </w:tc>
        <w:tc>
          <w:tcPr>
            <w:tcW w:w="647" w:type="dxa"/>
          </w:tcPr>
          <w:p w:rsidR="00B43C57" w:rsidRPr="00F5723F" w:rsidRDefault="00B43C57">
            <w:pPr>
              <w:pStyle w:val="Tabelltext"/>
              <w:jc w:val="center"/>
            </w:pPr>
            <w:r w:rsidRPr="00F5723F">
              <w:t>27</w:t>
            </w:r>
          </w:p>
        </w:tc>
        <w:tc>
          <w:tcPr>
            <w:tcW w:w="709" w:type="dxa"/>
          </w:tcPr>
          <w:p w:rsidR="00B43C57" w:rsidRPr="00F5723F" w:rsidRDefault="00B43C57">
            <w:pPr>
              <w:pStyle w:val="Tabelltext"/>
              <w:jc w:val="center"/>
            </w:pPr>
            <w:r w:rsidRPr="00F5723F">
              <w:t>41</w:t>
            </w:r>
          </w:p>
        </w:tc>
        <w:tc>
          <w:tcPr>
            <w:tcW w:w="620" w:type="dxa"/>
          </w:tcPr>
          <w:p w:rsidR="00B43C57" w:rsidRPr="00F5723F" w:rsidRDefault="00B43C57">
            <w:pPr>
              <w:pStyle w:val="Tabelltext"/>
              <w:jc w:val="center"/>
            </w:pPr>
            <w:r w:rsidRPr="00F5723F">
              <w:t>19</w:t>
            </w:r>
          </w:p>
        </w:tc>
        <w:tc>
          <w:tcPr>
            <w:tcW w:w="655" w:type="dxa"/>
          </w:tcPr>
          <w:p w:rsidR="00B43C57" w:rsidRPr="00F5723F" w:rsidRDefault="00B43C57">
            <w:pPr>
              <w:pStyle w:val="Tabelltext"/>
              <w:jc w:val="center"/>
            </w:pPr>
            <w:r w:rsidRPr="00F5723F">
              <w:t>9</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+3</w:t>
            </w:r>
          </w:p>
        </w:tc>
        <w:tc>
          <w:tcPr>
            <w:tcW w:w="567" w:type="dxa"/>
          </w:tcPr>
          <w:p w:rsidR="00B43C57" w:rsidRPr="00F5723F" w:rsidRDefault="00B43C57">
            <w:pPr>
              <w:pStyle w:val="Tabelltextsiffror"/>
              <w:jc w:val="center"/>
            </w:pPr>
            <w:r w:rsidRPr="00F5723F">
              <w:t>1</w:t>
            </w:r>
            <w:r w:rsidRPr="00F5723F">
              <w:t xml:space="preserve"> </w:t>
            </w:r>
            <w:r w:rsidRPr="00F5723F">
              <w:t>502</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1992</w:t>
            </w:r>
          </w:p>
        </w:tc>
        <w:tc>
          <w:tcPr>
            <w:tcW w:w="629" w:type="dxa"/>
          </w:tcPr>
          <w:p w:rsidR="00B43C57" w:rsidRPr="00F5723F" w:rsidRDefault="00B43C57">
            <w:pPr>
              <w:pStyle w:val="Tabelltext"/>
              <w:jc w:val="center"/>
            </w:pPr>
            <w:r w:rsidRPr="00F5723F">
              <w:t>3</w:t>
            </w:r>
          </w:p>
        </w:tc>
        <w:tc>
          <w:tcPr>
            <w:tcW w:w="647" w:type="dxa"/>
          </w:tcPr>
          <w:p w:rsidR="00B43C57" w:rsidRPr="00F5723F" w:rsidRDefault="00B43C57">
            <w:pPr>
              <w:pStyle w:val="Tabelltext"/>
              <w:jc w:val="center"/>
            </w:pPr>
            <w:r w:rsidRPr="00F5723F">
              <w:t>21</w:t>
            </w:r>
          </w:p>
        </w:tc>
        <w:tc>
          <w:tcPr>
            <w:tcW w:w="709" w:type="dxa"/>
          </w:tcPr>
          <w:p w:rsidR="00B43C57" w:rsidRPr="00F5723F" w:rsidRDefault="00B43C57">
            <w:pPr>
              <w:pStyle w:val="Tabelltext"/>
              <w:jc w:val="center"/>
            </w:pPr>
            <w:r w:rsidRPr="00F5723F">
              <w:t>41</w:t>
            </w:r>
          </w:p>
        </w:tc>
        <w:tc>
          <w:tcPr>
            <w:tcW w:w="620" w:type="dxa"/>
          </w:tcPr>
          <w:p w:rsidR="00B43C57" w:rsidRPr="00F5723F" w:rsidRDefault="00B43C57">
            <w:pPr>
              <w:pStyle w:val="Tabelltext"/>
              <w:jc w:val="center"/>
            </w:pPr>
            <w:r w:rsidRPr="00F5723F">
              <w:t>23</w:t>
            </w:r>
          </w:p>
        </w:tc>
        <w:tc>
          <w:tcPr>
            <w:tcW w:w="655" w:type="dxa"/>
          </w:tcPr>
          <w:p w:rsidR="00B43C57" w:rsidRPr="00F5723F" w:rsidRDefault="00B43C57">
            <w:pPr>
              <w:pStyle w:val="Tabelltext"/>
              <w:jc w:val="center"/>
            </w:pPr>
            <w:r w:rsidRPr="00F5723F">
              <w:t>12</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-11</w:t>
            </w:r>
          </w:p>
        </w:tc>
        <w:tc>
          <w:tcPr>
            <w:tcW w:w="567" w:type="dxa"/>
          </w:tcPr>
          <w:p w:rsidR="00B43C57" w:rsidRPr="00F5723F" w:rsidRDefault="00B43C57">
            <w:pPr>
              <w:pStyle w:val="Tabelltextsiffror"/>
              <w:jc w:val="center"/>
            </w:pPr>
            <w:r w:rsidRPr="00F5723F">
              <w:t>1</w:t>
            </w:r>
            <w:r w:rsidRPr="00F5723F">
              <w:t xml:space="preserve"> </w:t>
            </w:r>
            <w:r w:rsidRPr="00F5723F">
              <w:t>663</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1993</w:t>
            </w:r>
          </w:p>
        </w:tc>
        <w:tc>
          <w:tcPr>
            <w:tcW w:w="629" w:type="dxa"/>
          </w:tcPr>
          <w:p w:rsidR="00B43C57" w:rsidRPr="00F5723F" w:rsidRDefault="00B43C57">
            <w:pPr>
              <w:pStyle w:val="Tabelltext"/>
              <w:jc w:val="center"/>
            </w:pPr>
            <w:r w:rsidRPr="00F5723F">
              <w:t>2</w:t>
            </w:r>
          </w:p>
        </w:tc>
        <w:tc>
          <w:tcPr>
            <w:tcW w:w="647" w:type="dxa"/>
          </w:tcPr>
          <w:p w:rsidR="00B43C57" w:rsidRPr="00F5723F" w:rsidRDefault="00B43C57">
            <w:pPr>
              <w:pStyle w:val="Tabelltext"/>
              <w:jc w:val="center"/>
            </w:pPr>
            <w:r w:rsidRPr="00F5723F">
              <w:t>18</w:t>
            </w:r>
          </w:p>
        </w:tc>
        <w:tc>
          <w:tcPr>
            <w:tcW w:w="709" w:type="dxa"/>
          </w:tcPr>
          <w:p w:rsidR="00B43C57" w:rsidRPr="00F5723F" w:rsidRDefault="00B43C57">
            <w:pPr>
              <w:pStyle w:val="Tabelltext"/>
              <w:jc w:val="center"/>
            </w:pPr>
            <w:r w:rsidRPr="00F5723F">
              <w:t>45</w:t>
            </w:r>
          </w:p>
        </w:tc>
        <w:tc>
          <w:tcPr>
            <w:tcW w:w="620" w:type="dxa"/>
          </w:tcPr>
          <w:p w:rsidR="00B43C57" w:rsidRPr="00F5723F" w:rsidRDefault="00B43C57">
            <w:pPr>
              <w:pStyle w:val="Tabelltext"/>
              <w:jc w:val="center"/>
            </w:pPr>
            <w:r w:rsidRPr="00F5723F">
              <w:t>22</w:t>
            </w:r>
          </w:p>
        </w:tc>
        <w:tc>
          <w:tcPr>
            <w:tcW w:w="655" w:type="dxa"/>
          </w:tcPr>
          <w:p w:rsidR="00B43C57" w:rsidRPr="00F5723F" w:rsidRDefault="00B43C57">
            <w:pPr>
              <w:pStyle w:val="Tabelltext"/>
              <w:jc w:val="center"/>
            </w:pPr>
            <w:r w:rsidRPr="00F5723F">
              <w:t>13</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-15</w:t>
            </w:r>
          </w:p>
        </w:tc>
        <w:tc>
          <w:tcPr>
            <w:tcW w:w="567" w:type="dxa"/>
          </w:tcPr>
          <w:p w:rsidR="00B43C57" w:rsidRPr="00F5723F" w:rsidRDefault="00B43C57">
            <w:pPr>
              <w:pStyle w:val="Tabelltextsiffror"/>
              <w:jc w:val="center"/>
            </w:pPr>
            <w:r w:rsidRPr="00F5723F">
              <w:t>1</w:t>
            </w:r>
            <w:r w:rsidRPr="00F5723F">
              <w:t xml:space="preserve"> </w:t>
            </w:r>
            <w:r w:rsidRPr="00F5723F">
              <w:t>645</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1994</w:t>
            </w:r>
          </w:p>
        </w:tc>
        <w:tc>
          <w:tcPr>
            <w:tcW w:w="629" w:type="dxa"/>
          </w:tcPr>
          <w:p w:rsidR="00B43C57" w:rsidRPr="00F5723F" w:rsidRDefault="00B43C57">
            <w:pPr>
              <w:pStyle w:val="Tabelltext"/>
              <w:jc w:val="center"/>
            </w:pPr>
            <w:r w:rsidRPr="00F5723F">
              <w:t>5</w:t>
            </w:r>
          </w:p>
        </w:tc>
        <w:tc>
          <w:tcPr>
            <w:tcW w:w="647" w:type="dxa"/>
          </w:tcPr>
          <w:p w:rsidR="00B43C57" w:rsidRPr="00F5723F" w:rsidRDefault="00B43C57">
            <w:pPr>
              <w:pStyle w:val="Tabelltext"/>
              <w:jc w:val="center"/>
            </w:pPr>
            <w:r w:rsidRPr="00F5723F">
              <w:t>35</w:t>
            </w:r>
          </w:p>
        </w:tc>
        <w:tc>
          <w:tcPr>
            <w:tcW w:w="709" w:type="dxa"/>
          </w:tcPr>
          <w:p w:rsidR="00B43C57" w:rsidRPr="00F5723F" w:rsidRDefault="00B43C57">
            <w:pPr>
              <w:pStyle w:val="Tabelltext"/>
              <w:jc w:val="center"/>
            </w:pPr>
            <w:r w:rsidRPr="00F5723F">
              <w:t>43</w:t>
            </w:r>
          </w:p>
        </w:tc>
        <w:tc>
          <w:tcPr>
            <w:tcW w:w="620" w:type="dxa"/>
          </w:tcPr>
          <w:p w:rsidR="00B43C57" w:rsidRPr="00F5723F" w:rsidRDefault="00B43C57">
            <w:pPr>
              <w:pStyle w:val="Tabelltext"/>
              <w:jc w:val="center"/>
            </w:pPr>
            <w:r w:rsidRPr="00F5723F">
              <w:t>13</w:t>
            </w:r>
          </w:p>
        </w:tc>
        <w:tc>
          <w:tcPr>
            <w:tcW w:w="655" w:type="dxa"/>
          </w:tcPr>
          <w:p w:rsidR="00B43C57" w:rsidRPr="00F5723F" w:rsidRDefault="00B43C57">
            <w:pPr>
              <w:pStyle w:val="Tabelltext"/>
              <w:jc w:val="center"/>
            </w:pPr>
            <w:r w:rsidRPr="00F5723F">
              <w:t>4</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+24</w:t>
            </w:r>
          </w:p>
        </w:tc>
        <w:tc>
          <w:tcPr>
            <w:tcW w:w="567" w:type="dxa"/>
          </w:tcPr>
          <w:p w:rsidR="00B43C57" w:rsidRPr="00F5723F" w:rsidRDefault="00B43C57">
            <w:pPr>
              <w:pStyle w:val="Tabelltextsiffror"/>
              <w:jc w:val="center"/>
            </w:pPr>
            <w:r w:rsidRPr="00F5723F">
              <w:t>1</w:t>
            </w:r>
            <w:r w:rsidRPr="00F5723F">
              <w:t xml:space="preserve"> </w:t>
            </w:r>
            <w:r w:rsidRPr="00F5723F">
              <w:t>511</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1995</w:t>
            </w:r>
          </w:p>
        </w:tc>
        <w:tc>
          <w:tcPr>
            <w:tcW w:w="629" w:type="dxa"/>
          </w:tcPr>
          <w:p w:rsidR="00B43C57" w:rsidRPr="00F5723F" w:rsidRDefault="00B43C57">
            <w:pPr>
              <w:pStyle w:val="Tabelltext"/>
              <w:jc w:val="center"/>
            </w:pPr>
            <w:r w:rsidRPr="00F5723F">
              <w:t>3</w:t>
            </w:r>
          </w:p>
        </w:tc>
        <w:tc>
          <w:tcPr>
            <w:tcW w:w="647" w:type="dxa"/>
          </w:tcPr>
          <w:p w:rsidR="00B43C57" w:rsidRPr="00F5723F" w:rsidRDefault="00B43C57">
            <w:pPr>
              <w:pStyle w:val="Tabelltext"/>
              <w:jc w:val="center"/>
            </w:pPr>
            <w:r w:rsidRPr="00F5723F">
              <w:t>25</w:t>
            </w:r>
          </w:p>
        </w:tc>
        <w:tc>
          <w:tcPr>
            <w:tcW w:w="709" w:type="dxa"/>
          </w:tcPr>
          <w:p w:rsidR="00B43C57" w:rsidRPr="00F5723F" w:rsidRDefault="00B43C57">
            <w:pPr>
              <w:pStyle w:val="Tabelltext"/>
              <w:jc w:val="center"/>
            </w:pPr>
            <w:r w:rsidRPr="00F5723F">
              <w:t>39</w:t>
            </w:r>
          </w:p>
        </w:tc>
        <w:tc>
          <w:tcPr>
            <w:tcW w:w="620" w:type="dxa"/>
          </w:tcPr>
          <w:p w:rsidR="00B43C57" w:rsidRPr="00F5723F" w:rsidRDefault="00B43C57">
            <w:pPr>
              <w:pStyle w:val="Tabelltext"/>
              <w:jc w:val="center"/>
            </w:pPr>
            <w:r w:rsidRPr="00F5723F">
              <w:t>23</w:t>
            </w:r>
          </w:p>
        </w:tc>
        <w:tc>
          <w:tcPr>
            <w:tcW w:w="655" w:type="dxa"/>
          </w:tcPr>
          <w:p w:rsidR="00B43C57" w:rsidRPr="00F5723F" w:rsidRDefault="00B43C57">
            <w:pPr>
              <w:pStyle w:val="Tabelltext"/>
              <w:jc w:val="center"/>
            </w:pPr>
            <w:r w:rsidRPr="00F5723F">
              <w:t>10</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-5</w:t>
            </w:r>
          </w:p>
        </w:tc>
        <w:tc>
          <w:tcPr>
            <w:tcW w:w="567" w:type="dxa"/>
          </w:tcPr>
          <w:p w:rsidR="00B43C57" w:rsidRPr="00F5723F" w:rsidRDefault="00B43C57">
            <w:pPr>
              <w:pStyle w:val="Tabelltextsiffror"/>
              <w:jc w:val="center"/>
            </w:pPr>
            <w:r w:rsidRPr="00F5723F">
              <w:t>1</w:t>
            </w:r>
            <w:r w:rsidRPr="00F5723F">
              <w:t xml:space="preserve"> </w:t>
            </w:r>
            <w:r w:rsidRPr="00F5723F">
              <w:t>589</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1996</w:t>
            </w:r>
          </w:p>
        </w:tc>
        <w:tc>
          <w:tcPr>
            <w:tcW w:w="629" w:type="dxa"/>
          </w:tcPr>
          <w:p w:rsidR="00B43C57" w:rsidRPr="00F5723F" w:rsidRDefault="00B43C57">
            <w:pPr>
              <w:pStyle w:val="Tabelltext"/>
              <w:jc w:val="center"/>
            </w:pPr>
            <w:r w:rsidRPr="00F5723F">
              <w:t>2</w:t>
            </w:r>
          </w:p>
        </w:tc>
        <w:tc>
          <w:tcPr>
            <w:tcW w:w="647" w:type="dxa"/>
          </w:tcPr>
          <w:p w:rsidR="00B43C57" w:rsidRPr="00F5723F" w:rsidRDefault="00B43C57">
            <w:pPr>
              <w:pStyle w:val="Tabelltext"/>
              <w:jc w:val="center"/>
            </w:pPr>
            <w:r w:rsidRPr="00F5723F">
              <w:t>16</w:t>
            </w:r>
          </w:p>
        </w:tc>
        <w:tc>
          <w:tcPr>
            <w:tcW w:w="709" w:type="dxa"/>
          </w:tcPr>
          <w:p w:rsidR="00B43C57" w:rsidRPr="00F5723F" w:rsidRDefault="00B43C57">
            <w:pPr>
              <w:pStyle w:val="Tabelltext"/>
              <w:jc w:val="center"/>
            </w:pPr>
            <w:r w:rsidRPr="00F5723F">
              <w:t>40</w:t>
            </w:r>
          </w:p>
        </w:tc>
        <w:tc>
          <w:tcPr>
            <w:tcW w:w="620" w:type="dxa"/>
          </w:tcPr>
          <w:p w:rsidR="00B43C57" w:rsidRPr="00F5723F" w:rsidRDefault="00B43C57">
            <w:pPr>
              <w:pStyle w:val="Tabelltext"/>
              <w:jc w:val="center"/>
            </w:pPr>
            <w:r w:rsidRPr="00F5723F">
              <w:t>26</w:t>
            </w:r>
          </w:p>
        </w:tc>
        <w:tc>
          <w:tcPr>
            <w:tcW w:w="655" w:type="dxa"/>
          </w:tcPr>
          <w:p w:rsidR="00B43C57" w:rsidRPr="00F5723F" w:rsidRDefault="00B43C57">
            <w:pPr>
              <w:pStyle w:val="Tabelltext"/>
              <w:jc w:val="center"/>
            </w:pPr>
            <w:r w:rsidRPr="00F5723F">
              <w:t>16</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-23</w:t>
            </w:r>
          </w:p>
        </w:tc>
        <w:tc>
          <w:tcPr>
            <w:tcW w:w="567" w:type="dxa"/>
          </w:tcPr>
          <w:p w:rsidR="00B43C57" w:rsidRPr="00F5723F" w:rsidRDefault="00B43C57">
            <w:pPr>
              <w:pStyle w:val="Tabelltextsiffror"/>
              <w:jc w:val="center"/>
            </w:pPr>
            <w:r w:rsidRPr="00F5723F">
              <w:t>1</w:t>
            </w:r>
            <w:r w:rsidRPr="00F5723F">
              <w:t xml:space="preserve"> </w:t>
            </w:r>
            <w:r w:rsidRPr="00F5723F">
              <w:t>541</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1997</w:t>
            </w:r>
          </w:p>
        </w:tc>
        <w:tc>
          <w:tcPr>
            <w:tcW w:w="629" w:type="dxa"/>
          </w:tcPr>
          <w:p w:rsidR="00B43C57" w:rsidRPr="00F5723F" w:rsidRDefault="00B43C57">
            <w:pPr>
              <w:pStyle w:val="Tabelltext"/>
              <w:jc w:val="center"/>
            </w:pPr>
            <w:r w:rsidRPr="00F5723F">
              <w:t>2</w:t>
            </w:r>
          </w:p>
        </w:tc>
        <w:tc>
          <w:tcPr>
            <w:tcW w:w="647" w:type="dxa"/>
          </w:tcPr>
          <w:p w:rsidR="00B43C57" w:rsidRPr="00F5723F" w:rsidRDefault="00B43C57">
            <w:pPr>
              <w:pStyle w:val="Tabelltext"/>
              <w:jc w:val="center"/>
            </w:pPr>
            <w:r w:rsidRPr="00F5723F">
              <w:t>19</w:t>
            </w:r>
          </w:p>
        </w:tc>
        <w:tc>
          <w:tcPr>
            <w:tcW w:w="709" w:type="dxa"/>
          </w:tcPr>
          <w:p w:rsidR="00B43C57" w:rsidRPr="00F5723F" w:rsidRDefault="00B43C57">
            <w:pPr>
              <w:pStyle w:val="Tabelltext"/>
              <w:jc w:val="center"/>
            </w:pPr>
            <w:r w:rsidRPr="00F5723F">
              <w:t>41</w:t>
            </w:r>
          </w:p>
        </w:tc>
        <w:tc>
          <w:tcPr>
            <w:tcW w:w="620" w:type="dxa"/>
          </w:tcPr>
          <w:p w:rsidR="00B43C57" w:rsidRPr="00F5723F" w:rsidRDefault="00B43C57">
            <w:pPr>
              <w:pStyle w:val="Tabelltext"/>
              <w:jc w:val="center"/>
            </w:pPr>
            <w:r w:rsidRPr="00F5723F">
              <w:t>26</w:t>
            </w:r>
          </w:p>
        </w:tc>
        <w:tc>
          <w:tcPr>
            <w:tcW w:w="655" w:type="dxa"/>
          </w:tcPr>
          <w:p w:rsidR="00B43C57" w:rsidRPr="00F5723F" w:rsidRDefault="00B43C57">
            <w:pPr>
              <w:pStyle w:val="Tabelltext"/>
              <w:jc w:val="center"/>
            </w:pPr>
            <w:r w:rsidRPr="00F5723F">
              <w:t>12</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-17</w:t>
            </w:r>
          </w:p>
        </w:tc>
        <w:tc>
          <w:tcPr>
            <w:tcW w:w="567" w:type="dxa"/>
          </w:tcPr>
          <w:p w:rsidR="00B43C57" w:rsidRPr="00F5723F" w:rsidRDefault="00B43C57">
            <w:pPr>
              <w:pStyle w:val="Tabelltextsiffror"/>
              <w:jc w:val="center"/>
            </w:pPr>
            <w:r w:rsidRPr="00F5723F">
              <w:t>1</w:t>
            </w:r>
            <w:r w:rsidRPr="00F5723F">
              <w:t xml:space="preserve"> </w:t>
            </w:r>
            <w:r w:rsidRPr="00F5723F">
              <w:t>514</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1998</w:t>
            </w:r>
          </w:p>
        </w:tc>
        <w:tc>
          <w:tcPr>
            <w:tcW w:w="629" w:type="dxa"/>
          </w:tcPr>
          <w:p w:rsidR="00B43C57" w:rsidRPr="00F5723F" w:rsidRDefault="00B43C57">
            <w:pPr>
              <w:pStyle w:val="Tabelltext"/>
              <w:jc w:val="center"/>
            </w:pPr>
            <w:r w:rsidRPr="00F5723F">
              <w:t>3</w:t>
            </w:r>
          </w:p>
        </w:tc>
        <w:tc>
          <w:tcPr>
            <w:tcW w:w="647" w:type="dxa"/>
          </w:tcPr>
          <w:p w:rsidR="00B43C57" w:rsidRPr="00F5723F" w:rsidRDefault="00B43C57">
            <w:pPr>
              <w:pStyle w:val="Tabelltext"/>
              <w:jc w:val="center"/>
            </w:pPr>
            <w:r w:rsidRPr="00F5723F">
              <w:t>27</w:t>
            </w:r>
          </w:p>
        </w:tc>
        <w:tc>
          <w:tcPr>
            <w:tcW w:w="709" w:type="dxa"/>
          </w:tcPr>
          <w:p w:rsidR="00B43C57" w:rsidRPr="00F5723F" w:rsidRDefault="00B43C57">
            <w:pPr>
              <w:pStyle w:val="Tabelltext"/>
              <w:jc w:val="center"/>
            </w:pPr>
            <w:r w:rsidRPr="00F5723F">
              <w:t>41</w:t>
            </w:r>
          </w:p>
        </w:tc>
        <w:tc>
          <w:tcPr>
            <w:tcW w:w="620" w:type="dxa"/>
          </w:tcPr>
          <w:p w:rsidR="00B43C57" w:rsidRPr="00F5723F" w:rsidRDefault="00B43C57">
            <w:pPr>
              <w:pStyle w:val="Tabelltext"/>
              <w:jc w:val="center"/>
            </w:pPr>
            <w:r w:rsidRPr="00F5723F">
              <w:t>21</w:t>
            </w:r>
          </w:p>
        </w:tc>
        <w:tc>
          <w:tcPr>
            <w:tcW w:w="655" w:type="dxa"/>
          </w:tcPr>
          <w:p w:rsidR="00B43C57" w:rsidRPr="00F5723F" w:rsidRDefault="00B43C57">
            <w:pPr>
              <w:pStyle w:val="Tabelltext"/>
              <w:jc w:val="center"/>
            </w:pPr>
            <w:r w:rsidRPr="00F5723F">
              <w:t>8</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+1</w:t>
            </w:r>
          </w:p>
        </w:tc>
        <w:tc>
          <w:tcPr>
            <w:tcW w:w="567" w:type="dxa"/>
          </w:tcPr>
          <w:p w:rsidR="00B43C57" w:rsidRPr="00F5723F" w:rsidRDefault="00B43C57">
            <w:pPr>
              <w:pStyle w:val="Tabelltextsiffror"/>
              <w:jc w:val="center"/>
            </w:pPr>
            <w:r w:rsidRPr="00F5723F">
              <w:t>3</w:t>
            </w:r>
            <w:r w:rsidRPr="00F5723F">
              <w:t xml:space="preserve"> </w:t>
            </w:r>
            <w:r w:rsidRPr="00F5723F">
              <w:t>133</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1999</w:t>
            </w:r>
          </w:p>
        </w:tc>
        <w:tc>
          <w:tcPr>
            <w:tcW w:w="629" w:type="dxa"/>
          </w:tcPr>
          <w:p w:rsidR="00B43C57" w:rsidRPr="00F5723F" w:rsidRDefault="00B43C57">
            <w:pPr>
              <w:pStyle w:val="Tabelltext"/>
              <w:jc w:val="center"/>
            </w:pPr>
            <w:r w:rsidRPr="00F5723F">
              <w:t>3</w:t>
            </w:r>
          </w:p>
        </w:tc>
        <w:tc>
          <w:tcPr>
            <w:tcW w:w="647" w:type="dxa"/>
          </w:tcPr>
          <w:p w:rsidR="00B43C57" w:rsidRPr="00F5723F" w:rsidRDefault="00B43C57">
            <w:pPr>
              <w:pStyle w:val="Tabelltext"/>
              <w:jc w:val="center"/>
            </w:pPr>
            <w:r w:rsidRPr="00F5723F">
              <w:t>24</w:t>
            </w:r>
          </w:p>
        </w:tc>
        <w:tc>
          <w:tcPr>
            <w:tcW w:w="709" w:type="dxa"/>
          </w:tcPr>
          <w:p w:rsidR="00B43C57" w:rsidRPr="00F5723F" w:rsidRDefault="00B43C57">
            <w:pPr>
              <w:pStyle w:val="Tabelltext"/>
              <w:jc w:val="center"/>
            </w:pPr>
            <w:r w:rsidRPr="00F5723F">
              <w:t>41</w:t>
            </w:r>
          </w:p>
        </w:tc>
        <w:tc>
          <w:tcPr>
            <w:tcW w:w="620" w:type="dxa"/>
          </w:tcPr>
          <w:p w:rsidR="00B43C57" w:rsidRPr="00F5723F" w:rsidRDefault="00B43C57">
            <w:pPr>
              <w:pStyle w:val="Tabelltext"/>
              <w:jc w:val="center"/>
            </w:pPr>
            <w:r w:rsidRPr="00F5723F">
              <w:t>21</w:t>
            </w:r>
          </w:p>
        </w:tc>
        <w:tc>
          <w:tcPr>
            <w:tcW w:w="655" w:type="dxa"/>
          </w:tcPr>
          <w:p w:rsidR="00B43C57" w:rsidRPr="00F5723F" w:rsidRDefault="00B43C57">
            <w:pPr>
              <w:pStyle w:val="Tabelltext"/>
              <w:jc w:val="center"/>
            </w:pPr>
            <w:r w:rsidRPr="00F5723F">
              <w:t>11</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-5</w:t>
            </w:r>
          </w:p>
        </w:tc>
        <w:tc>
          <w:tcPr>
            <w:tcW w:w="567" w:type="dxa"/>
          </w:tcPr>
          <w:p w:rsidR="00B43C57" w:rsidRPr="00F5723F" w:rsidRDefault="00B43C57">
            <w:pPr>
              <w:pStyle w:val="Tabelltextsiffror"/>
              <w:jc w:val="center"/>
            </w:pPr>
            <w:r w:rsidRPr="00F5723F">
              <w:t>3</w:t>
            </w:r>
            <w:r w:rsidRPr="00F5723F">
              <w:t xml:space="preserve"> </w:t>
            </w:r>
            <w:r w:rsidRPr="00F5723F">
              <w:t>143</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2000</w:t>
            </w:r>
          </w:p>
        </w:tc>
        <w:tc>
          <w:tcPr>
            <w:tcW w:w="629" w:type="dxa"/>
          </w:tcPr>
          <w:p w:rsidR="00B43C57" w:rsidRPr="00F5723F" w:rsidRDefault="00B43C57">
            <w:pPr>
              <w:pStyle w:val="Tabelltext"/>
              <w:jc w:val="center"/>
            </w:pPr>
            <w:r w:rsidRPr="00F5723F">
              <w:t>2</w:t>
            </w:r>
          </w:p>
        </w:tc>
        <w:tc>
          <w:tcPr>
            <w:tcW w:w="647" w:type="dxa"/>
          </w:tcPr>
          <w:p w:rsidR="00B43C57" w:rsidRPr="00F5723F" w:rsidRDefault="00B43C57">
            <w:pPr>
              <w:pStyle w:val="Tabelltext"/>
              <w:jc w:val="center"/>
            </w:pPr>
            <w:r w:rsidRPr="00F5723F">
              <w:t>25</w:t>
            </w:r>
          </w:p>
        </w:tc>
        <w:tc>
          <w:tcPr>
            <w:tcW w:w="709" w:type="dxa"/>
          </w:tcPr>
          <w:p w:rsidR="00B43C57" w:rsidRPr="00F5723F" w:rsidRDefault="00B43C57">
            <w:pPr>
              <w:pStyle w:val="Tabelltext"/>
              <w:jc w:val="center"/>
            </w:pPr>
            <w:r w:rsidRPr="00F5723F">
              <w:t>45</w:t>
            </w:r>
          </w:p>
        </w:tc>
        <w:tc>
          <w:tcPr>
            <w:tcW w:w="620" w:type="dxa"/>
          </w:tcPr>
          <w:p w:rsidR="00B43C57" w:rsidRPr="00F5723F" w:rsidRDefault="00B43C57">
            <w:pPr>
              <w:pStyle w:val="Tabelltext"/>
              <w:jc w:val="center"/>
            </w:pPr>
            <w:r w:rsidRPr="00F5723F">
              <w:t>19</w:t>
            </w:r>
          </w:p>
        </w:tc>
        <w:tc>
          <w:tcPr>
            <w:tcW w:w="655" w:type="dxa"/>
          </w:tcPr>
          <w:p w:rsidR="00B43C57" w:rsidRPr="00F5723F" w:rsidRDefault="00B43C57">
            <w:pPr>
              <w:pStyle w:val="Tabelltext"/>
              <w:jc w:val="center"/>
            </w:pPr>
            <w:r w:rsidRPr="00F5723F">
              <w:t>9</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-1</w:t>
            </w:r>
          </w:p>
        </w:tc>
        <w:tc>
          <w:tcPr>
            <w:tcW w:w="567" w:type="dxa"/>
          </w:tcPr>
          <w:p w:rsidR="00B43C57" w:rsidRPr="00F5723F" w:rsidRDefault="00B43C57">
            <w:pPr>
              <w:pStyle w:val="Tabelltextsiffror"/>
              <w:jc w:val="center"/>
            </w:pPr>
            <w:r w:rsidRPr="00F5723F">
              <w:t>2</w:t>
            </w:r>
            <w:r w:rsidRPr="00F5723F">
              <w:t xml:space="preserve"> </w:t>
            </w:r>
            <w:r w:rsidRPr="00F5723F">
              <w:t>959</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2001</w:t>
            </w:r>
          </w:p>
        </w:tc>
        <w:tc>
          <w:tcPr>
            <w:tcW w:w="629" w:type="dxa"/>
          </w:tcPr>
          <w:p w:rsidR="00B43C57" w:rsidRPr="00F5723F" w:rsidRDefault="00B43C57">
            <w:pPr>
              <w:pStyle w:val="Tabelltext"/>
              <w:jc w:val="center"/>
            </w:pPr>
            <w:r w:rsidRPr="00F5723F">
              <w:t>3</w:t>
            </w:r>
          </w:p>
        </w:tc>
        <w:tc>
          <w:tcPr>
            <w:tcW w:w="647" w:type="dxa"/>
          </w:tcPr>
          <w:p w:rsidR="00B43C57" w:rsidRPr="00F5723F" w:rsidRDefault="00B43C57">
            <w:pPr>
              <w:pStyle w:val="Tabelltext"/>
              <w:jc w:val="center"/>
            </w:pPr>
            <w:r w:rsidRPr="00F5723F">
              <w:t>29</w:t>
            </w:r>
          </w:p>
        </w:tc>
        <w:tc>
          <w:tcPr>
            <w:tcW w:w="709" w:type="dxa"/>
          </w:tcPr>
          <w:p w:rsidR="00B43C57" w:rsidRPr="00F5723F" w:rsidRDefault="00B43C57">
            <w:pPr>
              <w:pStyle w:val="Tabelltext"/>
              <w:jc w:val="center"/>
            </w:pPr>
            <w:r w:rsidRPr="00F5723F">
              <w:t>45</w:t>
            </w:r>
          </w:p>
        </w:tc>
        <w:tc>
          <w:tcPr>
            <w:tcW w:w="620" w:type="dxa"/>
          </w:tcPr>
          <w:p w:rsidR="00B43C57" w:rsidRPr="00F5723F" w:rsidRDefault="00B43C57">
            <w:pPr>
              <w:pStyle w:val="Tabelltext"/>
              <w:jc w:val="center"/>
            </w:pPr>
            <w:r w:rsidRPr="00F5723F">
              <w:t>16</w:t>
            </w:r>
          </w:p>
        </w:tc>
        <w:tc>
          <w:tcPr>
            <w:tcW w:w="655" w:type="dxa"/>
          </w:tcPr>
          <w:p w:rsidR="00B43C57" w:rsidRPr="00F5723F" w:rsidRDefault="00B43C57">
            <w:pPr>
              <w:pStyle w:val="Tabelltext"/>
              <w:jc w:val="center"/>
            </w:pPr>
            <w:r w:rsidRPr="00F5723F">
              <w:t>7</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+9</w:t>
            </w:r>
          </w:p>
        </w:tc>
        <w:tc>
          <w:tcPr>
            <w:tcW w:w="567" w:type="dxa"/>
          </w:tcPr>
          <w:p w:rsidR="00B43C57" w:rsidRPr="00F5723F" w:rsidRDefault="00B43C57">
            <w:pPr>
              <w:pStyle w:val="Tabelltextsiffror"/>
              <w:jc w:val="center"/>
            </w:pPr>
            <w:r w:rsidRPr="00F5723F">
              <w:t>2</w:t>
            </w:r>
            <w:r w:rsidRPr="00F5723F">
              <w:t xml:space="preserve"> </w:t>
            </w:r>
            <w:r w:rsidRPr="00F5723F">
              <w:t>976</w:t>
            </w:r>
          </w:p>
        </w:tc>
      </w:tr>
      <w:tr w:rsidR="00000000" w:rsidRPr="00F5723F">
        <w:tblPrEx>
          <w:tblCellMar>
            <w:top w:w="0" w:type="dxa"/>
            <w:bottom w:w="0" w:type="dxa"/>
          </w:tblCellMar>
        </w:tblPrEx>
        <w:tc>
          <w:tcPr>
            <w:tcW w:w="794" w:type="dxa"/>
          </w:tcPr>
          <w:p w:rsidR="00B43C57" w:rsidRPr="00F5723F" w:rsidRDefault="00B43C57">
            <w:pPr>
              <w:pStyle w:val="Tabelltext"/>
            </w:pPr>
            <w:r w:rsidRPr="00F5723F">
              <w:t>2002</w:t>
            </w:r>
          </w:p>
        </w:tc>
        <w:tc>
          <w:tcPr>
            <w:tcW w:w="629" w:type="dxa"/>
          </w:tcPr>
          <w:p w:rsidR="00B43C57" w:rsidRPr="00F5723F" w:rsidRDefault="00B43C57">
            <w:pPr>
              <w:pStyle w:val="Tabelltext"/>
              <w:jc w:val="center"/>
            </w:pPr>
            <w:r w:rsidRPr="00F5723F">
              <w:t>4</w:t>
            </w:r>
          </w:p>
        </w:tc>
        <w:tc>
          <w:tcPr>
            <w:tcW w:w="647" w:type="dxa"/>
          </w:tcPr>
          <w:p w:rsidR="00B43C57" w:rsidRPr="00F5723F" w:rsidRDefault="00B43C57">
            <w:pPr>
              <w:pStyle w:val="Tabelltext"/>
              <w:jc w:val="center"/>
            </w:pPr>
            <w:r w:rsidRPr="00F5723F">
              <w:t>30</w:t>
            </w:r>
          </w:p>
        </w:tc>
        <w:tc>
          <w:tcPr>
            <w:tcW w:w="709" w:type="dxa"/>
          </w:tcPr>
          <w:p w:rsidR="00B43C57" w:rsidRPr="00F5723F" w:rsidRDefault="00B43C57">
            <w:pPr>
              <w:pStyle w:val="Tabelltext"/>
              <w:jc w:val="center"/>
            </w:pPr>
            <w:r w:rsidRPr="00F5723F">
              <w:t>45</w:t>
            </w:r>
          </w:p>
        </w:tc>
        <w:tc>
          <w:tcPr>
            <w:tcW w:w="620" w:type="dxa"/>
          </w:tcPr>
          <w:p w:rsidR="00B43C57" w:rsidRPr="00F5723F" w:rsidRDefault="00B43C57">
            <w:pPr>
              <w:pStyle w:val="Tabelltext"/>
              <w:jc w:val="center"/>
            </w:pPr>
            <w:r w:rsidRPr="00F5723F">
              <w:t>15</w:t>
            </w:r>
          </w:p>
        </w:tc>
        <w:tc>
          <w:tcPr>
            <w:tcW w:w="655" w:type="dxa"/>
          </w:tcPr>
          <w:p w:rsidR="00B43C57" w:rsidRPr="00F5723F" w:rsidRDefault="00B43C57">
            <w:pPr>
              <w:pStyle w:val="Tabelltext"/>
              <w:jc w:val="center"/>
            </w:pPr>
            <w:r w:rsidRPr="00F5723F">
              <w:t>6</w:t>
            </w:r>
          </w:p>
        </w:tc>
        <w:tc>
          <w:tcPr>
            <w:tcW w:w="567" w:type="dxa"/>
          </w:tcPr>
          <w:p w:rsidR="00B43C57" w:rsidRPr="00F5723F" w:rsidRDefault="00B43C57">
            <w:pPr>
              <w:pStyle w:val="Tabelltext"/>
              <w:jc w:val="center"/>
            </w:pPr>
            <w:r w:rsidRPr="00F5723F">
              <w:t>100</w:t>
            </w:r>
          </w:p>
        </w:tc>
        <w:tc>
          <w:tcPr>
            <w:tcW w:w="709" w:type="dxa"/>
          </w:tcPr>
          <w:p w:rsidR="00B43C57" w:rsidRPr="00F5723F" w:rsidRDefault="00B43C57">
            <w:pPr>
              <w:pStyle w:val="Tabelltextsiffror"/>
              <w:jc w:val="center"/>
            </w:pPr>
            <w:r w:rsidRPr="00F5723F">
              <w:t>+13</w:t>
            </w:r>
          </w:p>
        </w:tc>
        <w:tc>
          <w:tcPr>
            <w:tcW w:w="567" w:type="dxa"/>
          </w:tcPr>
          <w:p w:rsidR="00B43C57" w:rsidRPr="00F5723F" w:rsidRDefault="00B43C57">
            <w:pPr>
              <w:pStyle w:val="Tabelltextsiffror"/>
              <w:jc w:val="center"/>
            </w:pPr>
            <w:r w:rsidRPr="00F5723F">
              <w:t>3</w:t>
            </w:r>
            <w:r w:rsidRPr="00F5723F">
              <w:t xml:space="preserve"> </w:t>
            </w:r>
            <w:r w:rsidRPr="00F5723F">
              <w:t>057</w:t>
            </w:r>
          </w:p>
        </w:tc>
      </w:tr>
      <w:tr w:rsidR="00000000" w:rsidRPr="00F5723F">
        <w:tblPrEx>
          <w:tblCellMar>
            <w:top w:w="0" w:type="dxa"/>
            <w:bottom w:w="0" w:type="dxa"/>
          </w:tblCellMar>
        </w:tblPrEx>
        <w:tc>
          <w:tcPr>
            <w:tcW w:w="794" w:type="dxa"/>
            <w:tcBorders>
              <w:bottom w:val="single" w:sz="4" w:space="0" w:color="auto"/>
            </w:tcBorders>
          </w:tcPr>
          <w:p w:rsidR="00B43C57" w:rsidRPr="00F5723F" w:rsidRDefault="00B43C57">
            <w:pPr>
              <w:pStyle w:val="Tabelltext"/>
            </w:pPr>
          </w:p>
        </w:tc>
        <w:tc>
          <w:tcPr>
            <w:tcW w:w="629" w:type="dxa"/>
            <w:tcBorders>
              <w:bottom w:val="single" w:sz="4" w:space="0" w:color="auto"/>
            </w:tcBorders>
          </w:tcPr>
          <w:p w:rsidR="00B43C57" w:rsidRPr="00F5723F" w:rsidRDefault="00B43C57">
            <w:pPr>
              <w:pStyle w:val="Tabelltext"/>
              <w:jc w:val="center"/>
            </w:pPr>
          </w:p>
        </w:tc>
        <w:tc>
          <w:tcPr>
            <w:tcW w:w="647" w:type="dxa"/>
            <w:tcBorders>
              <w:bottom w:val="single" w:sz="4" w:space="0" w:color="auto"/>
            </w:tcBorders>
          </w:tcPr>
          <w:p w:rsidR="00B43C57" w:rsidRPr="00F5723F" w:rsidRDefault="00B43C57">
            <w:pPr>
              <w:pStyle w:val="Tabelltext"/>
              <w:jc w:val="center"/>
            </w:pPr>
          </w:p>
        </w:tc>
        <w:tc>
          <w:tcPr>
            <w:tcW w:w="709" w:type="dxa"/>
            <w:tcBorders>
              <w:bottom w:val="single" w:sz="4" w:space="0" w:color="auto"/>
            </w:tcBorders>
          </w:tcPr>
          <w:p w:rsidR="00B43C57" w:rsidRPr="00F5723F" w:rsidRDefault="00B43C57">
            <w:pPr>
              <w:pStyle w:val="Tabelltext"/>
              <w:jc w:val="center"/>
            </w:pPr>
          </w:p>
        </w:tc>
        <w:tc>
          <w:tcPr>
            <w:tcW w:w="620" w:type="dxa"/>
            <w:tcBorders>
              <w:bottom w:val="single" w:sz="4" w:space="0" w:color="auto"/>
            </w:tcBorders>
          </w:tcPr>
          <w:p w:rsidR="00B43C57" w:rsidRPr="00F5723F" w:rsidRDefault="00B43C57">
            <w:pPr>
              <w:pStyle w:val="Tabelltext"/>
              <w:jc w:val="center"/>
            </w:pPr>
          </w:p>
        </w:tc>
        <w:tc>
          <w:tcPr>
            <w:tcW w:w="655" w:type="dxa"/>
            <w:tcBorders>
              <w:bottom w:val="single" w:sz="4" w:space="0" w:color="auto"/>
            </w:tcBorders>
          </w:tcPr>
          <w:p w:rsidR="00B43C57" w:rsidRPr="00F5723F" w:rsidRDefault="00B43C57">
            <w:pPr>
              <w:pStyle w:val="Tabelltext"/>
              <w:jc w:val="center"/>
            </w:pPr>
          </w:p>
        </w:tc>
        <w:tc>
          <w:tcPr>
            <w:tcW w:w="567" w:type="dxa"/>
            <w:tcBorders>
              <w:bottom w:val="single" w:sz="4" w:space="0" w:color="auto"/>
            </w:tcBorders>
          </w:tcPr>
          <w:p w:rsidR="00B43C57" w:rsidRPr="00F5723F" w:rsidRDefault="00B43C57">
            <w:pPr>
              <w:pStyle w:val="Tabelltext"/>
              <w:jc w:val="center"/>
            </w:pPr>
          </w:p>
        </w:tc>
        <w:tc>
          <w:tcPr>
            <w:tcW w:w="709" w:type="dxa"/>
            <w:tcBorders>
              <w:bottom w:val="single" w:sz="4" w:space="0" w:color="auto"/>
            </w:tcBorders>
          </w:tcPr>
          <w:p w:rsidR="00B43C57" w:rsidRPr="00F5723F" w:rsidRDefault="00B43C57">
            <w:pPr>
              <w:pStyle w:val="Tabelltext"/>
              <w:jc w:val="center"/>
            </w:pPr>
          </w:p>
        </w:tc>
        <w:tc>
          <w:tcPr>
            <w:tcW w:w="567"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794" w:type="dxa"/>
            <w:tcBorders>
              <w:top w:val="single" w:sz="4" w:space="0" w:color="auto"/>
              <w:left w:val="nil"/>
              <w:bottom w:val="single" w:sz="4" w:space="0" w:color="auto"/>
            </w:tcBorders>
          </w:tcPr>
          <w:p w:rsidR="00B43C57" w:rsidRPr="00F5723F" w:rsidRDefault="00B43C57">
            <w:pPr>
              <w:pStyle w:val="Tabelltext"/>
            </w:pPr>
            <w:r w:rsidRPr="00F5723F">
              <w:t>Diff</w:t>
            </w:r>
            <w:r w:rsidRPr="00F5723F">
              <w:t>e</w:t>
            </w:r>
            <w:r w:rsidRPr="00F5723F">
              <w:t>rens</w:t>
            </w:r>
          </w:p>
          <w:p w:rsidR="00B43C57" w:rsidRPr="00F5723F" w:rsidRDefault="00B43C57">
            <w:pPr>
              <w:pStyle w:val="Tabelltext"/>
            </w:pPr>
            <w:r w:rsidRPr="00F5723F">
              <w:t>1986–2002</w:t>
            </w:r>
          </w:p>
        </w:tc>
        <w:tc>
          <w:tcPr>
            <w:tcW w:w="629"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w:t>
            </w:r>
            <w:r w:rsidRPr="00F5723F">
              <w:t>6</w:t>
            </w:r>
          </w:p>
        </w:tc>
        <w:tc>
          <w:tcPr>
            <w:tcW w:w="647"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w:t>
            </w:r>
            <w:r w:rsidRPr="00F5723F">
              <w:t>7</w:t>
            </w:r>
          </w:p>
        </w:tc>
        <w:tc>
          <w:tcPr>
            <w:tcW w:w="709"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+7</w:t>
            </w:r>
          </w:p>
        </w:tc>
        <w:tc>
          <w:tcPr>
            <w:tcW w:w="620"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+4</w:t>
            </w:r>
          </w:p>
        </w:tc>
        <w:tc>
          <w:tcPr>
            <w:tcW w:w="655"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+2</w:t>
            </w:r>
          </w:p>
        </w:tc>
        <w:tc>
          <w:tcPr>
            <w:tcW w:w="567" w:type="dxa"/>
            <w:tcBorders>
              <w:top w:val="single" w:sz="4" w:space="0" w:color="auto"/>
              <w:bottom w:val="single" w:sz="4" w:space="0" w:color="auto"/>
            </w:tcBorders>
          </w:tcPr>
          <w:p w:rsidR="00B43C57" w:rsidRPr="00F5723F" w:rsidRDefault="00B43C57">
            <w:pPr>
              <w:pStyle w:val="Tabelltextsiffror"/>
              <w:jc w:val="center"/>
            </w:pPr>
          </w:p>
        </w:tc>
        <w:tc>
          <w:tcPr>
            <w:tcW w:w="709" w:type="dxa"/>
            <w:tcBorders>
              <w:top w:val="single" w:sz="4" w:space="0" w:color="auto"/>
              <w:bottom w:val="single" w:sz="4" w:space="0" w:color="auto"/>
            </w:tcBorders>
          </w:tcPr>
          <w:p w:rsidR="00B43C57" w:rsidRPr="00F5723F" w:rsidRDefault="00B43C57">
            <w:pPr>
              <w:pStyle w:val="Tabelltextsiffror"/>
              <w:jc w:val="center"/>
            </w:pPr>
          </w:p>
          <w:p w:rsidR="00B43C57" w:rsidRPr="00F5723F" w:rsidRDefault="00B43C57">
            <w:pPr>
              <w:pStyle w:val="Tabelltextsiffror"/>
              <w:jc w:val="center"/>
            </w:pPr>
            <w:r w:rsidRPr="00F5723F">
              <w:t>–</w:t>
            </w:r>
            <w:r w:rsidRPr="00F5723F">
              <w:t>19</w:t>
            </w:r>
          </w:p>
        </w:tc>
        <w:tc>
          <w:tcPr>
            <w:tcW w:w="567" w:type="dxa"/>
            <w:tcBorders>
              <w:top w:val="single" w:sz="4" w:space="0" w:color="auto"/>
              <w:bottom w:val="single" w:sz="4" w:space="0" w:color="auto"/>
              <w:right w:val="nil"/>
            </w:tcBorders>
          </w:tcPr>
          <w:p w:rsidR="00B43C57" w:rsidRPr="00F5723F" w:rsidRDefault="00B43C57">
            <w:pPr>
              <w:pStyle w:val="Tabelltextsiffror"/>
              <w:jc w:val="center"/>
            </w:pPr>
          </w:p>
        </w:tc>
      </w:tr>
    </w:tbl>
    <w:p w:rsidR="00B43C57" w:rsidRPr="00F5723F" w:rsidRDefault="00B43C57">
      <w:pPr>
        <w:spacing w:line="240" w:lineRule="auto"/>
        <w:rPr>
          <w:rFonts w:ascii="Arial" w:hAnsi="Arial" w:cs="Arial"/>
          <w:b/>
          <w:sz w:val="16"/>
          <w:szCs w:val="16"/>
        </w:rPr>
      </w:pPr>
      <w:r w:rsidRPr="00F5723F">
        <w:rPr>
          <w:rFonts w:ascii="Arial" w:hAnsi="Arial" w:cs="Arial"/>
          <w:b/>
          <w:sz w:val="16"/>
          <w:szCs w:val="16"/>
        </w:rPr>
        <w:t xml:space="preserve">Kommentar: </w:t>
      </w:r>
      <w:r w:rsidRPr="00F5723F">
        <w:rPr>
          <w:rFonts w:ascii="Arial" w:hAnsi="Arial" w:cs="Arial"/>
          <w:sz w:val="16"/>
          <w:szCs w:val="16"/>
          <w:vertAlign w:val="superscript"/>
        </w:rPr>
        <w:t xml:space="preserve">1) </w:t>
      </w:r>
      <w:r w:rsidRPr="00F5723F">
        <w:rPr>
          <w:rFonts w:ascii="Arial" w:hAnsi="Arial" w:cs="Arial"/>
          <w:sz w:val="16"/>
          <w:szCs w:val="16"/>
        </w:rPr>
        <w:t>Mittenalternativet ”varken stort eller litet fö</w:t>
      </w:r>
      <w:r w:rsidRPr="00F5723F">
        <w:rPr>
          <w:rFonts w:ascii="Arial" w:hAnsi="Arial" w:cs="Arial"/>
          <w:sz w:val="16"/>
          <w:szCs w:val="16"/>
        </w:rPr>
        <w:t>r</w:t>
      </w:r>
      <w:r w:rsidRPr="00F5723F">
        <w:rPr>
          <w:rFonts w:ascii="Arial" w:hAnsi="Arial" w:cs="Arial"/>
          <w:sz w:val="16"/>
          <w:szCs w:val="16"/>
        </w:rPr>
        <w:t xml:space="preserve">troende” fanns inte med i 1987 års undersökning. Resultaten avser svenska medborgare mellan 15 och 75 år. Frågeformulering: </w:t>
      </w:r>
      <w:r w:rsidRPr="00F5723F">
        <w:rPr>
          <w:rFonts w:ascii="Arial" w:hAnsi="Arial" w:cs="Arial"/>
          <w:sz w:val="16"/>
          <w:szCs w:val="16"/>
        </w:rPr>
        <w:t>”</w:t>
      </w:r>
      <w:r w:rsidRPr="00F5723F">
        <w:rPr>
          <w:rFonts w:ascii="Arial" w:hAnsi="Arial" w:cs="Arial"/>
          <w:i/>
          <w:sz w:val="16"/>
          <w:szCs w:val="16"/>
        </w:rPr>
        <w:t>Hur stort förtroende har Du för det sätt på vilket följande sa</w:t>
      </w:r>
      <w:r w:rsidRPr="00F5723F">
        <w:rPr>
          <w:rFonts w:ascii="Arial" w:hAnsi="Arial" w:cs="Arial"/>
          <w:i/>
          <w:sz w:val="16"/>
          <w:szCs w:val="16"/>
        </w:rPr>
        <w:t>m</w:t>
      </w:r>
      <w:r w:rsidRPr="00F5723F">
        <w:rPr>
          <w:rFonts w:ascii="Arial" w:hAnsi="Arial" w:cs="Arial"/>
          <w:i/>
          <w:sz w:val="16"/>
          <w:szCs w:val="16"/>
        </w:rPr>
        <w:t>hällsinstitutioner och grupper sköter sitt arbete?</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b/>
          <w:sz w:val="16"/>
          <w:szCs w:val="16"/>
        </w:rPr>
        <w:t>Kä</w:t>
      </w:r>
      <w:r w:rsidRPr="00F5723F">
        <w:rPr>
          <w:rFonts w:ascii="Arial" w:hAnsi="Arial" w:cs="Arial"/>
          <w:b/>
          <w:sz w:val="16"/>
          <w:szCs w:val="16"/>
        </w:rPr>
        <w:t>l</w:t>
      </w:r>
      <w:r w:rsidRPr="00F5723F">
        <w:rPr>
          <w:rFonts w:ascii="Arial" w:hAnsi="Arial" w:cs="Arial"/>
          <w:b/>
          <w:sz w:val="16"/>
          <w:szCs w:val="16"/>
        </w:rPr>
        <w:t>la:</w:t>
      </w:r>
      <w:r w:rsidRPr="00F5723F">
        <w:rPr>
          <w:rFonts w:ascii="Arial" w:hAnsi="Arial" w:cs="Arial"/>
          <w:sz w:val="16"/>
          <w:szCs w:val="16"/>
        </w:rPr>
        <w:t xml:space="preserve"> SOM-undersökningarna 1986–2002.</w:t>
      </w:r>
      <w:r w:rsidRPr="00F5723F">
        <w:rPr>
          <w:rFonts w:ascii="Arial" w:hAnsi="Arial" w:cs="Arial"/>
          <w:b/>
          <w:sz w:val="16"/>
          <w:szCs w:val="16"/>
        </w:rPr>
        <w:t xml:space="preserve"> </w:t>
      </w:r>
    </w:p>
    <w:p w:rsidR="00B43C57" w:rsidRPr="00F5723F" w:rsidRDefault="00B43C57">
      <w:pPr>
        <w:pStyle w:val="Tabellrubrik"/>
      </w:pPr>
      <w:r w:rsidRPr="00F5723F">
        <w:br w:type="page"/>
      </w:r>
      <w:r w:rsidRPr="00F5723F">
        <w:lastRenderedPageBreak/>
        <w:object w:dxaOrig="1440" w:dyaOrig="1440">
          <v:shape id="_x0000_s1060" type="#_x0000_t75" style="position:absolute;left:0;text-align:left;margin-left:-7.15pt;margin-top:35.85pt;width:317pt;height:247.85pt;z-index:251654144">
            <v:imagedata r:id="rId27" o:title=""/>
            <w10:wrap type="topAndBottom"/>
          </v:shape>
          <o:OLEObject Type="Embed" ProgID="Excel.Sheet.8" ShapeID="_x0000_s1060" DrawAspect="Content" ObjectID="_1827438471" r:id="rId28"/>
        </w:object>
      </w:r>
      <w:r w:rsidR="00F5723F" w:rsidRPr="00F5723F">
        <w:rPr>
          <w:noProof/>
        </w:rPr>
        <mc:AlternateContent>
          <mc:Choice Requires="wps">
            <w:drawing>
              <wp:anchor distT="0" distB="0" distL="114300" distR="114300" simplePos="0" relativeHeight="251655168" behindDoc="0" locked="0" layoutInCell="0" allowOverlap="1">
                <wp:simplePos x="0" y="0"/>
                <wp:positionH relativeFrom="column">
                  <wp:posOffset>4320540</wp:posOffset>
                </wp:positionH>
                <wp:positionV relativeFrom="paragraph">
                  <wp:posOffset>3411855</wp:posOffset>
                </wp:positionV>
                <wp:extent cx="640080" cy="457200"/>
                <wp:effectExtent l="0" t="0" r="0" b="0"/>
                <wp:wrapNone/>
                <wp:docPr id="12978994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rFonts w:ascii="Arial" w:hAnsi="Arial"/>
                                <w:sz w:val="18"/>
                              </w:rPr>
                            </w:pPr>
                            <w:r w:rsidRPr="00F5723F">
                              <w:rPr>
                                <w:rFonts w:ascii="Arial" w:hAnsi="Arial"/>
                                <w:sz w:val="18"/>
                              </w:rPr>
                              <w:t>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340.2pt;margin-top:268.65pt;width:50.4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" o:allowincell="f" filled="f" stroked="f">
                <v:textbox>
                  <w:txbxContent>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sz w:val="4"/>
                        </w:rPr>
                      </w:pPr>
                    </w:p>
                    <w:p w:rsidR="00B43C57" w:rsidRPr="00F5723F" w:rsidRDefault="00B43C57">
                      <w:pPr>
                        <w:rPr>
                          <w:rFonts w:ascii="Arial" w:hAnsi="Arial"/>
                          <w:sz w:val="18"/>
                        </w:rPr>
                      </w:pPr>
                      <w:r w:rsidRPr="00F5723F">
                        <w:rPr>
                          <w:rFonts w:ascii="Arial" w:hAnsi="Arial"/>
                          <w:sz w:val="18"/>
                        </w:rPr>
                        <w:t>År</w:t>
                      </w:r>
                    </w:p>
                  </w:txbxContent>
                </v:textbox>
              </v:shape>
            </w:pict>
          </mc:Fallback>
        </mc:AlternateContent>
      </w:r>
      <w:r w:rsidRPr="00F5723F">
        <w:t>Figur 2</w:t>
      </w:r>
      <w:r w:rsidRPr="00F5723F">
        <w:tab/>
        <w:t xml:space="preserve">Förtroendet för riksdagen 1986–2002 </w:t>
      </w:r>
      <w:r w:rsidRPr="00F5723F">
        <w:t>(pr</w:t>
      </w:r>
      <w:r w:rsidRPr="00F5723F">
        <w:t>o</w:t>
      </w:r>
      <w:r w:rsidRPr="00F5723F">
        <w:t xml:space="preserve">centandel mycket </w:t>
      </w:r>
      <w:r w:rsidR="00F5723F" w:rsidRPr="00F5723F">
        <w:rPr>
          <w:rFonts w:ascii="Arial" w:hAnsi="Arial" w:cs="Arial"/>
          <w:b/>
          <w:noProof/>
          <w:sz w:val="16"/>
          <w:szCs w:val="16"/>
        </w:rPr>
        <mc:AlternateContent>
          <mc:Choice Requires="wps">
            <w:drawing>
              <wp:anchor distT="0" distB="0" distL="114300" distR="114300" simplePos="0" relativeHeight="251673600" behindDoc="0" locked="0" layoutInCell="1" allowOverlap="1">
                <wp:simplePos x="0" y="0"/>
                <wp:positionH relativeFrom="column">
                  <wp:posOffset>-120650</wp:posOffset>
                </wp:positionH>
                <wp:positionV relativeFrom="paragraph">
                  <wp:posOffset>342900</wp:posOffset>
                </wp:positionV>
                <wp:extent cx="731520" cy="457200"/>
                <wp:effectExtent l="0" t="0" r="0" b="0"/>
                <wp:wrapNone/>
                <wp:docPr id="171152977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pStyle w:val="Tabelltext"/>
                              <w:rPr>
                                <w:rFonts w:ascii="Arial" w:hAnsi="Arial" w:cs="Arial"/>
                                <w:sz w:val="12"/>
                                <w:szCs w:val="12"/>
                              </w:rPr>
                            </w:pPr>
                            <w:r w:rsidRPr="00F5723F">
                              <w:rPr>
                                <w:rFonts w:ascii="Arial" w:hAnsi="Arial" w:cs="Arial"/>
                                <w:sz w:val="12"/>
                                <w:szCs w:val="12"/>
                              </w:rPr>
                              <w:t xml:space="preserve"> </w:t>
                            </w:r>
                            <w:r w:rsidRPr="00F5723F">
                              <w:rPr>
                                <w:rFonts w:ascii="Arial" w:hAnsi="Arial" w:cs="Arial"/>
                                <w:sz w:val="12"/>
                                <w:szCs w:val="12"/>
                              </w:rPr>
                              <w:t xml:space="preserve">procent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029" type="#_x0000_t202" style="position:absolute;left:0;text-align:left;margin-left:-9.5pt;margin-top:27pt;width:57.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" filled="f" stroked="f">
                <v:textbox>
                  <w:txbxContent>
                    <w:p w:rsidR="00B43C57" w:rsidRPr="00F5723F" w:rsidRDefault="00B43C57">
                      <w:pPr>
                        <w:pStyle w:val="Tabelltext"/>
                        <w:rPr>
                          <w:rFonts w:ascii="Arial" w:hAnsi="Arial" w:cs="Arial"/>
                          <w:sz w:val="12"/>
                          <w:szCs w:val="12"/>
                        </w:rPr>
                      </w:pPr>
                      <w:r w:rsidRPr="00F5723F">
                        <w:rPr>
                          <w:rFonts w:ascii="Arial" w:hAnsi="Arial" w:cs="Arial"/>
                          <w:sz w:val="12"/>
                          <w:szCs w:val="12"/>
                        </w:rPr>
                        <w:t xml:space="preserve"> </w:t>
                      </w:r>
                      <w:r w:rsidRPr="00F5723F">
                        <w:rPr>
                          <w:rFonts w:ascii="Arial" w:hAnsi="Arial" w:cs="Arial"/>
                          <w:sz w:val="12"/>
                          <w:szCs w:val="12"/>
                        </w:rPr>
                        <w:t xml:space="preserve">procent </w:t>
                      </w:r>
                    </w:p>
                  </w:txbxContent>
                </v:textbox>
              </v:shape>
            </w:pict>
          </mc:Fallback>
        </mc:AlternateContent>
      </w:r>
      <w:r w:rsidR="00F5723F" w:rsidRPr="00F5723F">
        <w:rPr>
          <w:noProof/>
        </w:rPr>
        <mc:AlternateContent>
          <mc:Choice Requires="wps">
            <w:drawing>
              <wp:anchor distT="0" distB="0" distL="114300" distR="114300" simplePos="0" relativeHeight="251669504" behindDoc="0" locked="0" layoutInCell="1" allowOverlap="1">
                <wp:simplePos x="0" y="0"/>
                <wp:positionH relativeFrom="column">
                  <wp:posOffset>2471420</wp:posOffset>
                </wp:positionH>
                <wp:positionV relativeFrom="paragraph">
                  <wp:posOffset>1141095</wp:posOffset>
                </wp:positionV>
                <wp:extent cx="457200" cy="274320"/>
                <wp:effectExtent l="0" t="0" r="0" b="0"/>
                <wp:wrapNone/>
                <wp:docPr id="941096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194.6pt;margin-top:89.85pt;width:3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" filled="f" stroked="f">
                <v:textbo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v:textbox>
              </v:shape>
            </w:pict>
          </mc:Fallback>
        </mc:AlternateContent>
      </w:r>
      <w:r w:rsidR="00F5723F" w:rsidRPr="00F5723F">
        <w:rPr>
          <w:noProof/>
        </w:rPr>
        <mc:AlternateContent>
          <mc:Choice Requires="wps">
            <w:drawing>
              <wp:anchor distT="0" distB="0" distL="114300" distR="114300" simplePos="0" relativeHeight="251668480" behindDoc="0" locked="0" layoutInCell="1" allowOverlap="1">
                <wp:simplePos x="0" y="0"/>
                <wp:positionH relativeFrom="column">
                  <wp:posOffset>985520</wp:posOffset>
                </wp:positionH>
                <wp:positionV relativeFrom="paragraph">
                  <wp:posOffset>1483995</wp:posOffset>
                </wp:positionV>
                <wp:extent cx="457200" cy="274320"/>
                <wp:effectExtent l="0" t="0" r="0" b="0"/>
                <wp:wrapNone/>
                <wp:docPr id="5643277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left:0;text-align:left;margin-left:77.6pt;margin-top:116.85pt;width:36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" filled="f" stroked="f">
                <v:textbo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v:textbox>
              </v:shape>
            </w:pict>
          </mc:Fallback>
        </mc:AlternateContent>
      </w:r>
      <w:r w:rsidR="00F5723F" w:rsidRPr="00F5723F">
        <w:rPr>
          <w:noProof/>
        </w:rPr>
        <mc:AlternateContent>
          <mc:Choice Requires="wps">
            <w:drawing>
              <wp:anchor distT="0" distB="0" distL="114300" distR="114300" simplePos="0" relativeHeight="251667456" behindDoc="0" locked="0" layoutInCell="1" allowOverlap="1">
                <wp:simplePos x="0" y="0"/>
                <wp:positionH relativeFrom="column">
                  <wp:posOffset>299720</wp:posOffset>
                </wp:positionH>
                <wp:positionV relativeFrom="paragraph">
                  <wp:posOffset>798195</wp:posOffset>
                </wp:positionV>
                <wp:extent cx="457200" cy="274320"/>
                <wp:effectExtent l="0" t="0" r="0" b="0"/>
                <wp:wrapNone/>
                <wp:docPr id="3320956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left:0;text-align:left;margin-left:23.6pt;margin-top:62.85pt;width:36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" filled="f" stroked="f">
                <v:textbo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v:textbox>
              </v:shape>
            </w:pict>
          </mc:Fallback>
        </mc:AlternateContent>
      </w:r>
      <w:r w:rsidR="00F5723F" w:rsidRPr="00F5723F">
        <w:rPr>
          <w:noProof/>
        </w:rPr>
        <mc:AlternateContent>
          <mc:Choice Requires="wps">
            <w:drawing>
              <wp:anchor distT="0" distB="0" distL="114300" distR="114300" simplePos="0" relativeHeight="251666432" behindDoc="0" locked="0" layoutInCell="1" allowOverlap="1">
                <wp:simplePos x="0" y="0"/>
                <wp:positionH relativeFrom="column">
                  <wp:posOffset>1671320</wp:posOffset>
                </wp:positionH>
                <wp:positionV relativeFrom="paragraph">
                  <wp:posOffset>1141095</wp:posOffset>
                </wp:positionV>
                <wp:extent cx="457200" cy="274320"/>
                <wp:effectExtent l="0" t="0" r="0" b="0"/>
                <wp:wrapNone/>
                <wp:docPr id="15282913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left:0;text-align:left;margin-left:131.6pt;margin-top:89.85pt;width:3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" filled="f" stroked="f">
                <v:textbo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v:textbox>
              </v:shape>
            </w:pict>
          </mc:Fallback>
        </mc:AlternateContent>
      </w:r>
      <w:r w:rsidRPr="00F5723F">
        <w:t xml:space="preserve">och </w:t>
      </w:r>
      <w:r w:rsidR="00F5723F" w:rsidRPr="00F5723F">
        <w:rPr>
          <w:noProof/>
        </w:rPr>
        <mc:AlternateContent>
          <mc:Choice Requires="wps">
            <w:drawing>
              <wp:anchor distT="0" distB="0" distL="114300" distR="114300" simplePos="0" relativeHeight="251656192" behindDoc="0" locked="0" layoutInCell="1" allowOverlap="1">
                <wp:simplePos x="0" y="0"/>
                <wp:positionH relativeFrom="column">
                  <wp:posOffset>3614420</wp:posOffset>
                </wp:positionH>
                <wp:positionV relativeFrom="paragraph">
                  <wp:posOffset>1012825</wp:posOffset>
                </wp:positionV>
                <wp:extent cx="457200" cy="274320"/>
                <wp:effectExtent l="0" t="0" r="0" b="0"/>
                <wp:wrapNone/>
                <wp:docPr id="7913782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left:0;text-align:left;margin-left:284.6pt;margin-top:79.75pt;width:3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" filled="f" stroked="f">
                <v:textbox>
                  <w:txbxContent>
                    <w:p w:rsidR="00B43C57" w:rsidRPr="00F5723F" w:rsidRDefault="00B43C57">
                      <w:pPr>
                        <w:jc w:val="left"/>
                        <w:rPr>
                          <w:rFonts w:ascii="Arial" w:hAnsi="Arial"/>
                          <w:b/>
                          <w:sz w:val="16"/>
                          <w:szCs w:val="16"/>
                        </w:rPr>
                      </w:pPr>
                      <w:r w:rsidRPr="00F5723F">
                        <w:rPr>
                          <w:rFonts w:ascii="Arial" w:hAnsi="Arial"/>
                          <w:b/>
                          <w:sz w:val="16"/>
                          <w:szCs w:val="16"/>
                        </w:rPr>
                        <w:t>valår</w:t>
                      </w:r>
                    </w:p>
                  </w:txbxContent>
                </v:textbox>
              </v:shape>
            </w:pict>
          </mc:Fallback>
        </mc:AlternateContent>
      </w:r>
      <w:r w:rsidRPr="00F5723F">
        <w:t>ganska stort förtroende)</w:t>
      </w:r>
      <w:r w:rsidRPr="00F5723F">
        <w:t xml:space="preserve">  </w:t>
      </w:r>
    </w:p>
    <w:p w:rsidR="00B43C57" w:rsidRPr="00F5723F" w:rsidRDefault="00B43C57">
      <w:pPr>
        <w:spacing w:line="240" w:lineRule="auto"/>
        <w:rPr>
          <w:rFonts w:ascii="Arial" w:hAnsi="Arial" w:cs="Arial"/>
          <w:sz w:val="16"/>
          <w:szCs w:val="16"/>
        </w:rPr>
      </w:pPr>
      <w:r w:rsidRPr="00F5723F">
        <w:rPr>
          <w:rFonts w:ascii="Arial" w:hAnsi="Arial" w:cs="Arial"/>
          <w:b/>
          <w:sz w:val="16"/>
          <w:szCs w:val="16"/>
        </w:rPr>
        <w:t xml:space="preserve">Kommentar: </w:t>
      </w:r>
      <w:r w:rsidRPr="00F5723F">
        <w:rPr>
          <w:rFonts w:ascii="Arial" w:hAnsi="Arial" w:cs="Arial"/>
          <w:sz w:val="16"/>
          <w:szCs w:val="16"/>
        </w:rPr>
        <w:t>Medie</w:t>
      </w:r>
      <w:r w:rsidRPr="00F5723F">
        <w:rPr>
          <w:rFonts w:ascii="Arial" w:hAnsi="Arial" w:cs="Arial"/>
          <w:sz w:val="16"/>
          <w:szCs w:val="16"/>
        </w:rPr>
        <w:t>a</w:t>
      </w:r>
      <w:r w:rsidRPr="00F5723F">
        <w:rPr>
          <w:rFonts w:ascii="Arial" w:hAnsi="Arial" w:cs="Arial"/>
          <w:sz w:val="16"/>
          <w:szCs w:val="16"/>
        </w:rPr>
        <w:t>kade</w:t>
      </w:r>
      <w:r w:rsidRPr="00F5723F">
        <w:rPr>
          <w:rFonts w:ascii="Arial" w:hAnsi="Arial" w:cs="Arial"/>
          <w:sz w:val="16"/>
          <w:szCs w:val="16"/>
        </w:rPr>
        <w:t>min/NFO Infratest omfattar ca</w:t>
      </w:r>
      <w:r w:rsidRPr="00F5723F">
        <w:rPr>
          <w:rFonts w:ascii="Arial" w:hAnsi="Arial" w:cs="Arial"/>
          <w:sz w:val="16"/>
          <w:szCs w:val="16"/>
        </w:rPr>
        <w:t xml:space="preserve"> 750 telefonintervjuer genomförda under senhösten respektive år. Procenttalen är beräknade bland pe</w:t>
      </w:r>
      <w:r w:rsidRPr="00F5723F">
        <w:rPr>
          <w:rFonts w:ascii="Arial" w:hAnsi="Arial" w:cs="Arial"/>
          <w:sz w:val="16"/>
          <w:szCs w:val="16"/>
        </w:rPr>
        <w:t>r</w:t>
      </w:r>
      <w:r w:rsidRPr="00F5723F">
        <w:rPr>
          <w:rFonts w:ascii="Arial" w:hAnsi="Arial" w:cs="Arial"/>
          <w:sz w:val="16"/>
          <w:szCs w:val="16"/>
        </w:rPr>
        <w:t>soner som besvarat förtroendefrågorna (Holmberg &amp; Weibull 2003a). Frågeformul</w:t>
      </w:r>
      <w:r w:rsidRPr="00F5723F">
        <w:rPr>
          <w:rFonts w:ascii="Arial" w:hAnsi="Arial" w:cs="Arial"/>
          <w:sz w:val="16"/>
          <w:szCs w:val="16"/>
        </w:rPr>
        <w:t>e</w:t>
      </w:r>
      <w:r w:rsidRPr="00F5723F">
        <w:rPr>
          <w:rFonts w:ascii="Arial" w:hAnsi="Arial" w:cs="Arial"/>
          <w:sz w:val="16"/>
          <w:szCs w:val="16"/>
        </w:rPr>
        <w:t xml:space="preserve">ring: </w:t>
      </w:r>
      <w:r w:rsidRPr="00F5723F">
        <w:rPr>
          <w:rFonts w:ascii="Arial" w:hAnsi="Arial" w:cs="Arial"/>
          <w:sz w:val="16"/>
          <w:szCs w:val="16"/>
        </w:rPr>
        <w:t>”</w:t>
      </w:r>
      <w:r w:rsidRPr="00F5723F">
        <w:rPr>
          <w:rFonts w:ascii="Arial" w:hAnsi="Arial" w:cs="Arial"/>
          <w:i/>
          <w:sz w:val="16"/>
          <w:szCs w:val="16"/>
        </w:rPr>
        <w:t>Hur stort förtroende har Du för det sätt på vilket följande samhällsinstitutioner och grupper sköter sitt arb</w:t>
      </w:r>
      <w:r w:rsidRPr="00F5723F">
        <w:rPr>
          <w:rFonts w:ascii="Arial" w:hAnsi="Arial" w:cs="Arial"/>
          <w:i/>
          <w:sz w:val="16"/>
          <w:szCs w:val="16"/>
        </w:rPr>
        <w:t>e</w:t>
      </w:r>
      <w:r w:rsidRPr="00F5723F">
        <w:rPr>
          <w:rFonts w:ascii="Arial" w:hAnsi="Arial" w:cs="Arial"/>
          <w:i/>
          <w:sz w:val="16"/>
          <w:szCs w:val="16"/>
        </w:rPr>
        <w:t>te?</w:t>
      </w:r>
      <w:r w:rsidRPr="00F5723F">
        <w:rPr>
          <w:rFonts w:ascii="Arial" w:hAnsi="Arial" w:cs="Arial"/>
          <w:sz w:val="16"/>
          <w:szCs w:val="16"/>
        </w:rPr>
        <w:t>”</w:t>
      </w:r>
      <w:r w:rsidRPr="00F5723F">
        <w:rPr>
          <w:rFonts w:ascii="Arial" w:hAnsi="Arial" w:cs="Arial"/>
          <w:b/>
          <w:sz w:val="16"/>
          <w:szCs w:val="16"/>
        </w:rPr>
        <w:t xml:space="preserve"> Källa:</w:t>
      </w:r>
      <w:r w:rsidRPr="00F5723F">
        <w:rPr>
          <w:rFonts w:ascii="Arial" w:hAnsi="Arial" w:cs="Arial"/>
          <w:sz w:val="16"/>
          <w:szCs w:val="16"/>
        </w:rPr>
        <w:t xml:space="preserve"> SOM-under</w:t>
      </w:r>
      <w:r w:rsidRPr="00F5723F">
        <w:rPr>
          <w:rFonts w:ascii="Arial" w:hAnsi="Arial" w:cs="Arial"/>
          <w:sz w:val="16"/>
          <w:szCs w:val="16"/>
        </w:rPr>
        <w:t>sökningarna 1986–2002 och MedieA</w:t>
      </w:r>
      <w:r w:rsidRPr="00F5723F">
        <w:rPr>
          <w:rFonts w:ascii="Arial" w:hAnsi="Arial" w:cs="Arial"/>
          <w:sz w:val="16"/>
          <w:szCs w:val="16"/>
        </w:rPr>
        <w:t xml:space="preserve">kademin 1997– 2002. </w:t>
      </w:r>
    </w:p>
    <w:p w:rsidR="00B43C57" w:rsidRPr="00F5723F" w:rsidRDefault="00B43C57">
      <w:pPr>
        <w:spacing w:line="360" w:lineRule="auto"/>
      </w:pPr>
    </w:p>
    <w:p w:rsidR="00B43C57" w:rsidRPr="00F5723F" w:rsidRDefault="00B43C57">
      <w:pPr>
        <w:rPr>
          <w:rFonts w:ascii="Arial" w:hAnsi="Arial" w:cs="Arial"/>
          <w:sz w:val="16"/>
          <w:szCs w:val="16"/>
        </w:rPr>
      </w:pPr>
      <w:r w:rsidRPr="00F5723F">
        <w:t>Resultaten är tydliga. Förtroendet tenderar att vara något högre under valår jä</w:t>
      </w:r>
      <w:r w:rsidRPr="00F5723F">
        <w:t>m</w:t>
      </w:r>
      <w:r w:rsidRPr="00F5723F">
        <w:t>fört med året dessförinnan. Mätserien ger inte mindre än fem tillfällen då den elektorala cykeln i förtroendet för riksdagen b</w:t>
      </w:r>
      <w:r w:rsidRPr="00F5723F">
        <w:t>e</w:t>
      </w:r>
      <w:r w:rsidRPr="00F5723F">
        <w:t>kräftas (Holmberg 1993). Som Sören Holmberg och Lennart Weibull visar i ett annat av bokens kap</w:t>
      </w:r>
      <w:r w:rsidRPr="00F5723F">
        <w:t>i</w:t>
      </w:r>
      <w:r w:rsidRPr="00F5723F">
        <w:t>tel kan det uppåtg</w:t>
      </w:r>
      <w:r w:rsidRPr="00F5723F">
        <w:t>å</w:t>
      </w:r>
      <w:r w:rsidRPr="00F5723F">
        <w:t>ende förtroendet för riksdagen i samband med valår hänföras till en mer allmän elektoral cykel för politikertilltron (Holmberg &amp; Weibull 2003b). Också förtroe</w:t>
      </w:r>
      <w:r w:rsidRPr="00F5723F">
        <w:t>n</w:t>
      </w:r>
      <w:r w:rsidRPr="00F5723F">
        <w:t>det för andra politiska institutioner, som politiska partier och regeringen, ökar under valåren</w:t>
      </w:r>
      <w:r w:rsidRPr="00F5723F">
        <w:t>.</w:t>
      </w:r>
      <w:r w:rsidRPr="00F5723F">
        <w:rPr>
          <w:rStyle w:val="Fotnotsreferens"/>
        </w:rPr>
        <w:footnoteReference w:id="6"/>
      </w:r>
      <w:r w:rsidRPr="00F5723F">
        <w:t xml:space="preserve"> Vid samtliga tillfällen då val hållits, 1988, 1991, 1994, 1998 och 2002, har förtroendet för riksd</w:t>
      </w:r>
      <w:r w:rsidRPr="00F5723F">
        <w:t>a</w:t>
      </w:r>
      <w:r w:rsidRPr="00F5723F">
        <w:t>gen ökat något jämfört med året dessförinnan. Resu</w:t>
      </w:r>
      <w:r w:rsidRPr="00F5723F">
        <w:t>l</w:t>
      </w:r>
      <w:r w:rsidRPr="00F5723F">
        <w:t>taten</w:t>
      </w:r>
      <w:r w:rsidRPr="00F5723F">
        <w:t xml:space="preserve"> visar således på en elektoral cykel när det gäller förtroendet för riksdagen; under valåren tenderar förtr</w:t>
      </w:r>
      <w:r w:rsidRPr="00F5723F">
        <w:t>o</w:t>
      </w:r>
      <w:r w:rsidRPr="00F5723F">
        <w:t>endet att öka jämfört med året dessförinnan.</w:t>
      </w:r>
    </w:p>
    <w:p w:rsidR="00B43C57" w:rsidRPr="00F5723F" w:rsidRDefault="00B43C57">
      <w:pPr>
        <w:pStyle w:val="Normaltindrag"/>
      </w:pPr>
      <w:r w:rsidRPr="00F5723F">
        <w:lastRenderedPageBreak/>
        <w:t>Sett till hela tidsperioden från 1986 kan förtroendet för riksdagen delas in i två tydliga perioder. Den första, fram till 1996, kännetecknas av nedgång. Därefter har förtroendet ökat något. Bottenåret 1</w:t>
      </w:r>
      <w:r w:rsidRPr="00F5723F">
        <w:t>996 hade 18 procent av svarspersonerna ett stort eller ganska stort förtroende för riksdagen; motsv</w:t>
      </w:r>
      <w:r w:rsidRPr="00F5723F">
        <w:t>a</w:t>
      </w:r>
      <w:r w:rsidRPr="00F5723F">
        <w:t>rande andel 2002 var 34 procent. Intressant att notera är också att ne</w:t>
      </w:r>
      <w:r w:rsidRPr="00F5723F">
        <w:t>d</w:t>
      </w:r>
      <w:r w:rsidRPr="00F5723F">
        <w:t>gången i förtroendet efter valet 1998 (3 procentenheter) var klart mindre än nedgån</w:t>
      </w:r>
      <w:r w:rsidRPr="00F5723F">
        <w:t>g</w:t>
      </w:r>
      <w:r w:rsidRPr="00F5723F">
        <w:t>en efter tidigare val. Efter både 1994 och 1988 års val gick fö</w:t>
      </w:r>
      <w:r w:rsidRPr="00F5723F">
        <w:t>r</w:t>
      </w:r>
      <w:r w:rsidRPr="00F5723F">
        <w:t>troendet ned 12 procentenheter; efter 1991 års val var nedgången 7 procentenh</w:t>
      </w:r>
      <w:r w:rsidRPr="00F5723F">
        <w:t>e</w:t>
      </w:r>
      <w:r w:rsidRPr="00F5723F">
        <w:t xml:space="preserve">ter. </w:t>
      </w:r>
    </w:p>
    <w:p w:rsidR="00B43C57" w:rsidRPr="00F5723F" w:rsidRDefault="00B43C57">
      <w:pPr>
        <w:pStyle w:val="Normaltindrag"/>
      </w:pPr>
      <w:r w:rsidRPr="00F5723F">
        <w:t>Möjligen signalerar resultaten att förtroendet för riksdagen är på uppåtg</w:t>
      </w:r>
      <w:r w:rsidRPr="00F5723F">
        <w:t>å</w:t>
      </w:r>
      <w:r w:rsidRPr="00F5723F">
        <w:t>ende. Slutsatsen av detta måste anses vara positiv för den som ser ett dem</w:t>
      </w:r>
      <w:r w:rsidRPr="00F5723F">
        <w:t>o</w:t>
      </w:r>
      <w:r w:rsidRPr="00F5723F">
        <w:t>krativärde i att medborgare hyser ett förtroende för den folkvalda församlin</w:t>
      </w:r>
      <w:r w:rsidRPr="00F5723F">
        <w:t>g</w:t>
      </w:r>
      <w:r w:rsidRPr="00F5723F">
        <w:t>en. De år riksdagen står i fokus för den politiska händelseutvecklingen, och de år medborgare ges möjlighet att påverka sammansättningen av den parlame</w:t>
      </w:r>
      <w:r w:rsidRPr="00F5723F">
        <w:t>n</w:t>
      </w:r>
      <w:r w:rsidRPr="00F5723F">
        <w:t>tariska församlingen, ökar förtroendet.</w:t>
      </w:r>
      <w:r w:rsidRPr="00F5723F">
        <w:rPr>
          <w:rStyle w:val="Fotnotsreferens"/>
        </w:rPr>
        <w:footnoteReference w:id="7"/>
      </w:r>
    </w:p>
    <w:p w:rsidR="00B43C57" w:rsidRPr="00F5723F" w:rsidRDefault="00B43C57">
      <w:pPr>
        <w:pStyle w:val="Rubrik2"/>
      </w:pPr>
      <w:bookmarkStart w:id="11" w:name="_Toc121738880"/>
      <w:bookmarkStart w:id="12" w:name="_Toc124697774"/>
      <w:r w:rsidRPr="00F5723F">
        <w:t>Medborgares och riksdagsledamöters bedömning av riksdagen</w:t>
      </w:r>
      <w:bookmarkEnd w:id="11"/>
      <w:bookmarkEnd w:id="12"/>
    </w:p>
    <w:p w:rsidR="00B43C57" w:rsidRPr="00F5723F" w:rsidRDefault="00B43C57">
      <w:r w:rsidRPr="00F5723F">
        <w:t>Forskningsdiskursen om vilka uppgifter som skall tillskrivas nationella pa</w:t>
      </w:r>
      <w:r w:rsidRPr="00F5723F">
        <w:t>r</w:t>
      </w:r>
      <w:r w:rsidRPr="00F5723F">
        <w:t>lament är stor, och någon gemensam uppfattning om vilka dessa uppgi</w:t>
      </w:r>
      <w:r w:rsidRPr="00F5723F">
        <w:t>f</w:t>
      </w:r>
      <w:r w:rsidRPr="00F5723F">
        <w:t>ter skulle vara finns inte.</w:t>
      </w:r>
      <w:r w:rsidRPr="00F5723F">
        <w:rPr>
          <w:rStyle w:val="Fotnotsreferens"/>
        </w:rPr>
        <w:footnoteReference w:id="8"/>
      </w:r>
      <w:r w:rsidRPr="00F5723F">
        <w:t xml:space="preserve"> En vägledning ger dock litteraturen, och utifrån den kan ett antal uppgifter och funktioner för riksdagen preciseras, nämligen </w:t>
      </w:r>
      <w:r w:rsidRPr="00F5723F">
        <w:t>”</w:t>
      </w:r>
      <w:r w:rsidRPr="00F5723F">
        <w:rPr>
          <w:i/>
        </w:rPr>
        <w:t>fatta avgörande beslut för samhällsutvecklingen</w:t>
      </w:r>
      <w:r w:rsidRPr="00F5723F">
        <w:t>”</w:t>
      </w:r>
      <w:r w:rsidRPr="00F5723F">
        <w:t>,</w:t>
      </w:r>
      <w:r w:rsidRPr="00F5723F">
        <w:rPr>
          <w:i/>
        </w:rPr>
        <w:t xml:space="preserve"> </w:t>
      </w:r>
      <w:r w:rsidRPr="00F5723F">
        <w:t>”</w:t>
      </w:r>
      <w:r w:rsidRPr="00F5723F">
        <w:rPr>
          <w:i/>
        </w:rPr>
        <w:t>övervaka regeringens arb</w:t>
      </w:r>
      <w:r w:rsidRPr="00F5723F">
        <w:rPr>
          <w:i/>
        </w:rPr>
        <w:t>e</w:t>
      </w:r>
      <w:r w:rsidRPr="00F5723F">
        <w:rPr>
          <w:i/>
        </w:rPr>
        <w:t>te</w:t>
      </w:r>
      <w:r w:rsidRPr="00F5723F">
        <w:t>”</w:t>
      </w:r>
      <w:r w:rsidRPr="00F5723F">
        <w:t>,</w:t>
      </w:r>
      <w:r w:rsidRPr="00F5723F">
        <w:rPr>
          <w:i/>
        </w:rPr>
        <w:t xml:space="preserve"> </w:t>
      </w:r>
      <w:r w:rsidRPr="00F5723F">
        <w:t>”</w:t>
      </w:r>
      <w:r w:rsidRPr="00F5723F">
        <w:rPr>
          <w:i/>
        </w:rPr>
        <w:t>vara central debattarena</w:t>
      </w:r>
      <w:r w:rsidRPr="00F5723F">
        <w:t>”</w:t>
      </w:r>
      <w:r w:rsidRPr="00F5723F">
        <w:t>,</w:t>
      </w:r>
      <w:r w:rsidRPr="00F5723F">
        <w:rPr>
          <w:i/>
        </w:rPr>
        <w:t xml:space="preserve"> </w:t>
      </w:r>
      <w:r w:rsidRPr="00F5723F">
        <w:t>”</w:t>
      </w:r>
      <w:r w:rsidRPr="00F5723F">
        <w:rPr>
          <w:i/>
        </w:rPr>
        <w:t>förutse framtida problem innan de blir akuta</w:t>
      </w:r>
      <w:r w:rsidRPr="00F5723F">
        <w:t>”</w:t>
      </w:r>
      <w:r w:rsidRPr="00F5723F">
        <w:t>,</w:t>
      </w:r>
      <w:r w:rsidRPr="00F5723F">
        <w:rPr>
          <w:i/>
        </w:rPr>
        <w:t xml:space="preserve"> </w:t>
      </w:r>
      <w:r w:rsidRPr="00F5723F">
        <w:t>”</w:t>
      </w:r>
      <w:r w:rsidRPr="00F5723F">
        <w:rPr>
          <w:i/>
        </w:rPr>
        <w:t>avspegla åsiktsfördelningen bland väljarna</w:t>
      </w:r>
      <w:r w:rsidRPr="00F5723F">
        <w:t>”</w:t>
      </w:r>
      <w:r w:rsidRPr="00F5723F">
        <w:t xml:space="preserve"> och </w:t>
      </w:r>
      <w:r w:rsidRPr="00F5723F">
        <w:t>”</w:t>
      </w:r>
      <w:r w:rsidRPr="00F5723F">
        <w:rPr>
          <w:i/>
        </w:rPr>
        <w:t>ta initiativ i fr</w:t>
      </w:r>
      <w:r w:rsidRPr="00F5723F">
        <w:rPr>
          <w:i/>
        </w:rPr>
        <w:t>å</w:t>
      </w:r>
      <w:r w:rsidRPr="00F5723F">
        <w:rPr>
          <w:i/>
        </w:rPr>
        <w:t>gor som inte tas upp av regeringen</w:t>
      </w:r>
      <w:r w:rsidRPr="00F5723F">
        <w:t>”</w:t>
      </w:r>
      <w:r w:rsidRPr="00F5723F">
        <w:t>. Dessa sex uppgifter har Peter Esaia</w:t>
      </w:r>
      <w:r w:rsidRPr="00F5723F">
        <w:t>s</w:t>
      </w:r>
      <w:r w:rsidRPr="00F5723F">
        <w:t>son och Sören Holmberg tidigare angivit som centrala för riksdagen (Hol</w:t>
      </w:r>
      <w:r w:rsidRPr="00F5723F">
        <w:t>m</w:t>
      </w:r>
      <w:r w:rsidRPr="00F5723F">
        <w:t>berg &amp; Esaias</w:t>
      </w:r>
      <w:r w:rsidRPr="00F5723F">
        <w:t>son 1988:252; Esaiasson &amp; Holmberg 1996:239; Brothén 1999; Da</w:t>
      </w:r>
      <w:r w:rsidRPr="00F5723F">
        <w:t>m</w:t>
      </w:r>
      <w:r w:rsidRPr="00F5723F">
        <w:t xml:space="preserve">gaard 2000, jfr Riksdagskommittén 2001:58 f.). </w:t>
      </w:r>
    </w:p>
    <w:p w:rsidR="00B43C57" w:rsidRPr="00F5723F" w:rsidRDefault="00B43C57">
      <w:pPr>
        <w:pStyle w:val="Normaltindrag"/>
      </w:pPr>
      <w:r w:rsidRPr="00F5723F">
        <w:t>Sedan dessa undersökningar genomfördes 1985 och 1988 har Sverige bl</w:t>
      </w:r>
      <w:r w:rsidRPr="00F5723F">
        <w:t>i</w:t>
      </w:r>
      <w:r w:rsidRPr="00F5723F">
        <w:t xml:space="preserve">vit medlem av Europeiska unionen, vilket motiverar att en sjunde uppgift för riksdagen kan anges, nämligen </w:t>
      </w:r>
      <w:r w:rsidRPr="00F5723F">
        <w:t>”</w:t>
      </w:r>
      <w:r w:rsidRPr="00F5723F">
        <w:rPr>
          <w:i/>
        </w:rPr>
        <w:t>bevaka utvecklingen inom EU</w:t>
      </w:r>
      <w:r w:rsidRPr="00F5723F">
        <w:t>”</w:t>
      </w:r>
      <w:r w:rsidRPr="00F5723F">
        <w:t>.</w:t>
      </w:r>
      <w:r w:rsidRPr="00F5723F">
        <w:rPr>
          <w:rStyle w:val="Fotnotsreferens"/>
        </w:rPr>
        <w:footnoteReference w:id="9"/>
      </w:r>
      <w:r w:rsidRPr="00F5723F">
        <w:t xml:space="preserve"> Sammant</w:t>
      </w:r>
      <w:r w:rsidRPr="00F5723F">
        <w:t>a</w:t>
      </w:r>
      <w:r w:rsidRPr="00F5723F">
        <w:t xml:space="preserve">get är det således sju tänkbara uppgifter som riksdagen och dess ledamöter </w:t>
      </w:r>
      <w:r w:rsidRPr="00F5723F">
        <w:lastRenderedPageBreak/>
        <w:t>har att hantera.</w:t>
      </w:r>
      <w:r w:rsidRPr="00F5723F">
        <w:rPr>
          <w:rStyle w:val="Fotnotsreferens"/>
        </w:rPr>
        <w:footnoteReference w:id="10"/>
      </w:r>
      <w:r w:rsidRPr="00F5723F">
        <w:t xml:space="preserve"> Dessa behöver inte vara de enda tänkbara eller möjliga up</w:t>
      </w:r>
      <w:r w:rsidRPr="00F5723F">
        <w:t>p</w:t>
      </w:r>
      <w:r w:rsidRPr="00F5723F">
        <w:t>gifterna utan kan ses som indikatorer på olika uppgifter det är rimligt att riksd</w:t>
      </w:r>
      <w:r w:rsidRPr="00F5723F">
        <w:t>a</w:t>
      </w:r>
      <w:r w:rsidRPr="00F5723F">
        <w:t>gen och dess ledamöter ägnar sig åt. För att – som syftet med kapitlet är – undersöka om medbogarnas bedömning av hur riksdagen sköter sina dem</w:t>
      </w:r>
      <w:r w:rsidRPr="00F5723F">
        <w:t>o</w:t>
      </w:r>
      <w:r w:rsidRPr="00F5723F">
        <w:t>kratiska uppgifter påverkar det allmänna förtroendet för riksdagen torde de sju uppgi</w:t>
      </w:r>
      <w:r w:rsidRPr="00F5723F">
        <w:t>f</w:t>
      </w:r>
      <w:r w:rsidRPr="00F5723F">
        <w:t xml:space="preserve">terna vara tillräckliga. </w:t>
      </w:r>
    </w:p>
    <w:p w:rsidR="00B43C57" w:rsidRPr="00F5723F" w:rsidRDefault="00B43C57">
      <w:pPr>
        <w:pStyle w:val="Normaltindrag"/>
      </w:pPr>
      <w:r w:rsidRPr="00F5723F">
        <w:t>Svarspersonerna har fått bedöma hur bra eller dåligt riksdagen uppfyller de sju uppgifterna. Frågan har varit formu</w:t>
      </w:r>
      <w:r w:rsidRPr="00F5723F">
        <w:t xml:space="preserve">lerad på följande sätt: </w:t>
      </w:r>
      <w:r w:rsidRPr="00F5723F">
        <w:t>”</w:t>
      </w:r>
      <w:r w:rsidRPr="00F5723F">
        <w:rPr>
          <w:i/>
        </w:rPr>
        <w:t>Riksdagen har olika uppgifter. Hur bra eller dåligt anser Du att riksdagen och riksd</w:t>
      </w:r>
      <w:r w:rsidRPr="00F5723F">
        <w:rPr>
          <w:i/>
        </w:rPr>
        <w:t>a</w:t>
      </w:r>
      <w:r w:rsidRPr="00F5723F">
        <w:rPr>
          <w:i/>
        </w:rPr>
        <w:t>gens ledamöter uppfyller nedanstående uppgifter?</w:t>
      </w:r>
      <w:r w:rsidRPr="00F5723F">
        <w:t>”</w:t>
      </w:r>
      <w:r w:rsidRPr="00F5723F">
        <w:t xml:space="preserve"> Svarsalternativen har varit </w:t>
      </w:r>
      <w:r w:rsidRPr="00F5723F">
        <w:t>”</w:t>
      </w:r>
      <w:r w:rsidRPr="00F5723F">
        <w:rPr>
          <w:i/>
        </w:rPr>
        <w:t>mycket bra</w:t>
      </w:r>
      <w:r w:rsidRPr="00F5723F">
        <w:t>”</w:t>
      </w:r>
      <w:r w:rsidRPr="00F5723F">
        <w:rPr>
          <w:i/>
        </w:rPr>
        <w:t xml:space="preserve"> </w:t>
      </w:r>
      <w:r w:rsidRPr="00F5723F">
        <w:t>”</w:t>
      </w:r>
      <w:r w:rsidRPr="00F5723F">
        <w:rPr>
          <w:i/>
        </w:rPr>
        <w:t>ganska bra</w:t>
      </w:r>
      <w:r w:rsidRPr="00F5723F">
        <w:t>”</w:t>
      </w:r>
      <w:r w:rsidRPr="00F5723F">
        <w:rPr>
          <w:i/>
        </w:rPr>
        <w:t xml:space="preserve"> </w:t>
      </w:r>
      <w:r w:rsidRPr="00F5723F">
        <w:t>”</w:t>
      </w:r>
      <w:r w:rsidRPr="00F5723F">
        <w:rPr>
          <w:i/>
        </w:rPr>
        <w:t>varken bra eller dåligt</w:t>
      </w:r>
      <w:r w:rsidRPr="00F5723F">
        <w:t>”</w:t>
      </w:r>
      <w:r w:rsidRPr="00F5723F">
        <w:rPr>
          <w:i/>
        </w:rPr>
        <w:t xml:space="preserve"> </w:t>
      </w:r>
      <w:r w:rsidRPr="00F5723F">
        <w:t>”</w:t>
      </w:r>
      <w:r w:rsidRPr="00F5723F">
        <w:rPr>
          <w:i/>
        </w:rPr>
        <w:t>ganska d</w:t>
      </w:r>
      <w:r w:rsidRPr="00F5723F">
        <w:rPr>
          <w:i/>
        </w:rPr>
        <w:t>å</w:t>
      </w:r>
      <w:r w:rsidRPr="00F5723F">
        <w:rPr>
          <w:i/>
        </w:rPr>
        <w:t>ligt</w:t>
      </w:r>
      <w:r w:rsidRPr="00F5723F">
        <w:t>”</w:t>
      </w:r>
      <w:r w:rsidRPr="00F5723F">
        <w:rPr>
          <w:i/>
        </w:rPr>
        <w:t xml:space="preserve"> </w:t>
      </w:r>
      <w:r w:rsidRPr="00F5723F">
        <w:t xml:space="preserve">och </w:t>
      </w:r>
      <w:r w:rsidRPr="00F5723F">
        <w:t>”</w:t>
      </w:r>
      <w:r w:rsidRPr="00F5723F">
        <w:rPr>
          <w:i/>
        </w:rPr>
        <w:t>mycket dåligt</w:t>
      </w:r>
      <w:r w:rsidRPr="00F5723F">
        <w:t>”</w:t>
      </w:r>
      <w:r w:rsidRPr="00F5723F">
        <w:rPr>
          <w:i/>
        </w:rPr>
        <w:t>.</w:t>
      </w:r>
      <w:r w:rsidRPr="00F5723F">
        <w:rPr>
          <w:rStyle w:val="Fotnotsreferens"/>
        </w:rPr>
        <w:footnoteReference w:id="11"/>
      </w:r>
      <w:r w:rsidRPr="00F5723F">
        <w:t xml:space="preserve"> Frågan har ställts två gånger i SOM-undersökningarna, både 1998 och 2002. </w:t>
      </w:r>
    </w:p>
    <w:p w:rsidR="00B43C57" w:rsidRPr="00F5723F" w:rsidRDefault="00B43C57">
      <w:pPr>
        <w:pStyle w:val="Normaltindrag"/>
      </w:pPr>
      <w:r w:rsidRPr="00F5723F">
        <w:t>I tabell 2 redovisas hur de svarande har bedömt att riksdagen och riksdag</w:t>
      </w:r>
      <w:r w:rsidRPr="00F5723F">
        <w:t>s</w:t>
      </w:r>
      <w:r w:rsidRPr="00F5723F">
        <w:t>ledamöterna sköter de olika uppgifterna. Tabellen presenterar också ett stati</w:t>
      </w:r>
      <w:r w:rsidRPr="00F5723F">
        <w:t>s</w:t>
      </w:r>
      <w:r w:rsidRPr="00F5723F">
        <w:t>tiskt balansmått som väger andelen svarspersoner som svarat mycket eller ganska bra mot andelen som svarat ganska eller mycket dåligt. I tabe</w:t>
      </w:r>
      <w:r w:rsidRPr="00F5723F">
        <w:t>l</w:t>
      </w:r>
      <w:r w:rsidRPr="00F5723F">
        <w:t xml:space="preserve">len redovisas balansmåtten för både 1998 och 2002. </w:t>
      </w:r>
    </w:p>
    <w:p w:rsidR="00B43C57" w:rsidRPr="00F5723F" w:rsidRDefault="00B43C57">
      <w:pPr>
        <w:rPr>
          <w:b/>
        </w:rPr>
      </w:pPr>
    </w:p>
    <w:p w:rsidR="00B43C57" w:rsidRPr="00F5723F" w:rsidRDefault="00B43C57">
      <w:pPr>
        <w:pStyle w:val="Tabellrubrik"/>
      </w:pPr>
      <w:r w:rsidRPr="00F5723F">
        <w:rPr>
          <w:b/>
        </w:rPr>
        <w:br w:type="page"/>
      </w:r>
      <w:r w:rsidRPr="00F5723F">
        <w:lastRenderedPageBreak/>
        <w:t>Tab</w:t>
      </w:r>
      <w:r w:rsidRPr="00F5723F">
        <w:t xml:space="preserve">ell 2   </w:t>
      </w:r>
      <w:r w:rsidRPr="00F5723F">
        <w:t>Medborgarnas syn på hur väl riksdagen uppfyller oli</w:t>
      </w:r>
      <w:r w:rsidRPr="00F5723F">
        <w:t>k</w:t>
      </w:r>
      <w:r w:rsidRPr="00F5723F">
        <w:t xml:space="preserve">uppgifter </w:t>
      </w:r>
      <w:r w:rsidRPr="00F5723F">
        <w:t>(pr</w:t>
      </w:r>
      <w:r w:rsidRPr="00F5723F">
        <w:t>o</w:t>
      </w:r>
      <w:r w:rsidRPr="00F5723F">
        <w:t>cent, balansmått)</w:t>
      </w:r>
    </w:p>
    <w:tbl>
      <w:tblPr>
        <w:tblW w:w="0" w:type="auto"/>
        <w:tblBorders>
          <w:top w:val="single" w:sz="12" w:space="0" w:color="808080"/>
          <w:left w:val="nil"/>
          <w:bottom w:val="single" w:sz="12" w:space="0" w:color="808080"/>
          <w:right w:val="nil"/>
          <w:insideH w:val="nil"/>
          <w:insideV w:val="nil"/>
        </w:tblBorders>
        <w:tblLayout w:type="fixed"/>
        <w:tblCellMar>
          <w:left w:w="70" w:type="dxa"/>
          <w:right w:w="70" w:type="dxa"/>
        </w:tblCellMar>
        <w:tblLook w:val="00A7" w:firstRow="1" w:lastRow="0" w:firstColumn="1" w:lastColumn="0" w:noHBand="0" w:noVBand="0"/>
      </w:tblPr>
      <w:tblGrid>
        <w:gridCol w:w="2028"/>
        <w:gridCol w:w="454"/>
        <w:gridCol w:w="454"/>
        <w:gridCol w:w="454"/>
        <w:gridCol w:w="454"/>
        <w:gridCol w:w="454"/>
        <w:gridCol w:w="454"/>
        <w:gridCol w:w="454"/>
        <w:gridCol w:w="187"/>
        <w:gridCol w:w="588"/>
      </w:tblGrid>
      <w:tr w:rsidR="00000000" w:rsidRPr="00F5723F">
        <w:tblPrEx>
          <w:tblCellMar>
            <w:top w:w="0" w:type="dxa"/>
            <w:bottom w:w="0" w:type="dxa"/>
          </w:tblCellMar>
        </w:tblPrEx>
        <w:trPr>
          <w:trHeight w:hRule="exact" w:val="299"/>
        </w:trPr>
        <w:tc>
          <w:tcPr>
            <w:tcW w:w="2028" w:type="dxa"/>
            <w:tcBorders>
              <w:top w:val="single" w:sz="4" w:space="0" w:color="auto"/>
              <w:bottom w:val="nil"/>
            </w:tcBorders>
          </w:tcPr>
          <w:p w:rsidR="00B43C57" w:rsidRPr="00F5723F" w:rsidRDefault="00B43C57">
            <w:pPr>
              <w:pStyle w:val="Tabelltext"/>
              <w:spacing w:line="240" w:lineRule="auto"/>
            </w:pPr>
          </w:p>
        </w:tc>
        <w:tc>
          <w:tcPr>
            <w:tcW w:w="3178" w:type="dxa"/>
            <w:gridSpan w:val="7"/>
            <w:tcBorders>
              <w:top w:val="single" w:sz="4" w:space="0" w:color="auto"/>
              <w:bottom w:val="single" w:sz="4" w:space="0" w:color="auto"/>
            </w:tcBorders>
          </w:tcPr>
          <w:p w:rsidR="00B43C57" w:rsidRPr="00F5723F" w:rsidRDefault="00B43C57">
            <w:pPr>
              <w:pStyle w:val="Tabelltext"/>
              <w:spacing w:line="240" w:lineRule="auto"/>
            </w:pPr>
            <w:r w:rsidRPr="00F5723F">
              <w:t>2002</w:t>
            </w:r>
          </w:p>
        </w:tc>
        <w:tc>
          <w:tcPr>
            <w:tcW w:w="187" w:type="dxa"/>
            <w:tcBorders>
              <w:top w:val="single" w:sz="4" w:space="0" w:color="auto"/>
              <w:bottom w:val="nil"/>
            </w:tcBorders>
          </w:tcPr>
          <w:p w:rsidR="00B43C57" w:rsidRPr="00F5723F" w:rsidRDefault="00B43C57">
            <w:pPr>
              <w:pStyle w:val="Tabelltext"/>
              <w:spacing w:line="240" w:lineRule="auto"/>
              <w:rPr>
                <w:rFonts w:ascii="Arial" w:hAnsi="Arial"/>
              </w:rPr>
            </w:pPr>
          </w:p>
        </w:tc>
        <w:tc>
          <w:tcPr>
            <w:tcW w:w="588" w:type="dxa"/>
            <w:tcBorders>
              <w:top w:val="single" w:sz="4" w:space="0" w:color="auto"/>
              <w:bottom w:val="single" w:sz="4" w:space="0" w:color="auto"/>
            </w:tcBorders>
          </w:tcPr>
          <w:p w:rsidR="00B43C57" w:rsidRPr="00F5723F" w:rsidRDefault="00B43C57">
            <w:pPr>
              <w:pStyle w:val="Tabelltext"/>
              <w:spacing w:line="240" w:lineRule="auto"/>
              <w:jc w:val="center"/>
            </w:pPr>
            <w:r w:rsidRPr="00F5723F">
              <w:t>1998</w:t>
            </w:r>
          </w:p>
        </w:tc>
      </w:tr>
      <w:tr w:rsidR="00000000" w:rsidRPr="00F5723F">
        <w:tblPrEx>
          <w:tblCellMar>
            <w:top w:w="0" w:type="dxa"/>
            <w:bottom w:w="0" w:type="dxa"/>
          </w:tblCellMar>
        </w:tblPrEx>
        <w:trPr>
          <w:cantSplit/>
          <w:trHeight w:val="1248"/>
        </w:trPr>
        <w:tc>
          <w:tcPr>
            <w:tcW w:w="2028" w:type="dxa"/>
            <w:tcBorders>
              <w:top w:val="nil"/>
              <w:bottom w:val="single" w:sz="4" w:space="0" w:color="auto"/>
            </w:tcBorders>
          </w:tcPr>
          <w:p w:rsidR="00B43C57" w:rsidRPr="00F5723F" w:rsidRDefault="00B43C57">
            <w:pPr>
              <w:pStyle w:val="Tabelltext"/>
            </w:pPr>
          </w:p>
          <w:p w:rsidR="00B43C57" w:rsidRPr="00F5723F" w:rsidRDefault="00B43C57">
            <w:pPr>
              <w:pStyle w:val="Tabelltext"/>
              <w:spacing w:line="240" w:lineRule="auto"/>
            </w:pPr>
          </w:p>
          <w:p w:rsidR="00B43C57" w:rsidRPr="00F5723F" w:rsidRDefault="00B43C57">
            <w:pPr>
              <w:pStyle w:val="Tabelltext"/>
              <w:spacing w:line="240" w:lineRule="auto"/>
              <w:rPr>
                <w:sz w:val="4"/>
                <w:szCs w:val="4"/>
              </w:rPr>
            </w:pPr>
          </w:p>
          <w:p w:rsidR="00B43C57" w:rsidRPr="00F5723F" w:rsidRDefault="00B43C57">
            <w:pPr>
              <w:pStyle w:val="Tabelltext"/>
              <w:rPr>
                <w:sz w:val="4"/>
                <w:szCs w:val="4"/>
              </w:rPr>
            </w:pPr>
          </w:p>
          <w:p w:rsidR="00B43C57" w:rsidRPr="00F5723F" w:rsidRDefault="00B43C57">
            <w:pPr>
              <w:pStyle w:val="Tabelltext"/>
              <w:rPr>
                <w:sz w:val="8"/>
                <w:szCs w:val="8"/>
              </w:rPr>
            </w:pPr>
          </w:p>
          <w:p w:rsidR="00B43C57" w:rsidRPr="00F5723F" w:rsidRDefault="00B43C57">
            <w:pPr>
              <w:pStyle w:val="Tabelltext"/>
            </w:pPr>
            <w:r w:rsidRPr="00F5723F">
              <w:t>Uppgift</w:t>
            </w:r>
          </w:p>
        </w:tc>
        <w:tc>
          <w:tcPr>
            <w:tcW w:w="454" w:type="dxa"/>
            <w:tcBorders>
              <w:top w:val="single" w:sz="4" w:space="0" w:color="auto"/>
              <w:bottom w:val="single" w:sz="4" w:space="0" w:color="auto"/>
            </w:tcBorders>
            <w:textDirection w:val="btLr"/>
          </w:tcPr>
          <w:p w:rsidR="00B43C57" w:rsidRPr="00F5723F" w:rsidRDefault="00B43C57">
            <w:pPr>
              <w:pStyle w:val="Tabelltext"/>
              <w:ind w:left="113" w:right="113"/>
            </w:pPr>
            <w:r w:rsidRPr="00F5723F">
              <w:t>Mycket bra</w:t>
            </w:r>
          </w:p>
        </w:tc>
        <w:tc>
          <w:tcPr>
            <w:tcW w:w="454" w:type="dxa"/>
            <w:tcBorders>
              <w:top w:val="single" w:sz="4" w:space="0" w:color="auto"/>
              <w:bottom w:val="single" w:sz="4" w:space="0" w:color="auto"/>
            </w:tcBorders>
            <w:textDirection w:val="btLr"/>
          </w:tcPr>
          <w:p w:rsidR="00B43C57" w:rsidRPr="00F5723F" w:rsidRDefault="00B43C57">
            <w:pPr>
              <w:pStyle w:val="Tabelltext"/>
              <w:ind w:left="113" w:right="113"/>
            </w:pPr>
            <w:r w:rsidRPr="00F5723F">
              <w:t>Ganska bra</w:t>
            </w:r>
          </w:p>
        </w:tc>
        <w:tc>
          <w:tcPr>
            <w:tcW w:w="454" w:type="dxa"/>
            <w:tcBorders>
              <w:top w:val="single" w:sz="4" w:space="0" w:color="auto"/>
              <w:bottom w:val="single" w:sz="4" w:space="0" w:color="auto"/>
            </w:tcBorders>
            <w:textDirection w:val="btLr"/>
          </w:tcPr>
          <w:p w:rsidR="00B43C57" w:rsidRPr="00F5723F" w:rsidRDefault="00B43C57">
            <w:pPr>
              <w:pStyle w:val="Tabelltext"/>
              <w:ind w:left="113" w:right="113"/>
            </w:pPr>
            <w:r w:rsidRPr="00F5723F">
              <w:t>Varken bra eller dåligt</w:t>
            </w:r>
          </w:p>
        </w:tc>
        <w:tc>
          <w:tcPr>
            <w:tcW w:w="454" w:type="dxa"/>
            <w:tcBorders>
              <w:top w:val="single" w:sz="4" w:space="0" w:color="auto"/>
              <w:bottom w:val="single" w:sz="4" w:space="0" w:color="auto"/>
            </w:tcBorders>
            <w:textDirection w:val="btLr"/>
          </w:tcPr>
          <w:p w:rsidR="00B43C57" w:rsidRPr="00F5723F" w:rsidRDefault="00B43C57">
            <w:pPr>
              <w:pStyle w:val="Tabelltext"/>
              <w:ind w:left="113" w:right="113"/>
            </w:pPr>
            <w:r w:rsidRPr="00F5723F">
              <w:t>Ganska dåligt</w:t>
            </w:r>
          </w:p>
        </w:tc>
        <w:tc>
          <w:tcPr>
            <w:tcW w:w="454" w:type="dxa"/>
            <w:tcBorders>
              <w:top w:val="single" w:sz="4" w:space="0" w:color="auto"/>
              <w:bottom w:val="single" w:sz="4" w:space="0" w:color="auto"/>
            </w:tcBorders>
            <w:textDirection w:val="btLr"/>
          </w:tcPr>
          <w:p w:rsidR="00B43C57" w:rsidRPr="00F5723F" w:rsidRDefault="00B43C57">
            <w:pPr>
              <w:pStyle w:val="Tabelltext"/>
              <w:ind w:left="113" w:right="113"/>
            </w:pPr>
            <w:r w:rsidRPr="00F5723F">
              <w:t>Mycket dåligt</w:t>
            </w:r>
          </w:p>
        </w:tc>
        <w:tc>
          <w:tcPr>
            <w:tcW w:w="454" w:type="dxa"/>
            <w:tcBorders>
              <w:top w:val="single" w:sz="4" w:space="0" w:color="auto"/>
              <w:bottom w:val="single" w:sz="4" w:space="0" w:color="auto"/>
            </w:tcBorders>
            <w:textDirection w:val="btLr"/>
          </w:tcPr>
          <w:p w:rsidR="00B43C57" w:rsidRPr="00F5723F" w:rsidRDefault="00B43C57">
            <w:pPr>
              <w:pStyle w:val="Tabelltext"/>
              <w:ind w:left="113" w:right="113"/>
            </w:pPr>
            <w:r w:rsidRPr="00F5723F">
              <w:t>Summa</w:t>
            </w:r>
          </w:p>
        </w:tc>
        <w:tc>
          <w:tcPr>
            <w:tcW w:w="454" w:type="dxa"/>
            <w:tcBorders>
              <w:top w:val="single" w:sz="4" w:space="0" w:color="auto"/>
              <w:bottom w:val="single" w:sz="4" w:space="0" w:color="auto"/>
            </w:tcBorders>
            <w:textDirection w:val="btLr"/>
          </w:tcPr>
          <w:p w:rsidR="00B43C57" w:rsidRPr="00F5723F" w:rsidRDefault="00B43C57">
            <w:pPr>
              <w:pStyle w:val="Tabelltext"/>
              <w:ind w:left="113" w:right="113"/>
            </w:pPr>
            <w:r w:rsidRPr="00F5723F">
              <w:t>Ba</w:t>
            </w:r>
            <w:r w:rsidRPr="00F5723F">
              <w:t>lansmått</w:t>
            </w:r>
          </w:p>
        </w:tc>
        <w:tc>
          <w:tcPr>
            <w:tcW w:w="187" w:type="dxa"/>
            <w:tcBorders>
              <w:top w:val="nil"/>
              <w:bottom w:val="single" w:sz="4" w:space="0" w:color="auto"/>
            </w:tcBorders>
            <w:textDirection w:val="tbRl"/>
          </w:tcPr>
          <w:p w:rsidR="00B43C57" w:rsidRPr="00F5723F" w:rsidRDefault="00B43C57">
            <w:pPr>
              <w:pStyle w:val="Tabelltext"/>
              <w:ind w:left="113" w:right="113"/>
              <w:rPr>
                <w:rFonts w:ascii="Arial" w:hAnsi="Arial"/>
                <w:b/>
              </w:rPr>
            </w:pPr>
          </w:p>
        </w:tc>
        <w:tc>
          <w:tcPr>
            <w:tcW w:w="588" w:type="dxa"/>
            <w:tcBorders>
              <w:top w:val="single" w:sz="4" w:space="0" w:color="auto"/>
              <w:bottom w:val="single" w:sz="4" w:space="0" w:color="auto"/>
            </w:tcBorders>
            <w:textDirection w:val="btLr"/>
          </w:tcPr>
          <w:p w:rsidR="00B43C57" w:rsidRPr="00F5723F" w:rsidRDefault="00B43C57">
            <w:pPr>
              <w:pStyle w:val="Tabelltext"/>
              <w:ind w:left="113" w:right="113"/>
              <w:rPr>
                <w:rFonts w:ascii="Arial" w:hAnsi="Arial"/>
                <w:b/>
              </w:rPr>
            </w:pPr>
            <w:r w:rsidRPr="00F5723F">
              <w:t>Ba</w:t>
            </w:r>
            <w:r w:rsidRPr="00F5723F">
              <w:t>lans</w:t>
            </w:r>
            <w:r w:rsidRPr="00F5723F">
              <w:t>mått</w:t>
            </w:r>
          </w:p>
        </w:tc>
      </w:tr>
      <w:tr w:rsidR="00000000" w:rsidRPr="00F5723F">
        <w:tblPrEx>
          <w:tblCellMar>
            <w:top w:w="0" w:type="dxa"/>
            <w:bottom w:w="0" w:type="dxa"/>
          </w:tblCellMar>
        </w:tblPrEx>
        <w:tc>
          <w:tcPr>
            <w:tcW w:w="2028" w:type="dxa"/>
            <w:tcBorders>
              <w:top w:val="single" w:sz="4" w:space="0" w:color="auto"/>
            </w:tcBorders>
          </w:tcPr>
          <w:p w:rsidR="00B43C57" w:rsidRPr="00F5723F" w:rsidRDefault="00B43C57">
            <w:pPr>
              <w:pStyle w:val="Tabelltext"/>
            </w:pPr>
          </w:p>
        </w:tc>
        <w:tc>
          <w:tcPr>
            <w:tcW w:w="454" w:type="dxa"/>
            <w:tcBorders>
              <w:top w:val="single" w:sz="4" w:space="0" w:color="auto"/>
            </w:tcBorders>
          </w:tcPr>
          <w:p w:rsidR="00B43C57" w:rsidRPr="00F5723F" w:rsidRDefault="00B43C57">
            <w:pPr>
              <w:pStyle w:val="Tabelltextsiffror"/>
              <w:jc w:val="center"/>
            </w:pPr>
          </w:p>
        </w:tc>
        <w:tc>
          <w:tcPr>
            <w:tcW w:w="454" w:type="dxa"/>
            <w:tcBorders>
              <w:top w:val="single" w:sz="4" w:space="0" w:color="auto"/>
            </w:tcBorders>
          </w:tcPr>
          <w:p w:rsidR="00B43C57" w:rsidRPr="00F5723F" w:rsidRDefault="00B43C57">
            <w:pPr>
              <w:pStyle w:val="Tabelltextsiffror"/>
              <w:jc w:val="center"/>
            </w:pPr>
          </w:p>
        </w:tc>
        <w:tc>
          <w:tcPr>
            <w:tcW w:w="454" w:type="dxa"/>
            <w:tcBorders>
              <w:top w:val="single" w:sz="4" w:space="0" w:color="auto"/>
            </w:tcBorders>
          </w:tcPr>
          <w:p w:rsidR="00B43C57" w:rsidRPr="00F5723F" w:rsidRDefault="00B43C57">
            <w:pPr>
              <w:pStyle w:val="Tabelltextsiffror"/>
              <w:jc w:val="center"/>
            </w:pPr>
          </w:p>
        </w:tc>
        <w:tc>
          <w:tcPr>
            <w:tcW w:w="454" w:type="dxa"/>
            <w:tcBorders>
              <w:top w:val="single" w:sz="4" w:space="0" w:color="auto"/>
            </w:tcBorders>
          </w:tcPr>
          <w:p w:rsidR="00B43C57" w:rsidRPr="00F5723F" w:rsidRDefault="00B43C57">
            <w:pPr>
              <w:pStyle w:val="Tabelltextsiffror"/>
              <w:jc w:val="center"/>
            </w:pPr>
          </w:p>
        </w:tc>
        <w:tc>
          <w:tcPr>
            <w:tcW w:w="454" w:type="dxa"/>
            <w:tcBorders>
              <w:top w:val="single" w:sz="4" w:space="0" w:color="auto"/>
            </w:tcBorders>
          </w:tcPr>
          <w:p w:rsidR="00B43C57" w:rsidRPr="00F5723F" w:rsidRDefault="00B43C57">
            <w:pPr>
              <w:pStyle w:val="Tabelltextsiffror"/>
              <w:jc w:val="center"/>
            </w:pPr>
          </w:p>
        </w:tc>
        <w:tc>
          <w:tcPr>
            <w:tcW w:w="454" w:type="dxa"/>
            <w:tcBorders>
              <w:top w:val="single" w:sz="4" w:space="0" w:color="auto"/>
            </w:tcBorders>
          </w:tcPr>
          <w:p w:rsidR="00B43C57" w:rsidRPr="00F5723F" w:rsidRDefault="00B43C57">
            <w:pPr>
              <w:pStyle w:val="Tabelltextsiffror"/>
              <w:jc w:val="center"/>
            </w:pPr>
          </w:p>
        </w:tc>
        <w:tc>
          <w:tcPr>
            <w:tcW w:w="454" w:type="dxa"/>
            <w:tcBorders>
              <w:top w:val="single" w:sz="4" w:space="0" w:color="auto"/>
            </w:tcBorders>
          </w:tcPr>
          <w:p w:rsidR="00B43C57" w:rsidRPr="00F5723F" w:rsidRDefault="00B43C57">
            <w:pPr>
              <w:pStyle w:val="Tabelltextsiffror"/>
              <w:jc w:val="center"/>
            </w:pPr>
          </w:p>
        </w:tc>
        <w:tc>
          <w:tcPr>
            <w:tcW w:w="187" w:type="dxa"/>
            <w:tcBorders>
              <w:top w:val="single" w:sz="4" w:space="0" w:color="auto"/>
            </w:tcBorders>
          </w:tcPr>
          <w:p w:rsidR="00B43C57" w:rsidRPr="00F5723F" w:rsidRDefault="00B43C57">
            <w:pPr>
              <w:pStyle w:val="Tabelltextsiffror"/>
              <w:jc w:val="center"/>
              <w:rPr>
                <w:rFonts w:ascii="Arial" w:hAnsi="Arial"/>
              </w:rPr>
            </w:pPr>
          </w:p>
        </w:tc>
        <w:tc>
          <w:tcPr>
            <w:tcW w:w="588" w:type="dxa"/>
            <w:tcBorders>
              <w:top w:val="single" w:sz="4" w:space="0" w:color="auto"/>
            </w:tcBorders>
          </w:tcPr>
          <w:p w:rsidR="00B43C57" w:rsidRPr="00F5723F" w:rsidRDefault="00B43C57">
            <w:pPr>
              <w:pStyle w:val="Tabelltextsiffror"/>
              <w:jc w:val="center"/>
              <w:rPr>
                <w:rFonts w:ascii="Arial" w:hAnsi="Arial"/>
              </w:rPr>
            </w:pP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r w:rsidRPr="00F5723F">
              <w:t>Fatta avg</w:t>
            </w:r>
            <w:r w:rsidRPr="00F5723F">
              <w:t>ö</w:t>
            </w:r>
            <w:r w:rsidRPr="00F5723F">
              <w:t>rande beslut för samhällsutvec</w:t>
            </w:r>
            <w:r w:rsidRPr="00F5723F">
              <w:t>k</w:t>
            </w:r>
            <w:r w:rsidRPr="00F5723F">
              <w:t xml:space="preserve">lingen </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2</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31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53</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12</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2</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100</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+19</w:t>
            </w: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p w:rsidR="00B43C57" w:rsidRPr="00F5723F" w:rsidRDefault="00B43C57">
            <w:pPr>
              <w:pStyle w:val="Tabelltextsiffror"/>
              <w:jc w:val="center"/>
            </w:pPr>
            <w:r w:rsidRPr="00F5723F">
              <w:t>+15</w:t>
            </w: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r w:rsidRPr="00F5723F">
              <w:t>Övervaka regerin</w:t>
            </w:r>
            <w:r w:rsidRPr="00F5723F">
              <w:t>g</w:t>
            </w:r>
            <w:r w:rsidRPr="00F5723F">
              <w:t>ens arbete</w:t>
            </w:r>
          </w:p>
        </w:tc>
        <w:tc>
          <w:tcPr>
            <w:tcW w:w="454" w:type="dxa"/>
          </w:tcPr>
          <w:p w:rsidR="00B43C57" w:rsidRPr="00F5723F" w:rsidRDefault="00B43C57">
            <w:pPr>
              <w:pStyle w:val="Tabelltextsiffror"/>
              <w:jc w:val="center"/>
            </w:pPr>
            <w:r w:rsidRPr="00F5723F">
              <w:t>2</w:t>
            </w:r>
          </w:p>
        </w:tc>
        <w:tc>
          <w:tcPr>
            <w:tcW w:w="454" w:type="dxa"/>
          </w:tcPr>
          <w:p w:rsidR="00B43C57" w:rsidRPr="00F5723F" w:rsidRDefault="00B43C57">
            <w:pPr>
              <w:pStyle w:val="Tabelltextsiffror"/>
              <w:jc w:val="center"/>
            </w:pPr>
            <w:r w:rsidRPr="00F5723F">
              <w:t>26</w:t>
            </w:r>
          </w:p>
        </w:tc>
        <w:tc>
          <w:tcPr>
            <w:tcW w:w="454" w:type="dxa"/>
          </w:tcPr>
          <w:p w:rsidR="00B43C57" w:rsidRPr="00F5723F" w:rsidRDefault="00B43C57">
            <w:pPr>
              <w:pStyle w:val="Tabelltextsiffror"/>
              <w:jc w:val="center"/>
            </w:pPr>
            <w:r w:rsidRPr="00F5723F">
              <w:t>57</w:t>
            </w:r>
          </w:p>
        </w:tc>
        <w:tc>
          <w:tcPr>
            <w:tcW w:w="454" w:type="dxa"/>
          </w:tcPr>
          <w:p w:rsidR="00B43C57" w:rsidRPr="00F5723F" w:rsidRDefault="00B43C57">
            <w:pPr>
              <w:pStyle w:val="Tabelltextsiffror"/>
              <w:jc w:val="center"/>
            </w:pPr>
            <w:r w:rsidRPr="00F5723F">
              <w:t>12</w:t>
            </w:r>
          </w:p>
        </w:tc>
        <w:tc>
          <w:tcPr>
            <w:tcW w:w="454" w:type="dxa"/>
          </w:tcPr>
          <w:p w:rsidR="00B43C57" w:rsidRPr="00F5723F" w:rsidRDefault="00B43C57">
            <w:pPr>
              <w:pStyle w:val="Tabelltextsiffror"/>
              <w:jc w:val="center"/>
            </w:pPr>
            <w:r w:rsidRPr="00F5723F">
              <w:t>3</w:t>
            </w:r>
          </w:p>
        </w:tc>
        <w:tc>
          <w:tcPr>
            <w:tcW w:w="454" w:type="dxa"/>
          </w:tcPr>
          <w:p w:rsidR="00B43C57" w:rsidRPr="00F5723F" w:rsidRDefault="00B43C57">
            <w:pPr>
              <w:pStyle w:val="Tabelltextsiffror"/>
              <w:jc w:val="center"/>
            </w:pPr>
            <w:r w:rsidRPr="00F5723F">
              <w:t>100</w:t>
            </w:r>
          </w:p>
        </w:tc>
        <w:tc>
          <w:tcPr>
            <w:tcW w:w="454" w:type="dxa"/>
          </w:tcPr>
          <w:p w:rsidR="00B43C57" w:rsidRPr="00F5723F" w:rsidRDefault="00B43C57">
            <w:pPr>
              <w:pStyle w:val="Tabelltextsiffror"/>
              <w:jc w:val="center"/>
            </w:pPr>
            <w:r w:rsidRPr="00F5723F">
              <w:t>+13</w:t>
            </w: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r w:rsidRPr="00F5723F">
              <w:t>+8</w:t>
            </w: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r w:rsidRPr="00F5723F">
              <w:t>Vara central debat</w:t>
            </w:r>
            <w:r w:rsidRPr="00F5723F">
              <w:t>t</w:t>
            </w:r>
            <w:r w:rsidRPr="00F5723F">
              <w:t>arena</w:t>
            </w:r>
          </w:p>
        </w:tc>
        <w:tc>
          <w:tcPr>
            <w:tcW w:w="454" w:type="dxa"/>
          </w:tcPr>
          <w:p w:rsidR="00B43C57" w:rsidRPr="00F5723F" w:rsidRDefault="00B43C57">
            <w:pPr>
              <w:pStyle w:val="Tabelltextsiffror"/>
              <w:jc w:val="center"/>
            </w:pPr>
            <w:r w:rsidRPr="00F5723F">
              <w:t>3</w:t>
            </w:r>
          </w:p>
        </w:tc>
        <w:tc>
          <w:tcPr>
            <w:tcW w:w="454" w:type="dxa"/>
          </w:tcPr>
          <w:p w:rsidR="00B43C57" w:rsidRPr="00F5723F" w:rsidRDefault="00B43C57">
            <w:pPr>
              <w:pStyle w:val="Tabelltextsiffror"/>
              <w:jc w:val="center"/>
            </w:pPr>
            <w:r w:rsidRPr="00F5723F">
              <w:t>26</w:t>
            </w:r>
          </w:p>
        </w:tc>
        <w:tc>
          <w:tcPr>
            <w:tcW w:w="454" w:type="dxa"/>
          </w:tcPr>
          <w:p w:rsidR="00B43C57" w:rsidRPr="00F5723F" w:rsidRDefault="00B43C57">
            <w:pPr>
              <w:pStyle w:val="Tabelltextsiffror"/>
              <w:jc w:val="center"/>
            </w:pPr>
            <w:r w:rsidRPr="00F5723F">
              <w:t>54</w:t>
            </w:r>
          </w:p>
        </w:tc>
        <w:tc>
          <w:tcPr>
            <w:tcW w:w="454" w:type="dxa"/>
          </w:tcPr>
          <w:p w:rsidR="00B43C57" w:rsidRPr="00F5723F" w:rsidRDefault="00B43C57">
            <w:pPr>
              <w:pStyle w:val="Tabelltextsiffror"/>
              <w:jc w:val="center"/>
            </w:pPr>
            <w:r w:rsidRPr="00F5723F">
              <w:t>14</w:t>
            </w:r>
          </w:p>
        </w:tc>
        <w:tc>
          <w:tcPr>
            <w:tcW w:w="454" w:type="dxa"/>
          </w:tcPr>
          <w:p w:rsidR="00B43C57" w:rsidRPr="00F5723F" w:rsidRDefault="00B43C57">
            <w:pPr>
              <w:pStyle w:val="Tabelltextsiffror"/>
              <w:jc w:val="center"/>
            </w:pPr>
            <w:r w:rsidRPr="00F5723F">
              <w:t>3</w:t>
            </w:r>
          </w:p>
        </w:tc>
        <w:tc>
          <w:tcPr>
            <w:tcW w:w="454" w:type="dxa"/>
          </w:tcPr>
          <w:p w:rsidR="00B43C57" w:rsidRPr="00F5723F" w:rsidRDefault="00B43C57">
            <w:pPr>
              <w:pStyle w:val="Tabelltextsiffror"/>
              <w:jc w:val="center"/>
            </w:pPr>
            <w:r w:rsidRPr="00F5723F">
              <w:t>100</w:t>
            </w:r>
          </w:p>
        </w:tc>
        <w:tc>
          <w:tcPr>
            <w:tcW w:w="454" w:type="dxa"/>
          </w:tcPr>
          <w:p w:rsidR="00B43C57" w:rsidRPr="00F5723F" w:rsidRDefault="00B43C57">
            <w:pPr>
              <w:pStyle w:val="Tabelltextsiffror"/>
              <w:jc w:val="center"/>
            </w:pPr>
            <w:r w:rsidRPr="00F5723F">
              <w:t>+12</w:t>
            </w: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r w:rsidRPr="00F5723F">
              <w:t>+8</w:t>
            </w: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r w:rsidRPr="00F5723F">
              <w:t>Förutse framtida pr</w:t>
            </w:r>
            <w:r w:rsidRPr="00F5723F">
              <w:t>o</w:t>
            </w:r>
            <w:r w:rsidRPr="00F5723F">
              <w:t>blem innan de blir akuta</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10</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41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37</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100</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w:t>
            </w:r>
            <w:r w:rsidRPr="00F5723F">
              <w:t>37</w:t>
            </w: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p w:rsidR="00B43C57" w:rsidRPr="00F5723F" w:rsidRDefault="00B43C57">
            <w:pPr>
              <w:pStyle w:val="Tabelltextsiffror"/>
              <w:jc w:val="center"/>
            </w:pPr>
            <w:r w:rsidRPr="00F5723F">
              <w:t>–46</w:t>
            </w: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r w:rsidRPr="00F5723F">
              <w:t>Avspegla åsiktsfördelnin</w:t>
            </w:r>
            <w:r w:rsidRPr="00F5723F">
              <w:t>g</w:t>
            </w:r>
            <w:r w:rsidRPr="00F5723F">
              <w:t>en bland vä</w:t>
            </w:r>
            <w:r w:rsidRPr="00F5723F">
              <w:t>l</w:t>
            </w:r>
            <w:r w:rsidRPr="00F5723F">
              <w:t>jarna</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18</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55</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21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5</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100</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w:t>
            </w:r>
            <w:r w:rsidRPr="00F5723F">
              <w:t>7</w:t>
            </w: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p w:rsidR="00B43C57" w:rsidRPr="00F5723F" w:rsidRDefault="00B43C57">
            <w:pPr>
              <w:pStyle w:val="Tabelltextsiffror"/>
              <w:jc w:val="center"/>
            </w:pPr>
            <w:r w:rsidRPr="00F5723F">
              <w:t>–10</w:t>
            </w: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r w:rsidRPr="00F5723F">
              <w:t>Ta initiativ i frågor som inte tas upp av regerin</w:t>
            </w:r>
            <w:r w:rsidRPr="00F5723F">
              <w:t>g</w:t>
            </w:r>
            <w:r w:rsidRPr="00F5723F">
              <w:t>en</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12</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62</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20</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5</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100</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w:t>
            </w:r>
            <w:r w:rsidRPr="00F5723F">
              <w:t>12</w:t>
            </w: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p w:rsidR="00B43C57" w:rsidRPr="00F5723F" w:rsidRDefault="00B43C57">
            <w:pPr>
              <w:pStyle w:val="Tabelltextsiffror"/>
              <w:jc w:val="center"/>
            </w:pPr>
            <w:r w:rsidRPr="00F5723F">
              <w:t>–17</w:t>
            </w: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454" w:type="dxa"/>
          </w:tcPr>
          <w:p w:rsidR="00B43C57" w:rsidRPr="00F5723F" w:rsidRDefault="00B43C57">
            <w:pPr>
              <w:pStyle w:val="Tabelltextsiffror"/>
              <w:jc w:val="center"/>
            </w:pP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tc>
      </w:tr>
      <w:tr w:rsidR="00000000" w:rsidRPr="00F5723F">
        <w:tblPrEx>
          <w:tblCellMar>
            <w:top w:w="0" w:type="dxa"/>
            <w:bottom w:w="0" w:type="dxa"/>
          </w:tblCellMar>
        </w:tblPrEx>
        <w:tc>
          <w:tcPr>
            <w:tcW w:w="2028" w:type="dxa"/>
          </w:tcPr>
          <w:p w:rsidR="00B43C57" w:rsidRPr="00F5723F" w:rsidRDefault="00B43C57">
            <w:pPr>
              <w:pStyle w:val="Tabelltext"/>
              <w:ind w:left="190" w:hanging="190"/>
            </w:pPr>
            <w:r w:rsidRPr="00F5723F">
              <w:t>Bevaka utvec</w:t>
            </w:r>
            <w:r w:rsidRPr="00F5723F">
              <w:t>k</w:t>
            </w:r>
            <w:r w:rsidRPr="00F5723F">
              <w:t>lingen inom EU</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2</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21</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54</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17</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6</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t>100</w:t>
            </w:r>
          </w:p>
        </w:tc>
        <w:tc>
          <w:tcPr>
            <w:tcW w:w="454" w:type="dxa"/>
          </w:tcPr>
          <w:p w:rsidR="00B43C57" w:rsidRPr="00F5723F" w:rsidRDefault="00B43C57">
            <w:pPr>
              <w:pStyle w:val="Tabelltextsiffror"/>
              <w:jc w:val="center"/>
            </w:pPr>
          </w:p>
          <w:p w:rsidR="00B43C57" w:rsidRPr="00F5723F" w:rsidRDefault="00B43C57">
            <w:pPr>
              <w:pStyle w:val="Tabelltextsiffror"/>
              <w:jc w:val="center"/>
            </w:pPr>
            <w:r w:rsidRPr="00F5723F">
              <w:sym w:font="Symbol" w:char="F0B1"/>
            </w:r>
            <w:r w:rsidRPr="00F5723F">
              <w:t>0</w:t>
            </w:r>
          </w:p>
        </w:tc>
        <w:tc>
          <w:tcPr>
            <w:tcW w:w="187" w:type="dxa"/>
          </w:tcPr>
          <w:p w:rsidR="00B43C57" w:rsidRPr="00F5723F" w:rsidRDefault="00B43C57">
            <w:pPr>
              <w:pStyle w:val="Tabelltextsiffror"/>
              <w:jc w:val="center"/>
              <w:rPr>
                <w:rFonts w:ascii="Arial" w:hAnsi="Arial"/>
              </w:rPr>
            </w:pPr>
          </w:p>
        </w:tc>
        <w:tc>
          <w:tcPr>
            <w:tcW w:w="588" w:type="dxa"/>
          </w:tcPr>
          <w:p w:rsidR="00B43C57" w:rsidRPr="00F5723F" w:rsidRDefault="00B43C57">
            <w:pPr>
              <w:pStyle w:val="Tabelltextsiffror"/>
              <w:jc w:val="center"/>
            </w:pPr>
          </w:p>
          <w:p w:rsidR="00B43C57" w:rsidRPr="00F5723F" w:rsidRDefault="00B43C57">
            <w:pPr>
              <w:pStyle w:val="Tabelltextsiffror"/>
              <w:jc w:val="center"/>
            </w:pPr>
            <w:r w:rsidRPr="00F5723F">
              <w:t>–11</w:t>
            </w:r>
          </w:p>
        </w:tc>
      </w:tr>
      <w:tr w:rsidR="00000000" w:rsidRPr="00F5723F">
        <w:tblPrEx>
          <w:tblCellMar>
            <w:top w:w="0" w:type="dxa"/>
            <w:bottom w:w="0" w:type="dxa"/>
          </w:tblCellMar>
        </w:tblPrEx>
        <w:tc>
          <w:tcPr>
            <w:tcW w:w="2028" w:type="dxa"/>
            <w:tcBorders>
              <w:bottom w:val="single" w:sz="4" w:space="0" w:color="auto"/>
            </w:tcBorders>
          </w:tcPr>
          <w:p w:rsidR="00B43C57" w:rsidRPr="00F5723F" w:rsidRDefault="00B43C57">
            <w:pPr>
              <w:pStyle w:val="Tabelltext"/>
            </w:pPr>
          </w:p>
        </w:tc>
        <w:tc>
          <w:tcPr>
            <w:tcW w:w="454" w:type="dxa"/>
            <w:tcBorders>
              <w:bottom w:val="single" w:sz="4" w:space="0" w:color="auto"/>
            </w:tcBorders>
          </w:tcPr>
          <w:p w:rsidR="00B43C57" w:rsidRPr="00F5723F" w:rsidRDefault="00B43C57">
            <w:pPr>
              <w:pStyle w:val="Tabelltextsiffror"/>
              <w:jc w:val="center"/>
            </w:pPr>
          </w:p>
        </w:tc>
        <w:tc>
          <w:tcPr>
            <w:tcW w:w="454" w:type="dxa"/>
            <w:tcBorders>
              <w:bottom w:val="single" w:sz="4" w:space="0" w:color="auto"/>
            </w:tcBorders>
          </w:tcPr>
          <w:p w:rsidR="00B43C57" w:rsidRPr="00F5723F" w:rsidRDefault="00B43C57">
            <w:pPr>
              <w:pStyle w:val="Tabelltextsiffror"/>
              <w:jc w:val="center"/>
            </w:pPr>
          </w:p>
        </w:tc>
        <w:tc>
          <w:tcPr>
            <w:tcW w:w="454" w:type="dxa"/>
            <w:tcBorders>
              <w:bottom w:val="single" w:sz="4" w:space="0" w:color="auto"/>
            </w:tcBorders>
          </w:tcPr>
          <w:p w:rsidR="00B43C57" w:rsidRPr="00F5723F" w:rsidRDefault="00B43C57">
            <w:pPr>
              <w:pStyle w:val="Tabelltextsiffror"/>
              <w:jc w:val="center"/>
            </w:pPr>
          </w:p>
        </w:tc>
        <w:tc>
          <w:tcPr>
            <w:tcW w:w="454" w:type="dxa"/>
            <w:tcBorders>
              <w:bottom w:val="single" w:sz="4" w:space="0" w:color="auto"/>
            </w:tcBorders>
          </w:tcPr>
          <w:p w:rsidR="00B43C57" w:rsidRPr="00F5723F" w:rsidRDefault="00B43C57">
            <w:pPr>
              <w:pStyle w:val="Tabelltextsiffror"/>
              <w:jc w:val="center"/>
            </w:pPr>
          </w:p>
        </w:tc>
        <w:tc>
          <w:tcPr>
            <w:tcW w:w="454" w:type="dxa"/>
            <w:tcBorders>
              <w:bottom w:val="single" w:sz="4" w:space="0" w:color="auto"/>
            </w:tcBorders>
          </w:tcPr>
          <w:p w:rsidR="00B43C57" w:rsidRPr="00F5723F" w:rsidRDefault="00B43C57">
            <w:pPr>
              <w:pStyle w:val="Tabelltextsiffror"/>
              <w:jc w:val="center"/>
            </w:pPr>
          </w:p>
        </w:tc>
        <w:tc>
          <w:tcPr>
            <w:tcW w:w="454" w:type="dxa"/>
            <w:tcBorders>
              <w:bottom w:val="single" w:sz="4" w:space="0" w:color="auto"/>
            </w:tcBorders>
          </w:tcPr>
          <w:p w:rsidR="00B43C57" w:rsidRPr="00F5723F" w:rsidRDefault="00B43C57">
            <w:pPr>
              <w:pStyle w:val="Tabelltextsiffror"/>
              <w:jc w:val="center"/>
            </w:pPr>
          </w:p>
        </w:tc>
        <w:tc>
          <w:tcPr>
            <w:tcW w:w="454" w:type="dxa"/>
            <w:tcBorders>
              <w:bottom w:val="single" w:sz="4" w:space="0" w:color="auto"/>
            </w:tcBorders>
          </w:tcPr>
          <w:p w:rsidR="00B43C57" w:rsidRPr="00F5723F" w:rsidRDefault="00B43C57">
            <w:pPr>
              <w:pStyle w:val="Tabelltextsiffror"/>
              <w:jc w:val="center"/>
            </w:pPr>
          </w:p>
        </w:tc>
        <w:tc>
          <w:tcPr>
            <w:tcW w:w="187" w:type="dxa"/>
            <w:tcBorders>
              <w:bottom w:val="single" w:sz="4" w:space="0" w:color="auto"/>
            </w:tcBorders>
          </w:tcPr>
          <w:p w:rsidR="00B43C57" w:rsidRPr="00F5723F" w:rsidRDefault="00B43C57">
            <w:pPr>
              <w:pStyle w:val="Tabelltextsiffror"/>
              <w:jc w:val="center"/>
              <w:rPr>
                <w:rFonts w:ascii="Arial" w:hAnsi="Arial"/>
              </w:rPr>
            </w:pPr>
          </w:p>
        </w:tc>
        <w:tc>
          <w:tcPr>
            <w:tcW w:w="588" w:type="dxa"/>
            <w:tcBorders>
              <w:bottom w:val="single" w:sz="4" w:space="0" w:color="auto"/>
            </w:tcBorders>
          </w:tcPr>
          <w:p w:rsidR="00B43C57" w:rsidRPr="00F5723F" w:rsidRDefault="00B43C57">
            <w:pPr>
              <w:pStyle w:val="Tabelltextsiffror"/>
              <w:jc w:val="center"/>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 xml:space="preserve">Kommentar: </w:t>
      </w:r>
      <w:r w:rsidRPr="00F5723F">
        <w:rPr>
          <w:rFonts w:ascii="Arial" w:hAnsi="Arial" w:cs="Arial"/>
          <w:sz w:val="16"/>
          <w:szCs w:val="16"/>
        </w:rPr>
        <w:t>Resultaten bygger enbart på svarspersoner som besvarat alla uppgi</w:t>
      </w:r>
      <w:r w:rsidRPr="00F5723F">
        <w:rPr>
          <w:rFonts w:ascii="Arial" w:hAnsi="Arial" w:cs="Arial"/>
          <w:sz w:val="16"/>
          <w:szCs w:val="16"/>
        </w:rPr>
        <w:t>f</w:t>
      </w:r>
      <w:r w:rsidRPr="00F5723F">
        <w:rPr>
          <w:rFonts w:ascii="Arial" w:hAnsi="Arial" w:cs="Arial"/>
          <w:sz w:val="16"/>
          <w:szCs w:val="16"/>
        </w:rPr>
        <w:t>ter (n=1</w:t>
      </w:r>
      <w:r w:rsidRPr="00F5723F">
        <w:rPr>
          <w:rFonts w:ascii="Arial" w:hAnsi="Arial" w:cs="Arial"/>
          <w:sz w:val="16"/>
          <w:szCs w:val="16"/>
        </w:rPr>
        <w:t xml:space="preserve"> </w:t>
      </w:r>
      <w:r w:rsidRPr="00F5723F">
        <w:rPr>
          <w:rFonts w:ascii="Arial" w:hAnsi="Arial" w:cs="Arial"/>
          <w:sz w:val="16"/>
          <w:szCs w:val="16"/>
        </w:rPr>
        <w:t xml:space="preserve">500). Frågeformulering: </w:t>
      </w:r>
      <w:r w:rsidRPr="00F5723F">
        <w:rPr>
          <w:rFonts w:ascii="Arial" w:hAnsi="Arial" w:cs="Arial"/>
          <w:sz w:val="16"/>
          <w:szCs w:val="16"/>
        </w:rPr>
        <w:t>”</w:t>
      </w:r>
      <w:r w:rsidRPr="00F5723F">
        <w:rPr>
          <w:rFonts w:ascii="Arial" w:hAnsi="Arial" w:cs="Arial"/>
          <w:i/>
          <w:sz w:val="16"/>
          <w:szCs w:val="16"/>
        </w:rPr>
        <w:t>Riksdagen har olika uppgifter. Hur bra eller dåligt anser Du att riksdagen och riksdagens ledamöter uppfyller nedanstående uppgi</w:t>
      </w:r>
      <w:r w:rsidRPr="00F5723F">
        <w:rPr>
          <w:rFonts w:ascii="Arial" w:hAnsi="Arial" w:cs="Arial"/>
          <w:i/>
          <w:sz w:val="16"/>
          <w:szCs w:val="16"/>
        </w:rPr>
        <w:t>f</w:t>
      </w:r>
      <w:r w:rsidRPr="00F5723F">
        <w:rPr>
          <w:rFonts w:ascii="Arial" w:hAnsi="Arial" w:cs="Arial"/>
          <w:i/>
          <w:sz w:val="16"/>
          <w:szCs w:val="16"/>
        </w:rPr>
        <w:t>ter?</w:t>
      </w:r>
      <w:r w:rsidRPr="00F5723F">
        <w:rPr>
          <w:rFonts w:ascii="Arial" w:hAnsi="Arial" w:cs="Arial"/>
          <w:sz w:val="16"/>
          <w:szCs w:val="16"/>
        </w:rPr>
        <w:t>”</w:t>
      </w:r>
      <w:r w:rsidRPr="00F5723F">
        <w:rPr>
          <w:rFonts w:ascii="Arial" w:hAnsi="Arial" w:cs="Arial"/>
          <w:i/>
          <w:sz w:val="16"/>
          <w:szCs w:val="16"/>
        </w:rPr>
        <w:t xml:space="preserve"> </w:t>
      </w:r>
      <w:r w:rsidRPr="00F5723F">
        <w:rPr>
          <w:rFonts w:ascii="Arial" w:hAnsi="Arial" w:cs="Arial"/>
          <w:b/>
          <w:sz w:val="16"/>
          <w:szCs w:val="16"/>
        </w:rPr>
        <w:t xml:space="preserve">Källa: </w:t>
      </w:r>
      <w:r w:rsidRPr="00F5723F">
        <w:rPr>
          <w:rFonts w:ascii="Arial" w:hAnsi="Arial" w:cs="Arial"/>
          <w:sz w:val="16"/>
          <w:szCs w:val="16"/>
        </w:rPr>
        <w:t>SOM-undersökningarna 1998 och 2002.</w:t>
      </w:r>
    </w:p>
    <w:p w:rsidR="00B43C57" w:rsidRPr="00F5723F" w:rsidRDefault="00B43C57"/>
    <w:p w:rsidR="00B43C57" w:rsidRPr="00F5723F" w:rsidRDefault="00B43C57">
      <w:r w:rsidRPr="00F5723F">
        <w:t>Om tre av riksdagens uppgifter är medborgarnas bedömning övervägande positiv. Det gäller uppgifterna att fatta avgörande beslut (+19), övervaka regeringen (+13) och att vara central debattarena (+12). Det är lika många svarande som tycker att riksdagen sköter uppgiften att bevaka utvecklingen inom EU bra som tycker att riksdagen sköter denna uppgift dåligt (±0). När det gäller övriga tre uppgifter är däremot andelen svarande som tycker att riksdagen hanterar uppgifterna dåligt större än andelen som tycker a</w:t>
      </w:r>
      <w:r w:rsidRPr="00F5723F">
        <w:t>tt riksd</w:t>
      </w:r>
      <w:r w:rsidRPr="00F5723F">
        <w:t>a</w:t>
      </w:r>
      <w:r w:rsidRPr="00F5723F">
        <w:t>gen hanterar dessa uppgifter bra. Det gäller både uppgiften att avspegla åsiktsfördelningen bland väljarna (–7) och uppgiften att ta initiativ i frågor som inte tas upp av regeringen (–12). Allra sämst i medborgarnas utvärd</w:t>
      </w:r>
      <w:r w:rsidRPr="00F5723F">
        <w:t>e</w:t>
      </w:r>
      <w:r w:rsidRPr="00F5723F">
        <w:t>ring hamnar dock riksdagen och riksdagsledamöterna när det gäller uppgi</w:t>
      </w:r>
      <w:r w:rsidRPr="00F5723F">
        <w:t>f</w:t>
      </w:r>
      <w:r w:rsidRPr="00F5723F">
        <w:t xml:space="preserve">ten att förutse framtida problem innan de blir akuta (–37). </w:t>
      </w:r>
    </w:p>
    <w:p w:rsidR="00B43C57" w:rsidRPr="00F5723F" w:rsidRDefault="00B43C57">
      <w:pPr>
        <w:pStyle w:val="Normaltindrag"/>
      </w:pPr>
      <w:r w:rsidRPr="00F5723F">
        <w:t>Medborgarnas bedömningar av riksdagen och riksdagens ledamöter har blivit mer positiva mellan 1998 och 2002. På varje punkt kan vi se att b</w:t>
      </w:r>
      <w:r w:rsidRPr="00F5723F">
        <w:t>a</w:t>
      </w:r>
      <w:r w:rsidRPr="00F5723F">
        <w:t>lansmåttet för medborgarnas bedömningar har ökat. Det återspeglar den al</w:t>
      </w:r>
      <w:r w:rsidRPr="00F5723F">
        <w:t>l</w:t>
      </w:r>
      <w:r w:rsidRPr="00F5723F">
        <w:t>mänt ökade politikertilltron som vi kunde iaktta i figur 2. Andelen medbor</w:t>
      </w:r>
      <w:r w:rsidRPr="00F5723F">
        <w:lastRenderedPageBreak/>
        <w:t>g</w:t>
      </w:r>
      <w:r w:rsidRPr="00F5723F">
        <w:t>a</w:t>
      </w:r>
      <w:r w:rsidRPr="00F5723F">
        <w:t>re som har förtroende för riksdagen har ökat från 30 procent 1998 till 34 procent 2002. När det gäller bedömningen av hur riksdagen hanterar ett antal uppgifter är det dock inte andelen nöjda som ökat. Det utmärkande för fö</w:t>
      </w:r>
      <w:r w:rsidRPr="00F5723F">
        <w:t>r</w:t>
      </w:r>
      <w:r w:rsidRPr="00F5723F">
        <w:t>ändringarna mellan 1998 och 2002 är snarare att det är andelen missnöjda som minskat. Främst är det andelen svarspersoner som tycker att r</w:t>
      </w:r>
      <w:r w:rsidRPr="00F5723F">
        <w:t>iksdagen sköter en up</w:t>
      </w:r>
      <w:r w:rsidRPr="00F5723F">
        <w:t>p</w:t>
      </w:r>
      <w:r w:rsidRPr="00F5723F">
        <w:t xml:space="preserve">gift ”ganska dåligt” som 2002 är något lägre än motsvarande andel 1998. Den svarskategori som främst har ökat, från att redan tidigare ha varit tämligen stor, är ”varken bra eller dåligt”. </w:t>
      </w:r>
    </w:p>
    <w:p w:rsidR="00B43C57" w:rsidRPr="00F5723F" w:rsidRDefault="00B43C57">
      <w:pPr>
        <w:pStyle w:val="Normaltindrag"/>
      </w:pPr>
      <w:r w:rsidRPr="00F5723F">
        <w:t>Den för kapitlet styrande utgångspunkten handlar om det rimliga i att fö</w:t>
      </w:r>
      <w:r w:rsidRPr="00F5723F">
        <w:t>r</w:t>
      </w:r>
      <w:r w:rsidRPr="00F5723F">
        <w:t>vänta sig att medborgarbedömningar av hur riksdagen hanterar sina uppgi</w:t>
      </w:r>
      <w:r w:rsidRPr="00F5723F">
        <w:t>f</w:t>
      </w:r>
      <w:r w:rsidRPr="00F5723F">
        <w:t>ter och funktioner föregår bedömningen av förtroendet för riksdagen i al</w:t>
      </w:r>
      <w:r w:rsidRPr="00F5723F">
        <w:t>l</w:t>
      </w:r>
      <w:r w:rsidRPr="00F5723F">
        <w:t>mänhet. Den allmänna och generella förtroendebedömningen som medbo</w:t>
      </w:r>
      <w:r w:rsidRPr="00F5723F">
        <w:t>r</w:t>
      </w:r>
      <w:r w:rsidRPr="00F5723F">
        <w:t>garna gör av riksdagen antas i en sådan rationell modell förklaras utifrån den värdering människor gör av hur riksdagen hanterar olika funktioner och uppgifter.</w:t>
      </w:r>
      <w:r w:rsidRPr="00F5723F">
        <w:rPr>
          <w:rStyle w:val="Fotnotsreferens"/>
        </w:rPr>
        <w:footnoteReference w:id="12"/>
      </w:r>
    </w:p>
    <w:p w:rsidR="00B43C57" w:rsidRPr="00F5723F" w:rsidRDefault="00B43C57">
      <w:pPr>
        <w:pStyle w:val="Normaltindrag"/>
      </w:pPr>
      <w:r w:rsidRPr="00F5723F">
        <w:t>En multivariat analys, som beaktar samtliga sju riksdagsuppgifter, gör det möjligt att väga de olika riksdagsuppgifterna mot varandra. Man kan ställa sig frågan vilka av de sju värderingarna som har störst betydelse för männ</w:t>
      </w:r>
      <w:r w:rsidRPr="00F5723F">
        <w:t>i</w:t>
      </w:r>
      <w:r w:rsidRPr="00F5723F">
        <w:t>skors förtroende för riksdagen.</w:t>
      </w:r>
      <w:r w:rsidRPr="00F5723F">
        <w:rPr>
          <w:rStyle w:val="Fotnotsreferens"/>
        </w:rPr>
        <w:footnoteReference w:id="13"/>
      </w:r>
    </w:p>
    <w:p w:rsidR="00B43C57" w:rsidRPr="00F5723F" w:rsidRDefault="00B43C57">
      <w:pPr>
        <w:pStyle w:val="Normaltindrag"/>
      </w:pPr>
      <w:r w:rsidRPr="00F5723F">
        <w:t>Resultaten av en sådan multivariat analys visar att människors bedö</w:t>
      </w:r>
      <w:r w:rsidRPr="00F5723F">
        <w:t>m</w:t>
      </w:r>
      <w:r w:rsidRPr="00F5723F">
        <w:t xml:space="preserve">ning av hur riksdagen hanterar de sju funktionerna </w:t>
      </w:r>
      <w:r w:rsidRPr="00F5723F">
        <w:rPr>
          <w:i/>
        </w:rPr>
        <w:t>tillsammans</w:t>
      </w:r>
      <w:r w:rsidRPr="00F5723F">
        <w:t xml:space="preserve"> bidrar till förkla</w:t>
      </w:r>
      <w:r w:rsidRPr="00F5723F">
        <w:t>r</w:t>
      </w:r>
      <w:r w:rsidRPr="00F5723F">
        <w:t>ingen av förtroendet för riksdagen; andelen förklarad varians uppgår till 28 procent. Det är uppenbart att människors uppfattning om hur riksdagen ful</w:t>
      </w:r>
      <w:r w:rsidRPr="00F5723F">
        <w:t>l</w:t>
      </w:r>
      <w:r w:rsidRPr="00F5723F">
        <w:t>gör ett antal olika uppgifter har betydelse för i vilken grad riksdagen til</w:t>
      </w:r>
      <w:r w:rsidRPr="00F5723F">
        <w:t>l</w:t>
      </w:r>
      <w:r w:rsidRPr="00F5723F">
        <w:t>skrivs något förtroende. Därtill ger analyserna ett tydligt stöd för att männ</w:t>
      </w:r>
      <w:r w:rsidRPr="00F5723F">
        <w:t>i</w:t>
      </w:r>
      <w:r w:rsidRPr="00F5723F">
        <w:t xml:space="preserve">skors förtroende för riksdagen bestäms i </w:t>
      </w:r>
      <w:r w:rsidRPr="00F5723F">
        <w:rPr>
          <w:i/>
        </w:rPr>
        <w:t>olika</w:t>
      </w:r>
      <w:r w:rsidRPr="00F5723F">
        <w:t xml:space="preserve"> hög grad av synen på hur dessa sju uppgifter uppfylls. Uppfattningen om hur r</w:t>
      </w:r>
      <w:r w:rsidRPr="00F5723F">
        <w:t>iksdagen sköter vissa uppgifter har större effekt på det allmänna förtroendet för riksdagen än bedömningen av andra uppgifter. Hur riksdagen lyckas med uppgiften att fatta de stora sa</w:t>
      </w:r>
      <w:r w:rsidRPr="00F5723F">
        <w:t>m</w:t>
      </w:r>
      <w:r w:rsidRPr="00F5723F">
        <w:t>hällsavgörande besluten utgör det enskilt viktigaste bedömningskriteriet för förtr</w:t>
      </w:r>
      <w:r w:rsidRPr="00F5723F">
        <w:t>o</w:t>
      </w:r>
      <w:r w:rsidRPr="00F5723F">
        <w:t xml:space="preserve">endet för riksdagen. </w:t>
      </w:r>
    </w:p>
    <w:p w:rsidR="00B43C57" w:rsidRPr="00F5723F" w:rsidRDefault="00B43C57">
      <w:pPr>
        <w:pStyle w:val="Normaltindrag"/>
      </w:pPr>
      <w:r w:rsidRPr="00F5723F">
        <w:t>Inte bara medborgare har fått utvärdera riksdagens arbete. Även riksdag</w:t>
      </w:r>
      <w:r w:rsidRPr="00F5723F">
        <w:t>s</w:t>
      </w:r>
      <w:r w:rsidRPr="00F5723F">
        <w:t xml:space="preserve">ledamöterna har fått göra samma bedömning. Samtliga riksdagsledamöter har </w:t>
      </w:r>
      <w:r w:rsidRPr="00F5723F">
        <w:lastRenderedPageBreak/>
        <w:t xml:space="preserve">efter valet 2002 fått besvara samma fråga i en undersökning – </w:t>
      </w:r>
      <w:r w:rsidRPr="00F5723F">
        <w:rPr>
          <w:i/>
        </w:rPr>
        <w:t>Riksdag</w:t>
      </w:r>
      <w:r w:rsidRPr="00F5723F">
        <w:rPr>
          <w:i/>
        </w:rPr>
        <w:t>s</w:t>
      </w:r>
      <w:r w:rsidRPr="00F5723F">
        <w:rPr>
          <w:i/>
        </w:rPr>
        <w:t>enkät 2002</w:t>
      </w:r>
      <w:r w:rsidRPr="00F5723F">
        <w:t xml:space="preserve"> – genomförd parallellt med SOM-undersökningen.</w:t>
      </w:r>
      <w:r w:rsidRPr="00F5723F">
        <w:rPr>
          <w:rStyle w:val="Fotnotsreferens"/>
        </w:rPr>
        <w:footnoteReference w:id="14"/>
      </w:r>
    </w:p>
    <w:p w:rsidR="00B43C57" w:rsidRPr="00F5723F" w:rsidRDefault="00B43C57">
      <w:pPr>
        <w:pStyle w:val="Normaltindrag"/>
      </w:pPr>
      <w:r w:rsidRPr="00F5723F">
        <w:t>I tabell 3 redovisas hur stor andel av svarande medborgare och riksdagsl</w:t>
      </w:r>
      <w:r w:rsidRPr="00F5723F">
        <w:t>e</w:t>
      </w:r>
      <w:r w:rsidRPr="00F5723F">
        <w:t>damöter som tycker att riksdagen och riksdagsledamöterna sköter olika up</w:t>
      </w:r>
      <w:r w:rsidRPr="00F5723F">
        <w:t>p</w:t>
      </w:r>
      <w:r w:rsidRPr="00F5723F">
        <w:t>gifter mycket eller ganska bra.</w:t>
      </w:r>
      <w:r w:rsidRPr="00F5723F">
        <w:rPr>
          <w:rStyle w:val="Fotnotsreferens"/>
        </w:rPr>
        <w:footnoteReference w:id="15"/>
      </w:r>
      <w:r w:rsidRPr="00F5723F">
        <w:t xml:space="preserve"> </w:t>
      </w:r>
    </w:p>
    <w:p w:rsidR="00B43C57" w:rsidRPr="00F5723F" w:rsidRDefault="00B43C57">
      <w:pPr>
        <w:pStyle w:val="Tabellrubrik"/>
        <w:spacing w:before="0"/>
      </w:pPr>
    </w:p>
    <w:p w:rsidR="00B43C57" w:rsidRPr="00F5723F" w:rsidRDefault="00B43C57">
      <w:pPr>
        <w:pStyle w:val="Tabellrubrik"/>
        <w:spacing w:before="0"/>
      </w:pPr>
      <w:r w:rsidRPr="00F5723F">
        <w:t>Tabell 3</w:t>
      </w:r>
      <w:r w:rsidRPr="00F5723F">
        <w:tab/>
        <w:t>Medborgarnas (mb) och riksdagsledam</w:t>
      </w:r>
      <w:r w:rsidRPr="00F5723F">
        <w:t>ö</w:t>
      </w:r>
      <w:r w:rsidRPr="00F5723F">
        <w:t>ternas (rd) syn på hur väl riksdagen uppfyller olika uppgifter efter part</w:t>
      </w:r>
      <w:r w:rsidRPr="00F5723F">
        <w:t>i</w:t>
      </w:r>
      <w:r w:rsidRPr="00F5723F">
        <w:t>tillh</w:t>
      </w:r>
      <w:r w:rsidRPr="00F5723F">
        <w:t>ö</w:t>
      </w:r>
      <w:r w:rsidRPr="00F5723F">
        <w:t>righet (procent, balansmått)</w:t>
      </w:r>
    </w:p>
    <w:tbl>
      <w:tblPr>
        <w:tblW w:w="5954" w:type="dxa"/>
        <w:tblBorders>
          <w:top w:val="single" w:sz="12" w:space="0" w:color="808080"/>
          <w:left w:val="nil"/>
          <w:bottom w:val="single" w:sz="12" w:space="0" w:color="808080"/>
          <w:right w:val="nil"/>
          <w:insideH w:val="nil"/>
          <w:insideV w:val="nil"/>
        </w:tblBorders>
        <w:tblLayout w:type="fixed"/>
        <w:tblCellMar>
          <w:left w:w="0" w:type="dxa"/>
          <w:right w:w="0" w:type="dxa"/>
        </w:tblCellMar>
        <w:tblLook w:val="00A7" w:firstRow="1" w:lastRow="0" w:firstColumn="1" w:lastColumn="0" w:noHBand="0" w:noVBand="0"/>
      </w:tblPr>
      <w:tblGrid>
        <w:gridCol w:w="2155"/>
        <w:gridCol w:w="397"/>
        <w:gridCol w:w="283"/>
        <w:gridCol w:w="284"/>
        <w:gridCol w:w="283"/>
        <w:gridCol w:w="284"/>
        <w:gridCol w:w="283"/>
        <w:gridCol w:w="284"/>
        <w:gridCol w:w="283"/>
        <w:gridCol w:w="341"/>
        <w:gridCol w:w="510"/>
        <w:gridCol w:w="567"/>
      </w:tblGrid>
      <w:tr w:rsidR="00000000" w:rsidRPr="00F5723F">
        <w:tblPrEx>
          <w:tblCellMar>
            <w:top w:w="0" w:type="dxa"/>
            <w:left w:w="0" w:type="dxa"/>
            <w:bottom w:w="0" w:type="dxa"/>
            <w:right w:w="0" w:type="dxa"/>
          </w:tblCellMar>
        </w:tblPrEx>
        <w:tc>
          <w:tcPr>
            <w:tcW w:w="2155" w:type="dxa"/>
            <w:tcBorders>
              <w:top w:val="single" w:sz="4" w:space="0" w:color="auto"/>
              <w:bottom w:val="nil"/>
            </w:tcBorders>
          </w:tcPr>
          <w:p w:rsidR="00B43C57" w:rsidRPr="00F5723F" w:rsidRDefault="00B43C57">
            <w:pPr>
              <w:pStyle w:val="Tabelltext"/>
            </w:pPr>
          </w:p>
        </w:tc>
        <w:tc>
          <w:tcPr>
            <w:tcW w:w="397" w:type="dxa"/>
            <w:tcBorders>
              <w:top w:val="single" w:sz="4" w:space="0" w:color="auto"/>
              <w:bottom w:val="nil"/>
            </w:tcBorders>
          </w:tcPr>
          <w:p w:rsidR="00B43C57" w:rsidRPr="00F5723F" w:rsidRDefault="00B43C57">
            <w:pPr>
              <w:pStyle w:val="Tabelltext"/>
            </w:pPr>
          </w:p>
        </w:tc>
        <w:tc>
          <w:tcPr>
            <w:tcW w:w="1417" w:type="dxa"/>
            <w:gridSpan w:val="5"/>
            <w:tcBorders>
              <w:top w:val="single" w:sz="4" w:space="0" w:color="auto"/>
              <w:bottom w:val="single" w:sz="4" w:space="0" w:color="auto"/>
            </w:tcBorders>
          </w:tcPr>
          <w:p w:rsidR="00B43C57" w:rsidRPr="00F5723F" w:rsidRDefault="00B43C57">
            <w:pPr>
              <w:pStyle w:val="Tabelltext"/>
            </w:pPr>
          </w:p>
          <w:p w:rsidR="00B43C57" w:rsidRPr="00F5723F" w:rsidRDefault="00B43C57">
            <w:pPr>
              <w:pStyle w:val="Tabelltext"/>
            </w:pPr>
            <w:r w:rsidRPr="00F5723F">
              <w:t>Partitillhörighet</w:t>
            </w:r>
          </w:p>
        </w:tc>
        <w:tc>
          <w:tcPr>
            <w:tcW w:w="284" w:type="dxa"/>
            <w:tcBorders>
              <w:top w:val="single" w:sz="4" w:space="0" w:color="auto"/>
              <w:bottom w:val="single" w:sz="4" w:space="0" w:color="auto"/>
            </w:tcBorders>
          </w:tcPr>
          <w:p w:rsidR="00B43C57" w:rsidRPr="00F5723F" w:rsidRDefault="00B43C57">
            <w:pPr>
              <w:pStyle w:val="Tabelltext"/>
            </w:pPr>
          </w:p>
        </w:tc>
        <w:tc>
          <w:tcPr>
            <w:tcW w:w="283" w:type="dxa"/>
            <w:tcBorders>
              <w:top w:val="single" w:sz="4" w:space="0" w:color="auto"/>
              <w:bottom w:val="single" w:sz="4" w:space="0" w:color="auto"/>
            </w:tcBorders>
          </w:tcPr>
          <w:p w:rsidR="00B43C57" w:rsidRPr="00F5723F" w:rsidRDefault="00B43C57">
            <w:pPr>
              <w:pStyle w:val="Tabelltext"/>
            </w:pPr>
          </w:p>
        </w:tc>
        <w:tc>
          <w:tcPr>
            <w:tcW w:w="341" w:type="dxa"/>
            <w:tcBorders>
              <w:top w:val="single" w:sz="4" w:space="0" w:color="auto"/>
              <w:bottom w:val="nil"/>
            </w:tcBorders>
          </w:tcPr>
          <w:p w:rsidR="00B43C57" w:rsidRPr="00F5723F" w:rsidRDefault="00B43C57">
            <w:pPr>
              <w:pStyle w:val="Tabelltext"/>
            </w:pPr>
          </w:p>
        </w:tc>
        <w:tc>
          <w:tcPr>
            <w:tcW w:w="510" w:type="dxa"/>
            <w:tcBorders>
              <w:top w:val="single" w:sz="4" w:space="0" w:color="auto"/>
              <w:bottom w:val="nil"/>
            </w:tcBorders>
          </w:tcPr>
          <w:p w:rsidR="00B43C57" w:rsidRPr="00F5723F" w:rsidRDefault="00B43C57">
            <w:pPr>
              <w:pStyle w:val="Tabelltextsiffror"/>
            </w:pPr>
            <w:r w:rsidRPr="00F5723F">
              <w:t>Balans- mått</w:t>
            </w:r>
          </w:p>
        </w:tc>
        <w:tc>
          <w:tcPr>
            <w:tcW w:w="567" w:type="dxa"/>
            <w:tcBorders>
              <w:top w:val="single" w:sz="4" w:space="0" w:color="auto"/>
              <w:bottom w:val="nil"/>
            </w:tcBorders>
          </w:tcPr>
          <w:p w:rsidR="00B43C57" w:rsidRPr="00F5723F" w:rsidRDefault="00B43C57">
            <w:pPr>
              <w:pStyle w:val="Tabelltextsiffror"/>
            </w:pPr>
            <w:r w:rsidRPr="00F5723F">
              <w:t>Balans- mått</w:t>
            </w:r>
          </w:p>
        </w:tc>
      </w:tr>
      <w:tr w:rsidR="00000000" w:rsidRPr="00F5723F">
        <w:tblPrEx>
          <w:tblCellMar>
            <w:top w:w="0" w:type="dxa"/>
            <w:left w:w="0" w:type="dxa"/>
            <w:bottom w:w="0" w:type="dxa"/>
            <w:right w:w="0" w:type="dxa"/>
          </w:tblCellMar>
        </w:tblPrEx>
        <w:tc>
          <w:tcPr>
            <w:tcW w:w="2155" w:type="dxa"/>
            <w:tcBorders>
              <w:top w:val="nil"/>
              <w:bottom w:val="single" w:sz="4" w:space="0" w:color="auto"/>
            </w:tcBorders>
          </w:tcPr>
          <w:p w:rsidR="00B43C57" w:rsidRPr="00F5723F" w:rsidRDefault="00B43C57">
            <w:pPr>
              <w:pStyle w:val="Tabelltext"/>
            </w:pPr>
          </w:p>
        </w:tc>
        <w:tc>
          <w:tcPr>
            <w:tcW w:w="397" w:type="dxa"/>
            <w:tcBorders>
              <w:top w:val="nil"/>
              <w:bottom w:val="single" w:sz="4" w:space="0" w:color="auto"/>
            </w:tcBorders>
          </w:tcPr>
          <w:p w:rsidR="00B43C57" w:rsidRPr="00F5723F" w:rsidRDefault="00B43C57">
            <w:pPr>
              <w:pStyle w:val="Tabelltext"/>
            </w:pPr>
          </w:p>
        </w:tc>
        <w:tc>
          <w:tcPr>
            <w:tcW w:w="283" w:type="dxa"/>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v</w:t>
            </w:r>
          </w:p>
        </w:tc>
        <w:tc>
          <w:tcPr>
            <w:tcW w:w="284" w:type="dxa"/>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s</w:t>
            </w:r>
          </w:p>
        </w:tc>
        <w:tc>
          <w:tcPr>
            <w:tcW w:w="283" w:type="dxa"/>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c</w:t>
            </w:r>
          </w:p>
        </w:tc>
        <w:tc>
          <w:tcPr>
            <w:tcW w:w="284" w:type="dxa"/>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fp</w:t>
            </w:r>
          </w:p>
        </w:tc>
        <w:tc>
          <w:tcPr>
            <w:tcW w:w="283" w:type="dxa"/>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m</w:t>
            </w:r>
          </w:p>
        </w:tc>
        <w:tc>
          <w:tcPr>
            <w:tcW w:w="284" w:type="dxa"/>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kd</w:t>
            </w:r>
          </w:p>
        </w:tc>
        <w:tc>
          <w:tcPr>
            <w:tcW w:w="283" w:type="dxa"/>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mp</w:t>
            </w:r>
          </w:p>
        </w:tc>
        <w:tc>
          <w:tcPr>
            <w:tcW w:w="341" w:type="dxa"/>
            <w:tcBorders>
              <w:top w:val="nil"/>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alla</w:t>
            </w:r>
          </w:p>
        </w:tc>
        <w:tc>
          <w:tcPr>
            <w:tcW w:w="510" w:type="dxa"/>
            <w:tcBorders>
              <w:top w:val="nil"/>
              <w:bottom w:val="single" w:sz="4" w:space="0" w:color="auto"/>
            </w:tcBorders>
          </w:tcPr>
          <w:p w:rsidR="00B43C57" w:rsidRPr="00F5723F" w:rsidRDefault="00B43C57">
            <w:pPr>
              <w:pStyle w:val="Tabelltextsiffror"/>
            </w:pPr>
            <w:r w:rsidRPr="00F5723F">
              <w:t xml:space="preserve">alla </w:t>
            </w:r>
          </w:p>
          <w:p w:rsidR="00B43C57" w:rsidRPr="00F5723F" w:rsidRDefault="00B43C57">
            <w:pPr>
              <w:pStyle w:val="Tabelltextsiffror"/>
            </w:pPr>
            <w:r w:rsidRPr="00F5723F">
              <w:t>2002</w:t>
            </w:r>
          </w:p>
        </w:tc>
        <w:tc>
          <w:tcPr>
            <w:tcW w:w="567" w:type="dxa"/>
            <w:tcBorders>
              <w:top w:val="nil"/>
              <w:bottom w:val="single" w:sz="4" w:space="0" w:color="auto"/>
            </w:tcBorders>
          </w:tcPr>
          <w:p w:rsidR="00B43C57" w:rsidRPr="00F5723F" w:rsidRDefault="00B43C57">
            <w:pPr>
              <w:pStyle w:val="Tabelltextsiffror"/>
            </w:pPr>
            <w:r w:rsidRPr="00F5723F">
              <w:t xml:space="preserve">alla </w:t>
            </w:r>
          </w:p>
          <w:p w:rsidR="00B43C57" w:rsidRPr="00F5723F" w:rsidRDefault="00B43C57">
            <w:pPr>
              <w:pStyle w:val="Tabelltextsiffror"/>
            </w:pPr>
            <w:r w:rsidRPr="00F5723F">
              <w:t>1998</w:t>
            </w:r>
          </w:p>
        </w:tc>
      </w:tr>
      <w:tr w:rsidR="00000000" w:rsidRPr="00F5723F">
        <w:tblPrEx>
          <w:tblCellMar>
            <w:top w:w="0" w:type="dxa"/>
            <w:left w:w="0" w:type="dxa"/>
            <w:bottom w:w="0" w:type="dxa"/>
            <w:right w:w="0" w:type="dxa"/>
          </w:tblCellMar>
        </w:tblPrEx>
        <w:tc>
          <w:tcPr>
            <w:tcW w:w="2155" w:type="dxa"/>
            <w:tcBorders>
              <w:top w:val="single" w:sz="4" w:space="0" w:color="auto"/>
            </w:tcBorders>
          </w:tcPr>
          <w:p w:rsidR="00B43C57" w:rsidRPr="00F5723F" w:rsidRDefault="00B43C57">
            <w:pPr>
              <w:pStyle w:val="Tabelltext"/>
            </w:pPr>
          </w:p>
        </w:tc>
        <w:tc>
          <w:tcPr>
            <w:tcW w:w="397" w:type="dxa"/>
            <w:tcBorders>
              <w:top w:val="single" w:sz="4" w:space="0" w:color="auto"/>
            </w:tcBorders>
          </w:tcPr>
          <w:p w:rsidR="00B43C57" w:rsidRPr="00F5723F" w:rsidRDefault="00B43C57">
            <w:pPr>
              <w:pStyle w:val="Tabelltext"/>
              <w:rPr>
                <w:rFonts w:ascii="Arial" w:hAnsi="Arial"/>
                <w:sz w:val="18"/>
              </w:rPr>
            </w:pPr>
          </w:p>
        </w:tc>
        <w:tc>
          <w:tcPr>
            <w:tcW w:w="283" w:type="dxa"/>
            <w:tcBorders>
              <w:top w:val="single" w:sz="4" w:space="0" w:color="auto"/>
            </w:tcBorders>
          </w:tcPr>
          <w:p w:rsidR="00B43C57" w:rsidRPr="00F5723F" w:rsidRDefault="00B43C57">
            <w:pPr>
              <w:pStyle w:val="Tabelltextsiffror"/>
            </w:pPr>
          </w:p>
        </w:tc>
        <w:tc>
          <w:tcPr>
            <w:tcW w:w="284" w:type="dxa"/>
            <w:tcBorders>
              <w:top w:val="single" w:sz="4" w:space="0" w:color="auto"/>
            </w:tcBorders>
          </w:tcPr>
          <w:p w:rsidR="00B43C57" w:rsidRPr="00F5723F" w:rsidRDefault="00B43C57">
            <w:pPr>
              <w:pStyle w:val="Tabelltextsiffror"/>
            </w:pPr>
          </w:p>
        </w:tc>
        <w:tc>
          <w:tcPr>
            <w:tcW w:w="283" w:type="dxa"/>
            <w:tcBorders>
              <w:top w:val="single" w:sz="4" w:space="0" w:color="auto"/>
            </w:tcBorders>
          </w:tcPr>
          <w:p w:rsidR="00B43C57" w:rsidRPr="00F5723F" w:rsidRDefault="00B43C57">
            <w:pPr>
              <w:pStyle w:val="Tabelltextsiffror"/>
            </w:pPr>
          </w:p>
        </w:tc>
        <w:tc>
          <w:tcPr>
            <w:tcW w:w="284" w:type="dxa"/>
            <w:tcBorders>
              <w:top w:val="single" w:sz="4" w:space="0" w:color="auto"/>
            </w:tcBorders>
          </w:tcPr>
          <w:p w:rsidR="00B43C57" w:rsidRPr="00F5723F" w:rsidRDefault="00B43C57">
            <w:pPr>
              <w:pStyle w:val="Tabelltextsiffror"/>
            </w:pPr>
          </w:p>
        </w:tc>
        <w:tc>
          <w:tcPr>
            <w:tcW w:w="283" w:type="dxa"/>
            <w:tcBorders>
              <w:top w:val="single" w:sz="4" w:space="0" w:color="auto"/>
            </w:tcBorders>
          </w:tcPr>
          <w:p w:rsidR="00B43C57" w:rsidRPr="00F5723F" w:rsidRDefault="00B43C57">
            <w:pPr>
              <w:pStyle w:val="Tabelltextsiffror"/>
            </w:pPr>
          </w:p>
        </w:tc>
        <w:tc>
          <w:tcPr>
            <w:tcW w:w="284" w:type="dxa"/>
            <w:tcBorders>
              <w:top w:val="single" w:sz="4" w:space="0" w:color="auto"/>
            </w:tcBorders>
          </w:tcPr>
          <w:p w:rsidR="00B43C57" w:rsidRPr="00F5723F" w:rsidRDefault="00B43C57">
            <w:pPr>
              <w:pStyle w:val="Tabelltextsiffror"/>
            </w:pPr>
          </w:p>
        </w:tc>
        <w:tc>
          <w:tcPr>
            <w:tcW w:w="283" w:type="dxa"/>
            <w:tcBorders>
              <w:top w:val="single" w:sz="4" w:space="0" w:color="auto"/>
            </w:tcBorders>
          </w:tcPr>
          <w:p w:rsidR="00B43C57" w:rsidRPr="00F5723F" w:rsidRDefault="00B43C57">
            <w:pPr>
              <w:pStyle w:val="Tabelltextsiffror"/>
            </w:pPr>
          </w:p>
        </w:tc>
        <w:tc>
          <w:tcPr>
            <w:tcW w:w="341" w:type="dxa"/>
            <w:tcBorders>
              <w:top w:val="single" w:sz="4" w:space="0" w:color="auto"/>
            </w:tcBorders>
          </w:tcPr>
          <w:p w:rsidR="00B43C57" w:rsidRPr="00F5723F" w:rsidRDefault="00B43C57">
            <w:pPr>
              <w:pStyle w:val="Tabelltextsiffror"/>
            </w:pPr>
          </w:p>
        </w:tc>
        <w:tc>
          <w:tcPr>
            <w:tcW w:w="510" w:type="dxa"/>
            <w:tcBorders>
              <w:top w:val="single" w:sz="4" w:space="0" w:color="auto"/>
            </w:tcBorders>
          </w:tcPr>
          <w:p w:rsidR="00B43C57" w:rsidRPr="00F5723F" w:rsidRDefault="00B43C57">
            <w:pPr>
              <w:pStyle w:val="Tabelltextsiffror"/>
            </w:pPr>
          </w:p>
        </w:tc>
        <w:tc>
          <w:tcPr>
            <w:tcW w:w="567" w:type="dxa"/>
            <w:tcBorders>
              <w:top w:val="single" w:sz="4" w:space="0" w:color="auto"/>
            </w:tcBorders>
          </w:tcPr>
          <w:p w:rsidR="00B43C57" w:rsidRPr="00F5723F" w:rsidRDefault="00B43C57">
            <w:pPr>
              <w:pStyle w:val="Tabelltextsiffror"/>
            </w:pP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 xml:space="preserve">Fatta avgörande beslut för </w:t>
            </w:r>
          </w:p>
        </w:tc>
        <w:tc>
          <w:tcPr>
            <w:tcW w:w="397" w:type="dxa"/>
          </w:tcPr>
          <w:p w:rsidR="00B43C57" w:rsidRPr="00F5723F" w:rsidRDefault="00B43C57">
            <w:pPr>
              <w:pStyle w:val="Tabelltext"/>
            </w:pPr>
            <w:r w:rsidRPr="00F5723F">
              <w:t>mb</w:t>
            </w:r>
          </w:p>
        </w:tc>
        <w:tc>
          <w:tcPr>
            <w:tcW w:w="283" w:type="dxa"/>
          </w:tcPr>
          <w:p w:rsidR="00B43C57" w:rsidRPr="00F5723F" w:rsidRDefault="00B43C57">
            <w:pPr>
              <w:pStyle w:val="Tabelltextsiffror"/>
            </w:pPr>
            <w:r w:rsidRPr="00F5723F">
              <w:t>31</w:t>
            </w:r>
          </w:p>
        </w:tc>
        <w:tc>
          <w:tcPr>
            <w:tcW w:w="284" w:type="dxa"/>
          </w:tcPr>
          <w:p w:rsidR="00B43C57" w:rsidRPr="00F5723F" w:rsidRDefault="00B43C57">
            <w:pPr>
              <w:pStyle w:val="Tabelltextsiffror"/>
            </w:pPr>
            <w:r w:rsidRPr="00F5723F">
              <w:t>43</w:t>
            </w:r>
          </w:p>
        </w:tc>
        <w:tc>
          <w:tcPr>
            <w:tcW w:w="283" w:type="dxa"/>
          </w:tcPr>
          <w:p w:rsidR="00B43C57" w:rsidRPr="00F5723F" w:rsidRDefault="00B43C57">
            <w:pPr>
              <w:pStyle w:val="Tabelltextsiffror"/>
            </w:pPr>
            <w:r w:rsidRPr="00F5723F">
              <w:t>24</w:t>
            </w:r>
          </w:p>
        </w:tc>
        <w:tc>
          <w:tcPr>
            <w:tcW w:w="284" w:type="dxa"/>
          </w:tcPr>
          <w:p w:rsidR="00B43C57" w:rsidRPr="00F5723F" w:rsidRDefault="00B43C57">
            <w:pPr>
              <w:pStyle w:val="Tabelltextsiffror"/>
            </w:pPr>
            <w:r w:rsidRPr="00F5723F">
              <w:t>35</w:t>
            </w:r>
          </w:p>
        </w:tc>
        <w:tc>
          <w:tcPr>
            <w:tcW w:w="283" w:type="dxa"/>
          </w:tcPr>
          <w:p w:rsidR="00B43C57" w:rsidRPr="00F5723F" w:rsidRDefault="00B43C57">
            <w:pPr>
              <w:pStyle w:val="Tabelltextsiffror"/>
            </w:pPr>
            <w:r w:rsidRPr="00F5723F">
              <w:t>21</w:t>
            </w:r>
          </w:p>
        </w:tc>
        <w:tc>
          <w:tcPr>
            <w:tcW w:w="284" w:type="dxa"/>
          </w:tcPr>
          <w:p w:rsidR="00B43C57" w:rsidRPr="00F5723F" w:rsidRDefault="00B43C57">
            <w:pPr>
              <w:pStyle w:val="Tabelltextsiffror"/>
            </w:pPr>
            <w:r w:rsidRPr="00F5723F">
              <w:t>22</w:t>
            </w:r>
          </w:p>
        </w:tc>
        <w:tc>
          <w:tcPr>
            <w:tcW w:w="283" w:type="dxa"/>
          </w:tcPr>
          <w:p w:rsidR="00B43C57" w:rsidRPr="00F5723F" w:rsidRDefault="00B43C57">
            <w:pPr>
              <w:pStyle w:val="Tabelltextsiffror"/>
            </w:pPr>
            <w:r w:rsidRPr="00F5723F">
              <w:t>22</w:t>
            </w:r>
          </w:p>
        </w:tc>
        <w:tc>
          <w:tcPr>
            <w:tcW w:w="341" w:type="dxa"/>
            <w:tcBorders>
              <w:right w:val="nil"/>
            </w:tcBorders>
          </w:tcPr>
          <w:p w:rsidR="00B43C57" w:rsidRPr="00F5723F" w:rsidRDefault="00B43C57">
            <w:pPr>
              <w:pStyle w:val="Tabelltextsiffror"/>
            </w:pPr>
            <w:r w:rsidRPr="00F5723F">
              <w:t>33</w:t>
            </w:r>
          </w:p>
        </w:tc>
        <w:tc>
          <w:tcPr>
            <w:tcW w:w="510" w:type="dxa"/>
            <w:tcBorders>
              <w:right w:val="nil"/>
            </w:tcBorders>
          </w:tcPr>
          <w:p w:rsidR="00B43C57" w:rsidRPr="00F5723F" w:rsidRDefault="00B43C57">
            <w:pPr>
              <w:pStyle w:val="Tabelltextsiffror"/>
            </w:pPr>
            <w:r w:rsidRPr="00F5723F">
              <w:t>+18</w:t>
            </w:r>
          </w:p>
        </w:tc>
        <w:tc>
          <w:tcPr>
            <w:tcW w:w="567" w:type="dxa"/>
            <w:tcBorders>
              <w:right w:val="nil"/>
            </w:tcBorders>
          </w:tcPr>
          <w:p w:rsidR="00B43C57" w:rsidRPr="00F5723F" w:rsidRDefault="00B43C57">
            <w:pPr>
              <w:pStyle w:val="Tabelltextsiffror"/>
            </w:pPr>
            <w:r w:rsidRPr="00F5723F">
              <w:t>+15</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samhällsutvecklingen</w:t>
            </w:r>
          </w:p>
        </w:tc>
        <w:tc>
          <w:tcPr>
            <w:tcW w:w="397" w:type="dxa"/>
          </w:tcPr>
          <w:p w:rsidR="00B43C57" w:rsidRPr="00F5723F" w:rsidRDefault="00B43C57">
            <w:pPr>
              <w:pStyle w:val="Tabelltext"/>
            </w:pPr>
            <w:r w:rsidRPr="00F5723F">
              <w:t>rd</w:t>
            </w:r>
          </w:p>
        </w:tc>
        <w:tc>
          <w:tcPr>
            <w:tcW w:w="283" w:type="dxa"/>
          </w:tcPr>
          <w:p w:rsidR="00B43C57" w:rsidRPr="00F5723F" w:rsidRDefault="00B43C57">
            <w:pPr>
              <w:pStyle w:val="Tabelltextsiffror"/>
            </w:pPr>
            <w:r w:rsidRPr="00F5723F">
              <w:t>44</w:t>
            </w:r>
          </w:p>
        </w:tc>
        <w:tc>
          <w:tcPr>
            <w:tcW w:w="284" w:type="dxa"/>
          </w:tcPr>
          <w:p w:rsidR="00B43C57" w:rsidRPr="00F5723F" w:rsidRDefault="00B43C57">
            <w:pPr>
              <w:pStyle w:val="Tabelltextsiffror"/>
            </w:pPr>
            <w:r w:rsidRPr="00F5723F">
              <w:t>89</w:t>
            </w:r>
          </w:p>
        </w:tc>
        <w:tc>
          <w:tcPr>
            <w:tcW w:w="283" w:type="dxa"/>
          </w:tcPr>
          <w:p w:rsidR="00B43C57" w:rsidRPr="00F5723F" w:rsidRDefault="00B43C57">
            <w:pPr>
              <w:pStyle w:val="Tabelltextsiffror"/>
            </w:pPr>
            <w:r w:rsidRPr="00F5723F">
              <w:t>52</w:t>
            </w:r>
          </w:p>
        </w:tc>
        <w:tc>
          <w:tcPr>
            <w:tcW w:w="284" w:type="dxa"/>
          </w:tcPr>
          <w:p w:rsidR="00B43C57" w:rsidRPr="00F5723F" w:rsidRDefault="00B43C57">
            <w:pPr>
              <w:pStyle w:val="Tabelltextsiffror"/>
            </w:pPr>
            <w:r w:rsidRPr="00F5723F">
              <w:t>32</w:t>
            </w:r>
          </w:p>
        </w:tc>
        <w:tc>
          <w:tcPr>
            <w:tcW w:w="283" w:type="dxa"/>
          </w:tcPr>
          <w:p w:rsidR="00B43C57" w:rsidRPr="00F5723F" w:rsidRDefault="00B43C57">
            <w:pPr>
              <w:pStyle w:val="Tabelltextsiffror"/>
            </w:pPr>
            <w:r w:rsidRPr="00F5723F">
              <w:t>40</w:t>
            </w:r>
          </w:p>
        </w:tc>
        <w:tc>
          <w:tcPr>
            <w:tcW w:w="284" w:type="dxa"/>
          </w:tcPr>
          <w:p w:rsidR="00B43C57" w:rsidRPr="00F5723F" w:rsidRDefault="00B43C57">
            <w:pPr>
              <w:pStyle w:val="Tabelltextsiffror"/>
            </w:pPr>
            <w:r w:rsidRPr="00F5723F">
              <w:t>52</w:t>
            </w:r>
          </w:p>
        </w:tc>
        <w:tc>
          <w:tcPr>
            <w:tcW w:w="283" w:type="dxa"/>
          </w:tcPr>
          <w:p w:rsidR="00B43C57" w:rsidRPr="00F5723F" w:rsidRDefault="00B43C57">
            <w:pPr>
              <w:pStyle w:val="Tabelltextsiffror"/>
            </w:pPr>
            <w:r w:rsidRPr="00F5723F">
              <w:t>46</w:t>
            </w:r>
          </w:p>
        </w:tc>
        <w:tc>
          <w:tcPr>
            <w:tcW w:w="341" w:type="dxa"/>
            <w:tcBorders>
              <w:right w:val="nil"/>
            </w:tcBorders>
          </w:tcPr>
          <w:p w:rsidR="00B43C57" w:rsidRPr="00F5723F" w:rsidRDefault="00B43C57">
            <w:pPr>
              <w:pStyle w:val="Tabelltextsiffror"/>
            </w:pPr>
            <w:r w:rsidRPr="00F5723F">
              <w:t>62</w:t>
            </w:r>
          </w:p>
        </w:tc>
        <w:tc>
          <w:tcPr>
            <w:tcW w:w="510" w:type="dxa"/>
            <w:tcBorders>
              <w:right w:val="nil"/>
            </w:tcBorders>
          </w:tcPr>
          <w:p w:rsidR="00B43C57" w:rsidRPr="00F5723F" w:rsidRDefault="00B43C57">
            <w:pPr>
              <w:pStyle w:val="Tabelltextsiffror"/>
            </w:pPr>
            <w:r w:rsidRPr="00F5723F">
              <w:t>+46</w:t>
            </w:r>
          </w:p>
        </w:tc>
        <w:tc>
          <w:tcPr>
            <w:tcW w:w="567" w:type="dxa"/>
            <w:tcBorders>
              <w:right w:val="nil"/>
            </w:tcBorders>
          </w:tcPr>
          <w:p w:rsidR="00B43C57" w:rsidRPr="00F5723F" w:rsidRDefault="00B43C57">
            <w:pPr>
              <w:pStyle w:val="Tabelltextsiffror"/>
            </w:pPr>
            <w:r w:rsidRPr="00F5723F">
              <w:t>+61</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p>
        </w:tc>
        <w:tc>
          <w:tcPr>
            <w:tcW w:w="397" w:type="dxa"/>
          </w:tcPr>
          <w:p w:rsidR="00B43C57" w:rsidRPr="00F5723F" w:rsidRDefault="00B43C57">
            <w:pPr>
              <w:pStyle w:val="Tabelltext"/>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341" w:type="dxa"/>
            <w:tcBorders>
              <w:right w:val="nil"/>
            </w:tcBorders>
          </w:tcPr>
          <w:p w:rsidR="00B43C57" w:rsidRPr="00F5723F" w:rsidRDefault="00B43C57">
            <w:pPr>
              <w:pStyle w:val="Tabelltextsiffror"/>
            </w:pPr>
          </w:p>
        </w:tc>
        <w:tc>
          <w:tcPr>
            <w:tcW w:w="510" w:type="dxa"/>
            <w:tcBorders>
              <w:right w:val="nil"/>
            </w:tcBorders>
          </w:tcPr>
          <w:p w:rsidR="00B43C57" w:rsidRPr="00F5723F" w:rsidRDefault="00B43C57">
            <w:pPr>
              <w:pStyle w:val="Tabelltextsiffror"/>
            </w:pPr>
          </w:p>
        </w:tc>
        <w:tc>
          <w:tcPr>
            <w:tcW w:w="567" w:type="dxa"/>
            <w:tcBorders>
              <w:right w:val="nil"/>
            </w:tcBorders>
          </w:tcPr>
          <w:p w:rsidR="00B43C57" w:rsidRPr="00F5723F" w:rsidRDefault="00B43C57">
            <w:pPr>
              <w:pStyle w:val="Tabelltextsiffror"/>
            </w:pP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 xml:space="preserve">Övervaka regeringens </w:t>
            </w:r>
          </w:p>
        </w:tc>
        <w:tc>
          <w:tcPr>
            <w:tcW w:w="397" w:type="dxa"/>
          </w:tcPr>
          <w:p w:rsidR="00B43C57" w:rsidRPr="00F5723F" w:rsidRDefault="00B43C57">
            <w:pPr>
              <w:pStyle w:val="Tabelltext"/>
            </w:pPr>
            <w:r w:rsidRPr="00F5723F">
              <w:t>mb</w:t>
            </w:r>
          </w:p>
        </w:tc>
        <w:tc>
          <w:tcPr>
            <w:tcW w:w="283" w:type="dxa"/>
          </w:tcPr>
          <w:p w:rsidR="00B43C57" w:rsidRPr="00F5723F" w:rsidRDefault="00B43C57">
            <w:pPr>
              <w:pStyle w:val="Tabelltextsiffror"/>
            </w:pPr>
            <w:r w:rsidRPr="00F5723F">
              <w:t>32</w:t>
            </w:r>
          </w:p>
        </w:tc>
        <w:tc>
          <w:tcPr>
            <w:tcW w:w="284" w:type="dxa"/>
          </w:tcPr>
          <w:p w:rsidR="00B43C57" w:rsidRPr="00F5723F" w:rsidRDefault="00B43C57">
            <w:pPr>
              <w:pStyle w:val="Tabelltextsiffror"/>
            </w:pPr>
            <w:r w:rsidRPr="00F5723F">
              <w:t>33</w:t>
            </w:r>
          </w:p>
        </w:tc>
        <w:tc>
          <w:tcPr>
            <w:tcW w:w="283" w:type="dxa"/>
          </w:tcPr>
          <w:p w:rsidR="00B43C57" w:rsidRPr="00F5723F" w:rsidRDefault="00B43C57">
            <w:pPr>
              <w:pStyle w:val="Tabelltextsiffror"/>
            </w:pPr>
            <w:r w:rsidRPr="00F5723F">
              <w:t>27</w:t>
            </w:r>
          </w:p>
        </w:tc>
        <w:tc>
          <w:tcPr>
            <w:tcW w:w="284" w:type="dxa"/>
          </w:tcPr>
          <w:p w:rsidR="00B43C57" w:rsidRPr="00F5723F" w:rsidRDefault="00B43C57">
            <w:pPr>
              <w:pStyle w:val="Tabelltextsiffror"/>
            </w:pPr>
            <w:r w:rsidRPr="00F5723F">
              <w:t>28</w:t>
            </w:r>
          </w:p>
        </w:tc>
        <w:tc>
          <w:tcPr>
            <w:tcW w:w="283" w:type="dxa"/>
          </w:tcPr>
          <w:p w:rsidR="00B43C57" w:rsidRPr="00F5723F" w:rsidRDefault="00B43C57">
            <w:pPr>
              <w:pStyle w:val="Tabelltextsiffror"/>
            </w:pPr>
            <w:r w:rsidRPr="00F5723F">
              <w:t>20</w:t>
            </w:r>
          </w:p>
        </w:tc>
        <w:tc>
          <w:tcPr>
            <w:tcW w:w="284" w:type="dxa"/>
          </w:tcPr>
          <w:p w:rsidR="00B43C57" w:rsidRPr="00F5723F" w:rsidRDefault="00B43C57">
            <w:pPr>
              <w:pStyle w:val="Tabelltextsiffror"/>
            </w:pPr>
            <w:r w:rsidRPr="00F5723F">
              <w:t>21</w:t>
            </w:r>
          </w:p>
        </w:tc>
        <w:tc>
          <w:tcPr>
            <w:tcW w:w="283" w:type="dxa"/>
          </w:tcPr>
          <w:p w:rsidR="00B43C57" w:rsidRPr="00F5723F" w:rsidRDefault="00B43C57">
            <w:pPr>
              <w:pStyle w:val="Tabelltextsiffror"/>
            </w:pPr>
            <w:r w:rsidRPr="00F5723F">
              <w:t>29</w:t>
            </w:r>
          </w:p>
        </w:tc>
        <w:tc>
          <w:tcPr>
            <w:tcW w:w="341" w:type="dxa"/>
            <w:tcBorders>
              <w:right w:val="nil"/>
            </w:tcBorders>
          </w:tcPr>
          <w:p w:rsidR="00B43C57" w:rsidRPr="00F5723F" w:rsidRDefault="00B43C57">
            <w:pPr>
              <w:pStyle w:val="Tabelltextsiffror"/>
            </w:pPr>
            <w:r w:rsidRPr="00F5723F">
              <w:t>28</w:t>
            </w:r>
          </w:p>
        </w:tc>
        <w:tc>
          <w:tcPr>
            <w:tcW w:w="510" w:type="dxa"/>
            <w:tcBorders>
              <w:right w:val="nil"/>
            </w:tcBorders>
          </w:tcPr>
          <w:p w:rsidR="00B43C57" w:rsidRPr="00F5723F" w:rsidRDefault="00B43C57">
            <w:pPr>
              <w:pStyle w:val="Tabelltextsiffror"/>
            </w:pPr>
            <w:r w:rsidRPr="00F5723F">
              <w:t>+12</w:t>
            </w:r>
          </w:p>
        </w:tc>
        <w:tc>
          <w:tcPr>
            <w:tcW w:w="567" w:type="dxa"/>
            <w:tcBorders>
              <w:right w:val="nil"/>
            </w:tcBorders>
          </w:tcPr>
          <w:p w:rsidR="00B43C57" w:rsidRPr="00F5723F" w:rsidRDefault="00B43C57">
            <w:pPr>
              <w:pStyle w:val="Tabelltextsiffror"/>
            </w:pPr>
            <w:r w:rsidRPr="00F5723F">
              <w:t>+8</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arbete</w:t>
            </w:r>
          </w:p>
        </w:tc>
        <w:tc>
          <w:tcPr>
            <w:tcW w:w="397" w:type="dxa"/>
          </w:tcPr>
          <w:p w:rsidR="00B43C57" w:rsidRPr="00F5723F" w:rsidRDefault="00B43C57">
            <w:pPr>
              <w:pStyle w:val="Tabelltext"/>
            </w:pPr>
            <w:r w:rsidRPr="00F5723F">
              <w:t>rd</w:t>
            </w:r>
          </w:p>
        </w:tc>
        <w:tc>
          <w:tcPr>
            <w:tcW w:w="283" w:type="dxa"/>
          </w:tcPr>
          <w:p w:rsidR="00B43C57" w:rsidRPr="00F5723F" w:rsidRDefault="00B43C57">
            <w:pPr>
              <w:pStyle w:val="Tabelltextsiffror"/>
            </w:pPr>
            <w:r w:rsidRPr="00F5723F">
              <w:t>48</w:t>
            </w:r>
          </w:p>
        </w:tc>
        <w:tc>
          <w:tcPr>
            <w:tcW w:w="284" w:type="dxa"/>
          </w:tcPr>
          <w:p w:rsidR="00B43C57" w:rsidRPr="00F5723F" w:rsidRDefault="00B43C57">
            <w:pPr>
              <w:pStyle w:val="Tabelltextsiffror"/>
            </w:pPr>
            <w:r w:rsidRPr="00F5723F">
              <w:t>81</w:t>
            </w:r>
          </w:p>
        </w:tc>
        <w:tc>
          <w:tcPr>
            <w:tcW w:w="283" w:type="dxa"/>
          </w:tcPr>
          <w:p w:rsidR="00B43C57" w:rsidRPr="00F5723F" w:rsidRDefault="00B43C57">
            <w:pPr>
              <w:pStyle w:val="Tabelltextsiffror"/>
            </w:pPr>
            <w:r w:rsidRPr="00F5723F">
              <w:t>62</w:t>
            </w:r>
          </w:p>
        </w:tc>
        <w:tc>
          <w:tcPr>
            <w:tcW w:w="284" w:type="dxa"/>
          </w:tcPr>
          <w:p w:rsidR="00B43C57" w:rsidRPr="00F5723F" w:rsidRDefault="00B43C57">
            <w:pPr>
              <w:pStyle w:val="Tabelltextsiffror"/>
            </w:pPr>
            <w:r w:rsidRPr="00F5723F">
              <w:t>54</w:t>
            </w:r>
          </w:p>
        </w:tc>
        <w:tc>
          <w:tcPr>
            <w:tcW w:w="283" w:type="dxa"/>
          </w:tcPr>
          <w:p w:rsidR="00B43C57" w:rsidRPr="00F5723F" w:rsidRDefault="00B43C57">
            <w:pPr>
              <w:pStyle w:val="Tabelltextsiffror"/>
            </w:pPr>
            <w:r w:rsidRPr="00F5723F">
              <w:t>54</w:t>
            </w:r>
          </w:p>
        </w:tc>
        <w:tc>
          <w:tcPr>
            <w:tcW w:w="284" w:type="dxa"/>
          </w:tcPr>
          <w:p w:rsidR="00B43C57" w:rsidRPr="00F5723F" w:rsidRDefault="00B43C57">
            <w:pPr>
              <w:pStyle w:val="Tabelltextsiffror"/>
            </w:pPr>
            <w:r w:rsidRPr="00F5723F">
              <w:t>65</w:t>
            </w:r>
          </w:p>
        </w:tc>
        <w:tc>
          <w:tcPr>
            <w:tcW w:w="283" w:type="dxa"/>
          </w:tcPr>
          <w:p w:rsidR="00B43C57" w:rsidRPr="00F5723F" w:rsidRDefault="00B43C57">
            <w:pPr>
              <w:pStyle w:val="Tabelltextsiffror"/>
            </w:pPr>
            <w:r w:rsidRPr="00F5723F">
              <w:t>39</w:t>
            </w:r>
          </w:p>
        </w:tc>
        <w:tc>
          <w:tcPr>
            <w:tcW w:w="341" w:type="dxa"/>
            <w:tcBorders>
              <w:right w:val="nil"/>
            </w:tcBorders>
          </w:tcPr>
          <w:p w:rsidR="00B43C57" w:rsidRPr="00F5723F" w:rsidRDefault="00B43C57">
            <w:pPr>
              <w:pStyle w:val="Tabelltextsiffror"/>
            </w:pPr>
            <w:r w:rsidRPr="00F5723F">
              <w:t>66</w:t>
            </w:r>
          </w:p>
        </w:tc>
        <w:tc>
          <w:tcPr>
            <w:tcW w:w="510" w:type="dxa"/>
            <w:tcBorders>
              <w:right w:val="nil"/>
            </w:tcBorders>
          </w:tcPr>
          <w:p w:rsidR="00B43C57" w:rsidRPr="00F5723F" w:rsidRDefault="00B43C57">
            <w:pPr>
              <w:pStyle w:val="Tabelltextsiffror"/>
            </w:pPr>
            <w:r w:rsidRPr="00F5723F">
              <w:t>+53</w:t>
            </w:r>
          </w:p>
        </w:tc>
        <w:tc>
          <w:tcPr>
            <w:tcW w:w="567" w:type="dxa"/>
            <w:tcBorders>
              <w:right w:val="nil"/>
            </w:tcBorders>
          </w:tcPr>
          <w:p w:rsidR="00B43C57" w:rsidRPr="00F5723F" w:rsidRDefault="00B43C57">
            <w:pPr>
              <w:pStyle w:val="Tabelltextsiffror"/>
            </w:pPr>
            <w:r w:rsidRPr="00F5723F">
              <w:t>+55</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p>
        </w:tc>
        <w:tc>
          <w:tcPr>
            <w:tcW w:w="397" w:type="dxa"/>
          </w:tcPr>
          <w:p w:rsidR="00B43C57" w:rsidRPr="00F5723F" w:rsidRDefault="00B43C57">
            <w:pPr>
              <w:pStyle w:val="Tabelltext"/>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341" w:type="dxa"/>
            <w:tcBorders>
              <w:right w:val="nil"/>
            </w:tcBorders>
          </w:tcPr>
          <w:p w:rsidR="00B43C57" w:rsidRPr="00F5723F" w:rsidRDefault="00B43C57">
            <w:pPr>
              <w:pStyle w:val="Tabelltextsiffror"/>
            </w:pPr>
          </w:p>
        </w:tc>
        <w:tc>
          <w:tcPr>
            <w:tcW w:w="510" w:type="dxa"/>
            <w:tcBorders>
              <w:right w:val="nil"/>
            </w:tcBorders>
          </w:tcPr>
          <w:p w:rsidR="00B43C57" w:rsidRPr="00F5723F" w:rsidRDefault="00B43C57">
            <w:pPr>
              <w:pStyle w:val="Tabelltextsiffror"/>
            </w:pPr>
          </w:p>
        </w:tc>
        <w:tc>
          <w:tcPr>
            <w:tcW w:w="567" w:type="dxa"/>
            <w:tcBorders>
              <w:right w:val="nil"/>
            </w:tcBorders>
          </w:tcPr>
          <w:p w:rsidR="00B43C57" w:rsidRPr="00F5723F" w:rsidRDefault="00B43C57">
            <w:pPr>
              <w:pStyle w:val="Tabelltextsiffror"/>
            </w:pP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 xml:space="preserve">Vara central </w:t>
            </w:r>
          </w:p>
        </w:tc>
        <w:tc>
          <w:tcPr>
            <w:tcW w:w="397" w:type="dxa"/>
          </w:tcPr>
          <w:p w:rsidR="00B43C57" w:rsidRPr="00F5723F" w:rsidRDefault="00B43C57">
            <w:pPr>
              <w:pStyle w:val="Tabelltext"/>
            </w:pPr>
            <w:r w:rsidRPr="00F5723F">
              <w:t>mb</w:t>
            </w:r>
          </w:p>
        </w:tc>
        <w:tc>
          <w:tcPr>
            <w:tcW w:w="283" w:type="dxa"/>
          </w:tcPr>
          <w:p w:rsidR="00B43C57" w:rsidRPr="00F5723F" w:rsidRDefault="00B43C57">
            <w:pPr>
              <w:pStyle w:val="Tabelltextsiffror"/>
            </w:pPr>
            <w:r w:rsidRPr="00F5723F">
              <w:t>28</w:t>
            </w:r>
          </w:p>
        </w:tc>
        <w:tc>
          <w:tcPr>
            <w:tcW w:w="284" w:type="dxa"/>
          </w:tcPr>
          <w:p w:rsidR="00B43C57" w:rsidRPr="00F5723F" w:rsidRDefault="00B43C57">
            <w:pPr>
              <w:pStyle w:val="Tabelltextsiffror"/>
            </w:pPr>
            <w:r w:rsidRPr="00F5723F">
              <w:t>31</w:t>
            </w:r>
          </w:p>
        </w:tc>
        <w:tc>
          <w:tcPr>
            <w:tcW w:w="283" w:type="dxa"/>
          </w:tcPr>
          <w:p w:rsidR="00B43C57" w:rsidRPr="00F5723F" w:rsidRDefault="00B43C57">
            <w:pPr>
              <w:pStyle w:val="Tabelltextsiffror"/>
            </w:pPr>
            <w:r w:rsidRPr="00F5723F">
              <w:t>24</w:t>
            </w:r>
          </w:p>
        </w:tc>
        <w:tc>
          <w:tcPr>
            <w:tcW w:w="284" w:type="dxa"/>
          </w:tcPr>
          <w:p w:rsidR="00B43C57" w:rsidRPr="00F5723F" w:rsidRDefault="00B43C57">
            <w:pPr>
              <w:pStyle w:val="Tabelltextsiffror"/>
            </w:pPr>
            <w:r w:rsidRPr="00F5723F">
              <w:t>33</w:t>
            </w:r>
          </w:p>
        </w:tc>
        <w:tc>
          <w:tcPr>
            <w:tcW w:w="283" w:type="dxa"/>
          </w:tcPr>
          <w:p w:rsidR="00B43C57" w:rsidRPr="00F5723F" w:rsidRDefault="00B43C57">
            <w:pPr>
              <w:pStyle w:val="Tabelltextsiffror"/>
            </w:pPr>
            <w:r w:rsidRPr="00F5723F">
              <w:t>31</w:t>
            </w:r>
          </w:p>
        </w:tc>
        <w:tc>
          <w:tcPr>
            <w:tcW w:w="284" w:type="dxa"/>
          </w:tcPr>
          <w:p w:rsidR="00B43C57" w:rsidRPr="00F5723F" w:rsidRDefault="00B43C57">
            <w:pPr>
              <w:pStyle w:val="Tabelltextsiffror"/>
            </w:pPr>
            <w:r w:rsidRPr="00F5723F">
              <w:t>27</w:t>
            </w:r>
          </w:p>
        </w:tc>
        <w:tc>
          <w:tcPr>
            <w:tcW w:w="283" w:type="dxa"/>
          </w:tcPr>
          <w:p w:rsidR="00B43C57" w:rsidRPr="00F5723F" w:rsidRDefault="00B43C57">
            <w:pPr>
              <w:pStyle w:val="Tabelltextsiffror"/>
            </w:pPr>
            <w:r w:rsidRPr="00F5723F">
              <w:t>23</w:t>
            </w:r>
          </w:p>
        </w:tc>
        <w:tc>
          <w:tcPr>
            <w:tcW w:w="341" w:type="dxa"/>
            <w:tcBorders>
              <w:right w:val="nil"/>
            </w:tcBorders>
          </w:tcPr>
          <w:p w:rsidR="00B43C57" w:rsidRPr="00F5723F" w:rsidRDefault="00B43C57">
            <w:pPr>
              <w:pStyle w:val="Tabelltextsiffror"/>
            </w:pPr>
            <w:r w:rsidRPr="00F5723F">
              <w:t>29</w:t>
            </w:r>
          </w:p>
        </w:tc>
        <w:tc>
          <w:tcPr>
            <w:tcW w:w="510" w:type="dxa"/>
            <w:tcBorders>
              <w:right w:val="nil"/>
            </w:tcBorders>
          </w:tcPr>
          <w:p w:rsidR="00B43C57" w:rsidRPr="00F5723F" w:rsidRDefault="00B43C57">
            <w:pPr>
              <w:pStyle w:val="Tabelltextsiffror"/>
            </w:pPr>
            <w:r w:rsidRPr="00F5723F">
              <w:t>+12</w:t>
            </w:r>
          </w:p>
        </w:tc>
        <w:tc>
          <w:tcPr>
            <w:tcW w:w="567" w:type="dxa"/>
            <w:tcBorders>
              <w:right w:val="nil"/>
            </w:tcBorders>
          </w:tcPr>
          <w:p w:rsidR="00B43C57" w:rsidRPr="00F5723F" w:rsidRDefault="00B43C57">
            <w:pPr>
              <w:pStyle w:val="Tabelltextsiffror"/>
            </w:pPr>
            <w:r w:rsidRPr="00F5723F">
              <w:t>+8</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debattarena</w:t>
            </w:r>
          </w:p>
        </w:tc>
        <w:tc>
          <w:tcPr>
            <w:tcW w:w="397" w:type="dxa"/>
          </w:tcPr>
          <w:p w:rsidR="00B43C57" w:rsidRPr="00F5723F" w:rsidRDefault="00B43C57">
            <w:pPr>
              <w:pStyle w:val="Tabelltext"/>
            </w:pPr>
            <w:r w:rsidRPr="00F5723F">
              <w:t>rd</w:t>
            </w:r>
          </w:p>
        </w:tc>
        <w:tc>
          <w:tcPr>
            <w:tcW w:w="283" w:type="dxa"/>
          </w:tcPr>
          <w:p w:rsidR="00B43C57" w:rsidRPr="00F5723F" w:rsidRDefault="00B43C57">
            <w:pPr>
              <w:pStyle w:val="Tabelltextsiffror"/>
            </w:pPr>
            <w:r w:rsidRPr="00F5723F">
              <w:t>19</w:t>
            </w:r>
          </w:p>
        </w:tc>
        <w:tc>
          <w:tcPr>
            <w:tcW w:w="284" w:type="dxa"/>
          </w:tcPr>
          <w:p w:rsidR="00B43C57" w:rsidRPr="00F5723F" w:rsidRDefault="00B43C57">
            <w:pPr>
              <w:pStyle w:val="Tabelltextsiffror"/>
            </w:pPr>
            <w:r w:rsidRPr="00F5723F">
              <w:t>45</w:t>
            </w:r>
          </w:p>
        </w:tc>
        <w:tc>
          <w:tcPr>
            <w:tcW w:w="283" w:type="dxa"/>
          </w:tcPr>
          <w:p w:rsidR="00B43C57" w:rsidRPr="00F5723F" w:rsidRDefault="00B43C57">
            <w:pPr>
              <w:pStyle w:val="Tabelltextsiffror"/>
            </w:pPr>
            <w:r w:rsidRPr="00F5723F">
              <w:t>38</w:t>
            </w:r>
          </w:p>
        </w:tc>
        <w:tc>
          <w:tcPr>
            <w:tcW w:w="284" w:type="dxa"/>
          </w:tcPr>
          <w:p w:rsidR="00B43C57" w:rsidRPr="00F5723F" w:rsidRDefault="00B43C57">
            <w:pPr>
              <w:pStyle w:val="Tabelltextsiffror"/>
            </w:pPr>
            <w:r w:rsidRPr="00F5723F">
              <w:t>15</w:t>
            </w:r>
          </w:p>
        </w:tc>
        <w:tc>
          <w:tcPr>
            <w:tcW w:w="283" w:type="dxa"/>
          </w:tcPr>
          <w:p w:rsidR="00B43C57" w:rsidRPr="00F5723F" w:rsidRDefault="00B43C57">
            <w:pPr>
              <w:pStyle w:val="Tabelltextsiffror"/>
            </w:pPr>
            <w:r w:rsidRPr="00F5723F">
              <w:t>13</w:t>
            </w:r>
          </w:p>
        </w:tc>
        <w:tc>
          <w:tcPr>
            <w:tcW w:w="284" w:type="dxa"/>
          </w:tcPr>
          <w:p w:rsidR="00B43C57" w:rsidRPr="00F5723F" w:rsidRDefault="00B43C57">
            <w:pPr>
              <w:pStyle w:val="Tabelltextsiffror"/>
            </w:pPr>
            <w:r w:rsidRPr="00F5723F">
              <w:t>19</w:t>
            </w:r>
          </w:p>
        </w:tc>
        <w:tc>
          <w:tcPr>
            <w:tcW w:w="283" w:type="dxa"/>
          </w:tcPr>
          <w:p w:rsidR="00B43C57" w:rsidRPr="00F5723F" w:rsidRDefault="00B43C57">
            <w:pPr>
              <w:pStyle w:val="Tabelltextsiffror"/>
            </w:pPr>
            <w:r w:rsidRPr="00F5723F">
              <w:t>31</w:t>
            </w:r>
          </w:p>
        </w:tc>
        <w:tc>
          <w:tcPr>
            <w:tcW w:w="341" w:type="dxa"/>
            <w:tcBorders>
              <w:right w:val="nil"/>
            </w:tcBorders>
          </w:tcPr>
          <w:p w:rsidR="00B43C57" w:rsidRPr="00F5723F" w:rsidRDefault="00B43C57">
            <w:pPr>
              <w:pStyle w:val="Tabelltextsiffror"/>
            </w:pPr>
            <w:r w:rsidRPr="00F5723F">
              <w:t>30</w:t>
            </w:r>
          </w:p>
        </w:tc>
        <w:tc>
          <w:tcPr>
            <w:tcW w:w="510" w:type="dxa"/>
            <w:tcBorders>
              <w:right w:val="nil"/>
            </w:tcBorders>
          </w:tcPr>
          <w:p w:rsidR="00B43C57" w:rsidRPr="00F5723F" w:rsidRDefault="00B43C57">
            <w:pPr>
              <w:pStyle w:val="Tabelltextsiffror"/>
            </w:pPr>
            <w:r w:rsidRPr="00F5723F">
              <w:t>–9</w:t>
            </w:r>
          </w:p>
        </w:tc>
        <w:tc>
          <w:tcPr>
            <w:tcW w:w="567" w:type="dxa"/>
            <w:tcBorders>
              <w:right w:val="nil"/>
            </w:tcBorders>
          </w:tcPr>
          <w:p w:rsidR="00B43C57" w:rsidRPr="00F5723F" w:rsidRDefault="00B43C57">
            <w:pPr>
              <w:pStyle w:val="Tabelltextsiffror"/>
            </w:pPr>
            <w:r w:rsidRPr="00F5723F">
              <w:t>+8</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p>
        </w:tc>
        <w:tc>
          <w:tcPr>
            <w:tcW w:w="397" w:type="dxa"/>
          </w:tcPr>
          <w:p w:rsidR="00B43C57" w:rsidRPr="00F5723F" w:rsidRDefault="00B43C57">
            <w:pPr>
              <w:pStyle w:val="Tabelltext"/>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341" w:type="dxa"/>
            <w:tcBorders>
              <w:right w:val="nil"/>
            </w:tcBorders>
          </w:tcPr>
          <w:p w:rsidR="00B43C57" w:rsidRPr="00F5723F" w:rsidRDefault="00B43C57">
            <w:pPr>
              <w:pStyle w:val="Tabelltextsiffror"/>
            </w:pPr>
          </w:p>
        </w:tc>
        <w:tc>
          <w:tcPr>
            <w:tcW w:w="510" w:type="dxa"/>
            <w:tcBorders>
              <w:right w:val="nil"/>
            </w:tcBorders>
          </w:tcPr>
          <w:p w:rsidR="00B43C57" w:rsidRPr="00F5723F" w:rsidRDefault="00B43C57">
            <w:pPr>
              <w:pStyle w:val="Tabelltextsiffror"/>
            </w:pPr>
          </w:p>
        </w:tc>
        <w:tc>
          <w:tcPr>
            <w:tcW w:w="567" w:type="dxa"/>
            <w:tcBorders>
              <w:right w:val="nil"/>
            </w:tcBorders>
          </w:tcPr>
          <w:p w:rsidR="00B43C57" w:rsidRPr="00F5723F" w:rsidRDefault="00B43C57">
            <w:pPr>
              <w:pStyle w:val="Tabelltextsiffror"/>
            </w:pP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Förutse framtida problem</w:t>
            </w:r>
          </w:p>
        </w:tc>
        <w:tc>
          <w:tcPr>
            <w:tcW w:w="397" w:type="dxa"/>
          </w:tcPr>
          <w:p w:rsidR="00B43C57" w:rsidRPr="00F5723F" w:rsidRDefault="00B43C57">
            <w:pPr>
              <w:pStyle w:val="Tabelltext"/>
            </w:pPr>
            <w:r w:rsidRPr="00F5723F">
              <w:t>mb</w:t>
            </w:r>
          </w:p>
        </w:tc>
        <w:tc>
          <w:tcPr>
            <w:tcW w:w="283" w:type="dxa"/>
          </w:tcPr>
          <w:p w:rsidR="00B43C57" w:rsidRPr="00F5723F" w:rsidRDefault="00B43C57">
            <w:pPr>
              <w:pStyle w:val="Tabelltextsiffror"/>
            </w:pPr>
            <w:r w:rsidRPr="00F5723F">
              <w:t>8</w:t>
            </w:r>
          </w:p>
        </w:tc>
        <w:tc>
          <w:tcPr>
            <w:tcW w:w="284" w:type="dxa"/>
          </w:tcPr>
          <w:p w:rsidR="00B43C57" w:rsidRPr="00F5723F" w:rsidRDefault="00B43C57">
            <w:pPr>
              <w:pStyle w:val="Tabelltextsiffror"/>
            </w:pPr>
            <w:r w:rsidRPr="00F5723F">
              <w:t>16</w:t>
            </w:r>
          </w:p>
        </w:tc>
        <w:tc>
          <w:tcPr>
            <w:tcW w:w="283" w:type="dxa"/>
          </w:tcPr>
          <w:p w:rsidR="00B43C57" w:rsidRPr="00F5723F" w:rsidRDefault="00B43C57">
            <w:pPr>
              <w:pStyle w:val="Tabelltextsiffror"/>
            </w:pPr>
            <w:r w:rsidRPr="00F5723F">
              <w:t>6</w:t>
            </w:r>
          </w:p>
        </w:tc>
        <w:tc>
          <w:tcPr>
            <w:tcW w:w="284" w:type="dxa"/>
          </w:tcPr>
          <w:p w:rsidR="00B43C57" w:rsidRPr="00F5723F" w:rsidRDefault="00B43C57">
            <w:pPr>
              <w:pStyle w:val="Tabelltextsiffror"/>
            </w:pPr>
            <w:r w:rsidRPr="00F5723F">
              <w:t>4</w:t>
            </w:r>
          </w:p>
        </w:tc>
        <w:tc>
          <w:tcPr>
            <w:tcW w:w="283" w:type="dxa"/>
          </w:tcPr>
          <w:p w:rsidR="00B43C57" w:rsidRPr="00F5723F" w:rsidRDefault="00B43C57">
            <w:pPr>
              <w:pStyle w:val="Tabelltextsiffror"/>
            </w:pPr>
            <w:r w:rsidRPr="00F5723F">
              <w:t>7</w:t>
            </w:r>
          </w:p>
        </w:tc>
        <w:tc>
          <w:tcPr>
            <w:tcW w:w="284" w:type="dxa"/>
          </w:tcPr>
          <w:p w:rsidR="00B43C57" w:rsidRPr="00F5723F" w:rsidRDefault="00B43C57">
            <w:pPr>
              <w:pStyle w:val="Tabelltextsiffror"/>
            </w:pPr>
            <w:r w:rsidRPr="00F5723F">
              <w:t>9</w:t>
            </w:r>
          </w:p>
        </w:tc>
        <w:tc>
          <w:tcPr>
            <w:tcW w:w="283" w:type="dxa"/>
          </w:tcPr>
          <w:p w:rsidR="00B43C57" w:rsidRPr="00F5723F" w:rsidRDefault="00B43C57">
            <w:pPr>
              <w:pStyle w:val="Tabelltextsiffror"/>
            </w:pPr>
            <w:r w:rsidRPr="00F5723F">
              <w:t>11</w:t>
            </w:r>
          </w:p>
        </w:tc>
        <w:tc>
          <w:tcPr>
            <w:tcW w:w="341" w:type="dxa"/>
            <w:tcBorders>
              <w:right w:val="nil"/>
            </w:tcBorders>
          </w:tcPr>
          <w:p w:rsidR="00B43C57" w:rsidRPr="00F5723F" w:rsidRDefault="00B43C57">
            <w:pPr>
              <w:pStyle w:val="Tabelltextsiffror"/>
            </w:pPr>
            <w:r w:rsidRPr="00F5723F">
              <w:t>10</w:t>
            </w:r>
          </w:p>
        </w:tc>
        <w:tc>
          <w:tcPr>
            <w:tcW w:w="510" w:type="dxa"/>
            <w:tcBorders>
              <w:right w:val="nil"/>
            </w:tcBorders>
          </w:tcPr>
          <w:p w:rsidR="00B43C57" w:rsidRPr="00F5723F" w:rsidRDefault="00B43C57">
            <w:pPr>
              <w:pStyle w:val="Tabelltextsiffror"/>
            </w:pPr>
            <w:r w:rsidRPr="00F5723F">
              <w:t>–38</w:t>
            </w:r>
          </w:p>
        </w:tc>
        <w:tc>
          <w:tcPr>
            <w:tcW w:w="567" w:type="dxa"/>
            <w:tcBorders>
              <w:right w:val="nil"/>
            </w:tcBorders>
          </w:tcPr>
          <w:p w:rsidR="00B43C57" w:rsidRPr="00F5723F" w:rsidRDefault="00B43C57">
            <w:pPr>
              <w:pStyle w:val="Tabelltextsiffror"/>
            </w:pPr>
            <w:r w:rsidRPr="00F5723F">
              <w:t>–46</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innan de blir akuta</w:t>
            </w:r>
          </w:p>
        </w:tc>
        <w:tc>
          <w:tcPr>
            <w:tcW w:w="397" w:type="dxa"/>
          </w:tcPr>
          <w:p w:rsidR="00B43C57" w:rsidRPr="00F5723F" w:rsidRDefault="00B43C57">
            <w:pPr>
              <w:pStyle w:val="Tabelltext"/>
            </w:pPr>
            <w:r w:rsidRPr="00F5723F">
              <w:t>rd</w:t>
            </w:r>
          </w:p>
        </w:tc>
        <w:tc>
          <w:tcPr>
            <w:tcW w:w="283" w:type="dxa"/>
          </w:tcPr>
          <w:p w:rsidR="00B43C57" w:rsidRPr="00F5723F" w:rsidRDefault="00B43C57">
            <w:pPr>
              <w:pStyle w:val="Tabelltextsiffror"/>
            </w:pPr>
            <w:r w:rsidRPr="00F5723F">
              <w:t>0</w:t>
            </w:r>
          </w:p>
        </w:tc>
        <w:tc>
          <w:tcPr>
            <w:tcW w:w="284" w:type="dxa"/>
          </w:tcPr>
          <w:p w:rsidR="00B43C57" w:rsidRPr="00F5723F" w:rsidRDefault="00B43C57">
            <w:pPr>
              <w:pStyle w:val="Tabelltextsiffror"/>
            </w:pPr>
            <w:r w:rsidRPr="00F5723F">
              <w:t>35</w:t>
            </w:r>
          </w:p>
        </w:tc>
        <w:tc>
          <w:tcPr>
            <w:tcW w:w="283" w:type="dxa"/>
          </w:tcPr>
          <w:p w:rsidR="00B43C57" w:rsidRPr="00F5723F" w:rsidRDefault="00B43C57">
            <w:pPr>
              <w:pStyle w:val="Tabelltextsiffror"/>
            </w:pPr>
            <w:r w:rsidRPr="00F5723F">
              <w:t>10</w:t>
            </w:r>
          </w:p>
        </w:tc>
        <w:tc>
          <w:tcPr>
            <w:tcW w:w="284" w:type="dxa"/>
          </w:tcPr>
          <w:p w:rsidR="00B43C57" w:rsidRPr="00F5723F" w:rsidRDefault="00B43C57">
            <w:pPr>
              <w:pStyle w:val="Tabelltextsiffror"/>
            </w:pPr>
            <w:r w:rsidRPr="00F5723F">
              <w:t>8</w:t>
            </w:r>
          </w:p>
        </w:tc>
        <w:tc>
          <w:tcPr>
            <w:tcW w:w="283" w:type="dxa"/>
          </w:tcPr>
          <w:p w:rsidR="00B43C57" w:rsidRPr="00F5723F" w:rsidRDefault="00B43C57">
            <w:pPr>
              <w:pStyle w:val="Tabelltextsiffror"/>
            </w:pPr>
            <w:r w:rsidRPr="00F5723F">
              <w:t>13</w:t>
            </w:r>
          </w:p>
        </w:tc>
        <w:tc>
          <w:tcPr>
            <w:tcW w:w="284" w:type="dxa"/>
          </w:tcPr>
          <w:p w:rsidR="00B43C57" w:rsidRPr="00F5723F" w:rsidRDefault="00B43C57">
            <w:pPr>
              <w:pStyle w:val="Tabelltextsiffror"/>
            </w:pPr>
            <w:r w:rsidRPr="00F5723F">
              <w:t>13</w:t>
            </w:r>
          </w:p>
        </w:tc>
        <w:tc>
          <w:tcPr>
            <w:tcW w:w="283" w:type="dxa"/>
          </w:tcPr>
          <w:p w:rsidR="00B43C57" w:rsidRPr="00F5723F" w:rsidRDefault="00B43C57">
            <w:pPr>
              <w:pStyle w:val="Tabelltextsiffror"/>
            </w:pPr>
            <w:r w:rsidRPr="00F5723F">
              <w:t>15</w:t>
            </w:r>
          </w:p>
        </w:tc>
        <w:tc>
          <w:tcPr>
            <w:tcW w:w="341" w:type="dxa"/>
            <w:tcBorders>
              <w:right w:val="nil"/>
            </w:tcBorders>
          </w:tcPr>
          <w:p w:rsidR="00B43C57" w:rsidRPr="00F5723F" w:rsidRDefault="00B43C57">
            <w:pPr>
              <w:pStyle w:val="Tabelltextsiffror"/>
            </w:pPr>
            <w:r w:rsidRPr="00F5723F">
              <w:t>20</w:t>
            </w:r>
          </w:p>
        </w:tc>
        <w:tc>
          <w:tcPr>
            <w:tcW w:w="510" w:type="dxa"/>
            <w:tcBorders>
              <w:right w:val="nil"/>
            </w:tcBorders>
          </w:tcPr>
          <w:p w:rsidR="00B43C57" w:rsidRPr="00F5723F" w:rsidRDefault="00B43C57">
            <w:pPr>
              <w:pStyle w:val="Tabelltextsiffror"/>
            </w:pPr>
            <w:r w:rsidRPr="00F5723F">
              <w:t>–22</w:t>
            </w:r>
          </w:p>
        </w:tc>
        <w:tc>
          <w:tcPr>
            <w:tcW w:w="567" w:type="dxa"/>
            <w:tcBorders>
              <w:right w:val="nil"/>
            </w:tcBorders>
          </w:tcPr>
          <w:p w:rsidR="00B43C57" w:rsidRPr="00F5723F" w:rsidRDefault="00B43C57">
            <w:pPr>
              <w:pStyle w:val="Tabelltextsiffror"/>
            </w:pPr>
            <w:r w:rsidRPr="00F5723F">
              <w:t>–35</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p>
        </w:tc>
        <w:tc>
          <w:tcPr>
            <w:tcW w:w="397" w:type="dxa"/>
          </w:tcPr>
          <w:p w:rsidR="00B43C57" w:rsidRPr="00F5723F" w:rsidRDefault="00B43C57">
            <w:pPr>
              <w:pStyle w:val="Tabelltext"/>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341" w:type="dxa"/>
            <w:tcBorders>
              <w:right w:val="nil"/>
            </w:tcBorders>
          </w:tcPr>
          <w:p w:rsidR="00B43C57" w:rsidRPr="00F5723F" w:rsidRDefault="00B43C57">
            <w:pPr>
              <w:pStyle w:val="Tabelltextsiffror"/>
            </w:pPr>
          </w:p>
        </w:tc>
        <w:tc>
          <w:tcPr>
            <w:tcW w:w="510" w:type="dxa"/>
            <w:tcBorders>
              <w:right w:val="nil"/>
            </w:tcBorders>
          </w:tcPr>
          <w:p w:rsidR="00B43C57" w:rsidRPr="00F5723F" w:rsidRDefault="00B43C57">
            <w:pPr>
              <w:pStyle w:val="Tabelltextsiffror"/>
            </w:pPr>
          </w:p>
        </w:tc>
        <w:tc>
          <w:tcPr>
            <w:tcW w:w="567" w:type="dxa"/>
            <w:tcBorders>
              <w:right w:val="nil"/>
            </w:tcBorders>
          </w:tcPr>
          <w:p w:rsidR="00B43C57" w:rsidRPr="00F5723F" w:rsidRDefault="00B43C57">
            <w:pPr>
              <w:pStyle w:val="Tabelltextsiffror"/>
            </w:pP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 xml:space="preserve">Avspegla åsiktsför- </w:t>
            </w:r>
          </w:p>
        </w:tc>
        <w:tc>
          <w:tcPr>
            <w:tcW w:w="397" w:type="dxa"/>
          </w:tcPr>
          <w:p w:rsidR="00B43C57" w:rsidRPr="00F5723F" w:rsidRDefault="00B43C57">
            <w:pPr>
              <w:pStyle w:val="Tabelltext"/>
            </w:pPr>
            <w:r w:rsidRPr="00F5723F">
              <w:t>mb</w:t>
            </w:r>
          </w:p>
        </w:tc>
        <w:tc>
          <w:tcPr>
            <w:tcW w:w="283" w:type="dxa"/>
          </w:tcPr>
          <w:p w:rsidR="00B43C57" w:rsidRPr="00F5723F" w:rsidRDefault="00B43C57">
            <w:pPr>
              <w:pStyle w:val="Tabelltextsiffror"/>
            </w:pPr>
            <w:r w:rsidRPr="00F5723F">
              <w:t>17</w:t>
            </w:r>
          </w:p>
        </w:tc>
        <w:tc>
          <w:tcPr>
            <w:tcW w:w="284" w:type="dxa"/>
          </w:tcPr>
          <w:p w:rsidR="00B43C57" w:rsidRPr="00F5723F" w:rsidRDefault="00B43C57">
            <w:pPr>
              <w:pStyle w:val="Tabelltextsiffror"/>
            </w:pPr>
            <w:r w:rsidRPr="00F5723F">
              <w:t>22</w:t>
            </w:r>
          </w:p>
        </w:tc>
        <w:tc>
          <w:tcPr>
            <w:tcW w:w="283" w:type="dxa"/>
          </w:tcPr>
          <w:p w:rsidR="00B43C57" w:rsidRPr="00F5723F" w:rsidRDefault="00B43C57">
            <w:pPr>
              <w:pStyle w:val="Tabelltextsiffror"/>
            </w:pPr>
            <w:r w:rsidRPr="00F5723F">
              <w:t>17</w:t>
            </w:r>
          </w:p>
        </w:tc>
        <w:tc>
          <w:tcPr>
            <w:tcW w:w="284" w:type="dxa"/>
          </w:tcPr>
          <w:p w:rsidR="00B43C57" w:rsidRPr="00F5723F" w:rsidRDefault="00B43C57">
            <w:pPr>
              <w:pStyle w:val="Tabelltextsiffror"/>
            </w:pPr>
            <w:r w:rsidRPr="00F5723F">
              <w:t>21</w:t>
            </w:r>
          </w:p>
        </w:tc>
        <w:tc>
          <w:tcPr>
            <w:tcW w:w="283" w:type="dxa"/>
          </w:tcPr>
          <w:p w:rsidR="00B43C57" w:rsidRPr="00F5723F" w:rsidRDefault="00B43C57">
            <w:pPr>
              <w:pStyle w:val="Tabelltextsiffror"/>
            </w:pPr>
            <w:r w:rsidRPr="00F5723F">
              <w:t>15</w:t>
            </w:r>
          </w:p>
        </w:tc>
        <w:tc>
          <w:tcPr>
            <w:tcW w:w="284" w:type="dxa"/>
          </w:tcPr>
          <w:p w:rsidR="00B43C57" w:rsidRPr="00F5723F" w:rsidRDefault="00B43C57">
            <w:pPr>
              <w:pStyle w:val="Tabelltextsiffror"/>
            </w:pPr>
            <w:r w:rsidRPr="00F5723F">
              <w:t>21</w:t>
            </w:r>
          </w:p>
        </w:tc>
        <w:tc>
          <w:tcPr>
            <w:tcW w:w="283" w:type="dxa"/>
          </w:tcPr>
          <w:p w:rsidR="00B43C57" w:rsidRPr="00F5723F" w:rsidRDefault="00B43C57">
            <w:pPr>
              <w:pStyle w:val="Tabelltextsiffror"/>
            </w:pPr>
            <w:r w:rsidRPr="00F5723F">
              <w:t>19</w:t>
            </w:r>
          </w:p>
        </w:tc>
        <w:tc>
          <w:tcPr>
            <w:tcW w:w="341" w:type="dxa"/>
            <w:tcBorders>
              <w:right w:val="nil"/>
            </w:tcBorders>
          </w:tcPr>
          <w:p w:rsidR="00B43C57" w:rsidRPr="00F5723F" w:rsidRDefault="00B43C57">
            <w:pPr>
              <w:pStyle w:val="Tabelltextsiffror"/>
            </w:pPr>
            <w:r w:rsidRPr="00F5723F">
              <w:t>19</w:t>
            </w:r>
          </w:p>
        </w:tc>
        <w:tc>
          <w:tcPr>
            <w:tcW w:w="510" w:type="dxa"/>
            <w:tcBorders>
              <w:right w:val="nil"/>
            </w:tcBorders>
          </w:tcPr>
          <w:p w:rsidR="00B43C57" w:rsidRPr="00F5723F" w:rsidRDefault="00B43C57">
            <w:pPr>
              <w:pStyle w:val="Tabelltextsiffror"/>
            </w:pPr>
            <w:r w:rsidRPr="00F5723F">
              <w:t>–7</w:t>
            </w:r>
          </w:p>
        </w:tc>
        <w:tc>
          <w:tcPr>
            <w:tcW w:w="567" w:type="dxa"/>
            <w:tcBorders>
              <w:right w:val="nil"/>
            </w:tcBorders>
          </w:tcPr>
          <w:p w:rsidR="00B43C57" w:rsidRPr="00F5723F" w:rsidRDefault="00B43C57">
            <w:pPr>
              <w:pStyle w:val="Tabelltextsiffror"/>
            </w:pPr>
            <w:r w:rsidRPr="00F5723F">
              <w:t>–10</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delningen bland väljarna</w:t>
            </w:r>
          </w:p>
        </w:tc>
        <w:tc>
          <w:tcPr>
            <w:tcW w:w="397" w:type="dxa"/>
          </w:tcPr>
          <w:p w:rsidR="00B43C57" w:rsidRPr="00F5723F" w:rsidRDefault="00B43C57">
            <w:pPr>
              <w:pStyle w:val="Tabelltext"/>
            </w:pPr>
            <w:r w:rsidRPr="00F5723F">
              <w:t>rd</w:t>
            </w:r>
          </w:p>
        </w:tc>
        <w:tc>
          <w:tcPr>
            <w:tcW w:w="283" w:type="dxa"/>
          </w:tcPr>
          <w:p w:rsidR="00B43C57" w:rsidRPr="00F5723F" w:rsidRDefault="00B43C57">
            <w:pPr>
              <w:pStyle w:val="Tabelltextsiffror"/>
            </w:pPr>
            <w:r w:rsidRPr="00F5723F">
              <w:t>48</w:t>
            </w:r>
          </w:p>
        </w:tc>
        <w:tc>
          <w:tcPr>
            <w:tcW w:w="284" w:type="dxa"/>
          </w:tcPr>
          <w:p w:rsidR="00B43C57" w:rsidRPr="00F5723F" w:rsidRDefault="00B43C57">
            <w:pPr>
              <w:pStyle w:val="Tabelltextsiffror"/>
            </w:pPr>
            <w:r w:rsidRPr="00F5723F">
              <w:t>70</w:t>
            </w:r>
          </w:p>
        </w:tc>
        <w:tc>
          <w:tcPr>
            <w:tcW w:w="283" w:type="dxa"/>
          </w:tcPr>
          <w:p w:rsidR="00B43C57" w:rsidRPr="00F5723F" w:rsidRDefault="00B43C57">
            <w:pPr>
              <w:pStyle w:val="Tabelltextsiffror"/>
            </w:pPr>
            <w:r w:rsidRPr="00F5723F">
              <w:t>67</w:t>
            </w:r>
          </w:p>
        </w:tc>
        <w:tc>
          <w:tcPr>
            <w:tcW w:w="284" w:type="dxa"/>
          </w:tcPr>
          <w:p w:rsidR="00B43C57" w:rsidRPr="00F5723F" w:rsidRDefault="00B43C57">
            <w:pPr>
              <w:pStyle w:val="Tabelltextsiffror"/>
            </w:pPr>
            <w:r w:rsidRPr="00F5723F">
              <w:t>54</w:t>
            </w:r>
          </w:p>
        </w:tc>
        <w:tc>
          <w:tcPr>
            <w:tcW w:w="283" w:type="dxa"/>
          </w:tcPr>
          <w:p w:rsidR="00B43C57" w:rsidRPr="00F5723F" w:rsidRDefault="00B43C57">
            <w:pPr>
              <w:pStyle w:val="Tabelltextsiffror"/>
            </w:pPr>
            <w:r w:rsidRPr="00F5723F">
              <w:t>54</w:t>
            </w:r>
          </w:p>
        </w:tc>
        <w:tc>
          <w:tcPr>
            <w:tcW w:w="284" w:type="dxa"/>
          </w:tcPr>
          <w:p w:rsidR="00B43C57" w:rsidRPr="00F5723F" w:rsidRDefault="00B43C57">
            <w:pPr>
              <w:pStyle w:val="Tabelltextsiffror"/>
            </w:pPr>
            <w:r w:rsidRPr="00F5723F">
              <w:t>39</w:t>
            </w:r>
          </w:p>
        </w:tc>
        <w:tc>
          <w:tcPr>
            <w:tcW w:w="283" w:type="dxa"/>
          </w:tcPr>
          <w:p w:rsidR="00B43C57" w:rsidRPr="00F5723F" w:rsidRDefault="00B43C57">
            <w:pPr>
              <w:pStyle w:val="Tabelltextsiffror"/>
            </w:pPr>
            <w:r w:rsidRPr="00F5723F">
              <w:t>46</w:t>
            </w:r>
          </w:p>
        </w:tc>
        <w:tc>
          <w:tcPr>
            <w:tcW w:w="341" w:type="dxa"/>
            <w:tcBorders>
              <w:right w:val="nil"/>
            </w:tcBorders>
          </w:tcPr>
          <w:p w:rsidR="00B43C57" w:rsidRPr="00F5723F" w:rsidRDefault="00B43C57">
            <w:pPr>
              <w:pStyle w:val="Tabelltextsiffror"/>
            </w:pPr>
            <w:r w:rsidRPr="00F5723F">
              <w:t>59</w:t>
            </w:r>
          </w:p>
        </w:tc>
        <w:tc>
          <w:tcPr>
            <w:tcW w:w="510" w:type="dxa"/>
            <w:tcBorders>
              <w:right w:val="nil"/>
            </w:tcBorders>
          </w:tcPr>
          <w:p w:rsidR="00B43C57" w:rsidRPr="00F5723F" w:rsidRDefault="00B43C57">
            <w:pPr>
              <w:pStyle w:val="Tabelltextsiffror"/>
            </w:pPr>
            <w:r w:rsidRPr="00F5723F">
              <w:t>+45</w:t>
            </w:r>
          </w:p>
        </w:tc>
        <w:tc>
          <w:tcPr>
            <w:tcW w:w="567" w:type="dxa"/>
            <w:tcBorders>
              <w:right w:val="nil"/>
            </w:tcBorders>
          </w:tcPr>
          <w:p w:rsidR="00B43C57" w:rsidRPr="00F5723F" w:rsidRDefault="00B43C57">
            <w:pPr>
              <w:pStyle w:val="Tabelltextsiffror"/>
            </w:pPr>
            <w:r w:rsidRPr="00F5723F">
              <w:t>+38</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p>
        </w:tc>
        <w:tc>
          <w:tcPr>
            <w:tcW w:w="397" w:type="dxa"/>
          </w:tcPr>
          <w:p w:rsidR="00B43C57" w:rsidRPr="00F5723F" w:rsidRDefault="00B43C57">
            <w:pPr>
              <w:pStyle w:val="Tabelltext"/>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341" w:type="dxa"/>
          </w:tcPr>
          <w:p w:rsidR="00B43C57" w:rsidRPr="00F5723F" w:rsidRDefault="00B43C57">
            <w:pPr>
              <w:pStyle w:val="Tabelltextsiffror"/>
            </w:pPr>
          </w:p>
        </w:tc>
        <w:tc>
          <w:tcPr>
            <w:tcW w:w="510" w:type="dxa"/>
          </w:tcPr>
          <w:p w:rsidR="00B43C57" w:rsidRPr="00F5723F" w:rsidRDefault="00B43C57">
            <w:pPr>
              <w:pStyle w:val="Tabelltextsiffror"/>
            </w:pPr>
          </w:p>
        </w:tc>
        <w:tc>
          <w:tcPr>
            <w:tcW w:w="567" w:type="dxa"/>
          </w:tcPr>
          <w:p w:rsidR="00B43C57" w:rsidRPr="00F5723F" w:rsidRDefault="00B43C57">
            <w:pPr>
              <w:pStyle w:val="Tabelltextsiffror"/>
            </w:pP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 xml:space="preserve">Ta initiativ i frågor som </w:t>
            </w:r>
          </w:p>
        </w:tc>
        <w:tc>
          <w:tcPr>
            <w:tcW w:w="397" w:type="dxa"/>
          </w:tcPr>
          <w:p w:rsidR="00B43C57" w:rsidRPr="00F5723F" w:rsidRDefault="00B43C57">
            <w:pPr>
              <w:pStyle w:val="Tabelltext"/>
            </w:pPr>
            <w:r w:rsidRPr="00F5723F">
              <w:t>mb</w:t>
            </w:r>
          </w:p>
        </w:tc>
        <w:tc>
          <w:tcPr>
            <w:tcW w:w="283" w:type="dxa"/>
          </w:tcPr>
          <w:p w:rsidR="00B43C57" w:rsidRPr="00F5723F" w:rsidRDefault="00B43C57">
            <w:pPr>
              <w:pStyle w:val="Tabelltextsiffror"/>
            </w:pPr>
            <w:r w:rsidRPr="00F5723F">
              <w:t>11</w:t>
            </w:r>
          </w:p>
        </w:tc>
        <w:tc>
          <w:tcPr>
            <w:tcW w:w="284" w:type="dxa"/>
          </w:tcPr>
          <w:p w:rsidR="00B43C57" w:rsidRPr="00F5723F" w:rsidRDefault="00B43C57">
            <w:pPr>
              <w:pStyle w:val="Tabelltextsiffror"/>
            </w:pPr>
            <w:r w:rsidRPr="00F5723F">
              <w:t>16</w:t>
            </w:r>
          </w:p>
        </w:tc>
        <w:tc>
          <w:tcPr>
            <w:tcW w:w="283" w:type="dxa"/>
          </w:tcPr>
          <w:p w:rsidR="00B43C57" w:rsidRPr="00F5723F" w:rsidRDefault="00B43C57">
            <w:pPr>
              <w:pStyle w:val="Tabelltextsiffror"/>
            </w:pPr>
            <w:r w:rsidRPr="00F5723F">
              <w:t>15</w:t>
            </w:r>
          </w:p>
        </w:tc>
        <w:tc>
          <w:tcPr>
            <w:tcW w:w="284" w:type="dxa"/>
          </w:tcPr>
          <w:p w:rsidR="00B43C57" w:rsidRPr="00F5723F" w:rsidRDefault="00B43C57">
            <w:pPr>
              <w:pStyle w:val="Tabelltextsiffror"/>
            </w:pPr>
            <w:r w:rsidRPr="00F5723F">
              <w:t>11</w:t>
            </w:r>
          </w:p>
        </w:tc>
        <w:tc>
          <w:tcPr>
            <w:tcW w:w="283" w:type="dxa"/>
          </w:tcPr>
          <w:p w:rsidR="00B43C57" w:rsidRPr="00F5723F" w:rsidRDefault="00B43C57">
            <w:pPr>
              <w:pStyle w:val="Tabelltextsiffror"/>
            </w:pPr>
            <w:r w:rsidRPr="00F5723F">
              <w:t>14</w:t>
            </w:r>
          </w:p>
        </w:tc>
        <w:tc>
          <w:tcPr>
            <w:tcW w:w="284" w:type="dxa"/>
          </w:tcPr>
          <w:p w:rsidR="00B43C57" w:rsidRPr="00F5723F" w:rsidRDefault="00B43C57">
            <w:pPr>
              <w:pStyle w:val="Tabelltextsiffror"/>
            </w:pPr>
            <w:r w:rsidRPr="00F5723F">
              <w:t>9</w:t>
            </w:r>
          </w:p>
        </w:tc>
        <w:tc>
          <w:tcPr>
            <w:tcW w:w="283" w:type="dxa"/>
          </w:tcPr>
          <w:p w:rsidR="00B43C57" w:rsidRPr="00F5723F" w:rsidRDefault="00B43C57">
            <w:pPr>
              <w:pStyle w:val="Tabelltextsiffror"/>
            </w:pPr>
            <w:r w:rsidRPr="00F5723F">
              <w:t>11</w:t>
            </w:r>
          </w:p>
        </w:tc>
        <w:tc>
          <w:tcPr>
            <w:tcW w:w="341" w:type="dxa"/>
          </w:tcPr>
          <w:p w:rsidR="00B43C57" w:rsidRPr="00F5723F" w:rsidRDefault="00B43C57">
            <w:pPr>
              <w:pStyle w:val="Tabelltextsiffror"/>
            </w:pPr>
            <w:r w:rsidRPr="00F5723F">
              <w:t>13</w:t>
            </w:r>
          </w:p>
        </w:tc>
        <w:tc>
          <w:tcPr>
            <w:tcW w:w="510" w:type="dxa"/>
          </w:tcPr>
          <w:p w:rsidR="00B43C57" w:rsidRPr="00F5723F" w:rsidRDefault="00B43C57">
            <w:pPr>
              <w:pStyle w:val="Tabelltextsiffror"/>
            </w:pPr>
            <w:r w:rsidRPr="00F5723F">
              <w:t>–13</w:t>
            </w:r>
          </w:p>
        </w:tc>
        <w:tc>
          <w:tcPr>
            <w:tcW w:w="567" w:type="dxa"/>
          </w:tcPr>
          <w:p w:rsidR="00B43C57" w:rsidRPr="00F5723F" w:rsidRDefault="00B43C57">
            <w:pPr>
              <w:pStyle w:val="Tabelltextsiffror"/>
            </w:pPr>
            <w:r w:rsidRPr="00F5723F">
              <w:t>–17</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inte tas upp av regeringen</w:t>
            </w:r>
          </w:p>
        </w:tc>
        <w:tc>
          <w:tcPr>
            <w:tcW w:w="397" w:type="dxa"/>
          </w:tcPr>
          <w:p w:rsidR="00B43C57" w:rsidRPr="00F5723F" w:rsidRDefault="00B43C57">
            <w:pPr>
              <w:pStyle w:val="Tabelltext"/>
            </w:pPr>
            <w:r w:rsidRPr="00F5723F">
              <w:t>rd</w:t>
            </w:r>
          </w:p>
        </w:tc>
        <w:tc>
          <w:tcPr>
            <w:tcW w:w="283" w:type="dxa"/>
          </w:tcPr>
          <w:p w:rsidR="00B43C57" w:rsidRPr="00F5723F" w:rsidRDefault="00B43C57">
            <w:pPr>
              <w:pStyle w:val="Tabelltextsiffror"/>
            </w:pPr>
            <w:r w:rsidRPr="00F5723F">
              <w:t>37</w:t>
            </w:r>
          </w:p>
        </w:tc>
        <w:tc>
          <w:tcPr>
            <w:tcW w:w="284" w:type="dxa"/>
          </w:tcPr>
          <w:p w:rsidR="00B43C57" w:rsidRPr="00F5723F" w:rsidRDefault="00B43C57">
            <w:pPr>
              <w:pStyle w:val="Tabelltextsiffror"/>
            </w:pPr>
            <w:r w:rsidRPr="00F5723F">
              <w:t>56</w:t>
            </w:r>
          </w:p>
        </w:tc>
        <w:tc>
          <w:tcPr>
            <w:tcW w:w="283" w:type="dxa"/>
          </w:tcPr>
          <w:p w:rsidR="00B43C57" w:rsidRPr="00F5723F" w:rsidRDefault="00B43C57">
            <w:pPr>
              <w:pStyle w:val="Tabelltextsiffror"/>
            </w:pPr>
            <w:r w:rsidRPr="00F5723F">
              <w:t>62</w:t>
            </w:r>
          </w:p>
        </w:tc>
        <w:tc>
          <w:tcPr>
            <w:tcW w:w="284" w:type="dxa"/>
          </w:tcPr>
          <w:p w:rsidR="00B43C57" w:rsidRPr="00F5723F" w:rsidRDefault="00B43C57">
            <w:pPr>
              <w:pStyle w:val="Tabelltextsiffror"/>
            </w:pPr>
            <w:r w:rsidRPr="00F5723F">
              <w:t>51</w:t>
            </w:r>
          </w:p>
        </w:tc>
        <w:tc>
          <w:tcPr>
            <w:tcW w:w="283" w:type="dxa"/>
          </w:tcPr>
          <w:p w:rsidR="00B43C57" w:rsidRPr="00F5723F" w:rsidRDefault="00B43C57">
            <w:pPr>
              <w:pStyle w:val="Tabelltextsiffror"/>
            </w:pPr>
            <w:r w:rsidRPr="00F5723F">
              <w:t>42</w:t>
            </w:r>
          </w:p>
        </w:tc>
        <w:tc>
          <w:tcPr>
            <w:tcW w:w="284" w:type="dxa"/>
          </w:tcPr>
          <w:p w:rsidR="00B43C57" w:rsidRPr="00F5723F" w:rsidRDefault="00B43C57">
            <w:pPr>
              <w:pStyle w:val="Tabelltextsiffror"/>
            </w:pPr>
            <w:r w:rsidRPr="00F5723F">
              <w:t>45</w:t>
            </w:r>
          </w:p>
        </w:tc>
        <w:tc>
          <w:tcPr>
            <w:tcW w:w="283" w:type="dxa"/>
          </w:tcPr>
          <w:p w:rsidR="00B43C57" w:rsidRPr="00F5723F" w:rsidRDefault="00B43C57">
            <w:pPr>
              <w:pStyle w:val="Tabelltextsiffror"/>
            </w:pPr>
            <w:r w:rsidRPr="00F5723F">
              <w:t>39</w:t>
            </w:r>
          </w:p>
        </w:tc>
        <w:tc>
          <w:tcPr>
            <w:tcW w:w="341" w:type="dxa"/>
            <w:tcBorders>
              <w:right w:val="nil"/>
            </w:tcBorders>
          </w:tcPr>
          <w:p w:rsidR="00B43C57" w:rsidRPr="00F5723F" w:rsidRDefault="00B43C57">
            <w:pPr>
              <w:pStyle w:val="Tabelltextsiffror"/>
            </w:pPr>
            <w:r w:rsidRPr="00F5723F">
              <w:t>50</w:t>
            </w:r>
          </w:p>
        </w:tc>
        <w:tc>
          <w:tcPr>
            <w:tcW w:w="510" w:type="dxa"/>
            <w:tcBorders>
              <w:right w:val="nil"/>
            </w:tcBorders>
          </w:tcPr>
          <w:p w:rsidR="00B43C57" w:rsidRPr="00F5723F" w:rsidRDefault="00B43C57">
            <w:pPr>
              <w:pStyle w:val="Tabelltextsiffror"/>
            </w:pPr>
            <w:r w:rsidRPr="00F5723F">
              <w:t>+30</w:t>
            </w:r>
          </w:p>
        </w:tc>
        <w:tc>
          <w:tcPr>
            <w:tcW w:w="567" w:type="dxa"/>
            <w:tcBorders>
              <w:right w:val="nil"/>
            </w:tcBorders>
          </w:tcPr>
          <w:p w:rsidR="00B43C57" w:rsidRPr="00F5723F" w:rsidRDefault="00B43C57">
            <w:pPr>
              <w:pStyle w:val="Tabelltextsiffror"/>
            </w:pPr>
            <w:r w:rsidRPr="00F5723F">
              <w:t>+29</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p>
        </w:tc>
        <w:tc>
          <w:tcPr>
            <w:tcW w:w="397" w:type="dxa"/>
          </w:tcPr>
          <w:p w:rsidR="00B43C57" w:rsidRPr="00F5723F" w:rsidRDefault="00B43C57">
            <w:pPr>
              <w:pStyle w:val="Tabelltext"/>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284" w:type="dxa"/>
          </w:tcPr>
          <w:p w:rsidR="00B43C57" w:rsidRPr="00F5723F" w:rsidRDefault="00B43C57">
            <w:pPr>
              <w:pStyle w:val="Tabelltextsiffror"/>
            </w:pPr>
          </w:p>
        </w:tc>
        <w:tc>
          <w:tcPr>
            <w:tcW w:w="283" w:type="dxa"/>
          </w:tcPr>
          <w:p w:rsidR="00B43C57" w:rsidRPr="00F5723F" w:rsidRDefault="00B43C57">
            <w:pPr>
              <w:pStyle w:val="Tabelltextsiffror"/>
            </w:pPr>
          </w:p>
        </w:tc>
        <w:tc>
          <w:tcPr>
            <w:tcW w:w="341" w:type="dxa"/>
          </w:tcPr>
          <w:p w:rsidR="00B43C57" w:rsidRPr="00F5723F" w:rsidRDefault="00B43C57">
            <w:pPr>
              <w:pStyle w:val="Tabelltextsiffror"/>
            </w:pPr>
          </w:p>
        </w:tc>
        <w:tc>
          <w:tcPr>
            <w:tcW w:w="510" w:type="dxa"/>
          </w:tcPr>
          <w:p w:rsidR="00B43C57" w:rsidRPr="00F5723F" w:rsidRDefault="00B43C57">
            <w:pPr>
              <w:pStyle w:val="Tabelltextsiffror"/>
            </w:pPr>
          </w:p>
        </w:tc>
        <w:tc>
          <w:tcPr>
            <w:tcW w:w="567" w:type="dxa"/>
          </w:tcPr>
          <w:p w:rsidR="00B43C57" w:rsidRPr="00F5723F" w:rsidRDefault="00B43C57">
            <w:pPr>
              <w:pStyle w:val="Tabelltextsiffror"/>
            </w:pP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 xml:space="preserve">Bevaka utvecklingen </w:t>
            </w:r>
          </w:p>
        </w:tc>
        <w:tc>
          <w:tcPr>
            <w:tcW w:w="397" w:type="dxa"/>
          </w:tcPr>
          <w:p w:rsidR="00B43C57" w:rsidRPr="00F5723F" w:rsidRDefault="00B43C57">
            <w:pPr>
              <w:pStyle w:val="Tabelltext"/>
            </w:pPr>
            <w:r w:rsidRPr="00F5723F">
              <w:t>mb</w:t>
            </w:r>
          </w:p>
        </w:tc>
        <w:tc>
          <w:tcPr>
            <w:tcW w:w="283" w:type="dxa"/>
          </w:tcPr>
          <w:p w:rsidR="00B43C57" w:rsidRPr="00F5723F" w:rsidRDefault="00B43C57">
            <w:pPr>
              <w:pStyle w:val="Tabelltextsiffror"/>
            </w:pPr>
            <w:r w:rsidRPr="00F5723F">
              <w:t>15</w:t>
            </w:r>
          </w:p>
        </w:tc>
        <w:tc>
          <w:tcPr>
            <w:tcW w:w="284" w:type="dxa"/>
          </w:tcPr>
          <w:p w:rsidR="00B43C57" w:rsidRPr="00F5723F" w:rsidRDefault="00B43C57">
            <w:pPr>
              <w:pStyle w:val="Tabelltextsiffror"/>
            </w:pPr>
            <w:r w:rsidRPr="00F5723F">
              <w:t>26</w:t>
            </w:r>
          </w:p>
        </w:tc>
        <w:tc>
          <w:tcPr>
            <w:tcW w:w="283" w:type="dxa"/>
          </w:tcPr>
          <w:p w:rsidR="00B43C57" w:rsidRPr="00F5723F" w:rsidRDefault="00B43C57">
            <w:pPr>
              <w:pStyle w:val="Tabelltextsiffror"/>
            </w:pPr>
            <w:r w:rsidRPr="00F5723F">
              <w:t>18</w:t>
            </w:r>
          </w:p>
        </w:tc>
        <w:tc>
          <w:tcPr>
            <w:tcW w:w="284" w:type="dxa"/>
          </w:tcPr>
          <w:p w:rsidR="00B43C57" w:rsidRPr="00F5723F" w:rsidRDefault="00B43C57">
            <w:pPr>
              <w:pStyle w:val="Tabelltextsiffror"/>
            </w:pPr>
            <w:r w:rsidRPr="00F5723F">
              <w:t>27</w:t>
            </w:r>
          </w:p>
        </w:tc>
        <w:tc>
          <w:tcPr>
            <w:tcW w:w="283" w:type="dxa"/>
          </w:tcPr>
          <w:p w:rsidR="00B43C57" w:rsidRPr="00F5723F" w:rsidRDefault="00B43C57">
            <w:pPr>
              <w:pStyle w:val="Tabelltextsiffror"/>
            </w:pPr>
            <w:r w:rsidRPr="00F5723F">
              <w:t>24</w:t>
            </w:r>
          </w:p>
        </w:tc>
        <w:tc>
          <w:tcPr>
            <w:tcW w:w="284" w:type="dxa"/>
          </w:tcPr>
          <w:p w:rsidR="00B43C57" w:rsidRPr="00F5723F" w:rsidRDefault="00B43C57">
            <w:pPr>
              <w:pStyle w:val="Tabelltextsiffror"/>
            </w:pPr>
            <w:r w:rsidRPr="00F5723F">
              <w:t>19</w:t>
            </w:r>
          </w:p>
        </w:tc>
        <w:tc>
          <w:tcPr>
            <w:tcW w:w="283" w:type="dxa"/>
          </w:tcPr>
          <w:p w:rsidR="00B43C57" w:rsidRPr="00F5723F" w:rsidRDefault="00B43C57">
            <w:pPr>
              <w:pStyle w:val="Tabelltextsiffror"/>
            </w:pPr>
            <w:r w:rsidRPr="00F5723F">
              <w:t>26</w:t>
            </w:r>
          </w:p>
        </w:tc>
        <w:tc>
          <w:tcPr>
            <w:tcW w:w="341" w:type="dxa"/>
          </w:tcPr>
          <w:p w:rsidR="00B43C57" w:rsidRPr="00F5723F" w:rsidRDefault="00B43C57">
            <w:pPr>
              <w:pStyle w:val="Tabelltextsiffror"/>
            </w:pPr>
            <w:r w:rsidRPr="00F5723F">
              <w:t>23</w:t>
            </w:r>
          </w:p>
        </w:tc>
        <w:tc>
          <w:tcPr>
            <w:tcW w:w="510" w:type="dxa"/>
          </w:tcPr>
          <w:p w:rsidR="00B43C57" w:rsidRPr="00F5723F" w:rsidRDefault="00B43C57">
            <w:pPr>
              <w:pStyle w:val="Tabelltextsiffror"/>
            </w:pPr>
            <w:r w:rsidRPr="00F5723F">
              <w:t>±0</w:t>
            </w:r>
          </w:p>
        </w:tc>
        <w:tc>
          <w:tcPr>
            <w:tcW w:w="567" w:type="dxa"/>
          </w:tcPr>
          <w:p w:rsidR="00B43C57" w:rsidRPr="00F5723F" w:rsidRDefault="00B43C57">
            <w:pPr>
              <w:pStyle w:val="Tabelltextsiffror"/>
            </w:pPr>
            <w:r w:rsidRPr="00F5723F">
              <w:t>–11</w:t>
            </w:r>
          </w:p>
        </w:tc>
      </w:tr>
      <w:tr w:rsidR="00000000" w:rsidRPr="00F5723F">
        <w:tblPrEx>
          <w:tblCellMar>
            <w:top w:w="0" w:type="dxa"/>
            <w:left w:w="0" w:type="dxa"/>
            <w:bottom w:w="0" w:type="dxa"/>
            <w:right w:w="0" w:type="dxa"/>
          </w:tblCellMar>
        </w:tblPrEx>
        <w:tc>
          <w:tcPr>
            <w:tcW w:w="2155" w:type="dxa"/>
          </w:tcPr>
          <w:p w:rsidR="00B43C57" w:rsidRPr="00F5723F" w:rsidRDefault="00B43C57">
            <w:pPr>
              <w:pStyle w:val="Tabelltext"/>
            </w:pPr>
            <w:r w:rsidRPr="00F5723F">
              <w:t>inom EU</w:t>
            </w:r>
          </w:p>
        </w:tc>
        <w:tc>
          <w:tcPr>
            <w:tcW w:w="397" w:type="dxa"/>
          </w:tcPr>
          <w:p w:rsidR="00B43C57" w:rsidRPr="00F5723F" w:rsidRDefault="00B43C57">
            <w:pPr>
              <w:pStyle w:val="Tabelltext"/>
            </w:pPr>
            <w:r w:rsidRPr="00F5723F">
              <w:t>rd</w:t>
            </w:r>
          </w:p>
        </w:tc>
        <w:tc>
          <w:tcPr>
            <w:tcW w:w="283" w:type="dxa"/>
          </w:tcPr>
          <w:p w:rsidR="00B43C57" w:rsidRPr="00F5723F" w:rsidRDefault="00B43C57">
            <w:pPr>
              <w:pStyle w:val="Tabelltextsiffror"/>
            </w:pPr>
            <w:r w:rsidRPr="00F5723F">
              <w:t>15</w:t>
            </w:r>
          </w:p>
        </w:tc>
        <w:tc>
          <w:tcPr>
            <w:tcW w:w="284" w:type="dxa"/>
          </w:tcPr>
          <w:p w:rsidR="00B43C57" w:rsidRPr="00F5723F" w:rsidRDefault="00B43C57">
            <w:pPr>
              <w:pStyle w:val="Tabelltextsiffror"/>
            </w:pPr>
            <w:r w:rsidRPr="00F5723F">
              <w:t>41</w:t>
            </w:r>
          </w:p>
        </w:tc>
        <w:tc>
          <w:tcPr>
            <w:tcW w:w="283" w:type="dxa"/>
          </w:tcPr>
          <w:p w:rsidR="00B43C57" w:rsidRPr="00F5723F" w:rsidRDefault="00B43C57">
            <w:pPr>
              <w:pStyle w:val="Tabelltextsiffror"/>
            </w:pPr>
            <w:r w:rsidRPr="00F5723F">
              <w:t>33</w:t>
            </w:r>
          </w:p>
        </w:tc>
        <w:tc>
          <w:tcPr>
            <w:tcW w:w="284" w:type="dxa"/>
          </w:tcPr>
          <w:p w:rsidR="00B43C57" w:rsidRPr="00F5723F" w:rsidRDefault="00B43C57">
            <w:pPr>
              <w:pStyle w:val="Tabelltextsiffror"/>
            </w:pPr>
            <w:r w:rsidRPr="00F5723F">
              <w:t>46</w:t>
            </w:r>
          </w:p>
        </w:tc>
        <w:tc>
          <w:tcPr>
            <w:tcW w:w="283" w:type="dxa"/>
          </w:tcPr>
          <w:p w:rsidR="00B43C57" w:rsidRPr="00F5723F" w:rsidRDefault="00B43C57">
            <w:pPr>
              <w:pStyle w:val="Tabelltextsiffror"/>
            </w:pPr>
            <w:r w:rsidRPr="00F5723F">
              <w:t>33</w:t>
            </w:r>
          </w:p>
        </w:tc>
        <w:tc>
          <w:tcPr>
            <w:tcW w:w="284" w:type="dxa"/>
          </w:tcPr>
          <w:p w:rsidR="00B43C57" w:rsidRPr="00F5723F" w:rsidRDefault="00B43C57">
            <w:pPr>
              <w:pStyle w:val="Tabelltextsiffror"/>
            </w:pPr>
            <w:r w:rsidRPr="00F5723F">
              <w:t>39</w:t>
            </w:r>
          </w:p>
        </w:tc>
        <w:tc>
          <w:tcPr>
            <w:tcW w:w="283" w:type="dxa"/>
          </w:tcPr>
          <w:p w:rsidR="00B43C57" w:rsidRPr="00F5723F" w:rsidRDefault="00B43C57">
            <w:pPr>
              <w:pStyle w:val="Tabelltextsiffror"/>
            </w:pPr>
            <w:r w:rsidRPr="00F5723F">
              <w:t>15</w:t>
            </w:r>
          </w:p>
        </w:tc>
        <w:tc>
          <w:tcPr>
            <w:tcW w:w="341" w:type="dxa"/>
          </w:tcPr>
          <w:p w:rsidR="00B43C57" w:rsidRPr="00F5723F" w:rsidRDefault="00B43C57">
            <w:pPr>
              <w:pStyle w:val="Tabelltextsiffror"/>
            </w:pPr>
            <w:r w:rsidRPr="00F5723F">
              <w:t>37</w:t>
            </w:r>
          </w:p>
        </w:tc>
        <w:tc>
          <w:tcPr>
            <w:tcW w:w="510" w:type="dxa"/>
          </w:tcPr>
          <w:p w:rsidR="00B43C57" w:rsidRPr="00F5723F" w:rsidRDefault="00B43C57">
            <w:pPr>
              <w:pStyle w:val="Tabelltextsiffror"/>
            </w:pPr>
            <w:r w:rsidRPr="00F5723F">
              <w:t>+11</w:t>
            </w:r>
          </w:p>
        </w:tc>
        <w:tc>
          <w:tcPr>
            <w:tcW w:w="567" w:type="dxa"/>
          </w:tcPr>
          <w:p w:rsidR="00B43C57" w:rsidRPr="00F5723F" w:rsidRDefault="00B43C57">
            <w:pPr>
              <w:pStyle w:val="Tabelltextsiffror"/>
            </w:pPr>
            <w:r w:rsidRPr="00F5723F">
              <w:t>+4</w:t>
            </w:r>
          </w:p>
        </w:tc>
      </w:tr>
      <w:tr w:rsidR="00000000" w:rsidRPr="00F5723F">
        <w:tblPrEx>
          <w:tblCellMar>
            <w:top w:w="0" w:type="dxa"/>
            <w:left w:w="0" w:type="dxa"/>
            <w:bottom w:w="0" w:type="dxa"/>
            <w:right w:w="0" w:type="dxa"/>
          </w:tblCellMar>
        </w:tblPrEx>
        <w:tc>
          <w:tcPr>
            <w:tcW w:w="2155" w:type="dxa"/>
            <w:tcBorders>
              <w:bottom w:val="single" w:sz="4" w:space="0" w:color="auto"/>
            </w:tcBorders>
          </w:tcPr>
          <w:p w:rsidR="00B43C57" w:rsidRPr="00F5723F" w:rsidRDefault="00B43C57">
            <w:pPr>
              <w:pStyle w:val="Tabelltext"/>
            </w:pPr>
          </w:p>
        </w:tc>
        <w:tc>
          <w:tcPr>
            <w:tcW w:w="397" w:type="dxa"/>
            <w:tcBorders>
              <w:bottom w:val="single" w:sz="4" w:space="0" w:color="auto"/>
            </w:tcBorders>
          </w:tcPr>
          <w:p w:rsidR="00B43C57" w:rsidRPr="00F5723F" w:rsidRDefault="00B43C57">
            <w:pPr>
              <w:pStyle w:val="Tabelltext"/>
            </w:pPr>
          </w:p>
        </w:tc>
        <w:tc>
          <w:tcPr>
            <w:tcW w:w="283" w:type="dxa"/>
            <w:tcBorders>
              <w:bottom w:val="single" w:sz="4" w:space="0" w:color="auto"/>
            </w:tcBorders>
          </w:tcPr>
          <w:p w:rsidR="00B43C57" w:rsidRPr="00F5723F" w:rsidRDefault="00B43C57">
            <w:pPr>
              <w:pStyle w:val="Tabelltextsiffror"/>
            </w:pPr>
          </w:p>
        </w:tc>
        <w:tc>
          <w:tcPr>
            <w:tcW w:w="284" w:type="dxa"/>
            <w:tcBorders>
              <w:bottom w:val="single" w:sz="4" w:space="0" w:color="auto"/>
            </w:tcBorders>
          </w:tcPr>
          <w:p w:rsidR="00B43C57" w:rsidRPr="00F5723F" w:rsidRDefault="00B43C57">
            <w:pPr>
              <w:pStyle w:val="Tabelltextsiffror"/>
            </w:pPr>
          </w:p>
        </w:tc>
        <w:tc>
          <w:tcPr>
            <w:tcW w:w="283" w:type="dxa"/>
            <w:tcBorders>
              <w:bottom w:val="single" w:sz="4" w:space="0" w:color="auto"/>
            </w:tcBorders>
          </w:tcPr>
          <w:p w:rsidR="00B43C57" w:rsidRPr="00F5723F" w:rsidRDefault="00B43C57">
            <w:pPr>
              <w:pStyle w:val="Tabelltextsiffror"/>
            </w:pPr>
          </w:p>
        </w:tc>
        <w:tc>
          <w:tcPr>
            <w:tcW w:w="284" w:type="dxa"/>
            <w:tcBorders>
              <w:bottom w:val="single" w:sz="4" w:space="0" w:color="auto"/>
            </w:tcBorders>
          </w:tcPr>
          <w:p w:rsidR="00B43C57" w:rsidRPr="00F5723F" w:rsidRDefault="00B43C57">
            <w:pPr>
              <w:pStyle w:val="Tabelltextsiffror"/>
            </w:pPr>
          </w:p>
        </w:tc>
        <w:tc>
          <w:tcPr>
            <w:tcW w:w="283" w:type="dxa"/>
            <w:tcBorders>
              <w:bottom w:val="single" w:sz="4" w:space="0" w:color="auto"/>
            </w:tcBorders>
          </w:tcPr>
          <w:p w:rsidR="00B43C57" w:rsidRPr="00F5723F" w:rsidRDefault="00B43C57">
            <w:pPr>
              <w:pStyle w:val="Tabelltextsiffror"/>
            </w:pPr>
          </w:p>
        </w:tc>
        <w:tc>
          <w:tcPr>
            <w:tcW w:w="284" w:type="dxa"/>
            <w:tcBorders>
              <w:bottom w:val="single" w:sz="4" w:space="0" w:color="auto"/>
            </w:tcBorders>
          </w:tcPr>
          <w:p w:rsidR="00B43C57" w:rsidRPr="00F5723F" w:rsidRDefault="00B43C57">
            <w:pPr>
              <w:pStyle w:val="Tabelltextsiffror"/>
            </w:pPr>
          </w:p>
        </w:tc>
        <w:tc>
          <w:tcPr>
            <w:tcW w:w="283" w:type="dxa"/>
            <w:tcBorders>
              <w:bottom w:val="single" w:sz="4" w:space="0" w:color="auto"/>
            </w:tcBorders>
          </w:tcPr>
          <w:p w:rsidR="00B43C57" w:rsidRPr="00F5723F" w:rsidRDefault="00B43C57">
            <w:pPr>
              <w:pStyle w:val="Tabelltextsiffror"/>
            </w:pPr>
          </w:p>
        </w:tc>
        <w:tc>
          <w:tcPr>
            <w:tcW w:w="341" w:type="dxa"/>
            <w:tcBorders>
              <w:bottom w:val="single" w:sz="4" w:space="0" w:color="auto"/>
            </w:tcBorders>
          </w:tcPr>
          <w:p w:rsidR="00B43C57" w:rsidRPr="00F5723F" w:rsidRDefault="00B43C57">
            <w:pPr>
              <w:pStyle w:val="Tabelltextsiffror"/>
            </w:pPr>
          </w:p>
        </w:tc>
        <w:tc>
          <w:tcPr>
            <w:tcW w:w="510" w:type="dxa"/>
            <w:tcBorders>
              <w:bottom w:val="single" w:sz="4" w:space="0" w:color="auto"/>
            </w:tcBorders>
          </w:tcPr>
          <w:p w:rsidR="00B43C57" w:rsidRPr="00F5723F" w:rsidRDefault="00B43C57">
            <w:pPr>
              <w:pStyle w:val="Tabelltextsiffror"/>
            </w:pPr>
          </w:p>
        </w:tc>
        <w:tc>
          <w:tcPr>
            <w:tcW w:w="567" w:type="dxa"/>
            <w:tcBorders>
              <w:bottom w:val="single" w:sz="4" w:space="0" w:color="auto"/>
            </w:tcBorders>
          </w:tcPr>
          <w:p w:rsidR="00B43C57" w:rsidRPr="00F5723F" w:rsidRDefault="00B43C57">
            <w:pPr>
              <w:pStyle w:val="Tabelltextsiffror"/>
            </w:pPr>
          </w:p>
        </w:tc>
      </w:tr>
      <w:tr w:rsidR="00000000" w:rsidRPr="00F5723F">
        <w:tblPrEx>
          <w:tblCellMar>
            <w:top w:w="0" w:type="dxa"/>
            <w:left w:w="0" w:type="dxa"/>
            <w:bottom w:w="0" w:type="dxa"/>
            <w:right w:w="0" w:type="dxa"/>
          </w:tblCellMar>
        </w:tblPrEx>
        <w:trPr>
          <w:trHeight w:val="215"/>
        </w:trPr>
        <w:tc>
          <w:tcPr>
            <w:tcW w:w="2155" w:type="dxa"/>
            <w:tcBorders>
              <w:top w:val="single" w:sz="4" w:space="0" w:color="auto"/>
            </w:tcBorders>
          </w:tcPr>
          <w:p w:rsidR="00B43C57" w:rsidRPr="00F5723F" w:rsidRDefault="00B43C57">
            <w:pPr>
              <w:pStyle w:val="Tabelltext"/>
            </w:pPr>
            <w:r w:rsidRPr="00F5723F">
              <w:t>Antal intervjuade</w:t>
            </w:r>
          </w:p>
        </w:tc>
        <w:tc>
          <w:tcPr>
            <w:tcW w:w="397" w:type="dxa"/>
            <w:tcBorders>
              <w:top w:val="single" w:sz="4" w:space="0" w:color="auto"/>
            </w:tcBorders>
          </w:tcPr>
          <w:p w:rsidR="00B43C57" w:rsidRPr="00F5723F" w:rsidRDefault="00B43C57">
            <w:pPr>
              <w:pStyle w:val="Tabelltext"/>
            </w:pPr>
            <w:r w:rsidRPr="00F5723F">
              <w:t>mb</w:t>
            </w:r>
          </w:p>
        </w:tc>
        <w:tc>
          <w:tcPr>
            <w:tcW w:w="283" w:type="dxa"/>
            <w:tcBorders>
              <w:top w:val="single" w:sz="4" w:space="0" w:color="auto"/>
            </w:tcBorders>
          </w:tcPr>
          <w:p w:rsidR="00B43C57" w:rsidRPr="00F5723F" w:rsidRDefault="00B43C57">
            <w:pPr>
              <w:pStyle w:val="Tabelltextsiffror"/>
            </w:pPr>
            <w:r w:rsidRPr="00F5723F">
              <w:t>138</w:t>
            </w:r>
          </w:p>
        </w:tc>
        <w:tc>
          <w:tcPr>
            <w:tcW w:w="284" w:type="dxa"/>
            <w:tcBorders>
              <w:top w:val="single" w:sz="4" w:space="0" w:color="auto"/>
            </w:tcBorders>
          </w:tcPr>
          <w:p w:rsidR="00B43C57" w:rsidRPr="00F5723F" w:rsidRDefault="00B43C57">
            <w:pPr>
              <w:pStyle w:val="Tabelltextsiffror"/>
            </w:pPr>
            <w:r w:rsidRPr="00F5723F">
              <w:t>588</w:t>
            </w:r>
          </w:p>
        </w:tc>
        <w:tc>
          <w:tcPr>
            <w:tcW w:w="283" w:type="dxa"/>
            <w:tcBorders>
              <w:top w:val="single" w:sz="4" w:space="0" w:color="auto"/>
            </w:tcBorders>
          </w:tcPr>
          <w:p w:rsidR="00B43C57" w:rsidRPr="00F5723F" w:rsidRDefault="00B43C57">
            <w:pPr>
              <w:pStyle w:val="Tabelltextsiffror"/>
            </w:pPr>
            <w:r w:rsidRPr="00F5723F">
              <w:t>78</w:t>
            </w:r>
          </w:p>
        </w:tc>
        <w:tc>
          <w:tcPr>
            <w:tcW w:w="284" w:type="dxa"/>
            <w:tcBorders>
              <w:top w:val="single" w:sz="4" w:space="0" w:color="auto"/>
            </w:tcBorders>
          </w:tcPr>
          <w:p w:rsidR="00B43C57" w:rsidRPr="00F5723F" w:rsidRDefault="00B43C57">
            <w:pPr>
              <w:pStyle w:val="Tabelltextsiffror"/>
            </w:pPr>
            <w:r w:rsidRPr="00F5723F">
              <w:t>244</w:t>
            </w:r>
          </w:p>
        </w:tc>
        <w:tc>
          <w:tcPr>
            <w:tcW w:w="283" w:type="dxa"/>
            <w:tcBorders>
              <w:top w:val="single" w:sz="4" w:space="0" w:color="auto"/>
            </w:tcBorders>
          </w:tcPr>
          <w:p w:rsidR="00B43C57" w:rsidRPr="00F5723F" w:rsidRDefault="00B43C57">
            <w:pPr>
              <w:pStyle w:val="Tabelltextsiffror"/>
            </w:pPr>
            <w:r w:rsidRPr="00F5723F">
              <w:t>170</w:t>
            </w:r>
          </w:p>
        </w:tc>
        <w:tc>
          <w:tcPr>
            <w:tcW w:w="284" w:type="dxa"/>
            <w:tcBorders>
              <w:top w:val="single" w:sz="4" w:space="0" w:color="auto"/>
            </w:tcBorders>
          </w:tcPr>
          <w:p w:rsidR="00B43C57" w:rsidRPr="00F5723F" w:rsidRDefault="00B43C57">
            <w:pPr>
              <w:pStyle w:val="Tabelltextsiffror"/>
            </w:pPr>
            <w:r w:rsidRPr="00F5723F">
              <w:t>94</w:t>
            </w:r>
          </w:p>
        </w:tc>
        <w:tc>
          <w:tcPr>
            <w:tcW w:w="283" w:type="dxa"/>
            <w:tcBorders>
              <w:top w:val="single" w:sz="4" w:space="0" w:color="auto"/>
            </w:tcBorders>
          </w:tcPr>
          <w:p w:rsidR="00B43C57" w:rsidRPr="00F5723F" w:rsidRDefault="00B43C57">
            <w:pPr>
              <w:pStyle w:val="Tabelltextsiffror"/>
            </w:pPr>
            <w:r w:rsidRPr="00F5723F">
              <w:t>73</w:t>
            </w:r>
          </w:p>
        </w:tc>
        <w:tc>
          <w:tcPr>
            <w:tcW w:w="341" w:type="dxa"/>
            <w:tcBorders>
              <w:top w:val="single" w:sz="4" w:space="0" w:color="auto"/>
            </w:tcBorders>
          </w:tcPr>
          <w:p w:rsidR="00B43C57" w:rsidRPr="00F5723F" w:rsidRDefault="00B43C57">
            <w:pPr>
              <w:pStyle w:val="Tabelltextsiffror"/>
            </w:pPr>
            <w:r w:rsidRPr="00F5723F">
              <w:t>1500</w:t>
            </w:r>
          </w:p>
        </w:tc>
        <w:tc>
          <w:tcPr>
            <w:tcW w:w="510" w:type="dxa"/>
            <w:tcBorders>
              <w:top w:val="single" w:sz="4" w:space="0" w:color="auto"/>
            </w:tcBorders>
          </w:tcPr>
          <w:p w:rsidR="00B43C57" w:rsidRPr="00F5723F" w:rsidRDefault="00B43C57">
            <w:pPr>
              <w:pStyle w:val="Tabelltextsiffror"/>
            </w:pPr>
            <w:r w:rsidRPr="00F5723F">
              <w:t>1500</w:t>
            </w:r>
          </w:p>
        </w:tc>
        <w:tc>
          <w:tcPr>
            <w:tcW w:w="567" w:type="dxa"/>
            <w:tcBorders>
              <w:top w:val="single" w:sz="4" w:space="0" w:color="auto"/>
            </w:tcBorders>
          </w:tcPr>
          <w:p w:rsidR="00B43C57" w:rsidRPr="00F5723F" w:rsidRDefault="00B43C57">
            <w:pPr>
              <w:pStyle w:val="Tabelltextsiffror"/>
            </w:pPr>
            <w:r w:rsidRPr="00F5723F">
              <w:t>1539</w:t>
            </w:r>
          </w:p>
        </w:tc>
      </w:tr>
      <w:tr w:rsidR="00000000" w:rsidRPr="00F5723F">
        <w:tblPrEx>
          <w:tblCellMar>
            <w:top w:w="0" w:type="dxa"/>
            <w:left w:w="0" w:type="dxa"/>
            <w:bottom w:w="0" w:type="dxa"/>
            <w:right w:w="0" w:type="dxa"/>
          </w:tblCellMar>
        </w:tblPrEx>
        <w:tc>
          <w:tcPr>
            <w:tcW w:w="2155" w:type="dxa"/>
            <w:tcBorders>
              <w:bottom w:val="single" w:sz="4" w:space="0" w:color="auto"/>
            </w:tcBorders>
          </w:tcPr>
          <w:p w:rsidR="00B43C57" w:rsidRPr="00F5723F" w:rsidRDefault="00B43C57">
            <w:pPr>
              <w:pStyle w:val="Tabelltext"/>
            </w:pPr>
          </w:p>
        </w:tc>
        <w:tc>
          <w:tcPr>
            <w:tcW w:w="397" w:type="dxa"/>
            <w:tcBorders>
              <w:bottom w:val="single" w:sz="4" w:space="0" w:color="auto"/>
            </w:tcBorders>
          </w:tcPr>
          <w:p w:rsidR="00B43C57" w:rsidRPr="00F5723F" w:rsidRDefault="00B43C57">
            <w:pPr>
              <w:pStyle w:val="Tabelltext"/>
            </w:pPr>
            <w:r w:rsidRPr="00F5723F">
              <w:t>rd</w:t>
            </w:r>
          </w:p>
        </w:tc>
        <w:tc>
          <w:tcPr>
            <w:tcW w:w="283" w:type="dxa"/>
            <w:tcBorders>
              <w:bottom w:val="single" w:sz="4" w:space="0" w:color="auto"/>
            </w:tcBorders>
          </w:tcPr>
          <w:p w:rsidR="00B43C57" w:rsidRPr="00F5723F" w:rsidRDefault="00B43C57">
            <w:pPr>
              <w:pStyle w:val="Tabelltextsiffror"/>
            </w:pPr>
            <w:r w:rsidRPr="00F5723F">
              <w:t>27</w:t>
            </w:r>
          </w:p>
        </w:tc>
        <w:tc>
          <w:tcPr>
            <w:tcW w:w="284" w:type="dxa"/>
            <w:tcBorders>
              <w:bottom w:val="single" w:sz="4" w:space="0" w:color="auto"/>
            </w:tcBorders>
          </w:tcPr>
          <w:p w:rsidR="00B43C57" w:rsidRPr="00F5723F" w:rsidRDefault="00B43C57">
            <w:pPr>
              <w:pStyle w:val="Tabelltextsiffror"/>
            </w:pPr>
            <w:r w:rsidRPr="00F5723F">
              <w:t>126</w:t>
            </w:r>
          </w:p>
        </w:tc>
        <w:tc>
          <w:tcPr>
            <w:tcW w:w="283" w:type="dxa"/>
            <w:tcBorders>
              <w:bottom w:val="single" w:sz="4" w:space="0" w:color="auto"/>
            </w:tcBorders>
          </w:tcPr>
          <w:p w:rsidR="00B43C57" w:rsidRPr="00F5723F" w:rsidRDefault="00B43C57">
            <w:pPr>
              <w:pStyle w:val="Tabelltextsiffror"/>
            </w:pPr>
            <w:r w:rsidRPr="00F5723F">
              <w:t>21</w:t>
            </w:r>
          </w:p>
        </w:tc>
        <w:tc>
          <w:tcPr>
            <w:tcW w:w="284" w:type="dxa"/>
            <w:tcBorders>
              <w:bottom w:val="single" w:sz="4" w:space="0" w:color="auto"/>
            </w:tcBorders>
          </w:tcPr>
          <w:p w:rsidR="00B43C57" w:rsidRPr="00F5723F" w:rsidRDefault="00B43C57">
            <w:pPr>
              <w:pStyle w:val="Tabelltextsiffror"/>
            </w:pPr>
            <w:r w:rsidRPr="00F5723F">
              <w:t>41</w:t>
            </w:r>
          </w:p>
        </w:tc>
        <w:tc>
          <w:tcPr>
            <w:tcW w:w="283" w:type="dxa"/>
            <w:tcBorders>
              <w:bottom w:val="single" w:sz="4" w:space="0" w:color="auto"/>
            </w:tcBorders>
          </w:tcPr>
          <w:p w:rsidR="00B43C57" w:rsidRPr="00F5723F" w:rsidRDefault="00B43C57">
            <w:pPr>
              <w:pStyle w:val="Tabelltextsiffror"/>
            </w:pPr>
            <w:r w:rsidRPr="00F5723F">
              <w:t>48</w:t>
            </w:r>
          </w:p>
        </w:tc>
        <w:tc>
          <w:tcPr>
            <w:tcW w:w="284" w:type="dxa"/>
            <w:tcBorders>
              <w:bottom w:val="single" w:sz="4" w:space="0" w:color="auto"/>
            </w:tcBorders>
          </w:tcPr>
          <w:p w:rsidR="00B43C57" w:rsidRPr="00F5723F" w:rsidRDefault="00B43C57">
            <w:pPr>
              <w:pStyle w:val="Tabelltextsiffror"/>
            </w:pPr>
            <w:r w:rsidRPr="00F5723F">
              <w:t>31</w:t>
            </w:r>
          </w:p>
        </w:tc>
        <w:tc>
          <w:tcPr>
            <w:tcW w:w="283" w:type="dxa"/>
            <w:tcBorders>
              <w:bottom w:val="single" w:sz="4" w:space="0" w:color="auto"/>
            </w:tcBorders>
          </w:tcPr>
          <w:p w:rsidR="00B43C57" w:rsidRPr="00F5723F" w:rsidRDefault="00B43C57">
            <w:pPr>
              <w:pStyle w:val="Tabelltextsiffror"/>
            </w:pPr>
            <w:r w:rsidRPr="00F5723F">
              <w:t>13</w:t>
            </w:r>
          </w:p>
        </w:tc>
        <w:tc>
          <w:tcPr>
            <w:tcW w:w="341" w:type="dxa"/>
            <w:tcBorders>
              <w:bottom w:val="single" w:sz="4" w:space="0" w:color="auto"/>
            </w:tcBorders>
          </w:tcPr>
          <w:p w:rsidR="00B43C57" w:rsidRPr="00F5723F" w:rsidRDefault="00B43C57">
            <w:pPr>
              <w:pStyle w:val="Tabelltextsiffror"/>
            </w:pPr>
            <w:r w:rsidRPr="00F5723F">
              <w:t>307</w:t>
            </w:r>
          </w:p>
        </w:tc>
        <w:tc>
          <w:tcPr>
            <w:tcW w:w="510" w:type="dxa"/>
            <w:tcBorders>
              <w:bottom w:val="single" w:sz="4" w:space="0" w:color="auto"/>
            </w:tcBorders>
          </w:tcPr>
          <w:p w:rsidR="00B43C57" w:rsidRPr="00F5723F" w:rsidRDefault="00B43C57">
            <w:pPr>
              <w:pStyle w:val="Tabelltextsiffror"/>
            </w:pPr>
            <w:r w:rsidRPr="00F5723F">
              <w:t>307</w:t>
            </w:r>
          </w:p>
        </w:tc>
        <w:tc>
          <w:tcPr>
            <w:tcW w:w="567" w:type="dxa"/>
            <w:tcBorders>
              <w:bottom w:val="single" w:sz="4" w:space="0" w:color="auto"/>
            </w:tcBorders>
          </w:tcPr>
          <w:p w:rsidR="00B43C57" w:rsidRPr="00F5723F" w:rsidRDefault="00B43C57">
            <w:pPr>
              <w:pStyle w:val="Tabelltextsiffror"/>
            </w:pPr>
            <w:r w:rsidRPr="00F5723F">
              <w:t>314</w:t>
            </w:r>
          </w:p>
        </w:tc>
      </w:tr>
    </w:tbl>
    <w:p w:rsidR="00B43C57" w:rsidRPr="00F5723F" w:rsidRDefault="00B43C57">
      <w:pPr>
        <w:spacing w:line="240" w:lineRule="auto"/>
        <w:rPr>
          <w:rFonts w:ascii="Arial" w:hAnsi="Arial" w:cs="Arial"/>
          <w:i/>
          <w:sz w:val="16"/>
          <w:szCs w:val="16"/>
        </w:rPr>
      </w:pPr>
      <w:r w:rsidRPr="00F5723F">
        <w:rPr>
          <w:rFonts w:ascii="Arial" w:hAnsi="Arial" w:cs="Arial"/>
          <w:b/>
          <w:sz w:val="16"/>
          <w:szCs w:val="16"/>
        </w:rPr>
        <w:t xml:space="preserve">Kommentar: </w:t>
      </w:r>
      <w:r w:rsidRPr="00F5723F">
        <w:rPr>
          <w:rFonts w:ascii="Arial" w:hAnsi="Arial" w:cs="Arial"/>
          <w:sz w:val="16"/>
          <w:szCs w:val="16"/>
        </w:rPr>
        <w:t>Resultaten visar andelen svarspersoner som svarat att riksdagen uppfyller olika uppgifter mycket eller ganska bra. Resultaten visar också balansmå</w:t>
      </w:r>
      <w:r w:rsidRPr="00F5723F">
        <w:rPr>
          <w:rFonts w:ascii="Arial" w:hAnsi="Arial" w:cs="Arial"/>
          <w:sz w:val="16"/>
          <w:szCs w:val="16"/>
        </w:rPr>
        <w:t>t</w:t>
      </w:r>
      <w:r w:rsidRPr="00F5723F">
        <w:rPr>
          <w:rFonts w:ascii="Arial" w:hAnsi="Arial" w:cs="Arial"/>
          <w:sz w:val="16"/>
          <w:szCs w:val="16"/>
        </w:rPr>
        <w:t xml:space="preserve">tet, </w:t>
      </w:r>
      <w:r w:rsidRPr="00F5723F">
        <w:rPr>
          <w:rFonts w:ascii="Arial" w:hAnsi="Arial" w:cs="Arial"/>
          <w:sz w:val="16"/>
          <w:szCs w:val="16"/>
        </w:rPr>
        <w:t>det vill säga</w:t>
      </w:r>
      <w:r w:rsidRPr="00F5723F">
        <w:rPr>
          <w:rFonts w:ascii="Arial" w:hAnsi="Arial" w:cs="Arial"/>
          <w:sz w:val="16"/>
          <w:szCs w:val="16"/>
        </w:rPr>
        <w:t xml:space="preserve"> andelen mycket eller gan</w:t>
      </w:r>
      <w:r w:rsidRPr="00F5723F">
        <w:rPr>
          <w:rFonts w:ascii="Arial" w:hAnsi="Arial" w:cs="Arial"/>
          <w:sz w:val="16"/>
          <w:szCs w:val="16"/>
        </w:rPr>
        <w:t>s</w:t>
      </w:r>
      <w:r w:rsidRPr="00F5723F">
        <w:rPr>
          <w:rFonts w:ascii="Arial" w:hAnsi="Arial" w:cs="Arial"/>
          <w:sz w:val="16"/>
          <w:szCs w:val="16"/>
        </w:rPr>
        <w:t xml:space="preserve">ka bra minus andelen ganska eller mycket dåligt (andelen bra minus dåligt). Endast svarspersoner som besvarat alla uppgifter har medtagits i analysen. Frågeformulering: </w:t>
      </w:r>
      <w:r w:rsidRPr="00F5723F">
        <w:rPr>
          <w:rFonts w:ascii="Arial" w:hAnsi="Arial" w:cs="Arial"/>
          <w:sz w:val="16"/>
          <w:szCs w:val="16"/>
        </w:rPr>
        <w:t>”</w:t>
      </w:r>
      <w:r w:rsidRPr="00F5723F">
        <w:rPr>
          <w:rFonts w:ascii="Arial" w:hAnsi="Arial" w:cs="Arial"/>
          <w:i/>
          <w:sz w:val="16"/>
          <w:szCs w:val="16"/>
        </w:rPr>
        <w:t>Riksdagen har olika uppgi</w:t>
      </w:r>
      <w:r w:rsidRPr="00F5723F">
        <w:rPr>
          <w:rFonts w:ascii="Arial" w:hAnsi="Arial" w:cs="Arial"/>
          <w:i/>
          <w:sz w:val="16"/>
          <w:szCs w:val="16"/>
        </w:rPr>
        <w:t>f</w:t>
      </w:r>
      <w:r w:rsidRPr="00F5723F">
        <w:rPr>
          <w:rFonts w:ascii="Arial" w:hAnsi="Arial" w:cs="Arial"/>
          <w:i/>
          <w:sz w:val="16"/>
          <w:szCs w:val="16"/>
        </w:rPr>
        <w:t>ter. Hur bra eller dåligt anser Du att riksdagen och riksdagens ledamöter uppfyller neda</w:t>
      </w:r>
      <w:r w:rsidRPr="00F5723F">
        <w:rPr>
          <w:rFonts w:ascii="Arial" w:hAnsi="Arial" w:cs="Arial"/>
          <w:i/>
          <w:sz w:val="16"/>
          <w:szCs w:val="16"/>
        </w:rPr>
        <w:t>n</w:t>
      </w:r>
      <w:r w:rsidRPr="00F5723F">
        <w:rPr>
          <w:rFonts w:ascii="Arial" w:hAnsi="Arial" w:cs="Arial"/>
          <w:i/>
          <w:sz w:val="16"/>
          <w:szCs w:val="16"/>
        </w:rPr>
        <w:t>stående uppgifter?</w:t>
      </w:r>
      <w:r w:rsidRPr="00F5723F">
        <w:rPr>
          <w:rFonts w:ascii="Arial" w:hAnsi="Arial" w:cs="Arial"/>
          <w:sz w:val="16"/>
          <w:szCs w:val="16"/>
        </w:rPr>
        <w:t>”</w:t>
      </w:r>
      <w:r w:rsidRPr="00F5723F">
        <w:rPr>
          <w:rFonts w:ascii="Arial" w:hAnsi="Arial" w:cs="Arial"/>
          <w:i/>
          <w:sz w:val="16"/>
          <w:szCs w:val="16"/>
        </w:rPr>
        <w:t xml:space="preserve"> </w:t>
      </w:r>
      <w:r w:rsidRPr="00F5723F">
        <w:rPr>
          <w:rFonts w:ascii="Arial" w:hAnsi="Arial" w:cs="Arial"/>
          <w:sz w:val="16"/>
          <w:szCs w:val="16"/>
        </w:rPr>
        <w:t>Svarsalternative</w:t>
      </w:r>
      <w:r w:rsidRPr="00F5723F">
        <w:rPr>
          <w:rFonts w:ascii="Arial" w:hAnsi="Arial" w:cs="Arial"/>
          <w:sz w:val="16"/>
          <w:szCs w:val="16"/>
        </w:rPr>
        <w:t>n har varit</w:t>
      </w:r>
      <w:r w:rsidRPr="00F5723F">
        <w:rPr>
          <w:rFonts w:ascii="Arial" w:hAnsi="Arial" w:cs="Arial"/>
          <w:i/>
          <w:sz w:val="16"/>
          <w:szCs w:val="16"/>
        </w:rPr>
        <w:t xml:space="preserve"> </w:t>
      </w:r>
      <w:r w:rsidRPr="00F5723F">
        <w:rPr>
          <w:rFonts w:ascii="Arial" w:hAnsi="Arial" w:cs="Arial"/>
          <w:sz w:val="16"/>
          <w:szCs w:val="16"/>
        </w:rPr>
        <w:t>”</w:t>
      </w:r>
      <w:r w:rsidRPr="00F5723F">
        <w:rPr>
          <w:rFonts w:ascii="Arial" w:hAnsi="Arial" w:cs="Arial"/>
          <w:i/>
          <w:sz w:val="16"/>
          <w:szCs w:val="16"/>
        </w:rPr>
        <w:t>mycket bra</w:t>
      </w:r>
      <w:r w:rsidRPr="00F5723F">
        <w:rPr>
          <w:rFonts w:ascii="Arial" w:hAnsi="Arial" w:cs="Arial"/>
          <w:sz w:val="16"/>
          <w:szCs w:val="16"/>
        </w:rPr>
        <w:t>”</w:t>
      </w:r>
      <w:r w:rsidRPr="00F5723F">
        <w:rPr>
          <w:rFonts w:ascii="Arial" w:hAnsi="Arial" w:cs="Arial"/>
          <w:sz w:val="16"/>
          <w:szCs w:val="16"/>
        </w:rPr>
        <w:t>,</w:t>
      </w:r>
      <w:r w:rsidRPr="00F5723F">
        <w:rPr>
          <w:rFonts w:ascii="Arial" w:hAnsi="Arial" w:cs="Arial"/>
          <w:i/>
          <w:sz w:val="16"/>
          <w:szCs w:val="16"/>
        </w:rPr>
        <w:t xml:space="preserve"> </w:t>
      </w:r>
      <w:r w:rsidRPr="00F5723F">
        <w:rPr>
          <w:rFonts w:ascii="Arial" w:hAnsi="Arial" w:cs="Arial"/>
          <w:sz w:val="16"/>
          <w:szCs w:val="16"/>
        </w:rPr>
        <w:t>”</w:t>
      </w:r>
      <w:r w:rsidRPr="00F5723F">
        <w:rPr>
          <w:rFonts w:ascii="Arial" w:hAnsi="Arial" w:cs="Arial"/>
          <w:i/>
          <w:sz w:val="16"/>
          <w:szCs w:val="16"/>
        </w:rPr>
        <w:t>ganska bra</w:t>
      </w:r>
      <w:r w:rsidRPr="00F5723F">
        <w:rPr>
          <w:rFonts w:ascii="Arial" w:hAnsi="Arial" w:cs="Arial"/>
          <w:sz w:val="16"/>
          <w:szCs w:val="16"/>
        </w:rPr>
        <w:t>”</w:t>
      </w:r>
      <w:r w:rsidRPr="00F5723F">
        <w:rPr>
          <w:rFonts w:ascii="Arial" w:hAnsi="Arial" w:cs="Arial"/>
          <w:sz w:val="16"/>
          <w:szCs w:val="16"/>
        </w:rPr>
        <w:t>,</w:t>
      </w:r>
      <w:r w:rsidRPr="00F5723F">
        <w:rPr>
          <w:rFonts w:ascii="Arial" w:hAnsi="Arial" w:cs="Arial"/>
          <w:i/>
          <w:sz w:val="16"/>
          <w:szCs w:val="16"/>
        </w:rPr>
        <w:t xml:space="preserve"> </w:t>
      </w:r>
      <w:r w:rsidRPr="00F5723F">
        <w:rPr>
          <w:rFonts w:ascii="Arial" w:hAnsi="Arial" w:cs="Arial"/>
          <w:sz w:val="16"/>
          <w:szCs w:val="16"/>
        </w:rPr>
        <w:t>”</w:t>
      </w:r>
      <w:r w:rsidRPr="00F5723F">
        <w:rPr>
          <w:rFonts w:ascii="Arial" w:hAnsi="Arial" w:cs="Arial"/>
          <w:i/>
          <w:sz w:val="16"/>
          <w:szCs w:val="16"/>
        </w:rPr>
        <w:t>va</w:t>
      </w:r>
      <w:r w:rsidRPr="00F5723F">
        <w:rPr>
          <w:rFonts w:ascii="Arial" w:hAnsi="Arial" w:cs="Arial"/>
          <w:i/>
          <w:sz w:val="16"/>
          <w:szCs w:val="16"/>
        </w:rPr>
        <w:t>r</w:t>
      </w:r>
      <w:r w:rsidRPr="00F5723F">
        <w:rPr>
          <w:rFonts w:ascii="Arial" w:hAnsi="Arial" w:cs="Arial"/>
          <w:i/>
          <w:sz w:val="16"/>
          <w:szCs w:val="16"/>
        </w:rPr>
        <w:t>ken bra eller dåligt</w:t>
      </w:r>
      <w:r w:rsidRPr="00F5723F">
        <w:rPr>
          <w:rFonts w:ascii="Arial" w:hAnsi="Arial" w:cs="Arial"/>
          <w:sz w:val="16"/>
          <w:szCs w:val="16"/>
        </w:rPr>
        <w:t>”</w:t>
      </w:r>
      <w:r w:rsidRPr="00F5723F">
        <w:rPr>
          <w:rFonts w:ascii="Arial" w:hAnsi="Arial" w:cs="Arial"/>
          <w:sz w:val="16"/>
          <w:szCs w:val="16"/>
        </w:rPr>
        <w:t>,</w:t>
      </w:r>
      <w:r w:rsidRPr="00F5723F">
        <w:rPr>
          <w:rFonts w:ascii="Arial" w:hAnsi="Arial" w:cs="Arial"/>
          <w:i/>
          <w:sz w:val="16"/>
          <w:szCs w:val="16"/>
        </w:rPr>
        <w:t xml:space="preserve"> </w:t>
      </w:r>
      <w:r w:rsidRPr="00F5723F">
        <w:rPr>
          <w:rFonts w:ascii="Arial" w:hAnsi="Arial" w:cs="Arial"/>
          <w:sz w:val="16"/>
          <w:szCs w:val="16"/>
        </w:rPr>
        <w:t>”</w:t>
      </w:r>
      <w:r w:rsidRPr="00F5723F">
        <w:rPr>
          <w:rFonts w:ascii="Arial" w:hAnsi="Arial" w:cs="Arial"/>
          <w:i/>
          <w:sz w:val="16"/>
          <w:szCs w:val="16"/>
        </w:rPr>
        <w:t>ganska dåligt</w:t>
      </w:r>
      <w:r w:rsidRPr="00F5723F">
        <w:rPr>
          <w:rFonts w:ascii="Arial" w:hAnsi="Arial" w:cs="Arial"/>
          <w:sz w:val="16"/>
          <w:szCs w:val="16"/>
        </w:rPr>
        <w:t>”</w:t>
      </w:r>
      <w:r w:rsidRPr="00F5723F">
        <w:rPr>
          <w:rFonts w:ascii="Arial" w:hAnsi="Arial" w:cs="Arial"/>
          <w:i/>
          <w:sz w:val="16"/>
          <w:szCs w:val="16"/>
        </w:rPr>
        <w:t xml:space="preserve"> </w:t>
      </w:r>
      <w:r w:rsidRPr="00F5723F">
        <w:rPr>
          <w:rFonts w:ascii="Arial" w:hAnsi="Arial" w:cs="Arial"/>
          <w:sz w:val="16"/>
          <w:szCs w:val="16"/>
        </w:rPr>
        <w:t>och</w:t>
      </w:r>
      <w:r w:rsidRPr="00F5723F">
        <w:rPr>
          <w:rFonts w:ascii="Arial" w:hAnsi="Arial" w:cs="Arial"/>
          <w:i/>
          <w:sz w:val="16"/>
          <w:szCs w:val="16"/>
        </w:rPr>
        <w:t xml:space="preserve"> </w:t>
      </w:r>
      <w:r w:rsidRPr="00F5723F">
        <w:rPr>
          <w:rFonts w:ascii="Arial" w:hAnsi="Arial" w:cs="Arial"/>
          <w:sz w:val="16"/>
          <w:szCs w:val="16"/>
        </w:rPr>
        <w:t>”</w:t>
      </w:r>
      <w:r w:rsidRPr="00F5723F">
        <w:rPr>
          <w:rFonts w:ascii="Arial" w:hAnsi="Arial" w:cs="Arial"/>
          <w:i/>
          <w:sz w:val="16"/>
          <w:szCs w:val="16"/>
        </w:rPr>
        <w:t>mycket dåligt</w:t>
      </w:r>
      <w:r w:rsidRPr="00F5723F">
        <w:rPr>
          <w:rFonts w:ascii="Arial" w:hAnsi="Arial" w:cs="Arial"/>
          <w:sz w:val="16"/>
          <w:szCs w:val="16"/>
        </w:rPr>
        <w:t>”</w:t>
      </w:r>
      <w:r w:rsidRPr="00F5723F">
        <w:rPr>
          <w:rFonts w:ascii="Arial" w:hAnsi="Arial" w:cs="Arial"/>
          <w:i/>
          <w:sz w:val="16"/>
          <w:szCs w:val="16"/>
        </w:rPr>
        <w:t xml:space="preserve">. </w:t>
      </w:r>
      <w:r w:rsidRPr="00F5723F">
        <w:rPr>
          <w:rFonts w:ascii="Arial" w:hAnsi="Arial" w:cs="Arial"/>
          <w:b/>
          <w:sz w:val="16"/>
          <w:szCs w:val="16"/>
        </w:rPr>
        <w:t xml:space="preserve">Källa: </w:t>
      </w:r>
      <w:r w:rsidRPr="00F5723F">
        <w:rPr>
          <w:rFonts w:ascii="Arial" w:hAnsi="Arial" w:cs="Arial"/>
          <w:i/>
          <w:sz w:val="16"/>
          <w:szCs w:val="16"/>
        </w:rPr>
        <w:t>SOM-undersökningarna 1998 och 2002 samt riksdagsundersökningarna Riksdagskand</w:t>
      </w:r>
      <w:r w:rsidRPr="00F5723F">
        <w:rPr>
          <w:rFonts w:ascii="Arial" w:hAnsi="Arial" w:cs="Arial"/>
          <w:i/>
          <w:sz w:val="16"/>
          <w:szCs w:val="16"/>
        </w:rPr>
        <w:t>i</w:t>
      </w:r>
      <w:r w:rsidRPr="00F5723F">
        <w:rPr>
          <w:rFonts w:ascii="Arial" w:hAnsi="Arial" w:cs="Arial"/>
          <w:i/>
          <w:sz w:val="16"/>
          <w:szCs w:val="16"/>
        </w:rPr>
        <w:t>dat 1998 och Riksdagsenkät 2002.</w:t>
      </w:r>
    </w:p>
    <w:p w:rsidR="00B43C57" w:rsidRPr="00F5723F" w:rsidRDefault="00B43C57">
      <w:r w:rsidRPr="00F5723F">
        <w:lastRenderedPageBreak/>
        <w:t>Riksdagsledamöter gör i de allra flesta fall mer positiva bedömningar av hur riksdagen hanterar de olika uppgifterna. Endast för två av sju uppgifter är andelen dåligt större än andelen bra, vilket kan jämföras med medborgarna där tre av sju uppgifter uppmäter ett negativt balansmått och y</w:t>
      </w:r>
      <w:r w:rsidRPr="00F5723F">
        <w:t>tterligare ett hamnar på jämviktspunkten (±0). I nästan samtliga fall är dessutom balan</w:t>
      </w:r>
      <w:r w:rsidRPr="00F5723F">
        <w:t>s</w:t>
      </w:r>
      <w:r w:rsidRPr="00F5723F">
        <w:t xml:space="preserve">måtten som uppmäts för riksdagens ledamöter mer positiva jämfört med motsvarande balansmått bland medborgare. </w:t>
      </w:r>
    </w:p>
    <w:p w:rsidR="00B43C57" w:rsidRPr="00F5723F" w:rsidRDefault="00B43C57">
      <w:pPr>
        <w:pStyle w:val="Normaltindrag"/>
      </w:pPr>
      <w:r w:rsidRPr="00F5723F">
        <w:t>Om fem av riksdagens uppgifter är ledamöternas bedömning huvudsakl</w:t>
      </w:r>
      <w:r w:rsidRPr="00F5723F">
        <w:t>i</w:t>
      </w:r>
      <w:r w:rsidRPr="00F5723F">
        <w:t>gen positiv. Det framgår av att andelen ledamöter som tycker att riksdagen sköter dessa uppgifter bra är större än andelen riksdagsledamöter som tycker att riksdagen sköter uppgifterna dåligt. Balansmåtten för uppgifterna att öve</w:t>
      </w:r>
      <w:r w:rsidRPr="00F5723F">
        <w:t>r</w:t>
      </w:r>
      <w:r w:rsidRPr="00F5723F">
        <w:t>vaka regeringens arbete (+53), fatta avgörande beslut (+46), avspegla åsikt</w:t>
      </w:r>
      <w:r w:rsidRPr="00F5723F">
        <w:t>s</w:t>
      </w:r>
      <w:r w:rsidRPr="00F5723F">
        <w:t>fördelningen bland väljarna (+45), ta initiativ i frågor som inte tas upp av regeringen (+30) samt bevaka utvecklingen inom EU (+11) är därför positiva. För de två andra uppgifterna är däremot andelen riks</w:t>
      </w:r>
      <w:r w:rsidRPr="00F5723F">
        <w:t>dagsledamöter som tyc</w:t>
      </w:r>
      <w:r w:rsidRPr="00F5723F">
        <w:t>k</w:t>
      </w:r>
      <w:r w:rsidRPr="00F5723F">
        <w:t>er att riksdagen hanterar uppgifterna dåligt större än andelen som tycker att riksdagen hanterar dessa uppgifter bra. Det gäller både uppgiften att vara central debattarena (–9) och att förutse framtida problem innan de blir ak</w:t>
      </w:r>
      <w:r w:rsidRPr="00F5723F">
        <w:t>u</w:t>
      </w:r>
      <w:r w:rsidRPr="00F5723F">
        <w:t xml:space="preserve">ta (–22). </w:t>
      </w:r>
    </w:p>
    <w:p w:rsidR="00B43C57" w:rsidRPr="00F5723F" w:rsidRDefault="00B43C57">
      <w:pPr>
        <w:pStyle w:val="Normaltindrag"/>
      </w:pPr>
      <w:r w:rsidRPr="00F5723F">
        <w:t>Riksdagsledamöternas bedömningar av riksdagen och riksdagens ledam</w:t>
      </w:r>
      <w:r w:rsidRPr="00F5723F">
        <w:t>ö</w:t>
      </w:r>
      <w:r w:rsidRPr="00F5723F">
        <w:t>ter har blivit mer positiva mellan 1998 och 2002 i fyra fall och mer neg</w:t>
      </w:r>
      <w:r w:rsidRPr="00F5723F">
        <w:t>a</w:t>
      </w:r>
      <w:r w:rsidRPr="00F5723F">
        <w:t>tiva i tre.</w:t>
      </w:r>
      <w:r w:rsidRPr="00F5723F">
        <w:rPr>
          <w:rStyle w:val="Fotnotsreferens"/>
        </w:rPr>
        <w:footnoteReference w:id="16"/>
      </w:r>
      <w:r w:rsidRPr="00F5723F">
        <w:t xml:space="preserve"> Ledamöterna är i jämförelse med 1998 mindre nöjda med hur riksdagen fullgör uppgifterna att fatta avgörande beslut, övervaka regerin</w:t>
      </w:r>
      <w:r w:rsidRPr="00F5723F">
        <w:t>g</w:t>
      </w:r>
      <w:r w:rsidRPr="00F5723F">
        <w:t>en och vara central debattarena. Däremot är ledamöterna mer positiva till de fyra andra uppgifterna jämfört med bedömningarna fyra år tidigare. Högre b</w:t>
      </w:r>
      <w:r w:rsidRPr="00F5723F">
        <w:t>a</w:t>
      </w:r>
      <w:r w:rsidRPr="00F5723F">
        <w:t>lansmått uppmäts för riksdagsledamöterna 2002 jämfört med 1998 när vi ser till up</w:t>
      </w:r>
      <w:r w:rsidRPr="00F5723F">
        <w:t>p</w:t>
      </w:r>
      <w:r w:rsidRPr="00F5723F">
        <w:t>gifterna att förutse framtida problem, avspegla åsiktsfördelnin</w:t>
      </w:r>
      <w:r w:rsidRPr="00F5723F">
        <w:t>g</w:t>
      </w:r>
      <w:r w:rsidRPr="00F5723F">
        <w:t>en, ta initiativ i frågor som inte tas upp av regeringen och bevaka utvec</w:t>
      </w:r>
      <w:r w:rsidRPr="00F5723F">
        <w:t>k</w:t>
      </w:r>
      <w:r w:rsidRPr="00F5723F">
        <w:t>lingen</w:t>
      </w:r>
      <w:r w:rsidRPr="00F5723F">
        <w:t xml:space="preserve"> inom EU. </w:t>
      </w:r>
    </w:p>
    <w:p w:rsidR="00B43C57" w:rsidRPr="00F5723F" w:rsidRDefault="00B43C57">
      <w:pPr>
        <w:pStyle w:val="Normaltindrag"/>
      </w:pPr>
      <w:r w:rsidRPr="00F5723F">
        <w:t>Riksdagsledamöter och medborgare rangordnar uppgifterna efter bedö</w:t>
      </w:r>
      <w:r w:rsidRPr="00F5723F">
        <w:t>m</w:t>
      </w:r>
      <w:r w:rsidRPr="00F5723F">
        <w:t>ningen av hur väl de fullgörs på ett likartat sätt, även om rangordningarna var mer överensstämmande 1998.</w:t>
      </w:r>
      <w:r w:rsidRPr="00F5723F">
        <w:rPr>
          <w:rStyle w:val="Fotnotsreferens"/>
        </w:rPr>
        <w:footnoteReference w:id="17"/>
      </w:r>
      <w:r w:rsidRPr="00F5723F">
        <w:t xml:space="preserve"> Riksdagsledamöter och medborgare är till exe</w:t>
      </w:r>
      <w:r w:rsidRPr="00F5723F">
        <w:t>m</w:t>
      </w:r>
      <w:r w:rsidRPr="00F5723F">
        <w:t>pel överens om vilka två uppgifter som riksdagen hanterar bäst (fatta avgörande beslut och övervaka regeringen). Likaså är medborgare och fol</w:t>
      </w:r>
      <w:r w:rsidRPr="00F5723F">
        <w:t>k</w:t>
      </w:r>
      <w:r w:rsidRPr="00F5723F">
        <w:t>valda överens om att riksdagen är minst bra på att förutse framt</w:t>
      </w:r>
      <w:r w:rsidRPr="00F5723F">
        <w:t>i</w:t>
      </w:r>
      <w:r w:rsidRPr="00F5723F">
        <w:t xml:space="preserve">dens problem. Bara när det gäller att avspegla åsiktsfördelningen bland väljarna märks en </w:t>
      </w:r>
      <w:r w:rsidRPr="00F5723F">
        <w:lastRenderedPageBreak/>
        <w:t>markerad skillnad. Medborgarna är inte lika positiva i sina b</w:t>
      </w:r>
      <w:r w:rsidRPr="00F5723F">
        <w:t>e</w:t>
      </w:r>
      <w:r w:rsidRPr="00F5723F">
        <w:t xml:space="preserve">dömningar av denna uppgift som riksdagsledamöterna själva är. </w:t>
      </w:r>
    </w:p>
    <w:p w:rsidR="00B43C57" w:rsidRPr="00F5723F" w:rsidRDefault="00B43C57">
      <w:pPr>
        <w:pStyle w:val="Normaltindrag"/>
      </w:pPr>
      <w:r w:rsidRPr="00F5723F">
        <w:t>Problembilden hos riksdagsledamöter och medb</w:t>
      </w:r>
      <w:r w:rsidRPr="00F5723F">
        <w:t>orgare är således densa</w:t>
      </w:r>
      <w:r w:rsidRPr="00F5723F">
        <w:t>m</w:t>
      </w:r>
      <w:r w:rsidRPr="00F5723F">
        <w:t>ma: Man är överens om riksdagens starka och svaga sidor. Resultaten kan något ställas i relation till tidigare forskning där till exempel Peter Esaiasson visat att riksdagsledamöter inte lyckats särskilt bra med den svåra uppgiften att förutse framtida problem för att kunna vidta lämpliga åtgärder innan pr</w:t>
      </w:r>
      <w:r w:rsidRPr="00F5723F">
        <w:t>o</w:t>
      </w:r>
      <w:r w:rsidRPr="00F5723F">
        <w:t>blemen blir akuta (Esaiasson &amp; Holmberg 1996:171 ff.). Sören Hol</w:t>
      </w:r>
      <w:r w:rsidRPr="00F5723F">
        <w:t>m</w:t>
      </w:r>
      <w:r w:rsidRPr="00F5723F">
        <w:t>berg har i en rad studier undersökt hur väl riksdagsledamöter avspeglar åsiktsförde</w:t>
      </w:r>
      <w:r w:rsidRPr="00F5723F">
        <w:t>l</w:t>
      </w:r>
      <w:r w:rsidRPr="00F5723F">
        <w:t>ningen bland väljarna och kommi</w:t>
      </w:r>
      <w:r w:rsidRPr="00F5723F">
        <w:t>t fram till att svensk åsiktsöverensstämmelse inte är högre än i de andra nordiska länderna eller i länder som Tyskland, Frankrike och USA samt att åsiktsrepresentationen till och med är sämre än vad som skulle ha åstadkommits genom en lottningspr</w:t>
      </w:r>
      <w:r w:rsidRPr="00F5723F">
        <w:t>o</w:t>
      </w:r>
      <w:r w:rsidRPr="00F5723F">
        <w:t>cedur (se till exempel Holmberg 1996; 1999a; 1999b).</w:t>
      </w:r>
      <w:r w:rsidRPr="00F5723F">
        <w:rPr>
          <w:rStyle w:val="Fotnotsreferens"/>
        </w:rPr>
        <w:footnoteReference w:id="18"/>
      </w:r>
      <w:r w:rsidRPr="00F5723F">
        <w:t xml:space="preserve"> Det förefaller således som om medborga</w:t>
      </w:r>
      <w:r w:rsidRPr="00F5723F">
        <w:t>r</w:t>
      </w:r>
      <w:r w:rsidRPr="00F5723F">
        <w:t>nas respektive riksdagsledamöternas utvärdering av rik</w:t>
      </w:r>
      <w:r w:rsidRPr="00F5723F">
        <w:t>s</w:t>
      </w:r>
      <w:r w:rsidRPr="00F5723F">
        <w:t>dagen inte bara står i överensstämmelse med varandra utan också i någorlu</w:t>
      </w:r>
      <w:r w:rsidRPr="00F5723F">
        <w:t>n</w:t>
      </w:r>
      <w:r w:rsidRPr="00F5723F">
        <w:t>da överensstämmelse med tidigare forskningsresultat.</w:t>
      </w:r>
    </w:p>
    <w:p w:rsidR="00B43C57" w:rsidRPr="00F5723F" w:rsidRDefault="00B43C57">
      <w:pPr>
        <w:pStyle w:val="Rubrik2"/>
      </w:pPr>
      <w:bookmarkStart w:id="13" w:name="_Toc121738881"/>
      <w:bookmarkStart w:id="14" w:name="_Toc124697775"/>
      <w:r w:rsidRPr="00F5723F">
        <w:t>Avslutande reflexioner</w:t>
      </w:r>
      <w:bookmarkEnd w:id="13"/>
      <w:bookmarkEnd w:id="14"/>
    </w:p>
    <w:p w:rsidR="00B43C57" w:rsidRPr="00F5723F" w:rsidRDefault="00B43C57">
      <w:r w:rsidRPr="00F5723F">
        <w:t>En viktig slutsats av kapitlet är att politiska val tenderar att fungera som m</w:t>
      </w:r>
      <w:r w:rsidRPr="00F5723F">
        <w:t>o</w:t>
      </w:r>
      <w:r w:rsidRPr="00F5723F">
        <w:t>torer för utvecklingen av förtroendet för riksdagen. Förtroendet stiger under valåren för att falla tillbaka något året därpå. En annan viktig slutsats är att det finns skäl att se förtroendet för nationella parlament i ljuset av hur männ</w:t>
      </w:r>
      <w:r w:rsidRPr="00F5723F">
        <w:t>i</w:t>
      </w:r>
      <w:r w:rsidRPr="00F5723F">
        <w:t>skor uppfattar att parlamenten hanterar olika uppgifter. Människors allmänna och generella bedömning av förtroendet för riksdagen visade sig vara starkt kopplat till de bedömningar som görs av hur riksdagen hanterar de funktioner institutionen har i det representativa sty</w:t>
      </w:r>
      <w:r w:rsidRPr="00F5723F">
        <w:t xml:space="preserve">relseskicket. </w:t>
      </w:r>
    </w:p>
    <w:p w:rsidR="00B43C57" w:rsidRPr="00F5723F" w:rsidRDefault="00B43C57">
      <w:pPr>
        <w:pStyle w:val="Normaltindrag"/>
      </w:pPr>
      <w:r w:rsidRPr="00F5723F">
        <w:t>Förtroendet för riksdagen har säkert flera förklaringar. Det står dock klart att förtroendet i en inte ringa utsträckning bestäms av medborgarbedömnin</w:t>
      </w:r>
      <w:r w:rsidRPr="00F5723F">
        <w:t>g</w:t>
      </w:r>
      <w:r w:rsidRPr="00F5723F">
        <w:t>arna av hur riksdagen hanterar ett antal olika uppgifter. Ett sådant resu</w:t>
      </w:r>
      <w:r w:rsidRPr="00F5723F">
        <w:t>l</w:t>
      </w:r>
      <w:r w:rsidRPr="00F5723F">
        <w:t>tat pekar i en bestämd riktning. Förtroendet för riksdagen är inte oberoende av instit</w:t>
      </w:r>
      <w:r w:rsidRPr="00F5723F">
        <w:t>u</w:t>
      </w:r>
      <w:r w:rsidRPr="00F5723F">
        <w:t>tionella spelregler och de eventuella institutionella brister som omger det parlamentariska arbetet. Medborgare utvecklar sin bedömning av förtr</w:t>
      </w:r>
      <w:r w:rsidRPr="00F5723F">
        <w:t>o</w:t>
      </w:r>
      <w:r w:rsidRPr="00F5723F">
        <w:t>endet för riksdagen i nära samklang med i vilken utsträckning de b</w:t>
      </w:r>
      <w:r w:rsidRPr="00F5723F">
        <w:t>e</w:t>
      </w:r>
      <w:r w:rsidRPr="00F5723F">
        <w:t>dömer att riksdagen hanterar olika uppgifter bra eller dåligt. En given rese</w:t>
      </w:r>
      <w:r w:rsidRPr="00F5723F">
        <w:t>r</w:t>
      </w:r>
      <w:r w:rsidRPr="00F5723F">
        <w:t>vation som bör föras in i resonemanget är att både den allmän</w:t>
      </w:r>
      <w:r w:rsidRPr="00F5723F">
        <w:t>na bedömningen av förtr</w:t>
      </w:r>
      <w:r w:rsidRPr="00F5723F">
        <w:t>o</w:t>
      </w:r>
      <w:r w:rsidRPr="00F5723F">
        <w:t>endet för riksdagen och de olika bedömningarna av hur riksdagen fullgör sina uppgifter skulle kunna föras tillbaka på andra förkla</w:t>
      </w:r>
      <w:r w:rsidRPr="00F5723F">
        <w:t>r</w:t>
      </w:r>
      <w:r w:rsidRPr="00F5723F">
        <w:t>ingsfaktorer, vilka i föreli</w:t>
      </w:r>
      <w:r w:rsidRPr="00F5723F">
        <w:t>g</w:t>
      </w:r>
      <w:r w:rsidRPr="00F5723F">
        <w:t xml:space="preserve">gande undersökning inte har beaktats. Syftet har, som tidigare nämnts, </w:t>
      </w:r>
      <w:r w:rsidRPr="00F5723F">
        <w:lastRenderedPageBreak/>
        <w:t>varit begränsat till att se om det över huvud taget är relevant att föra in b</w:t>
      </w:r>
      <w:r w:rsidRPr="00F5723F">
        <w:t>e</w:t>
      </w:r>
      <w:r w:rsidRPr="00F5723F">
        <w:t>dömnin</w:t>
      </w:r>
      <w:r w:rsidRPr="00F5723F">
        <w:t>g</w:t>
      </w:r>
      <w:r w:rsidRPr="00F5723F">
        <w:t>ar av hur riksdagen sköter sina demokratiska uppgifter som tänkbara förklaringar till utvecklingen av det generella förtr</w:t>
      </w:r>
      <w:r w:rsidRPr="00F5723F">
        <w:t>o</w:t>
      </w:r>
      <w:r w:rsidRPr="00F5723F">
        <w:t xml:space="preserve">endet för institutionen. </w:t>
      </w:r>
    </w:p>
    <w:p w:rsidR="00B43C57" w:rsidRPr="00F5723F" w:rsidRDefault="00B43C57">
      <w:pPr>
        <w:pStyle w:val="Normaltindrag"/>
      </w:pPr>
      <w:r w:rsidRPr="00F5723F">
        <w:t>I båda fallen, förekomst</w:t>
      </w:r>
      <w:r w:rsidRPr="00F5723F">
        <w:t>en av en elektoral cykel och förekomsten av en koppling mellan bedömningen av hur riksdagen hanterar sina uppgifter och förtr</w:t>
      </w:r>
      <w:r w:rsidRPr="00F5723F">
        <w:t>o</w:t>
      </w:r>
      <w:r w:rsidRPr="00F5723F">
        <w:t xml:space="preserve">endebedömningen av institutionen, finns det alltså anledning att lyfta fram resultaten i ett institutionellt och konstitutionellt sammanhang. Det politiska systemets utformning och utförandet av demokratins funktioner har betydelse för människors förtroendebedömningar. </w:t>
      </w:r>
    </w:p>
    <w:p w:rsidR="00B43C57" w:rsidRPr="00F5723F" w:rsidRDefault="00B43C57">
      <w:pPr>
        <w:pStyle w:val="Rubrik2"/>
        <w:spacing w:before="0"/>
      </w:pPr>
      <w:bookmarkStart w:id="15" w:name="_Toc121738882"/>
      <w:r w:rsidRPr="00F5723F">
        <w:br w:type="page"/>
      </w:r>
      <w:bookmarkStart w:id="16" w:name="_Toc124697776"/>
      <w:r w:rsidRPr="00F5723F">
        <w:lastRenderedPageBreak/>
        <w:t>Referenser</w:t>
      </w:r>
      <w:bookmarkEnd w:id="15"/>
      <w:bookmarkEnd w:id="16"/>
    </w:p>
    <w:p w:rsidR="00B43C57" w:rsidRPr="00F5723F" w:rsidRDefault="00B43C57">
      <w:pPr>
        <w:spacing w:line="240" w:lineRule="auto"/>
        <w:ind w:left="284" w:hanging="284"/>
      </w:pPr>
      <w:r w:rsidRPr="00F5723F">
        <w:t xml:space="preserve">Brothén, M. (1998) ”Fallande förtroende för riksdagen”, i Holmberg, S. </w:t>
      </w:r>
      <w:r w:rsidRPr="00F5723F">
        <w:t xml:space="preserve">&amp; Weibull, L. (red.) </w:t>
      </w:r>
      <w:r w:rsidRPr="00F5723F">
        <w:rPr>
          <w:i/>
        </w:rPr>
        <w:t>Opinionssamhället</w:t>
      </w:r>
      <w:r w:rsidRPr="00F5723F">
        <w:t>, SOM-rapport nr 20, s. 49–68, G</w:t>
      </w:r>
      <w:r w:rsidRPr="00F5723F">
        <w:t>ö</w:t>
      </w:r>
      <w:r w:rsidRPr="00F5723F">
        <w:t xml:space="preserve">teborg: SOM-institutet. </w:t>
      </w:r>
    </w:p>
    <w:p w:rsidR="00B43C57" w:rsidRPr="00F5723F" w:rsidRDefault="00B43C57">
      <w:pPr>
        <w:spacing w:line="240" w:lineRule="auto"/>
        <w:ind w:left="284" w:hanging="284"/>
      </w:pPr>
      <w:r w:rsidRPr="00F5723F">
        <w:t>Brothén, M. (1999) ”Stigande förtroende för riksdagen under valår”, i Hol</w:t>
      </w:r>
      <w:r w:rsidRPr="00F5723F">
        <w:t>m</w:t>
      </w:r>
      <w:r w:rsidRPr="00F5723F">
        <w:t xml:space="preserve">berg, S. &amp; Weibull, L. (red.) </w:t>
      </w:r>
      <w:r w:rsidRPr="00F5723F">
        <w:rPr>
          <w:i/>
        </w:rPr>
        <w:t>Ljusnande framtid</w:t>
      </w:r>
      <w:r w:rsidRPr="00F5723F">
        <w:t>,</w:t>
      </w:r>
      <w:r w:rsidRPr="00F5723F">
        <w:rPr>
          <w:i/>
        </w:rPr>
        <w:t xml:space="preserve"> </w:t>
      </w:r>
      <w:r w:rsidRPr="00F5723F">
        <w:t xml:space="preserve">SOM-undersökningen 1998, SOM-rapport nr 22, Göteborg: SOM-institutet. </w:t>
      </w:r>
    </w:p>
    <w:p w:rsidR="00B43C57" w:rsidRPr="00F5723F" w:rsidRDefault="00B43C57">
      <w:pPr>
        <w:spacing w:line="240" w:lineRule="auto"/>
        <w:ind w:left="284" w:hanging="284"/>
      </w:pPr>
      <w:r w:rsidRPr="00F5723F">
        <w:t xml:space="preserve">Brothén, M. (2002) ”I kontakt med riksdagen”, i Holmberg, S. &amp; Weibull, L. (red.) </w:t>
      </w:r>
      <w:r w:rsidRPr="00F5723F">
        <w:rPr>
          <w:i/>
        </w:rPr>
        <w:t>Det våras för politiken. Trettiotvå artiklar om politik, medier och samhälle</w:t>
      </w:r>
      <w:r w:rsidRPr="00F5723F">
        <w:t>,</w:t>
      </w:r>
      <w:r w:rsidRPr="00F5723F">
        <w:rPr>
          <w:i/>
        </w:rPr>
        <w:t xml:space="preserve"> </w:t>
      </w:r>
      <w:r w:rsidRPr="00F5723F">
        <w:t>SOM-undersökningen 2001, SOM-rapport nr 30, Göteborg: SOM-institutet.</w:t>
      </w:r>
    </w:p>
    <w:p w:rsidR="00B43C57" w:rsidRPr="00F5723F" w:rsidRDefault="00B43C57">
      <w:pPr>
        <w:spacing w:line="240" w:lineRule="auto"/>
        <w:ind w:left="284" w:hanging="284"/>
      </w:pPr>
      <w:r w:rsidRPr="00F5723F">
        <w:t>Damgaard, E. (2000) ”Parliament and Government”, i Esaiasson, P. &amp; He</w:t>
      </w:r>
      <w:r w:rsidRPr="00F5723F">
        <w:t>i</w:t>
      </w:r>
      <w:r w:rsidRPr="00F5723F">
        <w:t xml:space="preserve">dar, K. (red.) </w:t>
      </w:r>
      <w:r w:rsidRPr="00F5723F">
        <w:rPr>
          <w:i/>
        </w:rPr>
        <w:t>Beyond Westminister and Congress. The Nordic Exper</w:t>
      </w:r>
      <w:r w:rsidRPr="00F5723F">
        <w:rPr>
          <w:i/>
        </w:rPr>
        <w:t>i</w:t>
      </w:r>
      <w:r w:rsidRPr="00F5723F">
        <w:rPr>
          <w:i/>
        </w:rPr>
        <w:t>ence</w:t>
      </w:r>
      <w:r w:rsidRPr="00F5723F">
        <w:t xml:space="preserve">, </w:t>
      </w:r>
      <w:smartTag w:uri="urn:schemas-microsoft-com:office:smarttags" w:element="State">
        <w:r w:rsidRPr="00F5723F">
          <w:t>Ohio</w:t>
        </w:r>
      </w:smartTag>
      <w:r w:rsidRPr="00F5723F">
        <w:t xml:space="preserve">: </w:t>
      </w:r>
      <w:smartTag w:uri="urn:schemas-microsoft-com:office:smarttags" w:element="place">
        <w:smartTag w:uri="urn:schemas-microsoft-com:office:smarttags" w:element="PlaceName">
          <w:r w:rsidRPr="00F5723F">
            <w:t>Ohio</w:t>
          </w:r>
        </w:smartTag>
        <w:r w:rsidRPr="00F5723F">
          <w:t xml:space="preserve"> </w:t>
        </w:r>
        <w:smartTag w:uri="urn:schemas-microsoft-com:office:smarttags" w:element="PlaceType">
          <w:r w:rsidRPr="00F5723F">
            <w:t>University</w:t>
          </w:r>
        </w:smartTag>
      </w:smartTag>
      <w:r w:rsidRPr="00F5723F">
        <w:t xml:space="preserve"> Press. </w:t>
      </w:r>
    </w:p>
    <w:p w:rsidR="00B43C57" w:rsidRPr="00F5723F" w:rsidRDefault="00B43C57">
      <w:pPr>
        <w:spacing w:line="240" w:lineRule="auto"/>
        <w:ind w:left="284" w:hanging="284"/>
      </w:pPr>
      <w:r w:rsidRPr="00F5723F">
        <w:t xml:space="preserve">Elliot, M. (1997) </w:t>
      </w:r>
      <w:r w:rsidRPr="00F5723F">
        <w:rPr>
          <w:i/>
        </w:rPr>
        <w:t>Förtroendet för medierna. TV, radio och dagspress i al</w:t>
      </w:r>
      <w:r w:rsidRPr="00F5723F">
        <w:rPr>
          <w:i/>
        </w:rPr>
        <w:t>l</w:t>
      </w:r>
      <w:r w:rsidRPr="00F5723F">
        <w:rPr>
          <w:i/>
        </w:rPr>
        <w:t>mänhetens ögon</w:t>
      </w:r>
      <w:r w:rsidRPr="00F5723F">
        <w:t>, Göteborg: Institutionen för journalistik och massko</w:t>
      </w:r>
      <w:r w:rsidRPr="00F5723F">
        <w:t>m</w:t>
      </w:r>
      <w:r w:rsidRPr="00F5723F">
        <w:t>mun</w:t>
      </w:r>
      <w:r w:rsidRPr="00F5723F">
        <w:t>i</w:t>
      </w:r>
      <w:r w:rsidRPr="00F5723F">
        <w:t xml:space="preserve">kation (JMG). </w:t>
      </w:r>
    </w:p>
    <w:p w:rsidR="00B43C57" w:rsidRPr="00F5723F" w:rsidRDefault="00B43C57">
      <w:pPr>
        <w:spacing w:line="240" w:lineRule="auto"/>
        <w:ind w:left="284" w:hanging="284"/>
      </w:pPr>
      <w:r w:rsidRPr="00F5723F">
        <w:t xml:space="preserve">Esaiasson, P. &amp; Holmberg, S. (1996) </w:t>
      </w:r>
      <w:r w:rsidRPr="00F5723F">
        <w:rPr>
          <w:i/>
        </w:rPr>
        <w:t>Representation From Above. Me</w:t>
      </w:r>
      <w:r w:rsidRPr="00F5723F">
        <w:rPr>
          <w:i/>
        </w:rPr>
        <w:t>m</w:t>
      </w:r>
      <w:r w:rsidRPr="00F5723F">
        <w:rPr>
          <w:i/>
        </w:rPr>
        <w:t xml:space="preserve">bers of Parliament and Representative Democracy in </w:t>
      </w:r>
      <w:smartTag w:uri="urn:schemas-microsoft-com:office:smarttags" w:element="country-region">
        <w:r w:rsidRPr="00F5723F">
          <w:rPr>
            <w:i/>
          </w:rPr>
          <w:t>Sweden</w:t>
        </w:r>
      </w:smartTag>
      <w:r w:rsidRPr="00F5723F">
        <w:t xml:space="preserve">, Aldershot: </w:t>
      </w:r>
      <w:smartTag w:uri="urn:schemas-microsoft-com:office:smarttags" w:element="City">
        <w:smartTag w:uri="urn:schemas-microsoft-com:office:smarttags" w:element="place">
          <w:r w:rsidRPr="00F5723F">
            <w:t>Dartmouth</w:t>
          </w:r>
        </w:smartTag>
      </w:smartTag>
      <w:r w:rsidRPr="00F5723F">
        <w:t>.</w:t>
      </w:r>
    </w:p>
    <w:p w:rsidR="00B43C57" w:rsidRPr="00F5723F" w:rsidRDefault="00B43C57">
      <w:pPr>
        <w:spacing w:line="240" w:lineRule="auto"/>
        <w:ind w:left="284" w:hanging="284"/>
      </w:pPr>
      <w:r w:rsidRPr="00F5723F">
        <w:t xml:space="preserve">Gilljam, M. &amp; Holmberg, S. (1995) </w:t>
      </w:r>
      <w:r w:rsidRPr="00F5723F">
        <w:rPr>
          <w:i/>
        </w:rPr>
        <w:t>Väljarnas val</w:t>
      </w:r>
      <w:r w:rsidRPr="00F5723F">
        <w:t>, Stockholm: Norstedts juridik.</w:t>
      </w:r>
    </w:p>
    <w:p w:rsidR="00B43C57" w:rsidRPr="00F5723F" w:rsidRDefault="00B43C57">
      <w:pPr>
        <w:spacing w:line="240" w:lineRule="auto"/>
        <w:ind w:left="284" w:hanging="284"/>
      </w:pPr>
      <w:r w:rsidRPr="00F5723F">
        <w:t>Hibbing, J. R. &amp; Theiss-Morse, E. (1998) ”The Media’s Role in Public Neg</w:t>
      </w:r>
      <w:r w:rsidRPr="00F5723F">
        <w:t>a</w:t>
      </w:r>
      <w:r w:rsidRPr="00F5723F">
        <w:t>tivity Toward Congress: Distinguishing Emotional Reactions and Cogn</w:t>
      </w:r>
      <w:r w:rsidRPr="00F5723F">
        <w:t>i</w:t>
      </w:r>
      <w:r w:rsidRPr="00F5723F">
        <w:t xml:space="preserve">tive Evaluations”, i </w:t>
      </w:r>
      <w:r w:rsidRPr="00F5723F">
        <w:rPr>
          <w:i/>
        </w:rPr>
        <w:t>American Journal of Political Science</w:t>
      </w:r>
      <w:r w:rsidRPr="00F5723F">
        <w:t>, vol. 42, no. 2, 1998, s. 475–498.</w:t>
      </w:r>
    </w:p>
    <w:p w:rsidR="00B43C57" w:rsidRPr="00F5723F" w:rsidRDefault="00B43C57">
      <w:pPr>
        <w:spacing w:line="240" w:lineRule="auto"/>
        <w:ind w:left="284" w:hanging="284"/>
      </w:pPr>
      <w:r w:rsidRPr="00F5723F">
        <w:t xml:space="preserve">Holmberg, E. &amp; Stjernquist, N. (1980) </w:t>
      </w:r>
      <w:r w:rsidRPr="00F5723F">
        <w:rPr>
          <w:i/>
        </w:rPr>
        <w:t>Grundlagarna med tillhörande förfat</w:t>
      </w:r>
      <w:r w:rsidRPr="00F5723F">
        <w:rPr>
          <w:i/>
        </w:rPr>
        <w:t>t</w:t>
      </w:r>
      <w:r w:rsidRPr="00F5723F">
        <w:rPr>
          <w:i/>
        </w:rPr>
        <w:t>ningar</w:t>
      </w:r>
      <w:r w:rsidRPr="00F5723F">
        <w:t>,</w:t>
      </w:r>
      <w:r w:rsidRPr="00F5723F">
        <w:rPr>
          <w:i/>
        </w:rPr>
        <w:t xml:space="preserve"> </w:t>
      </w:r>
      <w:r w:rsidRPr="00F5723F">
        <w:t xml:space="preserve">Stockholm: P A Norstedt &amp; Söners förlag. </w:t>
      </w:r>
    </w:p>
    <w:p w:rsidR="00B43C57" w:rsidRPr="00F5723F" w:rsidRDefault="00B43C57">
      <w:pPr>
        <w:spacing w:line="240" w:lineRule="auto"/>
        <w:ind w:left="284" w:hanging="284"/>
      </w:pPr>
      <w:r w:rsidRPr="00F5723F">
        <w:t xml:space="preserve">Holmberg, S. &amp; Esaiasson, P. (1988) </w:t>
      </w:r>
      <w:r w:rsidRPr="00F5723F">
        <w:rPr>
          <w:i/>
        </w:rPr>
        <w:t>De folkvalda. En bok om riksdagsled</w:t>
      </w:r>
      <w:r w:rsidRPr="00F5723F">
        <w:rPr>
          <w:i/>
        </w:rPr>
        <w:t>a</w:t>
      </w:r>
      <w:r w:rsidRPr="00F5723F">
        <w:rPr>
          <w:i/>
        </w:rPr>
        <w:t>möterna och den representativa demokratin i Sverige</w:t>
      </w:r>
      <w:r w:rsidRPr="00F5723F">
        <w:t>, Stockholm: Bonn</w:t>
      </w:r>
      <w:r w:rsidRPr="00F5723F">
        <w:t>i</w:t>
      </w:r>
      <w:r w:rsidRPr="00F5723F">
        <w:t xml:space="preserve">ers. </w:t>
      </w:r>
    </w:p>
    <w:p w:rsidR="00B43C57" w:rsidRPr="00F5723F" w:rsidRDefault="00B43C57">
      <w:pPr>
        <w:spacing w:line="240" w:lineRule="auto"/>
        <w:ind w:left="284" w:hanging="284"/>
      </w:pPr>
      <w:r w:rsidRPr="00F5723F">
        <w:t xml:space="preserve">Holmberg, S. &amp; Gilljam, M. (1987) </w:t>
      </w:r>
      <w:r w:rsidRPr="00F5723F">
        <w:rPr>
          <w:i/>
        </w:rPr>
        <w:t>Väljare och val i Sverige</w:t>
      </w:r>
      <w:r w:rsidRPr="00F5723F">
        <w:t>,</w:t>
      </w:r>
      <w:r w:rsidRPr="00F5723F">
        <w:rPr>
          <w:i/>
        </w:rPr>
        <w:t xml:space="preserve"> </w:t>
      </w:r>
      <w:r w:rsidRPr="00F5723F">
        <w:t xml:space="preserve">Stockholm: Bonniers. </w:t>
      </w:r>
    </w:p>
    <w:p w:rsidR="00B43C57" w:rsidRPr="00F5723F" w:rsidRDefault="00B43C57">
      <w:pPr>
        <w:spacing w:line="240" w:lineRule="auto"/>
        <w:ind w:left="284" w:hanging="284"/>
      </w:pPr>
      <w:r w:rsidRPr="00F5723F">
        <w:t>Holmberg, S. &amp; Weibull, L. (2003a) ”Medieakademins förtroendebarom</w:t>
      </w:r>
      <w:r w:rsidRPr="00F5723F">
        <w:t>e</w:t>
      </w:r>
      <w:r w:rsidRPr="00F5723F">
        <w:t xml:space="preserve">ter”, i </w:t>
      </w:r>
      <w:r w:rsidRPr="00F5723F">
        <w:rPr>
          <w:i/>
        </w:rPr>
        <w:t>Medieakademin, årsbok 2003</w:t>
      </w:r>
      <w:r w:rsidRPr="00F5723F">
        <w:t>, Göteborg: Medieakademin.</w:t>
      </w:r>
    </w:p>
    <w:p w:rsidR="00B43C57" w:rsidRPr="00F5723F" w:rsidRDefault="00B43C57">
      <w:pPr>
        <w:spacing w:line="240" w:lineRule="auto"/>
        <w:ind w:left="284" w:hanging="284"/>
      </w:pPr>
      <w:r w:rsidRPr="00F5723F">
        <w:t>Holmberg, S. &amp; Weibull, L. (2003b) ”Förgängligt förtroende”, i Hol</w:t>
      </w:r>
      <w:r w:rsidRPr="00F5723F">
        <w:t>m</w:t>
      </w:r>
      <w:r w:rsidRPr="00F5723F">
        <w:t xml:space="preserve">berg, S. &amp; Weibull, L. (red.) </w:t>
      </w:r>
      <w:r w:rsidRPr="00F5723F">
        <w:rPr>
          <w:i/>
        </w:rPr>
        <w:t>Fåfängans marknad</w:t>
      </w:r>
      <w:r w:rsidRPr="00F5723F">
        <w:t>,</w:t>
      </w:r>
      <w:r w:rsidRPr="00F5723F">
        <w:rPr>
          <w:i/>
        </w:rPr>
        <w:t xml:space="preserve"> </w:t>
      </w:r>
      <w:r w:rsidRPr="00F5723F">
        <w:t>SOM-undersökningen 2002, SOM-rapport nr 33, Göteborg: SOM-institutet.</w:t>
      </w:r>
    </w:p>
    <w:p w:rsidR="00B43C57" w:rsidRPr="00F5723F" w:rsidRDefault="00B43C57">
      <w:pPr>
        <w:spacing w:line="240" w:lineRule="auto"/>
        <w:ind w:left="284" w:hanging="284"/>
      </w:pPr>
      <w:r w:rsidRPr="00F5723F">
        <w:t xml:space="preserve">Holmberg, S. (1996) ”Svensk åsiktsöverensstämmelse”, i Rothstein, B. &amp; Särlvik, B. (red.) </w:t>
      </w:r>
      <w:r w:rsidRPr="00F5723F">
        <w:rPr>
          <w:i/>
        </w:rPr>
        <w:t>Vetenskap om politik. Festskrift till professor emeritus Jö</w:t>
      </w:r>
      <w:r w:rsidRPr="00F5723F">
        <w:rPr>
          <w:i/>
        </w:rPr>
        <w:t>r</w:t>
      </w:r>
      <w:r w:rsidRPr="00F5723F">
        <w:rPr>
          <w:i/>
        </w:rPr>
        <w:t>gen Westerståhl</w:t>
      </w:r>
      <w:r w:rsidRPr="00F5723F">
        <w:t>,</w:t>
      </w:r>
      <w:r w:rsidRPr="00F5723F">
        <w:rPr>
          <w:i/>
        </w:rPr>
        <w:t xml:space="preserve"> </w:t>
      </w:r>
      <w:r w:rsidRPr="00F5723F">
        <w:t>Göteborg: Statsvetenskapliga institutionen.</w:t>
      </w:r>
    </w:p>
    <w:p w:rsidR="00B43C57" w:rsidRPr="00F5723F" w:rsidRDefault="00B43C57">
      <w:pPr>
        <w:spacing w:line="240" w:lineRule="auto"/>
        <w:ind w:left="284" w:hanging="284"/>
        <w:rPr>
          <w:b/>
        </w:rPr>
      </w:pPr>
      <w:r w:rsidRPr="00F5723F">
        <w:t xml:space="preserve">Holmberg, S. (1999a) ”Issue Agreement”, i Esaiasson, P. &amp; Heidar, K. (red.) </w:t>
      </w:r>
      <w:r w:rsidRPr="00F5723F">
        <w:rPr>
          <w:i/>
        </w:rPr>
        <w:t>Beyond Westminister and Congress. The Nordic Experience</w:t>
      </w:r>
      <w:r w:rsidRPr="00F5723F">
        <w:t>,</w:t>
      </w:r>
      <w:r w:rsidRPr="00F5723F">
        <w:rPr>
          <w:i/>
        </w:rPr>
        <w:t xml:space="preserve"> </w:t>
      </w:r>
      <w:smartTag w:uri="urn:schemas-microsoft-com:office:smarttags" w:element="State">
        <w:r w:rsidRPr="00F5723F">
          <w:t>Ohio</w:t>
        </w:r>
      </w:smartTag>
      <w:r w:rsidRPr="00F5723F">
        <w:t xml:space="preserve">: </w:t>
      </w:r>
      <w:smartTag w:uri="urn:schemas-microsoft-com:office:smarttags" w:element="place">
        <w:smartTag w:uri="urn:schemas-microsoft-com:office:smarttags" w:element="PlaceName">
          <w:r w:rsidRPr="00F5723F">
            <w:t>Ohio</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Holmberg, S. (1999b) ”Collective Policy Congruence Compared”, i Miller, W. et. al., </w:t>
      </w:r>
      <w:r w:rsidRPr="00F5723F">
        <w:rPr>
          <w:i/>
        </w:rPr>
        <w:t xml:space="preserve">Policy Representation in Western Democracies, </w:t>
      </w:r>
      <w:smartTag w:uri="urn:schemas-microsoft-com:office:smarttags" w:element="City">
        <w:r w:rsidRPr="00F5723F">
          <w:t>Oxford</w:t>
        </w:r>
      </w:smartTag>
      <w:r w:rsidRPr="00F5723F">
        <w:t xml:space="preserve">: </w:t>
      </w:r>
      <w:smartTag w:uri="urn:schemas-microsoft-com:office:smarttags" w:element="place">
        <w:smartTag w:uri="urn:schemas-microsoft-com:office:smarttags" w:element="PlaceName">
          <w:r w:rsidRPr="00F5723F">
            <w:t>O</w:t>
          </w:r>
          <w:r w:rsidRPr="00F5723F">
            <w:t>x</w:t>
          </w:r>
          <w:r w:rsidRPr="00F5723F">
            <w:t>ford</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lastRenderedPageBreak/>
        <w:t xml:space="preserve">Holmberg, S. (1999c) ”Down and Down We Go: Political Trust in </w:t>
      </w:r>
      <w:smartTag w:uri="urn:schemas-microsoft-com:office:smarttags" w:element="country-region">
        <w:smartTag w:uri="urn:schemas-microsoft-com:office:smarttags" w:element="place">
          <w:r w:rsidRPr="00F5723F">
            <w:t>Sw</w:t>
          </w:r>
          <w:r w:rsidRPr="00F5723F">
            <w:t>e</w:t>
          </w:r>
          <w:r w:rsidRPr="00F5723F">
            <w:t>den</w:t>
          </w:r>
        </w:smartTag>
      </w:smartTag>
      <w:r w:rsidRPr="00F5723F">
        <w:t xml:space="preserve">”, i Norris, P. (red.) </w:t>
      </w:r>
      <w:r w:rsidRPr="00F5723F">
        <w:rPr>
          <w:i/>
        </w:rPr>
        <w:t>Critical Citizens. Global Support for Democratic Go</w:t>
      </w:r>
      <w:r w:rsidRPr="00F5723F">
        <w:rPr>
          <w:i/>
        </w:rPr>
        <w:t>v</w:t>
      </w:r>
      <w:r w:rsidRPr="00F5723F">
        <w:rPr>
          <w:i/>
        </w:rPr>
        <w:t>ernment</w:t>
      </w:r>
      <w:r w:rsidRPr="00F5723F">
        <w:t>,</w:t>
      </w:r>
      <w:r w:rsidRPr="00F5723F">
        <w:rPr>
          <w:i/>
        </w:rPr>
        <w:t xml:space="preserve"> </w:t>
      </w:r>
      <w:smartTag w:uri="urn:schemas-microsoft-com:office:smarttags" w:element="State">
        <w:r w:rsidRPr="00F5723F">
          <w:t>New York</w:t>
        </w:r>
      </w:smartTag>
      <w:r w:rsidRPr="00F5723F">
        <w:t xml:space="preserve">: </w:t>
      </w:r>
      <w:smartTag w:uri="urn:schemas-microsoft-com:office:smarttags" w:element="place">
        <w:smartTag w:uri="urn:schemas-microsoft-com:office:smarttags" w:element="PlaceName">
          <w:r w:rsidRPr="00F5723F">
            <w:t>Oxford</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Holmberg, S. (1999d) </w:t>
      </w:r>
      <w:r w:rsidRPr="00F5723F">
        <w:rPr>
          <w:i/>
        </w:rPr>
        <w:t>Representativ demokrati</w:t>
      </w:r>
      <w:r w:rsidRPr="00F5723F">
        <w:t xml:space="preserve">, SOU 1999:64, </w:t>
      </w:r>
      <w:smartTag w:uri="urn:schemas-microsoft-com:office:smarttags" w:element="place">
        <w:smartTag w:uri="urn:schemas-microsoft-com:office:smarttags" w:element="City">
          <w:r w:rsidRPr="00F5723F">
            <w:t>Stockholm</w:t>
          </w:r>
        </w:smartTag>
      </w:smartTag>
      <w:r w:rsidRPr="00F5723F">
        <w:t xml:space="preserve">: Fakta info direkt. </w:t>
      </w:r>
    </w:p>
    <w:p w:rsidR="00B43C57" w:rsidRPr="00F5723F" w:rsidRDefault="00B43C57">
      <w:pPr>
        <w:spacing w:line="240" w:lineRule="auto"/>
        <w:ind w:left="284" w:hanging="284"/>
      </w:pPr>
      <w:r w:rsidRPr="00F5723F">
        <w:t xml:space="preserve">Holmberg, S. (2000) </w:t>
      </w:r>
      <w:r w:rsidRPr="00F5723F">
        <w:rPr>
          <w:i/>
        </w:rPr>
        <w:t>Välja parti</w:t>
      </w:r>
      <w:r w:rsidRPr="00F5723F">
        <w:t xml:space="preserve">, </w:t>
      </w:r>
      <w:smartTag w:uri="urn:schemas-microsoft-com:office:smarttags" w:element="place">
        <w:smartTag w:uri="urn:schemas-microsoft-com:office:smarttags" w:element="City">
          <w:r w:rsidRPr="00F5723F">
            <w:t>Stockholm</w:t>
          </w:r>
        </w:smartTag>
      </w:smartTag>
      <w:r w:rsidRPr="00F5723F">
        <w:t>: Norstedts juridik.</w:t>
      </w:r>
    </w:p>
    <w:p w:rsidR="00B43C57" w:rsidRPr="00F5723F" w:rsidRDefault="00B43C57">
      <w:pPr>
        <w:spacing w:line="240" w:lineRule="auto"/>
        <w:ind w:left="284" w:hanging="284"/>
      </w:pPr>
      <w:r w:rsidRPr="00F5723F">
        <w:t xml:space="preserve">Lipset, S. M. &amp; Schneider, W. (1983) </w:t>
      </w:r>
      <w:r w:rsidRPr="00F5723F">
        <w:rPr>
          <w:i/>
        </w:rPr>
        <w:t>The Confidence Gap</w:t>
      </w:r>
      <w:r w:rsidRPr="00F5723F">
        <w:t xml:space="preserve">, </w:t>
      </w:r>
      <w:smartTag w:uri="urn:schemas-microsoft-com:office:smarttags" w:element="State">
        <w:smartTag w:uri="urn:schemas-microsoft-com:office:smarttags" w:element="place">
          <w:r w:rsidRPr="00F5723F">
            <w:t>New York</w:t>
          </w:r>
        </w:smartTag>
      </w:smartTag>
      <w:r w:rsidRPr="00F5723F">
        <w:t xml:space="preserve">: Wiley. </w:t>
      </w:r>
    </w:p>
    <w:p w:rsidR="00B43C57" w:rsidRPr="00F5723F" w:rsidRDefault="00B43C57">
      <w:pPr>
        <w:spacing w:line="240" w:lineRule="auto"/>
        <w:ind w:left="284" w:hanging="284"/>
      </w:pPr>
      <w:r w:rsidRPr="00F5723F">
        <w:t xml:space="preserve">Lipset, S. M. &amp; Schneider, W. (1987) ”The Confidence Gap During the Reagan Years, 1981–1987”, i </w:t>
      </w:r>
      <w:r w:rsidRPr="00F5723F">
        <w:rPr>
          <w:i/>
        </w:rPr>
        <w:t>Political Science Quarterly</w:t>
      </w:r>
      <w:r w:rsidRPr="00F5723F">
        <w:t xml:space="preserve"> 102:1–23.</w:t>
      </w:r>
    </w:p>
    <w:p w:rsidR="00B43C57" w:rsidRPr="00F5723F" w:rsidRDefault="00B43C57">
      <w:pPr>
        <w:spacing w:line="240" w:lineRule="auto"/>
        <w:ind w:left="284" w:hanging="284"/>
      </w:pPr>
      <w:r w:rsidRPr="00F5723F">
        <w:t>Listhaug, O. &amp; Wiberg, M. (1995) ”Confidence in Political and Private Inst</w:t>
      </w:r>
      <w:r w:rsidRPr="00F5723F">
        <w:t>i</w:t>
      </w:r>
      <w:r w:rsidRPr="00F5723F">
        <w:t xml:space="preserve">tutions”, i Klingemann, H-D. </w:t>
      </w:r>
      <w:r w:rsidRPr="00F5723F">
        <w:t xml:space="preserve">&amp; Fuchs, D. (red.) </w:t>
      </w:r>
      <w:r w:rsidRPr="00F5723F">
        <w:rPr>
          <w:i/>
        </w:rPr>
        <w:t>Citizens and the State</w:t>
      </w:r>
      <w:r w:rsidRPr="00F5723F">
        <w:t xml:space="preserve">, </w:t>
      </w:r>
      <w:smartTag w:uri="urn:schemas-microsoft-com:office:smarttags" w:element="City">
        <w:r w:rsidRPr="00F5723F">
          <w:t>Oxford</w:t>
        </w:r>
      </w:smartTag>
      <w:r w:rsidRPr="00F5723F">
        <w:t>-</w:t>
      </w:r>
      <w:smartTag w:uri="urn:schemas-microsoft-com:office:smarttags" w:element="State">
        <w:r w:rsidRPr="00F5723F">
          <w:t>New York</w:t>
        </w:r>
      </w:smartTag>
      <w:r w:rsidRPr="00F5723F">
        <w:t xml:space="preserve">: </w:t>
      </w:r>
      <w:smartTag w:uri="urn:schemas-microsoft-com:office:smarttags" w:element="place">
        <w:smartTag w:uri="urn:schemas-microsoft-com:office:smarttags" w:element="PlaceName">
          <w:r w:rsidRPr="00F5723F">
            <w:t>Oxford</w:t>
          </w:r>
        </w:smartTag>
        <w:r w:rsidRPr="00F5723F">
          <w:t xml:space="preserve"> </w:t>
        </w:r>
        <w:smartTag w:uri="urn:schemas-microsoft-com:office:smarttags" w:element="PlaceType">
          <w:r w:rsidRPr="00F5723F">
            <w:t>University</w:t>
          </w:r>
        </w:smartTag>
      </w:smartTag>
      <w:r w:rsidRPr="00F5723F">
        <w:t xml:space="preserve"> Press. </w:t>
      </w:r>
    </w:p>
    <w:p w:rsidR="00B43C57" w:rsidRPr="00F5723F" w:rsidRDefault="00B43C57">
      <w:pPr>
        <w:spacing w:line="240" w:lineRule="auto"/>
        <w:ind w:left="284" w:hanging="284"/>
      </w:pPr>
      <w:r w:rsidRPr="00F5723F">
        <w:t>Lithner, A. (1999) ”SOM-undersökningen 1998 – genomförande och u</w:t>
      </w:r>
      <w:r w:rsidRPr="00F5723F">
        <w:t>t</w:t>
      </w:r>
      <w:r w:rsidRPr="00F5723F">
        <w:t xml:space="preserve">fall”, i Holmberg, S. &amp; Weibull, L. (red.) </w:t>
      </w:r>
      <w:r w:rsidRPr="00F5723F">
        <w:rPr>
          <w:i/>
        </w:rPr>
        <w:t>Ljusnande framtid</w:t>
      </w:r>
      <w:r w:rsidRPr="00F5723F">
        <w:t>,</w:t>
      </w:r>
      <w:r w:rsidRPr="00F5723F">
        <w:rPr>
          <w:i/>
        </w:rPr>
        <w:t xml:space="preserve"> </w:t>
      </w:r>
      <w:r w:rsidRPr="00F5723F">
        <w:t xml:space="preserve">SOM-undersökningen 1998, SOM-rapport nr 22, Göteborg: SOM-institutet. </w:t>
      </w:r>
    </w:p>
    <w:p w:rsidR="00B43C57" w:rsidRPr="00F5723F" w:rsidRDefault="00B43C57">
      <w:pPr>
        <w:spacing w:line="240" w:lineRule="auto"/>
        <w:ind w:left="284" w:hanging="284"/>
      </w:pPr>
      <w:r w:rsidRPr="00F5723F">
        <w:t xml:space="preserve">Mattson, I. &amp; Petersson, O. (2003) (red.) </w:t>
      </w:r>
      <w:r w:rsidRPr="00F5723F">
        <w:rPr>
          <w:i/>
        </w:rPr>
        <w:t>Svensk författningspolitik</w:t>
      </w:r>
      <w:r w:rsidRPr="00F5723F">
        <w:t>,</w:t>
      </w:r>
      <w:r w:rsidRPr="00F5723F">
        <w:rPr>
          <w:i/>
        </w:rPr>
        <w:t xml:space="preserve"> </w:t>
      </w:r>
      <w:r w:rsidRPr="00F5723F">
        <w:t>Stoc</w:t>
      </w:r>
      <w:r w:rsidRPr="00F5723F">
        <w:t>k</w:t>
      </w:r>
      <w:r w:rsidRPr="00F5723F">
        <w:t xml:space="preserve">holm: SNS Förlag. </w:t>
      </w:r>
    </w:p>
    <w:p w:rsidR="00B43C57" w:rsidRPr="00F5723F" w:rsidRDefault="00B43C57">
      <w:pPr>
        <w:spacing w:line="240" w:lineRule="auto"/>
        <w:ind w:left="284" w:hanging="284"/>
      </w:pPr>
      <w:r w:rsidRPr="00F5723F">
        <w:t xml:space="preserve">Möller, T. (1998) </w:t>
      </w:r>
      <w:r w:rsidRPr="00F5723F">
        <w:rPr>
          <w:i/>
        </w:rPr>
        <w:t>Politikerförakt eller mogen misstro? Misstron mot polit</w:t>
      </w:r>
      <w:r w:rsidRPr="00F5723F">
        <w:rPr>
          <w:i/>
        </w:rPr>
        <w:t>i</w:t>
      </w:r>
      <w:r w:rsidRPr="00F5723F">
        <w:rPr>
          <w:i/>
        </w:rPr>
        <w:t>ker och politiska institutioner</w:t>
      </w:r>
      <w:r w:rsidRPr="00F5723F">
        <w:t>, Stockholm: Svenska Kommunförbundet och Kommentus Förlag.</w:t>
      </w:r>
    </w:p>
    <w:p w:rsidR="00B43C57" w:rsidRPr="00F5723F" w:rsidRDefault="00B43C57">
      <w:pPr>
        <w:spacing w:line="240" w:lineRule="auto"/>
        <w:ind w:left="284" w:hanging="284"/>
      </w:pPr>
      <w:r w:rsidRPr="00F5723F">
        <w:t xml:space="preserve">Möller, T. (2000) </w:t>
      </w:r>
      <w:r w:rsidRPr="00F5723F">
        <w:rPr>
          <w:i/>
        </w:rPr>
        <w:t>Politikens meningslöshet</w:t>
      </w:r>
      <w:r w:rsidRPr="00F5723F">
        <w:t xml:space="preserve">. </w:t>
      </w:r>
      <w:r w:rsidRPr="00F5723F">
        <w:rPr>
          <w:i/>
        </w:rPr>
        <w:t>Om misstro, cynism och utanfö</w:t>
      </w:r>
      <w:r w:rsidRPr="00F5723F">
        <w:rPr>
          <w:i/>
        </w:rPr>
        <w:t>r</w:t>
      </w:r>
      <w:r w:rsidRPr="00F5723F">
        <w:rPr>
          <w:i/>
        </w:rPr>
        <w:t>skap</w:t>
      </w:r>
      <w:r w:rsidRPr="00F5723F">
        <w:t xml:space="preserve">, Stockholm: Liber. </w:t>
      </w:r>
    </w:p>
    <w:p w:rsidR="00B43C57" w:rsidRPr="00F5723F" w:rsidRDefault="00B43C57">
      <w:pPr>
        <w:spacing w:line="240" w:lineRule="auto"/>
        <w:ind w:left="284" w:hanging="284"/>
      </w:pPr>
      <w:r w:rsidRPr="00F5723F">
        <w:t xml:space="preserve">Nilsson, T. (1996) ”Förföljda och föraktade. Folkets vrede drabbade 1700-talets politiker”, i </w:t>
      </w:r>
      <w:r w:rsidRPr="00F5723F">
        <w:rPr>
          <w:i/>
        </w:rPr>
        <w:t>Populär Historia</w:t>
      </w:r>
      <w:r w:rsidRPr="00F5723F">
        <w:t>, 1996:6, s. 28–31, Stockholm: Pop</w:t>
      </w:r>
      <w:r w:rsidRPr="00F5723F">
        <w:t>u</w:t>
      </w:r>
      <w:r w:rsidRPr="00F5723F">
        <w:t xml:space="preserve">lär Historia. </w:t>
      </w:r>
    </w:p>
    <w:p w:rsidR="00B43C57" w:rsidRPr="00F5723F" w:rsidRDefault="00B43C57">
      <w:pPr>
        <w:spacing w:line="240" w:lineRule="auto"/>
        <w:ind w:left="284" w:hanging="284"/>
      </w:pPr>
      <w:r w:rsidRPr="00F5723F">
        <w:t xml:space="preserve">Norris, P. (1999) (red.) </w:t>
      </w:r>
      <w:r w:rsidRPr="00F5723F">
        <w:rPr>
          <w:i/>
        </w:rPr>
        <w:t>Critical Citizens. Global Support for Democratic Government</w:t>
      </w:r>
      <w:r w:rsidRPr="00F5723F">
        <w:t>,</w:t>
      </w:r>
      <w:r w:rsidRPr="00F5723F">
        <w:rPr>
          <w:i/>
        </w:rPr>
        <w:t xml:space="preserve"> </w:t>
      </w:r>
      <w:smartTag w:uri="urn:schemas-microsoft-com:office:smarttags" w:element="State">
        <w:r w:rsidRPr="00F5723F">
          <w:t>New York</w:t>
        </w:r>
      </w:smartTag>
      <w:r w:rsidRPr="00F5723F">
        <w:t xml:space="preserve">: </w:t>
      </w:r>
      <w:smartTag w:uri="urn:schemas-microsoft-com:office:smarttags" w:element="place">
        <w:smartTag w:uri="urn:schemas-microsoft-com:office:smarttags" w:element="PlaceName">
          <w:r w:rsidRPr="00F5723F">
            <w:t>Oxford</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Petersson, O. (1997) ”Politiker orsakar demokratikris”, DN Debatt, </w:t>
      </w:r>
      <w:r w:rsidRPr="00F5723F">
        <w:rPr>
          <w:i/>
        </w:rPr>
        <w:t>D</w:t>
      </w:r>
      <w:r w:rsidRPr="00F5723F">
        <w:rPr>
          <w:i/>
        </w:rPr>
        <w:t>a</w:t>
      </w:r>
      <w:r w:rsidRPr="00F5723F">
        <w:rPr>
          <w:i/>
        </w:rPr>
        <w:t>gens Nyheter</w:t>
      </w:r>
      <w:r w:rsidRPr="00F5723F">
        <w:t>, 19 oktober 1997, Stockholm: Dagens Nyheter.</w:t>
      </w:r>
    </w:p>
    <w:p w:rsidR="00B43C57" w:rsidRPr="00F5723F" w:rsidRDefault="00B43C57">
      <w:pPr>
        <w:spacing w:line="240" w:lineRule="auto"/>
        <w:ind w:left="284" w:hanging="284"/>
      </w:pPr>
      <w:r w:rsidRPr="00F5723F">
        <w:t xml:space="preserve">Petersson, O. (1999) </w:t>
      </w:r>
      <w:r w:rsidRPr="00F5723F">
        <w:rPr>
          <w:i/>
        </w:rPr>
        <w:t>Samhällskonsten</w:t>
      </w:r>
      <w:r w:rsidRPr="00F5723F">
        <w:t>, Stockholm: SNS Förlag.</w:t>
      </w:r>
    </w:p>
    <w:p w:rsidR="00B43C57" w:rsidRPr="00F5723F" w:rsidRDefault="00B43C57">
      <w:pPr>
        <w:spacing w:line="240" w:lineRule="auto"/>
        <w:ind w:left="284" w:hanging="284"/>
      </w:pPr>
      <w:r w:rsidRPr="00F5723F">
        <w:t xml:space="preserve">Riksdagskommittén (2001) </w:t>
      </w:r>
      <w:r w:rsidRPr="00F5723F">
        <w:rPr>
          <w:i/>
        </w:rPr>
        <w:t>Riksdagen inför 2000-talet, Riksdagskommi</w:t>
      </w:r>
      <w:r w:rsidRPr="00F5723F">
        <w:rPr>
          <w:i/>
        </w:rPr>
        <w:t>t</w:t>
      </w:r>
      <w:r w:rsidRPr="00F5723F">
        <w:rPr>
          <w:i/>
        </w:rPr>
        <w:t>téns huvudbetänkande</w:t>
      </w:r>
      <w:r w:rsidRPr="00F5723F">
        <w:t>, Stockholm: Sveriges riksdag.</w:t>
      </w:r>
    </w:p>
    <w:p w:rsidR="00B43C57" w:rsidRPr="00F5723F" w:rsidRDefault="00B43C57">
      <w:pPr>
        <w:spacing w:line="240" w:lineRule="auto"/>
        <w:ind w:left="284" w:hanging="284"/>
      </w:pPr>
      <w:r w:rsidRPr="00F5723F">
        <w:t xml:space="preserve">Strömbäck, J. (2001) </w:t>
      </w:r>
      <w:r w:rsidRPr="00F5723F">
        <w:rPr>
          <w:i/>
        </w:rPr>
        <w:t>Gäster hos verkligheten.</w:t>
      </w:r>
      <w:r w:rsidRPr="00F5723F">
        <w:t xml:space="preserve"> </w:t>
      </w:r>
      <w:r w:rsidRPr="00F5723F">
        <w:rPr>
          <w:i/>
        </w:rPr>
        <w:t>En studie av journalistik, d</w:t>
      </w:r>
      <w:r w:rsidRPr="00F5723F">
        <w:rPr>
          <w:i/>
        </w:rPr>
        <w:t>e</w:t>
      </w:r>
      <w:r w:rsidRPr="00F5723F">
        <w:rPr>
          <w:i/>
        </w:rPr>
        <w:t>mokrati och politisk misstro</w:t>
      </w:r>
      <w:r w:rsidRPr="00F5723F">
        <w:t>, Eslöv: B. Östlings bokförlag Symposion.</w:t>
      </w:r>
    </w:p>
    <w:p w:rsidR="00B43C57" w:rsidRPr="00F5723F" w:rsidRDefault="00B43C57">
      <w:pPr>
        <w:spacing w:line="240" w:lineRule="auto"/>
        <w:ind w:left="284" w:hanging="284"/>
      </w:pPr>
      <w:r w:rsidRPr="00F5723F">
        <w:t xml:space="preserve">Österman, T. (1981) </w:t>
      </w:r>
      <w:r w:rsidRPr="00F5723F">
        <w:rPr>
          <w:i/>
        </w:rPr>
        <w:t>Förtroendet för politiker. En rapport från FSI om al</w:t>
      </w:r>
      <w:r w:rsidRPr="00F5723F">
        <w:rPr>
          <w:i/>
        </w:rPr>
        <w:t>l</w:t>
      </w:r>
      <w:r w:rsidRPr="00F5723F">
        <w:rPr>
          <w:i/>
        </w:rPr>
        <w:t>mänhetens attityder till politiker åren 1973–1980</w:t>
      </w:r>
      <w:r w:rsidRPr="00F5723F">
        <w:t>, Stockholm: Liber Fö</w:t>
      </w:r>
      <w:r w:rsidRPr="00F5723F">
        <w:t>r</w:t>
      </w:r>
      <w:r w:rsidRPr="00F5723F">
        <w:t xml:space="preserve">lag. </w:t>
      </w:r>
    </w:p>
    <w:p w:rsidR="00B43C57" w:rsidRPr="00F5723F" w:rsidRDefault="00B43C57">
      <w:pPr>
        <w:spacing w:line="240" w:lineRule="auto"/>
        <w:ind w:left="284" w:hanging="284"/>
      </w:pPr>
      <w:r w:rsidRPr="00F5723F">
        <w:t xml:space="preserve">Österman, T. (1995) </w:t>
      </w:r>
      <w:r w:rsidRPr="00F5723F">
        <w:rPr>
          <w:i/>
        </w:rPr>
        <w:t>Vitbok över riksdagsvalet 1994. En långtidsstudie</w:t>
      </w:r>
      <w:r w:rsidRPr="00F5723F">
        <w:t>,</w:t>
      </w:r>
      <w:r w:rsidRPr="00F5723F">
        <w:rPr>
          <w:i/>
        </w:rPr>
        <w:t xml:space="preserve"> </w:t>
      </w:r>
      <w:r w:rsidRPr="00F5723F">
        <w:t>Stockholm: Tiden.</w:t>
      </w:r>
    </w:p>
    <w:p w:rsidR="00B43C57" w:rsidRPr="00F5723F" w:rsidRDefault="00B43C57">
      <w:bookmarkStart w:id="17" w:name="_Toc118691688"/>
      <w:bookmarkStart w:id="18" w:name="_Toc121738883"/>
    </w:p>
    <w:p w:rsidR="00B43C57" w:rsidRPr="00F5723F" w:rsidRDefault="00B43C57">
      <w:pPr>
        <w:pStyle w:val="Rubrik1"/>
        <w:jc w:val="center"/>
        <w:rPr>
          <w:b/>
          <w:noProof w:val="0"/>
        </w:rPr>
        <w:sectPr w:rsidR="00000000" w:rsidRPr="00F5723F">
          <w:footerReference w:type="even" r:id="rId29"/>
          <w:footerReference w:type="default" r:id="rId30"/>
          <w:pgSz w:w="11906" w:h="16838" w:code="9"/>
          <w:pgMar w:top="907" w:right="4649" w:bottom="4508" w:left="1304" w:header="340" w:footer="227" w:gutter="0"/>
          <w:cols w:space="720"/>
          <w:titlePg/>
        </w:sectPr>
      </w:pPr>
    </w:p>
    <w:p w:rsidR="00B43C57" w:rsidRPr="00F5723F" w:rsidRDefault="00B43C57">
      <w:pPr>
        <w:pStyle w:val="Rubrik1"/>
        <w:jc w:val="center"/>
        <w:rPr>
          <w:b/>
          <w:noProof w:val="0"/>
        </w:rPr>
      </w:pPr>
      <w:bookmarkStart w:id="19" w:name="_Toc124697777"/>
      <w:r w:rsidRPr="00F5723F">
        <w:rPr>
          <w:b/>
          <w:noProof w:val="0"/>
        </w:rPr>
        <w:lastRenderedPageBreak/>
        <w:t>Rapport 2</w:t>
      </w:r>
      <w:bookmarkEnd w:id="19"/>
    </w:p>
    <w:p w:rsidR="00B43C57" w:rsidRPr="00F5723F" w:rsidRDefault="00B43C57">
      <w:pPr>
        <w:pStyle w:val="Rubrik1"/>
        <w:jc w:val="center"/>
        <w:rPr>
          <w:noProof w:val="0"/>
        </w:rPr>
      </w:pPr>
      <w:bookmarkStart w:id="20" w:name="_Toc124697778"/>
      <w:r w:rsidRPr="00F5723F">
        <w:rPr>
          <w:noProof w:val="0"/>
        </w:rPr>
        <w:t>Utskottsundersökning 2004</w:t>
      </w:r>
      <w:bookmarkEnd w:id="18"/>
      <w:bookmarkEnd w:id="20"/>
    </w:p>
    <w:p w:rsidR="00B43C57" w:rsidRPr="00F5723F" w:rsidRDefault="00B43C57">
      <w:pPr>
        <w:jc w:val="center"/>
        <w:rPr>
          <w:b/>
        </w:rPr>
      </w:pPr>
      <w:r w:rsidRPr="00F5723F">
        <w:rPr>
          <w:b/>
        </w:rPr>
        <w:t>Peder Nielsen</w:t>
      </w:r>
    </w:p>
    <w:p w:rsidR="00B43C57" w:rsidRPr="00F5723F" w:rsidRDefault="00B43C57"/>
    <w:p w:rsidR="00B43C57" w:rsidRPr="00F5723F" w:rsidRDefault="00B43C57"/>
    <w:p w:rsidR="00B43C57" w:rsidRPr="00F5723F" w:rsidRDefault="00B43C57"/>
    <w:p w:rsidR="00B43C57" w:rsidRPr="00F5723F" w:rsidRDefault="00B43C57"/>
    <w:p w:rsidR="00B43C57" w:rsidRPr="00F5723F" w:rsidRDefault="00B43C57">
      <w:r w:rsidRPr="00F5723F">
        <w:t>Utskottsundersökningen har under hösten 2004 genomförts på uppdrag av Riksdagskommittén. Syftet har varit att skaffa kunskap om utskottens arbet</w:t>
      </w:r>
      <w:r w:rsidRPr="00F5723F">
        <w:t>s</w:t>
      </w:r>
      <w:r w:rsidRPr="00F5723F">
        <w:t>up</w:t>
      </w:r>
      <w:r w:rsidRPr="00F5723F">
        <w:t>p</w:t>
      </w:r>
      <w:r w:rsidRPr="00F5723F">
        <w:t>gifter, arbetssätt och arbetsbelastning samt lyfta fram goda exempel och eventuella problem i utskottsarbetet. I föreliggande rapport redovisas result</w:t>
      </w:r>
      <w:r w:rsidRPr="00F5723F">
        <w:t>a</w:t>
      </w:r>
      <w:r w:rsidRPr="00F5723F">
        <w:t>tet av undersökningen.</w:t>
      </w:r>
    </w:p>
    <w:p w:rsidR="00B43C57" w:rsidRPr="00F5723F" w:rsidRDefault="00B43C57">
      <w:pPr>
        <w:pStyle w:val="Normaltindrag"/>
      </w:pPr>
      <w:r w:rsidRPr="00F5723F">
        <w:t>Som ett led i utskottsundersökningen genomfördes under början av hö</w:t>
      </w:r>
      <w:r w:rsidRPr="00F5723F">
        <w:t>s</w:t>
      </w:r>
      <w:r w:rsidRPr="00F5723F">
        <w:t>ten 2004 en enkätundersökning med samtliga utskottskanslier. Enkäten bestod av ett 40-tal frågor om det egna utskottets och kansliets arbete. E</w:t>
      </w:r>
      <w:r w:rsidRPr="00F5723F">
        <w:t>n</w:t>
      </w:r>
      <w:r w:rsidRPr="00F5723F">
        <w:t>kätsvaren ligger till grund för delar av rapporten. Vidare har statistiska up</w:t>
      </w:r>
      <w:r w:rsidRPr="00F5723F">
        <w:t>p</w:t>
      </w:r>
      <w:r w:rsidRPr="00F5723F">
        <w:t>gifter om utskottens verksamhet samlats in av riksdagens utredningstjänst och enheten för riksdagstryck. Uppgifterna har legat till grund för analyser av utskottens produktion och arbetsbelastning med mera som redovisas i rapporten. Uppgi</w:t>
      </w:r>
      <w:r w:rsidRPr="00F5723F">
        <w:t>f</w:t>
      </w:r>
      <w:r w:rsidRPr="00F5723F">
        <w:t>ter i rapporten avseende utskottskansliernas perso</w:t>
      </w:r>
      <w:r w:rsidRPr="00F5723F">
        <w:t>nella resurser har erhållits från personalenheten vid riksdagsförvaltningen.</w:t>
      </w:r>
    </w:p>
    <w:p w:rsidR="00B43C57" w:rsidRPr="00F5723F" w:rsidRDefault="00B43C57">
      <w:pPr>
        <w:pStyle w:val="Normaltindrag"/>
      </w:pPr>
      <w:r w:rsidRPr="00F5723F">
        <w:t>Rapporten inleds med en allmän bakgrund om utskottsväsendet och den historiska utvecklingen i riksdagen. Därefter följer ett avsnitt om utskottsv</w:t>
      </w:r>
      <w:r w:rsidRPr="00F5723F">
        <w:t>ä</w:t>
      </w:r>
      <w:r w:rsidRPr="00F5723F">
        <w:t>sendets organisation inklusive kanslier. Ett därpå följande avsnitt handlar om utskottens sammanträden. Bland annat behandlas utskottens sammantr</w:t>
      </w:r>
      <w:r w:rsidRPr="00F5723F">
        <w:t>ä</w:t>
      </w:r>
      <w:r w:rsidRPr="00F5723F">
        <w:t>destid, sammanträdesbehov, sammanträdenas form och innehåll och sammanträde</w:t>
      </w:r>
      <w:r w:rsidRPr="00F5723F">
        <w:t>s</w:t>
      </w:r>
      <w:r w:rsidRPr="00F5723F">
        <w:t>planeringen. Därefter följer ett avsnitt om utskottens produktion, såsom remi</w:t>
      </w:r>
      <w:r w:rsidRPr="00F5723F">
        <w:t>t</w:t>
      </w:r>
      <w:r w:rsidRPr="00F5723F">
        <w:t>terade propositioner, motioner och betänkanden. Även förekomsten av fö</w:t>
      </w:r>
      <w:r w:rsidRPr="00F5723F">
        <w:t>r</w:t>
      </w:r>
      <w:r w:rsidRPr="00F5723F">
        <w:t>enklad motionshantering uppmärksammas och diskuteras. I de tre därpå fö</w:t>
      </w:r>
      <w:r w:rsidRPr="00F5723F">
        <w:t>l</w:t>
      </w:r>
      <w:r w:rsidRPr="00F5723F">
        <w:t>jande avsnitten behandlas kunskapsförsörjningen i utskotten (utfrågn</w:t>
      </w:r>
      <w:r w:rsidRPr="00F5723F">
        <w:t>ingar samt uppföljning och utvärdering), utskottens arbete med EU-frågor samt utskottens inrikes och utrikes kontakter. Slutligen studeras utskottens arbet</w:t>
      </w:r>
      <w:r w:rsidRPr="00F5723F">
        <w:t>s</w:t>
      </w:r>
      <w:r w:rsidRPr="00F5723F">
        <w:t>belastning i olika avseenden.</w:t>
      </w:r>
    </w:p>
    <w:p w:rsidR="00B43C57" w:rsidRPr="00F5723F" w:rsidRDefault="00B43C57">
      <w:pPr>
        <w:pStyle w:val="Rubrik2"/>
      </w:pPr>
      <w:bookmarkStart w:id="21" w:name="_Toc121738886"/>
      <w:bookmarkStart w:id="22" w:name="_Toc124697779"/>
      <w:r w:rsidRPr="00F5723F">
        <w:lastRenderedPageBreak/>
        <w:t>Allmän bakgrund</w:t>
      </w:r>
      <w:bookmarkEnd w:id="21"/>
      <w:bookmarkEnd w:id="22"/>
    </w:p>
    <w:p w:rsidR="00B43C57" w:rsidRPr="00F5723F" w:rsidRDefault="00B43C57">
      <w:pPr>
        <w:pStyle w:val="Rubrik3"/>
        <w:rPr>
          <w:noProof w:val="0"/>
        </w:rPr>
      </w:pPr>
      <w:bookmarkStart w:id="23" w:name="_Toc121738887"/>
      <w:bookmarkStart w:id="24" w:name="_Toc124697780"/>
      <w:r w:rsidRPr="00F5723F">
        <w:rPr>
          <w:noProof w:val="0"/>
        </w:rPr>
        <w:t>Principer för utskottsväsendet och dess organisering</w:t>
      </w:r>
      <w:bookmarkEnd w:id="23"/>
      <w:bookmarkEnd w:id="24"/>
    </w:p>
    <w:p w:rsidR="00B43C57" w:rsidRPr="00F5723F" w:rsidRDefault="00B43C57">
      <w:r w:rsidRPr="00F5723F">
        <w:t>Utskottsväsendet utgör ett av de viktigaste organisatoriska inslagen i parl</w:t>
      </w:r>
      <w:r w:rsidRPr="00F5723F">
        <w:t>a</w:t>
      </w:r>
      <w:r w:rsidRPr="00F5723F">
        <w:t>mentariska församlingar. Det är svårt att föreställa sig ett parlament utan utskott. Det är i dessa som centrala delar av det parlamentariska arbetet äger rum. Förutom beredningen av ärenden innan beslut fattas i plenum, en up</w:t>
      </w:r>
      <w:r w:rsidRPr="00F5723F">
        <w:t>p</w:t>
      </w:r>
      <w:r w:rsidRPr="00F5723F">
        <w:t>gift som traditionellt sett kan sägas vara utskottens viktigaste, har utskotten även andra betydelsefulla uppgifter, som att kontrollera den verkställande makten, följa upp och utvärdera beslut som fattats av parlamentet samt att följa och granska regeringens agerande i EU.</w:t>
      </w:r>
    </w:p>
    <w:p w:rsidR="00B43C57" w:rsidRPr="00F5723F" w:rsidRDefault="00B43C57">
      <w:pPr>
        <w:pStyle w:val="Normaltindrag"/>
      </w:pPr>
      <w:r w:rsidRPr="00F5723F">
        <w:t>Tyngdpunk</w:t>
      </w:r>
      <w:r w:rsidRPr="00F5723F">
        <w:t>ten i det arbete som utövas i ett parlament kan således sägas ligga i utskottsarbetet. Mycket talar dessutom för att utskottens roll i den parlame</w:t>
      </w:r>
      <w:r w:rsidRPr="00F5723F">
        <w:t>n</w:t>
      </w:r>
      <w:r w:rsidRPr="00F5723F">
        <w:t>tariska beslutsprocessen i framtiden kommer att bli ännu viktigare eftersom utskotten möjliggör specialisering inom parlamenten, vilken är nö</w:t>
      </w:r>
      <w:r w:rsidRPr="00F5723F">
        <w:t>d</w:t>
      </w:r>
      <w:r w:rsidRPr="00F5723F">
        <w:t>vändig i en tid när politik och samhällsutveckling blir alltmer komplexa och svåra att överskåda. Internationellt sett förefaller trenden också vara att utskottsv</w:t>
      </w:r>
      <w:r w:rsidRPr="00F5723F">
        <w:t>ä</w:t>
      </w:r>
      <w:r w:rsidRPr="00F5723F">
        <w:t>sendet får allt större betydelse när det gäller att stärka o</w:t>
      </w:r>
      <w:r w:rsidRPr="00F5723F">
        <w:t>ch utveckla parlamentens roll i det politiska systemet.</w:t>
      </w:r>
      <w:r w:rsidRPr="00F5723F">
        <w:rPr>
          <w:rStyle w:val="Fotnotsreferens"/>
        </w:rPr>
        <w:footnoteReference w:id="19"/>
      </w:r>
      <w:r w:rsidRPr="00F5723F">
        <w:t xml:space="preserve"> Förutom specialisering inom parl</w:t>
      </w:r>
      <w:r w:rsidRPr="00F5723F">
        <w:t>a</w:t>
      </w:r>
      <w:r w:rsidRPr="00F5723F">
        <w:t>menten bland ledamöter och tjänstemän kan utskottsväsendet bidra till bland annat en mer ekonomisk arbetsfördelning som ökar parlamentens pr</w:t>
      </w:r>
      <w:r w:rsidRPr="00F5723F">
        <w:t>o</w:t>
      </w:r>
      <w:r w:rsidRPr="00F5723F">
        <w:t>duktivitet i beslutsprocessen, underlättar politiska förhandlingar och överen</w:t>
      </w:r>
      <w:r w:rsidRPr="00F5723F">
        <w:t>s</w:t>
      </w:r>
      <w:r w:rsidRPr="00F5723F">
        <w:t>komme</w:t>
      </w:r>
      <w:r w:rsidRPr="00F5723F">
        <w:t>l</w:t>
      </w:r>
      <w:r w:rsidRPr="00F5723F">
        <w:t>ser mellan ledamöter inom olika politikområden och skapar bättre information</w:t>
      </w:r>
      <w:r w:rsidRPr="00F5723F">
        <w:t>s</w:t>
      </w:r>
      <w:r w:rsidRPr="00F5723F">
        <w:t>underlag för ledamöterna om effekterna av politiska beslut.</w:t>
      </w:r>
      <w:r w:rsidRPr="00F5723F">
        <w:rPr>
          <w:rStyle w:val="Fotnotsreferens"/>
        </w:rPr>
        <w:footnoteReference w:id="20"/>
      </w:r>
    </w:p>
    <w:p w:rsidR="00B43C57" w:rsidRPr="00F5723F" w:rsidRDefault="00B43C57">
      <w:pPr>
        <w:pStyle w:val="Normaltindrag"/>
      </w:pPr>
      <w:r w:rsidRPr="00F5723F">
        <w:t>Vad gäller utskottsväsendets organisering kan man skilja mellan fun</w:t>
      </w:r>
      <w:r w:rsidRPr="00F5723F">
        <w:t>k</w:t>
      </w:r>
      <w:r w:rsidRPr="00F5723F">
        <w:t>tionsutskottsprincipen och fackutskottsprincipen.</w:t>
      </w:r>
      <w:r w:rsidRPr="00F5723F">
        <w:rPr>
          <w:rStyle w:val="Fotnotsreferens"/>
        </w:rPr>
        <w:footnoteReference w:id="21"/>
      </w:r>
      <w:r w:rsidRPr="00F5723F">
        <w:t xml:space="preserve"> Enligt </w:t>
      </w:r>
      <w:r w:rsidRPr="00F5723F">
        <w:rPr>
          <w:i/>
        </w:rPr>
        <w:t>funktionsutskott</w:t>
      </w:r>
      <w:r w:rsidRPr="00F5723F">
        <w:rPr>
          <w:i/>
        </w:rPr>
        <w:t>s</w:t>
      </w:r>
      <w:r w:rsidRPr="00F5723F">
        <w:rPr>
          <w:i/>
        </w:rPr>
        <w:t>principen</w:t>
      </w:r>
      <w:r w:rsidRPr="00F5723F">
        <w:t xml:space="preserve"> delas utskotten in efter statsrättslig funktion. Med en sådan or</w:t>
      </w:r>
      <w:r w:rsidRPr="00F5723F">
        <w:t>d</w:t>
      </w:r>
      <w:r w:rsidRPr="00F5723F">
        <w:t xml:space="preserve">ning bereds anslagsärenden och lagstiftningsärenden av olika utskott. Enligt </w:t>
      </w:r>
      <w:r w:rsidRPr="00F5723F">
        <w:rPr>
          <w:i/>
        </w:rPr>
        <w:t>fac</w:t>
      </w:r>
      <w:r w:rsidRPr="00F5723F">
        <w:rPr>
          <w:i/>
        </w:rPr>
        <w:t>k</w:t>
      </w:r>
      <w:r w:rsidRPr="00F5723F">
        <w:rPr>
          <w:i/>
        </w:rPr>
        <w:t>utskottsprincipen</w:t>
      </w:r>
      <w:r w:rsidRPr="00F5723F">
        <w:t xml:space="preserve"> är utskott indelade efter politikområde. Ärenden inom ett visst ämnesområde bereds då av ett och samma utskott, oavsett om de är lagäre</w:t>
      </w:r>
      <w:r w:rsidRPr="00F5723F">
        <w:t>n</w:t>
      </w:r>
      <w:r w:rsidRPr="00F5723F">
        <w:t>den eller anslagsärenden.</w:t>
      </w:r>
    </w:p>
    <w:p w:rsidR="00B43C57" w:rsidRPr="00F5723F" w:rsidRDefault="00B43C57">
      <w:pPr>
        <w:pStyle w:val="Normaltindrag"/>
      </w:pPr>
      <w:r w:rsidRPr="00F5723F">
        <w:t>En annan skiljelinje går mellan utskotts permanens.</w:t>
      </w:r>
      <w:r w:rsidRPr="00F5723F">
        <w:rPr>
          <w:rStyle w:val="Fotnotsreferens"/>
        </w:rPr>
        <w:footnoteReference w:id="22"/>
      </w:r>
      <w:r w:rsidRPr="00F5723F">
        <w:t xml:space="preserve"> Utskott som är ord</w:t>
      </w:r>
      <w:r w:rsidRPr="00F5723F">
        <w:t>i</w:t>
      </w:r>
      <w:r w:rsidRPr="00F5723F">
        <w:t xml:space="preserve">narie eller ständiga benämns </w:t>
      </w:r>
      <w:r w:rsidRPr="00F5723F">
        <w:rPr>
          <w:i/>
        </w:rPr>
        <w:t>fasta utskott</w:t>
      </w:r>
      <w:r w:rsidRPr="00F5723F">
        <w:t xml:space="preserve">. Dessa utskotts existens är inte knuten till beredningen av ett visst ärende, utan de skall alltid finnas och de har ett bestämt kompetensområde. För beredningen av ett bestämt ärende kan ett parlament tillsätta ett tillfälligt eller </w:t>
      </w:r>
      <w:r w:rsidRPr="00F5723F">
        <w:rPr>
          <w:i/>
        </w:rPr>
        <w:t>särskilt utskott</w:t>
      </w:r>
      <w:r w:rsidRPr="00F5723F">
        <w:t xml:space="preserve">. När beredningen av det specifika ärendet är klar upphör utskottet. Ett specialfall är </w:t>
      </w:r>
      <w:r w:rsidRPr="00F5723F">
        <w:rPr>
          <w:i/>
        </w:rPr>
        <w:t>samma</w:t>
      </w:r>
      <w:r w:rsidRPr="00F5723F">
        <w:rPr>
          <w:i/>
        </w:rPr>
        <w:t>n</w:t>
      </w:r>
      <w:r w:rsidRPr="00F5723F">
        <w:rPr>
          <w:i/>
        </w:rPr>
        <w:t xml:space="preserve">satta </w:t>
      </w:r>
      <w:r w:rsidRPr="00F5723F">
        <w:rPr>
          <w:i/>
        </w:rPr>
        <w:lastRenderedPageBreak/>
        <w:t>utskott</w:t>
      </w:r>
      <w:r w:rsidRPr="00F5723F">
        <w:t>. Dessa är en form för samarbete mellan två eller flera utskott för b</w:t>
      </w:r>
      <w:r w:rsidRPr="00F5723F">
        <w:t>e</w:t>
      </w:r>
      <w:r w:rsidRPr="00F5723F">
        <w:t>redningen av ett ärend</w:t>
      </w:r>
      <w:r w:rsidRPr="00F5723F">
        <w:t>e och bildas efter överenskommelse mellan de berörda utskotten.</w:t>
      </w:r>
    </w:p>
    <w:p w:rsidR="00B43C57" w:rsidRPr="00F5723F" w:rsidRDefault="00B43C57">
      <w:pPr>
        <w:pStyle w:val="Normaltindrag"/>
      </w:pPr>
      <w:r w:rsidRPr="00F5723F">
        <w:t>Vad gäller utskottsindelningen i riksdagen formulerade Riksdagsutre</w:t>
      </w:r>
      <w:r w:rsidRPr="00F5723F">
        <w:t>d</w:t>
      </w:r>
      <w:r w:rsidRPr="00F5723F">
        <w:t>ningen i början av 1990-talet tre principer (se förs. 1993/94:TK1). En grun</w:t>
      </w:r>
      <w:r w:rsidRPr="00F5723F">
        <w:t>d</w:t>
      </w:r>
      <w:r w:rsidRPr="00F5723F">
        <w:t>läggande princip, menade utredningen, var den som anges i riksdagsordnin</w:t>
      </w:r>
      <w:r w:rsidRPr="00F5723F">
        <w:t>g</w:t>
      </w:r>
      <w:r w:rsidRPr="00F5723F">
        <w:t>en, näml</w:t>
      </w:r>
      <w:r w:rsidRPr="00F5723F">
        <w:t>i</w:t>
      </w:r>
      <w:r w:rsidRPr="00F5723F">
        <w:t xml:space="preserve">gen att ärenden som hör till ett </w:t>
      </w:r>
      <w:r w:rsidRPr="00F5723F">
        <w:rPr>
          <w:i/>
        </w:rPr>
        <w:t>ämnesområde</w:t>
      </w:r>
      <w:r w:rsidRPr="00F5723F">
        <w:t xml:space="preserve"> skall hänföras till samma utskott. Utredningen ansåg det vara av avgörande betydelse att ä</w:t>
      </w:r>
      <w:r w:rsidRPr="00F5723F">
        <w:t>m</w:t>
      </w:r>
      <w:r w:rsidRPr="00F5723F">
        <w:t>nesområden hålls samman så att ärenden av jämförbar karaktär kan ges en enhetlig b</w:t>
      </w:r>
      <w:r w:rsidRPr="00F5723F">
        <w:t>e</w:t>
      </w:r>
      <w:r w:rsidRPr="00F5723F">
        <w:t>handling och att förslag om övergripande reformer behandlas i ett sammanhang. Utredningen tog således ställning för fackutskottsprinc</w:t>
      </w:r>
      <w:r w:rsidRPr="00F5723F">
        <w:t>i</w:t>
      </w:r>
      <w:r w:rsidRPr="00F5723F">
        <w:t>pen. En andra utgångspunkt som framhölls av utredningen var att beredningsområd</w:t>
      </w:r>
      <w:r w:rsidRPr="00F5723F">
        <w:t>e</w:t>
      </w:r>
      <w:r w:rsidRPr="00F5723F">
        <w:t xml:space="preserve">na bör avgränsas med hänsyn till utskottens </w:t>
      </w:r>
      <w:r w:rsidRPr="00F5723F">
        <w:rPr>
          <w:i/>
        </w:rPr>
        <w:t>arbetsbelastning</w:t>
      </w:r>
      <w:r w:rsidRPr="00F5723F">
        <w:t>, som inte bör vara större än att beredningsskyldigheten kan fullgöras på ett sätt som mo</w:t>
      </w:r>
      <w:r w:rsidRPr="00F5723F">
        <w:t>t</w:t>
      </w:r>
      <w:r w:rsidRPr="00F5723F">
        <w:t>svarar kraven i regeringsformen och riksdags</w:t>
      </w:r>
      <w:r w:rsidRPr="00F5723F">
        <w:softHyphen/>
        <w:t>ordningen. Utre</w:t>
      </w:r>
      <w:r w:rsidRPr="00F5723F">
        <w:t>d</w:t>
      </w:r>
      <w:r w:rsidRPr="00F5723F">
        <w:t>ningen framhöll också vikten av att utskotten ges möjlighet att följa upp och utvärdera result</w:t>
      </w:r>
      <w:r w:rsidRPr="00F5723F">
        <w:t>a</w:t>
      </w:r>
      <w:r w:rsidRPr="00F5723F">
        <w:t>ten inom respektive politikområde. En tredje princip var följsamhet till a</w:t>
      </w:r>
      <w:r w:rsidRPr="00F5723F">
        <w:t>n</w:t>
      </w:r>
      <w:r w:rsidRPr="00F5723F">
        <w:t xml:space="preserve">svarsfördelningen inom Regeringskansliet, det vill </w:t>
      </w:r>
      <w:r w:rsidRPr="00F5723F">
        <w:t xml:space="preserve">säga </w:t>
      </w:r>
      <w:r w:rsidRPr="00F5723F">
        <w:rPr>
          <w:i/>
        </w:rPr>
        <w:t>departementsinde</w:t>
      </w:r>
      <w:r w:rsidRPr="00F5723F">
        <w:rPr>
          <w:i/>
        </w:rPr>
        <w:t>l</w:t>
      </w:r>
      <w:r w:rsidRPr="00F5723F">
        <w:rPr>
          <w:i/>
        </w:rPr>
        <w:t>ningen</w:t>
      </w:r>
      <w:r w:rsidRPr="00F5723F">
        <w:t>. Denna princip hänger i praktiken nära samman med principen om att ämnesområden bör hållas samman. Till principen om följsamhet med depa</w:t>
      </w:r>
      <w:r w:rsidRPr="00F5723F">
        <w:t>r</w:t>
      </w:r>
      <w:r w:rsidRPr="00F5723F">
        <w:t>tement</w:t>
      </w:r>
      <w:r w:rsidRPr="00F5723F">
        <w:t>s</w:t>
      </w:r>
      <w:r w:rsidRPr="00F5723F">
        <w:t>indelning kan sedan Sveriges medlemskap i EU läggas ytterligare en princip, som innebär att utskottsindelningen så långt möjligt bör följa uppde</w:t>
      </w:r>
      <w:r w:rsidRPr="00F5723F">
        <w:t>l</w:t>
      </w:r>
      <w:r w:rsidRPr="00F5723F">
        <w:t>ningen av ärenden på ministerråd.</w:t>
      </w:r>
      <w:r w:rsidRPr="00F5723F">
        <w:rPr>
          <w:rStyle w:val="Fotnotsreferens"/>
        </w:rPr>
        <w:footnoteReference w:id="23"/>
      </w:r>
    </w:p>
    <w:p w:rsidR="00B43C57" w:rsidRPr="00F5723F" w:rsidRDefault="00B43C57">
      <w:pPr>
        <w:pStyle w:val="Normaltindrag"/>
      </w:pPr>
      <w:r w:rsidRPr="00F5723F">
        <w:t>Riksdagsutredningen framhöll vikten av att utskottsorganisationen var a</w:t>
      </w:r>
      <w:r w:rsidRPr="00F5723F">
        <w:t>n</w:t>
      </w:r>
      <w:r w:rsidRPr="00F5723F">
        <w:t>pa</w:t>
      </w:r>
      <w:r w:rsidRPr="00F5723F">
        <w:t>s</w:t>
      </w:r>
      <w:r w:rsidRPr="00F5723F">
        <w:t>sad till de politikområden som är aktuella i samhället och i riksdags</w:t>
      </w:r>
      <w:r w:rsidRPr="00F5723F">
        <w:softHyphen/>
        <w:t>arbetet. Utredningen menade härvidlag att målen att ärendena får en sakligt sett logisk placering och att ämnesområden hålls samman kan behöva prior</w:t>
      </w:r>
      <w:r w:rsidRPr="00F5723F">
        <w:t>i</w:t>
      </w:r>
      <w:r w:rsidRPr="00F5723F">
        <w:t>teras högre än målet att nå en volymmässigt helt jämn arbetsbelastning. Inom rimliga gränser kunde det t.o.m. vara fördelaktigt med vissa skillnader i utskottens ärendevolymer eftersom ledamöter som har tunga politiska uppdrag vid sidan av utskottsuppdraget då kan delta i ett mindre arbet</w:t>
      </w:r>
      <w:r w:rsidRPr="00F5723F">
        <w:t>sbela</w:t>
      </w:r>
      <w:r w:rsidRPr="00F5723F">
        <w:t>s</w:t>
      </w:r>
      <w:r w:rsidRPr="00F5723F">
        <w:t>tat utskott. Vidare ifrågasatte utredningen hur hårt utskottens beredningso</w:t>
      </w:r>
      <w:r w:rsidRPr="00F5723F">
        <w:t>m</w:t>
      </w:r>
      <w:r w:rsidRPr="00F5723F">
        <w:t>råden skulle knytas till departementsindelningen. Utredningen ansåg att det var en nackdel att ofta – när departementsindelningen ändras – behöva fö</w:t>
      </w:r>
      <w:r w:rsidRPr="00F5723F">
        <w:t>r</w:t>
      </w:r>
      <w:r w:rsidRPr="00F5723F">
        <w:t>skjuta ärendegrupper mellan utskotten. Kontinuitet framhölls som värdefullt med tanke på dels att det ger möjlighet till enhetlig behandling av likartade ärenden över tiden, dels behovet av specialiserade och fördjupade kunskaper hos såväl utskottsled</w:t>
      </w:r>
      <w:r w:rsidRPr="00F5723F">
        <w:t>a</w:t>
      </w:r>
      <w:r w:rsidRPr="00F5723F">
        <w:t xml:space="preserve">möter som kanslipersonal. </w:t>
      </w:r>
    </w:p>
    <w:p w:rsidR="00B43C57" w:rsidRPr="00F5723F" w:rsidRDefault="00B43C57">
      <w:pPr>
        <w:pStyle w:val="Normaltindrag"/>
      </w:pPr>
      <w:r w:rsidRPr="00F5723F">
        <w:t>Ri</w:t>
      </w:r>
      <w:r w:rsidRPr="00F5723F">
        <w:t xml:space="preserve">ksdagsutredningen diskuterade också möjligheten att tillsätta särskilda utskott. Utredningen menade att inrättandet av sådana skulle kunna vara ett sätt att utvidga och förstärka ett ordinarie utskott när ärendevolymerna är betungande, men det skulle samtidigt vara förenat med betydande nackdelar eftersom det innebär en extra arbetsbelastning för de ledamöter som får </w:t>
      </w:r>
      <w:r w:rsidRPr="00F5723F">
        <w:lastRenderedPageBreak/>
        <w:t>dub</w:t>
      </w:r>
      <w:r w:rsidRPr="00F5723F">
        <w:t>b</w:t>
      </w:r>
      <w:r w:rsidRPr="00F5723F">
        <w:t>la utskottsuppgifter. Utredningen ställde sig därför mycket tveksam till en ökad användning av särskilda utskott som en lösning på utskott</w:t>
      </w:r>
      <w:r w:rsidRPr="00F5723F">
        <w:t>ens arbetsbö</w:t>
      </w:r>
      <w:r w:rsidRPr="00F5723F">
        <w:t>r</w:t>
      </w:r>
      <w:r w:rsidRPr="00F5723F">
        <w:t>da; samma bedömning kunde enligt utredningen göras avseende arbete på avdelning inom ett utskott.</w:t>
      </w:r>
    </w:p>
    <w:p w:rsidR="00B43C57" w:rsidRPr="00F5723F" w:rsidRDefault="00B43C57">
      <w:pPr>
        <w:pStyle w:val="Rubrik3"/>
        <w:rPr>
          <w:noProof w:val="0"/>
        </w:rPr>
      </w:pPr>
      <w:bookmarkStart w:id="25" w:name="_Toc121738888"/>
      <w:bookmarkStart w:id="26" w:name="_Toc124697781"/>
      <w:r w:rsidRPr="00F5723F">
        <w:rPr>
          <w:noProof w:val="0"/>
        </w:rPr>
        <w:t>Utskottsorganisationens historiska utveckling</w:t>
      </w:r>
      <w:bookmarkEnd w:id="25"/>
      <w:bookmarkEnd w:id="26"/>
    </w:p>
    <w:p w:rsidR="00B43C57" w:rsidRPr="00F5723F" w:rsidRDefault="00B43C57">
      <w:r w:rsidRPr="00F5723F">
        <w:t>I samband med införandet av enkammarriksdagen 1971 övergick utskottso</w:t>
      </w:r>
      <w:r w:rsidRPr="00F5723F">
        <w:t>r</w:t>
      </w:r>
      <w:r w:rsidRPr="00F5723F">
        <w:t>ganisationen i riksdagen till ett system med i huvudsak fackutskott. Dessfö</w:t>
      </w:r>
      <w:r w:rsidRPr="00F5723F">
        <w:t>r</w:t>
      </w:r>
      <w:r w:rsidRPr="00F5723F">
        <w:t>innan hade utskottsorganisationen varit baserad på funktionsutskotts</w:t>
      </w:r>
      <w:r w:rsidRPr="00F5723F">
        <w:softHyphen/>
        <w:t>principen med olika utskott för till exempel grundlagsstiftning (konstitutionsutskott), lagstif</w:t>
      </w:r>
      <w:r w:rsidRPr="00F5723F">
        <w:t>t</w:t>
      </w:r>
      <w:r w:rsidRPr="00F5723F">
        <w:t>ning (lagutskott), beskattning (bevillningsutskott) och budgetreglering (stat</w:t>
      </w:r>
      <w:r w:rsidRPr="00F5723F">
        <w:t>s</w:t>
      </w:r>
      <w:r w:rsidRPr="00F5723F">
        <w:t>utskott). Sammantaget fanns i slutet av 1960-talet 10 fasta utskott, varav 3 lagutskott. Vissa av utskotten arbetade i sin tur på två eller flera avdelnin</w:t>
      </w:r>
      <w:r w:rsidRPr="00F5723F">
        <w:t>g</w:t>
      </w:r>
      <w:r w:rsidRPr="00F5723F">
        <w:t>ar, vilka upprättade förslag till bet</w:t>
      </w:r>
      <w:r w:rsidRPr="00F5723F">
        <w:t>änkanden som efter för</w:t>
      </w:r>
      <w:r w:rsidRPr="00F5723F">
        <w:t>e</w:t>
      </w:r>
      <w:r w:rsidRPr="00F5723F">
        <w:t>dragning i utskottet avgavs i utskottets namn.</w:t>
      </w:r>
    </w:p>
    <w:p w:rsidR="00B43C57" w:rsidRPr="00F5723F" w:rsidRDefault="00B43C57">
      <w:pPr>
        <w:pStyle w:val="Normaltindrag"/>
      </w:pPr>
      <w:r w:rsidRPr="00F5723F">
        <w:t>Sedan 1971 har de fasta utskotten i riksdagen varit 16 till antalet.</w:t>
      </w:r>
      <w:r w:rsidRPr="00F5723F">
        <w:rPr>
          <w:rStyle w:val="Fotnotsreferens"/>
        </w:rPr>
        <w:footnoteReference w:id="24"/>
      </w:r>
      <w:r w:rsidRPr="00F5723F">
        <w:t xml:space="preserve"> Dessa är, som sagt, indelade efter fackutskottsprincipen, det vill säga alla ärenden inom ett visst ämnesområde bereds av ett och samma utskott. Vissa smärre avvikelser från denna princip föreligger dock. Lagutskottet bereder lagstif</w:t>
      </w:r>
      <w:r w:rsidRPr="00F5723F">
        <w:t>t</w:t>
      </w:r>
      <w:r w:rsidRPr="00F5723F">
        <w:t>ning</w:t>
      </w:r>
      <w:r w:rsidRPr="00F5723F">
        <w:t>s</w:t>
      </w:r>
      <w:r w:rsidRPr="00F5723F">
        <w:t>ärenden inom civilrätten oberoende av ämnesområde. Därtill bereder inte utskottet några anslagsärenden. Även konstitutionsutskottet, finansutsko</w:t>
      </w:r>
      <w:r w:rsidRPr="00F5723F">
        <w:t>t</w:t>
      </w:r>
      <w:r w:rsidRPr="00F5723F">
        <w:t>tet och skatteutskottet kan åtminstone delvis sägas avvika från fackutskott</w:t>
      </w:r>
      <w:r w:rsidRPr="00F5723F">
        <w:t>s</w:t>
      </w:r>
      <w:r w:rsidRPr="00F5723F">
        <w:t xml:space="preserve">principen i det att de har sina rötter i det gamla </w:t>
      </w:r>
      <w:r w:rsidRPr="00F5723F">
        <w:t>systemet där man utgick från de skilda stat</w:t>
      </w:r>
      <w:r w:rsidRPr="00F5723F">
        <w:t>s</w:t>
      </w:r>
      <w:r w:rsidRPr="00F5723F">
        <w:t>rättsliga funktionerna, det vill säga funktionsutskottsprincipen.</w:t>
      </w:r>
      <w:r w:rsidRPr="00F5723F">
        <w:rPr>
          <w:rStyle w:val="Fotnotsreferens"/>
        </w:rPr>
        <w:footnoteReference w:id="25"/>
      </w:r>
    </w:p>
    <w:p w:rsidR="00B43C57" w:rsidRPr="00F5723F" w:rsidRDefault="00B43C57">
      <w:pPr>
        <w:pStyle w:val="Normaltindrag"/>
      </w:pPr>
      <w:r w:rsidRPr="00F5723F">
        <w:t>I stora drag är utskottsindelningen i dag densamma som 1971. De enda ändringarna är att inrikesutskottet bytt namn till arbetsmarknadsutskottet (1976) och civilutskottet till bostadsutskottet (1983). Dessutom har jor</w:t>
      </w:r>
      <w:r w:rsidRPr="00F5723F">
        <w:t>d</w:t>
      </w:r>
      <w:r w:rsidRPr="00F5723F">
        <w:t>bruksutsko</w:t>
      </w:r>
      <w:r w:rsidRPr="00F5723F">
        <w:t>t</w:t>
      </w:r>
      <w:r w:rsidRPr="00F5723F">
        <w:t>tet bytt namn till miljö- och jordbruksutskottet (1998). Samtidigt kan nämnas att departementsindelningen under samma period har genomgått stora än</w:t>
      </w:r>
      <w:r w:rsidRPr="00F5723F">
        <w:t>d</w:t>
      </w:r>
      <w:r w:rsidRPr="00F5723F">
        <w:t>ringar, vilket inneburit att den överensstämmelse som en gång i tiden förelåg mellan utskottsindelningen och departementsindelningen minskat successivt.</w:t>
      </w:r>
    </w:p>
    <w:p w:rsidR="00B43C57" w:rsidRPr="00F5723F" w:rsidRDefault="00B43C57">
      <w:pPr>
        <w:pStyle w:val="Normaltindrag"/>
      </w:pPr>
      <w:r w:rsidRPr="00F5723F">
        <w:t>Vad gäller särskilda utskott har sedan 1971 sådant förekommit endast vid ett tillfälle, nämligen 1992 då EES-utskottet tillsattes. Sammansatta utskott har däremot varit förhållandevis vanliga under s</w:t>
      </w:r>
      <w:r w:rsidRPr="00F5723F">
        <w:t>enare år. Sedan riksmötet 1995/96 har sammansatta utskott förekommit i följande konstellationer: sa</w:t>
      </w:r>
      <w:r w:rsidRPr="00F5723F">
        <w:t>m</w:t>
      </w:r>
      <w:r w:rsidRPr="00F5723F">
        <w:t>mansatta utrikes- och försvarsutskottet, sammansatta konstitutions- och utr</w:t>
      </w:r>
      <w:r w:rsidRPr="00F5723F">
        <w:t>i</w:t>
      </w:r>
      <w:r w:rsidRPr="00F5723F">
        <w:t>kesutskottet samt sammansatta utrikes- och miljö- och jordbruksutsko</w:t>
      </w:r>
      <w:r w:rsidRPr="00F5723F">
        <w:t>t</w:t>
      </w:r>
      <w:r w:rsidRPr="00F5723F">
        <w:t>tet.</w:t>
      </w:r>
    </w:p>
    <w:p w:rsidR="00B43C57" w:rsidRPr="00F5723F" w:rsidRDefault="00B43C57">
      <w:pPr>
        <w:pStyle w:val="Normaltindrag"/>
      </w:pPr>
      <w:r w:rsidRPr="00F5723F">
        <w:lastRenderedPageBreak/>
        <w:t>Samtidigt som utskottsorganisationen har varit förhållandevis intakt s</w:t>
      </w:r>
      <w:r w:rsidRPr="00F5723F">
        <w:t>e</w:t>
      </w:r>
      <w:r w:rsidRPr="00F5723F">
        <w:t>dan 1971 års reform har det inom ramen för utskottsorganisationen för</w:t>
      </w:r>
      <w:r w:rsidRPr="00F5723F">
        <w:t>e</w:t>
      </w:r>
      <w:r w:rsidRPr="00F5723F">
        <w:t>kommit vissa förändringar i utskottens beredningsområden. Förändringar har dock varit förhållandevis ringa. Det rör sig om dels förändringar av utskottens ärendefördelning i riksdagsordningen, dels ändringar av utskottens utgiftso</w:t>
      </w:r>
      <w:r w:rsidRPr="00F5723F">
        <w:t>m</w:t>
      </w:r>
      <w:r w:rsidRPr="00F5723F">
        <w:t>råden genom att ändamål och verksamheter som finansieras med anslag förs över från ett utgiftsområde till ett annat utgiftsområde, vilket kan medföra att beredningsansvaret flyttas från ett utskott till ett ann</w:t>
      </w:r>
      <w:r w:rsidRPr="00F5723F">
        <w:t>at (ibland, men inte alltid, förutsätter också detta att riksdagsordningen ändras avseende utskottens äre</w:t>
      </w:r>
      <w:r w:rsidRPr="00F5723F">
        <w:t>n</w:t>
      </w:r>
      <w:r w:rsidRPr="00F5723F">
        <w:t>defördelning). Vad gäller förändringar av utskottens ärendefördelning i rik</w:t>
      </w:r>
      <w:r w:rsidRPr="00F5723F">
        <w:t>s</w:t>
      </w:r>
      <w:r w:rsidRPr="00F5723F">
        <w:t>dagsordningen har riksdagen sedan 1971 fattat beslut om sådana vid ett 15-tal tillfällen. De största ärendeomflyttningar som har skett är att konsumentfrågor flyttats från närings- till lagutskottet (1983), asyl- och migrationsfrågor från arbetsmarknads- till socialförsä</w:t>
      </w:r>
      <w:r w:rsidRPr="00F5723F">
        <w:t>k</w:t>
      </w:r>
      <w:r w:rsidRPr="00F5723F">
        <w:t>ringsutskottet (1983), regionalpolitiken från arbetsmarkna</w:t>
      </w:r>
      <w:r w:rsidRPr="00F5723F">
        <w:t>ds- till näringsutskottet (1998), finansmarknadsfrågor från nä</w:t>
      </w:r>
      <w:r w:rsidRPr="00F5723F">
        <w:t>r</w:t>
      </w:r>
      <w:r w:rsidRPr="00F5723F">
        <w:t>ings- till finansutskottet (1996) samt förskoleverksamhet och skolbarnso</w:t>
      </w:r>
      <w:r w:rsidRPr="00F5723F">
        <w:t>m</w:t>
      </w:r>
      <w:r w:rsidRPr="00F5723F">
        <w:t>sorg från social- till utbildningsutskottet (1998).</w:t>
      </w:r>
      <w:r w:rsidRPr="00F5723F">
        <w:rPr>
          <w:rStyle w:val="Fotnotsreferens"/>
        </w:rPr>
        <w:footnoteReference w:id="26"/>
      </w:r>
      <w:r w:rsidRPr="00F5723F">
        <w:t xml:space="preserve"> Vad gäller byten av ver</w:t>
      </w:r>
      <w:r w:rsidRPr="00F5723F">
        <w:t>k</w:t>
      </w:r>
      <w:r w:rsidRPr="00F5723F">
        <w:t>samheters utgiftsområdestillhöri</w:t>
      </w:r>
      <w:r w:rsidRPr="00F5723F">
        <w:t>g</w:t>
      </w:r>
      <w:r w:rsidRPr="00F5723F">
        <w:t>het har de senaste åren sådana gjorts i syfte att anpassa regeringens indelning i politikområden (vilka beslutas av rege</w:t>
      </w:r>
      <w:r w:rsidRPr="00F5723F">
        <w:t>r</w:t>
      </w:r>
      <w:r w:rsidRPr="00F5723F">
        <w:t>ingen) till riksdagens arbet</w:t>
      </w:r>
      <w:r w:rsidRPr="00F5723F">
        <w:t>s</w:t>
      </w:r>
      <w:r w:rsidRPr="00F5723F">
        <w:t xml:space="preserve">former. </w:t>
      </w:r>
    </w:p>
    <w:p w:rsidR="00B43C57" w:rsidRPr="00F5723F" w:rsidRDefault="00B43C57">
      <w:pPr>
        <w:pStyle w:val="Rubrik3"/>
        <w:rPr>
          <w:noProof w:val="0"/>
        </w:rPr>
      </w:pPr>
      <w:bookmarkStart w:id="27" w:name="_Toc121738889"/>
      <w:bookmarkStart w:id="28" w:name="_Toc124697782"/>
      <w:r w:rsidRPr="00F5723F">
        <w:rPr>
          <w:noProof w:val="0"/>
        </w:rPr>
        <w:t>Tidigare undersökningar av utskottens organisation och arbetssituation</w:t>
      </w:r>
      <w:bookmarkEnd w:id="27"/>
      <w:bookmarkEnd w:id="28"/>
    </w:p>
    <w:p w:rsidR="00B43C57" w:rsidRPr="00F5723F" w:rsidRDefault="00B43C57">
      <w:r w:rsidRPr="00F5723F">
        <w:t>Utskotten och deras arbetssätt har tidigare varit föremål för flera undersö</w:t>
      </w:r>
      <w:r w:rsidRPr="00F5723F">
        <w:t>k</w:t>
      </w:r>
      <w:r w:rsidRPr="00F5723F">
        <w:t xml:space="preserve">ningar. En av de mer omfattande undersökningarna genomfördes av </w:t>
      </w:r>
      <w:r w:rsidRPr="00F5723F">
        <w:rPr>
          <w:i/>
        </w:rPr>
        <w:t>Herbert Tingsten</w:t>
      </w:r>
      <w:r w:rsidRPr="00F5723F">
        <w:t xml:space="preserve"> i dennes statsvetenskapliga studie av utskottsväsendet perioden 1867–1934.</w:t>
      </w:r>
      <w:r w:rsidRPr="00F5723F">
        <w:rPr>
          <w:rStyle w:val="Fotnotsreferens"/>
        </w:rPr>
        <w:footnoteReference w:id="27"/>
      </w:r>
      <w:r w:rsidRPr="00F5723F">
        <w:t xml:space="preserve"> Tingsten gick därvid i detalj igenom utskottens organisation i form av bland annat sammanträdenas genomförande, presidiernas funktion och ver</w:t>
      </w:r>
      <w:r w:rsidRPr="00F5723F">
        <w:t>k</w:t>
      </w:r>
      <w:r w:rsidRPr="00F5723F">
        <w:t>samheten i utskottens kanslier, utskottens förberedande behandling av ärenden i form av bland annat samarbete mellan olika utskott och utsko</w:t>
      </w:r>
      <w:r w:rsidRPr="00F5723F">
        <w:t>t</w:t>
      </w:r>
      <w:r w:rsidRPr="00F5723F">
        <w:t>tens beredning</w:t>
      </w:r>
      <w:r w:rsidRPr="00F5723F">
        <w:t>s</w:t>
      </w:r>
      <w:r w:rsidRPr="00F5723F">
        <w:t>former, samt utskottens beslutsfattande, utformningen av utskottens betänkanden och reservationer i utskotten. Tingsten lyfte bland annat fram utskott</w:t>
      </w:r>
      <w:r w:rsidRPr="00F5723F">
        <w:t>s</w:t>
      </w:r>
      <w:r w:rsidRPr="00F5723F">
        <w:t xml:space="preserve">väsendets särställning i Sverige jämfört med i andra länder i </w:t>
      </w:r>
      <w:r w:rsidRPr="00F5723F">
        <w:t>fråga om kansliresurser.</w:t>
      </w:r>
      <w:r w:rsidRPr="00F5723F">
        <w:rPr>
          <w:rStyle w:val="Fotnotsreferens"/>
        </w:rPr>
        <w:footnoteReference w:id="28"/>
      </w:r>
      <w:r w:rsidRPr="00F5723F">
        <w:t xml:space="preserve"> De svenska utskottens kanslier var enligt Tingsten mer omfattande, hade större administrativ kapacitet och fyllde viktigare fun</w:t>
      </w:r>
      <w:r w:rsidRPr="00F5723F">
        <w:t>k</w:t>
      </w:r>
      <w:r w:rsidRPr="00F5723F">
        <w:t>tioner. Detta hängde bland annat samman med att utskottens betänkanden i andra länder inte sy</w:t>
      </w:r>
      <w:r w:rsidRPr="00F5723F">
        <w:t>f</w:t>
      </w:r>
      <w:r w:rsidRPr="00F5723F">
        <w:t>tade till så grundliga utredningar som i Sverige.</w:t>
      </w:r>
    </w:p>
    <w:p w:rsidR="00B43C57" w:rsidRPr="00F5723F" w:rsidRDefault="00B43C57">
      <w:pPr>
        <w:pStyle w:val="Normaltindrag"/>
      </w:pPr>
      <w:r w:rsidRPr="00F5723F">
        <w:lastRenderedPageBreak/>
        <w:t xml:space="preserve">En annan omfattande studie av utskottsväsendet genomfördes i mitten av 1960-talet av statsvetaren </w:t>
      </w:r>
      <w:r w:rsidRPr="00F5723F">
        <w:rPr>
          <w:i/>
        </w:rPr>
        <w:t>Nils Stjernquist</w:t>
      </w:r>
      <w:r w:rsidRPr="00F5723F">
        <w:t>.</w:t>
      </w:r>
      <w:r w:rsidRPr="00F5723F">
        <w:rPr>
          <w:rStyle w:val="Fotnotsreferens"/>
        </w:rPr>
        <w:footnoteReference w:id="29"/>
      </w:r>
      <w:r w:rsidRPr="00F5723F">
        <w:t xml:space="preserve"> Han konstaterade bland annat att arbet</w:t>
      </w:r>
      <w:r w:rsidRPr="00F5723F">
        <w:t>s</w:t>
      </w:r>
      <w:r w:rsidRPr="00F5723F">
        <w:t>tiden växlade mellan olika utskott och att den kunde vara växlande från ett år till ett annat för ett och samma utskott. Statsutskottet och lagutskottet hörde dock normalt till de mera arbetstyngda utskotten.</w:t>
      </w:r>
      <w:r w:rsidRPr="00F5723F">
        <w:rPr>
          <w:rStyle w:val="Fotnotsreferens"/>
        </w:rPr>
        <w:footnoteReference w:id="30"/>
      </w:r>
      <w:r w:rsidRPr="00F5723F">
        <w:t xml:space="preserve"> Han poängterade samt</w:t>
      </w:r>
      <w:r w:rsidRPr="00F5723F">
        <w:t>i</w:t>
      </w:r>
      <w:r w:rsidRPr="00F5723F">
        <w:t>digt svårigheten med att mäta arbetsvolymen för riksdagsledamöter samt kamrarnas och utskottens kanslier. De siffror och uppgifter som anfö</w:t>
      </w:r>
      <w:r w:rsidRPr="00F5723F">
        <w:t>r</w:t>
      </w:r>
      <w:r w:rsidRPr="00F5723F">
        <w:t>des i studien visade enligt Stjernquist dock att arbetsvolymen ökat kraftigt genom åren.</w:t>
      </w:r>
      <w:r w:rsidRPr="00F5723F">
        <w:rPr>
          <w:rStyle w:val="Fotnotsreferens"/>
        </w:rPr>
        <w:footnoteReference w:id="31"/>
      </w:r>
      <w:r w:rsidRPr="00F5723F">
        <w:t xml:space="preserve"> Stjernquist konstaterade även att antalet tjänstemän i de ständiga u</w:t>
      </w:r>
      <w:r w:rsidRPr="00F5723F">
        <w:t>t</w:t>
      </w:r>
      <w:r w:rsidRPr="00F5723F">
        <w:t>skotten inte var mycket högre år 1965 än år 1933.</w:t>
      </w:r>
      <w:r w:rsidRPr="00F5723F">
        <w:rPr>
          <w:rStyle w:val="Fotnotsreferens"/>
        </w:rPr>
        <w:footnoteReference w:id="32"/>
      </w:r>
      <w:r w:rsidRPr="00F5723F">
        <w:t xml:space="preserve"> Att så var fallet kunde enligt Stjernquist betecknas som anmärkningsvärt. Visserligen togs tjänst</w:t>
      </w:r>
      <w:r w:rsidRPr="00F5723F">
        <w:t>e</w:t>
      </w:r>
      <w:r w:rsidRPr="00F5723F">
        <w:t>männen i anspråk under längre tid än tidigare på grund av dels längre sessi</w:t>
      </w:r>
      <w:r w:rsidRPr="00F5723F">
        <w:t>o</w:t>
      </w:r>
      <w:r w:rsidRPr="00F5723F">
        <w:t>ner, dels ökat arbete i utskottskanslierna mellan sessionerna, men detta större utnyt</w:t>
      </w:r>
      <w:r w:rsidRPr="00F5723F">
        <w:t>t</w:t>
      </w:r>
      <w:r w:rsidRPr="00F5723F">
        <w:t>jande kunde ingalunda svara mot arbetsvolymens ökning.</w:t>
      </w:r>
    </w:p>
    <w:p w:rsidR="00B43C57" w:rsidRPr="00F5723F" w:rsidRDefault="00B43C57">
      <w:pPr>
        <w:pStyle w:val="Normaltindrag"/>
      </w:pPr>
      <w:r w:rsidRPr="00F5723F">
        <w:t>Tingstens och Stjernquists studier av utskottsväsendet ligger långt tillb</w:t>
      </w:r>
      <w:r w:rsidRPr="00F5723F">
        <w:t>a</w:t>
      </w:r>
      <w:r w:rsidRPr="00F5723F">
        <w:t>ka i tiden, och de gjordes då utskotten var indelade enligt funktionsutskotts</w:t>
      </w:r>
      <w:r w:rsidRPr="00F5723F">
        <w:softHyphen/>
        <w:t>principen. Efter inrättandet av den nya utskottsorganisationen 1971 har u</w:t>
      </w:r>
      <w:r w:rsidRPr="00F5723F">
        <w:t>t</w:t>
      </w:r>
      <w:r w:rsidRPr="00F5723F">
        <w:t>skottens organisation och arbetssituation utretts och utvärderats vid flera tillfällen.</w:t>
      </w:r>
    </w:p>
    <w:p w:rsidR="00B43C57" w:rsidRPr="00F5723F" w:rsidRDefault="00B43C57">
      <w:pPr>
        <w:pStyle w:val="Normaltindrag"/>
      </w:pPr>
      <w:r w:rsidRPr="00F5723F">
        <w:t xml:space="preserve">I november 1973 tillsattes den s.k. </w:t>
      </w:r>
      <w:r w:rsidRPr="00F5723F">
        <w:rPr>
          <w:i/>
        </w:rPr>
        <w:t>arbetsformsutredningen</w:t>
      </w:r>
      <w:r w:rsidRPr="00F5723F">
        <w:t xml:space="preserve"> under talman Henry Allards ledning. Utredningens uppfattning var att ordningen med 16 utskott i allt väsentligt fungerat tillfredsställande. En helt jämn arbetsbelas</w:t>
      </w:r>
      <w:r w:rsidRPr="00F5723F">
        <w:t>t</w:t>
      </w:r>
      <w:r w:rsidRPr="00F5723F">
        <w:t>ning mellan utskotten kunde man inte förvänta sig, men utredningen menade att alltför stora skillnader kunde undvikas om man i större utsträckning ti</w:t>
      </w:r>
      <w:r w:rsidRPr="00F5723F">
        <w:t>l</w:t>
      </w:r>
      <w:r w:rsidRPr="00F5723F">
        <w:t>lämpade möjligheten enligt riksdagsordningen att avvika från ärendeförde</w:t>
      </w:r>
      <w:r w:rsidRPr="00F5723F">
        <w:t>l</w:t>
      </w:r>
      <w:r w:rsidRPr="00F5723F">
        <w:t>ningen med hänsyn till utskottens arbetsförhållanden. Utredningens arbete resulterade inte i några n</w:t>
      </w:r>
      <w:r w:rsidRPr="00F5723F">
        <w:t>ämnvärda förändringar av utskottsorganisati</w:t>
      </w:r>
      <w:r w:rsidRPr="00F5723F">
        <w:t>o</w:t>
      </w:r>
      <w:r w:rsidRPr="00F5723F">
        <w:t>nen.</w:t>
      </w:r>
      <w:r w:rsidRPr="00F5723F">
        <w:rPr>
          <w:rStyle w:val="Fotnotsreferens"/>
        </w:rPr>
        <w:footnoteReference w:id="33"/>
      </w:r>
    </w:p>
    <w:p w:rsidR="00B43C57" w:rsidRPr="00F5723F" w:rsidRDefault="00B43C57">
      <w:pPr>
        <w:pStyle w:val="Normaltindrag"/>
      </w:pPr>
      <w:r w:rsidRPr="00F5723F">
        <w:t xml:space="preserve">Hösten 1980 tillsattes den s.k. </w:t>
      </w:r>
      <w:r w:rsidRPr="00F5723F">
        <w:rPr>
          <w:i/>
        </w:rPr>
        <w:t>utskottskommittén</w:t>
      </w:r>
      <w:r w:rsidRPr="00F5723F">
        <w:t>. Kommitténs helhetsi</w:t>
      </w:r>
      <w:r w:rsidRPr="00F5723F">
        <w:t>n</w:t>
      </w:r>
      <w:r w:rsidRPr="00F5723F">
        <w:t>tryck av utskottsorganisationen var att den i huvudsak fungerade tillfredsstä</w:t>
      </w:r>
      <w:r w:rsidRPr="00F5723F">
        <w:t>l</w:t>
      </w:r>
      <w:r w:rsidRPr="00F5723F">
        <w:t>lande. Det fanns dock enligt kommittén brist på flexibilitet inom utskottsa</w:t>
      </w:r>
      <w:r w:rsidRPr="00F5723F">
        <w:t>p</w:t>
      </w:r>
      <w:r w:rsidRPr="00F5723F">
        <w:t>paraten och ett utbrett revirtänkande. Vidare ifrågasatte kommittén om det behövdes så många som 16 utskott. Fyra utskott – lag-, utrikes-, försvars- och socialförsäkringsutskotten – ansågs ha påtagligt mindre arbetsbelastning än övriga. Lag- och socialförsäkringsutskottens ärenden skulle, enligt kommi</w:t>
      </w:r>
      <w:r w:rsidRPr="00F5723F">
        <w:t>t</w:t>
      </w:r>
      <w:r w:rsidRPr="00F5723F">
        <w:t>tén, kunna över</w:t>
      </w:r>
      <w:r w:rsidRPr="00F5723F">
        <w:t>föras till de besläktade justitie- respektive socialutskotten, men på grund av dessas arbetsbörda var detta dock inte praktiskt möjligt. Inom kommittén diskuterades även möjligheten att lägga samman utrikes- och försvarsutsko</w:t>
      </w:r>
      <w:r w:rsidRPr="00F5723F">
        <w:t>t</w:t>
      </w:r>
      <w:r w:rsidRPr="00F5723F">
        <w:t>ten. Bistånds- och försvarsfrågorna ansågs dock som så artskilda att de inte borde handläggas i samma utskott. I stället försökte ko</w:t>
      </w:r>
      <w:r w:rsidRPr="00F5723F">
        <w:t>m</w:t>
      </w:r>
      <w:r w:rsidRPr="00F5723F">
        <w:lastRenderedPageBreak/>
        <w:t xml:space="preserve">mittén jämna ut arbetsbördan mellan utskotten genom att föreslå en flyttning av ärenden från de arbetstyngda social- och näringsutskotten till de mindre </w:t>
      </w:r>
      <w:r w:rsidRPr="00F5723F">
        <w:t>arbetstyngda socialförsäkrings-, lag- och civilutskotten. Vidare ansåg ko</w:t>
      </w:r>
      <w:r w:rsidRPr="00F5723F">
        <w:t>m</w:t>
      </w:r>
      <w:r w:rsidRPr="00F5723F">
        <w:t>mittén att ett utnyt</w:t>
      </w:r>
      <w:r w:rsidRPr="00F5723F">
        <w:t>t</w:t>
      </w:r>
      <w:r w:rsidRPr="00F5723F">
        <w:t>jande av sammansatta och särskilda utskott skulle bidra till att öka effektiviteten i utskottsarbetet och minska revirtä</w:t>
      </w:r>
      <w:r w:rsidRPr="00F5723F">
        <w:t>n</w:t>
      </w:r>
      <w:r w:rsidRPr="00F5723F">
        <w:t>kandet.</w:t>
      </w:r>
      <w:r w:rsidRPr="00F5723F">
        <w:rPr>
          <w:rStyle w:val="Fotnotsreferens"/>
        </w:rPr>
        <w:footnoteReference w:id="34"/>
      </w:r>
    </w:p>
    <w:p w:rsidR="00B43C57" w:rsidRPr="00F5723F" w:rsidRDefault="00B43C57">
      <w:pPr>
        <w:pStyle w:val="Normaltindrag"/>
      </w:pPr>
      <w:r w:rsidRPr="00F5723F">
        <w:t>Vid beredningen av utskottskommitténs förslag menade konstitutions</w:t>
      </w:r>
      <w:r w:rsidRPr="00F5723F">
        <w:softHyphen/>
        <w:t>utskottet (bet. KU 1982/83:31) att det var angeläget att minska arbetsbördan för de starkt arbetsbelastade utskotten, vilket i första hand skulle ske genom överföringar av ärenden till de mindre hårt ansträngda utskotten. Med hä</w:t>
      </w:r>
      <w:r w:rsidRPr="00F5723F">
        <w:t>n</w:t>
      </w:r>
      <w:r w:rsidRPr="00F5723F">
        <w:t>syn till den tyngd fackintresset hade i utskottsorganisationen var det, enligt ko</w:t>
      </w:r>
      <w:r w:rsidRPr="00F5723F">
        <w:t>n</w:t>
      </w:r>
      <w:r w:rsidRPr="00F5723F">
        <w:t>stitutionsutskottet, dock viktigt att de berörda utskotten själva var ense om överföringen. Resultatet av denna princip, som ibland har benämnts Sven</w:t>
      </w:r>
      <w:r w:rsidRPr="00F5723F">
        <w:t>s</w:t>
      </w:r>
      <w:r w:rsidRPr="00F5723F">
        <w:t>sondoktrinen efter konstitutionsutskottets ordföra</w:t>
      </w:r>
      <w:r w:rsidRPr="00F5723F">
        <w:t>nde, var att förän</w:t>
      </w:r>
      <w:r w:rsidRPr="00F5723F">
        <w:t>d</w:t>
      </w:r>
      <w:r w:rsidRPr="00F5723F">
        <w:t>ringarna blev begränsade både till antal och omfattning. Vidare ställde sig konstit</w:t>
      </w:r>
      <w:r w:rsidRPr="00F5723F">
        <w:t>u</w:t>
      </w:r>
      <w:r w:rsidRPr="00F5723F">
        <w:t>tionsutskottet kallsinnigt till kommitténs förespråkande av använ</w:t>
      </w:r>
      <w:r w:rsidRPr="00F5723F">
        <w:t>d</w:t>
      </w:r>
      <w:r w:rsidRPr="00F5723F">
        <w:t>ningen av sammansatta och särskilda utskott. Dessa utskottsformer borde enligt utsko</w:t>
      </w:r>
      <w:r w:rsidRPr="00F5723F">
        <w:t>t</w:t>
      </w:r>
      <w:r w:rsidRPr="00F5723F">
        <w:t>tet förvisso inte uteslutas, men tillfälligt sammansatta bere</w:t>
      </w:r>
      <w:r w:rsidRPr="00F5723F">
        <w:t>d</w:t>
      </w:r>
      <w:r w:rsidRPr="00F5723F">
        <w:t>ningsorgan var inte den bästa lösningen på samordningsproblemen i riksd</w:t>
      </w:r>
      <w:r w:rsidRPr="00F5723F">
        <w:t>a</w:t>
      </w:r>
      <w:r w:rsidRPr="00F5723F">
        <w:t>gen.</w:t>
      </w:r>
      <w:r w:rsidRPr="00F5723F">
        <w:rPr>
          <w:rStyle w:val="Fotnotsreferens"/>
        </w:rPr>
        <w:footnoteReference w:id="35"/>
      </w:r>
    </w:p>
    <w:p w:rsidR="00B43C57" w:rsidRPr="00F5723F" w:rsidRDefault="00B43C57">
      <w:pPr>
        <w:pStyle w:val="Normaltindrag"/>
      </w:pPr>
      <w:r w:rsidRPr="00F5723F">
        <w:t xml:space="preserve">I en utvärdering i den s.k. </w:t>
      </w:r>
      <w:r w:rsidRPr="00F5723F">
        <w:rPr>
          <w:i/>
        </w:rPr>
        <w:t>Folkstyrelsekommitténs</w:t>
      </w:r>
      <w:r w:rsidRPr="00F5723F">
        <w:t xml:space="preserve"> regi studerades i mitten av 1980-talet arbetsbördan i olika utskott.</w:t>
      </w:r>
      <w:r w:rsidRPr="00F5723F">
        <w:rPr>
          <w:rStyle w:val="Fotnotsreferens"/>
        </w:rPr>
        <w:footnoteReference w:id="36"/>
      </w:r>
      <w:r w:rsidRPr="00F5723F">
        <w:t xml:space="preserve"> Det konstaterades att hur man än mäter är arbetsbelastningen åtskilligt större i vissa utskott än i andra. Som mått på arbetsbördan användes antalet remitterade propositioner och moti</w:t>
      </w:r>
      <w:r w:rsidRPr="00F5723F">
        <w:t>o</w:t>
      </w:r>
      <w:r w:rsidRPr="00F5723F">
        <w:t>ner, antalet avgivna yttranden samt sammanträdestiden. Resultatet varierade något beroende på vilket mått som användes. Det mått som bäst ansågs sa</w:t>
      </w:r>
      <w:r w:rsidRPr="00F5723F">
        <w:t>m</w:t>
      </w:r>
      <w:r w:rsidRPr="00F5723F">
        <w:t>manfatta skillnaderna i utskottens arbetsbörda var sammanträdes</w:t>
      </w:r>
      <w:r w:rsidRPr="00F5723F">
        <w:softHyphen/>
        <w:t xml:space="preserve">tiden, då det beaktade budgetarbetets (inklusive anknytande motioner) starkt varierande omfattning. De utskott som </w:t>
      </w:r>
      <w:r w:rsidRPr="00F5723F">
        <w:t>hade störst arbetsbörda mätt som sammanträde</w:t>
      </w:r>
      <w:r w:rsidRPr="00F5723F">
        <w:t>s</w:t>
      </w:r>
      <w:r w:rsidRPr="00F5723F">
        <w:t>tid var närings-, utbildnings- och konstitutionsutskotten; i det sistnämnda fallet torde sammanträdestiden ha att göra med gransknings</w:t>
      </w:r>
      <w:r w:rsidRPr="00F5723F">
        <w:softHyphen/>
        <w:t>arbetets omfat</w:t>
      </w:r>
      <w:r w:rsidRPr="00F5723F">
        <w:t>t</w:t>
      </w:r>
      <w:r w:rsidRPr="00F5723F">
        <w:t>ning snarare än budgetarbetets.</w:t>
      </w:r>
    </w:p>
    <w:p w:rsidR="00B43C57" w:rsidRPr="00F5723F" w:rsidRDefault="00B43C57">
      <w:pPr>
        <w:pStyle w:val="Normaltindrag"/>
      </w:pPr>
      <w:r w:rsidRPr="00F5723F">
        <w:t>Folkstyrelsekommittén anförde att en jämnare fördelning av budgetäre</w:t>
      </w:r>
      <w:r w:rsidRPr="00F5723F">
        <w:t>n</w:t>
      </w:r>
      <w:r w:rsidRPr="00F5723F">
        <w:t>dena i första hand skulle åstadkommas genom omflyttning av ärenden mellan utskotten (SOU 1987:6 s. 213). Det kunde även bli nödvändigt att a</w:t>
      </w:r>
      <w:r w:rsidRPr="00F5723F">
        <w:t>v</w:t>
      </w:r>
      <w:r w:rsidRPr="00F5723F">
        <w:t>skaffa utskott och skapa nya utskott, men riktpunkten borde då vara att inte ändra antalet utskottsplatser. Vad gällde antalet utskott menade kommittén att de åtminstone inte borde vara färre eftersom utskottens beredningsområden inte borde göras mer omfattande. Till betänkandet bifogade kommittén ett antal exempel på en förändrad utskottsindelning som innebar att ant</w:t>
      </w:r>
      <w:r w:rsidRPr="00F5723F">
        <w:t>alet utskott bibehölls respektive utökades med ett. Kommittén betonade samt</w:t>
      </w:r>
      <w:r w:rsidRPr="00F5723F">
        <w:t>i</w:t>
      </w:r>
      <w:r w:rsidRPr="00F5723F">
        <w:t>digt att det var riksdagens sak att närmare utreda förändringar i utskottso</w:t>
      </w:r>
      <w:r w:rsidRPr="00F5723F">
        <w:t>r</w:t>
      </w:r>
      <w:r w:rsidRPr="00F5723F">
        <w:t>ganisationen.</w:t>
      </w:r>
    </w:p>
    <w:p w:rsidR="00B43C57" w:rsidRPr="00F5723F" w:rsidRDefault="00B43C57">
      <w:pPr>
        <w:pStyle w:val="Normaltindrag"/>
      </w:pPr>
      <w:r w:rsidRPr="00F5723F">
        <w:lastRenderedPageBreak/>
        <w:t>Riksdagen har genom åren tillsatt flera egna utredningar som bland annat sett över utskottens organisation och arbetssituation. I början av 1990-talet til</w:t>
      </w:r>
      <w:r w:rsidRPr="00F5723F">
        <w:t>l</w:t>
      </w:r>
      <w:r w:rsidRPr="00F5723F">
        <w:t xml:space="preserve">sattes </w:t>
      </w:r>
      <w:r w:rsidRPr="00F5723F">
        <w:rPr>
          <w:i/>
        </w:rPr>
        <w:t>Riksdagsutredningen</w:t>
      </w:r>
      <w:r w:rsidRPr="00F5723F">
        <w:t xml:space="preserve"> med uppgift att se över riksdagens hantering av statsbudgeten med mera Vad gällde utskottens arbetssituation konstaterade utre</w:t>
      </w:r>
      <w:r w:rsidRPr="00F5723F">
        <w:t>d</w:t>
      </w:r>
      <w:r w:rsidRPr="00F5723F">
        <w:t>ningen att riksdagsarbetet ökat väsentligt i omfattning och intensitet jämfört med vad som gällde när utskottsorganisationen utformades i början av 1970-talet (se förs. 1993/94:TK1). Som exempel nämnde utredningen att antalet motionsy</w:t>
      </w:r>
      <w:r w:rsidRPr="00F5723F">
        <w:t>r</w:t>
      </w:r>
      <w:r w:rsidRPr="00F5723F">
        <w:t>kanden ökat kraftigt. Den stora ökningen av antalet ärenden hade enligt utredningen i betydande grad påverkat förutsättnin</w:t>
      </w:r>
      <w:r w:rsidRPr="00F5723F">
        <w:t>garna för fac</w:t>
      </w:r>
      <w:r w:rsidRPr="00F5723F">
        <w:t>k</w:t>
      </w:r>
      <w:r w:rsidRPr="00F5723F">
        <w:t>utsko</w:t>
      </w:r>
      <w:r w:rsidRPr="00F5723F">
        <w:t>t</w:t>
      </w:r>
      <w:r w:rsidRPr="00F5723F">
        <w:t>tens arbete.</w:t>
      </w:r>
    </w:p>
    <w:p w:rsidR="00B43C57" w:rsidRPr="00F5723F" w:rsidRDefault="00B43C57">
      <w:pPr>
        <w:pStyle w:val="Normaltindrag"/>
      </w:pPr>
      <w:r w:rsidRPr="00F5723F">
        <w:t>Utredningen konstaterade också att arbetsbelastningen var ojämnt förd</w:t>
      </w:r>
      <w:r w:rsidRPr="00F5723F">
        <w:t>e</w:t>
      </w:r>
      <w:r w:rsidRPr="00F5723F">
        <w:t>lad mellan olika utskott, både avseende antalet yrkanden och avseende samma</w:t>
      </w:r>
      <w:r w:rsidRPr="00F5723F">
        <w:t>n</w:t>
      </w:r>
      <w:r w:rsidRPr="00F5723F">
        <w:t xml:space="preserve">trädestid. Enligt utredningen påverkades utskottens arbetssituation starkt av vilka politiska områden som är aktuella. Förändringar i samhället medför att intresset varierar för olika ämnesområden och att riksdagsarbetet koncentreras på de för tillfället mest angelägna områdena. Vidare menade utredningen att utskottsorganisationen förvisso inte kan avspegla snabba skiftningar i det politiska intresset, men att en bättre följsamhet </w:t>
      </w:r>
      <w:r w:rsidRPr="00F5723F">
        <w:t>gentemot olika politikomr</w:t>
      </w:r>
      <w:r w:rsidRPr="00F5723F">
        <w:t>å</w:t>
      </w:r>
      <w:r w:rsidRPr="00F5723F">
        <w:t>dens aktualitet borde kunna uppnås genom en tätare översyn av utskottsinde</w:t>
      </w:r>
      <w:r w:rsidRPr="00F5723F">
        <w:t>l</w:t>
      </w:r>
      <w:r w:rsidRPr="00F5723F">
        <w:t xml:space="preserve">ningen och ärendefördelningen. </w:t>
      </w:r>
    </w:p>
    <w:p w:rsidR="00B43C57" w:rsidRPr="00F5723F" w:rsidRDefault="00B43C57">
      <w:pPr>
        <w:pStyle w:val="Normaltindrag"/>
      </w:pPr>
      <w:r w:rsidRPr="00F5723F">
        <w:t>För en generell minskning av utskottens arbetsbörda diskuterade Rik</w:t>
      </w:r>
      <w:r w:rsidRPr="00F5723F">
        <w:t>s</w:t>
      </w:r>
      <w:r w:rsidRPr="00F5723F">
        <w:t>dagsutredningen omläggning av budgetåret, frivillig restriktivitet för väcka</w:t>
      </w:r>
      <w:r w:rsidRPr="00F5723F">
        <w:t>n</w:t>
      </w:r>
      <w:r w:rsidRPr="00F5723F">
        <w:t>de av motioner och ökat användande av förenklad ärendeberedning. Dessa åtgärder skulle emellertid, menade utredningen, knappast lösa de specifika problemen med att vissa utskott var överbelastade. Mot denna bakgrund gjo</w:t>
      </w:r>
      <w:r w:rsidRPr="00F5723F">
        <w:t>r</w:t>
      </w:r>
      <w:r w:rsidRPr="00F5723F">
        <w:t>de utredningen bedömningen att det fanns goda skäl att överväga fö</w:t>
      </w:r>
      <w:r w:rsidRPr="00F5723F">
        <w:t>r</w:t>
      </w:r>
      <w:r w:rsidRPr="00F5723F">
        <w:t xml:space="preserve">ändringar i både utskottsindelning och ärendefördelning. </w:t>
      </w:r>
    </w:p>
    <w:p w:rsidR="00B43C57" w:rsidRPr="00F5723F" w:rsidRDefault="00B43C57">
      <w:pPr>
        <w:pStyle w:val="Normaltindrag"/>
      </w:pPr>
      <w:r w:rsidRPr="00F5723F">
        <w:t>Riksdagsutredningen lanserade ett utkast till hur utskottsorganisationen skulle kunna anp</w:t>
      </w:r>
      <w:r w:rsidRPr="00F5723F">
        <w:t>assas till den indelning av statsbudgeten i utgiftsområden som föreslogs av utredningen (se förs. 1993/94:TK3).</w:t>
      </w:r>
      <w:r w:rsidRPr="00F5723F">
        <w:rPr>
          <w:rStyle w:val="Fotnotsreferens"/>
        </w:rPr>
        <w:footnoteReference w:id="37"/>
      </w:r>
      <w:r w:rsidRPr="00F5723F">
        <w:t xml:space="preserve"> Enligt detta skulle antalet utskott i riksdagen minska från 16 till 15 alternativt 14. Utrikesutsko</w:t>
      </w:r>
      <w:r w:rsidRPr="00F5723F">
        <w:t>t</w:t>
      </w:r>
      <w:r w:rsidRPr="00F5723F">
        <w:t>tet och försvarsutskottet skulle slås ihop till ett utrikes- och säkerhetsu</w:t>
      </w:r>
      <w:r w:rsidRPr="00F5723F">
        <w:t>t</w:t>
      </w:r>
      <w:r w:rsidRPr="00F5723F">
        <w:t>skott, ett särskilt invandrings- och biståndsutskott inrättas samt socialförsä</w:t>
      </w:r>
      <w:r w:rsidRPr="00F5723F">
        <w:t>k</w:t>
      </w:r>
      <w:r w:rsidRPr="00F5723F">
        <w:t>rings- och socialutskotten slås ihop. Frågan om sammanslagning av lag- och just</w:t>
      </w:r>
      <w:r w:rsidRPr="00F5723F">
        <w:t>i</w:t>
      </w:r>
      <w:r w:rsidRPr="00F5723F">
        <w:t>tieu</w:t>
      </w:r>
      <w:r w:rsidRPr="00F5723F">
        <w:t>t</w:t>
      </w:r>
      <w:r w:rsidRPr="00F5723F">
        <w:t>skotten berördes också. Utredningen stannade dock för att inte föreslå någon förändring av utskottsindelningen utan menade att ändringar i utskott</w:t>
      </w:r>
      <w:r w:rsidRPr="00F5723F">
        <w:t>s</w:t>
      </w:r>
      <w:r w:rsidRPr="00F5723F">
        <w:t xml:space="preserve">indelningen borde anstå </w:t>
      </w:r>
      <w:r w:rsidRPr="00F5723F">
        <w:t>till dess att ett definitivt beslut om utgift</w:t>
      </w:r>
      <w:r w:rsidRPr="00F5723F">
        <w:t>s</w:t>
      </w:r>
      <w:r w:rsidRPr="00F5723F">
        <w:t>områden hade fattats. Utredningen föreslog att utredningens expertgrupp skulle få i uppdrag att se över utskottsindelningen och utskottens kanslir</w:t>
      </w:r>
      <w:r w:rsidRPr="00F5723F">
        <w:t>e</w:t>
      </w:r>
      <w:r w:rsidRPr="00F5723F">
        <w:t>surser.</w:t>
      </w:r>
    </w:p>
    <w:p w:rsidR="00B43C57" w:rsidRPr="00F5723F" w:rsidRDefault="00B43C57">
      <w:pPr>
        <w:pStyle w:val="Normaltindrag"/>
      </w:pPr>
      <w:r w:rsidRPr="00F5723F">
        <w:t xml:space="preserve">Hösten 1995 presenterade en </w:t>
      </w:r>
      <w:r w:rsidRPr="00F5723F">
        <w:rPr>
          <w:i/>
        </w:rPr>
        <w:t>arbetsgrupp inom talmanskonferensen</w:t>
      </w:r>
      <w:r w:rsidRPr="00F5723F">
        <w:t xml:space="preserve"> ett förslag till indelning av budgeten i utgiftsområden (se förs. 1995/96:TK2). </w:t>
      </w:r>
      <w:r w:rsidRPr="00F5723F">
        <w:lastRenderedPageBreak/>
        <w:t>A</w:t>
      </w:r>
      <w:r w:rsidRPr="00F5723F">
        <w:t>r</w:t>
      </w:r>
      <w:r w:rsidRPr="00F5723F">
        <w:t>betsgruppen menade att mycket hade ändrats sedan enkammarreformen när det gäller arbetsbelastningen inom olika områden och också i fråga om sa</w:t>
      </w:r>
      <w:r w:rsidRPr="00F5723F">
        <w:t>m</w:t>
      </w:r>
      <w:r w:rsidRPr="00F5723F">
        <w:t>bandet mellan olika ärendegrupper, och det kunde finnas goda skäl att disk</w:t>
      </w:r>
      <w:r w:rsidRPr="00F5723F">
        <w:t>u</w:t>
      </w:r>
      <w:r w:rsidRPr="00F5723F">
        <w:t>tera förändringar i utskottsindelningen. Arbetsgruppen stannade dock för att inte föreslå någon sådan förändring. Ett skäl till det var att det innan erfare</w:t>
      </w:r>
      <w:r w:rsidRPr="00F5723F">
        <w:t>n</w:t>
      </w:r>
      <w:r w:rsidRPr="00F5723F">
        <w:t xml:space="preserve">het vunnits av det </w:t>
      </w:r>
      <w:r w:rsidRPr="00F5723F">
        <w:t>nya budgetförfarandet var svårt att förutse vilka effekterna skulle bli på riksdagsarbetet. Det ansågs också, i övergången till det nya s</w:t>
      </w:r>
      <w:r w:rsidRPr="00F5723F">
        <w:t>y</w:t>
      </w:r>
      <w:r w:rsidRPr="00F5723F">
        <w:t>stemet för budgetbehandling, finnas ett särskilt värde i att utsko</w:t>
      </w:r>
      <w:r w:rsidRPr="00F5723F">
        <w:t>t</w:t>
      </w:r>
      <w:r w:rsidRPr="00F5723F">
        <w:t>ten i så stor utsträckning som möjligt kunde behålla sina tidigare beredningsområden. Arbetsgruppen hade dock för avsikt att så snart erfarenheter vunnits av arbetet med den första budgeten åter ta upp frågan om ändringar i utskottsindelnin</w:t>
      </w:r>
      <w:r w:rsidRPr="00F5723F">
        <w:t>g</w:t>
      </w:r>
      <w:r w:rsidRPr="00F5723F">
        <w:t xml:space="preserve">en. </w:t>
      </w:r>
    </w:p>
    <w:p w:rsidR="00B43C57" w:rsidRPr="00F5723F" w:rsidRDefault="00B43C57">
      <w:pPr>
        <w:pStyle w:val="Normaltindrag"/>
      </w:pPr>
      <w:r w:rsidRPr="00F5723F">
        <w:t>Arbetsgruppen fortsatte sitt arbete och lämnade ett förslag v</w:t>
      </w:r>
      <w:r w:rsidRPr="00F5723F">
        <w:t>åren 1998 (se förs. 1997/98:TK1). Gruppen hade då gått igenom erfarenheterna av pr</w:t>
      </w:r>
      <w:r w:rsidRPr="00F5723F">
        <w:t>o</w:t>
      </w:r>
      <w:r w:rsidRPr="00F5723F">
        <w:t>blem med utskottsindelningen som upplevts i 1996 och 1997 års budgeta</w:t>
      </w:r>
      <w:r w:rsidRPr="00F5723F">
        <w:t>r</w:t>
      </w:r>
      <w:r w:rsidRPr="00F5723F">
        <w:t>bete. Talmanskonferensen instämde med arbetsgruppens slutsats att den existera</w:t>
      </w:r>
      <w:r w:rsidRPr="00F5723F">
        <w:t>n</w:t>
      </w:r>
      <w:r w:rsidRPr="00F5723F">
        <w:t>de utskottsorganisationen på det hela taget var väl lämpad att klara uppgiften att bereda riksdagsärenden. Det ansågs i stor utsträckning vara oundvikligt att det råder skillnader i arbetsbelastningen mellan utskotten. De allra mest a</w:t>
      </w:r>
      <w:r w:rsidRPr="00F5723F">
        <w:t>r</w:t>
      </w:r>
      <w:r w:rsidRPr="00F5723F">
        <w:t>betsbelastade utskotten var konstitutionsutsk</w:t>
      </w:r>
      <w:r w:rsidRPr="00F5723F">
        <w:t>ottet och finansu</w:t>
      </w:r>
      <w:r w:rsidRPr="00F5723F">
        <w:t>t</w:t>
      </w:r>
      <w:r w:rsidRPr="00F5723F">
        <w:t>skottet, och vilka övriga utskott som hade de tyngsta arbetsbördorna vari</w:t>
      </w:r>
      <w:r w:rsidRPr="00F5723F">
        <w:t>e</w:t>
      </w:r>
      <w:r w:rsidRPr="00F5723F">
        <w:t>rade från år till år bland annat beroende på inom vilka områden stora lagstiftning</w:t>
      </w:r>
      <w:r w:rsidRPr="00F5723F">
        <w:t>s</w:t>
      </w:r>
      <w:r w:rsidRPr="00F5723F">
        <w:t>reformer gjordes. Det var därför omöjligt att genom ändrad utskottsindelning helt ta bort skil</w:t>
      </w:r>
      <w:r w:rsidRPr="00F5723F">
        <w:t>l</w:t>
      </w:r>
      <w:r w:rsidRPr="00F5723F">
        <w:t>naderna i belastning mellan utskott.</w:t>
      </w:r>
    </w:p>
    <w:p w:rsidR="00B43C57" w:rsidRPr="00F5723F" w:rsidRDefault="00B43C57">
      <w:pPr>
        <w:pStyle w:val="Normaltindrag"/>
      </w:pPr>
      <w:r w:rsidRPr="00F5723F">
        <w:t xml:space="preserve">Hösten 1998 beslutade talmanskonferensen att tillkalla en parlamentarisk kommitté, </w:t>
      </w:r>
      <w:r w:rsidRPr="00F5723F">
        <w:rPr>
          <w:i/>
        </w:rPr>
        <w:t>Riksdagskommittén</w:t>
      </w:r>
      <w:r w:rsidRPr="00F5723F">
        <w:t>, för att se över och utvärdera vissa frågor rörande riksdagens arbetsformer. Kommittén, som överlämnade sitt huvudb</w:t>
      </w:r>
      <w:r w:rsidRPr="00F5723F">
        <w:t>e</w:t>
      </w:r>
      <w:r w:rsidRPr="00F5723F">
        <w:t>tänkande i februari 2001, studerade bland annat utskottens produktion och arbetsformer samt diskuterade vilka förändringar som skulle behövas i u</w:t>
      </w:r>
      <w:r w:rsidRPr="00F5723F">
        <w:t>t</w:t>
      </w:r>
      <w:r w:rsidRPr="00F5723F">
        <w:t>skottsa</w:t>
      </w:r>
      <w:r w:rsidRPr="00F5723F">
        <w:t>r</w:t>
      </w:r>
      <w:r w:rsidRPr="00F5723F">
        <w:t>betet och i utskottsorganisationen (förs. 2000/01:RS1).</w:t>
      </w:r>
    </w:p>
    <w:p w:rsidR="00B43C57" w:rsidRPr="00F5723F" w:rsidRDefault="00B43C57">
      <w:pPr>
        <w:pStyle w:val="Normaltindrag"/>
      </w:pPr>
      <w:r w:rsidRPr="00F5723F">
        <w:t>Kommittén konstaterade att antalet propositioner minskade med närmare 45 procent mellan 1992/93 och 1999/2000 och att antalet utskottsbetänkanden under samma tidsperiod</w:t>
      </w:r>
      <w:r w:rsidRPr="00F5723F">
        <w:t xml:space="preserve"> nästan halverades. Utvecklingen av antalet moti</w:t>
      </w:r>
      <w:r w:rsidRPr="00F5723F">
        <w:t>o</w:t>
      </w:r>
      <w:r w:rsidRPr="00F5723F">
        <w:t>ner och reservationer följde en inte lika tydlig trend. Orsaken till det min</w:t>
      </w:r>
      <w:r w:rsidRPr="00F5723F">
        <w:t>s</w:t>
      </w:r>
      <w:r w:rsidRPr="00F5723F">
        <w:t>kade antalet utskottsbetänkanden var enligt kommittén bland annat införandet av den nya budgetprocessen 1997 som bland annat innebar att utskotten endast lämnar ett budgetbetä</w:t>
      </w:r>
      <w:r w:rsidRPr="00F5723F">
        <w:t>n</w:t>
      </w:r>
      <w:r w:rsidRPr="00F5723F">
        <w:t>kande per utgiftsområde och att flera utgiftsområden i en del fall behandlas i ett och samma betänkande. Vidare konstaterade ko</w:t>
      </w:r>
      <w:r w:rsidRPr="00F5723F">
        <w:t>m</w:t>
      </w:r>
      <w:r w:rsidRPr="00F5723F">
        <w:t>mittén att utskotten totalt beredde ca 33 000 motionsyrkanden mellan 1995/96 och 1</w:t>
      </w:r>
      <w:r w:rsidRPr="00F5723F">
        <w:t>998/99. Spännvi</w:t>
      </w:r>
      <w:r w:rsidRPr="00F5723F">
        <w:t>d</w:t>
      </w:r>
      <w:r w:rsidRPr="00F5723F">
        <w:t>den mellan olika utskott var stor. Flest antal yrkanden hade socialutskottet (ca 3 500 yrkanden), följt av miljö- och jordbruks</w:t>
      </w:r>
      <w:r w:rsidRPr="00F5723F">
        <w:softHyphen/>
        <w:t>utskottet (ca 3 400 yrkanden) och finansutskottet (ca 3 000 yrkanden). Minst antal yrka</w:t>
      </w:r>
      <w:r w:rsidRPr="00F5723F">
        <w:t>n</w:t>
      </w:r>
      <w:r w:rsidRPr="00F5723F">
        <w:t>den hade försvarsutskottet (ca 850 yrkanden) och lagutskottet (ca 800 yrka</w:t>
      </w:r>
      <w:r w:rsidRPr="00F5723F">
        <w:t>n</w:t>
      </w:r>
      <w:r w:rsidRPr="00F5723F">
        <w:t>den).</w:t>
      </w:r>
    </w:p>
    <w:p w:rsidR="00B43C57" w:rsidRPr="00F5723F" w:rsidRDefault="00B43C57">
      <w:pPr>
        <w:pStyle w:val="Normaltindrag"/>
      </w:pPr>
      <w:r w:rsidRPr="00F5723F">
        <w:lastRenderedPageBreak/>
        <w:t>Vidare lät kommittén kartlägga antalet sammanträden och sammanträde</w:t>
      </w:r>
      <w:r w:rsidRPr="00F5723F">
        <w:t>s</w:t>
      </w:r>
      <w:r w:rsidRPr="00F5723F">
        <w:t>tider hos utskotten. Kommittén konstaterade att spännvidden mellan olika utskott var stor även i detta avseende. Längst sammanträdestid under riksm</w:t>
      </w:r>
      <w:r w:rsidRPr="00F5723F">
        <w:t>ö</w:t>
      </w:r>
      <w:r w:rsidRPr="00F5723F">
        <w:t>tet 1998/99 hade utrikesutskottet (101 timmar) och kortast tid hade ska</w:t>
      </w:r>
      <w:r w:rsidRPr="00F5723F">
        <w:t>t</w:t>
      </w:r>
      <w:r w:rsidRPr="00F5723F">
        <w:t>te</w:t>
      </w:r>
      <w:r w:rsidRPr="00F5723F">
        <w:softHyphen/>
        <w:t>utskottet (15 timmar).</w:t>
      </w:r>
      <w:r w:rsidRPr="00F5723F">
        <w:rPr>
          <w:rStyle w:val="Fotnotsreferens"/>
        </w:rPr>
        <w:footnoteReference w:id="38"/>
      </w:r>
      <w:r w:rsidRPr="00F5723F">
        <w:t xml:space="preserve"> Störst antal sammanträden hade under samma rik</w:t>
      </w:r>
      <w:r w:rsidRPr="00F5723F">
        <w:t>s</w:t>
      </w:r>
      <w:r w:rsidRPr="00F5723F">
        <w:t>möte konstitutionsutskottet (72) medan lag-, skatte-, trafik- och utbildningsu</w:t>
      </w:r>
      <w:r w:rsidRPr="00F5723F">
        <w:t>t</w:t>
      </w:r>
      <w:r w:rsidRPr="00F5723F">
        <w:t>skotten hade minst antal (samtliga 23).</w:t>
      </w:r>
    </w:p>
    <w:p w:rsidR="00B43C57" w:rsidRPr="00F5723F" w:rsidRDefault="00B43C57">
      <w:pPr>
        <w:pStyle w:val="Normaltindrag"/>
      </w:pPr>
      <w:r w:rsidRPr="00F5723F">
        <w:t>Enligt kommittén skulle vissa personalförstärkningar i utskottsorganisati</w:t>
      </w:r>
      <w:r w:rsidRPr="00F5723F">
        <w:t>o</w:t>
      </w:r>
      <w:r w:rsidRPr="00F5723F">
        <w:t>nen behövas, framför allt handläggande personal. Utskotten borde också erbjudas en möjlighet att utföra sitt långsiktiga planeringsarbete vid ett inte</w:t>
      </w:r>
      <w:r w:rsidRPr="00F5723F">
        <w:t>r</w:t>
      </w:r>
      <w:r w:rsidRPr="00F5723F">
        <w:t>nat</w:t>
      </w:r>
      <w:r w:rsidRPr="00F5723F">
        <w:softHyphen/>
        <w:t>sammanträde. Vidare ansåg kommittén att en förstärkning borde ske av vissa gemensamma stödjande funktioner som rör utredningsmetodik, budge</w:t>
      </w:r>
      <w:r w:rsidRPr="00F5723F">
        <w:t>t</w:t>
      </w:r>
      <w:r w:rsidRPr="00F5723F">
        <w:t>frågor, EU-frågor, internationella frågor, informationsteknik, information</w:t>
      </w:r>
      <w:r w:rsidRPr="00F5723F">
        <w:t>s</w:t>
      </w:r>
      <w:r w:rsidRPr="00F5723F">
        <w:t>sökning och upphandling av konsulttjänster med mera</w:t>
      </w:r>
    </w:p>
    <w:p w:rsidR="00B43C57" w:rsidRPr="00F5723F" w:rsidRDefault="00B43C57">
      <w:pPr>
        <w:pStyle w:val="Rubrik3"/>
        <w:rPr>
          <w:noProof w:val="0"/>
        </w:rPr>
      </w:pPr>
      <w:bookmarkStart w:id="29" w:name="_Toc121738890"/>
      <w:bookmarkStart w:id="30" w:name="_Toc124697783"/>
      <w:r w:rsidRPr="00F5723F">
        <w:rPr>
          <w:noProof w:val="0"/>
        </w:rPr>
        <w:t>Diskussion om utskottsindelningen</w:t>
      </w:r>
      <w:r w:rsidRPr="00F5723F">
        <w:rPr>
          <w:rStyle w:val="Fotnotsreferens"/>
          <w:noProof w:val="0"/>
        </w:rPr>
        <w:footnoteReference w:id="39"/>
      </w:r>
      <w:bookmarkEnd w:id="29"/>
      <w:bookmarkEnd w:id="30"/>
    </w:p>
    <w:p w:rsidR="00B43C57" w:rsidRPr="00F5723F" w:rsidRDefault="00B43C57">
      <w:r w:rsidRPr="00F5723F">
        <w:t>Sedan enkammarreformen har, som framgått ovan, utskottsindelningen varit föremål för diskussion i flera omgångar. En grundläggande anledning till diskussionerna är skillnaderna i arbetsbelastning mellan utskotten, som har ansetts vara besvärande stora. Svårigheten att finna objektiva mått på ärend</w:t>
      </w:r>
      <w:r w:rsidRPr="00F5723F">
        <w:t>e</w:t>
      </w:r>
      <w:r w:rsidRPr="00F5723F">
        <w:t>belastningen och att ärendemängden varierar över tid i olika utskott har eme</w:t>
      </w:r>
      <w:r w:rsidRPr="00F5723F">
        <w:t>l</w:t>
      </w:r>
      <w:r w:rsidRPr="00F5723F">
        <w:t>lertid gjort diskussioner om skillnader mellan utskottens arbetsbelas</w:t>
      </w:r>
      <w:r w:rsidRPr="00F5723F">
        <w:t>t</w:t>
      </w:r>
      <w:r w:rsidRPr="00F5723F">
        <w:t>ning besvärlig.</w:t>
      </w:r>
    </w:p>
    <w:p w:rsidR="00B43C57" w:rsidRPr="00F5723F" w:rsidRDefault="00B43C57">
      <w:pPr>
        <w:pStyle w:val="Normaltindrag"/>
      </w:pPr>
      <w:r w:rsidRPr="00F5723F">
        <w:t>De säkerhetspolitiska frågorna har ansetts utgöra ett samlat politikområde som borde behandlas i ett och samma utskott. En sådan ordning skulle inn</w:t>
      </w:r>
      <w:r w:rsidRPr="00F5723F">
        <w:t>e</w:t>
      </w:r>
      <w:r w:rsidRPr="00F5723F">
        <w:t>bära en sammanläggning av utrikes- och försvarsutskotten. När sammanläg</w:t>
      </w:r>
      <w:r w:rsidRPr="00F5723F">
        <w:t>g</w:t>
      </w:r>
      <w:r w:rsidRPr="00F5723F">
        <w:t>ning av dessa utskott har avfärdats vid tidigare tillfälle har hänvisats till sa</w:t>
      </w:r>
      <w:r w:rsidRPr="00F5723F">
        <w:t>m</w:t>
      </w:r>
      <w:r w:rsidRPr="00F5723F">
        <w:t>mansatta utskott när säkerhetspolitiska förutsättningar för försvarspolit</w:t>
      </w:r>
      <w:r w:rsidRPr="00F5723F">
        <w:t>i</w:t>
      </w:r>
      <w:r w:rsidRPr="00F5723F">
        <w:t>ken skall behandlas. Centerpartiet har föreslagit inrättandet av ett sårbarhets- och säkerhetsutskott. Förutom frågor som i dag bereds i utrikes- och försvarsu</w:t>
      </w:r>
      <w:r w:rsidRPr="00F5723F">
        <w:t>t</w:t>
      </w:r>
      <w:r w:rsidRPr="00F5723F">
        <w:t>skotten skulle ett sådant utskott även behandla vissa frågor som med nuv</w:t>
      </w:r>
      <w:r w:rsidRPr="00F5723F">
        <w:t>a</w:t>
      </w:r>
      <w:r w:rsidRPr="00F5723F">
        <w:t>rande ordning bereds i närings och bostadsutskotten</w:t>
      </w:r>
      <w:r w:rsidRPr="00F5723F">
        <w:t xml:space="preserve"> samt miljö- och jor</w:t>
      </w:r>
      <w:r w:rsidRPr="00F5723F">
        <w:t>d</w:t>
      </w:r>
      <w:r w:rsidRPr="00F5723F">
        <w:t>bruksutskottet.</w:t>
      </w:r>
    </w:p>
    <w:p w:rsidR="00B43C57" w:rsidRPr="00F5723F" w:rsidRDefault="00B43C57">
      <w:pPr>
        <w:pStyle w:val="Normaltindrag"/>
      </w:pPr>
      <w:r w:rsidRPr="00F5723F">
        <w:t>En annan uppfattning har varit att samla socialpolitiska frågor i ett u</w:t>
      </w:r>
      <w:r w:rsidRPr="00F5723F">
        <w:t>t</w:t>
      </w:r>
      <w:r w:rsidRPr="00F5723F">
        <w:t>skott. Det skulle i så fall innebära att socialförsäkrings- och socialutskotten sa</w:t>
      </w:r>
      <w:r w:rsidRPr="00F5723F">
        <w:t>m</w:t>
      </w:r>
      <w:r w:rsidRPr="00F5723F">
        <w:t>manfördes till ett utskott. Mot bakgrund av att dessa utskott de senaste åren haft en stor arbetsbelastning har en sådan lösning inte ansetts möjlig om man inte samtidigt överflyttar ämnesområden till andra utskott. I sammanhanget bör vidare noteras att det sociala området inom EU även innefattar arbet</w:t>
      </w:r>
      <w:r w:rsidRPr="00F5723F">
        <w:t>s</w:t>
      </w:r>
      <w:r w:rsidRPr="00F5723F">
        <w:lastRenderedPageBreak/>
        <w:t>marknadspolitik, vilket innebär att även arbetsmarknadsutskottet skulle kunna finnas med i en sådan diskussion som ovan.</w:t>
      </w:r>
    </w:p>
    <w:p w:rsidR="00B43C57" w:rsidRPr="00F5723F" w:rsidRDefault="00B43C57">
      <w:pPr>
        <w:pStyle w:val="Normaltindrag"/>
      </w:pPr>
      <w:r w:rsidRPr="00F5723F">
        <w:t xml:space="preserve">En </w:t>
      </w:r>
      <w:r w:rsidRPr="00F5723F">
        <w:t>diskussion har tidigare förts om inrättande av ett utskott med inrik</w:t>
      </w:r>
      <w:r w:rsidRPr="00F5723F">
        <w:t>t</w:t>
      </w:r>
      <w:r w:rsidRPr="00F5723F">
        <w:t>ning på forskning och framtidsfrågor.</w:t>
      </w:r>
      <w:r w:rsidRPr="00F5723F">
        <w:rPr>
          <w:rStyle w:val="Fotnotsreferens"/>
        </w:rPr>
        <w:footnoteReference w:id="40"/>
      </w:r>
      <w:r w:rsidRPr="00F5723F">
        <w:t xml:space="preserve"> Ett framtidsutskott finns i dag i Finlands riksdag.</w:t>
      </w:r>
    </w:p>
    <w:p w:rsidR="00B43C57" w:rsidRPr="00F5723F" w:rsidRDefault="00B43C57">
      <w:pPr>
        <w:pStyle w:val="Rubrik3"/>
        <w:rPr>
          <w:noProof w:val="0"/>
        </w:rPr>
      </w:pPr>
      <w:bookmarkStart w:id="31" w:name="_Toc121738891"/>
      <w:bookmarkStart w:id="32" w:name="_Toc124697784"/>
      <w:r w:rsidRPr="00F5723F">
        <w:rPr>
          <w:noProof w:val="0"/>
        </w:rPr>
        <w:t>Regleringen av utskottsväsendet</w:t>
      </w:r>
      <w:bookmarkEnd w:id="31"/>
      <w:bookmarkEnd w:id="32"/>
    </w:p>
    <w:p w:rsidR="00B43C57" w:rsidRPr="00F5723F" w:rsidRDefault="00B43C57">
      <w:r w:rsidRPr="00F5723F">
        <w:t>Bestämmelser om utskotten finns i regeringsformen (RF) och riksdagsor</w:t>
      </w:r>
      <w:r w:rsidRPr="00F5723F">
        <w:t>d</w:t>
      </w:r>
      <w:r w:rsidRPr="00F5723F">
        <w:t>ningen (RO). Som framgår av dessa har utskotten framför allt till uppgift att vara riksdagens beredningsapparat. För nästan alla ärenden som väcks i rik</w:t>
      </w:r>
      <w:r w:rsidRPr="00F5723F">
        <w:t>s</w:t>
      </w:r>
      <w:r w:rsidRPr="00F5723F">
        <w:t>dagen gäller att de måste hänvisas till (4 kap. 1 § RO) och beredas av ett utskott (4 kap. 3 § andra stycket RF). Ett utskott är å sin sida skyldigt att behandla ärenden som det fått hänvisade till sig, vilket skall göras i betänka</w:t>
      </w:r>
      <w:r w:rsidRPr="00F5723F">
        <w:t>n</w:t>
      </w:r>
      <w:r w:rsidRPr="00F5723F">
        <w:t>den som avges till riksdagen (4 kap. 9 § RO); till skillnad från i vissa andra länder kan utskotten således inte stoppa ett är</w:t>
      </w:r>
      <w:r w:rsidRPr="00F5723F">
        <w:t>ende genom att underlåta att avge ett betänkande. Utöver ärendeberedning skall utskotten enligt riksdag</w:t>
      </w:r>
      <w:r w:rsidRPr="00F5723F">
        <w:t>s</w:t>
      </w:r>
      <w:r w:rsidRPr="00F5723F">
        <w:t>ordningen inom sina respektive ämnesområden också följa upp och utvärdera riksdagsbeslut (4 kap. 18 §) samt följa arbetet inom EU (10 kap. 3 §); uppgi</w:t>
      </w:r>
      <w:r w:rsidRPr="00F5723F">
        <w:t>f</w:t>
      </w:r>
      <w:r w:rsidRPr="00F5723F">
        <w:t>ter som dessa som inte direkt gäller ärendeberedningen betonas alltmer.</w:t>
      </w:r>
      <w:r w:rsidRPr="00F5723F">
        <w:rPr>
          <w:rStyle w:val="Fotnotsreferens"/>
        </w:rPr>
        <w:footnoteReference w:id="41"/>
      </w:r>
    </w:p>
    <w:p w:rsidR="00B43C57" w:rsidRPr="00F5723F" w:rsidRDefault="00B43C57">
      <w:pPr>
        <w:pStyle w:val="Normaltindrag"/>
      </w:pPr>
      <w:r w:rsidRPr="00F5723F">
        <w:t>Vad gäller utskottsorganisationen anges i 4 kap. 3 § RF att riksdagen inom sig skall välja utskott, däribland ett konstitutionsutskott och ett finan</w:t>
      </w:r>
      <w:r w:rsidRPr="00F5723F">
        <w:t>s</w:t>
      </w:r>
      <w:r w:rsidRPr="00F5723F">
        <w:t>utskott. Konstitutionsutskottet och finansutskottet är tillsammans med ska</w:t>
      </w:r>
      <w:r w:rsidRPr="00F5723F">
        <w:t>t</w:t>
      </w:r>
      <w:r w:rsidRPr="00F5723F">
        <w:t>teutskottet dessutom namngivna i 4 kap. 2 § RO. Utöver de 3 namngivna utskotten skall riksdagen dessutom tillsätta ett erforderligt antal utskott. Vilka dessa är regl</w:t>
      </w:r>
      <w:r w:rsidRPr="00F5723F">
        <w:t>e</w:t>
      </w:r>
      <w:r w:rsidRPr="00F5723F">
        <w:t>ras i riksdagsordningens tilläggsbestämmelse 4.2.1. Eftersom riksdagsor</w:t>
      </w:r>
      <w:r w:rsidRPr="00F5723F">
        <w:t>d</w:t>
      </w:r>
      <w:r w:rsidRPr="00F5723F">
        <w:t>ningens tilläggsbestämmelse kan ändras på samma sätt som annan lag, det vill säga genom ett beslut med enkel majoritet, är det förhållandevis lätt att ändra utskottsorganisationen, konstitutionsuts</w:t>
      </w:r>
      <w:r w:rsidRPr="00F5723F">
        <w:t>kottet, finansutskottet och skatteu</w:t>
      </w:r>
      <w:r w:rsidRPr="00F5723F">
        <w:t>t</w:t>
      </w:r>
      <w:r w:rsidRPr="00F5723F">
        <w:t>skottet undantagna. Bestämmelser avseende särskilt utskott, som tillsätts av ka</w:t>
      </w:r>
      <w:r w:rsidRPr="00F5723F">
        <w:t>m</w:t>
      </w:r>
      <w:r w:rsidRPr="00F5723F">
        <w:t>maren, och sammansatt utskott, som tillsätts av berörda utskott, återfinns i 4 kap. 2 § andra stycket respektive 8 § tredje stycket RO.</w:t>
      </w:r>
    </w:p>
    <w:p w:rsidR="00B43C57" w:rsidRPr="00F5723F" w:rsidRDefault="00B43C57">
      <w:pPr>
        <w:pStyle w:val="Normaltindrag"/>
      </w:pPr>
      <w:r w:rsidRPr="00F5723F">
        <w:t>Att konstitutions- och finansutskotten namnges särskilt i regeringsformen beror på att regeringsformen tillägger dem särskilda uppgifter, däribland konstitutionsutskottets granskningsverksamhet (12 kap. 1–3 §§), och att f</w:t>
      </w:r>
      <w:r w:rsidRPr="00F5723F">
        <w:t>i</w:t>
      </w:r>
      <w:r w:rsidRPr="00F5723F">
        <w:t>nansutskottet på uppdrag av riksdagen kan bestämma om anslag i den omfat</w:t>
      </w:r>
      <w:r w:rsidRPr="00F5723F">
        <w:t>t</w:t>
      </w:r>
      <w:r w:rsidRPr="00F5723F">
        <w:t>ning som behövs för den händelse att budgetregleringen inte slutförts när budgetperioden börjat (9 kap. 4 §). Centrala beredningsuppgifter för konstit</w:t>
      </w:r>
      <w:r w:rsidRPr="00F5723F">
        <w:t>u</w:t>
      </w:r>
      <w:r w:rsidRPr="00F5723F">
        <w:t>tions-, finans- och skatteutskotten finns också angivna i riksdags</w:t>
      </w:r>
      <w:r w:rsidRPr="00F5723F">
        <w:softHyphen/>
        <w:t>ordningens huvudbestämmelser (4 kap. 4–5 §§); därigenom det särskilda namngivandet av även skatteutskottet i riksdagsordningens huvud</w:t>
      </w:r>
      <w:r w:rsidRPr="00F5723F">
        <w:softHyphen/>
        <w:t>bestämmelser (se ovan). Andra beredningsuppgifter för dessa 3 utskott samt beredningsu</w:t>
      </w:r>
      <w:r w:rsidRPr="00F5723F">
        <w:t xml:space="preserve">ppgifter för övriga </w:t>
      </w:r>
      <w:r w:rsidRPr="00F5723F">
        <w:lastRenderedPageBreak/>
        <w:t>13 utskott anges i riksdagsordningens tilläggsbestämmelser (4.6.1–16). Liksom utskottsindelningen är således utskottens ärendefördelning i stora delar förhållandevis lätt att ändra.</w:t>
      </w:r>
    </w:p>
    <w:p w:rsidR="00B43C57" w:rsidRPr="00F5723F" w:rsidRDefault="00B43C57">
      <w:pPr>
        <w:pStyle w:val="Normaltindrag"/>
      </w:pPr>
      <w:r w:rsidRPr="00F5723F">
        <w:t>Utskotten skall bestå av udda antal ledamöter, lägst 15 (4 kap. 3 § RO). Antalet fastställs av riksdagen på förslag av valberedningen (tilläggsbestä</w:t>
      </w:r>
      <w:r w:rsidRPr="00F5723F">
        <w:t>m</w:t>
      </w:r>
      <w:r w:rsidRPr="00F5723F">
        <w:t>melse 4.3.1 RO). Anledningen till flexibiliteten i utskottens ledamotsantal är en strävan att ge även mindre partier i riksdagen ordinarie platser i utskotten (bet. 1989/90:KU36 s. 24). Antalet suppleanter skall vara minst lika många som antalet ordinarie ledamöter (7 kap. 8 § RO). Sammansatta utskott består av deputerade för de utskott som kommer överens om att gemensamt bereda ett ärende, och det är utskottens sak att bestämma antalet deputerade.</w:t>
      </w:r>
      <w:r w:rsidRPr="00F5723F">
        <w:rPr>
          <w:rStyle w:val="Fotnotsreferens"/>
        </w:rPr>
        <w:footnoteReference w:id="42"/>
      </w:r>
    </w:p>
    <w:p w:rsidR="00B43C57" w:rsidRPr="00F5723F" w:rsidRDefault="00B43C57">
      <w:pPr>
        <w:pStyle w:val="Normaltindrag"/>
      </w:pPr>
      <w:r w:rsidRPr="00F5723F">
        <w:t>Bestämmelser avseende utskottens arbetsformer återfinns främst i 4 kap. RO. Dessa säger bland annat att ett utskott endast får sammanträda samtidigt med kammaren om överläggningen i kammaren avser annat än ett ärendes avgörande eller ett val och utskottet i förväg har medgett det genom ett enhä</w:t>
      </w:r>
      <w:r w:rsidRPr="00F5723F">
        <w:t>l</w:t>
      </w:r>
      <w:r w:rsidRPr="00F5723F">
        <w:t>ligt beslut (4.12.2). Vidare sägs att utskottssammanträden inte är offentliga men att utskotten kan anordna offentliga utfrågningar för inhämtande av upply</w:t>
      </w:r>
      <w:r w:rsidRPr="00F5723F">
        <w:t>s</w:t>
      </w:r>
      <w:r w:rsidRPr="00F5723F">
        <w:t>ningar (4 kap. 13 §). Statliga myndigheter skall lämna upplysningar och avge yttra</w:t>
      </w:r>
      <w:r w:rsidRPr="00F5723F">
        <w:t>n</w:t>
      </w:r>
      <w:r w:rsidRPr="00F5723F">
        <w:t>de om ett utskott begär det, men regeringen är endast skyldig att göra det i fråga om arbetet inom EU (4 kap. 11 § första stycket). En min</w:t>
      </w:r>
      <w:r w:rsidRPr="00F5723F">
        <w:t>o</w:t>
      </w:r>
      <w:r w:rsidRPr="00F5723F">
        <w:t>ritet om 5 ledamöter i utskottet kan begära att utskottet skall inhämta upply</w:t>
      </w:r>
      <w:r w:rsidRPr="00F5723F">
        <w:t>s</w:t>
      </w:r>
      <w:r w:rsidRPr="00F5723F">
        <w:t xml:space="preserve">ningar eller ett yttrande (4 kap. 11 § andra stycket). </w:t>
      </w:r>
      <w:r w:rsidRPr="00F5723F">
        <w:t>I 4 kap. RO återfinns även bestämmelser för utskotten avseende bland annat jäv, omröstning och reserv</w:t>
      </w:r>
      <w:r w:rsidRPr="00F5723F">
        <w:t>a</w:t>
      </w:r>
      <w:r w:rsidRPr="00F5723F">
        <w:t>tionsrätt, sä</w:t>
      </w:r>
      <w:r w:rsidRPr="00F5723F">
        <w:t>r</w:t>
      </w:r>
      <w:r w:rsidRPr="00F5723F">
        <w:t>skilda yttranden, tystnadsplikt och utrikes resor.</w:t>
      </w:r>
    </w:p>
    <w:p w:rsidR="00B43C57" w:rsidRPr="00F5723F" w:rsidRDefault="00B43C57">
      <w:pPr>
        <w:pStyle w:val="Normaltindrag"/>
      </w:pPr>
      <w:r w:rsidRPr="00F5723F">
        <w:t>Vad gäller utskottens kanslier anges i riksdagsordningen endast att utsko</w:t>
      </w:r>
      <w:r w:rsidRPr="00F5723F">
        <w:t>t</w:t>
      </w:r>
      <w:r w:rsidRPr="00F5723F">
        <w:t>ten skall biträdas av sådana samt att de ingår i riksdagsförvaltningen (9 kap. 2  §). Kansliernas arbetsuppgifter är således inte reglerade. I 1 § lagen (2000:419) om instruktion för riksdagsförvaltningen anges dock huvudup</w:t>
      </w:r>
      <w:r w:rsidRPr="00F5723F">
        <w:t>p</w:t>
      </w:r>
      <w:r w:rsidRPr="00F5723F">
        <w:t>gifter för riksdagsförvaltningen som helhet. Dessa är att biträda vid behan</w:t>
      </w:r>
      <w:r w:rsidRPr="00F5723F">
        <w:t>d</w:t>
      </w:r>
      <w:r w:rsidRPr="00F5723F">
        <w:t>lingen av riksdagens ärenden, svara för de myndighetsfunktioner och förval</w:t>
      </w:r>
      <w:r w:rsidRPr="00F5723F">
        <w:t>t</w:t>
      </w:r>
      <w:r w:rsidRPr="00F5723F">
        <w:t>nings</w:t>
      </w:r>
      <w:r w:rsidRPr="00F5723F">
        <w:softHyphen/>
        <w:t>uppgifter som anges i 9 kap. 4 § RO, informera om riksdagens arbete och frågor som rör EU, handlägga ärenden rörande riksdagens in</w:t>
      </w:r>
      <w:r w:rsidRPr="00F5723F">
        <w:t>te</w:t>
      </w:r>
      <w:r w:rsidRPr="00F5723F">
        <w:t>r</w:t>
      </w:r>
      <w:r w:rsidRPr="00F5723F">
        <w:t>nationella kontakter samt tillhandahålla de resurser och den service med mera som i övrigt behövs för kammarens, utskottens och övriga riksdagsorgans verksa</w:t>
      </w:r>
      <w:r w:rsidRPr="00F5723F">
        <w:t>m</w:t>
      </w:r>
      <w:r w:rsidRPr="00F5723F">
        <w:t>het.</w:t>
      </w:r>
    </w:p>
    <w:p w:rsidR="00B43C57" w:rsidRPr="00F5723F" w:rsidRDefault="00B43C57">
      <w:pPr>
        <w:pStyle w:val="Rubrik3"/>
        <w:rPr>
          <w:noProof w:val="0"/>
        </w:rPr>
      </w:pPr>
      <w:bookmarkStart w:id="33" w:name="_Toc121738892"/>
      <w:bookmarkStart w:id="34" w:name="_Toc124697785"/>
      <w:r w:rsidRPr="00F5723F">
        <w:rPr>
          <w:noProof w:val="0"/>
        </w:rPr>
        <w:t>Riktlinjer för utskottens arbetsformer</w:t>
      </w:r>
      <w:bookmarkEnd w:id="33"/>
      <w:bookmarkEnd w:id="34"/>
    </w:p>
    <w:p w:rsidR="00B43C57" w:rsidRPr="00F5723F" w:rsidRDefault="00B43C57">
      <w:r w:rsidRPr="00F5723F">
        <w:t>Riksdagskommittén utarbetade riktlinjer för utskottens arbetsformer vilka avlämnades som förslag till riksdagen av riksdagsstyrelsen (förs. 2000/01:RS1). Riktlinjerna var följande.</w:t>
      </w:r>
    </w:p>
    <w:p w:rsidR="00B43C57" w:rsidRPr="00F5723F" w:rsidRDefault="00B43C57">
      <w:pPr>
        <w:pStyle w:val="Normaltindrag"/>
      </w:pPr>
      <w:r w:rsidRPr="00F5723F">
        <w:rPr>
          <w:i/>
        </w:rPr>
        <w:t>Mer självstyrande utskott.</w:t>
      </w:r>
      <w:r w:rsidRPr="00F5723F">
        <w:t xml:space="preserve"> Utskotten bör ägna mer tid åt uppföl</w:t>
      </w:r>
      <w:r w:rsidRPr="00F5723F">
        <w:t>j</w:t>
      </w:r>
      <w:r w:rsidRPr="00F5723F">
        <w:t xml:space="preserve">ning/utvärdering och åt EU-bevakning. På sikt innebär det en förskjutning av </w:t>
      </w:r>
      <w:r w:rsidRPr="00F5723F">
        <w:lastRenderedPageBreak/>
        <w:t>utskottsarbetet från beslutsfattande med anledning av propositioner och m</w:t>
      </w:r>
      <w:r w:rsidRPr="00F5723F">
        <w:t>o</w:t>
      </w:r>
      <w:r w:rsidRPr="00F5723F">
        <w:t>tioner till utredningar och analyser på eget initiativ.</w:t>
      </w:r>
    </w:p>
    <w:p w:rsidR="00B43C57" w:rsidRPr="00F5723F" w:rsidRDefault="00B43C57">
      <w:pPr>
        <w:pStyle w:val="Normaltindrag"/>
      </w:pPr>
      <w:r w:rsidRPr="00F5723F">
        <w:rPr>
          <w:i/>
        </w:rPr>
        <w:t>Bryggor mellan utskottens traditionella och nya uppgifter.</w:t>
      </w:r>
      <w:r w:rsidRPr="00F5723F">
        <w:t xml:space="preserve"> Utskottens a</w:t>
      </w:r>
      <w:r w:rsidRPr="00F5723F">
        <w:t>r</w:t>
      </w:r>
      <w:r w:rsidRPr="00F5723F">
        <w:t>bete med uppföljning/utvärdering och EU-frågor skall ses som ett led i en förbät</w:t>
      </w:r>
      <w:r w:rsidRPr="00F5723F">
        <w:t>t</w:t>
      </w:r>
      <w:r w:rsidRPr="00F5723F">
        <w:t xml:space="preserve">rad och fördjupad beredning av de formella riksdagsärendena. </w:t>
      </w:r>
    </w:p>
    <w:p w:rsidR="00B43C57" w:rsidRPr="00F5723F" w:rsidRDefault="00B43C57">
      <w:pPr>
        <w:pStyle w:val="Normaltindrag"/>
      </w:pPr>
      <w:r w:rsidRPr="00F5723F">
        <w:rPr>
          <w:i/>
        </w:rPr>
        <w:t>Långsiktig och mer tematisk planering av utskottsverksamheten.</w:t>
      </w:r>
      <w:r w:rsidRPr="00F5723F">
        <w:t xml:space="preserve"> Varje ä</w:t>
      </w:r>
      <w:r w:rsidRPr="00F5723F">
        <w:t>m</w:t>
      </w:r>
      <w:r w:rsidRPr="00F5723F">
        <w:t>nesområde inom ett utskotts beredningsområde bör behandlas minst två gån</w:t>
      </w:r>
      <w:r w:rsidRPr="00F5723F">
        <w:t>g</w:t>
      </w:r>
      <w:r w:rsidRPr="00F5723F">
        <w:t>er under en valperiod, första gången under det första riksmötet och andra gången under något av de följande riksmötena. Minst en behandling under det andra, tredje eller fjärde riksmötet bör vara mer ingående och innehålla inslag av uppföljning/utvärdering och EU-bevakning.</w:t>
      </w:r>
    </w:p>
    <w:p w:rsidR="00B43C57" w:rsidRPr="00F5723F" w:rsidRDefault="00B43C57">
      <w:pPr>
        <w:pStyle w:val="Normaltindrag"/>
      </w:pPr>
      <w:r w:rsidRPr="00F5723F">
        <w:rPr>
          <w:i/>
        </w:rPr>
        <w:t>Möjlighet att vid behov ge motioner en förenklad motionshantering.</w:t>
      </w:r>
      <w:r w:rsidRPr="00F5723F">
        <w:t xml:space="preserve"> Vid förenklad behandling kan motionsförslag som behandlar frågor där besluta</w:t>
      </w:r>
      <w:r w:rsidRPr="00F5723F">
        <w:t>n</w:t>
      </w:r>
      <w:r w:rsidRPr="00F5723F">
        <w:t>derätten enligt utskottets uppfattning bör ligga kvar hos regeringen, en fö</w:t>
      </w:r>
      <w:r w:rsidRPr="00F5723F">
        <w:t>r</w:t>
      </w:r>
      <w:r w:rsidRPr="00F5723F">
        <w:t>valtningsmyndighet eller hos kommunerna kunna avstyrkas utan ytterligare beredning. I fråga om motionsförslag som upprepas bör vid förenklad b</w:t>
      </w:r>
      <w:r w:rsidRPr="00F5723F">
        <w:t>e</w:t>
      </w:r>
      <w:r w:rsidRPr="00F5723F">
        <w:t>handling utskottet hänvisa till tidigare ställningstagande.</w:t>
      </w:r>
    </w:p>
    <w:p w:rsidR="00B43C57" w:rsidRPr="00F5723F" w:rsidRDefault="00B43C57">
      <w:pPr>
        <w:pStyle w:val="Normaltindrag"/>
      </w:pPr>
      <w:r w:rsidRPr="00F5723F">
        <w:rPr>
          <w:i/>
        </w:rPr>
        <w:t>Central roll för kanslicheferna i planeringen av utskottsarbetet.</w:t>
      </w:r>
      <w:r w:rsidRPr="00F5723F">
        <w:t xml:space="preserve"> Vid b</w:t>
      </w:r>
      <w:r w:rsidRPr="00F5723F">
        <w:t>e</w:t>
      </w:r>
      <w:r w:rsidRPr="00F5723F">
        <w:t>hov skall kanslichefen föreslå utskottet att information om utvecklingen på ett visst område inhämtas till exempel genom av kansliet utförda kunskapsöve</w:t>
      </w:r>
      <w:r w:rsidRPr="00F5723F">
        <w:t>r</w:t>
      </w:r>
      <w:r w:rsidRPr="00F5723F">
        <w:t>sikter, studiebesök, utfrågningar eller undersökningar i utskottets egen regi med hjälp av egen eller extern personal.</w:t>
      </w:r>
    </w:p>
    <w:p w:rsidR="00B43C57" w:rsidRPr="00F5723F" w:rsidRDefault="00B43C57">
      <w:pPr>
        <w:pStyle w:val="Normaltindrag"/>
        <w:rPr>
          <w:i/>
        </w:rPr>
      </w:pPr>
      <w:r w:rsidRPr="00F5723F">
        <w:rPr>
          <w:i/>
        </w:rPr>
        <w:t>Fortlöpande diskussion och utvärdering av utskottens arbetsformer.</w:t>
      </w:r>
      <w:r w:rsidRPr="00F5723F">
        <w:t xml:space="preserve"> Ett läm</w:t>
      </w:r>
      <w:r w:rsidRPr="00F5723F">
        <w:t>p</w:t>
      </w:r>
      <w:r w:rsidRPr="00F5723F">
        <w:t>ligt forum för detta är ordförandekonferensen, där erfarenhetsutbyte på pol</w:t>
      </w:r>
      <w:r w:rsidRPr="00F5723F">
        <w:t>i</w:t>
      </w:r>
      <w:r w:rsidRPr="00F5723F">
        <w:t>tisk nivå kan äga rum under talmannens ledning. För kanslicheferna finns ett motsvarande forum i de kanslichefsmöten som regelmässigt anor</w:t>
      </w:r>
      <w:r w:rsidRPr="00F5723F">
        <w:t>d</w:t>
      </w:r>
      <w:r w:rsidRPr="00F5723F">
        <w:t>nas av riksdagsdirektören.</w:t>
      </w:r>
    </w:p>
    <w:p w:rsidR="00B43C57" w:rsidRPr="00F5723F" w:rsidRDefault="00B43C57">
      <w:r w:rsidRPr="00F5723F">
        <w:t>Konstitutionsutskottet delade riksdagsstyrelsens bedömning avseende riktli</w:t>
      </w:r>
      <w:r w:rsidRPr="00F5723F">
        <w:t>n</w:t>
      </w:r>
      <w:r w:rsidRPr="00F5723F">
        <w:t>jerna och tillstyrkte förslaget (bet. 2000/01:KU23). Riksdagen följde u</w:t>
      </w:r>
      <w:r w:rsidRPr="00F5723F">
        <w:t>t</w:t>
      </w:r>
      <w:r w:rsidRPr="00F5723F">
        <w:t>skottet (prot. 2000/01:124).</w:t>
      </w:r>
    </w:p>
    <w:p w:rsidR="00B43C57" w:rsidRPr="00F5723F" w:rsidRDefault="00B43C57">
      <w:pPr>
        <w:pStyle w:val="Rubrik2"/>
      </w:pPr>
      <w:bookmarkStart w:id="35" w:name="_Toc121738893"/>
      <w:bookmarkStart w:id="36" w:name="_Toc124697786"/>
      <w:r w:rsidRPr="00F5723F">
        <w:t>Organisation</w:t>
      </w:r>
      <w:bookmarkEnd w:id="35"/>
      <w:bookmarkEnd w:id="36"/>
    </w:p>
    <w:p w:rsidR="00B43C57" w:rsidRPr="00F5723F" w:rsidRDefault="00B43C57">
      <w:pPr>
        <w:pStyle w:val="Rubrik3"/>
        <w:rPr>
          <w:noProof w:val="0"/>
        </w:rPr>
      </w:pPr>
      <w:bookmarkStart w:id="37" w:name="_Toc121738894"/>
      <w:bookmarkStart w:id="38" w:name="_Toc124697787"/>
      <w:r w:rsidRPr="00F5723F">
        <w:rPr>
          <w:noProof w:val="0"/>
        </w:rPr>
        <w:t>Antal utskott och ledamöter</w:t>
      </w:r>
      <w:bookmarkEnd w:id="37"/>
      <w:bookmarkEnd w:id="38"/>
    </w:p>
    <w:p w:rsidR="00B43C57" w:rsidRPr="00F5723F" w:rsidRDefault="00B43C57">
      <w:r w:rsidRPr="00F5723F">
        <w:t>Riksdagen är indelad i 16 fasta utskott. Som framgått i det föregående har utskottsorganisationen varit i stort sett intakt sedan övergången till facku</w:t>
      </w:r>
      <w:r w:rsidRPr="00F5723F">
        <w:t>t</w:t>
      </w:r>
      <w:r w:rsidRPr="00F5723F">
        <w:t>skott 1971. Av de utskott som fanns före 1971 finns till namnet i dag endast konst</w:t>
      </w:r>
      <w:r w:rsidRPr="00F5723F">
        <w:t>i</w:t>
      </w:r>
      <w:r w:rsidRPr="00F5723F">
        <w:t>tutionsutskottet och lagutskottet kvar, varvid lagutskottet närmast svarar mot det gamla första lagutskottet. Vidare svarar skatteutskottet mot det gamla bevillningsutskottet och finansutskottet delvis mot det gamla bankoutsko</w:t>
      </w:r>
      <w:r w:rsidRPr="00F5723F">
        <w:t>t</w:t>
      </w:r>
      <w:r w:rsidRPr="00F5723F">
        <w:lastRenderedPageBreak/>
        <w:t>tet.</w:t>
      </w:r>
      <w:r w:rsidRPr="00F5723F">
        <w:rPr>
          <w:rStyle w:val="Fotnotsreferens"/>
        </w:rPr>
        <w:footnoteReference w:id="43"/>
      </w:r>
      <w:r w:rsidRPr="00F5723F">
        <w:t xml:space="preserve"> Av de utskott som inrättades bytte senare inrikesutskottet namn till arbetsmarknadsutskottet (1976) och civilutskottet till bostadsutskottet (1983). År 1998 bytte jordbruksutskottet namn till miljö- och jordbruksutskottet.</w:t>
      </w:r>
    </w:p>
    <w:p w:rsidR="00B43C57" w:rsidRPr="00F5723F" w:rsidRDefault="00B43C57">
      <w:pPr>
        <w:pStyle w:val="Normaltindrag"/>
      </w:pPr>
      <w:r w:rsidRPr="00F5723F">
        <w:t>Som nämnts i det föregående har särskilt utskott endast förekommit en gång sedan 1971. Det var 1992 då EES-utskottet tillsattes för beredningen av propositionen om EES-avtalet. Den tredje utskottsformen, sammansatt u</w:t>
      </w:r>
      <w:r w:rsidRPr="00F5723F">
        <w:t>t</w:t>
      </w:r>
      <w:r w:rsidRPr="00F5723F">
        <w:t>skott, förekom inte alls mellan 1971 och fram till mitten av 1990-talet. Däre</w:t>
      </w:r>
      <w:r w:rsidRPr="00F5723F">
        <w:t>f</w:t>
      </w:r>
      <w:r w:rsidRPr="00F5723F">
        <w:t>ter har sammansatta utskott inrättats vid flera tillfällen, i samtliga fall best</w:t>
      </w:r>
      <w:r w:rsidRPr="00F5723F">
        <w:t>å</w:t>
      </w:r>
      <w:r w:rsidRPr="00F5723F">
        <w:t>ende av utskott varav det ena alltid varit utrikesutskottet. Under 1995/96, 1996/97, 1998/99, 2001/02, 2002/03 och 2003/04 års riksmöten bildade utr</w:t>
      </w:r>
      <w:r w:rsidRPr="00F5723F">
        <w:t>i</w:t>
      </w:r>
      <w:r w:rsidRPr="00F5723F">
        <w:t>kes- och försvarsutskotten sammansatta utrikes- och försvarsu</w:t>
      </w:r>
      <w:r w:rsidRPr="00F5723F">
        <w:t>t</w:t>
      </w:r>
      <w:r w:rsidRPr="00F5723F">
        <w:t>skottet, under 2000/01, 2001/02, 2002/03 och 2003/04 års riksmöten bildade konstitutions- och utrikesutskottet sammansatta konstitutions- och</w:t>
      </w:r>
      <w:r w:rsidRPr="00F5723F">
        <w:t xml:space="preserve"> utrikesutskottet och u</w:t>
      </w:r>
      <w:r w:rsidRPr="00F5723F">
        <w:t>n</w:t>
      </w:r>
      <w:r w:rsidRPr="00F5723F">
        <w:t>der 2002/03 års riksmöte bildade utrikesutskottet och miljö- och jordbruksu</w:t>
      </w:r>
      <w:r w:rsidRPr="00F5723F">
        <w:t>t</w:t>
      </w:r>
      <w:r w:rsidRPr="00F5723F">
        <w:t>skottet sa</w:t>
      </w:r>
      <w:r w:rsidRPr="00F5723F">
        <w:t>m</w:t>
      </w:r>
      <w:r w:rsidRPr="00F5723F">
        <w:t>mansatta utrikes- och miljö- och jordbruksutskottet.</w:t>
      </w:r>
    </w:p>
    <w:p w:rsidR="00B43C57" w:rsidRPr="00F5723F" w:rsidRDefault="00B43C57">
      <w:pPr>
        <w:pStyle w:val="Normaltindrag"/>
      </w:pPr>
      <w:r w:rsidRPr="00F5723F">
        <w:t>Vad gäller ledamotsantalet i utskotten är huvudregeln att varje utskott skall ha 15 ledamöter (bet. 1997/98:KU27). Under 1988/89–1990/91 års riksm</w:t>
      </w:r>
      <w:r w:rsidRPr="00F5723F">
        <w:t>ö</w:t>
      </w:r>
      <w:r w:rsidRPr="00F5723F">
        <w:t>ten samt sedan 1994/95 års riksmöte har utskotten dock haft 17 l</w:t>
      </w:r>
      <w:r w:rsidRPr="00F5723F">
        <w:t>e</w:t>
      </w:r>
      <w:r w:rsidRPr="00F5723F">
        <w:t>damöter. Av utskottsledamöterna väljs en till ordförande, en till vice ordf</w:t>
      </w:r>
      <w:r w:rsidRPr="00F5723F">
        <w:t>ö</w:t>
      </w:r>
      <w:r w:rsidRPr="00F5723F">
        <w:t>rande och, i vissa utskott, en till andre vice ordförande. Dessa bildar utsko</w:t>
      </w:r>
      <w:r w:rsidRPr="00F5723F">
        <w:t>t</w:t>
      </w:r>
      <w:r w:rsidRPr="00F5723F">
        <w:t>tets presidium. Suppleanterna i utskotten måste, som framgått ovan, vara minst lika många som antalet ordinarie ledamöter, för närvarande 17. Sedan december 1994 tillämpas en ordning enligt vilken partierna dessutom har rätt till extra su</w:t>
      </w:r>
      <w:r w:rsidRPr="00F5723F">
        <w:t>p</w:t>
      </w:r>
      <w:r w:rsidRPr="00F5723F">
        <w:t>pleanter i utskotten. Partier som har en ordinarie pl</w:t>
      </w:r>
      <w:r w:rsidRPr="00F5723F">
        <w:t>ats har rätt till en extra suppleantplats, det vill säga sammanlagt två suppleantplatser. Partier som har två eller fler ordinarie platser i ett utskott har rätt till två extra suppleantpla</w:t>
      </w:r>
      <w:r w:rsidRPr="00F5723F">
        <w:t>t</w:t>
      </w:r>
      <w:r w:rsidRPr="00F5723F">
        <w:t>ser (se förs. 2000/01:RS1 bil. 6 s. 337).</w:t>
      </w:r>
    </w:p>
    <w:p w:rsidR="00B43C57" w:rsidRPr="00F5723F" w:rsidRDefault="00B43C57">
      <w:pPr>
        <w:pStyle w:val="Normaltindrag"/>
      </w:pPr>
      <w:r w:rsidRPr="00F5723F">
        <w:t>I det särskilda EES-utskottet var antalet ordinarie ledamöter 15, vilket var lika många som i de fasta utskotten vid dåvarande tidpunkt (1992). Supplea</w:t>
      </w:r>
      <w:r w:rsidRPr="00F5723F">
        <w:t>n</w:t>
      </w:r>
      <w:r w:rsidRPr="00F5723F">
        <w:t>terna var lika många. I de sammansatta utskotten har antalet deputerade genomg</w:t>
      </w:r>
      <w:r w:rsidRPr="00F5723F">
        <w:t>å</w:t>
      </w:r>
      <w:r w:rsidRPr="00F5723F">
        <w:t>ende varit detsamma som i de fasta utskotten under samma period, det vill säga 17. Vanligtvis är det ungefär lika många ledamöter från varje utskott, det vill säga 9 respektive 8 deputerade när det rör sig om två utskott som gemensamt bereder ett ärende, men det förekommer även att en större andel är från ett av utskotten. Till exempel kom 11 av de deputerade i det sammansatta utrikes- och miljö- och jordbruksutskottet från milj</w:t>
      </w:r>
      <w:r w:rsidRPr="00F5723F">
        <w:t>ö- och jor</w:t>
      </w:r>
      <w:r w:rsidRPr="00F5723F">
        <w:t>d</w:t>
      </w:r>
      <w:r w:rsidRPr="00F5723F">
        <w:t>bruksutskottet och 6 från utrikesutskottet. Antalet suppleanter i de samma</w:t>
      </w:r>
      <w:r w:rsidRPr="00F5723F">
        <w:t>n</w:t>
      </w:r>
      <w:r w:rsidRPr="00F5723F">
        <w:t>satta u</w:t>
      </w:r>
      <w:r w:rsidRPr="00F5723F">
        <w:t>t</w:t>
      </w:r>
      <w:r w:rsidRPr="00F5723F">
        <w:t>skotten har som regel varit detsamma som antalet deputerade, det vill säga 17. Det har dock förekommit extra suppleanter även i dessa utskott. Så var suppleanterna fler än 17 i det sammansatta konstitutions- och utrikesu</w:t>
      </w:r>
      <w:r w:rsidRPr="00F5723F">
        <w:t>t</w:t>
      </w:r>
      <w:r w:rsidRPr="00F5723F">
        <w:t>skottet vid 2002/03 och 2003/04 års riksmöten.</w:t>
      </w:r>
    </w:p>
    <w:p w:rsidR="00B43C57" w:rsidRPr="00F5723F" w:rsidRDefault="00B43C57">
      <w:pPr>
        <w:pStyle w:val="Rubrik3"/>
        <w:rPr>
          <w:noProof w:val="0"/>
        </w:rPr>
      </w:pPr>
      <w:bookmarkStart w:id="39" w:name="_Toc121738895"/>
      <w:bookmarkStart w:id="40" w:name="_Toc124697788"/>
      <w:r w:rsidRPr="00F5723F">
        <w:rPr>
          <w:noProof w:val="0"/>
        </w:rPr>
        <w:lastRenderedPageBreak/>
        <w:t>Utskottens beredningsområden</w:t>
      </w:r>
      <w:bookmarkEnd w:id="39"/>
      <w:bookmarkEnd w:id="40"/>
    </w:p>
    <w:p w:rsidR="00B43C57" w:rsidRPr="00F5723F" w:rsidRDefault="00B43C57">
      <w:r w:rsidRPr="00F5723F">
        <w:t>Som framgått ovan är utskottens uppgifter att bereda ärenden innan beslut fattas i kammaren, följa upp och utvärdera riksdagens beslut och följa arb</w:t>
      </w:r>
      <w:r w:rsidRPr="00F5723F">
        <w:t>e</w:t>
      </w:r>
      <w:r w:rsidRPr="00F5723F">
        <w:t>tet inom EU. Dessa uppgifter föreligger utskotten inom deras respektive bere</w:t>
      </w:r>
      <w:r w:rsidRPr="00F5723F">
        <w:t>d</w:t>
      </w:r>
      <w:r w:rsidRPr="00F5723F">
        <w:t>ningsområden.</w:t>
      </w:r>
    </w:p>
    <w:p w:rsidR="00B43C57" w:rsidRPr="00F5723F" w:rsidRDefault="00B43C57">
      <w:pPr>
        <w:pStyle w:val="Normaltindrag"/>
      </w:pPr>
      <w:r w:rsidRPr="00F5723F">
        <w:t>Utskottens beredningsområden anges i tilläggsbestämmelserna 4.6.1–16 RO; för konstitutions-, finans- och skatteutskotten tillkommer ytterligare uppgifter som anges i RF och i andra bestämmelser i RO. Utskottens nuv</w:t>
      </w:r>
      <w:r w:rsidRPr="00F5723F">
        <w:t>a</w:t>
      </w:r>
      <w:r w:rsidRPr="00F5723F">
        <w:t>rande bere</w:t>
      </w:r>
      <w:r w:rsidRPr="00F5723F">
        <w:t>d</w:t>
      </w:r>
      <w:r w:rsidRPr="00F5723F">
        <w:t>ningsområden framgår av appendix 1.</w:t>
      </w:r>
    </w:p>
    <w:p w:rsidR="00B43C57" w:rsidRPr="00F5723F" w:rsidRDefault="00B43C57">
      <w:pPr>
        <w:pStyle w:val="Normaltindrag"/>
      </w:pPr>
      <w:r w:rsidRPr="00F5723F">
        <w:t>Som framgår av tilläggsbestämmelserna i RO skall utskotten också ber</w:t>
      </w:r>
      <w:r w:rsidRPr="00F5723F">
        <w:t>e</w:t>
      </w:r>
      <w:r w:rsidRPr="00F5723F">
        <w:t>da anslagsärenden. I statsbudgeten är anslagen grupperade i 27 utgiftsomr</w:t>
      </w:r>
      <w:r w:rsidRPr="00F5723F">
        <w:t>å</w:t>
      </w:r>
      <w:r w:rsidRPr="00F5723F">
        <w:t>den. Behandlingen av ett utgiftsområde kan inte delas mellan flera utskott utan samtliga anslag inom ett utgiftsområde bereds av endast ett utskott. Av tabell 3:1 framgår att hälften av utskotten svarar för beredning av anslag inom ett utgiftsområde. Ett utskott, lagutskottet, behandlar inte något u</w:t>
      </w:r>
      <w:r w:rsidRPr="00F5723F">
        <w:t>t</w:t>
      </w:r>
      <w:r w:rsidRPr="00F5723F">
        <w:t>giftsområde eftersom utskottet inte handlägger några anslagsfrågor. Flest utgiftsområden, 4, behandlas av finans- och socialförsäkringsu</w:t>
      </w:r>
      <w:r w:rsidRPr="00F5723F">
        <w:t>tskotten.</w:t>
      </w:r>
    </w:p>
    <w:p w:rsidR="00B43C57" w:rsidRPr="00F5723F" w:rsidRDefault="00B43C57">
      <w:pPr>
        <w:pStyle w:val="Normaltindrag"/>
      </w:pPr>
      <w:r w:rsidRPr="00F5723F">
        <w:t>Utgiftsområdenas omfattning varierar dock kraftigt. Antalet anslag inom ett utgiftsområde skiljer från ett enda (utg.omr. 27 Avgiften till Europeiska g</w:t>
      </w:r>
      <w:r w:rsidRPr="00F5723F">
        <w:t>e</w:t>
      </w:r>
      <w:r w:rsidRPr="00F5723F">
        <w:t>menskapen) till ett 90-tal (utg.omr. 16 Utbildning och universitets</w:t>
      </w:r>
      <w:r w:rsidRPr="00F5723F">
        <w:softHyphen/>
        <w:t>forskning). Enbart antalet utgiftsområden säger således inte allt om bredden i utskottens beredningsområden. Jämförs antalet anslag som bereds av respe</w:t>
      </w:r>
      <w:r w:rsidRPr="00F5723F">
        <w:t>k</w:t>
      </w:r>
      <w:r w:rsidRPr="00F5723F">
        <w:t>tive utskott visar det sig att utbildningsutskottet bereder flest anslag (101), därefter kulturutskottet och miljö- och jordbruksutskottet (54 vartdera). Minst antal anslag bereder, bortsett från lagutskottet, skatte- (3), justitie- och fö</w:t>
      </w:r>
      <w:r w:rsidRPr="00F5723F">
        <w:t>r</w:t>
      </w:r>
      <w:r w:rsidRPr="00F5723F">
        <w:t>svarsu</w:t>
      </w:r>
      <w:r w:rsidRPr="00F5723F">
        <w:t>t</w:t>
      </w:r>
      <w:r w:rsidRPr="00F5723F">
        <w:t xml:space="preserve">skotten (15 vartdera). Av den stora mängden </w:t>
      </w:r>
      <w:r w:rsidRPr="00F5723F">
        <w:t>anslag som bereds av utbildningsutskottet rör cirka hälften grundutbildning, forskning och forska</w:t>
      </w:r>
      <w:r w:rsidRPr="00F5723F">
        <w:t>r</w:t>
      </w:r>
      <w:r w:rsidRPr="00F5723F">
        <w:t>utbil</w:t>
      </w:r>
      <w:r w:rsidRPr="00F5723F">
        <w:t>d</w:t>
      </w:r>
      <w:r w:rsidRPr="00F5723F">
        <w:t>ning vid universitet och högskolor.</w:t>
      </w:r>
    </w:p>
    <w:p w:rsidR="00B43C57" w:rsidRPr="00F5723F" w:rsidRDefault="00B43C57"/>
    <w:p w:rsidR="00B43C57" w:rsidRPr="00F5723F" w:rsidRDefault="00B43C57">
      <w:pPr>
        <w:pStyle w:val="Tabellrubrik"/>
        <w:spacing w:before="0"/>
        <w:rPr>
          <w:spacing w:val="2"/>
          <w:szCs w:val="14"/>
        </w:rPr>
      </w:pPr>
      <w:r w:rsidRPr="00F5723F">
        <w:t xml:space="preserve">Tabell 3:1 </w:t>
      </w:r>
      <w:r w:rsidRPr="00F5723F">
        <w:rPr>
          <w:spacing w:val="2"/>
          <w:szCs w:val="14"/>
        </w:rPr>
        <w:t>Utskottens utgiftsområden och anslag (2003/04 års rik</w:t>
      </w:r>
      <w:r w:rsidRPr="00F5723F">
        <w:rPr>
          <w:spacing w:val="2"/>
          <w:szCs w:val="14"/>
        </w:rPr>
        <w:t>s</w:t>
      </w:r>
      <w:r w:rsidRPr="00F5723F">
        <w:rPr>
          <w:spacing w:val="2"/>
          <w:szCs w:val="14"/>
        </w:rPr>
        <w:t>möte)</w:t>
      </w:r>
    </w:p>
    <w:tbl>
      <w:tblPr>
        <w:tblW w:w="0" w:type="auto"/>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871"/>
        <w:gridCol w:w="1276"/>
        <w:gridCol w:w="1417"/>
        <w:gridCol w:w="1559"/>
      </w:tblGrid>
      <w:tr w:rsidR="00000000" w:rsidRPr="00F5723F">
        <w:tblPrEx>
          <w:tblCellMar>
            <w:top w:w="0" w:type="dxa"/>
            <w:bottom w:w="0" w:type="dxa"/>
          </w:tblCellMar>
        </w:tblPrEx>
        <w:tc>
          <w:tcPr>
            <w:tcW w:w="1871" w:type="dxa"/>
            <w:tcBorders>
              <w:top w:val="single" w:sz="4" w:space="0" w:color="auto"/>
              <w:bottom w:val="single" w:sz="4" w:space="0" w:color="auto"/>
            </w:tcBorders>
          </w:tcPr>
          <w:p w:rsidR="00B43C57" w:rsidRPr="00F5723F" w:rsidRDefault="00B43C57">
            <w:pPr>
              <w:pStyle w:val="Tabelltext"/>
              <w:spacing w:line="180" w:lineRule="exact"/>
            </w:pPr>
          </w:p>
          <w:p w:rsidR="00B43C57" w:rsidRPr="00F5723F" w:rsidRDefault="00B43C57">
            <w:pPr>
              <w:pStyle w:val="Tabelltext"/>
              <w:spacing w:line="180" w:lineRule="exact"/>
            </w:pPr>
            <w:r w:rsidRPr="00F5723F">
              <w:t>Utskott</w:t>
            </w:r>
          </w:p>
        </w:tc>
        <w:tc>
          <w:tcPr>
            <w:tcW w:w="1276" w:type="dxa"/>
            <w:tcBorders>
              <w:top w:val="single" w:sz="4" w:space="0" w:color="auto"/>
              <w:bottom w:val="single" w:sz="4" w:space="0" w:color="auto"/>
            </w:tcBorders>
          </w:tcPr>
          <w:p w:rsidR="00B43C57" w:rsidRPr="00F5723F" w:rsidRDefault="00B43C57">
            <w:pPr>
              <w:pStyle w:val="Tabelltext"/>
              <w:spacing w:line="180" w:lineRule="exact"/>
              <w:jc w:val="center"/>
            </w:pPr>
            <w:r w:rsidRPr="00F5723F">
              <w:t xml:space="preserve">Antal </w:t>
            </w:r>
          </w:p>
          <w:p w:rsidR="00B43C57" w:rsidRPr="00F5723F" w:rsidRDefault="00B43C57">
            <w:pPr>
              <w:pStyle w:val="Tabelltext"/>
              <w:spacing w:line="180" w:lineRule="exact"/>
              <w:jc w:val="center"/>
            </w:pPr>
            <w:r w:rsidRPr="00F5723F">
              <w:t>utgiftso</w:t>
            </w:r>
            <w:r w:rsidRPr="00F5723F">
              <w:t>m</w:t>
            </w:r>
            <w:r w:rsidRPr="00F5723F">
              <w:t>råden</w:t>
            </w:r>
          </w:p>
        </w:tc>
        <w:tc>
          <w:tcPr>
            <w:tcW w:w="1417" w:type="dxa"/>
            <w:tcBorders>
              <w:top w:val="single" w:sz="4" w:space="0" w:color="auto"/>
              <w:bottom w:val="single" w:sz="4" w:space="0" w:color="auto"/>
            </w:tcBorders>
          </w:tcPr>
          <w:p w:rsidR="00B43C57" w:rsidRPr="00F5723F" w:rsidRDefault="00B43C57">
            <w:pPr>
              <w:pStyle w:val="Tabelltext"/>
              <w:spacing w:line="180" w:lineRule="exact"/>
              <w:jc w:val="center"/>
            </w:pPr>
            <w:r w:rsidRPr="00F5723F">
              <w:t>Antal</w:t>
            </w:r>
          </w:p>
          <w:p w:rsidR="00B43C57" w:rsidRPr="00F5723F" w:rsidRDefault="00B43C57">
            <w:pPr>
              <w:pStyle w:val="Tabelltext"/>
              <w:spacing w:line="180" w:lineRule="exact"/>
              <w:jc w:val="center"/>
            </w:pPr>
            <w:r w:rsidRPr="00F5723F">
              <w:t>anslag</w:t>
            </w:r>
          </w:p>
        </w:tc>
        <w:tc>
          <w:tcPr>
            <w:tcW w:w="1559" w:type="dxa"/>
            <w:tcBorders>
              <w:top w:val="single" w:sz="4" w:space="0" w:color="auto"/>
              <w:bottom w:val="single" w:sz="4" w:space="0" w:color="auto"/>
            </w:tcBorders>
          </w:tcPr>
          <w:p w:rsidR="00B43C57" w:rsidRPr="00F5723F" w:rsidRDefault="00B43C57">
            <w:pPr>
              <w:pStyle w:val="Tabelltext"/>
              <w:spacing w:line="180" w:lineRule="exact"/>
              <w:jc w:val="center"/>
            </w:pPr>
            <w:r w:rsidRPr="00F5723F">
              <w:t>Summa</w:t>
            </w:r>
          </w:p>
          <w:p w:rsidR="00B43C57" w:rsidRPr="00F5723F" w:rsidRDefault="00B43C57">
            <w:pPr>
              <w:pStyle w:val="Tabelltext"/>
              <w:spacing w:line="180" w:lineRule="exact"/>
              <w:jc w:val="center"/>
            </w:pPr>
            <w:r w:rsidRPr="00F5723F">
              <w:t>(tusental kr)</w:t>
            </w:r>
          </w:p>
        </w:tc>
      </w:tr>
      <w:tr w:rsidR="00000000" w:rsidRPr="00F5723F">
        <w:tblPrEx>
          <w:tblCellMar>
            <w:top w:w="0" w:type="dxa"/>
            <w:bottom w:w="0" w:type="dxa"/>
          </w:tblCellMar>
        </w:tblPrEx>
        <w:tc>
          <w:tcPr>
            <w:tcW w:w="1871" w:type="dxa"/>
            <w:tcBorders>
              <w:top w:val="single" w:sz="4" w:space="0" w:color="auto"/>
            </w:tcBorders>
          </w:tcPr>
          <w:p w:rsidR="00B43C57" w:rsidRPr="00F5723F" w:rsidRDefault="00B43C57">
            <w:pPr>
              <w:pStyle w:val="Tabelltext"/>
              <w:spacing w:line="180" w:lineRule="exact"/>
            </w:pPr>
            <w:r w:rsidRPr="00F5723F">
              <w:t>KU</w:t>
            </w:r>
          </w:p>
        </w:tc>
        <w:tc>
          <w:tcPr>
            <w:tcW w:w="1276" w:type="dxa"/>
            <w:vMerge w:val="restart"/>
            <w:tcBorders>
              <w:top w:val="single" w:sz="4" w:space="0" w:color="auto"/>
            </w:tcBorders>
          </w:tcPr>
          <w:p w:rsidR="00B43C57" w:rsidRPr="00F5723F" w:rsidRDefault="00B43C57">
            <w:pPr>
              <w:pStyle w:val="Tabelltextsiffror"/>
              <w:spacing w:line="180" w:lineRule="exact"/>
              <w:jc w:val="center"/>
            </w:pPr>
            <w:r w:rsidRPr="00F5723F">
              <w:t>1</w:t>
            </w:r>
          </w:p>
          <w:p w:rsidR="00B43C57" w:rsidRPr="00F5723F" w:rsidRDefault="00B43C57">
            <w:pPr>
              <w:pStyle w:val="Tabelltextsiffror"/>
              <w:spacing w:line="180" w:lineRule="exact"/>
              <w:jc w:val="center"/>
            </w:pPr>
            <w:r w:rsidRPr="00F5723F">
              <w:t>4</w:t>
            </w:r>
          </w:p>
          <w:p w:rsidR="00B43C57" w:rsidRPr="00F5723F" w:rsidRDefault="00B43C57">
            <w:pPr>
              <w:pStyle w:val="Tabelltextsiffror"/>
              <w:spacing w:line="180" w:lineRule="exact"/>
              <w:jc w:val="center"/>
            </w:pPr>
            <w:r w:rsidRPr="00F5723F">
              <w:t>1</w:t>
            </w:r>
          </w:p>
          <w:p w:rsidR="00B43C57" w:rsidRPr="00F5723F" w:rsidRDefault="00B43C57">
            <w:pPr>
              <w:pStyle w:val="Tabelltextsiffror"/>
              <w:spacing w:line="180" w:lineRule="exact"/>
              <w:jc w:val="center"/>
            </w:pPr>
            <w:r w:rsidRPr="00F5723F">
              <w:t>1</w:t>
            </w:r>
          </w:p>
          <w:p w:rsidR="00B43C57" w:rsidRPr="00F5723F" w:rsidRDefault="00B43C57">
            <w:pPr>
              <w:pStyle w:val="Tabelltextsiffror"/>
              <w:spacing w:line="180" w:lineRule="exact"/>
              <w:jc w:val="center"/>
            </w:pPr>
            <w:r w:rsidRPr="00F5723F">
              <w:t>0</w:t>
            </w:r>
          </w:p>
          <w:p w:rsidR="00B43C57" w:rsidRPr="00F5723F" w:rsidRDefault="00B43C57">
            <w:pPr>
              <w:pStyle w:val="Tabelltextsiffror"/>
              <w:spacing w:line="180" w:lineRule="exact"/>
              <w:jc w:val="center"/>
            </w:pPr>
            <w:r w:rsidRPr="00F5723F">
              <w:t>2</w:t>
            </w:r>
          </w:p>
          <w:p w:rsidR="00B43C57" w:rsidRPr="00F5723F" w:rsidRDefault="00B43C57">
            <w:pPr>
              <w:pStyle w:val="Tabelltextsiffror"/>
              <w:spacing w:line="180" w:lineRule="exact"/>
              <w:jc w:val="center"/>
            </w:pPr>
            <w:r w:rsidRPr="00F5723F">
              <w:t>1</w:t>
            </w:r>
          </w:p>
          <w:p w:rsidR="00B43C57" w:rsidRPr="00F5723F" w:rsidRDefault="00B43C57">
            <w:pPr>
              <w:pStyle w:val="Tabelltextsiffror"/>
              <w:spacing w:line="180" w:lineRule="exact"/>
              <w:jc w:val="center"/>
            </w:pPr>
            <w:r w:rsidRPr="00F5723F">
              <w:t>4</w:t>
            </w:r>
          </w:p>
          <w:p w:rsidR="00B43C57" w:rsidRPr="00F5723F" w:rsidRDefault="00B43C57">
            <w:pPr>
              <w:pStyle w:val="Tabelltextsiffror"/>
              <w:spacing w:line="180" w:lineRule="exact"/>
              <w:jc w:val="center"/>
            </w:pPr>
            <w:r w:rsidRPr="00F5723F">
              <w:t>1</w:t>
            </w:r>
          </w:p>
          <w:p w:rsidR="00B43C57" w:rsidRPr="00F5723F" w:rsidRDefault="00B43C57">
            <w:pPr>
              <w:pStyle w:val="Tabelltextsiffror"/>
              <w:spacing w:line="180" w:lineRule="exact"/>
              <w:jc w:val="center"/>
            </w:pPr>
            <w:r w:rsidRPr="00F5723F">
              <w:t>1</w:t>
            </w:r>
          </w:p>
          <w:p w:rsidR="00B43C57" w:rsidRPr="00F5723F" w:rsidRDefault="00B43C57">
            <w:pPr>
              <w:pStyle w:val="Tabelltextsiffror"/>
              <w:spacing w:line="180" w:lineRule="exact"/>
              <w:jc w:val="center"/>
            </w:pPr>
            <w:r w:rsidRPr="00F5723F">
              <w:t>2</w:t>
            </w:r>
          </w:p>
          <w:p w:rsidR="00B43C57" w:rsidRPr="00F5723F" w:rsidRDefault="00B43C57">
            <w:pPr>
              <w:pStyle w:val="Tabelltextsiffror"/>
              <w:spacing w:line="180" w:lineRule="exact"/>
              <w:jc w:val="center"/>
            </w:pPr>
            <w:r w:rsidRPr="00F5723F">
              <w:t>1</w:t>
            </w:r>
          </w:p>
          <w:p w:rsidR="00B43C57" w:rsidRPr="00F5723F" w:rsidRDefault="00B43C57">
            <w:pPr>
              <w:pStyle w:val="Tabelltextsiffror"/>
              <w:spacing w:line="180" w:lineRule="exact"/>
              <w:jc w:val="center"/>
            </w:pPr>
            <w:r w:rsidRPr="00F5723F">
              <w:t>2</w:t>
            </w:r>
          </w:p>
          <w:p w:rsidR="00B43C57" w:rsidRPr="00F5723F" w:rsidRDefault="00B43C57">
            <w:pPr>
              <w:pStyle w:val="Tabelltextsiffror"/>
              <w:spacing w:line="180" w:lineRule="exact"/>
              <w:jc w:val="center"/>
            </w:pPr>
            <w:r w:rsidRPr="00F5723F">
              <w:t>3</w:t>
            </w:r>
          </w:p>
          <w:p w:rsidR="00B43C57" w:rsidRPr="00F5723F" w:rsidRDefault="00B43C57">
            <w:pPr>
              <w:pStyle w:val="Tabelltextsiffror"/>
              <w:spacing w:line="180" w:lineRule="exact"/>
              <w:jc w:val="center"/>
            </w:pPr>
            <w:r w:rsidRPr="00F5723F">
              <w:t>2</w:t>
            </w:r>
          </w:p>
          <w:p w:rsidR="00B43C57" w:rsidRPr="00F5723F" w:rsidRDefault="00B43C57">
            <w:pPr>
              <w:pStyle w:val="Tabelltextsiffror"/>
              <w:spacing w:line="180" w:lineRule="exact"/>
              <w:jc w:val="center"/>
            </w:pPr>
            <w:r w:rsidRPr="00F5723F">
              <w:t>1</w:t>
            </w:r>
          </w:p>
        </w:tc>
        <w:tc>
          <w:tcPr>
            <w:tcW w:w="1417" w:type="dxa"/>
            <w:vMerge w:val="restart"/>
            <w:tcBorders>
              <w:top w:val="single" w:sz="4" w:space="0" w:color="auto"/>
            </w:tcBorders>
          </w:tcPr>
          <w:p w:rsidR="00B43C57" w:rsidRPr="00F5723F" w:rsidRDefault="00B43C57">
            <w:pPr>
              <w:pStyle w:val="Tabelltextsiffror"/>
              <w:spacing w:line="180" w:lineRule="exact"/>
              <w:jc w:val="center"/>
            </w:pPr>
            <w:r w:rsidRPr="00F5723F">
              <w:t>18</w:t>
            </w:r>
          </w:p>
          <w:p w:rsidR="00B43C57" w:rsidRPr="00F5723F" w:rsidRDefault="00B43C57">
            <w:pPr>
              <w:pStyle w:val="Tabelltextsiffror"/>
              <w:spacing w:line="180" w:lineRule="exact"/>
              <w:jc w:val="center"/>
            </w:pPr>
            <w:r w:rsidRPr="00F5723F">
              <w:t>28</w:t>
            </w:r>
          </w:p>
          <w:p w:rsidR="00B43C57" w:rsidRPr="00F5723F" w:rsidRDefault="00B43C57">
            <w:pPr>
              <w:pStyle w:val="Tabelltextsiffror"/>
              <w:spacing w:line="180" w:lineRule="exact"/>
              <w:jc w:val="center"/>
            </w:pPr>
            <w:r w:rsidRPr="00F5723F">
              <w:t>3</w:t>
            </w:r>
          </w:p>
          <w:p w:rsidR="00B43C57" w:rsidRPr="00F5723F" w:rsidRDefault="00B43C57">
            <w:pPr>
              <w:pStyle w:val="Tabelltextsiffror"/>
              <w:spacing w:line="180" w:lineRule="exact"/>
              <w:jc w:val="center"/>
            </w:pPr>
            <w:r w:rsidRPr="00F5723F">
              <w:t>15</w:t>
            </w:r>
          </w:p>
          <w:p w:rsidR="00B43C57" w:rsidRPr="00F5723F" w:rsidRDefault="00B43C57">
            <w:pPr>
              <w:pStyle w:val="Tabelltextsiffror"/>
              <w:spacing w:line="180" w:lineRule="exact"/>
              <w:jc w:val="center"/>
            </w:pPr>
            <w:r w:rsidRPr="00F5723F">
              <w:t>0</w:t>
            </w:r>
          </w:p>
          <w:p w:rsidR="00B43C57" w:rsidRPr="00F5723F" w:rsidRDefault="00B43C57">
            <w:pPr>
              <w:pStyle w:val="Tabelltextsiffror"/>
              <w:spacing w:line="180" w:lineRule="exact"/>
              <w:jc w:val="center"/>
            </w:pPr>
            <w:r w:rsidRPr="00F5723F">
              <w:t>16</w:t>
            </w:r>
          </w:p>
          <w:p w:rsidR="00B43C57" w:rsidRPr="00F5723F" w:rsidRDefault="00B43C57">
            <w:pPr>
              <w:pStyle w:val="Tabelltextsiffror"/>
              <w:spacing w:line="180" w:lineRule="exact"/>
              <w:jc w:val="center"/>
            </w:pPr>
            <w:r w:rsidRPr="00F5723F">
              <w:t>15</w:t>
            </w:r>
          </w:p>
          <w:p w:rsidR="00B43C57" w:rsidRPr="00F5723F" w:rsidRDefault="00B43C57">
            <w:pPr>
              <w:pStyle w:val="Tabelltextsiffror"/>
              <w:spacing w:line="180" w:lineRule="exact"/>
              <w:jc w:val="center"/>
            </w:pPr>
            <w:r w:rsidRPr="00F5723F">
              <w:t>32</w:t>
            </w:r>
          </w:p>
          <w:p w:rsidR="00B43C57" w:rsidRPr="00F5723F" w:rsidRDefault="00B43C57">
            <w:pPr>
              <w:pStyle w:val="Tabelltextsiffror"/>
              <w:spacing w:line="180" w:lineRule="exact"/>
              <w:jc w:val="center"/>
            </w:pPr>
            <w:r w:rsidRPr="00F5723F">
              <w:t>36</w:t>
            </w:r>
          </w:p>
          <w:p w:rsidR="00B43C57" w:rsidRPr="00F5723F" w:rsidRDefault="00B43C57">
            <w:pPr>
              <w:pStyle w:val="Tabelltextsiffror"/>
              <w:spacing w:line="180" w:lineRule="exact"/>
              <w:jc w:val="center"/>
            </w:pPr>
            <w:r w:rsidRPr="00F5723F">
              <w:t>54</w:t>
            </w:r>
          </w:p>
          <w:p w:rsidR="00B43C57" w:rsidRPr="00F5723F" w:rsidRDefault="00B43C57">
            <w:pPr>
              <w:pStyle w:val="Tabelltextsiffror"/>
              <w:spacing w:line="180" w:lineRule="exact"/>
              <w:jc w:val="center"/>
            </w:pPr>
            <w:r w:rsidRPr="00F5723F">
              <w:t>101</w:t>
            </w:r>
          </w:p>
          <w:p w:rsidR="00B43C57" w:rsidRPr="00F5723F" w:rsidRDefault="00B43C57">
            <w:pPr>
              <w:pStyle w:val="Tabelltextsiffror"/>
              <w:spacing w:line="180" w:lineRule="exact"/>
              <w:jc w:val="center"/>
            </w:pPr>
            <w:r w:rsidRPr="00F5723F">
              <w:t>22</w:t>
            </w:r>
          </w:p>
          <w:p w:rsidR="00B43C57" w:rsidRPr="00F5723F" w:rsidRDefault="00B43C57">
            <w:pPr>
              <w:pStyle w:val="Tabelltextsiffror"/>
              <w:spacing w:line="180" w:lineRule="exact"/>
              <w:jc w:val="center"/>
            </w:pPr>
            <w:r w:rsidRPr="00F5723F">
              <w:t>54</w:t>
            </w:r>
          </w:p>
          <w:p w:rsidR="00B43C57" w:rsidRPr="00F5723F" w:rsidRDefault="00B43C57">
            <w:pPr>
              <w:pStyle w:val="Tabelltextsiffror"/>
              <w:spacing w:line="180" w:lineRule="exact"/>
              <w:jc w:val="center"/>
            </w:pPr>
            <w:r w:rsidRPr="00F5723F">
              <w:t>50</w:t>
            </w:r>
          </w:p>
          <w:p w:rsidR="00B43C57" w:rsidRPr="00F5723F" w:rsidRDefault="00B43C57">
            <w:pPr>
              <w:pStyle w:val="Tabelltextsiffror"/>
              <w:spacing w:line="180" w:lineRule="exact"/>
              <w:jc w:val="center"/>
            </w:pPr>
            <w:r w:rsidRPr="00F5723F">
              <w:t>22</w:t>
            </w:r>
          </w:p>
          <w:p w:rsidR="00B43C57" w:rsidRPr="00F5723F" w:rsidRDefault="00B43C57">
            <w:pPr>
              <w:pStyle w:val="Tabelltextsiffror"/>
              <w:spacing w:line="180" w:lineRule="exact"/>
              <w:jc w:val="center"/>
            </w:pPr>
            <w:r w:rsidRPr="00F5723F">
              <w:t>17</w:t>
            </w:r>
          </w:p>
        </w:tc>
        <w:tc>
          <w:tcPr>
            <w:tcW w:w="1559" w:type="dxa"/>
            <w:vMerge w:val="restart"/>
            <w:tcBorders>
              <w:top w:val="single" w:sz="4" w:space="0" w:color="auto"/>
            </w:tcBorders>
          </w:tcPr>
          <w:p w:rsidR="00B43C57" w:rsidRPr="00F5723F" w:rsidRDefault="00B43C57">
            <w:pPr>
              <w:pStyle w:val="Tabelltextsiffror"/>
              <w:tabs>
                <w:tab w:val="decimal" w:pos="1041"/>
              </w:tabs>
              <w:spacing w:line="180" w:lineRule="exact"/>
              <w:jc w:val="left"/>
            </w:pPr>
            <w:r w:rsidRPr="00F5723F">
              <w:t>7 896 299</w:t>
            </w:r>
          </w:p>
          <w:p w:rsidR="00B43C57" w:rsidRPr="00F5723F" w:rsidRDefault="00B43C57">
            <w:pPr>
              <w:pStyle w:val="Tabelltextsiffror"/>
              <w:tabs>
                <w:tab w:val="decimal" w:pos="1041"/>
              </w:tabs>
              <w:spacing w:line="180" w:lineRule="exact"/>
              <w:jc w:val="left"/>
            </w:pPr>
            <w:r w:rsidRPr="00F5723F">
              <w:t>155 059 932</w:t>
            </w:r>
          </w:p>
          <w:p w:rsidR="00B43C57" w:rsidRPr="00F5723F" w:rsidRDefault="00B43C57">
            <w:pPr>
              <w:pStyle w:val="Tabelltextsiffror"/>
              <w:tabs>
                <w:tab w:val="decimal" w:pos="1041"/>
              </w:tabs>
              <w:spacing w:line="180" w:lineRule="exact"/>
              <w:jc w:val="left"/>
            </w:pPr>
            <w:r w:rsidRPr="00F5723F">
              <w:t>8 556 043</w:t>
            </w:r>
          </w:p>
          <w:p w:rsidR="00B43C57" w:rsidRPr="00F5723F" w:rsidRDefault="00B43C57">
            <w:pPr>
              <w:pStyle w:val="Tabelltextsiffror"/>
              <w:tabs>
                <w:tab w:val="decimal" w:pos="1041"/>
              </w:tabs>
              <w:spacing w:line="180" w:lineRule="exact"/>
              <w:jc w:val="left"/>
            </w:pPr>
            <w:r w:rsidRPr="00F5723F">
              <w:t>26 432 092</w:t>
            </w:r>
          </w:p>
          <w:p w:rsidR="00B43C57" w:rsidRPr="00F5723F" w:rsidRDefault="00B43C57">
            <w:pPr>
              <w:pStyle w:val="Tabelltextsiffror"/>
              <w:tabs>
                <w:tab w:val="decimal" w:pos="1041"/>
              </w:tabs>
              <w:spacing w:line="180" w:lineRule="exact"/>
              <w:jc w:val="left"/>
            </w:pPr>
            <w:r w:rsidRPr="00F5723F">
              <w:t>0</w:t>
            </w:r>
          </w:p>
          <w:p w:rsidR="00B43C57" w:rsidRPr="00F5723F" w:rsidRDefault="00B43C57">
            <w:pPr>
              <w:pStyle w:val="Tabelltextsiffror"/>
              <w:tabs>
                <w:tab w:val="decimal" w:pos="1041"/>
              </w:tabs>
              <w:spacing w:line="180" w:lineRule="exact"/>
              <w:jc w:val="left"/>
            </w:pPr>
            <w:r w:rsidRPr="00F5723F">
              <w:t>21 114 113</w:t>
            </w:r>
          </w:p>
          <w:p w:rsidR="00B43C57" w:rsidRPr="00F5723F" w:rsidRDefault="00B43C57">
            <w:pPr>
              <w:pStyle w:val="Tabelltextsiffror"/>
              <w:tabs>
                <w:tab w:val="decimal" w:pos="1041"/>
              </w:tabs>
              <w:spacing w:line="180" w:lineRule="exact"/>
              <w:jc w:val="left"/>
            </w:pPr>
            <w:r w:rsidRPr="00F5723F">
              <w:t>44 331 402</w:t>
            </w:r>
          </w:p>
          <w:p w:rsidR="00B43C57" w:rsidRPr="00F5723F" w:rsidRDefault="00B43C57">
            <w:pPr>
              <w:pStyle w:val="Tabelltextsiffror"/>
              <w:tabs>
                <w:tab w:val="decimal" w:pos="1041"/>
              </w:tabs>
              <w:spacing w:line="180" w:lineRule="exact"/>
              <w:jc w:val="left"/>
            </w:pPr>
            <w:r w:rsidRPr="00F5723F">
              <w:t>235 494 648</w:t>
            </w:r>
          </w:p>
          <w:p w:rsidR="00B43C57" w:rsidRPr="00F5723F" w:rsidRDefault="00B43C57">
            <w:pPr>
              <w:pStyle w:val="Tabelltextsiffror"/>
              <w:tabs>
                <w:tab w:val="decimal" w:pos="1041"/>
              </w:tabs>
              <w:spacing w:line="180" w:lineRule="exact"/>
              <w:jc w:val="left"/>
            </w:pPr>
            <w:r w:rsidRPr="00F5723F">
              <w:t>37 665 272</w:t>
            </w:r>
          </w:p>
          <w:p w:rsidR="00B43C57" w:rsidRPr="00F5723F" w:rsidRDefault="00B43C57">
            <w:pPr>
              <w:pStyle w:val="Tabelltextsiffror"/>
              <w:tabs>
                <w:tab w:val="decimal" w:pos="1041"/>
              </w:tabs>
              <w:spacing w:line="180" w:lineRule="exact"/>
              <w:jc w:val="left"/>
            </w:pPr>
            <w:r w:rsidRPr="00F5723F">
              <w:t>8 663 960</w:t>
            </w:r>
          </w:p>
          <w:p w:rsidR="00B43C57" w:rsidRPr="00F5723F" w:rsidRDefault="00B43C57">
            <w:pPr>
              <w:pStyle w:val="Tabelltextsiffror"/>
              <w:tabs>
                <w:tab w:val="decimal" w:pos="1041"/>
              </w:tabs>
              <w:spacing w:line="180" w:lineRule="exact"/>
              <w:jc w:val="left"/>
            </w:pPr>
            <w:r w:rsidRPr="00F5723F">
              <w:t>65 887 080</w:t>
            </w:r>
          </w:p>
          <w:p w:rsidR="00B43C57" w:rsidRPr="00F5723F" w:rsidRDefault="00B43C57">
            <w:pPr>
              <w:pStyle w:val="Tabelltextsiffror"/>
              <w:tabs>
                <w:tab w:val="decimal" w:pos="1041"/>
              </w:tabs>
              <w:spacing w:line="180" w:lineRule="exact"/>
              <w:jc w:val="left"/>
            </w:pPr>
            <w:r w:rsidRPr="00F5723F">
              <w:t>28 535 012</w:t>
            </w:r>
          </w:p>
          <w:p w:rsidR="00B43C57" w:rsidRPr="00F5723F" w:rsidRDefault="00B43C57">
            <w:pPr>
              <w:pStyle w:val="Tabelltextsiffror"/>
              <w:tabs>
                <w:tab w:val="decimal" w:pos="1041"/>
              </w:tabs>
              <w:spacing w:line="180" w:lineRule="exact"/>
              <w:jc w:val="left"/>
            </w:pPr>
            <w:r w:rsidRPr="00F5723F">
              <w:t>18 049 298</w:t>
            </w:r>
          </w:p>
          <w:p w:rsidR="00B43C57" w:rsidRPr="00F5723F" w:rsidRDefault="00B43C57">
            <w:pPr>
              <w:pStyle w:val="Tabelltextsiffror"/>
              <w:tabs>
                <w:tab w:val="decimal" w:pos="1041"/>
              </w:tabs>
              <w:spacing w:line="180" w:lineRule="exact"/>
              <w:jc w:val="left"/>
            </w:pPr>
            <w:r w:rsidRPr="00F5723F">
              <w:t>8 260 593</w:t>
            </w:r>
          </w:p>
          <w:p w:rsidR="00B43C57" w:rsidRPr="00F5723F" w:rsidRDefault="00B43C57">
            <w:pPr>
              <w:pStyle w:val="Tabelltextsiffror"/>
              <w:tabs>
                <w:tab w:val="decimal" w:pos="1041"/>
              </w:tabs>
              <w:spacing w:line="180" w:lineRule="exact"/>
              <w:jc w:val="left"/>
            </w:pPr>
            <w:r w:rsidRPr="00F5723F">
              <w:t>63 124 487</w:t>
            </w:r>
          </w:p>
          <w:p w:rsidR="00B43C57" w:rsidRPr="00F5723F" w:rsidRDefault="00B43C57">
            <w:pPr>
              <w:pStyle w:val="Tabelltextsiffror"/>
              <w:tabs>
                <w:tab w:val="decimal" w:pos="1041"/>
              </w:tabs>
              <w:spacing w:line="180" w:lineRule="exact"/>
              <w:jc w:val="left"/>
            </w:pPr>
            <w:r w:rsidRPr="00F5723F">
              <w:t>8 798 030</w:t>
            </w: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FiU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SkU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JuU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LU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UU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FöU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SfU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SoU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KrU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UbU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TU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MJU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NU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AU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r w:rsidR="00000000" w:rsidRPr="00F5723F">
        <w:tblPrEx>
          <w:tblCellMar>
            <w:top w:w="0" w:type="dxa"/>
            <w:bottom w:w="0" w:type="dxa"/>
          </w:tblCellMar>
        </w:tblPrEx>
        <w:tc>
          <w:tcPr>
            <w:tcW w:w="1871" w:type="dxa"/>
          </w:tcPr>
          <w:p w:rsidR="00B43C57" w:rsidRPr="00F5723F" w:rsidRDefault="00B43C57">
            <w:pPr>
              <w:pStyle w:val="Tabelltext"/>
              <w:spacing w:line="180" w:lineRule="exact"/>
            </w:pPr>
            <w:r w:rsidRPr="00F5723F">
              <w:t>BoU</w:t>
            </w:r>
          </w:p>
        </w:tc>
        <w:tc>
          <w:tcPr>
            <w:tcW w:w="1276" w:type="dxa"/>
            <w:vMerge/>
          </w:tcPr>
          <w:p w:rsidR="00B43C57" w:rsidRPr="00F5723F" w:rsidRDefault="00B43C57">
            <w:pPr>
              <w:pStyle w:val="Tabelltextsiffror"/>
              <w:spacing w:line="180" w:lineRule="exact"/>
            </w:pPr>
          </w:p>
        </w:tc>
        <w:tc>
          <w:tcPr>
            <w:tcW w:w="1417" w:type="dxa"/>
            <w:vMerge/>
          </w:tcPr>
          <w:p w:rsidR="00B43C57" w:rsidRPr="00F5723F" w:rsidRDefault="00B43C57">
            <w:pPr>
              <w:pStyle w:val="Tabelltextsiffror"/>
              <w:spacing w:line="180" w:lineRule="exact"/>
            </w:pPr>
          </w:p>
        </w:tc>
        <w:tc>
          <w:tcPr>
            <w:tcW w:w="1559" w:type="dxa"/>
            <w:vMerge/>
          </w:tcPr>
          <w:p w:rsidR="00B43C57" w:rsidRPr="00F5723F" w:rsidRDefault="00B43C57">
            <w:pPr>
              <w:pStyle w:val="Tabelltextsiffror"/>
              <w:spacing w:line="180" w:lineRule="exact"/>
            </w:pPr>
          </w:p>
        </w:tc>
      </w:tr>
    </w:tbl>
    <w:p w:rsidR="00B43C57" w:rsidRPr="00F5723F" w:rsidRDefault="00B43C57">
      <w:pPr>
        <w:spacing w:before="0"/>
        <w:rPr>
          <w:rFonts w:ascii="Arial" w:hAnsi="Arial" w:cs="Arial"/>
          <w:sz w:val="16"/>
          <w:szCs w:val="16"/>
        </w:rPr>
      </w:pPr>
      <w:r w:rsidRPr="00F5723F">
        <w:rPr>
          <w:rFonts w:ascii="Arial" w:hAnsi="Arial" w:cs="Arial"/>
          <w:b/>
          <w:sz w:val="16"/>
          <w:szCs w:val="16"/>
        </w:rPr>
        <w:t>Källa</w:t>
      </w:r>
      <w:r w:rsidRPr="00F5723F">
        <w:rPr>
          <w:rFonts w:ascii="Arial" w:hAnsi="Arial" w:cs="Arial"/>
          <w:i/>
          <w:sz w:val="16"/>
          <w:szCs w:val="16"/>
        </w:rPr>
        <w:t>:</w:t>
      </w:r>
      <w:r w:rsidRPr="00F5723F">
        <w:rPr>
          <w:rFonts w:ascii="Arial" w:hAnsi="Arial" w:cs="Arial"/>
          <w:sz w:val="16"/>
          <w:szCs w:val="16"/>
        </w:rPr>
        <w:t xml:space="preserve"> </w:t>
      </w:r>
      <w:r w:rsidRPr="00F5723F">
        <w:rPr>
          <w:rFonts w:ascii="Arial" w:hAnsi="Arial" w:cs="Arial"/>
          <w:sz w:val="16"/>
          <w:szCs w:val="16"/>
        </w:rPr>
        <w:t>RO 4.6.1–16, bet. 2003/04:FiU10.</w:t>
      </w:r>
    </w:p>
    <w:p w:rsidR="00B43C57" w:rsidRPr="00F5723F" w:rsidRDefault="00B43C57">
      <w:r w:rsidRPr="00F5723F">
        <w:lastRenderedPageBreak/>
        <w:t>Även beloppen inom utgiftsområdena varierar kraftigt. Anslagen inom olika utgiftsområden uppgår till ca 124 miljarder kronor inom det största utgiftso</w:t>
      </w:r>
      <w:r w:rsidRPr="00F5723F">
        <w:t>m</w:t>
      </w:r>
      <w:r w:rsidRPr="00F5723F">
        <w:t>rådet (utg.omr. 10 Ekonomisk trygghet vid sjukdom och handikapp) och till drygt 1 miljard kronor inom det minsta utgiftsområdet (utg.omr. 14 Arbet</w:t>
      </w:r>
      <w:r w:rsidRPr="00F5723F">
        <w:t>s</w:t>
      </w:r>
      <w:r w:rsidRPr="00F5723F">
        <w:t>liv). Jämförs utskotten med avseende på summan av de utgiftsomr</w:t>
      </w:r>
      <w:r w:rsidRPr="00F5723F">
        <w:t>å</w:t>
      </w:r>
      <w:r w:rsidRPr="00F5723F">
        <w:t>den som bereds i budgetbetänkandena visar det sig att socialförsäkrings- och finansu</w:t>
      </w:r>
      <w:r w:rsidRPr="00F5723F">
        <w:t>t</w:t>
      </w:r>
      <w:r w:rsidRPr="00F5723F">
        <w:t>skotten bereder störst belopp (235 respektive 155 miljarder kronor); i det förra fallet avser över hälften av beloppet anslag inom utgiftsområdet Ek</w:t>
      </w:r>
      <w:r w:rsidRPr="00F5723F">
        <w:t>o</w:t>
      </w:r>
      <w:r w:rsidRPr="00F5723F">
        <w:t>nomisk trygghet vid sjukdom och handikapp, till exempel sjukpennin</w:t>
      </w:r>
      <w:r w:rsidRPr="00F5723F">
        <w:t>g och sjukersättning, och i det senare fallet avser nästan hälften anslag inom utgift</w:t>
      </w:r>
      <w:r w:rsidRPr="00F5723F">
        <w:t>s</w:t>
      </w:r>
      <w:r w:rsidRPr="00F5723F">
        <w:t>omr</w:t>
      </w:r>
      <w:r w:rsidRPr="00F5723F">
        <w:t>å</w:t>
      </w:r>
      <w:r w:rsidRPr="00F5723F">
        <w:t>det Allmänna bidrag till kommunerna, till exempel generellt statsbidrag och statligt utjämningsbidrag till kommunerna. Bortsett från lagutskottet bereder konst</w:t>
      </w:r>
      <w:r w:rsidRPr="00F5723F">
        <w:t>i</w:t>
      </w:r>
      <w:r w:rsidRPr="00F5723F">
        <w:t>tutions- och näringsutskotten minst belopp (7,9 respektive 8,3 miljarder kr</w:t>
      </w:r>
      <w:r w:rsidRPr="00F5723F">
        <w:t>o</w:t>
      </w:r>
      <w:r w:rsidRPr="00F5723F">
        <w:t>nor).</w:t>
      </w:r>
    </w:p>
    <w:p w:rsidR="00B43C57" w:rsidRPr="00F5723F" w:rsidRDefault="00B43C57">
      <w:pPr>
        <w:pStyle w:val="Rubrik3"/>
        <w:rPr>
          <w:noProof w:val="0"/>
        </w:rPr>
      </w:pPr>
      <w:bookmarkStart w:id="41" w:name="_Toc121738896"/>
      <w:bookmarkStart w:id="42" w:name="_Toc124697789"/>
      <w:r w:rsidRPr="00F5723F">
        <w:rPr>
          <w:noProof w:val="0"/>
        </w:rPr>
        <w:t>Kanslierna och deras personal</w:t>
      </w:r>
      <w:bookmarkEnd w:id="41"/>
      <w:bookmarkEnd w:id="42"/>
    </w:p>
    <w:p w:rsidR="00B43C57" w:rsidRPr="00F5723F" w:rsidRDefault="00B43C57">
      <w:r w:rsidRPr="00F5723F">
        <w:t>Varje utskott biträds av ett kansli bestående av kanslichef, föredragande och assistenter. Tillsammans med kammarkansliet, administrativa kontoret och kansliet för informations- och kunskapsförsörjning bildar utskottskanslierna riksdagsförvaltningen.</w:t>
      </w:r>
    </w:p>
    <w:p w:rsidR="00B43C57" w:rsidRPr="00F5723F" w:rsidRDefault="00B43C57">
      <w:pPr>
        <w:pStyle w:val="R3"/>
      </w:pPr>
      <w:r w:rsidRPr="00F5723F">
        <w:t>Personella resurser</w:t>
      </w:r>
    </w:p>
    <w:p w:rsidR="00B43C57" w:rsidRPr="00F5723F" w:rsidRDefault="00B43C57">
      <w:r w:rsidRPr="00F5723F">
        <w:t>I tabell 3:2 redovisas antalet anställda i riksdagsförval</w:t>
      </w:r>
      <w:r w:rsidRPr="00F5723F">
        <w:t>t</w:t>
      </w:r>
      <w:r w:rsidRPr="00F5723F">
        <w:t>ningen och utskottens kanslier. Av totalt ca 630 anställda i riksdagsförval</w:t>
      </w:r>
      <w:r w:rsidRPr="00F5723F">
        <w:t>t</w:t>
      </w:r>
      <w:r w:rsidRPr="00F5723F">
        <w:t>ningen är 117 anställda i utskottskanslierna, vilket motsvarar knappt 20 procent. Sett över tid har ant</w:t>
      </w:r>
      <w:r w:rsidRPr="00F5723F">
        <w:t>a</w:t>
      </w:r>
      <w:r w:rsidRPr="00F5723F">
        <w:t>let anställda ökat i både riksdagsförvaltningen som he</w:t>
      </w:r>
      <w:r w:rsidRPr="00F5723F">
        <w:t>l</w:t>
      </w:r>
      <w:r w:rsidRPr="00F5723F">
        <w:t>het och i utskotts</w:t>
      </w:r>
      <w:r w:rsidRPr="00F5723F">
        <w:softHyphen/>
        <w:t>kanslierna. Sedan 1993 är ökningen ca 25 procent i hela riksdagsförvaltnin</w:t>
      </w:r>
      <w:r w:rsidRPr="00F5723F">
        <w:t>g</w:t>
      </w:r>
      <w:r w:rsidRPr="00F5723F">
        <w:t>en och ca 12 procent i utskottskanslierna. I tabellen har för utskottskan</w:t>
      </w:r>
      <w:r w:rsidRPr="00F5723F">
        <w:t>s</w:t>
      </w:r>
      <w:r w:rsidRPr="00F5723F">
        <w:t>liernas del under denna period bland annat tillkommit ett kansli, EU-nämndens kan</w:t>
      </w:r>
      <w:r w:rsidRPr="00F5723F">
        <w:t>s</w:t>
      </w:r>
      <w:r w:rsidRPr="00F5723F">
        <w:t>li, i sa</w:t>
      </w:r>
      <w:r w:rsidRPr="00F5723F">
        <w:t>m</w:t>
      </w:r>
      <w:r w:rsidRPr="00F5723F">
        <w:t>band med att Sver</w:t>
      </w:r>
      <w:r w:rsidRPr="00F5723F">
        <w:t>ige blev medlem i EU 1995.</w:t>
      </w:r>
    </w:p>
    <w:p w:rsidR="00B43C57" w:rsidRPr="00F5723F" w:rsidRDefault="00B43C57">
      <w:pPr>
        <w:pStyle w:val="Tabellrubrik"/>
        <w:ind w:left="950" w:hanging="950"/>
      </w:pPr>
      <w:r w:rsidRPr="00F5723F">
        <w:t>Tabell 3:2   anställda i riksdagsförvaltningen och utskottens  kan</w:t>
      </w:r>
      <w:r w:rsidRPr="00F5723F">
        <w:t>s</w:t>
      </w:r>
      <w:r w:rsidRPr="00F5723F">
        <w:t>lier (inkl. EU-nämnden)</w:t>
      </w:r>
    </w:p>
    <w:tbl>
      <w:tblPr>
        <w:tblW w:w="6024" w:type="dxa"/>
        <w:tblBorders>
          <w:top w:val="single" w:sz="4" w:space="0" w:color="auto"/>
        </w:tblBorders>
        <w:tblLayout w:type="fixed"/>
        <w:tblCellMar>
          <w:left w:w="70" w:type="dxa"/>
          <w:right w:w="70" w:type="dxa"/>
        </w:tblCellMar>
        <w:tblLook w:val="0000" w:firstRow="0" w:lastRow="0" w:firstColumn="0" w:lastColumn="0" w:noHBand="0" w:noVBand="0"/>
      </w:tblPr>
      <w:tblGrid>
        <w:gridCol w:w="921"/>
        <w:gridCol w:w="2268"/>
        <w:gridCol w:w="2835"/>
      </w:tblGrid>
      <w:tr w:rsidR="00000000" w:rsidRPr="00F5723F">
        <w:tblPrEx>
          <w:tblCellMar>
            <w:top w:w="0" w:type="dxa"/>
            <w:bottom w:w="0" w:type="dxa"/>
          </w:tblCellMar>
        </w:tblPrEx>
        <w:tc>
          <w:tcPr>
            <w:tcW w:w="921" w:type="dxa"/>
            <w:tcBorders>
              <w:top w:val="single" w:sz="4" w:space="0" w:color="auto"/>
              <w:bottom w:val="single" w:sz="4" w:space="0" w:color="auto"/>
            </w:tcBorders>
          </w:tcPr>
          <w:p w:rsidR="00B43C57" w:rsidRPr="00F5723F" w:rsidRDefault="00B43C57">
            <w:pPr>
              <w:pStyle w:val="Tabelltext"/>
            </w:pPr>
            <w:r w:rsidRPr="00F5723F">
              <w:t>År</w:t>
            </w:r>
          </w:p>
        </w:tc>
        <w:tc>
          <w:tcPr>
            <w:tcW w:w="2268" w:type="dxa"/>
            <w:tcBorders>
              <w:top w:val="single" w:sz="4" w:space="0" w:color="auto"/>
              <w:bottom w:val="single" w:sz="4" w:space="0" w:color="auto"/>
            </w:tcBorders>
          </w:tcPr>
          <w:p w:rsidR="00B43C57" w:rsidRPr="00F5723F" w:rsidRDefault="00B43C57">
            <w:pPr>
              <w:pStyle w:val="Tabelltext"/>
              <w:jc w:val="center"/>
            </w:pPr>
            <w:r w:rsidRPr="00F5723F">
              <w:t>Hela riksdagsförvaltningen</w:t>
            </w:r>
          </w:p>
        </w:tc>
        <w:tc>
          <w:tcPr>
            <w:tcW w:w="2835" w:type="dxa"/>
            <w:tcBorders>
              <w:top w:val="single" w:sz="4" w:space="0" w:color="auto"/>
              <w:bottom w:val="single" w:sz="4" w:space="0" w:color="auto"/>
            </w:tcBorders>
          </w:tcPr>
          <w:p w:rsidR="00B43C57" w:rsidRPr="00F5723F" w:rsidRDefault="00B43C57">
            <w:pPr>
              <w:pStyle w:val="Tabelltext"/>
              <w:jc w:val="center"/>
            </w:pPr>
            <w:r w:rsidRPr="00F5723F">
              <w:t>Utskottens inkl. EU-nämndens kanslier</w:t>
            </w:r>
          </w:p>
        </w:tc>
      </w:tr>
      <w:tr w:rsidR="00000000" w:rsidRPr="00F5723F">
        <w:tblPrEx>
          <w:tblCellMar>
            <w:top w:w="0" w:type="dxa"/>
            <w:bottom w:w="0" w:type="dxa"/>
          </w:tblCellMar>
        </w:tblPrEx>
        <w:tc>
          <w:tcPr>
            <w:tcW w:w="921" w:type="dxa"/>
            <w:tcBorders>
              <w:top w:val="single" w:sz="4" w:space="0" w:color="auto"/>
            </w:tcBorders>
          </w:tcPr>
          <w:p w:rsidR="00B43C57" w:rsidRPr="00F5723F" w:rsidRDefault="00B43C57">
            <w:pPr>
              <w:pStyle w:val="Tabelltext"/>
            </w:pPr>
            <w:r w:rsidRPr="00F5723F">
              <w:t>1993</w:t>
            </w:r>
          </w:p>
        </w:tc>
        <w:tc>
          <w:tcPr>
            <w:tcW w:w="2268" w:type="dxa"/>
            <w:tcBorders>
              <w:top w:val="single" w:sz="4" w:space="0" w:color="auto"/>
            </w:tcBorders>
          </w:tcPr>
          <w:p w:rsidR="00B43C57" w:rsidRPr="00F5723F" w:rsidRDefault="00B43C57">
            <w:pPr>
              <w:pStyle w:val="Tabelltextsiffror"/>
              <w:jc w:val="center"/>
              <w:rPr>
                <w:snapToGrid w:val="0"/>
              </w:rPr>
            </w:pPr>
            <w:r w:rsidRPr="00F5723F">
              <w:rPr>
                <w:snapToGrid w:val="0"/>
              </w:rPr>
              <w:t>505</w:t>
            </w:r>
          </w:p>
        </w:tc>
        <w:tc>
          <w:tcPr>
            <w:tcW w:w="2835" w:type="dxa"/>
            <w:tcBorders>
              <w:top w:val="single" w:sz="4" w:space="0" w:color="auto"/>
            </w:tcBorders>
          </w:tcPr>
          <w:p w:rsidR="00B43C57" w:rsidRPr="00F5723F" w:rsidRDefault="00B43C57">
            <w:pPr>
              <w:pStyle w:val="Tabelltextsiffror"/>
              <w:jc w:val="center"/>
              <w:rPr>
                <w:snapToGrid w:val="0"/>
              </w:rPr>
            </w:pPr>
            <w:r w:rsidRPr="00F5723F">
              <w:rPr>
                <w:snapToGrid w:val="0"/>
              </w:rPr>
              <w:t>104</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1994</w:t>
            </w:r>
          </w:p>
        </w:tc>
        <w:tc>
          <w:tcPr>
            <w:tcW w:w="2268" w:type="dxa"/>
          </w:tcPr>
          <w:p w:rsidR="00B43C57" w:rsidRPr="00F5723F" w:rsidRDefault="00B43C57">
            <w:pPr>
              <w:pStyle w:val="Tabelltextsiffror"/>
              <w:jc w:val="center"/>
              <w:rPr>
                <w:snapToGrid w:val="0"/>
              </w:rPr>
            </w:pPr>
            <w:r w:rsidRPr="00F5723F">
              <w:rPr>
                <w:snapToGrid w:val="0"/>
              </w:rPr>
              <w:t>534</w:t>
            </w:r>
          </w:p>
        </w:tc>
        <w:tc>
          <w:tcPr>
            <w:tcW w:w="2835" w:type="dxa"/>
          </w:tcPr>
          <w:p w:rsidR="00B43C57" w:rsidRPr="00F5723F" w:rsidRDefault="00B43C57">
            <w:pPr>
              <w:pStyle w:val="Tabelltextsiffror"/>
              <w:jc w:val="center"/>
              <w:rPr>
                <w:snapToGrid w:val="0"/>
              </w:rPr>
            </w:pPr>
            <w:r w:rsidRPr="00F5723F">
              <w:rPr>
                <w:snapToGrid w:val="0"/>
              </w:rPr>
              <w:t>100</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1995</w:t>
            </w:r>
          </w:p>
        </w:tc>
        <w:tc>
          <w:tcPr>
            <w:tcW w:w="2268" w:type="dxa"/>
          </w:tcPr>
          <w:p w:rsidR="00B43C57" w:rsidRPr="00F5723F" w:rsidRDefault="00B43C57">
            <w:pPr>
              <w:pStyle w:val="Tabelltextsiffror"/>
              <w:jc w:val="center"/>
              <w:rPr>
                <w:snapToGrid w:val="0"/>
              </w:rPr>
            </w:pPr>
            <w:r w:rsidRPr="00F5723F">
              <w:rPr>
                <w:snapToGrid w:val="0"/>
              </w:rPr>
              <w:t>561</w:t>
            </w:r>
          </w:p>
        </w:tc>
        <w:tc>
          <w:tcPr>
            <w:tcW w:w="2835" w:type="dxa"/>
          </w:tcPr>
          <w:p w:rsidR="00B43C57" w:rsidRPr="00F5723F" w:rsidRDefault="00B43C57">
            <w:pPr>
              <w:pStyle w:val="Tabelltextsiffror"/>
              <w:jc w:val="center"/>
              <w:rPr>
                <w:snapToGrid w:val="0"/>
              </w:rPr>
            </w:pPr>
            <w:r w:rsidRPr="00F5723F">
              <w:rPr>
                <w:snapToGrid w:val="0"/>
              </w:rPr>
              <w:t>104</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1996</w:t>
            </w:r>
          </w:p>
        </w:tc>
        <w:tc>
          <w:tcPr>
            <w:tcW w:w="2268" w:type="dxa"/>
          </w:tcPr>
          <w:p w:rsidR="00B43C57" w:rsidRPr="00F5723F" w:rsidRDefault="00B43C57">
            <w:pPr>
              <w:pStyle w:val="Tabelltextsiffror"/>
              <w:jc w:val="center"/>
              <w:rPr>
                <w:snapToGrid w:val="0"/>
              </w:rPr>
            </w:pPr>
            <w:r w:rsidRPr="00F5723F">
              <w:rPr>
                <w:snapToGrid w:val="0"/>
              </w:rPr>
              <w:t>578</w:t>
            </w:r>
          </w:p>
        </w:tc>
        <w:tc>
          <w:tcPr>
            <w:tcW w:w="2835" w:type="dxa"/>
          </w:tcPr>
          <w:p w:rsidR="00B43C57" w:rsidRPr="00F5723F" w:rsidRDefault="00B43C57">
            <w:pPr>
              <w:pStyle w:val="Tabelltextsiffror"/>
              <w:jc w:val="center"/>
              <w:rPr>
                <w:snapToGrid w:val="0"/>
              </w:rPr>
            </w:pPr>
            <w:r w:rsidRPr="00F5723F">
              <w:rPr>
                <w:snapToGrid w:val="0"/>
              </w:rPr>
              <w:t>110</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1997</w:t>
            </w:r>
          </w:p>
        </w:tc>
        <w:tc>
          <w:tcPr>
            <w:tcW w:w="2268" w:type="dxa"/>
          </w:tcPr>
          <w:p w:rsidR="00B43C57" w:rsidRPr="00F5723F" w:rsidRDefault="00B43C57">
            <w:pPr>
              <w:pStyle w:val="Tabelltextsiffror"/>
              <w:jc w:val="center"/>
              <w:rPr>
                <w:snapToGrid w:val="0"/>
              </w:rPr>
            </w:pPr>
            <w:r w:rsidRPr="00F5723F">
              <w:rPr>
                <w:snapToGrid w:val="0"/>
              </w:rPr>
              <w:t>595</w:t>
            </w:r>
          </w:p>
        </w:tc>
        <w:tc>
          <w:tcPr>
            <w:tcW w:w="2835" w:type="dxa"/>
          </w:tcPr>
          <w:p w:rsidR="00B43C57" w:rsidRPr="00F5723F" w:rsidRDefault="00B43C57">
            <w:pPr>
              <w:pStyle w:val="Tabelltextsiffror"/>
              <w:jc w:val="center"/>
              <w:rPr>
                <w:snapToGrid w:val="0"/>
              </w:rPr>
            </w:pPr>
            <w:r w:rsidRPr="00F5723F">
              <w:rPr>
                <w:snapToGrid w:val="0"/>
              </w:rPr>
              <w:t>117</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1998</w:t>
            </w:r>
          </w:p>
        </w:tc>
        <w:tc>
          <w:tcPr>
            <w:tcW w:w="2268" w:type="dxa"/>
          </w:tcPr>
          <w:p w:rsidR="00B43C57" w:rsidRPr="00F5723F" w:rsidRDefault="00B43C57">
            <w:pPr>
              <w:pStyle w:val="Tabelltextsiffror"/>
              <w:jc w:val="center"/>
              <w:rPr>
                <w:snapToGrid w:val="0"/>
              </w:rPr>
            </w:pPr>
            <w:r w:rsidRPr="00F5723F">
              <w:rPr>
                <w:snapToGrid w:val="0"/>
              </w:rPr>
              <w:t>595</w:t>
            </w:r>
          </w:p>
        </w:tc>
        <w:tc>
          <w:tcPr>
            <w:tcW w:w="2835" w:type="dxa"/>
          </w:tcPr>
          <w:p w:rsidR="00B43C57" w:rsidRPr="00F5723F" w:rsidRDefault="00B43C57">
            <w:pPr>
              <w:pStyle w:val="Tabelltextsiffror"/>
              <w:jc w:val="center"/>
              <w:rPr>
                <w:snapToGrid w:val="0"/>
              </w:rPr>
            </w:pPr>
            <w:r w:rsidRPr="00F5723F">
              <w:rPr>
                <w:snapToGrid w:val="0"/>
              </w:rPr>
              <w:t>106</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1999</w:t>
            </w:r>
          </w:p>
        </w:tc>
        <w:tc>
          <w:tcPr>
            <w:tcW w:w="2268" w:type="dxa"/>
          </w:tcPr>
          <w:p w:rsidR="00B43C57" w:rsidRPr="00F5723F" w:rsidRDefault="00B43C57">
            <w:pPr>
              <w:pStyle w:val="Tabelltextsiffror"/>
              <w:jc w:val="center"/>
              <w:rPr>
                <w:snapToGrid w:val="0"/>
              </w:rPr>
            </w:pPr>
            <w:r w:rsidRPr="00F5723F">
              <w:rPr>
                <w:snapToGrid w:val="0"/>
              </w:rPr>
              <w:t>612</w:t>
            </w:r>
          </w:p>
        </w:tc>
        <w:tc>
          <w:tcPr>
            <w:tcW w:w="2835" w:type="dxa"/>
          </w:tcPr>
          <w:p w:rsidR="00B43C57" w:rsidRPr="00F5723F" w:rsidRDefault="00B43C57">
            <w:pPr>
              <w:pStyle w:val="Tabelltextsiffror"/>
              <w:jc w:val="center"/>
              <w:rPr>
                <w:snapToGrid w:val="0"/>
              </w:rPr>
            </w:pPr>
            <w:r w:rsidRPr="00F5723F">
              <w:rPr>
                <w:snapToGrid w:val="0"/>
              </w:rPr>
              <w:t>110</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2000</w:t>
            </w:r>
          </w:p>
        </w:tc>
        <w:tc>
          <w:tcPr>
            <w:tcW w:w="2268" w:type="dxa"/>
          </w:tcPr>
          <w:p w:rsidR="00B43C57" w:rsidRPr="00F5723F" w:rsidRDefault="00B43C57">
            <w:pPr>
              <w:pStyle w:val="Tabelltextsiffror"/>
              <w:jc w:val="center"/>
              <w:rPr>
                <w:snapToGrid w:val="0"/>
              </w:rPr>
            </w:pPr>
            <w:r w:rsidRPr="00F5723F">
              <w:rPr>
                <w:snapToGrid w:val="0"/>
              </w:rPr>
              <w:t>615</w:t>
            </w:r>
          </w:p>
        </w:tc>
        <w:tc>
          <w:tcPr>
            <w:tcW w:w="2835" w:type="dxa"/>
          </w:tcPr>
          <w:p w:rsidR="00B43C57" w:rsidRPr="00F5723F" w:rsidRDefault="00B43C57">
            <w:pPr>
              <w:pStyle w:val="Tabelltextsiffror"/>
              <w:jc w:val="center"/>
              <w:rPr>
                <w:snapToGrid w:val="0"/>
              </w:rPr>
            </w:pPr>
            <w:r w:rsidRPr="00F5723F">
              <w:rPr>
                <w:snapToGrid w:val="0"/>
              </w:rPr>
              <w:t>110</w:t>
            </w:r>
          </w:p>
        </w:tc>
      </w:tr>
      <w:tr w:rsidR="00000000" w:rsidRPr="00F5723F">
        <w:tblPrEx>
          <w:tblCellMar>
            <w:top w:w="0" w:type="dxa"/>
            <w:bottom w:w="0" w:type="dxa"/>
          </w:tblCellMar>
        </w:tblPrEx>
        <w:tc>
          <w:tcPr>
            <w:tcW w:w="921" w:type="dxa"/>
          </w:tcPr>
          <w:p w:rsidR="00B43C57" w:rsidRPr="00F5723F" w:rsidRDefault="00B43C57">
            <w:pPr>
              <w:pStyle w:val="Tabelltext"/>
            </w:pPr>
            <w:r w:rsidRPr="00F5723F">
              <w:t>2001</w:t>
            </w:r>
          </w:p>
        </w:tc>
        <w:tc>
          <w:tcPr>
            <w:tcW w:w="2268" w:type="dxa"/>
          </w:tcPr>
          <w:p w:rsidR="00B43C57" w:rsidRPr="00F5723F" w:rsidRDefault="00B43C57">
            <w:pPr>
              <w:pStyle w:val="Tabelltextsiffror"/>
              <w:jc w:val="center"/>
              <w:rPr>
                <w:snapToGrid w:val="0"/>
              </w:rPr>
            </w:pPr>
            <w:r w:rsidRPr="00F5723F">
              <w:rPr>
                <w:snapToGrid w:val="0"/>
              </w:rPr>
              <w:t>627</w:t>
            </w:r>
          </w:p>
        </w:tc>
        <w:tc>
          <w:tcPr>
            <w:tcW w:w="2835" w:type="dxa"/>
          </w:tcPr>
          <w:p w:rsidR="00B43C57" w:rsidRPr="00F5723F" w:rsidRDefault="00B43C57">
            <w:pPr>
              <w:pStyle w:val="Tabelltextsiffror"/>
              <w:jc w:val="center"/>
              <w:rPr>
                <w:snapToGrid w:val="0"/>
              </w:rPr>
            </w:pPr>
            <w:r w:rsidRPr="00F5723F">
              <w:rPr>
                <w:snapToGrid w:val="0"/>
              </w:rPr>
              <w:t>113</w:t>
            </w:r>
          </w:p>
        </w:tc>
      </w:tr>
      <w:tr w:rsidR="00000000" w:rsidRPr="00F5723F">
        <w:tblPrEx>
          <w:tblCellMar>
            <w:top w:w="0" w:type="dxa"/>
            <w:bottom w:w="0" w:type="dxa"/>
          </w:tblCellMar>
        </w:tblPrEx>
        <w:tc>
          <w:tcPr>
            <w:tcW w:w="921" w:type="dxa"/>
            <w:tcBorders>
              <w:bottom w:val="nil"/>
            </w:tcBorders>
          </w:tcPr>
          <w:p w:rsidR="00B43C57" w:rsidRPr="00F5723F" w:rsidRDefault="00B43C57">
            <w:pPr>
              <w:pStyle w:val="Tabelltext"/>
            </w:pPr>
            <w:r w:rsidRPr="00F5723F">
              <w:t>2002</w:t>
            </w:r>
          </w:p>
        </w:tc>
        <w:tc>
          <w:tcPr>
            <w:tcW w:w="2268" w:type="dxa"/>
            <w:tcBorders>
              <w:bottom w:val="nil"/>
            </w:tcBorders>
          </w:tcPr>
          <w:p w:rsidR="00B43C57" w:rsidRPr="00F5723F" w:rsidRDefault="00B43C57">
            <w:pPr>
              <w:pStyle w:val="Tabelltextsiffror"/>
              <w:jc w:val="center"/>
              <w:rPr>
                <w:snapToGrid w:val="0"/>
              </w:rPr>
            </w:pPr>
            <w:r w:rsidRPr="00F5723F">
              <w:rPr>
                <w:snapToGrid w:val="0"/>
              </w:rPr>
              <w:t>630</w:t>
            </w:r>
          </w:p>
        </w:tc>
        <w:tc>
          <w:tcPr>
            <w:tcW w:w="2835" w:type="dxa"/>
            <w:tcBorders>
              <w:bottom w:val="nil"/>
            </w:tcBorders>
          </w:tcPr>
          <w:p w:rsidR="00B43C57" w:rsidRPr="00F5723F" w:rsidRDefault="00B43C57">
            <w:pPr>
              <w:pStyle w:val="Tabelltextsiffror"/>
              <w:jc w:val="center"/>
              <w:rPr>
                <w:snapToGrid w:val="0"/>
              </w:rPr>
            </w:pPr>
            <w:r w:rsidRPr="00F5723F">
              <w:rPr>
                <w:snapToGrid w:val="0"/>
              </w:rPr>
              <w:t>113</w:t>
            </w:r>
          </w:p>
        </w:tc>
      </w:tr>
      <w:tr w:rsidR="00000000" w:rsidRPr="00F5723F">
        <w:tblPrEx>
          <w:tblCellMar>
            <w:top w:w="0" w:type="dxa"/>
            <w:bottom w:w="0" w:type="dxa"/>
          </w:tblCellMar>
        </w:tblPrEx>
        <w:tc>
          <w:tcPr>
            <w:tcW w:w="921" w:type="dxa"/>
            <w:tcBorders>
              <w:top w:val="nil"/>
              <w:bottom w:val="single" w:sz="4" w:space="0" w:color="auto"/>
            </w:tcBorders>
          </w:tcPr>
          <w:p w:rsidR="00B43C57" w:rsidRPr="00F5723F" w:rsidRDefault="00B43C57">
            <w:pPr>
              <w:pStyle w:val="Tabelltext"/>
            </w:pPr>
            <w:r w:rsidRPr="00F5723F">
              <w:t>2003</w:t>
            </w:r>
          </w:p>
        </w:tc>
        <w:tc>
          <w:tcPr>
            <w:tcW w:w="2268" w:type="dxa"/>
            <w:tcBorders>
              <w:top w:val="nil"/>
              <w:bottom w:val="single" w:sz="4" w:space="0" w:color="auto"/>
            </w:tcBorders>
          </w:tcPr>
          <w:p w:rsidR="00B43C57" w:rsidRPr="00F5723F" w:rsidRDefault="00B43C57">
            <w:pPr>
              <w:pStyle w:val="Tabelltextsiffror"/>
              <w:jc w:val="center"/>
              <w:rPr>
                <w:snapToGrid w:val="0"/>
              </w:rPr>
            </w:pPr>
            <w:r w:rsidRPr="00F5723F">
              <w:rPr>
                <w:snapToGrid w:val="0"/>
              </w:rPr>
              <w:t>631</w:t>
            </w:r>
          </w:p>
        </w:tc>
        <w:tc>
          <w:tcPr>
            <w:tcW w:w="2835" w:type="dxa"/>
            <w:tcBorders>
              <w:top w:val="nil"/>
              <w:bottom w:val="single" w:sz="4" w:space="0" w:color="auto"/>
            </w:tcBorders>
          </w:tcPr>
          <w:p w:rsidR="00B43C57" w:rsidRPr="00F5723F" w:rsidRDefault="00B43C57">
            <w:pPr>
              <w:pStyle w:val="Tabelltextsiffror"/>
              <w:jc w:val="center"/>
              <w:rPr>
                <w:snapToGrid w:val="0"/>
              </w:rPr>
            </w:pPr>
            <w:r w:rsidRPr="00F5723F">
              <w:rPr>
                <w:snapToGrid w:val="0"/>
              </w:rPr>
              <w:t>117</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 xml:space="preserve">: </w:t>
      </w:r>
      <w:r w:rsidRPr="00F5723F">
        <w:rPr>
          <w:rFonts w:ascii="Arial" w:hAnsi="Arial" w:cs="Arial"/>
          <w:sz w:val="16"/>
          <w:szCs w:val="16"/>
        </w:rPr>
        <w:t>Uppgifterna avser antal anställda (inkl. vikarier på fasta anställnin</w:t>
      </w:r>
      <w:r w:rsidRPr="00F5723F">
        <w:rPr>
          <w:rFonts w:ascii="Arial" w:hAnsi="Arial" w:cs="Arial"/>
          <w:sz w:val="16"/>
          <w:szCs w:val="16"/>
        </w:rPr>
        <w:t>g</w:t>
      </w:r>
      <w:r w:rsidRPr="00F5723F">
        <w:rPr>
          <w:rFonts w:ascii="Arial" w:hAnsi="Arial" w:cs="Arial"/>
          <w:sz w:val="16"/>
          <w:szCs w:val="16"/>
        </w:rPr>
        <w:t xml:space="preserve">ar) per den 31 december. </w:t>
      </w:r>
      <w:r w:rsidRPr="00F5723F">
        <w:rPr>
          <w:rFonts w:ascii="Arial" w:hAnsi="Arial" w:cs="Arial"/>
          <w:b/>
          <w:sz w:val="16"/>
          <w:szCs w:val="16"/>
        </w:rPr>
        <w:t>Källa</w:t>
      </w:r>
      <w:r w:rsidRPr="00F5723F">
        <w:rPr>
          <w:rFonts w:ascii="Arial" w:hAnsi="Arial" w:cs="Arial"/>
          <w:i/>
          <w:sz w:val="16"/>
          <w:szCs w:val="16"/>
        </w:rPr>
        <w:t>:</w:t>
      </w:r>
      <w:r w:rsidRPr="00F5723F">
        <w:rPr>
          <w:rFonts w:ascii="Arial" w:hAnsi="Arial" w:cs="Arial"/>
          <w:sz w:val="16"/>
          <w:szCs w:val="16"/>
        </w:rPr>
        <w:t xml:space="preserve"> Personalenheten</w:t>
      </w:r>
      <w:r w:rsidRPr="00F5723F">
        <w:rPr>
          <w:rFonts w:ascii="Arial" w:hAnsi="Arial" w:cs="Arial"/>
          <w:sz w:val="16"/>
          <w:szCs w:val="16"/>
        </w:rPr>
        <w:t>.</w:t>
      </w:r>
    </w:p>
    <w:p w:rsidR="00B43C57" w:rsidRPr="00F5723F" w:rsidRDefault="00B43C57">
      <w:r w:rsidRPr="00F5723F">
        <w:lastRenderedPageBreak/>
        <w:t>Antal tjänster (ej antal anställda) knutna till respektive utskottskansli har varit förhållandevis oförändrat de senaste åren. Senast utskotten fick fler tjänster var 2001, då trafik- och skatteutskotten fick var sin föredragand</w:t>
      </w:r>
      <w:r w:rsidRPr="00F5723F">
        <w:t>e</w:t>
      </w:r>
      <w:r w:rsidRPr="00F5723F">
        <w:t>tjänst efter att under flera år haft extra föredragande.</w:t>
      </w:r>
    </w:p>
    <w:p w:rsidR="00B43C57" w:rsidRPr="00F5723F" w:rsidRDefault="00B43C57">
      <w:pPr>
        <w:pStyle w:val="Normaltindrag"/>
      </w:pPr>
      <w:r w:rsidRPr="00F5723F">
        <w:t>Vanligast är att det i ett utskottskansli finns en tjänst som kanslichef, tre tjän</w:t>
      </w:r>
      <w:r w:rsidRPr="00F5723F">
        <w:t>s</w:t>
      </w:r>
      <w:r w:rsidRPr="00F5723F">
        <w:t>ter som föredragande och två tjänster som assistenter, det vill säga totalt sju tjänster. De största kanslierna har konstitutions- och finansutskotten, i vilka det totalt finns 10,5 respektive 9,5 tjänster. I båda dessa finns 5,5 för</w:t>
      </w:r>
      <w:r w:rsidRPr="00F5723F">
        <w:t>e</w:t>
      </w:r>
      <w:r w:rsidRPr="00F5723F">
        <w:t>draga</w:t>
      </w:r>
      <w:r w:rsidRPr="00F5723F">
        <w:t>n</w:t>
      </w:r>
      <w:r w:rsidRPr="00F5723F">
        <w:t>detjänster och tre assistenttjänster. Förutom tjänsten som kanslichef i båda utskotten finns i konstitutionsutskottet dessutom en tjänst som biträda</w:t>
      </w:r>
      <w:r w:rsidRPr="00F5723F">
        <w:t>n</w:t>
      </w:r>
      <w:r w:rsidRPr="00F5723F">
        <w:t>de kanslichef. Minst antal tjänster finns i försvars-, kultur- och bostadsutsko</w:t>
      </w:r>
      <w:r w:rsidRPr="00F5723F">
        <w:t>t</w:t>
      </w:r>
      <w:r w:rsidRPr="00F5723F">
        <w:t>tens kanslier, vilka totalt har fem tjänst</w:t>
      </w:r>
      <w:r w:rsidRPr="00F5723F">
        <w:t>er vartdera. I de två förstnäm</w:t>
      </w:r>
      <w:r w:rsidRPr="00F5723F">
        <w:t>n</w:t>
      </w:r>
      <w:r w:rsidRPr="00F5723F">
        <w:t>da finns en kanslichefstjänst, två föredragandetjänster och två assistenttjän</w:t>
      </w:r>
      <w:r w:rsidRPr="00F5723F">
        <w:t>s</w:t>
      </w:r>
      <w:r w:rsidRPr="00F5723F">
        <w:t>ter, och i det sistnämnda finns en kanslichefstjänst, tre föredragandetjänster och en assistenttjänst. Skillnaden mellan de största och minsta utskottskan</w:t>
      </w:r>
      <w:r w:rsidRPr="00F5723F">
        <w:t>s</w:t>
      </w:r>
      <w:r w:rsidRPr="00F5723F">
        <w:t>lierna är således 5,5 tjänster, det vill säga de minsta utskotts</w:t>
      </w:r>
      <w:r w:rsidRPr="00F5723F">
        <w:softHyphen/>
        <w:t>kanslierna är knappt häl</w:t>
      </w:r>
      <w:r w:rsidRPr="00F5723F">
        <w:t>f</w:t>
      </w:r>
      <w:r w:rsidRPr="00F5723F">
        <w:t>ten så stora som det största utskottskansliet.</w:t>
      </w:r>
    </w:p>
    <w:p w:rsidR="00B43C57" w:rsidRPr="00F5723F" w:rsidRDefault="00B43C57">
      <w:pPr>
        <w:pStyle w:val="Normaltindrag"/>
      </w:pPr>
      <w:r w:rsidRPr="00F5723F">
        <w:t>Antalet tjänster i utskotten behöver inte vara detsamma som antal årsa</w:t>
      </w:r>
      <w:r w:rsidRPr="00F5723F">
        <w:t>r</w:t>
      </w:r>
      <w:r w:rsidRPr="00F5723F">
        <w:t>betskrafter. Till exempel kan en tjänst vara obesatt under en längre tid eller en anställd kan vara tjänstledig, långtidssjuk etc. Vidare kan personal lånas in från till exempel andra enheter inom riksdagsförvaltningen för att kompensera för frånvaro eller förstärka kansliet när arbetsbelastningen är hög (se mer nedan). I tabell 3:3 redovisas antalet årsarbetskrafter under 2003/04 i respe</w:t>
      </w:r>
      <w:r w:rsidRPr="00F5723F">
        <w:t>k</w:t>
      </w:r>
      <w:r w:rsidRPr="00F5723F">
        <w:t>tive u</w:t>
      </w:r>
      <w:r w:rsidRPr="00F5723F">
        <w:t>t</w:t>
      </w:r>
      <w:r w:rsidRPr="00F5723F">
        <w:t>skottskansli. Hänsyn har tagits till tjänstledighet, längre sjukfrånvaro och extraresurser; lån av personal mell</w:t>
      </w:r>
      <w:r w:rsidRPr="00F5723F">
        <w:t>an utskottskanslierna har inte beaktats. Av tabellen framgår att antalet tjänster i utskotten som regel är ett annat än antalet årsarbetskrafter. I nio utskottskanslier understeg antalet årsarbetskra</w:t>
      </w:r>
      <w:r w:rsidRPr="00F5723F">
        <w:t>f</w:t>
      </w:r>
      <w:r w:rsidRPr="00F5723F">
        <w:t>ter antalet tjänster och i sex utskottskanslier översteg antalet årsarbet</w:t>
      </w:r>
      <w:r w:rsidRPr="00F5723F">
        <w:t>s</w:t>
      </w:r>
      <w:r w:rsidRPr="00F5723F">
        <w:t>krafter antalet tjänster. Alltjämt är konstitutions- och finansutskottens kan</w:t>
      </w:r>
      <w:r w:rsidRPr="00F5723F">
        <w:t>s</w:t>
      </w:r>
      <w:r w:rsidRPr="00F5723F">
        <w:t>lier störst (9,8 respektive 9,2 årsarbetskrafter). Det minsta kansliet sett till antalet årsa</w:t>
      </w:r>
      <w:r w:rsidRPr="00F5723F">
        <w:t>r</w:t>
      </w:r>
      <w:r w:rsidRPr="00F5723F">
        <w:t>betskrafter är arbetsmarknadsutskottets kansli (4,8 årsarbets</w:t>
      </w:r>
      <w:r w:rsidRPr="00F5723F">
        <w:softHyphen/>
        <w:t>kraf</w:t>
      </w:r>
      <w:r w:rsidRPr="00F5723F">
        <w:t>ter), som under 2003/04 hade klart färre årsarbetskrafter än tjänster.</w:t>
      </w:r>
    </w:p>
    <w:p w:rsidR="00B43C57" w:rsidRPr="00F5723F" w:rsidRDefault="00B43C57">
      <w:pPr>
        <w:pStyle w:val="Tabellrubrik"/>
        <w:spacing w:before="0"/>
      </w:pPr>
      <w:r w:rsidRPr="00F5723F">
        <w:br w:type="page"/>
      </w:r>
      <w:r w:rsidRPr="00F5723F">
        <w:lastRenderedPageBreak/>
        <w:t>Tabell 3:3 antal tjänster respektive årsarbetskrafter 2003/04 (exkl. EU-nämnden)</w:t>
      </w:r>
    </w:p>
    <w:tbl>
      <w:tblPr>
        <w:tblW w:w="602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37"/>
        <w:gridCol w:w="567"/>
        <w:gridCol w:w="709"/>
        <w:gridCol w:w="567"/>
        <w:gridCol w:w="567"/>
        <w:gridCol w:w="709"/>
        <w:gridCol w:w="850"/>
        <w:gridCol w:w="851"/>
        <w:gridCol w:w="567"/>
      </w:tblGrid>
      <w:tr w:rsidR="00000000" w:rsidRPr="00F5723F">
        <w:tblPrEx>
          <w:tblCellMar>
            <w:top w:w="0" w:type="dxa"/>
            <w:bottom w:w="0" w:type="dxa"/>
          </w:tblCellMar>
        </w:tblPrEx>
        <w:trPr>
          <w:cantSplit/>
        </w:trPr>
        <w:tc>
          <w:tcPr>
            <w:tcW w:w="637" w:type="dxa"/>
            <w:tcBorders>
              <w:top w:val="single" w:sz="4" w:space="0" w:color="auto"/>
              <w:bottom w:val="nil"/>
            </w:tcBorders>
            <w:shd w:val="clear" w:color="auto" w:fill="FFFFFF"/>
          </w:tcPr>
          <w:p w:rsidR="00B43C57" w:rsidRPr="00F5723F" w:rsidRDefault="00B43C57">
            <w:pPr>
              <w:pStyle w:val="Tabelltext"/>
            </w:pPr>
          </w:p>
        </w:tc>
        <w:tc>
          <w:tcPr>
            <w:tcW w:w="2410" w:type="dxa"/>
            <w:gridSpan w:val="4"/>
            <w:tcBorders>
              <w:top w:val="single" w:sz="4" w:space="0" w:color="auto"/>
              <w:bottom w:val="single" w:sz="4" w:space="0" w:color="auto"/>
            </w:tcBorders>
            <w:shd w:val="clear" w:color="auto" w:fill="FFFFFF"/>
          </w:tcPr>
          <w:p w:rsidR="00B43C57" w:rsidRPr="00F5723F" w:rsidRDefault="00B43C57">
            <w:pPr>
              <w:pStyle w:val="Tabelltext"/>
            </w:pPr>
            <w:r w:rsidRPr="00F5723F">
              <w:t>Antal tjänster</w:t>
            </w:r>
          </w:p>
        </w:tc>
        <w:tc>
          <w:tcPr>
            <w:tcW w:w="2977" w:type="dxa"/>
            <w:gridSpan w:val="4"/>
            <w:tcBorders>
              <w:top w:val="single" w:sz="4" w:space="0" w:color="auto"/>
              <w:bottom w:val="single" w:sz="4" w:space="0" w:color="auto"/>
            </w:tcBorders>
            <w:shd w:val="clear" w:color="auto" w:fill="FFFFFF"/>
          </w:tcPr>
          <w:p w:rsidR="00B43C57" w:rsidRPr="00F5723F" w:rsidRDefault="00B43C57">
            <w:pPr>
              <w:pStyle w:val="Tabelltext"/>
            </w:pPr>
            <w:r w:rsidRPr="00F5723F">
              <w:t>Faktiska årsarbetskrafter</w:t>
            </w:r>
          </w:p>
        </w:tc>
      </w:tr>
      <w:tr w:rsidR="00000000" w:rsidRPr="00F5723F">
        <w:tblPrEx>
          <w:tblCellMar>
            <w:top w:w="0" w:type="dxa"/>
            <w:bottom w:w="0" w:type="dxa"/>
          </w:tblCellMar>
        </w:tblPrEx>
        <w:trPr>
          <w:cantSplit/>
        </w:trPr>
        <w:tc>
          <w:tcPr>
            <w:tcW w:w="637" w:type="dxa"/>
            <w:tcBorders>
              <w:top w:val="nil"/>
              <w:bottom w:val="single" w:sz="4" w:space="0" w:color="auto"/>
            </w:tcBorders>
            <w:shd w:val="clear" w:color="auto" w:fill="FFFFFF"/>
          </w:tcPr>
          <w:p w:rsidR="00B43C57" w:rsidRPr="00F5723F" w:rsidRDefault="00B43C57">
            <w:pPr>
              <w:pStyle w:val="Tabelltext"/>
            </w:pPr>
            <w:r w:rsidRPr="00F5723F">
              <w:br/>
              <w:t>Utskott</w:t>
            </w:r>
          </w:p>
        </w:tc>
        <w:tc>
          <w:tcPr>
            <w:tcW w:w="567" w:type="dxa"/>
            <w:tcBorders>
              <w:top w:val="single" w:sz="4" w:space="0" w:color="auto"/>
              <w:bottom w:val="single" w:sz="4" w:space="0" w:color="auto"/>
            </w:tcBorders>
            <w:shd w:val="clear" w:color="auto" w:fill="FFFFFF"/>
          </w:tcPr>
          <w:p w:rsidR="00B43C57" w:rsidRPr="00F5723F" w:rsidRDefault="00B43C57">
            <w:pPr>
              <w:pStyle w:val="Tabelltext"/>
              <w:jc w:val="center"/>
            </w:pPr>
            <w:r w:rsidRPr="00F5723F">
              <w:t>Kan</w:t>
            </w:r>
            <w:r w:rsidRPr="00F5723F">
              <w:t>s</w:t>
            </w:r>
            <w:r w:rsidRPr="00F5723F">
              <w:t>li</w:t>
            </w:r>
            <w:r w:rsidRPr="00F5723F">
              <w:softHyphen/>
              <w:t>chef</w:t>
            </w:r>
          </w:p>
        </w:tc>
        <w:tc>
          <w:tcPr>
            <w:tcW w:w="709" w:type="dxa"/>
            <w:tcBorders>
              <w:top w:val="single" w:sz="4" w:space="0" w:color="auto"/>
              <w:bottom w:val="single" w:sz="4" w:space="0" w:color="auto"/>
            </w:tcBorders>
            <w:shd w:val="clear" w:color="auto" w:fill="FFFFFF"/>
          </w:tcPr>
          <w:p w:rsidR="00B43C57" w:rsidRPr="00F5723F" w:rsidRDefault="00B43C57">
            <w:pPr>
              <w:pStyle w:val="Tabelltext"/>
              <w:jc w:val="center"/>
            </w:pPr>
            <w:r w:rsidRPr="00F5723F">
              <w:t>Föredra</w:t>
            </w:r>
            <w:r w:rsidRPr="00F5723F">
              <w:softHyphen/>
              <w:t>gande</w:t>
            </w:r>
          </w:p>
        </w:tc>
        <w:tc>
          <w:tcPr>
            <w:tcW w:w="567" w:type="dxa"/>
            <w:tcBorders>
              <w:top w:val="single" w:sz="4" w:space="0" w:color="auto"/>
              <w:bottom w:val="single" w:sz="4" w:space="0" w:color="auto"/>
            </w:tcBorders>
            <w:shd w:val="clear" w:color="auto" w:fill="FFFFFF"/>
          </w:tcPr>
          <w:p w:rsidR="00B43C57" w:rsidRPr="00F5723F" w:rsidRDefault="00B43C57">
            <w:pPr>
              <w:pStyle w:val="Tabelltext"/>
              <w:jc w:val="center"/>
            </w:pPr>
            <w:r w:rsidRPr="00F5723F">
              <w:t>Ass</w:t>
            </w:r>
            <w:r w:rsidRPr="00F5723F">
              <w:t>i</w:t>
            </w:r>
            <w:r w:rsidRPr="00F5723F">
              <w:t>stent</w:t>
            </w:r>
          </w:p>
        </w:tc>
        <w:tc>
          <w:tcPr>
            <w:tcW w:w="567" w:type="dxa"/>
            <w:tcBorders>
              <w:top w:val="single" w:sz="4" w:space="0" w:color="auto"/>
              <w:bottom w:val="single" w:sz="4" w:space="0" w:color="auto"/>
            </w:tcBorders>
            <w:shd w:val="clear" w:color="auto" w:fill="FFFFFF"/>
          </w:tcPr>
          <w:p w:rsidR="00B43C57" w:rsidRPr="00F5723F" w:rsidRDefault="00B43C57">
            <w:pPr>
              <w:pStyle w:val="Tabelltext"/>
              <w:jc w:val="center"/>
            </w:pPr>
          </w:p>
          <w:p w:rsidR="00B43C57" w:rsidRPr="00F5723F" w:rsidRDefault="00B43C57">
            <w:pPr>
              <w:pStyle w:val="Tabelltext"/>
              <w:jc w:val="center"/>
            </w:pPr>
            <w:r w:rsidRPr="00F5723F">
              <w:t>T</w:t>
            </w:r>
            <w:r w:rsidRPr="00F5723F">
              <w:t>o</w:t>
            </w:r>
            <w:r w:rsidRPr="00F5723F">
              <w:t>talt</w:t>
            </w:r>
          </w:p>
        </w:tc>
        <w:tc>
          <w:tcPr>
            <w:tcW w:w="709" w:type="dxa"/>
            <w:tcBorders>
              <w:top w:val="single" w:sz="4" w:space="0" w:color="auto"/>
              <w:bottom w:val="single" w:sz="4" w:space="0" w:color="auto"/>
            </w:tcBorders>
            <w:shd w:val="clear" w:color="auto" w:fill="FFFFFF"/>
          </w:tcPr>
          <w:p w:rsidR="00B43C57" w:rsidRPr="00F5723F" w:rsidRDefault="00B43C57">
            <w:pPr>
              <w:pStyle w:val="Tabelltext"/>
              <w:jc w:val="center"/>
            </w:pPr>
            <w:r w:rsidRPr="00F5723F">
              <w:t>Kansli</w:t>
            </w:r>
            <w:r w:rsidRPr="00F5723F">
              <w:softHyphen/>
              <w:t>chef</w:t>
            </w:r>
          </w:p>
        </w:tc>
        <w:tc>
          <w:tcPr>
            <w:tcW w:w="850" w:type="dxa"/>
            <w:tcBorders>
              <w:top w:val="single" w:sz="4" w:space="0" w:color="auto"/>
              <w:bottom w:val="single" w:sz="4" w:space="0" w:color="auto"/>
            </w:tcBorders>
            <w:shd w:val="clear" w:color="auto" w:fill="FFFFFF"/>
          </w:tcPr>
          <w:p w:rsidR="00B43C57" w:rsidRPr="00F5723F" w:rsidRDefault="00B43C57">
            <w:pPr>
              <w:pStyle w:val="Tabelltext"/>
              <w:jc w:val="center"/>
            </w:pPr>
            <w:r w:rsidRPr="00F5723F">
              <w:t>Föredra</w:t>
            </w:r>
            <w:r w:rsidRPr="00F5723F">
              <w:softHyphen/>
              <w:t>gande</w:t>
            </w:r>
          </w:p>
        </w:tc>
        <w:tc>
          <w:tcPr>
            <w:tcW w:w="851" w:type="dxa"/>
            <w:tcBorders>
              <w:top w:val="single" w:sz="4" w:space="0" w:color="auto"/>
              <w:bottom w:val="single" w:sz="4" w:space="0" w:color="auto"/>
            </w:tcBorders>
            <w:shd w:val="clear" w:color="auto" w:fill="FFFFFF"/>
          </w:tcPr>
          <w:p w:rsidR="00B43C57" w:rsidRPr="00F5723F" w:rsidRDefault="00B43C57">
            <w:pPr>
              <w:pStyle w:val="Tabelltext"/>
              <w:jc w:val="center"/>
            </w:pPr>
            <w:r w:rsidRPr="00F5723F">
              <w:t>Assi-</w:t>
            </w:r>
          </w:p>
          <w:p w:rsidR="00B43C57" w:rsidRPr="00F5723F" w:rsidRDefault="00B43C57">
            <w:pPr>
              <w:pStyle w:val="Tabelltext"/>
              <w:jc w:val="center"/>
            </w:pPr>
            <w:r w:rsidRPr="00F5723F">
              <w:t>stent</w:t>
            </w:r>
          </w:p>
        </w:tc>
        <w:tc>
          <w:tcPr>
            <w:tcW w:w="567" w:type="dxa"/>
            <w:tcBorders>
              <w:top w:val="single" w:sz="4" w:space="0" w:color="auto"/>
              <w:bottom w:val="single" w:sz="4" w:space="0" w:color="auto"/>
            </w:tcBorders>
            <w:shd w:val="clear" w:color="auto" w:fill="FFFFFF"/>
          </w:tcPr>
          <w:p w:rsidR="00B43C57" w:rsidRPr="00F5723F" w:rsidRDefault="00B43C57">
            <w:pPr>
              <w:pStyle w:val="Tabelltext"/>
              <w:jc w:val="center"/>
            </w:pPr>
          </w:p>
          <w:p w:rsidR="00B43C57" w:rsidRPr="00F5723F" w:rsidRDefault="00B43C57">
            <w:pPr>
              <w:pStyle w:val="Tabelltext"/>
              <w:jc w:val="center"/>
            </w:pPr>
            <w:r w:rsidRPr="00F5723F">
              <w:t>T</w:t>
            </w:r>
            <w:r w:rsidRPr="00F5723F">
              <w:t>o</w:t>
            </w:r>
            <w:r w:rsidRPr="00F5723F">
              <w:t>talt</w:t>
            </w:r>
          </w:p>
        </w:tc>
      </w:tr>
      <w:tr w:rsidR="00000000" w:rsidRPr="00F5723F">
        <w:tblPrEx>
          <w:tblCellMar>
            <w:top w:w="0" w:type="dxa"/>
            <w:bottom w:w="0" w:type="dxa"/>
          </w:tblCellMar>
        </w:tblPrEx>
        <w:trPr>
          <w:cantSplit/>
        </w:trPr>
        <w:tc>
          <w:tcPr>
            <w:tcW w:w="637" w:type="dxa"/>
            <w:tcBorders>
              <w:top w:val="single" w:sz="4" w:space="0" w:color="auto"/>
            </w:tcBorders>
            <w:shd w:val="clear" w:color="auto" w:fill="FFFFFF"/>
          </w:tcPr>
          <w:p w:rsidR="00B43C57" w:rsidRPr="00F5723F" w:rsidRDefault="00B43C57">
            <w:pPr>
              <w:pStyle w:val="Tabelltext"/>
            </w:pPr>
            <w:r w:rsidRPr="00F5723F">
              <w:t>KU</w:t>
            </w:r>
          </w:p>
        </w:tc>
        <w:tc>
          <w:tcPr>
            <w:tcW w:w="567" w:type="dxa"/>
            <w:tcBorders>
              <w:top w:val="single" w:sz="4" w:space="0" w:color="auto"/>
            </w:tcBorders>
            <w:shd w:val="clear" w:color="auto" w:fill="FFFFFF"/>
          </w:tcPr>
          <w:p w:rsidR="00B43C57" w:rsidRPr="00F5723F" w:rsidRDefault="00B43C57">
            <w:pPr>
              <w:pStyle w:val="Tabelltextsiffror"/>
              <w:jc w:val="center"/>
            </w:pPr>
            <w:r w:rsidRPr="00F5723F">
              <w:t>2</w:t>
            </w:r>
          </w:p>
        </w:tc>
        <w:tc>
          <w:tcPr>
            <w:tcW w:w="709" w:type="dxa"/>
            <w:tcBorders>
              <w:top w:val="single" w:sz="4" w:space="0" w:color="auto"/>
            </w:tcBorders>
            <w:shd w:val="clear" w:color="auto" w:fill="FFFFFF"/>
          </w:tcPr>
          <w:p w:rsidR="00B43C57" w:rsidRPr="00F5723F" w:rsidRDefault="00B43C57">
            <w:pPr>
              <w:pStyle w:val="Tabelltextsiffror"/>
              <w:jc w:val="center"/>
            </w:pPr>
            <w:r w:rsidRPr="00F5723F">
              <w:t>5,5</w:t>
            </w:r>
          </w:p>
        </w:tc>
        <w:tc>
          <w:tcPr>
            <w:tcW w:w="567" w:type="dxa"/>
            <w:tcBorders>
              <w:top w:val="single" w:sz="4" w:space="0" w:color="auto"/>
            </w:tcBorders>
            <w:shd w:val="clear" w:color="auto" w:fill="FFFFFF"/>
          </w:tcPr>
          <w:p w:rsidR="00B43C57" w:rsidRPr="00F5723F" w:rsidRDefault="00B43C57">
            <w:pPr>
              <w:pStyle w:val="Tabelltextsiffror"/>
              <w:jc w:val="center"/>
            </w:pPr>
            <w:r w:rsidRPr="00F5723F">
              <w:t>3</w:t>
            </w:r>
          </w:p>
        </w:tc>
        <w:tc>
          <w:tcPr>
            <w:tcW w:w="567" w:type="dxa"/>
            <w:tcBorders>
              <w:top w:val="single" w:sz="4" w:space="0" w:color="auto"/>
            </w:tcBorders>
            <w:shd w:val="clear" w:color="auto" w:fill="FFFFFF"/>
          </w:tcPr>
          <w:p w:rsidR="00B43C57" w:rsidRPr="00F5723F" w:rsidRDefault="00B43C57">
            <w:pPr>
              <w:pStyle w:val="Tabelltextsiffror"/>
              <w:jc w:val="center"/>
            </w:pPr>
            <w:r w:rsidRPr="00F5723F">
              <w:t>10,5</w:t>
            </w:r>
          </w:p>
        </w:tc>
        <w:tc>
          <w:tcPr>
            <w:tcW w:w="709" w:type="dxa"/>
            <w:tcBorders>
              <w:top w:val="single" w:sz="4" w:space="0" w:color="auto"/>
            </w:tcBorders>
            <w:shd w:val="clear" w:color="auto" w:fill="FFFFFF"/>
          </w:tcPr>
          <w:p w:rsidR="00B43C57" w:rsidRPr="00F5723F" w:rsidRDefault="00B43C57">
            <w:pPr>
              <w:pStyle w:val="Tabelltextsiffror"/>
              <w:jc w:val="center"/>
            </w:pPr>
            <w:r w:rsidRPr="00F5723F">
              <w:t>2,0</w:t>
            </w:r>
          </w:p>
        </w:tc>
        <w:tc>
          <w:tcPr>
            <w:tcW w:w="850" w:type="dxa"/>
            <w:tcBorders>
              <w:top w:val="single" w:sz="4" w:space="0" w:color="auto"/>
            </w:tcBorders>
            <w:shd w:val="clear" w:color="auto" w:fill="FFFFFF"/>
          </w:tcPr>
          <w:p w:rsidR="00B43C57" w:rsidRPr="00F5723F" w:rsidRDefault="00B43C57">
            <w:pPr>
              <w:pStyle w:val="Tabelltextsiffror"/>
              <w:jc w:val="center"/>
            </w:pPr>
            <w:r w:rsidRPr="00F5723F">
              <w:t>4,8</w:t>
            </w:r>
          </w:p>
        </w:tc>
        <w:tc>
          <w:tcPr>
            <w:tcW w:w="851" w:type="dxa"/>
            <w:tcBorders>
              <w:top w:val="single" w:sz="4" w:space="0" w:color="auto"/>
            </w:tcBorders>
            <w:shd w:val="clear" w:color="auto" w:fill="FFFFFF"/>
          </w:tcPr>
          <w:p w:rsidR="00B43C57" w:rsidRPr="00F5723F" w:rsidRDefault="00B43C57">
            <w:pPr>
              <w:pStyle w:val="Tabelltextsiffror"/>
              <w:jc w:val="center"/>
            </w:pPr>
            <w:r w:rsidRPr="00F5723F">
              <w:t>3,0</w:t>
            </w:r>
          </w:p>
        </w:tc>
        <w:tc>
          <w:tcPr>
            <w:tcW w:w="567" w:type="dxa"/>
            <w:tcBorders>
              <w:top w:val="single" w:sz="4" w:space="0" w:color="auto"/>
            </w:tcBorders>
            <w:shd w:val="clear" w:color="auto" w:fill="FFFFFF"/>
          </w:tcPr>
          <w:p w:rsidR="00B43C57" w:rsidRPr="00F5723F" w:rsidRDefault="00B43C57">
            <w:pPr>
              <w:pStyle w:val="Tabelltextsiffror"/>
              <w:jc w:val="center"/>
              <w:rPr>
                <w:snapToGrid w:val="0"/>
              </w:rPr>
            </w:pPr>
            <w:r w:rsidRPr="00F5723F">
              <w:rPr>
                <w:snapToGrid w:val="0"/>
              </w:rPr>
              <w:t>9,8</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FiU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5,5</w:t>
            </w:r>
          </w:p>
        </w:tc>
        <w:tc>
          <w:tcPr>
            <w:tcW w:w="567"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9,5</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5,2</w:t>
            </w:r>
          </w:p>
        </w:tc>
        <w:tc>
          <w:tcPr>
            <w:tcW w:w="851" w:type="dxa"/>
            <w:shd w:val="clear" w:color="auto" w:fill="FFFFFF"/>
          </w:tcPr>
          <w:p w:rsidR="00B43C57" w:rsidRPr="00F5723F" w:rsidRDefault="00B43C57">
            <w:pPr>
              <w:pStyle w:val="Tabelltextsiffror"/>
              <w:jc w:val="center"/>
            </w:pPr>
            <w:r w:rsidRPr="00F5723F">
              <w:t>3,0</w:t>
            </w:r>
          </w:p>
        </w:tc>
        <w:tc>
          <w:tcPr>
            <w:tcW w:w="567" w:type="dxa"/>
            <w:shd w:val="clear" w:color="auto" w:fill="FFFFFF"/>
          </w:tcPr>
          <w:p w:rsidR="00B43C57" w:rsidRPr="00F5723F" w:rsidRDefault="00B43C57">
            <w:pPr>
              <w:pStyle w:val="Tabelltextsiffror"/>
              <w:jc w:val="center"/>
              <w:rPr>
                <w:snapToGrid w:val="0"/>
              </w:rPr>
            </w:pPr>
            <w:r w:rsidRPr="00F5723F">
              <w:rPr>
                <w:snapToGrid w:val="0"/>
              </w:rPr>
              <w:t>9,2</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SkU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4</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7</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4,0</w:t>
            </w:r>
          </w:p>
        </w:tc>
        <w:tc>
          <w:tcPr>
            <w:tcW w:w="851" w:type="dxa"/>
            <w:shd w:val="clear" w:color="auto" w:fill="FFFFFF"/>
          </w:tcPr>
          <w:p w:rsidR="00B43C57" w:rsidRPr="00F5723F" w:rsidRDefault="00B43C57">
            <w:pPr>
              <w:pStyle w:val="Tabelltextsiffror"/>
              <w:jc w:val="center"/>
            </w:pPr>
            <w:r w:rsidRPr="00F5723F">
              <w:t>2,0</w:t>
            </w:r>
          </w:p>
        </w:tc>
        <w:tc>
          <w:tcPr>
            <w:tcW w:w="567" w:type="dxa"/>
            <w:shd w:val="clear" w:color="auto" w:fill="FFFFFF"/>
          </w:tcPr>
          <w:p w:rsidR="00B43C57" w:rsidRPr="00F5723F" w:rsidRDefault="00B43C57">
            <w:pPr>
              <w:pStyle w:val="Tabelltextsiffror"/>
              <w:jc w:val="center"/>
              <w:rPr>
                <w:snapToGrid w:val="0"/>
              </w:rPr>
            </w:pPr>
            <w:r w:rsidRPr="00F5723F">
              <w:rPr>
                <w:snapToGrid w:val="0"/>
              </w:rPr>
              <w:t>7,0</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JuU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6</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3,8</w:t>
            </w:r>
          </w:p>
        </w:tc>
        <w:tc>
          <w:tcPr>
            <w:tcW w:w="851" w:type="dxa"/>
            <w:shd w:val="clear" w:color="auto" w:fill="FFFFFF"/>
          </w:tcPr>
          <w:p w:rsidR="00B43C57" w:rsidRPr="00F5723F" w:rsidRDefault="00B43C57">
            <w:pPr>
              <w:pStyle w:val="Tabelltextsiffror"/>
              <w:jc w:val="center"/>
            </w:pPr>
            <w:r w:rsidRPr="00F5723F">
              <w:t>1,7</w:t>
            </w:r>
          </w:p>
        </w:tc>
        <w:tc>
          <w:tcPr>
            <w:tcW w:w="567" w:type="dxa"/>
            <w:shd w:val="clear" w:color="auto" w:fill="FFFFFF"/>
          </w:tcPr>
          <w:p w:rsidR="00B43C57" w:rsidRPr="00F5723F" w:rsidRDefault="00B43C57">
            <w:pPr>
              <w:pStyle w:val="Tabelltextsiffror"/>
              <w:jc w:val="center"/>
              <w:rPr>
                <w:snapToGrid w:val="0"/>
              </w:rPr>
            </w:pPr>
            <w:r w:rsidRPr="00F5723F">
              <w:rPr>
                <w:snapToGrid w:val="0"/>
              </w:rPr>
              <w:t>6,5</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LU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6</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3,0</w:t>
            </w:r>
          </w:p>
        </w:tc>
        <w:tc>
          <w:tcPr>
            <w:tcW w:w="851" w:type="dxa"/>
            <w:shd w:val="clear" w:color="auto" w:fill="FFFFFF"/>
          </w:tcPr>
          <w:p w:rsidR="00B43C57" w:rsidRPr="00F5723F" w:rsidRDefault="00B43C57">
            <w:pPr>
              <w:pStyle w:val="Tabelltextsiffror"/>
              <w:jc w:val="center"/>
            </w:pPr>
            <w:r w:rsidRPr="00F5723F">
              <w:t>1,8</w:t>
            </w:r>
          </w:p>
        </w:tc>
        <w:tc>
          <w:tcPr>
            <w:tcW w:w="567" w:type="dxa"/>
            <w:shd w:val="clear" w:color="auto" w:fill="FFFFFF"/>
          </w:tcPr>
          <w:p w:rsidR="00B43C57" w:rsidRPr="00F5723F" w:rsidRDefault="00B43C57">
            <w:pPr>
              <w:pStyle w:val="Tabelltextsiffror"/>
              <w:jc w:val="center"/>
              <w:rPr>
                <w:snapToGrid w:val="0"/>
              </w:rPr>
            </w:pPr>
            <w:r w:rsidRPr="00F5723F">
              <w:rPr>
                <w:snapToGrid w:val="0"/>
              </w:rPr>
              <w:t>5,8</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UU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7</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3,0</w:t>
            </w:r>
          </w:p>
        </w:tc>
        <w:tc>
          <w:tcPr>
            <w:tcW w:w="851" w:type="dxa"/>
            <w:shd w:val="clear" w:color="auto" w:fill="FFFFFF"/>
          </w:tcPr>
          <w:p w:rsidR="00B43C57" w:rsidRPr="00F5723F" w:rsidRDefault="00B43C57">
            <w:pPr>
              <w:pStyle w:val="Tabelltextsiffror"/>
              <w:jc w:val="center"/>
            </w:pPr>
            <w:r w:rsidRPr="00F5723F">
              <w:t>2,9</w:t>
            </w:r>
          </w:p>
        </w:tc>
        <w:tc>
          <w:tcPr>
            <w:tcW w:w="567" w:type="dxa"/>
            <w:shd w:val="clear" w:color="auto" w:fill="FFFFFF"/>
          </w:tcPr>
          <w:p w:rsidR="00B43C57" w:rsidRPr="00F5723F" w:rsidRDefault="00B43C57">
            <w:pPr>
              <w:pStyle w:val="Tabelltextsiffror"/>
              <w:jc w:val="center"/>
              <w:rPr>
                <w:snapToGrid w:val="0"/>
              </w:rPr>
            </w:pPr>
            <w:r w:rsidRPr="00F5723F">
              <w:rPr>
                <w:snapToGrid w:val="0"/>
              </w:rPr>
              <w:t>6,9</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FöU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5</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2,2</w:t>
            </w:r>
          </w:p>
        </w:tc>
        <w:tc>
          <w:tcPr>
            <w:tcW w:w="851" w:type="dxa"/>
            <w:shd w:val="clear" w:color="auto" w:fill="FFFFFF"/>
          </w:tcPr>
          <w:p w:rsidR="00B43C57" w:rsidRPr="00F5723F" w:rsidRDefault="00B43C57">
            <w:pPr>
              <w:pStyle w:val="Tabelltextsiffror"/>
              <w:jc w:val="center"/>
            </w:pPr>
            <w:r w:rsidRPr="00F5723F">
              <w:t>2,0</w:t>
            </w:r>
          </w:p>
        </w:tc>
        <w:tc>
          <w:tcPr>
            <w:tcW w:w="567" w:type="dxa"/>
            <w:shd w:val="clear" w:color="auto" w:fill="FFFFFF"/>
          </w:tcPr>
          <w:p w:rsidR="00B43C57" w:rsidRPr="00F5723F" w:rsidRDefault="00B43C57">
            <w:pPr>
              <w:pStyle w:val="Tabelltextsiffror"/>
              <w:jc w:val="center"/>
              <w:rPr>
                <w:snapToGrid w:val="0"/>
              </w:rPr>
            </w:pPr>
            <w:r w:rsidRPr="00F5723F">
              <w:rPr>
                <w:snapToGrid w:val="0"/>
              </w:rPr>
              <w:t>5,2</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SfU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6</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3,0</w:t>
            </w:r>
          </w:p>
        </w:tc>
        <w:tc>
          <w:tcPr>
            <w:tcW w:w="851" w:type="dxa"/>
            <w:shd w:val="clear" w:color="auto" w:fill="FFFFFF"/>
          </w:tcPr>
          <w:p w:rsidR="00B43C57" w:rsidRPr="00F5723F" w:rsidRDefault="00B43C57">
            <w:pPr>
              <w:pStyle w:val="Tabelltextsiffror"/>
              <w:jc w:val="center"/>
            </w:pPr>
            <w:r w:rsidRPr="00F5723F">
              <w:t>1,7</w:t>
            </w:r>
          </w:p>
        </w:tc>
        <w:tc>
          <w:tcPr>
            <w:tcW w:w="567" w:type="dxa"/>
            <w:shd w:val="clear" w:color="auto" w:fill="FFFFFF"/>
          </w:tcPr>
          <w:p w:rsidR="00B43C57" w:rsidRPr="00F5723F" w:rsidRDefault="00B43C57">
            <w:pPr>
              <w:pStyle w:val="Tabelltextsiffror"/>
              <w:jc w:val="center"/>
              <w:rPr>
                <w:snapToGrid w:val="0"/>
              </w:rPr>
            </w:pPr>
            <w:r w:rsidRPr="00F5723F">
              <w:rPr>
                <w:snapToGrid w:val="0"/>
              </w:rPr>
              <w:t>5,7</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SoU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4</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7</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4,5</w:t>
            </w:r>
          </w:p>
        </w:tc>
        <w:tc>
          <w:tcPr>
            <w:tcW w:w="851" w:type="dxa"/>
            <w:shd w:val="clear" w:color="auto" w:fill="FFFFFF"/>
          </w:tcPr>
          <w:p w:rsidR="00B43C57" w:rsidRPr="00F5723F" w:rsidRDefault="00B43C57">
            <w:pPr>
              <w:pStyle w:val="Tabelltextsiffror"/>
              <w:jc w:val="center"/>
            </w:pPr>
            <w:r w:rsidRPr="00F5723F">
              <w:t>2,0</w:t>
            </w:r>
          </w:p>
        </w:tc>
        <w:tc>
          <w:tcPr>
            <w:tcW w:w="567" w:type="dxa"/>
            <w:shd w:val="clear" w:color="auto" w:fill="FFFFFF"/>
          </w:tcPr>
          <w:p w:rsidR="00B43C57" w:rsidRPr="00F5723F" w:rsidRDefault="00B43C57">
            <w:pPr>
              <w:pStyle w:val="Tabelltextsiffror"/>
              <w:jc w:val="center"/>
              <w:rPr>
                <w:snapToGrid w:val="0"/>
              </w:rPr>
            </w:pPr>
            <w:r w:rsidRPr="00F5723F">
              <w:rPr>
                <w:snapToGrid w:val="0"/>
              </w:rPr>
              <w:t>7,5</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KrU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5</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2,4</w:t>
            </w:r>
          </w:p>
        </w:tc>
        <w:tc>
          <w:tcPr>
            <w:tcW w:w="851" w:type="dxa"/>
            <w:shd w:val="clear" w:color="auto" w:fill="FFFFFF"/>
          </w:tcPr>
          <w:p w:rsidR="00B43C57" w:rsidRPr="00F5723F" w:rsidRDefault="00B43C57">
            <w:pPr>
              <w:pStyle w:val="Tabelltextsiffror"/>
              <w:jc w:val="center"/>
            </w:pPr>
            <w:r w:rsidRPr="00F5723F">
              <w:t>2,0</w:t>
            </w:r>
          </w:p>
        </w:tc>
        <w:tc>
          <w:tcPr>
            <w:tcW w:w="567" w:type="dxa"/>
            <w:shd w:val="clear" w:color="auto" w:fill="FFFFFF"/>
          </w:tcPr>
          <w:p w:rsidR="00B43C57" w:rsidRPr="00F5723F" w:rsidRDefault="00B43C57">
            <w:pPr>
              <w:pStyle w:val="Tabelltextsiffror"/>
              <w:jc w:val="center"/>
              <w:rPr>
                <w:snapToGrid w:val="0"/>
              </w:rPr>
            </w:pPr>
            <w:r w:rsidRPr="00F5723F">
              <w:rPr>
                <w:snapToGrid w:val="0"/>
              </w:rPr>
              <w:t>5,4</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UbU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6</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3,2</w:t>
            </w:r>
          </w:p>
        </w:tc>
        <w:tc>
          <w:tcPr>
            <w:tcW w:w="851" w:type="dxa"/>
            <w:shd w:val="clear" w:color="auto" w:fill="FFFFFF"/>
          </w:tcPr>
          <w:p w:rsidR="00B43C57" w:rsidRPr="00F5723F" w:rsidRDefault="00B43C57">
            <w:pPr>
              <w:pStyle w:val="Tabelltextsiffror"/>
              <w:jc w:val="center"/>
            </w:pPr>
            <w:r w:rsidRPr="00F5723F">
              <w:t>2,0</w:t>
            </w:r>
          </w:p>
        </w:tc>
        <w:tc>
          <w:tcPr>
            <w:tcW w:w="567" w:type="dxa"/>
            <w:shd w:val="clear" w:color="auto" w:fill="FFFFFF"/>
          </w:tcPr>
          <w:p w:rsidR="00B43C57" w:rsidRPr="00F5723F" w:rsidRDefault="00B43C57">
            <w:pPr>
              <w:pStyle w:val="Tabelltextsiffror"/>
              <w:jc w:val="center"/>
              <w:rPr>
                <w:snapToGrid w:val="0"/>
              </w:rPr>
            </w:pPr>
            <w:r w:rsidRPr="00F5723F">
              <w:rPr>
                <w:snapToGrid w:val="0"/>
              </w:rPr>
              <w:t>6,2</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TU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6</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3,0</w:t>
            </w:r>
          </w:p>
        </w:tc>
        <w:tc>
          <w:tcPr>
            <w:tcW w:w="851" w:type="dxa"/>
            <w:shd w:val="clear" w:color="auto" w:fill="FFFFFF"/>
          </w:tcPr>
          <w:p w:rsidR="00B43C57" w:rsidRPr="00F5723F" w:rsidRDefault="00B43C57">
            <w:pPr>
              <w:pStyle w:val="Tabelltextsiffror"/>
              <w:jc w:val="center"/>
            </w:pPr>
            <w:r w:rsidRPr="00F5723F">
              <w:t>1,9</w:t>
            </w:r>
          </w:p>
        </w:tc>
        <w:tc>
          <w:tcPr>
            <w:tcW w:w="567" w:type="dxa"/>
            <w:shd w:val="clear" w:color="auto" w:fill="FFFFFF"/>
          </w:tcPr>
          <w:p w:rsidR="00B43C57" w:rsidRPr="00F5723F" w:rsidRDefault="00B43C57">
            <w:pPr>
              <w:pStyle w:val="Tabelltextsiffror"/>
              <w:jc w:val="center"/>
              <w:rPr>
                <w:snapToGrid w:val="0"/>
              </w:rPr>
            </w:pPr>
            <w:r w:rsidRPr="00F5723F">
              <w:rPr>
                <w:snapToGrid w:val="0"/>
              </w:rPr>
              <w:t>5,9</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MJU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4</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7</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3,6</w:t>
            </w:r>
          </w:p>
        </w:tc>
        <w:tc>
          <w:tcPr>
            <w:tcW w:w="851" w:type="dxa"/>
            <w:shd w:val="clear" w:color="auto" w:fill="FFFFFF"/>
          </w:tcPr>
          <w:p w:rsidR="00B43C57" w:rsidRPr="00F5723F" w:rsidRDefault="00B43C57">
            <w:pPr>
              <w:pStyle w:val="Tabelltextsiffror"/>
              <w:jc w:val="center"/>
            </w:pPr>
            <w:r w:rsidRPr="00F5723F">
              <w:t>1,8</w:t>
            </w:r>
          </w:p>
        </w:tc>
        <w:tc>
          <w:tcPr>
            <w:tcW w:w="567" w:type="dxa"/>
            <w:shd w:val="clear" w:color="auto" w:fill="FFFFFF"/>
          </w:tcPr>
          <w:p w:rsidR="00B43C57" w:rsidRPr="00F5723F" w:rsidRDefault="00B43C57">
            <w:pPr>
              <w:pStyle w:val="Tabelltextsiffror"/>
              <w:jc w:val="center"/>
              <w:rPr>
                <w:snapToGrid w:val="0"/>
              </w:rPr>
            </w:pPr>
            <w:r w:rsidRPr="00F5723F">
              <w:rPr>
                <w:snapToGrid w:val="0"/>
              </w:rPr>
              <w:t>6,4</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NU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6</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3,0</w:t>
            </w:r>
          </w:p>
        </w:tc>
        <w:tc>
          <w:tcPr>
            <w:tcW w:w="851" w:type="dxa"/>
            <w:shd w:val="clear" w:color="auto" w:fill="FFFFFF"/>
          </w:tcPr>
          <w:p w:rsidR="00B43C57" w:rsidRPr="00F5723F" w:rsidRDefault="00B43C57">
            <w:pPr>
              <w:pStyle w:val="Tabelltextsiffror"/>
              <w:jc w:val="center"/>
            </w:pPr>
            <w:r w:rsidRPr="00F5723F">
              <w:t>1,9</w:t>
            </w:r>
          </w:p>
        </w:tc>
        <w:tc>
          <w:tcPr>
            <w:tcW w:w="567" w:type="dxa"/>
            <w:shd w:val="clear" w:color="auto" w:fill="FFFFFF"/>
          </w:tcPr>
          <w:p w:rsidR="00B43C57" w:rsidRPr="00F5723F" w:rsidRDefault="00B43C57">
            <w:pPr>
              <w:pStyle w:val="Tabelltextsiffror"/>
              <w:jc w:val="center"/>
              <w:rPr>
                <w:snapToGrid w:val="0"/>
              </w:rPr>
            </w:pPr>
            <w:r w:rsidRPr="00F5723F">
              <w:rPr>
                <w:snapToGrid w:val="0"/>
              </w:rPr>
              <w:t>5,9</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AU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2</w:t>
            </w:r>
          </w:p>
        </w:tc>
        <w:tc>
          <w:tcPr>
            <w:tcW w:w="567" w:type="dxa"/>
            <w:shd w:val="clear" w:color="auto" w:fill="FFFFFF"/>
          </w:tcPr>
          <w:p w:rsidR="00B43C57" w:rsidRPr="00F5723F" w:rsidRDefault="00B43C57">
            <w:pPr>
              <w:pStyle w:val="Tabelltextsiffror"/>
              <w:jc w:val="center"/>
            </w:pPr>
            <w:r w:rsidRPr="00F5723F">
              <w:t>6</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2,1</w:t>
            </w:r>
          </w:p>
        </w:tc>
        <w:tc>
          <w:tcPr>
            <w:tcW w:w="851" w:type="dxa"/>
            <w:shd w:val="clear" w:color="auto" w:fill="FFFFFF"/>
          </w:tcPr>
          <w:p w:rsidR="00B43C57" w:rsidRPr="00F5723F" w:rsidRDefault="00B43C57">
            <w:pPr>
              <w:pStyle w:val="Tabelltextsiffror"/>
              <w:jc w:val="center"/>
            </w:pPr>
            <w:r w:rsidRPr="00F5723F">
              <w:t>1,7</w:t>
            </w:r>
          </w:p>
        </w:tc>
        <w:tc>
          <w:tcPr>
            <w:tcW w:w="567" w:type="dxa"/>
            <w:shd w:val="clear" w:color="auto" w:fill="FFFFFF"/>
          </w:tcPr>
          <w:p w:rsidR="00B43C57" w:rsidRPr="00F5723F" w:rsidRDefault="00B43C57">
            <w:pPr>
              <w:pStyle w:val="Tabelltextsiffror"/>
              <w:jc w:val="center"/>
              <w:rPr>
                <w:snapToGrid w:val="0"/>
              </w:rPr>
            </w:pPr>
            <w:r w:rsidRPr="00F5723F">
              <w:rPr>
                <w:snapToGrid w:val="0"/>
              </w:rPr>
              <w:t>4,8</w:t>
            </w:r>
          </w:p>
        </w:tc>
      </w:tr>
      <w:tr w:rsidR="00000000" w:rsidRPr="00F5723F">
        <w:tblPrEx>
          <w:tblCellMar>
            <w:top w:w="0" w:type="dxa"/>
            <w:bottom w:w="0" w:type="dxa"/>
          </w:tblCellMar>
        </w:tblPrEx>
        <w:trPr>
          <w:cantSplit/>
        </w:trPr>
        <w:tc>
          <w:tcPr>
            <w:tcW w:w="637" w:type="dxa"/>
            <w:shd w:val="clear" w:color="auto" w:fill="FFFFFF"/>
          </w:tcPr>
          <w:p w:rsidR="00B43C57" w:rsidRPr="00F5723F" w:rsidRDefault="00B43C57">
            <w:pPr>
              <w:pStyle w:val="Tabelltext"/>
            </w:pPr>
            <w:r w:rsidRPr="00F5723F">
              <w:t>BoU</w:t>
            </w:r>
          </w:p>
        </w:tc>
        <w:tc>
          <w:tcPr>
            <w:tcW w:w="567" w:type="dxa"/>
            <w:shd w:val="clear" w:color="auto" w:fill="FFFFFF"/>
          </w:tcPr>
          <w:p w:rsidR="00B43C57" w:rsidRPr="00F5723F" w:rsidRDefault="00B43C57">
            <w:pPr>
              <w:pStyle w:val="Tabelltextsiffror"/>
              <w:jc w:val="center"/>
            </w:pPr>
            <w:r w:rsidRPr="00F5723F">
              <w:t>1</w:t>
            </w:r>
          </w:p>
        </w:tc>
        <w:tc>
          <w:tcPr>
            <w:tcW w:w="709" w:type="dxa"/>
            <w:shd w:val="clear" w:color="auto" w:fill="FFFFFF"/>
          </w:tcPr>
          <w:p w:rsidR="00B43C57" w:rsidRPr="00F5723F" w:rsidRDefault="00B43C57">
            <w:pPr>
              <w:pStyle w:val="Tabelltextsiffror"/>
              <w:jc w:val="center"/>
            </w:pPr>
            <w:r w:rsidRPr="00F5723F">
              <w:t>3</w:t>
            </w:r>
          </w:p>
        </w:tc>
        <w:tc>
          <w:tcPr>
            <w:tcW w:w="567" w:type="dxa"/>
            <w:shd w:val="clear" w:color="auto" w:fill="FFFFFF"/>
          </w:tcPr>
          <w:p w:rsidR="00B43C57" w:rsidRPr="00F5723F" w:rsidRDefault="00B43C57">
            <w:pPr>
              <w:pStyle w:val="Tabelltextsiffror"/>
              <w:jc w:val="center"/>
            </w:pPr>
            <w:r w:rsidRPr="00F5723F">
              <w:t>1</w:t>
            </w:r>
          </w:p>
        </w:tc>
        <w:tc>
          <w:tcPr>
            <w:tcW w:w="567" w:type="dxa"/>
            <w:shd w:val="clear" w:color="auto" w:fill="FFFFFF"/>
          </w:tcPr>
          <w:p w:rsidR="00B43C57" w:rsidRPr="00F5723F" w:rsidRDefault="00B43C57">
            <w:pPr>
              <w:pStyle w:val="Tabelltextsiffror"/>
              <w:jc w:val="center"/>
            </w:pPr>
            <w:r w:rsidRPr="00F5723F">
              <w:t>5</w:t>
            </w:r>
          </w:p>
        </w:tc>
        <w:tc>
          <w:tcPr>
            <w:tcW w:w="709" w:type="dxa"/>
            <w:shd w:val="clear" w:color="auto" w:fill="FFFFFF"/>
          </w:tcPr>
          <w:p w:rsidR="00B43C57" w:rsidRPr="00F5723F" w:rsidRDefault="00B43C57">
            <w:pPr>
              <w:pStyle w:val="Tabelltextsiffror"/>
              <w:jc w:val="center"/>
            </w:pPr>
            <w:r w:rsidRPr="00F5723F">
              <w:t>1,0</w:t>
            </w:r>
          </w:p>
        </w:tc>
        <w:tc>
          <w:tcPr>
            <w:tcW w:w="850" w:type="dxa"/>
            <w:shd w:val="clear" w:color="auto" w:fill="FFFFFF"/>
          </w:tcPr>
          <w:p w:rsidR="00B43C57" w:rsidRPr="00F5723F" w:rsidRDefault="00B43C57">
            <w:pPr>
              <w:pStyle w:val="Tabelltextsiffror"/>
              <w:jc w:val="center"/>
            </w:pPr>
            <w:r w:rsidRPr="00F5723F">
              <w:t>3,0</w:t>
            </w:r>
          </w:p>
        </w:tc>
        <w:tc>
          <w:tcPr>
            <w:tcW w:w="851" w:type="dxa"/>
            <w:shd w:val="clear" w:color="auto" w:fill="FFFFFF"/>
          </w:tcPr>
          <w:p w:rsidR="00B43C57" w:rsidRPr="00F5723F" w:rsidRDefault="00B43C57">
            <w:pPr>
              <w:pStyle w:val="Tabelltextsiffror"/>
              <w:jc w:val="center"/>
            </w:pPr>
            <w:r w:rsidRPr="00F5723F">
              <w:t>1,4</w:t>
            </w:r>
          </w:p>
        </w:tc>
        <w:tc>
          <w:tcPr>
            <w:tcW w:w="567" w:type="dxa"/>
            <w:shd w:val="clear" w:color="auto" w:fill="FFFFFF"/>
          </w:tcPr>
          <w:p w:rsidR="00B43C57" w:rsidRPr="00F5723F" w:rsidRDefault="00B43C57">
            <w:pPr>
              <w:pStyle w:val="Tabelltextsiffror"/>
              <w:jc w:val="center"/>
              <w:rPr>
                <w:snapToGrid w:val="0"/>
              </w:rPr>
            </w:pPr>
            <w:r w:rsidRPr="00F5723F">
              <w:rPr>
                <w:snapToGrid w:val="0"/>
              </w:rPr>
              <w:t>5,4</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I kategorin kanslichef ingår även eventuell biträdande kanslichef och i kategorin assistent ingår även eventuella byrådirektörer. Faktiska årsarbetskra</w:t>
      </w:r>
      <w:r w:rsidRPr="00F5723F">
        <w:rPr>
          <w:rFonts w:ascii="Arial" w:hAnsi="Arial" w:cs="Arial"/>
          <w:sz w:val="16"/>
          <w:szCs w:val="16"/>
        </w:rPr>
        <w:t>f</w:t>
      </w:r>
      <w:r w:rsidRPr="00F5723F">
        <w:rPr>
          <w:rFonts w:ascii="Arial" w:hAnsi="Arial" w:cs="Arial"/>
          <w:sz w:val="16"/>
          <w:szCs w:val="16"/>
        </w:rPr>
        <w:t>ter visar det genomsnittliga antalet tjänstgörande i utskottskanslierna under peri</w:t>
      </w:r>
      <w:r w:rsidRPr="00F5723F">
        <w:rPr>
          <w:rFonts w:ascii="Arial" w:hAnsi="Arial" w:cs="Arial"/>
          <w:sz w:val="16"/>
          <w:szCs w:val="16"/>
        </w:rPr>
        <w:t>o</w:t>
      </w:r>
      <w:r w:rsidRPr="00F5723F">
        <w:rPr>
          <w:rFonts w:ascii="Arial" w:hAnsi="Arial" w:cs="Arial"/>
          <w:sz w:val="16"/>
          <w:szCs w:val="16"/>
        </w:rPr>
        <w:t>den september 2003–augusti 2004. Tjänstledighet, extrar</w:t>
      </w:r>
      <w:r w:rsidRPr="00F5723F">
        <w:rPr>
          <w:rFonts w:ascii="Arial" w:hAnsi="Arial" w:cs="Arial"/>
          <w:sz w:val="16"/>
          <w:szCs w:val="16"/>
        </w:rPr>
        <w:t>e</w:t>
      </w:r>
      <w:r w:rsidRPr="00F5723F">
        <w:rPr>
          <w:rFonts w:ascii="Arial" w:hAnsi="Arial" w:cs="Arial"/>
          <w:sz w:val="16"/>
          <w:szCs w:val="16"/>
        </w:rPr>
        <w:t>surser (</w:t>
      </w:r>
      <w:r w:rsidRPr="00F5723F">
        <w:rPr>
          <w:rFonts w:ascii="Arial" w:hAnsi="Arial" w:cs="Arial"/>
          <w:sz w:val="16"/>
          <w:szCs w:val="16"/>
        </w:rPr>
        <w:t>till exempel</w:t>
      </w:r>
      <w:r w:rsidRPr="00F5723F">
        <w:rPr>
          <w:rFonts w:ascii="Arial" w:hAnsi="Arial" w:cs="Arial"/>
          <w:sz w:val="16"/>
          <w:szCs w:val="16"/>
        </w:rPr>
        <w:t xml:space="preserve"> inlånad personal från andra enheter, dock ej utskott) och längre sju</w:t>
      </w:r>
      <w:r w:rsidRPr="00F5723F">
        <w:rPr>
          <w:rFonts w:ascii="Arial" w:hAnsi="Arial" w:cs="Arial"/>
          <w:sz w:val="16"/>
          <w:szCs w:val="16"/>
        </w:rPr>
        <w:t>k</w:t>
      </w:r>
      <w:r w:rsidRPr="00F5723F">
        <w:rPr>
          <w:rFonts w:ascii="Arial" w:hAnsi="Arial" w:cs="Arial"/>
          <w:sz w:val="16"/>
          <w:szCs w:val="16"/>
        </w:rPr>
        <w:t xml:space="preserve">frånvaro är inräknad. </w:t>
      </w:r>
      <w:r w:rsidRPr="00F5723F">
        <w:rPr>
          <w:rFonts w:ascii="Arial" w:hAnsi="Arial" w:cs="Arial"/>
          <w:b/>
          <w:sz w:val="16"/>
          <w:szCs w:val="16"/>
        </w:rPr>
        <w:t>Källa</w:t>
      </w:r>
      <w:r w:rsidRPr="00F5723F">
        <w:rPr>
          <w:rFonts w:ascii="Arial" w:hAnsi="Arial" w:cs="Arial"/>
          <w:i/>
          <w:sz w:val="16"/>
          <w:szCs w:val="16"/>
        </w:rPr>
        <w:t>:</w:t>
      </w:r>
      <w:r w:rsidRPr="00F5723F">
        <w:rPr>
          <w:rFonts w:ascii="Arial" w:hAnsi="Arial" w:cs="Arial"/>
          <w:sz w:val="16"/>
          <w:szCs w:val="16"/>
        </w:rPr>
        <w:t xml:space="preserve"> Personalenheten</w:t>
      </w:r>
      <w:r w:rsidRPr="00F5723F">
        <w:rPr>
          <w:rFonts w:ascii="Arial" w:hAnsi="Arial" w:cs="Arial"/>
          <w:sz w:val="16"/>
          <w:szCs w:val="16"/>
        </w:rPr>
        <w:t>.</w:t>
      </w:r>
    </w:p>
    <w:p w:rsidR="00B43C57" w:rsidRPr="00F5723F" w:rsidRDefault="00B43C57">
      <w:pPr>
        <w:spacing w:before="187" w:line="240" w:lineRule="auto"/>
      </w:pPr>
    </w:p>
    <w:p w:rsidR="00B43C57" w:rsidRPr="00F5723F" w:rsidRDefault="00B43C57">
      <w:pPr>
        <w:spacing w:before="187"/>
      </w:pPr>
      <w:r w:rsidRPr="00F5723F">
        <w:t>Vidare kan det noteras att skillnaderna mellan de största och minsta kanslie</w:t>
      </w:r>
      <w:r w:rsidRPr="00F5723F">
        <w:t>r</w:t>
      </w:r>
      <w:r w:rsidRPr="00F5723F">
        <w:t>na minskar något när antalet årsarbetskrafter studeras i stället för antalet tjän</w:t>
      </w:r>
      <w:r w:rsidRPr="00F5723F">
        <w:t>s</w:t>
      </w:r>
      <w:r w:rsidRPr="00F5723F">
        <w:t>ter. Skälet till det är att de största kanslierna (konstitutions- och finansutsko</w:t>
      </w:r>
      <w:r w:rsidRPr="00F5723F">
        <w:t>t</w:t>
      </w:r>
      <w:r w:rsidRPr="00F5723F">
        <w:t>tens kanslier) hade färre årsarbetskrafter än tjänster medan de mindre kansl</w:t>
      </w:r>
      <w:r w:rsidRPr="00F5723F">
        <w:t>i</w:t>
      </w:r>
      <w:r w:rsidRPr="00F5723F">
        <w:t>erna (försvars-, kultur- och bostadsutskottens kanslier) hade flera årsarbet</w:t>
      </w:r>
      <w:r w:rsidRPr="00F5723F">
        <w:t>s</w:t>
      </w:r>
      <w:r w:rsidRPr="00F5723F">
        <w:t>krafter än tjänster.</w:t>
      </w:r>
    </w:p>
    <w:p w:rsidR="00B43C57" w:rsidRPr="00F5723F" w:rsidRDefault="00B43C57">
      <w:pPr>
        <w:pStyle w:val="Normaltindrag"/>
      </w:pPr>
      <w:r w:rsidRPr="00F5723F">
        <w:t>Utöver vad som framgår i tabellen har utskottskanslierna hjälpt varandra. Till exempel hade arbetsmarknadsutskottet en föredragande utlånad till utr</w:t>
      </w:r>
      <w:r w:rsidRPr="00F5723F">
        <w:t>i</w:t>
      </w:r>
      <w:r w:rsidRPr="00F5723F">
        <w:t>kesutskottet under hela våren 2004; antalet årsarbetskrafter i arbetsmarknad</w:t>
      </w:r>
      <w:r w:rsidRPr="00F5723F">
        <w:t>s</w:t>
      </w:r>
      <w:r w:rsidRPr="00F5723F">
        <w:t>utsko</w:t>
      </w:r>
      <w:r w:rsidRPr="00F5723F">
        <w:t>t</w:t>
      </w:r>
      <w:r w:rsidRPr="00F5723F">
        <w:t>tets kansli var således i verkligheten ännu lägre än vad som anges i tabellen. Vidare har till exempel en föredragande som delar sin tjänst mellan finans- och konstitutionsutskotten 2003/04 bistått Riksdagskommi</w:t>
      </w:r>
      <w:r w:rsidRPr="00F5723F">
        <w:t>t</w:t>
      </w:r>
      <w:r w:rsidRPr="00F5723F">
        <w:t>tén i dess arbete.</w:t>
      </w:r>
      <w:r w:rsidRPr="00F5723F">
        <w:t xml:space="preserve"> </w:t>
      </w:r>
      <w:r w:rsidRPr="00F5723F">
        <w:t>En föredragande vid utrikesutskottet har varit huvudsekreterare i Rik</w:t>
      </w:r>
      <w:r w:rsidRPr="00F5723F">
        <w:t>s</w:t>
      </w:r>
      <w:r w:rsidRPr="00F5723F">
        <w:t>dagskommittén.</w:t>
      </w:r>
    </w:p>
    <w:p w:rsidR="00B43C57" w:rsidRPr="00F5723F" w:rsidRDefault="00B43C57">
      <w:pPr>
        <w:pStyle w:val="R3"/>
      </w:pPr>
      <w:r w:rsidRPr="00F5723F">
        <w:t>Arbetstoppar och samverkan med andra kanslier och enheter</w:t>
      </w:r>
    </w:p>
    <w:p w:rsidR="00B43C57" w:rsidRPr="00F5723F" w:rsidRDefault="00B43C57">
      <w:r w:rsidRPr="00F5723F">
        <w:t>Den period under arbetsåret som sammantaget bedöms vara mest arbetsam för kanslierna är hösten, då bland annat statsbudgeten behandlas. Alla kanslier utom ett, lagutskottet, som ju inte handlägger några anslagsfrågor, bedömer att arbetsbelastningen under denna period är hög. I stort sett lika många kan</w:t>
      </w:r>
      <w:r w:rsidRPr="00F5723F">
        <w:t>s</w:t>
      </w:r>
      <w:r w:rsidRPr="00F5723F">
        <w:t>lier b</w:t>
      </w:r>
      <w:r w:rsidRPr="00F5723F">
        <w:t>e</w:t>
      </w:r>
      <w:r w:rsidRPr="00F5723F">
        <w:t xml:space="preserve">dömer att arbetsbelastningen är hög hela våren, även om vissa anför att </w:t>
      </w:r>
      <w:r w:rsidRPr="00F5723F">
        <w:lastRenderedPageBreak/>
        <w:t>b</w:t>
      </w:r>
      <w:r w:rsidRPr="00F5723F">
        <w:t>e</w:t>
      </w:r>
      <w:r w:rsidRPr="00F5723F">
        <w:t>lastningen främst är hög i början av våren och andra att den främst är hög i slutet av våren. Under sommaruppehållet anses arbetsbelastningen genomg</w:t>
      </w:r>
      <w:r w:rsidRPr="00F5723F">
        <w:t>å</w:t>
      </w:r>
      <w:r w:rsidRPr="00F5723F">
        <w:t>ende vara låg eller, med hänsyn till semestrar, normal. Arbets</w:t>
      </w:r>
      <w:r w:rsidRPr="00F5723F">
        <w:softHyphen/>
        <w:t>uppgifter under sommaruppehållet som nämns är bland annat arbete med ärenden som inte blivit avklarade under våren, såsom propositioner avlämnade före sommaren, uppföljning och utvärdering, uppdatering av EU-promemoria</w:t>
      </w:r>
      <w:r w:rsidRPr="00F5723F">
        <w:t>, besöksver</w:t>
      </w:r>
      <w:r w:rsidRPr="00F5723F">
        <w:t>k</w:t>
      </w:r>
      <w:r w:rsidRPr="00F5723F">
        <w:t>samhet, kompetensutveckling, språkutbildning och diverse administrativa uppgifter (till exempel verksamhetsberättelsen, reserapporter, arkivering).</w:t>
      </w:r>
    </w:p>
    <w:p w:rsidR="00B43C57" w:rsidRPr="00F5723F" w:rsidRDefault="00B43C57">
      <w:pPr>
        <w:pStyle w:val="Normaltindrag"/>
      </w:pPr>
      <w:r w:rsidRPr="00F5723F">
        <w:t>Det klart vanligaste sättet att parera arbetstoppar i utskottsarbetet är att den egna kanslipersonalen arbetar mer än normalt; i stort sett alla kanslier uppger att de brukar parera arbetstoppar på det viset. Ungefär två tredjedelar uppger även att de brukar låna in personal från andra utskottskanslier eller enheter.</w:t>
      </w:r>
    </w:p>
    <w:p w:rsidR="00B43C57" w:rsidRPr="00F5723F" w:rsidRDefault="00B43C57">
      <w:pPr>
        <w:pStyle w:val="Normaltindrag"/>
      </w:pPr>
      <w:r w:rsidRPr="00F5723F">
        <w:t>När det gäller föredragande uppger knappt en tredjedel av kanslierna att de i stort sett aldrig lånar personal från andra kanslier eller enheter. Runt en fjä</w:t>
      </w:r>
      <w:r w:rsidRPr="00F5723F">
        <w:t>r</w:t>
      </w:r>
      <w:r w:rsidRPr="00F5723F">
        <w:t>dedel uppger att de lånar in föredragandepersonal mellan en och ett par vec</w:t>
      </w:r>
      <w:r w:rsidRPr="00F5723F">
        <w:t>k</w:t>
      </w:r>
      <w:r w:rsidRPr="00F5723F">
        <w:t>or per mandatperiod. Ytterligare ungefär en fjärdedel uppger att de lånar in föredragandepersonal mellan en och ett par veckor per år och ett par kan</w:t>
      </w:r>
      <w:r w:rsidRPr="00F5723F">
        <w:t>s</w:t>
      </w:r>
      <w:r w:rsidRPr="00F5723F">
        <w:t>lier uppger att de lånar in föredragandepersonal i ännu högre utsträc</w:t>
      </w:r>
      <w:r w:rsidRPr="00F5723F">
        <w:t>k</w:t>
      </w:r>
      <w:r w:rsidRPr="00F5723F">
        <w:t>ning. Vanligast är att låna från andra utskottskanslier, därefter från utredningstjän</w:t>
      </w:r>
      <w:r w:rsidRPr="00F5723F">
        <w:t>s</w:t>
      </w:r>
      <w:r w:rsidRPr="00F5723F">
        <w:t>ten. Assistenter lånas enligt kanslierna inte in lika ofta. Det torde här dock ändå förekomma att assistentpersonal vid olika uts</w:t>
      </w:r>
      <w:r w:rsidRPr="00F5723F">
        <w:t>kott hjälper varandra vid enstaka tillfällen, till exempel i samband med större utskick.</w:t>
      </w:r>
    </w:p>
    <w:p w:rsidR="00B43C57" w:rsidRPr="00F5723F" w:rsidRDefault="00B43C57">
      <w:pPr>
        <w:pStyle w:val="Normaltindrag"/>
      </w:pPr>
      <w:r w:rsidRPr="00F5723F">
        <w:t>När föredragande lånas ut sker det nästan enbart till andra utskottskansl</w:t>
      </w:r>
      <w:r w:rsidRPr="00F5723F">
        <w:t>i</w:t>
      </w:r>
      <w:r w:rsidRPr="00F5723F">
        <w:t>er; det förekommer även att föredragande lånas ut till särskilda arbetsgru</w:t>
      </w:r>
      <w:r w:rsidRPr="00F5723F">
        <w:t>p</w:t>
      </w:r>
      <w:r w:rsidRPr="00F5723F">
        <w:t>per eller kommittéer (till exempel Riksdagskommittén, se ovan) och projekt (till exempel Urix). Utlåning av assistenter sker oftast till andra utskottskanslier, därefter till u</w:t>
      </w:r>
      <w:r w:rsidRPr="00F5723F">
        <w:t>t</w:t>
      </w:r>
      <w:r w:rsidRPr="00F5723F">
        <w:t>redningstjänsten. Andra enheter och avdelningar som assistenter lånas ut till är informationsenheten, internationella kansliet, kammarkansliet, administr</w:t>
      </w:r>
      <w:r w:rsidRPr="00F5723F">
        <w:t>a</w:t>
      </w:r>
      <w:r w:rsidRPr="00F5723F">
        <w:t>tiva kontoret och IT-avdelningen.</w:t>
      </w:r>
    </w:p>
    <w:p w:rsidR="00B43C57" w:rsidRPr="00F5723F" w:rsidRDefault="00B43C57">
      <w:pPr>
        <w:pStyle w:val="Rubrik2"/>
      </w:pPr>
      <w:bookmarkStart w:id="43" w:name="_Toc121738897"/>
      <w:bookmarkStart w:id="44" w:name="_Toc124697790"/>
      <w:r w:rsidRPr="00F5723F">
        <w:t>Sammanträden</w:t>
      </w:r>
      <w:bookmarkEnd w:id="43"/>
      <w:bookmarkEnd w:id="44"/>
    </w:p>
    <w:p w:rsidR="00B43C57" w:rsidRPr="00F5723F" w:rsidRDefault="00B43C57">
      <w:pPr>
        <w:pStyle w:val="Rubrik3"/>
        <w:spacing w:before="235"/>
        <w:rPr>
          <w:noProof w:val="0"/>
        </w:rPr>
      </w:pPr>
      <w:bookmarkStart w:id="45" w:name="_Toc121738898"/>
      <w:bookmarkStart w:id="46" w:name="_Toc124697791"/>
      <w:r w:rsidRPr="00F5723F">
        <w:rPr>
          <w:noProof w:val="0"/>
        </w:rPr>
        <w:t>Antal sammanträden och sammanträdestimmar</w:t>
      </w:r>
      <w:bookmarkEnd w:id="45"/>
      <w:bookmarkEnd w:id="46"/>
    </w:p>
    <w:p w:rsidR="00B43C57" w:rsidRPr="00F5723F" w:rsidRDefault="00B43C57">
      <w:r w:rsidRPr="00F5723F">
        <w:t>Tabell 4:1 visar antal utskottssammanträden under 2002/03 och 2003/04 års riksmöten. Som framgår avhölls något fler sammanträden 2003/04 än 2002/03, 583 jämfört med 533. Någon längre trend vad gäller antal samma</w:t>
      </w:r>
      <w:r w:rsidRPr="00F5723F">
        <w:t>n</w:t>
      </w:r>
      <w:r w:rsidRPr="00F5723F">
        <w:t>träden per år har inte kunnat studeras på grund av att uppgifter om för</w:t>
      </w:r>
      <w:r w:rsidRPr="00F5723F">
        <w:t>e</w:t>
      </w:r>
      <w:r w:rsidRPr="00F5723F">
        <w:t>gående riksmöten saknas. En tidigare undersökning som genomfördes av en referen</w:t>
      </w:r>
      <w:r w:rsidRPr="00F5723F">
        <w:t>s</w:t>
      </w:r>
      <w:r w:rsidRPr="00F5723F">
        <w:t>grupp till Riksdagskommittén visar dock att det under 1998/99 avhölls totalt 540 utskottssammanträden (förs. 2000/01:RS1 bil. 5 s. 193). Denna siffra kan närmast jämföras med antalet sammanträden 2002/03 då det i båda fallen rör sig om första riksmötet efter ett riksdagsval. En sådan jämförelse ger vid handen att antalet sammanträden varken har ökat eller m</w:t>
      </w:r>
      <w:r w:rsidRPr="00F5723F">
        <w:t>inskat mellan 1998/99 och 2002/03.</w:t>
      </w:r>
    </w:p>
    <w:p w:rsidR="00B43C57" w:rsidRPr="00F5723F" w:rsidRDefault="00B43C57">
      <w:pPr>
        <w:pStyle w:val="Tabellrubrik"/>
      </w:pPr>
      <w:r w:rsidRPr="00F5723F">
        <w:lastRenderedPageBreak/>
        <w:t>Tabell 4:1 antal sammanträden</w:t>
      </w:r>
    </w:p>
    <w:tbl>
      <w:tblPr>
        <w:tblW w:w="5984" w:type="dxa"/>
        <w:tblLayout w:type="fixed"/>
        <w:tblCellMar>
          <w:left w:w="30" w:type="dxa"/>
          <w:right w:w="30" w:type="dxa"/>
        </w:tblCellMar>
        <w:tblLook w:val="0000" w:firstRow="0" w:lastRow="0" w:firstColumn="0" w:lastColumn="0" w:noHBand="0" w:noVBand="0"/>
      </w:tblPr>
      <w:tblGrid>
        <w:gridCol w:w="2582"/>
        <w:gridCol w:w="567"/>
        <w:gridCol w:w="850"/>
        <w:gridCol w:w="567"/>
        <w:gridCol w:w="1418"/>
      </w:tblGrid>
      <w:tr w:rsidR="00000000" w:rsidRPr="00F5723F">
        <w:tblPrEx>
          <w:tblCellMar>
            <w:top w:w="0" w:type="dxa"/>
            <w:bottom w:w="0" w:type="dxa"/>
          </w:tblCellMar>
        </w:tblPrEx>
        <w:trPr>
          <w:trHeight w:val="247"/>
        </w:trPr>
        <w:tc>
          <w:tcPr>
            <w:tcW w:w="2582" w:type="dxa"/>
            <w:tcBorders>
              <w:top w:val="single" w:sz="4" w:space="0" w:color="auto"/>
              <w:bottom w:val="single" w:sz="4" w:space="0" w:color="auto"/>
            </w:tcBorders>
          </w:tcPr>
          <w:p w:rsidR="00B43C57" w:rsidRPr="00F5723F" w:rsidRDefault="00B43C57">
            <w:pPr>
              <w:pStyle w:val="Tabelltext"/>
              <w:rPr>
                <w:snapToGrid w:val="0"/>
              </w:rPr>
            </w:pPr>
          </w:p>
        </w:tc>
        <w:tc>
          <w:tcPr>
            <w:tcW w:w="1417" w:type="dxa"/>
            <w:gridSpan w:val="2"/>
            <w:tcBorders>
              <w:top w:val="single" w:sz="4" w:space="0" w:color="auto"/>
              <w:bottom w:val="single" w:sz="4" w:space="0" w:color="auto"/>
            </w:tcBorders>
          </w:tcPr>
          <w:p w:rsidR="00B43C57" w:rsidRPr="00F5723F" w:rsidRDefault="00B43C57">
            <w:pPr>
              <w:pStyle w:val="Tabelltext"/>
              <w:rPr>
                <w:snapToGrid w:val="0"/>
              </w:rPr>
            </w:pPr>
            <w:r w:rsidRPr="00F5723F">
              <w:rPr>
                <w:snapToGrid w:val="0"/>
              </w:rPr>
              <w:t xml:space="preserve">     2002/03</w:t>
            </w:r>
          </w:p>
        </w:tc>
        <w:tc>
          <w:tcPr>
            <w:tcW w:w="1985" w:type="dxa"/>
            <w:gridSpan w:val="2"/>
            <w:tcBorders>
              <w:top w:val="single" w:sz="4" w:space="0" w:color="auto"/>
              <w:bottom w:val="single" w:sz="4" w:space="0" w:color="auto"/>
            </w:tcBorders>
          </w:tcPr>
          <w:p w:rsidR="00B43C57" w:rsidRPr="00F5723F" w:rsidRDefault="00B43C57">
            <w:pPr>
              <w:pStyle w:val="Tabelltext"/>
              <w:rPr>
                <w:snapToGrid w:val="0"/>
              </w:rPr>
            </w:pPr>
            <w:r w:rsidRPr="00F5723F">
              <w:rPr>
                <w:snapToGrid w:val="0"/>
              </w:rPr>
              <w:t xml:space="preserve">    2003/04</w:t>
            </w:r>
          </w:p>
        </w:tc>
      </w:tr>
      <w:tr w:rsidR="00000000" w:rsidRPr="00F5723F">
        <w:tblPrEx>
          <w:tblCellMar>
            <w:top w:w="0" w:type="dxa"/>
            <w:bottom w:w="0" w:type="dxa"/>
          </w:tblCellMar>
        </w:tblPrEx>
        <w:trPr>
          <w:trHeight w:val="247"/>
        </w:trPr>
        <w:tc>
          <w:tcPr>
            <w:tcW w:w="2582" w:type="dxa"/>
            <w:tcBorders>
              <w:top w:val="single" w:sz="4" w:space="0" w:color="auto"/>
            </w:tcBorders>
          </w:tcPr>
          <w:p w:rsidR="00B43C57" w:rsidRPr="00F5723F" w:rsidRDefault="00B43C57">
            <w:pPr>
              <w:pStyle w:val="Tabelltext"/>
              <w:rPr>
                <w:snapToGrid w:val="0"/>
              </w:rPr>
            </w:pPr>
            <w:r w:rsidRPr="00F5723F">
              <w:rPr>
                <w:snapToGrid w:val="0"/>
              </w:rPr>
              <w:t>KU</w:t>
            </w:r>
          </w:p>
        </w:tc>
        <w:tc>
          <w:tcPr>
            <w:tcW w:w="567" w:type="dxa"/>
            <w:tcBorders>
              <w:top w:val="single" w:sz="4" w:space="0" w:color="auto"/>
            </w:tcBorders>
          </w:tcPr>
          <w:p w:rsidR="00B43C57" w:rsidRPr="00F5723F" w:rsidRDefault="00B43C57">
            <w:pPr>
              <w:pStyle w:val="Tabelltextsiffror"/>
              <w:rPr>
                <w:snapToGrid w:val="0"/>
              </w:rPr>
            </w:pPr>
            <w:r w:rsidRPr="00F5723F">
              <w:rPr>
                <w:snapToGrid w:val="0"/>
              </w:rPr>
              <w:t>80</w:t>
            </w:r>
          </w:p>
        </w:tc>
        <w:tc>
          <w:tcPr>
            <w:tcW w:w="850" w:type="dxa"/>
            <w:tcBorders>
              <w:top w:val="single" w:sz="4" w:space="0" w:color="auto"/>
            </w:tcBorders>
          </w:tcPr>
          <w:p w:rsidR="00B43C57" w:rsidRPr="00F5723F" w:rsidRDefault="00B43C57">
            <w:pPr>
              <w:pStyle w:val="Tabelltext"/>
              <w:rPr>
                <w:snapToGrid w:val="0"/>
              </w:rPr>
            </w:pPr>
            <w:r w:rsidRPr="00F5723F">
              <w:rPr>
                <w:snapToGrid w:val="0"/>
              </w:rPr>
              <w:t>*</w:t>
            </w:r>
          </w:p>
        </w:tc>
        <w:tc>
          <w:tcPr>
            <w:tcW w:w="567" w:type="dxa"/>
            <w:tcBorders>
              <w:top w:val="single" w:sz="4" w:space="0" w:color="auto"/>
            </w:tcBorders>
          </w:tcPr>
          <w:p w:rsidR="00B43C57" w:rsidRPr="00F5723F" w:rsidRDefault="00B43C57">
            <w:pPr>
              <w:pStyle w:val="Tabelltextsiffror"/>
              <w:rPr>
                <w:snapToGrid w:val="0"/>
              </w:rPr>
            </w:pPr>
            <w:r w:rsidRPr="00F5723F">
              <w:rPr>
                <w:snapToGrid w:val="0"/>
              </w:rPr>
              <w:t>78</w:t>
            </w:r>
          </w:p>
        </w:tc>
        <w:tc>
          <w:tcPr>
            <w:tcW w:w="1418" w:type="dxa"/>
            <w:tcBorders>
              <w:top w:val="single" w:sz="4" w:space="0" w:color="auto"/>
            </w:tcBorders>
          </w:tcPr>
          <w:p w:rsidR="00B43C57" w:rsidRPr="00F5723F" w:rsidRDefault="00B43C57">
            <w:pPr>
              <w:pStyle w:val="Tabelltext"/>
              <w:rPr>
                <w:snapToGrid w:val="0"/>
              </w:rPr>
            </w:pPr>
            <w:r w:rsidRPr="00F5723F">
              <w:rPr>
                <w:snapToGrid w:val="0"/>
              </w:rPr>
              <w:t>*</w:t>
            </w: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FiU</w:t>
            </w:r>
          </w:p>
        </w:tc>
        <w:tc>
          <w:tcPr>
            <w:tcW w:w="567" w:type="dxa"/>
          </w:tcPr>
          <w:p w:rsidR="00B43C57" w:rsidRPr="00F5723F" w:rsidRDefault="00B43C57">
            <w:pPr>
              <w:pStyle w:val="Tabelltextsiffror"/>
              <w:rPr>
                <w:snapToGrid w:val="0"/>
              </w:rPr>
            </w:pPr>
            <w:r w:rsidRPr="00F5723F">
              <w:rPr>
                <w:snapToGrid w:val="0"/>
              </w:rPr>
              <w:t>34</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39</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SkU</w:t>
            </w:r>
          </w:p>
        </w:tc>
        <w:tc>
          <w:tcPr>
            <w:tcW w:w="567" w:type="dxa"/>
          </w:tcPr>
          <w:p w:rsidR="00B43C57" w:rsidRPr="00F5723F" w:rsidRDefault="00B43C57">
            <w:pPr>
              <w:pStyle w:val="Tabelltextsiffror"/>
              <w:rPr>
                <w:snapToGrid w:val="0"/>
              </w:rPr>
            </w:pPr>
            <w:r w:rsidRPr="00F5723F">
              <w:rPr>
                <w:snapToGrid w:val="0"/>
              </w:rPr>
              <w:t>16</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25</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JuU</w:t>
            </w:r>
          </w:p>
        </w:tc>
        <w:tc>
          <w:tcPr>
            <w:tcW w:w="567" w:type="dxa"/>
          </w:tcPr>
          <w:p w:rsidR="00B43C57" w:rsidRPr="00F5723F" w:rsidRDefault="00B43C57">
            <w:pPr>
              <w:pStyle w:val="Tabelltextsiffror"/>
              <w:rPr>
                <w:snapToGrid w:val="0"/>
              </w:rPr>
            </w:pPr>
            <w:r w:rsidRPr="00F5723F">
              <w:rPr>
                <w:snapToGrid w:val="0"/>
              </w:rPr>
              <w:t>30</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43</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LU</w:t>
            </w:r>
          </w:p>
        </w:tc>
        <w:tc>
          <w:tcPr>
            <w:tcW w:w="567" w:type="dxa"/>
          </w:tcPr>
          <w:p w:rsidR="00B43C57" w:rsidRPr="00F5723F" w:rsidRDefault="00B43C57">
            <w:pPr>
              <w:pStyle w:val="Tabelltextsiffror"/>
              <w:rPr>
                <w:snapToGrid w:val="0"/>
              </w:rPr>
            </w:pPr>
            <w:r w:rsidRPr="00F5723F">
              <w:rPr>
                <w:snapToGrid w:val="0"/>
              </w:rPr>
              <w:t>32</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32</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UU</w:t>
            </w:r>
          </w:p>
        </w:tc>
        <w:tc>
          <w:tcPr>
            <w:tcW w:w="567" w:type="dxa"/>
          </w:tcPr>
          <w:p w:rsidR="00B43C57" w:rsidRPr="00F5723F" w:rsidRDefault="00B43C57">
            <w:pPr>
              <w:pStyle w:val="Tabelltextsiffror"/>
              <w:rPr>
                <w:snapToGrid w:val="0"/>
              </w:rPr>
            </w:pPr>
            <w:r w:rsidRPr="00F5723F">
              <w:rPr>
                <w:snapToGrid w:val="0"/>
              </w:rPr>
              <w:t>54</w:t>
            </w:r>
          </w:p>
        </w:tc>
        <w:tc>
          <w:tcPr>
            <w:tcW w:w="850" w:type="dxa"/>
          </w:tcPr>
          <w:p w:rsidR="00B43C57" w:rsidRPr="00F5723F" w:rsidRDefault="00B43C57">
            <w:pPr>
              <w:pStyle w:val="Tabelltext"/>
              <w:rPr>
                <w:snapToGrid w:val="0"/>
              </w:rPr>
            </w:pPr>
            <w:r w:rsidRPr="00F5723F">
              <w:rPr>
                <w:snapToGrid w:val="0"/>
              </w:rPr>
              <w:t>*</w:t>
            </w:r>
          </w:p>
        </w:tc>
        <w:tc>
          <w:tcPr>
            <w:tcW w:w="567" w:type="dxa"/>
          </w:tcPr>
          <w:p w:rsidR="00B43C57" w:rsidRPr="00F5723F" w:rsidRDefault="00B43C57">
            <w:pPr>
              <w:pStyle w:val="Tabelltextsiffror"/>
              <w:rPr>
                <w:snapToGrid w:val="0"/>
              </w:rPr>
            </w:pPr>
            <w:r w:rsidRPr="00F5723F">
              <w:rPr>
                <w:snapToGrid w:val="0"/>
              </w:rPr>
              <w:t>58</w:t>
            </w:r>
          </w:p>
        </w:tc>
        <w:tc>
          <w:tcPr>
            <w:tcW w:w="1418" w:type="dxa"/>
          </w:tcPr>
          <w:p w:rsidR="00B43C57" w:rsidRPr="00F5723F" w:rsidRDefault="00B43C57">
            <w:pPr>
              <w:pStyle w:val="Tabelltext"/>
              <w:rPr>
                <w:snapToGrid w:val="0"/>
              </w:rPr>
            </w:pPr>
            <w:r w:rsidRPr="00F5723F">
              <w:rPr>
                <w:snapToGrid w:val="0"/>
              </w:rPr>
              <w:t>*</w:t>
            </w: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FöU</w:t>
            </w:r>
          </w:p>
        </w:tc>
        <w:tc>
          <w:tcPr>
            <w:tcW w:w="567" w:type="dxa"/>
          </w:tcPr>
          <w:p w:rsidR="00B43C57" w:rsidRPr="00F5723F" w:rsidRDefault="00B43C57">
            <w:pPr>
              <w:pStyle w:val="Tabelltextsiffror"/>
              <w:rPr>
                <w:snapToGrid w:val="0"/>
              </w:rPr>
            </w:pPr>
            <w:r w:rsidRPr="00F5723F">
              <w:rPr>
                <w:snapToGrid w:val="0"/>
              </w:rPr>
              <w:t>28</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29</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SfU</w:t>
            </w:r>
          </w:p>
        </w:tc>
        <w:tc>
          <w:tcPr>
            <w:tcW w:w="567" w:type="dxa"/>
          </w:tcPr>
          <w:p w:rsidR="00B43C57" w:rsidRPr="00F5723F" w:rsidRDefault="00B43C57">
            <w:pPr>
              <w:pStyle w:val="Tabelltextsiffror"/>
              <w:rPr>
                <w:snapToGrid w:val="0"/>
              </w:rPr>
            </w:pPr>
            <w:r w:rsidRPr="00F5723F">
              <w:rPr>
                <w:snapToGrid w:val="0"/>
              </w:rPr>
              <w:t>33</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37</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SoU</w:t>
            </w:r>
          </w:p>
        </w:tc>
        <w:tc>
          <w:tcPr>
            <w:tcW w:w="567" w:type="dxa"/>
          </w:tcPr>
          <w:p w:rsidR="00B43C57" w:rsidRPr="00F5723F" w:rsidRDefault="00B43C57">
            <w:pPr>
              <w:pStyle w:val="Tabelltextsiffror"/>
              <w:rPr>
                <w:snapToGrid w:val="0"/>
              </w:rPr>
            </w:pPr>
            <w:r w:rsidRPr="00F5723F">
              <w:rPr>
                <w:snapToGrid w:val="0"/>
              </w:rPr>
              <w:t>37</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31</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KrU</w:t>
            </w:r>
          </w:p>
        </w:tc>
        <w:tc>
          <w:tcPr>
            <w:tcW w:w="567" w:type="dxa"/>
          </w:tcPr>
          <w:p w:rsidR="00B43C57" w:rsidRPr="00F5723F" w:rsidRDefault="00B43C57">
            <w:pPr>
              <w:pStyle w:val="Tabelltextsiffror"/>
              <w:rPr>
                <w:snapToGrid w:val="0"/>
              </w:rPr>
            </w:pPr>
            <w:r w:rsidRPr="00F5723F">
              <w:rPr>
                <w:snapToGrid w:val="0"/>
              </w:rPr>
              <w:t>21</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26</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UbU</w:t>
            </w:r>
          </w:p>
        </w:tc>
        <w:tc>
          <w:tcPr>
            <w:tcW w:w="567" w:type="dxa"/>
          </w:tcPr>
          <w:p w:rsidR="00B43C57" w:rsidRPr="00F5723F" w:rsidRDefault="00B43C57">
            <w:pPr>
              <w:pStyle w:val="Tabelltextsiffror"/>
              <w:rPr>
                <w:snapToGrid w:val="0"/>
              </w:rPr>
            </w:pPr>
            <w:r w:rsidRPr="00F5723F">
              <w:rPr>
                <w:snapToGrid w:val="0"/>
              </w:rPr>
              <w:t>18</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21</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TU</w:t>
            </w:r>
          </w:p>
        </w:tc>
        <w:tc>
          <w:tcPr>
            <w:tcW w:w="567" w:type="dxa"/>
          </w:tcPr>
          <w:p w:rsidR="00B43C57" w:rsidRPr="00F5723F" w:rsidRDefault="00B43C57">
            <w:pPr>
              <w:pStyle w:val="Tabelltextsiffror"/>
              <w:rPr>
                <w:snapToGrid w:val="0"/>
              </w:rPr>
            </w:pPr>
            <w:r w:rsidRPr="00F5723F">
              <w:rPr>
                <w:snapToGrid w:val="0"/>
              </w:rPr>
              <w:t>26</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39</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MJU</w:t>
            </w:r>
          </w:p>
        </w:tc>
        <w:tc>
          <w:tcPr>
            <w:tcW w:w="567" w:type="dxa"/>
          </w:tcPr>
          <w:p w:rsidR="00B43C57" w:rsidRPr="00F5723F" w:rsidRDefault="00B43C57">
            <w:pPr>
              <w:pStyle w:val="Tabelltextsiffror"/>
              <w:rPr>
                <w:snapToGrid w:val="0"/>
              </w:rPr>
            </w:pPr>
            <w:r w:rsidRPr="00F5723F">
              <w:rPr>
                <w:snapToGrid w:val="0"/>
              </w:rPr>
              <w:t>35</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38</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NU</w:t>
            </w:r>
          </w:p>
        </w:tc>
        <w:tc>
          <w:tcPr>
            <w:tcW w:w="567" w:type="dxa"/>
          </w:tcPr>
          <w:p w:rsidR="00B43C57" w:rsidRPr="00F5723F" w:rsidRDefault="00B43C57">
            <w:pPr>
              <w:pStyle w:val="Tabelltextsiffror"/>
              <w:rPr>
                <w:snapToGrid w:val="0"/>
              </w:rPr>
            </w:pPr>
            <w:r w:rsidRPr="00F5723F">
              <w:rPr>
                <w:snapToGrid w:val="0"/>
              </w:rPr>
              <w:t>38</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34</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AU</w:t>
            </w:r>
          </w:p>
        </w:tc>
        <w:tc>
          <w:tcPr>
            <w:tcW w:w="567" w:type="dxa"/>
          </w:tcPr>
          <w:p w:rsidR="00B43C57" w:rsidRPr="00F5723F" w:rsidRDefault="00B43C57">
            <w:pPr>
              <w:pStyle w:val="Tabelltextsiffror"/>
              <w:rPr>
                <w:snapToGrid w:val="0"/>
              </w:rPr>
            </w:pPr>
            <w:r w:rsidRPr="00F5723F">
              <w:rPr>
                <w:snapToGrid w:val="0"/>
              </w:rPr>
              <w:t>23</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26</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BoU</w:t>
            </w:r>
          </w:p>
        </w:tc>
        <w:tc>
          <w:tcPr>
            <w:tcW w:w="567" w:type="dxa"/>
          </w:tcPr>
          <w:p w:rsidR="00B43C57" w:rsidRPr="00F5723F" w:rsidRDefault="00B43C57">
            <w:pPr>
              <w:pStyle w:val="Tabelltextsiffror"/>
              <w:rPr>
                <w:snapToGrid w:val="0"/>
              </w:rPr>
            </w:pPr>
            <w:r w:rsidRPr="00F5723F">
              <w:rPr>
                <w:snapToGrid w:val="0"/>
              </w:rPr>
              <w:t>28</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27</w:t>
            </w:r>
          </w:p>
        </w:tc>
        <w:tc>
          <w:tcPr>
            <w:tcW w:w="1418"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Borders>
              <w:bottom w:val="single" w:sz="4" w:space="0" w:color="auto"/>
            </w:tcBorders>
          </w:tcPr>
          <w:p w:rsidR="00B43C57" w:rsidRPr="00F5723F" w:rsidRDefault="00B43C57">
            <w:pPr>
              <w:pStyle w:val="Tabelltext"/>
              <w:rPr>
                <w:snapToGrid w:val="0"/>
              </w:rPr>
            </w:pPr>
            <w:r w:rsidRPr="00F5723F">
              <w:rPr>
                <w:snapToGrid w:val="0"/>
              </w:rPr>
              <w:t>Totalt</w:t>
            </w:r>
          </w:p>
        </w:tc>
        <w:tc>
          <w:tcPr>
            <w:tcW w:w="567" w:type="dxa"/>
            <w:tcBorders>
              <w:bottom w:val="single" w:sz="4" w:space="0" w:color="auto"/>
            </w:tcBorders>
          </w:tcPr>
          <w:p w:rsidR="00B43C57" w:rsidRPr="00F5723F" w:rsidRDefault="00B43C57">
            <w:pPr>
              <w:pStyle w:val="Tabelltextsiffror"/>
              <w:rPr>
                <w:snapToGrid w:val="0"/>
              </w:rPr>
            </w:pPr>
            <w:r w:rsidRPr="00F5723F">
              <w:rPr>
                <w:snapToGrid w:val="0"/>
              </w:rPr>
              <w:t>533</w:t>
            </w:r>
          </w:p>
        </w:tc>
        <w:tc>
          <w:tcPr>
            <w:tcW w:w="850" w:type="dxa"/>
            <w:tcBorders>
              <w:bottom w:val="single" w:sz="4" w:space="0" w:color="auto"/>
            </w:tcBorders>
          </w:tcPr>
          <w:p w:rsidR="00B43C57" w:rsidRPr="00F5723F" w:rsidRDefault="00B43C57">
            <w:pPr>
              <w:pStyle w:val="Tabelltext"/>
              <w:rPr>
                <w:snapToGrid w:val="0"/>
              </w:rPr>
            </w:pPr>
            <w:r w:rsidRPr="00F5723F">
              <w:rPr>
                <w:snapToGrid w:val="0"/>
              </w:rPr>
              <w:t>**</w:t>
            </w:r>
          </w:p>
        </w:tc>
        <w:tc>
          <w:tcPr>
            <w:tcW w:w="567" w:type="dxa"/>
            <w:tcBorders>
              <w:bottom w:val="single" w:sz="4" w:space="0" w:color="auto"/>
            </w:tcBorders>
          </w:tcPr>
          <w:p w:rsidR="00B43C57" w:rsidRPr="00F5723F" w:rsidRDefault="00B43C57">
            <w:pPr>
              <w:pStyle w:val="Tabelltextsiffror"/>
              <w:rPr>
                <w:snapToGrid w:val="0"/>
              </w:rPr>
            </w:pPr>
            <w:r w:rsidRPr="00F5723F">
              <w:rPr>
                <w:snapToGrid w:val="0"/>
              </w:rPr>
              <w:t>583</w:t>
            </w:r>
          </w:p>
        </w:tc>
        <w:tc>
          <w:tcPr>
            <w:tcW w:w="1418" w:type="dxa"/>
            <w:tcBorders>
              <w:bottom w:val="single" w:sz="4" w:space="0" w:color="auto"/>
            </w:tcBorders>
          </w:tcPr>
          <w:p w:rsidR="00B43C57" w:rsidRPr="00F5723F" w:rsidRDefault="00B43C57">
            <w:pPr>
              <w:pStyle w:val="Tabelltext"/>
              <w:rPr>
                <w:snapToGrid w:val="0"/>
              </w:rPr>
            </w:pPr>
            <w:r w:rsidRPr="00F5723F">
              <w:rPr>
                <w:snapToGrid w:val="0"/>
              </w:rPr>
              <w:t>**</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Både allmänna och särskilda sammanträden. Under 2002/03 avhöll KU 44 allmä</w:t>
      </w:r>
      <w:r w:rsidRPr="00F5723F">
        <w:rPr>
          <w:rFonts w:ascii="Arial" w:hAnsi="Arial" w:cs="Arial"/>
          <w:sz w:val="16"/>
          <w:szCs w:val="16"/>
        </w:rPr>
        <w:t>n</w:t>
      </w:r>
      <w:r w:rsidRPr="00F5723F">
        <w:rPr>
          <w:rFonts w:ascii="Arial" w:hAnsi="Arial" w:cs="Arial"/>
          <w:sz w:val="16"/>
          <w:szCs w:val="16"/>
        </w:rPr>
        <w:t>na och 36 särskilda sammanträden och UU avhöll 28 allmänna och 26 särskilda sammanträden. Under 2003/04 avhöll KU 41 allmänna och 37 särskilda sammanträden och UU avhöll 31 allmänna och 27 särskilda sammanträden.</w:t>
      </w:r>
      <w:r w:rsidRPr="00F5723F">
        <w:rPr>
          <w:rFonts w:ascii="Arial" w:hAnsi="Arial" w:cs="Arial"/>
          <w:sz w:val="16"/>
          <w:szCs w:val="16"/>
        </w:rPr>
        <w:t xml:space="preserve"> **</w:t>
      </w:r>
      <w:r w:rsidRPr="00F5723F">
        <w:rPr>
          <w:rFonts w:ascii="Arial" w:hAnsi="Arial" w:cs="Arial"/>
          <w:sz w:val="16"/>
          <w:szCs w:val="16"/>
        </w:rPr>
        <w:t>Häru</w:t>
      </w:r>
      <w:r w:rsidRPr="00F5723F">
        <w:rPr>
          <w:rFonts w:ascii="Arial" w:hAnsi="Arial" w:cs="Arial"/>
          <w:sz w:val="16"/>
          <w:szCs w:val="16"/>
        </w:rPr>
        <w:t>t</w:t>
      </w:r>
      <w:r w:rsidRPr="00F5723F">
        <w:rPr>
          <w:rFonts w:ascii="Arial" w:hAnsi="Arial" w:cs="Arial"/>
          <w:sz w:val="16"/>
          <w:szCs w:val="16"/>
        </w:rPr>
        <w:t>över avhöll sammansatta utskott 25 sammanträden under 2002/03 och 13 sammanträden under 2003/04. Sammansatta utrikes- och försvarsutskottet sa</w:t>
      </w:r>
      <w:r w:rsidRPr="00F5723F">
        <w:rPr>
          <w:rFonts w:ascii="Arial" w:hAnsi="Arial" w:cs="Arial"/>
          <w:sz w:val="16"/>
          <w:szCs w:val="16"/>
        </w:rPr>
        <w:t>m</w:t>
      </w:r>
      <w:r w:rsidRPr="00F5723F">
        <w:rPr>
          <w:rFonts w:ascii="Arial" w:hAnsi="Arial" w:cs="Arial"/>
          <w:sz w:val="16"/>
          <w:szCs w:val="16"/>
        </w:rPr>
        <w:t>manträdde 3 gånger under 2002/03 och 5 gånger under 2003/04, sammansatt</w:t>
      </w:r>
      <w:r w:rsidRPr="00F5723F">
        <w:rPr>
          <w:rFonts w:ascii="Arial" w:hAnsi="Arial" w:cs="Arial"/>
          <w:sz w:val="16"/>
          <w:szCs w:val="16"/>
        </w:rPr>
        <w:t>a konstitutions- och utrikesutsko</w:t>
      </w:r>
      <w:r w:rsidRPr="00F5723F">
        <w:rPr>
          <w:rFonts w:ascii="Arial" w:hAnsi="Arial" w:cs="Arial"/>
          <w:sz w:val="16"/>
          <w:szCs w:val="16"/>
        </w:rPr>
        <w:t>t</w:t>
      </w:r>
      <w:r w:rsidRPr="00F5723F">
        <w:rPr>
          <w:rFonts w:ascii="Arial" w:hAnsi="Arial" w:cs="Arial"/>
          <w:sz w:val="16"/>
          <w:szCs w:val="16"/>
        </w:rPr>
        <w:t>tet sammanträdde 15 gånger under 2002/03 och 8 gånger under 2003/04 och sammansatta utrikes- och miljö- och jordbruksutskottet sammanträdde 7 gånger under 2002/03.</w:t>
      </w:r>
    </w:p>
    <w:p w:rsidR="00B43C57" w:rsidRPr="00F5723F" w:rsidRDefault="00B43C57">
      <w:pPr>
        <w:spacing w:before="187" w:line="240" w:lineRule="auto"/>
      </w:pPr>
    </w:p>
    <w:p w:rsidR="00B43C57" w:rsidRPr="00F5723F" w:rsidRDefault="00B43C57">
      <w:pPr>
        <w:spacing w:before="187"/>
      </w:pPr>
      <w:r w:rsidRPr="00F5723F">
        <w:t>Under 2003/04 hölls i genomsnitt 36 sammanträden per utskott. Variati</w:t>
      </w:r>
      <w:r w:rsidRPr="00F5723F">
        <w:t>o</w:t>
      </w:r>
      <w:r w:rsidRPr="00F5723F">
        <w:t>nen mellan utskotten är dock stor. Klart flest sammanträden hade konstit</w:t>
      </w:r>
      <w:r w:rsidRPr="00F5723F">
        <w:t>u</w:t>
      </w:r>
      <w:r w:rsidRPr="00F5723F">
        <w:t>tions</w:t>
      </w:r>
      <w:r w:rsidRPr="00F5723F">
        <w:softHyphen/>
        <w:t>utskottet, som sammanträdde 78 gånger. Endast två ytterligare utskott, utr</w:t>
      </w:r>
      <w:r w:rsidRPr="00F5723F">
        <w:t>i</w:t>
      </w:r>
      <w:r w:rsidRPr="00F5723F">
        <w:t>kes- och justitieutskotten, hade fler än 40 sammanträden. I konst</w:t>
      </w:r>
      <w:r w:rsidRPr="00F5723F">
        <w:t>i</w:t>
      </w:r>
      <w:r w:rsidRPr="00F5723F">
        <w:t>tutions</w:t>
      </w:r>
      <w:r w:rsidRPr="00F5723F">
        <w:softHyphen/>
        <w:t>utskottets siffra ingår både allmänna och särskilda sammanträden, det vill säga sammanträden med allmänna ärenden och sammanträden med grans</w:t>
      </w:r>
      <w:r w:rsidRPr="00F5723F">
        <w:t>k</w:t>
      </w:r>
      <w:r w:rsidRPr="00F5723F">
        <w:t>nings</w:t>
      </w:r>
      <w:r w:rsidRPr="00F5723F">
        <w:softHyphen/>
        <w:t>ärenden. De allmänna och särskilda sammanträdena hålls i regel i a</w:t>
      </w:r>
      <w:r w:rsidRPr="00F5723F">
        <w:t>n</w:t>
      </w:r>
      <w:r w:rsidRPr="00F5723F">
        <w:t>slutning till varandra, och således rör det sig inte om 78 olika samm</w:t>
      </w:r>
      <w:r w:rsidRPr="00F5723F">
        <w:t>anträde</w:t>
      </w:r>
      <w:r w:rsidRPr="00F5723F">
        <w:t>s</w:t>
      </w:r>
      <w:r w:rsidRPr="00F5723F">
        <w:t>tillfällen. Under 2003/04 höll utskottet 41 allmänna sammanträden och 37 särskilda sammanträden, vilket innebär att det sammanträdde vid drygt 40 tillfällen. Även utrikesutskottets siffra inkluderar både allmänna och särskilda sammanträden. Med särskilda sammanträden avses då mottagnin</w:t>
      </w:r>
      <w:r w:rsidRPr="00F5723F">
        <w:t>g</w:t>
      </w:r>
      <w:r w:rsidRPr="00F5723F">
        <w:t>ar av besök med mera, vilka i övriga utskott vanligtvis inte bokförs som sammanträde</w:t>
      </w:r>
      <w:r w:rsidRPr="00F5723F">
        <w:t>s</w:t>
      </w:r>
      <w:r w:rsidRPr="00F5723F">
        <w:t>tid.</w:t>
      </w:r>
      <w:r w:rsidRPr="00F5723F">
        <w:rPr>
          <w:rStyle w:val="Fotnotsreferens"/>
        </w:rPr>
        <w:footnoteReference w:id="44"/>
      </w:r>
      <w:r w:rsidRPr="00F5723F">
        <w:t xml:space="preserve"> Av utrikesutskottets 58 sammanträden under 2003/04 var 31 allmänna </w:t>
      </w:r>
      <w:r w:rsidRPr="00F5723F">
        <w:lastRenderedPageBreak/>
        <w:t>och 27 särskilda sammanträden. Minst antal sammanträden av utskotten hade utbil</w:t>
      </w:r>
      <w:r w:rsidRPr="00F5723F">
        <w:t>d</w:t>
      </w:r>
      <w:r w:rsidRPr="00F5723F">
        <w:t>nings-, skatte-, kultur- och arbetsmarknadsutskotten, vilka under 2003/04 höll runt 25 sammanträden var eller färre.</w:t>
      </w:r>
    </w:p>
    <w:p w:rsidR="00B43C57" w:rsidRPr="00F5723F" w:rsidRDefault="00B43C57">
      <w:pPr>
        <w:pStyle w:val="Normaltindrag"/>
      </w:pPr>
      <w:r w:rsidRPr="00F5723F">
        <w:t>Ett annat mått på utskottens sammanträden är det totala antalet samma</w:t>
      </w:r>
      <w:r w:rsidRPr="00F5723F">
        <w:t>n</w:t>
      </w:r>
      <w:r w:rsidRPr="00F5723F">
        <w:t>trädestimmar per riksmöte, vilket beror på både antal sammanträden och sammanträdenas längd. Av tabell 4:2 framgår att utskotten under 2003/04 sa</w:t>
      </w:r>
      <w:r w:rsidRPr="00F5723F">
        <w:t>m</w:t>
      </w:r>
      <w:r w:rsidRPr="00F5723F">
        <w:t>manträdde totalt 722 timmar, vilket jämfört med 2002/03 var en ökning med 123 timmar. Den genomsnittliga sammanträdestiden per utskottssa</w:t>
      </w:r>
      <w:r w:rsidRPr="00F5723F">
        <w:t>m</w:t>
      </w:r>
      <w:r w:rsidRPr="00F5723F">
        <w:t>manträde ökade också, från 1,12 till 1,24 timmar per sammanträde. Jämfört med 2002/03 blev således utskottssammanträdena under 2003/04 både fler och längre.</w:t>
      </w:r>
    </w:p>
    <w:p w:rsidR="00B43C57" w:rsidRPr="00F5723F" w:rsidRDefault="00B43C57">
      <w:pPr>
        <w:pStyle w:val="Tabellrubrik"/>
      </w:pPr>
      <w:r w:rsidRPr="00F5723F">
        <w:t>TAbell 4:2 antal sammanträdestimmar</w:t>
      </w:r>
    </w:p>
    <w:tbl>
      <w:tblPr>
        <w:tblW w:w="5842" w:type="dxa"/>
        <w:tblLayout w:type="fixed"/>
        <w:tblCellMar>
          <w:left w:w="30" w:type="dxa"/>
          <w:right w:w="30" w:type="dxa"/>
        </w:tblCellMar>
        <w:tblLook w:val="0000" w:firstRow="0" w:lastRow="0" w:firstColumn="0" w:lastColumn="0" w:noHBand="0" w:noVBand="0"/>
      </w:tblPr>
      <w:tblGrid>
        <w:gridCol w:w="2582"/>
        <w:gridCol w:w="567"/>
        <w:gridCol w:w="850"/>
        <w:gridCol w:w="567"/>
        <w:gridCol w:w="1276"/>
      </w:tblGrid>
      <w:tr w:rsidR="00000000" w:rsidRPr="00F5723F">
        <w:tblPrEx>
          <w:tblCellMar>
            <w:top w:w="0" w:type="dxa"/>
            <w:bottom w:w="0" w:type="dxa"/>
          </w:tblCellMar>
        </w:tblPrEx>
        <w:trPr>
          <w:trHeight w:val="247"/>
        </w:trPr>
        <w:tc>
          <w:tcPr>
            <w:tcW w:w="2582" w:type="dxa"/>
            <w:tcBorders>
              <w:top w:val="single" w:sz="4" w:space="0" w:color="auto"/>
              <w:bottom w:val="single" w:sz="4" w:space="0" w:color="auto"/>
            </w:tcBorders>
          </w:tcPr>
          <w:p w:rsidR="00B43C57" w:rsidRPr="00F5723F" w:rsidRDefault="00B43C57">
            <w:pPr>
              <w:pStyle w:val="Tabelltext"/>
              <w:rPr>
                <w:snapToGrid w:val="0"/>
              </w:rPr>
            </w:pPr>
          </w:p>
        </w:tc>
        <w:tc>
          <w:tcPr>
            <w:tcW w:w="1417" w:type="dxa"/>
            <w:gridSpan w:val="2"/>
            <w:tcBorders>
              <w:top w:val="single" w:sz="4" w:space="0" w:color="auto"/>
              <w:bottom w:val="single" w:sz="4" w:space="0" w:color="auto"/>
            </w:tcBorders>
          </w:tcPr>
          <w:p w:rsidR="00B43C57" w:rsidRPr="00F5723F" w:rsidRDefault="00B43C57">
            <w:pPr>
              <w:pStyle w:val="Tabelltext"/>
              <w:rPr>
                <w:snapToGrid w:val="0"/>
              </w:rPr>
            </w:pPr>
            <w:r w:rsidRPr="00F5723F">
              <w:rPr>
                <w:snapToGrid w:val="0"/>
              </w:rPr>
              <w:t xml:space="preserve">    2002/03</w:t>
            </w:r>
          </w:p>
        </w:tc>
        <w:tc>
          <w:tcPr>
            <w:tcW w:w="1843" w:type="dxa"/>
            <w:gridSpan w:val="2"/>
            <w:tcBorders>
              <w:top w:val="single" w:sz="4" w:space="0" w:color="auto"/>
              <w:bottom w:val="single" w:sz="4" w:space="0" w:color="auto"/>
            </w:tcBorders>
          </w:tcPr>
          <w:p w:rsidR="00B43C57" w:rsidRPr="00F5723F" w:rsidRDefault="00B43C57">
            <w:pPr>
              <w:pStyle w:val="Tabelltext"/>
              <w:rPr>
                <w:snapToGrid w:val="0"/>
              </w:rPr>
            </w:pPr>
            <w:r w:rsidRPr="00F5723F">
              <w:rPr>
                <w:snapToGrid w:val="0"/>
              </w:rPr>
              <w:t xml:space="preserve">    2003/04</w:t>
            </w:r>
          </w:p>
        </w:tc>
      </w:tr>
      <w:tr w:rsidR="00000000" w:rsidRPr="00F5723F">
        <w:tblPrEx>
          <w:tblCellMar>
            <w:top w:w="0" w:type="dxa"/>
            <w:bottom w:w="0" w:type="dxa"/>
          </w:tblCellMar>
        </w:tblPrEx>
        <w:trPr>
          <w:trHeight w:val="247"/>
        </w:trPr>
        <w:tc>
          <w:tcPr>
            <w:tcW w:w="2582" w:type="dxa"/>
            <w:tcBorders>
              <w:top w:val="single" w:sz="4" w:space="0" w:color="auto"/>
            </w:tcBorders>
          </w:tcPr>
          <w:p w:rsidR="00B43C57" w:rsidRPr="00F5723F" w:rsidRDefault="00B43C57">
            <w:pPr>
              <w:pStyle w:val="Tabelltext"/>
              <w:rPr>
                <w:snapToGrid w:val="0"/>
              </w:rPr>
            </w:pPr>
            <w:r w:rsidRPr="00F5723F">
              <w:rPr>
                <w:snapToGrid w:val="0"/>
              </w:rPr>
              <w:t>KU</w:t>
            </w:r>
          </w:p>
        </w:tc>
        <w:tc>
          <w:tcPr>
            <w:tcW w:w="567" w:type="dxa"/>
            <w:tcBorders>
              <w:top w:val="single" w:sz="4" w:space="0" w:color="auto"/>
            </w:tcBorders>
          </w:tcPr>
          <w:p w:rsidR="00B43C57" w:rsidRPr="00F5723F" w:rsidRDefault="00B43C57">
            <w:pPr>
              <w:pStyle w:val="Tabelltextsiffror"/>
              <w:rPr>
                <w:snapToGrid w:val="0"/>
              </w:rPr>
            </w:pPr>
            <w:r w:rsidRPr="00F5723F">
              <w:rPr>
                <w:snapToGrid w:val="0"/>
              </w:rPr>
              <w:t>83</w:t>
            </w:r>
          </w:p>
        </w:tc>
        <w:tc>
          <w:tcPr>
            <w:tcW w:w="850" w:type="dxa"/>
            <w:tcBorders>
              <w:top w:val="single" w:sz="4" w:space="0" w:color="auto"/>
            </w:tcBorders>
          </w:tcPr>
          <w:p w:rsidR="00B43C57" w:rsidRPr="00F5723F" w:rsidRDefault="00B43C57">
            <w:pPr>
              <w:pStyle w:val="Tabelltext"/>
              <w:rPr>
                <w:snapToGrid w:val="0"/>
              </w:rPr>
            </w:pPr>
            <w:r w:rsidRPr="00F5723F">
              <w:rPr>
                <w:snapToGrid w:val="0"/>
              </w:rPr>
              <w:t>*</w:t>
            </w:r>
          </w:p>
        </w:tc>
        <w:tc>
          <w:tcPr>
            <w:tcW w:w="567" w:type="dxa"/>
            <w:tcBorders>
              <w:top w:val="single" w:sz="4" w:space="0" w:color="auto"/>
            </w:tcBorders>
          </w:tcPr>
          <w:p w:rsidR="00B43C57" w:rsidRPr="00F5723F" w:rsidRDefault="00B43C57">
            <w:pPr>
              <w:pStyle w:val="Tabelltextsiffror"/>
              <w:rPr>
                <w:snapToGrid w:val="0"/>
              </w:rPr>
            </w:pPr>
            <w:r w:rsidRPr="00F5723F">
              <w:rPr>
                <w:snapToGrid w:val="0"/>
              </w:rPr>
              <w:t>81</w:t>
            </w:r>
          </w:p>
        </w:tc>
        <w:tc>
          <w:tcPr>
            <w:tcW w:w="1276" w:type="dxa"/>
            <w:tcBorders>
              <w:top w:val="single" w:sz="4" w:space="0" w:color="auto"/>
            </w:tcBorders>
          </w:tcPr>
          <w:p w:rsidR="00B43C57" w:rsidRPr="00F5723F" w:rsidRDefault="00B43C57">
            <w:pPr>
              <w:pStyle w:val="Tabelltext"/>
              <w:rPr>
                <w:snapToGrid w:val="0"/>
              </w:rPr>
            </w:pPr>
            <w:r w:rsidRPr="00F5723F">
              <w:rPr>
                <w:snapToGrid w:val="0"/>
              </w:rPr>
              <w:t>*</w:t>
            </w: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FiU</w:t>
            </w:r>
          </w:p>
        </w:tc>
        <w:tc>
          <w:tcPr>
            <w:tcW w:w="567" w:type="dxa"/>
          </w:tcPr>
          <w:p w:rsidR="00B43C57" w:rsidRPr="00F5723F" w:rsidRDefault="00B43C57">
            <w:pPr>
              <w:pStyle w:val="Tabelltextsiffror"/>
              <w:rPr>
                <w:snapToGrid w:val="0"/>
              </w:rPr>
            </w:pPr>
            <w:r w:rsidRPr="00F5723F">
              <w:rPr>
                <w:snapToGrid w:val="0"/>
              </w:rPr>
              <w:t>35</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41</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SkU</w:t>
            </w:r>
          </w:p>
        </w:tc>
        <w:tc>
          <w:tcPr>
            <w:tcW w:w="567" w:type="dxa"/>
          </w:tcPr>
          <w:p w:rsidR="00B43C57" w:rsidRPr="00F5723F" w:rsidRDefault="00B43C57">
            <w:pPr>
              <w:pStyle w:val="Tabelltextsiffror"/>
              <w:rPr>
                <w:snapToGrid w:val="0"/>
              </w:rPr>
            </w:pPr>
            <w:r w:rsidRPr="00F5723F">
              <w:rPr>
                <w:snapToGrid w:val="0"/>
              </w:rPr>
              <w:t>17</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23</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JuU</w:t>
            </w:r>
          </w:p>
        </w:tc>
        <w:tc>
          <w:tcPr>
            <w:tcW w:w="567" w:type="dxa"/>
          </w:tcPr>
          <w:p w:rsidR="00B43C57" w:rsidRPr="00F5723F" w:rsidRDefault="00B43C57">
            <w:pPr>
              <w:pStyle w:val="Tabelltextsiffror"/>
              <w:rPr>
                <w:snapToGrid w:val="0"/>
              </w:rPr>
            </w:pPr>
            <w:r w:rsidRPr="00F5723F">
              <w:rPr>
                <w:snapToGrid w:val="0"/>
              </w:rPr>
              <w:t>36</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48</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LU</w:t>
            </w:r>
          </w:p>
        </w:tc>
        <w:tc>
          <w:tcPr>
            <w:tcW w:w="567" w:type="dxa"/>
          </w:tcPr>
          <w:p w:rsidR="00B43C57" w:rsidRPr="00F5723F" w:rsidRDefault="00B43C57">
            <w:pPr>
              <w:pStyle w:val="Tabelltextsiffror"/>
              <w:rPr>
                <w:snapToGrid w:val="0"/>
              </w:rPr>
            </w:pPr>
            <w:r w:rsidRPr="00F5723F">
              <w:rPr>
                <w:snapToGrid w:val="0"/>
              </w:rPr>
              <w:t>35</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40</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UU</w:t>
            </w:r>
          </w:p>
        </w:tc>
        <w:tc>
          <w:tcPr>
            <w:tcW w:w="567" w:type="dxa"/>
          </w:tcPr>
          <w:p w:rsidR="00B43C57" w:rsidRPr="00F5723F" w:rsidRDefault="00B43C57">
            <w:pPr>
              <w:pStyle w:val="Tabelltextsiffror"/>
              <w:rPr>
                <w:snapToGrid w:val="0"/>
              </w:rPr>
            </w:pPr>
            <w:r w:rsidRPr="00F5723F">
              <w:rPr>
                <w:snapToGrid w:val="0"/>
              </w:rPr>
              <w:t>62</w:t>
            </w:r>
          </w:p>
        </w:tc>
        <w:tc>
          <w:tcPr>
            <w:tcW w:w="850" w:type="dxa"/>
          </w:tcPr>
          <w:p w:rsidR="00B43C57" w:rsidRPr="00F5723F" w:rsidRDefault="00B43C57">
            <w:pPr>
              <w:pStyle w:val="Tabelltext"/>
              <w:rPr>
                <w:snapToGrid w:val="0"/>
              </w:rPr>
            </w:pPr>
            <w:r w:rsidRPr="00F5723F">
              <w:rPr>
                <w:snapToGrid w:val="0"/>
              </w:rPr>
              <w:t>*</w:t>
            </w:r>
          </w:p>
        </w:tc>
        <w:tc>
          <w:tcPr>
            <w:tcW w:w="567" w:type="dxa"/>
          </w:tcPr>
          <w:p w:rsidR="00B43C57" w:rsidRPr="00F5723F" w:rsidRDefault="00B43C57">
            <w:pPr>
              <w:pStyle w:val="Tabelltextsiffror"/>
              <w:rPr>
                <w:snapToGrid w:val="0"/>
              </w:rPr>
            </w:pPr>
            <w:r w:rsidRPr="00F5723F">
              <w:rPr>
                <w:snapToGrid w:val="0"/>
              </w:rPr>
              <w:t>87</w:t>
            </w:r>
          </w:p>
        </w:tc>
        <w:tc>
          <w:tcPr>
            <w:tcW w:w="1276" w:type="dxa"/>
          </w:tcPr>
          <w:p w:rsidR="00B43C57" w:rsidRPr="00F5723F" w:rsidRDefault="00B43C57">
            <w:pPr>
              <w:pStyle w:val="Tabelltext"/>
              <w:rPr>
                <w:snapToGrid w:val="0"/>
              </w:rPr>
            </w:pPr>
            <w:r w:rsidRPr="00F5723F">
              <w:rPr>
                <w:snapToGrid w:val="0"/>
              </w:rPr>
              <w:t>*</w:t>
            </w: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FöU</w:t>
            </w:r>
          </w:p>
        </w:tc>
        <w:tc>
          <w:tcPr>
            <w:tcW w:w="567" w:type="dxa"/>
          </w:tcPr>
          <w:p w:rsidR="00B43C57" w:rsidRPr="00F5723F" w:rsidRDefault="00B43C57">
            <w:pPr>
              <w:pStyle w:val="Tabelltextsiffror"/>
              <w:rPr>
                <w:snapToGrid w:val="0"/>
              </w:rPr>
            </w:pPr>
            <w:r w:rsidRPr="00F5723F">
              <w:rPr>
                <w:snapToGrid w:val="0"/>
              </w:rPr>
              <w:t>36</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41</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SfU</w:t>
            </w:r>
          </w:p>
        </w:tc>
        <w:tc>
          <w:tcPr>
            <w:tcW w:w="567" w:type="dxa"/>
          </w:tcPr>
          <w:p w:rsidR="00B43C57" w:rsidRPr="00F5723F" w:rsidRDefault="00B43C57">
            <w:pPr>
              <w:pStyle w:val="Tabelltextsiffror"/>
              <w:rPr>
                <w:snapToGrid w:val="0"/>
              </w:rPr>
            </w:pPr>
            <w:r w:rsidRPr="00F5723F">
              <w:rPr>
                <w:snapToGrid w:val="0"/>
              </w:rPr>
              <w:t>43</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53</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SoU</w:t>
            </w:r>
          </w:p>
        </w:tc>
        <w:tc>
          <w:tcPr>
            <w:tcW w:w="567" w:type="dxa"/>
          </w:tcPr>
          <w:p w:rsidR="00B43C57" w:rsidRPr="00F5723F" w:rsidRDefault="00B43C57">
            <w:pPr>
              <w:pStyle w:val="Tabelltextsiffror"/>
              <w:rPr>
                <w:snapToGrid w:val="0"/>
              </w:rPr>
            </w:pPr>
            <w:r w:rsidRPr="00F5723F">
              <w:rPr>
                <w:snapToGrid w:val="0"/>
              </w:rPr>
              <w:t>42</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47</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KrU</w:t>
            </w:r>
          </w:p>
        </w:tc>
        <w:tc>
          <w:tcPr>
            <w:tcW w:w="567" w:type="dxa"/>
          </w:tcPr>
          <w:p w:rsidR="00B43C57" w:rsidRPr="00F5723F" w:rsidRDefault="00B43C57">
            <w:pPr>
              <w:pStyle w:val="Tabelltextsiffror"/>
              <w:rPr>
                <w:snapToGrid w:val="0"/>
              </w:rPr>
            </w:pPr>
            <w:r w:rsidRPr="00F5723F">
              <w:rPr>
                <w:snapToGrid w:val="0"/>
              </w:rPr>
              <w:t>30</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34</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UbU</w:t>
            </w:r>
          </w:p>
        </w:tc>
        <w:tc>
          <w:tcPr>
            <w:tcW w:w="567" w:type="dxa"/>
          </w:tcPr>
          <w:p w:rsidR="00B43C57" w:rsidRPr="00F5723F" w:rsidRDefault="00B43C57">
            <w:pPr>
              <w:pStyle w:val="Tabelltextsiffror"/>
              <w:rPr>
                <w:snapToGrid w:val="0"/>
              </w:rPr>
            </w:pPr>
            <w:r w:rsidRPr="00F5723F">
              <w:rPr>
                <w:snapToGrid w:val="0"/>
              </w:rPr>
              <w:t>23</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31</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TU</w:t>
            </w:r>
          </w:p>
        </w:tc>
        <w:tc>
          <w:tcPr>
            <w:tcW w:w="567" w:type="dxa"/>
          </w:tcPr>
          <w:p w:rsidR="00B43C57" w:rsidRPr="00F5723F" w:rsidRDefault="00B43C57">
            <w:pPr>
              <w:pStyle w:val="Tabelltextsiffror"/>
              <w:rPr>
                <w:snapToGrid w:val="0"/>
              </w:rPr>
            </w:pPr>
            <w:r w:rsidRPr="00F5723F">
              <w:rPr>
                <w:snapToGrid w:val="0"/>
              </w:rPr>
              <w:t>39</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52</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MJU</w:t>
            </w:r>
          </w:p>
        </w:tc>
        <w:tc>
          <w:tcPr>
            <w:tcW w:w="567" w:type="dxa"/>
          </w:tcPr>
          <w:p w:rsidR="00B43C57" w:rsidRPr="00F5723F" w:rsidRDefault="00B43C57">
            <w:pPr>
              <w:pStyle w:val="Tabelltextsiffror"/>
              <w:rPr>
                <w:snapToGrid w:val="0"/>
              </w:rPr>
            </w:pPr>
            <w:r w:rsidRPr="00F5723F">
              <w:rPr>
                <w:snapToGrid w:val="0"/>
              </w:rPr>
              <w:t>36</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55</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NU</w:t>
            </w:r>
          </w:p>
        </w:tc>
        <w:tc>
          <w:tcPr>
            <w:tcW w:w="567" w:type="dxa"/>
          </w:tcPr>
          <w:p w:rsidR="00B43C57" w:rsidRPr="00F5723F" w:rsidRDefault="00B43C57">
            <w:pPr>
              <w:pStyle w:val="Tabelltextsiffror"/>
              <w:rPr>
                <w:snapToGrid w:val="0"/>
              </w:rPr>
            </w:pPr>
            <w:r w:rsidRPr="00F5723F">
              <w:rPr>
                <w:snapToGrid w:val="0"/>
              </w:rPr>
              <w:t>40</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44</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AU</w:t>
            </w:r>
          </w:p>
        </w:tc>
        <w:tc>
          <w:tcPr>
            <w:tcW w:w="567" w:type="dxa"/>
          </w:tcPr>
          <w:p w:rsidR="00B43C57" w:rsidRPr="00F5723F" w:rsidRDefault="00B43C57">
            <w:pPr>
              <w:pStyle w:val="Tabelltextsiffror"/>
              <w:rPr>
                <w:snapToGrid w:val="0"/>
              </w:rPr>
            </w:pPr>
            <w:r w:rsidRPr="00F5723F">
              <w:rPr>
                <w:snapToGrid w:val="0"/>
              </w:rPr>
              <w:t>28</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32</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Pr>
          <w:p w:rsidR="00B43C57" w:rsidRPr="00F5723F" w:rsidRDefault="00B43C57">
            <w:pPr>
              <w:pStyle w:val="Tabelltext"/>
              <w:rPr>
                <w:snapToGrid w:val="0"/>
              </w:rPr>
            </w:pPr>
            <w:r w:rsidRPr="00F5723F">
              <w:rPr>
                <w:snapToGrid w:val="0"/>
              </w:rPr>
              <w:t>BoU</w:t>
            </w:r>
          </w:p>
        </w:tc>
        <w:tc>
          <w:tcPr>
            <w:tcW w:w="567" w:type="dxa"/>
          </w:tcPr>
          <w:p w:rsidR="00B43C57" w:rsidRPr="00F5723F" w:rsidRDefault="00B43C57">
            <w:pPr>
              <w:pStyle w:val="Tabelltextsiffror"/>
              <w:rPr>
                <w:snapToGrid w:val="0"/>
              </w:rPr>
            </w:pPr>
            <w:r w:rsidRPr="00F5723F">
              <w:rPr>
                <w:snapToGrid w:val="0"/>
              </w:rPr>
              <w:t>14</w:t>
            </w:r>
          </w:p>
        </w:tc>
        <w:tc>
          <w:tcPr>
            <w:tcW w:w="850" w:type="dxa"/>
          </w:tcPr>
          <w:p w:rsidR="00B43C57" w:rsidRPr="00F5723F" w:rsidRDefault="00B43C57">
            <w:pPr>
              <w:pStyle w:val="Tabelltext"/>
              <w:rPr>
                <w:snapToGrid w:val="0"/>
              </w:rPr>
            </w:pPr>
          </w:p>
        </w:tc>
        <w:tc>
          <w:tcPr>
            <w:tcW w:w="567" w:type="dxa"/>
          </w:tcPr>
          <w:p w:rsidR="00B43C57" w:rsidRPr="00F5723F" w:rsidRDefault="00B43C57">
            <w:pPr>
              <w:pStyle w:val="Tabelltextsiffror"/>
              <w:rPr>
                <w:snapToGrid w:val="0"/>
              </w:rPr>
            </w:pPr>
            <w:r w:rsidRPr="00F5723F">
              <w:rPr>
                <w:snapToGrid w:val="0"/>
              </w:rPr>
              <w:t>13</w:t>
            </w:r>
          </w:p>
        </w:tc>
        <w:tc>
          <w:tcPr>
            <w:tcW w:w="1276" w:type="dxa"/>
          </w:tcPr>
          <w:p w:rsidR="00B43C57" w:rsidRPr="00F5723F" w:rsidRDefault="00B43C57">
            <w:pPr>
              <w:pStyle w:val="Tabelltext"/>
              <w:rPr>
                <w:snapToGrid w:val="0"/>
              </w:rPr>
            </w:pPr>
          </w:p>
        </w:tc>
      </w:tr>
      <w:tr w:rsidR="00000000" w:rsidRPr="00F5723F">
        <w:tblPrEx>
          <w:tblCellMar>
            <w:top w:w="0" w:type="dxa"/>
            <w:bottom w:w="0" w:type="dxa"/>
          </w:tblCellMar>
        </w:tblPrEx>
        <w:trPr>
          <w:trHeight w:val="247"/>
        </w:trPr>
        <w:tc>
          <w:tcPr>
            <w:tcW w:w="2582" w:type="dxa"/>
            <w:tcBorders>
              <w:bottom w:val="single" w:sz="4" w:space="0" w:color="auto"/>
            </w:tcBorders>
          </w:tcPr>
          <w:p w:rsidR="00B43C57" w:rsidRPr="00F5723F" w:rsidRDefault="00B43C57">
            <w:pPr>
              <w:pStyle w:val="Tabelltext"/>
              <w:rPr>
                <w:snapToGrid w:val="0"/>
              </w:rPr>
            </w:pPr>
            <w:r w:rsidRPr="00F5723F">
              <w:rPr>
                <w:snapToGrid w:val="0"/>
              </w:rPr>
              <w:t>Totalt</w:t>
            </w:r>
          </w:p>
        </w:tc>
        <w:tc>
          <w:tcPr>
            <w:tcW w:w="567" w:type="dxa"/>
            <w:tcBorders>
              <w:bottom w:val="single" w:sz="4" w:space="0" w:color="auto"/>
            </w:tcBorders>
          </w:tcPr>
          <w:p w:rsidR="00B43C57" w:rsidRPr="00F5723F" w:rsidRDefault="00B43C57">
            <w:pPr>
              <w:pStyle w:val="Tabelltextsiffror"/>
              <w:rPr>
                <w:snapToGrid w:val="0"/>
              </w:rPr>
            </w:pPr>
            <w:r w:rsidRPr="00F5723F">
              <w:rPr>
                <w:snapToGrid w:val="0"/>
              </w:rPr>
              <w:t>599</w:t>
            </w:r>
          </w:p>
        </w:tc>
        <w:tc>
          <w:tcPr>
            <w:tcW w:w="850" w:type="dxa"/>
            <w:tcBorders>
              <w:bottom w:val="single" w:sz="4" w:space="0" w:color="auto"/>
            </w:tcBorders>
          </w:tcPr>
          <w:p w:rsidR="00B43C57" w:rsidRPr="00F5723F" w:rsidRDefault="00B43C57">
            <w:pPr>
              <w:pStyle w:val="Tabelltext"/>
              <w:rPr>
                <w:snapToGrid w:val="0"/>
              </w:rPr>
            </w:pPr>
            <w:r w:rsidRPr="00F5723F">
              <w:rPr>
                <w:snapToGrid w:val="0"/>
              </w:rPr>
              <w:t>**</w:t>
            </w:r>
          </w:p>
        </w:tc>
        <w:tc>
          <w:tcPr>
            <w:tcW w:w="567" w:type="dxa"/>
            <w:tcBorders>
              <w:bottom w:val="single" w:sz="4" w:space="0" w:color="auto"/>
            </w:tcBorders>
          </w:tcPr>
          <w:p w:rsidR="00B43C57" w:rsidRPr="00F5723F" w:rsidRDefault="00B43C57">
            <w:pPr>
              <w:pStyle w:val="Tabelltextsiffror"/>
              <w:rPr>
                <w:snapToGrid w:val="0"/>
              </w:rPr>
            </w:pPr>
            <w:r w:rsidRPr="00F5723F">
              <w:rPr>
                <w:snapToGrid w:val="0"/>
              </w:rPr>
              <w:t>722</w:t>
            </w:r>
          </w:p>
        </w:tc>
        <w:tc>
          <w:tcPr>
            <w:tcW w:w="1276" w:type="dxa"/>
            <w:tcBorders>
              <w:bottom w:val="single" w:sz="4" w:space="0" w:color="auto"/>
            </w:tcBorders>
          </w:tcPr>
          <w:p w:rsidR="00B43C57" w:rsidRPr="00F5723F" w:rsidRDefault="00B43C57">
            <w:pPr>
              <w:pStyle w:val="Tabelltext"/>
              <w:rPr>
                <w:snapToGrid w:val="0"/>
              </w:rPr>
            </w:pPr>
            <w:r w:rsidRPr="00F5723F">
              <w:rPr>
                <w:snapToGrid w:val="0"/>
              </w:rPr>
              <w:t>**</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Både allmänna och särskilda sammanträden. Under 2002/03 ägn</w:t>
      </w:r>
      <w:r w:rsidRPr="00F5723F">
        <w:rPr>
          <w:rFonts w:ascii="Arial" w:hAnsi="Arial" w:cs="Arial"/>
          <w:sz w:val="16"/>
          <w:szCs w:val="16"/>
        </w:rPr>
        <w:t>a</w:t>
      </w:r>
      <w:r w:rsidRPr="00F5723F">
        <w:rPr>
          <w:rFonts w:ascii="Arial" w:hAnsi="Arial" w:cs="Arial"/>
          <w:sz w:val="16"/>
          <w:szCs w:val="16"/>
        </w:rPr>
        <w:t>de KU 53 timmar åt allmänna sammanträden och 30 timmar åt särskilda sammantr</w:t>
      </w:r>
      <w:r w:rsidRPr="00F5723F">
        <w:rPr>
          <w:rFonts w:ascii="Arial" w:hAnsi="Arial" w:cs="Arial"/>
          <w:sz w:val="16"/>
          <w:szCs w:val="16"/>
        </w:rPr>
        <w:t>ä</w:t>
      </w:r>
      <w:r w:rsidRPr="00F5723F">
        <w:rPr>
          <w:rFonts w:ascii="Arial" w:hAnsi="Arial" w:cs="Arial"/>
          <w:sz w:val="16"/>
          <w:szCs w:val="16"/>
        </w:rPr>
        <w:t>den och UU 35 timmar åt allmänna sammanträden och 27 timmar åt särski</w:t>
      </w:r>
      <w:r w:rsidRPr="00F5723F">
        <w:rPr>
          <w:rFonts w:ascii="Arial" w:hAnsi="Arial" w:cs="Arial"/>
          <w:sz w:val="16"/>
          <w:szCs w:val="16"/>
        </w:rPr>
        <w:t>l</w:t>
      </w:r>
      <w:r w:rsidRPr="00F5723F">
        <w:rPr>
          <w:rFonts w:ascii="Arial" w:hAnsi="Arial" w:cs="Arial"/>
          <w:sz w:val="16"/>
          <w:szCs w:val="16"/>
        </w:rPr>
        <w:t>da sammanträden. Under 2003/04 ägnade KU 46 timmar åt allmänna sammanträden och 35 timmar åt särskilda sammanträden och UU 53 timmar åt allmänna samma</w:t>
      </w:r>
      <w:r w:rsidRPr="00F5723F">
        <w:rPr>
          <w:rFonts w:ascii="Arial" w:hAnsi="Arial" w:cs="Arial"/>
          <w:sz w:val="16"/>
          <w:szCs w:val="16"/>
        </w:rPr>
        <w:t>n</w:t>
      </w:r>
      <w:r w:rsidRPr="00F5723F">
        <w:rPr>
          <w:rFonts w:ascii="Arial" w:hAnsi="Arial" w:cs="Arial"/>
          <w:sz w:val="16"/>
          <w:szCs w:val="16"/>
        </w:rPr>
        <w:t>träden och 33 timmar åt särskilda sa</w:t>
      </w:r>
      <w:r w:rsidRPr="00F5723F">
        <w:rPr>
          <w:rFonts w:ascii="Arial" w:hAnsi="Arial" w:cs="Arial"/>
          <w:sz w:val="16"/>
          <w:szCs w:val="16"/>
        </w:rPr>
        <w:t>m</w:t>
      </w:r>
      <w:r w:rsidRPr="00F5723F">
        <w:rPr>
          <w:rFonts w:ascii="Arial" w:hAnsi="Arial" w:cs="Arial"/>
          <w:sz w:val="16"/>
          <w:szCs w:val="16"/>
        </w:rPr>
        <w:t>manträden. **</w:t>
      </w:r>
      <w:r w:rsidRPr="00F5723F">
        <w:rPr>
          <w:rFonts w:ascii="Arial" w:hAnsi="Arial" w:cs="Arial"/>
          <w:sz w:val="16"/>
          <w:szCs w:val="16"/>
        </w:rPr>
        <w:t>Härutöver sammanträdde under 2002/03 och 2003/04 sammansatta utskott totalt 27 timmar respektive 13 t</w:t>
      </w:r>
      <w:r w:rsidRPr="00F5723F">
        <w:rPr>
          <w:rFonts w:ascii="Arial" w:hAnsi="Arial" w:cs="Arial"/>
          <w:sz w:val="16"/>
          <w:szCs w:val="16"/>
        </w:rPr>
        <w:t>immar. Sammansatta utrikes- och försvarsutskottet samma</w:t>
      </w:r>
      <w:r w:rsidRPr="00F5723F">
        <w:rPr>
          <w:rFonts w:ascii="Arial" w:hAnsi="Arial" w:cs="Arial"/>
          <w:sz w:val="16"/>
          <w:szCs w:val="16"/>
        </w:rPr>
        <w:t>n</w:t>
      </w:r>
      <w:r w:rsidRPr="00F5723F">
        <w:rPr>
          <w:rFonts w:ascii="Arial" w:hAnsi="Arial" w:cs="Arial"/>
          <w:sz w:val="16"/>
          <w:szCs w:val="16"/>
        </w:rPr>
        <w:t>trädde 3 timmar under 2002/03 och 2 timmar under 2003/04, sammansatta konstitutions- och utrikesu</w:t>
      </w:r>
      <w:r w:rsidRPr="00F5723F">
        <w:rPr>
          <w:rFonts w:ascii="Arial" w:hAnsi="Arial" w:cs="Arial"/>
          <w:sz w:val="16"/>
          <w:szCs w:val="16"/>
        </w:rPr>
        <w:t>t</w:t>
      </w:r>
      <w:r w:rsidRPr="00F5723F">
        <w:rPr>
          <w:rFonts w:ascii="Arial" w:hAnsi="Arial" w:cs="Arial"/>
          <w:sz w:val="16"/>
          <w:szCs w:val="16"/>
        </w:rPr>
        <w:t>skottet sa</w:t>
      </w:r>
      <w:r w:rsidRPr="00F5723F">
        <w:rPr>
          <w:rFonts w:ascii="Arial" w:hAnsi="Arial" w:cs="Arial"/>
          <w:sz w:val="16"/>
          <w:szCs w:val="16"/>
        </w:rPr>
        <w:t>m</w:t>
      </w:r>
      <w:r w:rsidRPr="00F5723F">
        <w:rPr>
          <w:rFonts w:ascii="Arial" w:hAnsi="Arial" w:cs="Arial"/>
          <w:sz w:val="16"/>
          <w:szCs w:val="16"/>
        </w:rPr>
        <w:t>manträdde 17 timmar under 2002/03 och 11 timmar under 2003/04 och sammansatta utrikes- och miljö- och jordbruksutskottet samma</w:t>
      </w:r>
      <w:r w:rsidRPr="00F5723F">
        <w:rPr>
          <w:rFonts w:ascii="Arial" w:hAnsi="Arial" w:cs="Arial"/>
          <w:sz w:val="16"/>
          <w:szCs w:val="16"/>
        </w:rPr>
        <w:t>n</w:t>
      </w:r>
      <w:r w:rsidRPr="00F5723F">
        <w:rPr>
          <w:rFonts w:ascii="Arial" w:hAnsi="Arial" w:cs="Arial"/>
          <w:sz w:val="16"/>
          <w:szCs w:val="16"/>
        </w:rPr>
        <w:t>trädde 7 timmar under 2002/03.</w:t>
      </w:r>
    </w:p>
    <w:p w:rsidR="00B43C57" w:rsidRPr="00F5723F" w:rsidRDefault="00B43C57">
      <w:pPr>
        <w:spacing w:before="187"/>
      </w:pPr>
      <w:r w:rsidRPr="00F5723F">
        <w:lastRenderedPageBreak/>
        <w:t>Omräknat per utskott var den årliga sammanträdestiden under 2003/04 i g</w:t>
      </w:r>
      <w:r w:rsidRPr="00F5723F">
        <w:t>e</w:t>
      </w:r>
      <w:r w:rsidRPr="00F5723F">
        <w:t>nomsnitt 45 timmar. Precis som var fallet med antal sammanträden ovan är variationen mellan utskotten stor. Mest sammanträdestid hade utrikes</w:t>
      </w:r>
      <w:r w:rsidRPr="00F5723F">
        <w:softHyphen/>
        <w:t>utskottet, som sammanträdde 87 timmar. Exkluderas utskottets tid för mo</w:t>
      </w:r>
      <w:r w:rsidRPr="00F5723F">
        <w:t>t</w:t>
      </w:r>
      <w:r w:rsidRPr="00F5723F">
        <w:t>tagning av besök med mera, det vill säga utskottets särskilda sammanträden, var sammanträdestiden 53 timmar. Näst mest sammanträdestid hade konstit</w:t>
      </w:r>
      <w:r w:rsidRPr="00F5723F">
        <w:t>u</w:t>
      </w:r>
      <w:r w:rsidRPr="00F5723F">
        <w:t>tionsutsko</w:t>
      </w:r>
      <w:r w:rsidRPr="00F5723F">
        <w:t>t</w:t>
      </w:r>
      <w:r w:rsidRPr="00F5723F">
        <w:t>tet, som totalt sammanträdde 81 timmar, varav 46 timmar ägnades åt allmänna ärenden och 35 timmar åt granskningsärenden, vilka även inkl</w:t>
      </w:r>
      <w:r w:rsidRPr="00F5723F">
        <w:t>u</w:t>
      </w:r>
      <w:r w:rsidRPr="00F5723F">
        <w:t>d</w:t>
      </w:r>
      <w:r w:rsidRPr="00F5723F">
        <w:t>erar tid för utfrågningar av statsråd. Över 40 procent av konstitutions</w:t>
      </w:r>
      <w:r w:rsidRPr="00F5723F">
        <w:softHyphen/>
        <w:t>utskottets sammantr</w:t>
      </w:r>
      <w:r w:rsidRPr="00F5723F">
        <w:t>ä</w:t>
      </w:r>
      <w:r w:rsidRPr="00F5723F">
        <w:t>destid ägnades alltså åt granskning av regeringen. Till utrikes- och konstitutionsutskottens sammanträdestid kan läggas sammansatta konstitutions- och utrikesutskottets sammanträdestid, som under 2003/04 up</w:t>
      </w:r>
      <w:r w:rsidRPr="00F5723F">
        <w:t>p</w:t>
      </w:r>
      <w:r w:rsidRPr="00F5723F">
        <w:t>gick till 11 timmar. Vidare bildade utrikesutskottet tillsammans med försvarsutskottet sammansatta utrikes- och försvarsutskottet, vars sammantr</w:t>
      </w:r>
      <w:r w:rsidRPr="00F5723F">
        <w:t>ä</w:t>
      </w:r>
      <w:r w:rsidRPr="00F5723F">
        <w:t>destid under 2003/04 up</w:t>
      </w:r>
      <w:r w:rsidRPr="00F5723F">
        <w:t>p</w:t>
      </w:r>
      <w:r w:rsidRPr="00F5723F">
        <w:t>gick till 2 timmar.</w:t>
      </w:r>
    </w:p>
    <w:p w:rsidR="00B43C57" w:rsidRPr="00F5723F" w:rsidRDefault="00B43C57">
      <w:pPr>
        <w:pStyle w:val="Normaltindrag"/>
      </w:pPr>
      <w:r w:rsidRPr="00F5723F">
        <w:t>Efter utrikes- och konst</w:t>
      </w:r>
      <w:r w:rsidRPr="00F5723F">
        <w:t>itutionsutskotten är avståndet förhållandevis stort till övriga utskotts sammanträdestid. Miljö- och jordbruks-, socialförsä</w:t>
      </w:r>
      <w:r w:rsidRPr="00F5723F">
        <w:t>k</w:t>
      </w:r>
      <w:r w:rsidRPr="00F5723F">
        <w:t>rings- och trafikutskotten sammanträdde alla mer än 50 timmar. Klart minst sa</w:t>
      </w:r>
      <w:r w:rsidRPr="00F5723F">
        <w:t>m</w:t>
      </w:r>
      <w:r w:rsidRPr="00F5723F">
        <w:t>manträdestid hade bostadsutskottet (13 timmar), därefter skatte- och finansu</w:t>
      </w:r>
      <w:r w:rsidRPr="00F5723F">
        <w:t>t</w:t>
      </w:r>
      <w:r w:rsidRPr="00F5723F">
        <w:t>skotten (23 respektive 28 timmar).</w:t>
      </w:r>
    </w:p>
    <w:p w:rsidR="00B43C57" w:rsidRPr="00F5723F" w:rsidRDefault="00B43C57">
      <w:pPr>
        <w:pStyle w:val="Normaltindrag"/>
      </w:pPr>
      <w:r w:rsidRPr="00F5723F">
        <w:t>Mönstret av utskottens sammanträdestider överensstämmer delvis med hur ofta de sammanträder. Vissa skillnader finns dock, vilket beror på att utsko</w:t>
      </w:r>
      <w:r w:rsidRPr="00F5723F">
        <w:t>t</w:t>
      </w:r>
      <w:r w:rsidRPr="00F5723F">
        <w:t>ten har olika långa sammanträden. Till exempel sammanträdde f</w:t>
      </w:r>
      <w:r w:rsidRPr="00F5723F">
        <w:t>i</w:t>
      </w:r>
      <w:r w:rsidRPr="00F5723F">
        <w:t>nansutskottet något oftare än genomsnittet medan utskottets sammanträdes</w:t>
      </w:r>
      <w:r w:rsidRPr="00F5723F">
        <w:softHyphen/>
        <w:t>tid var något lägre än genomsnittet. Jämförs utskotten framkommer att skatte- och bostad</w:t>
      </w:r>
      <w:r w:rsidRPr="00F5723F">
        <w:t>s</w:t>
      </w:r>
      <w:r w:rsidRPr="00F5723F">
        <w:t>utskotten kännetecknas av korta sammanträden som i geno</w:t>
      </w:r>
      <w:r w:rsidRPr="00F5723F">
        <w:t>m</w:t>
      </w:r>
      <w:r w:rsidRPr="00F5723F">
        <w:t>snitt varar under en timme. Längst sammanträden har i genomsnitt konstit</w:t>
      </w:r>
      <w:r w:rsidRPr="00F5723F">
        <w:t>u</w:t>
      </w:r>
      <w:r w:rsidRPr="00F5723F">
        <w:t>tionsutskottet när hänsyn tas till att de allmänna och särskilda sammanträd</w:t>
      </w:r>
      <w:r w:rsidRPr="00F5723F">
        <w:t>e</w:t>
      </w:r>
      <w:r w:rsidRPr="00F5723F">
        <w:t>na i regel hålls i anslutning till varandra (1,8 timmar). Andra utskott med förhål</w:t>
      </w:r>
      <w:r w:rsidRPr="00F5723F">
        <w:t xml:space="preserve">landevis långa sammanträden är utrikes- och socialutskotten (båda i genomsnitt över 1,5 timmar). </w:t>
      </w:r>
    </w:p>
    <w:p w:rsidR="00B43C57" w:rsidRPr="00F5723F" w:rsidRDefault="00B43C57">
      <w:pPr>
        <w:pStyle w:val="Normaltindrag"/>
      </w:pPr>
      <w:r w:rsidRPr="00F5723F">
        <w:t>Som framgått ovan ökade antalet sammanträdestimmar mellan 2002/03 och 2003/04. Sett över en längre tidsperiod har dock antalet sammanträdes</w:t>
      </w:r>
      <w:r w:rsidRPr="00F5723F">
        <w:softHyphen/>
        <w:t>timmar gått ned. Under valperioden 1994/95–1997/98 sammanträdde utsko</w:t>
      </w:r>
      <w:r w:rsidRPr="00F5723F">
        <w:t>t</w:t>
      </w:r>
      <w:r w:rsidRPr="00F5723F">
        <w:t>ten i genomsnitt drygt 50 timmar per riksmöte. Under 1998/99–2001/02 sjönk denna siffra till knappt 48 timmar och under första halvan av den innevarande valperioden har den sjunkit ytterligare, till 41 timmar. På tio år har utskottens genomsnittliga sammanträdestid således minskat med nästan 20 procent.</w:t>
      </w:r>
      <w:r w:rsidRPr="00F5723F">
        <w:rPr>
          <w:rStyle w:val="Fotnotsreferens"/>
        </w:rPr>
        <w:footnoteReference w:id="45"/>
      </w:r>
      <w:r w:rsidRPr="00F5723F">
        <w:t xml:space="preserve"> Sett i ett ännu längre tidsperspektiv blir trenden än tydligare. I bö</w:t>
      </w:r>
      <w:r w:rsidRPr="00F5723F">
        <w:t>r</w:t>
      </w:r>
      <w:r w:rsidRPr="00F5723F">
        <w:t>jan av 1970-talet var utskottens genomsnittliga sammanträdestid ca 68 ti</w:t>
      </w:r>
      <w:r w:rsidRPr="00F5723F">
        <w:t>m</w:t>
      </w:r>
      <w:r w:rsidRPr="00F5723F">
        <w:t xml:space="preserve">mar per riksmöte, och under början av 1980-talet hade siffran gått ned till 57 timmar </w:t>
      </w:r>
      <w:r w:rsidRPr="00F5723F">
        <w:lastRenderedPageBreak/>
        <w:t>per riksmöte.</w:t>
      </w:r>
      <w:r w:rsidRPr="00F5723F">
        <w:rPr>
          <w:rStyle w:val="Fotnotsreferens"/>
        </w:rPr>
        <w:footnoteReference w:id="46"/>
      </w:r>
      <w:r w:rsidRPr="00F5723F">
        <w:t xml:space="preserve"> De senaste 30 åren har utskottens sammanträdestid således minskat med ca 40 procent.</w:t>
      </w:r>
    </w:p>
    <w:p w:rsidR="00B43C57" w:rsidRPr="00F5723F" w:rsidRDefault="00B43C57">
      <w:pPr>
        <w:pStyle w:val="Normaltindrag"/>
      </w:pPr>
      <w:r w:rsidRPr="00F5723F">
        <w:t>Den nedåtgående utvecklingen återfinns i flertalet utskott, vilket illustr</w:t>
      </w:r>
      <w:r w:rsidRPr="00F5723F">
        <w:t>e</w:t>
      </w:r>
      <w:r w:rsidRPr="00F5723F">
        <w:t>ras i figur 4:1. Jämförs den innevarande valperioden med valperioden 1994/95–1997/98 har sammanträdestiden minskat i elva utskott. Endast i två utskott, trafik- och socialutskotten, har sammanträdestiden ökat nämnvärt. Noterbart är även att två utskott, konstitutions- och utrikesutskotten, genomgående har mer sammanträdestid än övriga under den senaste tioår</w:t>
      </w:r>
      <w:r w:rsidRPr="00F5723F">
        <w:t>s</w:t>
      </w:r>
      <w:r w:rsidRPr="00F5723F">
        <w:t>perioden. Skatte- och bostadsutskotten har däremot mindre sammanträdestid än övriga.</w:t>
      </w:r>
      <w:r w:rsidRPr="00F5723F">
        <w:rPr>
          <w:rStyle w:val="Fotnotsreferens"/>
        </w:rPr>
        <w:footnoteReference w:id="47"/>
      </w:r>
    </w:p>
    <w:p w:rsidR="00B43C57" w:rsidRPr="00F5723F" w:rsidRDefault="00B43C57">
      <w:pPr>
        <w:pStyle w:val="Tabellrubrik"/>
      </w:pPr>
      <w:r w:rsidRPr="00F5723F">
        <w:t>figur 4:1 sammanträdestimmar 1994/95–2003/04</w:t>
      </w:r>
      <w:r w:rsidRPr="00F5723F">
        <w:object w:dxaOrig="1440" w:dyaOrig="1440">
          <v:shape id="_x0000_s1072" type="#_x0000_t75" style="position:absolute;left:0;text-align:left;margin-left:-5.45pt;margin-top:23.05pt;width:317.1pt;height:171.1pt;z-index:251661312;mso-position-horizontal-relative:text;mso-position-vertical-relative:text" o:allowincell="f">
            <v:imagedata r:id="rId31" o:title=""/>
            <w10:wrap type="topAndBottom"/>
          </v:shape>
          <o:OLEObject Type="Embed" ProgID="Excel.Sheet.8" ShapeID="_x0000_s1072" DrawAspect="Content" ObjectID="_1827438472" r:id="rId32"/>
        </w:object>
      </w:r>
    </w:p>
    <w:p w:rsidR="00B43C57" w:rsidRPr="00F5723F" w:rsidRDefault="00B43C57">
      <w:pPr>
        <w:spacing w:line="240" w:lineRule="auto"/>
        <w:rPr>
          <w:rFonts w:ascii="Arial" w:hAnsi="Arial" w:cs="Arial"/>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Figuren visar det genomsnittliga antalet sammanträde</w:t>
      </w:r>
      <w:r w:rsidRPr="00F5723F">
        <w:rPr>
          <w:rFonts w:ascii="Arial" w:hAnsi="Arial" w:cs="Arial"/>
          <w:sz w:val="16"/>
          <w:szCs w:val="16"/>
        </w:rPr>
        <w:t>s</w:t>
      </w:r>
      <w:r w:rsidRPr="00F5723F">
        <w:rPr>
          <w:rFonts w:ascii="Arial" w:hAnsi="Arial" w:cs="Arial"/>
          <w:sz w:val="16"/>
          <w:szCs w:val="16"/>
        </w:rPr>
        <w:t>timmar per riksm</w:t>
      </w:r>
      <w:r w:rsidRPr="00F5723F">
        <w:rPr>
          <w:rFonts w:ascii="Arial" w:hAnsi="Arial" w:cs="Arial"/>
          <w:sz w:val="16"/>
          <w:szCs w:val="16"/>
        </w:rPr>
        <w:t>ö</w:t>
      </w:r>
      <w:r w:rsidRPr="00F5723F">
        <w:rPr>
          <w:rFonts w:ascii="Arial" w:hAnsi="Arial" w:cs="Arial"/>
          <w:sz w:val="16"/>
          <w:szCs w:val="16"/>
        </w:rPr>
        <w:t>te under de senaste valperioderna</w:t>
      </w:r>
      <w:r w:rsidRPr="00F5723F">
        <w:rPr>
          <w:rFonts w:ascii="Arial" w:hAnsi="Arial" w:cs="Arial"/>
        </w:rPr>
        <w:t>.</w:t>
      </w:r>
    </w:p>
    <w:p w:rsidR="00B43C57" w:rsidRPr="00F5723F" w:rsidRDefault="00B43C57">
      <w:pPr>
        <w:pStyle w:val="Normaltindrag"/>
      </w:pPr>
    </w:p>
    <w:p w:rsidR="00B43C57" w:rsidRPr="00F5723F" w:rsidRDefault="00B43C57">
      <w:pPr>
        <w:rPr>
          <w:rFonts w:ascii="Arial" w:hAnsi="Arial" w:cs="Arial"/>
        </w:rPr>
      </w:pPr>
      <w:r w:rsidRPr="00F5723F">
        <w:t>Av figuren framgår också att utskottens sammanträdestid varierar mellan olika valperioder, och även om den långsiktiga trenden är mindre sammantr</w:t>
      </w:r>
      <w:r w:rsidRPr="00F5723F">
        <w:t>ä</w:t>
      </w:r>
      <w:r w:rsidRPr="00F5723F">
        <w:t>destid är utvecklingen inte alltid sådan att sammanträdena blir kortare och kortare för varje riksmöte. I vissa utskott är variationerna mellan olika rik</w:t>
      </w:r>
      <w:r w:rsidRPr="00F5723F">
        <w:t>s</w:t>
      </w:r>
      <w:r w:rsidRPr="00F5723F">
        <w:t>möten mycket stora, vilket torde medföra ett stort mått av ryckighet i deras verksamhet. Jämförs utskottens sammanträdestid under de senaste tio riksm</w:t>
      </w:r>
      <w:r w:rsidRPr="00F5723F">
        <w:t>ö</w:t>
      </w:r>
      <w:r w:rsidRPr="00F5723F">
        <w:t>tena (1994/95–2003/04) framkommer att riksmötet med mest sammanträde</w:t>
      </w:r>
      <w:r w:rsidRPr="00F5723F">
        <w:t>s</w:t>
      </w:r>
      <w:r w:rsidRPr="00F5723F">
        <w:t>tid mer än dubbelt så många sammanträdestimmar som riksmötet med för hela elva utskott innehöll minst sammanträdestid. Störst har variati</w:t>
      </w:r>
      <w:r w:rsidRPr="00F5723F">
        <w:t>onen rel</w:t>
      </w:r>
      <w:r w:rsidRPr="00F5723F">
        <w:t>a</w:t>
      </w:r>
      <w:r w:rsidRPr="00F5723F">
        <w:t>tivt sett varit för bostads-, skatte- och utbildningsutskotten. De u</w:t>
      </w:r>
      <w:r w:rsidRPr="00F5723F">
        <w:t>t</w:t>
      </w:r>
      <w:r w:rsidRPr="00F5723F">
        <w:t>skott med relativt sett minst variation över den studerade perioden, det vill säga vars sammanträdestid varit stabilast, har varit konstitutions-, närings- och socialu</w:t>
      </w:r>
      <w:r w:rsidRPr="00F5723F">
        <w:t>t</w:t>
      </w:r>
      <w:r w:rsidRPr="00F5723F">
        <w:t>sko</w:t>
      </w:r>
      <w:r w:rsidRPr="00F5723F">
        <w:t>t</w:t>
      </w:r>
      <w:r w:rsidRPr="00F5723F">
        <w:t xml:space="preserve">ten. Även i dessa har variationen dock varit förhållandevis omfattande; </w:t>
      </w:r>
      <w:r w:rsidRPr="00F5723F">
        <w:lastRenderedPageBreak/>
        <w:t>riksmöt</w:t>
      </w:r>
      <w:r w:rsidRPr="00F5723F">
        <w:t>e</w:t>
      </w:r>
      <w:r w:rsidRPr="00F5723F">
        <w:t>na med mest sammanträdestid har innehållit omkring 1,5 gånger så många sammanträdestimmar som riksmötena med minst sammanträde</w:t>
      </w:r>
      <w:r w:rsidRPr="00F5723F">
        <w:t>s</w:t>
      </w:r>
      <w:r w:rsidRPr="00F5723F">
        <w:t>tid.</w:t>
      </w:r>
    </w:p>
    <w:p w:rsidR="00B43C57" w:rsidRPr="00F5723F" w:rsidRDefault="00B43C57">
      <w:pPr>
        <w:pStyle w:val="Rubrik3"/>
        <w:rPr>
          <w:noProof w:val="0"/>
        </w:rPr>
      </w:pPr>
      <w:bookmarkStart w:id="47" w:name="_Toc124697792"/>
      <w:r w:rsidRPr="00F5723F">
        <w:rPr>
          <w:noProof w:val="0"/>
        </w:rPr>
        <w:t>Samband mellan sammanträdestid och ärendemängd med</w:t>
      </w:r>
      <w:r w:rsidRPr="00F5723F">
        <w:rPr>
          <w:noProof w:val="0"/>
        </w:rPr>
        <w:t xml:space="preserve"> mera</w:t>
      </w:r>
      <w:bookmarkEnd w:id="47"/>
    </w:p>
    <w:p w:rsidR="00B43C57" w:rsidRPr="00F5723F" w:rsidRDefault="00B43C57">
      <w:r w:rsidRPr="00F5723F">
        <w:t>Samtidigt som den långsiktiga trenden är att sammanträdestiden i utsko</w:t>
      </w:r>
      <w:r w:rsidRPr="00F5723F">
        <w:t>t</w:t>
      </w:r>
      <w:r w:rsidRPr="00F5723F">
        <w:t>ten minskar kan den alltså öka från ett år till ett annat. Som tidigare påpekats av Riksdagsutredningen torde utskottens arbetssituation påverkas starkt av vilka politiska områden som är aktuella. Under en viss period kan till exempel arbetsrätts</w:t>
      </w:r>
      <w:r w:rsidRPr="00F5723F">
        <w:softHyphen/>
        <w:t>frågor vara på den politiska agendan, varpå arbetsmarknadsutsko</w:t>
      </w:r>
      <w:r w:rsidRPr="00F5723F">
        <w:t>t</w:t>
      </w:r>
      <w:r w:rsidRPr="00F5723F">
        <w:t>tet får en ökad arbetsbelastning. Under en annan period kan till exempel fö</w:t>
      </w:r>
      <w:r w:rsidRPr="00F5723F">
        <w:t>r</w:t>
      </w:r>
      <w:r w:rsidRPr="00F5723F">
        <w:t>ändringar inom skolan vara omfattande, varpå utbildningsutskottets arbetsb</w:t>
      </w:r>
      <w:r w:rsidRPr="00F5723F">
        <w:t>e</w:t>
      </w:r>
      <w:r w:rsidRPr="00F5723F">
        <w:t xml:space="preserve">lastning ökar. </w:t>
      </w:r>
    </w:p>
    <w:p w:rsidR="00B43C57" w:rsidRPr="00F5723F" w:rsidRDefault="00B43C57">
      <w:pPr>
        <w:pStyle w:val="Normaltindrag"/>
      </w:pPr>
      <w:r w:rsidRPr="00F5723F">
        <w:t>Mot denna bakgrund bör frågan stä</w:t>
      </w:r>
      <w:r w:rsidRPr="00F5723F">
        <w:t>llas i vad mån ärendemängden i form av re</w:t>
      </w:r>
      <w:r w:rsidRPr="00F5723F">
        <w:softHyphen/>
      </w:r>
      <w:r w:rsidRPr="00F5723F">
        <w:t>mitte</w:t>
      </w:r>
      <w:r w:rsidRPr="00F5723F">
        <w:softHyphen/>
      </w:r>
      <w:r w:rsidRPr="00F5723F">
        <w:t>rade propositioner och motioner har betydelse för utskottens sa</w:t>
      </w:r>
      <w:r w:rsidRPr="00F5723F">
        <w:t>m</w:t>
      </w:r>
      <w:r w:rsidRPr="00F5723F">
        <w:t>mantr</w:t>
      </w:r>
      <w:r w:rsidRPr="00F5723F">
        <w:t>ä</w:t>
      </w:r>
      <w:r w:rsidRPr="00F5723F">
        <w:t>destid. En ökning i antalet remitterade propositioner och motioner till ett utskott innebär mer arbete för utskottet, vilket i sin tur borde märkas i längre samma</w:t>
      </w:r>
      <w:r w:rsidRPr="00F5723F">
        <w:t>n</w:t>
      </w:r>
      <w:r w:rsidRPr="00F5723F">
        <w:t>trädestid. Om det inte finns ett samband mellan å ena sidan antal remitterade propositioner och motioner och å andra sidan sammantr</w:t>
      </w:r>
      <w:r w:rsidRPr="00F5723F">
        <w:t>ä</w:t>
      </w:r>
      <w:r w:rsidRPr="00F5723F">
        <w:t>destid kan upp- och nedgångar i utskottens sammanträdestider inte förklaras med en ökad arbet</w:t>
      </w:r>
      <w:r w:rsidRPr="00F5723F">
        <w:t>s</w:t>
      </w:r>
      <w:r w:rsidRPr="00F5723F">
        <w:t>börda</w:t>
      </w:r>
      <w:r w:rsidRPr="00F5723F">
        <w:t>.</w:t>
      </w:r>
    </w:p>
    <w:p w:rsidR="00B43C57" w:rsidRPr="00F5723F" w:rsidRDefault="00B43C57">
      <w:pPr>
        <w:pStyle w:val="Normaltindrag"/>
      </w:pPr>
      <w:r w:rsidRPr="00F5723F">
        <w:t>I tabell 4:3 redovisas sambandet mellan ärendemängd och utskottssa</w:t>
      </w:r>
      <w:r w:rsidRPr="00F5723F">
        <w:t>m</w:t>
      </w:r>
      <w:r w:rsidRPr="00F5723F">
        <w:t>man</w:t>
      </w:r>
      <w:r w:rsidRPr="00F5723F">
        <w:softHyphen/>
        <w:t>trädestid under den senaste tioårsperioden. Förutom antalet remitterade pr</w:t>
      </w:r>
      <w:r w:rsidRPr="00F5723F">
        <w:t>o</w:t>
      </w:r>
      <w:r w:rsidRPr="00F5723F">
        <w:t>positioner och motioner måste vid en sådan analys hänsyn tas till ett antal andra faktorer. För det första har det, som framgått ovan, skett en långsiktig och generell nedgång i utskottens sammanträdestider. Hänsyn måste därför tas till under vilken valperiod sammanträdet äger rum. För det andra varierar uppgifterna och arbetsformerna i olika utskott, vilket i sin tur kan påverka deras sammanträdestid; som ju framgått ovan varie</w:t>
      </w:r>
      <w:r w:rsidRPr="00F5723F">
        <w:t>rar samma</w:t>
      </w:r>
      <w:r w:rsidRPr="00F5723F">
        <w:t>n</w:t>
      </w:r>
      <w:r w:rsidRPr="00F5723F">
        <w:t>trädestiden kraftigt mellan olika utskott. Av den anledningen bör hänsyn även tas till eventuella skillnader mellan olika utskott.</w:t>
      </w:r>
    </w:p>
    <w:p w:rsidR="00B43C57" w:rsidRPr="00F5723F" w:rsidRDefault="00B43C57">
      <w:pPr>
        <w:pStyle w:val="Normaltindrag"/>
      </w:pPr>
      <w:r w:rsidRPr="00F5723F">
        <w:t>Av tabellen framgår att det finns ett positivt samband mellan motion</w:t>
      </w:r>
      <w:r w:rsidRPr="00F5723F">
        <w:t>s</w:t>
      </w:r>
      <w:r w:rsidRPr="00F5723F">
        <w:t>mängd och sammanträdestid. Resultatet är alltså det förväntade. När, som ovan a</w:t>
      </w:r>
      <w:r w:rsidRPr="00F5723F">
        <w:t>n</w:t>
      </w:r>
      <w:r w:rsidRPr="00F5723F">
        <w:t>förts, hänsyn tas till att utskottens sammanträdestid generellt sett minskar för varje år och att olika utskott sammanträder olika mycket så leder 100 extra motioner från den allmänna motionstiden till i genomsnitt knappt fem ti</w:t>
      </w:r>
      <w:r w:rsidRPr="00F5723F">
        <w:t>m</w:t>
      </w:r>
      <w:r w:rsidRPr="00F5723F">
        <w:t>mars längre sammanträdestid per riksmöte. Vidare framgår att 10 extra följdmotioner leder till i genomsnitt knappt tre timmars sammanträde</w:t>
      </w:r>
      <w:r w:rsidRPr="00F5723F">
        <w:t>s</w:t>
      </w:r>
      <w:r w:rsidRPr="00F5723F">
        <w:t>tid per riksmöte. Däremot finns inget positivt samband mellan a</w:t>
      </w:r>
      <w:r w:rsidRPr="00F5723F">
        <w:t>ntal propos</w:t>
      </w:r>
      <w:r w:rsidRPr="00F5723F">
        <w:t>i</w:t>
      </w:r>
      <w:r w:rsidRPr="00F5723F">
        <w:t>tioner och sammanträdestid, det vill säga fler propositioner leder inte själ</w:t>
      </w:r>
      <w:r w:rsidRPr="00F5723F">
        <w:t>v</w:t>
      </w:r>
      <w:r w:rsidRPr="00F5723F">
        <w:t>klart till längre sammanträdestid. Förklaringen till det torde vara att propos</w:t>
      </w:r>
      <w:r w:rsidRPr="00F5723F">
        <w:t>i</w:t>
      </w:r>
      <w:r w:rsidRPr="00F5723F">
        <w:t>tionerna varierar i omfång, och det är framför allt i samband med mer omfa</w:t>
      </w:r>
      <w:r w:rsidRPr="00F5723F">
        <w:t>t</w:t>
      </w:r>
      <w:r w:rsidRPr="00F5723F">
        <w:t>tande propositioner som utskottens arbetsbelastning och, som en konsekvens av det, sammantr</w:t>
      </w:r>
      <w:r w:rsidRPr="00F5723F">
        <w:t>ä</w:t>
      </w:r>
      <w:r w:rsidRPr="00F5723F">
        <w:t>destid påverkas nämnvärt. En sådan tolkning stöds också av att följdmotioner, som sannolikt i större utsträckning väcks med anledning av mer omfattande propositioner, har positi</w:t>
      </w:r>
      <w:r w:rsidRPr="00F5723F">
        <w:t>vt samband med sammanträdestid.</w:t>
      </w:r>
    </w:p>
    <w:p w:rsidR="00B43C57" w:rsidRPr="00F5723F" w:rsidRDefault="00B43C57">
      <w:pPr>
        <w:pStyle w:val="Normaltindrag"/>
      </w:pPr>
      <w:r w:rsidRPr="00F5723F">
        <w:lastRenderedPageBreak/>
        <w:t>I övrigt bekräftar resultaten i tabellen dels att utskottens sammanträdestid har minskat de senaste tio åren, dels att konstitutionsutskottet sammanträder i betydligt större utsträckning än övriga utskott, med undantag för utrikes</w:t>
      </w:r>
      <w:r w:rsidRPr="00F5723F">
        <w:softHyphen/>
        <w:t>utskottet. Det vill säga att även vid kontroll för antalet remitterade propositi</w:t>
      </w:r>
      <w:r w:rsidRPr="00F5723F">
        <w:t>o</w:t>
      </w:r>
      <w:r w:rsidRPr="00F5723F">
        <w:t>ner och motioner är trenden den att utskotten sammanträder allt mindre och att konstitutions- och utrikesutskotten sammanträder mer än övriga utskott. Vad gäller konstitutions- och utrikesutskotten torde förklaringen ligga i att en stor del av dessa utskotts bokförda sammanträdestid går åt till annat än al</w:t>
      </w:r>
      <w:r w:rsidRPr="00F5723F">
        <w:t>l</w:t>
      </w:r>
      <w:r w:rsidRPr="00F5723F">
        <w:t>männa ärenden, i konstitutionsutskottets fall granskning av r</w:t>
      </w:r>
      <w:r w:rsidRPr="00F5723F">
        <w:t>e</w:t>
      </w:r>
      <w:r w:rsidRPr="00F5723F">
        <w:t xml:space="preserve">geringen och i utrikesutskottets fall mottagningar av besök </w:t>
      </w:r>
      <w:r w:rsidRPr="00F5723F">
        <w:t>med mera</w:t>
      </w:r>
    </w:p>
    <w:p w:rsidR="00B43C57" w:rsidRPr="00F5723F" w:rsidRDefault="00B43C57">
      <w:pPr>
        <w:pStyle w:val="Tabellrubrik"/>
      </w:pPr>
      <w:r w:rsidRPr="00F5723F">
        <w:t>TAbell 4:3 ärendemängd och sammanträdes</w:t>
      </w:r>
      <w:r w:rsidRPr="00F5723F">
        <w:softHyphen/>
        <w:t>timmar (Multivariat regression</w:t>
      </w:r>
      <w:r w:rsidRPr="00F5723F">
        <w:t>s</w:t>
      </w:r>
      <w:r w:rsidRPr="00F5723F">
        <w:t>analys)</w:t>
      </w:r>
    </w:p>
    <w:tbl>
      <w:tblPr>
        <w:tblW w:w="6126" w:type="dxa"/>
        <w:tblLayout w:type="fixed"/>
        <w:tblCellMar>
          <w:left w:w="30" w:type="dxa"/>
          <w:right w:w="30" w:type="dxa"/>
        </w:tblCellMar>
        <w:tblLook w:val="0000" w:firstRow="0" w:lastRow="0" w:firstColumn="0" w:lastColumn="0" w:noHBand="0" w:noVBand="0"/>
      </w:tblPr>
      <w:tblGrid>
        <w:gridCol w:w="3716"/>
        <w:gridCol w:w="142"/>
        <w:gridCol w:w="708"/>
        <w:gridCol w:w="709"/>
        <w:gridCol w:w="851"/>
      </w:tblGrid>
      <w:tr w:rsidR="00000000" w:rsidRPr="00F5723F">
        <w:tblPrEx>
          <w:tblCellMar>
            <w:top w:w="0" w:type="dxa"/>
            <w:bottom w:w="0" w:type="dxa"/>
          </w:tblCellMar>
        </w:tblPrEx>
        <w:trPr>
          <w:cantSplit/>
          <w:trHeight w:val="247"/>
        </w:trPr>
        <w:tc>
          <w:tcPr>
            <w:tcW w:w="3716" w:type="dxa"/>
            <w:tcBorders>
              <w:top w:val="single" w:sz="4" w:space="0" w:color="auto"/>
              <w:bottom w:val="single" w:sz="4" w:space="0" w:color="auto"/>
            </w:tcBorders>
          </w:tcPr>
          <w:p w:rsidR="00B43C57" w:rsidRPr="00F5723F" w:rsidRDefault="00B43C57">
            <w:pPr>
              <w:pStyle w:val="Tabelltext"/>
              <w:spacing w:line="180" w:lineRule="exact"/>
              <w:rPr>
                <w:snapToGrid w:val="0"/>
              </w:rPr>
            </w:pPr>
            <w:r w:rsidRPr="00F5723F">
              <w:rPr>
                <w:snapToGrid w:val="0"/>
              </w:rPr>
              <w:br/>
              <w:t>Oberoende variabel</w:t>
            </w:r>
          </w:p>
        </w:tc>
        <w:tc>
          <w:tcPr>
            <w:tcW w:w="1559" w:type="dxa"/>
            <w:gridSpan w:val="3"/>
            <w:tcBorders>
              <w:top w:val="single" w:sz="4" w:space="0" w:color="auto"/>
              <w:bottom w:val="single" w:sz="4" w:space="0" w:color="auto"/>
            </w:tcBorders>
          </w:tcPr>
          <w:p w:rsidR="00B43C57" w:rsidRPr="00F5723F" w:rsidRDefault="00B43C57">
            <w:pPr>
              <w:pStyle w:val="Tabelltext"/>
              <w:spacing w:line="180" w:lineRule="exact"/>
              <w:jc w:val="center"/>
              <w:rPr>
                <w:snapToGrid w:val="0"/>
              </w:rPr>
            </w:pPr>
            <w:r w:rsidRPr="00F5723F">
              <w:rPr>
                <w:snapToGrid w:val="0"/>
              </w:rPr>
              <w:t>Ostandardiserad koefficient</w:t>
            </w:r>
          </w:p>
        </w:tc>
        <w:tc>
          <w:tcPr>
            <w:tcW w:w="851" w:type="dxa"/>
            <w:tcBorders>
              <w:top w:val="single" w:sz="4" w:space="0" w:color="auto"/>
              <w:bottom w:val="single" w:sz="4" w:space="0" w:color="auto"/>
            </w:tcBorders>
          </w:tcPr>
          <w:p w:rsidR="00B43C57" w:rsidRPr="00F5723F" w:rsidRDefault="00B43C57">
            <w:pPr>
              <w:pStyle w:val="Tabelltext"/>
              <w:spacing w:line="180" w:lineRule="exact"/>
              <w:rPr>
                <w:snapToGrid w:val="0"/>
              </w:rPr>
            </w:pPr>
            <w:r w:rsidRPr="00F5723F">
              <w:rPr>
                <w:snapToGrid w:val="0"/>
              </w:rPr>
              <w:br/>
              <w:t>Standar</w:t>
            </w:r>
            <w:r w:rsidRPr="00F5723F">
              <w:rPr>
                <w:snapToGrid w:val="0"/>
              </w:rPr>
              <w:t>d</w:t>
            </w:r>
            <w:r w:rsidRPr="00F5723F">
              <w:rPr>
                <w:snapToGrid w:val="0"/>
              </w:rPr>
              <w:t>fel</w:t>
            </w:r>
          </w:p>
        </w:tc>
      </w:tr>
      <w:tr w:rsidR="00000000" w:rsidRPr="00F5723F">
        <w:tblPrEx>
          <w:tblCellMar>
            <w:top w:w="0" w:type="dxa"/>
            <w:bottom w:w="0" w:type="dxa"/>
          </w:tblCellMar>
        </w:tblPrEx>
        <w:trPr>
          <w:trHeight w:val="247"/>
        </w:trPr>
        <w:tc>
          <w:tcPr>
            <w:tcW w:w="3858" w:type="dxa"/>
            <w:gridSpan w:val="2"/>
            <w:tcBorders>
              <w:top w:val="single" w:sz="4" w:space="0" w:color="auto"/>
            </w:tcBorders>
          </w:tcPr>
          <w:p w:rsidR="00B43C57" w:rsidRPr="00F5723F" w:rsidRDefault="00B43C57">
            <w:pPr>
              <w:pStyle w:val="Tabelltext"/>
              <w:spacing w:line="180" w:lineRule="exact"/>
              <w:rPr>
                <w:snapToGrid w:val="0"/>
              </w:rPr>
            </w:pPr>
            <w:r w:rsidRPr="00F5723F">
              <w:rPr>
                <w:snapToGrid w:val="0"/>
              </w:rPr>
              <w:t>Propositioner</w:t>
            </w:r>
          </w:p>
        </w:tc>
        <w:tc>
          <w:tcPr>
            <w:tcW w:w="708" w:type="dxa"/>
            <w:tcBorders>
              <w:top w:val="single" w:sz="4" w:space="0" w:color="auto"/>
            </w:tcBorders>
          </w:tcPr>
          <w:p w:rsidR="00B43C57" w:rsidRPr="00F5723F" w:rsidRDefault="00B43C57">
            <w:pPr>
              <w:pStyle w:val="Tabelltextsiffror"/>
              <w:spacing w:line="180" w:lineRule="exact"/>
              <w:rPr>
                <w:snapToGrid w:val="0"/>
              </w:rPr>
            </w:pPr>
            <w:r w:rsidRPr="00F5723F">
              <w:rPr>
                <w:snapToGrid w:val="0"/>
              </w:rPr>
              <w:t>–0,4</w:t>
            </w:r>
          </w:p>
        </w:tc>
        <w:tc>
          <w:tcPr>
            <w:tcW w:w="709" w:type="dxa"/>
            <w:tcBorders>
              <w:top w:val="single" w:sz="4" w:space="0" w:color="auto"/>
            </w:tcBorders>
          </w:tcPr>
          <w:p w:rsidR="00B43C57" w:rsidRPr="00F5723F" w:rsidRDefault="00B43C57">
            <w:pPr>
              <w:pStyle w:val="Tabelltextsiffror"/>
              <w:spacing w:line="180" w:lineRule="exact"/>
              <w:rPr>
                <w:snapToGrid w:val="0"/>
              </w:rPr>
            </w:pPr>
          </w:p>
        </w:tc>
        <w:tc>
          <w:tcPr>
            <w:tcW w:w="851" w:type="dxa"/>
            <w:tcBorders>
              <w:top w:val="single" w:sz="4" w:space="0" w:color="auto"/>
            </w:tcBorders>
          </w:tcPr>
          <w:p w:rsidR="00B43C57" w:rsidRPr="00F5723F" w:rsidRDefault="00B43C57">
            <w:pPr>
              <w:pStyle w:val="Tabelltextsiffror"/>
              <w:tabs>
                <w:tab w:val="decimal" w:pos="427"/>
              </w:tabs>
              <w:spacing w:line="180" w:lineRule="exact"/>
              <w:jc w:val="left"/>
              <w:rPr>
                <w:snapToGrid w:val="0"/>
              </w:rPr>
            </w:pPr>
            <w:r w:rsidRPr="00F5723F">
              <w:rPr>
                <w:snapToGrid w:val="0"/>
              </w:rPr>
              <w:t>0,3</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Motioner från allmänna motionstiden (100-tal)</w:t>
            </w:r>
          </w:p>
        </w:tc>
        <w:tc>
          <w:tcPr>
            <w:tcW w:w="708" w:type="dxa"/>
          </w:tcPr>
          <w:p w:rsidR="00B43C57" w:rsidRPr="00F5723F" w:rsidRDefault="00B43C57">
            <w:pPr>
              <w:pStyle w:val="Tabelltextsiffror"/>
              <w:spacing w:line="180" w:lineRule="exact"/>
              <w:rPr>
                <w:snapToGrid w:val="0"/>
              </w:rPr>
            </w:pPr>
            <w:r w:rsidRPr="00F5723F">
              <w:rPr>
                <w:snapToGrid w:val="0"/>
              </w:rPr>
              <w:t>4,3</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2,4</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Följdmotioner (10-tal)</w:t>
            </w:r>
          </w:p>
        </w:tc>
        <w:tc>
          <w:tcPr>
            <w:tcW w:w="708" w:type="dxa"/>
          </w:tcPr>
          <w:p w:rsidR="00B43C57" w:rsidRPr="00F5723F" w:rsidRDefault="00B43C57">
            <w:pPr>
              <w:pStyle w:val="Tabelltextsiffror"/>
              <w:spacing w:line="180" w:lineRule="exact"/>
              <w:rPr>
                <w:snapToGrid w:val="0"/>
              </w:rPr>
            </w:pPr>
            <w:r w:rsidRPr="00F5723F">
              <w:rPr>
                <w:snapToGrid w:val="0"/>
              </w:rPr>
              <w:t>2,8</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0,7</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1996/97–1997/98</w:t>
            </w:r>
          </w:p>
        </w:tc>
        <w:tc>
          <w:tcPr>
            <w:tcW w:w="708" w:type="dxa"/>
          </w:tcPr>
          <w:p w:rsidR="00B43C57" w:rsidRPr="00F5723F" w:rsidRDefault="00B43C57">
            <w:pPr>
              <w:pStyle w:val="Tabelltextsiffror"/>
              <w:spacing w:line="180" w:lineRule="exact"/>
              <w:rPr>
                <w:snapToGrid w:val="0"/>
              </w:rPr>
            </w:pPr>
            <w:r w:rsidRPr="00F5723F">
              <w:rPr>
                <w:snapToGrid w:val="0"/>
              </w:rPr>
              <w:t>–2,2</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3,3</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1998/99–1999/2000</w:t>
            </w:r>
          </w:p>
        </w:tc>
        <w:tc>
          <w:tcPr>
            <w:tcW w:w="708" w:type="dxa"/>
          </w:tcPr>
          <w:p w:rsidR="00B43C57" w:rsidRPr="00F5723F" w:rsidRDefault="00B43C57">
            <w:pPr>
              <w:pStyle w:val="Tabelltextsiffror"/>
              <w:spacing w:line="180" w:lineRule="exact"/>
              <w:rPr>
                <w:snapToGrid w:val="0"/>
              </w:rPr>
            </w:pPr>
            <w:r w:rsidRPr="00F5723F">
              <w:rPr>
                <w:snapToGrid w:val="0"/>
              </w:rPr>
              <w:t>0,8</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3,4</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2000/01–2001/02</w:t>
            </w:r>
          </w:p>
        </w:tc>
        <w:tc>
          <w:tcPr>
            <w:tcW w:w="708" w:type="dxa"/>
          </w:tcPr>
          <w:p w:rsidR="00B43C57" w:rsidRPr="00F5723F" w:rsidRDefault="00B43C57">
            <w:pPr>
              <w:pStyle w:val="Tabelltextsiffror"/>
              <w:spacing w:line="180" w:lineRule="exact"/>
              <w:rPr>
                <w:snapToGrid w:val="0"/>
              </w:rPr>
            </w:pPr>
            <w:r w:rsidRPr="00F5723F">
              <w:rPr>
                <w:snapToGrid w:val="0"/>
              </w:rPr>
              <w:t>–7,0</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3,7</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2002/03–2003/04</w:t>
            </w:r>
          </w:p>
        </w:tc>
        <w:tc>
          <w:tcPr>
            <w:tcW w:w="708" w:type="dxa"/>
          </w:tcPr>
          <w:p w:rsidR="00B43C57" w:rsidRPr="00F5723F" w:rsidRDefault="00B43C57">
            <w:pPr>
              <w:pStyle w:val="Tabelltextsiffror"/>
              <w:spacing w:line="180" w:lineRule="exact"/>
              <w:rPr>
                <w:snapToGrid w:val="0"/>
              </w:rPr>
            </w:pPr>
            <w:r w:rsidRPr="00F5723F">
              <w:rPr>
                <w:snapToGrid w:val="0"/>
              </w:rPr>
              <w:t>–11,0</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4,3</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FiU</w:t>
            </w:r>
          </w:p>
        </w:tc>
        <w:tc>
          <w:tcPr>
            <w:tcW w:w="708" w:type="dxa"/>
          </w:tcPr>
          <w:p w:rsidR="00B43C57" w:rsidRPr="00F5723F" w:rsidRDefault="00B43C57">
            <w:pPr>
              <w:pStyle w:val="Tabelltextsiffror"/>
              <w:spacing w:line="180" w:lineRule="exact"/>
              <w:rPr>
                <w:snapToGrid w:val="0"/>
              </w:rPr>
            </w:pPr>
            <w:r w:rsidRPr="00F5723F">
              <w:rPr>
                <w:snapToGrid w:val="0"/>
              </w:rPr>
              <w:t>–56,4</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5,4</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SkU</w:t>
            </w:r>
          </w:p>
        </w:tc>
        <w:tc>
          <w:tcPr>
            <w:tcW w:w="708" w:type="dxa"/>
          </w:tcPr>
          <w:p w:rsidR="00B43C57" w:rsidRPr="00F5723F" w:rsidRDefault="00B43C57">
            <w:pPr>
              <w:pStyle w:val="Tabelltextsiffror"/>
              <w:spacing w:line="180" w:lineRule="exact"/>
              <w:rPr>
                <w:snapToGrid w:val="0"/>
              </w:rPr>
            </w:pPr>
            <w:r w:rsidRPr="00F5723F">
              <w:rPr>
                <w:snapToGrid w:val="0"/>
              </w:rPr>
              <w:t>–74,4</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5,2</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JuU</w:t>
            </w:r>
          </w:p>
        </w:tc>
        <w:tc>
          <w:tcPr>
            <w:tcW w:w="708" w:type="dxa"/>
          </w:tcPr>
          <w:p w:rsidR="00B43C57" w:rsidRPr="00F5723F" w:rsidRDefault="00B43C57">
            <w:pPr>
              <w:pStyle w:val="Tabelltextsiffror"/>
              <w:spacing w:line="180" w:lineRule="exact"/>
              <w:rPr>
                <w:snapToGrid w:val="0"/>
              </w:rPr>
            </w:pPr>
            <w:r w:rsidRPr="00F5723F">
              <w:rPr>
                <w:snapToGrid w:val="0"/>
              </w:rPr>
              <w:t>–53,4</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5,1</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LU</w:t>
            </w:r>
          </w:p>
        </w:tc>
        <w:tc>
          <w:tcPr>
            <w:tcW w:w="708" w:type="dxa"/>
          </w:tcPr>
          <w:p w:rsidR="00B43C57" w:rsidRPr="00F5723F" w:rsidRDefault="00B43C57">
            <w:pPr>
              <w:pStyle w:val="Tabelltextsiffror"/>
              <w:spacing w:line="180" w:lineRule="exact"/>
              <w:rPr>
                <w:snapToGrid w:val="0"/>
              </w:rPr>
            </w:pPr>
            <w:r w:rsidRPr="00F5723F">
              <w:rPr>
                <w:snapToGrid w:val="0"/>
              </w:rPr>
              <w:t>–58,8</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5,2</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UU</w:t>
            </w:r>
          </w:p>
        </w:tc>
        <w:tc>
          <w:tcPr>
            <w:tcW w:w="708" w:type="dxa"/>
          </w:tcPr>
          <w:p w:rsidR="00B43C57" w:rsidRPr="00F5723F" w:rsidRDefault="00B43C57">
            <w:pPr>
              <w:pStyle w:val="Tabelltextsiffror"/>
              <w:spacing w:line="180" w:lineRule="exact"/>
              <w:rPr>
                <w:snapToGrid w:val="0"/>
              </w:rPr>
            </w:pPr>
            <w:r w:rsidRPr="00F5723F">
              <w:rPr>
                <w:snapToGrid w:val="0"/>
              </w:rPr>
              <w:t>–0,7</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5,1</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FöU</w:t>
            </w:r>
          </w:p>
        </w:tc>
        <w:tc>
          <w:tcPr>
            <w:tcW w:w="708" w:type="dxa"/>
          </w:tcPr>
          <w:p w:rsidR="00B43C57" w:rsidRPr="00F5723F" w:rsidRDefault="00B43C57">
            <w:pPr>
              <w:pStyle w:val="Tabelltextsiffror"/>
              <w:spacing w:line="180" w:lineRule="exact"/>
              <w:rPr>
                <w:snapToGrid w:val="0"/>
              </w:rPr>
            </w:pPr>
            <w:r w:rsidRPr="00F5723F">
              <w:rPr>
                <w:snapToGrid w:val="0"/>
              </w:rPr>
              <w:t>–36,6</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5,8</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SfU</w:t>
            </w:r>
          </w:p>
        </w:tc>
        <w:tc>
          <w:tcPr>
            <w:tcW w:w="708" w:type="dxa"/>
          </w:tcPr>
          <w:p w:rsidR="00B43C57" w:rsidRPr="00F5723F" w:rsidRDefault="00B43C57">
            <w:pPr>
              <w:pStyle w:val="Tabelltextsiffror"/>
              <w:spacing w:line="180" w:lineRule="exact"/>
              <w:rPr>
                <w:snapToGrid w:val="0"/>
              </w:rPr>
            </w:pPr>
            <w:r w:rsidRPr="00F5723F">
              <w:rPr>
                <w:snapToGrid w:val="0"/>
              </w:rPr>
              <w:t>–45,4</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4,7</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SoU</w:t>
            </w:r>
          </w:p>
        </w:tc>
        <w:tc>
          <w:tcPr>
            <w:tcW w:w="708" w:type="dxa"/>
          </w:tcPr>
          <w:p w:rsidR="00B43C57" w:rsidRPr="00F5723F" w:rsidRDefault="00B43C57">
            <w:pPr>
              <w:pStyle w:val="Tabelltextsiffror"/>
              <w:spacing w:line="180" w:lineRule="exact"/>
              <w:rPr>
                <w:snapToGrid w:val="0"/>
              </w:rPr>
            </w:pPr>
            <w:r w:rsidRPr="00F5723F">
              <w:rPr>
                <w:snapToGrid w:val="0"/>
              </w:rPr>
              <w:t>–71,7</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5,7</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KrU</w:t>
            </w:r>
          </w:p>
        </w:tc>
        <w:tc>
          <w:tcPr>
            <w:tcW w:w="708" w:type="dxa"/>
          </w:tcPr>
          <w:p w:rsidR="00B43C57" w:rsidRPr="00F5723F" w:rsidRDefault="00B43C57">
            <w:pPr>
              <w:pStyle w:val="Tabelltextsiffror"/>
              <w:spacing w:line="180" w:lineRule="exact"/>
              <w:rPr>
                <w:snapToGrid w:val="0"/>
              </w:rPr>
            </w:pPr>
            <w:r w:rsidRPr="00F5723F">
              <w:rPr>
                <w:snapToGrid w:val="0"/>
              </w:rPr>
              <w:t>–54,1</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5,3</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UbU</w:t>
            </w:r>
          </w:p>
        </w:tc>
        <w:tc>
          <w:tcPr>
            <w:tcW w:w="708" w:type="dxa"/>
          </w:tcPr>
          <w:p w:rsidR="00B43C57" w:rsidRPr="00F5723F" w:rsidRDefault="00B43C57">
            <w:pPr>
              <w:pStyle w:val="Tabelltextsiffror"/>
              <w:spacing w:line="180" w:lineRule="exact"/>
              <w:rPr>
                <w:snapToGrid w:val="0"/>
              </w:rPr>
            </w:pPr>
            <w:r w:rsidRPr="00F5723F">
              <w:rPr>
                <w:snapToGrid w:val="0"/>
              </w:rPr>
              <w:t>–68,5</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5,5</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TU</w:t>
            </w:r>
          </w:p>
        </w:tc>
        <w:tc>
          <w:tcPr>
            <w:tcW w:w="708" w:type="dxa"/>
          </w:tcPr>
          <w:p w:rsidR="00B43C57" w:rsidRPr="00F5723F" w:rsidRDefault="00B43C57">
            <w:pPr>
              <w:pStyle w:val="Tabelltextsiffror"/>
              <w:spacing w:line="180" w:lineRule="exact"/>
              <w:rPr>
                <w:snapToGrid w:val="0"/>
              </w:rPr>
            </w:pPr>
            <w:r w:rsidRPr="00F5723F">
              <w:rPr>
                <w:snapToGrid w:val="0"/>
              </w:rPr>
              <w:t>–69,3</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5,3</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MJU</w:t>
            </w:r>
          </w:p>
        </w:tc>
        <w:tc>
          <w:tcPr>
            <w:tcW w:w="708" w:type="dxa"/>
          </w:tcPr>
          <w:p w:rsidR="00B43C57" w:rsidRPr="00F5723F" w:rsidRDefault="00B43C57">
            <w:pPr>
              <w:pStyle w:val="Tabelltextsiffror"/>
              <w:spacing w:line="180" w:lineRule="exact"/>
              <w:rPr>
                <w:snapToGrid w:val="0"/>
              </w:rPr>
            </w:pPr>
            <w:r w:rsidRPr="00F5723F">
              <w:rPr>
                <w:snapToGrid w:val="0"/>
              </w:rPr>
              <w:t>–54,7</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5,1</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NU</w:t>
            </w:r>
          </w:p>
        </w:tc>
        <w:tc>
          <w:tcPr>
            <w:tcW w:w="708" w:type="dxa"/>
          </w:tcPr>
          <w:p w:rsidR="00B43C57" w:rsidRPr="00F5723F" w:rsidRDefault="00B43C57">
            <w:pPr>
              <w:pStyle w:val="Tabelltextsiffror"/>
              <w:spacing w:line="180" w:lineRule="exact"/>
              <w:rPr>
                <w:snapToGrid w:val="0"/>
              </w:rPr>
            </w:pPr>
            <w:r w:rsidRPr="00F5723F">
              <w:rPr>
                <w:snapToGrid w:val="0"/>
              </w:rPr>
              <w:t>–53,0</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4,7</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AU</w:t>
            </w:r>
          </w:p>
        </w:tc>
        <w:tc>
          <w:tcPr>
            <w:tcW w:w="708" w:type="dxa"/>
          </w:tcPr>
          <w:p w:rsidR="00B43C57" w:rsidRPr="00F5723F" w:rsidRDefault="00B43C57">
            <w:pPr>
              <w:pStyle w:val="Tabelltextsiffror"/>
              <w:spacing w:line="180" w:lineRule="exact"/>
              <w:rPr>
                <w:snapToGrid w:val="0"/>
              </w:rPr>
            </w:pPr>
            <w:r w:rsidRPr="00F5723F">
              <w:rPr>
                <w:snapToGrid w:val="0"/>
              </w:rPr>
              <w:t>–61,1</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4,9</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snapToGrid w:val="0"/>
              </w:rPr>
            </w:pPr>
            <w:r w:rsidRPr="00F5723F">
              <w:rPr>
                <w:snapToGrid w:val="0"/>
              </w:rPr>
              <w:t>BoU</w:t>
            </w:r>
          </w:p>
        </w:tc>
        <w:tc>
          <w:tcPr>
            <w:tcW w:w="708" w:type="dxa"/>
          </w:tcPr>
          <w:p w:rsidR="00B43C57" w:rsidRPr="00F5723F" w:rsidRDefault="00B43C57">
            <w:pPr>
              <w:pStyle w:val="Tabelltextsiffror"/>
              <w:spacing w:line="180" w:lineRule="exact"/>
              <w:rPr>
                <w:snapToGrid w:val="0"/>
              </w:rPr>
            </w:pPr>
            <w:r w:rsidRPr="00F5723F">
              <w:rPr>
                <w:snapToGrid w:val="0"/>
              </w:rPr>
              <w:t>–64,2</w:t>
            </w: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r w:rsidRPr="00F5723F">
              <w:rPr>
                <w:snapToGrid w:val="0"/>
              </w:rPr>
              <w:t>5,4</w:t>
            </w:r>
          </w:p>
        </w:tc>
      </w:tr>
      <w:tr w:rsidR="00000000" w:rsidRPr="00F5723F">
        <w:tblPrEx>
          <w:tblCellMar>
            <w:top w:w="0" w:type="dxa"/>
            <w:bottom w:w="0" w:type="dxa"/>
          </w:tblCellMar>
        </w:tblPrEx>
        <w:trPr>
          <w:trHeight w:val="247"/>
        </w:trPr>
        <w:tc>
          <w:tcPr>
            <w:tcW w:w="3858" w:type="dxa"/>
            <w:gridSpan w:val="2"/>
          </w:tcPr>
          <w:p w:rsidR="00B43C57" w:rsidRPr="00F5723F" w:rsidRDefault="00B43C57">
            <w:pPr>
              <w:pStyle w:val="Tabelltext"/>
              <w:spacing w:line="180" w:lineRule="exact"/>
              <w:rPr>
                <w:i/>
                <w:snapToGrid w:val="0"/>
              </w:rPr>
            </w:pPr>
            <w:r w:rsidRPr="00F5723F">
              <w:rPr>
                <w:i/>
                <w:snapToGrid w:val="0"/>
              </w:rPr>
              <w:t xml:space="preserve"> R</w:t>
            </w:r>
            <w:r w:rsidRPr="00F5723F">
              <w:rPr>
                <w:i/>
                <w:snapToGrid w:val="0"/>
                <w:vertAlign w:val="superscript"/>
              </w:rPr>
              <w:t>2</w:t>
            </w:r>
            <w:r w:rsidRPr="00F5723F">
              <w:rPr>
                <w:snapToGrid w:val="0"/>
              </w:rPr>
              <w:t xml:space="preserve"> = 0,84</w:t>
            </w:r>
          </w:p>
        </w:tc>
        <w:tc>
          <w:tcPr>
            <w:tcW w:w="708" w:type="dxa"/>
          </w:tcPr>
          <w:p w:rsidR="00B43C57" w:rsidRPr="00F5723F" w:rsidRDefault="00B43C57">
            <w:pPr>
              <w:pStyle w:val="Tabelltextsiffror"/>
              <w:spacing w:line="180" w:lineRule="exact"/>
              <w:rPr>
                <w:snapToGrid w:val="0"/>
              </w:rPr>
            </w:pPr>
          </w:p>
        </w:tc>
        <w:tc>
          <w:tcPr>
            <w:tcW w:w="709" w:type="dxa"/>
          </w:tcPr>
          <w:p w:rsidR="00B43C57" w:rsidRPr="00F5723F" w:rsidRDefault="00B43C57">
            <w:pPr>
              <w:pStyle w:val="Tabelltextsiffror"/>
              <w:spacing w:line="180" w:lineRule="exact"/>
              <w:rPr>
                <w:snapToGrid w:val="0"/>
              </w:rPr>
            </w:pPr>
          </w:p>
        </w:tc>
        <w:tc>
          <w:tcPr>
            <w:tcW w:w="851" w:type="dxa"/>
          </w:tcPr>
          <w:p w:rsidR="00B43C57" w:rsidRPr="00F5723F" w:rsidRDefault="00B43C57">
            <w:pPr>
              <w:pStyle w:val="Tabelltextsiffror"/>
              <w:tabs>
                <w:tab w:val="decimal" w:pos="427"/>
              </w:tabs>
              <w:spacing w:line="180" w:lineRule="exact"/>
              <w:jc w:val="left"/>
              <w:rPr>
                <w:snapToGrid w:val="0"/>
              </w:rPr>
            </w:pPr>
          </w:p>
        </w:tc>
      </w:tr>
      <w:tr w:rsidR="00000000" w:rsidRPr="00F5723F">
        <w:tblPrEx>
          <w:tblCellMar>
            <w:top w:w="0" w:type="dxa"/>
            <w:bottom w:w="0" w:type="dxa"/>
          </w:tblCellMar>
        </w:tblPrEx>
        <w:trPr>
          <w:trHeight w:val="247"/>
        </w:trPr>
        <w:tc>
          <w:tcPr>
            <w:tcW w:w="3858" w:type="dxa"/>
            <w:gridSpan w:val="2"/>
            <w:tcBorders>
              <w:bottom w:val="single" w:sz="4" w:space="0" w:color="auto"/>
            </w:tcBorders>
          </w:tcPr>
          <w:p w:rsidR="00B43C57" w:rsidRPr="00F5723F" w:rsidRDefault="00B43C57">
            <w:pPr>
              <w:pStyle w:val="Tabelltext"/>
              <w:spacing w:line="180" w:lineRule="exact"/>
              <w:rPr>
                <w:i/>
                <w:snapToGrid w:val="0"/>
              </w:rPr>
            </w:pPr>
            <w:r w:rsidRPr="00F5723F">
              <w:rPr>
                <w:i/>
                <w:snapToGrid w:val="0"/>
              </w:rPr>
              <w:t xml:space="preserve"> N</w:t>
            </w:r>
            <w:r w:rsidRPr="00F5723F">
              <w:rPr>
                <w:snapToGrid w:val="0"/>
              </w:rPr>
              <w:t xml:space="preserve"> = 144</w:t>
            </w:r>
          </w:p>
        </w:tc>
        <w:tc>
          <w:tcPr>
            <w:tcW w:w="708" w:type="dxa"/>
            <w:tcBorders>
              <w:bottom w:val="single" w:sz="4" w:space="0" w:color="auto"/>
            </w:tcBorders>
          </w:tcPr>
          <w:p w:rsidR="00B43C57" w:rsidRPr="00F5723F" w:rsidRDefault="00B43C57">
            <w:pPr>
              <w:pStyle w:val="Tabelltextsiffror"/>
              <w:spacing w:line="180" w:lineRule="exact"/>
              <w:rPr>
                <w:snapToGrid w:val="0"/>
              </w:rPr>
            </w:pPr>
          </w:p>
        </w:tc>
        <w:tc>
          <w:tcPr>
            <w:tcW w:w="709" w:type="dxa"/>
            <w:tcBorders>
              <w:bottom w:val="single" w:sz="4" w:space="0" w:color="auto"/>
            </w:tcBorders>
          </w:tcPr>
          <w:p w:rsidR="00B43C57" w:rsidRPr="00F5723F" w:rsidRDefault="00B43C57">
            <w:pPr>
              <w:pStyle w:val="Tabelltextsiffror"/>
              <w:spacing w:line="180" w:lineRule="exact"/>
              <w:rPr>
                <w:snapToGrid w:val="0"/>
              </w:rPr>
            </w:pPr>
          </w:p>
        </w:tc>
        <w:tc>
          <w:tcPr>
            <w:tcW w:w="851" w:type="dxa"/>
            <w:tcBorders>
              <w:bottom w:val="single" w:sz="4" w:space="0" w:color="auto"/>
            </w:tcBorders>
          </w:tcPr>
          <w:p w:rsidR="00B43C57" w:rsidRPr="00F5723F" w:rsidRDefault="00B43C57">
            <w:pPr>
              <w:pStyle w:val="Tabelltextsiffror"/>
              <w:tabs>
                <w:tab w:val="decimal" w:pos="427"/>
              </w:tabs>
              <w:spacing w:line="180" w:lineRule="exact"/>
              <w:jc w:val="left"/>
              <w:rPr>
                <w:snapToGrid w:val="0"/>
              </w:rPr>
            </w:pPr>
          </w:p>
        </w:tc>
      </w:tr>
    </w:tbl>
    <w:p w:rsidR="00B43C57" w:rsidRPr="00F5723F" w:rsidRDefault="00B43C57">
      <w:pPr>
        <w:spacing w:line="240" w:lineRule="auto"/>
        <w:rPr>
          <w:rFonts w:ascii="Arial" w:hAnsi="Arial" w:cs="Arial"/>
          <w:spacing w:val="-2"/>
          <w:sz w:val="16"/>
          <w:szCs w:val="16"/>
        </w:rPr>
      </w:pPr>
      <w:r w:rsidRPr="00F5723F">
        <w:rPr>
          <w:rFonts w:ascii="Arial" w:hAnsi="Arial" w:cs="Arial"/>
          <w:b/>
          <w:sz w:val="16"/>
          <w:szCs w:val="16"/>
        </w:rPr>
        <w:t>Kommentar:</w:t>
      </w:r>
      <w:r w:rsidRPr="00F5723F">
        <w:rPr>
          <w:rFonts w:ascii="Arial" w:hAnsi="Arial" w:cs="Arial"/>
          <w:sz w:val="16"/>
          <w:szCs w:val="16"/>
        </w:rPr>
        <w:t xml:space="preserve"> Analysenheter är respektive utskotts sammanträdestid under ett riksmöte. Riksmötet 1994/95 och konstitutionsutskottet utgör referenskategorier. Då det inte förekom någon allmän motionstid under 1995/96 års riksmöte (med anle</w:t>
      </w:r>
      <w:r w:rsidRPr="00F5723F">
        <w:rPr>
          <w:rFonts w:ascii="Arial" w:hAnsi="Arial" w:cs="Arial"/>
          <w:sz w:val="16"/>
          <w:szCs w:val="16"/>
        </w:rPr>
        <w:t>d</w:t>
      </w:r>
      <w:r w:rsidRPr="00F5723F">
        <w:rPr>
          <w:rFonts w:ascii="Arial" w:hAnsi="Arial" w:cs="Arial"/>
          <w:spacing w:val="-2"/>
          <w:sz w:val="16"/>
          <w:szCs w:val="16"/>
        </w:rPr>
        <w:t>ning av omläggningen till kalenderårsbudget) har det riksmötet uteslutits ur anal</w:t>
      </w:r>
      <w:r w:rsidRPr="00F5723F">
        <w:rPr>
          <w:rFonts w:ascii="Arial" w:hAnsi="Arial" w:cs="Arial"/>
          <w:spacing w:val="-2"/>
          <w:sz w:val="16"/>
          <w:szCs w:val="16"/>
        </w:rPr>
        <w:t>y</w:t>
      </w:r>
      <w:r w:rsidRPr="00F5723F">
        <w:rPr>
          <w:rFonts w:ascii="Arial" w:hAnsi="Arial" w:cs="Arial"/>
          <w:spacing w:val="-2"/>
          <w:sz w:val="16"/>
          <w:szCs w:val="16"/>
        </w:rPr>
        <w:t>sen.</w:t>
      </w:r>
    </w:p>
    <w:p w:rsidR="00B43C57" w:rsidRPr="00F5723F" w:rsidRDefault="00B43C57">
      <w:pPr>
        <w:pStyle w:val="Normaltindrag"/>
      </w:pPr>
    </w:p>
    <w:p w:rsidR="00B43C57" w:rsidRPr="00F5723F" w:rsidRDefault="00B43C57">
      <w:pPr>
        <w:spacing w:before="187"/>
      </w:pPr>
      <w:r w:rsidRPr="00F5723F">
        <w:t>Vidare framgår av tabellen att det även bland övriga utskott finns en vari</w:t>
      </w:r>
      <w:r w:rsidRPr="00F5723F">
        <w:t>a</w:t>
      </w:r>
      <w:r w:rsidRPr="00F5723F">
        <w:t xml:space="preserve">tion i sammanträdestiden. En låg regressionskoefficient i tabellen innebär att </w:t>
      </w:r>
      <w:r w:rsidRPr="00F5723F">
        <w:lastRenderedPageBreak/>
        <w:t>sammanträdestiden, vid kontroll för ärendemängd, är kort. Lägst koefficient har skatteutskottet (–74,4) och högst har försvarsutskottet (–36,6). Även om dessa två utskott hade haft lika stor ärendemängd (propositioner och moti</w:t>
      </w:r>
      <w:r w:rsidRPr="00F5723F">
        <w:t>o</w:t>
      </w:r>
      <w:r w:rsidRPr="00F5723F">
        <w:t xml:space="preserve">ner) skulle, enligt dessa resultat, försvarsutskottet haft i genomsnitt nästan 40 fler sammanträdestimmar per riksmöte än skatteutskottet. Skillnaden mellan utskotten kan ha flera orsaker. En möjlig orsak </w:t>
      </w:r>
      <w:r w:rsidRPr="00F5723F">
        <w:t>skulle kunna vara att skatteu</w:t>
      </w:r>
      <w:r w:rsidRPr="00F5723F">
        <w:t>t</w:t>
      </w:r>
      <w:r w:rsidRPr="00F5723F">
        <w:t>skottet är mer effektivt i sin beredning av olika ärenden. En annan skulle kunna vara att skatteutskottets ärenden är mindre omfattande och därför tar mindre tid i anspråk. En tredje orsak skulle kunna vara att fö</w:t>
      </w:r>
      <w:r w:rsidRPr="00F5723F">
        <w:t>r</w:t>
      </w:r>
      <w:r w:rsidRPr="00F5723F">
        <w:t>svarsutskottet – liksom konstitutions- och utrikesutskotten – men inte ska</w:t>
      </w:r>
      <w:r w:rsidRPr="00F5723F">
        <w:t>t</w:t>
      </w:r>
      <w:r w:rsidRPr="00F5723F">
        <w:t xml:space="preserve">teutskottet ägnar en stor del av sammanträdestiden åt annat än beredning av propositioner och motioner. </w:t>
      </w:r>
    </w:p>
    <w:p w:rsidR="00B43C57" w:rsidRPr="00F5723F" w:rsidRDefault="00B43C57">
      <w:pPr>
        <w:pStyle w:val="Rubrik3"/>
        <w:rPr>
          <w:noProof w:val="0"/>
        </w:rPr>
      </w:pPr>
      <w:bookmarkStart w:id="48" w:name="_Toc121738899"/>
      <w:bookmarkStart w:id="49" w:name="_Toc124697793"/>
      <w:r w:rsidRPr="00F5723F">
        <w:rPr>
          <w:noProof w:val="0"/>
        </w:rPr>
        <w:t>Sammanträdesbehov</w:t>
      </w:r>
      <w:bookmarkEnd w:id="48"/>
      <w:bookmarkEnd w:id="49"/>
    </w:p>
    <w:p w:rsidR="00B43C57" w:rsidRPr="00F5723F" w:rsidRDefault="00B43C57">
      <w:r w:rsidRPr="00F5723F">
        <w:t>Samtidigt som utskottens sammanträdestid minskar har antalet motioner och propositioner ökat (se avsnittet Produktion). Eftersom ärendemängden påve</w:t>
      </w:r>
      <w:r w:rsidRPr="00F5723F">
        <w:t>r</w:t>
      </w:r>
      <w:r w:rsidRPr="00F5723F">
        <w:t>kar sammanträdestiden borde utvecklingen snarare vara att utskottens sa</w:t>
      </w:r>
      <w:r w:rsidRPr="00F5723F">
        <w:t>m</w:t>
      </w:r>
      <w:r w:rsidRPr="00F5723F">
        <w:t>manträdestid ökar. En fråga är därför om utskotten i dag sammanträder för lite mot bakgrund av det arbete de har att utföra.</w:t>
      </w:r>
    </w:p>
    <w:p w:rsidR="00B43C57" w:rsidRPr="00F5723F" w:rsidRDefault="00B43C57">
      <w:pPr>
        <w:pStyle w:val="Normaltindrag"/>
      </w:pPr>
      <w:r w:rsidRPr="00F5723F">
        <w:t>Svaret som ges av utskottskanslierna är att så inte är fallet. Det stora flert</w:t>
      </w:r>
      <w:r w:rsidRPr="00F5723F">
        <w:t>a</w:t>
      </w:r>
      <w:r w:rsidRPr="00F5723F">
        <w:t>let anser att det egna utskottet sammanträder lagom i förhållande till dess uppgi</w:t>
      </w:r>
      <w:r w:rsidRPr="00F5723F">
        <w:t>f</w:t>
      </w:r>
      <w:r w:rsidRPr="00F5723F">
        <w:t>ter. Ett mindre antal kanslier anser att utskottet borde sammanträda något mer än i dag. De utskott som anses ha detta behov är sådana som i dag kännetec</w:t>
      </w:r>
      <w:r w:rsidRPr="00F5723F">
        <w:t>k</w:t>
      </w:r>
      <w:r w:rsidRPr="00F5723F">
        <w:t>nas av förhållandevis lite sammanträdestid. Inget kansli anser att det egna utskottet bör sammanträda klart mer än i dag. Att sammanträdest</w:t>
      </w:r>
      <w:r w:rsidRPr="00F5723F">
        <w:t>i</w:t>
      </w:r>
      <w:r w:rsidRPr="00F5723F">
        <w:t>den minskat parallellt med att arbetsbelastningen ökat, åtminstone sett till m</w:t>
      </w:r>
      <w:r w:rsidRPr="00F5723F">
        <w:t>o</w:t>
      </w:r>
      <w:r w:rsidRPr="00F5723F">
        <w:t>tionsfloden, förefaller med andra ord inte ha medfört nå</w:t>
      </w:r>
      <w:r w:rsidRPr="00F5723F">
        <w:t>got större pr</w:t>
      </w:r>
      <w:r w:rsidRPr="00F5723F">
        <w:t>o</w:t>
      </w:r>
      <w:r w:rsidRPr="00F5723F">
        <w:t>blem. Förklaringen till det torde stå att finna i att utskottens arbetsformer har ändrats till att bli mer effektiva, till exempel när det gäller föredragningar och hante</w:t>
      </w:r>
      <w:r w:rsidRPr="00F5723F">
        <w:t>r</w:t>
      </w:r>
      <w:r w:rsidRPr="00F5723F">
        <w:t>ing av motioner.</w:t>
      </w:r>
    </w:p>
    <w:p w:rsidR="00B43C57" w:rsidRPr="00F5723F" w:rsidRDefault="00B43C57">
      <w:pPr>
        <w:pStyle w:val="Rubrik3"/>
        <w:rPr>
          <w:noProof w:val="0"/>
        </w:rPr>
      </w:pPr>
      <w:bookmarkStart w:id="50" w:name="_Toc121738900"/>
      <w:bookmarkStart w:id="51" w:name="_Toc124697794"/>
      <w:r w:rsidRPr="00F5723F">
        <w:rPr>
          <w:noProof w:val="0"/>
        </w:rPr>
        <w:t>Närvaro på utskottssammanträdena</w:t>
      </w:r>
      <w:bookmarkEnd w:id="50"/>
      <w:bookmarkEnd w:id="51"/>
    </w:p>
    <w:p w:rsidR="00B43C57" w:rsidRPr="00F5723F" w:rsidRDefault="00B43C57">
      <w:r w:rsidRPr="00F5723F">
        <w:t>Kanslierna har tillfrågats om sin uppfattning om ledamöternas närvaro på sammanträdena. Bedömningen är att närvaron är god eller rentav mycket god, och i den mån ledamöter inte kan närvara uppges att suppleanter som är akt</w:t>
      </w:r>
      <w:r w:rsidRPr="00F5723F">
        <w:t>i</w:t>
      </w:r>
      <w:r w:rsidRPr="00F5723F">
        <w:t>va i utskottet rycker in. Samtidigt finns på flera håll uppfattningen att ledam</w:t>
      </w:r>
      <w:r w:rsidRPr="00F5723F">
        <w:t>ö</w:t>
      </w:r>
      <w:r w:rsidRPr="00F5723F">
        <w:t>terna prioriterar utskottsarbetet mindre än tidigare; uppfattningen verkar vanligare i utskott med förhållandevis lite sammanträdestid än i u</w:t>
      </w:r>
      <w:r w:rsidRPr="00F5723F">
        <w:t>t</w:t>
      </w:r>
      <w:r w:rsidRPr="00F5723F">
        <w:t>skott med förhållandevis mycket sammanträdestid. Andra arbetsuppgifter tycks bli allt viktigare för ledamöterna. Kansliernas bedömning är också att det knappast finns beredvillighet bland ledamöterna för att sammanträda mer än vad som görs i dag, även om flera kanslier här lyfter fram att</w:t>
      </w:r>
      <w:r w:rsidRPr="00F5723F">
        <w:t xml:space="preserve"> ledamöterna när så b</w:t>
      </w:r>
      <w:r w:rsidRPr="00F5723F">
        <w:t>e</w:t>
      </w:r>
      <w:r w:rsidRPr="00F5723F">
        <w:t>hövs ser till att skapa utrymme för utskottsarbetet, till exempel i brådskande ärenden eller om det politiska läget kräver det.</w:t>
      </w:r>
    </w:p>
    <w:p w:rsidR="00B43C57" w:rsidRPr="00F5723F" w:rsidRDefault="00B43C57">
      <w:pPr>
        <w:pStyle w:val="Normaltindrag"/>
      </w:pPr>
      <w:r w:rsidRPr="00F5723F">
        <w:lastRenderedPageBreak/>
        <w:t>Även om närvaron till en början är god i samtliga utskott uppger flera kanslier att en del ledamöter inte sällan avviker från sammanträden innan de har avsl</w:t>
      </w:r>
      <w:r w:rsidRPr="00F5723F">
        <w:t>u</w:t>
      </w:r>
      <w:r w:rsidRPr="00F5723F">
        <w:t>tats. Speciellt händer detta vid längre sammanträden. Flera kanslier lyfter fram att ledamöterna vill ha korta, effektiva och väl förberedda sa</w:t>
      </w:r>
      <w:r w:rsidRPr="00F5723F">
        <w:t>m</w:t>
      </w:r>
      <w:r w:rsidRPr="00F5723F">
        <w:t>mantr</w:t>
      </w:r>
      <w:r w:rsidRPr="00F5723F">
        <w:t>ä</w:t>
      </w:r>
      <w:r w:rsidRPr="00F5723F">
        <w:t>den.</w:t>
      </w:r>
    </w:p>
    <w:p w:rsidR="00B43C57" w:rsidRPr="00F5723F" w:rsidRDefault="00B43C57">
      <w:pPr>
        <w:pStyle w:val="Rubrik3"/>
        <w:rPr>
          <w:noProof w:val="0"/>
        </w:rPr>
      </w:pPr>
      <w:bookmarkStart w:id="52" w:name="_Toc121738901"/>
      <w:bookmarkStart w:id="53" w:name="_Toc124697795"/>
      <w:r w:rsidRPr="00F5723F">
        <w:rPr>
          <w:noProof w:val="0"/>
        </w:rPr>
        <w:t>Sammanträdenas form och innehåll</w:t>
      </w:r>
      <w:bookmarkEnd w:id="52"/>
      <w:bookmarkEnd w:id="53"/>
    </w:p>
    <w:p w:rsidR="00B43C57" w:rsidRPr="00F5723F" w:rsidRDefault="00B43C57">
      <w:r w:rsidRPr="00F5723F">
        <w:t>Som framgått ovan har ärendemängden ökat samtidigt som sammanträdes</w:t>
      </w:r>
      <w:r w:rsidRPr="00F5723F">
        <w:softHyphen/>
        <w:t>tiden har minskat. Utskotten förefaller således hinna med mer på kortare tid. En förutsättning för denna utveckling torde vara ändrade sammanträdes</w:t>
      </w:r>
      <w:r w:rsidRPr="00F5723F">
        <w:softHyphen/>
        <w:t>former. Förr föredrogs ärendena vanligtvis muntligt i utskotten. Successivt har denna ordning övergivits, och numera är så gott som alla föredragningar skriftliga, vilket har kortat ned sammanträdestiden. I en del utskottskanslier framhålls dock de muntliga föredragningarna alltjämt som ett sätt att föredra ärenden för utskottet. Så är fallet i lag-, försvars-,</w:t>
      </w:r>
      <w:r w:rsidRPr="00F5723F">
        <w:t xml:space="preserve"> närings- och arbetsmar</w:t>
      </w:r>
      <w:r w:rsidRPr="00F5723F">
        <w:t>k</w:t>
      </w:r>
      <w:r w:rsidRPr="00F5723F">
        <w:t>nadsutskotten samt till viss del även i kultur- och trafikutskotten. Som regel är de muntliga föredragningarna förhållandevis korta, och de har ett skriftligt underlag.</w:t>
      </w:r>
    </w:p>
    <w:p w:rsidR="00B43C57" w:rsidRPr="00F5723F" w:rsidRDefault="00B43C57">
      <w:pPr>
        <w:pStyle w:val="Normaltindrag"/>
      </w:pPr>
      <w:r w:rsidRPr="00F5723F">
        <w:t>Skriftliga föredragningar kan gå till på olika sätt. Vanligast förefaller vara att föredraganden lägger fram promemorior eller betänkandeutkast med rec</w:t>
      </w:r>
      <w:r w:rsidRPr="00F5723F">
        <w:t>i</w:t>
      </w:r>
      <w:r w:rsidRPr="00F5723F">
        <w:t>ter, vilka sedan diskuteras och revideras av utskottet och ligger till grund för utskottets ställningstagande. En annan form av skriftlig föredragning är s.k. lakan. Dessa är sammanställningar i tabellform av yrkanden som skall b</w:t>
      </w:r>
      <w:r w:rsidRPr="00F5723F">
        <w:t>e</w:t>
      </w:r>
      <w:r w:rsidRPr="00F5723F">
        <w:t>handlas i ett betänkande. Förutom yrkanden innehåller tabellerna korta ba</w:t>
      </w:r>
      <w:r w:rsidRPr="00F5723F">
        <w:t>k</w:t>
      </w:r>
      <w:r w:rsidRPr="00F5723F">
        <w:t>grundsbeskrivningar. Lakan uppges förekomma i större eller mindre utsträc</w:t>
      </w:r>
      <w:r w:rsidRPr="00F5723F">
        <w:t>k</w:t>
      </w:r>
      <w:r w:rsidRPr="00F5723F">
        <w:t>ning i skatte-, justitie-, lag-, socialförsäkrings-, kultur- och arbetsmarknadsu</w:t>
      </w:r>
      <w:r w:rsidRPr="00F5723F">
        <w:t>t</w:t>
      </w:r>
      <w:r w:rsidRPr="00F5723F">
        <w:t>skotten.</w:t>
      </w:r>
    </w:p>
    <w:p w:rsidR="00B43C57" w:rsidRPr="00F5723F" w:rsidRDefault="00B43C57">
      <w:pPr>
        <w:pStyle w:val="Normaltindrag"/>
      </w:pPr>
      <w:r w:rsidRPr="00F5723F">
        <w:t>Utskottssammanträdena kan delas upp i olika</w:t>
      </w:r>
      <w:r w:rsidRPr="00F5723F">
        <w:t xml:space="preserve"> slags aktiviteter. I tabell 4:4 delas sammanträdena upp i åtta aktiviteter. Kanslierna har ombetts att up</w:t>
      </w:r>
      <w:r w:rsidRPr="00F5723F">
        <w:t>p</w:t>
      </w:r>
      <w:r w:rsidRPr="00F5723F">
        <w:t>skatta hur stor del av utskottets sammanträdestid som ägnas åt respektive aktivitet.</w:t>
      </w:r>
      <w:r w:rsidRPr="00F5723F">
        <w:rPr>
          <w:rStyle w:val="Fotnotsreferens"/>
        </w:rPr>
        <w:footnoteReference w:id="48"/>
      </w:r>
      <w:r w:rsidRPr="00F5723F">
        <w:t xml:space="preserve"> Av tabellen framgår att den aktivitet som dominerar utskottens sammanträden är beredning av motions- och propositionsbetänkanden (ej budget). Hela 12 respektive 13 av 16 utskottskanslier uppger att en ganska stor eller mycket stor del av utskottets sammanträdestid går till detta. Andra aktiviteter som tar upp en förhållandevis stor del av utskottens sammantr</w:t>
      </w:r>
      <w:r w:rsidRPr="00F5723F">
        <w:t>ä</w:t>
      </w:r>
      <w:r w:rsidRPr="00F5723F">
        <w:t>des</w:t>
      </w:r>
      <w:r w:rsidRPr="00F5723F">
        <w:softHyphen/>
        <w:t>tid är budgetberedning samt utfrågningar. Beredning av andra betänka</w:t>
      </w:r>
      <w:r w:rsidRPr="00F5723F">
        <w:t>n</w:t>
      </w:r>
      <w:r w:rsidRPr="00F5723F">
        <w:t>den (som behandlar framställningar) samt uppföljning och utvärdering är de ak</w:t>
      </w:r>
      <w:r w:rsidRPr="00F5723F">
        <w:t>t</w:t>
      </w:r>
      <w:r w:rsidRPr="00F5723F">
        <w:t>i</w:t>
      </w:r>
      <w:r w:rsidRPr="00F5723F">
        <w:t>viteter som ges minst uppmärksamhet. Den aktivitet som skiljer mest mellan utskotten är behandlingen av EU-frågor. Cirka en tredjedel av utskotten ägnar ganska stor eller mycket stor del av sammanträdestiden åt sådana frågor m</w:t>
      </w:r>
      <w:r w:rsidRPr="00F5723F">
        <w:t>e</w:t>
      </w:r>
      <w:r w:rsidRPr="00F5723F">
        <w:t>dan ungefär en tredjedel ägnar dem ganska liten eller mycket liten tid.</w:t>
      </w:r>
    </w:p>
    <w:p w:rsidR="00B43C57" w:rsidRPr="00F5723F" w:rsidRDefault="00B43C57">
      <w:pPr>
        <w:pStyle w:val="Tabellrubrik"/>
      </w:pPr>
      <w:r w:rsidRPr="00F5723F">
        <w:lastRenderedPageBreak/>
        <w:t>TAbell 4:4 tid för olika Aktiviteter under utskottssammanträden (antal u</w:t>
      </w:r>
      <w:r w:rsidRPr="00F5723F">
        <w:t>t</w:t>
      </w:r>
      <w:r w:rsidRPr="00F5723F">
        <w:t>skott)</w:t>
      </w:r>
    </w:p>
    <w:tbl>
      <w:tblPr>
        <w:tblW w:w="6080" w:type="dxa"/>
        <w:tblLayout w:type="fixed"/>
        <w:tblCellMar>
          <w:left w:w="70" w:type="dxa"/>
          <w:right w:w="70" w:type="dxa"/>
        </w:tblCellMar>
        <w:tblLook w:val="0000" w:firstRow="0" w:lastRow="0" w:firstColumn="0" w:lastColumn="0" w:noHBand="0" w:noVBand="0"/>
      </w:tblPr>
      <w:tblGrid>
        <w:gridCol w:w="2640"/>
        <w:gridCol w:w="688"/>
        <w:gridCol w:w="688"/>
        <w:gridCol w:w="688"/>
        <w:gridCol w:w="688"/>
        <w:gridCol w:w="688"/>
      </w:tblGrid>
      <w:tr w:rsidR="00000000" w:rsidRPr="00F5723F">
        <w:tblPrEx>
          <w:tblCellMar>
            <w:top w:w="0" w:type="dxa"/>
            <w:bottom w:w="0" w:type="dxa"/>
          </w:tblCellMar>
        </w:tblPrEx>
        <w:trPr>
          <w:cantSplit/>
        </w:trPr>
        <w:tc>
          <w:tcPr>
            <w:tcW w:w="2395" w:type="dxa"/>
            <w:tcBorders>
              <w:top w:val="single" w:sz="4" w:space="0" w:color="auto"/>
              <w:bottom w:val="single" w:sz="4" w:space="0" w:color="auto"/>
            </w:tcBorders>
          </w:tcPr>
          <w:p w:rsidR="00B43C57" w:rsidRPr="00F5723F" w:rsidRDefault="00B43C57">
            <w:pPr>
              <w:pStyle w:val="Tabelltext"/>
            </w:pPr>
            <w:r w:rsidRPr="00F5723F">
              <w:br/>
              <w:t>Aktivitet</w:t>
            </w:r>
          </w:p>
        </w:tc>
        <w:tc>
          <w:tcPr>
            <w:tcW w:w="624" w:type="dxa"/>
            <w:tcBorders>
              <w:top w:val="single" w:sz="4" w:space="0" w:color="auto"/>
              <w:bottom w:val="single" w:sz="4" w:space="0" w:color="auto"/>
            </w:tcBorders>
          </w:tcPr>
          <w:p w:rsidR="00B43C57" w:rsidRPr="00F5723F" w:rsidRDefault="00B43C57">
            <w:pPr>
              <w:pStyle w:val="Tabelltext"/>
              <w:jc w:val="center"/>
            </w:pPr>
            <w:r w:rsidRPr="00F5723F">
              <w:t>Mycket</w:t>
            </w:r>
            <w:r w:rsidRPr="00F5723F">
              <w:br/>
              <w:t>liten</w:t>
            </w:r>
          </w:p>
        </w:tc>
        <w:tc>
          <w:tcPr>
            <w:tcW w:w="624" w:type="dxa"/>
            <w:tcBorders>
              <w:top w:val="single" w:sz="4" w:space="0" w:color="auto"/>
              <w:bottom w:val="single" w:sz="4" w:space="0" w:color="auto"/>
            </w:tcBorders>
          </w:tcPr>
          <w:p w:rsidR="00B43C57" w:rsidRPr="00F5723F" w:rsidRDefault="00B43C57">
            <w:pPr>
              <w:pStyle w:val="Tabelltext"/>
              <w:jc w:val="center"/>
            </w:pPr>
            <w:r w:rsidRPr="00F5723F">
              <w:t>Ganska</w:t>
            </w:r>
            <w:r w:rsidRPr="00F5723F">
              <w:br/>
              <w:t>liten</w:t>
            </w:r>
          </w:p>
        </w:tc>
        <w:tc>
          <w:tcPr>
            <w:tcW w:w="624" w:type="dxa"/>
            <w:tcBorders>
              <w:top w:val="single" w:sz="4" w:space="0" w:color="auto"/>
              <w:bottom w:val="single" w:sz="4" w:space="0" w:color="auto"/>
            </w:tcBorders>
          </w:tcPr>
          <w:p w:rsidR="00B43C57" w:rsidRPr="00F5723F" w:rsidRDefault="00B43C57">
            <w:pPr>
              <w:pStyle w:val="Tabelltext"/>
              <w:jc w:val="center"/>
            </w:pPr>
            <w:r w:rsidRPr="00F5723F">
              <w:t>Varken/</w:t>
            </w:r>
            <w:r w:rsidRPr="00F5723F">
              <w:br/>
              <w:t>eller</w:t>
            </w:r>
          </w:p>
        </w:tc>
        <w:tc>
          <w:tcPr>
            <w:tcW w:w="624" w:type="dxa"/>
            <w:tcBorders>
              <w:top w:val="single" w:sz="4" w:space="0" w:color="auto"/>
              <w:bottom w:val="single" w:sz="4" w:space="0" w:color="auto"/>
            </w:tcBorders>
          </w:tcPr>
          <w:p w:rsidR="00B43C57" w:rsidRPr="00F5723F" w:rsidRDefault="00B43C57">
            <w:pPr>
              <w:pStyle w:val="Tabelltext"/>
              <w:jc w:val="center"/>
            </w:pPr>
            <w:r w:rsidRPr="00F5723F">
              <w:t>Ganska</w:t>
            </w:r>
            <w:r w:rsidRPr="00F5723F">
              <w:br/>
              <w:t>stor</w:t>
            </w:r>
          </w:p>
        </w:tc>
        <w:tc>
          <w:tcPr>
            <w:tcW w:w="624" w:type="dxa"/>
            <w:tcBorders>
              <w:top w:val="single" w:sz="4" w:space="0" w:color="auto"/>
              <w:bottom w:val="single" w:sz="4" w:space="0" w:color="auto"/>
            </w:tcBorders>
          </w:tcPr>
          <w:p w:rsidR="00B43C57" w:rsidRPr="00F5723F" w:rsidRDefault="00B43C57">
            <w:pPr>
              <w:pStyle w:val="Tabelltext"/>
              <w:jc w:val="center"/>
            </w:pPr>
            <w:r w:rsidRPr="00F5723F">
              <w:t>Mycket</w:t>
            </w:r>
            <w:r w:rsidRPr="00F5723F">
              <w:br/>
              <w:t>stor</w:t>
            </w:r>
          </w:p>
        </w:tc>
      </w:tr>
      <w:tr w:rsidR="00000000" w:rsidRPr="00F5723F">
        <w:tblPrEx>
          <w:tblCellMar>
            <w:top w:w="0" w:type="dxa"/>
            <w:bottom w:w="0" w:type="dxa"/>
          </w:tblCellMar>
        </w:tblPrEx>
        <w:trPr>
          <w:cantSplit/>
        </w:trPr>
        <w:tc>
          <w:tcPr>
            <w:tcW w:w="2395" w:type="dxa"/>
            <w:tcBorders>
              <w:top w:val="single" w:sz="4" w:space="0" w:color="auto"/>
            </w:tcBorders>
          </w:tcPr>
          <w:p w:rsidR="00B43C57" w:rsidRPr="00F5723F" w:rsidRDefault="00B43C57">
            <w:pPr>
              <w:pStyle w:val="Tabelltext"/>
            </w:pPr>
            <w:r w:rsidRPr="00F5723F">
              <w:t>Motionsbetänkanden</w:t>
            </w:r>
          </w:p>
        </w:tc>
        <w:tc>
          <w:tcPr>
            <w:tcW w:w="624" w:type="dxa"/>
            <w:tcBorders>
              <w:top w:val="single" w:sz="4" w:space="0" w:color="auto"/>
            </w:tcBorders>
          </w:tcPr>
          <w:p w:rsidR="00B43C57" w:rsidRPr="00F5723F" w:rsidRDefault="00B43C57">
            <w:pPr>
              <w:pStyle w:val="Tabelltext"/>
              <w:jc w:val="center"/>
            </w:pPr>
            <w:r w:rsidRPr="00F5723F">
              <w:t>2</w:t>
            </w:r>
          </w:p>
        </w:tc>
        <w:tc>
          <w:tcPr>
            <w:tcW w:w="624" w:type="dxa"/>
            <w:tcBorders>
              <w:top w:val="single" w:sz="4" w:space="0" w:color="auto"/>
            </w:tcBorders>
          </w:tcPr>
          <w:p w:rsidR="00B43C57" w:rsidRPr="00F5723F" w:rsidRDefault="00B43C57">
            <w:pPr>
              <w:pStyle w:val="Tabelltext"/>
              <w:jc w:val="center"/>
            </w:pPr>
            <w:r w:rsidRPr="00F5723F">
              <w:t>0</w:t>
            </w:r>
          </w:p>
        </w:tc>
        <w:tc>
          <w:tcPr>
            <w:tcW w:w="624" w:type="dxa"/>
            <w:tcBorders>
              <w:top w:val="single" w:sz="4" w:space="0" w:color="auto"/>
            </w:tcBorders>
          </w:tcPr>
          <w:p w:rsidR="00B43C57" w:rsidRPr="00F5723F" w:rsidRDefault="00B43C57">
            <w:pPr>
              <w:pStyle w:val="Tabelltext"/>
              <w:jc w:val="center"/>
            </w:pPr>
            <w:r w:rsidRPr="00F5723F">
              <w:t>2</w:t>
            </w:r>
          </w:p>
        </w:tc>
        <w:tc>
          <w:tcPr>
            <w:tcW w:w="624" w:type="dxa"/>
            <w:tcBorders>
              <w:top w:val="single" w:sz="4" w:space="0" w:color="auto"/>
            </w:tcBorders>
          </w:tcPr>
          <w:p w:rsidR="00B43C57" w:rsidRPr="00F5723F" w:rsidRDefault="00B43C57">
            <w:pPr>
              <w:pStyle w:val="Tabelltext"/>
              <w:jc w:val="center"/>
            </w:pPr>
            <w:r w:rsidRPr="00F5723F">
              <w:t>8</w:t>
            </w:r>
          </w:p>
        </w:tc>
        <w:tc>
          <w:tcPr>
            <w:tcW w:w="624" w:type="dxa"/>
            <w:tcBorders>
              <w:top w:val="single" w:sz="4" w:space="0" w:color="auto"/>
            </w:tcBorders>
          </w:tcPr>
          <w:p w:rsidR="00B43C57" w:rsidRPr="00F5723F" w:rsidRDefault="00B43C57">
            <w:pPr>
              <w:pStyle w:val="Tabelltext"/>
              <w:jc w:val="center"/>
            </w:pPr>
            <w:r w:rsidRPr="00F5723F">
              <w:t>4</w:t>
            </w:r>
          </w:p>
        </w:tc>
      </w:tr>
      <w:tr w:rsidR="00000000" w:rsidRPr="00F5723F">
        <w:tblPrEx>
          <w:tblCellMar>
            <w:top w:w="0" w:type="dxa"/>
            <w:bottom w:w="0" w:type="dxa"/>
          </w:tblCellMar>
        </w:tblPrEx>
        <w:trPr>
          <w:cantSplit/>
        </w:trPr>
        <w:tc>
          <w:tcPr>
            <w:tcW w:w="2395" w:type="dxa"/>
          </w:tcPr>
          <w:p w:rsidR="00B43C57" w:rsidRPr="00F5723F" w:rsidRDefault="00B43C57">
            <w:pPr>
              <w:pStyle w:val="Tabelltext"/>
            </w:pPr>
            <w:r w:rsidRPr="00F5723F">
              <w:t>Propositionsbetänkanden (ej budget)</w:t>
            </w:r>
          </w:p>
        </w:tc>
        <w:tc>
          <w:tcPr>
            <w:tcW w:w="624" w:type="dxa"/>
          </w:tcPr>
          <w:p w:rsidR="00B43C57" w:rsidRPr="00F5723F" w:rsidRDefault="00B43C57">
            <w:pPr>
              <w:pStyle w:val="Tabelltext"/>
              <w:jc w:val="center"/>
            </w:pPr>
            <w:r w:rsidRPr="00F5723F">
              <w:t>0</w:t>
            </w:r>
          </w:p>
        </w:tc>
        <w:tc>
          <w:tcPr>
            <w:tcW w:w="624" w:type="dxa"/>
          </w:tcPr>
          <w:p w:rsidR="00B43C57" w:rsidRPr="00F5723F" w:rsidRDefault="00B43C57">
            <w:pPr>
              <w:pStyle w:val="Tabelltext"/>
              <w:jc w:val="center"/>
            </w:pPr>
            <w:r w:rsidRPr="00F5723F">
              <w:t>1</w:t>
            </w:r>
          </w:p>
        </w:tc>
        <w:tc>
          <w:tcPr>
            <w:tcW w:w="624" w:type="dxa"/>
          </w:tcPr>
          <w:p w:rsidR="00B43C57" w:rsidRPr="00F5723F" w:rsidRDefault="00B43C57">
            <w:pPr>
              <w:pStyle w:val="Tabelltext"/>
              <w:jc w:val="center"/>
            </w:pPr>
            <w:r w:rsidRPr="00F5723F">
              <w:t>2</w:t>
            </w:r>
          </w:p>
        </w:tc>
        <w:tc>
          <w:tcPr>
            <w:tcW w:w="624" w:type="dxa"/>
          </w:tcPr>
          <w:p w:rsidR="00B43C57" w:rsidRPr="00F5723F" w:rsidRDefault="00B43C57">
            <w:pPr>
              <w:pStyle w:val="Tabelltext"/>
              <w:jc w:val="center"/>
            </w:pPr>
            <w:r w:rsidRPr="00F5723F">
              <w:t>7</w:t>
            </w:r>
          </w:p>
        </w:tc>
        <w:tc>
          <w:tcPr>
            <w:tcW w:w="624" w:type="dxa"/>
          </w:tcPr>
          <w:p w:rsidR="00B43C57" w:rsidRPr="00F5723F" w:rsidRDefault="00B43C57">
            <w:pPr>
              <w:pStyle w:val="Tabelltext"/>
              <w:jc w:val="center"/>
            </w:pPr>
            <w:r w:rsidRPr="00F5723F">
              <w:t>6</w:t>
            </w:r>
          </w:p>
        </w:tc>
      </w:tr>
      <w:tr w:rsidR="00000000" w:rsidRPr="00F5723F">
        <w:tblPrEx>
          <w:tblCellMar>
            <w:top w:w="0" w:type="dxa"/>
            <w:bottom w:w="0" w:type="dxa"/>
          </w:tblCellMar>
        </w:tblPrEx>
        <w:trPr>
          <w:cantSplit/>
        </w:trPr>
        <w:tc>
          <w:tcPr>
            <w:tcW w:w="2395" w:type="dxa"/>
          </w:tcPr>
          <w:p w:rsidR="00B43C57" w:rsidRPr="00F5723F" w:rsidRDefault="00B43C57">
            <w:pPr>
              <w:pStyle w:val="Tabelltext"/>
            </w:pPr>
            <w:r w:rsidRPr="00F5723F">
              <w:t>Yttranden (ej budget)</w:t>
            </w:r>
          </w:p>
        </w:tc>
        <w:tc>
          <w:tcPr>
            <w:tcW w:w="624" w:type="dxa"/>
          </w:tcPr>
          <w:p w:rsidR="00B43C57" w:rsidRPr="00F5723F" w:rsidRDefault="00B43C57">
            <w:pPr>
              <w:pStyle w:val="Tabelltext"/>
              <w:jc w:val="center"/>
            </w:pPr>
            <w:r w:rsidRPr="00F5723F">
              <w:t>2</w:t>
            </w:r>
          </w:p>
        </w:tc>
        <w:tc>
          <w:tcPr>
            <w:tcW w:w="624" w:type="dxa"/>
          </w:tcPr>
          <w:p w:rsidR="00B43C57" w:rsidRPr="00F5723F" w:rsidRDefault="00B43C57">
            <w:pPr>
              <w:pStyle w:val="Tabelltext"/>
              <w:jc w:val="center"/>
            </w:pPr>
            <w:r w:rsidRPr="00F5723F">
              <w:t>8</w:t>
            </w:r>
          </w:p>
        </w:tc>
        <w:tc>
          <w:tcPr>
            <w:tcW w:w="624" w:type="dxa"/>
          </w:tcPr>
          <w:p w:rsidR="00B43C57" w:rsidRPr="00F5723F" w:rsidRDefault="00B43C57">
            <w:pPr>
              <w:pStyle w:val="Tabelltext"/>
              <w:jc w:val="center"/>
            </w:pPr>
            <w:r w:rsidRPr="00F5723F">
              <w:t>5</w:t>
            </w:r>
          </w:p>
        </w:tc>
        <w:tc>
          <w:tcPr>
            <w:tcW w:w="624" w:type="dxa"/>
          </w:tcPr>
          <w:p w:rsidR="00B43C57" w:rsidRPr="00F5723F" w:rsidRDefault="00B43C57">
            <w:pPr>
              <w:pStyle w:val="Tabelltext"/>
              <w:jc w:val="center"/>
            </w:pPr>
            <w:r w:rsidRPr="00F5723F">
              <w:t>1</w:t>
            </w:r>
          </w:p>
        </w:tc>
        <w:tc>
          <w:tcPr>
            <w:tcW w:w="624" w:type="dxa"/>
          </w:tcPr>
          <w:p w:rsidR="00B43C57" w:rsidRPr="00F5723F" w:rsidRDefault="00B43C57">
            <w:pPr>
              <w:pStyle w:val="Tabelltext"/>
              <w:jc w:val="center"/>
            </w:pPr>
            <w:r w:rsidRPr="00F5723F">
              <w:t>0</w:t>
            </w:r>
          </w:p>
        </w:tc>
      </w:tr>
      <w:tr w:rsidR="00000000" w:rsidRPr="00F5723F">
        <w:tblPrEx>
          <w:tblCellMar>
            <w:top w:w="0" w:type="dxa"/>
            <w:bottom w:w="0" w:type="dxa"/>
          </w:tblCellMar>
        </w:tblPrEx>
        <w:trPr>
          <w:cantSplit/>
        </w:trPr>
        <w:tc>
          <w:tcPr>
            <w:tcW w:w="2395" w:type="dxa"/>
          </w:tcPr>
          <w:p w:rsidR="00B43C57" w:rsidRPr="00F5723F" w:rsidRDefault="00B43C57">
            <w:pPr>
              <w:pStyle w:val="Tabelltext"/>
            </w:pPr>
            <w:r w:rsidRPr="00F5723F">
              <w:t>Budgetbetänkanden och -yttranden</w:t>
            </w:r>
          </w:p>
        </w:tc>
        <w:tc>
          <w:tcPr>
            <w:tcW w:w="624" w:type="dxa"/>
          </w:tcPr>
          <w:p w:rsidR="00B43C57" w:rsidRPr="00F5723F" w:rsidRDefault="00B43C57">
            <w:pPr>
              <w:pStyle w:val="Tabelltext"/>
              <w:jc w:val="center"/>
            </w:pPr>
            <w:r w:rsidRPr="00F5723F">
              <w:t>1</w:t>
            </w:r>
          </w:p>
        </w:tc>
        <w:tc>
          <w:tcPr>
            <w:tcW w:w="624" w:type="dxa"/>
          </w:tcPr>
          <w:p w:rsidR="00B43C57" w:rsidRPr="00F5723F" w:rsidRDefault="00B43C57">
            <w:pPr>
              <w:pStyle w:val="Tabelltext"/>
              <w:jc w:val="center"/>
            </w:pPr>
            <w:r w:rsidRPr="00F5723F">
              <w:t>3</w:t>
            </w:r>
          </w:p>
        </w:tc>
        <w:tc>
          <w:tcPr>
            <w:tcW w:w="624" w:type="dxa"/>
          </w:tcPr>
          <w:p w:rsidR="00B43C57" w:rsidRPr="00F5723F" w:rsidRDefault="00B43C57">
            <w:pPr>
              <w:pStyle w:val="Tabelltext"/>
              <w:jc w:val="center"/>
            </w:pPr>
            <w:r w:rsidRPr="00F5723F">
              <w:t>2</w:t>
            </w:r>
          </w:p>
        </w:tc>
        <w:tc>
          <w:tcPr>
            <w:tcW w:w="624" w:type="dxa"/>
          </w:tcPr>
          <w:p w:rsidR="00B43C57" w:rsidRPr="00F5723F" w:rsidRDefault="00B43C57">
            <w:pPr>
              <w:pStyle w:val="Tabelltext"/>
              <w:jc w:val="center"/>
            </w:pPr>
            <w:r w:rsidRPr="00F5723F">
              <w:t>7</w:t>
            </w:r>
          </w:p>
        </w:tc>
        <w:tc>
          <w:tcPr>
            <w:tcW w:w="624" w:type="dxa"/>
          </w:tcPr>
          <w:p w:rsidR="00B43C57" w:rsidRPr="00F5723F" w:rsidRDefault="00B43C57">
            <w:pPr>
              <w:pStyle w:val="Tabelltext"/>
              <w:jc w:val="center"/>
            </w:pPr>
            <w:r w:rsidRPr="00F5723F">
              <w:t>3</w:t>
            </w:r>
          </w:p>
        </w:tc>
      </w:tr>
      <w:tr w:rsidR="00000000" w:rsidRPr="00F5723F">
        <w:tblPrEx>
          <w:tblCellMar>
            <w:top w:w="0" w:type="dxa"/>
            <w:bottom w:w="0" w:type="dxa"/>
          </w:tblCellMar>
        </w:tblPrEx>
        <w:trPr>
          <w:cantSplit/>
        </w:trPr>
        <w:tc>
          <w:tcPr>
            <w:tcW w:w="2395" w:type="dxa"/>
          </w:tcPr>
          <w:p w:rsidR="00B43C57" w:rsidRPr="00F5723F" w:rsidRDefault="00B43C57">
            <w:pPr>
              <w:pStyle w:val="Tabelltext"/>
            </w:pPr>
            <w:r w:rsidRPr="00F5723F">
              <w:t>Andra betänkanden (framstäl</w:t>
            </w:r>
            <w:r w:rsidRPr="00F5723F">
              <w:t>l</w:t>
            </w:r>
            <w:r w:rsidRPr="00F5723F">
              <w:t>ningar)</w:t>
            </w:r>
          </w:p>
        </w:tc>
        <w:tc>
          <w:tcPr>
            <w:tcW w:w="624" w:type="dxa"/>
          </w:tcPr>
          <w:p w:rsidR="00B43C57" w:rsidRPr="00F5723F" w:rsidRDefault="00B43C57">
            <w:pPr>
              <w:pStyle w:val="Tabelltext"/>
              <w:jc w:val="center"/>
            </w:pPr>
            <w:r w:rsidRPr="00F5723F">
              <w:t>7</w:t>
            </w:r>
          </w:p>
        </w:tc>
        <w:tc>
          <w:tcPr>
            <w:tcW w:w="624" w:type="dxa"/>
          </w:tcPr>
          <w:p w:rsidR="00B43C57" w:rsidRPr="00F5723F" w:rsidRDefault="00B43C57">
            <w:pPr>
              <w:pStyle w:val="Tabelltext"/>
              <w:jc w:val="center"/>
            </w:pPr>
            <w:r w:rsidRPr="00F5723F">
              <w:t>4</w:t>
            </w:r>
          </w:p>
        </w:tc>
        <w:tc>
          <w:tcPr>
            <w:tcW w:w="624" w:type="dxa"/>
          </w:tcPr>
          <w:p w:rsidR="00B43C57" w:rsidRPr="00F5723F" w:rsidRDefault="00B43C57">
            <w:pPr>
              <w:pStyle w:val="Tabelltext"/>
              <w:jc w:val="center"/>
            </w:pPr>
            <w:r w:rsidRPr="00F5723F">
              <w:t>4</w:t>
            </w:r>
          </w:p>
        </w:tc>
        <w:tc>
          <w:tcPr>
            <w:tcW w:w="624" w:type="dxa"/>
          </w:tcPr>
          <w:p w:rsidR="00B43C57" w:rsidRPr="00F5723F" w:rsidRDefault="00B43C57">
            <w:pPr>
              <w:pStyle w:val="Tabelltext"/>
              <w:jc w:val="center"/>
            </w:pPr>
            <w:r w:rsidRPr="00F5723F">
              <w:t>0</w:t>
            </w:r>
          </w:p>
        </w:tc>
        <w:tc>
          <w:tcPr>
            <w:tcW w:w="624" w:type="dxa"/>
          </w:tcPr>
          <w:p w:rsidR="00B43C57" w:rsidRPr="00F5723F" w:rsidRDefault="00B43C57">
            <w:pPr>
              <w:pStyle w:val="Tabelltext"/>
              <w:jc w:val="center"/>
            </w:pPr>
            <w:r w:rsidRPr="00F5723F">
              <w:t>1</w:t>
            </w:r>
          </w:p>
        </w:tc>
      </w:tr>
      <w:tr w:rsidR="00000000" w:rsidRPr="00F5723F">
        <w:tblPrEx>
          <w:tblCellMar>
            <w:top w:w="0" w:type="dxa"/>
            <w:bottom w:w="0" w:type="dxa"/>
          </w:tblCellMar>
        </w:tblPrEx>
        <w:trPr>
          <w:cantSplit/>
        </w:trPr>
        <w:tc>
          <w:tcPr>
            <w:tcW w:w="2395" w:type="dxa"/>
          </w:tcPr>
          <w:p w:rsidR="00B43C57" w:rsidRPr="00F5723F" w:rsidRDefault="00B43C57">
            <w:pPr>
              <w:pStyle w:val="Tabelltext"/>
            </w:pPr>
            <w:r w:rsidRPr="00F5723F">
              <w:t>Uppföljningar och utvärderingar</w:t>
            </w:r>
          </w:p>
        </w:tc>
        <w:tc>
          <w:tcPr>
            <w:tcW w:w="624" w:type="dxa"/>
          </w:tcPr>
          <w:p w:rsidR="00B43C57" w:rsidRPr="00F5723F" w:rsidRDefault="00B43C57">
            <w:pPr>
              <w:pStyle w:val="Tabelltext"/>
              <w:jc w:val="center"/>
            </w:pPr>
            <w:r w:rsidRPr="00F5723F">
              <w:t>2</w:t>
            </w:r>
          </w:p>
        </w:tc>
        <w:tc>
          <w:tcPr>
            <w:tcW w:w="624" w:type="dxa"/>
          </w:tcPr>
          <w:p w:rsidR="00B43C57" w:rsidRPr="00F5723F" w:rsidRDefault="00B43C57">
            <w:pPr>
              <w:pStyle w:val="Tabelltext"/>
              <w:jc w:val="center"/>
            </w:pPr>
            <w:r w:rsidRPr="00F5723F">
              <w:t>9</w:t>
            </w:r>
          </w:p>
        </w:tc>
        <w:tc>
          <w:tcPr>
            <w:tcW w:w="624" w:type="dxa"/>
          </w:tcPr>
          <w:p w:rsidR="00B43C57" w:rsidRPr="00F5723F" w:rsidRDefault="00B43C57">
            <w:pPr>
              <w:pStyle w:val="Tabelltext"/>
              <w:jc w:val="center"/>
            </w:pPr>
            <w:r w:rsidRPr="00F5723F">
              <w:t>4</w:t>
            </w:r>
          </w:p>
        </w:tc>
        <w:tc>
          <w:tcPr>
            <w:tcW w:w="624" w:type="dxa"/>
          </w:tcPr>
          <w:p w:rsidR="00B43C57" w:rsidRPr="00F5723F" w:rsidRDefault="00B43C57">
            <w:pPr>
              <w:pStyle w:val="Tabelltext"/>
              <w:jc w:val="center"/>
            </w:pPr>
            <w:r w:rsidRPr="00F5723F">
              <w:t>1</w:t>
            </w:r>
          </w:p>
        </w:tc>
        <w:tc>
          <w:tcPr>
            <w:tcW w:w="624" w:type="dxa"/>
          </w:tcPr>
          <w:p w:rsidR="00B43C57" w:rsidRPr="00F5723F" w:rsidRDefault="00B43C57">
            <w:pPr>
              <w:pStyle w:val="Tabelltext"/>
              <w:jc w:val="center"/>
            </w:pPr>
            <w:r w:rsidRPr="00F5723F">
              <w:t>0</w:t>
            </w:r>
          </w:p>
        </w:tc>
      </w:tr>
      <w:tr w:rsidR="00000000" w:rsidRPr="00F5723F">
        <w:tblPrEx>
          <w:tblCellMar>
            <w:top w:w="0" w:type="dxa"/>
            <w:bottom w:w="0" w:type="dxa"/>
          </w:tblCellMar>
        </w:tblPrEx>
        <w:trPr>
          <w:cantSplit/>
        </w:trPr>
        <w:tc>
          <w:tcPr>
            <w:tcW w:w="2395" w:type="dxa"/>
          </w:tcPr>
          <w:p w:rsidR="00B43C57" w:rsidRPr="00F5723F" w:rsidRDefault="00B43C57">
            <w:pPr>
              <w:pStyle w:val="Tabelltext"/>
            </w:pPr>
            <w:r w:rsidRPr="00F5723F">
              <w:t>Utfrågningar</w:t>
            </w:r>
          </w:p>
        </w:tc>
        <w:tc>
          <w:tcPr>
            <w:tcW w:w="624" w:type="dxa"/>
          </w:tcPr>
          <w:p w:rsidR="00B43C57" w:rsidRPr="00F5723F" w:rsidRDefault="00B43C57">
            <w:pPr>
              <w:pStyle w:val="Tabelltext"/>
              <w:jc w:val="center"/>
            </w:pPr>
            <w:r w:rsidRPr="00F5723F">
              <w:t>0</w:t>
            </w:r>
          </w:p>
        </w:tc>
        <w:tc>
          <w:tcPr>
            <w:tcW w:w="624" w:type="dxa"/>
          </w:tcPr>
          <w:p w:rsidR="00B43C57" w:rsidRPr="00F5723F" w:rsidRDefault="00B43C57">
            <w:pPr>
              <w:pStyle w:val="Tabelltext"/>
              <w:jc w:val="center"/>
            </w:pPr>
            <w:r w:rsidRPr="00F5723F">
              <w:t>3</w:t>
            </w:r>
          </w:p>
        </w:tc>
        <w:tc>
          <w:tcPr>
            <w:tcW w:w="624" w:type="dxa"/>
          </w:tcPr>
          <w:p w:rsidR="00B43C57" w:rsidRPr="00F5723F" w:rsidRDefault="00B43C57">
            <w:pPr>
              <w:pStyle w:val="Tabelltext"/>
              <w:jc w:val="center"/>
            </w:pPr>
            <w:r w:rsidRPr="00F5723F">
              <w:t>7</w:t>
            </w:r>
          </w:p>
        </w:tc>
        <w:tc>
          <w:tcPr>
            <w:tcW w:w="624" w:type="dxa"/>
          </w:tcPr>
          <w:p w:rsidR="00B43C57" w:rsidRPr="00F5723F" w:rsidRDefault="00B43C57">
            <w:pPr>
              <w:pStyle w:val="Tabelltext"/>
              <w:jc w:val="center"/>
            </w:pPr>
            <w:r w:rsidRPr="00F5723F">
              <w:t>5</w:t>
            </w:r>
          </w:p>
        </w:tc>
        <w:tc>
          <w:tcPr>
            <w:tcW w:w="624" w:type="dxa"/>
          </w:tcPr>
          <w:p w:rsidR="00B43C57" w:rsidRPr="00F5723F" w:rsidRDefault="00B43C57">
            <w:pPr>
              <w:pStyle w:val="Tabelltext"/>
              <w:jc w:val="center"/>
            </w:pPr>
            <w:r w:rsidRPr="00F5723F">
              <w:t>1</w:t>
            </w:r>
          </w:p>
        </w:tc>
      </w:tr>
      <w:tr w:rsidR="00000000" w:rsidRPr="00F5723F">
        <w:tblPrEx>
          <w:tblCellMar>
            <w:top w:w="0" w:type="dxa"/>
            <w:bottom w:w="0" w:type="dxa"/>
          </w:tblCellMar>
        </w:tblPrEx>
        <w:trPr>
          <w:cantSplit/>
        </w:trPr>
        <w:tc>
          <w:tcPr>
            <w:tcW w:w="2395" w:type="dxa"/>
            <w:tcBorders>
              <w:bottom w:val="single" w:sz="4" w:space="0" w:color="auto"/>
            </w:tcBorders>
          </w:tcPr>
          <w:p w:rsidR="00B43C57" w:rsidRPr="00F5723F" w:rsidRDefault="00B43C57">
            <w:pPr>
              <w:pStyle w:val="Tabelltext"/>
            </w:pPr>
            <w:r w:rsidRPr="00F5723F">
              <w:t>EU-frågor</w:t>
            </w:r>
          </w:p>
        </w:tc>
        <w:tc>
          <w:tcPr>
            <w:tcW w:w="624" w:type="dxa"/>
            <w:tcBorders>
              <w:bottom w:val="single" w:sz="4" w:space="0" w:color="auto"/>
            </w:tcBorders>
          </w:tcPr>
          <w:p w:rsidR="00B43C57" w:rsidRPr="00F5723F" w:rsidRDefault="00B43C57">
            <w:pPr>
              <w:pStyle w:val="Tabelltext"/>
              <w:jc w:val="center"/>
            </w:pPr>
            <w:r w:rsidRPr="00F5723F">
              <w:t>2</w:t>
            </w:r>
          </w:p>
        </w:tc>
        <w:tc>
          <w:tcPr>
            <w:tcW w:w="624" w:type="dxa"/>
            <w:tcBorders>
              <w:bottom w:val="single" w:sz="4" w:space="0" w:color="auto"/>
            </w:tcBorders>
          </w:tcPr>
          <w:p w:rsidR="00B43C57" w:rsidRPr="00F5723F" w:rsidRDefault="00B43C57">
            <w:pPr>
              <w:pStyle w:val="Tabelltext"/>
              <w:jc w:val="center"/>
            </w:pPr>
            <w:r w:rsidRPr="00F5723F">
              <w:t>4</w:t>
            </w:r>
          </w:p>
        </w:tc>
        <w:tc>
          <w:tcPr>
            <w:tcW w:w="624" w:type="dxa"/>
            <w:tcBorders>
              <w:bottom w:val="single" w:sz="4" w:space="0" w:color="auto"/>
            </w:tcBorders>
          </w:tcPr>
          <w:p w:rsidR="00B43C57" w:rsidRPr="00F5723F" w:rsidRDefault="00B43C57">
            <w:pPr>
              <w:pStyle w:val="Tabelltext"/>
              <w:jc w:val="center"/>
            </w:pPr>
            <w:r w:rsidRPr="00F5723F">
              <w:t>5</w:t>
            </w:r>
          </w:p>
        </w:tc>
        <w:tc>
          <w:tcPr>
            <w:tcW w:w="624" w:type="dxa"/>
            <w:tcBorders>
              <w:bottom w:val="single" w:sz="4" w:space="0" w:color="auto"/>
            </w:tcBorders>
          </w:tcPr>
          <w:p w:rsidR="00B43C57" w:rsidRPr="00F5723F" w:rsidRDefault="00B43C57">
            <w:pPr>
              <w:pStyle w:val="Tabelltext"/>
              <w:jc w:val="center"/>
            </w:pPr>
            <w:r w:rsidRPr="00F5723F">
              <w:t>3</w:t>
            </w:r>
          </w:p>
        </w:tc>
        <w:tc>
          <w:tcPr>
            <w:tcW w:w="624" w:type="dxa"/>
            <w:tcBorders>
              <w:bottom w:val="single" w:sz="4" w:space="0" w:color="auto"/>
            </w:tcBorders>
          </w:tcPr>
          <w:p w:rsidR="00B43C57" w:rsidRPr="00F5723F" w:rsidRDefault="00B43C57">
            <w:pPr>
              <w:pStyle w:val="Tabelltext"/>
              <w:jc w:val="center"/>
            </w:pPr>
            <w:r w:rsidRPr="00F5723F">
              <w:t>2</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Uppgifterna i tabellen grundar sig på bedömningar från utskottens kanslier av hur stor del av det egna utskottets sammantr</w:t>
      </w:r>
      <w:r w:rsidRPr="00F5723F">
        <w:rPr>
          <w:rFonts w:ascii="Arial" w:hAnsi="Arial" w:cs="Arial"/>
          <w:sz w:val="16"/>
          <w:szCs w:val="16"/>
        </w:rPr>
        <w:t>ä</w:t>
      </w:r>
      <w:r w:rsidRPr="00F5723F">
        <w:rPr>
          <w:rFonts w:ascii="Arial" w:hAnsi="Arial" w:cs="Arial"/>
          <w:sz w:val="16"/>
          <w:szCs w:val="16"/>
        </w:rPr>
        <w:t>destid som ägnas åt de olika aktiv</w:t>
      </w:r>
      <w:r w:rsidRPr="00F5723F">
        <w:rPr>
          <w:rFonts w:ascii="Arial" w:hAnsi="Arial" w:cs="Arial"/>
          <w:sz w:val="16"/>
          <w:szCs w:val="16"/>
        </w:rPr>
        <w:t>i</w:t>
      </w:r>
      <w:r w:rsidRPr="00F5723F">
        <w:rPr>
          <w:rFonts w:ascii="Arial" w:hAnsi="Arial" w:cs="Arial"/>
          <w:sz w:val="16"/>
          <w:szCs w:val="16"/>
        </w:rPr>
        <w:t>teterna.</w:t>
      </w:r>
    </w:p>
    <w:p w:rsidR="00B43C57" w:rsidRPr="00F5723F" w:rsidRDefault="00B43C57"/>
    <w:p w:rsidR="00B43C57" w:rsidRPr="00F5723F" w:rsidRDefault="00B43C57">
      <w:r w:rsidRPr="00F5723F">
        <w:t>På frågan till kanslierna vad de tror att utskottets ledamöter skulle vilja ägna mer tid åt är de vanligaste svaren uppföljning och utvärdering, EU-frågor, utfrågningar och andra kunskapsuppbyggande aktiviteter som till exempel föredra</w:t>
      </w:r>
      <w:r w:rsidRPr="00F5723F">
        <w:t>g</w:t>
      </w:r>
      <w:r w:rsidRPr="00F5723F">
        <w:t>ningar i aktuella ärenden. Vad gäller EU-frågor kan noteras att de kanslier som uppger att utskottet i dag ägnar mycket liten del av sin tid åt EU-frågor inte är samma som bedömer att utskottet skulle vilja ägna mer tid åt dessa. De utskott som, enligt kansliernas bedömningar, skulle vilja ägna mer tid åt EU-frågor är i huvudsak snarare sådana som i dag ägnar varken stor eller liten tid åt dessa frågor. Det förefaller med andra ord inte främst vara i utskott som i dag ägnar endast liten del av sin tid åt E</w:t>
      </w:r>
      <w:r w:rsidRPr="00F5723F">
        <w:t>U-frågor som man efte</w:t>
      </w:r>
      <w:r w:rsidRPr="00F5723F">
        <w:t>r</w:t>
      </w:r>
      <w:r w:rsidRPr="00F5723F">
        <w:t>frågar en ökad EU-bevakning, utan snarare i utskott som i dag ägnar EU-frågor en viss om än begränsad uppmärksamhet; i avsnittet Arbete med EU-frågor (se nedan) redogörs bland annat för utskottens arbetsmängd avseende EU-frågor. Bilden är ungefär densamma när det gäller uppföljning och utvä</w:t>
      </w:r>
      <w:r w:rsidRPr="00F5723F">
        <w:t>r</w:t>
      </w:r>
      <w:r w:rsidRPr="00F5723F">
        <w:t>dering. Fler utfrå</w:t>
      </w:r>
      <w:r w:rsidRPr="00F5723F">
        <w:t>g</w:t>
      </w:r>
      <w:r w:rsidRPr="00F5723F">
        <w:t>ningar efterfrågas enligt kansliernas bedömningar främst i utskott som redan i dag ägnar förhållandevis mycket tid åt sådana.</w:t>
      </w:r>
    </w:p>
    <w:p w:rsidR="00B43C57" w:rsidRPr="00F5723F" w:rsidRDefault="00B43C57">
      <w:pPr>
        <w:pStyle w:val="Normaltindrag"/>
      </w:pPr>
      <w:r w:rsidRPr="00F5723F">
        <w:t>Den i stort sett enda aktivitet som, enligt kansliern</w:t>
      </w:r>
      <w:r w:rsidRPr="00F5723F">
        <w:t>as bedömningar, utsko</w:t>
      </w:r>
      <w:r w:rsidRPr="00F5723F">
        <w:t>t</w:t>
      </w:r>
      <w:r w:rsidRPr="00F5723F">
        <w:t>tets ledamöter skulle vilja ägna mindre tid åt är beredning av motionsbetä</w:t>
      </w:r>
      <w:r w:rsidRPr="00F5723F">
        <w:t>n</w:t>
      </w:r>
      <w:r w:rsidRPr="00F5723F">
        <w:t xml:space="preserve">kanden. Detta uppges av cirka hälften av kanslierna. Med något undantag är det fråga om utskott som i dag ägnar </w:t>
      </w:r>
      <w:r w:rsidRPr="00F5723F">
        <w:rPr>
          <w:i/>
        </w:rPr>
        <w:t>ganska</w:t>
      </w:r>
      <w:r w:rsidRPr="00F5723F">
        <w:t xml:space="preserve"> stor del av sin tid åt motionsb</w:t>
      </w:r>
      <w:r w:rsidRPr="00F5723F">
        <w:t>e</w:t>
      </w:r>
      <w:r w:rsidRPr="00F5723F">
        <w:t xml:space="preserve">tänkanden. Bland utskott som i dag bedöms ägna </w:t>
      </w:r>
      <w:r w:rsidRPr="00F5723F">
        <w:rPr>
          <w:i/>
        </w:rPr>
        <w:t>mycket</w:t>
      </w:r>
      <w:r w:rsidRPr="00F5723F">
        <w:t xml:space="preserve"> stor del av sin tid åt motionsbetänkanden är dock intresset för att ägna mindre tid åt motionsb</w:t>
      </w:r>
      <w:r w:rsidRPr="00F5723F">
        <w:t>e</w:t>
      </w:r>
      <w:r w:rsidRPr="00F5723F">
        <w:t>tänkanden lägre.</w:t>
      </w:r>
    </w:p>
    <w:p w:rsidR="00B43C57" w:rsidRPr="00F5723F" w:rsidRDefault="00B43C57">
      <w:pPr>
        <w:pStyle w:val="Normaltindrag"/>
      </w:pPr>
      <w:r w:rsidRPr="00F5723F">
        <w:t>De klart vanligaste aktiviteterna i utskotten är alltså beredning av m</w:t>
      </w:r>
      <w:r w:rsidRPr="00F5723F">
        <w:t>o</w:t>
      </w:r>
      <w:r w:rsidRPr="00F5723F">
        <w:t>tions- och propositionsbetänkanden. Samtidigt är beredningstiderna för dessa i dag sannolikt så korta som de kan vara. Studeras, som i tabell 4:5, hur ofta olika betänkanden behandlas i utskotten framkommer nämligen att flertalet utskott som regel inte behandlar ett betänkande mer än två gånger, inklusive bere</w:t>
      </w:r>
      <w:r w:rsidRPr="00F5723F">
        <w:t>d</w:t>
      </w:r>
      <w:r w:rsidRPr="00F5723F">
        <w:t>ning och justering. Undantagen är konstitutions- och lagu</w:t>
      </w:r>
      <w:r w:rsidRPr="00F5723F">
        <w:t>t</w:t>
      </w:r>
      <w:r w:rsidRPr="00F5723F">
        <w:t>skotten, som oftast behandlar ett betänkande vid tre till fyra sammanträden. Socialutskottet b</w:t>
      </w:r>
      <w:r w:rsidRPr="00F5723F">
        <w:t>e</w:t>
      </w:r>
      <w:r w:rsidRPr="00F5723F">
        <w:t>handlar propositions- och motionsbetänkanden v</w:t>
      </w:r>
      <w:r w:rsidRPr="00F5723F">
        <w:t xml:space="preserve">id tre till fyra sammanträden. </w:t>
      </w:r>
      <w:r w:rsidRPr="00F5723F">
        <w:lastRenderedPageBreak/>
        <w:t>I ytterligare ett antal utskott behandlas dessutom prop</w:t>
      </w:r>
      <w:r w:rsidRPr="00F5723F">
        <w:t>o</w:t>
      </w:r>
      <w:r w:rsidRPr="00F5723F">
        <w:t>sitionsbetänkanden vid tre till fyra sammanträden.</w:t>
      </w:r>
    </w:p>
    <w:p w:rsidR="00B43C57" w:rsidRPr="00F5723F" w:rsidRDefault="00B43C57">
      <w:pPr>
        <w:pStyle w:val="Normaltindrag"/>
      </w:pPr>
      <w:r w:rsidRPr="00F5723F">
        <w:t>När det gäller framför allt propositionsbetänkanden framhåller vissa kan</w:t>
      </w:r>
      <w:r w:rsidRPr="00F5723F">
        <w:t>s</w:t>
      </w:r>
      <w:r w:rsidRPr="00F5723F">
        <w:t>lier att antalet behandlingar kan variera stort beroende på propositi</w:t>
      </w:r>
      <w:r w:rsidRPr="00F5723F">
        <w:t>o</w:t>
      </w:r>
      <w:r w:rsidRPr="00F5723F">
        <w:t>nens storlek. Budgetpropositionen och stora propositioner vars beredning kräver information från regeringen, myndigheter m.fl. behandlas då vid fler samma</w:t>
      </w:r>
      <w:r w:rsidRPr="00F5723F">
        <w:t>n</w:t>
      </w:r>
      <w:r w:rsidRPr="00F5723F">
        <w:t>träden. Även majoritetsförhållandet under en valperiod kan påverka hur många gån</w:t>
      </w:r>
      <w:r w:rsidRPr="00F5723F">
        <w:t>g</w:t>
      </w:r>
      <w:r w:rsidRPr="00F5723F">
        <w:t>er ett betänkande behöver behandlas.</w:t>
      </w:r>
    </w:p>
    <w:p w:rsidR="00B43C57" w:rsidRPr="00F5723F" w:rsidRDefault="00B43C57">
      <w:pPr>
        <w:pStyle w:val="Tabellrubrik"/>
      </w:pPr>
      <w:r w:rsidRPr="00F5723F">
        <w:t>Tabell 4:5 utskottsbehandlingar av betänkanden (antal samma</w:t>
      </w:r>
      <w:r w:rsidRPr="00F5723F">
        <w:t>n</w:t>
      </w:r>
      <w:r w:rsidRPr="00F5723F">
        <w:t>träden)</w:t>
      </w:r>
    </w:p>
    <w:tbl>
      <w:tblPr>
        <w:tblW w:w="0" w:type="auto"/>
        <w:tblLayout w:type="fixed"/>
        <w:tblCellMar>
          <w:left w:w="30" w:type="dxa"/>
          <w:right w:w="30" w:type="dxa"/>
        </w:tblCellMar>
        <w:tblLook w:val="0000" w:firstRow="0" w:lastRow="0" w:firstColumn="0" w:lastColumn="0" w:noHBand="0" w:noVBand="0"/>
      </w:tblPr>
      <w:tblGrid>
        <w:gridCol w:w="1247"/>
        <w:gridCol w:w="1134"/>
        <w:gridCol w:w="1134"/>
        <w:gridCol w:w="992"/>
        <w:gridCol w:w="1418"/>
      </w:tblGrid>
      <w:tr w:rsidR="00000000" w:rsidRPr="00F5723F">
        <w:tblPrEx>
          <w:tblCellMar>
            <w:top w:w="0" w:type="dxa"/>
            <w:bottom w:w="0" w:type="dxa"/>
          </w:tblCellMar>
        </w:tblPrEx>
        <w:trPr>
          <w:trHeight w:val="247"/>
        </w:trPr>
        <w:tc>
          <w:tcPr>
            <w:tcW w:w="1247" w:type="dxa"/>
            <w:tcBorders>
              <w:top w:val="single" w:sz="4" w:space="0" w:color="auto"/>
              <w:bottom w:val="single" w:sz="4" w:space="0" w:color="auto"/>
            </w:tcBorders>
          </w:tcPr>
          <w:p w:rsidR="00B43C57" w:rsidRPr="00F5723F" w:rsidRDefault="00B43C57">
            <w:pPr>
              <w:pStyle w:val="Tabelltext"/>
              <w:rPr>
                <w:snapToGrid w:val="0"/>
              </w:rPr>
            </w:pPr>
          </w:p>
        </w:tc>
        <w:tc>
          <w:tcPr>
            <w:tcW w:w="1134"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Motions</w:t>
            </w:r>
            <w:r w:rsidRPr="00F5723F">
              <w:rPr>
                <w:snapToGrid w:val="0"/>
              </w:rPr>
              <w:softHyphen/>
              <w:t>betänkanden</w:t>
            </w:r>
          </w:p>
        </w:tc>
        <w:tc>
          <w:tcPr>
            <w:tcW w:w="1134"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Propositions</w:t>
            </w:r>
            <w:r w:rsidRPr="00F5723F">
              <w:rPr>
                <w:snapToGrid w:val="0"/>
              </w:rPr>
              <w:softHyphen/>
              <w:t>betänkanden</w:t>
            </w:r>
          </w:p>
        </w:tc>
        <w:tc>
          <w:tcPr>
            <w:tcW w:w="992"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Skrivelse</w:t>
            </w:r>
            <w:r w:rsidRPr="00F5723F">
              <w:rPr>
                <w:snapToGrid w:val="0"/>
              </w:rPr>
              <w:softHyphen/>
              <w:t>betänkanden</w:t>
            </w:r>
          </w:p>
        </w:tc>
        <w:tc>
          <w:tcPr>
            <w:tcW w:w="1418"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Andra betänka</w:t>
            </w:r>
            <w:r w:rsidRPr="00F5723F">
              <w:rPr>
                <w:snapToGrid w:val="0"/>
              </w:rPr>
              <w:t>n</w:t>
            </w:r>
            <w:r w:rsidRPr="00F5723F">
              <w:rPr>
                <w:snapToGrid w:val="0"/>
              </w:rPr>
              <w:t>den</w:t>
            </w:r>
          </w:p>
        </w:tc>
      </w:tr>
      <w:tr w:rsidR="00000000" w:rsidRPr="00F5723F">
        <w:tblPrEx>
          <w:tblCellMar>
            <w:top w:w="0" w:type="dxa"/>
            <w:bottom w:w="0" w:type="dxa"/>
          </w:tblCellMar>
        </w:tblPrEx>
        <w:trPr>
          <w:trHeight w:val="247"/>
        </w:trPr>
        <w:tc>
          <w:tcPr>
            <w:tcW w:w="1247" w:type="dxa"/>
            <w:tcBorders>
              <w:top w:val="single" w:sz="4" w:space="0" w:color="auto"/>
            </w:tcBorders>
          </w:tcPr>
          <w:p w:rsidR="00B43C57" w:rsidRPr="00F5723F" w:rsidRDefault="00B43C57">
            <w:pPr>
              <w:pStyle w:val="Tabelltext"/>
              <w:rPr>
                <w:snapToGrid w:val="0"/>
              </w:rPr>
            </w:pPr>
            <w:r w:rsidRPr="00F5723F">
              <w:rPr>
                <w:snapToGrid w:val="0"/>
              </w:rPr>
              <w:t>KU</w:t>
            </w:r>
          </w:p>
        </w:tc>
        <w:tc>
          <w:tcPr>
            <w:tcW w:w="1134" w:type="dxa"/>
            <w:tcBorders>
              <w:top w:val="single" w:sz="4" w:space="0" w:color="auto"/>
            </w:tcBorders>
          </w:tcPr>
          <w:p w:rsidR="00B43C57" w:rsidRPr="00F5723F" w:rsidRDefault="00B43C57">
            <w:pPr>
              <w:pStyle w:val="Tabelltext"/>
              <w:jc w:val="center"/>
              <w:rPr>
                <w:snapToGrid w:val="0"/>
              </w:rPr>
            </w:pPr>
            <w:r w:rsidRPr="00F5723F">
              <w:rPr>
                <w:snapToGrid w:val="0"/>
              </w:rPr>
              <w:t>3–4</w:t>
            </w:r>
          </w:p>
        </w:tc>
        <w:tc>
          <w:tcPr>
            <w:tcW w:w="1134" w:type="dxa"/>
            <w:tcBorders>
              <w:top w:val="single" w:sz="4" w:space="0" w:color="auto"/>
            </w:tcBorders>
          </w:tcPr>
          <w:p w:rsidR="00B43C57" w:rsidRPr="00F5723F" w:rsidRDefault="00B43C57">
            <w:pPr>
              <w:pStyle w:val="Tabelltext"/>
              <w:jc w:val="center"/>
              <w:rPr>
                <w:snapToGrid w:val="0"/>
              </w:rPr>
            </w:pPr>
            <w:r w:rsidRPr="00F5723F">
              <w:rPr>
                <w:snapToGrid w:val="0"/>
              </w:rPr>
              <w:t>3–4</w:t>
            </w:r>
          </w:p>
        </w:tc>
        <w:tc>
          <w:tcPr>
            <w:tcW w:w="992" w:type="dxa"/>
            <w:tcBorders>
              <w:top w:val="single" w:sz="4" w:space="0" w:color="auto"/>
            </w:tcBorders>
          </w:tcPr>
          <w:p w:rsidR="00B43C57" w:rsidRPr="00F5723F" w:rsidRDefault="00B43C57">
            <w:pPr>
              <w:pStyle w:val="Tabelltext"/>
              <w:jc w:val="center"/>
              <w:rPr>
                <w:snapToGrid w:val="0"/>
              </w:rPr>
            </w:pPr>
            <w:r w:rsidRPr="00F5723F">
              <w:rPr>
                <w:snapToGrid w:val="0"/>
              </w:rPr>
              <w:t>3–4</w:t>
            </w:r>
          </w:p>
        </w:tc>
        <w:tc>
          <w:tcPr>
            <w:tcW w:w="1418" w:type="dxa"/>
            <w:tcBorders>
              <w:top w:val="single" w:sz="4" w:space="0" w:color="auto"/>
            </w:tcBorders>
          </w:tcPr>
          <w:p w:rsidR="00B43C57" w:rsidRPr="00F5723F" w:rsidRDefault="00B43C57">
            <w:pPr>
              <w:pStyle w:val="Tabelltext"/>
              <w:jc w:val="center"/>
              <w:rPr>
                <w:snapToGrid w:val="0"/>
              </w:rPr>
            </w:pPr>
            <w:r w:rsidRPr="00F5723F">
              <w:rPr>
                <w:snapToGrid w:val="0"/>
              </w:rPr>
              <w:t>3–4</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FiU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SkU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JuU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LU</w:t>
            </w:r>
          </w:p>
        </w:tc>
        <w:tc>
          <w:tcPr>
            <w:tcW w:w="1134" w:type="dxa"/>
          </w:tcPr>
          <w:p w:rsidR="00B43C57" w:rsidRPr="00F5723F" w:rsidRDefault="00B43C57">
            <w:pPr>
              <w:pStyle w:val="Tabelltext"/>
              <w:jc w:val="center"/>
              <w:rPr>
                <w:snapToGrid w:val="0"/>
              </w:rPr>
            </w:pPr>
            <w:r w:rsidRPr="00F5723F">
              <w:rPr>
                <w:snapToGrid w:val="0"/>
              </w:rPr>
              <w:t>3–4</w:t>
            </w:r>
          </w:p>
        </w:tc>
        <w:tc>
          <w:tcPr>
            <w:tcW w:w="1134" w:type="dxa"/>
          </w:tcPr>
          <w:p w:rsidR="00B43C57" w:rsidRPr="00F5723F" w:rsidRDefault="00B43C57">
            <w:pPr>
              <w:pStyle w:val="Tabelltext"/>
              <w:jc w:val="center"/>
              <w:rPr>
                <w:snapToGrid w:val="0"/>
              </w:rPr>
            </w:pPr>
            <w:r w:rsidRPr="00F5723F">
              <w:rPr>
                <w:snapToGrid w:val="0"/>
              </w:rPr>
              <w:t>3–4</w:t>
            </w:r>
          </w:p>
        </w:tc>
        <w:tc>
          <w:tcPr>
            <w:tcW w:w="992" w:type="dxa"/>
          </w:tcPr>
          <w:p w:rsidR="00B43C57" w:rsidRPr="00F5723F" w:rsidRDefault="00B43C57">
            <w:pPr>
              <w:pStyle w:val="Tabelltext"/>
              <w:jc w:val="center"/>
              <w:rPr>
                <w:snapToGrid w:val="0"/>
              </w:rPr>
            </w:pPr>
            <w:r w:rsidRPr="00F5723F">
              <w:rPr>
                <w:snapToGrid w:val="0"/>
              </w:rPr>
              <w:t>3–4</w:t>
            </w:r>
          </w:p>
        </w:tc>
        <w:tc>
          <w:tcPr>
            <w:tcW w:w="1418" w:type="dxa"/>
          </w:tcPr>
          <w:p w:rsidR="00B43C57" w:rsidRPr="00F5723F" w:rsidRDefault="00B43C57">
            <w:pPr>
              <w:pStyle w:val="Tabelltext"/>
              <w:jc w:val="center"/>
              <w:rPr>
                <w:snapToGrid w:val="0"/>
              </w:rPr>
            </w:pPr>
            <w:r w:rsidRPr="00F5723F">
              <w:rPr>
                <w:snapToGrid w:val="0"/>
              </w:rPr>
              <w:t>3–4</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UU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FöU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3–4</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SfU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SoU</w:t>
            </w:r>
          </w:p>
        </w:tc>
        <w:tc>
          <w:tcPr>
            <w:tcW w:w="1134" w:type="dxa"/>
          </w:tcPr>
          <w:p w:rsidR="00B43C57" w:rsidRPr="00F5723F" w:rsidRDefault="00B43C57">
            <w:pPr>
              <w:pStyle w:val="Tabelltext"/>
              <w:jc w:val="center"/>
              <w:rPr>
                <w:snapToGrid w:val="0"/>
              </w:rPr>
            </w:pPr>
            <w:r w:rsidRPr="00F5723F">
              <w:rPr>
                <w:snapToGrid w:val="0"/>
              </w:rPr>
              <w:t>3–4</w:t>
            </w:r>
          </w:p>
        </w:tc>
        <w:tc>
          <w:tcPr>
            <w:tcW w:w="1134" w:type="dxa"/>
          </w:tcPr>
          <w:p w:rsidR="00B43C57" w:rsidRPr="00F5723F" w:rsidRDefault="00B43C57">
            <w:pPr>
              <w:pStyle w:val="Tabelltext"/>
              <w:jc w:val="center"/>
              <w:rPr>
                <w:snapToGrid w:val="0"/>
              </w:rPr>
            </w:pPr>
            <w:r w:rsidRPr="00F5723F">
              <w:rPr>
                <w:snapToGrid w:val="0"/>
              </w:rPr>
              <w:t>3–4</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KrU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3–4</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UbU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TU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MJU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NU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3–4</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Pr>
          <w:p w:rsidR="00B43C57" w:rsidRPr="00F5723F" w:rsidRDefault="00B43C57">
            <w:pPr>
              <w:pStyle w:val="Tabelltext"/>
              <w:rPr>
                <w:snapToGrid w:val="0"/>
              </w:rPr>
            </w:pPr>
            <w:r w:rsidRPr="00F5723F">
              <w:rPr>
                <w:snapToGrid w:val="0"/>
              </w:rPr>
              <w:t>AU</w:t>
            </w:r>
          </w:p>
        </w:tc>
        <w:tc>
          <w:tcPr>
            <w:tcW w:w="1134" w:type="dxa"/>
          </w:tcPr>
          <w:p w:rsidR="00B43C57" w:rsidRPr="00F5723F" w:rsidRDefault="00B43C57">
            <w:pPr>
              <w:pStyle w:val="Tabelltext"/>
              <w:jc w:val="center"/>
              <w:rPr>
                <w:snapToGrid w:val="0"/>
              </w:rPr>
            </w:pPr>
            <w:r w:rsidRPr="00F5723F">
              <w:rPr>
                <w:snapToGrid w:val="0"/>
              </w:rPr>
              <w:t>1–2</w:t>
            </w:r>
          </w:p>
        </w:tc>
        <w:tc>
          <w:tcPr>
            <w:tcW w:w="1134" w:type="dxa"/>
          </w:tcPr>
          <w:p w:rsidR="00B43C57" w:rsidRPr="00F5723F" w:rsidRDefault="00B43C57">
            <w:pPr>
              <w:pStyle w:val="Tabelltext"/>
              <w:jc w:val="center"/>
              <w:rPr>
                <w:snapToGrid w:val="0"/>
              </w:rPr>
            </w:pPr>
            <w:r w:rsidRPr="00F5723F">
              <w:rPr>
                <w:snapToGrid w:val="0"/>
              </w:rPr>
              <w:t>1–2</w:t>
            </w:r>
          </w:p>
        </w:tc>
        <w:tc>
          <w:tcPr>
            <w:tcW w:w="992" w:type="dxa"/>
          </w:tcPr>
          <w:p w:rsidR="00B43C57" w:rsidRPr="00F5723F" w:rsidRDefault="00B43C57">
            <w:pPr>
              <w:pStyle w:val="Tabelltext"/>
              <w:jc w:val="center"/>
              <w:rPr>
                <w:snapToGrid w:val="0"/>
              </w:rPr>
            </w:pPr>
            <w:r w:rsidRPr="00F5723F">
              <w:rPr>
                <w:snapToGrid w:val="0"/>
              </w:rPr>
              <w:t>1–2</w:t>
            </w:r>
          </w:p>
        </w:tc>
        <w:tc>
          <w:tcPr>
            <w:tcW w:w="1418" w:type="dxa"/>
          </w:tcPr>
          <w:p w:rsidR="00B43C57" w:rsidRPr="00F5723F" w:rsidRDefault="00B43C57">
            <w:pPr>
              <w:pStyle w:val="Tabelltext"/>
              <w:jc w:val="center"/>
              <w:rPr>
                <w:snapToGrid w:val="0"/>
              </w:rPr>
            </w:pPr>
            <w:r w:rsidRPr="00F5723F">
              <w:rPr>
                <w:snapToGrid w:val="0"/>
              </w:rPr>
              <w:t>1–2</w:t>
            </w:r>
          </w:p>
        </w:tc>
      </w:tr>
      <w:tr w:rsidR="00000000" w:rsidRPr="00F5723F">
        <w:tblPrEx>
          <w:tblCellMar>
            <w:top w:w="0" w:type="dxa"/>
            <w:bottom w:w="0" w:type="dxa"/>
          </w:tblCellMar>
        </w:tblPrEx>
        <w:trPr>
          <w:trHeight w:val="247"/>
        </w:trPr>
        <w:tc>
          <w:tcPr>
            <w:tcW w:w="1247" w:type="dxa"/>
            <w:tcBorders>
              <w:bottom w:val="single" w:sz="4" w:space="0" w:color="auto"/>
            </w:tcBorders>
          </w:tcPr>
          <w:p w:rsidR="00B43C57" w:rsidRPr="00F5723F" w:rsidRDefault="00B43C57">
            <w:pPr>
              <w:pStyle w:val="Tabelltext"/>
              <w:rPr>
                <w:snapToGrid w:val="0"/>
              </w:rPr>
            </w:pPr>
            <w:r w:rsidRPr="00F5723F">
              <w:rPr>
                <w:snapToGrid w:val="0"/>
              </w:rPr>
              <w:t>BoU</w:t>
            </w:r>
          </w:p>
        </w:tc>
        <w:tc>
          <w:tcPr>
            <w:tcW w:w="1134" w:type="dxa"/>
            <w:tcBorders>
              <w:bottom w:val="single" w:sz="4" w:space="0" w:color="auto"/>
            </w:tcBorders>
          </w:tcPr>
          <w:p w:rsidR="00B43C57" w:rsidRPr="00F5723F" w:rsidRDefault="00B43C57">
            <w:pPr>
              <w:pStyle w:val="Tabelltext"/>
              <w:jc w:val="center"/>
              <w:rPr>
                <w:snapToGrid w:val="0"/>
              </w:rPr>
            </w:pPr>
            <w:r w:rsidRPr="00F5723F">
              <w:rPr>
                <w:snapToGrid w:val="0"/>
              </w:rPr>
              <w:t>1–2</w:t>
            </w:r>
          </w:p>
        </w:tc>
        <w:tc>
          <w:tcPr>
            <w:tcW w:w="1134" w:type="dxa"/>
            <w:tcBorders>
              <w:bottom w:val="single" w:sz="4" w:space="0" w:color="auto"/>
            </w:tcBorders>
          </w:tcPr>
          <w:p w:rsidR="00B43C57" w:rsidRPr="00F5723F" w:rsidRDefault="00B43C57">
            <w:pPr>
              <w:pStyle w:val="Tabelltext"/>
              <w:jc w:val="center"/>
              <w:rPr>
                <w:snapToGrid w:val="0"/>
              </w:rPr>
            </w:pPr>
            <w:r w:rsidRPr="00F5723F">
              <w:rPr>
                <w:snapToGrid w:val="0"/>
              </w:rPr>
              <w:t>3–4</w:t>
            </w:r>
          </w:p>
        </w:tc>
        <w:tc>
          <w:tcPr>
            <w:tcW w:w="992" w:type="dxa"/>
            <w:tcBorders>
              <w:bottom w:val="single" w:sz="4" w:space="0" w:color="auto"/>
            </w:tcBorders>
          </w:tcPr>
          <w:p w:rsidR="00B43C57" w:rsidRPr="00F5723F" w:rsidRDefault="00B43C57">
            <w:pPr>
              <w:pStyle w:val="Tabelltext"/>
              <w:jc w:val="center"/>
              <w:rPr>
                <w:snapToGrid w:val="0"/>
              </w:rPr>
            </w:pPr>
            <w:r w:rsidRPr="00F5723F">
              <w:rPr>
                <w:snapToGrid w:val="0"/>
              </w:rPr>
              <w:t>1–2</w:t>
            </w:r>
          </w:p>
        </w:tc>
        <w:tc>
          <w:tcPr>
            <w:tcW w:w="1418" w:type="dxa"/>
            <w:tcBorders>
              <w:bottom w:val="single" w:sz="4" w:space="0" w:color="auto"/>
            </w:tcBorders>
          </w:tcPr>
          <w:p w:rsidR="00B43C57" w:rsidRPr="00F5723F" w:rsidRDefault="00B43C57">
            <w:pPr>
              <w:pStyle w:val="Tabelltext"/>
              <w:jc w:val="center"/>
              <w:rPr>
                <w:snapToGrid w:val="0"/>
              </w:rPr>
            </w:pPr>
            <w:r w:rsidRPr="00F5723F">
              <w:rPr>
                <w:snapToGrid w:val="0"/>
              </w:rPr>
              <w:t>1–2</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Tabellen visar vid hur många sammanträden olika slags betänka</w:t>
      </w:r>
      <w:r w:rsidRPr="00F5723F">
        <w:rPr>
          <w:rFonts w:ascii="Arial" w:hAnsi="Arial" w:cs="Arial"/>
          <w:sz w:val="16"/>
          <w:szCs w:val="16"/>
        </w:rPr>
        <w:t>n</w:t>
      </w:r>
      <w:r w:rsidRPr="00F5723F">
        <w:rPr>
          <w:rFonts w:ascii="Arial" w:hAnsi="Arial" w:cs="Arial"/>
          <w:sz w:val="16"/>
          <w:szCs w:val="16"/>
        </w:rPr>
        <w:t>den i normalfallet behandlas i olika utskott. Med behandling menas både bere</w:t>
      </w:r>
      <w:r w:rsidRPr="00F5723F">
        <w:rPr>
          <w:rFonts w:ascii="Arial" w:hAnsi="Arial" w:cs="Arial"/>
          <w:sz w:val="16"/>
          <w:szCs w:val="16"/>
        </w:rPr>
        <w:t>d</w:t>
      </w:r>
      <w:r w:rsidRPr="00F5723F">
        <w:rPr>
          <w:rFonts w:ascii="Arial" w:hAnsi="Arial" w:cs="Arial"/>
          <w:sz w:val="16"/>
          <w:szCs w:val="16"/>
        </w:rPr>
        <w:t>nings- och justeringstillfällen. Skrivelsebetänkanden avser betänkanden i vilka regering</w:t>
      </w:r>
      <w:r w:rsidRPr="00F5723F">
        <w:rPr>
          <w:rFonts w:ascii="Arial" w:hAnsi="Arial" w:cs="Arial"/>
          <w:sz w:val="16"/>
          <w:szCs w:val="16"/>
        </w:rPr>
        <w:t>s</w:t>
      </w:r>
      <w:r w:rsidRPr="00F5723F">
        <w:rPr>
          <w:rFonts w:ascii="Arial" w:hAnsi="Arial" w:cs="Arial"/>
          <w:sz w:val="16"/>
          <w:szCs w:val="16"/>
        </w:rPr>
        <w:t>skrivelser behandlas. Andra b</w:t>
      </w:r>
      <w:r w:rsidRPr="00F5723F">
        <w:rPr>
          <w:rFonts w:ascii="Arial" w:hAnsi="Arial" w:cs="Arial"/>
          <w:sz w:val="16"/>
          <w:szCs w:val="16"/>
        </w:rPr>
        <w:t>e</w:t>
      </w:r>
      <w:r w:rsidRPr="00F5723F">
        <w:rPr>
          <w:rFonts w:ascii="Arial" w:hAnsi="Arial" w:cs="Arial"/>
          <w:sz w:val="16"/>
          <w:szCs w:val="16"/>
        </w:rPr>
        <w:t>tänkanden avser betänkanden i vilka framställningar till riksdagen behandlas. Uppgifterna grundar sig på bedömningar från utskottens kanslier.</w:t>
      </w:r>
    </w:p>
    <w:p w:rsidR="00B43C57" w:rsidRPr="00F5723F" w:rsidRDefault="00B43C57">
      <w:pPr>
        <w:pStyle w:val="Rubrik3"/>
        <w:rPr>
          <w:noProof w:val="0"/>
        </w:rPr>
      </w:pPr>
      <w:bookmarkStart w:id="54" w:name="_Toc121738902"/>
      <w:bookmarkStart w:id="55" w:name="_Toc124697796"/>
      <w:r w:rsidRPr="00F5723F">
        <w:rPr>
          <w:noProof w:val="0"/>
        </w:rPr>
        <w:t>Planering av utskottens sammanträden</w:t>
      </w:r>
      <w:bookmarkEnd w:id="54"/>
      <w:bookmarkEnd w:id="55"/>
    </w:p>
    <w:p w:rsidR="00B43C57" w:rsidRPr="00F5723F" w:rsidRDefault="00B43C57">
      <w:r w:rsidRPr="00F5723F">
        <w:t>Som framgått i det föregående innehåller riksdagsordningen bestämmelser om tid för utskottens sammanträden. Enligt 4 kap. 12 § sammanträder ett utskott när riksdagsarbetet kräver det; ett utskott kan alltså sammanträda även när riksdagen i övrigt gör uppehåll i sitt arbete. Huvudprincipen är att utskott inte skall sammanträda samtidigt med kammaren. Under bordläg</w:t>
      </w:r>
      <w:r w:rsidRPr="00F5723F">
        <w:t>g</w:t>
      </w:r>
      <w:r w:rsidRPr="00F5723F">
        <w:t>nings</w:t>
      </w:r>
      <w:r w:rsidRPr="00F5723F">
        <w:softHyphen/>
        <w:t>plenum och plenum då i övrigt endast interpellationer och frågor b</w:t>
      </w:r>
      <w:r w:rsidRPr="00F5723F">
        <w:t>e</w:t>
      </w:r>
      <w:r w:rsidRPr="00F5723F">
        <w:t xml:space="preserve">svaras kan ett utskott dock sammanträda under förutsättning att utskottet är enigt om att göra det (tilläggsbestämmelser 4.12.2). Under arbetsplenum, det vill säga när </w:t>
      </w:r>
      <w:r w:rsidRPr="00F5723F">
        <w:lastRenderedPageBreak/>
        <w:t>ärenden debatteras och beslutas i kammaren, får utskotten inte samman</w:t>
      </w:r>
      <w:r w:rsidRPr="00F5723F">
        <w:softHyphen/>
        <w:t>träda.</w:t>
      </w:r>
      <w:r w:rsidRPr="00F5723F">
        <w:rPr>
          <w:rStyle w:val="Fotnotsreferens"/>
        </w:rPr>
        <w:footnoteReference w:id="49"/>
      </w:r>
    </w:p>
    <w:p w:rsidR="00B43C57" w:rsidRPr="00F5723F" w:rsidRDefault="00B43C57">
      <w:pPr>
        <w:pStyle w:val="Normaltindrag"/>
      </w:pPr>
      <w:r w:rsidRPr="00F5723F">
        <w:t>Enligt gällande ordning sammanträder utskotten i första hand på fasta t</w:t>
      </w:r>
      <w:r w:rsidRPr="00F5723F">
        <w:t>i</w:t>
      </w:r>
      <w:r w:rsidRPr="00F5723F">
        <w:t>der tisdagar och torsdagar. Ordningen med fasta tider förefaller ha utbrett stöd bland utskottskanslierna, och den bör även framöver vara huvudregeln. Flera framhåller att det underlättar planeringen. Ledamöter och kansli vet vad som gäller och kan anpassa sin kalender därefter.</w:t>
      </w:r>
    </w:p>
    <w:p w:rsidR="00B43C57" w:rsidRPr="00F5723F" w:rsidRDefault="00B43C57">
      <w:pPr>
        <w:pStyle w:val="Normaltindrag"/>
      </w:pPr>
      <w:r w:rsidRPr="00F5723F">
        <w:t>Däremot menar flera att förbudet mot att sammanträda under arbetspl</w:t>
      </w:r>
      <w:r w:rsidRPr="00F5723F">
        <w:t>e</w:t>
      </w:r>
      <w:r w:rsidRPr="00F5723F">
        <w:t>num borde luckras upp. Särskilt under slutet av terminerna (december och maj–juni) när arbetsplenum pågår hela dagarna utgör den nuvarande or</w:t>
      </w:r>
      <w:r w:rsidRPr="00F5723F">
        <w:t>d</w:t>
      </w:r>
      <w:r w:rsidRPr="00F5723F">
        <w:t>ningen ett problem. Enligt många är det då svårt att hitta tider för utskottet att samma</w:t>
      </w:r>
      <w:r w:rsidRPr="00F5723F">
        <w:t>n</w:t>
      </w:r>
      <w:r w:rsidRPr="00F5723F">
        <w:t>träda på. Kammarens planering borde också ta större hänsyn till att utskott som har ärenden i kammaren långt fram på terminen behöver sammanträde</w:t>
      </w:r>
      <w:r w:rsidRPr="00F5723F">
        <w:t>s</w:t>
      </w:r>
      <w:r w:rsidRPr="00F5723F">
        <w:t>tid på de vanliga utskottstiderna. Vidare anses de fasta vote</w:t>
      </w:r>
      <w:r w:rsidRPr="00F5723F">
        <w:t>r</w:t>
      </w:r>
      <w:r w:rsidRPr="00F5723F">
        <w:t>ingstiderna ibland medföra svårigheter att hitta tillräckligt med tid fö</w:t>
      </w:r>
      <w:r w:rsidRPr="00F5723F">
        <w:t>r u</w:t>
      </w:r>
      <w:r w:rsidRPr="00F5723F">
        <w:t>t</w:t>
      </w:r>
      <w:r w:rsidRPr="00F5723F">
        <w:t>åtriktade aktiviteter som studiebesök, och ibland hinner utskottssamman</w:t>
      </w:r>
      <w:r w:rsidRPr="00F5723F">
        <w:softHyphen/>
        <w:t>trädena på torsdagar inte bli klara före voteringen kl. 12. En del lyfter även fram att det kan vara svårt att hitta lokaler för offentliga utfrågningar när sådana endast får anordnas vissa tider.</w:t>
      </w:r>
    </w:p>
    <w:p w:rsidR="00B43C57" w:rsidRPr="00F5723F" w:rsidRDefault="00B43C57">
      <w:pPr>
        <w:pStyle w:val="Normaltindrag"/>
      </w:pPr>
      <w:r w:rsidRPr="00F5723F">
        <w:t>Ett annat problem i planeringsarbetet, som uppges av ett kansli, är de pl</w:t>
      </w:r>
      <w:r w:rsidRPr="00F5723F">
        <w:t>e</w:t>
      </w:r>
      <w:r w:rsidRPr="00F5723F">
        <w:t>nifria veckorna. Att dessa veckor uppfattas som helt sammanträdesfria försv</w:t>
      </w:r>
      <w:r w:rsidRPr="00F5723F">
        <w:t>å</w:t>
      </w:r>
      <w:r w:rsidRPr="00F5723F">
        <w:t>rar ärendehanteringen på så sätt att ärenden som förutsätts bli behandlade före en viss tidpunkt måste tidigareläggas alternativt senareläggas med fördröjning som följd.</w:t>
      </w:r>
    </w:p>
    <w:p w:rsidR="00B43C57" w:rsidRPr="00F5723F" w:rsidRDefault="00B43C57">
      <w:pPr>
        <w:pStyle w:val="Rubrik2"/>
      </w:pPr>
      <w:bookmarkStart w:id="56" w:name="_Toc121738903"/>
      <w:bookmarkStart w:id="57" w:name="_Toc124697797"/>
      <w:r w:rsidRPr="00F5723F">
        <w:t>Produktion</w:t>
      </w:r>
      <w:bookmarkEnd w:id="56"/>
      <w:bookmarkEnd w:id="57"/>
    </w:p>
    <w:p w:rsidR="00B43C57" w:rsidRPr="00F5723F" w:rsidRDefault="00B43C57">
      <w:pPr>
        <w:pStyle w:val="Rubrik3"/>
        <w:rPr>
          <w:noProof w:val="0"/>
        </w:rPr>
      </w:pPr>
      <w:bookmarkStart w:id="58" w:name="_Toc121738904"/>
      <w:bookmarkStart w:id="59" w:name="_Toc124697798"/>
      <w:r w:rsidRPr="00F5723F">
        <w:rPr>
          <w:noProof w:val="0"/>
        </w:rPr>
        <w:t>Propositioner och motioner</w:t>
      </w:r>
      <w:bookmarkEnd w:id="58"/>
      <w:bookmarkEnd w:id="59"/>
    </w:p>
    <w:p w:rsidR="00B43C57" w:rsidRPr="00F5723F" w:rsidRDefault="00B43C57">
      <w:r w:rsidRPr="00F5723F">
        <w:t>Beredning av propositioner och motioner är utskottens främsta uppgift och, som framgått ovan, en stor del av utskottens sammanträdestid går åt till detta. Som framgår av tabell 5:1 har antalet propositioner som avlämnas till riksd</w:t>
      </w:r>
      <w:r w:rsidRPr="00F5723F">
        <w:t>a</w:t>
      </w:r>
      <w:r w:rsidRPr="00F5723F">
        <w:t>gen under ett riksmöte minskat under den senaste tioårsperioden. Fram till i mitten av 1990-talet avlämnades drygt 200 propositioner per riksmöte. Däre</w:t>
      </w:r>
      <w:r w:rsidRPr="00F5723F">
        <w:t>f</w:t>
      </w:r>
      <w:r w:rsidRPr="00F5723F">
        <w:t>ter har antalet legat omkring 110–150 per riksmöte. Minskningen torde å</w:t>
      </w:r>
      <w:r w:rsidRPr="00F5723F">
        <w:t>t</w:t>
      </w:r>
      <w:r w:rsidRPr="00F5723F">
        <w:t>minstone delvis bero på att regeringen fram till 1995/96, under den gamla budgetordningen, utöver budgetpropositionen lämnade flera särpropositioner med förslag till utgifter. För skrivelser har utvecklin</w:t>
      </w:r>
      <w:r w:rsidRPr="00F5723F">
        <w:t>g</w:t>
      </w:r>
      <w:r w:rsidRPr="00F5723F">
        <w:t>en varit den motsatta. Fram till i mitten av 1990-talet avlämnade regeringen 25–30</w:t>
      </w:r>
      <w:r w:rsidRPr="00F5723F">
        <w:t xml:space="preserve"> skrivelser per riksmöte, därefter omkring 30–40. Både när det gäller propositioner och skrivelser bör dock påpekas att utvecklingen mellan enstaka år kan vara den mot</w:t>
      </w:r>
      <w:r w:rsidRPr="00F5723F">
        <w:lastRenderedPageBreak/>
        <w:t>satta, det vill säga att antalet propositioner ökar och ant</w:t>
      </w:r>
      <w:r w:rsidRPr="00F5723F">
        <w:t>a</w:t>
      </w:r>
      <w:r w:rsidRPr="00F5723F">
        <w:t>let skrivelser minskar. Till exempel ökade antalet propositioner mellan 2002/03 och 2003/04 från 116 till 140 och antalet skrivelser minskade me</w:t>
      </w:r>
      <w:r w:rsidRPr="00F5723F">
        <w:t>l</w:t>
      </w:r>
      <w:r w:rsidRPr="00F5723F">
        <w:t>lan 2001/02 och 2002/03 från 41 till 30.</w:t>
      </w:r>
    </w:p>
    <w:p w:rsidR="00B43C57" w:rsidRPr="00F5723F" w:rsidRDefault="00B43C57"/>
    <w:p w:rsidR="00B43C57" w:rsidRPr="00F5723F" w:rsidRDefault="00B43C57">
      <w:pPr>
        <w:pStyle w:val="Tabellrubrik"/>
      </w:pPr>
      <w:r w:rsidRPr="00F5723F">
        <w:t>TAbell 5:1 avlämnade propositioner, skrivelser och motioner per riksm</w:t>
      </w:r>
      <w:r w:rsidRPr="00F5723F">
        <w:t>ö</w:t>
      </w:r>
      <w:r w:rsidRPr="00F5723F">
        <w:t>te</w:t>
      </w:r>
    </w:p>
    <w:tbl>
      <w:tblPr>
        <w:tblW w:w="0" w:type="auto"/>
        <w:tblLayout w:type="fixed"/>
        <w:tblCellMar>
          <w:left w:w="70" w:type="dxa"/>
          <w:right w:w="7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tblGrid>
      <w:tr w:rsidR="00000000" w:rsidRPr="00F5723F">
        <w:tblPrEx>
          <w:tblCellMar>
            <w:top w:w="0" w:type="dxa"/>
            <w:bottom w:w="0" w:type="dxa"/>
          </w:tblCellMar>
        </w:tblPrEx>
        <w:trPr>
          <w:cantSplit/>
        </w:trPr>
        <w:tc>
          <w:tcPr>
            <w:tcW w:w="510" w:type="dxa"/>
            <w:tcBorders>
              <w:top w:val="single" w:sz="4" w:space="0" w:color="auto"/>
              <w:bottom w:val="single" w:sz="4" w:space="0" w:color="auto"/>
            </w:tcBorders>
          </w:tcPr>
          <w:p w:rsidR="00B43C57" w:rsidRPr="00F5723F" w:rsidRDefault="00B43C57">
            <w:pPr>
              <w:rPr>
                <w:sz w:val="14"/>
                <w:szCs w:val="14"/>
              </w:rPr>
            </w:pPr>
          </w:p>
        </w:tc>
        <w:tc>
          <w:tcPr>
            <w:tcW w:w="510" w:type="dxa"/>
            <w:tcBorders>
              <w:top w:val="single" w:sz="4" w:space="0" w:color="auto"/>
              <w:bottom w:val="single" w:sz="4" w:space="0" w:color="auto"/>
            </w:tcBorders>
          </w:tcPr>
          <w:p w:rsidR="00B43C57" w:rsidRPr="00F5723F" w:rsidRDefault="00B43C57">
            <w:pPr>
              <w:pStyle w:val="Tabelltextsiffror"/>
              <w:jc w:val="center"/>
              <w:rPr>
                <w:sz w:val="14"/>
                <w:szCs w:val="14"/>
              </w:rPr>
            </w:pPr>
            <w:r w:rsidRPr="00F5723F">
              <w:rPr>
                <w:sz w:val="14"/>
                <w:szCs w:val="14"/>
              </w:rPr>
              <w:t>93/</w:t>
            </w:r>
            <w:r w:rsidRPr="00F5723F">
              <w:rPr>
                <w:sz w:val="14"/>
                <w:szCs w:val="14"/>
              </w:rPr>
              <w:br/>
              <w:t>94</w:t>
            </w:r>
          </w:p>
        </w:tc>
        <w:tc>
          <w:tcPr>
            <w:tcW w:w="510" w:type="dxa"/>
            <w:tcBorders>
              <w:top w:val="single" w:sz="4" w:space="0" w:color="auto"/>
              <w:bottom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94/</w:t>
            </w:r>
            <w:r w:rsidRPr="00F5723F">
              <w:rPr>
                <w:sz w:val="14"/>
                <w:szCs w:val="14"/>
              </w:rPr>
              <w:br/>
              <w:t>95</w:t>
            </w:r>
          </w:p>
        </w:tc>
        <w:tc>
          <w:tcPr>
            <w:tcW w:w="510" w:type="dxa"/>
            <w:tcBorders>
              <w:top w:val="single" w:sz="4" w:space="0" w:color="auto"/>
              <w:bottom w:val="single" w:sz="4" w:space="0" w:color="auto"/>
            </w:tcBorders>
          </w:tcPr>
          <w:p w:rsidR="00B43C57" w:rsidRPr="00F5723F" w:rsidRDefault="00B43C57">
            <w:pPr>
              <w:pStyle w:val="Tabelltext"/>
              <w:jc w:val="center"/>
              <w:rPr>
                <w:sz w:val="14"/>
                <w:szCs w:val="14"/>
              </w:rPr>
            </w:pPr>
            <w:r w:rsidRPr="00F5723F">
              <w:rPr>
                <w:sz w:val="14"/>
                <w:szCs w:val="14"/>
              </w:rPr>
              <w:t>95/</w:t>
            </w:r>
            <w:r w:rsidRPr="00F5723F">
              <w:rPr>
                <w:sz w:val="14"/>
                <w:szCs w:val="14"/>
              </w:rPr>
              <w:br/>
              <w:t>96</w:t>
            </w:r>
          </w:p>
        </w:tc>
        <w:tc>
          <w:tcPr>
            <w:tcW w:w="510" w:type="dxa"/>
            <w:tcBorders>
              <w:top w:val="single" w:sz="4" w:space="0" w:color="auto"/>
              <w:bottom w:val="single" w:sz="4" w:space="0" w:color="auto"/>
            </w:tcBorders>
          </w:tcPr>
          <w:p w:rsidR="00B43C57" w:rsidRPr="00F5723F" w:rsidRDefault="00B43C57">
            <w:pPr>
              <w:pStyle w:val="Tabelltextsiffror"/>
              <w:jc w:val="center"/>
              <w:rPr>
                <w:sz w:val="14"/>
                <w:szCs w:val="14"/>
              </w:rPr>
            </w:pPr>
            <w:r w:rsidRPr="00F5723F">
              <w:rPr>
                <w:sz w:val="14"/>
                <w:szCs w:val="14"/>
              </w:rPr>
              <w:t>96/</w:t>
            </w:r>
            <w:r w:rsidRPr="00F5723F">
              <w:rPr>
                <w:sz w:val="14"/>
                <w:szCs w:val="14"/>
              </w:rPr>
              <w:br/>
              <w:t>97</w:t>
            </w:r>
          </w:p>
        </w:tc>
        <w:tc>
          <w:tcPr>
            <w:tcW w:w="510" w:type="dxa"/>
            <w:tcBorders>
              <w:top w:val="single" w:sz="4" w:space="0" w:color="auto"/>
              <w:bottom w:val="single" w:sz="4" w:space="0" w:color="auto"/>
            </w:tcBorders>
          </w:tcPr>
          <w:p w:rsidR="00B43C57" w:rsidRPr="00F5723F" w:rsidRDefault="00B43C57">
            <w:pPr>
              <w:pStyle w:val="Tabelltextsiffror"/>
              <w:jc w:val="center"/>
              <w:rPr>
                <w:sz w:val="14"/>
                <w:szCs w:val="14"/>
              </w:rPr>
            </w:pPr>
            <w:r w:rsidRPr="00F5723F">
              <w:rPr>
                <w:sz w:val="14"/>
                <w:szCs w:val="14"/>
              </w:rPr>
              <w:t>97/</w:t>
            </w:r>
            <w:r w:rsidRPr="00F5723F">
              <w:rPr>
                <w:sz w:val="14"/>
                <w:szCs w:val="14"/>
              </w:rPr>
              <w:br/>
              <w:t>98</w:t>
            </w:r>
          </w:p>
        </w:tc>
        <w:tc>
          <w:tcPr>
            <w:tcW w:w="510" w:type="dxa"/>
            <w:tcBorders>
              <w:top w:val="single" w:sz="4" w:space="0" w:color="auto"/>
              <w:bottom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98/</w:t>
            </w:r>
            <w:r w:rsidRPr="00F5723F">
              <w:rPr>
                <w:sz w:val="14"/>
                <w:szCs w:val="14"/>
              </w:rPr>
              <w:br/>
              <w:t>99</w:t>
            </w:r>
          </w:p>
        </w:tc>
        <w:tc>
          <w:tcPr>
            <w:tcW w:w="510" w:type="dxa"/>
            <w:tcBorders>
              <w:top w:val="single" w:sz="4" w:space="0" w:color="auto"/>
              <w:bottom w:val="single" w:sz="4" w:space="0" w:color="auto"/>
            </w:tcBorders>
          </w:tcPr>
          <w:p w:rsidR="00B43C57" w:rsidRPr="00F5723F" w:rsidRDefault="00B43C57">
            <w:pPr>
              <w:pStyle w:val="Tabelltextsiffror"/>
              <w:jc w:val="center"/>
              <w:rPr>
                <w:sz w:val="14"/>
                <w:szCs w:val="14"/>
              </w:rPr>
            </w:pPr>
            <w:r w:rsidRPr="00F5723F">
              <w:rPr>
                <w:sz w:val="14"/>
                <w:szCs w:val="14"/>
              </w:rPr>
              <w:t>99/</w:t>
            </w:r>
            <w:r w:rsidRPr="00F5723F">
              <w:rPr>
                <w:sz w:val="14"/>
                <w:szCs w:val="14"/>
              </w:rPr>
              <w:br/>
              <w:t>00</w:t>
            </w:r>
          </w:p>
        </w:tc>
        <w:tc>
          <w:tcPr>
            <w:tcW w:w="510" w:type="dxa"/>
            <w:tcBorders>
              <w:top w:val="single" w:sz="4" w:space="0" w:color="auto"/>
              <w:bottom w:val="single" w:sz="4" w:space="0" w:color="auto"/>
            </w:tcBorders>
          </w:tcPr>
          <w:p w:rsidR="00B43C57" w:rsidRPr="00F5723F" w:rsidRDefault="00B43C57">
            <w:pPr>
              <w:pStyle w:val="Tabelltextsiffror"/>
              <w:jc w:val="center"/>
              <w:rPr>
                <w:sz w:val="14"/>
                <w:szCs w:val="14"/>
              </w:rPr>
            </w:pPr>
            <w:r w:rsidRPr="00F5723F">
              <w:rPr>
                <w:sz w:val="14"/>
                <w:szCs w:val="14"/>
              </w:rPr>
              <w:t>00/</w:t>
            </w:r>
            <w:r w:rsidRPr="00F5723F">
              <w:rPr>
                <w:sz w:val="14"/>
                <w:szCs w:val="14"/>
              </w:rPr>
              <w:br/>
              <w:t>01</w:t>
            </w:r>
          </w:p>
        </w:tc>
        <w:tc>
          <w:tcPr>
            <w:tcW w:w="510" w:type="dxa"/>
            <w:tcBorders>
              <w:top w:val="single" w:sz="4" w:space="0" w:color="auto"/>
              <w:bottom w:val="single" w:sz="4" w:space="0" w:color="auto"/>
            </w:tcBorders>
          </w:tcPr>
          <w:p w:rsidR="00B43C57" w:rsidRPr="00F5723F" w:rsidRDefault="00B43C57">
            <w:pPr>
              <w:pStyle w:val="Tabelltextsiffror"/>
              <w:jc w:val="center"/>
              <w:rPr>
                <w:sz w:val="14"/>
                <w:szCs w:val="14"/>
              </w:rPr>
            </w:pPr>
            <w:r w:rsidRPr="00F5723F">
              <w:rPr>
                <w:sz w:val="14"/>
                <w:szCs w:val="14"/>
              </w:rPr>
              <w:t>01/</w:t>
            </w:r>
            <w:r w:rsidRPr="00F5723F">
              <w:rPr>
                <w:sz w:val="14"/>
                <w:szCs w:val="14"/>
              </w:rPr>
              <w:br/>
              <w:t>02</w:t>
            </w:r>
          </w:p>
        </w:tc>
        <w:tc>
          <w:tcPr>
            <w:tcW w:w="510" w:type="dxa"/>
            <w:tcBorders>
              <w:top w:val="single" w:sz="4" w:space="0" w:color="auto"/>
              <w:bottom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02/</w:t>
            </w:r>
            <w:r w:rsidRPr="00F5723F">
              <w:rPr>
                <w:sz w:val="14"/>
                <w:szCs w:val="14"/>
              </w:rPr>
              <w:br/>
              <w:t>03</w:t>
            </w:r>
          </w:p>
        </w:tc>
        <w:tc>
          <w:tcPr>
            <w:tcW w:w="510" w:type="dxa"/>
            <w:tcBorders>
              <w:top w:val="single" w:sz="4" w:space="0" w:color="auto"/>
              <w:bottom w:val="single" w:sz="4" w:space="0" w:color="auto"/>
            </w:tcBorders>
          </w:tcPr>
          <w:p w:rsidR="00B43C57" w:rsidRPr="00F5723F" w:rsidRDefault="00B43C57">
            <w:pPr>
              <w:pStyle w:val="Tabelltextsiffror"/>
              <w:jc w:val="center"/>
              <w:rPr>
                <w:sz w:val="14"/>
                <w:szCs w:val="14"/>
              </w:rPr>
            </w:pPr>
            <w:r w:rsidRPr="00F5723F">
              <w:rPr>
                <w:sz w:val="14"/>
                <w:szCs w:val="14"/>
              </w:rPr>
              <w:t>03/</w:t>
            </w:r>
            <w:r w:rsidRPr="00F5723F">
              <w:rPr>
                <w:sz w:val="14"/>
                <w:szCs w:val="14"/>
              </w:rPr>
              <w:br/>
              <w:t>04</w:t>
            </w:r>
          </w:p>
        </w:tc>
      </w:tr>
      <w:tr w:rsidR="00000000" w:rsidRPr="00F5723F">
        <w:tblPrEx>
          <w:tblCellMar>
            <w:top w:w="0" w:type="dxa"/>
            <w:bottom w:w="0" w:type="dxa"/>
          </w:tblCellMar>
        </w:tblPrEx>
        <w:trPr>
          <w:cantSplit/>
        </w:trPr>
        <w:tc>
          <w:tcPr>
            <w:tcW w:w="510" w:type="dxa"/>
            <w:tcBorders>
              <w:top w:val="single" w:sz="4" w:space="0" w:color="auto"/>
            </w:tcBorders>
          </w:tcPr>
          <w:p w:rsidR="00B43C57" w:rsidRPr="00F5723F" w:rsidRDefault="00B43C57">
            <w:pPr>
              <w:pStyle w:val="Tabelltext"/>
              <w:rPr>
                <w:sz w:val="14"/>
                <w:szCs w:val="14"/>
              </w:rPr>
            </w:pPr>
            <w:r w:rsidRPr="00F5723F">
              <w:rPr>
                <w:sz w:val="14"/>
                <w:szCs w:val="14"/>
              </w:rPr>
              <w:t>Prop.</w:t>
            </w:r>
          </w:p>
        </w:tc>
        <w:tc>
          <w:tcPr>
            <w:tcW w:w="510" w:type="dxa"/>
            <w:tcBorders>
              <w:top w:val="single" w:sz="4" w:space="0" w:color="auto"/>
            </w:tcBorders>
          </w:tcPr>
          <w:p w:rsidR="00B43C57" w:rsidRPr="00F5723F" w:rsidRDefault="00B43C57">
            <w:pPr>
              <w:pStyle w:val="Tabelltextsiffror"/>
              <w:jc w:val="center"/>
              <w:rPr>
                <w:sz w:val="14"/>
                <w:szCs w:val="14"/>
              </w:rPr>
            </w:pPr>
            <w:r w:rsidRPr="00F5723F">
              <w:rPr>
                <w:sz w:val="14"/>
                <w:szCs w:val="14"/>
              </w:rPr>
              <w:t>227</w:t>
            </w:r>
          </w:p>
        </w:tc>
        <w:tc>
          <w:tcPr>
            <w:tcW w:w="510" w:type="dxa"/>
            <w:tcBorders>
              <w:top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203</w:t>
            </w:r>
          </w:p>
        </w:tc>
        <w:tc>
          <w:tcPr>
            <w:tcW w:w="510" w:type="dxa"/>
            <w:tcBorders>
              <w:top w:val="single" w:sz="4" w:space="0" w:color="auto"/>
            </w:tcBorders>
          </w:tcPr>
          <w:p w:rsidR="00B43C57" w:rsidRPr="00F5723F" w:rsidRDefault="00B43C57">
            <w:pPr>
              <w:pStyle w:val="Tabelltextsiffror"/>
              <w:ind w:left="138" w:hanging="138"/>
              <w:jc w:val="center"/>
              <w:rPr>
                <w:sz w:val="14"/>
                <w:szCs w:val="14"/>
              </w:rPr>
            </w:pPr>
            <w:r w:rsidRPr="00F5723F">
              <w:rPr>
                <w:sz w:val="14"/>
                <w:szCs w:val="14"/>
              </w:rPr>
              <w:t>207</w:t>
            </w:r>
          </w:p>
        </w:tc>
        <w:tc>
          <w:tcPr>
            <w:tcW w:w="510" w:type="dxa"/>
            <w:tcBorders>
              <w:top w:val="single" w:sz="4" w:space="0" w:color="auto"/>
            </w:tcBorders>
          </w:tcPr>
          <w:p w:rsidR="00B43C57" w:rsidRPr="00F5723F" w:rsidRDefault="00B43C57">
            <w:pPr>
              <w:pStyle w:val="Tabelltextsiffror"/>
              <w:jc w:val="center"/>
              <w:rPr>
                <w:sz w:val="14"/>
                <w:szCs w:val="14"/>
              </w:rPr>
            </w:pPr>
            <w:r w:rsidRPr="00F5723F">
              <w:rPr>
                <w:sz w:val="14"/>
                <w:szCs w:val="14"/>
              </w:rPr>
              <w:t>147</w:t>
            </w:r>
          </w:p>
        </w:tc>
        <w:tc>
          <w:tcPr>
            <w:tcW w:w="510" w:type="dxa"/>
            <w:tcBorders>
              <w:top w:val="single" w:sz="4" w:space="0" w:color="auto"/>
            </w:tcBorders>
          </w:tcPr>
          <w:p w:rsidR="00B43C57" w:rsidRPr="00F5723F" w:rsidRDefault="00B43C57">
            <w:pPr>
              <w:pStyle w:val="Tabelltextsiffror"/>
              <w:jc w:val="center"/>
              <w:rPr>
                <w:sz w:val="14"/>
                <w:szCs w:val="14"/>
              </w:rPr>
            </w:pPr>
            <w:r w:rsidRPr="00F5723F">
              <w:rPr>
                <w:sz w:val="14"/>
                <w:szCs w:val="14"/>
              </w:rPr>
              <w:t>153</w:t>
            </w:r>
          </w:p>
        </w:tc>
        <w:tc>
          <w:tcPr>
            <w:tcW w:w="510" w:type="dxa"/>
            <w:tcBorders>
              <w:top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113</w:t>
            </w:r>
          </w:p>
        </w:tc>
        <w:tc>
          <w:tcPr>
            <w:tcW w:w="510" w:type="dxa"/>
            <w:tcBorders>
              <w:top w:val="single" w:sz="4" w:space="0" w:color="auto"/>
            </w:tcBorders>
          </w:tcPr>
          <w:p w:rsidR="00B43C57" w:rsidRPr="00F5723F" w:rsidRDefault="00B43C57">
            <w:pPr>
              <w:pStyle w:val="Tabelltextsiffror"/>
              <w:jc w:val="center"/>
              <w:rPr>
                <w:sz w:val="14"/>
                <w:szCs w:val="14"/>
              </w:rPr>
            </w:pPr>
            <w:r w:rsidRPr="00F5723F">
              <w:rPr>
                <w:sz w:val="14"/>
                <w:szCs w:val="14"/>
              </w:rPr>
              <w:t>116</w:t>
            </w:r>
          </w:p>
        </w:tc>
        <w:tc>
          <w:tcPr>
            <w:tcW w:w="510" w:type="dxa"/>
            <w:tcBorders>
              <w:top w:val="single" w:sz="4" w:space="0" w:color="auto"/>
            </w:tcBorders>
          </w:tcPr>
          <w:p w:rsidR="00B43C57" w:rsidRPr="00F5723F" w:rsidRDefault="00B43C57">
            <w:pPr>
              <w:pStyle w:val="Tabelltextsiffror"/>
              <w:jc w:val="center"/>
              <w:rPr>
                <w:sz w:val="14"/>
                <w:szCs w:val="14"/>
              </w:rPr>
            </w:pPr>
            <w:r w:rsidRPr="00F5723F">
              <w:rPr>
                <w:sz w:val="14"/>
                <w:szCs w:val="14"/>
              </w:rPr>
              <w:t>121</w:t>
            </w:r>
          </w:p>
        </w:tc>
        <w:tc>
          <w:tcPr>
            <w:tcW w:w="510" w:type="dxa"/>
            <w:tcBorders>
              <w:top w:val="single" w:sz="4" w:space="0" w:color="auto"/>
            </w:tcBorders>
          </w:tcPr>
          <w:p w:rsidR="00B43C57" w:rsidRPr="00F5723F" w:rsidRDefault="00B43C57">
            <w:pPr>
              <w:pStyle w:val="Tabelltextsiffror"/>
              <w:jc w:val="center"/>
              <w:rPr>
                <w:sz w:val="14"/>
                <w:szCs w:val="14"/>
              </w:rPr>
            </w:pPr>
            <w:r w:rsidRPr="00F5723F">
              <w:rPr>
                <w:sz w:val="14"/>
                <w:szCs w:val="14"/>
              </w:rPr>
              <w:t>148</w:t>
            </w:r>
          </w:p>
        </w:tc>
        <w:tc>
          <w:tcPr>
            <w:tcW w:w="510" w:type="dxa"/>
            <w:tcBorders>
              <w:top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116</w:t>
            </w:r>
          </w:p>
        </w:tc>
        <w:tc>
          <w:tcPr>
            <w:tcW w:w="510" w:type="dxa"/>
            <w:tcBorders>
              <w:top w:val="single" w:sz="4" w:space="0" w:color="auto"/>
            </w:tcBorders>
          </w:tcPr>
          <w:p w:rsidR="00B43C57" w:rsidRPr="00F5723F" w:rsidRDefault="00B43C57">
            <w:pPr>
              <w:pStyle w:val="Tabelltextsiffror"/>
              <w:jc w:val="center"/>
              <w:rPr>
                <w:sz w:val="14"/>
                <w:szCs w:val="14"/>
              </w:rPr>
            </w:pPr>
            <w:r w:rsidRPr="00F5723F">
              <w:rPr>
                <w:sz w:val="14"/>
                <w:szCs w:val="14"/>
              </w:rPr>
              <w:t>140</w:t>
            </w:r>
          </w:p>
        </w:tc>
      </w:tr>
      <w:tr w:rsidR="00000000" w:rsidRPr="00F5723F">
        <w:tblPrEx>
          <w:tblCellMar>
            <w:top w:w="0" w:type="dxa"/>
            <w:bottom w:w="0" w:type="dxa"/>
          </w:tblCellMar>
        </w:tblPrEx>
        <w:trPr>
          <w:cantSplit/>
        </w:trPr>
        <w:tc>
          <w:tcPr>
            <w:tcW w:w="510" w:type="dxa"/>
          </w:tcPr>
          <w:p w:rsidR="00B43C57" w:rsidRPr="00F5723F" w:rsidRDefault="00B43C57">
            <w:pPr>
              <w:pStyle w:val="Tabelltext"/>
              <w:rPr>
                <w:sz w:val="14"/>
                <w:szCs w:val="14"/>
              </w:rPr>
            </w:pPr>
            <w:r w:rsidRPr="00F5723F">
              <w:rPr>
                <w:sz w:val="14"/>
                <w:szCs w:val="14"/>
              </w:rPr>
              <w:t>Skr.</w:t>
            </w:r>
          </w:p>
        </w:tc>
        <w:tc>
          <w:tcPr>
            <w:tcW w:w="510" w:type="dxa"/>
          </w:tcPr>
          <w:p w:rsidR="00B43C57" w:rsidRPr="00F5723F" w:rsidRDefault="00B43C57">
            <w:pPr>
              <w:pStyle w:val="Tabelltextsiffror"/>
              <w:jc w:val="center"/>
              <w:rPr>
                <w:sz w:val="14"/>
                <w:szCs w:val="14"/>
              </w:rPr>
            </w:pPr>
            <w:r w:rsidRPr="00F5723F">
              <w:rPr>
                <w:sz w:val="14"/>
                <w:szCs w:val="14"/>
              </w:rPr>
              <w:t>26</w:t>
            </w:r>
          </w:p>
        </w:tc>
        <w:tc>
          <w:tcPr>
            <w:tcW w:w="510" w:type="dxa"/>
            <w:shd w:val="pct35" w:color="auto" w:fill="FFFFFF"/>
          </w:tcPr>
          <w:p w:rsidR="00B43C57" w:rsidRPr="00F5723F" w:rsidRDefault="00B43C57">
            <w:pPr>
              <w:pStyle w:val="Tabelltextsiffror"/>
              <w:jc w:val="center"/>
              <w:rPr>
                <w:sz w:val="14"/>
                <w:szCs w:val="14"/>
              </w:rPr>
            </w:pPr>
            <w:r w:rsidRPr="00F5723F">
              <w:rPr>
                <w:sz w:val="14"/>
                <w:szCs w:val="14"/>
              </w:rPr>
              <w:t>28</w:t>
            </w:r>
          </w:p>
        </w:tc>
        <w:tc>
          <w:tcPr>
            <w:tcW w:w="510" w:type="dxa"/>
          </w:tcPr>
          <w:p w:rsidR="00B43C57" w:rsidRPr="00F5723F" w:rsidRDefault="00B43C57">
            <w:pPr>
              <w:pStyle w:val="Tabelltext"/>
              <w:jc w:val="center"/>
              <w:rPr>
                <w:sz w:val="14"/>
                <w:szCs w:val="14"/>
              </w:rPr>
            </w:pPr>
            <w:r w:rsidRPr="00F5723F">
              <w:rPr>
                <w:sz w:val="14"/>
                <w:szCs w:val="14"/>
              </w:rPr>
              <w:t>25</w:t>
            </w:r>
          </w:p>
        </w:tc>
        <w:tc>
          <w:tcPr>
            <w:tcW w:w="510" w:type="dxa"/>
          </w:tcPr>
          <w:p w:rsidR="00B43C57" w:rsidRPr="00F5723F" w:rsidRDefault="00B43C57">
            <w:pPr>
              <w:pStyle w:val="Tabelltextsiffror"/>
              <w:jc w:val="center"/>
              <w:rPr>
                <w:sz w:val="14"/>
                <w:szCs w:val="14"/>
              </w:rPr>
            </w:pPr>
            <w:r w:rsidRPr="00F5723F">
              <w:rPr>
                <w:sz w:val="14"/>
                <w:szCs w:val="14"/>
              </w:rPr>
              <w:t>31</w:t>
            </w:r>
          </w:p>
        </w:tc>
        <w:tc>
          <w:tcPr>
            <w:tcW w:w="510" w:type="dxa"/>
          </w:tcPr>
          <w:p w:rsidR="00B43C57" w:rsidRPr="00F5723F" w:rsidRDefault="00B43C57">
            <w:pPr>
              <w:pStyle w:val="Tabelltextsiffror"/>
              <w:jc w:val="center"/>
              <w:rPr>
                <w:sz w:val="14"/>
                <w:szCs w:val="14"/>
              </w:rPr>
            </w:pPr>
            <w:r w:rsidRPr="00F5723F">
              <w:rPr>
                <w:sz w:val="14"/>
                <w:szCs w:val="14"/>
              </w:rPr>
              <w:t>37</w:t>
            </w:r>
          </w:p>
        </w:tc>
        <w:tc>
          <w:tcPr>
            <w:tcW w:w="510" w:type="dxa"/>
            <w:shd w:val="pct35" w:color="auto" w:fill="FFFFFF"/>
          </w:tcPr>
          <w:p w:rsidR="00B43C57" w:rsidRPr="00F5723F" w:rsidRDefault="00B43C57">
            <w:pPr>
              <w:pStyle w:val="Tabelltextsiffror"/>
              <w:jc w:val="center"/>
              <w:rPr>
                <w:sz w:val="14"/>
                <w:szCs w:val="14"/>
              </w:rPr>
            </w:pPr>
            <w:r w:rsidRPr="00F5723F">
              <w:rPr>
                <w:sz w:val="14"/>
                <w:szCs w:val="14"/>
              </w:rPr>
              <w:t>34</w:t>
            </w:r>
          </w:p>
        </w:tc>
        <w:tc>
          <w:tcPr>
            <w:tcW w:w="510" w:type="dxa"/>
          </w:tcPr>
          <w:p w:rsidR="00B43C57" w:rsidRPr="00F5723F" w:rsidRDefault="00B43C57">
            <w:pPr>
              <w:pStyle w:val="Tabelltextsiffror"/>
              <w:jc w:val="center"/>
              <w:rPr>
                <w:sz w:val="14"/>
                <w:szCs w:val="14"/>
              </w:rPr>
            </w:pPr>
            <w:r w:rsidRPr="00F5723F">
              <w:rPr>
                <w:sz w:val="14"/>
                <w:szCs w:val="14"/>
              </w:rPr>
              <w:t>33</w:t>
            </w:r>
          </w:p>
        </w:tc>
        <w:tc>
          <w:tcPr>
            <w:tcW w:w="510" w:type="dxa"/>
          </w:tcPr>
          <w:p w:rsidR="00B43C57" w:rsidRPr="00F5723F" w:rsidRDefault="00B43C57">
            <w:pPr>
              <w:pStyle w:val="Tabelltextsiffror"/>
              <w:jc w:val="center"/>
              <w:rPr>
                <w:sz w:val="14"/>
                <w:szCs w:val="14"/>
              </w:rPr>
            </w:pPr>
            <w:r w:rsidRPr="00F5723F">
              <w:rPr>
                <w:sz w:val="14"/>
                <w:szCs w:val="14"/>
              </w:rPr>
              <w:t>30</w:t>
            </w:r>
          </w:p>
        </w:tc>
        <w:tc>
          <w:tcPr>
            <w:tcW w:w="510" w:type="dxa"/>
          </w:tcPr>
          <w:p w:rsidR="00B43C57" w:rsidRPr="00F5723F" w:rsidRDefault="00B43C57">
            <w:pPr>
              <w:pStyle w:val="Tabelltextsiffror"/>
              <w:jc w:val="center"/>
              <w:rPr>
                <w:sz w:val="14"/>
                <w:szCs w:val="14"/>
              </w:rPr>
            </w:pPr>
            <w:r w:rsidRPr="00F5723F">
              <w:rPr>
                <w:sz w:val="14"/>
                <w:szCs w:val="14"/>
              </w:rPr>
              <w:t>41</w:t>
            </w:r>
          </w:p>
        </w:tc>
        <w:tc>
          <w:tcPr>
            <w:tcW w:w="510" w:type="dxa"/>
            <w:shd w:val="pct35" w:color="auto" w:fill="FFFFFF"/>
          </w:tcPr>
          <w:p w:rsidR="00B43C57" w:rsidRPr="00F5723F" w:rsidRDefault="00B43C57">
            <w:pPr>
              <w:pStyle w:val="Tabelltextsiffror"/>
              <w:jc w:val="center"/>
              <w:rPr>
                <w:sz w:val="14"/>
                <w:szCs w:val="14"/>
              </w:rPr>
            </w:pPr>
            <w:r w:rsidRPr="00F5723F">
              <w:rPr>
                <w:sz w:val="14"/>
                <w:szCs w:val="14"/>
              </w:rPr>
              <w:t>30</w:t>
            </w:r>
          </w:p>
        </w:tc>
        <w:tc>
          <w:tcPr>
            <w:tcW w:w="510" w:type="dxa"/>
          </w:tcPr>
          <w:p w:rsidR="00B43C57" w:rsidRPr="00F5723F" w:rsidRDefault="00B43C57">
            <w:pPr>
              <w:pStyle w:val="Tabelltextsiffror"/>
              <w:jc w:val="center"/>
              <w:rPr>
                <w:sz w:val="14"/>
                <w:szCs w:val="14"/>
              </w:rPr>
            </w:pPr>
            <w:r w:rsidRPr="00F5723F">
              <w:rPr>
                <w:sz w:val="14"/>
                <w:szCs w:val="14"/>
              </w:rPr>
              <w:t>41</w:t>
            </w:r>
          </w:p>
        </w:tc>
      </w:tr>
      <w:tr w:rsidR="00000000" w:rsidRPr="00F5723F">
        <w:tblPrEx>
          <w:tblCellMar>
            <w:top w:w="0" w:type="dxa"/>
            <w:bottom w:w="0" w:type="dxa"/>
          </w:tblCellMar>
        </w:tblPrEx>
        <w:trPr>
          <w:cantSplit/>
        </w:trPr>
        <w:tc>
          <w:tcPr>
            <w:tcW w:w="510" w:type="dxa"/>
          </w:tcPr>
          <w:p w:rsidR="00B43C57" w:rsidRPr="00F5723F" w:rsidRDefault="00B43C57">
            <w:pPr>
              <w:pStyle w:val="Tabelltext"/>
              <w:rPr>
                <w:sz w:val="14"/>
                <w:szCs w:val="14"/>
              </w:rPr>
            </w:pPr>
            <w:r w:rsidRPr="00F5723F">
              <w:rPr>
                <w:sz w:val="14"/>
                <w:szCs w:val="14"/>
              </w:rPr>
              <w:t>Mot.</w:t>
            </w:r>
          </w:p>
        </w:tc>
        <w:tc>
          <w:tcPr>
            <w:tcW w:w="510" w:type="dxa"/>
          </w:tcPr>
          <w:p w:rsidR="00B43C57" w:rsidRPr="00F5723F" w:rsidRDefault="00B43C57">
            <w:pPr>
              <w:pStyle w:val="Tabelltextsiffror"/>
              <w:jc w:val="center"/>
              <w:rPr>
                <w:sz w:val="14"/>
                <w:szCs w:val="14"/>
              </w:rPr>
            </w:pPr>
            <w:r w:rsidRPr="00F5723F">
              <w:rPr>
                <w:sz w:val="14"/>
                <w:szCs w:val="14"/>
              </w:rPr>
              <w:t>3029</w:t>
            </w:r>
          </w:p>
        </w:tc>
        <w:tc>
          <w:tcPr>
            <w:tcW w:w="510" w:type="dxa"/>
            <w:shd w:val="pct35" w:color="auto" w:fill="FFFFFF"/>
          </w:tcPr>
          <w:p w:rsidR="00B43C57" w:rsidRPr="00F5723F" w:rsidRDefault="00B43C57">
            <w:pPr>
              <w:pStyle w:val="Tabelltextsiffror"/>
              <w:jc w:val="center"/>
              <w:rPr>
                <w:sz w:val="14"/>
                <w:szCs w:val="14"/>
              </w:rPr>
            </w:pPr>
            <w:r w:rsidRPr="00F5723F">
              <w:rPr>
                <w:sz w:val="14"/>
                <w:szCs w:val="14"/>
              </w:rPr>
              <w:t>2969</w:t>
            </w:r>
          </w:p>
        </w:tc>
        <w:tc>
          <w:tcPr>
            <w:tcW w:w="510" w:type="dxa"/>
          </w:tcPr>
          <w:p w:rsidR="00B43C57" w:rsidRPr="00F5723F" w:rsidRDefault="00B43C57">
            <w:pPr>
              <w:pStyle w:val="Tabelltext"/>
              <w:jc w:val="center"/>
              <w:rPr>
                <w:sz w:val="14"/>
                <w:szCs w:val="14"/>
              </w:rPr>
            </w:pPr>
            <w:r w:rsidRPr="00F5723F">
              <w:rPr>
                <w:sz w:val="14"/>
                <w:szCs w:val="14"/>
              </w:rPr>
              <w:t>735**</w:t>
            </w:r>
          </w:p>
        </w:tc>
        <w:tc>
          <w:tcPr>
            <w:tcW w:w="510" w:type="dxa"/>
          </w:tcPr>
          <w:p w:rsidR="00B43C57" w:rsidRPr="00F5723F" w:rsidRDefault="00B43C57">
            <w:pPr>
              <w:pStyle w:val="Tabelltextsiffror"/>
              <w:jc w:val="center"/>
              <w:rPr>
                <w:sz w:val="14"/>
                <w:szCs w:val="14"/>
              </w:rPr>
            </w:pPr>
            <w:r w:rsidRPr="00F5723F">
              <w:rPr>
                <w:sz w:val="14"/>
                <w:szCs w:val="14"/>
              </w:rPr>
              <w:t>2951</w:t>
            </w:r>
          </w:p>
        </w:tc>
        <w:tc>
          <w:tcPr>
            <w:tcW w:w="510" w:type="dxa"/>
          </w:tcPr>
          <w:p w:rsidR="00B43C57" w:rsidRPr="00F5723F" w:rsidRDefault="00B43C57">
            <w:pPr>
              <w:pStyle w:val="Tabelltextsiffror"/>
              <w:jc w:val="center"/>
              <w:rPr>
                <w:sz w:val="14"/>
                <w:szCs w:val="14"/>
              </w:rPr>
            </w:pPr>
            <w:r w:rsidRPr="00F5723F">
              <w:rPr>
                <w:sz w:val="14"/>
                <w:szCs w:val="14"/>
              </w:rPr>
              <w:t>3272</w:t>
            </w:r>
          </w:p>
        </w:tc>
        <w:tc>
          <w:tcPr>
            <w:tcW w:w="510" w:type="dxa"/>
            <w:shd w:val="pct35" w:color="auto" w:fill="FFFFFF"/>
          </w:tcPr>
          <w:p w:rsidR="00B43C57" w:rsidRPr="00F5723F" w:rsidRDefault="00B43C57">
            <w:pPr>
              <w:pStyle w:val="Tabelltextsiffror"/>
              <w:jc w:val="center"/>
              <w:rPr>
                <w:sz w:val="14"/>
                <w:szCs w:val="14"/>
              </w:rPr>
            </w:pPr>
            <w:r w:rsidRPr="00F5723F">
              <w:rPr>
                <w:sz w:val="14"/>
                <w:szCs w:val="14"/>
              </w:rPr>
              <w:t>2513</w:t>
            </w:r>
          </w:p>
        </w:tc>
        <w:tc>
          <w:tcPr>
            <w:tcW w:w="510" w:type="dxa"/>
          </w:tcPr>
          <w:p w:rsidR="00B43C57" w:rsidRPr="00F5723F" w:rsidRDefault="00B43C57">
            <w:pPr>
              <w:pStyle w:val="Tabelltextsiffror"/>
              <w:jc w:val="center"/>
              <w:rPr>
                <w:sz w:val="14"/>
                <w:szCs w:val="14"/>
              </w:rPr>
            </w:pPr>
            <w:r w:rsidRPr="00F5723F">
              <w:rPr>
                <w:sz w:val="14"/>
                <w:szCs w:val="14"/>
              </w:rPr>
              <w:t>3211</w:t>
            </w:r>
          </w:p>
        </w:tc>
        <w:tc>
          <w:tcPr>
            <w:tcW w:w="510" w:type="dxa"/>
          </w:tcPr>
          <w:p w:rsidR="00B43C57" w:rsidRPr="00F5723F" w:rsidRDefault="00B43C57">
            <w:pPr>
              <w:pStyle w:val="Tabelltextsiffror"/>
              <w:jc w:val="center"/>
              <w:rPr>
                <w:sz w:val="14"/>
                <w:szCs w:val="14"/>
              </w:rPr>
            </w:pPr>
            <w:r w:rsidRPr="00F5723F">
              <w:rPr>
                <w:sz w:val="14"/>
                <w:szCs w:val="14"/>
              </w:rPr>
              <w:t>3675</w:t>
            </w:r>
          </w:p>
        </w:tc>
        <w:tc>
          <w:tcPr>
            <w:tcW w:w="510" w:type="dxa"/>
          </w:tcPr>
          <w:p w:rsidR="00B43C57" w:rsidRPr="00F5723F" w:rsidRDefault="00B43C57">
            <w:pPr>
              <w:pStyle w:val="Tabelltextsiffror"/>
              <w:jc w:val="center"/>
              <w:rPr>
                <w:sz w:val="14"/>
                <w:szCs w:val="14"/>
              </w:rPr>
            </w:pPr>
            <w:r w:rsidRPr="00F5723F">
              <w:rPr>
                <w:sz w:val="14"/>
                <w:szCs w:val="14"/>
              </w:rPr>
              <w:t>4231</w:t>
            </w:r>
          </w:p>
        </w:tc>
        <w:tc>
          <w:tcPr>
            <w:tcW w:w="510" w:type="dxa"/>
            <w:shd w:val="pct35" w:color="auto" w:fill="FFFFFF"/>
          </w:tcPr>
          <w:p w:rsidR="00B43C57" w:rsidRPr="00F5723F" w:rsidRDefault="00B43C57">
            <w:pPr>
              <w:pStyle w:val="Tabelltextsiffror"/>
              <w:jc w:val="center"/>
              <w:rPr>
                <w:sz w:val="14"/>
                <w:szCs w:val="14"/>
              </w:rPr>
            </w:pPr>
            <w:r w:rsidRPr="00F5723F">
              <w:rPr>
                <w:sz w:val="14"/>
                <w:szCs w:val="14"/>
              </w:rPr>
              <w:t>3538</w:t>
            </w:r>
          </w:p>
        </w:tc>
        <w:tc>
          <w:tcPr>
            <w:tcW w:w="510" w:type="dxa"/>
          </w:tcPr>
          <w:p w:rsidR="00B43C57" w:rsidRPr="00F5723F" w:rsidRDefault="00B43C57">
            <w:pPr>
              <w:pStyle w:val="Tabelltextsiffror"/>
              <w:jc w:val="center"/>
              <w:rPr>
                <w:sz w:val="14"/>
                <w:szCs w:val="14"/>
              </w:rPr>
            </w:pPr>
            <w:r w:rsidRPr="00F5723F">
              <w:rPr>
                <w:sz w:val="14"/>
                <w:szCs w:val="14"/>
              </w:rPr>
              <w:t>4008</w:t>
            </w:r>
          </w:p>
        </w:tc>
      </w:tr>
      <w:tr w:rsidR="00000000" w:rsidRPr="00F5723F">
        <w:tblPrEx>
          <w:tblCellMar>
            <w:top w:w="0" w:type="dxa"/>
            <w:bottom w:w="0" w:type="dxa"/>
          </w:tblCellMar>
        </w:tblPrEx>
        <w:trPr>
          <w:cantSplit/>
        </w:trPr>
        <w:tc>
          <w:tcPr>
            <w:tcW w:w="510" w:type="dxa"/>
            <w:tcBorders>
              <w:bottom w:val="single" w:sz="4" w:space="0" w:color="auto"/>
            </w:tcBorders>
          </w:tcPr>
          <w:p w:rsidR="00B43C57" w:rsidRPr="00F5723F" w:rsidRDefault="00B43C57">
            <w:pPr>
              <w:pStyle w:val="Tabelltext"/>
              <w:rPr>
                <w:sz w:val="14"/>
                <w:szCs w:val="14"/>
              </w:rPr>
            </w:pPr>
            <w:r w:rsidRPr="00F5723F">
              <w:rPr>
                <w:sz w:val="14"/>
                <w:szCs w:val="14"/>
              </w:rPr>
              <w:t>Yrk.</w:t>
            </w:r>
            <w:r w:rsidRPr="00F5723F">
              <w:rPr>
                <w:sz w:val="14"/>
                <w:szCs w:val="14"/>
                <w:vertAlign w:val="superscript"/>
              </w:rPr>
              <w:t>*</w:t>
            </w:r>
          </w:p>
        </w:tc>
        <w:tc>
          <w:tcPr>
            <w:tcW w:w="510" w:type="dxa"/>
            <w:tcBorders>
              <w:bottom w:val="single" w:sz="4" w:space="0" w:color="auto"/>
            </w:tcBorders>
          </w:tcPr>
          <w:p w:rsidR="00B43C57" w:rsidRPr="00F5723F" w:rsidRDefault="00B43C57">
            <w:pPr>
              <w:pStyle w:val="Tabelltextsiffror"/>
              <w:jc w:val="center"/>
              <w:rPr>
                <w:sz w:val="14"/>
                <w:szCs w:val="14"/>
              </w:rPr>
            </w:pPr>
            <w:r w:rsidRPr="00F5723F">
              <w:rPr>
                <w:sz w:val="14"/>
                <w:szCs w:val="14"/>
              </w:rPr>
              <w:t>5</w:t>
            </w:r>
            <w:r w:rsidRPr="00F5723F">
              <w:rPr>
                <w:sz w:val="14"/>
                <w:szCs w:val="14"/>
              </w:rPr>
              <w:t>392</w:t>
            </w:r>
          </w:p>
        </w:tc>
        <w:tc>
          <w:tcPr>
            <w:tcW w:w="510" w:type="dxa"/>
            <w:tcBorders>
              <w:bottom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6</w:t>
            </w:r>
            <w:r w:rsidRPr="00F5723F">
              <w:rPr>
                <w:sz w:val="14"/>
                <w:szCs w:val="14"/>
              </w:rPr>
              <w:t>972</w:t>
            </w:r>
          </w:p>
        </w:tc>
        <w:tc>
          <w:tcPr>
            <w:tcW w:w="510" w:type="dxa"/>
            <w:tcBorders>
              <w:bottom w:val="single" w:sz="4" w:space="0" w:color="auto"/>
            </w:tcBorders>
          </w:tcPr>
          <w:p w:rsidR="00B43C57" w:rsidRPr="00F5723F" w:rsidRDefault="00B43C57">
            <w:pPr>
              <w:pStyle w:val="Tabelltext"/>
              <w:jc w:val="center"/>
              <w:rPr>
                <w:sz w:val="14"/>
                <w:szCs w:val="14"/>
              </w:rPr>
            </w:pPr>
            <w:r w:rsidRPr="00F5723F">
              <w:rPr>
                <w:sz w:val="14"/>
                <w:szCs w:val="14"/>
              </w:rPr>
              <w:t>0**</w:t>
            </w:r>
          </w:p>
        </w:tc>
        <w:tc>
          <w:tcPr>
            <w:tcW w:w="510" w:type="dxa"/>
            <w:tcBorders>
              <w:bottom w:val="single" w:sz="4" w:space="0" w:color="auto"/>
            </w:tcBorders>
          </w:tcPr>
          <w:p w:rsidR="00B43C57" w:rsidRPr="00F5723F" w:rsidRDefault="00B43C57">
            <w:pPr>
              <w:pStyle w:val="Tabelltextsiffror"/>
              <w:jc w:val="center"/>
              <w:rPr>
                <w:sz w:val="14"/>
                <w:szCs w:val="14"/>
              </w:rPr>
            </w:pPr>
            <w:r w:rsidRPr="00F5723F">
              <w:rPr>
                <w:sz w:val="14"/>
                <w:szCs w:val="14"/>
              </w:rPr>
              <w:t>6</w:t>
            </w:r>
            <w:r w:rsidRPr="00F5723F">
              <w:rPr>
                <w:sz w:val="14"/>
                <w:szCs w:val="14"/>
              </w:rPr>
              <w:t>574</w:t>
            </w:r>
          </w:p>
        </w:tc>
        <w:tc>
          <w:tcPr>
            <w:tcW w:w="510" w:type="dxa"/>
            <w:tcBorders>
              <w:bottom w:val="single" w:sz="4" w:space="0" w:color="auto"/>
            </w:tcBorders>
          </w:tcPr>
          <w:p w:rsidR="00B43C57" w:rsidRPr="00F5723F" w:rsidRDefault="00B43C57">
            <w:pPr>
              <w:pStyle w:val="Tabelltextsiffror"/>
              <w:jc w:val="center"/>
              <w:rPr>
                <w:sz w:val="14"/>
                <w:szCs w:val="14"/>
              </w:rPr>
            </w:pPr>
            <w:r w:rsidRPr="00F5723F">
              <w:rPr>
                <w:sz w:val="14"/>
                <w:szCs w:val="14"/>
              </w:rPr>
              <w:t>7</w:t>
            </w:r>
            <w:r w:rsidRPr="00F5723F">
              <w:rPr>
                <w:sz w:val="14"/>
                <w:szCs w:val="14"/>
              </w:rPr>
              <w:t>447</w:t>
            </w:r>
          </w:p>
        </w:tc>
        <w:tc>
          <w:tcPr>
            <w:tcW w:w="510" w:type="dxa"/>
            <w:tcBorders>
              <w:bottom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6</w:t>
            </w:r>
            <w:r w:rsidRPr="00F5723F">
              <w:rPr>
                <w:sz w:val="14"/>
                <w:szCs w:val="14"/>
              </w:rPr>
              <w:t>482</w:t>
            </w:r>
          </w:p>
        </w:tc>
        <w:tc>
          <w:tcPr>
            <w:tcW w:w="510" w:type="dxa"/>
            <w:tcBorders>
              <w:bottom w:val="single" w:sz="4" w:space="0" w:color="auto"/>
            </w:tcBorders>
          </w:tcPr>
          <w:p w:rsidR="00B43C57" w:rsidRPr="00F5723F" w:rsidRDefault="00B43C57">
            <w:pPr>
              <w:pStyle w:val="Tabelltextsiffror"/>
              <w:jc w:val="center"/>
              <w:rPr>
                <w:sz w:val="14"/>
                <w:szCs w:val="14"/>
              </w:rPr>
            </w:pPr>
            <w:r w:rsidRPr="00F5723F">
              <w:rPr>
                <w:sz w:val="14"/>
                <w:szCs w:val="14"/>
              </w:rPr>
              <w:t>7 468</w:t>
            </w:r>
          </w:p>
        </w:tc>
        <w:tc>
          <w:tcPr>
            <w:tcW w:w="510" w:type="dxa"/>
            <w:tcBorders>
              <w:bottom w:val="single" w:sz="4" w:space="0" w:color="auto"/>
            </w:tcBorders>
          </w:tcPr>
          <w:p w:rsidR="00B43C57" w:rsidRPr="00F5723F" w:rsidRDefault="00B43C57">
            <w:pPr>
              <w:pStyle w:val="Tabelltextsiffror"/>
              <w:jc w:val="center"/>
              <w:rPr>
                <w:sz w:val="14"/>
                <w:szCs w:val="14"/>
              </w:rPr>
            </w:pPr>
            <w:r w:rsidRPr="00F5723F">
              <w:rPr>
                <w:sz w:val="14"/>
                <w:szCs w:val="14"/>
              </w:rPr>
              <w:t>9</w:t>
            </w:r>
            <w:r w:rsidRPr="00F5723F">
              <w:rPr>
                <w:sz w:val="14"/>
                <w:szCs w:val="14"/>
              </w:rPr>
              <w:t>765</w:t>
            </w:r>
          </w:p>
        </w:tc>
        <w:tc>
          <w:tcPr>
            <w:tcW w:w="510" w:type="dxa"/>
            <w:tcBorders>
              <w:bottom w:val="single" w:sz="4" w:space="0" w:color="auto"/>
            </w:tcBorders>
          </w:tcPr>
          <w:p w:rsidR="00B43C57" w:rsidRPr="00F5723F" w:rsidRDefault="00B43C57">
            <w:pPr>
              <w:pStyle w:val="Tabelltextsiffror"/>
              <w:jc w:val="center"/>
              <w:rPr>
                <w:sz w:val="14"/>
                <w:szCs w:val="14"/>
              </w:rPr>
            </w:pPr>
            <w:r w:rsidRPr="00F5723F">
              <w:rPr>
                <w:sz w:val="14"/>
                <w:szCs w:val="14"/>
              </w:rPr>
              <w:t>11</w:t>
            </w:r>
            <w:r w:rsidRPr="00F5723F">
              <w:rPr>
                <w:sz w:val="14"/>
                <w:szCs w:val="14"/>
              </w:rPr>
              <w:t>584</w:t>
            </w:r>
          </w:p>
        </w:tc>
        <w:tc>
          <w:tcPr>
            <w:tcW w:w="510" w:type="dxa"/>
            <w:tcBorders>
              <w:bottom w:val="single" w:sz="4" w:space="0" w:color="auto"/>
            </w:tcBorders>
            <w:shd w:val="pct35" w:color="auto" w:fill="FFFFFF"/>
          </w:tcPr>
          <w:p w:rsidR="00B43C57" w:rsidRPr="00F5723F" w:rsidRDefault="00B43C57">
            <w:pPr>
              <w:pStyle w:val="Tabelltextsiffror"/>
              <w:jc w:val="center"/>
              <w:rPr>
                <w:sz w:val="14"/>
                <w:szCs w:val="14"/>
              </w:rPr>
            </w:pPr>
            <w:r w:rsidRPr="00F5723F">
              <w:rPr>
                <w:sz w:val="14"/>
                <w:szCs w:val="14"/>
              </w:rPr>
              <w:t>9 277</w:t>
            </w:r>
          </w:p>
        </w:tc>
        <w:tc>
          <w:tcPr>
            <w:tcW w:w="510" w:type="dxa"/>
            <w:tcBorders>
              <w:bottom w:val="single" w:sz="4" w:space="0" w:color="auto"/>
            </w:tcBorders>
          </w:tcPr>
          <w:p w:rsidR="00B43C57" w:rsidRPr="00F5723F" w:rsidRDefault="00B43C57">
            <w:pPr>
              <w:pStyle w:val="Tabelltextsiffror"/>
              <w:jc w:val="center"/>
              <w:rPr>
                <w:sz w:val="14"/>
                <w:szCs w:val="14"/>
              </w:rPr>
            </w:pPr>
            <w:r w:rsidRPr="00F5723F">
              <w:rPr>
                <w:sz w:val="14"/>
                <w:szCs w:val="14"/>
              </w:rPr>
              <w:t>10</w:t>
            </w:r>
            <w:r w:rsidRPr="00F5723F">
              <w:rPr>
                <w:sz w:val="14"/>
                <w:szCs w:val="14"/>
              </w:rPr>
              <w:t>020</w:t>
            </w:r>
          </w:p>
        </w:tc>
      </w:tr>
    </w:tbl>
    <w:p w:rsidR="00B43C57" w:rsidRPr="00F5723F" w:rsidRDefault="00B43C57">
      <w:pPr>
        <w:pStyle w:val="Tabelltext"/>
        <w:spacing w:before="125" w:line="240" w:lineRule="auto"/>
        <w:jc w:val="both"/>
        <w:rPr>
          <w:rFonts w:ascii="Arial" w:hAnsi="Arial" w:cs="Arial"/>
        </w:rPr>
      </w:pPr>
      <w:r w:rsidRPr="00F5723F">
        <w:rPr>
          <w:rFonts w:ascii="Arial" w:hAnsi="Arial" w:cs="Arial"/>
          <w:b/>
          <w:szCs w:val="16"/>
        </w:rPr>
        <w:t>Kommentar:</w:t>
      </w:r>
      <w:r w:rsidRPr="00F5723F">
        <w:rPr>
          <w:rFonts w:ascii="Arial" w:hAnsi="Arial" w:cs="Arial"/>
          <w:szCs w:val="16"/>
        </w:rPr>
        <w:t xml:space="preserve"> Riksmöten efter val är markerade med grå bakgrund. </w:t>
      </w:r>
      <w:r w:rsidRPr="00F5723F">
        <w:rPr>
          <w:rFonts w:ascii="Arial" w:hAnsi="Arial" w:cs="Arial"/>
          <w:b/>
        </w:rPr>
        <w:t>Källa:</w:t>
      </w:r>
      <w:r w:rsidRPr="00F5723F">
        <w:rPr>
          <w:rFonts w:ascii="Arial" w:hAnsi="Arial" w:cs="Arial"/>
        </w:rPr>
        <w:t xml:space="preserve"> Rixlex. </w:t>
      </w:r>
      <w:r w:rsidRPr="00F5723F">
        <w:rPr>
          <w:rFonts w:ascii="Arial" w:hAnsi="Arial" w:cs="Arial"/>
        </w:rPr>
        <w:t>*</w:t>
      </w:r>
      <w:r w:rsidRPr="00F5723F">
        <w:rPr>
          <w:rFonts w:ascii="Arial" w:hAnsi="Arial" w:cs="Arial"/>
        </w:rPr>
        <w:t>Motionsyrkanden väckta under allmän motionstid. **Under 1995/96 förekom ingen allmän motionstid med anledning av o</w:t>
      </w:r>
      <w:r w:rsidRPr="00F5723F">
        <w:rPr>
          <w:rFonts w:ascii="Arial" w:hAnsi="Arial" w:cs="Arial"/>
        </w:rPr>
        <w:t>m</w:t>
      </w:r>
      <w:r w:rsidRPr="00F5723F">
        <w:rPr>
          <w:rFonts w:ascii="Arial" w:hAnsi="Arial" w:cs="Arial"/>
        </w:rPr>
        <w:t>läggning till kalenderårsbudget med början år 1997.</w:t>
      </w:r>
    </w:p>
    <w:p w:rsidR="00B43C57" w:rsidRPr="00F5723F" w:rsidRDefault="00B43C57">
      <w:pPr>
        <w:pStyle w:val="Tabelltext"/>
        <w:spacing w:before="125" w:line="240" w:lineRule="auto"/>
        <w:jc w:val="both"/>
        <w:rPr>
          <w:rFonts w:ascii="Arial" w:hAnsi="Arial" w:cs="Arial"/>
          <w:szCs w:val="16"/>
        </w:rPr>
      </w:pPr>
    </w:p>
    <w:p w:rsidR="00B43C57" w:rsidRPr="00F5723F" w:rsidRDefault="00B43C57">
      <w:r w:rsidRPr="00F5723F">
        <w:t>Vad gäller motioner är utvecklingen under den senaste tioårsperioden att de ökar i antal. Under riksmötet 2003/04 avlämnades ca 1 000 fler motioner än för tio år sedan, vilket motsvarar en ökning med drygt 30 procent.</w:t>
      </w:r>
    </w:p>
    <w:p w:rsidR="00B43C57" w:rsidRPr="00F5723F" w:rsidRDefault="00B43C57">
      <w:pPr>
        <w:pStyle w:val="Normaltindrag"/>
      </w:pPr>
      <w:r w:rsidRPr="00F5723F">
        <w:t>Av tabellen framgår även att det finns en cykel i motionsfloden som går över valperioderna. Under första riksmötet efter ett val avlämnas förhålland</w:t>
      </w:r>
      <w:r w:rsidRPr="00F5723F">
        <w:t>e</w:t>
      </w:r>
      <w:r w:rsidRPr="00F5723F">
        <w:t>vis få motioner. Under valperioden ökar sedan antalet avlämnade moti</w:t>
      </w:r>
      <w:r w:rsidRPr="00F5723F">
        <w:t>o</w:t>
      </w:r>
      <w:r w:rsidRPr="00F5723F">
        <w:t>ner succe</w:t>
      </w:r>
      <w:r w:rsidRPr="00F5723F">
        <w:t>s</w:t>
      </w:r>
      <w:r w:rsidRPr="00F5723F">
        <w:t>sivt fram till nästa val då antalet åter minskar, dock inte till en lika låg nivå som efter det föregående valet. Förklaringen till dessa cykler är sannolikt att det tar viss tid för nyinvalda ledamöter att utarbeta egna moti</w:t>
      </w:r>
      <w:r w:rsidRPr="00F5723F">
        <w:t>o</w:t>
      </w:r>
      <w:r w:rsidRPr="00F5723F">
        <w:t xml:space="preserve">ner (jfr 2003/04:URD6 s. </w:t>
      </w:r>
      <w:smartTag w:uri="urn:schemas-microsoft-com:office:smarttags" w:element="metricconverter">
        <w:smartTagPr>
          <w:attr w:name="ProductID" w:val="52 f"/>
        </w:smartTagPr>
        <w:r w:rsidRPr="00F5723F">
          <w:t>52 f</w:t>
        </w:r>
      </w:smartTag>
      <w:r w:rsidRPr="00F5723F">
        <w:t>.), vilket medför att antalet motioner blir all</w:t>
      </w:r>
      <w:r w:rsidRPr="00F5723F">
        <w:t>t</w:t>
      </w:r>
      <w:r w:rsidRPr="00F5723F">
        <w:t>fler i takt med att valperioden pågår. Även när det gäller avlämnade propos</w:t>
      </w:r>
      <w:r w:rsidRPr="00F5723F">
        <w:t>i</w:t>
      </w:r>
      <w:r w:rsidRPr="00F5723F">
        <w:t>tioner tycks det finnas ett slags cykel som innebär a</w:t>
      </w:r>
      <w:r w:rsidRPr="00F5723F">
        <w:t>tt antalet propositioner minskar direkt efter ett val för att sedan öka under resten av valperioden.</w:t>
      </w:r>
    </w:p>
    <w:p w:rsidR="00B43C57" w:rsidRPr="00F5723F" w:rsidRDefault="00B43C57">
      <w:pPr>
        <w:pStyle w:val="Normaltindrag"/>
      </w:pPr>
      <w:r w:rsidRPr="00F5723F">
        <w:t>Vidare framgår av tabellen att antalet motionsyrkanden ökat, vilket är fö</w:t>
      </w:r>
      <w:r w:rsidRPr="00F5723F">
        <w:t>r</w:t>
      </w:r>
      <w:r w:rsidRPr="00F5723F">
        <w:t>väntat mot bakgrund av ökningen av antalet motioner. Även om statistikup</w:t>
      </w:r>
      <w:r w:rsidRPr="00F5723F">
        <w:t>p</w:t>
      </w:r>
      <w:r w:rsidRPr="00F5723F">
        <w:t>gifterna om antalet motionsyrkanden i tabellen endast inkluderar yrkanden väc</w:t>
      </w:r>
      <w:r w:rsidRPr="00F5723F">
        <w:t>k</w:t>
      </w:r>
      <w:r w:rsidRPr="00F5723F">
        <w:t>ta under allmänna motionstiden framgår tydligt att det finns ett samband mellan antalet motioner och antalet motionsyrkanden. När motionerna blir fler blir också yrkandena fler. Ökningen av antalet motionsyrkanden förefa</w:t>
      </w:r>
      <w:r w:rsidRPr="00F5723F">
        <w:t>l</w:t>
      </w:r>
      <w:r w:rsidRPr="00F5723F">
        <w:t>ler dock ha varit ännu större än ökningen av antalet motioner. Sedan 1993/94 har ökningen av antalet motionsyrkanden från allmän motionstid</w:t>
      </w:r>
      <w:r w:rsidRPr="00F5723F">
        <w:t xml:space="preserve"> varit drygt 85 procent, vilket skall jämföras med ökningen på drygt 30 procent av antalet motioner. Utvecklingen innebär alltså att antalet motioner blir alltfler, och därtill inn</w:t>
      </w:r>
      <w:r w:rsidRPr="00F5723F">
        <w:t>e</w:t>
      </w:r>
      <w:r w:rsidRPr="00F5723F">
        <w:t>håller varje motion i genomsnitt alltfler yrkanden.</w:t>
      </w:r>
    </w:p>
    <w:p w:rsidR="00B43C57" w:rsidRPr="00F5723F" w:rsidRDefault="00B43C57">
      <w:pPr>
        <w:pStyle w:val="Normaltindrag"/>
      </w:pPr>
      <w:r w:rsidRPr="00F5723F">
        <w:t>I figurerna 5:1 och 5:2 redovisas antalet propositioner och skrivelser r</w:t>
      </w:r>
      <w:r w:rsidRPr="00F5723F">
        <w:t>e</w:t>
      </w:r>
      <w:r w:rsidRPr="00F5723F">
        <w:t xml:space="preserve">spektive motioner som remitterats till respektive utskott. Först kan konstateras att de flesta utskott under första halvan av innevarande valperiod erhållit färre </w:t>
      </w:r>
      <w:r w:rsidRPr="00F5723F">
        <w:lastRenderedPageBreak/>
        <w:t>propositioner och skrivelser jämfört med mitten av 1990-talet. Undantagen är finans-, justitie- och socialförsäkringsutskotten. Jämfört med den närmast föregående valperioden (1998/99–2001/02) har dock flertalet u</w:t>
      </w:r>
      <w:r w:rsidRPr="00F5723F">
        <w:t>t</w:t>
      </w:r>
      <w:r w:rsidRPr="00F5723F">
        <w:t>skott (nio stycken) fått fler propositioner. Som ju även konstaterades ovan är utvec</w:t>
      </w:r>
      <w:r w:rsidRPr="00F5723F">
        <w:t>k</w:t>
      </w:r>
      <w:r w:rsidRPr="00F5723F">
        <w:t>lingen över tid således inte entydig, och den ser</w:t>
      </w:r>
      <w:r w:rsidRPr="00F5723F">
        <w:t xml:space="preserve"> dessutom olika ut för olika utskott.</w:t>
      </w:r>
      <w:r w:rsidRPr="00F5723F">
        <w:rPr>
          <w:rStyle w:val="Fotnotsreferens"/>
        </w:rPr>
        <w:footnoteReference w:id="50"/>
      </w:r>
    </w:p>
    <w:p w:rsidR="00B43C57" w:rsidRPr="00F5723F" w:rsidRDefault="00B43C57">
      <w:pPr>
        <w:pStyle w:val="Normaltindrag"/>
      </w:pPr>
      <w:r w:rsidRPr="00F5723F">
        <w:t>Vidare kan konstateras att vissa utskott regelbundet förefaller få fler pr</w:t>
      </w:r>
      <w:r w:rsidRPr="00F5723F">
        <w:t>o</w:t>
      </w:r>
      <w:r w:rsidRPr="00F5723F">
        <w:t>pos</w:t>
      </w:r>
      <w:r w:rsidRPr="00F5723F">
        <w:t>i</w:t>
      </w:r>
      <w:r w:rsidRPr="00F5723F">
        <w:t>tioner och skrivelser remitterade till sig än andra. Skillnaderna är här både förhållandevis stora och systematiska. Framför allt skatteutskottet men även justitieutskottet får jämförelsevis många propositioner; under första halvan av innevarande valperiod har skatteutskottet fått i genomsnitt 24 propositioner per riksmöte och justitieutskottet 20 propositioner per riksmöte. Förhålland</w:t>
      </w:r>
      <w:r w:rsidRPr="00F5723F">
        <w:t>e</w:t>
      </w:r>
      <w:r w:rsidRPr="00F5723F">
        <w:t>vis få propositioner under den studerade perioden får i regel försvars-, kultur-, utbildnings-, arbetsmarknads- och bo</w:t>
      </w:r>
      <w:r w:rsidRPr="00F5723F">
        <w:t>stadsutskotten; de tre förstnämnda u</w:t>
      </w:r>
      <w:r w:rsidRPr="00F5723F">
        <w:t>t</w:t>
      </w:r>
      <w:r w:rsidRPr="00F5723F">
        <w:t>skotten har under första halvan av innevarande valperiod fått i genomsnitt 2,5 propositioner per riksmöte.</w:t>
      </w:r>
    </w:p>
    <w:p w:rsidR="00B43C57" w:rsidRPr="00F5723F" w:rsidRDefault="00B43C57">
      <w:pPr>
        <w:pStyle w:val="Normaltindrag"/>
      </w:pPr>
    </w:p>
    <w:p w:rsidR="00B43C57" w:rsidRPr="00F5723F" w:rsidRDefault="00B43C57">
      <w:pPr>
        <w:pStyle w:val="Tabellrubrik"/>
      </w:pPr>
      <w:r w:rsidRPr="00F5723F">
        <w:t>figur 5:1 remitterade propositioner och skrivelser 1994/95–2003/04</w:t>
      </w:r>
    </w:p>
    <w:p w:rsidR="00B43C57" w:rsidRPr="00F5723F" w:rsidRDefault="00B43C57">
      <w:pPr>
        <w:pStyle w:val="Normaltindrag"/>
      </w:pPr>
    </w:p>
    <w:p w:rsidR="00B43C57" w:rsidRPr="00F5723F" w:rsidRDefault="00B43C57">
      <w:pPr>
        <w:spacing w:line="240" w:lineRule="auto"/>
      </w:pPr>
      <w:r w:rsidRPr="00F5723F">
        <w:object w:dxaOrig="1440" w:dyaOrig="1440">
          <v:shape id="_x0000_s1063" type="#_x0000_t75" style="position:absolute;left:0;text-align:left;margin-left:1.85pt;margin-top:.85pt;width:271.8pt;height:151pt;z-index:251657216">
            <v:imagedata r:id="rId33" o:title=""/>
            <w10:wrap type="topAndBottom"/>
          </v:shape>
          <o:OLEObject Type="Embed" ProgID="Excel.Sheet.8" ShapeID="_x0000_s1063" DrawAspect="Content" ObjectID="_1827438473" r:id="rId34"/>
        </w:object>
      </w: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Figuren visar det genomsnittliga antalet remitterade propositi</w:t>
      </w:r>
      <w:r w:rsidRPr="00F5723F">
        <w:rPr>
          <w:rFonts w:ascii="Arial" w:hAnsi="Arial" w:cs="Arial"/>
          <w:sz w:val="16"/>
          <w:szCs w:val="16"/>
        </w:rPr>
        <w:t>o</w:t>
      </w:r>
      <w:r w:rsidRPr="00F5723F">
        <w:rPr>
          <w:rFonts w:ascii="Arial" w:hAnsi="Arial" w:cs="Arial"/>
          <w:sz w:val="16"/>
          <w:szCs w:val="16"/>
        </w:rPr>
        <w:t>ner och skrivelser (eller delar därav) per riksmöte under de senaste valperi</w:t>
      </w:r>
      <w:r w:rsidRPr="00F5723F">
        <w:rPr>
          <w:rFonts w:ascii="Arial" w:hAnsi="Arial" w:cs="Arial"/>
          <w:sz w:val="16"/>
          <w:szCs w:val="16"/>
        </w:rPr>
        <w:t>o</w:t>
      </w:r>
      <w:r w:rsidRPr="00F5723F">
        <w:rPr>
          <w:rFonts w:ascii="Arial" w:hAnsi="Arial" w:cs="Arial"/>
          <w:sz w:val="16"/>
          <w:szCs w:val="16"/>
        </w:rPr>
        <w:t>derna.</w:t>
      </w:r>
    </w:p>
    <w:p w:rsidR="00B43C57" w:rsidRPr="00F5723F" w:rsidRDefault="00B43C57">
      <w:pPr>
        <w:pStyle w:val="Normaltindrag"/>
      </w:pPr>
    </w:p>
    <w:p w:rsidR="00B43C57" w:rsidRPr="00F5723F" w:rsidRDefault="00B43C57">
      <w:r w:rsidRPr="00F5723F">
        <w:t>Utvecklingen av antalet remitterade motioner är den motsatta utvecklingen av antalet remitterade propositioner. För flertalet utskott har antalet remitt</w:t>
      </w:r>
      <w:r w:rsidRPr="00F5723F">
        <w:t>e</w:t>
      </w:r>
      <w:r w:rsidRPr="00F5723F">
        <w:t>rade motioner ökat sedan mitten av 1990-talet, vilket framgår av figur 5:2. Endast två utskott, försvars- och arbetsmarknadsutskotten, har färre motioner; jä</w:t>
      </w:r>
      <w:r w:rsidRPr="00F5723F">
        <w:t>m</w:t>
      </w:r>
      <w:r w:rsidRPr="00F5723F">
        <w:t xml:space="preserve">fört med den närmast föregående valperioden (1998/99–2001/02) har endast försvarsutskottet färre motioner. </w:t>
      </w:r>
      <w:r w:rsidRPr="00F5723F">
        <w:rPr>
          <w:rStyle w:val="Fotnotsreferens"/>
        </w:rPr>
        <w:footnoteReference w:id="51"/>
      </w:r>
    </w:p>
    <w:p w:rsidR="00B43C57" w:rsidRPr="00F5723F" w:rsidRDefault="00B43C57">
      <w:pPr>
        <w:pStyle w:val="Tabellrubrik"/>
      </w:pPr>
      <w:r w:rsidRPr="00F5723F">
        <w:lastRenderedPageBreak/>
        <w:t>figur 5:2 remitterade Motioner (eller delar därav) 1994/95–2003/04</w:t>
      </w:r>
    </w:p>
    <w:p w:rsidR="00B43C57" w:rsidRPr="00F5723F" w:rsidRDefault="00B43C57">
      <w:pPr>
        <w:pStyle w:val="Normaltindrag"/>
      </w:pPr>
    </w:p>
    <w:p w:rsidR="00B43C57" w:rsidRPr="00F5723F" w:rsidRDefault="00F5723F">
      <w:pPr>
        <w:pStyle w:val="Normaltindrag"/>
      </w:pPr>
      <w:r w:rsidRPr="00F5723F">
        <w:rPr>
          <w:noProof/>
        </w:rPr>
        <w:drawing>
          <wp:inline distT="0" distB="0" distL="0" distR="0">
            <wp:extent cx="3570605" cy="19215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0605" cy="1921510"/>
                    </a:xfrm>
                    <a:prstGeom prst="rect">
                      <a:avLst/>
                    </a:prstGeom>
                    <a:noFill/>
                    <a:ln>
                      <a:noFill/>
                    </a:ln>
                  </pic:spPr>
                </pic:pic>
              </a:graphicData>
            </a:graphic>
          </wp:inline>
        </w:drawing>
      </w:r>
    </w:p>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Figuren visar det genomsnittliga antalet remitterade motioner (eller delar därav) per riksmöte under de senaste valperi</w:t>
      </w:r>
      <w:r w:rsidRPr="00F5723F">
        <w:rPr>
          <w:rFonts w:ascii="Arial" w:hAnsi="Arial" w:cs="Arial"/>
          <w:sz w:val="16"/>
          <w:szCs w:val="16"/>
        </w:rPr>
        <w:t>o</w:t>
      </w:r>
      <w:r w:rsidRPr="00F5723F">
        <w:rPr>
          <w:rFonts w:ascii="Arial" w:hAnsi="Arial" w:cs="Arial"/>
          <w:sz w:val="16"/>
          <w:szCs w:val="16"/>
        </w:rPr>
        <w:t>derna. Både motioner från den allmänna motionstiden och övriga m</w:t>
      </w:r>
      <w:r w:rsidRPr="00F5723F">
        <w:rPr>
          <w:rFonts w:ascii="Arial" w:hAnsi="Arial" w:cs="Arial"/>
          <w:sz w:val="16"/>
          <w:szCs w:val="16"/>
        </w:rPr>
        <w:t>o</w:t>
      </w:r>
      <w:r w:rsidRPr="00F5723F">
        <w:rPr>
          <w:rFonts w:ascii="Arial" w:hAnsi="Arial" w:cs="Arial"/>
          <w:sz w:val="16"/>
          <w:szCs w:val="16"/>
        </w:rPr>
        <w:t>tioner ingår. Riksmötet 1995/96 har uteslutits ur analysen eftersom det inte förekom någon allmän motionstid.</w:t>
      </w:r>
    </w:p>
    <w:p w:rsidR="00B43C57" w:rsidRPr="00F5723F" w:rsidRDefault="00B43C57">
      <w:pPr>
        <w:pStyle w:val="Normaltindrag"/>
      </w:pPr>
    </w:p>
    <w:p w:rsidR="00B43C57" w:rsidRPr="00F5723F" w:rsidRDefault="00B43C57">
      <w:r w:rsidRPr="00F5723F">
        <w:t>Av figuren framgår även att antalet remitterade motioner (eller delar dä</w:t>
      </w:r>
      <w:r w:rsidRPr="00F5723F">
        <w:t>r</w:t>
      </w:r>
      <w:r w:rsidRPr="00F5723F">
        <w:t>av) skiljer stort mellan olika utskott. Flest motioner remitteras till social-, utbil</w:t>
      </w:r>
      <w:r w:rsidRPr="00F5723F">
        <w:t>d</w:t>
      </w:r>
      <w:r w:rsidRPr="00F5723F">
        <w:t>nings-, trafik- och miljö- och jordbruksutskotten samt, under senare år, ska</w:t>
      </w:r>
      <w:r w:rsidRPr="00F5723F">
        <w:t>t</w:t>
      </w:r>
      <w:r w:rsidRPr="00F5723F">
        <w:t>teutskottet; under första halvan av innevarande valperiod har dessa utskott fått i genomsnitt mellan ca 370 och 500 motioner per riksmöte. Minst antal m</w:t>
      </w:r>
      <w:r w:rsidRPr="00F5723F">
        <w:t>o</w:t>
      </w:r>
      <w:r w:rsidRPr="00F5723F">
        <w:t>tioner remitteras till försvarsutskottet, som under första halvan av innevarande valperiod i genomsnitt fått 87,5 motioner per riksmöte. Andra utskott som tilldelats förhållandevis få motioner är</w:t>
      </w:r>
      <w:r w:rsidRPr="00F5723F">
        <w:t xml:space="preserve"> bostads-, utrikes- och finansutskotten; under första halvan av innevarande valperiod har dessa utskott fått i geno</w:t>
      </w:r>
      <w:r w:rsidRPr="00F5723F">
        <w:t>m</w:t>
      </w:r>
      <w:r w:rsidRPr="00F5723F">
        <w:t>snitt ca 170–180 motioner per riksmöte.</w:t>
      </w:r>
    </w:p>
    <w:p w:rsidR="00B43C57" w:rsidRPr="00F5723F" w:rsidRDefault="00B43C57">
      <w:pPr>
        <w:pStyle w:val="Normaltindrag"/>
      </w:pPr>
      <w:r w:rsidRPr="00F5723F">
        <w:t>Av resultaten ovan framgår att det finns ett visst samband mellan antal propositioner och motioner. Utskott som får ett stort antal propositioner te</w:t>
      </w:r>
      <w:r w:rsidRPr="00F5723F">
        <w:t>n</w:t>
      </w:r>
      <w:r w:rsidRPr="00F5723F">
        <w:t>derar att även få ett stort antal motioner, och utskott som får ett litet antal propositioner tenderar att även få ett litet antal motioner. Till en del torde detta hänga samman med följdmotioner, men utskott som får många propos</w:t>
      </w:r>
      <w:r w:rsidRPr="00F5723F">
        <w:t>i</w:t>
      </w:r>
      <w:r w:rsidRPr="00F5723F">
        <w:t>tioner tenderar även att få många motioner som väckts under allmänna m</w:t>
      </w:r>
      <w:r w:rsidRPr="00F5723F">
        <w:t>o</w:t>
      </w:r>
      <w:r w:rsidRPr="00F5723F">
        <w:t>tionstiden. Sambandet mellan antal propositioner och motioner framgår ty</w:t>
      </w:r>
      <w:r w:rsidRPr="00F5723F">
        <w:t>d</w:t>
      </w:r>
      <w:r w:rsidRPr="00F5723F">
        <w:t>ligt i figur 5:3, som bygger på antal remitterade propositioner och motioner (eller delar dä</w:t>
      </w:r>
      <w:r w:rsidRPr="00F5723F">
        <w:t>r</w:t>
      </w:r>
      <w:r w:rsidRPr="00F5723F">
        <w:t>av) under första halvan av innevarande valpe</w:t>
      </w:r>
      <w:r w:rsidRPr="00F5723F">
        <w:t>riod. Skatte- och justitieutskotten erhåller både ett stort antal propositioner och ett stort antal motioner. För försvars-, bostads-, kultur- och arbetsmarknads</w:t>
      </w:r>
      <w:r w:rsidRPr="00F5723F">
        <w:softHyphen/>
        <w:t>utskotten gäller det motsatta, det vill säga de erhåller få propositioner och få motioner.</w:t>
      </w:r>
    </w:p>
    <w:p w:rsidR="00B43C57" w:rsidRPr="00F5723F" w:rsidRDefault="00B43C57">
      <w:pPr>
        <w:pStyle w:val="Normaltindrag"/>
      </w:pPr>
      <w:r w:rsidRPr="00F5723F">
        <w:t>Undantag från detta mönster finns också. Utbildningsutskottet tilldelas få propositioner men förhållandevis många motioner. Andra undantag är socia</w:t>
      </w:r>
      <w:r w:rsidRPr="00F5723F">
        <w:t>l</w:t>
      </w:r>
      <w:r w:rsidRPr="00F5723F">
        <w:t xml:space="preserve">utskottet och, till viss del, trafikutskottet, som visserligen tilldelas ett inte försumbart antal propositioner men som samtidigt tilldelas ett förhållandevis ännu större antal motioner. Det omvända förhållandet kan sägas gälla för </w:t>
      </w:r>
      <w:r w:rsidRPr="00F5723F">
        <w:lastRenderedPageBreak/>
        <w:t>finansutskottet, som tilldelas ett stort antal propositioner men förhållandevis få motioner.</w:t>
      </w:r>
    </w:p>
    <w:p w:rsidR="00B43C57" w:rsidRPr="00F5723F" w:rsidRDefault="00B43C57"/>
    <w:p w:rsidR="00B43C57" w:rsidRPr="00F5723F" w:rsidRDefault="00F5723F">
      <w:pPr>
        <w:pStyle w:val="Tabellrubrik"/>
      </w:pPr>
      <w:r w:rsidRPr="00F5723F">
        <w:rPr>
          <w:noProof/>
        </w:rPr>
        <mc:AlternateContent>
          <mc:Choice Requires="wpg">
            <w:drawing>
              <wp:anchor distT="0" distB="0" distL="114300" distR="114300" simplePos="0" relativeHeight="251659264" behindDoc="0" locked="0" layoutInCell="1" allowOverlap="1">
                <wp:simplePos x="0" y="0"/>
                <wp:positionH relativeFrom="column">
                  <wp:posOffset>-90805</wp:posOffset>
                </wp:positionH>
                <wp:positionV relativeFrom="paragraph">
                  <wp:posOffset>428625</wp:posOffset>
                </wp:positionV>
                <wp:extent cx="4000500" cy="3543300"/>
                <wp:effectExtent l="0" t="0" r="0" b="0"/>
                <wp:wrapTopAndBottom/>
                <wp:docPr id="136161802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3543300"/>
                          <a:chOff x="2835" y="1687"/>
                          <a:chExt cx="7380" cy="6330"/>
                        </a:xfrm>
                      </wpg:grpSpPr>
                      <wps:wsp>
                        <wps:cNvPr id="2051119438" name="Text Box 43"/>
                        <wps:cNvSpPr txBox="1">
                          <a:spLocks noChangeArrowheads="1"/>
                        </wps:cNvSpPr>
                        <wps:spPr bwMode="auto">
                          <a:xfrm>
                            <a:off x="2880" y="6648"/>
                            <a:ext cx="57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3C57" w:rsidRPr="00F5723F" w:rsidRDefault="00B43C57">
                              <w:pPr>
                                <w:pStyle w:val="Tabelltext"/>
                                <w:rPr>
                                  <w:rFonts w:ascii="Arial" w:hAnsi="Arial" w:cs="Arial"/>
                                  <w:sz w:val="13"/>
                                  <w:szCs w:val="13"/>
                                </w:rPr>
                              </w:pPr>
                            </w:p>
                          </w:txbxContent>
                        </wps:txbx>
                        <wps:bodyPr rot="0" vert="vert270" wrap="square" lIns="91440" tIns="45720" rIns="91440" bIns="45720" anchor="t" anchorCtr="0" upright="1">
                          <a:noAutofit/>
                        </wps:bodyPr>
                      </wps:wsp>
                      <wps:wsp>
                        <wps:cNvPr id="1803740769" name="Text Box 44"/>
                        <wps:cNvSpPr txBox="1">
                          <a:spLocks noChangeArrowheads="1"/>
                        </wps:cNvSpPr>
                        <wps:spPr bwMode="auto">
                          <a:xfrm>
                            <a:off x="2880" y="2176"/>
                            <a:ext cx="576"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3C57" w:rsidRPr="00F5723F" w:rsidRDefault="00B43C57">
                              <w:pPr>
                                <w:pStyle w:val="Tabelltext"/>
                                <w:rPr>
                                  <w:rFonts w:ascii="Arial" w:hAnsi="Arial" w:cs="Arial"/>
                                  <w:sz w:val="13"/>
                                  <w:szCs w:val="13"/>
                                </w:rPr>
                              </w:pPr>
                            </w:p>
                          </w:txbxContent>
                        </wps:txbx>
                        <wps:bodyPr rot="0" vert="vert270" wrap="square" lIns="91440" tIns="45720" rIns="91440" bIns="45720" anchor="t" anchorCtr="0" upright="1">
                          <a:noAutofit/>
                        </wps:bodyPr>
                      </wps:wsp>
                      <wps:wsp>
                        <wps:cNvPr id="1235430223" name="Text Box 45"/>
                        <wps:cNvSpPr txBox="1">
                          <a:spLocks noChangeArrowheads="1"/>
                        </wps:cNvSpPr>
                        <wps:spPr bwMode="auto">
                          <a:xfrm>
                            <a:off x="8640" y="7344"/>
                            <a:ext cx="115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3C57" w:rsidRPr="00F5723F" w:rsidRDefault="00B43C57">
                              <w:pPr>
                                <w:pStyle w:val="Tabelltext"/>
                                <w:rPr>
                                  <w:rFonts w:ascii="Arial" w:hAnsi="Arial" w:cs="Arial"/>
                                  <w:sz w:val="13"/>
                                  <w:szCs w:val="13"/>
                                </w:rPr>
                              </w:pPr>
                              <w:r w:rsidRPr="00F5723F">
                                <w:rPr>
                                  <w:rFonts w:ascii="Arial" w:hAnsi="Arial" w:cs="Arial"/>
                                  <w:sz w:val="13"/>
                                  <w:szCs w:val="13"/>
                                </w:rPr>
                                <w:t>många</w:t>
                              </w:r>
                            </w:p>
                          </w:txbxContent>
                        </wps:txbx>
                        <wps:bodyPr rot="0" vert="horz" wrap="square" lIns="91440" tIns="45720" rIns="91440" bIns="45720" anchor="t" anchorCtr="0" upright="1">
                          <a:noAutofit/>
                        </wps:bodyPr>
                      </wps:wsp>
                      <wps:wsp>
                        <wps:cNvPr id="1420141119" name="Text Box 46"/>
                        <wps:cNvSpPr txBox="1">
                          <a:spLocks noChangeArrowheads="1"/>
                        </wps:cNvSpPr>
                        <wps:spPr bwMode="auto">
                          <a:xfrm>
                            <a:off x="3888" y="7344"/>
                            <a:ext cx="576"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3C57" w:rsidRPr="00F5723F" w:rsidRDefault="00B43C57">
                              <w:pPr>
                                <w:pStyle w:val="Tabelltext"/>
                                <w:rPr>
                                  <w:rFonts w:ascii="Arial" w:hAnsi="Arial" w:cs="Arial"/>
                                  <w:sz w:val="13"/>
                                  <w:szCs w:val="13"/>
                                </w:rPr>
                              </w:pPr>
                              <w:r w:rsidRPr="00F5723F">
                                <w:rPr>
                                  <w:rFonts w:ascii="Arial" w:hAnsi="Arial" w:cs="Arial"/>
                                  <w:sz w:val="13"/>
                                  <w:szCs w:val="13"/>
                                </w:rPr>
                                <w:t>m</w:t>
                              </w:r>
                              <w:r w:rsidRPr="00F5723F">
                                <w:rPr>
                                  <w:rFonts w:ascii="Arial" w:hAnsi="Arial" w:cs="Arial"/>
                                  <w:sz w:val="13"/>
                                  <w:szCs w:val="13"/>
                                </w:rPr>
                                <w:t>ånga</w:t>
                              </w:r>
                            </w:p>
                            <w:p w:rsidR="00B43C57" w:rsidRPr="00F5723F" w:rsidRDefault="00B43C57">
                              <w:pPr>
                                <w:pStyle w:val="Tabelltext"/>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5" style="position:absolute;left:0;text-align:left;margin-left:-7.15pt;margin-top:33.75pt;width:315pt;height:279pt;z-index:251659264" coordorigin="2835,1687" coordsize="7380,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">
                <v:shape id="Text Box 43" o:spid="_x0000_s1036" type="#_x0000_t202" style="position:absolute;left:2880;top:664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" filled="f" stroked="f">
                  <v:textbox style="layout-flow:vertical;mso-layout-flow-alt:bottom-to-top">
                    <w:txbxContent>
                      <w:p w:rsidR="00B43C57" w:rsidRPr="00F5723F" w:rsidRDefault="00B43C57">
                        <w:pPr>
                          <w:pStyle w:val="Tabelltext"/>
                          <w:rPr>
                            <w:rFonts w:ascii="Arial" w:hAnsi="Arial" w:cs="Arial"/>
                            <w:sz w:val="13"/>
                            <w:szCs w:val="13"/>
                          </w:rPr>
                        </w:pPr>
                      </w:p>
                    </w:txbxContent>
                  </v:textbox>
                </v:shape>
                <v:shape id="Text Box 44" o:spid="_x0000_s1037" type="#_x0000_t202" style="position:absolute;left:2880;top:2176;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" filled="f" stroked="f">
                  <v:textbox style="layout-flow:vertical;mso-layout-flow-alt:bottom-to-top">
                    <w:txbxContent>
                      <w:p w:rsidR="00B43C57" w:rsidRPr="00F5723F" w:rsidRDefault="00B43C57">
                        <w:pPr>
                          <w:pStyle w:val="Tabelltext"/>
                          <w:rPr>
                            <w:rFonts w:ascii="Arial" w:hAnsi="Arial" w:cs="Arial"/>
                            <w:sz w:val="13"/>
                            <w:szCs w:val="13"/>
                          </w:rPr>
                        </w:pPr>
                      </w:p>
                    </w:txbxContent>
                  </v:textbox>
                </v:shape>
                <v:shape id="Text Box 45" o:spid="_x0000_s1038" type="#_x0000_t202" style="position:absolute;left:8640;top:7344;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" filled="f" stroked="f">
                  <v:textbox>
                    <w:txbxContent>
                      <w:p w:rsidR="00B43C57" w:rsidRPr="00F5723F" w:rsidRDefault="00B43C57">
                        <w:pPr>
                          <w:pStyle w:val="Tabelltext"/>
                          <w:rPr>
                            <w:rFonts w:ascii="Arial" w:hAnsi="Arial" w:cs="Arial"/>
                            <w:sz w:val="13"/>
                            <w:szCs w:val="13"/>
                          </w:rPr>
                        </w:pPr>
                        <w:r w:rsidRPr="00F5723F">
                          <w:rPr>
                            <w:rFonts w:ascii="Arial" w:hAnsi="Arial" w:cs="Arial"/>
                            <w:sz w:val="13"/>
                            <w:szCs w:val="13"/>
                          </w:rPr>
                          <w:t>många</w:t>
                        </w:r>
                      </w:p>
                    </w:txbxContent>
                  </v:textbox>
                </v:shape>
                <v:shape id="Text Box 46" o:spid="_x0000_s1039" type="#_x0000_t202" style="position:absolute;left:3888;top:7344;width:57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" filled="f" stroked="f">
                  <v:textbox>
                    <w:txbxContent>
                      <w:p w:rsidR="00B43C57" w:rsidRPr="00F5723F" w:rsidRDefault="00B43C57">
                        <w:pPr>
                          <w:pStyle w:val="Tabelltext"/>
                          <w:rPr>
                            <w:rFonts w:ascii="Arial" w:hAnsi="Arial" w:cs="Arial"/>
                            <w:sz w:val="13"/>
                            <w:szCs w:val="13"/>
                          </w:rPr>
                        </w:pPr>
                        <w:r w:rsidRPr="00F5723F">
                          <w:rPr>
                            <w:rFonts w:ascii="Arial" w:hAnsi="Arial" w:cs="Arial"/>
                            <w:sz w:val="13"/>
                            <w:szCs w:val="13"/>
                          </w:rPr>
                          <w:t>m</w:t>
                        </w:r>
                        <w:r w:rsidRPr="00F5723F">
                          <w:rPr>
                            <w:rFonts w:ascii="Arial" w:hAnsi="Arial" w:cs="Arial"/>
                            <w:sz w:val="13"/>
                            <w:szCs w:val="13"/>
                          </w:rPr>
                          <w:t>ånga</w:t>
                        </w:r>
                      </w:p>
                      <w:p w:rsidR="00B43C57" w:rsidRPr="00F5723F" w:rsidRDefault="00B43C57">
                        <w:pPr>
                          <w:pStyle w:val="Tabelltext"/>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txbxContent>
                  </v:textbox>
                </v:shape>
                <w10:wrap type="topAndBottom"/>
              </v:group>
            </w:pict>
          </mc:Fallback>
        </mc:AlternateContent>
      </w:r>
      <w:r w:rsidR="00B43C57" w:rsidRPr="00F5723F">
        <w:t>figur 5:3 Samband mellan antal prop</w:t>
      </w:r>
      <w:r w:rsidR="00B43C57" w:rsidRPr="00F5723F">
        <w:t>o</w:t>
      </w:r>
      <w:r w:rsidR="00B43C57" w:rsidRPr="00F5723F">
        <w:t>sitioner och motioner 2002/03–2003/04</w:t>
      </w:r>
    </w:p>
    <w:p w:rsidR="00B43C57" w:rsidRPr="00F5723F" w:rsidRDefault="00B43C57"/>
    <w:p w:rsidR="00B43C57" w:rsidRPr="00F5723F" w:rsidRDefault="00B43C57">
      <w:r w:rsidRPr="00F5723F">
        <w:t>I sammanhanget bör påpekas att det finns stora omfångsmässiga skillnader mellan olika propositioner och olika motioner, vilket sannolikt har stor bet</w:t>
      </w:r>
      <w:r w:rsidRPr="00F5723F">
        <w:t>y</w:t>
      </w:r>
      <w:r w:rsidRPr="00F5723F">
        <w:t>delse för vilken arbetsinsats som behövs vid beredningen av dem. Till exe</w:t>
      </w:r>
      <w:r w:rsidRPr="00F5723F">
        <w:t>m</w:t>
      </w:r>
      <w:r w:rsidRPr="00F5723F">
        <w:t>pel är budgetpropositionen mer omfattande än en proposition om a</w:t>
      </w:r>
      <w:r w:rsidRPr="00F5723F">
        <w:t>v</w:t>
      </w:r>
      <w:r w:rsidRPr="00F5723F">
        <w:t>drag för utdelning på insatsemissioner, och en försvarspolitisk proposition är mer omfattande än en proposition om avgiftssystemet i rättshjälpslagen. Vad gäller motioner är parti- och kommittémotioner i regel mer omfattande än enskilda motioner.</w:t>
      </w:r>
    </w:p>
    <w:p w:rsidR="00B43C57" w:rsidRPr="00F5723F" w:rsidRDefault="00B43C57">
      <w:pPr>
        <w:pStyle w:val="Normaltindrag"/>
      </w:pPr>
      <w:r w:rsidRPr="00F5723F">
        <w:t>Ytterligare en skillnad är antalet motionsyrkanden. Medan vissa motioner innehåller endast ett yrkande kan andra innehålla så</w:t>
      </w:r>
      <w:r w:rsidRPr="00F5723F">
        <w:t xml:space="preserve"> mycket som 50 yrka</w:t>
      </w:r>
      <w:r w:rsidRPr="00F5723F">
        <w:t>n</w:t>
      </w:r>
      <w:r w:rsidRPr="00F5723F">
        <w:t>den eller fler. Jämförs antalet motionsyrkanden (från allmän motionstid) i olika utskott i stället för antalet motioner (totalt) är bilden dock ungefär densa</w:t>
      </w:r>
      <w:r w:rsidRPr="00F5723F">
        <w:t>m</w:t>
      </w:r>
      <w:r w:rsidRPr="00F5723F">
        <w:t>ma.</w:t>
      </w:r>
      <w:r w:rsidRPr="00F5723F">
        <w:rPr>
          <w:rStyle w:val="Fotnotsreferens"/>
        </w:rPr>
        <w:footnoteReference w:id="52"/>
      </w:r>
      <w:r w:rsidRPr="00F5723F">
        <w:t xml:space="preserve"> Ett undantag är utrikesutskottet, vars förhållandevis få motioner </w:t>
      </w:r>
      <w:r w:rsidRPr="00F5723F">
        <w:lastRenderedPageBreak/>
        <w:t>inn</w:t>
      </w:r>
      <w:r w:rsidRPr="00F5723F">
        <w:t>e</w:t>
      </w:r>
      <w:r w:rsidRPr="00F5723F">
        <w:t>håller ett stort antal yrkanden; med hänsyn till detta skulle utrikesu</w:t>
      </w:r>
      <w:r w:rsidRPr="00F5723F">
        <w:t>t</w:t>
      </w:r>
      <w:r w:rsidRPr="00F5723F">
        <w:t>skottet ha legat längre högerut i figur 5:3. Ett annat undantag är skatteu</w:t>
      </w:r>
      <w:r w:rsidRPr="00F5723F">
        <w:t>t</w:t>
      </w:r>
      <w:r w:rsidRPr="00F5723F">
        <w:t>skottet, som får förhållandevis många motioner som innehåller få yrkanden; med hänsyn till detta skulle skatteutskottet ha legat längre vänsterut i figur 5:3. Skatteutsko</w:t>
      </w:r>
      <w:r w:rsidRPr="00F5723F">
        <w:t>t</w:t>
      </w:r>
      <w:r w:rsidRPr="00F5723F">
        <w:t>tets motioner är alltså som regel mindre omfattande än genomsnittet sett till antal yrkanden medan utrikesutskottets motione</w:t>
      </w:r>
      <w:r w:rsidRPr="00F5723F">
        <w:t>r som regel är mer omfatta</w:t>
      </w:r>
      <w:r w:rsidRPr="00F5723F">
        <w:t>n</w:t>
      </w:r>
      <w:r w:rsidRPr="00F5723F">
        <w:t>de. Skillnaderna torde till en del också bero på att uppgifterna om remitterade motionsyrkanden endast inkluderar motioner från allmän motionstid, medan uppgifterna om remitterade motioner inkl</w:t>
      </w:r>
      <w:r w:rsidRPr="00F5723F">
        <w:t>u</w:t>
      </w:r>
      <w:r w:rsidRPr="00F5723F">
        <w:t>derar både motioner från allmän motionstid och följdmotioner. Eftersom skatteutskottet är det utskott som erhåller flest propositioner kan en stor del av utskottets motioner (och m</w:t>
      </w:r>
      <w:r w:rsidRPr="00F5723F">
        <w:t>o</w:t>
      </w:r>
      <w:r w:rsidRPr="00F5723F">
        <w:t>tionsyrkanden) vara just följdmotioner.</w:t>
      </w:r>
    </w:p>
    <w:p w:rsidR="00B43C57" w:rsidRPr="00F5723F" w:rsidRDefault="00B43C57">
      <w:pPr>
        <w:pStyle w:val="Rubrik3"/>
        <w:rPr>
          <w:noProof w:val="0"/>
        </w:rPr>
      </w:pPr>
      <w:bookmarkStart w:id="60" w:name="_Toc124697799"/>
      <w:r w:rsidRPr="00F5723F">
        <w:rPr>
          <w:noProof w:val="0"/>
        </w:rPr>
        <w:t>Reservationer</w:t>
      </w:r>
      <w:bookmarkEnd w:id="60"/>
    </w:p>
    <w:p w:rsidR="00B43C57" w:rsidRPr="00F5723F" w:rsidRDefault="00B43C57">
      <w:r w:rsidRPr="00F5723F">
        <w:t>Motioner som behandlas i utskotten kan föranleda den eventuella minorit</w:t>
      </w:r>
      <w:r w:rsidRPr="00F5723F">
        <w:t>e</w:t>
      </w:r>
      <w:r w:rsidRPr="00F5723F">
        <w:t>ten att reservera sig mot utskottets beslut, till exempel om att avstyrka motionen, eller motivering till sitt beslut. Detsamma gäller för propositioner som b</w:t>
      </w:r>
      <w:r w:rsidRPr="00F5723F">
        <w:t>e</w:t>
      </w:r>
      <w:r w:rsidRPr="00F5723F">
        <w:t>handlas i utskotten. I tabell 5:2 redovisas utvecklingen av antalet reservati</w:t>
      </w:r>
      <w:r w:rsidRPr="00F5723F">
        <w:t>o</w:t>
      </w:r>
      <w:r w:rsidRPr="00F5723F">
        <w:t>ner som avgetts i utskotten sedan 1993/94 års riksmöte. Som framgår har antalet reservationer ökat. Ökningen är drygt 30 procent, vilken alltså är u</w:t>
      </w:r>
      <w:r w:rsidRPr="00F5723F">
        <w:t>n</w:t>
      </w:r>
      <w:r w:rsidRPr="00F5723F">
        <w:t>gefär lika stor som ökningen av antalet motioner men mindre än ökningen av antalet m</w:t>
      </w:r>
      <w:r w:rsidRPr="00F5723F">
        <w:t>o</w:t>
      </w:r>
      <w:r w:rsidRPr="00F5723F">
        <w:t>tionsyrkanden.</w:t>
      </w:r>
    </w:p>
    <w:p w:rsidR="00B43C57" w:rsidRPr="00F5723F" w:rsidRDefault="00B43C57">
      <w:pPr>
        <w:spacing w:line="240" w:lineRule="auto"/>
      </w:pPr>
    </w:p>
    <w:p w:rsidR="00B43C57" w:rsidRPr="00F5723F" w:rsidRDefault="00B43C57">
      <w:pPr>
        <w:pStyle w:val="Tabellrubrik"/>
      </w:pPr>
      <w:r w:rsidRPr="00F5723F">
        <w:t>TAbell 5:2 Antal reservationer Per riksmöte</w:t>
      </w:r>
    </w:p>
    <w:tbl>
      <w:tblPr>
        <w:tblW w:w="0" w:type="auto"/>
        <w:tblInd w:w="70" w:type="dxa"/>
        <w:tblLayout w:type="fixed"/>
        <w:tblCellMar>
          <w:left w:w="70" w:type="dxa"/>
          <w:right w:w="70" w:type="dxa"/>
        </w:tblCellMar>
        <w:tblLook w:val="0000" w:firstRow="0" w:lastRow="0" w:firstColumn="0" w:lastColumn="0" w:noHBand="0" w:noVBand="0"/>
      </w:tblPr>
      <w:tblGrid>
        <w:gridCol w:w="1304"/>
        <w:gridCol w:w="425"/>
        <w:gridCol w:w="425"/>
        <w:gridCol w:w="425"/>
        <w:gridCol w:w="425"/>
        <w:gridCol w:w="425"/>
        <w:gridCol w:w="425"/>
        <w:gridCol w:w="425"/>
        <w:gridCol w:w="425"/>
        <w:gridCol w:w="425"/>
        <w:gridCol w:w="425"/>
        <w:gridCol w:w="425"/>
      </w:tblGrid>
      <w:tr w:rsidR="00000000" w:rsidRPr="00F5723F">
        <w:tblPrEx>
          <w:tblCellMar>
            <w:top w:w="0" w:type="dxa"/>
            <w:bottom w:w="0" w:type="dxa"/>
          </w:tblCellMar>
        </w:tblPrEx>
        <w:trPr>
          <w:cantSplit/>
        </w:trPr>
        <w:tc>
          <w:tcPr>
            <w:tcW w:w="1304" w:type="dxa"/>
            <w:tcBorders>
              <w:top w:val="single" w:sz="4" w:space="0" w:color="auto"/>
              <w:bottom w:val="single" w:sz="4" w:space="0" w:color="auto"/>
            </w:tcBorders>
          </w:tcPr>
          <w:p w:rsidR="00B43C57" w:rsidRPr="00F5723F" w:rsidRDefault="00B43C57"/>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93/</w:t>
            </w:r>
            <w:r w:rsidRPr="00F5723F">
              <w:br/>
              <w:t>94</w:t>
            </w:r>
          </w:p>
        </w:tc>
        <w:tc>
          <w:tcPr>
            <w:tcW w:w="425" w:type="dxa"/>
            <w:tcBorders>
              <w:top w:val="single" w:sz="4" w:space="0" w:color="auto"/>
              <w:bottom w:val="single" w:sz="4" w:space="0" w:color="auto"/>
            </w:tcBorders>
            <w:shd w:val="pct35" w:color="auto" w:fill="FFFFFF"/>
          </w:tcPr>
          <w:p w:rsidR="00B43C57" w:rsidRPr="00F5723F" w:rsidRDefault="00B43C57">
            <w:pPr>
              <w:pStyle w:val="Tabelltextsiffror"/>
            </w:pPr>
            <w:r w:rsidRPr="00F5723F">
              <w:t xml:space="preserve"> 94/</w:t>
            </w:r>
            <w:r w:rsidRPr="00F5723F">
              <w:br/>
              <w:t>95</w:t>
            </w:r>
          </w:p>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95/</w:t>
            </w:r>
            <w:r w:rsidRPr="00F5723F">
              <w:br/>
              <w:t>96</w:t>
            </w:r>
          </w:p>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96/</w:t>
            </w:r>
            <w:r w:rsidRPr="00F5723F">
              <w:br/>
              <w:t>97</w:t>
            </w:r>
          </w:p>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97/</w:t>
            </w:r>
            <w:r w:rsidRPr="00F5723F">
              <w:br/>
              <w:t>98</w:t>
            </w:r>
          </w:p>
        </w:tc>
        <w:tc>
          <w:tcPr>
            <w:tcW w:w="425" w:type="dxa"/>
            <w:tcBorders>
              <w:top w:val="single" w:sz="4" w:space="0" w:color="auto"/>
              <w:bottom w:val="single" w:sz="4" w:space="0" w:color="auto"/>
            </w:tcBorders>
            <w:shd w:val="pct35" w:color="auto" w:fill="FFFFFF"/>
          </w:tcPr>
          <w:p w:rsidR="00B43C57" w:rsidRPr="00F5723F" w:rsidRDefault="00B43C57">
            <w:pPr>
              <w:pStyle w:val="Tabelltextsiffror"/>
            </w:pPr>
            <w:r w:rsidRPr="00F5723F">
              <w:t xml:space="preserve"> 98/</w:t>
            </w:r>
            <w:r w:rsidRPr="00F5723F">
              <w:br/>
              <w:t>99</w:t>
            </w:r>
          </w:p>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99/</w:t>
            </w:r>
            <w:r w:rsidRPr="00F5723F">
              <w:br/>
              <w:t>00</w:t>
            </w:r>
          </w:p>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00/</w:t>
            </w:r>
            <w:r w:rsidRPr="00F5723F">
              <w:br/>
              <w:t>01</w:t>
            </w:r>
          </w:p>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01/</w:t>
            </w:r>
            <w:r w:rsidRPr="00F5723F">
              <w:br/>
              <w:t>02</w:t>
            </w:r>
          </w:p>
        </w:tc>
        <w:tc>
          <w:tcPr>
            <w:tcW w:w="425" w:type="dxa"/>
            <w:tcBorders>
              <w:top w:val="single" w:sz="4" w:space="0" w:color="auto"/>
              <w:bottom w:val="single" w:sz="4" w:space="0" w:color="auto"/>
            </w:tcBorders>
            <w:shd w:val="pct35" w:color="auto" w:fill="FFFFFF"/>
          </w:tcPr>
          <w:p w:rsidR="00B43C57" w:rsidRPr="00F5723F" w:rsidRDefault="00B43C57">
            <w:pPr>
              <w:pStyle w:val="Tabelltextsiffror"/>
            </w:pPr>
            <w:r w:rsidRPr="00F5723F">
              <w:t xml:space="preserve"> 02/</w:t>
            </w:r>
            <w:r w:rsidRPr="00F5723F">
              <w:br/>
              <w:t>03</w:t>
            </w:r>
          </w:p>
        </w:tc>
        <w:tc>
          <w:tcPr>
            <w:tcW w:w="425" w:type="dxa"/>
            <w:tcBorders>
              <w:top w:val="single" w:sz="4" w:space="0" w:color="auto"/>
              <w:bottom w:val="single" w:sz="4" w:space="0" w:color="auto"/>
            </w:tcBorders>
          </w:tcPr>
          <w:p w:rsidR="00B43C57" w:rsidRPr="00F5723F" w:rsidRDefault="00B43C57">
            <w:pPr>
              <w:pStyle w:val="Tabelltextsiffror"/>
            </w:pPr>
            <w:r w:rsidRPr="00F5723F">
              <w:t xml:space="preserve"> 03/</w:t>
            </w:r>
            <w:r w:rsidRPr="00F5723F">
              <w:br/>
              <w:t>04</w:t>
            </w:r>
          </w:p>
        </w:tc>
      </w:tr>
      <w:tr w:rsidR="00000000" w:rsidRPr="00F5723F">
        <w:tblPrEx>
          <w:tblCellMar>
            <w:top w:w="0" w:type="dxa"/>
            <w:left w:w="0" w:type="dxa"/>
            <w:bottom w:w="0" w:type="dxa"/>
            <w:right w:w="0" w:type="dxa"/>
          </w:tblCellMar>
        </w:tblPrEx>
        <w:trPr>
          <w:cantSplit/>
        </w:trPr>
        <w:tc>
          <w:tcPr>
            <w:tcW w:w="1304" w:type="dxa"/>
            <w:tcBorders>
              <w:top w:val="single" w:sz="4" w:space="0" w:color="auto"/>
              <w:bottom w:val="single" w:sz="4" w:space="0" w:color="auto"/>
            </w:tcBorders>
          </w:tcPr>
          <w:p w:rsidR="00B43C57" w:rsidRPr="00F5723F" w:rsidRDefault="00B43C57">
            <w:pPr>
              <w:pStyle w:val="Tabelltext"/>
            </w:pPr>
            <w:r w:rsidRPr="00F5723F">
              <w:t>Reservationer</w:t>
            </w:r>
          </w:p>
        </w:tc>
        <w:tc>
          <w:tcPr>
            <w:tcW w:w="425" w:type="dxa"/>
            <w:tcBorders>
              <w:top w:val="single" w:sz="4" w:space="0" w:color="auto"/>
              <w:bottom w:val="single" w:sz="4" w:space="0" w:color="auto"/>
            </w:tcBorders>
          </w:tcPr>
          <w:p w:rsidR="00B43C57" w:rsidRPr="00F5723F" w:rsidRDefault="00B43C57">
            <w:pPr>
              <w:pStyle w:val="Tabelltextsiffror"/>
            </w:pPr>
            <w:r w:rsidRPr="00F5723F">
              <w:t>2 113</w:t>
            </w:r>
          </w:p>
        </w:tc>
        <w:tc>
          <w:tcPr>
            <w:tcW w:w="425" w:type="dxa"/>
            <w:tcBorders>
              <w:top w:val="single" w:sz="4" w:space="0" w:color="auto"/>
              <w:bottom w:val="single" w:sz="4" w:space="0" w:color="auto"/>
            </w:tcBorders>
            <w:shd w:val="pct35" w:color="auto" w:fill="FFFFFF"/>
          </w:tcPr>
          <w:p w:rsidR="00B43C57" w:rsidRPr="00F5723F" w:rsidRDefault="00B43C57">
            <w:pPr>
              <w:pStyle w:val="Tabelltextsiffror"/>
            </w:pPr>
            <w:r w:rsidRPr="00F5723F">
              <w:t>2 332</w:t>
            </w:r>
          </w:p>
        </w:tc>
        <w:tc>
          <w:tcPr>
            <w:tcW w:w="425" w:type="dxa"/>
            <w:tcBorders>
              <w:top w:val="single" w:sz="4" w:space="0" w:color="auto"/>
              <w:bottom w:val="single" w:sz="4" w:space="0" w:color="auto"/>
            </w:tcBorders>
          </w:tcPr>
          <w:p w:rsidR="00B43C57" w:rsidRPr="00F5723F" w:rsidRDefault="00B43C57">
            <w:pPr>
              <w:pStyle w:val="Tabelltextsiffror"/>
            </w:pPr>
            <w:r w:rsidRPr="00F5723F">
              <w:t>1 660</w:t>
            </w:r>
          </w:p>
        </w:tc>
        <w:tc>
          <w:tcPr>
            <w:tcW w:w="425" w:type="dxa"/>
            <w:tcBorders>
              <w:top w:val="single" w:sz="4" w:space="0" w:color="auto"/>
              <w:bottom w:val="single" w:sz="4" w:space="0" w:color="auto"/>
            </w:tcBorders>
          </w:tcPr>
          <w:p w:rsidR="00B43C57" w:rsidRPr="00F5723F" w:rsidRDefault="00B43C57">
            <w:pPr>
              <w:pStyle w:val="Tabelltextsiffror"/>
            </w:pPr>
            <w:r w:rsidRPr="00F5723F">
              <w:t>2 461</w:t>
            </w:r>
          </w:p>
        </w:tc>
        <w:tc>
          <w:tcPr>
            <w:tcW w:w="425" w:type="dxa"/>
            <w:tcBorders>
              <w:top w:val="single" w:sz="4" w:space="0" w:color="auto"/>
              <w:bottom w:val="single" w:sz="4" w:space="0" w:color="auto"/>
            </w:tcBorders>
          </w:tcPr>
          <w:p w:rsidR="00B43C57" w:rsidRPr="00F5723F" w:rsidRDefault="00B43C57">
            <w:pPr>
              <w:pStyle w:val="Tabelltextsiffror"/>
            </w:pPr>
            <w:r w:rsidRPr="00F5723F">
              <w:t>3 392</w:t>
            </w:r>
          </w:p>
        </w:tc>
        <w:tc>
          <w:tcPr>
            <w:tcW w:w="425" w:type="dxa"/>
            <w:tcBorders>
              <w:top w:val="single" w:sz="4" w:space="0" w:color="auto"/>
              <w:bottom w:val="single" w:sz="4" w:space="0" w:color="auto"/>
            </w:tcBorders>
            <w:shd w:val="pct35" w:color="auto" w:fill="FFFFFF"/>
          </w:tcPr>
          <w:p w:rsidR="00B43C57" w:rsidRPr="00F5723F" w:rsidRDefault="00B43C57">
            <w:pPr>
              <w:pStyle w:val="Tabelltextsiffror"/>
            </w:pPr>
            <w:r w:rsidRPr="00F5723F">
              <w:t>2 077</w:t>
            </w:r>
          </w:p>
        </w:tc>
        <w:tc>
          <w:tcPr>
            <w:tcW w:w="425" w:type="dxa"/>
            <w:tcBorders>
              <w:top w:val="single" w:sz="4" w:space="0" w:color="auto"/>
              <w:bottom w:val="single" w:sz="4" w:space="0" w:color="auto"/>
            </w:tcBorders>
          </w:tcPr>
          <w:p w:rsidR="00B43C57" w:rsidRPr="00F5723F" w:rsidRDefault="00B43C57">
            <w:pPr>
              <w:pStyle w:val="Tabelltextsiffror"/>
            </w:pPr>
            <w:r w:rsidRPr="00F5723F">
              <w:t>2 437</w:t>
            </w:r>
          </w:p>
        </w:tc>
        <w:tc>
          <w:tcPr>
            <w:tcW w:w="425" w:type="dxa"/>
            <w:tcBorders>
              <w:top w:val="single" w:sz="4" w:space="0" w:color="auto"/>
              <w:bottom w:val="single" w:sz="4" w:space="0" w:color="auto"/>
            </w:tcBorders>
          </w:tcPr>
          <w:p w:rsidR="00B43C57" w:rsidRPr="00F5723F" w:rsidRDefault="00B43C57">
            <w:pPr>
              <w:pStyle w:val="Tabelltextsiffror"/>
            </w:pPr>
            <w:r w:rsidRPr="00F5723F">
              <w:t>2 404</w:t>
            </w:r>
          </w:p>
        </w:tc>
        <w:tc>
          <w:tcPr>
            <w:tcW w:w="425" w:type="dxa"/>
            <w:tcBorders>
              <w:top w:val="single" w:sz="4" w:space="0" w:color="auto"/>
              <w:bottom w:val="single" w:sz="4" w:space="0" w:color="auto"/>
            </w:tcBorders>
          </w:tcPr>
          <w:p w:rsidR="00B43C57" w:rsidRPr="00F5723F" w:rsidRDefault="00B43C57">
            <w:pPr>
              <w:pStyle w:val="Tabelltextsiffror"/>
            </w:pPr>
            <w:r w:rsidRPr="00F5723F">
              <w:t>3 360</w:t>
            </w:r>
          </w:p>
        </w:tc>
        <w:tc>
          <w:tcPr>
            <w:tcW w:w="425" w:type="dxa"/>
            <w:tcBorders>
              <w:top w:val="single" w:sz="4" w:space="0" w:color="auto"/>
              <w:bottom w:val="single" w:sz="4" w:space="0" w:color="auto"/>
            </w:tcBorders>
            <w:shd w:val="pct35" w:color="auto" w:fill="FFFFFF"/>
          </w:tcPr>
          <w:p w:rsidR="00B43C57" w:rsidRPr="00F5723F" w:rsidRDefault="00B43C57">
            <w:pPr>
              <w:pStyle w:val="Tabelltextsiffror"/>
            </w:pPr>
            <w:r w:rsidRPr="00F5723F">
              <w:t>2 419</w:t>
            </w:r>
          </w:p>
        </w:tc>
        <w:tc>
          <w:tcPr>
            <w:tcW w:w="425" w:type="dxa"/>
            <w:tcBorders>
              <w:top w:val="single" w:sz="4" w:space="0" w:color="auto"/>
              <w:bottom w:val="single" w:sz="4" w:space="0" w:color="auto"/>
            </w:tcBorders>
          </w:tcPr>
          <w:p w:rsidR="00B43C57" w:rsidRPr="00F5723F" w:rsidRDefault="00B43C57">
            <w:pPr>
              <w:pStyle w:val="Tabelltextsiffror"/>
            </w:pPr>
            <w:r w:rsidRPr="00F5723F">
              <w:t>2 811</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Riksmöten efter val är markerade med grå bakgrund. Under 1995/96 förekom ingen allmän motionstid med anledning av omläggning till kalanderårsbu</w:t>
      </w:r>
      <w:r w:rsidRPr="00F5723F">
        <w:rPr>
          <w:rFonts w:ascii="Arial" w:hAnsi="Arial" w:cs="Arial"/>
          <w:sz w:val="16"/>
          <w:szCs w:val="16"/>
        </w:rPr>
        <w:t>d</w:t>
      </w:r>
      <w:r w:rsidRPr="00F5723F">
        <w:rPr>
          <w:rFonts w:ascii="Arial" w:hAnsi="Arial" w:cs="Arial"/>
          <w:sz w:val="16"/>
          <w:szCs w:val="16"/>
        </w:rPr>
        <w:t>get med början år 1997.</w:t>
      </w:r>
    </w:p>
    <w:p w:rsidR="00B43C57" w:rsidRPr="00F5723F" w:rsidRDefault="00B43C57"/>
    <w:p w:rsidR="00B43C57" w:rsidRPr="00F5723F" w:rsidRDefault="00B43C57">
      <w:r w:rsidRPr="00F5723F">
        <w:t>Av tabellen framgår vidare att det, i likhet med motionsavlämnandet, finns ett slags cykel över valperioden. Under första rikmötet efter ett val minskar antalet avgivna reservationer jämfört med föregående riksmöte. Därefter, under återstoden av valperioden, ökar antalet avgivna reservationer. Första riksmötet efter 1994 års val (1994/95) är ett undantag från detta mönster, vilket sannolikt hänger samman med att antal partier i regeringsställning minskade från fyra till ett och att fler partier följaktligen</w:t>
      </w:r>
      <w:r w:rsidRPr="00F5723F">
        <w:t xml:space="preserve"> befann sig i oppos</w:t>
      </w:r>
      <w:r w:rsidRPr="00F5723F">
        <w:t>i</w:t>
      </w:r>
      <w:r w:rsidRPr="00F5723F">
        <w:t>tion. Ett annat undantag gäller 1995/96 års riksmöte, då antalet reservationer minskade. Skälet till det torde vara att det inte förekom någon allmän m</w:t>
      </w:r>
      <w:r w:rsidRPr="00F5723F">
        <w:t>o</w:t>
      </w:r>
      <w:r w:rsidRPr="00F5723F">
        <w:t>tionstid under det riksmötet.</w:t>
      </w:r>
    </w:p>
    <w:p w:rsidR="00B43C57" w:rsidRPr="00F5723F" w:rsidRDefault="00B43C57">
      <w:pPr>
        <w:pStyle w:val="Normaltindrag"/>
        <w:rPr>
          <w:rStyle w:val="TabellrubrikChar"/>
        </w:rPr>
      </w:pPr>
      <w:r w:rsidRPr="00F5723F">
        <w:t>I figur 5:4 redovisas utvecklingen av antalet avgivna reservationer i r</w:t>
      </w:r>
      <w:r w:rsidRPr="00F5723F">
        <w:t>e</w:t>
      </w:r>
      <w:r w:rsidRPr="00F5723F">
        <w:t>spekt</w:t>
      </w:r>
      <w:r w:rsidRPr="00F5723F">
        <w:t>i</w:t>
      </w:r>
      <w:r w:rsidRPr="00F5723F">
        <w:t>ve utskott. Utvecklingen mot fler avgivna reservationer har ägt rum i drygt hälften av utskotten. Mest har antalet avgivna reservationer ökat i u</w:t>
      </w:r>
      <w:r w:rsidRPr="00F5723F">
        <w:t>t</w:t>
      </w:r>
      <w:r w:rsidRPr="00F5723F">
        <w:t>bildningsutskottet. I knappt hälften av utskotten har utvecklingen gått mot färre reservationer. Särskilt märks detta i finansutskottet. Denna minskning är dock en effekt av den nya budgetordningen från 1996.</w:t>
      </w:r>
      <w:r w:rsidRPr="00F5723F">
        <w:rPr>
          <w:rStyle w:val="Fotnotsreferens"/>
        </w:rPr>
        <w:footnoteReference w:id="53"/>
      </w:r>
      <w:r w:rsidRPr="00F5723F">
        <w:rPr>
          <w:rStyle w:val="TabellrubrikChar"/>
        </w:rPr>
        <w:t xml:space="preserve"> </w:t>
      </w:r>
    </w:p>
    <w:p w:rsidR="00B43C57" w:rsidRPr="00F5723F" w:rsidRDefault="00B43C57">
      <w:pPr>
        <w:pStyle w:val="Normaltindrag"/>
        <w:rPr>
          <w:rStyle w:val="TabellrubrikChar"/>
        </w:rPr>
      </w:pPr>
    </w:p>
    <w:p w:rsidR="00B43C57" w:rsidRPr="00F5723F" w:rsidRDefault="00B43C57">
      <w:pPr>
        <w:rPr>
          <w:rStyle w:val="TabellrubrikChar"/>
        </w:rPr>
      </w:pPr>
      <w:r w:rsidRPr="00F5723F">
        <w:object w:dxaOrig="1440" w:dyaOrig="1440">
          <v:shape id="_x0000_s1076" type="#_x0000_t75" style="position:absolute;left:0;text-align:left;margin-left:-4.75pt;margin-top:130.45pt;width:268.8pt;height:157.9pt;z-index:251664384;mso-position-vertical-relative:page">
            <v:imagedata r:id="rId36" o:title=""/>
            <w10:wrap type="topAndBottom" anchory="page"/>
          </v:shape>
          <o:OLEObject Type="Embed" ProgID="Excel.Sheet.8" ShapeID="_x0000_s1076" DrawAspect="Content" ObjectID="_1827438474" r:id="rId37"/>
        </w:object>
      </w:r>
      <w:r w:rsidRPr="00F5723F">
        <w:rPr>
          <w:rStyle w:val="TabellrubrikChar"/>
        </w:rPr>
        <w:t>figur 5:4 anta</w:t>
      </w:r>
      <w:r w:rsidRPr="00F5723F">
        <w:rPr>
          <w:rStyle w:val="TabellrubrikChar"/>
        </w:rPr>
        <w:t>l rese</w:t>
      </w:r>
      <w:r w:rsidRPr="00F5723F">
        <w:rPr>
          <w:rStyle w:val="TabellrubrikChar"/>
        </w:rPr>
        <w:t>r</w:t>
      </w:r>
      <w:r w:rsidRPr="00F5723F">
        <w:rPr>
          <w:rStyle w:val="TabellrubrikChar"/>
        </w:rPr>
        <w:t>vationer 1994/95–2003/04</w:t>
      </w:r>
    </w:p>
    <w:p w:rsidR="00B43C57" w:rsidRPr="00F5723F" w:rsidRDefault="00B43C57">
      <w:pPr>
        <w:pStyle w:val="Normaltindrag"/>
        <w:spacing w:before="125"/>
      </w:pPr>
    </w:p>
    <w:p w:rsidR="00B43C57" w:rsidRPr="00F5723F" w:rsidRDefault="00B43C57">
      <w:pPr>
        <w:spacing w:line="240" w:lineRule="auto"/>
      </w:pPr>
      <w:r w:rsidRPr="00F5723F">
        <w:rPr>
          <w:rFonts w:ascii="Arial" w:hAnsi="Arial" w:cs="Arial"/>
          <w:b/>
          <w:sz w:val="16"/>
          <w:szCs w:val="16"/>
        </w:rPr>
        <w:t>Kommentar:</w:t>
      </w:r>
      <w:r w:rsidRPr="00F5723F">
        <w:rPr>
          <w:rFonts w:ascii="Arial" w:hAnsi="Arial" w:cs="Arial"/>
          <w:sz w:val="16"/>
          <w:szCs w:val="16"/>
        </w:rPr>
        <w:t xml:space="preserve"> Figuren visar det genomsnittliga antalet avgivna reserv</w:t>
      </w:r>
      <w:r w:rsidRPr="00F5723F">
        <w:rPr>
          <w:rFonts w:ascii="Arial" w:hAnsi="Arial" w:cs="Arial"/>
          <w:sz w:val="16"/>
          <w:szCs w:val="16"/>
        </w:rPr>
        <w:t>a</w:t>
      </w:r>
      <w:r w:rsidRPr="00F5723F">
        <w:rPr>
          <w:rFonts w:ascii="Arial" w:hAnsi="Arial" w:cs="Arial"/>
          <w:sz w:val="16"/>
          <w:szCs w:val="16"/>
        </w:rPr>
        <w:t>tioner per riksm</w:t>
      </w:r>
      <w:r w:rsidRPr="00F5723F">
        <w:rPr>
          <w:rFonts w:ascii="Arial" w:hAnsi="Arial" w:cs="Arial"/>
          <w:sz w:val="16"/>
          <w:szCs w:val="16"/>
        </w:rPr>
        <w:t>ö</w:t>
      </w:r>
      <w:r w:rsidRPr="00F5723F">
        <w:rPr>
          <w:rFonts w:ascii="Arial" w:hAnsi="Arial" w:cs="Arial"/>
          <w:sz w:val="16"/>
          <w:szCs w:val="16"/>
        </w:rPr>
        <w:t>te under de senaste valperioderna</w:t>
      </w:r>
      <w:r w:rsidRPr="00F5723F">
        <w:t>.</w:t>
      </w:r>
    </w:p>
    <w:p w:rsidR="00B43C57" w:rsidRPr="00F5723F" w:rsidRDefault="00B43C57">
      <w:pPr>
        <w:pStyle w:val="Normaltindrag"/>
        <w:spacing w:line="240" w:lineRule="auto"/>
      </w:pPr>
    </w:p>
    <w:p w:rsidR="00B43C57" w:rsidRPr="00F5723F" w:rsidRDefault="00B43C57">
      <w:pPr>
        <w:pStyle w:val="Normaltindrag"/>
        <w:spacing w:line="240" w:lineRule="auto"/>
      </w:pPr>
    </w:p>
    <w:p w:rsidR="00B43C57" w:rsidRPr="00F5723F" w:rsidRDefault="00B43C57">
      <w:r w:rsidRPr="00F5723F">
        <w:t>Under första hälften av innevarande valperiod avgavs i genomsnitt ungefär 160 reservationer per utskott. Skillnaderna mellan utskotten är dock st</w:t>
      </w:r>
      <w:r w:rsidRPr="00F5723F">
        <w:t>o</w:t>
      </w:r>
      <w:r w:rsidRPr="00F5723F">
        <w:t>ra. Klart flest reservationer per riksmöte, 433, avgavs i utbildningsutsko</w:t>
      </w:r>
      <w:r w:rsidRPr="00F5723F">
        <w:t>t</w:t>
      </w:r>
      <w:r w:rsidRPr="00F5723F">
        <w:t>tet. Andra utskott som kännetecknas av många reservationer är justitie-, socialfö</w:t>
      </w:r>
      <w:r w:rsidRPr="00F5723F">
        <w:t>r</w:t>
      </w:r>
      <w:r w:rsidRPr="00F5723F">
        <w:t>säkrings-, miljö- och jordbruks- samt socialutskotten, i vilka avgavs mellan ca 210 och 280 reservationer per riksmöte. Klart minst antal reservationer per riksmöte, 22, har under första hälften av innevarande valperiod avgetts i fö</w:t>
      </w:r>
      <w:r w:rsidRPr="00F5723F">
        <w:t>r</w:t>
      </w:r>
      <w:r w:rsidRPr="00F5723F">
        <w:t>svarsutskottet. Andra utskott i vilka har avgetts ca 100 reserv</w:t>
      </w:r>
      <w:r w:rsidRPr="00F5723F">
        <w:t>a</w:t>
      </w:r>
      <w:r w:rsidRPr="00F5723F">
        <w:t>tioner eller färre per riksmöte är trafik-, närings-, utr</w:t>
      </w:r>
      <w:r w:rsidRPr="00F5723F">
        <w:t>ikes-, lag- och kulturu</w:t>
      </w:r>
      <w:r w:rsidRPr="00F5723F">
        <w:t>t</w:t>
      </w:r>
      <w:r w:rsidRPr="00F5723F">
        <w:t>skotten.</w:t>
      </w:r>
    </w:p>
    <w:p w:rsidR="00B43C57" w:rsidRPr="00F5723F" w:rsidRDefault="00B43C57">
      <w:pPr>
        <w:pStyle w:val="Normaltindrag"/>
      </w:pPr>
      <w:r w:rsidRPr="00F5723F">
        <w:t>I sammanhanget kan också noteras att antal reservationer delvis korr</w:t>
      </w:r>
      <w:r w:rsidRPr="00F5723F">
        <w:t>e</w:t>
      </w:r>
      <w:r w:rsidRPr="00F5723F">
        <w:t>spond</w:t>
      </w:r>
      <w:r w:rsidRPr="00F5723F">
        <w:t>e</w:t>
      </w:r>
      <w:r w:rsidRPr="00F5723F">
        <w:t>rar med antal motioner eller motionsyrkanden. I utskott som erhåller många motioner eller yrkanden avges också många reservationer, till exempel utbildningsu</w:t>
      </w:r>
      <w:r w:rsidRPr="00F5723F">
        <w:t>t</w:t>
      </w:r>
      <w:r w:rsidRPr="00F5723F">
        <w:t>skottet, och i utskott som erhåller få motioner eller yrkanden avges också få reservationer, till exempel försvarsutskottet. Det finns dock unda</w:t>
      </w:r>
      <w:r w:rsidRPr="00F5723F">
        <w:t>n</w:t>
      </w:r>
      <w:r w:rsidRPr="00F5723F">
        <w:t>tag från detta mönster. Till exempel erhåller trafikutskottet många motioner och y</w:t>
      </w:r>
      <w:r w:rsidRPr="00F5723F">
        <w:t>r</w:t>
      </w:r>
      <w:r w:rsidRPr="00F5723F">
        <w:t>kanden, men i utskottet avges förhållandevis få reservationer. Det omvända kan sägas gälla för bostadsutskottet, som er</w:t>
      </w:r>
      <w:r w:rsidRPr="00F5723F">
        <w:t>håller få motioner och yrkanden men i vilket avges förhållandevis många reservationer. Skälet till avvikelser som dessa kan variera. Ett skäl kan vara att varje reservation i vissa utskott i genomsnitt innehåller fler motioner eller motionsyrkanden än vad som är fallet i andra utskott på grund av att flera motioner innehåller yrkanden av samma inn</w:t>
      </w:r>
      <w:r w:rsidRPr="00F5723F">
        <w:t>e</w:t>
      </w:r>
      <w:r w:rsidRPr="00F5723F">
        <w:t>börd. Vidare kan frågorna vara mer politiserade i vissa utskott än i andra, varför det i högre grad avges reservationer mot u</w:t>
      </w:r>
      <w:r w:rsidRPr="00F5723F">
        <w:t>t</w:t>
      </w:r>
      <w:r w:rsidRPr="00F5723F">
        <w:t>skottets beslut. Parti- och kommitté</w:t>
      </w:r>
      <w:r w:rsidRPr="00F5723F">
        <w:t>motioner torde oftare följas av reservati</w:t>
      </w:r>
      <w:r w:rsidRPr="00F5723F">
        <w:t>o</w:t>
      </w:r>
      <w:r w:rsidRPr="00F5723F">
        <w:t>ner än enskilda moti</w:t>
      </w:r>
      <w:r w:rsidRPr="00F5723F">
        <w:t>o</w:t>
      </w:r>
      <w:r w:rsidRPr="00F5723F">
        <w:t>ner, vilket innebär att reservationer relativt sett blir mindre vanliga i utskott som till stor del behandlar enskilda motioner. Slutl</w:t>
      </w:r>
      <w:r w:rsidRPr="00F5723F">
        <w:t>i</w:t>
      </w:r>
      <w:r w:rsidRPr="00F5723F">
        <w:t>gen kan den förenklade m</w:t>
      </w:r>
      <w:r w:rsidRPr="00F5723F">
        <w:t>o</w:t>
      </w:r>
      <w:r w:rsidRPr="00F5723F">
        <w:t>tionshantering (se nedan) som tillämpas i vissa utskott bidra till att man i dessa behandlar ett stort antal motioner utan att det avges reservationer mot utskottets beslut.</w:t>
      </w:r>
    </w:p>
    <w:p w:rsidR="00B43C57" w:rsidRPr="00F5723F" w:rsidRDefault="00B43C57">
      <w:pPr>
        <w:pStyle w:val="Rubrik3"/>
        <w:rPr>
          <w:noProof w:val="0"/>
        </w:rPr>
      </w:pPr>
      <w:bookmarkStart w:id="61" w:name="_Toc121738905"/>
      <w:bookmarkStart w:id="62" w:name="_Toc124697800"/>
      <w:r w:rsidRPr="00F5723F">
        <w:rPr>
          <w:noProof w:val="0"/>
        </w:rPr>
        <w:t>Betänkanden och yttranden</w:t>
      </w:r>
      <w:bookmarkEnd w:id="61"/>
      <w:bookmarkEnd w:id="62"/>
    </w:p>
    <w:p w:rsidR="00B43C57" w:rsidRPr="00F5723F" w:rsidRDefault="00B43C57">
      <w:r w:rsidRPr="00F5723F">
        <w:t>Antalet utskottsbetänkanden per riksmöte blir allt färre. Under 1970-talet avlämnades i genomsnitt över 600 betänkanden per riksmöte och under 1980-talet drygt 500. Utvecklingen har senare fortsatt. Som framgår av tabell 5:3 avlämnade utskotten 287 betänkanden under 2003/04 års riksm</w:t>
      </w:r>
      <w:r w:rsidRPr="00F5723F">
        <w:t>ö</w:t>
      </w:r>
      <w:r w:rsidRPr="00F5723F">
        <w:t>te, vilket kan jämföras med 506 betänkanden under 1993/94 års riksmöte. Under de senaste tio åren har antalet betänkanden således nästan halverats. Även antalet yttra</w:t>
      </w:r>
      <w:r w:rsidRPr="00F5723F">
        <w:t>n</w:t>
      </w:r>
      <w:r w:rsidRPr="00F5723F">
        <w:t xml:space="preserve">den har minskat i ungefär samma utsträckning, från 114 under 1993/94 års riksmöte till 60 under 2003/04 års riksmöte. </w:t>
      </w:r>
    </w:p>
    <w:p w:rsidR="00B43C57" w:rsidRPr="00F5723F" w:rsidRDefault="00B43C57">
      <w:pPr>
        <w:pStyle w:val="Tabellrubrik"/>
      </w:pPr>
      <w:r w:rsidRPr="00F5723F">
        <w:t>TAbell 5:3 Betänkanden och yttra</w:t>
      </w:r>
      <w:r w:rsidRPr="00F5723F">
        <w:t>n</w:t>
      </w:r>
      <w:r w:rsidRPr="00F5723F">
        <w:t>den Per riksmöte</w:t>
      </w:r>
    </w:p>
    <w:tbl>
      <w:tblPr>
        <w:tblW w:w="0" w:type="auto"/>
        <w:tblLayout w:type="fixed"/>
        <w:tblCellMar>
          <w:left w:w="70" w:type="dxa"/>
          <w:right w:w="70" w:type="dxa"/>
        </w:tblCellMar>
        <w:tblLook w:val="0000" w:firstRow="0" w:lastRow="0" w:firstColumn="0" w:lastColumn="0" w:noHBand="0" w:noVBand="0"/>
      </w:tblPr>
      <w:tblGrid>
        <w:gridCol w:w="637"/>
        <w:gridCol w:w="482"/>
        <w:gridCol w:w="482"/>
        <w:gridCol w:w="482"/>
        <w:gridCol w:w="482"/>
        <w:gridCol w:w="482"/>
        <w:gridCol w:w="482"/>
        <w:gridCol w:w="482"/>
        <w:gridCol w:w="482"/>
        <w:gridCol w:w="482"/>
        <w:gridCol w:w="482"/>
        <w:gridCol w:w="482"/>
      </w:tblGrid>
      <w:tr w:rsidR="00000000" w:rsidRPr="00F5723F">
        <w:tblPrEx>
          <w:tblCellMar>
            <w:top w:w="0" w:type="dxa"/>
            <w:bottom w:w="0" w:type="dxa"/>
          </w:tblCellMar>
        </w:tblPrEx>
        <w:trPr>
          <w:cantSplit/>
        </w:trPr>
        <w:tc>
          <w:tcPr>
            <w:tcW w:w="637" w:type="dxa"/>
            <w:tcBorders>
              <w:top w:val="single" w:sz="4" w:space="0" w:color="auto"/>
              <w:bottom w:val="single" w:sz="4" w:space="0" w:color="auto"/>
            </w:tcBorders>
          </w:tcPr>
          <w:p w:rsidR="00B43C57" w:rsidRPr="00F5723F" w:rsidRDefault="00B43C57"/>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93/</w:t>
            </w:r>
            <w:r w:rsidRPr="00F5723F">
              <w:br/>
              <w:t>94</w:t>
            </w:r>
          </w:p>
        </w:tc>
        <w:tc>
          <w:tcPr>
            <w:tcW w:w="482" w:type="dxa"/>
            <w:tcBorders>
              <w:top w:val="single" w:sz="4" w:space="0" w:color="auto"/>
              <w:bottom w:val="single" w:sz="4" w:space="0" w:color="auto"/>
            </w:tcBorders>
            <w:shd w:val="pct35" w:color="auto" w:fill="FFFFFF"/>
          </w:tcPr>
          <w:p w:rsidR="00B43C57" w:rsidRPr="00F5723F" w:rsidRDefault="00B43C57">
            <w:pPr>
              <w:pStyle w:val="Tabelltextsiffror"/>
            </w:pPr>
            <w:r w:rsidRPr="00F5723F">
              <w:t xml:space="preserve"> 94/</w:t>
            </w:r>
            <w:r w:rsidRPr="00F5723F">
              <w:br/>
              <w:t>95</w:t>
            </w:r>
          </w:p>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95/</w:t>
            </w:r>
            <w:r w:rsidRPr="00F5723F">
              <w:br/>
              <w:t>96</w:t>
            </w:r>
          </w:p>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96/</w:t>
            </w:r>
            <w:r w:rsidRPr="00F5723F">
              <w:br/>
              <w:t>97</w:t>
            </w:r>
          </w:p>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97/</w:t>
            </w:r>
            <w:r w:rsidRPr="00F5723F">
              <w:br/>
              <w:t>98</w:t>
            </w:r>
          </w:p>
        </w:tc>
        <w:tc>
          <w:tcPr>
            <w:tcW w:w="482" w:type="dxa"/>
            <w:tcBorders>
              <w:top w:val="single" w:sz="4" w:space="0" w:color="auto"/>
              <w:bottom w:val="single" w:sz="4" w:space="0" w:color="auto"/>
            </w:tcBorders>
            <w:shd w:val="pct35" w:color="auto" w:fill="FFFFFF"/>
          </w:tcPr>
          <w:p w:rsidR="00B43C57" w:rsidRPr="00F5723F" w:rsidRDefault="00B43C57">
            <w:pPr>
              <w:pStyle w:val="Tabelltextsiffror"/>
            </w:pPr>
            <w:r w:rsidRPr="00F5723F">
              <w:t xml:space="preserve"> 98/</w:t>
            </w:r>
            <w:r w:rsidRPr="00F5723F">
              <w:br/>
              <w:t>99</w:t>
            </w:r>
          </w:p>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99/</w:t>
            </w:r>
            <w:r w:rsidRPr="00F5723F">
              <w:br/>
              <w:t>00</w:t>
            </w:r>
          </w:p>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00/</w:t>
            </w:r>
            <w:r w:rsidRPr="00F5723F">
              <w:br/>
              <w:t>01</w:t>
            </w:r>
          </w:p>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01/</w:t>
            </w:r>
            <w:r w:rsidRPr="00F5723F">
              <w:br/>
              <w:t>02</w:t>
            </w:r>
          </w:p>
        </w:tc>
        <w:tc>
          <w:tcPr>
            <w:tcW w:w="482" w:type="dxa"/>
            <w:tcBorders>
              <w:top w:val="single" w:sz="4" w:space="0" w:color="auto"/>
              <w:bottom w:val="single" w:sz="4" w:space="0" w:color="auto"/>
            </w:tcBorders>
            <w:shd w:val="pct35" w:color="auto" w:fill="FFFFFF"/>
          </w:tcPr>
          <w:p w:rsidR="00B43C57" w:rsidRPr="00F5723F" w:rsidRDefault="00B43C57">
            <w:pPr>
              <w:pStyle w:val="Tabelltextsiffror"/>
            </w:pPr>
            <w:r w:rsidRPr="00F5723F">
              <w:t xml:space="preserve"> 02/</w:t>
            </w:r>
            <w:r w:rsidRPr="00F5723F">
              <w:br/>
              <w:t>03</w:t>
            </w:r>
          </w:p>
        </w:tc>
        <w:tc>
          <w:tcPr>
            <w:tcW w:w="482" w:type="dxa"/>
            <w:tcBorders>
              <w:top w:val="single" w:sz="4" w:space="0" w:color="auto"/>
              <w:bottom w:val="single" w:sz="4" w:space="0" w:color="auto"/>
            </w:tcBorders>
          </w:tcPr>
          <w:p w:rsidR="00B43C57" w:rsidRPr="00F5723F" w:rsidRDefault="00B43C57">
            <w:pPr>
              <w:pStyle w:val="Tabelltextsiffror"/>
            </w:pPr>
            <w:r w:rsidRPr="00F5723F">
              <w:t xml:space="preserve"> 03/</w:t>
            </w:r>
            <w:r w:rsidRPr="00F5723F">
              <w:br/>
              <w:t>04</w:t>
            </w:r>
          </w:p>
        </w:tc>
      </w:tr>
      <w:tr w:rsidR="00000000" w:rsidRPr="00F5723F">
        <w:tblPrEx>
          <w:tblCellMar>
            <w:top w:w="0" w:type="dxa"/>
            <w:bottom w:w="0" w:type="dxa"/>
          </w:tblCellMar>
        </w:tblPrEx>
        <w:trPr>
          <w:cantSplit/>
        </w:trPr>
        <w:tc>
          <w:tcPr>
            <w:tcW w:w="637" w:type="dxa"/>
            <w:tcBorders>
              <w:top w:val="single" w:sz="4" w:space="0" w:color="auto"/>
            </w:tcBorders>
          </w:tcPr>
          <w:p w:rsidR="00B43C57" w:rsidRPr="00F5723F" w:rsidRDefault="00B43C57">
            <w:pPr>
              <w:pStyle w:val="Tabelltext"/>
            </w:pPr>
            <w:r w:rsidRPr="00F5723F">
              <w:t>Bet.</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506</w:t>
            </w:r>
          </w:p>
        </w:tc>
        <w:tc>
          <w:tcPr>
            <w:tcW w:w="482" w:type="dxa"/>
            <w:tcBorders>
              <w:top w:val="single" w:sz="4" w:space="0" w:color="auto"/>
            </w:tcBorders>
            <w:shd w:val="pct35" w:color="auto" w:fill="FFFFFF"/>
          </w:tcPr>
          <w:p w:rsidR="00B43C57" w:rsidRPr="00F5723F" w:rsidRDefault="00B43C57">
            <w:pPr>
              <w:pStyle w:val="Tabelltextsiffror"/>
              <w:rPr>
                <w:snapToGrid w:val="0"/>
              </w:rPr>
            </w:pPr>
            <w:r w:rsidRPr="00F5723F">
              <w:rPr>
                <w:snapToGrid w:val="0"/>
              </w:rPr>
              <w:t>436</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315</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283</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348</w:t>
            </w:r>
          </w:p>
        </w:tc>
        <w:tc>
          <w:tcPr>
            <w:tcW w:w="482" w:type="dxa"/>
            <w:tcBorders>
              <w:top w:val="single" w:sz="4" w:space="0" w:color="auto"/>
            </w:tcBorders>
            <w:shd w:val="pct35" w:color="auto" w:fill="FFFFFF"/>
          </w:tcPr>
          <w:p w:rsidR="00B43C57" w:rsidRPr="00F5723F" w:rsidRDefault="00B43C57">
            <w:pPr>
              <w:pStyle w:val="Tabelltextsiffror"/>
              <w:rPr>
                <w:snapToGrid w:val="0"/>
              </w:rPr>
            </w:pPr>
            <w:r w:rsidRPr="00F5723F">
              <w:rPr>
                <w:snapToGrid w:val="0"/>
              </w:rPr>
              <w:t>256</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270</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296</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358</w:t>
            </w:r>
          </w:p>
        </w:tc>
        <w:tc>
          <w:tcPr>
            <w:tcW w:w="482" w:type="dxa"/>
            <w:tcBorders>
              <w:top w:val="single" w:sz="4" w:space="0" w:color="auto"/>
            </w:tcBorders>
            <w:shd w:val="pct35" w:color="auto" w:fill="FFFFFF"/>
          </w:tcPr>
          <w:p w:rsidR="00B43C57" w:rsidRPr="00F5723F" w:rsidRDefault="00B43C57">
            <w:pPr>
              <w:pStyle w:val="Tabelltextsiffror"/>
              <w:rPr>
                <w:snapToGrid w:val="0"/>
              </w:rPr>
            </w:pPr>
            <w:r w:rsidRPr="00F5723F">
              <w:rPr>
                <w:snapToGrid w:val="0"/>
              </w:rPr>
              <w:t>257</w:t>
            </w:r>
          </w:p>
        </w:tc>
        <w:tc>
          <w:tcPr>
            <w:tcW w:w="482" w:type="dxa"/>
            <w:tcBorders>
              <w:top w:val="single" w:sz="4" w:space="0" w:color="auto"/>
            </w:tcBorders>
          </w:tcPr>
          <w:p w:rsidR="00B43C57" w:rsidRPr="00F5723F" w:rsidRDefault="00B43C57">
            <w:pPr>
              <w:pStyle w:val="Tabelltextsiffror"/>
              <w:rPr>
                <w:snapToGrid w:val="0"/>
              </w:rPr>
            </w:pPr>
            <w:r w:rsidRPr="00F5723F">
              <w:rPr>
                <w:snapToGrid w:val="0"/>
              </w:rPr>
              <w:t>287</w:t>
            </w:r>
          </w:p>
        </w:tc>
      </w:tr>
      <w:tr w:rsidR="00000000" w:rsidRPr="00F5723F">
        <w:tblPrEx>
          <w:tblCellMar>
            <w:top w:w="0" w:type="dxa"/>
            <w:bottom w:w="0" w:type="dxa"/>
          </w:tblCellMar>
        </w:tblPrEx>
        <w:trPr>
          <w:cantSplit/>
        </w:trPr>
        <w:tc>
          <w:tcPr>
            <w:tcW w:w="637" w:type="dxa"/>
            <w:tcBorders>
              <w:bottom w:val="single" w:sz="4" w:space="0" w:color="auto"/>
            </w:tcBorders>
          </w:tcPr>
          <w:p w:rsidR="00B43C57" w:rsidRPr="00F5723F" w:rsidRDefault="00B43C57">
            <w:pPr>
              <w:pStyle w:val="Tabelltext"/>
            </w:pPr>
            <w:r w:rsidRPr="00F5723F">
              <w:t>Yttr.</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114</w:t>
            </w:r>
          </w:p>
        </w:tc>
        <w:tc>
          <w:tcPr>
            <w:tcW w:w="482" w:type="dxa"/>
            <w:tcBorders>
              <w:bottom w:val="single" w:sz="4" w:space="0" w:color="auto"/>
            </w:tcBorders>
            <w:shd w:val="pct35" w:color="auto" w:fill="FFFFFF"/>
          </w:tcPr>
          <w:p w:rsidR="00B43C57" w:rsidRPr="00F5723F" w:rsidRDefault="00B43C57">
            <w:pPr>
              <w:pStyle w:val="Tabelltextsiffror"/>
              <w:rPr>
                <w:snapToGrid w:val="0"/>
              </w:rPr>
            </w:pPr>
            <w:r w:rsidRPr="00F5723F">
              <w:rPr>
                <w:snapToGrid w:val="0"/>
              </w:rPr>
              <w:t xml:space="preserve"> 81</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134</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 xml:space="preserve"> 91</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106</w:t>
            </w:r>
          </w:p>
        </w:tc>
        <w:tc>
          <w:tcPr>
            <w:tcW w:w="482" w:type="dxa"/>
            <w:tcBorders>
              <w:bottom w:val="single" w:sz="4" w:space="0" w:color="auto"/>
            </w:tcBorders>
            <w:shd w:val="pct35" w:color="auto" w:fill="FFFFFF"/>
          </w:tcPr>
          <w:p w:rsidR="00B43C57" w:rsidRPr="00F5723F" w:rsidRDefault="00B43C57">
            <w:pPr>
              <w:pStyle w:val="Tabelltextsiffror"/>
              <w:rPr>
                <w:snapToGrid w:val="0"/>
              </w:rPr>
            </w:pPr>
            <w:r w:rsidRPr="00F5723F">
              <w:rPr>
                <w:snapToGrid w:val="0"/>
              </w:rPr>
              <w:t xml:space="preserve"> 75</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102</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 xml:space="preserve"> 81</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 xml:space="preserve"> 65</w:t>
            </w:r>
          </w:p>
        </w:tc>
        <w:tc>
          <w:tcPr>
            <w:tcW w:w="482" w:type="dxa"/>
            <w:tcBorders>
              <w:bottom w:val="single" w:sz="4" w:space="0" w:color="auto"/>
            </w:tcBorders>
            <w:shd w:val="pct35" w:color="auto" w:fill="FFFFFF"/>
          </w:tcPr>
          <w:p w:rsidR="00B43C57" w:rsidRPr="00F5723F" w:rsidRDefault="00B43C57">
            <w:pPr>
              <w:pStyle w:val="Tabelltextsiffror"/>
              <w:rPr>
                <w:snapToGrid w:val="0"/>
              </w:rPr>
            </w:pPr>
            <w:r w:rsidRPr="00F5723F">
              <w:rPr>
                <w:snapToGrid w:val="0"/>
              </w:rPr>
              <w:t xml:space="preserve"> 48</w:t>
            </w:r>
          </w:p>
        </w:tc>
        <w:tc>
          <w:tcPr>
            <w:tcW w:w="482" w:type="dxa"/>
            <w:tcBorders>
              <w:bottom w:val="single" w:sz="4" w:space="0" w:color="auto"/>
            </w:tcBorders>
          </w:tcPr>
          <w:p w:rsidR="00B43C57" w:rsidRPr="00F5723F" w:rsidRDefault="00B43C57">
            <w:pPr>
              <w:pStyle w:val="Tabelltextsiffror"/>
              <w:rPr>
                <w:snapToGrid w:val="0"/>
              </w:rPr>
            </w:pPr>
            <w:r w:rsidRPr="00F5723F">
              <w:rPr>
                <w:snapToGrid w:val="0"/>
              </w:rPr>
              <w:t xml:space="preserve"> 60</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Riksmöten efter val är markerade med grå bakgrund.</w:t>
      </w:r>
      <w:r w:rsidRPr="00F5723F">
        <w:rPr>
          <w:rFonts w:ascii="Arial" w:hAnsi="Arial" w:cs="Arial"/>
          <w:b/>
          <w:sz w:val="16"/>
          <w:szCs w:val="16"/>
        </w:rPr>
        <w:t>Källa</w:t>
      </w:r>
      <w:r w:rsidRPr="00F5723F">
        <w:rPr>
          <w:rFonts w:ascii="Arial" w:hAnsi="Arial" w:cs="Arial"/>
          <w:i/>
          <w:sz w:val="16"/>
          <w:szCs w:val="16"/>
        </w:rPr>
        <w:t>:</w:t>
      </w:r>
      <w:r w:rsidRPr="00F5723F">
        <w:rPr>
          <w:rFonts w:ascii="Arial" w:hAnsi="Arial" w:cs="Arial"/>
          <w:sz w:val="16"/>
          <w:szCs w:val="16"/>
        </w:rPr>
        <w:t xml:space="preserve"> Rixlex</w:t>
      </w:r>
      <w:r w:rsidRPr="00F5723F">
        <w:rPr>
          <w:rFonts w:ascii="Arial" w:hAnsi="Arial" w:cs="Arial"/>
          <w:sz w:val="16"/>
          <w:szCs w:val="16"/>
        </w:rPr>
        <w:t>.</w:t>
      </w:r>
    </w:p>
    <w:p w:rsidR="00B43C57" w:rsidRPr="00F5723F" w:rsidRDefault="00B43C57"/>
    <w:p w:rsidR="00B43C57" w:rsidRPr="00F5723F" w:rsidRDefault="00B43C57">
      <w:r w:rsidRPr="00F5723F">
        <w:t>Utvecklingen av antalet utskottsbetänkanden följer således utvecklingen av antalet propositioner och skrivelser, men är tvärtemot utvecklingen av ant</w:t>
      </w:r>
      <w:r w:rsidRPr="00F5723F">
        <w:t>a</w:t>
      </w:r>
      <w:r w:rsidRPr="00F5723F">
        <w:t>let motioner. Utvecklingen förklaras av att utskotten behandlar alltfler m</w:t>
      </w:r>
      <w:r w:rsidRPr="00F5723F">
        <w:t>o</w:t>
      </w:r>
      <w:r w:rsidRPr="00F5723F">
        <w:t>tioner och motionsyrkanden i respektive betänkande.</w:t>
      </w:r>
    </w:p>
    <w:p w:rsidR="00B43C57" w:rsidRPr="00F5723F" w:rsidRDefault="00B43C57">
      <w:pPr>
        <w:pStyle w:val="Normaltindrag"/>
      </w:pPr>
      <w:r w:rsidRPr="00F5723F">
        <w:t>Av tabellen framgår även att antalet betänkanden minskar förhållandevis mycket efter varje val. Vidare framgår att antalet ökar förhållandevis myc</w:t>
      </w:r>
      <w:r w:rsidRPr="00F5723F">
        <w:t>k</w:t>
      </w:r>
      <w:r w:rsidRPr="00F5723F">
        <w:t>et under riksmöten som föregår val. Även här går det alltså att tala om en cykel över valperioderna.</w:t>
      </w:r>
    </w:p>
    <w:p w:rsidR="00B43C57" w:rsidRPr="00F5723F" w:rsidRDefault="00B43C57">
      <w:pPr>
        <w:pStyle w:val="Normaltindrag"/>
      </w:pPr>
      <w:r w:rsidRPr="00F5723F">
        <w:t>I figur 5:5 redovisas utvecklingen för respektive utskott under den sena</w:t>
      </w:r>
      <w:r w:rsidRPr="00F5723F">
        <w:t>s</w:t>
      </w:r>
      <w:r w:rsidRPr="00F5723F">
        <w:t>te tioårsperioden. Som framgår återfinns trenden med färre betänkanden i flert</w:t>
      </w:r>
      <w:r w:rsidRPr="00F5723F">
        <w:t>a</w:t>
      </w:r>
      <w:r w:rsidRPr="00F5723F">
        <w:t>let utskott. Minskningen har varit liten i vissa utskott och stor i andra. Särskilt stora minskningar i antal avlämnade betänkanden har kultur-, arbetsmar</w:t>
      </w:r>
      <w:r w:rsidRPr="00F5723F">
        <w:t>k</w:t>
      </w:r>
      <w:r w:rsidRPr="00F5723F">
        <w:t>nads- och trafikutskotten haft. I dessa avlämnades under första halvan av innevarande valperiod i genomsnitt runt hälften så många betänkanden per riksmöte som under valperioden 1994/95–1997/98.</w:t>
      </w:r>
      <w:r w:rsidRPr="00F5723F">
        <w:rPr>
          <w:rStyle w:val="Fotnotsreferens"/>
        </w:rPr>
        <w:footnoteReference w:id="54"/>
      </w:r>
    </w:p>
    <w:p w:rsidR="00B43C57" w:rsidRPr="00F5723F" w:rsidRDefault="00B43C57">
      <w:pPr>
        <w:pStyle w:val="Normaltindrag"/>
      </w:pPr>
      <w:r w:rsidRPr="00F5723F">
        <w:t>Skillnaderna i hur många betänkanden som avlämnas under ett riksmöte är stora mellan utskotten. Flest betänkanden avlämnar i regel konstitutionsu</w:t>
      </w:r>
      <w:r w:rsidRPr="00F5723F">
        <w:t>t</w:t>
      </w:r>
      <w:r w:rsidRPr="00F5723F">
        <w:t>skottet, som under första halvan av innevarande valperiod har avlämnat i genomsnitt 29,5 betänkanden per riksmöte. Andra utskott som kännetecknas av stor betänkandeproduktion är finans-, justitie-, lag- och skatteutskotten; under första halvan av innevarande valperiod har dessa avlämnat i genomsnitt 22–28 betänkanden per riksmöte. Minst antal betänkanden under första ha</w:t>
      </w:r>
      <w:r w:rsidRPr="00F5723F">
        <w:t>l</w:t>
      </w:r>
      <w:r w:rsidRPr="00F5723F">
        <w:t>van av innevarande valperiod har avlämnats av försvars-, arbetsmar</w:t>
      </w:r>
      <w:r w:rsidRPr="00F5723F">
        <w:t>k</w:t>
      </w:r>
      <w:r w:rsidRPr="00F5723F">
        <w:t>nads- och kulturutskotten, vilka avlämnat i genomsnitt 6,5–8,0 betänkan</w:t>
      </w:r>
      <w:r w:rsidRPr="00F5723F">
        <w:t>den per riksmöte.</w:t>
      </w:r>
    </w:p>
    <w:p w:rsidR="00B43C57" w:rsidRPr="00F5723F" w:rsidRDefault="00B43C57">
      <w:pPr>
        <w:pStyle w:val="Tabellrubrik"/>
      </w:pPr>
      <w:r w:rsidRPr="00F5723F">
        <w:t>figur 5:5 Antal utskottsbetänkanden 1994/95–2003/04</w:t>
      </w:r>
    </w:p>
    <w:p w:rsidR="00B43C57" w:rsidRPr="00F5723F" w:rsidRDefault="00B43C57">
      <w:pPr>
        <w:spacing w:line="240" w:lineRule="auto"/>
        <w:rPr>
          <w:rFonts w:ascii="Arial" w:hAnsi="Arial" w:cs="Arial"/>
        </w:rPr>
      </w:pPr>
      <w:r w:rsidRPr="00F5723F">
        <w:object w:dxaOrig="1440" w:dyaOrig="1440">
          <v:shape id="_x0000_s1064" type="#_x0000_t75" style="position:absolute;left:0;text-align:left;margin-left:0;margin-top:10pt;width:280.5pt;height:164.8pt;z-index:251658240">
            <v:imagedata r:id="rId38" o:title=""/>
            <w10:wrap type="topAndBottom"/>
          </v:shape>
          <o:OLEObject Type="Embed" ProgID="Excel.Sheet.8" ShapeID="_x0000_s1064" DrawAspect="Content" ObjectID="_1827438475" r:id="rId39"/>
        </w:object>
      </w: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Figuren visar det genomsnittliga antalet avlämnade betänka</w:t>
      </w:r>
      <w:r w:rsidRPr="00F5723F">
        <w:rPr>
          <w:rFonts w:ascii="Arial" w:hAnsi="Arial" w:cs="Arial"/>
          <w:sz w:val="16"/>
          <w:szCs w:val="16"/>
        </w:rPr>
        <w:t>n</w:t>
      </w:r>
      <w:r w:rsidRPr="00F5723F">
        <w:rPr>
          <w:rFonts w:ascii="Arial" w:hAnsi="Arial" w:cs="Arial"/>
          <w:sz w:val="16"/>
          <w:szCs w:val="16"/>
        </w:rPr>
        <w:t>den per riksmöte för utskotten under de senaste valperioderna</w:t>
      </w:r>
      <w:r w:rsidRPr="00F5723F">
        <w:rPr>
          <w:rFonts w:ascii="Arial" w:hAnsi="Arial" w:cs="Arial"/>
        </w:rPr>
        <w:t>.</w:t>
      </w:r>
    </w:p>
    <w:p w:rsidR="00B43C57" w:rsidRPr="00F5723F" w:rsidRDefault="00B43C57"/>
    <w:p w:rsidR="00B43C57" w:rsidRPr="00F5723F" w:rsidRDefault="00B43C57">
      <w:r w:rsidRPr="00F5723F">
        <w:t>Även vad gäller antalet yttranden är utvecklingen i riksdagen, som framgår av tabellen ovan, att antalet minskar. Under valperioden 1994/95–1997/98 a</w:t>
      </w:r>
      <w:r w:rsidRPr="00F5723F">
        <w:t>v</w:t>
      </w:r>
      <w:r w:rsidRPr="00F5723F">
        <w:t>lämnades i genomsnitt drygt sex yttranden per utskott och riksmöte jä</w:t>
      </w:r>
      <w:r w:rsidRPr="00F5723F">
        <w:t>m</w:t>
      </w:r>
      <w:r w:rsidRPr="00F5723F">
        <w:t>fört med drygt tre yttranden under första halvan av innevarande valperiod. U</w:t>
      </w:r>
      <w:r w:rsidRPr="00F5723F">
        <w:t>t</w:t>
      </w:r>
      <w:r w:rsidRPr="00F5723F">
        <w:t>vecklingen kan också sägas gå i cykler. Efter varje val minskar antalet yttra</w:t>
      </w:r>
      <w:r w:rsidRPr="00F5723F">
        <w:t>n</w:t>
      </w:r>
      <w:r w:rsidRPr="00F5723F">
        <w:t>den förhållandevis mycket. Däremot förefaller inte antalet yttranden rege</w:t>
      </w:r>
      <w:r w:rsidRPr="00F5723F">
        <w:t>l</w:t>
      </w:r>
      <w:r w:rsidRPr="00F5723F">
        <w:t>mässigt öka under riksmöten som föregår val, som ju var fallet med betä</w:t>
      </w:r>
      <w:r w:rsidRPr="00F5723F">
        <w:t>n</w:t>
      </w:r>
      <w:r w:rsidRPr="00F5723F">
        <w:t>kanden.</w:t>
      </w:r>
    </w:p>
    <w:p w:rsidR="00B43C57" w:rsidRPr="00F5723F" w:rsidRDefault="00B43C57">
      <w:pPr>
        <w:pStyle w:val="Normaltindrag"/>
      </w:pPr>
      <w:r w:rsidRPr="00F5723F">
        <w:t>Som framgår av figur 5:6 gäller den nedåtgående trenden alla utskott. Ett undantag är trafikutskottet, som avgett fler yttranden per</w:t>
      </w:r>
      <w:r w:rsidRPr="00F5723F">
        <w:t xml:space="preserve"> riksmöte under innevarande valperiod än under föregående valperioder. Flest yttranden per riksmöte avger som regel konstitutionsutskottet, medan lagutskottet som regel avger minst antal. I övrigt varierar bilden från riksmöte till riksmöte. Noteras kan dock att flera utskott som, enligt ovan, avlämnar få betänka</w:t>
      </w:r>
      <w:r w:rsidRPr="00F5723F">
        <w:t>n</w:t>
      </w:r>
      <w:r w:rsidRPr="00F5723F">
        <w:t>den jämfört med övriga utskott samtidigt avger förhållandevis många yt</w:t>
      </w:r>
      <w:r w:rsidRPr="00F5723F">
        <w:t>t</w:t>
      </w:r>
      <w:r w:rsidRPr="00F5723F">
        <w:t>randen. Särskilt gäller detta försvarsutskottet, men även bostads- och a</w:t>
      </w:r>
      <w:r w:rsidRPr="00F5723F">
        <w:t>r</w:t>
      </w:r>
      <w:r w:rsidRPr="00F5723F">
        <w:t>betsmarknads</w:t>
      </w:r>
      <w:r w:rsidRPr="00F5723F">
        <w:softHyphen/>
        <w:t>utskotten.</w:t>
      </w:r>
      <w:r w:rsidRPr="00F5723F">
        <w:rPr>
          <w:rStyle w:val="Fotnotsreferens"/>
        </w:rPr>
        <w:footnoteReference w:id="55"/>
      </w:r>
    </w:p>
    <w:p w:rsidR="00B43C57" w:rsidRPr="00F5723F" w:rsidRDefault="00B43C57">
      <w:pPr>
        <w:pStyle w:val="Tabellrubrik"/>
      </w:pPr>
      <w:r w:rsidRPr="00F5723F">
        <w:t>figur 5:6 Antal yttranden 1994/95–2003/04</w:t>
      </w:r>
    </w:p>
    <w:p w:rsidR="00B43C57" w:rsidRPr="00F5723F" w:rsidRDefault="00B43C57">
      <w:r w:rsidRPr="00F5723F">
        <w:object w:dxaOrig="1440" w:dyaOrig="1440">
          <v:shape id="_x0000_s1073" type="#_x0000_t75" style="position:absolute;left:0;text-align:left;margin-left:1.85pt;margin-top:15.7pt;width:300.6pt;height:167pt;z-index:251662336">
            <v:imagedata r:id="rId40" o:title=""/>
            <w10:wrap type="topAndBottom"/>
          </v:shape>
          <o:OLEObject Type="Embed" ProgID="Excel.Sheet.8" ShapeID="_x0000_s1073" DrawAspect="Content" ObjectID="_1827438476" r:id="rId41"/>
        </w:object>
      </w:r>
    </w:p>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Figuren visar det genomsnittliga antalet avgivna yttranden per riksm</w:t>
      </w:r>
      <w:r w:rsidRPr="00F5723F">
        <w:rPr>
          <w:rFonts w:ascii="Arial" w:hAnsi="Arial" w:cs="Arial"/>
          <w:sz w:val="16"/>
          <w:szCs w:val="16"/>
        </w:rPr>
        <w:t>ö</w:t>
      </w:r>
      <w:r w:rsidRPr="00F5723F">
        <w:rPr>
          <w:rFonts w:ascii="Arial" w:hAnsi="Arial" w:cs="Arial"/>
          <w:sz w:val="16"/>
          <w:szCs w:val="16"/>
        </w:rPr>
        <w:t>te för utskotten under de senaste valperioderna.</w:t>
      </w:r>
    </w:p>
    <w:p w:rsidR="00B43C57" w:rsidRPr="00F5723F" w:rsidRDefault="00B43C57">
      <w:pPr>
        <w:pStyle w:val="Rubrik3"/>
        <w:rPr>
          <w:noProof w:val="0"/>
        </w:rPr>
      </w:pPr>
      <w:bookmarkStart w:id="63" w:name="_Toc124697801"/>
      <w:r w:rsidRPr="00F5723F">
        <w:rPr>
          <w:noProof w:val="0"/>
        </w:rPr>
        <w:t>Trycksidor i utskottens produktion</w:t>
      </w:r>
      <w:bookmarkEnd w:id="63"/>
    </w:p>
    <w:p w:rsidR="00B43C57" w:rsidRPr="00F5723F" w:rsidRDefault="00B43C57">
      <w:r w:rsidRPr="00F5723F">
        <w:t>Precis som när det gäller propositioner och motioner kan utskottens betä</w:t>
      </w:r>
      <w:r w:rsidRPr="00F5723F">
        <w:t>n</w:t>
      </w:r>
      <w:r w:rsidRPr="00F5723F">
        <w:t>kanden, liksom yttranden, variera stort i omfång. Mer komplicerade ärenden kan behöva utförligare behandling och antalet ärenden som behandlas i ett betänkande kan variera; som framgått i det föregående är trenden att utsko</w:t>
      </w:r>
      <w:r w:rsidRPr="00F5723F">
        <w:t>t</w:t>
      </w:r>
      <w:r w:rsidRPr="00F5723F">
        <w:t>ten behandlar alltfler motioner i respektive betänkande. Till exempel kan vissa utskott välja att behandla motioner som remitterats till utskottet i e</w:t>
      </w:r>
      <w:r w:rsidRPr="00F5723F">
        <w:t>n</w:t>
      </w:r>
      <w:r w:rsidRPr="00F5723F">
        <w:t>dast ett fåtal större betänkanden, medan andra kan välja att dela upp behan</w:t>
      </w:r>
      <w:r w:rsidRPr="00F5723F">
        <w:t>d</w:t>
      </w:r>
      <w:r w:rsidRPr="00F5723F">
        <w:t>lingen av motionerna på flera mindre betänkanden.</w:t>
      </w:r>
    </w:p>
    <w:p w:rsidR="00B43C57" w:rsidRPr="00F5723F" w:rsidRDefault="00B43C57">
      <w:pPr>
        <w:pStyle w:val="Normaltindrag"/>
      </w:pPr>
      <w:r w:rsidRPr="00F5723F">
        <w:t xml:space="preserve">Mot denna </w:t>
      </w:r>
      <w:r w:rsidRPr="00F5723F">
        <w:t>bakgrund kan det finnas skäl att studera antal trycksidor i stä</w:t>
      </w:r>
      <w:r w:rsidRPr="00F5723F">
        <w:t>l</w:t>
      </w:r>
      <w:r w:rsidRPr="00F5723F">
        <w:t>let för antal betänkanden och yttranden. För utskotten totalt sett har, vilket fra</w:t>
      </w:r>
      <w:r w:rsidRPr="00F5723F">
        <w:t>m</w:t>
      </w:r>
      <w:r w:rsidRPr="00F5723F">
        <w:t>går av tabell 5:4, utvecklingen härvidlag varit den att antalet trycksidor ökat. Trots att utskottsbetänkandena blivit färre har alltså antalet trycksidor blivit fler. Varje utskottsbetänkande får med andra ord i genomsnitt alltfler sidor.</w:t>
      </w:r>
    </w:p>
    <w:p w:rsidR="00B43C57" w:rsidRPr="00F5723F" w:rsidRDefault="00B43C57">
      <w:pPr>
        <w:pStyle w:val="Tabellrubrik"/>
      </w:pPr>
      <w:r w:rsidRPr="00F5723F">
        <w:br w:type="page"/>
        <w:t>TAbell 5:4 Antal trycksidor i utskottens betänkanden (inkl. yt</w:t>
      </w:r>
      <w:r w:rsidRPr="00F5723F">
        <w:t>t</w:t>
      </w:r>
      <w:r w:rsidRPr="00F5723F">
        <w:t>randen) Per riksmöte</w:t>
      </w:r>
    </w:p>
    <w:tbl>
      <w:tblPr>
        <w:tblW w:w="5987" w:type="dxa"/>
        <w:tblInd w:w="70" w:type="dxa"/>
        <w:tblLayout w:type="fixed"/>
        <w:tblCellMar>
          <w:left w:w="70" w:type="dxa"/>
          <w:right w:w="70" w:type="dxa"/>
        </w:tblCellMar>
        <w:tblLook w:val="0000" w:firstRow="0" w:lastRow="0" w:firstColumn="0" w:lastColumn="0" w:noHBand="0" w:noVBand="0"/>
      </w:tblPr>
      <w:tblGrid>
        <w:gridCol w:w="386"/>
        <w:gridCol w:w="461"/>
        <w:gridCol w:w="514"/>
        <w:gridCol w:w="514"/>
        <w:gridCol w:w="514"/>
        <w:gridCol w:w="514"/>
        <w:gridCol w:w="514"/>
        <w:gridCol w:w="514"/>
        <w:gridCol w:w="514"/>
        <w:gridCol w:w="514"/>
        <w:gridCol w:w="514"/>
        <w:gridCol w:w="514"/>
      </w:tblGrid>
      <w:tr w:rsidR="00000000" w:rsidRPr="00F5723F">
        <w:tblPrEx>
          <w:tblCellMar>
            <w:top w:w="0" w:type="dxa"/>
            <w:bottom w:w="0" w:type="dxa"/>
          </w:tblCellMar>
        </w:tblPrEx>
        <w:trPr>
          <w:cantSplit/>
          <w:trHeight w:val="424"/>
        </w:trPr>
        <w:tc>
          <w:tcPr>
            <w:tcW w:w="386" w:type="dxa"/>
            <w:tcBorders>
              <w:top w:val="single" w:sz="4" w:space="0" w:color="auto"/>
              <w:bottom w:val="single" w:sz="4" w:space="0" w:color="auto"/>
            </w:tcBorders>
          </w:tcPr>
          <w:p w:rsidR="00B43C57" w:rsidRPr="00F5723F" w:rsidRDefault="00B43C57"/>
        </w:tc>
        <w:tc>
          <w:tcPr>
            <w:tcW w:w="461"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93/</w:t>
            </w:r>
            <w:r w:rsidRPr="00F5723F">
              <w:rPr>
                <w:sz w:val="14"/>
                <w:szCs w:val="14"/>
              </w:rPr>
              <w:br/>
              <w:t>94</w:t>
            </w:r>
          </w:p>
        </w:tc>
        <w:tc>
          <w:tcPr>
            <w:tcW w:w="514" w:type="dxa"/>
            <w:tcBorders>
              <w:top w:val="single" w:sz="4" w:space="0" w:color="auto"/>
              <w:bottom w:val="single" w:sz="4" w:space="0" w:color="auto"/>
            </w:tcBorders>
            <w:shd w:val="pct35" w:color="auto" w:fill="FFFFFF"/>
          </w:tcPr>
          <w:p w:rsidR="00B43C57" w:rsidRPr="00F5723F" w:rsidRDefault="00B43C57">
            <w:pPr>
              <w:pStyle w:val="Tabelltextsiffror"/>
              <w:rPr>
                <w:sz w:val="14"/>
                <w:szCs w:val="14"/>
              </w:rPr>
            </w:pPr>
            <w:r w:rsidRPr="00F5723F">
              <w:rPr>
                <w:sz w:val="14"/>
                <w:szCs w:val="14"/>
              </w:rPr>
              <w:t xml:space="preserve"> 94/</w:t>
            </w:r>
            <w:r w:rsidRPr="00F5723F">
              <w:rPr>
                <w:sz w:val="14"/>
                <w:szCs w:val="14"/>
              </w:rPr>
              <w:br/>
              <w:t>95</w:t>
            </w:r>
          </w:p>
        </w:tc>
        <w:tc>
          <w:tcPr>
            <w:tcW w:w="514"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95/</w:t>
            </w:r>
            <w:r w:rsidRPr="00F5723F">
              <w:rPr>
                <w:sz w:val="14"/>
                <w:szCs w:val="14"/>
              </w:rPr>
              <w:br/>
              <w:t>96</w:t>
            </w:r>
          </w:p>
        </w:tc>
        <w:tc>
          <w:tcPr>
            <w:tcW w:w="514"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96/</w:t>
            </w:r>
            <w:r w:rsidRPr="00F5723F">
              <w:rPr>
                <w:sz w:val="14"/>
                <w:szCs w:val="14"/>
              </w:rPr>
              <w:br/>
              <w:t>97</w:t>
            </w:r>
          </w:p>
        </w:tc>
        <w:tc>
          <w:tcPr>
            <w:tcW w:w="514"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97/</w:t>
            </w:r>
            <w:r w:rsidRPr="00F5723F">
              <w:rPr>
                <w:sz w:val="14"/>
                <w:szCs w:val="14"/>
              </w:rPr>
              <w:br/>
              <w:t>98</w:t>
            </w:r>
          </w:p>
        </w:tc>
        <w:tc>
          <w:tcPr>
            <w:tcW w:w="514" w:type="dxa"/>
            <w:tcBorders>
              <w:top w:val="single" w:sz="4" w:space="0" w:color="auto"/>
              <w:bottom w:val="single" w:sz="4" w:space="0" w:color="auto"/>
            </w:tcBorders>
            <w:shd w:val="pct35" w:color="auto" w:fill="FFFFFF"/>
          </w:tcPr>
          <w:p w:rsidR="00B43C57" w:rsidRPr="00F5723F" w:rsidRDefault="00B43C57">
            <w:pPr>
              <w:pStyle w:val="Tabelltextsiffror"/>
              <w:rPr>
                <w:sz w:val="14"/>
                <w:szCs w:val="14"/>
              </w:rPr>
            </w:pPr>
            <w:r w:rsidRPr="00F5723F">
              <w:rPr>
                <w:sz w:val="14"/>
                <w:szCs w:val="14"/>
              </w:rPr>
              <w:t xml:space="preserve"> 98/</w:t>
            </w:r>
            <w:r w:rsidRPr="00F5723F">
              <w:rPr>
                <w:sz w:val="14"/>
                <w:szCs w:val="14"/>
              </w:rPr>
              <w:br/>
              <w:t>99</w:t>
            </w:r>
          </w:p>
        </w:tc>
        <w:tc>
          <w:tcPr>
            <w:tcW w:w="514"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99/</w:t>
            </w:r>
            <w:r w:rsidRPr="00F5723F">
              <w:rPr>
                <w:sz w:val="14"/>
                <w:szCs w:val="14"/>
              </w:rPr>
              <w:br/>
              <w:t>00</w:t>
            </w:r>
          </w:p>
        </w:tc>
        <w:tc>
          <w:tcPr>
            <w:tcW w:w="514"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00/</w:t>
            </w:r>
            <w:r w:rsidRPr="00F5723F">
              <w:rPr>
                <w:sz w:val="14"/>
                <w:szCs w:val="14"/>
              </w:rPr>
              <w:br/>
              <w:t>01</w:t>
            </w:r>
          </w:p>
        </w:tc>
        <w:tc>
          <w:tcPr>
            <w:tcW w:w="514"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01/</w:t>
            </w:r>
            <w:r w:rsidRPr="00F5723F">
              <w:rPr>
                <w:sz w:val="14"/>
                <w:szCs w:val="14"/>
              </w:rPr>
              <w:br/>
              <w:t>02</w:t>
            </w:r>
          </w:p>
        </w:tc>
        <w:tc>
          <w:tcPr>
            <w:tcW w:w="514" w:type="dxa"/>
            <w:tcBorders>
              <w:top w:val="single" w:sz="4" w:space="0" w:color="auto"/>
              <w:bottom w:val="single" w:sz="4" w:space="0" w:color="auto"/>
            </w:tcBorders>
            <w:shd w:val="pct35" w:color="auto" w:fill="FFFFFF"/>
          </w:tcPr>
          <w:p w:rsidR="00B43C57" w:rsidRPr="00F5723F" w:rsidRDefault="00B43C57">
            <w:pPr>
              <w:pStyle w:val="Tabelltextsiffror"/>
              <w:rPr>
                <w:sz w:val="14"/>
                <w:szCs w:val="14"/>
              </w:rPr>
            </w:pPr>
            <w:r w:rsidRPr="00F5723F">
              <w:rPr>
                <w:sz w:val="14"/>
                <w:szCs w:val="14"/>
              </w:rPr>
              <w:t xml:space="preserve"> 02/</w:t>
            </w:r>
            <w:r w:rsidRPr="00F5723F">
              <w:rPr>
                <w:sz w:val="14"/>
                <w:szCs w:val="14"/>
              </w:rPr>
              <w:br/>
              <w:t>03</w:t>
            </w:r>
          </w:p>
        </w:tc>
        <w:tc>
          <w:tcPr>
            <w:tcW w:w="514" w:type="dxa"/>
            <w:tcBorders>
              <w:top w:val="single" w:sz="4" w:space="0" w:color="auto"/>
              <w:bottom w:val="single" w:sz="4" w:space="0" w:color="auto"/>
            </w:tcBorders>
          </w:tcPr>
          <w:p w:rsidR="00B43C57" w:rsidRPr="00F5723F" w:rsidRDefault="00B43C57">
            <w:pPr>
              <w:pStyle w:val="Tabelltextsiffror"/>
              <w:rPr>
                <w:sz w:val="14"/>
                <w:szCs w:val="14"/>
              </w:rPr>
            </w:pPr>
            <w:r w:rsidRPr="00F5723F">
              <w:rPr>
                <w:sz w:val="14"/>
                <w:szCs w:val="14"/>
              </w:rPr>
              <w:t xml:space="preserve"> 03/</w:t>
            </w:r>
            <w:r w:rsidRPr="00F5723F">
              <w:rPr>
                <w:sz w:val="14"/>
                <w:szCs w:val="14"/>
              </w:rPr>
              <w:br/>
              <w:t>04</w:t>
            </w:r>
          </w:p>
        </w:tc>
      </w:tr>
      <w:tr w:rsidR="00000000" w:rsidRPr="00F5723F">
        <w:tblPrEx>
          <w:tblCellMar>
            <w:top w:w="0" w:type="dxa"/>
            <w:left w:w="0" w:type="dxa"/>
            <w:bottom w:w="0" w:type="dxa"/>
            <w:right w:w="0" w:type="dxa"/>
          </w:tblCellMar>
        </w:tblPrEx>
        <w:trPr>
          <w:cantSplit/>
          <w:trHeight w:val="228"/>
        </w:trPr>
        <w:tc>
          <w:tcPr>
            <w:tcW w:w="386" w:type="dxa"/>
            <w:tcBorders>
              <w:top w:val="single" w:sz="4" w:space="0" w:color="auto"/>
              <w:bottom w:val="single" w:sz="4" w:space="0" w:color="auto"/>
            </w:tcBorders>
          </w:tcPr>
          <w:p w:rsidR="00B43C57" w:rsidRPr="00F5723F" w:rsidRDefault="00B43C57">
            <w:pPr>
              <w:pStyle w:val="Tabelltext"/>
              <w:rPr>
                <w:sz w:val="14"/>
                <w:szCs w:val="14"/>
              </w:rPr>
            </w:pPr>
            <w:r w:rsidRPr="00F5723F">
              <w:rPr>
                <w:sz w:val="14"/>
                <w:szCs w:val="14"/>
              </w:rPr>
              <w:t>Sidor</w:t>
            </w:r>
          </w:p>
        </w:tc>
        <w:tc>
          <w:tcPr>
            <w:tcW w:w="461"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16 940</w:t>
            </w:r>
          </w:p>
        </w:tc>
        <w:tc>
          <w:tcPr>
            <w:tcW w:w="514" w:type="dxa"/>
            <w:tcBorders>
              <w:top w:val="single" w:sz="4" w:space="0" w:color="auto"/>
              <w:bottom w:val="single" w:sz="4" w:space="0" w:color="auto"/>
            </w:tcBorders>
            <w:shd w:val="pct35" w:color="auto" w:fill="FFFFFF"/>
          </w:tcPr>
          <w:p w:rsidR="00B43C57" w:rsidRPr="00F5723F" w:rsidRDefault="00B43C57">
            <w:pPr>
              <w:pStyle w:val="Tabelltextsiffror"/>
              <w:rPr>
                <w:snapToGrid w:val="0"/>
                <w:sz w:val="14"/>
                <w:szCs w:val="14"/>
              </w:rPr>
            </w:pPr>
            <w:r w:rsidRPr="00F5723F">
              <w:rPr>
                <w:snapToGrid w:val="0"/>
                <w:sz w:val="14"/>
                <w:szCs w:val="14"/>
              </w:rPr>
              <w:t>15 890</w:t>
            </w:r>
          </w:p>
        </w:tc>
        <w:tc>
          <w:tcPr>
            <w:tcW w:w="514"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11 330</w:t>
            </w:r>
          </w:p>
        </w:tc>
        <w:tc>
          <w:tcPr>
            <w:tcW w:w="514"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16 500</w:t>
            </w:r>
          </w:p>
        </w:tc>
        <w:tc>
          <w:tcPr>
            <w:tcW w:w="514"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18 300</w:t>
            </w:r>
          </w:p>
        </w:tc>
        <w:tc>
          <w:tcPr>
            <w:tcW w:w="514" w:type="dxa"/>
            <w:tcBorders>
              <w:top w:val="single" w:sz="4" w:space="0" w:color="auto"/>
              <w:bottom w:val="single" w:sz="4" w:space="0" w:color="auto"/>
            </w:tcBorders>
            <w:shd w:val="pct35" w:color="auto" w:fill="FFFFFF"/>
          </w:tcPr>
          <w:p w:rsidR="00B43C57" w:rsidRPr="00F5723F" w:rsidRDefault="00B43C57">
            <w:pPr>
              <w:pStyle w:val="Tabelltextsiffror"/>
              <w:rPr>
                <w:snapToGrid w:val="0"/>
                <w:sz w:val="14"/>
                <w:szCs w:val="14"/>
              </w:rPr>
            </w:pPr>
            <w:r w:rsidRPr="00F5723F">
              <w:rPr>
                <w:snapToGrid w:val="0"/>
                <w:sz w:val="14"/>
                <w:szCs w:val="14"/>
              </w:rPr>
              <w:t>13 000</w:t>
            </w:r>
          </w:p>
        </w:tc>
        <w:tc>
          <w:tcPr>
            <w:tcW w:w="514"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16 300</w:t>
            </w:r>
          </w:p>
        </w:tc>
        <w:tc>
          <w:tcPr>
            <w:tcW w:w="514"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17 000</w:t>
            </w:r>
          </w:p>
        </w:tc>
        <w:tc>
          <w:tcPr>
            <w:tcW w:w="514"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21 200</w:t>
            </w:r>
          </w:p>
        </w:tc>
        <w:tc>
          <w:tcPr>
            <w:tcW w:w="514" w:type="dxa"/>
            <w:tcBorders>
              <w:top w:val="single" w:sz="4" w:space="0" w:color="auto"/>
              <w:bottom w:val="single" w:sz="4" w:space="0" w:color="auto"/>
            </w:tcBorders>
            <w:shd w:val="pct35" w:color="auto" w:fill="FFFFFF"/>
          </w:tcPr>
          <w:p w:rsidR="00B43C57" w:rsidRPr="00F5723F" w:rsidRDefault="00B43C57">
            <w:pPr>
              <w:pStyle w:val="Tabelltextsiffror"/>
              <w:rPr>
                <w:snapToGrid w:val="0"/>
                <w:sz w:val="14"/>
                <w:szCs w:val="14"/>
              </w:rPr>
            </w:pPr>
            <w:r w:rsidRPr="00F5723F">
              <w:rPr>
                <w:snapToGrid w:val="0"/>
                <w:sz w:val="14"/>
                <w:szCs w:val="14"/>
              </w:rPr>
              <w:t>15 850</w:t>
            </w:r>
          </w:p>
        </w:tc>
        <w:tc>
          <w:tcPr>
            <w:tcW w:w="514" w:type="dxa"/>
            <w:tcBorders>
              <w:top w:val="single" w:sz="4" w:space="0" w:color="auto"/>
              <w:bottom w:val="single" w:sz="4" w:space="0" w:color="auto"/>
            </w:tcBorders>
          </w:tcPr>
          <w:p w:rsidR="00B43C57" w:rsidRPr="00F5723F" w:rsidRDefault="00B43C57">
            <w:pPr>
              <w:pStyle w:val="Tabelltextsiffror"/>
              <w:rPr>
                <w:snapToGrid w:val="0"/>
                <w:sz w:val="14"/>
                <w:szCs w:val="14"/>
              </w:rPr>
            </w:pPr>
            <w:r w:rsidRPr="00F5723F">
              <w:rPr>
                <w:snapToGrid w:val="0"/>
                <w:sz w:val="14"/>
                <w:szCs w:val="14"/>
              </w:rPr>
              <w:t>19 200</w:t>
            </w:r>
          </w:p>
        </w:tc>
      </w:tr>
    </w:tbl>
    <w:p w:rsidR="00B43C57" w:rsidRPr="00F5723F" w:rsidRDefault="00B43C57">
      <w:pPr>
        <w:spacing w:line="240" w:lineRule="auto"/>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Riksmöten efter val är markerade med grå bakgrund.</w:t>
      </w:r>
      <w:r w:rsidRPr="00F5723F">
        <w:rPr>
          <w:rFonts w:ascii="Arial" w:hAnsi="Arial" w:cs="Arial"/>
          <w:b/>
          <w:sz w:val="16"/>
          <w:szCs w:val="16"/>
        </w:rPr>
        <w:t xml:space="preserve"> Källa</w:t>
      </w:r>
      <w:r w:rsidRPr="00F5723F">
        <w:rPr>
          <w:rFonts w:ascii="Arial" w:hAnsi="Arial" w:cs="Arial"/>
          <w:i/>
          <w:sz w:val="16"/>
          <w:szCs w:val="16"/>
        </w:rPr>
        <w:t>:</w:t>
      </w:r>
      <w:r w:rsidRPr="00F5723F">
        <w:rPr>
          <w:rFonts w:ascii="Arial" w:hAnsi="Arial" w:cs="Arial"/>
          <w:sz w:val="16"/>
          <w:szCs w:val="16"/>
        </w:rPr>
        <w:t xml:space="preserve"> Enheten för riksdagstryck</w:t>
      </w:r>
      <w:r w:rsidRPr="00F5723F">
        <w:rPr>
          <w:rFonts w:ascii="Arial" w:hAnsi="Arial" w:cs="Arial"/>
          <w:sz w:val="16"/>
          <w:szCs w:val="16"/>
        </w:rPr>
        <w:t>.</w:t>
      </w:r>
    </w:p>
    <w:p w:rsidR="00B43C57" w:rsidRPr="00F5723F" w:rsidRDefault="00B43C57"/>
    <w:p w:rsidR="00B43C57" w:rsidRPr="00F5723F" w:rsidRDefault="00B43C57">
      <w:r w:rsidRPr="00F5723F">
        <w:t>I figur 5:7 jämförs antal trycksidor i respektive utskotts betänkanden och yttranden (inkl. bilagor) under de senaste valperioderna. Utvecklingen ser olika ut i olika utskott. I ett tiotal utskott har antalet trycksidor ökat jämfört med föregående valperiod. Störst har ökningen varit i trafikutskottets betä</w:t>
      </w:r>
      <w:r w:rsidRPr="00F5723F">
        <w:t>n</w:t>
      </w:r>
      <w:r w:rsidRPr="00F5723F">
        <w:t>kanden. Under föregående valperiod producerade detta utskott i genomsnitt knappt 700 trycksidor per riksmöte. Under första hälften av innevarande valperiod är motsvarande siffra drygt 1 000, vilket är en ökning med ca 45 procent. I några utskott har antalet trycksidor minskat. Störst har mins</w:t>
      </w:r>
      <w:r w:rsidRPr="00F5723F">
        <w:t>k</w:t>
      </w:r>
      <w:r w:rsidRPr="00F5723F">
        <w:t>ningen varit i försvarsutskottet, som under första hälften av innevarande va</w:t>
      </w:r>
      <w:r w:rsidRPr="00F5723F">
        <w:t>l</w:t>
      </w:r>
      <w:r w:rsidRPr="00F5723F">
        <w:t>period i genomsnitt halverat sin produktion av trycksidor jämfört med föreg</w:t>
      </w:r>
      <w:r w:rsidRPr="00F5723F">
        <w:t>å</w:t>
      </w:r>
      <w:r w:rsidRPr="00F5723F">
        <w:t>ende valperiod, från 600 till drygt 300 trycksidor.</w:t>
      </w:r>
      <w:r w:rsidRPr="00F5723F">
        <w:rPr>
          <w:rStyle w:val="Fotnotsreferens"/>
        </w:rPr>
        <w:footnoteReference w:id="56"/>
      </w:r>
      <w:r w:rsidRPr="00F5723F">
        <w:t xml:space="preserve"> </w:t>
      </w:r>
    </w:p>
    <w:p w:rsidR="00B43C57" w:rsidRPr="00F5723F" w:rsidRDefault="00B43C57">
      <w:pPr>
        <w:pStyle w:val="Tabellrubrik"/>
      </w:pPr>
      <w:r w:rsidRPr="00F5723F">
        <w:t>Figur 5:7 Antal Trycksidor i utskottens betänkanden (inkl. yttra</w:t>
      </w:r>
      <w:r w:rsidRPr="00F5723F">
        <w:t>n</w:t>
      </w:r>
      <w:r w:rsidRPr="00F5723F">
        <w:t>den) 1994/95–2003/04</w:t>
      </w:r>
    </w:p>
    <w:p w:rsidR="00B43C57" w:rsidRPr="00F5723F" w:rsidRDefault="00B43C57">
      <w:pPr>
        <w:spacing w:line="240" w:lineRule="auto"/>
        <w:rPr>
          <w:rFonts w:ascii="Arial" w:hAnsi="Arial" w:cs="Arial"/>
          <w:sz w:val="16"/>
          <w:szCs w:val="16"/>
        </w:rPr>
      </w:pPr>
      <w:r w:rsidRPr="00F5723F">
        <w:object w:dxaOrig="1440" w:dyaOrig="1440">
          <v:shape id="_x0000_s1074" type="#_x0000_t75" style="position:absolute;left:0;text-align:left;margin-left:-7.15pt;margin-top:3.95pt;width:307.85pt;height:179pt;z-index:251663360">
            <v:imagedata r:id="rId42" o:title=""/>
            <w10:wrap type="topAndBottom"/>
          </v:shape>
          <o:OLEObject Type="Embed" ProgID="Excel.Sheet.8" ShapeID="_x0000_s1074" DrawAspect="Content" ObjectID="_1827438477" r:id="rId43"/>
        </w:object>
      </w: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Figuren visar det genomsnittliga antalet trycksidor per riksmöte i respektive utskotts betänkanden och yttranden under de senaste valperiode</w:t>
      </w:r>
      <w:r w:rsidRPr="00F5723F">
        <w:rPr>
          <w:rFonts w:ascii="Arial" w:hAnsi="Arial" w:cs="Arial"/>
          <w:sz w:val="16"/>
          <w:szCs w:val="16"/>
        </w:rPr>
        <w:t>r</w:t>
      </w:r>
      <w:r w:rsidRPr="00F5723F">
        <w:rPr>
          <w:rFonts w:ascii="Arial" w:hAnsi="Arial" w:cs="Arial"/>
          <w:sz w:val="16"/>
          <w:szCs w:val="16"/>
        </w:rPr>
        <w:t>na. I sidantalet ingår förutom utskottets egen text även eventuella bilagor.</w:t>
      </w:r>
    </w:p>
    <w:p w:rsidR="00B43C57" w:rsidRPr="00F5723F" w:rsidRDefault="00B43C57">
      <w:pPr>
        <w:spacing w:before="187" w:line="240" w:lineRule="auto"/>
      </w:pPr>
    </w:p>
    <w:p w:rsidR="00B43C57" w:rsidRPr="00F5723F" w:rsidRDefault="00B43C57">
      <w:pPr>
        <w:spacing w:before="187"/>
      </w:pPr>
      <w:r w:rsidRPr="00F5723F">
        <w:t>Vidare kan konstateras att figuren över antal trycksidor delvis överens</w:t>
      </w:r>
      <w:r w:rsidRPr="00F5723F">
        <w:softHyphen/>
        <w:t>stämmer med föregående figur över antal betänkanden. Utskott som avlä</w:t>
      </w:r>
      <w:r w:rsidRPr="00F5723F">
        <w:t>m</w:t>
      </w:r>
      <w:r w:rsidRPr="00F5723F">
        <w:t>nar ett stort antal betänkanden producerar också ett stort antal trycksidor, vilket måste sägas vara förväntat; ju fler betänkanden, desto fler trycksidor. Någon total överensstämmelse är det dock inte fråga om. Anledningen till det är att vissa utskott skriver genomsnittligt sett längre betänkanden än andra. Sett till första halvan av innevarande valperiod har trafik- och arbetsmarknadsutsko</w:t>
      </w:r>
      <w:r w:rsidRPr="00F5723F">
        <w:t>t</w:t>
      </w:r>
      <w:r w:rsidRPr="00F5723F">
        <w:t>ten längst betänkanden. I genomsnitt är dessa</w:t>
      </w:r>
      <w:r w:rsidRPr="00F5723F">
        <w:t xml:space="preserve"> 90–95 trycksidor, att jämföra med ca 60 trycksidor i genomsnitt för samtliga u</w:t>
      </w:r>
      <w:r w:rsidRPr="00F5723F">
        <w:t>t</w:t>
      </w:r>
      <w:r w:rsidRPr="00F5723F">
        <w:t>skotts betänkanden. Även konstitutions- och finansutskottens betänkanden är genomsnittligt sett långa, 70–75 trycksidor. I konstitutionsutskottets fall kan detta till en del hänföras till utskottets granskningsbetänkande på våren, som även inkluderar bilagor med utredningsmaterial och uppteckningar från utskottets utfrågningar och som i regel är flera hundra sidor långt. I finansutskottets fall bidrar budgetb</w:t>
      </w:r>
      <w:r w:rsidRPr="00F5723F">
        <w:t>e</w:t>
      </w:r>
      <w:r w:rsidRPr="00F5723F">
        <w:t>tänkandena på våren</w:t>
      </w:r>
      <w:r w:rsidRPr="00F5723F">
        <w:t xml:space="preserve"> och i synnerhet hösten till att höja det genomsnittliga antalet trycksidor. Dessa är flera hundra sidor långa och innehåller förutom utskottets egen text bland annat även bilagor med andra utskotts yttranden. Det u</w:t>
      </w:r>
      <w:r w:rsidRPr="00F5723F">
        <w:t>t</w:t>
      </w:r>
      <w:r w:rsidRPr="00F5723F">
        <w:t>skott vars betänkanden genomsnittligt sett är kortast är lagutskottet, drygt 30 trycksidor. Även justitie-, utrikes-, försvars- och bostadsutskotten kännetec</w:t>
      </w:r>
      <w:r w:rsidRPr="00F5723F">
        <w:t>k</w:t>
      </w:r>
      <w:r w:rsidRPr="00F5723F">
        <w:t>nas av att skriva förhållandevis korta betänkanden på i genomsnitt 40–50 trycksidor.</w:t>
      </w:r>
    </w:p>
    <w:p w:rsidR="00B43C57" w:rsidRPr="00F5723F" w:rsidRDefault="00B43C57">
      <w:pPr>
        <w:pStyle w:val="Rubrik3"/>
        <w:rPr>
          <w:noProof w:val="0"/>
        </w:rPr>
      </w:pPr>
      <w:bookmarkStart w:id="64" w:name="_Toc121738906"/>
      <w:bookmarkStart w:id="65" w:name="_Toc124697802"/>
      <w:r w:rsidRPr="00F5723F">
        <w:rPr>
          <w:noProof w:val="0"/>
        </w:rPr>
        <w:t>Förenklad motionshantering – omfattning och erfarenhe</w:t>
      </w:r>
      <w:r w:rsidRPr="00F5723F">
        <w:rPr>
          <w:noProof w:val="0"/>
        </w:rPr>
        <w:t>ter</w:t>
      </w:r>
      <w:bookmarkEnd w:id="64"/>
      <w:bookmarkEnd w:id="65"/>
    </w:p>
    <w:p w:rsidR="00B43C57" w:rsidRPr="00F5723F" w:rsidRDefault="00B43C57">
      <w:r w:rsidRPr="00F5723F">
        <w:t>Som återgetts ovan lyfte Riksdagskommittén fram möjligheten att ge moti</w:t>
      </w:r>
      <w:r w:rsidRPr="00F5723F">
        <w:t>o</w:t>
      </w:r>
      <w:r w:rsidRPr="00F5723F">
        <w:t>ner en förenklad motionshantering. I grunden låg en uppfattning om att u</w:t>
      </w:r>
      <w:r w:rsidRPr="00F5723F">
        <w:t>t</w:t>
      </w:r>
      <w:r w:rsidRPr="00F5723F">
        <w:t>skotten borde ägna mer tid åt uppföljning och utvärdering samt EU-bevakning, och för att skapa utrymme för dessa aktiviteter borde tidsåtgån</w:t>
      </w:r>
      <w:r w:rsidRPr="00F5723F">
        <w:t>g</w:t>
      </w:r>
      <w:r w:rsidRPr="00F5723F">
        <w:t>en för motionshantering minska. Ett alternativ till förenklad motionshante</w:t>
      </w:r>
      <w:r w:rsidRPr="00F5723F">
        <w:t>r</w:t>
      </w:r>
      <w:r w:rsidRPr="00F5723F">
        <w:t>ing skulle kunna vara inskränkningar i den fria motionsrätten, men en sådan ordning har tidigare avfärdats av bland annat Riksdagskommittén. Jämfört med fö</w:t>
      </w:r>
      <w:r w:rsidRPr="00F5723F">
        <w:t>r</w:t>
      </w:r>
      <w:r w:rsidRPr="00F5723F">
        <w:t>enklad motionshantering skulle inskränkningar i motionsrätten dels</w:t>
      </w:r>
      <w:r w:rsidRPr="00F5723F">
        <w:t xml:space="preserve"> vara mer problematiska ur demokratisk synvinkel, dels förutsätta ändringar i regering</w:t>
      </w:r>
      <w:r w:rsidRPr="00F5723F">
        <w:t>s</w:t>
      </w:r>
      <w:r w:rsidRPr="00F5723F">
        <w:t>formen.</w:t>
      </w:r>
    </w:p>
    <w:p w:rsidR="00B43C57" w:rsidRPr="00F5723F" w:rsidRDefault="00B43C57">
      <w:pPr>
        <w:pStyle w:val="Normaltindrag"/>
      </w:pPr>
      <w:r w:rsidRPr="00F5723F">
        <w:t>Riksdagskommittén menade att förenklad motionshantering bland annat kunde i</w:t>
      </w:r>
      <w:r w:rsidRPr="00F5723F">
        <w:t>n</w:t>
      </w:r>
      <w:r w:rsidRPr="00F5723F">
        <w:t>nebära att motionsförslag som behandlar frågor där beslutanderätten enligt utskottens mening borde ligga kvar hos regeringen, en förvaltning</w:t>
      </w:r>
      <w:r w:rsidRPr="00F5723F">
        <w:t>s</w:t>
      </w:r>
      <w:r w:rsidRPr="00F5723F">
        <w:t>myndighet eller kommunerna skulle kunna avstyrkas utan ytterligare bere</w:t>
      </w:r>
      <w:r w:rsidRPr="00F5723F">
        <w:t>d</w:t>
      </w:r>
      <w:r w:rsidRPr="00F5723F">
        <w:t>ning. I fråga om motionsförslag som upprepas skulle utskotten kunna hänvisa till tidigare ställningstagande.</w:t>
      </w:r>
    </w:p>
    <w:p w:rsidR="00B43C57" w:rsidRPr="00F5723F" w:rsidRDefault="00B43C57">
      <w:pPr>
        <w:pStyle w:val="Normaltindrag"/>
      </w:pPr>
      <w:r w:rsidRPr="00F5723F">
        <w:t>Hur ser då motionshanteringen ut i utskotten? Till att börja med kan eri</w:t>
      </w:r>
      <w:r w:rsidRPr="00F5723F">
        <w:t>n</w:t>
      </w:r>
      <w:r w:rsidRPr="00F5723F">
        <w:t>ras om vad som framkom ovan avseende antal utskottsbehandlingar av betä</w:t>
      </w:r>
      <w:r w:rsidRPr="00F5723F">
        <w:t>n</w:t>
      </w:r>
      <w:r w:rsidRPr="00F5723F">
        <w:t>ka</w:t>
      </w:r>
      <w:r w:rsidRPr="00F5723F">
        <w:t>n</w:t>
      </w:r>
      <w:r w:rsidRPr="00F5723F">
        <w:t>den (se tabell 4:5). I det stora flertalet utskott visade sig motions</w:t>
      </w:r>
      <w:r w:rsidRPr="00F5723F">
        <w:softHyphen/>
        <w:t>betänkanden i normalfallet behandlas vid högst två utskottssammanträden. Eftersom ett av sammanträdena går åt till justering torde behandlingstillfäll</w:t>
      </w:r>
      <w:r w:rsidRPr="00F5723F">
        <w:t>e</w:t>
      </w:r>
      <w:r w:rsidRPr="00F5723F">
        <w:t>na för utskottsb</w:t>
      </w:r>
      <w:r w:rsidRPr="00F5723F">
        <w:t>e</w:t>
      </w:r>
      <w:r w:rsidRPr="00F5723F">
        <w:t>tänkandena knappast kunna bli färre än i dag; när det är fråga om enklare ärenden förekommer det dock att kansliet lägger fram förslag till helt färdiga betänkanden, inklusive överväganden, som just</w:t>
      </w:r>
      <w:r w:rsidRPr="00F5723F">
        <w:t>eras direkt.</w:t>
      </w:r>
    </w:p>
    <w:p w:rsidR="00B43C57" w:rsidRPr="00F5723F" w:rsidRDefault="00B43C57">
      <w:pPr>
        <w:pStyle w:val="Normaltindrag"/>
      </w:pPr>
      <w:r w:rsidRPr="00F5723F">
        <w:t>Av det föregående har även framgått att utskottens sammanträdestid min</w:t>
      </w:r>
      <w:r w:rsidRPr="00F5723F">
        <w:t>s</w:t>
      </w:r>
      <w:r w:rsidRPr="00F5723F">
        <w:t>kar och att utskotten avlämnar allt färre betänkanden. Samtidigt ökar antalet motioner och motionsyrkanden. Förvisso har även antalet propos</w:t>
      </w:r>
      <w:r w:rsidRPr="00F5723F">
        <w:t>i</w:t>
      </w:r>
      <w:r w:rsidRPr="00F5723F">
        <w:t>tioner blivit färre, men utvecklingen tycks vara att utskotten behandlar alltfler ärenden på kortare tid och i mer koncentrerad form.</w:t>
      </w:r>
      <w:r w:rsidRPr="00F5723F">
        <w:rPr>
          <w:rStyle w:val="Fotnotsreferens"/>
        </w:rPr>
        <w:footnoteReference w:id="57"/>
      </w:r>
    </w:p>
    <w:p w:rsidR="00B43C57" w:rsidRPr="00F5723F" w:rsidRDefault="00B43C57">
      <w:pPr>
        <w:pStyle w:val="Normaltindrag"/>
      </w:pPr>
      <w:r w:rsidRPr="00F5723F">
        <w:t>Vad gäller utskottens egna ambitioner i fråga om förenklad motionshante</w:t>
      </w:r>
      <w:r w:rsidRPr="00F5723F">
        <w:t>r</w:t>
      </w:r>
      <w:r w:rsidRPr="00F5723F">
        <w:t>ing uppger flertalet kanslier att sådana ambitioner finns i en eller annan form. I fyra utskott uppges dock att det inte föreligger några nämnvärda ambitioner. Tre av dessa utskott kännetecknas av att de får förhållandevis få motioner under ett riksmöte, och i ett av dessa utskott motiveras också a</w:t>
      </w:r>
      <w:r w:rsidRPr="00F5723F">
        <w:t>v</w:t>
      </w:r>
      <w:r w:rsidRPr="00F5723F">
        <w:t>saknaden av en ambition med att utskottet under senare år har fått allt färre motioner, va</w:t>
      </w:r>
      <w:r w:rsidRPr="00F5723F">
        <w:t>r</w:t>
      </w:r>
      <w:r w:rsidRPr="00F5723F">
        <w:t>för det inte anses föreligga något behov av förenklad hantering. Det fjärde utskottet får däremot förhållandevis många m</w:t>
      </w:r>
      <w:r w:rsidRPr="00F5723F">
        <w:t>otioner under ett riksmöte. I detta fall anförs att utskottet vill ha en så fullständig beredning som möjligt i alla motionsärenden och att det inte finns ett intresse för fö</w:t>
      </w:r>
      <w:r w:rsidRPr="00F5723F">
        <w:t>r</w:t>
      </w:r>
      <w:r w:rsidRPr="00F5723F">
        <w:t>enklad motions</w:t>
      </w:r>
      <w:r w:rsidRPr="00F5723F">
        <w:softHyphen/>
        <w:t xml:space="preserve">hantering som skulle innebära minskade beredningskrav. </w:t>
      </w:r>
    </w:p>
    <w:p w:rsidR="00B43C57" w:rsidRPr="00F5723F" w:rsidRDefault="00B43C57">
      <w:pPr>
        <w:pStyle w:val="Normaltindrag"/>
      </w:pPr>
      <w:r w:rsidRPr="00F5723F">
        <w:t>De utskott som arbetar med förenklad motionshantering gör det på delvis olika sätt. Gemensamt för de flesta tycks dock vara att kansliet tar initiativ genom att lägga fram förslag för utskottet på vilka områden förenklad m</w:t>
      </w:r>
      <w:r w:rsidRPr="00F5723F">
        <w:t>o</w:t>
      </w:r>
      <w:r w:rsidRPr="00F5723F">
        <w:t>tionshantering skall bedrivas. Som regel förankras förslaget i presidiet innan det tas upp i utskottet.</w:t>
      </w:r>
    </w:p>
    <w:p w:rsidR="00B43C57" w:rsidRPr="00F5723F" w:rsidRDefault="00B43C57">
      <w:pPr>
        <w:pStyle w:val="Normaltindrag"/>
      </w:pPr>
      <w:r w:rsidRPr="00F5723F">
        <w:t>Den vanligaste metoden förefaller vara att hänvisa till att frågan, enligt den ansvarsfördelning som gäller, inte avgörs av riksdagen utan av ett annat stat</w:t>
      </w:r>
      <w:r w:rsidRPr="00F5723F">
        <w:t>s</w:t>
      </w:r>
      <w:r w:rsidRPr="00F5723F">
        <w:t>organ (till exempel regeringen) eller på en annan nivå (till exempel komm</w:t>
      </w:r>
      <w:r w:rsidRPr="00F5723F">
        <w:t>u</w:t>
      </w:r>
      <w:r w:rsidRPr="00F5723F">
        <w:t>nal). Konkret kan detta se ut så att alla berörda motionsyrkanden samlas sist i betänkandet under en gemensam rubrik, till exempel ”Andra motionsyrka</w:t>
      </w:r>
      <w:r w:rsidRPr="00F5723F">
        <w:t>n</w:t>
      </w:r>
      <w:r w:rsidRPr="00F5723F">
        <w:t>den”, och därvid behandlas endast med en hänvisning till gällande ansvar</w:t>
      </w:r>
      <w:r w:rsidRPr="00F5723F">
        <w:t>s</w:t>
      </w:r>
      <w:r w:rsidRPr="00F5723F">
        <w:t xml:space="preserve">fördelning. Denna form för förenklad motionshantering är särskilt vanlig i utskott som hanterar motioner som avser kommunala frågor, till exempel vissa frågor inom skol- och omsorgområdena. Andra sätt att förenkla </w:t>
      </w:r>
      <w:r w:rsidRPr="00F5723F">
        <w:t>m</w:t>
      </w:r>
      <w:r w:rsidRPr="00F5723F">
        <w:t>o</w:t>
      </w:r>
      <w:r w:rsidRPr="00F5723F">
        <w:t>tionshanteringen som omnämns av kanslierna är att hänvisa till tidigare stäl</w:t>
      </w:r>
      <w:r w:rsidRPr="00F5723F">
        <w:t>l</w:t>
      </w:r>
      <w:r w:rsidRPr="00F5723F">
        <w:t>ningstagande av utskottet eller till pågående utredning alternativt aviserat förslag från rege</w:t>
      </w:r>
      <w:r w:rsidRPr="00F5723F">
        <w:t>r</w:t>
      </w:r>
      <w:r w:rsidRPr="00F5723F">
        <w:t>ingen. Ett långtgående exempel på hur detta kan gå till är att i en tabell samla ett stort antal motionsyrkanden som är identiska eller i hög grad överen</w:t>
      </w:r>
      <w:r w:rsidRPr="00F5723F">
        <w:t>s</w:t>
      </w:r>
      <w:r w:rsidRPr="00F5723F">
        <w:t>stämmande med yrkanden som tidigare behandlats av utskottet och b</w:t>
      </w:r>
      <w:r w:rsidRPr="00F5723F">
        <w:t>e</w:t>
      </w:r>
      <w:r w:rsidRPr="00F5723F">
        <w:t>handla dem endast med en kort hänvisning till detta.</w:t>
      </w:r>
    </w:p>
    <w:p w:rsidR="00B43C57" w:rsidRPr="00F5723F" w:rsidRDefault="00B43C57">
      <w:pPr>
        <w:pStyle w:val="Normaltindrag"/>
      </w:pPr>
      <w:r w:rsidRPr="00F5723F">
        <w:t>Ytterligare ett sätt att under vissa perioder skapa större utrymm</w:t>
      </w:r>
      <w:r w:rsidRPr="00F5723F">
        <w:t>e för andra arbetsuppgifter än motionsberedning är att skjuta upp behandlingen av m</w:t>
      </w:r>
      <w:r w:rsidRPr="00F5723F">
        <w:t>o</w:t>
      </w:r>
      <w:r w:rsidRPr="00F5723F">
        <w:t>tionsyrkanden ett eller flera år. På förslag från Riksdagsutredningen ändrades uppskovsreglerna i riksdagsordningen så att utskotten själva fick rätt att fatta beslut om att skjuta upp behandlingen av ett ärende från ett riksmöte till ett annat inom valperioden; uppskov till en annan valperiod måste alltjämt besl</w:t>
      </w:r>
      <w:r w:rsidRPr="00F5723F">
        <w:t>u</w:t>
      </w:r>
      <w:r w:rsidRPr="00F5723F">
        <w:t>tas av kammaren. Tanken bakom förslaget var att utskotten skulle få möjli</w:t>
      </w:r>
      <w:r w:rsidRPr="00F5723F">
        <w:t>g</w:t>
      </w:r>
      <w:r w:rsidRPr="00F5723F">
        <w:t>het att bättre planera arbetet under en</w:t>
      </w:r>
      <w:r w:rsidRPr="00F5723F">
        <w:t xml:space="preserve"> hel valperiod med sikte mot att göra en fördjupad granskning av varje ärendegrupp en gång per valperiod. En arbet</w:t>
      </w:r>
      <w:r w:rsidRPr="00F5723F">
        <w:t>s</w:t>
      </w:r>
      <w:r w:rsidRPr="00F5723F">
        <w:t>grupp inom talmanskonferensen konstaterade våren 1998 att utskotten i mycket liten utsträckning utnyttjat möjligheten att besluta om uppskov med beredningen av motionsyrkanden (se förs. 1997/98:TK1). Ett par år senare menade Riksdagskommittén att genomsl</w:t>
      </w:r>
      <w:r w:rsidRPr="00F5723F">
        <w:t>a</w:t>
      </w:r>
      <w:r w:rsidRPr="00F5723F">
        <w:t>get för det nya arbetssättet inte varit tillfredsställande. Endast drygt 10 procent av de motionsyrkanden som väc</w:t>
      </w:r>
      <w:r w:rsidRPr="00F5723F">
        <w:t>k</w:t>
      </w:r>
      <w:r w:rsidRPr="00F5723F">
        <w:t>tes under de allmänna motion</w:t>
      </w:r>
      <w:r w:rsidRPr="00F5723F">
        <w:t>stiderna 1998 och 1999 hade enligt kommitténs undersökningar uppskjutits till ett följande riksmöte. Av utskotten hade mö</w:t>
      </w:r>
      <w:r w:rsidRPr="00F5723F">
        <w:t>j</w:t>
      </w:r>
      <w:r w:rsidRPr="00F5723F">
        <w:t>ligheten att uppskjuta motionsyrkanden främst använts av miljö- och jor</w:t>
      </w:r>
      <w:r w:rsidRPr="00F5723F">
        <w:t>d</w:t>
      </w:r>
      <w:r w:rsidRPr="00F5723F">
        <w:t>bruksutskottet, men även av konstitutions-, social- och kulturutskotten (se förs. 2000/01:RS1 s. 157 f.).</w:t>
      </w:r>
    </w:p>
    <w:p w:rsidR="00B43C57" w:rsidRPr="00F5723F" w:rsidRDefault="00B43C57">
      <w:pPr>
        <w:pStyle w:val="Normaltindrag"/>
      </w:pPr>
      <w:r w:rsidRPr="00F5723F">
        <w:t>I föreliggande rapport har studerats uppskoven av motionsyrkanden u</w:t>
      </w:r>
      <w:r w:rsidRPr="00F5723F">
        <w:t>n</w:t>
      </w:r>
      <w:r w:rsidRPr="00F5723F">
        <w:t>der den senaste tioårsperioden.</w:t>
      </w:r>
      <w:r w:rsidRPr="00F5723F">
        <w:rPr>
          <w:rStyle w:val="Fotnotsreferens"/>
        </w:rPr>
        <w:footnoteReference w:id="58"/>
      </w:r>
      <w:r w:rsidRPr="00F5723F">
        <w:t xml:space="preserve"> Av motionsyrkanden som väcks under allmän motionstid uppsköts under valperioden 1994/95–1997/98 i geno</w:t>
      </w:r>
      <w:r w:rsidRPr="00F5723F">
        <w:t>m</w:t>
      </w:r>
      <w:r w:rsidRPr="00F5723F">
        <w:t>snitt 21 procent till ett efterföljande riksmöte. Under valperioden 1998/99–2001/02 var motsvarande andel 15 procent och under första halvan av innevarande valper</w:t>
      </w:r>
      <w:r w:rsidRPr="00F5723F">
        <w:t>i</w:t>
      </w:r>
      <w:r w:rsidRPr="00F5723F">
        <w:t>od (2002/03–2003/04) är den 21 procent. Jämfört med mitten av 1990-talet min</w:t>
      </w:r>
      <w:r w:rsidRPr="00F5723F">
        <w:t>s</w:t>
      </w:r>
      <w:r w:rsidRPr="00F5723F">
        <w:t>kade alltså uppskoven under slutet av 1990-talet och i början av 2000-talet, men har därefter ökat. Värt att notera i sammanhanget är dock att när den allmänna motionst</w:t>
      </w:r>
      <w:r w:rsidRPr="00F5723F">
        <w:t>iden flyttades från våren till hösten minskade up</w:t>
      </w:r>
      <w:r w:rsidRPr="00F5723F">
        <w:t>p</w:t>
      </w:r>
      <w:r w:rsidRPr="00F5723F">
        <w:t>skoven kraftigt. Under 1994/95 års riksmöte (då motionstiden låg på våren) up</w:t>
      </w:r>
      <w:r w:rsidRPr="00F5723F">
        <w:t>p</w:t>
      </w:r>
      <w:r w:rsidRPr="00F5723F">
        <w:t>sköts 28 procent av yrkandena till ett efterföljande riksmöte jämfört med 13 procent under 1996/97 års riksmöte (då motionstiden låg på hösten).</w:t>
      </w:r>
      <w:r w:rsidRPr="00F5723F">
        <w:rPr>
          <w:rStyle w:val="Fotnotsreferens"/>
        </w:rPr>
        <w:footnoteReference w:id="59"/>
      </w:r>
      <w:r w:rsidRPr="00F5723F">
        <w:t xml:space="preserve"> Förklaringen torde vara att utskotten fick längre tid på sig att behandla moti</w:t>
      </w:r>
      <w:r w:rsidRPr="00F5723F">
        <w:t>o</w:t>
      </w:r>
      <w:r w:rsidRPr="00F5723F">
        <w:t>ner väckta under den allmänna motionstiden när denna flyttades från våren till hösten. Beaktas effekten av denna förändring har utvecklingen under den senaste tioårsperi</w:t>
      </w:r>
      <w:r w:rsidRPr="00F5723F">
        <w:t>o</w:t>
      </w:r>
      <w:r w:rsidRPr="00F5723F">
        <w:t>den snarast varit att antalet uppskov ökat.</w:t>
      </w:r>
    </w:p>
    <w:p w:rsidR="00B43C57" w:rsidRPr="00F5723F" w:rsidRDefault="00B43C57">
      <w:pPr>
        <w:pStyle w:val="Normaltindrag"/>
      </w:pPr>
      <w:r w:rsidRPr="00F5723F">
        <w:t>Av de motionsyrkanden som uppskjuts behandlas det stora flertalet under det efterföljande riksmötet. Att motionsyrkanden skjuts upp över ett val för</w:t>
      </w:r>
      <w:r w:rsidRPr="00F5723F">
        <w:t>e</w:t>
      </w:r>
      <w:r w:rsidRPr="00F5723F">
        <w:t>kommer endast i liten utsträckning.</w:t>
      </w:r>
    </w:p>
    <w:p w:rsidR="00B43C57" w:rsidRPr="00F5723F" w:rsidRDefault="00B43C57">
      <w:pPr>
        <w:pStyle w:val="Normaltindrag"/>
      </w:pPr>
      <w:r w:rsidRPr="00F5723F">
        <w:t>I figur 5:8 jämförs andelen uppskjutna motionsyrkanden väckta under al</w:t>
      </w:r>
      <w:r w:rsidRPr="00F5723F">
        <w:t>l</w:t>
      </w:r>
      <w:r w:rsidRPr="00F5723F">
        <w:t>män motionstid i olika utskott. Skillnaden mellan utskotten är stora. I vissa utskott varierar dessutom andelen uppskjutna motionsyrkanden kraftigt över tiden. Två utskott som under en längre tid har kännetecknats av att ofta skjuta upp behandlingen av motionsyrkanden till efterföljande riksmöten är konstit</w:t>
      </w:r>
      <w:r w:rsidRPr="00F5723F">
        <w:t>u</w:t>
      </w:r>
      <w:r w:rsidRPr="00F5723F">
        <w:t>tions- och miljö- och jordbruksutskotten. Av de motionsyrkanden som remi</w:t>
      </w:r>
      <w:r w:rsidRPr="00F5723F">
        <w:t>t</w:t>
      </w:r>
      <w:r w:rsidRPr="00F5723F">
        <w:t>terats till dessa utskott har under den senaste tioårsperioden i genomsnitt ca 30–40 procent respektive 35–45 procent uppskjutits</w:t>
      </w:r>
      <w:r w:rsidRPr="00F5723F">
        <w:t xml:space="preserve"> till efterföljande riksm</w:t>
      </w:r>
      <w:r w:rsidRPr="00F5723F">
        <w:t>ö</w:t>
      </w:r>
      <w:r w:rsidRPr="00F5723F">
        <w:t>ten. Skatteutskottet kännetecknas tvärtom av att behandla nästan alla m</w:t>
      </w:r>
      <w:r w:rsidRPr="00F5723F">
        <w:t>o</w:t>
      </w:r>
      <w:r w:rsidRPr="00F5723F">
        <w:t>tionsy</w:t>
      </w:r>
      <w:r w:rsidRPr="00F5723F">
        <w:t>r</w:t>
      </w:r>
      <w:r w:rsidRPr="00F5723F">
        <w:t>kanden under samma riksmöte som de remitteras till utskottet. Andra utskott som behandlar det stora flertalet motionsyrkanden under samma rik</w:t>
      </w:r>
      <w:r w:rsidRPr="00F5723F">
        <w:t>s</w:t>
      </w:r>
      <w:r w:rsidRPr="00F5723F">
        <w:t>möte som de remitteras är justitie-, utbildnings-, närings- och bostadsutsko</w:t>
      </w:r>
      <w:r w:rsidRPr="00F5723F">
        <w:t>t</w:t>
      </w:r>
      <w:r w:rsidRPr="00F5723F">
        <w:t>ten samt åtmi</w:t>
      </w:r>
      <w:r w:rsidRPr="00F5723F">
        <w:t>n</w:t>
      </w:r>
      <w:r w:rsidRPr="00F5723F">
        <w:t>stone förr i tiden finansutskottet.</w:t>
      </w:r>
    </w:p>
    <w:p w:rsidR="00B43C57" w:rsidRPr="00F5723F" w:rsidRDefault="00B43C57">
      <w:pPr>
        <w:pStyle w:val="Tabellrubrik"/>
      </w:pPr>
      <w:r w:rsidRPr="00F5723F">
        <w:t>figur 5:8 uppskov av motionsyrkanden 1994/95–2003/04.</w:t>
      </w:r>
    </w:p>
    <w:p w:rsidR="00B43C57" w:rsidRPr="00F5723F" w:rsidRDefault="00B43C57">
      <w:pPr>
        <w:spacing w:line="240" w:lineRule="auto"/>
        <w:rPr>
          <w:rFonts w:ascii="Arial" w:hAnsi="Arial" w:cs="Arial"/>
          <w:sz w:val="16"/>
          <w:szCs w:val="16"/>
        </w:rPr>
      </w:pPr>
    </w:p>
    <w:p w:rsidR="00B43C57" w:rsidRPr="00F5723F" w:rsidRDefault="00B43C57">
      <w:pPr>
        <w:spacing w:line="240" w:lineRule="auto"/>
        <w:rPr>
          <w:rFonts w:ascii="Arial" w:hAnsi="Arial" w:cs="Arial"/>
          <w:b/>
          <w:sz w:val="16"/>
          <w:szCs w:val="16"/>
        </w:rPr>
      </w:pPr>
      <w:r w:rsidRPr="00F5723F">
        <w:rPr>
          <w:rFonts w:ascii="Arial" w:hAnsi="Arial" w:cs="Arial"/>
          <w:sz w:val="16"/>
          <w:szCs w:val="16"/>
        </w:rPr>
        <w:object w:dxaOrig="1440" w:dyaOrig="1440">
          <v:shape id="_x0000_s1077" type="#_x0000_t75" style="position:absolute;left:0;text-align:left;margin-left:-4.75pt;margin-top:.2pt;width:298.5pt;height:175.3pt;z-index:251665408">
            <v:imagedata r:id="rId44" o:title=""/>
            <w10:wrap type="topAndBottom"/>
          </v:shape>
          <o:OLEObject Type="Embed" ProgID="Excel.Sheet.8" ShapeID="_x0000_s1077" DrawAspect="Content" ObjectID="_1827438478" r:id="rId45"/>
        </w:object>
      </w:r>
    </w:p>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Figuren visar hur stor andel av de remitterade motion</w:t>
      </w:r>
      <w:r w:rsidRPr="00F5723F">
        <w:rPr>
          <w:rFonts w:ascii="Arial" w:hAnsi="Arial" w:cs="Arial"/>
          <w:sz w:val="16"/>
          <w:szCs w:val="16"/>
        </w:rPr>
        <w:t>s</w:t>
      </w:r>
      <w:r w:rsidRPr="00F5723F">
        <w:rPr>
          <w:rFonts w:ascii="Arial" w:hAnsi="Arial" w:cs="Arial"/>
          <w:sz w:val="16"/>
          <w:szCs w:val="16"/>
        </w:rPr>
        <w:t>yrkandena från allmän motionstid som uppskjutits till ett senare riksmöte under olika valperi</w:t>
      </w:r>
      <w:r w:rsidRPr="00F5723F">
        <w:rPr>
          <w:rFonts w:ascii="Arial" w:hAnsi="Arial" w:cs="Arial"/>
          <w:sz w:val="16"/>
          <w:szCs w:val="16"/>
        </w:rPr>
        <w:t>o</w:t>
      </w:r>
      <w:r w:rsidRPr="00F5723F">
        <w:rPr>
          <w:rFonts w:ascii="Arial" w:hAnsi="Arial" w:cs="Arial"/>
          <w:sz w:val="16"/>
          <w:szCs w:val="16"/>
        </w:rPr>
        <w:t>der. Riksmöten som föregår val har uteslutits</w:t>
      </w:r>
      <w:r w:rsidRPr="00F5723F">
        <w:rPr>
          <w:rFonts w:ascii="Arial" w:hAnsi="Arial" w:cs="Arial"/>
          <w:sz w:val="16"/>
          <w:szCs w:val="16"/>
        </w:rPr>
        <w:t xml:space="preserve">. </w:t>
      </w:r>
      <w:r w:rsidRPr="00F5723F">
        <w:rPr>
          <w:rFonts w:ascii="Arial" w:hAnsi="Arial" w:cs="Arial"/>
          <w:b/>
          <w:sz w:val="16"/>
          <w:szCs w:val="16"/>
        </w:rPr>
        <w:t>Källa</w:t>
      </w:r>
      <w:r w:rsidRPr="00F5723F">
        <w:rPr>
          <w:rFonts w:ascii="Arial" w:hAnsi="Arial" w:cs="Arial"/>
          <w:i/>
          <w:sz w:val="16"/>
          <w:szCs w:val="16"/>
        </w:rPr>
        <w:t>:</w:t>
      </w:r>
      <w:r w:rsidRPr="00F5723F">
        <w:rPr>
          <w:rFonts w:ascii="Arial" w:hAnsi="Arial" w:cs="Arial"/>
          <w:sz w:val="16"/>
          <w:szCs w:val="16"/>
        </w:rPr>
        <w:t xml:space="preserve"> Databaserna Sakreg 9495–0304 och Urix.</w:t>
      </w:r>
    </w:p>
    <w:p w:rsidR="00B43C57" w:rsidRPr="00F5723F" w:rsidRDefault="00B43C57"/>
    <w:p w:rsidR="00B43C57" w:rsidRPr="00F5723F" w:rsidRDefault="00B43C57">
      <w:r w:rsidRPr="00F5723F">
        <w:t>I cirka hälften av utskotten har utvecklingen gått mot att i allt större utsträc</w:t>
      </w:r>
      <w:r w:rsidRPr="00F5723F">
        <w:t>k</w:t>
      </w:r>
      <w:r w:rsidRPr="00F5723F">
        <w:t>ning uppskjuta behandlingen av motionsyrkanden. Särskilt utmärker sig hä</w:t>
      </w:r>
      <w:r w:rsidRPr="00F5723F">
        <w:t>r</w:t>
      </w:r>
      <w:r w:rsidRPr="00F5723F">
        <w:t>vidlag försvars-, utrikes- och kulturutskotten samt till viss del trafi</w:t>
      </w:r>
      <w:r w:rsidRPr="00F5723F">
        <w:t>k</w:t>
      </w:r>
      <w:r w:rsidRPr="00F5723F">
        <w:t>utskottet. Störst har ökningen varit i försvarsutskottet. I mitten av 1990-talet uppsköt detta endast något enstaka motionsyrkande till efterföljande riksm</w:t>
      </w:r>
      <w:r w:rsidRPr="00F5723F">
        <w:t>ö</w:t>
      </w:r>
      <w:r w:rsidRPr="00F5723F">
        <w:t>te. Under första halvan av innevarande valperiod har i genomsnitt över hälften av m</w:t>
      </w:r>
      <w:r w:rsidRPr="00F5723F">
        <w:t>o</w:t>
      </w:r>
      <w:r w:rsidRPr="00F5723F">
        <w:t>tionsyrkandena uppskjutits. Jämfört med valperioden 1998/99–2001/02 har andelen uppskjutna motionsyrkanden även ökat i social-</w:t>
      </w:r>
      <w:r w:rsidRPr="00F5723F">
        <w:t>, finans- samt miljö- och jordbruksutskotten. I vissa andra utskott har andelen uppskjutna motion</w:t>
      </w:r>
      <w:r w:rsidRPr="00F5723F">
        <w:t>s</w:t>
      </w:r>
      <w:r w:rsidRPr="00F5723F">
        <w:t>yrkanden minskat drastiskt. Här kan bland annat nämnas justitie-, socialfö</w:t>
      </w:r>
      <w:r w:rsidRPr="00F5723F">
        <w:t>r</w:t>
      </w:r>
      <w:r w:rsidRPr="00F5723F">
        <w:t>säkrings- och utbildningsutskotten.</w:t>
      </w:r>
    </w:p>
    <w:p w:rsidR="00B43C57" w:rsidRPr="00F5723F" w:rsidRDefault="00B43C57">
      <w:pPr>
        <w:pStyle w:val="Normaltindrag"/>
      </w:pPr>
      <w:r w:rsidRPr="00F5723F">
        <w:t>Det kan alltså konstateras att det förekommer olika mer eller mindre uta</w:t>
      </w:r>
      <w:r w:rsidRPr="00F5723F">
        <w:t>r</w:t>
      </w:r>
      <w:r w:rsidRPr="00F5723F">
        <w:t>bet</w:t>
      </w:r>
      <w:r w:rsidRPr="00F5723F">
        <w:t>a</w:t>
      </w:r>
      <w:r w:rsidRPr="00F5723F">
        <w:t>de former för förenklad motionshantering och att variationerna mellan utskotten är stora. Samtidigt gör flera utskottskanslier bedömningen att acce</w:t>
      </w:r>
      <w:r w:rsidRPr="00F5723F">
        <w:t>p</w:t>
      </w:r>
      <w:r w:rsidRPr="00F5723F">
        <w:t>tansen i utskottet för förenklad hantering av motioner inte alltid är så hög i praktiken. Den förenklade hanteringen vinner på att ledamöterna a</w:t>
      </w:r>
      <w:r w:rsidRPr="00F5723F">
        <w:t>v</w:t>
      </w:r>
      <w:r w:rsidRPr="00F5723F">
        <w:t>står från att reservera sig i betänkandet. Vissa kanslier uppger dock att ledamöterna reserverar sig även i samband med förenklad motionshantering, vilket åtmi</w:t>
      </w:r>
      <w:r w:rsidRPr="00F5723F">
        <w:t>n</w:t>
      </w:r>
      <w:r w:rsidRPr="00F5723F">
        <w:t>stone delvis medför att den förenklade hanteringen omi</w:t>
      </w:r>
      <w:r w:rsidRPr="00F5723F">
        <w:t>ntetgörs.</w:t>
      </w:r>
    </w:p>
    <w:p w:rsidR="00B43C57" w:rsidRPr="00F5723F" w:rsidRDefault="00B43C57">
      <w:pPr>
        <w:pStyle w:val="Normaltindrag"/>
      </w:pPr>
      <w:r w:rsidRPr="00F5723F">
        <w:t>Vidare bedöms tidsvinsten av den förenklade motionshanteringen som hi</w:t>
      </w:r>
      <w:r w:rsidRPr="00F5723F">
        <w:t>t</w:t>
      </w:r>
      <w:r w:rsidRPr="00F5723F">
        <w:t>tills förekommit inte vara speciellt stor, särskilt inte för kanslierna. Vissa uppger att kanslierna tvärtom har förlorat tid. Ett problem som omnämns är att m</w:t>
      </w:r>
      <w:r w:rsidRPr="00F5723F">
        <w:t>o</w:t>
      </w:r>
      <w:r w:rsidRPr="00F5723F">
        <w:t>tioner som inte behandlas direkt blir inaktuella och att det krävs mer arbete när de skall behandlas senare. Det uppstår också en extra arbetsup</w:t>
      </w:r>
      <w:r w:rsidRPr="00F5723F">
        <w:t>p</w:t>
      </w:r>
      <w:r w:rsidRPr="00F5723F">
        <w:t>gift i att förankra i utskottet vilka yrkanden som skall hanteras på ett fören</w:t>
      </w:r>
      <w:r w:rsidRPr="00F5723F">
        <w:t>k</w:t>
      </w:r>
      <w:r w:rsidRPr="00F5723F">
        <w:t>lat sätt. En annan åsikt är att möjligheterna att spara tid genom förenklad m</w:t>
      </w:r>
      <w:r w:rsidRPr="00F5723F">
        <w:t>o</w:t>
      </w:r>
      <w:r w:rsidRPr="00F5723F">
        <w:t>tionshantering är små även om själva redovisninge</w:t>
      </w:r>
      <w:r w:rsidRPr="00F5723F">
        <w:t>n i betänkandet fö</w:t>
      </w:r>
      <w:r w:rsidRPr="00F5723F">
        <w:t>r</w:t>
      </w:r>
      <w:r w:rsidRPr="00F5723F">
        <w:t>enklas eftersom utskottet ändå måste ta ställning och beredning måste göras. Ett kansli vars utskott är belastat med många motioner bedömer dock att tidsb</w:t>
      </w:r>
      <w:r w:rsidRPr="00F5723F">
        <w:t>e</w:t>
      </w:r>
      <w:r w:rsidRPr="00F5723F">
        <w:t>sparingen varit förhållandevis stor, särskilt i fråga om större ämne</w:t>
      </w:r>
      <w:r w:rsidRPr="00F5723F">
        <w:t>s</w:t>
      </w:r>
      <w:r w:rsidRPr="00F5723F">
        <w:t>block med stor förenkling. Vad gäller tidsbesparingen för utskotten är b</w:t>
      </w:r>
      <w:r w:rsidRPr="00F5723F">
        <w:t>e</w:t>
      </w:r>
      <w:r w:rsidRPr="00F5723F">
        <w:t>dömningarna något mer positiva. Något fler kanslier, om än långt ifrån alla, anser att det egna utskottet har sparat tid, framför allt i de fall där ledam</w:t>
      </w:r>
      <w:r w:rsidRPr="00F5723F">
        <w:t>ö</w:t>
      </w:r>
      <w:r w:rsidRPr="00F5723F">
        <w:t>terna avstår från att reservera sig.</w:t>
      </w:r>
    </w:p>
    <w:p w:rsidR="00B43C57" w:rsidRPr="00F5723F" w:rsidRDefault="00B43C57">
      <w:pPr>
        <w:pStyle w:val="Rubrik2"/>
      </w:pPr>
      <w:bookmarkStart w:id="66" w:name="_Toc121738907"/>
      <w:bookmarkStart w:id="67" w:name="_Toc124697803"/>
      <w:r w:rsidRPr="00F5723F">
        <w:t>Kuns</w:t>
      </w:r>
      <w:r w:rsidRPr="00F5723F">
        <w:t>kapsförsörjning</w:t>
      </w:r>
      <w:bookmarkEnd w:id="66"/>
      <w:bookmarkEnd w:id="67"/>
    </w:p>
    <w:p w:rsidR="00B43C57" w:rsidRPr="00F5723F" w:rsidRDefault="00B43C57">
      <w:r w:rsidRPr="00F5723F">
        <w:t>I rapportens inledning betonas utskottens betydelse för specialisering inom parlamenten. Det är i dessa parlamentariska organ som ledamöter ges möjli</w:t>
      </w:r>
      <w:r w:rsidRPr="00F5723F">
        <w:t>g</w:t>
      </w:r>
      <w:r w:rsidRPr="00F5723F">
        <w:t>het att tillsammans under en längre tid ägna sig åt ett avgränsat politiko</w:t>
      </w:r>
      <w:r w:rsidRPr="00F5723F">
        <w:t>m</w:t>
      </w:r>
      <w:r w:rsidRPr="00F5723F">
        <w:t>råde och inom detta skaffa sig fördjupad sakkunskap. Genom sina kanslier får utskotten också tillgång till specialiserade tjänstemän.</w:t>
      </w:r>
    </w:p>
    <w:p w:rsidR="00B43C57" w:rsidRPr="00F5723F" w:rsidRDefault="00B43C57">
      <w:pPr>
        <w:pStyle w:val="Normaltindrag"/>
      </w:pPr>
      <w:r w:rsidRPr="00F5723F">
        <w:t>I utskotten går kunskapsförsörjningen till på flera olika sätt. En betyda</w:t>
      </w:r>
      <w:r w:rsidRPr="00F5723F">
        <w:t>n</w:t>
      </w:r>
      <w:r w:rsidRPr="00F5723F">
        <w:t>de del av kunskapsförsörjningen sker i samband med beredningen av moti</w:t>
      </w:r>
      <w:r w:rsidRPr="00F5723F">
        <w:t>o</w:t>
      </w:r>
      <w:r w:rsidRPr="00F5723F">
        <w:t>ner och propositioner. Dels innehåller motioner och propositioner i sig v</w:t>
      </w:r>
      <w:r w:rsidRPr="00F5723F">
        <w:t>ä</w:t>
      </w:r>
      <w:r w:rsidRPr="00F5723F">
        <w:t>sentlig information, dels tillförs ny information under själva behandlingen av dem, till exempel genom att kanslierna tar fram, ställer samman och analyserar uppgifter som är relevanta för utskottets ställningstaganden. Riksdagsförval</w:t>
      </w:r>
      <w:r w:rsidRPr="00F5723F">
        <w:t>t</w:t>
      </w:r>
      <w:r w:rsidRPr="00F5723F">
        <w:t>ningen tillhandahåller även flera andra verksamheter som enskilda l</w:t>
      </w:r>
      <w:r w:rsidRPr="00F5723F">
        <w:t>e</w:t>
      </w:r>
      <w:r w:rsidRPr="00F5723F">
        <w:t xml:space="preserve">damöter och utskott kan vända sig till för att få information, </w:t>
      </w:r>
      <w:r w:rsidRPr="00F5723F">
        <w:t>till exempel riksdagens utre</w:t>
      </w:r>
      <w:r w:rsidRPr="00F5723F">
        <w:t>d</w:t>
      </w:r>
      <w:r w:rsidRPr="00F5723F">
        <w:t>nings</w:t>
      </w:r>
      <w:r w:rsidRPr="00F5723F">
        <w:softHyphen/>
        <w:t>tjänst, Riksdagsbiblioteket, informationsenheten och EU-upplysningen (2002/03:URF1 s. 74). Det successivt utbyggda ledamotsstödet innebär sannolikt att ledamöterna får alltmer information via partigruppskan</w:t>
      </w:r>
      <w:r w:rsidRPr="00F5723F">
        <w:t>s</w:t>
      </w:r>
      <w:r w:rsidRPr="00F5723F">
        <w:t>lierna (jfr 2002/03:URF3 s. 21–22).</w:t>
      </w:r>
    </w:p>
    <w:p w:rsidR="00B43C57" w:rsidRPr="00F5723F" w:rsidRDefault="00B43C57">
      <w:pPr>
        <w:pStyle w:val="Normaltindrag"/>
      </w:pPr>
      <w:r w:rsidRPr="00F5723F">
        <w:t>Utskotten kan också vidta egna åtgärder i kunskapsförsörjande syfte. På Riksdagskommitténs uppdrag har utskottens arbete med forsknings- och framtidsfrågor studerats i en särskild rapport.</w:t>
      </w:r>
      <w:r w:rsidRPr="00F5723F">
        <w:rPr>
          <w:rStyle w:val="Fotnotsreferens"/>
        </w:rPr>
        <w:footnoteReference w:id="60"/>
      </w:r>
      <w:r w:rsidRPr="00F5723F">
        <w:t xml:space="preserve"> Rapporten visar att de flesta av de utskott som medverkat (12 av 16 utskott) anser sig ha väl upparbetade rutiner för hantering av forsknings- och framtidsfrågor. Utskotten arbetar framför allt med forskningsbaserad och framtidsinriktad information i sa</w:t>
      </w:r>
      <w:r w:rsidRPr="00F5723F">
        <w:t>m</w:t>
      </w:r>
      <w:r w:rsidRPr="00F5723F">
        <w:t>band med utfrågningar och seminarier, studiebesök och studieresor till un</w:t>
      </w:r>
      <w:r w:rsidRPr="00F5723F">
        <w:t>i</w:t>
      </w:r>
      <w:r w:rsidRPr="00F5723F">
        <w:t>versitet, högskolor, sektorsforskningsorgan och myndigheter som bedriver egen forskning, uppföljning och utvärdering samt ärendehantering då man till exempel anordnar utfrågningar och</w:t>
      </w:r>
      <w:r w:rsidRPr="00F5723F">
        <w:t xml:space="preserve"> seminarier. Vad gäller utskottens syn på hur man framgent kan arbeta med forskningsrelaterad och framtidsinriktad information uppger många att man avser att fortsätta som hittills. Fors</w:t>
      </w:r>
      <w:r w:rsidRPr="00F5723F">
        <w:t>k</w:t>
      </w:r>
      <w:r w:rsidRPr="00F5723F">
        <w:t>nings- och framtidsfrågor bör, anses det, företrädesvis hanteras i den reguljära org</w:t>
      </w:r>
      <w:r w:rsidRPr="00F5723F">
        <w:t>a</w:t>
      </w:r>
      <w:r w:rsidRPr="00F5723F">
        <w:t>nis</w:t>
      </w:r>
      <w:r w:rsidRPr="00F5723F">
        <w:t>a</w:t>
      </w:r>
      <w:r w:rsidRPr="00F5723F">
        <w:t>tionen. Några utskott framhåller att intresset för forskningsfrågor bör stimuleras genom till exempel Sällskapet riksdagsmän och forskare, Rifo, och forskningsd</w:t>
      </w:r>
      <w:r w:rsidRPr="00F5723F">
        <w:t>a</w:t>
      </w:r>
      <w:r w:rsidRPr="00F5723F">
        <w:t>gar av det slag som för första gången prövades i riksdagen våren 2004.</w:t>
      </w:r>
      <w:r w:rsidRPr="00F5723F">
        <w:rPr>
          <w:rStyle w:val="Fotnotsreferens"/>
        </w:rPr>
        <w:footnoteReference w:id="61"/>
      </w:r>
    </w:p>
    <w:p w:rsidR="00B43C57" w:rsidRPr="00F5723F" w:rsidRDefault="00B43C57">
      <w:pPr>
        <w:pStyle w:val="Normaltindrag"/>
      </w:pPr>
      <w:r w:rsidRPr="00F5723F">
        <w:t>I föreliggande rapport studeras särskilt två kunskapsförsörjande aktivit</w:t>
      </w:r>
      <w:r w:rsidRPr="00F5723F">
        <w:t>e</w:t>
      </w:r>
      <w:r w:rsidRPr="00F5723F">
        <w:t>ter inom utskotten: utfrågningar, eller hearingar, samt uppföljning och utvärd</w:t>
      </w:r>
      <w:r w:rsidRPr="00F5723F">
        <w:t>e</w:t>
      </w:r>
      <w:r w:rsidRPr="00F5723F">
        <w:t>ring.</w:t>
      </w:r>
    </w:p>
    <w:p w:rsidR="00B43C57" w:rsidRPr="00F5723F" w:rsidRDefault="00B43C57">
      <w:pPr>
        <w:pStyle w:val="Rubrik3"/>
        <w:rPr>
          <w:noProof w:val="0"/>
        </w:rPr>
      </w:pPr>
      <w:bookmarkStart w:id="68" w:name="_Toc121738908"/>
      <w:bookmarkStart w:id="69" w:name="_Toc124697804"/>
      <w:r w:rsidRPr="00F5723F">
        <w:rPr>
          <w:noProof w:val="0"/>
        </w:rPr>
        <w:t>Utfrågningar</w:t>
      </w:r>
      <w:bookmarkEnd w:id="68"/>
      <w:bookmarkEnd w:id="69"/>
    </w:p>
    <w:p w:rsidR="00B43C57" w:rsidRPr="00F5723F" w:rsidRDefault="00B43C57">
      <w:pPr>
        <w:pStyle w:val="R4"/>
      </w:pPr>
      <w:bookmarkStart w:id="70" w:name="_Toc121738909"/>
      <w:r w:rsidRPr="00F5723F">
        <w:t>Bakgrund</w:t>
      </w:r>
      <w:bookmarkEnd w:id="70"/>
    </w:p>
    <w:p w:rsidR="00B43C57" w:rsidRPr="00F5723F" w:rsidRDefault="00B43C57">
      <w:r w:rsidRPr="00F5723F">
        <w:t>Enligt 4 kap. 11 § RO har utskotten möjlighet att i samband med behandlin</w:t>
      </w:r>
      <w:r w:rsidRPr="00F5723F">
        <w:t>g</w:t>
      </w:r>
      <w:r w:rsidRPr="00F5723F">
        <w:t>en av ett ärende begära information (upplysningar och yttranden) från statliga myndigheter, och myndigheterna är då skyldiga att ge utskotten information. Det räcker med att en minoritet om fem utskottsledamöter begär information för att den skall inhämtas av utskottet. Informationen kan lämnas skriftligen eller muntligen. Regeringen har formellt sett endast sky</w:t>
      </w:r>
      <w:r w:rsidRPr="00F5723F">
        <w:t>l</w:t>
      </w:r>
      <w:r w:rsidRPr="00F5723F">
        <w:t>dighet att lämna information till utskotten i EU-frågor, men i praktiken förekommer knappast att regeringen nekar att ge utskotten även annan i</w:t>
      </w:r>
      <w:r w:rsidRPr="00F5723F">
        <w:t>n</w:t>
      </w:r>
      <w:r w:rsidRPr="00F5723F">
        <w:t>fo</w:t>
      </w:r>
      <w:r w:rsidRPr="00F5723F">
        <w:t>rmation när de begär det.</w:t>
      </w:r>
      <w:r w:rsidRPr="00F5723F">
        <w:rPr>
          <w:rStyle w:val="Fotnotsreferens"/>
        </w:rPr>
        <w:footnoteReference w:id="62"/>
      </w:r>
      <w:r w:rsidRPr="00F5723F">
        <w:t xml:space="preserve"> Utskotten kan även bereda kommuner och privata organisationer tillfä</w:t>
      </w:r>
      <w:r w:rsidRPr="00F5723F">
        <w:t>l</w:t>
      </w:r>
      <w:r w:rsidRPr="00F5723F">
        <w:t>le att ge information i ett ärende. Även om de inte är skyldiga att avge info</w:t>
      </w:r>
      <w:r w:rsidRPr="00F5723F">
        <w:t>r</w:t>
      </w:r>
      <w:r w:rsidRPr="00F5723F">
        <w:t>mation torde även dessa i praktiken ställa upp om ett utskott kallar, om inte annat för att de själva är angelägna om att få lämna sina synpunkter i fr</w:t>
      </w:r>
      <w:r w:rsidRPr="00F5723F">
        <w:t>å</w:t>
      </w:r>
      <w:r w:rsidRPr="00F5723F">
        <w:t>gan.</w:t>
      </w:r>
      <w:r w:rsidRPr="00F5723F">
        <w:rPr>
          <w:rStyle w:val="Fotnotsreferens"/>
        </w:rPr>
        <w:footnoteReference w:id="63"/>
      </w:r>
    </w:p>
    <w:p w:rsidR="00B43C57" w:rsidRPr="00F5723F" w:rsidRDefault="00B43C57">
      <w:pPr>
        <w:pStyle w:val="Normaltindrag"/>
      </w:pPr>
      <w:r w:rsidRPr="00F5723F">
        <w:t>Utskotten kan alltså anordna utfrågningar, s.k. hearingar, av sakkunniga e</w:t>
      </w:r>
      <w:r w:rsidRPr="00F5723F">
        <w:t>l</w:t>
      </w:r>
      <w:r w:rsidRPr="00F5723F">
        <w:t>ler grupper för sin kunskapsförsörjning. Sedan 1988 får utfrågningar vara offen</w:t>
      </w:r>
      <w:r w:rsidRPr="00F5723F">
        <w:t>t</w:t>
      </w:r>
      <w:r w:rsidRPr="00F5723F">
        <w:t>liga; utskottens arbete i övrigt måste som bekant ske inom stängda dörrar. Några mer precisa bestämmelser för när en utfrågning får vara offen</w:t>
      </w:r>
      <w:r w:rsidRPr="00F5723F">
        <w:t>t</w:t>
      </w:r>
      <w:r w:rsidRPr="00F5723F">
        <w:t>lig finns inte, utan det bedöms av respektive utskott. Sekretessgrunderna, som återfinns i tryckfrihetsförordningen (2 kap. 2 §), har härvidlag a</w:t>
      </w:r>
      <w:r w:rsidRPr="00F5723F">
        <w:t>n</w:t>
      </w:r>
      <w:r w:rsidRPr="00F5723F">
        <w:t>setts kunna tjäna som riktlinjer för utskotten (jfr prop. 1987/88:22 s. 53–54, bet. KU 1987/88:18).</w:t>
      </w:r>
    </w:p>
    <w:p w:rsidR="00B43C57" w:rsidRPr="00F5723F" w:rsidRDefault="00B43C57">
      <w:pPr>
        <w:pStyle w:val="Normaltindrag"/>
      </w:pPr>
      <w:r w:rsidRPr="00F5723F">
        <w:t>Riksdagskommittén lät kartlägga utskottens</w:t>
      </w:r>
      <w:r w:rsidRPr="00F5723F">
        <w:t xml:space="preserve"> utfrågningar hösten 1999 (förs. 2000/01:RS1 s. 211–214). Totalt anordnades 97 utfrågningar, varav 6 var offentliga. Knappt en tredjedel av utfrågningarna gällde budgeten. Flest u</w:t>
      </w:r>
      <w:r w:rsidRPr="00F5723F">
        <w:t>t</w:t>
      </w:r>
      <w:r w:rsidRPr="00F5723F">
        <w:t>frågningar anordnades av kultur- och näringsutskotten (14 vartera).</w:t>
      </w:r>
    </w:p>
    <w:p w:rsidR="00B43C57" w:rsidRPr="00F5723F" w:rsidRDefault="00B43C57">
      <w:pPr>
        <w:pStyle w:val="R4"/>
      </w:pPr>
      <w:bookmarkStart w:id="71" w:name="_Toc121738910"/>
      <w:r w:rsidRPr="00F5723F">
        <w:t>Offentliga utfrågningar</w:t>
      </w:r>
      <w:bookmarkEnd w:id="71"/>
    </w:p>
    <w:p w:rsidR="00B43C57" w:rsidRPr="00F5723F" w:rsidRDefault="00B43C57">
      <w:r w:rsidRPr="00F5723F">
        <w:t>Någon kartläggning av utskottens samtliga utfrågningar, slutna och offentl</w:t>
      </w:r>
      <w:r w:rsidRPr="00F5723F">
        <w:t>i</w:t>
      </w:r>
      <w:r w:rsidRPr="00F5723F">
        <w:t>ga, har inte genomförts inom ramen för denna undersökning, utan den b</w:t>
      </w:r>
      <w:r w:rsidRPr="00F5723F">
        <w:t>e</w:t>
      </w:r>
      <w:r w:rsidRPr="00F5723F">
        <w:t>gränsar sig till offentliga utfrågningar. I tabell 6:1 redovisas utvecklingen av dessa under perioden 1996/97–2003/04. Som framgår har antalet offentliga utfrå</w:t>
      </w:r>
      <w:r w:rsidRPr="00F5723F">
        <w:t>g</w:t>
      </w:r>
      <w:r w:rsidRPr="00F5723F">
        <w:t>ningar i stort sett varit detsamma under de senaste tio åren. Under föregående riksmöte ökade dock antalet kraftigt. Från att ha legat mellan 20 och 30 per år ökade antalet till 45.</w:t>
      </w:r>
    </w:p>
    <w:p w:rsidR="00B43C57" w:rsidRPr="00F5723F" w:rsidRDefault="00B43C57">
      <w:pPr>
        <w:pStyle w:val="Tabellrubrik"/>
      </w:pPr>
      <w:r w:rsidRPr="00F5723F">
        <w:t>Tabell 6:1 Offentliga utfrågningar i utskotten 1996/97–2003/04</w:t>
      </w:r>
    </w:p>
    <w:tbl>
      <w:tblPr>
        <w:tblW w:w="5825"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597"/>
        <w:gridCol w:w="668"/>
        <w:gridCol w:w="665"/>
        <w:gridCol w:w="665"/>
        <w:gridCol w:w="665"/>
        <w:gridCol w:w="665"/>
        <w:gridCol w:w="665"/>
        <w:gridCol w:w="570"/>
        <w:gridCol w:w="665"/>
      </w:tblGrid>
      <w:tr w:rsidR="00000000" w:rsidRPr="00F5723F">
        <w:tblPrEx>
          <w:tblCellMar>
            <w:top w:w="0" w:type="dxa"/>
            <w:bottom w:w="0" w:type="dxa"/>
          </w:tblCellMar>
        </w:tblPrEx>
        <w:trPr>
          <w:trHeight w:val="247"/>
        </w:trPr>
        <w:tc>
          <w:tcPr>
            <w:tcW w:w="597" w:type="dxa"/>
            <w:tcBorders>
              <w:top w:val="single" w:sz="4" w:space="0" w:color="auto"/>
              <w:bottom w:val="single" w:sz="4" w:space="0" w:color="auto"/>
            </w:tcBorders>
          </w:tcPr>
          <w:p w:rsidR="00B43C57" w:rsidRPr="00F5723F" w:rsidRDefault="00B43C57">
            <w:pPr>
              <w:jc w:val="center"/>
              <w:rPr>
                <w:snapToGrid w:val="0"/>
              </w:rPr>
            </w:pPr>
          </w:p>
        </w:tc>
        <w:tc>
          <w:tcPr>
            <w:tcW w:w="668"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96/97</w:t>
            </w:r>
          </w:p>
        </w:tc>
        <w:tc>
          <w:tcPr>
            <w:tcW w:w="665"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97/98</w:t>
            </w:r>
          </w:p>
        </w:tc>
        <w:tc>
          <w:tcPr>
            <w:tcW w:w="665"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98/99</w:t>
            </w:r>
          </w:p>
        </w:tc>
        <w:tc>
          <w:tcPr>
            <w:tcW w:w="665"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99/00</w:t>
            </w:r>
          </w:p>
        </w:tc>
        <w:tc>
          <w:tcPr>
            <w:tcW w:w="665"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00/01</w:t>
            </w:r>
          </w:p>
        </w:tc>
        <w:tc>
          <w:tcPr>
            <w:tcW w:w="665"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01/02</w:t>
            </w:r>
          </w:p>
        </w:tc>
        <w:tc>
          <w:tcPr>
            <w:tcW w:w="570"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02/03</w:t>
            </w:r>
          </w:p>
        </w:tc>
        <w:tc>
          <w:tcPr>
            <w:tcW w:w="665" w:type="dxa"/>
            <w:tcBorders>
              <w:top w:val="single" w:sz="4" w:space="0" w:color="auto"/>
              <w:bottom w:val="single" w:sz="4" w:space="0" w:color="auto"/>
            </w:tcBorders>
          </w:tcPr>
          <w:p w:rsidR="00B43C57" w:rsidRPr="00F5723F" w:rsidRDefault="00B43C57">
            <w:pPr>
              <w:pStyle w:val="Tabelltextsiffror"/>
              <w:jc w:val="center"/>
              <w:rPr>
                <w:snapToGrid w:val="0"/>
              </w:rPr>
            </w:pPr>
            <w:r w:rsidRPr="00F5723F">
              <w:rPr>
                <w:snapToGrid w:val="0"/>
              </w:rPr>
              <w:t>03/04</w:t>
            </w:r>
          </w:p>
        </w:tc>
      </w:tr>
      <w:tr w:rsidR="00000000" w:rsidRPr="00F5723F">
        <w:tblPrEx>
          <w:tblCellMar>
            <w:top w:w="0" w:type="dxa"/>
            <w:bottom w:w="0" w:type="dxa"/>
          </w:tblCellMar>
        </w:tblPrEx>
        <w:trPr>
          <w:trHeight w:val="247"/>
        </w:trPr>
        <w:tc>
          <w:tcPr>
            <w:tcW w:w="597" w:type="dxa"/>
            <w:tcBorders>
              <w:top w:val="single" w:sz="4" w:space="0" w:color="auto"/>
            </w:tcBorders>
          </w:tcPr>
          <w:p w:rsidR="00B43C57" w:rsidRPr="00F5723F" w:rsidRDefault="00B43C57">
            <w:pPr>
              <w:pStyle w:val="Tabelltext"/>
              <w:rPr>
                <w:snapToGrid w:val="0"/>
              </w:rPr>
            </w:pPr>
            <w:r w:rsidRPr="00F5723F">
              <w:rPr>
                <w:snapToGrid w:val="0"/>
              </w:rPr>
              <w:t xml:space="preserve">KU </w:t>
            </w:r>
          </w:p>
        </w:tc>
        <w:tc>
          <w:tcPr>
            <w:tcW w:w="668"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11</w:t>
            </w:r>
          </w:p>
        </w:tc>
        <w:tc>
          <w:tcPr>
            <w:tcW w:w="665"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9</w:t>
            </w:r>
          </w:p>
        </w:tc>
        <w:tc>
          <w:tcPr>
            <w:tcW w:w="665"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10</w:t>
            </w:r>
          </w:p>
        </w:tc>
        <w:tc>
          <w:tcPr>
            <w:tcW w:w="665"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13</w:t>
            </w:r>
          </w:p>
        </w:tc>
        <w:tc>
          <w:tcPr>
            <w:tcW w:w="665"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11</w:t>
            </w:r>
          </w:p>
        </w:tc>
        <w:tc>
          <w:tcPr>
            <w:tcW w:w="665"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7</w:t>
            </w:r>
          </w:p>
        </w:tc>
        <w:tc>
          <w:tcPr>
            <w:tcW w:w="570"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8</w:t>
            </w:r>
          </w:p>
        </w:tc>
        <w:tc>
          <w:tcPr>
            <w:tcW w:w="665" w:type="dxa"/>
            <w:tcBorders>
              <w:top w:val="single" w:sz="4" w:space="0" w:color="auto"/>
            </w:tcBorders>
          </w:tcPr>
          <w:p w:rsidR="00B43C57" w:rsidRPr="00F5723F" w:rsidRDefault="00B43C57">
            <w:pPr>
              <w:pStyle w:val="Tabelltextsiffror"/>
              <w:tabs>
                <w:tab w:val="decimal" w:pos="353"/>
              </w:tabs>
              <w:jc w:val="left"/>
              <w:rPr>
                <w:snapToGrid w:val="0"/>
              </w:rPr>
            </w:pPr>
            <w:r w:rsidRPr="00F5723F">
              <w:rPr>
                <w:snapToGrid w:val="0"/>
              </w:rPr>
              <w:t>13</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FiU </w:t>
            </w:r>
          </w:p>
        </w:tc>
        <w:tc>
          <w:tcPr>
            <w:tcW w:w="668"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3</w:t>
            </w:r>
          </w:p>
        </w:tc>
        <w:tc>
          <w:tcPr>
            <w:tcW w:w="665" w:type="dxa"/>
          </w:tcPr>
          <w:p w:rsidR="00B43C57" w:rsidRPr="00F5723F" w:rsidRDefault="00B43C57">
            <w:pPr>
              <w:pStyle w:val="Tabelltextsiffror"/>
              <w:tabs>
                <w:tab w:val="decimal" w:pos="353"/>
              </w:tabs>
              <w:jc w:val="left"/>
              <w:rPr>
                <w:snapToGrid w:val="0"/>
              </w:rPr>
            </w:pPr>
            <w:r w:rsidRPr="00F5723F">
              <w:rPr>
                <w:snapToGrid w:val="0"/>
              </w:rPr>
              <w:t>4</w:t>
            </w:r>
          </w:p>
        </w:tc>
        <w:tc>
          <w:tcPr>
            <w:tcW w:w="665" w:type="dxa"/>
          </w:tcPr>
          <w:p w:rsidR="00B43C57" w:rsidRPr="00F5723F" w:rsidRDefault="00B43C57">
            <w:pPr>
              <w:pStyle w:val="Tabelltextsiffror"/>
              <w:tabs>
                <w:tab w:val="decimal" w:pos="353"/>
              </w:tabs>
              <w:jc w:val="left"/>
              <w:rPr>
                <w:snapToGrid w:val="0"/>
              </w:rPr>
            </w:pPr>
            <w:r w:rsidRPr="00F5723F">
              <w:rPr>
                <w:snapToGrid w:val="0"/>
              </w:rPr>
              <w:t>5</w:t>
            </w:r>
          </w:p>
        </w:tc>
        <w:tc>
          <w:tcPr>
            <w:tcW w:w="665" w:type="dxa"/>
          </w:tcPr>
          <w:p w:rsidR="00B43C57" w:rsidRPr="00F5723F" w:rsidRDefault="00B43C57">
            <w:pPr>
              <w:pStyle w:val="Tabelltextsiffror"/>
              <w:tabs>
                <w:tab w:val="decimal" w:pos="353"/>
              </w:tabs>
              <w:jc w:val="left"/>
              <w:rPr>
                <w:snapToGrid w:val="0"/>
              </w:rPr>
            </w:pPr>
            <w:r w:rsidRPr="00F5723F">
              <w:rPr>
                <w:snapToGrid w:val="0"/>
              </w:rPr>
              <w:t>5</w:t>
            </w:r>
          </w:p>
        </w:tc>
        <w:tc>
          <w:tcPr>
            <w:tcW w:w="570" w:type="dxa"/>
          </w:tcPr>
          <w:p w:rsidR="00B43C57" w:rsidRPr="00F5723F" w:rsidRDefault="00B43C57">
            <w:pPr>
              <w:pStyle w:val="Tabelltextsiffror"/>
              <w:tabs>
                <w:tab w:val="decimal" w:pos="353"/>
              </w:tabs>
              <w:jc w:val="left"/>
              <w:rPr>
                <w:snapToGrid w:val="0"/>
              </w:rPr>
            </w:pPr>
            <w:r w:rsidRPr="00F5723F">
              <w:rPr>
                <w:snapToGrid w:val="0"/>
              </w:rPr>
              <w:t>4</w:t>
            </w:r>
          </w:p>
        </w:tc>
        <w:tc>
          <w:tcPr>
            <w:tcW w:w="665" w:type="dxa"/>
          </w:tcPr>
          <w:p w:rsidR="00B43C57" w:rsidRPr="00F5723F" w:rsidRDefault="00B43C57">
            <w:pPr>
              <w:pStyle w:val="Tabelltextsiffror"/>
              <w:tabs>
                <w:tab w:val="decimal" w:pos="353"/>
              </w:tabs>
              <w:jc w:val="left"/>
              <w:rPr>
                <w:snapToGrid w:val="0"/>
              </w:rPr>
            </w:pPr>
            <w:r w:rsidRPr="00F5723F">
              <w:rPr>
                <w:snapToGrid w:val="0"/>
              </w:rPr>
              <w:t>8</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SkU </w:t>
            </w:r>
          </w:p>
        </w:tc>
        <w:tc>
          <w:tcPr>
            <w:tcW w:w="668"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570"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JuU </w:t>
            </w:r>
          </w:p>
        </w:tc>
        <w:tc>
          <w:tcPr>
            <w:tcW w:w="668"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570" w:type="dxa"/>
          </w:tcPr>
          <w:p w:rsidR="00B43C57" w:rsidRPr="00F5723F" w:rsidRDefault="00B43C57">
            <w:pPr>
              <w:pStyle w:val="Tabelltextsiffror"/>
              <w:tabs>
                <w:tab w:val="decimal" w:pos="353"/>
              </w:tabs>
              <w:jc w:val="left"/>
              <w:rPr>
                <w:snapToGrid w:val="0"/>
              </w:rPr>
            </w:pPr>
            <w:r w:rsidRPr="00F5723F">
              <w:rPr>
                <w:snapToGrid w:val="0"/>
              </w:rPr>
              <w:t>5</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LU </w:t>
            </w:r>
          </w:p>
        </w:tc>
        <w:tc>
          <w:tcPr>
            <w:tcW w:w="668"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570"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UU </w:t>
            </w:r>
          </w:p>
        </w:tc>
        <w:tc>
          <w:tcPr>
            <w:tcW w:w="668"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570"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FöU </w:t>
            </w:r>
          </w:p>
        </w:tc>
        <w:tc>
          <w:tcPr>
            <w:tcW w:w="668"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3</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570"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SfU </w:t>
            </w:r>
          </w:p>
        </w:tc>
        <w:tc>
          <w:tcPr>
            <w:tcW w:w="668"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3</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570"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6</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SoU </w:t>
            </w:r>
          </w:p>
        </w:tc>
        <w:tc>
          <w:tcPr>
            <w:tcW w:w="668"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570"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KrU </w:t>
            </w:r>
          </w:p>
        </w:tc>
        <w:tc>
          <w:tcPr>
            <w:tcW w:w="668"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570"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UbU </w:t>
            </w:r>
          </w:p>
        </w:tc>
        <w:tc>
          <w:tcPr>
            <w:tcW w:w="668" w:type="dxa"/>
          </w:tcPr>
          <w:p w:rsidR="00B43C57" w:rsidRPr="00F5723F" w:rsidRDefault="00B43C57">
            <w:pPr>
              <w:pStyle w:val="Tabelltextsiffror"/>
              <w:tabs>
                <w:tab w:val="decimal" w:pos="353"/>
              </w:tabs>
              <w:jc w:val="left"/>
              <w:rPr>
                <w:snapToGrid w:val="0"/>
              </w:rPr>
            </w:pPr>
            <w:r w:rsidRPr="00F5723F">
              <w:rPr>
                <w:snapToGrid w:val="0"/>
              </w:rPr>
              <w:t>4</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570"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TU </w:t>
            </w:r>
          </w:p>
        </w:tc>
        <w:tc>
          <w:tcPr>
            <w:tcW w:w="668"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570" w:type="dxa"/>
          </w:tcPr>
          <w:p w:rsidR="00B43C57" w:rsidRPr="00F5723F" w:rsidRDefault="00B43C57">
            <w:pPr>
              <w:pStyle w:val="Tabelltextsiffror"/>
              <w:tabs>
                <w:tab w:val="decimal" w:pos="353"/>
              </w:tabs>
              <w:jc w:val="left"/>
              <w:rPr>
                <w:snapToGrid w:val="0"/>
              </w:rPr>
            </w:pPr>
            <w:r w:rsidRPr="00F5723F">
              <w:rPr>
                <w:snapToGrid w:val="0"/>
              </w:rPr>
              <w:t>3</w:t>
            </w:r>
          </w:p>
        </w:tc>
        <w:tc>
          <w:tcPr>
            <w:tcW w:w="665" w:type="dxa"/>
          </w:tcPr>
          <w:p w:rsidR="00B43C57" w:rsidRPr="00F5723F" w:rsidRDefault="00B43C57">
            <w:pPr>
              <w:pStyle w:val="Tabelltextsiffror"/>
              <w:tabs>
                <w:tab w:val="decimal" w:pos="353"/>
              </w:tabs>
              <w:jc w:val="left"/>
              <w:rPr>
                <w:snapToGrid w:val="0"/>
              </w:rPr>
            </w:pPr>
            <w:r w:rsidRPr="00F5723F">
              <w:rPr>
                <w:snapToGrid w:val="0"/>
              </w:rPr>
              <w:t>5</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MJU </w:t>
            </w:r>
          </w:p>
        </w:tc>
        <w:tc>
          <w:tcPr>
            <w:tcW w:w="668"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570"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4</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NU </w:t>
            </w:r>
          </w:p>
        </w:tc>
        <w:tc>
          <w:tcPr>
            <w:tcW w:w="668"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570"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AU </w:t>
            </w:r>
          </w:p>
        </w:tc>
        <w:tc>
          <w:tcPr>
            <w:tcW w:w="668"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570"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 xml:space="preserve">BoU </w:t>
            </w:r>
          </w:p>
        </w:tc>
        <w:tc>
          <w:tcPr>
            <w:tcW w:w="668"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1</w:t>
            </w:r>
          </w:p>
        </w:tc>
        <w:tc>
          <w:tcPr>
            <w:tcW w:w="665" w:type="dxa"/>
          </w:tcPr>
          <w:p w:rsidR="00B43C57" w:rsidRPr="00F5723F" w:rsidRDefault="00B43C57">
            <w:pPr>
              <w:pStyle w:val="Tabelltextsiffror"/>
              <w:tabs>
                <w:tab w:val="decimal" w:pos="353"/>
              </w:tabs>
              <w:jc w:val="left"/>
              <w:rPr>
                <w:snapToGrid w:val="0"/>
              </w:rPr>
            </w:pPr>
            <w:r w:rsidRPr="00F5723F">
              <w:rPr>
                <w:snapToGrid w:val="0"/>
              </w:rPr>
              <w:t>2</w:t>
            </w:r>
          </w:p>
        </w:tc>
        <w:tc>
          <w:tcPr>
            <w:tcW w:w="570" w:type="dxa"/>
          </w:tcPr>
          <w:p w:rsidR="00B43C57" w:rsidRPr="00F5723F" w:rsidRDefault="00B43C57">
            <w:pPr>
              <w:pStyle w:val="Tabelltextsiffror"/>
              <w:tabs>
                <w:tab w:val="decimal" w:pos="353"/>
              </w:tabs>
              <w:jc w:val="left"/>
              <w:rPr>
                <w:snapToGrid w:val="0"/>
              </w:rPr>
            </w:pPr>
            <w:r w:rsidRPr="00F5723F">
              <w:rPr>
                <w:snapToGrid w:val="0"/>
              </w:rPr>
              <w:t>0</w:t>
            </w:r>
          </w:p>
        </w:tc>
        <w:tc>
          <w:tcPr>
            <w:tcW w:w="665" w:type="dxa"/>
          </w:tcPr>
          <w:p w:rsidR="00B43C57" w:rsidRPr="00F5723F" w:rsidRDefault="00B43C57">
            <w:pPr>
              <w:pStyle w:val="Tabelltextsiffror"/>
              <w:tabs>
                <w:tab w:val="decimal" w:pos="353"/>
              </w:tabs>
              <w:jc w:val="left"/>
              <w:rPr>
                <w:snapToGrid w:val="0"/>
              </w:rPr>
            </w:pPr>
            <w:r w:rsidRPr="00F5723F">
              <w:rPr>
                <w:snapToGrid w:val="0"/>
              </w:rPr>
              <w:t>0</w:t>
            </w:r>
          </w:p>
        </w:tc>
      </w:tr>
      <w:tr w:rsidR="00000000" w:rsidRPr="00F5723F">
        <w:tblPrEx>
          <w:tblCellMar>
            <w:top w:w="0" w:type="dxa"/>
            <w:bottom w:w="0" w:type="dxa"/>
          </w:tblCellMar>
        </w:tblPrEx>
        <w:trPr>
          <w:trHeight w:val="247"/>
        </w:trPr>
        <w:tc>
          <w:tcPr>
            <w:tcW w:w="597" w:type="dxa"/>
          </w:tcPr>
          <w:p w:rsidR="00B43C57" w:rsidRPr="00F5723F" w:rsidRDefault="00B43C57">
            <w:pPr>
              <w:pStyle w:val="Tabelltext"/>
              <w:rPr>
                <w:snapToGrid w:val="0"/>
              </w:rPr>
            </w:pPr>
            <w:r w:rsidRPr="00F5723F">
              <w:rPr>
                <w:snapToGrid w:val="0"/>
              </w:rPr>
              <w:t>Summa</w:t>
            </w:r>
          </w:p>
        </w:tc>
        <w:tc>
          <w:tcPr>
            <w:tcW w:w="668" w:type="dxa"/>
          </w:tcPr>
          <w:p w:rsidR="00B43C57" w:rsidRPr="00F5723F" w:rsidRDefault="00B43C57">
            <w:pPr>
              <w:pStyle w:val="Tabelltextsiffror"/>
              <w:tabs>
                <w:tab w:val="decimal" w:pos="353"/>
              </w:tabs>
              <w:jc w:val="left"/>
              <w:rPr>
                <w:snapToGrid w:val="0"/>
              </w:rPr>
            </w:pPr>
            <w:r w:rsidRPr="00F5723F">
              <w:rPr>
                <w:snapToGrid w:val="0"/>
              </w:rPr>
              <w:t>26</w:t>
            </w:r>
          </w:p>
        </w:tc>
        <w:tc>
          <w:tcPr>
            <w:tcW w:w="665" w:type="dxa"/>
          </w:tcPr>
          <w:p w:rsidR="00B43C57" w:rsidRPr="00F5723F" w:rsidRDefault="00B43C57">
            <w:pPr>
              <w:pStyle w:val="Tabelltextsiffror"/>
              <w:tabs>
                <w:tab w:val="decimal" w:pos="353"/>
              </w:tabs>
              <w:jc w:val="left"/>
              <w:rPr>
                <w:snapToGrid w:val="0"/>
              </w:rPr>
            </w:pPr>
            <w:r w:rsidRPr="00F5723F">
              <w:rPr>
                <w:snapToGrid w:val="0"/>
              </w:rPr>
              <w:t>23</w:t>
            </w:r>
          </w:p>
        </w:tc>
        <w:tc>
          <w:tcPr>
            <w:tcW w:w="665" w:type="dxa"/>
          </w:tcPr>
          <w:p w:rsidR="00B43C57" w:rsidRPr="00F5723F" w:rsidRDefault="00B43C57">
            <w:pPr>
              <w:pStyle w:val="Tabelltextsiffror"/>
              <w:tabs>
                <w:tab w:val="decimal" w:pos="353"/>
              </w:tabs>
              <w:jc w:val="left"/>
              <w:rPr>
                <w:snapToGrid w:val="0"/>
              </w:rPr>
            </w:pPr>
            <w:r w:rsidRPr="00F5723F">
              <w:rPr>
                <w:snapToGrid w:val="0"/>
              </w:rPr>
              <w:t>18</w:t>
            </w:r>
          </w:p>
        </w:tc>
        <w:tc>
          <w:tcPr>
            <w:tcW w:w="665" w:type="dxa"/>
          </w:tcPr>
          <w:p w:rsidR="00B43C57" w:rsidRPr="00F5723F" w:rsidRDefault="00B43C57">
            <w:pPr>
              <w:pStyle w:val="Tabelltextsiffror"/>
              <w:tabs>
                <w:tab w:val="decimal" w:pos="353"/>
              </w:tabs>
              <w:jc w:val="left"/>
              <w:rPr>
                <w:snapToGrid w:val="0"/>
              </w:rPr>
            </w:pPr>
            <w:r w:rsidRPr="00F5723F">
              <w:rPr>
                <w:snapToGrid w:val="0"/>
              </w:rPr>
              <w:t>30</w:t>
            </w:r>
          </w:p>
        </w:tc>
        <w:tc>
          <w:tcPr>
            <w:tcW w:w="665" w:type="dxa"/>
          </w:tcPr>
          <w:p w:rsidR="00B43C57" w:rsidRPr="00F5723F" w:rsidRDefault="00B43C57">
            <w:pPr>
              <w:pStyle w:val="Tabelltextsiffror"/>
              <w:tabs>
                <w:tab w:val="decimal" w:pos="353"/>
              </w:tabs>
              <w:jc w:val="left"/>
              <w:rPr>
                <w:snapToGrid w:val="0"/>
              </w:rPr>
            </w:pPr>
            <w:r w:rsidRPr="00F5723F">
              <w:rPr>
                <w:snapToGrid w:val="0"/>
              </w:rPr>
              <w:t>27</w:t>
            </w:r>
          </w:p>
        </w:tc>
        <w:tc>
          <w:tcPr>
            <w:tcW w:w="665" w:type="dxa"/>
          </w:tcPr>
          <w:p w:rsidR="00B43C57" w:rsidRPr="00F5723F" w:rsidRDefault="00B43C57">
            <w:pPr>
              <w:pStyle w:val="Tabelltextsiffror"/>
              <w:tabs>
                <w:tab w:val="decimal" w:pos="353"/>
              </w:tabs>
              <w:jc w:val="left"/>
              <w:rPr>
                <w:snapToGrid w:val="0"/>
              </w:rPr>
            </w:pPr>
            <w:r w:rsidRPr="00F5723F">
              <w:rPr>
                <w:snapToGrid w:val="0"/>
              </w:rPr>
              <w:t>24</w:t>
            </w:r>
          </w:p>
        </w:tc>
        <w:tc>
          <w:tcPr>
            <w:tcW w:w="570" w:type="dxa"/>
          </w:tcPr>
          <w:p w:rsidR="00B43C57" w:rsidRPr="00F5723F" w:rsidRDefault="00B43C57">
            <w:pPr>
              <w:pStyle w:val="Tabelltextsiffror"/>
              <w:tabs>
                <w:tab w:val="decimal" w:pos="353"/>
              </w:tabs>
              <w:jc w:val="left"/>
              <w:rPr>
                <w:snapToGrid w:val="0"/>
              </w:rPr>
            </w:pPr>
            <w:r w:rsidRPr="00F5723F">
              <w:rPr>
                <w:snapToGrid w:val="0"/>
              </w:rPr>
              <w:t>27</w:t>
            </w:r>
          </w:p>
        </w:tc>
        <w:tc>
          <w:tcPr>
            <w:tcW w:w="665" w:type="dxa"/>
          </w:tcPr>
          <w:p w:rsidR="00B43C57" w:rsidRPr="00F5723F" w:rsidRDefault="00B43C57">
            <w:pPr>
              <w:pStyle w:val="Tabelltextsiffror"/>
              <w:tabs>
                <w:tab w:val="decimal" w:pos="353"/>
              </w:tabs>
              <w:jc w:val="left"/>
              <w:rPr>
                <w:snapToGrid w:val="0"/>
              </w:rPr>
            </w:pPr>
            <w:r w:rsidRPr="00F5723F">
              <w:rPr>
                <w:snapToGrid w:val="0"/>
              </w:rPr>
              <w:t>45</w:t>
            </w:r>
          </w:p>
        </w:tc>
      </w:tr>
    </w:tbl>
    <w:p w:rsidR="00B43C57" w:rsidRPr="00F5723F" w:rsidRDefault="00B43C57">
      <w:pPr>
        <w:spacing w:line="240" w:lineRule="auto"/>
        <w:rPr>
          <w:sz w:val="16"/>
          <w:szCs w:val="16"/>
        </w:rPr>
      </w:pPr>
      <w:r w:rsidRPr="00F5723F">
        <w:rPr>
          <w:rFonts w:ascii="Arial" w:hAnsi="Arial" w:cs="Arial"/>
          <w:b/>
          <w:sz w:val="16"/>
          <w:szCs w:val="16"/>
        </w:rPr>
        <w:t>Kommentar:</w:t>
      </w:r>
      <w:r w:rsidRPr="00F5723F">
        <w:rPr>
          <w:rFonts w:ascii="Arial" w:hAnsi="Arial" w:cs="Arial"/>
          <w:sz w:val="16"/>
          <w:szCs w:val="16"/>
        </w:rPr>
        <w:t xml:space="preserve"> I tabellen ingår inte utfrågningar som anordnats av enbart ett sa</w:t>
      </w:r>
      <w:r w:rsidRPr="00F5723F">
        <w:rPr>
          <w:rFonts w:ascii="Arial" w:hAnsi="Arial" w:cs="Arial"/>
          <w:sz w:val="16"/>
          <w:szCs w:val="16"/>
        </w:rPr>
        <w:t>m</w:t>
      </w:r>
      <w:r w:rsidRPr="00F5723F">
        <w:rPr>
          <w:rFonts w:ascii="Arial" w:hAnsi="Arial" w:cs="Arial"/>
          <w:sz w:val="16"/>
          <w:szCs w:val="16"/>
        </w:rPr>
        <w:t>mansatt utskott eller EU-nämnden. Summan i tabellen för respektive riksmöte kan skilja från summan av alla utskottsutfrågnin</w:t>
      </w:r>
      <w:r w:rsidRPr="00F5723F">
        <w:rPr>
          <w:rFonts w:ascii="Arial" w:hAnsi="Arial" w:cs="Arial"/>
          <w:sz w:val="16"/>
          <w:szCs w:val="16"/>
        </w:rPr>
        <w:t>g</w:t>
      </w:r>
      <w:r w:rsidRPr="00F5723F">
        <w:rPr>
          <w:rFonts w:ascii="Arial" w:hAnsi="Arial" w:cs="Arial"/>
          <w:sz w:val="16"/>
          <w:szCs w:val="16"/>
        </w:rPr>
        <w:t>ar under ett riksmöte eftersom vissa utfrågningar anordnas i samarb</w:t>
      </w:r>
      <w:r w:rsidRPr="00F5723F">
        <w:rPr>
          <w:rFonts w:ascii="Arial" w:hAnsi="Arial" w:cs="Arial"/>
          <w:sz w:val="16"/>
          <w:szCs w:val="16"/>
        </w:rPr>
        <w:t>e</w:t>
      </w:r>
      <w:r w:rsidRPr="00F5723F">
        <w:rPr>
          <w:rFonts w:ascii="Arial" w:hAnsi="Arial" w:cs="Arial"/>
          <w:sz w:val="16"/>
          <w:szCs w:val="16"/>
        </w:rPr>
        <w:t>te mellan flera utskott.</w:t>
      </w:r>
      <w:r w:rsidRPr="00F5723F">
        <w:rPr>
          <w:rFonts w:ascii="Arial" w:hAnsi="Arial" w:cs="Arial"/>
          <w:b/>
          <w:sz w:val="16"/>
          <w:szCs w:val="16"/>
        </w:rPr>
        <w:t xml:space="preserve"> Källa</w:t>
      </w:r>
      <w:r w:rsidRPr="00F5723F">
        <w:rPr>
          <w:rFonts w:ascii="Arial" w:hAnsi="Arial" w:cs="Arial"/>
          <w:i/>
          <w:sz w:val="16"/>
          <w:szCs w:val="16"/>
        </w:rPr>
        <w:t>:</w:t>
      </w:r>
      <w:r w:rsidRPr="00F5723F">
        <w:rPr>
          <w:rFonts w:ascii="Arial" w:hAnsi="Arial" w:cs="Arial"/>
          <w:sz w:val="16"/>
          <w:szCs w:val="16"/>
        </w:rPr>
        <w:t xml:space="preserve"> Riksdagen i siffror, www.riksdagen.se</w:t>
      </w:r>
      <w:r w:rsidRPr="00F5723F">
        <w:rPr>
          <w:rFonts w:ascii="Arial" w:hAnsi="Arial" w:cs="Arial"/>
          <w:sz w:val="16"/>
          <w:szCs w:val="16"/>
        </w:rPr>
        <w:t>.</w:t>
      </w:r>
    </w:p>
    <w:p w:rsidR="00B43C57" w:rsidRPr="00F5723F" w:rsidRDefault="00B43C57"/>
    <w:p w:rsidR="00B43C57" w:rsidRPr="00F5723F" w:rsidRDefault="00B43C57">
      <w:r w:rsidRPr="00F5723F">
        <w:t>Vidare kan noteras att vanligtvis en stor majoritet av utskotten anordnar å</w:t>
      </w:r>
      <w:r w:rsidRPr="00F5723F">
        <w:t>t</w:t>
      </w:r>
      <w:r w:rsidRPr="00F5723F">
        <w:t>minstone någon offentlig utfrågning varje riksmöte. Sett till de första två riksmötena under innevarande valperiod är det endast två utskott, kultur- och bostadsutskotten, som inte har anordnat någon offentlig utfrågning; av dessa har senare kulturutskottet genomfört en offentlig utfrågning i oktober 2004.</w:t>
      </w:r>
    </w:p>
    <w:p w:rsidR="00B43C57" w:rsidRPr="00F5723F" w:rsidRDefault="00B43C57">
      <w:pPr>
        <w:pStyle w:val="Normaltindrag"/>
      </w:pPr>
      <w:r w:rsidRPr="00F5723F">
        <w:t>Det utskott som genomgående anordnar flest offentliga utfrågningar är konstitutionsutskottet. Detta hänger naturligtvis samman med utskottets granskning av regeringen, då utfrågningar av statsministern o</w:t>
      </w:r>
      <w:r w:rsidRPr="00F5723F">
        <w:t>ch andra stat</w:t>
      </w:r>
      <w:r w:rsidRPr="00F5723F">
        <w:t>s</w:t>
      </w:r>
      <w:r w:rsidRPr="00F5723F">
        <w:t>råd utgör ett väsentligt inslag i verksamheten. Totalt har konstitutionsutsko</w:t>
      </w:r>
      <w:r w:rsidRPr="00F5723F">
        <w:t>t</w:t>
      </w:r>
      <w:r w:rsidRPr="00F5723F">
        <w:t>tet stått för mellan cirka en tredjedel och hälften av alla offentliga utfrå</w:t>
      </w:r>
      <w:r w:rsidRPr="00F5723F">
        <w:t>g</w:t>
      </w:r>
      <w:r w:rsidRPr="00F5723F">
        <w:t>ningar som a</w:t>
      </w:r>
      <w:r w:rsidRPr="00F5723F">
        <w:t>n</w:t>
      </w:r>
      <w:r w:rsidRPr="00F5723F">
        <w:t>ordnas av utskotten under ett riksmöte. Andra utskott som historiskt sett a</w:t>
      </w:r>
      <w:r w:rsidRPr="00F5723F">
        <w:t>n</w:t>
      </w:r>
      <w:r w:rsidRPr="00F5723F">
        <w:t>ordnar förhållandevis många offentliga utfrågningar är finans- och socialförsäkringsutskotten. Bland annat kan här nämnas finan</w:t>
      </w:r>
      <w:r w:rsidRPr="00F5723F">
        <w:t>s</w:t>
      </w:r>
      <w:r w:rsidRPr="00F5723F">
        <w:t>utskottets utfrågningar två gånger per år (höst och vår) av riksbankschefen om den aktuella penningpolitiken. Socialförsäkring</w:t>
      </w:r>
      <w:r w:rsidRPr="00F5723F">
        <w:t>sutskottet har på senare år anor</w:t>
      </w:r>
      <w:r w:rsidRPr="00F5723F">
        <w:t>d</w:t>
      </w:r>
      <w:r w:rsidRPr="00F5723F">
        <w:t>nat flera utfrågningar om den ökande sjukfrånvaron och om asyl- och migr</w:t>
      </w:r>
      <w:r w:rsidRPr="00F5723F">
        <w:t>a</w:t>
      </w:r>
      <w:r w:rsidRPr="00F5723F">
        <w:t>tionspolitiken.</w:t>
      </w:r>
    </w:p>
    <w:p w:rsidR="00B43C57" w:rsidRPr="00F5723F" w:rsidRDefault="00B43C57">
      <w:pPr>
        <w:pStyle w:val="Normaltindrag"/>
      </w:pPr>
      <w:r w:rsidRPr="00F5723F">
        <w:t>Om ökningen av antalet offentliga utfrågningar är bestående är ännu så länge för tidigt att sia om. För att det faktiskt rör sig om en ihållande up</w:t>
      </w:r>
      <w:r w:rsidRPr="00F5723F">
        <w:t>p</w:t>
      </w:r>
      <w:r w:rsidRPr="00F5723F">
        <w:t>gång talar, som framgick ovan i avsnittet Sammanträden, att flera kanslier bedömer att utfrågningar är en aktivitet som ledamöterna i framtiden vill ägna mer tid åt i utskottsarbetet. Vad en sådan eventuell utveckling beror på kan diskut</w:t>
      </w:r>
      <w:r w:rsidRPr="00F5723F">
        <w:t>e</w:t>
      </w:r>
      <w:r w:rsidRPr="00F5723F">
        <w:t>ras. Möjligen skulle den kunna tyda på att utskotten delvis går mot en ny roll i det politiska systemet, vilken innebär att utskotten blir mer utåtriktat aktiva och, vid sidan av kammaren, börjar fungera som egna o</w:t>
      </w:r>
      <w:r w:rsidRPr="00F5723F">
        <w:t>f</w:t>
      </w:r>
      <w:r w:rsidRPr="00F5723F">
        <w:t>fentliga arenor för den dagspolitiska debatten.</w:t>
      </w:r>
    </w:p>
    <w:p w:rsidR="00B43C57" w:rsidRPr="00F5723F" w:rsidRDefault="00B43C57">
      <w:pPr>
        <w:pStyle w:val="R4"/>
      </w:pPr>
      <w:bookmarkStart w:id="72" w:name="_Toc121738911"/>
      <w:r w:rsidRPr="00F5723F">
        <w:t>Kanslierna</w:t>
      </w:r>
      <w:r w:rsidRPr="00F5723F">
        <w:t>s stöd till utskotten</w:t>
      </w:r>
      <w:bookmarkEnd w:id="72"/>
    </w:p>
    <w:p w:rsidR="00B43C57" w:rsidRPr="00F5723F" w:rsidRDefault="00B43C57">
      <w:r w:rsidRPr="00F5723F">
        <w:t>Vad gäller arrangemangen av offentliga utfrågningar äger de flesta rum i andrakammarsalen. Även Skandiasalen utnyttjas ofta för nämnda ändamål. Andra lokaler som utnyttjas, om än mindre ofta, är förstakammarsalen och utskottens egna sessionssalar.</w:t>
      </w:r>
    </w:p>
    <w:p w:rsidR="00B43C57" w:rsidRPr="00F5723F" w:rsidRDefault="00B43C57">
      <w:pPr>
        <w:pStyle w:val="Normaltindrag"/>
      </w:pPr>
      <w:r w:rsidRPr="00F5723F">
        <w:t>Kanslierna bistår utskotten med praktiska förberedelser inför utfrågninga</w:t>
      </w:r>
      <w:r w:rsidRPr="00F5723F">
        <w:t>r</w:t>
      </w:r>
      <w:r w:rsidRPr="00F5723F">
        <w:t>na, till exempel planering, inbjudningar, lokalbokning. Utöver det bistår fle</w:t>
      </w:r>
      <w:r w:rsidRPr="00F5723F">
        <w:t>r</w:t>
      </w:r>
      <w:r w:rsidRPr="00F5723F">
        <w:t>talet kanslier även sina utskott med förberedelser av de ärenden som avhan</w:t>
      </w:r>
      <w:r w:rsidRPr="00F5723F">
        <w:t>d</w:t>
      </w:r>
      <w:r w:rsidRPr="00F5723F">
        <w:t>las på utfrå</w:t>
      </w:r>
      <w:r w:rsidRPr="00F5723F">
        <w:t>g</w:t>
      </w:r>
      <w:r w:rsidRPr="00F5723F">
        <w:t>ningarna. Oftast handlar det om att ta fram bakgrundsmaterial eller författa bakgrundspromemorior. Mindre vanligt är att kanslierna tar fram förslag på frågor. Ett fåtal kanslier uppger att man aldrig bistår med några förberedelser (förutom praktiska) inför utfrågningar. Ett skäl som anförs är att det är de inbjudna som är experter, inte kansl</w:t>
      </w:r>
      <w:r w:rsidRPr="00F5723F">
        <w:t>iet.</w:t>
      </w:r>
    </w:p>
    <w:p w:rsidR="00B43C57" w:rsidRPr="00F5723F" w:rsidRDefault="00B43C57">
      <w:pPr>
        <w:pStyle w:val="Rubrik3"/>
        <w:rPr>
          <w:noProof w:val="0"/>
        </w:rPr>
      </w:pPr>
      <w:bookmarkStart w:id="73" w:name="_Toc121738912"/>
      <w:bookmarkStart w:id="74" w:name="_Toc124697805"/>
      <w:r w:rsidRPr="00F5723F">
        <w:rPr>
          <w:noProof w:val="0"/>
        </w:rPr>
        <w:t>Uppföljning och utvärdering</w:t>
      </w:r>
      <w:bookmarkEnd w:id="73"/>
      <w:bookmarkEnd w:id="74"/>
    </w:p>
    <w:p w:rsidR="00B43C57" w:rsidRPr="00F5723F" w:rsidRDefault="00B43C57">
      <w:pPr>
        <w:pStyle w:val="R4"/>
      </w:pPr>
      <w:bookmarkStart w:id="75" w:name="_Toc121738913"/>
      <w:r w:rsidRPr="00F5723F">
        <w:t>Bakgrund</w:t>
      </w:r>
      <w:bookmarkEnd w:id="75"/>
    </w:p>
    <w:p w:rsidR="00B43C57" w:rsidRPr="00F5723F" w:rsidRDefault="00B43C57">
      <w:r w:rsidRPr="00F5723F">
        <w:t xml:space="preserve">Riksdagskommittén ansåg i sitt huvudbetänkande </w:t>
      </w:r>
      <w:r w:rsidRPr="00F5723F">
        <w:rPr>
          <w:i/>
        </w:rPr>
        <w:t>Riksdagen inför 2000-talet</w:t>
      </w:r>
      <w:r w:rsidRPr="00F5723F">
        <w:t xml:space="preserve"> att riksdagen i ökad utsträckning skulle följa upp och utvärdera fattade beslut. Kommittén anförde att riksdagen från konstitutionella utgångspun</w:t>
      </w:r>
      <w:r w:rsidRPr="00F5723F">
        <w:t>k</w:t>
      </w:r>
      <w:r w:rsidRPr="00F5723F">
        <w:t>ter har ett övergripande ansvar och särskilt stor anledning att ställa sig fr</w:t>
      </w:r>
      <w:r w:rsidRPr="00F5723F">
        <w:t>å</w:t>
      </w:r>
      <w:r w:rsidRPr="00F5723F">
        <w:t>gan hur beslut genomförs, vad som presterats inom olika verksamhetsomr</w:t>
      </w:r>
      <w:r w:rsidRPr="00F5723F">
        <w:t>å</w:t>
      </w:r>
      <w:r w:rsidRPr="00F5723F">
        <w:t>den och vilka effekterna blivit. Kommittén ansåg att riksdagen i ökad u</w:t>
      </w:r>
      <w:r w:rsidRPr="00F5723F">
        <w:t>t</w:t>
      </w:r>
      <w:r w:rsidRPr="00F5723F">
        <w:t>sträckning skulle arbeta med uppföljning och utvärdering och att det fanns behov av konkreta åtgärder för att stärka g</w:t>
      </w:r>
      <w:r w:rsidRPr="00F5723F">
        <w:t>enomförandet av ett förändrat arbetssätt i riksdagen. I enlighet med Riksdagskommitténs förslag beslutade riksdagen bland annat om en ny bestämmelse i RO där det sägs att i utskottens beredning av ärend</w:t>
      </w:r>
      <w:r w:rsidRPr="00F5723F">
        <w:t>e</w:t>
      </w:r>
      <w:r w:rsidRPr="00F5723F">
        <w:t>na skall ingå uppgiften att följa upp och utvärdera riksdagsbeslut inom deras ämne</w:t>
      </w:r>
      <w:r w:rsidRPr="00F5723F">
        <w:t>s</w:t>
      </w:r>
      <w:r w:rsidRPr="00F5723F">
        <w:t>områden.</w:t>
      </w:r>
    </w:p>
    <w:p w:rsidR="00B43C57" w:rsidRPr="00F5723F" w:rsidRDefault="00B43C57">
      <w:pPr>
        <w:pStyle w:val="Normaltindrag"/>
      </w:pPr>
      <w:r w:rsidRPr="00F5723F">
        <w:t>I de intervjuer som Riksdagskommittén lät genomföra med kanslichefe</w:t>
      </w:r>
      <w:r w:rsidRPr="00F5723F">
        <w:t>r</w:t>
      </w:r>
      <w:r w:rsidRPr="00F5723F">
        <w:t>na vid utskotten framkom att ledamöternas intresse för uppföljning och utvärd</w:t>
      </w:r>
      <w:r w:rsidRPr="00F5723F">
        <w:t>e</w:t>
      </w:r>
      <w:r w:rsidRPr="00F5723F">
        <w:t>ring upplevdes som svagt. En del kanslichefer ansåg också att utskottskansl</w:t>
      </w:r>
      <w:r w:rsidRPr="00F5723F">
        <w:t>i</w:t>
      </w:r>
      <w:r w:rsidRPr="00F5723F">
        <w:t>erna inte kunde vara pådrivande i uppföljningsarbetet om inte ledamöterna gav uttryck för detta. Det uttalades också att det var tveksamt om utskotten skulle hålla på med uppföljning och utvärdering, då utskotts</w:t>
      </w:r>
      <w:r w:rsidRPr="00F5723F">
        <w:softHyphen/>
        <w:t>kanslierna är dimensionerade för ärendeberedning och inte för denna typ av arbetsuppgi</w:t>
      </w:r>
      <w:r w:rsidRPr="00F5723F">
        <w:t>f</w:t>
      </w:r>
      <w:r w:rsidRPr="00F5723F">
        <w:t>ter. Rik</w:t>
      </w:r>
      <w:r w:rsidRPr="00F5723F">
        <w:t>s</w:t>
      </w:r>
      <w:r w:rsidRPr="00F5723F">
        <w:t>dagskommittén menade att det rådde oklarhet om va</w:t>
      </w:r>
      <w:r w:rsidRPr="00F5723F">
        <w:t>d som skall göras, vem som skall ta initiativet och hur det skall göras. Led</w:t>
      </w:r>
      <w:r w:rsidRPr="00F5723F">
        <w:t>a</w:t>
      </w:r>
      <w:r w:rsidRPr="00F5723F">
        <w:t>möter och utskottskanslier hade olika förväntansbilder på varandra. Ko</w:t>
      </w:r>
      <w:r w:rsidRPr="00F5723F">
        <w:t>m</w:t>
      </w:r>
      <w:r w:rsidRPr="00F5723F">
        <w:t>mittén menade att det var utomordentligt viktigt att ledamöterna och u</w:t>
      </w:r>
      <w:r w:rsidRPr="00F5723F">
        <w:t>t</w:t>
      </w:r>
      <w:r w:rsidRPr="00F5723F">
        <w:t>skottspresidierna blir mer drivande när det gäller uppföljning och utvärd</w:t>
      </w:r>
      <w:r w:rsidRPr="00F5723F">
        <w:t>e</w:t>
      </w:r>
      <w:r w:rsidRPr="00F5723F">
        <w:t>ring av riksdagens beslut. Även tjän</w:t>
      </w:r>
      <w:r w:rsidRPr="00F5723F">
        <w:t>s</w:t>
      </w:r>
      <w:r w:rsidRPr="00F5723F">
        <w:t xml:space="preserve">temännen vid utskottskanslierna borde kunna spela en aktivare roll. </w:t>
      </w:r>
    </w:p>
    <w:p w:rsidR="00B43C57" w:rsidRPr="00F5723F" w:rsidRDefault="00B43C57">
      <w:pPr>
        <w:pStyle w:val="R4"/>
      </w:pPr>
      <w:bookmarkStart w:id="76" w:name="_Toc121738914"/>
      <w:r w:rsidRPr="00F5723F">
        <w:t>Omfattning</w:t>
      </w:r>
      <w:bookmarkEnd w:id="76"/>
    </w:p>
    <w:p w:rsidR="00B43C57" w:rsidRPr="00F5723F" w:rsidRDefault="00B43C57">
      <w:r w:rsidRPr="00F5723F">
        <w:t>Som framgått under avsnittet Sammanträden ovan ägnas i dag, enligt kansl</w:t>
      </w:r>
      <w:r w:rsidRPr="00F5723F">
        <w:t>i</w:t>
      </w:r>
      <w:r w:rsidRPr="00F5723F">
        <w:t>ernas bedömningar, endast en liten del av utskottens sammanträdestid åt uppföljning och utvärdering (se tabell 4:4). Samtidigt görs i flera fall bedö</w:t>
      </w:r>
      <w:r w:rsidRPr="00F5723F">
        <w:t>m</w:t>
      </w:r>
      <w:r w:rsidRPr="00F5723F">
        <w:t>ningen att uppföljning och utvärdering är en av de aktiviteter som ledamöte</w:t>
      </w:r>
      <w:r w:rsidRPr="00F5723F">
        <w:t>r</w:t>
      </w:r>
      <w:r w:rsidRPr="00F5723F">
        <w:t>na i framtiden vill ägna mer tid åt. Flera kanslier, dock inte alla, gör också bedömningen att utskottets arbete med uppföljning och utvärdering bör öka.</w:t>
      </w:r>
    </w:p>
    <w:p w:rsidR="00B43C57" w:rsidRPr="00F5723F" w:rsidRDefault="00B43C57">
      <w:pPr>
        <w:pStyle w:val="Normaltindrag"/>
      </w:pPr>
      <w:r w:rsidRPr="00F5723F">
        <w:t xml:space="preserve">Härutöver framhåller vissa att uppföljning och utvärdering förekommer i flera sammanhang och former utan att det klassificeras som </w:t>
      </w:r>
      <w:r w:rsidRPr="00F5723F">
        <w:t>uppföljning eller utvärdering i formell mening, till exempel som ett led i beredningen av m</w:t>
      </w:r>
      <w:r w:rsidRPr="00F5723F">
        <w:t>o</w:t>
      </w:r>
      <w:r w:rsidRPr="00F5723F">
        <w:t>tioner och som utfrågningar och studiebesök. Uppföljnings- och utvärdering</w:t>
      </w:r>
      <w:r w:rsidRPr="00F5723F">
        <w:t>s</w:t>
      </w:r>
      <w:r w:rsidRPr="00F5723F">
        <w:t>arbetet är enligt detta synsätt mer omfattande än vad statistik gör gällande. Vidare a</w:t>
      </w:r>
      <w:r w:rsidRPr="00F5723F">
        <w:t>n</w:t>
      </w:r>
      <w:r w:rsidRPr="00F5723F">
        <w:t>förs att det i uppföljnings- och utvärderingsarbetet även ingår att följa med i det arbete som bedrivs på annat håll. Att utskottet bedriver up</w:t>
      </w:r>
      <w:r w:rsidRPr="00F5723F">
        <w:t>p</w:t>
      </w:r>
      <w:r w:rsidRPr="00F5723F">
        <w:t>följning och utvärdering i egen regi anses då inte vara något självändamål.</w:t>
      </w:r>
    </w:p>
    <w:p w:rsidR="00B43C57" w:rsidRPr="00F5723F" w:rsidRDefault="00B43C57">
      <w:pPr>
        <w:pStyle w:val="Normaltindrag"/>
      </w:pPr>
      <w:r w:rsidRPr="00F5723F">
        <w:t>Riksdagens utredningstjänst har i en p</w:t>
      </w:r>
      <w:r w:rsidRPr="00F5723F">
        <w:t>romemoria sammanställt genomfö</w:t>
      </w:r>
      <w:r w:rsidRPr="00F5723F">
        <w:t>r</w:t>
      </w:r>
      <w:r w:rsidRPr="00F5723F">
        <w:t>da, pågående och planerade uppföljnings- och utvärderingsprojekt i u</w:t>
      </w:r>
      <w:r w:rsidRPr="00F5723F">
        <w:t>t</w:t>
      </w:r>
      <w:r w:rsidRPr="00F5723F">
        <w:t>skotten under innevarande valperiod t.o.m. november 2004.</w:t>
      </w:r>
      <w:r w:rsidRPr="00F5723F">
        <w:rPr>
          <w:rStyle w:val="Fotnotsreferens"/>
        </w:rPr>
        <w:footnoteReference w:id="64"/>
      </w:r>
      <w:r w:rsidRPr="00F5723F">
        <w:t xml:space="preserve"> Sammanstäl</w:t>
      </w:r>
      <w:r w:rsidRPr="00F5723F">
        <w:t>l</w:t>
      </w:r>
      <w:r w:rsidRPr="00F5723F">
        <w:t>ningen bygger på uppgifter som redovisats av utskottskanslierna till utre</w:t>
      </w:r>
      <w:r w:rsidRPr="00F5723F">
        <w:t>d</w:t>
      </w:r>
      <w:r w:rsidRPr="00F5723F">
        <w:t>nings</w:t>
      </w:r>
      <w:r w:rsidRPr="00F5723F">
        <w:softHyphen/>
        <w:t>tjänstens funktion för uppföljning och utvärdering och omfattar huvud</w:t>
      </w:r>
      <w:r w:rsidRPr="00F5723F">
        <w:softHyphen/>
        <w:t>sakligen projektinriktad eller tematisk uppföljning och utvärdering som b</w:t>
      </w:r>
      <w:r w:rsidRPr="00F5723F">
        <w:t>e</w:t>
      </w:r>
      <w:r w:rsidRPr="00F5723F">
        <w:t>drivs i utskotten; uppföljning som sker löpande redovisas endast när det rör sig om särskilt omfattande insatser och där uppföljning och utvärdering ingår som huvudmoment i beredningsarbetet. Som framgår av tabell 6:2 har nästan samtliga utskott rapporterat åtminstone ett pro</w:t>
      </w:r>
      <w:r w:rsidRPr="00F5723F">
        <w:t>jekt. Det vanligaste är att u</w:t>
      </w:r>
      <w:r w:rsidRPr="00F5723F">
        <w:t>t</w:t>
      </w:r>
      <w:r w:rsidRPr="00F5723F">
        <w:t>skotten under den studerade perioden (ca 2,5 år) antingen har avslutat eller fortfarande håller på med ett projekt; detta uppges av sju utskott. Flest up</w:t>
      </w:r>
      <w:r w:rsidRPr="00F5723F">
        <w:t>p</w:t>
      </w:r>
      <w:r w:rsidRPr="00F5723F">
        <w:t>följnings- och utvärderingsprojekt har justitie-, miljö- och jordbruks- samt konstitutionsutskotten (8, 8 respektive 5).</w:t>
      </w:r>
    </w:p>
    <w:p w:rsidR="00B43C57" w:rsidRPr="00F5723F" w:rsidRDefault="00B43C57">
      <w:pPr>
        <w:pStyle w:val="Tabellrubrik"/>
      </w:pPr>
      <w:r w:rsidRPr="00F5723F">
        <w:t>TAbell 6:2 Genomförda, pågående och planerade uppföljnings- och utvärd</w:t>
      </w:r>
      <w:r w:rsidRPr="00F5723F">
        <w:t>e</w:t>
      </w:r>
      <w:r w:rsidRPr="00F5723F">
        <w:t>ringsprojekt</w:t>
      </w:r>
    </w:p>
    <w:tbl>
      <w:tblPr>
        <w:tblW w:w="5842" w:type="dxa"/>
        <w:tblLayout w:type="fixed"/>
        <w:tblCellMar>
          <w:left w:w="30" w:type="dxa"/>
          <w:right w:w="30" w:type="dxa"/>
        </w:tblCellMar>
        <w:tblLook w:val="0000" w:firstRow="0" w:lastRow="0" w:firstColumn="0" w:lastColumn="0" w:noHBand="0" w:noVBand="0"/>
      </w:tblPr>
      <w:tblGrid>
        <w:gridCol w:w="881"/>
        <w:gridCol w:w="1276"/>
        <w:gridCol w:w="1275"/>
        <w:gridCol w:w="1276"/>
        <w:gridCol w:w="1134"/>
      </w:tblGrid>
      <w:tr w:rsidR="00000000" w:rsidRPr="00F5723F">
        <w:tblPrEx>
          <w:tblCellMar>
            <w:top w:w="0" w:type="dxa"/>
            <w:bottom w:w="0" w:type="dxa"/>
          </w:tblCellMar>
        </w:tblPrEx>
        <w:trPr>
          <w:trHeight w:val="247"/>
        </w:trPr>
        <w:tc>
          <w:tcPr>
            <w:tcW w:w="881" w:type="dxa"/>
            <w:tcBorders>
              <w:top w:val="single" w:sz="4" w:space="0" w:color="auto"/>
              <w:bottom w:val="single" w:sz="4" w:space="0" w:color="auto"/>
            </w:tcBorders>
          </w:tcPr>
          <w:p w:rsidR="00B43C57" w:rsidRPr="00F5723F" w:rsidRDefault="00B43C57">
            <w:pPr>
              <w:pStyle w:val="Tabelltext"/>
              <w:rPr>
                <w:snapToGrid w:val="0"/>
              </w:rPr>
            </w:pPr>
          </w:p>
        </w:tc>
        <w:tc>
          <w:tcPr>
            <w:tcW w:w="1276"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Avslutade</w:t>
            </w:r>
            <w:r w:rsidRPr="00F5723F">
              <w:rPr>
                <w:snapToGrid w:val="0"/>
              </w:rPr>
              <w:br/>
              <w:t>projekt</w:t>
            </w:r>
          </w:p>
        </w:tc>
        <w:tc>
          <w:tcPr>
            <w:tcW w:w="1275"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Pågående</w:t>
            </w:r>
            <w:r w:rsidRPr="00F5723F">
              <w:rPr>
                <w:snapToGrid w:val="0"/>
              </w:rPr>
              <w:br/>
              <w:t>projekt</w:t>
            </w:r>
          </w:p>
        </w:tc>
        <w:tc>
          <w:tcPr>
            <w:tcW w:w="1276"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Planerade</w:t>
            </w:r>
            <w:r w:rsidRPr="00F5723F">
              <w:rPr>
                <w:snapToGrid w:val="0"/>
              </w:rPr>
              <w:br/>
              <w:t>projekt</w:t>
            </w:r>
          </w:p>
        </w:tc>
        <w:tc>
          <w:tcPr>
            <w:tcW w:w="1134"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br/>
              <w:t>Totalt</w:t>
            </w:r>
          </w:p>
        </w:tc>
      </w:tr>
      <w:tr w:rsidR="00000000" w:rsidRPr="00F5723F">
        <w:tblPrEx>
          <w:tblCellMar>
            <w:top w:w="0" w:type="dxa"/>
            <w:bottom w:w="0" w:type="dxa"/>
          </w:tblCellMar>
        </w:tblPrEx>
        <w:trPr>
          <w:trHeight w:val="247"/>
        </w:trPr>
        <w:tc>
          <w:tcPr>
            <w:tcW w:w="881" w:type="dxa"/>
            <w:tcBorders>
              <w:top w:val="single" w:sz="4" w:space="0" w:color="auto"/>
            </w:tcBorders>
          </w:tcPr>
          <w:p w:rsidR="00B43C57" w:rsidRPr="00F5723F" w:rsidRDefault="00B43C57">
            <w:pPr>
              <w:pStyle w:val="Tabelltext"/>
              <w:rPr>
                <w:snapToGrid w:val="0"/>
              </w:rPr>
            </w:pPr>
            <w:r w:rsidRPr="00F5723F">
              <w:rPr>
                <w:snapToGrid w:val="0"/>
              </w:rPr>
              <w:t>KU</w:t>
            </w:r>
          </w:p>
        </w:tc>
        <w:tc>
          <w:tcPr>
            <w:tcW w:w="1276" w:type="dxa"/>
            <w:tcBorders>
              <w:top w:val="single" w:sz="4" w:space="0" w:color="auto"/>
            </w:tcBorders>
          </w:tcPr>
          <w:p w:rsidR="00B43C57" w:rsidRPr="00F5723F" w:rsidRDefault="00B43C57">
            <w:pPr>
              <w:pStyle w:val="Tabelltext"/>
              <w:jc w:val="center"/>
              <w:rPr>
                <w:snapToGrid w:val="0"/>
              </w:rPr>
            </w:pPr>
            <w:r w:rsidRPr="00F5723F">
              <w:rPr>
                <w:snapToGrid w:val="0"/>
              </w:rPr>
              <w:t>3</w:t>
            </w:r>
          </w:p>
        </w:tc>
        <w:tc>
          <w:tcPr>
            <w:tcW w:w="1275" w:type="dxa"/>
            <w:tcBorders>
              <w:top w:val="single" w:sz="4" w:space="0" w:color="auto"/>
            </w:tcBorders>
          </w:tcPr>
          <w:p w:rsidR="00B43C57" w:rsidRPr="00F5723F" w:rsidRDefault="00B43C57">
            <w:pPr>
              <w:pStyle w:val="Tabelltext"/>
              <w:jc w:val="center"/>
              <w:rPr>
                <w:snapToGrid w:val="0"/>
              </w:rPr>
            </w:pPr>
            <w:r w:rsidRPr="00F5723F">
              <w:rPr>
                <w:snapToGrid w:val="0"/>
              </w:rPr>
              <w:t>2</w:t>
            </w:r>
          </w:p>
        </w:tc>
        <w:tc>
          <w:tcPr>
            <w:tcW w:w="1276" w:type="dxa"/>
            <w:tcBorders>
              <w:top w:val="single" w:sz="4" w:space="0" w:color="auto"/>
            </w:tcBorders>
          </w:tcPr>
          <w:p w:rsidR="00B43C57" w:rsidRPr="00F5723F" w:rsidRDefault="00B43C57">
            <w:pPr>
              <w:pStyle w:val="Tabelltext"/>
              <w:jc w:val="center"/>
              <w:rPr>
                <w:snapToGrid w:val="0"/>
              </w:rPr>
            </w:pPr>
            <w:r w:rsidRPr="00F5723F">
              <w:rPr>
                <w:snapToGrid w:val="0"/>
              </w:rPr>
              <w:t>0</w:t>
            </w:r>
          </w:p>
        </w:tc>
        <w:tc>
          <w:tcPr>
            <w:tcW w:w="1134" w:type="dxa"/>
            <w:tcBorders>
              <w:top w:val="single" w:sz="4" w:space="0" w:color="auto"/>
            </w:tcBorders>
          </w:tcPr>
          <w:p w:rsidR="00B43C57" w:rsidRPr="00F5723F" w:rsidRDefault="00B43C57">
            <w:pPr>
              <w:pStyle w:val="Tabelltext"/>
              <w:jc w:val="center"/>
              <w:rPr>
                <w:snapToGrid w:val="0"/>
              </w:rPr>
            </w:pPr>
            <w:r w:rsidRPr="00F5723F">
              <w:rPr>
                <w:snapToGrid w:val="0"/>
              </w:rPr>
              <w:t>5</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FiU</w:t>
            </w:r>
          </w:p>
        </w:tc>
        <w:tc>
          <w:tcPr>
            <w:tcW w:w="1276" w:type="dxa"/>
          </w:tcPr>
          <w:p w:rsidR="00B43C57" w:rsidRPr="00F5723F" w:rsidRDefault="00B43C57">
            <w:pPr>
              <w:pStyle w:val="Tabelltext"/>
              <w:jc w:val="center"/>
              <w:rPr>
                <w:snapToGrid w:val="0"/>
              </w:rPr>
            </w:pPr>
            <w:r w:rsidRPr="00F5723F">
              <w:rPr>
                <w:snapToGrid w:val="0"/>
              </w:rPr>
              <w:t>3</w:t>
            </w:r>
          </w:p>
        </w:tc>
        <w:tc>
          <w:tcPr>
            <w:tcW w:w="1275" w:type="dxa"/>
          </w:tcPr>
          <w:p w:rsidR="00B43C57" w:rsidRPr="00F5723F" w:rsidRDefault="00B43C57">
            <w:pPr>
              <w:pStyle w:val="Tabelltext"/>
              <w:jc w:val="center"/>
              <w:rPr>
                <w:snapToGrid w:val="0"/>
              </w:rPr>
            </w:pPr>
            <w:r w:rsidRPr="00F5723F">
              <w:rPr>
                <w:snapToGrid w:val="0"/>
              </w:rPr>
              <w:t>0</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3</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SkU</w:t>
            </w:r>
          </w:p>
        </w:tc>
        <w:tc>
          <w:tcPr>
            <w:tcW w:w="1276" w:type="dxa"/>
          </w:tcPr>
          <w:p w:rsidR="00B43C57" w:rsidRPr="00F5723F" w:rsidRDefault="00B43C57">
            <w:pPr>
              <w:pStyle w:val="Tabelltext"/>
              <w:jc w:val="center"/>
              <w:rPr>
                <w:snapToGrid w:val="0"/>
              </w:rPr>
            </w:pPr>
            <w:r w:rsidRPr="00F5723F">
              <w:rPr>
                <w:snapToGrid w:val="0"/>
              </w:rPr>
              <w:t>0</w:t>
            </w:r>
          </w:p>
        </w:tc>
        <w:tc>
          <w:tcPr>
            <w:tcW w:w="1275" w:type="dxa"/>
          </w:tcPr>
          <w:p w:rsidR="00B43C57" w:rsidRPr="00F5723F" w:rsidRDefault="00B43C57">
            <w:pPr>
              <w:pStyle w:val="Tabelltext"/>
              <w:jc w:val="center"/>
              <w:rPr>
                <w:snapToGrid w:val="0"/>
              </w:rPr>
            </w:pPr>
            <w:r w:rsidRPr="00F5723F">
              <w:rPr>
                <w:snapToGrid w:val="0"/>
              </w:rPr>
              <w:t>0</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0</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JuU</w:t>
            </w:r>
          </w:p>
        </w:tc>
        <w:tc>
          <w:tcPr>
            <w:tcW w:w="1276" w:type="dxa"/>
          </w:tcPr>
          <w:p w:rsidR="00B43C57" w:rsidRPr="00F5723F" w:rsidRDefault="00B43C57">
            <w:pPr>
              <w:pStyle w:val="Tabelltext"/>
              <w:jc w:val="center"/>
              <w:rPr>
                <w:snapToGrid w:val="0"/>
              </w:rPr>
            </w:pPr>
            <w:r w:rsidRPr="00F5723F">
              <w:rPr>
                <w:snapToGrid w:val="0"/>
              </w:rPr>
              <w:t>3</w:t>
            </w:r>
          </w:p>
        </w:tc>
        <w:tc>
          <w:tcPr>
            <w:tcW w:w="1275" w:type="dxa"/>
          </w:tcPr>
          <w:p w:rsidR="00B43C57" w:rsidRPr="00F5723F" w:rsidRDefault="00B43C57">
            <w:pPr>
              <w:pStyle w:val="Tabelltext"/>
              <w:jc w:val="center"/>
              <w:rPr>
                <w:snapToGrid w:val="0"/>
              </w:rPr>
            </w:pPr>
            <w:r w:rsidRPr="00F5723F">
              <w:rPr>
                <w:snapToGrid w:val="0"/>
              </w:rPr>
              <w:t>5</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8</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LU</w:t>
            </w:r>
          </w:p>
        </w:tc>
        <w:tc>
          <w:tcPr>
            <w:tcW w:w="1276" w:type="dxa"/>
          </w:tcPr>
          <w:p w:rsidR="00B43C57" w:rsidRPr="00F5723F" w:rsidRDefault="00B43C57">
            <w:pPr>
              <w:pStyle w:val="Tabelltext"/>
              <w:jc w:val="center"/>
              <w:rPr>
                <w:snapToGrid w:val="0"/>
              </w:rPr>
            </w:pPr>
            <w:r w:rsidRPr="00F5723F">
              <w:rPr>
                <w:snapToGrid w:val="0"/>
              </w:rPr>
              <w:t>1</w:t>
            </w:r>
          </w:p>
        </w:tc>
        <w:tc>
          <w:tcPr>
            <w:tcW w:w="1275" w:type="dxa"/>
          </w:tcPr>
          <w:p w:rsidR="00B43C57" w:rsidRPr="00F5723F" w:rsidRDefault="00B43C57">
            <w:pPr>
              <w:pStyle w:val="Tabelltext"/>
              <w:jc w:val="center"/>
              <w:rPr>
                <w:snapToGrid w:val="0"/>
              </w:rPr>
            </w:pPr>
            <w:r w:rsidRPr="00F5723F">
              <w:rPr>
                <w:snapToGrid w:val="0"/>
              </w:rPr>
              <w:t>0</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1</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UU</w:t>
            </w:r>
          </w:p>
        </w:tc>
        <w:tc>
          <w:tcPr>
            <w:tcW w:w="1276" w:type="dxa"/>
          </w:tcPr>
          <w:p w:rsidR="00B43C57" w:rsidRPr="00F5723F" w:rsidRDefault="00B43C57">
            <w:pPr>
              <w:pStyle w:val="Tabelltext"/>
              <w:jc w:val="center"/>
              <w:rPr>
                <w:snapToGrid w:val="0"/>
              </w:rPr>
            </w:pPr>
            <w:r w:rsidRPr="00F5723F">
              <w:rPr>
                <w:snapToGrid w:val="0"/>
              </w:rPr>
              <w:t>0</w:t>
            </w:r>
          </w:p>
        </w:tc>
        <w:tc>
          <w:tcPr>
            <w:tcW w:w="1275" w:type="dxa"/>
          </w:tcPr>
          <w:p w:rsidR="00B43C57" w:rsidRPr="00F5723F" w:rsidRDefault="00B43C57">
            <w:pPr>
              <w:pStyle w:val="Tabelltext"/>
              <w:jc w:val="center"/>
              <w:rPr>
                <w:snapToGrid w:val="0"/>
              </w:rPr>
            </w:pPr>
            <w:r w:rsidRPr="00F5723F">
              <w:rPr>
                <w:snapToGrid w:val="0"/>
              </w:rPr>
              <w:t>1</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1</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FöU</w:t>
            </w:r>
          </w:p>
        </w:tc>
        <w:tc>
          <w:tcPr>
            <w:tcW w:w="1276" w:type="dxa"/>
          </w:tcPr>
          <w:p w:rsidR="00B43C57" w:rsidRPr="00F5723F" w:rsidRDefault="00B43C57">
            <w:pPr>
              <w:pStyle w:val="Tabelltext"/>
              <w:jc w:val="center"/>
              <w:rPr>
                <w:snapToGrid w:val="0"/>
              </w:rPr>
            </w:pPr>
            <w:r w:rsidRPr="00F5723F">
              <w:rPr>
                <w:snapToGrid w:val="0"/>
              </w:rPr>
              <w:t>1</w:t>
            </w:r>
          </w:p>
        </w:tc>
        <w:tc>
          <w:tcPr>
            <w:tcW w:w="1275" w:type="dxa"/>
          </w:tcPr>
          <w:p w:rsidR="00B43C57" w:rsidRPr="00F5723F" w:rsidRDefault="00B43C57">
            <w:pPr>
              <w:pStyle w:val="Tabelltext"/>
              <w:jc w:val="center"/>
              <w:rPr>
                <w:snapToGrid w:val="0"/>
              </w:rPr>
            </w:pPr>
            <w:r w:rsidRPr="00F5723F">
              <w:rPr>
                <w:snapToGrid w:val="0"/>
              </w:rPr>
              <w:t>0</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1</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SfU</w:t>
            </w:r>
          </w:p>
        </w:tc>
        <w:tc>
          <w:tcPr>
            <w:tcW w:w="1276" w:type="dxa"/>
          </w:tcPr>
          <w:p w:rsidR="00B43C57" w:rsidRPr="00F5723F" w:rsidRDefault="00B43C57">
            <w:pPr>
              <w:pStyle w:val="Tabelltext"/>
              <w:jc w:val="center"/>
              <w:rPr>
                <w:snapToGrid w:val="0"/>
              </w:rPr>
            </w:pPr>
            <w:r w:rsidRPr="00F5723F">
              <w:rPr>
                <w:snapToGrid w:val="0"/>
              </w:rPr>
              <w:t>0</w:t>
            </w:r>
          </w:p>
        </w:tc>
        <w:tc>
          <w:tcPr>
            <w:tcW w:w="1275" w:type="dxa"/>
          </w:tcPr>
          <w:p w:rsidR="00B43C57" w:rsidRPr="00F5723F" w:rsidRDefault="00B43C57">
            <w:pPr>
              <w:pStyle w:val="Tabelltext"/>
              <w:jc w:val="center"/>
              <w:rPr>
                <w:snapToGrid w:val="0"/>
              </w:rPr>
            </w:pPr>
            <w:r w:rsidRPr="00F5723F">
              <w:rPr>
                <w:snapToGrid w:val="0"/>
              </w:rPr>
              <w:t>1</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1</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SoU</w:t>
            </w:r>
          </w:p>
        </w:tc>
        <w:tc>
          <w:tcPr>
            <w:tcW w:w="1276" w:type="dxa"/>
          </w:tcPr>
          <w:p w:rsidR="00B43C57" w:rsidRPr="00F5723F" w:rsidRDefault="00B43C57">
            <w:pPr>
              <w:pStyle w:val="Tabelltext"/>
              <w:jc w:val="center"/>
              <w:rPr>
                <w:snapToGrid w:val="0"/>
              </w:rPr>
            </w:pPr>
            <w:r w:rsidRPr="00F5723F">
              <w:rPr>
                <w:snapToGrid w:val="0"/>
              </w:rPr>
              <w:t>0</w:t>
            </w:r>
          </w:p>
        </w:tc>
        <w:tc>
          <w:tcPr>
            <w:tcW w:w="1275" w:type="dxa"/>
          </w:tcPr>
          <w:p w:rsidR="00B43C57" w:rsidRPr="00F5723F" w:rsidRDefault="00B43C57">
            <w:pPr>
              <w:pStyle w:val="Tabelltext"/>
              <w:jc w:val="center"/>
              <w:rPr>
                <w:snapToGrid w:val="0"/>
              </w:rPr>
            </w:pPr>
            <w:r w:rsidRPr="00F5723F">
              <w:rPr>
                <w:snapToGrid w:val="0"/>
              </w:rPr>
              <w:t>1</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1</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KrU</w:t>
            </w:r>
          </w:p>
        </w:tc>
        <w:tc>
          <w:tcPr>
            <w:tcW w:w="1276" w:type="dxa"/>
          </w:tcPr>
          <w:p w:rsidR="00B43C57" w:rsidRPr="00F5723F" w:rsidRDefault="00B43C57">
            <w:pPr>
              <w:pStyle w:val="Tabelltext"/>
              <w:jc w:val="center"/>
              <w:rPr>
                <w:snapToGrid w:val="0"/>
              </w:rPr>
            </w:pPr>
            <w:r w:rsidRPr="00F5723F">
              <w:rPr>
                <w:snapToGrid w:val="0"/>
              </w:rPr>
              <w:t>1</w:t>
            </w:r>
          </w:p>
        </w:tc>
        <w:tc>
          <w:tcPr>
            <w:tcW w:w="1275" w:type="dxa"/>
          </w:tcPr>
          <w:p w:rsidR="00B43C57" w:rsidRPr="00F5723F" w:rsidRDefault="00B43C57">
            <w:pPr>
              <w:pStyle w:val="Tabelltext"/>
              <w:jc w:val="center"/>
              <w:rPr>
                <w:snapToGrid w:val="0"/>
              </w:rPr>
            </w:pPr>
            <w:r w:rsidRPr="00F5723F">
              <w:rPr>
                <w:snapToGrid w:val="0"/>
              </w:rPr>
              <w:t>2</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3</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UbU</w:t>
            </w:r>
          </w:p>
        </w:tc>
        <w:tc>
          <w:tcPr>
            <w:tcW w:w="1276" w:type="dxa"/>
          </w:tcPr>
          <w:p w:rsidR="00B43C57" w:rsidRPr="00F5723F" w:rsidRDefault="00B43C57">
            <w:pPr>
              <w:pStyle w:val="Tabelltext"/>
              <w:jc w:val="center"/>
              <w:rPr>
                <w:snapToGrid w:val="0"/>
              </w:rPr>
            </w:pPr>
            <w:r w:rsidRPr="00F5723F">
              <w:rPr>
                <w:snapToGrid w:val="0"/>
              </w:rPr>
              <w:t>1</w:t>
            </w:r>
          </w:p>
        </w:tc>
        <w:tc>
          <w:tcPr>
            <w:tcW w:w="1275" w:type="dxa"/>
          </w:tcPr>
          <w:p w:rsidR="00B43C57" w:rsidRPr="00F5723F" w:rsidRDefault="00B43C57">
            <w:pPr>
              <w:pStyle w:val="Tabelltext"/>
              <w:jc w:val="center"/>
              <w:rPr>
                <w:snapToGrid w:val="0"/>
              </w:rPr>
            </w:pPr>
            <w:r w:rsidRPr="00F5723F">
              <w:rPr>
                <w:snapToGrid w:val="0"/>
              </w:rPr>
              <w:t>0</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1</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TU</w:t>
            </w:r>
          </w:p>
        </w:tc>
        <w:tc>
          <w:tcPr>
            <w:tcW w:w="1276" w:type="dxa"/>
          </w:tcPr>
          <w:p w:rsidR="00B43C57" w:rsidRPr="00F5723F" w:rsidRDefault="00B43C57">
            <w:pPr>
              <w:pStyle w:val="Tabelltext"/>
              <w:jc w:val="center"/>
              <w:rPr>
                <w:snapToGrid w:val="0"/>
              </w:rPr>
            </w:pPr>
            <w:r w:rsidRPr="00F5723F">
              <w:rPr>
                <w:snapToGrid w:val="0"/>
              </w:rPr>
              <w:t>1</w:t>
            </w:r>
          </w:p>
        </w:tc>
        <w:tc>
          <w:tcPr>
            <w:tcW w:w="1275" w:type="dxa"/>
          </w:tcPr>
          <w:p w:rsidR="00B43C57" w:rsidRPr="00F5723F" w:rsidRDefault="00B43C57">
            <w:pPr>
              <w:pStyle w:val="Tabelltext"/>
              <w:jc w:val="center"/>
              <w:rPr>
                <w:snapToGrid w:val="0"/>
              </w:rPr>
            </w:pPr>
            <w:r w:rsidRPr="00F5723F">
              <w:rPr>
                <w:snapToGrid w:val="0"/>
              </w:rPr>
              <w:t>1</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2</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MJU</w:t>
            </w:r>
          </w:p>
        </w:tc>
        <w:tc>
          <w:tcPr>
            <w:tcW w:w="1276" w:type="dxa"/>
          </w:tcPr>
          <w:p w:rsidR="00B43C57" w:rsidRPr="00F5723F" w:rsidRDefault="00B43C57">
            <w:pPr>
              <w:pStyle w:val="Tabelltext"/>
              <w:jc w:val="center"/>
              <w:rPr>
                <w:snapToGrid w:val="0"/>
              </w:rPr>
            </w:pPr>
            <w:r w:rsidRPr="00F5723F">
              <w:rPr>
                <w:snapToGrid w:val="0"/>
              </w:rPr>
              <w:t>4</w:t>
            </w:r>
          </w:p>
        </w:tc>
        <w:tc>
          <w:tcPr>
            <w:tcW w:w="1275" w:type="dxa"/>
          </w:tcPr>
          <w:p w:rsidR="00B43C57" w:rsidRPr="00F5723F" w:rsidRDefault="00B43C57">
            <w:pPr>
              <w:pStyle w:val="Tabelltext"/>
              <w:jc w:val="center"/>
              <w:rPr>
                <w:snapToGrid w:val="0"/>
              </w:rPr>
            </w:pPr>
            <w:r w:rsidRPr="00F5723F">
              <w:rPr>
                <w:snapToGrid w:val="0"/>
              </w:rPr>
              <w:t>2</w:t>
            </w:r>
          </w:p>
        </w:tc>
        <w:tc>
          <w:tcPr>
            <w:tcW w:w="1276" w:type="dxa"/>
          </w:tcPr>
          <w:p w:rsidR="00B43C57" w:rsidRPr="00F5723F" w:rsidRDefault="00B43C57">
            <w:pPr>
              <w:pStyle w:val="Tabelltext"/>
              <w:jc w:val="center"/>
              <w:rPr>
                <w:snapToGrid w:val="0"/>
              </w:rPr>
            </w:pPr>
            <w:r w:rsidRPr="00F5723F">
              <w:rPr>
                <w:snapToGrid w:val="0"/>
              </w:rPr>
              <w:t>2</w:t>
            </w:r>
          </w:p>
        </w:tc>
        <w:tc>
          <w:tcPr>
            <w:tcW w:w="1134" w:type="dxa"/>
          </w:tcPr>
          <w:p w:rsidR="00B43C57" w:rsidRPr="00F5723F" w:rsidRDefault="00B43C57">
            <w:pPr>
              <w:pStyle w:val="Tabelltext"/>
              <w:jc w:val="center"/>
              <w:rPr>
                <w:snapToGrid w:val="0"/>
              </w:rPr>
            </w:pPr>
            <w:r w:rsidRPr="00F5723F">
              <w:rPr>
                <w:snapToGrid w:val="0"/>
              </w:rPr>
              <w:t>8</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NU</w:t>
            </w:r>
          </w:p>
        </w:tc>
        <w:tc>
          <w:tcPr>
            <w:tcW w:w="1276" w:type="dxa"/>
          </w:tcPr>
          <w:p w:rsidR="00B43C57" w:rsidRPr="00F5723F" w:rsidRDefault="00B43C57">
            <w:pPr>
              <w:pStyle w:val="Tabelltext"/>
              <w:jc w:val="center"/>
              <w:rPr>
                <w:snapToGrid w:val="0"/>
              </w:rPr>
            </w:pPr>
            <w:r w:rsidRPr="00F5723F">
              <w:rPr>
                <w:snapToGrid w:val="0"/>
              </w:rPr>
              <w:t>0</w:t>
            </w:r>
          </w:p>
        </w:tc>
        <w:tc>
          <w:tcPr>
            <w:tcW w:w="1275" w:type="dxa"/>
          </w:tcPr>
          <w:p w:rsidR="00B43C57" w:rsidRPr="00F5723F" w:rsidRDefault="00B43C57">
            <w:pPr>
              <w:pStyle w:val="Tabelltext"/>
              <w:jc w:val="center"/>
              <w:rPr>
                <w:snapToGrid w:val="0"/>
              </w:rPr>
            </w:pPr>
            <w:r w:rsidRPr="00F5723F">
              <w:rPr>
                <w:snapToGrid w:val="0"/>
              </w:rPr>
              <w:t>1</w:t>
            </w:r>
          </w:p>
        </w:tc>
        <w:tc>
          <w:tcPr>
            <w:tcW w:w="1276" w:type="dxa"/>
          </w:tcPr>
          <w:p w:rsidR="00B43C57" w:rsidRPr="00F5723F" w:rsidRDefault="00B43C57">
            <w:pPr>
              <w:pStyle w:val="Tabelltext"/>
              <w:jc w:val="center"/>
              <w:rPr>
                <w:snapToGrid w:val="0"/>
              </w:rPr>
            </w:pPr>
            <w:r w:rsidRPr="00F5723F">
              <w:rPr>
                <w:snapToGrid w:val="0"/>
              </w:rPr>
              <w:t>0</w:t>
            </w:r>
          </w:p>
        </w:tc>
        <w:tc>
          <w:tcPr>
            <w:tcW w:w="1134" w:type="dxa"/>
          </w:tcPr>
          <w:p w:rsidR="00B43C57" w:rsidRPr="00F5723F" w:rsidRDefault="00B43C57">
            <w:pPr>
              <w:pStyle w:val="Tabelltext"/>
              <w:jc w:val="center"/>
              <w:rPr>
                <w:snapToGrid w:val="0"/>
              </w:rPr>
            </w:pPr>
            <w:r w:rsidRPr="00F5723F">
              <w:rPr>
                <w:snapToGrid w:val="0"/>
              </w:rPr>
              <w:t>1</w:t>
            </w:r>
          </w:p>
        </w:tc>
      </w:tr>
      <w:tr w:rsidR="00000000" w:rsidRPr="00F5723F">
        <w:tblPrEx>
          <w:tblCellMar>
            <w:top w:w="0" w:type="dxa"/>
            <w:bottom w:w="0" w:type="dxa"/>
          </w:tblCellMar>
        </w:tblPrEx>
        <w:trPr>
          <w:trHeight w:val="247"/>
        </w:trPr>
        <w:tc>
          <w:tcPr>
            <w:tcW w:w="881" w:type="dxa"/>
          </w:tcPr>
          <w:p w:rsidR="00B43C57" w:rsidRPr="00F5723F" w:rsidRDefault="00B43C57">
            <w:pPr>
              <w:pStyle w:val="Tabelltext"/>
              <w:rPr>
                <w:snapToGrid w:val="0"/>
              </w:rPr>
            </w:pPr>
            <w:r w:rsidRPr="00F5723F">
              <w:rPr>
                <w:snapToGrid w:val="0"/>
              </w:rPr>
              <w:t>AU</w:t>
            </w:r>
          </w:p>
        </w:tc>
        <w:tc>
          <w:tcPr>
            <w:tcW w:w="1276" w:type="dxa"/>
          </w:tcPr>
          <w:p w:rsidR="00B43C57" w:rsidRPr="00F5723F" w:rsidRDefault="00B43C57">
            <w:pPr>
              <w:pStyle w:val="Tabelltext"/>
              <w:jc w:val="center"/>
              <w:rPr>
                <w:snapToGrid w:val="0"/>
              </w:rPr>
            </w:pPr>
            <w:r w:rsidRPr="00F5723F">
              <w:rPr>
                <w:snapToGrid w:val="0"/>
              </w:rPr>
              <w:t>1</w:t>
            </w:r>
          </w:p>
        </w:tc>
        <w:tc>
          <w:tcPr>
            <w:tcW w:w="1275" w:type="dxa"/>
          </w:tcPr>
          <w:p w:rsidR="00B43C57" w:rsidRPr="00F5723F" w:rsidRDefault="00B43C57">
            <w:pPr>
              <w:pStyle w:val="Tabelltext"/>
              <w:jc w:val="center"/>
              <w:rPr>
                <w:snapToGrid w:val="0"/>
              </w:rPr>
            </w:pPr>
            <w:r w:rsidRPr="00F5723F">
              <w:rPr>
                <w:snapToGrid w:val="0"/>
              </w:rPr>
              <w:t>0</w:t>
            </w:r>
          </w:p>
        </w:tc>
        <w:tc>
          <w:tcPr>
            <w:tcW w:w="1276" w:type="dxa"/>
          </w:tcPr>
          <w:p w:rsidR="00B43C57" w:rsidRPr="00F5723F" w:rsidRDefault="00B43C57">
            <w:pPr>
              <w:pStyle w:val="Tabelltext"/>
              <w:jc w:val="center"/>
              <w:rPr>
                <w:snapToGrid w:val="0"/>
              </w:rPr>
            </w:pPr>
            <w:r w:rsidRPr="00F5723F">
              <w:rPr>
                <w:snapToGrid w:val="0"/>
              </w:rPr>
              <w:t>1</w:t>
            </w:r>
          </w:p>
        </w:tc>
        <w:tc>
          <w:tcPr>
            <w:tcW w:w="1134" w:type="dxa"/>
          </w:tcPr>
          <w:p w:rsidR="00B43C57" w:rsidRPr="00F5723F" w:rsidRDefault="00B43C57">
            <w:pPr>
              <w:pStyle w:val="Tabelltext"/>
              <w:jc w:val="center"/>
              <w:rPr>
                <w:snapToGrid w:val="0"/>
              </w:rPr>
            </w:pPr>
            <w:r w:rsidRPr="00F5723F">
              <w:rPr>
                <w:snapToGrid w:val="0"/>
              </w:rPr>
              <w:t>2</w:t>
            </w:r>
          </w:p>
        </w:tc>
      </w:tr>
      <w:tr w:rsidR="00000000" w:rsidRPr="00F5723F">
        <w:tblPrEx>
          <w:tblCellMar>
            <w:top w:w="0" w:type="dxa"/>
            <w:bottom w:w="0" w:type="dxa"/>
          </w:tblCellMar>
        </w:tblPrEx>
        <w:trPr>
          <w:trHeight w:val="247"/>
        </w:trPr>
        <w:tc>
          <w:tcPr>
            <w:tcW w:w="881" w:type="dxa"/>
            <w:tcBorders>
              <w:bottom w:val="single" w:sz="4" w:space="0" w:color="auto"/>
            </w:tcBorders>
          </w:tcPr>
          <w:p w:rsidR="00B43C57" w:rsidRPr="00F5723F" w:rsidRDefault="00B43C57">
            <w:pPr>
              <w:pStyle w:val="Tabelltext"/>
              <w:rPr>
                <w:snapToGrid w:val="0"/>
              </w:rPr>
            </w:pPr>
            <w:r w:rsidRPr="00F5723F">
              <w:rPr>
                <w:snapToGrid w:val="0"/>
              </w:rPr>
              <w:t>BoU</w:t>
            </w:r>
          </w:p>
        </w:tc>
        <w:tc>
          <w:tcPr>
            <w:tcW w:w="1276" w:type="dxa"/>
            <w:tcBorders>
              <w:bottom w:val="single" w:sz="4" w:space="0" w:color="auto"/>
            </w:tcBorders>
          </w:tcPr>
          <w:p w:rsidR="00B43C57" w:rsidRPr="00F5723F" w:rsidRDefault="00B43C57">
            <w:pPr>
              <w:pStyle w:val="Tabelltext"/>
              <w:jc w:val="center"/>
              <w:rPr>
                <w:snapToGrid w:val="0"/>
              </w:rPr>
            </w:pPr>
            <w:r w:rsidRPr="00F5723F">
              <w:rPr>
                <w:snapToGrid w:val="0"/>
              </w:rPr>
              <w:t>2</w:t>
            </w:r>
          </w:p>
        </w:tc>
        <w:tc>
          <w:tcPr>
            <w:tcW w:w="1275" w:type="dxa"/>
            <w:tcBorders>
              <w:bottom w:val="single" w:sz="4" w:space="0" w:color="auto"/>
            </w:tcBorders>
          </w:tcPr>
          <w:p w:rsidR="00B43C57" w:rsidRPr="00F5723F" w:rsidRDefault="00B43C57">
            <w:pPr>
              <w:pStyle w:val="Tabelltext"/>
              <w:jc w:val="center"/>
              <w:rPr>
                <w:snapToGrid w:val="0"/>
              </w:rPr>
            </w:pPr>
            <w:r w:rsidRPr="00F5723F">
              <w:rPr>
                <w:snapToGrid w:val="0"/>
              </w:rPr>
              <w:t>0</w:t>
            </w:r>
          </w:p>
        </w:tc>
        <w:tc>
          <w:tcPr>
            <w:tcW w:w="1276" w:type="dxa"/>
            <w:tcBorders>
              <w:bottom w:val="single" w:sz="4" w:space="0" w:color="auto"/>
            </w:tcBorders>
          </w:tcPr>
          <w:p w:rsidR="00B43C57" w:rsidRPr="00F5723F" w:rsidRDefault="00B43C57">
            <w:pPr>
              <w:pStyle w:val="Tabelltext"/>
              <w:jc w:val="center"/>
              <w:rPr>
                <w:snapToGrid w:val="0"/>
              </w:rPr>
            </w:pPr>
            <w:r w:rsidRPr="00F5723F">
              <w:rPr>
                <w:snapToGrid w:val="0"/>
              </w:rPr>
              <w:t>0</w:t>
            </w:r>
          </w:p>
        </w:tc>
        <w:tc>
          <w:tcPr>
            <w:tcW w:w="1134" w:type="dxa"/>
            <w:tcBorders>
              <w:bottom w:val="single" w:sz="4" w:space="0" w:color="auto"/>
            </w:tcBorders>
          </w:tcPr>
          <w:p w:rsidR="00B43C57" w:rsidRPr="00F5723F" w:rsidRDefault="00B43C57">
            <w:pPr>
              <w:pStyle w:val="Tabelltext"/>
              <w:jc w:val="center"/>
              <w:rPr>
                <w:snapToGrid w:val="0"/>
              </w:rPr>
            </w:pPr>
            <w:r w:rsidRPr="00F5723F">
              <w:rPr>
                <w:snapToGrid w:val="0"/>
              </w:rPr>
              <w:t>2</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Tabellen visar avslutade, pågående och planerade up</w:t>
      </w:r>
      <w:r w:rsidRPr="00F5723F">
        <w:rPr>
          <w:rFonts w:ascii="Arial" w:hAnsi="Arial" w:cs="Arial"/>
          <w:sz w:val="16"/>
          <w:szCs w:val="16"/>
        </w:rPr>
        <w:t>p</w:t>
      </w:r>
      <w:r w:rsidRPr="00F5723F">
        <w:rPr>
          <w:rFonts w:ascii="Arial" w:hAnsi="Arial" w:cs="Arial"/>
          <w:sz w:val="16"/>
          <w:szCs w:val="16"/>
        </w:rPr>
        <w:t>följnings- och utvärderingsprojekt under innevarande valperiod t.o.m. november 2004.</w:t>
      </w:r>
      <w:r w:rsidRPr="00F5723F">
        <w:rPr>
          <w:rFonts w:ascii="Arial" w:hAnsi="Arial" w:cs="Arial"/>
          <w:b/>
          <w:sz w:val="16"/>
          <w:szCs w:val="16"/>
        </w:rPr>
        <w:t xml:space="preserve"> Källa</w:t>
      </w:r>
      <w:r w:rsidRPr="00F5723F">
        <w:rPr>
          <w:rFonts w:ascii="Arial" w:hAnsi="Arial" w:cs="Arial"/>
          <w:i/>
          <w:sz w:val="16"/>
          <w:szCs w:val="16"/>
        </w:rPr>
        <w:t>:</w:t>
      </w:r>
      <w:r w:rsidRPr="00F5723F">
        <w:rPr>
          <w:rFonts w:ascii="Arial" w:hAnsi="Arial" w:cs="Arial"/>
          <w:sz w:val="16"/>
          <w:szCs w:val="16"/>
        </w:rPr>
        <w:t xml:space="preserve"> Helgonät</w:t>
      </w:r>
      <w:r w:rsidRPr="00F5723F">
        <w:rPr>
          <w:rFonts w:ascii="Arial" w:hAnsi="Arial" w:cs="Arial"/>
          <w:sz w:val="16"/>
          <w:szCs w:val="16"/>
        </w:rPr>
        <w:t>.</w:t>
      </w:r>
    </w:p>
    <w:p w:rsidR="00B43C57" w:rsidRPr="00F5723F" w:rsidRDefault="00B43C57">
      <w:pPr>
        <w:pStyle w:val="R4"/>
      </w:pPr>
      <w:bookmarkStart w:id="77" w:name="_Toc121738915"/>
      <w:r w:rsidRPr="00F5723F">
        <w:t>Initiativ, genomförande, organisering</w:t>
      </w:r>
      <w:bookmarkEnd w:id="77"/>
    </w:p>
    <w:p w:rsidR="00B43C57" w:rsidRPr="00F5723F" w:rsidRDefault="00B43C57">
      <w:r w:rsidRPr="00F5723F">
        <w:t>Gemensamt för de flesta utskott är att kanslierna har en drivande roll i arb</w:t>
      </w:r>
      <w:r w:rsidRPr="00F5723F">
        <w:t>e</w:t>
      </w:r>
      <w:r w:rsidRPr="00F5723F">
        <w:t>tet med att initiera uppföljningar och utvärderingar. Det vanligaste tillväg</w:t>
      </w:r>
      <w:r w:rsidRPr="00F5723F">
        <w:t>a</w:t>
      </w:r>
      <w:r w:rsidRPr="00F5723F">
        <w:t>gångs</w:t>
      </w:r>
      <w:r w:rsidRPr="00F5723F">
        <w:softHyphen/>
        <w:t>sättet är att kansliet lägger fram förslag, ofta med utgångspunkt i m</w:t>
      </w:r>
      <w:r w:rsidRPr="00F5723F">
        <w:t>o</w:t>
      </w:r>
      <w:r w:rsidRPr="00F5723F">
        <w:t>tioner som utskottet skall behandla, som först diskuteras med presidiet och sedan i utskottet; något kansli uppger att arbetet utgår mer allmänt från vad som upplevs som politiskt relevant. I vissa utskott är ledamöterna i högre grad själva involverade även i den initierande fasen. I till exempel socialförsä</w:t>
      </w:r>
      <w:r w:rsidRPr="00F5723F">
        <w:t>k</w:t>
      </w:r>
      <w:r w:rsidRPr="00F5723F">
        <w:t>rings</w:t>
      </w:r>
      <w:r w:rsidRPr="00F5723F">
        <w:softHyphen/>
        <w:t>utskottet går arbetet till så att kansliet</w:t>
      </w:r>
      <w:r w:rsidRPr="00F5723F">
        <w:t xml:space="preserve"> förser utskottet med en promem</w:t>
      </w:r>
      <w:r w:rsidRPr="00F5723F">
        <w:t>o</w:t>
      </w:r>
      <w:r w:rsidRPr="00F5723F">
        <w:t>ria som bland annat beskriver pågående och avslutade utredningar (statliga offentliga utredningar, utredningar inom Regeringskansliet eller Riksrevisi</w:t>
      </w:r>
      <w:r w:rsidRPr="00F5723F">
        <w:t>o</w:t>
      </w:r>
      <w:r w:rsidRPr="00F5723F">
        <w:t>nen), vilka utredningar som utskottet tidigare har beslutat om och vilka r</w:t>
      </w:r>
      <w:r w:rsidRPr="00F5723F">
        <w:t>e</w:t>
      </w:r>
      <w:r w:rsidRPr="00F5723F">
        <w:t>former eller regeländringar som riksdagen har beslutat om under senare tid. Utskottet har därefter en öppen diskussion där idéer och synpunkter på up</w:t>
      </w:r>
      <w:r w:rsidRPr="00F5723F">
        <w:t>p</w:t>
      </w:r>
      <w:r w:rsidRPr="00F5723F">
        <w:t>följnings</w:t>
      </w:r>
      <w:r w:rsidRPr="00F5723F">
        <w:softHyphen/>
        <w:t>åtgärder förs fram. I samråd med presidiet gör kansliet sedan en samman</w:t>
      </w:r>
      <w:r w:rsidRPr="00F5723F">
        <w:softHyphen/>
        <w:t>ställning av synpunkte</w:t>
      </w:r>
      <w:r w:rsidRPr="00F5723F">
        <w:t>rna med kommentarer. Sammanställningen diskuteras sedan i utskottet och ligger till grund för beslut i form av en plan över ko</w:t>
      </w:r>
      <w:r w:rsidRPr="00F5723F">
        <w:t>m</w:t>
      </w:r>
      <w:r w:rsidRPr="00F5723F">
        <w:t>mande uppföljningsåtgärder alternativt bevakning för kommande åtgärder. Ett annat exempel när ledamöterna är mer involverade i den initi</w:t>
      </w:r>
      <w:r w:rsidRPr="00F5723F">
        <w:t>e</w:t>
      </w:r>
      <w:r w:rsidRPr="00F5723F">
        <w:t>rande fasen är förekomsten av en beredningsgrupp som arbetar med att ta fram förslag och se till att de genomförs. Denna modell tillämpas i ett fåtal utskott. Det för</w:t>
      </w:r>
      <w:r w:rsidRPr="00F5723F">
        <w:t>e</w:t>
      </w:r>
      <w:r w:rsidRPr="00F5723F">
        <w:t>kommer även att enskilda ledamöter i utskottet tar initiativ till uppföljning och</w:t>
      </w:r>
      <w:r w:rsidRPr="00F5723F">
        <w:t xml:space="preserve"> utvärdering inom ett område.</w:t>
      </w:r>
    </w:p>
    <w:p w:rsidR="00B43C57" w:rsidRPr="00F5723F" w:rsidRDefault="00B43C57">
      <w:pPr>
        <w:pStyle w:val="Normaltindrag"/>
      </w:pPr>
      <w:r w:rsidRPr="00F5723F">
        <w:t>Under genomförandefasen är det något vanligare att ledamöterna är invo</w:t>
      </w:r>
      <w:r w:rsidRPr="00F5723F">
        <w:t>l</w:t>
      </w:r>
      <w:r w:rsidRPr="00F5723F">
        <w:t>verade. I knappt hälften av utskotten uppges att det finns arbetsgrupper med ledamöter som följer och deltar i uppföljnings- och utvärderingsarbetet. Det klart vanligaste härvidlag är att arbets-, referens- eller ledningsgrupper inrä</w:t>
      </w:r>
      <w:r w:rsidRPr="00F5723F">
        <w:t>t</w:t>
      </w:r>
      <w:r w:rsidRPr="00F5723F">
        <w:t xml:space="preserve">tas </w:t>
      </w:r>
      <w:r w:rsidRPr="00F5723F">
        <w:rPr>
          <w:i/>
        </w:rPr>
        <w:t>ad hoc</w:t>
      </w:r>
      <w:r w:rsidRPr="00F5723F">
        <w:t xml:space="preserve"> för olika uppföljnings- och utvärderingsprojekt. I ett utskott uppges att det finns en särskild arbetsgrupp med en representant för varje parti som behandlar alla frågor som rör uppföljning och utvärdering. Enligt Riksdag</w:t>
      </w:r>
      <w:r w:rsidRPr="00F5723F">
        <w:t>s</w:t>
      </w:r>
      <w:r w:rsidRPr="00F5723F">
        <w:t>kommitténs undersökningar i slutet på 1990-t</w:t>
      </w:r>
      <w:r w:rsidRPr="00F5723F">
        <w:t>alet fanns särskilda utvärd</w:t>
      </w:r>
      <w:r w:rsidRPr="00F5723F">
        <w:t>e</w:t>
      </w:r>
      <w:r w:rsidRPr="00F5723F">
        <w:t>ringsgrupper i fyra utskott (se förs. 2000/01:RS1 bilaga 5 s. 204). Denna form av organisering, det vill säga särskilt inrättade permanenta grupper i utskotten som arbetar med uppföljning och utvärdering, förefaller således ha blivit mindre vanlig. Ett kansli uppger att utskottet tidigare haft ett försök med en särskild grupp för uppföljning och utvärdering. Försöket ledde dock inte till något större intresse bland ledamöterna i gruppen, och det är nu uttalat att hela u</w:t>
      </w:r>
      <w:r w:rsidRPr="00F5723F">
        <w:t>t</w:t>
      </w:r>
      <w:r w:rsidRPr="00F5723F">
        <w:t>skottet h</w:t>
      </w:r>
      <w:r w:rsidRPr="00F5723F">
        <w:t>ar ansvaret för uppföljning och utvärdering.</w:t>
      </w:r>
    </w:p>
    <w:p w:rsidR="00B43C57" w:rsidRPr="00F5723F" w:rsidRDefault="00B43C57">
      <w:pPr>
        <w:pStyle w:val="Normaltindrag"/>
      </w:pPr>
      <w:r w:rsidRPr="00F5723F">
        <w:t>Vad gäller själva utförandet av uppföljnings- och utvärderingsarbetet up</w:t>
      </w:r>
      <w:r w:rsidRPr="00F5723F">
        <w:t>p</w:t>
      </w:r>
      <w:r w:rsidRPr="00F5723F">
        <w:t>ger de flesta kanslier att arbetet utförs av olika aktörer från gång till gång. Vanl</w:t>
      </w:r>
      <w:r w:rsidRPr="00F5723F">
        <w:t>i</w:t>
      </w:r>
      <w:r w:rsidRPr="00F5723F">
        <w:t>gast tycks vara att kansliet svarar för utförandet; nästan alla kanslier uppger att den egna kanslipersonalen har arbetat med uppföljning och utvä</w:t>
      </w:r>
      <w:r w:rsidRPr="00F5723F">
        <w:t>r</w:t>
      </w:r>
      <w:r w:rsidRPr="00F5723F">
        <w:t>dering. Drygt hälften uppger att riksdagens utredningstjänst har anlitats för utskottets uppföljnings- och utvärderingsarbete. Lika många uppger att for</w:t>
      </w:r>
      <w:r w:rsidRPr="00F5723F">
        <w:t>s</w:t>
      </w:r>
      <w:r w:rsidRPr="00F5723F">
        <w:t>kare och andra externa konsulter har anlitats. Tidigare förekom även att Rik</w:t>
      </w:r>
      <w:r w:rsidRPr="00F5723F">
        <w:t>s</w:t>
      </w:r>
      <w:r w:rsidRPr="00F5723F">
        <w:t>dagens revisorers kansli anlitades för uppföljnin</w:t>
      </w:r>
      <w:r w:rsidRPr="00F5723F">
        <w:t>g och utvärdering.</w:t>
      </w:r>
    </w:p>
    <w:p w:rsidR="00B43C57" w:rsidRPr="00F5723F" w:rsidRDefault="00B43C57">
      <w:pPr>
        <w:pStyle w:val="R4"/>
      </w:pPr>
      <w:bookmarkStart w:id="78" w:name="_Toc121738916"/>
      <w:r w:rsidRPr="00F5723F">
        <w:t>Rapportering</w:t>
      </w:r>
      <w:bookmarkEnd w:id="78"/>
    </w:p>
    <w:p w:rsidR="00B43C57" w:rsidRPr="00F5723F" w:rsidRDefault="00B43C57">
      <w:r w:rsidRPr="00F5723F">
        <w:t>På vilket sätt utskotten rapporterar resultaten av arbetet med uppföljning och utvärdering varierar inte bara mellan utskotten utan också från gång till annan inom respektive utskott. De alternativ som nämns i undersökningen är att rapporteringen görs i form av en promemoria, som en del i ett utskotts</w:t>
      </w:r>
      <w:r w:rsidRPr="00F5723F">
        <w:softHyphen/>
        <w:t>betänkande och i form av en rapport i den s.k. URD-serien. Även rapport</w:t>
      </w:r>
      <w:r w:rsidRPr="00F5723F">
        <w:t>e</w:t>
      </w:r>
      <w:r w:rsidRPr="00F5723F">
        <w:t>ring i form av muntliga utskottsföredragningar, till exempel av föredragande från u</w:t>
      </w:r>
      <w:r w:rsidRPr="00F5723F">
        <w:t>t</w:t>
      </w:r>
      <w:r w:rsidRPr="00F5723F">
        <w:t>skottskanslierna eller utredare från utredningstjänsten, förekommer.</w:t>
      </w:r>
    </w:p>
    <w:p w:rsidR="00B43C57" w:rsidRPr="00F5723F" w:rsidRDefault="00B43C57">
      <w:pPr>
        <w:pStyle w:val="Normaltindrag"/>
      </w:pPr>
      <w:r w:rsidRPr="00F5723F">
        <w:t>Vanligast förefaller vara att rapporteringen sker i form av promemorior som föreläggs utskottet. Vissa kanslier framhåller att denna rapportering</w:t>
      </w:r>
      <w:r w:rsidRPr="00F5723F">
        <w:t>s</w:t>
      </w:r>
      <w:r w:rsidRPr="00F5723F">
        <w:t>form vanligtvis gäller i de fall kansliet självt svarar för uppföljningen eller utvärd</w:t>
      </w:r>
      <w:r w:rsidRPr="00F5723F">
        <w:t>e</w:t>
      </w:r>
      <w:r w:rsidRPr="00F5723F">
        <w:t>ringen.</w:t>
      </w:r>
    </w:p>
    <w:p w:rsidR="00B43C57" w:rsidRPr="00F5723F" w:rsidRDefault="00B43C57">
      <w:pPr>
        <w:pStyle w:val="Normaltindrag"/>
      </w:pPr>
      <w:r w:rsidRPr="00F5723F">
        <w:t>Även rapportering som en del i ett utskottsbetänkande, och då som regel ett motionsbetänkande, har förekommit i det stora flertalet utskott. Rapport</w:t>
      </w:r>
      <w:r w:rsidRPr="00F5723F">
        <w:t>e</w:t>
      </w:r>
      <w:r w:rsidRPr="00F5723F">
        <w:t>rin</w:t>
      </w:r>
      <w:r w:rsidRPr="00F5723F">
        <w:t>g</w:t>
      </w:r>
      <w:r w:rsidRPr="00F5723F">
        <w:t>en kan se ut på olika sätt. Den ursprungliga rapporten, som till exempel kan vara en promemoria, kan finnas med som en bilaga i betänkandet. Ra</w:t>
      </w:r>
      <w:r w:rsidRPr="00F5723F">
        <w:t>p</w:t>
      </w:r>
      <w:r w:rsidRPr="00F5723F">
        <w:t>port</w:t>
      </w:r>
      <w:r w:rsidRPr="00F5723F">
        <w:t>e</w:t>
      </w:r>
      <w:r w:rsidRPr="00F5723F">
        <w:t>ringen kan också göras direkt i betänkandet och därvid ligga till grund för utskottets överväganden.</w:t>
      </w:r>
    </w:p>
    <w:p w:rsidR="00B43C57" w:rsidRPr="00F5723F" w:rsidRDefault="00B43C57">
      <w:pPr>
        <w:pStyle w:val="Normaltindrag"/>
      </w:pPr>
      <w:r w:rsidRPr="00F5723F">
        <w:t>Rapportering i form av URD-rapporter har förekommit i flertalet utskott. Att döma av mängden URD-rapporter som publicerats genom åren förefaller denna rapporteringsform dock inte utgöra utskottens huvudalternativ. Sedan 1993/94 års riksmöte har totalt 44 ra</w:t>
      </w:r>
      <w:r w:rsidRPr="00F5723F">
        <w:t>pporter från 14 utskott publicerats i URD-serien, vilket blir i genomsnitt 4 rapporter per riksmöte. En del av ra</w:t>
      </w:r>
      <w:r w:rsidRPr="00F5723F">
        <w:t>p</w:t>
      </w:r>
      <w:r w:rsidRPr="00F5723F">
        <w:t>porterna är dokumentation från seminarier eller utfrågningar som geno</w:t>
      </w:r>
      <w:r w:rsidRPr="00F5723F">
        <w:t>m</w:t>
      </w:r>
      <w:r w:rsidRPr="00F5723F">
        <w:t>förts i utskottets regi. De flesta utskott har publicerat mellan en och tre ra</w:t>
      </w:r>
      <w:r w:rsidRPr="00F5723F">
        <w:t>p</w:t>
      </w:r>
      <w:r w:rsidRPr="00F5723F">
        <w:t>porter under den nämnda perioden. Flest rapporter har konstitutions</w:t>
      </w:r>
      <w:r w:rsidRPr="00F5723F">
        <w:softHyphen/>
        <w:t>utskottet publ</w:t>
      </w:r>
      <w:r w:rsidRPr="00F5723F">
        <w:t>i</w:t>
      </w:r>
      <w:r w:rsidRPr="00F5723F">
        <w:t xml:space="preserve">cerat (nio rapporter), därefter utbildnings- och socialutskotten (åtta respektive sex rapporter, varav en tillsammans med justitieutskottet). </w:t>
      </w:r>
    </w:p>
    <w:p w:rsidR="00B43C57" w:rsidRPr="00F5723F" w:rsidRDefault="00B43C57">
      <w:pPr>
        <w:pStyle w:val="R4"/>
      </w:pPr>
      <w:bookmarkStart w:id="79" w:name="_Toc121738917"/>
      <w:r w:rsidRPr="00F5723F">
        <w:t>Problem i samband med u</w:t>
      </w:r>
      <w:r w:rsidRPr="00F5723F">
        <w:t>ppföljning och utvärdering</w:t>
      </w:r>
      <w:bookmarkEnd w:id="79"/>
    </w:p>
    <w:p w:rsidR="00B43C57" w:rsidRPr="00F5723F" w:rsidRDefault="00B43C57">
      <w:r w:rsidRPr="00F5723F">
        <w:t>Som nämnts ovan uppgav flera kanslichefer i samband med Riksdags</w:t>
      </w:r>
      <w:r w:rsidRPr="00F5723F">
        <w:softHyphen/>
        <w:t>kommitténs undersökningar att ledamöterna hade svagt intresse för uppföl</w:t>
      </w:r>
      <w:r w:rsidRPr="00F5723F">
        <w:t>j</w:t>
      </w:r>
      <w:r w:rsidRPr="00F5723F">
        <w:t>ning och utvärdering. Svaren i föreliggande undersökning skulle kunna tyda på att ledamöternas intresse i dag är större. Endast tre kanslier gör bedö</w:t>
      </w:r>
      <w:r w:rsidRPr="00F5723F">
        <w:t>m</w:t>
      </w:r>
      <w:r w:rsidRPr="00F5723F">
        <w:t>ningen att intresset och engagemanget för uppföljning och utvärdering är lågt. Sex kanslier bedömer att intresset och engagemanget i utskottet är ganska stort medan övriga bedömer att det är varken litet eller stort.</w:t>
      </w:r>
    </w:p>
    <w:p w:rsidR="00B43C57" w:rsidRPr="00F5723F" w:rsidRDefault="00B43C57">
      <w:pPr>
        <w:pStyle w:val="Normaltindrag"/>
      </w:pPr>
      <w:r w:rsidRPr="00F5723F">
        <w:t>Jämförs med andra aktiviteter i utskotten, till exempel behandling av p</w:t>
      </w:r>
      <w:r w:rsidRPr="00F5723F">
        <w:t>r</w:t>
      </w:r>
      <w:r w:rsidRPr="00F5723F">
        <w:t>o</w:t>
      </w:r>
      <w:r w:rsidRPr="00F5723F">
        <w:t>pos</w:t>
      </w:r>
      <w:r w:rsidRPr="00F5723F">
        <w:t>i</w:t>
      </w:r>
      <w:r w:rsidRPr="00F5723F">
        <w:t>tions- och motionsbetänkanden, utfrågningar samt arbete med EU-frågor, är bilden dock att intresset och engagemanget i utskotten är något lägre för uppföljning och utvärdering. Som nämnts i det föregående ägnar utskotten också förhållandevis lite tid åt uppföljning och utvärdering på sina samma</w:t>
      </w:r>
      <w:r w:rsidRPr="00F5723F">
        <w:t>n</w:t>
      </w:r>
      <w:r w:rsidRPr="00F5723F">
        <w:t>träden.</w:t>
      </w:r>
    </w:p>
    <w:p w:rsidR="00B43C57" w:rsidRPr="00F5723F" w:rsidRDefault="00B43C57">
      <w:pPr>
        <w:pStyle w:val="Normaltindrag"/>
      </w:pPr>
      <w:r w:rsidRPr="00F5723F">
        <w:t>På frågan vad som i dag hindrar att utskottet i större utsträckning ägnar sig åt uppföljning och utvärdering uppger fyra kanslier ointresse bland ledam</w:t>
      </w:r>
      <w:r w:rsidRPr="00F5723F">
        <w:t>ö</w:t>
      </w:r>
      <w:r w:rsidRPr="00F5723F">
        <w:t>terna som en orsak; ett ökat intresse hos ledamöterna framhålls som en föru</w:t>
      </w:r>
      <w:r w:rsidRPr="00F5723F">
        <w:t>t</w:t>
      </w:r>
      <w:r w:rsidRPr="00F5723F">
        <w:t>sät</w:t>
      </w:r>
      <w:r w:rsidRPr="00F5723F">
        <w:t>t</w:t>
      </w:r>
      <w:r w:rsidRPr="00F5723F">
        <w:t>ning för att arbetet med uppföljning och utvärdering skall öka. Ytterligare två kanslier anför att uppföljning och utvärdering försvåras av politiska skäl, som att resultatet kan utnyttjas av ”motståndarna” eller att det politikområdet präglas av starka ideologiska motsättningar mellan partierna. Det absolut vanligaste svaret på vad som i dag hindrar att utskottens arbete med uppföl</w:t>
      </w:r>
      <w:r w:rsidRPr="00F5723F">
        <w:t>j</w:t>
      </w:r>
      <w:r w:rsidRPr="00F5723F">
        <w:t>ning och utvärdering ökar är, enligt kanslier</w:t>
      </w:r>
      <w:r w:rsidRPr="00F5723F">
        <w:t>nas bedömningar, dock brist på resurser. Detta uppges av 13 kanslier. Vad för slags resurser det rör sig om framgår inte alltid, men flera uppger att kansliet är för litet och att utskottet behöver ytterligare personella resurser. Resursbrist uppges vara ett hinder även om genomförandet av uppföljnings- och utvärdering</w:t>
      </w:r>
      <w:r w:rsidRPr="00F5723F">
        <w:t>s</w:t>
      </w:r>
      <w:r w:rsidRPr="00F5723F">
        <w:t>arbetet läggs på andra, såsom utredningstjänsten eller forskare, eftersom det även då krävs insatser från kansliet. Ett kansli bedömer även att uppföljning och utvärdering inte kan öka med hä</w:t>
      </w:r>
      <w:r w:rsidRPr="00F5723F">
        <w:t>nsyn till tidsbrist hos ledamöterna. Ett annat kansli efte</w:t>
      </w:r>
      <w:r w:rsidRPr="00F5723F">
        <w:t>r</w:t>
      </w:r>
      <w:r w:rsidRPr="00F5723F">
        <w:t>lyser ett ökat samarbete med utredningstjänsten i uppföljnings- och utvärd</w:t>
      </w:r>
      <w:r w:rsidRPr="00F5723F">
        <w:t>e</w:t>
      </w:r>
      <w:r w:rsidRPr="00F5723F">
        <w:t xml:space="preserve">ringsarbetet. </w:t>
      </w:r>
    </w:p>
    <w:p w:rsidR="00B43C57" w:rsidRPr="00F5723F" w:rsidRDefault="00B43C57">
      <w:pPr>
        <w:pStyle w:val="Rubrik2"/>
      </w:pPr>
      <w:bookmarkStart w:id="80" w:name="_Toc121738918"/>
      <w:bookmarkStart w:id="81" w:name="_Toc124697806"/>
      <w:r w:rsidRPr="00F5723F">
        <w:t>Arbete med EU-frågor</w:t>
      </w:r>
      <w:bookmarkEnd w:id="80"/>
      <w:bookmarkEnd w:id="81"/>
    </w:p>
    <w:p w:rsidR="00B43C57" w:rsidRPr="00F5723F" w:rsidRDefault="00B43C57">
      <w:r w:rsidRPr="00F5723F">
        <w:t>Utskotten har rätt till information i EU-frågor från regeringen (4 kap. 11 § RO). Sedan 1997 anges i RO också att utskotten skall följa arbetet i EU inom sina respektive ämnesområden (10 kap. 3 §). För regeringens samråd med riksdagen i frågor som gäller EU har riksdagen dock tillsatt ett särskilt organ, EU-nämnden (10 kap. 4 §).</w:t>
      </w:r>
    </w:p>
    <w:p w:rsidR="00B43C57" w:rsidRPr="00F5723F" w:rsidRDefault="00B43C57">
      <w:pPr>
        <w:pStyle w:val="Normaltindrag"/>
      </w:pPr>
      <w:r w:rsidRPr="00F5723F">
        <w:t>I samband med behandlingen av förslaget om att införa bestämmelsen om utskottens skyldighet att följa arbetet i EU underströk konstitutionsu</w:t>
      </w:r>
      <w:r w:rsidRPr="00F5723F">
        <w:t>t</w:t>
      </w:r>
      <w:r w:rsidRPr="00F5723F">
        <w:t>skottet utskottens viktiga ställning (bet. 1996/97:KU2). Det var enligt u</w:t>
      </w:r>
      <w:r w:rsidRPr="00F5723F">
        <w:t>t</w:t>
      </w:r>
      <w:r w:rsidRPr="00F5723F">
        <w:t>skottets mening nödvändigt att utskotten följer de frågor inom respektive ämnesomr</w:t>
      </w:r>
      <w:r w:rsidRPr="00F5723F">
        <w:t>å</w:t>
      </w:r>
      <w:r w:rsidRPr="00F5723F">
        <w:t>de som i och med medlemskapet i EU inte längre avgörs i riksdagen. Utsko</w:t>
      </w:r>
      <w:r w:rsidRPr="00F5723F">
        <w:t>t</w:t>
      </w:r>
      <w:r w:rsidRPr="00F5723F">
        <w:t>tet anförde även att det i frågor som ligger inom de icke öve</w:t>
      </w:r>
      <w:r w:rsidRPr="00F5723F">
        <w:t>r</w:t>
      </w:r>
      <w:r w:rsidRPr="00F5723F">
        <w:t>statliga delarna av EU är naturligt och önskvärt att utskotten är aktiva. Utskotten ansågs ku</w:t>
      </w:r>
      <w:r w:rsidRPr="00F5723F">
        <w:t>n</w:t>
      </w:r>
      <w:r w:rsidRPr="00F5723F">
        <w:t>na följa arbetet inom EU dels genom att ta del av dok</w:t>
      </w:r>
      <w:r w:rsidRPr="00F5723F">
        <w:t>u</w:t>
      </w:r>
      <w:r w:rsidRPr="00F5723F">
        <w:t>ment, dels genom att erhålla muntlig information från företrädare för r</w:t>
      </w:r>
      <w:r w:rsidRPr="00F5723F">
        <w:t>egeringen, Regeringskansl</w:t>
      </w:r>
      <w:r w:rsidRPr="00F5723F">
        <w:t>i</w:t>
      </w:r>
      <w:r w:rsidRPr="00F5723F">
        <w:t>et, myndigheterna och Sveriges EU-representation i Bryssel. Vidare kunde information erhållas vid samman</w:t>
      </w:r>
      <w:r w:rsidRPr="00F5723F">
        <w:softHyphen/>
        <w:t>träffanden med företrädare för EU:s instit</w:t>
      </w:r>
      <w:r w:rsidRPr="00F5723F">
        <w:t>u</w:t>
      </w:r>
      <w:r w:rsidRPr="00F5723F">
        <w:t>tioner. Utskottskanslierna förutsattes spela en aktiv roll i informationsinhä</w:t>
      </w:r>
      <w:r w:rsidRPr="00F5723F">
        <w:t>m</w:t>
      </w:r>
      <w:r w:rsidRPr="00F5723F">
        <w:t>tandet. I fråga om samråd anförde utskottet att det i vissa fall kan vara mot</w:t>
      </w:r>
      <w:r w:rsidRPr="00F5723F">
        <w:t>i</w:t>
      </w:r>
      <w:r w:rsidRPr="00F5723F">
        <w:t>verat att sådant sker med det berörda utskottet innan regeringen tar ställning. De närmare formerna för regeringens samråd med utskotten fick enligt utsko</w:t>
      </w:r>
      <w:r w:rsidRPr="00F5723F">
        <w:t>t</w:t>
      </w:r>
      <w:r w:rsidRPr="00F5723F">
        <w:t>tet utvecklas i dialog mell</w:t>
      </w:r>
      <w:r w:rsidRPr="00F5723F">
        <w:t>an berört utskott och departement.</w:t>
      </w:r>
    </w:p>
    <w:p w:rsidR="00B43C57" w:rsidRPr="00F5723F" w:rsidRDefault="00B43C57">
      <w:pPr>
        <w:pStyle w:val="Normaltindrag"/>
      </w:pPr>
      <w:r w:rsidRPr="00F5723F">
        <w:t>Riksdagens och utskottens arbete med EU-frågor har ytterligare aktualis</w:t>
      </w:r>
      <w:r w:rsidRPr="00F5723F">
        <w:t>e</w:t>
      </w:r>
      <w:r w:rsidRPr="00F5723F">
        <w:t>rats genom förslaget till nytt konstitutionellt fördrag för EU, som i oktober 2004 undertecknats av EU:s stats- och regeringschefer. Mot denna bakgrund besl</w:t>
      </w:r>
      <w:r w:rsidRPr="00F5723F">
        <w:t>u</w:t>
      </w:r>
      <w:r w:rsidRPr="00F5723F">
        <w:t>tade riksdagsstyrelsen i oktober 2003 om tilläggsdirektiv till Riksdags</w:t>
      </w:r>
      <w:r w:rsidRPr="00F5723F">
        <w:softHyphen/>
        <w:t>kommittén rörande riksdagens arbete med EU-frågor. En utgångspunkt för kommitténs arbete är att EU-frågorna så långt möjligt skall integreras i det sedvanliga riksdagsarbetet och att alla ledamöter skall ha möjlighet att sätta sig in i och följa EU-frågorna. Kommittén utsåg en parl</w:t>
      </w:r>
      <w:r w:rsidRPr="00F5723F">
        <w:t>amentarisk referen</w:t>
      </w:r>
      <w:r w:rsidRPr="00F5723F">
        <w:t>s</w:t>
      </w:r>
      <w:r w:rsidRPr="00F5723F">
        <w:t>grupp med uppgift att fortlöpande delta i utredningsarbetet i denna del.</w:t>
      </w:r>
    </w:p>
    <w:p w:rsidR="00B43C57" w:rsidRPr="00F5723F" w:rsidRDefault="00B43C57">
      <w:pPr>
        <w:pStyle w:val="Normaltindrag"/>
      </w:pPr>
      <w:r w:rsidRPr="00F5723F">
        <w:t>Referensgruppen avrapporterade i maj 2004 sitt arbete till Riksdags</w:t>
      </w:r>
      <w:r w:rsidRPr="00F5723F">
        <w:softHyphen/>
        <w:t>kommittén.</w:t>
      </w:r>
      <w:r w:rsidRPr="00F5723F">
        <w:rPr>
          <w:rStyle w:val="Fotnotsreferens"/>
        </w:rPr>
        <w:footnoteReference w:id="65"/>
      </w:r>
      <w:r w:rsidRPr="00F5723F">
        <w:t xml:space="preserve"> Gruppen var enig om att riksdagen och utskotten bör öka eng</w:t>
      </w:r>
      <w:r w:rsidRPr="00F5723F">
        <w:t>a</w:t>
      </w:r>
      <w:r w:rsidRPr="00F5723F">
        <w:t>gemanget i EU-frågorna men i vissa avseenden fanns det olika uppfat</w:t>
      </w:r>
      <w:r w:rsidRPr="00F5723F">
        <w:t>t</w:t>
      </w:r>
      <w:r w:rsidRPr="00F5723F">
        <w:t>ningar mellan dess ledamöter, bland annat om huruvida det slutliga samrådet mellan rege</w:t>
      </w:r>
      <w:r w:rsidRPr="00F5723F">
        <w:t>r</w:t>
      </w:r>
      <w:r w:rsidRPr="00F5723F">
        <w:t>ing och riksdag inför ministerrådets beslut skall ske i fackutskotten eller i EU-nämnden. Rapporten behandlas för närvarande av Riksdagsko</w:t>
      </w:r>
      <w:r w:rsidRPr="00F5723F">
        <w:t>m</w:t>
      </w:r>
      <w:r w:rsidRPr="00F5723F">
        <w:t>mittén.</w:t>
      </w:r>
    </w:p>
    <w:p w:rsidR="00B43C57" w:rsidRPr="00F5723F" w:rsidRDefault="00B43C57">
      <w:pPr>
        <w:pStyle w:val="Rubrik3"/>
        <w:rPr>
          <w:noProof w:val="0"/>
        </w:rPr>
      </w:pPr>
      <w:bookmarkStart w:id="82" w:name="_Toc121738919"/>
      <w:bookmarkStart w:id="83" w:name="_Toc124697807"/>
      <w:r w:rsidRPr="00F5723F">
        <w:rPr>
          <w:noProof w:val="0"/>
        </w:rPr>
        <w:t>Ärendemängd</w:t>
      </w:r>
      <w:bookmarkEnd w:id="82"/>
      <w:bookmarkEnd w:id="83"/>
    </w:p>
    <w:p w:rsidR="00B43C57" w:rsidRPr="00F5723F" w:rsidRDefault="00B43C57">
      <w:r w:rsidRPr="00F5723F">
        <w:t>I avsnittet Sammanträden framgick att det finns stora skillnader mellan u</w:t>
      </w:r>
      <w:r w:rsidRPr="00F5723F">
        <w:t>t</w:t>
      </w:r>
      <w:r w:rsidRPr="00F5723F">
        <w:t>skottet när det gäller hur stor del av sammanträdestiden som ägnas åt EU-frågor. Cirka en tredjedel av utskottskanslierna bedömer att EU-frågor up</w:t>
      </w:r>
      <w:r w:rsidRPr="00F5723F">
        <w:t>p</w:t>
      </w:r>
      <w:r w:rsidRPr="00F5723F">
        <w:t>tar en stor del av utskottets sammanträdestid och cirka en tredjedel att de upptar endast en liten del av sammanträdestiden.</w:t>
      </w:r>
    </w:p>
    <w:p w:rsidR="00B43C57" w:rsidRPr="00F5723F" w:rsidRDefault="00B43C57">
      <w:pPr>
        <w:pStyle w:val="Normaltindrag"/>
      </w:pPr>
      <w:r w:rsidRPr="00F5723F">
        <w:t>Vilka EU-dokument som faktiskt blir föremål för behandling varierar sa</w:t>
      </w:r>
      <w:r w:rsidRPr="00F5723F">
        <w:t>n</w:t>
      </w:r>
      <w:r w:rsidRPr="00F5723F">
        <w:t>nolikt mellan utskotten. Att mäta mängden EU-relaterade ärenden i r</w:t>
      </w:r>
      <w:r w:rsidRPr="00F5723F">
        <w:t>e</w:t>
      </w:r>
      <w:r w:rsidRPr="00F5723F">
        <w:t>spektive utskott är därför inte alldeles enkelt. I vissa utskott kan meddela</w:t>
      </w:r>
      <w:r w:rsidRPr="00F5723F">
        <w:t>n</w:t>
      </w:r>
      <w:r w:rsidRPr="00F5723F">
        <w:t>den från kommissionen föranleda behandling i utskottet, medan de i andra utskott ägnas ringa uppmärksamhet. Detsamma kan sägas om andra EU-dokument, såsom grön- och vitböcker.</w:t>
      </w:r>
    </w:p>
    <w:p w:rsidR="00B43C57" w:rsidRPr="00F5723F" w:rsidRDefault="00B43C57">
      <w:pPr>
        <w:pStyle w:val="Normaltindrag"/>
      </w:pPr>
      <w:r w:rsidRPr="00F5723F">
        <w:t>En indikator på mängden EU-relaterade ärenden i utskotten torde dock vara antalet faktapromemorior som respektive utskott får motta. Fakta</w:t>
      </w:r>
      <w:r w:rsidRPr="00F5723F">
        <w:softHyphen/>
        <w:t>promemorior upprättas av departementen när det är fråga om viktigare fö</w:t>
      </w:r>
      <w:r w:rsidRPr="00F5723F">
        <w:t>r</w:t>
      </w:r>
      <w:r w:rsidRPr="00F5723F">
        <w:t>slag och initiativ till gemenskapslagstiftning med mera Det kan handla om vikt</w:t>
      </w:r>
      <w:r w:rsidRPr="00F5723F">
        <w:t>i</w:t>
      </w:r>
      <w:r w:rsidRPr="00F5723F">
        <w:t>ga kommissionsfö</w:t>
      </w:r>
      <w:r w:rsidRPr="00F5723F">
        <w:t>r</w:t>
      </w:r>
      <w:r w:rsidRPr="00F5723F">
        <w:t>slag, kommissionsmeddelanden och grön- och vitböcker. Även om utskotten inte är skyldiga att vidta några ärenden med anledning av faktapromemorior kan de således sägas indikera att de tar upp EU-ärenden av viss tyngd.</w:t>
      </w:r>
    </w:p>
    <w:p w:rsidR="00B43C57" w:rsidRPr="00F5723F" w:rsidRDefault="00B43C57">
      <w:pPr>
        <w:pStyle w:val="Normaltindrag"/>
      </w:pPr>
      <w:r w:rsidRPr="00F5723F">
        <w:t>Faktapromemorior kommer in till kammarkansliet där de registreras och vidarebefordras till berört utskott. I figur 7:1 redovi</w:t>
      </w:r>
      <w:r w:rsidRPr="00F5723F">
        <w:t>sas antal fakta</w:t>
      </w:r>
      <w:r w:rsidRPr="00F5723F">
        <w:softHyphen/>
        <w:t>promemorior som respektive utskott erhållit i genomsnitt per riksmöte sedan inträdet i EU 1995. Till att börja med kan noteras att antalet fakta</w:t>
      </w:r>
      <w:r w:rsidRPr="00F5723F">
        <w:softHyphen/>
        <w:t>promemorior enligt figuren förefaller ha minskat. Flertalet utskott har erhå</w:t>
      </w:r>
      <w:r w:rsidRPr="00F5723F">
        <w:t>l</w:t>
      </w:r>
      <w:r w:rsidRPr="00F5723F">
        <w:t>lit färre faktapromemorior per riksmöte under den innevarande valperioden än under den första och andra valperioden efter EU-inträdet. Detta förklaras dock till stor del av att en faktapromemoria fram till 1999/2000 kunde skickas till flera utskott, vilket också skedde i fö</w:t>
      </w:r>
      <w:r w:rsidRPr="00F5723F">
        <w:t>rhållandevis stor utsträckning. Stud</w:t>
      </w:r>
      <w:r w:rsidRPr="00F5723F">
        <w:t>e</w:t>
      </w:r>
      <w:r w:rsidRPr="00F5723F">
        <w:t>ras i stället antalet faktapromemorior som inkommit till ka</w:t>
      </w:r>
      <w:r w:rsidRPr="00F5723F">
        <w:t>m</w:t>
      </w:r>
      <w:r w:rsidRPr="00F5723F">
        <w:t>markansliet blir bilden en annan. Visserligen varierar antalet faktapromemorior från riksmöte till riksmöte, men det går knappast att tala om någon nedåtgående trend.</w:t>
      </w:r>
    </w:p>
    <w:p w:rsidR="00B43C57" w:rsidRPr="00F5723F" w:rsidRDefault="00B43C57">
      <w:pPr>
        <w:pStyle w:val="Tabellrubrik"/>
      </w:pPr>
      <w:r w:rsidRPr="00F5723F">
        <w:br w:type="page"/>
        <w:t>figur 7:1 inkomna faktapromemorior 1995/96–2003/04</w:t>
      </w:r>
    </w:p>
    <w:p w:rsidR="00B43C57" w:rsidRPr="00F5723F" w:rsidRDefault="00B43C57">
      <w:pPr>
        <w:spacing w:line="240" w:lineRule="auto"/>
        <w:rPr>
          <w:rFonts w:ascii="Arial" w:hAnsi="Arial" w:cs="Arial"/>
          <w:sz w:val="16"/>
          <w:szCs w:val="16"/>
        </w:rPr>
      </w:pPr>
      <w:r w:rsidRPr="00F5723F">
        <w:object w:dxaOrig="1440" w:dyaOrig="1440">
          <v:shape id="_x0000_s1071" type="#_x0000_t75" style="position:absolute;left:0;text-align:left;margin-left:-12.4pt;margin-top:11.4pt;width:313.25pt;height:181.8pt;z-index:251660288">
            <v:imagedata r:id="rId46" o:title=""/>
            <w10:wrap type="topAndBottom"/>
          </v:shape>
          <o:OLEObject Type="Embed" ProgID="Excel.Sheet.8" ShapeID="_x0000_s1071" DrawAspect="Content" ObjectID="_1827438479" r:id="rId47"/>
        </w:object>
      </w:r>
      <w:r w:rsidRPr="00F5723F">
        <w:rPr>
          <w:rFonts w:ascii="Arial" w:hAnsi="Arial" w:cs="Arial"/>
          <w:b/>
          <w:sz w:val="16"/>
          <w:szCs w:val="16"/>
        </w:rPr>
        <w:t>Kommentar:</w:t>
      </w:r>
      <w:r w:rsidRPr="00F5723F">
        <w:rPr>
          <w:rFonts w:ascii="Arial" w:hAnsi="Arial" w:cs="Arial"/>
          <w:sz w:val="16"/>
          <w:szCs w:val="16"/>
        </w:rPr>
        <w:t xml:space="preserve"> Figuren visar </w:t>
      </w:r>
      <w:r w:rsidRPr="00F5723F">
        <w:rPr>
          <w:rFonts w:ascii="Arial" w:hAnsi="Arial" w:cs="Arial"/>
          <w:color w:val="000000"/>
          <w:sz w:val="16"/>
          <w:szCs w:val="16"/>
        </w:rPr>
        <w:t>hur många faktapm varje utskott i geno</w:t>
      </w:r>
      <w:r w:rsidRPr="00F5723F">
        <w:rPr>
          <w:rFonts w:ascii="Arial" w:hAnsi="Arial" w:cs="Arial"/>
          <w:color w:val="000000"/>
          <w:sz w:val="16"/>
          <w:szCs w:val="16"/>
        </w:rPr>
        <w:t>m</w:t>
      </w:r>
      <w:r w:rsidRPr="00F5723F">
        <w:rPr>
          <w:rFonts w:ascii="Arial" w:hAnsi="Arial" w:cs="Arial"/>
          <w:color w:val="000000"/>
          <w:sz w:val="16"/>
          <w:szCs w:val="16"/>
        </w:rPr>
        <w:t>snitt fått motta under ett riksmöte. Siffrorna för 1995/96 avser januari 1995–september 1996. Fram till 1999/2000 kunde en faktapm gå till mer än ett utskott.</w:t>
      </w:r>
      <w:r w:rsidRPr="00F5723F">
        <w:rPr>
          <w:rFonts w:ascii="Arial" w:hAnsi="Arial" w:cs="Arial"/>
          <w:b/>
          <w:sz w:val="16"/>
          <w:szCs w:val="16"/>
        </w:rPr>
        <w:t xml:space="preserve"> Källor:</w:t>
      </w:r>
      <w:r w:rsidRPr="00F5723F">
        <w:rPr>
          <w:rFonts w:ascii="Arial" w:hAnsi="Arial" w:cs="Arial"/>
          <w:sz w:val="16"/>
          <w:szCs w:val="16"/>
        </w:rPr>
        <w:t xml:space="preserve"> Uppgifter enligt föredragande Hans Hegeland, finansutskottet, dat</w:t>
      </w:r>
      <w:r w:rsidRPr="00F5723F">
        <w:rPr>
          <w:rFonts w:ascii="Arial" w:hAnsi="Arial" w:cs="Arial"/>
          <w:sz w:val="16"/>
          <w:szCs w:val="16"/>
        </w:rPr>
        <w:t>a</w:t>
      </w:r>
      <w:r w:rsidRPr="00F5723F">
        <w:rPr>
          <w:rFonts w:ascii="Arial" w:hAnsi="Arial" w:cs="Arial"/>
          <w:sz w:val="16"/>
          <w:szCs w:val="16"/>
        </w:rPr>
        <w:t>basen EUdok 0203–0304.</w:t>
      </w:r>
    </w:p>
    <w:p w:rsidR="00B43C57" w:rsidRPr="00F5723F" w:rsidRDefault="00B43C57">
      <w:pPr>
        <w:spacing w:before="187" w:line="240" w:lineRule="auto"/>
      </w:pPr>
    </w:p>
    <w:p w:rsidR="00B43C57" w:rsidRPr="00F5723F" w:rsidRDefault="00B43C57">
      <w:pPr>
        <w:spacing w:before="187"/>
      </w:pPr>
      <w:r w:rsidRPr="00F5723F">
        <w:t>Jämförs hur många faktapromemorior som går till olika utskott framkommer att det finns stora skillnader, vilket naturligtvis hänger samman med i vad mån utskottets ämnesområde regleras på EU-nivå. Flest faktapromemorior erhåller miljö- och jordbruksutskottet – så har varit fallet ända sedan inträdet i EU. Under första halvan av innevarande valperiod gick i genomsnitt nästan 25 faktapromemorior per riksmöte till miljö- och jordbruksutskottet. Andra utskott som i regel erhåller ett stort antal faktapromemorio</w:t>
      </w:r>
      <w:r w:rsidRPr="00F5723F">
        <w:t>r är närings- och trafikutskotten. Flera utskott erhåller på sin höjd någon enstaka fakta</w:t>
      </w:r>
      <w:r w:rsidRPr="00F5723F">
        <w:softHyphen/>
        <w:t>promemoria per riksmöte. Under första halvan av innevarande valperiod har försvars-, kultur-, utbildnings- och bostadsutskotten inte erhållit någon fakt</w:t>
      </w:r>
      <w:r w:rsidRPr="00F5723F">
        <w:t>a</w:t>
      </w:r>
      <w:r w:rsidRPr="00F5723F">
        <w:t>promemoria. Andra utskott som i regel endast erhåller ett litet antal faktapr</w:t>
      </w:r>
      <w:r w:rsidRPr="00F5723F">
        <w:t>o</w:t>
      </w:r>
      <w:r w:rsidRPr="00F5723F">
        <w:t>memorior är konstitutions-, socialförsäkrings-, social- och arbetsmarknadsu</w:t>
      </w:r>
      <w:r w:rsidRPr="00F5723F">
        <w:t>t</w:t>
      </w:r>
      <w:r w:rsidRPr="00F5723F">
        <w:t>skotten.</w:t>
      </w:r>
    </w:p>
    <w:p w:rsidR="00B43C57" w:rsidRPr="00F5723F" w:rsidRDefault="00B43C57">
      <w:pPr>
        <w:pStyle w:val="Normaltindrag"/>
      </w:pPr>
      <w:r w:rsidRPr="00F5723F">
        <w:t>Som anförts ovan finns flera andra slags EU-dokument än faktapromem</w:t>
      </w:r>
      <w:r w:rsidRPr="00F5723F">
        <w:t>o</w:t>
      </w:r>
      <w:r w:rsidRPr="00F5723F">
        <w:t>rior som kan bli föremål för behandling i utskotten, men det är osäkert i vad mån de faktiskt blir föremål för utskottsbehandling. Studeras trots detta fö</w:t>
      </w:r>
      <w:r w:rsidRPr="00F5723F">
        <w:t>r</w:t>
      </w:r>
      <w:r w:rsidRPr="00F5723F">
        <w:t>delningen per utskott av det totala antalet EU-dokument som inkommer till kammarkansliet blir bilden till stor del densamma som i figur 7:1 ovan, det vill säga det är samma utskott som har en stor respektive liten mängd EU-dokument oavsett om det är fråga om endast faktapromemorior eller EU-dokument totalt sett.</w:t>
      </w:r>
      <w:r w:rsidRPr="00F5723F">
        <w:rPr>
          <w:rStyle w:val="Fotnotsreferens"/>
        </w:rPr>
        <w:footnoteReference w:id="66"/>
      </w:r>
      <w:r w:rsidRPr="00F5723F">
        <w:t xml:space="preserve"> En skillnad är dock att utrikesutskottet relativt övriga utskott har fler dokument när samtliga inkomna EU-dokument studeras. U</w:t>
      </w:r>
      <w:r w:rsidRPr="00F5723F">
        <w:t>n</w:t>
      </w:r>
      <w:r w:rsidRPr="00F5723F">
        <w:t>der första hälften av innevarande valperiod fick endast miljö- och jordbruk</w:t>
      </w:r>
      <w:r w:rsidRPr="00F5723F">
        <w:t>s</w:t>
      </w:r>
      <w:r w:rsidRPr="00F5723F">
        <w:t xml:space="preserve">utskottet emotta fler EU-dokument än utrikesutskottet. Att </w:t>
      </w:r>
      <w:r w:rsidRPr="00F5723F">
        <w:rPr>
          <w:color w:val="000000"/>
        </w:rPr>
        <w:t>utrikesutskottet får ta emot förhålla</w:t>
      </w:r>
      <w:r w:rsidRPr="00F5723F">
        <w:rPr>
          <w:color w:val="000000"/>
        </w:rPr>
        <w:t>n</w:t>
      </w:r>
      <w:r w:rsidRPr="00F5723F">
        <w:rPr>
          <w:color w:val="000000"/>
        </w:rPr>
        <w:t>devis få faktapromemorior torde ha att göra med att det inom den gemensamma utrikes- och säkerhetspolitiken egentligen inte förekommer förslag till rättsakter, som är den vanligaste typen av dokument som blir f</w:t>
      </w:r>
      <w:r w:rsidRPr="00F5723F">
        <w:rPr>
          <w:color w:val="000000"/>
        </w:rPr>
        <w:t>ö</w:t>
      </w:r>
      <w:r w:rsidRPr="00F5723F">
        <w:rPr>
          <w:color w:val="000000"/>
        </w:rPr>
        <w:t>remål för faktapromemorior.</w:t>
      </w:r>
      <w:r w:rsidRPr="00F5723F">
        <w:rPr>
          <w:rStyle w:val="Fotnotsreferens"/>
          <w:color w:val="000000"/>
        </w:rPr>
        <w:footnoteReference w:id="67"/>
      </w:r>
      <w:r w:rsidRPr="00F5723F">
        <w:rPr>
          <w:color w:val="000000"/>
        </w:rPr>
        <w:t xml:space="preserve"> Även finansutskottet har relativt övriga u</w:t>
      </w:r>
      <w:r w:rsidRPr="00F5723F">
        <w:rPr>
          <w:color w:val="000000"/>
        </w:rPr>
        <w:t>t</w:t>
      </w:r>
      <w:r w:rsidRPr="00F5723F">
        <w:rPr>
          <w:color w:val="000000"/>
        </w:rPr>
        <w:t>skott fler EU-dokument när samtliga till kammarkansliet inkomna EU-dokument studeras.</w:t>
      </w:r>
      <w:r w:rsidRPr="00F5723F">
        <w:rPr>
          <w:rStyle w:val="Fotnotsreferens"/>
          <w:color w:val="000000"/>
        </w:rPr>
        <w:footnoteReference w:id="68"/>
      </w:r>
    </w:p>
    <w:p w:rsidR="00B43C57" w:rsidRPr="00F5723F" w:rsidRDefault="00B43C57">
      <w:pPr>
        <w:pStyle w:val="Rubrik3"/>
        <w:rPr>
          <w:noProof w:val="0"/>
        </w:rPr>
      </w:pPr>
      <w:bookmarkStart w:id="85" w:name="_Toc121738920"/>
      <w:bookmarkStart w:id="86" w:name="_Toc124697808"/>
      <w:r w:rsidRPr="00F5723F">
        <w:rPr>
          <w:noProof w:val="0"/>
        </w:rPr>
        <w:t>Förekomst av muntlig information och informella samråd</w:t>
      </w:r>
      <w:bookmarkEnd w:id="85"/>
      <w:bookmarkEnd w:id="86"/>
    </w:p>
    <w:p w:rsidR="00B43C57" w:rsidRPr="00F5723F" w:rsidRDefault="00B43C57">
      <w:r w:rsidRPr="00F5723F">
        <w:t>Som framhölls av konstitutionsutskottet kan utskotten följa EU-arbetet inte bara genom att ta del av olika slags dokument utan även genom att erhålla muntlig information från olika företrädare. Av tabell 7:1 framgår hur ofta, enligt kansliernas bedömningar, olika företrädare för regeringen och Rege</w:t>
      </w:r>
      <w:r w:rsidRPr="00F5723F">
        <w:t>r</w:t>
      </w:r>
      <w:r w:rsidRPr="00F5723F">
        <w:t>ingskansliet brukar ge muntlig information till respektive utskott.</w:t>
      </w:r>
    </w:p>
    <w:p w:rsidR="00B43C57" w:rsidRPr="00F5723F" w:rsidRDefault="00B43C57">
      <w:pPr>
        <w:pStyle w:val="Normaltindrag"/>
      </w:pPr>
      <w:r w:rsidRPr="00F5723F">
        <w:t>Vanligast är, som framgår av tabellen, att EU-informationen ges av stat</w:t>
      </w:r>
      <w:r w:rsidRPr="00F5723F">
        <w:t>s</w:t>
      </w:r>
      <w:r w:rsidRPr="00F5723F">
        <w:t>sekreterare och tjänstemän från Regeringskansliet. Muntlig information från dessa förekommer i ungefär lika stor utsträckning. I ungefär tio av utskotten uppges att statssekreterare och tjänstemän från Regeringskansliet kommer flera gånger per år. Oftast torde statssekreterare och departements</w:t>
      </w:r>
      <w:r w:rsidRPr="00F5723F">
        <w:softHyphen/>
        <w:t>tjänstemän komma tillsammans till utskotten, men det förekommer även att depart</w:t>
      </w:r>
      <w:r w:rsidRPr="00F5723F">
        <w:t>e</w:t>
      </w:r>
      <w:r w:rsidRPr="00F5723F">
        <w:t>mentstjänstemän kommer utan någon statssekreterare eller någon annan pol</w:t>
      </w:r>
      <w:r w:rsidRPr="00F5723F">
        <w:t>i</w:t>
      </w:r>
      <w:r w:rsidRPr="00F5723F">
        <w:t>tisk företrädare (se förs. 2000/01:RS1 bilaga 6 s. 316). Att st</w:t>
      </w:r>
      <w:r w:rsidRPr="00F5723F">
        <w:t>atsråd kommer till utskotten för att informera om EU-frågor är betydligt mindre vanligt. Inte i något utskott uppges att statsråd kommer flera gånger per år. I sex utskott uppges att statsråd kommer mellan en och två gånger per riksm</w:t>
      </w:r>
      <w:r w:rsidRPr="00F5723F">
        <w:t>ö</w:t>
      </w:r>
      <w:r w:rsidRPr="00F5723F">
        <w:t>te. I nästan hälften av utskotten uppges att statsråd i stort sett aldrig kommer för att i</w:t>
      </w:r>
      <w:r w:rsidRPr="00F5723F">
        <w:t>n</w:t>
      </w:r>
      <w:r w:rsidRPr="00F5723F">
        <w:t>formera om EU-frågor.</w:t>
      </w:r>
    </w:p>
    <w:p w:rsidR="00B43C57" w:rsidRPr="00F5723F" w:rsidRDefault="00B43C57">
      <w:pPr>
        <w:pStyle w:val="Tabellrubrik"/>
      </w:pPr>
      <w:r w:rsidRPr="00F5723F">
        <w:br w:type="page"/>
        <w:t>TAbell 7:1 information i eu-ärenden</w:t>
      </w:r>
    </w:p>
    <w:tbl>
      <w:tblPr>
        <w:tblW w:w="5842" w:type="dxa"/>
        <w:tblLayout w:type="fixed"/>
        <w:tblCellMar>
          <w:left w:w="30" w:type="dxa"/>
          <w:right w:w="30" w:type="dxa"/>
        </w:tblCellMar>
        <w:tblLook w:val="0000" w:firstRow="0" w:lastRow="0" w:firstColumn="0" w:lastColumn="0" w:noHBand="0" w:noVBand="0"/>
      </w:tblPr>
      <w:tblGrid>
        <w:gridCol w:w="597"/>
        <w:gridCol w:w="1985"/>
        <w:gridCol w:w="1843"/>
        <w:gridCol w:w="1417"/>
      </w:tblGrid>
      <w:tr w:rsidR="00000000" w:rsidRPr="00F5723F">
        <w:tblPrEx>
          <w:tblCellMar>
            <w:top w:w="0" w:type="dxa"/>
            <w:bottom w:w="0" w:type="dxa"/>
          </w:tblCellMar>
        </w:tblPrEx>
        <w:trPr>
          <w:cantSplit/>
          <w:trHeight w:val="247"/>
        </w:trPr>
        <w:tc>
          <w:tcPr>
            <w:tcW w:w="597" w:type="dxa"/>
            <w:tcBorders>
              <w:top w:val="single" w:sz="4" w:space="0" w:color="auto"/>
              <w:bottom w:val="single" w:sz="4" w:space="0" w:color="auto"/>
            </w:tcBorders>
          </w:tcPr>
          <w:p w:rsidR="00B43C57" w:rsidRPr="00F5723F" w:rsidRDefault="00B43C57">
            <w:pPr>
              <w:rPr>
                <w:b/>
                <w:snapToGrid w:val="0"/>
              </w:rPr>
            </w:pPr>
          </w:p>
        </w:tc>
        <w:tc>
          <w:tcPr>
            <w:tcW w:w="1985" w:type="dxa"/>
            <w:tcBorders>
              <w:top w:val="single" w:sz="4" w:space="0" w:color="auto"/>
              <w:bottom w:val="single" w:sz="4" w:space="0" w:color="auto"/>
            </w:tcBorders>
          </w:tcPr>
          <w:p w:rsidR="00B43C57" w:rsidRPr="00F5723F" w:rsidRDefault="00B43C57">
            <w:pPr>
              <w:pStyle w:val="Tabelltext"/>
              <w:rPr>
                <w:snapToGrid w:val="0"/>
              </w:rPr>
            </w:pPr>
            <w:r w:rsidRPr="00F5723F">
              <w:rPr>
                <w:snapToGrid w:val="0"/>
              </w:rPr>
              <w:t>Statsråd</w:t>
            </w:r>
          </w:p>
        </w:tc>
        <w:tc>
          <w:tcPr>
            <w:tcW w:w="1843" w:type="dxa"/>
            <w:tcBorders>
              <w:top w:val="single" w:sz="4" w:space="0" w:color="auto"/>
              <w:bottom w:val="single" w:sz="4" w:space="0" w:color="auto"/>
            </w:tcBorders>
          </w:tcPr>
          <w:p w:rsidR="00B43C57" w:rsidRPr="00F5723F" w:rsidRDefault="00B43C57">
            <w:pPr>
              <w:pStyle w:val="Tabelltext"/>
              <w:rPr>
                <w:snapToGrid w:val="0"/>
              </w:rPr>
            </w:pPr>
            <w:r w:rsidRPr="00F5723F">
              <w:rPr>
                <w:snapToGrid w:val="0"/>
              </w:rPr>
              <w:t>Statssekreterare</w:t>
            </w:r>
          </w:p>
        </w:tc>
        <w:tc>
          <w:tcPr>
            <w:tcW w:w="1417" w:type="dxa"/>
            <w:tcBorders>
              <w:top w:val="single" w:sz="4" w:space="0" w:color="auto"/>
              <w:bottom w:val="single" w:sz="4" w:space="0" w:color="auto"/>
            </w:tcBorders>
          </w:tcPr>
          <w:p w:rsidR="00B43C57" w:rsidRPr="00F5723F" w:rsidRDefault="00B43C57">
            <w:pPr>
              <w:pStyle w:val="Tabelltext"/>
              <w:rPr>
                <w:snapToGrid w:val="0"/>
              </w:rPr>
            </w:pPr>
            <w:r w:rsidRPr="00F5723F">
              <w:rPr>
                <w:snapToGrid w:val="0"/>
              </w:rPr>
              <w:t>RK-tjänsteman</w:t>
            </w:r>
          </w:p>
        </w:tc>
      </w:tr>
      <w:tr w:rsidR="00000000" w:rsidRPr="00F5723F">
        <w:tblPrEx>
          <w:tblCellMar>
            <w:top w:w="0" w:type="dxa"/>
            <w:bottom w:w="0" w:type="dxa"/>
          </w:tblCellMar>
        </w:tblPrEx>
        <w:trPr>
          <w:cantSplit/>
          <w:trHeight w:val="247"/>
        </w:trPr>
        <w:tc>
          <w:tcPr>
            <w:tcW w:w="597" w:type="dxa"/>
            <w:tcBorders>
              <w:top w:val="single" w:sz="4" w:space="0" w:color="auto"/>
            </w:tcBorders>
          </w:tcPr>
          <w:p w:rsidR="00B43C57" w:rsidRPr="00F5723F" w:rsidRDefault="00B43C57">
            <w:pPr>
              <w:pStyle w:val="Tabelltext"/>
              <w:rPr>
                <w:snapToGrid w:val="0"/>
              </w:rPr>
            </w:pPr>
            <w:r w:rsidRPr="00F5723F">
              <w:rPr>
                <w:snapToGrid w:val="0"/>
              </w:rPr>
              <w:t>KU</w:t>
            </w:r>
          </w:p>
        </w:tc>
        <w:tc>
          <w:tcPr>
            <w:tcW w:w="1985" w:type="dxa"/>
            <w:tcBorders>
              <w:top w:val="single" w:sz="4" w:space="0" w:color="auto"/>
            </w:tcBorders>
          </w:tcPr>
          <w:p w:rsidR="00B43C57" w:rsidRPr="00F5723F" w:rsidRDefault="00B43C57">
            <w:pPr>
              <w:pStyle w:val="Tabelltext"/>
              <w:rPr>
                <w:snapToGrid w:val="0"/>
              </w:rPr>
            </w:pPr>
            <w:r w:rsidRPr="00F5723F">
              <w:rPr>
                <w:snapToGrid w:val="0"/>
              </w:rPr>
              <w:t>I stort sett aldrig</w:t>
            </w:r>
          </w:p>
        </w:tc>
        <w:tc>
          <w:tcPr>
            <w:tcW w:w="1843" w:type="dxa"/>
            <w:tcBorders>
              <w:top w:val="single" w:sz="4" w:space="0" w:color="auto"/>
            </w:tcBorders>
          </w:tcPr>
          <w:p w:rsidR="00B43C57" w:rsidRPr="00F5723F" w:rsidRDefault="00B43C57">
            <w:pPr>
              <w:pStyle w:val="Tabelltext"/>
              <w:rPr>
                <w:snapToGrid w:val="0"/>
              </w:rPr>
            </w:pPr>
            <w:r w:rsidRPr="00F5723F">
              <w:rPr>
                <w:snapToGrid w:val="0"/>
              </w:rPr>
              <w:t>1–2 ggr/valperiod</w:t>
            </w:r>
          </w:p>
        </w:tc>
        <w:tc>
          <w:tcPr>
            <w:tcW w:w="1417" w:type="dxa"/>
            <w:tcBorders>
              <w:top w:val="single" w:sz="4" w:space="0" w:color="auto"/>
            </w:tcBorders>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FiU</w:t>
            </w:r>
          </w:p>
        </w:tc>
        <w:tc>
          <w:tcPr>
            <w:tcW w:w="1985" w:type="dxa"/>
          </w:tcPr>
          <w:p w:rsidR="00B43C57" w:rsidRPr="00F5723F" w:rsidRDefault="00B43C57">
            <w:pPr>
              <w:pStyle w:val="Tabelltext"/>
              <w:rPr>
                <w:snapToGrid w:val="0"/>
              </w:rPr>
            </w:pPr>
            <w:r w:rsidRPr="00F5723F">
              <w:rPr>
                <w:snapToGrid w:val="0"/>
              </w:rPr>
              <w:t>1–2 ggr/valperiod</w:t>
            </w:r>
          </w:p>
        </w:tc>
        <w:tc>
          <w:tcPr>
            <w:tcW w:w="1843" w:type="dxa"/>
          </w:tcPr>
          <w:p w:rsidR="00B43C57" w:rsidRPr="00F5723F" w:rsidRDefault="00B43C57">
            <w:pPr>
              <w:pStyle w:val="Tabelltext"/>
              <w:rPr>
                <w:snapToGrid w:val="0"/>
              </w:rPr>
            </w:pPr>
            <w:r w:rsidRPr="00F5723F">
              <w:rPr>
                <w:snapToGrid w:val="0"/>
              </w:rPr>
              <w:t>1–2 ggr/år</w:t>
            </w:r>
          </w:p>
        </w:tc>
        <w:tc>
          <w:tcPr>
            <w:tcW w:w="1417" w:type="dxa"/>
          </w:tcPr>
          <w:p w:rsidR="00B43C57" w:rsidRPr="00F5723F" w:rsidRDefault="00B43C57">
            <w:pPr>
              <w:pStyle w:val="Tabelltext"/>
              <w:rPr>
                <w:snapToGrid w:val="0"/>
              </w:rPr>
            </w:pPr>
            <w:r w:rsidRPr="00F5723F">
              <w:rPr>
                <w:snapToGrid w:val="0"/>
              </w:rPr>
              <w:t>1–2 ggr/valperiod</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SkU</w:t>
            </w:r>
          </w:p>
        </w:tc>
        <w:tc>
          <w:tcPr>
            <w:tcW w:w="1985" w:type="dxa"/>
          </w:tcPr>
          <w:p w:rsidR="00B43C57" w:rsidRPr="00F5723F" w:rsidRDefault="00B43C57">
            <w:pPr>
              <w:pStyle w:val="Tabelltext"/>
              <w:rPr>
                <w:snapToGrid w:val="0"/>
              </w:rPr>
            </w:pPr>
            <w:r w:rsidRPr="00F5723F">
              <w:rPr>
                <w:snapToGrid w:val="0"/>
              </w:rPr>
              <w:t>I stort sett aldrig</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JuU</w:t>
            </w:r>
          </w:p>
        </w:tc>
        <w:tc>
          <w:tcPr>
            <w:tcW w:w="1985" w:type="dxa"/>
          </w:tcPr>
          <w:p w:rsidR="00B43C57" w:rsidRPr="00F5723F" w:rsidRDefault="00B43C57">
            <w:pPr>
              <w:pStyle w:val="Tabelltext"/>
              <w:rPr>
                <w:snapToGrid w:val="0"/>
              </w:rPr>
            </w:pPr>
            <w:r w:rsidRPr="00F5723F">
              <w:rPr>
                <w:snapToGrid w:val="0"/>
              </w:rPr>
              <w:t>1–2 ggr/valperiod</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LU</w:t>
            </w:r>
          </w:p>
        </w:tc>
        <w:tc>
          <w:tcPr>
            <w:tcW w:w="1985" w:type="dxa"/>
          </w:tcPr>
          <w:p w:rsidR="00B43C57" w:rsidRPr="00F5723F" w:rsidRDefault="00B43C57">
            <w:pPr>
              <w:pStyle w:val="Tabelltext"/>
              <w:rPr>
                <w:snapToGrid w:val="0"/>
              </w:rPr>
            </w:pPr>
            <w:r w:rsidRPr="00F5723F">
              <w:rPr>
                <w:snapToGrid w:val="0"/>
              </w:rPr>
              <w:t>I stort sett aldrig</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UU</w:t>
            </w:r>
          </w:p>
        </w:tc>
        <w:tc>
          <w:tcPr>
            <w:tcW w:w="1985" w:type="dxa"/>
          </w:tcPr>
          <w:p w:rsidR="00B43C57" w:rsidRPr="00F5723F" w:rsidRDefault="00B43C57">
            <w:pPr>
              <w:pStyle w:val="Tabelltext"/>
              <w:rPr>
                <w:snapToGrid w:val="0"/>
              </w:rPr>
            </w:pPr>
            <w:r w:rsidRPr="00F5723F">
              <w:rPr>
                <w:snapToGrid w:val="0"/>
              </w:rPr>
              <w:t>1–2 ggr/år</w:t>
            </w:r>
          </w:p>
        </w:tc>
        <w:tc>
          <w:tcPr>
            <w:tcW w:w="1843" w:type="dxa"/>
          </w:tcPr>
          <w:p w:rsidR="00B43C57" w:rsidRPr="00F5723F" w:rsidRDefault="00B43C57">
            <w:pPr>
              <w:pStyle w:val="Tabelltext"/>
              <w:rPr>
                <w:snapToGrid w:val="0"/>
              </w:rPr>
            </w:pPr>
            <w:r w:rsidRPr="00F5723F">
              <w:rPr>
                <w:snapToGrid w:val="0"/>
              </w:rPr>
              <w:t>1–2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FöU</w:t>
            </w:r>
          </w:p>
        </w:tc>
        <w:tc>
          <w:tcPr>
            <w:tcW w:w="1985" w:type="dxa"/>
          </w:tcPr>
          <w:p w:rsidR="00B43C57" w:rsidRPr="00F5723F" w:rsidRDefault="00B43C57">
            <w:pPr>
              <w:pStyle w:val="Tabelltext"/>
              <w:rPr>
                <w:snapToGrid w:val="0"/>
              </w:rPr>
            </w:pPr>
            <w:r w:rsidRPr="00F5723F">
              <w:rPr>
                <w:snapToGrid w:val="0"/>
              </w:rPr>
              <w:t>1–2 ggr/år</w:t>
            </w:r>
          </w:p>
        </w:tc>
        <w:tc>
          <w:tcPr>
            <w:tcW w:w="1843" w:type="dxa"/>
          </w:tcPr>
          <w:p w:rsidR="00B43C57" w:rsidRPr="00F5723F" w:rsidRDefault="00B43C57">
            <w:pPr>
              <w:pStyle w:val="Tabelltext"/>
              <w:rPr>
                <w:snapToGrid w:val="0"/>
              </w:rPr>
            </w:pPr>
            <w:r w:rsidRPr="00F5723F">
              <w:rPr>
                <w:snapToGrid w:val="0"/>
              </w:rPr>
              <w:t>1–2 ggr/år</w:t>
            </w:r>
          </w:p>
        </w:tc>
        <w:tc>
          <w:tcPr>
            <w:tcW w:w="1417" w:type="dxa"/>
          </w:tcPr>
          <w:p w:rsidR="00B43C57" w:rsidRPr="00F5723F" w:rsidRDefault="00B43C57">
            <w:pPr>
              <w:pStyle w:val="Tabelltext"/>
              <w:rPr>
                <w:snapToGrid w:val="0"/>
              </w:rPr>
            </w:pPr>
            <w:r w:rsidRPr="00F5723F">
              <w:rPr>
                <w:snapToGrid w:val="0"/>
              </w:rPr>
              <w:t>1–2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SfU</w:t>
            </w:r>
          </w:p>
        </w:tc>
        <w:tc>
          <w:tcPr>
            <w:tcW w:w="1985" w:type="dxa"/>
          </w:tcPr>
          <w:p w:rsidR="00B43C57" w:rsidRPr="00F5723F" w:rsidRDefault="00B43C57">
            <w:pPr>
              <w:pStyle w:val="Tabelltext"/>
              <w:rPr>
                <w:snapToGrid w:val="0"/>
              </w:rPr>
            </w:pPr>
            <w:r w:rsidRPr="00F5723F">
              <w:rPr>
                <w:snapToGrid w:val="0"/>
              </w:rPr>
              <w:t>I stort sett aldrig</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SoU</w:t>
            </w:r>
          </w:p>
        </w:tc>
        <w:tc>
          <w:tcPr>
            <w:tcW w:w="1985" w:type="dxa"/>
          </w:tcPr>
          <w:p w:rsidR="00B43C57" w:rsidRPr="00F5723F" w:rsidRDefault="00B43C57">
            <w:pPr>
              <w:pStyle w:val="Tabelltext"/>
              <w:rPr>
                <w:snapToGrid w:val="0"/>
              </w:rPr>
            </w:pPr>
            <w:r w:rsidRPr="00F5723F">
              <w:rPr>
                <w:snapToGrid w:val="0"/>
              </w:rPr>
              <w:t>I stort sett aldrig</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KrU</w:t>
            </w:r>
          </w:p>
        </w:tc>
        <w:tc>
          <w:tcPr>
            <w:tcW w:w="1985" w:type="dxa"/>
          </w:tcPr>
          <w:p w:rsidR="00B43C57" w:rsidRPr="00F5723F" w:rsidRDefault="00B43C57">
            <w:pPr>
              <w:pStyle w:val="Tabelltext"/>
              <w:rPr>
                <w:snapToGrid w:val="0"/>
              </w:rPr>
            </w:pPr>
            <w:r w:rsidRPr="00F5723F">
              <w:rPr>
                <w:snapToGrid w:val="0"/>
              </w:rPr>
              <w:t>1–2 ggr/år</w:t>
            </w:r>
          </w:p>
        </w:tc>
        <w:tc>
          <w:tcPr>
            <w:tcW w:w="1843" w:type="dxa"/>
          </w:tcPr>
          <w:p w:rsidR="00B43C57" w:rsidRPr="00F5723F" w:rsidRDefault="00B43C57">
            <w:pPr>
              <w:pStyle w:val="Tabelltext"/>
              <w:rPr>
                <w:snapToGrid w:val="0"/>
              </w:rPr>
            </w:pPr>
            <w:r w:rsidRPr="00F5723F">
              <w:rPr>
                <w:snapToGrid w:val="0"/>
              </w:rPr>
              <w:t>1–2 ggr/år</w:t>
            </w:r>
          </w:p>
        </w:tc>
        <w:tc>
          <w:tcPr>
            <w:tcW w:w="1417" w:type="dxa"/>
          </w:tcPr>
          <w:p w:rsidR="00B43C57" w:rsidRPr="00F5723F" w:rsidRDefault="00B43C57">
            <w:pPr>
              <w:pStyle w:val="Tabelltext"/>
              <w:rPr>
                <w:snapToGrid w:val="0"/>
              </w:rPr>
            </w:pPr>
            <w:r w:rsidRPr="00F5723F">
              <w:rPr>
                <w:snapToGrid w:val="0"/>
              </w:rPr>
              <w:t>1–2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UbU</w:t>
            </w:r>
          </w:p>
        </w:tc>
        <w:tc>
          <w:tcPr>
            <w:tcW w:w="1985" w:type="dxa"/>
          </w:tcPr>
          <w:p w:rsidR="00B43C57" w:rsidRPr="00F5723F" w:rsidRDefault="00B43C57">
            <w:pPr>
              <w:pStyle w:val="Tabelltext"/>
              <w:rPr>
                <w:snapToGrid w:val="0"/>
              </w:rPr>
            </w:pPr>
            <w:r w:rsidRPr="00F5723F">
              <w:rPr>
                <w:snapToGrid w:val="0"/>
              </w:rPr>
              <w:t>1–2 ggr/år</w:t>
            </w:r>
          </w:p>
        </w:tc>
        <w:tc>
          <w:tcPr>
            <w:tcW w:w="1843" w:type="dxa"/>
          </w:tcPr>
          <w:p w:rsidR="00B43C57" w:rsidRPr="00F5723F" w:rsidRDefault="00B43C57">
            <w:pPr>
              <w:pStyle w:val="Tabelltext"/>
              <w:rPr>
                <w:snapToGrid w:val="0"/>
              </w:rPr>
            </w:pPr>
            <w:r w:rsidRPr="00F5723F">
              <w:rPr>
                <w:snapToGrid w:val="0"/>
              </w:rPr>
              <w:t>1–2 ggr/år</w:t>
            </w:r>
          </w:p>
        </w:tc>
        <w:tc>
          <w:tcPr>
            <w:tcW w:w="1417" w:type="dxa"/>
          </w:tcPr>
          <w:p w:rsidR="00B43C57" w:rsidRPr="00F5723F" w:rsidRDefault="00B43C57">
            <w:pPr>
              <w:pStyle w:val="Tabelltext"/>
              <w:rPr>
                <w:snapToGrid w:val="0"/>
              </w:rPr>
            </w:pPr>
            <w:r w:rsidRPr="00F5723F">
              <w:rPr>
                <w:snapToGrid w:val="0"/>
              </w:rPr>
              <w:t>1–2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TU</w:t>
            </w:r>
          </w:p>
        </w:tc>
        <w:tc>
          <w:tcPr>
            <w:tcW w:w="1985" w:type="dxa"/>
          </w:tcPr>
          <w:p w:rsidR="00B43C57" w:rsidRPr="00F5723F" w:rsidRDefault="00B43C57">
            <w:pPr>
              <w:pStyle w:val="Tabelltext"/>
              <w:rPr>
                <w:snapToGrid w:val="0"/>
              </w:rPr>
            </w:pPr>
            <w:r w:rsidRPr="00F5723F">
              <w:rPr>
                <w:snapToGrid w:val="0"/>
              </w:rPr>
              <w:t>1–2 ggr/valperiod</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MJU</w:t>
            </w:r>
          </w:p>
        </w:tc>
        <w:tc>
          <w:tcPr>
            <w:tcW w:w="1985" w:type="dxa"/>
          </w:tcPr>
          <w:p w:rsidR="00B43C57" w:rsidRPr="00F5723F" w:rsidRDefault="00B43C57">
            <w:pPr>
              <w:pStyle w:val="Tabelltext"/>
              <w:rPr>
                <w:snapToGrid w:val="0"/>
              </w:rPr>
            </w:pPr>
            <w:r w:rsidRPr="00F5723F">
              <w:rPr>
                <w:snapToGrid w:val="0"/>
              </w:rPr>
              <w:t>1–2 ggr/år</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NU</w:t>
            </w:r>
          </w:p>
        </w:tc>
        <w:tc>
          <w:tcPr>
            <w:tcW w:w="1985" w:type="dxa"/>
          </w:tcPr>
          <w:p w:rsidR="00B43C57" w:rsidRPr="00F5723F" w:rsidRDefault="00B43C57">
            <w:pPr>
              <w:pStyle w:val="Tabelltext"/>
              <w:rPr>
                <w:snapToGrid w:val="0"/>
              </w:rPr>
            </w:pPr>
            <w:r w:rsidRPr="00F5723F">
              <w:rPr>
                <w:snapToGrid w:val="0"/>
              </w:rPr>
              <w:t>1–2 ggr/år</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I stort sett aldrig</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rPr>
                <w:snapToGrid w:val="0"/>
              </w:rPr>
            </w:pPr>
            <w:r w:rsidRPr="00F5723F">
              <w:rPr>
                <w:snapToGrid w:val="0"/>
              </w:rPr>
              <w:t>AU</w:t>
            </w:r>
          </w:p>
        </w:tc>
        <w:tc>
          <w:tcPr>
            <w:tcW w:w="1985" w:type="dxa"/>
          </w:tcPr>
          <w:p w:rsidR="00B43C57" w:rsidRPr="00F5723F" w:rsidRDefault="00B43C57">
            <w:pPr>
              <w:pStyle w:val="Tabelltext"/>
              <w:rPr>
                <w:snapToGrid w:val="0"/>
              </w:rPr>
            </w:pPr>
            <w:r w:rsidRPr="00F5723F">
              <w:rPr>
                <w:snapToGrid w:val="0"/>
              </w:rPr>
              <w:t>I stort sett aldrig</w:t>
            </w:r>
          </w:p>
        </w:tc>
        <w:tc>
          <w:tcPr>
            <w:tcW w:w="1843" w:type="dxa"/>
          </w:tcPr>
          <w:p w:rsidR="00B43C57" w:rsidRPr="00F5723F" w:rsidRDefault="00B43C57">
            <w:pPr>
              <w:pStyle w:val="Tabelltext"/>
              <w:rPr>
                <w:snapToGrid w:val="0"/>
              </w:rPr>
            </w:pPr>
            <w:r w:rsidRPr="00F5723F">
              <w:rPr>
                <w:snapToGrid w:val="0"/>
              </w:rPr>
              <w:t>Flera ggr/år</w:t>
            </w:r>
          </w:p>
        </w:tc>
        <w:tc>
          <w:tcPr>
            <w:tcW w:w="1417" w:type="dxa"/>
          </w:tcPr>
          <w:p w:rsidR="00B43C57" w:rsidRPr="00F5723F" w:rsidRDefault="00B43C57">
            <w:pPr>
              <w:pStyle w:val="Tabelltext"/>
              <w:rPr>
                <w:snapToGrid w:val="0"/>
              </w:rPr>
            </w:pPr>
            <w:r w:rsidRPr="00F5723F">
              <w:rPr>
                <w:snapToGrid w:val="0"/>
              </w:rPr>
              <w:t>Flera ggr/år</w:t>
            </w:r>
          </w:p>
        </w:tc>
      </w:tr>
      <w:tr w:rsidR="00000000" w:rsidRPr="00F5723F">
        <w:tblPrEx>
          <w:tblCellMar>
            <w:top w:w="0" w:type="dxa"/>
            <w:bottom w:w="0" w:type="dxa"/>
          </w:tblCellMar>
        </w:tblPrEx>
        <w:trPr>
          <w:cantSplit/>
          <w:trHeight w:val="247"/>
        </w:trPr>
        <w:tc>
          <w:tcPr>
            <w:tcW w:w="597" w:type="dxa"/>
            <w:tcBorders>
              <w:bottom w:val="single" w:sz="4" w:space="0" w:color="auto"/>
            </w:tcBorders>
          </w:tcPr>
          <w:p w:rsidR="00B43C57" w:rsidRPr="00F5723F" w:rsidRDefault="00B43C57">
            <w:pPr>
              <w:pStyle w:val="Tabelltext"/>
              <w:rPr>
                <w:snapToGrid w:val="0"/>
              </w:rPr>
            </w:pPr>
            <w:r w:rsidRPr="00F5723F">
              <w:rPr>
                <w:snapToGrid w:val="0"/>
              </w:rPr>
              <w:t>BoU</w:t>
            </w:r>
          </w:p>
        </w:tc>
        <w:tc>
          <w:tcPr>
            <w:tcW w:w="1985" w:type="dxa"/>
            <w:tcBorders>
              <w:bottom w:val="single" w:sz="4" w:space="0" w:color="auto"/>
            </w:tcBorders>
          </w:tcPr>
          <w:p w:rsidR="00B43C57" w:rsidRPr="00F5723F" w:rsidRDefault="00B43C57">
            <w:pPr>
              <w:pStyle w:val="Tabelltext"/>
              <w:rPr>
                <w:snapToGrid w:val="0"/>
              </w:rPr>
            </w:pPr>
            <w:r w:rsidRPr="00F5723F">
              <w:rPr>
                <w:snapToGrid w:val="0"/>
              </w:rPr>
              <w:t>I stort sett aldrig</w:t>
            </w:r>
          </w:p>
        </w:tc>
        <w:tc>
          <w:tcPr>
            <w:tcW w:w="1843" w:type="dxa"/>
            <w:tcBorders>
              <w:bottom w:val="single" w:sz="4" w:space="0" w:color="auto"/>
            </w:tcBorders>
          </w:tcPr>
          <w:p w:rsidR="00B43C57" w:rsidRPr="00F5723F" w:rsidRDefault="00B43C57">
            <w:pPr>
              <w:pStyle w:val="Tabelltext"/>
              <w:rPr>
                <w:snapToGrid w:val="0"/>
              </w:rPr>
            </w:pPr>
            <w:r w:rsidRPr="00F5723F">
              <w:rPr>
                <w:snapToGrid w:val="0"/>
              </w:rPr>
              <w:t>I stort sett aldrig</w:t>
            </w:r>
          </w:p>
        </w:tc>
        <w:tc>
          <w:tcPr>
            <w:tcW w:w="1417" w:type="dxa"/>
            <w:tcBorders>
              <w:bottom w:val="single" w:sz="4" w:space="0" w:color="auto"/>
            </w:tcBorders>
          </w:tcPr>
          <w:p w:rsidR="00B43C57" w:rsidRPr="00F5723F" w:rsidRDefault="00B43C57">
            <w:pPr>
              <w:pStyle w:val="Tabelltext"/>
              <w:rPr>
                <w:snapToGrid w:val="0"/>
              </w:rPr>
            </w:pPr>
            <w:r w:rsidRPr="00F5723F">
              <w:rPr>
                <w:snapToGrid w:val="0"/>
              </w:rPr>
              <w:t>1–2 ggr/år</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Tabellen visar hur ofta olika företrädare för regeringen och Rege</w:t>
      </w:r>
      <w:r w:rsidRPr="00F5723F">
        <w:rPr>
          <w:rFonts w:ascii="Arial" w:hAnsi="Arial" w:cs="Arial"/>
          <w:sz w:val="16"/>
          <w:szCs w:val="16"/>
        </w:rPr>
        <w:t>r</w:t>
      </w:r>
      <w:r w:rsidRPr="00F5723F">
        <w:rPr>
          <w:rFonts w:ascii="Arial" w:hAnsi="Arial" w:cs="Arial"/>
          <w:sz w:val="16"/>
          <w:szCs w:val="16"/>
        </w:rPr>
        <w:t>ingskansliet, enligt kansliernas bedömning, ger utskotten muntlig i</w:t>
      </w:r>
      <w:r w:rsidRPr="00F5723F">
        <w:rPr>
          <w:rFonts w:ascii="Arial" w:hAnsi="Arial" w:cs="Arial"/>
          <w:sz w:val="16"/>
          <w:szCs w:val="16"/>
        </w:rPr>
        <w:t>n</w:t>
      </w:r>
      <w:r w:rsidRPr="00F5723F">
        <w:rPr>
          <w:rFonts w:ascii="Arial" w:hAnsi="Arial" w:cs="Arial"/>
          <w:sz w:val="16"/>
          <w:szCs w:val="16"/>
        </w:rPr>
        <w:t>formation i EU-ärenden. Svarsalternativen i undersökningen är</w:t>
      </w:r>
      <w:r w:rsidRPr="00F5723F">
        <w:rPr>
          <w:rFonts w:ascii="Arial" w:hAnsi="Arial" w:cs="Arial"/>
          <w:sz w:val="16"/>
          <w:szCs w:val="16"/>
        </w:rPr>
        <w:t>:</w:t>
      </w:r>
      <w:r w:rsidRPr="00F5723F">
        <w:rPr>
          <w:rFonts w:ascii="Arial" w:hAnsi="Arial" w:cs="Arial"/>
          <w:sz w:val="16"/>
          <w:szCs w:val="16"/>
        </w:rPr>
        <w:t xml:space="preserve"> ”I stort sett aldrig”, ”En eller ett par gånger per mandatperiod”, ”En eller ett par gånger per år” samt ”Flera gånger per år”.</w:t>
      </w:r>
    </w:p>
    <w:p w:rsidR="00B43C57" w:rsidRPr="00F5723F" w:rsidRDefault="00B43C57">
      <w:pPr>
        <w:spacing w:before="187" w:line="240" w:lineRule="auto"/>
      </w:pPr>
    </w:p>
    <w:p w:rsidR="00B43C57" w:rsidRPr="00F5723F" w:rsidRDefault="00B43C57">
      <w:pPr>
        <w:spacing w:before="187"/>
      </w:pPr>
      <w:r w:rsidRPr="00F5723F">
        <w:t>Jämförs olika utskott framkommer att de som får en stor mängd EU-dokument (faktapromemorior och/eller EU-dokument) som regel oftare får muntlig EU-information av företrädare från regeringen eller Regerings</w:t>
      </w:r>
      <w:r w:rsidRPr="00F5723F">
        <w:softHyphen/>
        <w:t>kansliet än utskott som endast får en liten mängd EU-dokument. Således är miljö- och jordbruksutskottet det utskott som totalt sett, enligt tabellen, oftast får muntlig information av regeringen och Regeringskansliet i EU-frågor. Andra utskott som tidigare visat sig få förhållandevis många EU-dokument och som här även ofta får muntlig information av regeringen och Regering</w:t>
      </w:r>
      <w:r w:rsidRPr="00F5723F">
        <w:t>s</w:t>
      </w:r>
      <w:r w:rsidRPr="00F5723F">
        <w:t>kansliet är justitie-, utrikes- och trafikutskotten. Bostadsutskottet å andra sidan är det utskott som minst ofta får muntlig informati</w:t>
      </w:r>
      <w:r w:rsidRPr="00F5723F">
        <w:t>on av rege</w:t>
      </w:r>
      <w:r w:rsidRPr="00F5723F">
        <w:t>r</w:t>
      </w:r>
      <w:r w:rsidRPr="00F5723F">
        <w:t>ingen och Regeringskansliet i EU-frågor, vilket är naturligt med tanke på den ringa mängden EU-dokument. Utskott som med hänsyn till den ringa mängden EU-dokument förhållandevis ofta får information i EU-frågor är försvars-, kultur- och utbildningsutskotten.</w:t>
      </w:r>
    </w:p>
    <w:p w:rsidR="00B43C57" w:rsidRPr="00F5723F" w:rsidRDefault="00B43C57">
      <w:pPr>
        <w:pStyle w:val="Normaltindrag"/>
      </w:pPr>
      <w:r w:rsidRPr="00F5723F">
        <w:t>Bland annat konstitutionsutskottet har, som nämnts ovan, tidigare framhå</w:t>
      </w:r>
      <w:r w:rsidRPr="00F5723F">
        <w:t>l</w:t>
      </w:r>
      <w:r w:rsidRPr="00F5723F">
        <w:t>lit att det ibland kan vara motiverat att regeringen samråder med utskotten. Mot denna bakgrund har kanslierna även ombetts att bedöma i vad mån i</w:t>
      </w:r>
      <w:r w:rsidRPr="00F5723F">
        <w:t>n</w:t>
      </w:r>
      <w:r w:rsidRPr="00F5723F">
        <w:t>formationstillfällena präglas av ren informationsgivning från regeringens sida eller om de även kan beskrivas som ett slags informella samråd. Vanligast visar sig vara att tillfällena präglas av ren informationsgivning, vilket är fallet i hälften av utskotten. I en fjärdedel av utskotten uppges att tillfällena i h</w:t>
      </w:r>
      <w:r w:rsidRPr="00F5723F">
        <w:t>u</w:t>
      </w:r>
      <w:r w:rsidRPr="00F5723F">
        <w:t>vudsak prä</w:t>
      </w:r>
      <w:r w:rsidRPr="00F5723F">
        <w:t>g</w:t>
      </w:r>
      <w:r w:rsidRPr="00F5723F">
        <w:t>las av informationsgivning från reger</w:t>
      </w:r>
      <w:r w:rsidRPr="00F5723F">
        <w:t>ingens sida men att de också innehåller samrådsliknande inslag. I ytterligare en fjärdedel av utskotten uppges att det rör sig om samråd. Gemensamt för dessa är att de, med något undantag, får en stor mängd EU-dokument och ofta får muntlig information i EU-ärenden. Samråd med regeringen i EU-frågor tycks med andra ord främst förekomma i utskott som har omfattande kontakter med regeringen och R</w:t>
      </w:r>
      <w:r w:rsidRPr="00F5723F">
        <w:t>e</w:t>
      </w:r>
      <w:r w:rsidRPr="00F5723F">
        <w:t>geringskansliet i EU-frågor, medan utskott som har färre kontakter följer arbetet inom EU på ett mindre proaktivt s</w:t>
      </w:r>
      <w:r w:rsidRPr="00F5723F">
        <w:t>ätt.</w:t>
      </w:r>
    </w:p>
    <w:p w:rsidR="00B43C57" w:rsidRPr="00F5723F" w:rsidRDefault="00B43C57">
      <w:pPr>
        <w:pStyle w:val="Rubrik3"/>
        <w:rPr>
          <w:noProof w:val="0"/>
        </w:rPr>
      </w:pPr>
      <w:bookmarkStart w:id="87" w:name="_Toc121738921"/>
      <w:bookmarkStart w:id="88" w:name="_Toc124697809"/>
      <w:r w:rsidRPr="00F5723F">
        <w:rPr>
          <w:noProof w:val="0"/>
        </w:rPr>
        <w:t>Utskottens och deras kansliers interna arbete med EU-frågor</w:t>
      </w:r>
      <w:bookmarkEnd w:id="87"/>
      <w:bookmarkEnd w:id="88"/>
    </w:p>
    <w:p w:rsidR="00B43C57" w:rsidRPr="00F5723F" w:rsidRDefault="00B43C57">
      <w:r w:rsidRPr="00F5723F">
        <w:t>Majoriteten av kanslierna bedömer att EU-frågor i dagsläget får tillräckligt stort utrymme i utskottets arbete. Knappt en tredjedel anser dock att de borde få något större uppmärksamhet. Inget av dessa tillhör de utskott som i dag, enligt ovan, får en stor mängd EU-dokument, det vill säga miljö- och jor</w:t>
      </w:r>
      <w:r w:rsidRPr="00F5723F">
        <w:t>d</w:t>
      </w:r>
      <w:r w:rsidRPr="00F5723F">
        <w:t>bruks-, närings-, trafik- eller utrikesutskotten. Med något undantag rör det sig snarare om utskott som endast får en mindre mängd EU-dokument.</w:t>
      </w:r>
    </w:p>
    <w:p w:rsidR="00B43C57" w:rsidRPr="00F5723F" w:rsidRDefault="00B43C57">
      <w:pPr>
        <w:pStyle w:val="Normaltindrag"/>
      </w:pPr>
      <w:r w:rsidRPr="00F5723F">
        <w:t>I runt en fjärdedel av utskotten har inrättats särskilda arbets- eller bere</w:t>
      </w:r>
      <w:r w:rsidRPr="00F5723F">
        <w:t>d</w:t>
      </w:r>
      <w:r w:rsidRPr="00F5723F">
        <w:t>nings</w:t>
      </w:r>
      <w:r w:rsidRPr="00F5723F">
        <w:softHyphen/>
        <w:t>grupper för EU-frågor. I justitieutskottet finns en arbetsgrupp med en representant för varje parti som sammanträder en gång per månad under se</w:t>
      </w:r>
      <w:r w:rsidRPr="00F5723F">
        <w:t>s</w:t>
      </w:r>
      <w:r w:rsidRPr="00F5723F">
        <w:t>sione</w:t>
      </w:r>
      <w:r w:rsidRPr="00F5723F">
        <w:t>r</w:t>
      </w:r>
      <w:r w:rsidRPr="00F5723F">
        <w:t>na. Regeringskansliet (berörda chefer och handläggare) medverkar med föredragningar och diskussioner förs med statssekreteraren; inför ministe</w:t>
      </w:r>
      <w:r w:rsidRPr="00F5723F">
        <w:t>r</w:t>
      </w:r>
      <w:r w:rsidRPr="00F5723F">
        <w:t>rådsm</w:t>
      </w:r>
      <w:r w:rsidRPr="00F5723F">
        <w:t>ö</w:t>
      </w:r>
      <w:r w:rsidRPr="00F5723F">
        <w:t>ten deltar dock hela utskottet. I näringsutskottet koncentreras arbetet till grön- och vitböcker och liknande dokument, och för två sådana dokument har utskottet tillsatt arbetsgrupper för att närmare följa</w:t>
      </w:r>
      <w:r w:rsidRPr="00F5723F">
        <w:t xml:space="preserve"> ärendena. Även i mi</w:t>
      </w:r>
      <w:r w:rsidRPr="00F5723F">
        <w:t>l</w:t>
      </w:r>
      <w:r w:rsidRPr="00F5723F">
        <w:t>jö- och jordbruksutskottet har särskilda arbetsgrupper tillsatts med anledning av EU-förslag som anses ha stor betydelse. I trafikutskottet finns en särskild arbet</w:t>
      </w:r>
      <w:r w:rsidRPr="00F5723F">
        <w:t>s</w:t>
      </w:r>
      <w:r w:rsidRPr="00F5723F">
        <w:t>grupp för ad hoc-frågor, som beredning av yttranden till EU-nämnden.</w:t>
      </w:r>
    </w:p>
    <w:p w:rsidR="00B43C57" w:rsidRPr="00F5723F" w:rsidRDefault="00B43C57">
      <w:pPr>
        <w:pStyle w:val="Normaltindrag"/>
      </w:pPr>
      <w:r w:rsidRPr="00F5723F">
        <w:t>Vad gäller EU-arbetet på tjänstemannanivå i utskotten uppger cirka häl</w:t>
      </w:r>
      <w:r w:rsidRPr="00F5723F">
        <w:t>f</w:t>
      </w:r>
      <w:r w:rsidRPr="00F5723F">
        <w:t>ten av kanslierna att det finns en föredragande med särskilt ansvar för EU-frågor. Flera framhåller också att samtliga föredragande svarar för att eve</w:t>
      </w:r>
      <w:r w:rsidRPr="00F5723F">
        <w:t>n</w:t>
      </w:r>
      <w:r w:rsidRPr="00F5723F">
        <w:t>tuella EU-aspekter beaktas i samband med olika ärenden.</w:t>
      </w:r>
    </w:p>
    <w:p w:rsidR="00B43C57" w:rsidRPr="00F5723F" w:rsidRDefault="00B43C57">
      <w:pPr>
        <w:pStyle w:val="Normaltindrag"/>
      </w:pPr>
      <w:r w:rsidRPr="00F5723F">
        <w:t>Den klart vanligaste informationskällan när det gäller EU-information är Regeringskansliet. Direkta kontakter med departementstjänstemän framhålls särskilt härvidlag. Förutom upplysningar ser dessa tjänstemän i vissa fall även till att skicka över dokument till utskottet. En del kanslier nämner även ko</w:t>
      </w:r>
      <w:r w:rsidRPr="00F5723F">
        <w:t>n</w:t>
      </w:r>
      <w:r w:rsidRPr="00F5723F">
        <w:t>takter med myndigheter och representationen i Bryssel som viktiga inform</w:t>
      </w:r>
      <w:r w:rsidRPr="00F5723F">
        <w:t>a</w:t>
      </w:r>
      <w:r w:rsidRPr="00F5723F">
        <w:t>tionskällor. Vidare utgör Internet, nyhetsdatabaser, tidningar och andra med</w:t>
      </w:r>
      <w:r w:rsidRPr="00F5723F">
        <w:t>i</w:t>
      </w:r>
      <w:r w:rsidRPr="00F5723F">
        <w:t>er viktiga källor till information. Inom riksdagen och riksdags</w:t>
      </w:r>
      <w:r w:rsidRPr="00F5723F">
        <w:softHyphen/>
        <w:t>förvaltningen nämns framför allt dokument från EU-nämnden och kamma</w:t>
      </w:r>
      <w:r w:rsidRPr="00F5723F">
        <w:t>r</w:t>
      </w:r>
      <w:r w:rsidRPr="00F5723F">
        <w:t>kansliet. Endast ett kansli nämner EU-upplysningen som en källa för info</w:t>
      </w:r>
      <w:r w:rsidRPr="00F5723F">
        <w:t>r</w:t>
      </w:r>
      <w:r w:rsidRPr="00F5723F">
        <w:t>mation om EU, och inget uppger riksdagens representant vid EU:s instituti</w:t>
      </w:r>
      <w:r w:rsidRPr="00F5723F">
        <w:t>o</w:t>
      </w:r>
      <w:r w:rsidRPr="00F5723F">
        <w:t>ner i Bryssel; här kan noteras att kanslichefer i utskotten tidigare bedömt att de</w:t>
      </w:r>
      <w:r w:rsidRPr="00F5723F">
        <w:t xml:space="preserve"> skulle utnyttja en riksdagens representant i Bryssel, bland annat för att få information (förs. 2000/01:RS1 s. bilaga 6 s. 380).</w:t>
      </w:r>
    </w:p>
    <w:p w:rsidR="00B43C57" w:rsidRPr="00F5723F" w:rsidRDefault="00B43C57">
      <w:pPr>
        <w:pStyle w:val="Normaltindrag"/>
      </w:pPr>
      <w:r w:rsidRPr="00F5723F">
        <w:t>När det gäller kansliernas rapportering av aktuella EU-frågor till utsko</w:t>
      </w:r>
      <w:r w:rsidRPr="00F5723F">
        <w:t>t</w:t>
      </w:r>
      <w:r w:rsidRPr="00F5723F">
        <w:t>ten inom deras beredningsområden anförde Riksdagskommittén att det i samtliga utskott borde upprättas en särskild EU-promemoria (se förs. 2000/01:RS1 s. 127). Promemorian borde enligt kommittén uppdateras ett par gånger per år, och den kunde tjäna som utgångspunkt för utskottet när det skulle välja ut ett antal områden för bevakning och fördjupning. I för</w:t>
      </w:r>
      <w:r w:rsidRPr="00F5723F">
        <w:t>e</w:t>
      </w:r>
      <w:r w:rsidRPr="00F5723F">
        <w:t>liggande undersökning är det drygt en fjärdedel av kanslierna som uppger att det har upprättats en sä</w:t>
      </w:r>
      <w:r w:rsidRPr="00F5723F">
        <w:t>r</w:t>
      </w:r>
      <w:r w:rsidRPr="00F5723F">
        <w:t>skild EU-promemoria som uppdateras löpande och årli</w:t>
      </w:r>
      <w:r w:rsidRPr="00F5723F">
        <w:t>gen sänds ut till led</w:t>
      </w:r>
      <w:r w:rsidRPr="00F5723F">
        <w:t>a</w:t>
      </w:r>
      <w:r w:rsidRPr="00F5723F">
        <w:t>möterna. Vidare uppges att den EU-ansvarige tjänstemannen ger utskottet muntlig information när det anses påkallat och att inkommande skriftligt material som bedöms ha intresse anmäls för utskottet. Även föredragning</w:t>
      </w:r>
      <w:r w:rsidRPr="00F5723F">
        <w:t>s</w:t>
      </w:r>
      <w:r w:rsidRPr="00F5723F">
        <w:t>promemorior och betänkanden innehåller EU-information, framhåller vissa.</w:t>
      </w:r>
    </w:p>
    <w:p w:rsidR="00B43C57" w:rsidRPr="00F5723F" w:rsidRDefault="00B43C57">
      <w:pPr>
        <w:pStyle w:val="Normaltindrag"/>
      </w:pPr>
      <w:r w:rsidRPr="00F5723F">
        <w:t>På frågan vad som kan göras för att skapa större utrymme för arbete med EU-frågor inom kansliet uppges framför allt att det behövs utökade pers</w:t>
      </w:r>
      <w:r w:rsidRPr="00F5723F">
        <w:t>o</w:t>
      </w:r>
      <w:r w:rsidRPr="00F5723F">
        <w:t>nella resurser. En förenklad motionshantering skulle kunna frigöra begrä</w:t>
      </w:r>
      <w:r w:rsidRPr="00F5723F">
        <w:t>n</w:t>
      </w:r>
      <w:r w:rsidRPr="00F5723F">
        <w:t>sade resurser, men det motverkas enligt vissa av den ökande ärendemän</w:t>
      </w:r>
      <w:r w:rsidRPr="00F5723F">
        <w:t>g</w:t>
      </w:r>
      <w:r w:rsidRPr="00F5723F">
        <w:t>den. Att öka tiden för EU-arbete som inte har med lagstiftningen, till exempel sa</w:t>
      </w:r>
      <w:r w:rsidRPr="00F5723F">
        <w:t>m</w:t>
      </w:r>
      <w:r w:rsidRPr="00F5723F">
        <w:t>råd i EU-frågor och utökade kontakter med andra nationella parlament och Eur</w:t>
      </w:r>
      <w:r w:rsidRPr="00F5723F">
        <w:t>o</w:t>
      </w:r>
      <w:r w:rsidRPr="00F5723F">
        <w:t>papa</w:t>
      </w:r>
      <w:r w:rsidRPr="00F5723F">
        <w:t>r</w:t>
      </w:r>
      <w:r w:rsidRPr="00F5723F">
        <w:t>lamentet, att göra anses inte möjligt inom ramen för nuvarande resurser. Vidare efterlyser ett par kanslier bättre möjligheter till kompeten</w:t>
      </w:r>
      <w:r w:rsidRPr="00F5723F">
        <w:t>s</w:t>
      </w:r>
      <w:r w:rsidRPr="00F5723F">
        <w:t>utveckling på EU-området. Något kansli anför också att det inte</w:t>
      </w:r>
      <w:r w:rsidRPr="00F5723F">
        <w:t xml:space="preserve"> är givet att EU-frågor skall prioriteras på bekostnad av nationella frågor.</w:t>
      </w:r>
    </w:p>
    <w:p w:rsidR="00B43C57" w:rsidRPr="00F5723F" w:rsidRDefault="00B43C57">
      <w:pPr>
        <w:pStyle w:val="Rubrik3"/>
        <w:rPr>
          <w:noProof w:val="0"/>
        </w:rPr>
      </w:pPr>
      <w:bookmarkStart w:id="89" w:name="_Toc121738922"/>
      <w:bookmarkStart w:id="90" w:name="_Toc124697810"/>
      <w:r w:rsidRPr="00F5723F">
        <w:rPr>
          <w:noProof w:val="0"/>
        </w:rPr>
        <w:t>Kontakter med andra utskott inom EU</w:t>
      </w:r>
      <w:bookmarkEnd w:id="89"/>
      <w:bookmarkEnd w:id="90"/>
    </w:p>
    <w:p w:rsidR="00B43C57" w:rsidRPr="00F5723F" w:rsidRDefault="00B43C57">
      <w:pPr>
        <w:rPr>
          <w:snapToGrid w:val="0"/>
        </w:rPr>
      </w:pPr>
      <w:r w:rsidRPr="00F5723F">
        <w:t>I cosac</w:t>
      </w:r>
      <w:r w:rsidRPr="00F5723F">
        <w:rPr>
          <w:rStyle w:val="Fotnotsreferens"/>
        </w:rPr>
        <w:footnoteReference w:id="69"/>
      </w:r>
      <w:r w:rsidRPr="00F5723F">
        <w:rPr>
          <w:snapToGrid w:val="0"/>
        </w:rPr>
        <w:t xml:space="preserve"> finns ett forum för kontakter och diskussioner mellan de nationella parlamentens särskilda organ för EU-frågor och Europa</w:t>
      </w:r>
      <w:r w:rsidRPr="00F5723F">
        <w:rPr>
          <w:snapToGrid w:val="0"/>
        </w:rPr>
        <w:softHyphen/>
        <w:t>parlamentet. cosac möts regelbundet varje halvår, och från svensk sida deltar EU-nämnden. Något liknande samarbetsorgan för fackutskotten i de nationella parlamenten och Europaparlamentet finns inte. Den s.k. Atengruppen, som är en arbet</w:t>
      </w:r>
      <w:r w:rsidRPr="00F5723F">
        <w:rPr>
          <w:snapToGrid w:val="0"/>
        </w:rPr>
        <w:t>s</w:t>
      </w:r>
      <w:r w:rsidRPr="00F5723F">
        <w:rPr>
          <w:snapToGrid w:val="0"/>
        </w:rPr>
        <w:t>grupp om det framtida parlamentariska EU-samarbetet bestående av talmän i EU-ländernas parlament, har betonat kontakt och möten mellan fackutskotten. N</w:t>
      </w:r>
      <w:r w:rsidRPr="00F5723F">
        <w:rPr>
          <w:snapToGrid w:val="0"/>
        </w:rPr>
        <w:t>yligen har även Riksdags</w:t>
      </w:r>
      <w:r w:rsidRPr="00F5723F">
        <w:rPr>
          <w:snapToGrid w:val="0"/>
        </w:rPr>
        <w:softHyphen/>
        <w:t>kommitténs referensgrupp för riksdagens arbete med EU-frågor anfört att kontakterna mellan fackutsko</w:t>
      </w:r>
      <w:r w:rsidRPr="00F5723F">
        <w:rPr>
          <w:snapToGrid w:val="0"/>
        </w:rPr>
        <w:t>t</w:t>
      </w:r>
      <w:r w:rsidRPr="00F5723F">
        <w:rPr>
          <w:snapToGrid w:val="0"/>
        </w:rPr>
        <w:t>ten i olika EU-länder bör stärkas.</w:t>
      </w:r>
      <w:r w:rsidRPr="00F5723F">
        <w:rPr>
          <w:rStyle w:val="Fotnotsreferens"/>
          <w:snapToGrid w:val="0"/>
        </w:rPr>
        <w:footnoteReference w:id="70"/>
      </w:r>
    </w:p>
    <w:p w:rsidR="00B43C57" w:rsidRPr="00F5723F" w:rsidRDefault="00B43C57">
      <w:pPr>
        <w:pStyle w:val="Normaltindrag"/>
      </w:pPr>
      <w:r w:rsidRPr="00F5723F">
        <w:t>Hittills är dock kontakterna mellan fackutskotten i riksdagen och deras motsvarigheter i andra EU-länder och Europaparlamentet tämligen begräns</w:t>
      </w:r>
      <w:r w:rsidRPr="00F5723F">
        <w:t>a</w:t>
      </w:r>
      <w:r w:rsidRPr="00F5723F">
        <w:t>de. Den stora majoriteten av utskotten har, med undantag för studiebesök och liknande, inga utarbetade kontakter med motsvarande utskott i andra EU-länder. I ett fåtal utskott förekommer det emellertid mer eller mindre utvec</w:t>
      </w:r>
      <w:r w:rsidRPr="00F5723F">
        <w:t>k</w:t>
      </w:r>
      <w:r w:rsidRPr="00F5723F">
        <w:t>lade kontakter med utskott i andra EU-länder eller Europaparlame</w:t>
      </w:r>
      <w:r w:rsidRPr="00F5723F">
        <w:t>n</w:t>
      </w:r>
      <w:r w:rsidRPr="00F5723F">
        <w:t>tet. Bland annat besöker finansutskottets ordförande eller presidium regelbundet Eur</w:t>
      </w:r>
      <w:r w:rsidRPr="00F5723F">
        <w:t>o</w:t>
      </w:r>
      <w:r w:rsidRPr="00F5723F">
        <w:t>paparlamentet (en gång per år). Utrikesutskottet har regelbun</w:t>
      </w:r>
      <w:r w:rsidRPr="00F5723F">
        <w:t>d</w:t>
      </w:r>
      <w:r w:rsidRPr="00F5723F">
        <w:t xml:space="preserve">na kontakter med utrikesutskotten och biståndsutskotten samt i varierande </w:t>
      </w:r>
      <w:r w:rsidRPr="00F5723F">
        <w:t>grad Europau</w:t>
      </w:r>
      <w:r w:rsidRPr="00F5723F">
        <w:t>t</w:t>
      </w:r>
      <w:r w:rsidRPr="00F5723F">
        <w:t>skotten i samtliga EU:s medlemsstater och kandidatländer. Mötena med andra EU-länders utrikesutskott äger rum en eller två gånger per halvår i EU:s or</w:t>
      </w:r>
      <w:r w:rsidRPr="00F5723F">
        <w:t>d</w:t>
      </w:r>
      <w:r w:rsidRPr="00F5723F">
        <w:t>förandeland. Med från utrikesutskottet kan vid kontakterna med andra utskott vara antingen hela utskottet, presidiet eller en delegation. Framför allt är syftet med kontakterna informations</w:t>
      </w:r>
      <w:r w:rsidRPr="00F5723F">
        <w:softHyphen/>
        <w:t>utbyte, men även sakfrågor behandlas. Utrikesutskottet deltar också i ett ordförandeutbyte med regelbundna möten inom Norden och Baltikum. Arbetsmarknadsutsko</w:t>
      </w:r>
      <w:r w:rsidRPr="00F5723F">
        <w:t>ttets ledamöter deltar i möten som arrangeras av NCEO</w:t>
      </w:r>
      <w:r w:rsidRPr="00F5723F">
        <w:rPr>
          <w:rStyle w:val="Fotnotsreferens"/>
        </w:rPr>
        <w:footnoteReference w:id="71"/>
      </w:r>
      <w:r w:rsidRPr="00F5723F">
        <w:t xml:space="preserve"> och träffar därvid ledamöter från utskott i andra EU-länders parlament och Europaparlamentet. Näringsutskottet har kontakt med bland annat Europaparlamentet i samband med diskussioner om WTO-förhandlingarna.</w:t>
      </w:r>
    </w:p>
    <w:p w:rsidR="00B43C57" w:rsidRPr="00F5723F" w:rsidRDefault="00B43C57">
      <w:pPr>
        <w:pStyle w:val="Normaltindrag"/>
      </w:pPr>
      <w:r w:rsidRPr="00F5723F">
        <w:t>Samtidigt som utskottens kontakter inom EU i dag endast förekommer i begränsad omfattning är bedömningarna från flera kanslier att utskottets behov av sådana kontakter i framtiden kommer att vara stort. Inget kansli bedömer att behovet kommer att vara litet, men en fjärdedel av dem bedömer att utskotte</w:t>
      </w:r>
      <w:r w:rsidRPr="00F5723F">
        <w:t>ts behov varken kommer att vara stort eller litet; som också fra</w:t>
      </w:r>
      <w:r w:rsidRPr="00F5723F">
        <w:t>m</w:t>
      </w:r>
      <w:r w:rsidRPr="00F5723F">
        <w:t>hålls av vissa är detta dock avhängigt av hur EU:s kompetens utvecklas inom utsko</w:t>
      </w:r>
      <w:r w:rsidRPr="00F5723F">
        <w:t>t</w:t>
      </w:r>
      <w:r w:rsidRPr="00F5723F">
        <w:t>tets ämnesområde. Någon systematisk skillnad mellan utskott som redan i dag har utvecklat vissa kontakter inom EU och de som inte har det, samt mellan utskott som har en stor respektive liten mängd EU-dokument, föreligger inte.</w:t>
      </w:r>
    </w:p>
    <w:p w:rsidR="00B43C57" w:rsidRPr="00F5723F" w:rsidRDefault="00B43C57">
      <w:pPr>
        <w:pStyle w:val="Normaltindrag"/>
      </w:pPr>
      <w:r w:rsidRPr="00F5723F">
        <w:t>Vad gäller den framtida utvecklingen uppger ett kansli att en diskussion har inletts med presidiet om uppläggningen av utskottets kontakt</w:t>
      </w:r>
      <w:r w:rsidRPr="00F5723F">
        <w:t>er inom EU. Ett problem som nämns är att det i dag inte är möjligt för vare sig l</w:t>
      </w:r>
      <w:r w:rsidRPr="00F5723F">
        <w:t>e</w:t>
      </w:r>
      <w:r w:rsidRPr="00F5723F">
        <w:t>damöter eller kansli att i större utsträckning delta i olika aktiviteter i Europaparlame</w:t>
      </w:r>
      <w:r w:rsidRPr="00F5723F">
        <w:t>n</w:t>
      </w:r>
      <w:r w:rsidRPr="00F5723F">
        <w:t>tet och övriga medlemsländer (se även ovan). Vidare kan det bland annat krävas mer resurser för resor. Några kanslier anför att ledamöterna kanske har mer kontakt med motsvarande partier i andra EU-länder snarare än motsv</w:t>
      </w:r>
      <w:r w:rsidRPr="00F5723F">
        <w:t>a</w:t>
      </w:r>
      <w:r w:rsidRPr="00F5723F">
        <w:t>rande utskott samt att individuella kontakter kanske är lika viktiga och des</w:t>
      </w:r>
      <w:r w:rsidRPr="00F5723F">
        <w:t>s</w:t>
      </w:r>
      <w:r w:rsidRPr="00F5723F">
        <w:t>utom mer lät</w:t>
      </w:r>
      <w:r w:rsidRPr="00F5723F">
        <w:t>t</w:t>
      </w:r>
      <w:r w:rsidRPr="00F5723F">
        <w:t>hanterliga.</w:t>
      </w:r>
    </w:p>
    <w:p w:rsidR="00B43C57" w:rsidRPr="00F5723F" w:rsidRDefault="00B43C57">
      <w:pPr>
        <w:pStyle w:val="Rubrik2"/>
      </w:pPr>
      <w:bookmarkStart w:id="91" w:name="_Toc121738923"/>
      <w:bookmarkStart w:id="92" w:name="_Toc124697811"/>
      <w:r w:rsidRPr="00F5723F">
        <w:t>Inrikes och utrik</w:t>
      </w:r>
      <w:r w:rsidRPr="00F5723F">
        <w:t>es kontakter</w:t>
      </w:r>
      <w:bookmarkEnd w:id="91"/>
      <w:bookmarkEnd w:id="92"/>
    </w:p>
    <w:p w:rsidR="00B43C57" w:rsidRPr="00F5723F" w:rsidRDefault="00B43C57">
      <w:r w:rsidRPr="00F5723F">
        <w:t>En stor del av ledamöternas tid går åt till kontakter med aktörer utanför pa</w:t>
      </w:r>
      <w:r w:rsidRPr="00F5723F">
        <w:t>r</w:t>
      </w:r>
      <w:r w:rsidRPr="00F5723F">
        <w:t>lamentet.</w:t>
      </w:r>
      <w:r w:rsidRPr="00F5723F">
        <w:rPr>
          <w:rStyle w:val="Fotnotsreferens"/>
        </w:rPr>
        <w:footnoteReference w:id="72"/>
      </w:r>
      <w:r w:rsidRPr="00F5723F">
        <w:t xml:space="preserve"> En del av dessa kontakter sker inom ramen för utskottens ver</w:t>
      </w:r>
      <w:r w:rsidRPr="00F5723F">
        <w:t>k</w:t>
      </w:r>
      <w:r w:rsidRPr="00F5723F">
        <w:t xml:space="preserve">samhet. I föreliggande avsnitt uppmärksammas utskottens kontakter inom och utanför Sverige. </w:t>
      </w:r>
    </w:p>
    <w:p w:rsidR="00B43C57" w:rsidRPr="00F5723F" w:rsidRDefault="00B43C57">
      <w:pPr>
        <w:pStyle w:val="Rubrik3"/>
        <w:rPr>
          <w:noProof w:val="0"/>
        </w:rPr>
      </w:pPr>
      <w:bookmarkStart w:id="93" w:name="_Toc121738924"/>
      <w:bookmarkStart w:id="94" w:name="_Toc124697812"/>
      <w:r w:rsidRPr="00F5723F">
        <w:rPr>
          <w:noProof w:val="0"/>
        </w:rPr>
        <w:t>Kontakter inom Sverige</w:t>
      </w:r>
      <w:bookmarkEnd w:id="93"/>
      <w:bookmarkEnd w:id="94"/>
    </w:p>
    <w:p w:rsidR="00B43C57" w:rsidRPr="00F5723F" w:rsidRDefault="00B43C57">
      <w:r w:rsidRPr="00F5723F">
        <w:t>Utskottens kontakter kan vara av olika karaktär. En form av kontakt är att utskotten själva gör besök hos till exempel en myndighet inom beredningso</w:t>
      </w:r>
      <w:r w:rsidRPr="00F5723F">
        <w:t>m</w:t>
      </w:r>
      <w:r w:rsidRPr="00F5723F">
        <w:t>rådet eller en organisation, en annan att utskotten tar emot uppvaktningar u</w:t>
      </w:r>
      <w:r w:rsidRPr="00F5723F">
        <w:t>t</w:t>
      </w:r>
      <w:r w:rsidRPr="00F5723F">
        <w:t>ifrån. I föreliggande undersökning har utskottskanslierna fått bedöma hur ofta utsko</w:t>
      </w:r>
      <w:r w:rsidRPr="00F5723F">
        <w:t>t</w:t>
      </w:r>
      <w:r w:rsidRPr="00F5723F">
        <w:t xml:space="preserve">ten gör egna studiebesök och tar emot uppvaktningar. </w:t>
      </w:r>
    </w:p>
    <w:p w:rsidR="00B43C57" w:rsidRPr="00F5723F" w:rsidRDefault="00B43C57">
      <w:pPr>
        <w:pStyle w:val="Normaltindrag"/>
      </w:pPr>
      <w:r w:rsidRPr="00F5723F">
        <w:t>Vad gäller studiebesök framgår av tabell 8:1 nedan att det stora flertalet u</w:t>
      </w:r>
      <w:r w:rsidRPr="00F5723F">
        <w:t>t</w:t>
      </w:r>
      <w:r w:rsidRPr="00F5723F">
        <w:t>skott som regel gör flera sådana under ett år. I kansliernas svar framhålls bland annat att studiebesök är en viktig del i utskottets informationsinhämta</w:t>
      </w:r>
      <w:r w:rsidRPr="00F5723F">
        <w:t>n</w:t>
      </w:r>
      <w:r w:rsidRPr="00F5723F">
        <w:t>de och uppföljning inom utskottets verksamhetsområde. Minst antal studieb</w:t>
      </w:r>
      <w:r w:rsidRPr="00F5723F">
        <w:t>e</w:t>
      </w:r>
      <w:r w:rsidRPr="00F5723F">
        <w:t xml:space="preserve">sök gör konstitutions- och socialförsäkringsutskotten, vilka gör mellan ett och två studiebesök per år. Klart vanligast är att hela utskottet, eller i vissa fall nästan hela utskottet, deltar vid studiebesöken. Ett kansli uppger att hela utskottet inklusive suppleanter inbjuds till </w:t>
      </w:r>
      <w:r w:rsidRPr="00F5723F">
        <w:t>studiebesöken, och av dem deltar vanligen sex till tolv ledamöter. Två utskott skiljer sig från övriga i fråga om deltaga</w:t>
      </w:r>
      <w:r w:rsidRPr="00F5723F">
        <w:t>n</w:t>
      </w:r>
      <w:r w:rsidRPr="00F5723F">
        <w:t>de. Från finans- och försvarsutskotten deltar i regel en delegation från utsko</w:t>
      </w:r>
      <w:r w:rsidRPr="00F5723F">
        <w:t>t</w:t>
      </w:r>
      <w:r w:rsidRPr="00F5723F">
        <w:t>tets sida. I inget fall uppges att det som regel är presidiet som deltar. I något enstaka fall uppges dock att presidiet eller en delegation deltar från utskottets sida när tid inte ges för hela utskottet.</w:t>
      </w:r>
    </w:p>
    <w:p w:rsidR="00B43C57" w:rsidRPr="00F5723F" w:rsidRDefault="00B43C57">
      <w:pPr>
        <w:pStyle w:val="Normaltindrag"/>
        <w:spacing w:line="240" w:lineRule="auto"/>
      </w:pPr>
    </w:p>
    <w:p w:rsidR="00B43C57" w:rsidRPr="00F5723F" w:rsidRDefault="00B43C57">
      <w:pPr>
        <w:pStyle w:val="Tabellrubrik"/>
        <w:spacing w:before="125"/>
      </w:pPr>
      <w:r w:rsidRPr="00F5723F">
        <w:t>TAbell 8:1 Utskottens inrikes konta</w:t>
      </w:r>
      <w:r w:rsidRPr="00F5723F">
        <w:t>k</w:t>
      </w:r>
      <w:r w:rsidRPr="00F5723F">
        <w:t>ter</w:t>
      </w:r>
    </w:p>
    <w:tbl>
      <w:tblPr>
        <w:tblW w:w="5899" w:type="dxa"/>
        <w:tblLayout w:type="fixed"/>
        <w:tblCellMar>
          <w:left w:w="30" w:type="dxa"/>
          <w:right w:w="30" w:type="dxa"/>
        </w:tblCellMar>
        <w:tblLook w:val="0000" w:firstRow="0" w:lastRow="0" w:firstColumn="0" w:lastColumn="0" w:noHBand="0" w:noVBand="0"/>
      </w:tblPr>
      <w:tblGrid>
        <w:gridCol w:w="597"/>
        <w:gridCol w:w="1050"/>
        <w:gridCol w:w="1417"/>
        <w:gridCol w:w="1418"/>
        <w:gridCol w:w="1417"/>
      </w:tblGrid>
      <w:tr w:rsidR="00000000" w:rsidRPr="00F5723F">
        <w:tblPrEx>
          <w:tblCellMar>
            <w:top w:w="0" w:type="dxa"/>
            <w:bottom w:w="0" w:type="dxa"/>
          </w:tblCellMar>
        </w:tblPrEx>
        <w:trPr>
          <w:cantSplit/>
          <w:trHeight w:val="192"/>
        </w:trPr>
        <w:tc>
          <w:tcPr>
            <w:tcW w:w="597" w:type="dxa"/>
            <w:tcBorders>
              <w:top w:val="single" w:sz="4" w:space="0" w:color="auto"/>
            </w:tcBorders>
          </w:tcPr>
          <w:p w:rsidR="00B43C57" w:rsidRPr="00F5723F" w:rsidRDefault="00B43C57">
            <w:pPr>
              <w:spacing w:line="180" w:lineRule="exact"/>
              <w:rPr>
                <w:b/>
                <w:snapToGrid w:val="0"/>
              </w:rPr>
            </w:pPr>
          </w:p>
        </w:tc>
        <w:tc>
          <w:tcPr>
            <w:tcW w:w="2467" w:type="dxa"/>
            <w:gridSpan w:val="2"/>
            <w:tcBorders>
              <w:top w:val="single" w:sz="4" w:space="0" w:color="auto"/>
              <w:bottom w:val="single" w:sz="4" w:space="0" w:color="auto"/>
            </w:tcBorders>
          </w:tcPr>
          <w:p w:rsidR="00B43C57" w:rsidRPr="00F5723F" w:rsidRDefault="00B43C57">
            <w:pPr>
              <w:pStyle w:val="Tabelltext"/>
              <w:spacing w:line="180" w:lineRule="exact"/>
              <w:rPr>
                <w:snapToGrid w:val="0"/>
              </w:rPr>
            </w:pPr>
          </w:p>
          <w:p w:rsidR="00B43C57" w:rsidRPr="00F5723F" w:rsidRDefault="00B43C57">
            <w:pPr>
              <w:pStyle w:val="Tabelltext"/>
              <w:spacing w:line="180" w:lineRule="exact"/>
              <w:rPr>
                <w:snapToGrid w:val="0"/>
              </w:rPr>
            </w:pPr>
            <w:r w:rsidRPr="00F5723F">
              <w:rPr>
                <w:snapToGrid w:val="0"/>
              </w:rPr>
              <w:t>Studiebesök</w:t>
            </w:r>
          </w:p>
        </w:tc>
        <w:tc>
          <w:tcPr>
            <w:tcW w:w="2835" w:type="dxa"/>
            <w:gridSpan w:val="2"/>
            <w:tcBorders>
              <w:top w:val="single" w:sz="4" w:space="0" w:color="auto"/>
              <w:bottom w:val="single" w:sz="4" w:space="0" w:color="auto"/>
            </w:tcBorders>
          </w:tcPr>
          <w:p w:rsidR="00B43C57" w:rsidRPr="00F5723F" w:rsidRDefault="00B43C57">
            <w:pPr>
              <w:pStyle w:val="Tabelltext"/>
              <w:spacing w:line="180" w:lineRule="exact"/>
              <w:rPr>
                <w:snapToGrid w:val="0"/>
              </w:rPr>
            </w:pPr>
          </w:p>
          <w:p w:rsidR="00B43C57" w:rsidRPr="00F5723F" w:rsidRDefault="00B43C57">
            <w:pPr>
              <w:pStyle w:val="Tabelltext"/>
              <w:spacing w:line="180" w:lineRule="exact"/>
              <w:rPr>
                <w:snapToGrid w:val="0"/>
              </w:rPr>
            </w:pPr>
            <w:r w:rsidRPr="00F5723F">
              <w:rPr>
                <w:snapToGrid w:val="0"/>
              </w:rPr>
              <w:t>Uppvaktningar</w:t>
            </w:r>
          </w:p>
        </w:tc>
      </w:tr>
      <w:tr w:rsidR="00000000" w:rsidRPr="00F5723F">
        <w:tblPrEx>
          <w:tblCellMar>
            <w:top w:w="0" w:type="dxa"/>
            <w:bottom w:w="0" w:type="dxa"/>
          </w:tblCellMar>
        </w:tblPrEx>
        <w:trPr>
          <w:cantSplit/>
          <w:trHeight w:val="247"/>
        </w:trPr>
        <w:tc>
          <w:tcPr>
            <w:tcW w:w="597" w:type="dxa"/>
            <w:tcBorders>
              <w:bottom w:val="single" w:sz="4" w:space="0" w:color="auto"/>
            </w:tcBorders>
          </w:tcPr>
          <w:p w:rsidR="00B43C57" w:rsidRPr="00F5723F" w:rsidRDefault="00B43C57">
            <w:pPr>
              <w:spacing w:line="180" w:lineRule="exact"/>
              <w:rPr>
                <w:b/>
                <w:snapToGrid w:val="0"/>
              </w:rPr>
            </w:pPr>
          </w:p>
        </w:tc>
        <w:tc>
          <w:tcPr>
            <w:tcW w:w="1050" w:type="dxa"/>
            <w:tcBorders>
              <w:top w:val="single" w:sz="4" w:space="0" w:color="auto"/>
              <w:bottom w:val="single" w:sz="4" w:space="0" w:color="auto"/>
            </w:tcBorders>
          </w:tcPr>
          <w:p w:rsidR="00B43C57" w:rsidRPr="00F5723F" w:rsidRDefault="00B43C57">
            <w:pPr>
              <w:pStyle w:val="Tabelltext"/>
              <w:spacing w:line="180" w:lineRule="exact"/>
              <w:rPr>
                <w:snapToGrid w:val="0"/>
              </w:rPr>
            </w:pPr>
            <w:r w:rsidRPr="00F5723F">
              <w:rPr>
                <w:snapToGrid w:val="0"/>
              </w:rPr>
              <w:br/>
              <w:t>Omfattning</w:t>
            </w:r>
          </w:p>
        </w:tc>
        <w:tc>
          <w:tcPr>
            <w:tcW w:w="1417" w:type="dxa"/>
            <w:tcBorders>
              <w:top w:val="single" w:sz="4" w:space="0" w:color="auto"/>
              <w:bottom w:val="single" w:sz="4" w:space="0" w:color="auto"/>
            </w:tcBorders>
          </w:tcPr>
          <w:p w:rsidR="00B43C57" w:rsidRPr="00F5723F" w:rsidRDefault="00B43C57">
            <w:pPr>
              <w:pStyle w:val="Tabelltext"/>
              <w:spacing w:line="180" w:lineRule="exact"/>
              <w:rPr>
                <w:snapToGrid w:val="0"/>
              </w:rPr>
            </w:pPr>
            <w:r w:rsidRPr="00F5723F">
              <w:rPr>
                <w:snapToGrid w:val="0"/>
              </w:rPr>
              <w:t>Deltagande från utskottet</w:t>
            </w:r>
          </w:p>
        </w:tc>
        <w:tc>
          <w:tcPr>
            <w:tcW w:w="1418" w:type="dxa"/>
            <w:tcBorders>
              <w:top w:val="single" w:sz="4" w:space="0" w:color="auto"/>
              <w:bottom w:val="single" w:sz="4" w:space="0" w:color="auto"/>
            </w:tcBorders>
          </w:tcPr>
          <w:p w:rsidR="00B43C57" w:rsidRPr="00F5723F" w:rsidRDefault="00B43C57">
            <w:pPr>
              <w:pStyle w:val="Tabelltext"/>
              <w:spacing w:line="180" w:lineRule="exact"/>
              <w:rPr>
                <w:snapToGrid w:val="0"/>
              </w:rPr>
            </w:pPr>
            <w:r w:rsidRPr="00F5723F">
              <w:rPr>
                <w:snapToGrid w:val="0"/>
              </w:rPr>
              <w:br/>
              <w:t>Omfattning</w:t>
            </w:r>
          </w:p>
        </w:tc>
        <w:tc>
          <w:tcPr>
            <w:tcW w:w="1417" w:type="dxa"/>
            <w:tcBorders>
              <w:top w:val="single" w:sz="4" w:space="0" w:color="auto"/>
              <w:bottom w:val="single" w:sz="4" w:space="0" w:color="auto"/>
            </w:tcBorders>
          </w:tcPr>
          <w:p w:rsidR="00B43C57" w:rsidRPr="00F5723F" w:rsidRDefault="00B43C57">
            <w:pPr>
              <w:pStyle w:val="Tabelltext"/>
              <w:spacing w:line="180" w:lineRule="exact"/>
              <w:rPr>
                <w:snapToGrid w:val="0"/>
              </w:rPr>
            </w:pPr>
            <w:r w:rsidRPr="00F5723F">
              <w:rPr>
                <w:snapToGrid w:val="0"/>
              </w:rPr>
              <w:t>Deltagande från utskottet</w:t>
            </w:r>
          </w:p>
        </w:tc>
      </w:tr>
      <w:tr w:rsidR="00000000" w:rsidRPr="00F5723F">
        <w:tblPrEx>
          <w:tblCellMar>
            <w:top w:w="0" w:type="dxa"/>
            <w:bottom w:w="0" w:type="dxa"/>
          </w:tblCellMar>
        </w:tblPrEx>
        <w:trPr>
          <w:cantSplit/>
          <w:trHeight w:val="247"/>
        </w:trPr>
        <w:tc>
          <w:tcPr>
            <w:tcW w:w="597" w:type="dxa"/>
            <w:tcBorders>
              <w:top w:val="single" w:sz="4" w:space="0" w:color="auto"/>
            </w:tcBorders>
          </w:tcPr>
          <w:p w:rsidR="00B43C57" w:rsidRPr="00F5723F" w:rsidRDefault="00B43C57">
            <w:pPr>
              <w:pStyle w:val="Tabelltext"/>
              <w:spacing w:line="180" w:lineRule="exact"/>
              <w:rPr>
                <w:snapToGrid w:val="0"/>
              </w:rPr>
            </w:pPr>
            <w:r w:rsidRPr="00F5723F">
              <w:rPr>
                <w:snapToGrid w:val="0"/>
              </w:rPr>
              <w:t>KU</w:t>
            </w:r>
          </w:p>
        </w:tc>
        <w:tc>
          <w:tcPr>
            <w:tcW w:w="1050" w:type="dxa"/>
            <w:tcBorders>
              <w:top w:val="single" w:sz="4" w:space="0" w:color="auto"/>
            </w:tcBorders>
          </w:tcPr>
          <w:p w:rsidR="00B43C57" w:rsidRPr="00F5723F" w:rsidRDefault="00B43C57">
            <w:pPr>
              <w:pStyle w:val="Tabelltext"/>
              <w:spacing w:line="180" w:lineRule="exact"/>
              <w:rPr>
                <w:snapToGrid w:val="0"/>
              </w:rPr>
            </w:pPr>
            <w:r w:rsidRPr="00F5723F">
              <w:rPr>
                <w:snapToGrid w:val="0"/>
              </w:rPr>
              <w:t>1–2 ggr/år</w:t>
            </w:r>
          </w:p>
        </w:tc>
        <w:tc>
          <w:tcPr>
            <w:tcW w:w="1417" w:type="dxa"/>
            <w:tcBorders>
              <w:top w:val="single" w:sz="4" w:space="0" w:color="auto"/>
            </w:tcBorders>
          </w:tcPr>
          <w:p w:rsidR="00B43C57" w:rsidRPr="00F5723F" w:rsidRDefault="00B43C57">
            <w:pPr>
              <w:pStyle w:val="Tabelltext"/>
              <w:spacing w:line="180" w:lineRule="exact"/>
              <w:rPr>
                <w:snapToGrid w:val="0"/>
              </w:rPr>
            </w:pPr>
            <w:r w:rsidRPr="00F5723F">
              <w:rPr>
                <w:snapToGrid w:val="0"/>
              </w:rPr>
              <w:t>Hela utskottet</w:t>
            </w:r>
          </w:p>
        </w:tc>
        <w:tc>
          <w:tcPr>
            <w:tcW w:w="1418" w:type="dxa"/>
            <w:tcBorders>
              <w:top w:val="single" w:sz="4" w:space="0" w:color="auto"/>
            </w:tcBorders>
          </w:tcPr>
          <w:p w:rsidR="00B43C57" w:rsidRPr="00F5723F" w:rsidRDefault="00B43C57">
            <w:pPr>
              <w:pStyle w:val="Tabelltext"/>
              <w:spacing w:line="180" w:lineRule="exact"/>
              <w:rPr>
                <w:snapToGrid w:val="0"/>
              </w:rPr>
            </w:pPr>
            <w:r w:rsidRPr="00F5723F">
              <w:rPr>
                <w:snapToGrid w:val="0"/>
              </w:rPr>
              <w:t>Flera ggr/år</w:t>
            </w:r>
          </w:p>
        </w:tc>
        <w:tc>
          <w:tcPr>
            <w:tcW w:w="1417" w:type="dxa"/>
            <w:tcBorders>
              <w:top w:val="single" w:sz="4" w:space="0" w:color="auto"/>
            </w:tcBorders>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FiU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Delegation</w:t>
            </w:r>
          </w:p>
        </w:tc>
        <w:tc>
          <w:tcPr>
            <w:tcW w:w="1418" w:type="dxa"/>
          </w:tcPr>
          <w:p w:rsidR="00B43C57" w:rsidRPr="00F5723F" w:rsidRDefault="00B43C57">
            <w:pPr>
              <w:pStyle w:val="Tabelltext"/>
              <w:spacing w:line="180" w:lineRule="exact"/>
              <w:rPr>
                <w:snapToGrid w:val="0"/>
              </w:rPr>
            </w:pPr>
            <w:r w:rsidRPr="00F5723F">
              <w:rPr>
                <w:snapToGrid w:val="0"/>
              </w:rPr>
              <w:t>I stort sett aldrig</w:t>
            </w:r>
          </w:p>
        </w:tc>
        <w:tc>
          <w:tcPr>
            <w:tcW w:w="1417" w:type="dxa"/>
          </w:tcPr>
          <w:p w:rsidR="00B43C57" w:rsidRPr="00F5723F" w:rsidRDefault="00B43C57">
            <w:pPr>
              <w:pStyle w:val="Tabelltext"/>
              <w:spacing w:line="180" w:lineRule="exact"/>
              <w:rPr>
                <w:snapToGrid w:val="0"/>
              </w:rPr>
            </w:pPr>
            <w:r w:rsidRPr="00F5723F">
              <w:rPr>
                <w:snapToGrid w:val="0"/>
              </w:rPr>
              <w: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SkU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Delegation</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JuU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1–2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LU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UU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I stort sett aldrig</w:t>
            </w:r>
          </w:p>
        </w:tc>
        <w:tc>
          <w:tcPr>
            <w:tcW w:w="1417" w:type="dxa"/>
          </w:tcPr>
          <w:p w:rsidR="00B43C57" w:rsidRPr="00F5723F" w:rsidRDefault="00B43C57">
            <w:pPr>
              <w:pStyle w:val="Tabelltext"/>
              <w:spacing w:line="180" w:lineRule="exact"/>
              <w:rPr>
                <w:snapToGrid w:val="0"/>
              </w:rPr>
            </w:pPr>
            <w:r w:rsidRPr="00F5723F">
              <w:rPr>
                <w:snapToGrid w:val="0"/>
              </w:rPr>
              <w: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FöU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Delegation</w:t>
            </w:r>
          </w:p>
        </w:tc>
        <w:tc>
          <w:tcPr>
            <w:tcW w:w="1418" w:type="dxa"/>
          </w:tcPr>
          <w:p w:rsidR="00B43C57" w:rsidRPr="00F5723F" w:rsidRDefault="00B43C57">
            <w:pPr>
              <w:pStyle w:val="Tabelltext"/>
              <w:spacing w:line="180" w:lineRule="exact"/>
              <w:rPr>
                <w:snapToGrid w:val="0"/>
              </w:rPr>
            </w:pPr>
            <w:r w:rsidRPr="00F5723F">
              <w:rPr>
                <w:snapToGrid w:val="0"/>
              </w:rPr>
              <w:t>1–2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SfU</w:t>
            </w:r>
          </w:p>
        </w:tc>
        <w:tc>
          <w:tcPr>
            <w:tcW w:w="1050" w:type="dxa"/>
          </w:tcPr>
          <w:p w:rsidR="00B43C57" w:rsidRPr="00F5723F" w:rsidRDefault="00B43C57">
            <w:pPr>
              <w:pStyle w:val="Tabelltext"/>
              <w:spacing w:line="180" w:lineRule="exact"/>
              <w:rPr>
                <w:snapToGrid w:val="0"/>
              </w:rPr>
            </w:pPr>
            <w:r w:rsidRPr="00F5723F">
              <w:rPr>
                <w:snapToGrid w:val="0"/>
              </w:rPr>
              <w:t>1–2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1–2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SoU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KrU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UbU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TU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MJU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NU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Pr>
          <w:p w:rsidR="00B43C57" w:rsidRPr="00F5723F" w:rsidRDefault="00B43C57">
            <w:pPr>
              <w:pStyle w:val="Tabelltext"/>
              <w:spacing w:line="180" w:lineRule="exact"/>
              <w:rPr>
                <w:snapToGrid w:val="0"/>
              </w:rPr>
            </w:pPr>
            <w:r w:rsidRPr="00F5723F">
              <w:rPr>
                <w:snapToGrid w:val="0"/>
              </w:rPr>
              <w:t>AU</w:t>
            </w:r>
          </w:p>
        </w:tc>
        <w:tc>
          <w:tcPr>
            <w:tcW w:w="1050"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c>
          <w:tcPr>
            <w:tcW w:w="1418" w:type="dxa"/>
          </w:tcPr>
          <w:p w:rsidR="00B43C57" w:rsidRPr="00F5723F" w:rsidRDefault="00B43C57">
            <w:pPr>
              <w:pStyle w:val="Tabelltext"/>
              <w:spacing w:line="180" w:lineRule="exact"/>
              <w:rPr>
                <w:snapToGrid w:val="0"/>
              </w:rPr>
            </w:pPr>
            <w:r w:rsidRPr="00F5723F">
              <w:rPr>
                <w:snapToGrid w:val="0"/>
              </w:rPr>
              <w:t>Flera ggr/år</w:t>
            </w:r>
          </w:p>
        </w:tc>
        <w:tc>
          <w:tcPr>
            <w:tcW w:w="1417" w:type="dxa"/>
          </w:tcPr>
          <w:p w:rsidR="00B43C57" w:rsidRPr="00F5723F" w:rsidRDefault="00B43C57">
            <w:pPr>
              <w:pStyle w:val="Tabelltext"/>
              <w:spacing w:line="180" w:lineRule="exact"/>
              <w:rPr>
                <w:snapToGrid w:val="0"/>
              </w:rPr>
            </w:pPr>
            <w:r w:rsidRPr="00F5723F">
              <w:rPr>
                <w:snapToGrid w:val="0"/>
              </w:rPr>
              <w:t>Hela utskottet</w:t>
            </w:r>
          </w:p>
        </w:tc>
      </w:tr>
      <w:tr w:rsidR="00000000" w:rsidRPr="00F5723F">
        <w:tblPrEx>
          <w:tblCellMar>
            <w:top w:w="0" w:type="dxa"/>
            <w:bottom w:w="0" w:type="dxa"/>
          </w:tblCellMar>
        </w:tblPrEx>
        <w:trPr>
          <w:cantSplit/>
          <w:trHeight w:val="247"/>
        </w:trPr>
        <w:tc>
          <w:tcPr>
            <w:tcW w:w="597" w:type="dxa"/>
            <w:tcBorders>
              <w:bottom w:val="single" w:sz="4" w:space="0" w:color="auto"/>
            </w:tcBorders>
          </w:tcPr>
          <w:p w:rsidR="00B43C57" w:rsidRPr="00F5723F" w:rsidRDefault="00B43C57">
            <w:pPr>
              <w:pStyle w:val="Tabelltext"/>
              <w:spacing w:line="180" w:lineRule="exact"/>
              <w:rPr>
                <w:snapToGrid w:val="0"/>
              </w:rPr>
            </w:pPr>
            <w:r w:rsidRPr="00F5723F">
              <w:rPr>
                <w:snapToGrid w:val="0"/>
              </w:rPr>
              <w:t>BoU</w:t>
            </w:r>
          </w:p>
        </w:tc>
        <w:tc>
          <w:tcPr>
            <w:tcW w:w="1050" w:type="dxa"/>
            <w:tcBorders>
              <w:bottom w:val="single" w:sz="4" w:space="0" w:color="auto"/>
            </w:tcBorders>
          </w:tcPr>
          <w:p w:rsidR="00B43C57" w:rsidRPr="00F5723F" w:rsidRDefault="00B43C57">
            <w:pPr>
              <w:pStyle w:val="Tabelltext"/>
              <w:spacing w:line="180" w:lineRule="exact"/>
              <w:rPr>
                <w:snapToGrid w:val="0"/>
              </w:rPr>
            </w:pPr>
            <w:r w:rsidRPr="00F5723F">
              <w:rPr>
                <w:snapToGrid w:val="0"/>
              </w:rPr>
              <w:t>Flera ggr/år</w:t>
            </w:r>
          </w:p>
        </w:tc>
        <w:tc>
          <w:tcPr>
            <w:tcW w:w="1417" w:type="dxa"/>
            <w:tcBorders>
              <w:bottom w:val="single" w:sz="4" w:space="0" w:color="auto"/>
            </w:tcBorders>
          </w:tcPr>
          <w:p w:rsidR="00B43C57" w:rsidRPr="00F5723F" w:rsidRDefault="00B43C57">
            <w:pPr>
              <w:pStyle w:val="Tabelltext"/>
              <w:spacing w:line="180" w:lineRule="exact"/>
              <w:rPr>
                <w:snapToGrid w:val="0"/>
              </w:rPr>
            </w:pPr>
            <w:r w:rsidRPr="00F5723F">
              <w:rPr>
                <w:snapToGrid w:val="0"/>
              </w:rPr>
              <w:t>Hela utskottet</w:t>
            </w:r>
          </w:p>
        </w:tc>
        <w:tc>
          <w:tcPr>
            <w:tcW w:w="1418" w:type="dxa"/>
            <w:tcBorders>
              <w:bottom w:val="single" w:sz="4" w:space="0" w:color="auto"/>
            </w:tcBorders>
          </w:tcPr>
          <w:p w:rsidR="00B43C57" w:rsidRPr="00F5723F" w:rsidRDefault="00B43C57">
            <w:pPr>
              <w:pStyle w:val="Tabelltext"/>
              <w:spacing w:line="180" w:lineRule="exact"/>
              <w:rPr>
                <w:snapToGrid w:val="0"/>
              </w:rPr>
            </w:pPr>
            <w:r w:rsidRPr="00F5723F">
              <w:rPr>
                <w:snapToGrid w:val="0"/>
              </w:rPr>
              <w:t>Flera ggr/år</w:t>
            </w:r>
          </w:p>
        </w:tc>
        <w:tc>
          <w:tcPr>
            <w:tcW w:w="1417" w:type="dxa"/>
            <w:tcBorders>
              <w:bottom w:val="single" w:sz="4" w:space="0" w:color="auto"/>
            </w:tcBorders>
          </w:tcPr>
          <w:p w:rsidR="00B43C57" w:rsidRPr="00F5723F" w:rsidRDefault="00B43C57">
            <w:pPr>
              <w:pStyle w:val="Tabelltext"/>
              <w:spacing w:line="180" w:lineRule="exact"/>
              <w:rPr>
                <w:snapToGrid w:val="0"/>
              </w:rPr>
            </w:pPr>
            <w:r w:rsidRPr="00F5723F">
              <w:rPr>
                <w:snapToGrid w:val="0"/>
              </w:rPr>
              <w:t>Hela utskottet</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Tabellen visar hur ofta utskotten gör studiebesök r</w:t>
      </w:r>
      <w:r w:rsidRPr="00F5723F">
        <w:rPr>
          <w:rFonts w:ascii="Arial" w:hAnsi="Arial" w:cs="Arial"/>
          <w:sz w:val="16"/>
          <w:szCs w:val="16"/>
        </w:rPr>
        <w:t>e</w:t>
      </w:r>
      <w:r w:rsidRPr="00F5723F">
        <w:rPr>
          <w:rFonts w:ascii="Arial" w:hAnsi="Arial" w:cs="Arial"/>
          <w:sz w:val="16"/>
          <w:szCs w:val="16"/>
        </w:rPr>
        <w:t>spektive tar emot uppvaktningar samt vilka från utskottets sida som i regel deltar vid dessa tillfällen. Svarsalternativen när det gäller omfat</w:t>
      </w:r>
      <w:r w:rsidRPr="00F5723F">
        <w:rPr>
          <w:rFonts w:ascii="Arial" w:hAnsi="Arial" w:cs="Arial"/>
          <w:sz w:val="16"/>
          <w:szCs w:val="16"/>
        </w:rPr>
        <w:t>t</w:t>
      </w:r>
      <w:r w:rsidRPr="00F5723F">
        <w:rPr>
          <w:rFonts w:ascii="Arial" w:hAnsi="Arial" w:cs="Arial"/>
          <w:sz w:val="16"/>
          <w:szCs w:val="16"/>
        </w:rPr>
        <w:t>ningen är ”I stort sett aldrig”, ”En eller ett par gånger per mandatper</w:t>
      </w:r>
      <w:r w:rsidRPr="00F5723F">
        <w:rPr>
          <w:rFonts w:ascii="Arial" w:hAnsi="Arial" w:cs="Arial"/>
          <w:sz w:val="16"/>
          <w:szCs w:val="16"/>
        </w:rPr>
        <w:t>i</w:t>
      </w:r>
      <w:r w:rsidRPr="00F5723F">
        <w:rPr>
          <w:rFonts w:ascii="Arial" w:hAnsi="Arial" w:cs="Arial"/>
          <w:sz w:val="16"/>
          <w:szCs w:val="16"/>
        </w:rPr>
        <w:t>od”, ”En eller ett par gånger per år” samt ”Flera gånger per år”, och när det gäller deltagande från utskottet ”Hela utskottet”, ”Pr</w:t>
      </w:r>
      <w:r w:rsidRPr="00F5723F">
        <w:rPr>
          <w:rFonts w:ascii="Arial" w:hAnsi="Arial" w:cs="Arial"/>
          <w:sz w:val="16"/>
          <w:szCs w:val="16"/>
        </w:rPr>
        <w:t>e</w:t>
      </w:r>
      <w:r w:rsidRPr="00F5723F">
        <w:rPr>
          <w:rFonts w:ascii="Arial" w:hAnsi="Arial" w:cs="Arial"/>
          <w:sz w:val="16"/>
          <w:szCs w:val="16"/>
        </w:rPr>
        <w:t>sidiet”</w:t>
      </w:r>
      <w:r w:rsidRPr="00F5723F">
        <w:rPr>
          <w:rFonts w:ascii="Arial" w:hAnsi="Arial" w:cs="Arial"/>
          <w:sz w:val="16"/>
          <w:szCs w:val="16"/>
        </w:rPr>
        <w:t xml:space="preserve"> och ”Deleg</w:t>
      </w:r>
      <w:r w:rsidRPr="00F5723F">
        <w:rPr>
          <w:rFonts w:ascii="Arial" w:hAnsi="Arial" w:cs="Arial"/>
          <w:sz w:val="16"/>
          <w:szCs w:val="16"/>
        </w:rPr>
        <w:t>a</w:t>
      </w:r>
      <w:r w:rsidRPr="00F5723F">
        <w:rPr>
          <w:rFonts w:ascii="Arial" w:hAnsi="Arial" w:cs="Arial"/>
          <w:sz w:val="16"/>
          <w:szCs w:val="16"/>
        </w:rPr>
        <w:t>tion”.</w:t>
      </w:r>
    </w:p>
    <w:p w:rsidR="00B43C57" w:rsidRPr="00F5723F" w:rsidRDefault="00B43C57">
      <w:r w:rsidRPr="00F5723F">
        <w:t>Uppvaktningar förekommer, enligt tabellen, ungefär i samma utsträc</w:t>
      </w:r>
      <w:r w:rsidRPr="00F5723F">
        <w:t>k</w:t>
      </w:r>
      <w:r w:rsidRPr="00F5723F">
        <w:t>ning som studiebesök, det vill säga flera gånger per år. Tre utskott, justitie-, fö</w:t>
      </w:r>
      <w:r w:rsidRPr="00F5723F">
        <w:t>r</w:t>
      </w:r>
      <w:r w:rsidRPr="00F5723F">
        <w:t>svars- och socialförsäkringsutskotten, tar emot något färre uppvaktningar än övriga (en–två gånger per år). Två utskott, finans- och utrikesutskotten, tar som regel inte emot några uppvaktningar. Senast finansutskottet mottog en uppvaktning uppges av kansliet vara flera år sedan. I stället brukar de som önskar uppvakta utskottet ombedjas att skriva till utskottet eller stämma träff med företrädare för utskottet vid annat ti</w:t>
      </w:r>
      <w:r w:rsidRPr="00F5723F">
        <w:t>llfälle. Skälet till att utrikesutskottet inte tar emot några uppvaktningar uppges vara att utskottet har som uttalad policy att inte göra detta. Vad gäller deltagandet från utskottens sida närv</w:t>
      </w:r>
      <w:r w:rsidRPr="00F5723F">
        <w:t>a</w:t>
      </w:r>
      <w:r w:rsidRPr="00F5723F">
        <w:t>rar som regel hela utskottet. I ett utskott, skatteutskottet, representeras u</w:t>
      </w:r>
      <w:r w:rsidRPr="00F5723F">
        <w:t>t</w:t>
      </w:r>
      <w:r w:rsidRPr="00F5723F">
        <w:t>skottet dock oftast av en delegation. Inte något kansli uppger att det som regel är presidiet som deltar. När tid inte ges för annat uppger något kansli dock att presidiet eller en del</w:t>
      </w:r>
      <w:r w:rsidRPr="00F5723F">
        <w:t>e</w:t>
      </w:r>
      <w:r w:rsidRPr="00F5723F">
        <w:t>gation deltar från utskottets sida. I ett annat utskot</w:t>
      </w:r>
      <w:r w:rsidRPr="00F5723F">
        <w:t>t tillämpas ibland ett slags förenklad hantering vid mottagande av uppvak</w:t>
      </w:r>
      <w:r w:rsidRPr="00F5723F">
        <w:t>t</w:t>
      </w:r>
      <w:r w:rsidRPr="00F5723F">
        <w:t>ningar som innebär att ordf</w:t>
      </w:r>
      <w:r w:rsidRPr="00F5723F">
        <w:t>ö</w:t>
      </w:r>
      <w:r w:rsidRPr="00F5723F">
        <w:t>randen informerar övriga ledamöter om att denne vid en viss tidpunkt skall ta emot en uppvaktning och att alla intress</w:t>
      </w:r>
      <w:r w:rsidRPr="00F5723F">
        <w:t>e</w:t>
      </w:r>
      <w:r w:rsidRPr="00F5723F">
        <w:t>rade ledamöter är välkomna att delta.</w:t>
      </w:r>
    </w:p>
    <w:p w:rsidR="00B43C57" w:rsidRPr="00F5723F" w:rsidRDefault="00B43C57">
      <w:pPr>
        <w:pStyle w:val="Rubrik3"/>
        <w:rPr>
          <w:noProof w:val="0"/>
        </w:rPr>
      </w:pPr>
      <w:bookmarkStart w:id="95" w:name="_Toc121738925"/>
      <w:bookmarkStart w:id="96" w:name="_Toc124697813"/>
      <w:r w:rsidRPr="00F5723F">
        <w:rPr>
          <w:noProof w:val="0"/>
        </w:rPr>
        <w:t>Kontakter utanför Sverige</w:t>
      </w:r>
      <w:bookmarkEnd w:id="95"/>
      <w:bookmarkEnd w:id="96"/>
    </w:p>
    <w:p w:rsidR="00B43C57" w:rsidRPr="00F5723F" w:rsidRDefault="00B43C57">
      <w:r w:rsidRPr="00F5723F">
        <w:t>Ledamöter i riksdagen och utskotten har självklart inte bara kontakter inom Sverige utan även utanför landets gränser. Generellt är de internationella kontakterna färre än de nationella, men behovet av kontakter med olika akt</w:t>
      </w:r>
      <w:r w:rsidRPr="00F5723F">
        <w:t>ö</w:t>
      </w:r>
      <w:r w:rsidRPr="00F5723F">
        <w:t>rer utanför Sverige torde ha ökat till följd av EU-medlemskapet och politikens internationalisering. Under 1990-talet var dock omfattningen av ledamöte</w:t>
      </w:r>
      <w:r w:rsidRPr="00F5723F">
        <w:t>r</w:t>
      </w:r>
      <w:r w:rsidRPr="00F5723F">
        <w:t>nas internationella kontakter förhållandevis konstant, och endast en minor</w:t>
      </w:r>
      <w:r w:rsidRPr="00F5723F">
        <w:t>i</w:t>
      </w:r>
      <w:r w:rsidRPr="00F5723F">
        <w:t>tet av ledamöterna kunde sägas ha täta internationella kontakter.</w:t>
      </w:r>
      <w:r w:rsidRPr="00F5723F">
        <w:rPr>
          <w:rStyle w:val="Fotnotsreferens"/>
        </w:rPr>
        <w:footnoteReference w:id="73"/>
      </w:r>
    </w:p>
    <w:p w:rsidR="00B43C57" w:rsidRPr="00F5723F" w:rsidRDefault="00B43C57">
      <w:pPr>
        <w:pStyle w:val="Normaltindrag"/>
      </w:pPr>
      <w:r w:rsidRPr="00F5723F">
        <w:t>Vad gäller utskottens kontakter utanför Sverige har ovan studerats konta</w:t>
      </w:r>
      <w:r w:rsidRPr="00F5723F">
        <w:t>k</w:t>
      </w:r>
      <w:r w:rsidRPr="00F5723F">
        <w:t>ter med andra utskott inom EU. Här uppmärksammas i stället kontakter uta</w:t>
      </w:r>
      <w:r w:rsidRPr="00F5723F">
        <w:t>n</w:t>
      </w:r>
      <w:r w:rsidRPr="00F5723F">
        <w:t>för EU. Enligt kansliernas uppgifter är utskottens kontakter härvidlag inte särskilt omfattande. Med undantag för utrikesutskottet har inget utskott rege</w:t>
      </w:r>
      <w:r w:rsidRPr="00F5723F">
        <w:t>l</w:t>
      </w:r>
      <w:r w:rsidRPr="00F5723F">
        <w:t>bundna kontakter med utskott i andra länder. Behandling av sakfrågor för</w:t>
      </w:r>
      <w:r w:rsidRPr="00F5723F">
        <w:t>e</w:t>
      </w:r>
      <w:r w:rsidRPr="00F5723F">
        <w:t>kommer sällan. De kontakter som förekommer har främst karaktär av studi</w:t>
      </w:r>
      <w:r w:rsidRPr="00F5723F">
        <w:t>e</w:t>
      </w:r>
      <w:r w:rsidRPr="00F5723F">
        <w:t>besök, som görs i samband med utskottens resor utomlands.</w:t>
      </w:r>
    </w:p>
    <w:p w:rsidR="00B43C57" w:rsidRPr="00F5723F" w:rsidRDefault="00B43C57">
      <w:pPr>
        <w:pStyle w:val="Normaltindrag"/>
      </w:pPr>
      <w:r w:rsidRPr="00F5723F">
        <w:t>Den vanligaste bedömningen bland kanslierna är att utskottets framtida behov av i</w:t>
      </w:r>
      <w:r w:rsidRPr="00F5723F">
        <w:t>nternationella kontakter utanför EU varken kommer att vara stort eller litet. Tre kanslier gör bedömningen att behovet kommer att vara stort, vilket är klart färre än motsvarande bedömning avseende kontakter inom EU. Som skäl för behovet anförs bland annat önskan att skaffa sig perspektiv på de frågor som behandlas av utskottet. Det framhålls dock också att utrymmet för ko</w:t>
      </w:r>
      <w:r w:rsidRPr="00F5723F">
        <w:t>n</w:t>
      </w:r>
      <w:r w:rsidRPr="00F5723F">
        <w:t>takter med utskott i länder utanför EU är begränsat av framför allt tidsmässiga skäl.</w:t>
      </w:r>
    </w:p>
    <w:p w:rsidR="00B43C57" w:rsidRPr="00F5723F" w:rsidRDefault="00B43C57">
      <w:pPr>
        <w:pStyle w:val="Rubrik2"/>
      </w:pPr>
      <w:bookmarkStart w:id="97" w:name="_Toc121738926"/>
      <w:bookmarkStart w:id="98" w:name="_Toc124697814"/>
      <w:r w:rsidRPr="00F5723F">
        <w:t>Arbetsbelastning</w:t>
      </w:r>
      <w:bookmarkEnd w:id="97"/>
      <w:bookmarkEnd w:id="98"/>
    </w:p>
    <w:p w:rsidR="00B43C57" w:rsidRPr="00F5723F" w:rsidRDefault="00B43C57">
      <w:r w:rsidRPr="00F5723F">
        <w:t>I föreliggande avsnitt studeras utskottens arbetsbelastning. Att mäta arbetsb</w:t>
      </w:r>
      <w:r w:rsidRPr="00F5723F">
        <w:t>e</w:t>
      </w:r>
      <w:r w:rsidRPr="00F5723F">
        <w:t>lastning är komplicerat. Ingen enskild indikator fungerar som ett heltäc</w:t>
      </w:r>
      <w:r w:rsidRPr="00F5723F">
        <w:t>k</w:t>
      </w:r>
      <w:r w:rsidRPr="00F5723F">
        <w:t>ande mått. Olika indikatorer ger olika resultat. Utskott som enligt en viss indikator har en hög belastning kan enligt en annan indikator ha en låg b</w:t>
      </w:r>
      <w:r w:rsidRPr="00F5723F">
        <w:t>e</w:t>
      </w:r>
      <w:r w:rsidRPr="00F5723F">
        <w:t>lastning, och vice versa. Dessutom saknas för vissa slags arbetsuppgifter i utskotten indik</w:t>
      </w:r>
      <w:r w:rsidRPr="00F5723F">
        <w:t>a</w:t>
      </w:r>
      <w:r w:rsidRPr="00F5723F">
        <w:t>torer i undersökningen, även om uppgifterna har betydelse ur arbetsbelas</w:t>
      </w:r>
      <w:r w:rsidRPr="00F5723F">
        <w:t>t</w:t>
      </w:r>
      <w:r w:rsidRPr="00F5723F">
        <w:t>ningssynpunkt. Till exempel kan här nämnas resor som u</w:t>
      </w:r>
      <w:r w:rsidRPr="00F5723F">
        <w:t>t</w:t>
      </w:r>
      <w:r w:rsidRPr="00F5723F">
        <w:t>skotten företar och arbete med uppföljning och utvärdering. Det finn</w:t>
      </w:r>
      <w:r w:rsidRPr="00F5723F">
        <w:t>s också uppgifter som utförs i endast enstaka utskott, till exempel konstitutions</w:t>
      </w:r>
      <w:r w:rsidRPr="00F5723F">
        <w:softHyphen/>
        <w:t>utskottets granskning av regeringen, och som därför inte kan tjäna som jämförelseindikatorer på u</w:t>
      </w:r>
      <w:r w:rsidRPr="00F5723F">
        <w:t>t</w:t>
      </w:r>
      <w:r w:rsidRPr="00F5723F">
        <w:t>skottens arbetsbelastning. Vidare kan varje indikator vara förenad med en stor osäke</w:t>
      </w:r>
      <w:r w:rsidRPr="00F5723F">
        <w:t>r</w:t>
      </w:r>
      <w:r w:rsidRPr="00F5723F">
        <w:t>het. Till exempel kan den arbetsinsats som krävs för att behandla en propos</w:t>
      </w:r>
      <w:r w:rsidRPr="00F5723F">
        <w:t>i</w:t>
      </w:r>
      <w:r w:rsidRPr="00F5723F">
        <w:t>tion variera stort beroende på propositionens omfång och innehåll. Olika arbetssätt i utskotten gör också att behandlingen av till exempel ett lika stort antal motioner ka</w:t>
      </w:r>
      <w:r w:rsidRPr="00F5723F">
        <w:t>n ta mer tid i anspråk i vissa utskott än i andra. Den belastning som en viss arbetsuppgift är förenad med i ett u</w:t>
      </w:r>
      <w:r w:rsidRPr="00F5723F">
        <w:t>t</w:t>
      </w:r>
      <w:r w:rsidRPr="00F5723F">
        <w:t>skott behöver inte heller innebära motsvarande belastning för utskottets kansli, utan den kan vara antingen större eller mindre än i själva utskottet; i slutet av avsnittet studeras särskilt belastningen ur ett kansliperspektiv.</w:t>
      </w:r>
    </w:p>
    <w:p w:rsidR="00B43C57" w:rsidRPr="00F5723F" w:rsidRDefault="00B43C57">
      <w:pPr>
        <w:pStyle w:val="Normaltindrag"/>
      </w:pPr>
      <w:r w:rsidRPr="00F5723F">
        <w:t>Mot denna bakgrund bör arbetsbelastningen mätas med hjälp av flera ind</w:t>
      </w:r>
      <w:r w:rsidRPr="00F5723F">
        <w:t>i</w:t>
      </w:r>
      <w:r w:rsidRPr="00F5723F">
        <w:t>katorer. Sedan får göras en sammanvägning av de olika resultaten. Det intre</w:t>
      </w:r>
      <w:r w:rsidRPr="00F5723F">
        <w:t>s</w:t>
      </w:r>
      <w:r w:rsidRPr="00F5723F">
        <w:t>santa härvidlag är inte hur det ser ut på enskilda indikatorer, utan om result</w:t>
      </w:r>
      <w:r w:rsidRPr="00F5723F">
        <w:t>a</w:t>
      </w:r>
      <w:r w:rsidRPr="00F5723F">
        <w:t>ten bildar ett mönster. Följande tio indikatorer mäter utskottens arbetsbelas</w:t>
      </w:r>
      <w:r w:rsidRPr="00F5723F">
        <w:t>t</w:t>
      </w:r>
      <w:r w:rsidRPr="00F5723F">
        <w:t>ning i undersökningen: sammanträdestimmar, remitterade propos</w:t>
      </w:r>
      <w:r w:rsidRPr="00F5723F">
        <w:t>i</w:t>
      </w:r>
      <w:r w:rsidRPr="00F5723F">
        <w:t>tioner och skrivelser, remitterade motioner, remitterade motions</w:t>
      </w:r>
      <w:r w:rsidRPr="00F5723F">
        <w:softHyphen/>
        <w:t>yrkanden, avgivna r</w:t>
      </w:r>
      <w:r w:rsidRPr="00F5723F">
        <w:t>e</w:t>
      </w:r>
      <w:r w:rsidRPr="00F5723F">
        <w:t>servationer, antal utskottsbetänkanden, antal yttranden, antal trycksidor i betänkandena samt antal faktapromemorior och EU-dokumen</w:t>
      </w:r>
      <w:r w:rsidRPr="00F5723F">
        <w:t>t. Statistiken bygger på samma uppgifter som legat till grund för redovisningarna i föreg</w:t>
      </w:r>
      <w:r w:rsidRPr="00F5723F">
        <w:t>å</w:t>
      </w:r>
      <w:r w:rsidRPr="00F5723F">
        <w:t>ende avsnitt.</w:t>
      </w:r>
    </w:p>
    <w:p w:rsidR="00B43C57" w:rsidRPr="00F5723F" w:rsidRDefault="00B43C57">
      <w:pPr>
        <w:pStyle w:val="Normaltindrag"/>
      </w:pPr>
      <w:r w:rsidRPr="00F5723F">
        <w:t>I tabellerna nedan studeras indikatorerna var för sig. I varje tabell rangor</w:t>
      </w:r>
      <w:r w:rsidRPr="00F5723F">
        <w:t>d</w:t>
      </w:r>
      <w:r w:rsidRPr="00F5723F">
        <w:t>nas utskotten med avseende på belastning under innevarande valperiod. För varje utskott anges dessutom i procent belastning relativt det mest bela</w:t>
      </w:r>
      <w:r w:rsidRPr="00F5723F">
        <w:t>s</w:t>
      </w:r>
      <w:r w:rsidRPr="00F5723F">
        <w:t>tade utskottet. Värdet 50 procent innebär alltså att belastningen är hälften av b</w:t>
      </w:r>
      <w:r w:rsidRPr="00F5723F">
        <w:t>e</w:t>
      </w:r>
      <w:r w:rsidRPr="00F5723F">
        <w:t>lastnin</w:t>
      </w:r>
      <w:r w:rsidRPr="00F5723F">
        <w:t>g</w:t>
      </w:r>
      <w:r w:rsidRPr="00F5723F">
        <w:t>en för det mest belastade utskottet, 25 procent att belastningen är en fjärdel och 10 procent att belastningen är en tiondel. Av procenttalen framgår alltså hur stor skillnaden är mellan u</w:t>
      </w:r>
      <w:r w:rsidRPr="00F5723F">
        <w:t>t</w:t>
      </w:r>
      <w:r w:rsidRPr="00F5723F">
        <w:t>skotten. I tabellerna redovisas även belastning under val</w:t>
      </w:r>
      <w:r w:rsidRPr="00F5723F">
        <w:softHyphen/>
        <w:t xml:space="preserve">perioderna 1994/95–1997/98 </w:t>
      </w:r>
      <w:r w:rsidRPr="00F5723F">
        <w:t>och 1998/99–2001/02. De utskott som är mest belastade under innevarande valperiod är markerade med grå bakgrund och de som är minst belastade är markerade med svart ba</w:t>
      </w:r>
      <w:r w:rsidRPr="00F5723F">
        <w:t>k</w:t>
      </w:r>
      <w:r w:rsidRPr="00F5723F">
        <w:t>grund. Därigenom blir det enkelt att överblicka i vad mån ett utskotts arbet</w:t>
      </w:r>
      <w:r w:rsidRPr="00F5723F">
        <w:t>s</w:t>
      </w:r>
      <w:r w:rsidRPr="00F5723F">
        <w:t xml:space="preserve">belastning varierat över tid jämfört med övriga utskott. </w:t>
      </w:r>
    </w:p>
    <w:p w:rsidR="00B43C57" w:rsidRPr="00F5723F" w:rsidRDefault="00B43C57">
      <w:pPr>
        <w:pStyle w:val="Normaltindrag"/>
      </w:pPr>
      <w:r w:rsidRPr="00F5723F">
        <w:t>Dessförinnan bör dock nämnas att sammansatta utskott inte studeras. Som fra</w:t>
      </w:r>
      <w:r w:rsidRPr="00F5723F">
        <w:t>m</w:t>
      </w:r>
      <w:r w:rsidRPr="00F5723F">
        <w:t>gått i avsnittet Organisation har denna utskottsform förekommit flera gånger sedan mitten av 1990-talet. Framför allt har då utrikesutskottet varit involv</w:t>
      </w:r>
      <w:r w:rsidRPr="00F5723F">
        <w:t>e</w:t>
      </w:r>
      <w:r w:rsidRPr="00F5723F">
        <w:t>rat, men även konstitutions-, försvars- samt miljö- och jordbruks</w:t>
      </w:r>
      <w:r w:rsidRPr="00F5723F">
        <w:softHyphen/>
        <w:t>utskotten. För dessa utskott kan således sägas att det tillkommer en viss b</w:t>
      </w:r>
      <w:r w:rsidRPr="00F5723F">
        <w:t>e</w:t>
      </w:r>
      <w:r w:rsidRPr="00F5723F">
        <w:t>lastning u</w:t>
      </w:r>
      <w:r w:rsidRPr="00F5723F">
        <w:t>t</w:t>
      </w:r>
      <w:r w:rsidRPr="00F5723F">
        <w:t>över den som framgår nedan.</w:t>
      </w:r>
    </w:p>
    <w:p w:rsidR="00B43C57" w:rsidRPr="00F5723F" w:rsidRDefault="00B43C57">
      <w:pPr>
        <w:pStyle w:val="Rubrik3"/>
        <w:rPr>
          <w:noProof w:val="0"/>
        </w:rPr>
      </w:pPr>
      <w:bookmarkStart w:id="99" w:name="_Toc121738927"/>
      <w:bookmarkStart w:id="100" w:name="_Toc124697815"/>
      <w:r w:rsidRPr="00F5723F">
        <w:rPr>
          <w:noProof w:val="0"/>
        </w:rPr>
        <w:t>Belastning i olika avseenden</w:t>
      </w:r>
      <w:bookmarkEnd w:id="99"/>
      <w:bookmarkEnd w:id="100"/>
    </w:p>
    <w:p w:rsidR="00B43C57" w:rsidRPr="00F5723F" w:rsidRDefault="00B43C57">
      <w:pPr>
        <w:pStyle w:val="R4"/>
      </w:pPr>
      <w:bookmarkStart w:id="101" w:name="_Toc121738928"/>
      <w:r w:rsidRPr="00F5723F">
        <w:t>Sammanträdestid</w:t>
      </w:r>
      <w:bookmarkEnd w:id="101"/>
    </w:p>
    <w:p w:rsidR="00B43C57" w:rsidRPr="00F5723F" w:rsidRDefault="00B43C57">
      <w:r w:rsidRPr="00F5723F">
        <w:t>Den första indikatorn på arbetsbelastning är antal sammanträdestimmar. Mest belastat under innevarande valperiod är, som framgår av tabell 9:1, konstit</w:t>
      </w:r>
      <w:r w:rsidRPr="00F5723F">
        <w:t>u</w:t>
      </w:r>
      <w:r w:rsidRPr="00F5723F">
        <w:t>tionsutskottet, därefter utrikes-, socialförsäkrings-, trafik- och miljö- och jordbruksutskotten. Skillnaden mellan dessa utskott är dock stor. Av procen</w:t>
      </w:r>
      <w:r w:rsidRPr="00F5723F">
        <w:t>t</w:t>
      </w:r>
      <w:r w:rsidRPr="00F5723F">
        <w:t>talen framgår att skillnaden mellan å ena sidan socialförsäkrings-, trafik- samt miljö- och jordbruksutskotten och å andra sidan det mest bela</w:t>
      </w:r>
      <w:r w:rsidRPr="00F5723F">
        <w:t>s</w:t>
      </w:r>
      <w:r w:rsidRPr="00F5723F">
        <w:t>tade utskottet (det vill säga konstitutionsutskottet) är ungefär lika stor som eller större än skillnaden mellan dem och det minst belastade utskottet.</w:t>
      </w:r>
    </w:p>
    <w:p w:rsidR="00B43C57" w:rsidRPr="00F5723F" w:rsidRDefault="00B43C57">
      <w:pPr>
        <w:pStyle w:val="Tabellrubrik"/>
      </w:pPr>
      <w:r w:rsidRPr="00F5723F">
        <w:t>Tabell 9:1 sammanträdestimmar (rangordning, Procent)</w:t>
      </w:r>
    </w:p>
    <w:tbl>
      <w:tblPr>
        <w:tblW w:w="5956"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20"/>
        <w:gridCol w:w="950"/>
        <w:gridCol w:w="1045"/>
        <w:gridCol w:w="1045"/>
        <w:gridCol w:w="1045"/>
        <w:gridCol w:w="851"/>
      </w:tblGrid>
      <w:tr w:rsidR="00000000" w:rsidRPr="00F5723F">
        <w:tblPrEx>
          <w:tblCellMar>
            <w:top w:w="0" w:type="dxa"/>
            <w:bottom w:w="0" w:type="dxa"/>
          </w:tblCellMar>
        </w:tblPrEx>
        <w:trPr>
          <w:cantSplit/>
        </w:trPr>
        <w:tc>
          <w:tcPr>
            <w:tcW w:w="1970" w:type="dxa"/>
            <w:gridSpan w:val="2"/>
            <w:tcBorders>
              <w:top w:val="single" w:sz="4" w:space="0" w:color="auto"/>
              <w:bottom w:val="nil"/>
            </w:tcBorders>
          </w:tcPr>
          <w:p w:rsidR="00B43C57" w:rsidRPr="00F5723F" w:rsidRDefault="00B43C57">
            <w:pPr>
              <w:pStyle w:val="Tabelltextsiffror"/>
              <w:jc w:val="center"/>
            </w:pPr>
            <w:r w:rsidRPr="00F5723F">
              <w:t>2002/03–2003/04</w:t>
            </w:r>
          </w:p>
        </w:tc>
        <w:tc>
          <w:tcPr>
            <w:tcW w:w="2090" w:type="dxa"/>
            <w:gridSpan w:val="2"/>
            <w:tcBorders>
              <w:top w:val="single" w:sz="4" w:space="0" w:color="auto"/>
              <w:bottom w:val="nil"/>
            </w:tcBorders>
          </w:tcPr>
          <w:p w:rsidR="00B43C57" w:rsidRPr="00F5723F" w:rsidRDefault="00B43C57">
            <w:pPr>
              <w:pStyle w:val="Tabelltextsiffror"/>
              <w:jc w:val="center"/>
            </w:pPr>
            <w:r w:rsidRPr="00F5723F">
              <w:t>1998/99–2001/02</w:t>
            </w:r>
          </w:p>
        </w:tc>
        <w:tc>
          <w:tcPr>
            <w:tcW w:w="1896" w:type="dxa"/>
            <w:gridSpan w:val="2"/>
            <w:tcBorders>
              <w:top w:val="single" w:sz="4" w:space="0" w:color="auto"/>
              <w:bottom w:val="nil"/>
            </w:tcBorders>
          </w:tcPr>
          <w:p w:rsidR="00B43C57" w:rsidRPr="00F5723F" w:rsidRDefault="00B43C57">
            <w:pPr>
              <w:pStyle w:val="Tabelltextsiffror"/>
              <w:jc w:val="center"/>
            </w:pPr>
            <w:r w:rsidRPr="00F5723F">
              <w:t>1994/95–1997/98</w:t>
            </w:r>
          </w:p>
        </w:tc>
      </w:tr>
      <w:tr w:rsidR="00000000" w:rsidRPr="00F5723F">
        <w:tblPrEx>
          <w:tblCellMar>
            <w:top w:w="0" w:type="dxa"/>
            <w:bottom w:w="0" w:type="dxa"/>
          </w:tblCellMar>
        </w:tblPrEx>
        <w:trPr>
          <w:cantSplit/>
        </w:trPr>
        <w:tc>
          <w:tcPr>
            <w:tcW w:w="1020" w:type="dxa"/>
            <w:tcBorders>
              <w:top w:val="nil"/>
              <w:bottom w:val="single" w:sz="4" w:space="0" w:color="auto"/>
            </w:tcBorders>
          </w:tcPr>
          <w:p w:rsidR="00B43C57" w:rsidRPr="00F5723F" w:rsidRDefault="00B43C57">
            <w:pPr>
              <w:pStyle w:val="Tabelltext"/>
            </w:pPr>
            <w:r w:rsidRPr="00F5723F">
              <w:t>Utskott</w:t>
            </w:r>
          </w:p>
        </w:tc>
        <w:tc>
          <w:tcPr>
            <w:tcW w:w="950" w:type="dxa"/>
            <w:tcBorders>
              <w:top w:val="nil"/>
              <w:bottom w:val="single" w:sz="4" w:space="0" w:color="auto"/>
            </w:tcBorders>
          </w:tcPr>
          <w:p w:rsidR="00B43C57" w:rsidRPr="00F5723F" w:rsidRDefault="00B43C57">
            <w:pPr>
              <w:pStyle w:val="Tabelltext"/>
            </w:pPr>
            <w:r w:rsidRPr="00F5723F">
              <w:t>Procent</w:t>
            </w:r>
          </w:p>
        </w:tc>
        <w:tc>
          <w:tcPr>
            <w:tcW w:w="1045" w:type="dxa"/>
            <w:tcBorders>
              <w:top w:val="nil"/>
              <w:bottom w:val="single" w:sz="4" w:space="0" w:color="auto"/>
            </w:tcBorders>
          </w:tcPr>
          <w:p w:rsidR="00B43C57" w:rsidRPr="00F5723F" w:rsidRDefault="00B43C57">
            <w:pPr>
              <w:pStyle w:val="Tabelltext"/>
            </w:pPr>
            <w:r w:rsidRPr="00F5723F">
              <w:t>Utskott</w:t>
            </w:r>
          </w:p>
        </w:tc>
        <w:tc>
          <w:tcPr>
            <w:tcW w:w="1045" w:type="dxa"/>
            <w:tcBorders>
              <w:top w:val="nil"/>
              <w:bottom w:val="single" w:sz="4" w:space="0" w:color="auto"/>
            </w:tcBorders>
          </w:tcPr>
          <w:p w:rsidR="00B43C57" w:rsidRPr="00F5723F" w:rsidRDefault="00B43C57">
            <w:pPr>
              <w:pStyle w:val="Tabelltext"/>
            </w:pPr>
            <w:r w:rsidRPr="00F5723F">
              <w:t>Procent</w:t>
            </w:r>
          </w:p>
        </w:tc>
        <w:tc>
          <w:tcPr>
            <w:tcW w:w="1045" w:type="dxa"/>
            <w:tcBorders>
              <w:top w:val="nil"/>
              <w:bottom w:val="single" w:sz="4" w:space="0" w:color="auto"/>
            </w:tcBorders>
          </w:tcPr>
          <w:p w:rsidR="00B43C57" w:rsidRPr="00F5723F" w:rsidRDefault="00B43C57">
            <w:pPr>
              <w:pStyle w:val="Tabelltext"/>
            </w:pPr>
            <w:r w:rsidRPr="00F5723F">
              <w:t>Utskott</w:t>
            </w:r>
          </w:p>
        </w:tc>
        <w:tc>
          <w:tcPr>
            <w:tcW w:w="851"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20"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KU</w:t>
            </w:r>
          </w:p>
        </w:tc>
        <w:tc>
          <w:tcPr>
            <w:tcW w:w="950"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045"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KU</w:t>
            </w:r>
          </w:p>
        </w:tc>
        <w:tc>
          <w:tcPr>
            <w:tcW w:w="1045"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045"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KU</w:t>
            </w:r>
          </w:p>
        </w:tc>
        <w:tc>
          <w:tcPr>
            <w:tcW w:w="851"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20" w:type="dxa"/>
            <w:tcBorders>
              <w:top w:val="nil"/>
              <w:bottom w:val="nil"/>
            </w:tcBorders>
            <w:shd w:val="pct35" w:color="auto" w:fill="FFFFFF"/>
          </w:tcPr>
          <w:p w:rsidR="00B43C57" w:rsidRPr="00F5723F" w:rsidRDefault="00B43C57">
            <w:pPr>
              <w:pStyle w:val="Tabelltext"/>
              <w:rPr>
                <w:snapToGrid w:val="0"/>
              </w:rPr>
            </w:pPr>
            <w:r w:rsidRPr="00F5723F">
              <w:rPr>
                <w:snapToGrid w:val="0"/>
              </w:rPr>
              <w:t>UU</w:t>
            </w:r>
          </w:p>
        </w:tc>
        <w:tc>
          <w:tcPr>
            <w:tcW w:w="950" w:type="dxa"/>
            <w:tcBorders>
              <w:top w:val="nil"/>
              <w:bottom w:val="nil"/>
            </w:tcBorders>
            <w:shd w:val="pct35" w:color="auto" w:fill="FFFFFF"/>
          </w:tcPr>
          <w:p w:rsidR="00B43C57" w:rsidRPr="00F5723F" w:rsidRDefault="00B43C57">
            <w:pPr>
              <w:pStyle w:val="Tabelltext"/>
              <w:rPr>
                <w:snapToGrid w:val="0"/>
              </w:rPr>
            </w:pPr>
            <w:r w:rsidRPr="00F5723F">
              <w:rPr>
                <w:snapToGrid w:val="0"/>
              </w:rPr>
              <w:t>91</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UU</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90</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UU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85</w:t>
            </w:r>
          </w:p>
        </w:tc>
      </w:tr>
      <w:tr w:rsidR="00000000" w:rsidRPr="00F5723F">
        <w:tblPrEx>
          <w:tblCellMar>
            <w:top w:w="0" w:type="dxa"/>
            <w:bottom w:w="0" w:type="dxa"/>
          </w:tblCellMar>
        </w:tblPrEx>
        <w:trPr>
          <w:cantSplit/>
        </w:trPr>
        <w:tc>
          <w:tcPr>
            <w:tcW w:w="1020" w:type="dxa"/>
            <w:tcBorders>
              <w:top w:val="nil"/>
              <w:bottom w:val="nil"/>
            </w:tcBorders>
            <w:shd w:val="pct35" w:color="auto" w:fill="FFFFFF"/>
          </w:tcPr>
          <w:p w:rsidR="00B43C57" w:rsidRPr="00F5723F" w:rsidRDefault="00B43C57">
            <w:pPr>
              <w:pStyle w:val="Tabelltext"/>
              <w:rPr>
                <w:snapToGrid w:val="0"/>
              </w:rPr>
            </w:pPr>
            <w:r w:rsidRPr="00F5723F">
              <w:rPr>
                <w:snapToGrid w:val="0"/>
              </w:rPr>
              <w:t>SfU</w:t>
            </w:r>
          </w:p>
        </w:tc>
        <w:tc>
          <w:tcPr>
            <w:tcW w:w="950" w:type="dxa"/>
            <w:tcBorders>
              <w:top w:val="nil"/>
              <w:bottom w:val="nil"/>
            </w:tcBorders>
            <w:shd w:val="pct35" w:color="auto" w:fill="FFFFFF"/>
          </w:tcPr>
          <w:p w:rsidR="00B43C57" w:rsidRPr="00F5723F" w:rsidRDefault="00B43C57">
            <w:pPr>
              <w:pStyle w:val="Tabelltext"/>
              <w:rPr>
                <w:snapToGrid w:val="0"/>
              </w:rPr>
            </w:pPr>
            <w:r w:rsidRPr="00F5723F">
              <w:rPr>
                <w:snapToGrid w:val="0"/>
              </w:rPr>
              <w:t>59</w:t>
            </w:r>
          </w:p>
        </w:tc>
        <w:tc>
          <w:tcPr>
            <w:tcW w:w="1045" w:type="dxa"/>
            <w:tcBorders>
              <w:top w:val="nil"/>
              <w:bottom w:val="nil"/>
            </w:tcBorders>
          </w:tcPr>
          <w:p w:rsidR="00B43C57" w:rsidRPr="00F5723F" w:rsidRDefault="00B43C57">
            <w:pPr>
              <w:pStyle w:val="Tabelltext"/>
              <w:rPr>
                <w:snapToGrid w:val="0"/>
              </w:rPr>
            </w:pPr>
            <w:r w:rsidRPr="00F5723F">
              <w:rPr>
                <w:snapToGrid w:val="0"/>
              </w:rPr>
              <w:t>FöU</w:t>
            </w:r>
          </w:p>
        </w:tc>
        <w:tc>
          <w:tcPr>
            <w:tcW w:w="1045" w:type="dxa"/>
            <w:tcBorders>
              <w:top w:val="nil"/>
              <w:bottom w:val="nil"/>
            </w:tcBorders>
          </w:tcPr>
          <w:p w:rsidR="00B43C57" w:rsidRPr="00F5723F" w:rsidRDefault="00B43C57">
            <w:pPr>
              <w:pStyle w:val="Tabelltext"/>
              <w:rPr>
                <w:snapToGrid w:val="0"/>
              </w:rPr>
            </w:pPr>
            <w:r w:rsidRPr="00F5723F">
              <w:rPr>
                <w:snapToGrid w:val="0"/>
              </w:rPr>
              <w:t>60</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62</w:t>
            </w:r>
          </w:p>
        </w:tc>
      </w:tr>
      <w:tr w:rsidR="00000000" w:rsidRPr="00F5723F">
        <w:tblPrEx>
          <w:tblCellMar>
            <w:top w:w="0" w:type="dxa"/>
            <w:bottom w:w="0" w:type="dxa"/>
          </w:tblCellMar>
        </w:tblPrEx>
        <w:trPr>
          <w:cantSplit/>
        </w:trPr>
        <w:tc>
          <w:tcPr>
            <w:tcW w:w="1020"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50" w:type="dxa"/>
            <w:tcBorders>
              <w:top w:val="nil"/>
              <w:bottom w:val="nil"/>
            </w:tcBorders>
            <w:shd w:val="pct35" w:color="auto" w:fill="FFFFFF"/>
          </w:tcPr>
          <w:p w:rsidR="00B43C57" w:rsidRPr="00F5723F" w:rsidRDefault="00B43C57">
            <w:pPr>
              <w:pStyle w:val="Tabelltext"/>
              <w:rPr>
                <w:snapToGrid w:val="0"/>
              </w:rPr>
            </w:pPr>
            <w:r w:rsidRPr="00F5723F">
              <w:rPr>
                <w:snapToGrid w:val="0"/>
              </w:rPr>
              <w:t>55</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SfU</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57</w:t>
            </w:r>
          </w:p>
        </w:tc>
        <w:tc>
          <w:tcPr>
            <w:tcW w:w="1045" w:type="dxa"/>
            <w:tcBorders>
              <w:top w:val="nil"/>
            </w:tcBorders>
          </w:tcPr>
          <w:p w:rsidR="00B43C57" w:rsidRPr="00F5723F" w:rsidRDefault="00B43C57">
            <w:pPr>
              <w:pStyle w:val="Tabelltext"/>
              <w:rPr>
                <w:snapToGrid w:val="0"/>
              </w:rPr>
            </w:pPr>
            <w:r w:rsidRPr="00F5723F">
              <w:rPr>
                <w:snapToGrid w:val="0"/>
              </w:rPr>
              <w:t>FöU</w:t>
            </w:r>
          </w:p>
        </w:tc>
        <w:tc>
          <w:tcPr>
            <w:tcW w:w="851" w:type="dxa"/>
            <w:tcBorders>
              <w:top w:val="nil"/>
            </w:tcBorders>
          </w:tcPr>
          <w:p w:rsidR="00B43C57" w:rsidRPr="00F5723F" w:rsidRDefault="00B43C57">
            <w:pPr>
              <w:pStyle w:val="Tabelltext"/>
              <w:rPr>
                <w:snapToGrid w:val="0"/>
              </w:rPr>
            </w:pPr>
            <w:r w:rsidRPr="00F5723F">
              <w:rPr>
                <w:snapToGrid w:val="0"/>
              </w:rPr>
              <w:t>57</w:t>
            </w:r>
          </w:p>
        </w:tc>
      </w:tr>
      <w:tr w:rsidR="00000000" w:rsidRPr="00F5723F">
        <w:tblPrEx>
          <w:tblCellMar>
            <w:top w:w="0" w:type="dxa"/>
            <w:bottom w:w="0" w:type="dxa"/>
          </w:tblCellMar>
        </w:tblPrEx>
        <w:trPr>
          <w:cantSplit/>
        </w:trPr>
        <w:tc>
          <w:tcPr>
            <w:tcW w:w="1020"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950" w:type="dxa"/>
            <w:tcBorders>
              <w:top w:val="nil"/>
              <w:bottom w:val="nil"/>
            </w:tcBorders>
            <w:shd w:val="pct35" w:color="auto" w:fill="FFFFFF"/>
          </w:tcPr>
          <w:p w:rsidR="00B43C57" w:rsidRPr="00F5723F" w:rsidRDefault="00B43C57">
            <w:pPr>
              <w:pStyle w:val="Tabelltext"/>
              <w:rPr>
                <w:snapToGrid w:val="0"/>
              </w:rPr>
            </w:pPr>
            <w:r w:rsidRPr="00F5723F">
              <w:rPr>
                <w:snapToGrid w:val="0"/>
              </w:rPr>
              <w:t>55</w:t>
            </w:r>
          </w:p>
        </w:tc>
        <w:tc>
          <w:tcPr>
            <w:tcW w:w="1045" w:type="dxa"/>
            <w:tcBorders>
              <w:top w:val="nil"/>
              <w:bottom w:val="nil"/>
            </w:tcBorders>
          </w:tcPr>
          <w:p w:rsidR="00B43C57" w:rsidRPr="00F5723F" w:rsidRDefault="00B43C57">
            <w:pPr>
              <w:pStyle w:val="Tabelltext"/>
              <w:rPr>
                <w:snapToGrid w:val="0"/>
              </w:rPr>
            </w:pPr>
            <w:r w:rsidRPr="00F5723F">
              <w:rPr>
                <w:snapToGrid w:val="0"/>
              </w:rPr>
              <w:t>NU</w:t>
            </w:r>
          </w:p>
        </w:tc>
        <w:tc>
          <w:tcPr>
            <w:tcW w:w="1045" w:type="dxa"/>
            <w:tcBorders>
              <w:top w:val="nil"/>
              <w:bottom w:val="nil"/>
            </w:tcBorders>
          </w:tcPr>
          <w:p w:rsidR="00B43C57" w:rsidRPr="00F5723F" w:rsidRDefault="00B43C57">
            <w:pPr>
              <w:pStyle w:val="Tabelltext"/>
              <w:rPr>
                <w:snapToGrid w:val="0"/>
              </w:rPr>
            </w:pPr>
            <w:r w:rsidRPr="00F5723F">
              <w:rPr>
                <w:snapToGrid w:val="0"/>
              </w:rPr>
              <w:t>47</w:t>
            </w:r>
          </w:p>
        </w:tc>
        <w:tc>
          <w:tcPr>
            <w:tcW w:w="1045" w:type="dxa"/>
          </w:tcPr>
          <w:p w:rsidR="00B43C57" w:rsidRPr="00F5723F" w:rsidRDefault="00B43C57">
            <w:pPr>
              <w:pStyle w:val="Tabelltext"/>
              <w:rPr>
                <w:snapToGrid w:val="0"/>
              </w:rPr>
            </w:pPr>
            <w:r w:rsidRPr="00F5723F">
              <w:rPr>
                <w:snapToGrid w:val="0"/>
              </w:rPr>
              <w:t>FiU</w:t>
            </w:r>
          </w:p>
        </w:tc>
        <w:tc>
          <w:tcPr>
            <w:tcW w:w="851" w:type="dxa"/>
          </w:tcPr>
          <w:p w:rsidR="00B43C57" w:rsidRPr="00F5723F" w:rsidRDefault="00B43C57">
            <w:pPr>
              <w:pStyle w:val="Tabelltext"/>
              <w:rPr>
                <w:snapToGrid w:val="0"/>
              </w:rPr>
            </w:pPr>
            <w:r w:rsidRPr="00F5723F">
              <w:rPr>
                <w:snapToGrid w:val="0"/>
              </w:rPr>
              <w:t>50</w:t>
            </w:r>
          </w:p>
        </w:tc>
      </w:tr>
      <w:tr w:rsidR="00000000" w:rsidRPr="00F5723F">
        <w:tblPrEx>
          <w:tblCellMar>
            <w:top w:w="0" w:type="dxa"/>
            <w:bottom w:w="0" w:type="dxa"/>
          </w:tblCellMar>
        </w:tblPrEx>
        <w:trPr>
          <w:cantSplit/>
        </w:trPr>
        <w:tc>
          <w:tcPr>
            <w:tcW w:w="1020" w:type="dxa"/>
            <w:tcBorders>
              <w:top w:val="nil"/>
            </w:tcBorders>
          </w:tcPr>
          <w:p w:rsidR="00B43C57" w:rsidRPr="00F5723F" w:rsidRDefault="00B43C57">
            <w:pPr>
              <w:pStyle w:val="Tabelltext"/>
              <w:rPr>
                <w:snapToGrid w:val="0"/>
              </w:rPr>
            </w:pPr>
            <w:r w:rsidRPr="00F5723F">
              <w:rPr>
                <w:snapToGrid w:val="0"/>
              </w:rPr>
              <w:t>SoU</w:t>
            </w:r>
          </w:p>
        </w:tc>
        <w:tc>
          <w:tcPr>
            <w:tcW w:w="950" w:type="dxa"/>
            <w:tcBorders>
              <w:top w:val="nil"/>
            </w:tcBorders>
          </w:tcPr>
          <w:p w:rsidR="00B43C57" w:rsidRPr="00F5723F" w:rsidRDefault="00B43C57">
            <w:pPr>
              <w:pStyle w:val="Tabelltext"/>
              <w:rPr>
                <w:snapToGrid w:val="0"/>
              </w:rPr>
            </w:pPr>
            <w:r w:rsidRPr="00F5723F">
              <w:rPr>
                <w:snapToGrid w:val="0"/>
              </w:rPr>
              <w:t>54</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42</w:t>
            </w:r>
          </w:p>
        </w:tc>
        <w:tc>
          <w:tcPr>
            <w:tcW w:w="1045" w:type="dxa"/>
            <w:tcBorders>
              <w:bottom w:val="nil"/>
            </w:tcBorders>
          </w:tcPr>
          <w:p w:rsidR="00B43C57" w:rsidRPr="00F5723F" w:rsidRDefault="00B43C57">
            <w:pPr>
              <w:pStyle w:val="Tabelltext"/>
              <w:rPr>
                <w:snapToGrid w:val="0"/>
              </w:rPr>
            </w:pPr>
            <w:r w:rsidRPr="00F5723F">
              <w:rPr>
                <w:snapToGrid w:val="0"/>
              </w:rPr>
              <w:t>JuU</w:t>
            </w:r>
          </w:p>
        </w:tc>
        <w:tc>
          <w:tcPr>
            <w:tcW w:w="851" w:type="dxa"/>
            <w:tcBorders>
              <w:bottom w:val="nil"/>
            </w:tcBorders>
          </w:tcPr>
          <w:p w:rsidR="00B43C57" w:rsidRPr="00F5723F" w:rsidRDefault="00B43C57">
            <w:pPr>
              <w:pStyle w:val="Tabelltext"/>
              <w:rPr>
                <w:snapToGrid w:val="0"/>
              </w:rPr>
            </w:pPr>
            <w:r w:rsidRPr="00F5723F">
              <w:rPr>
                <w:snapToGrid w:val="0"/>
              </w:rPr>
              <w:t>49</w:t>
            </w:r>
          </w:p>
        </w:tc>
      </w:tr>
      <w:tr w:rsidR="00000000" w:rsidRPr="00F5723F">
        <w:tblPrEx>
          <w:tblCellMar>
            <w:top w:w="0" w:type="dxa"/>
            <w:bottom w:w="0" w:type="dxa"/>
          </w:tblCellMar>
        </w:tblPrEx>
        <w:trPr>
          <w:cantSplit/>
        </w:trPr>
        <w:tc>
          <w:tcPr>
            <w:tcW w:w="1020" w:type="dxa"/>
          </w:tcPr>
          <w:p w:rsidR="00B43C57" w:rsidRPr="00F5723F" w:rsidRDefault="00B43C57">
            <w:pPr>
              <w:pStyle w:val="Tabelltext"/>
              <w:rPr>
                <w:snapToGrid w:val="0"/>
              </w:rPr>
            </w:pPr>
            <w:r w:rsidRPr="00F5723F">
              <w:rPr>
                <w:snapToGrid w:val="0"/>
              </w:rPr>
              <w:t>JuU</w:t>
            </w:r>
          </w:p>
        </w:tc>
        <w:tc>
          <w:tcPr>
            <w:tcW w:w="950" w:type="dxa"/>
          </w:tcPr>
          <w:p w:rsidR="00B43C57" w:rsidRPr="00F5723F" w:rsidRDefault="00B43C57">
            <w:pPr>
              <w:pStyle w:val="Tabelltext"/>
              <w:rPr>
                <w:snapToGrid w:val="0"/>
              </w:rPr>
            </w:pPr>
            <w:r w:rsidRPr="00F5723F">
              <w:rPr>
                <w:snapToGrid w:val="0"/>
              </w:rPr>
              <w:t>51</w:t>
            </w:r>
          </w:p>
        </w:tc>
        <w:tc>
          <w:tcPr>
            <w:tcW w:w="1045" w:type="dxa"/>
            <w:tcBorders>
              <w:top w:val="nil"/>
              <w:bottom w:val="nil"/>
            </w:tcBorders>
          </w:tcPr>
          <w:p w:rsidR="00B43C57" w:rsidRPr="00F5723F" w:rsidRDefault="00B43C57">
            <w:pPr>
              <w:pStyle w:val="Tabelltext"/>
              <w:rPr>
                <w:snapToGrid w:val="0"/>
              </w:rPr>
            </w:pPr>
            <w:r w:rsidRPr="00F5723F">
              <w:rPr>
                <w:snapToGrid w:val="0"/>
              </w:rPr>
              <w:t>FiU</w:t>
            </w:r>
          </w:p>
        </w:tc>
        <w:tc>
          <w:tcPr>
            <w:tcW w:w="1045" w:type="dxa"/>
            <w:tcBorders>
              <w:top w:val="nil"/>
              <w:bottom w:val="nil"/>
            </w:tcBorders>
          </w:tcPr>
          <w:p w:rsidR="00B43C57" w:rsidRPr="00F5723F" w:rsidRDefault="00B43C57">
            <w:pPr>
              <w:pStyle w:val="Tabelltext"/>
              <w:rPr>
                <w:snapToGrid w:val="0"/>
              </w:rPr>
            </w:pPr>
            <w:r w:rsidRPr="00F5723F">
              <w:rPr>
                <w:snapToGrid w:val="0"/>
              </w:rPr>
              <w:t>38</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48</w:t>
            </w:r>
          </w:p>
        </w:tc>
      </w:tr>
      <w:tr w:rsidR="00000000" w:rsidRPr="00F5723F">
        <w:tblPrEx>
          <w:tblCellMar>
            <w:top w:w="0" w:type="dxa"/>
            <w:bottom w:w="0" w:type="dxa"/>
          </w:tblCellMar>
        </w:tblPrEx>
        <w:trPr>
          <w:cantSplit/>
        </w:trPr>
        <w:tc>
          <w:tcPr>
            <w:tcW w:w="1020" w:type="dxa"/>
          </w:tcPr>
          <w:p w:rsidR="00B43C57" w:rsidRPr="00F5723F" w:rsidRDefault="00B43C57">
            <w:pPr>
              <w:pStyle w:val="Tabelltext"/>
              <w:rPr>
                <w:snapToGrid w:val="0"/>
              </w:rPr>
            </w:pPr>
            <w:r w:rsidRPr="00F5723F">
              <w:rPr>
                <w:snapToGrid w:val="0"/>
              </w:rPr>
              <w:t>NU</w:t>
            </w:r>
          </w:p>
        </w:tc>
        <w:tc>
          <w:tcPr>
            <w:tcW w:w="950" w:type="dxa"/>
          </w:tcPr>
          <w:p w:rsidR="00B43C57" w:rsidRPr="00F5723F" w:rsidRDefault="00B43C57">
            <w:pPr>
              <w:pStyle w:val="Tabelltext"/>
              <w:rPr>
                <w:snapToGrid w:val="0"/>
              </w:rPr>
            </w:pPr>
            <w:r w:rsidRPr="00F5723F">
              <w:rPr>
                <w:snapToGrid w:val="0"/>
              </w:rPr>
              <w:t>51</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36</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46</w:t>
            </w:r>
          </w:p>
        </w:tc>
      </w:tr>
      <w:tr w:rsidR="00000000" w:rsidRPr="00F5723F">
        <w:tblPrEx>
          <w:tblCellMar>
            <w:top w:w="0" w:type="dxa"/>
            <w:bottom w:w="0" w:type="dxa"/>
          </w:tblCellMar>
        </w:tblPrEx>
        <w:trPr>
          <w:cantSplit/>
        </w:trPr>
        <w:tc>
          <w:tcPr>
            <w:tcW w:w="1020" w:type="dxa"/>
          </w:tcPr>
          <w:p w:rsidR="00B43C57" w:rsidRPr="00F5723F" w:rsidRDefault="00B43C57">
            <w:pPr>
              <w:pStyle w:val="Tabelltext"/>
              <w:rPr>
                <w:snapToGrid w:val="0"/>
              </w:rPr>
            </w:pPr>
            <w:r w:rsidRPr="00F5723F">
              <w:rPr>
                <w:snapToGrid w:val="0"/>
              </w:rPr>
              <w:t>FöU</w:t>
            </w:r>
          </w:p>
        </w:tc>
        <w:tc>
          <w:tcPr>
            <w:tcW w:w="950" w:type="dxa"/>
          </w:tcPr>
          <w:p w:rsidR="00B43C57" w:rsidRPr="00F5723F" w:rsidRDefault="00B43C57">
            <w:pPr>
              <w:pStyle w:val="Tabelltext"/>
              <w:rPr>
                <w:snapToGrid w:val="0"/>
              </w:rPr>
            </w:pPr>
            <w:r w:rsidRPr="00F5723F">
              <w:rPr>
                <w:snapToGrid w:val="0"/>
              </w:rPr>
              <w:t>47</w:t>
            </w:r>
          </w:p>
        </w:tc>
        <w:tc>
          <w:tcPr>
            <w:tcW w:w="1045" w:type="dxa"/>
            <w:tcBorders>
              <w:top w:val="nil"/>
              <w:bottom w:val="nil"/>
            </w:tcBorders>
          </w:tcPr>
          <w:p w:rsidR="00B43C57" w:rsidRPr="00F5723F" w:rsidRDefault="00B43C57">
            <w:pPr>
              <w:pStyle w:val="Tabelltext"/>
              <w:rPr>
                <w:snapToGrid w:val="0"/>
              </w:rPr>
            </w:pPr>
            <w:r w:rsidRPr="00F5723F">
              <w:rPr>
                <w:snapToGrid w:val="0"/>
              </w:rPr>
              <w:t>SoU</w:t>
            </w:r>
          </w:p>
        </w:tc>
        <w:tc>
          <w:tcPr>
            <w:tcW w:w="1045" w:type="dxa"/>
            <w:tcBorders>
              <w:top w:val="nil"/>
              <w:bottom w:val="nil"/>
            </w:tcBorders>
          </w:tcPr>
          <w:p w:rsidR="00B43C57" w:rsidRPr="00F5723F" w:rsidRDefault="00B43C57">
            <w:pPr>
              <w:pStyle w:val="Tabelltext"/>
              <w:rPr>
                <w:snapToGrid w:val="0"/>
              </w:rPr>
            </w:pPr>
            <w:r w:rsidRPr="00F5723F">
              <w:rPr>
                <w:snapToGrid w:val="0"/>
              </w:rPr>
              <w:t>35</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43</w:t>
            </w:r>
          </w:p>
        </w:tc>
      </w:tr>
      <w:tr w:rsidR="00000000" w:rsidRPr="00F5723F">
        <w:tblPrEx>
          <w:tblCellMar>
            <w:top w:w="0" w:type="dxa"/>
            <w:bottom w:w="0" w:type="dxa"/>
          </w:tblCellMar>
        </w:tblPrEx>
        <w:trPr>
          <w:cantSplit/>
        </w:trPr>
        <w:tc>
          <w:tcPr>
            <w:tcW w:w="1020" w:type="dxa"/>
          </w:tcPr>
          <w:p w:rsidR="00B43C57" w:rsidRPr="00F5723F" w:rsidRDefault="00B43C57">
            <w:pPr>
              <w:pStyle w:val="Tabelltext"/>
              <w:rPr>
                <w:snapToGrid w:val="0"/>
              </w:rPr>
            </w:pPr>
            <w:r w:rsidRPr="00F5723F">
              <w:rPr>
                <w:snapToGrid w:val="0"/>
              </w:rPr>
              <w:t>FiU</w:t>
            </w:r>
          </w:p>
        </w:tc>
        <w:tc>
          <w:tcPr>
            <w:tcW w:w="950" w:type="dxa"/>
          </w:tcPr>
          <w:p w:rsidR="00B43C57" w:rsidRPr="00F5723F" w:rsidRDefault="00B43C57">
            <w:pPr>
              <w:pStyle w:val="Tabelltext"/>
              <w:rPr>
                <w:snapToGrid w:val="0"/>
              </w:rPr>
            </w:pPr>
            <w:r w:rsidRPr="00F5723F">
              <w:rPr>
                <w:snapToGrid w:val="0"/>
              </w:rPr>
              <w:t>46</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34</w:t>
            </w:r>
          </w:p>
        </w:tc>
        <w:tc>
          <w:tcPr>
            <w:tcW w:w="1045" w:type="dxa"/>
            <w:tcBorders>
              <w:top w:val="nil"/>
              <w:bottom w:val="nil"/>
            </w:tcBorders>
          </w:tcPr>
          <w:p w:rsidR="00B43C57" w:rsidRPr="00F5723F" w:rsidRDefault="00B43C57">
            <w:pPr>
              <w:pStyle w:val="Tabelltext"/>
              <w:rPr>
                <w:snapToGrid w:val="0"/>
              </w:rPr>
            </w:pPr>
            <w:r w:rsidRPr="00F5723F">
              <w:rPr>
                <w:snapToGrid w:val="0"/>
              </w:rPr>
              <w:t>NU</w:t>
            </w:r>
          </w:p>
        </w:tc>
        <w:tc>
          <w:tcPr>
            <w:tcW w:w="851" w:type="dxa"/>
            <w:tcBorders>
              <w:top w:val="nil"/>
              <w:bottom w:val="nil"/>
            </w:tcBorders>
          </w:tcPr>
          <w:p w:rsidR="00B43C57" w:rsidRPr="00F5723F" w:rsidRDefault="00B43C57">
            <w:pPr>
              <w:pStyle w:val="Tabelltext"/>
              <w:rPr>
                <w:snapToGrid w:val="0"/>
              </w:rPr>
            </w:pPr>
            <w:r w:rsidRPr="00F5723F">
              <w:rPr>
                <w:snapToGrid w:val="0"/>
              </w:rPr>
              <w:t>40</w:t>
            </w:r>
          </w:p>
        </w:tc>
      </w:tr>
      <w:tr w:rsidR="00000000" w:rsidRPr="00F5723F">
        <w:tblPrEx>
          <w:tblCellMar>
            <w:top w:w="0" w:type="dxa"/>
            <w:bottom w:w="0" w:type="dxa"/>
          </w:tblCellMar>
        </w:tblPrEx>
        <w:trPr>
          <w:cantSplit/>
        </w:trPr>
        <w:tc>
          <w:tcPr>
            <w:tcW w:w="1020" w:type="dxa"/>
            <w:tcBorders>
              <w:bottom w:val="nil"/>
            </w:tcBorders>
          </w:tcPr>
          <w:p w:rsidR="00B43C57" w:rsidRPr="00F5723F" w:rsidRDefault="00B43C57">
            <w:pPr>
              <w:pStyle w:val="Tabelltext"/>
              <w:rPr>
                <w:snapToGrid w:val="0"/>
              </w:rPr>
            </w:pPr>
            <w:r w:rsidRPr="00F5723F">
              <w:rPr>
                <w:snapToGrid w:val="0"/>
              </w:rPr>
              <w:t>LU</w:t>
            </w:r>
          </w:p>
        </w:tc>
        <w:tc>
          <w:tcPr>
            <w:tcW w:w="950" w:type="dxa"/>
            <w:tcBorders>
              <w:bottom w:val="nil"/>
            </w:tcBorders>
          </w:tcPr>
          <w:p w:rsidR="00B43C57" w:rsidRPr="00F5723F" w:rsidRDefault="00B43C57">
            <w:pPr>
              <w:pStyle w:val="Tabelltext"/>
              <w:rPr>
                <w:snapToGrid w:val="0"/>
              </w:rPr>
            </w:pPr>
            <w:r w:rsidRPr="00F5723F">
              <w:rPr>
                <w:snapToGrid w:val="0"/>
              </w:rPr>
              <w:t>46</w:t>
            </w:r>
          </w:p>
        </w:tc>
        <w:tc>
          <w:tcPr>
            <w:tcW w:w="1045" w:type="dxa"/>
            <w:tcBorders>
              <w:top w:val="nil"/>
              <w:bottom w:val="nil"/>
            </w:tcBorders>
          </w:tcPr>
          <w:p w:rsidR="00B43C57" w:rsidRPr="00F5723F" w:rsidRDefault="00B43C57">
            <w:pPr>
              <w:pStyle w:val="Tabelltext"/>
              <w:rPr>
                <w:snapToGrid w:val="0"/>
              </w:rPr>
            </w:pPr>
            <w:r w:rsidRPr="00F5723F">
              <w:rPr>
                <w:snapToGrid w:val="0"/>
              </w:rPr>
              <w:t>JuU</w:t>
            </w:r>
          </w:p>
        </w:tc>
        <w:tc>
          <w:tcPr>
            <w:tcW w:w="1045" w:type="dxa"/>
            <w:tcBorders>
              <w:top w:val="nil"/>
              <w:bottom w:val="nil"/>
            </w:tcBorders>
          </w:tcPr>
          <w:p w:rsidR="00B43C57" w:rsidRPr="00F5723F" w:rsidRDefault="00B43C57">
            <w:pPr>
              <w:pStyle w:val="Tabelltext"/>
              <w:rPr>
                <w:snapToGrid w:val="0"/>
              </w:rPr>
            </w:pPr>
            <w:r w:rsidRPr="00F5723F">
              <w:rPr>
                <w:snapToGrid w:val="0"/>
              </w:rPr>
              <w:t>34</w:t>
            </w:r>
          </w:p>
        </w:tc>
        <w:tc>
          <w:tcPr>
            <w:tcW w:w="1045" w:type="dxa"/>
            <w:tcBorders>
              <w:top w:val="nil"/>
              <w:bottom w:val="nil"/>
            </w:tcBorders>
            <w:shd w:val="pct35" w:color="auto" w:fill="FFFFFF"/>
          </w:tcPr>
          <w:p w:rsidR="00B43C57" w:rsidRPr="00F5723F" w:rsidRDefault="00B43C57">
            <w:pPr>
              <w:pStyle w:val="Tabelltext"/>
              <w:rPr>
                <w:snapToGrid w:val="0"/>
              </w:rPr>
            </w:pPr>
            <w:r w:rsidRPr="00F5723F">
              <w:rPr>
                <w:snapToGrid w:val="0"/>
              </w:rPr>
              <w:t>SfU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39</w:t>
            </w:r>
          </w:p>
        </w:tc>
      </w:tr>
      <w:tr w:rsidR="00000000" w:rsidRPr="00F5723F">
        <w:tblPrEx>
          <w:tblCellMar>
            <w:top w:w="0" w:type="dxa"/>
            <w:bottom w:w="0" w:type="dxa"/>
          </w:tblCellMar>
        </w:tblPrEx>
        <w:trPr>
          <w:cantSplit/>
        </w:trPr>
        <w:tc>
          <w:tcPr>
            <w:tcW w:w="1020"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50" w:type="dxa"/>
            <w:tcBorders>
              <w:top w:val="nil"/>
              <w:bottom w:val="nil"/>
            </w:tcBorders>
            <w:shd w:val="clear" w:color="auto" w:fill="000000"/>
          </w:tcPr>
          <w:p w:rsidR="00B43C57" w:rsidRPr="00F5723F" w:rsidRDefault="00B43C57">
            <w:pPr>
              <w:pStyle w:val="Tabelltext"/>
              <w:rPr>
                <w:snapToGrid w:val="0"/>
              </w:rPr>
            </w:pPr>
            <w:r w:rsidRPr="00F5723F">
              <w:rPr>
                <w:snapToGrid w:val="0"/>
              </w:rPr>
              <w:t>39</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33</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38</w:t>
            </w:r>
          </w:p>
        </w:tc>
      </w:tr>
      <w:tr w:rsidR="00000000" w:rsidRPr="00F5723F">
        <w:tblPrEx>
          <w:tblCellMar>
            <w:top w:w="0" w:type="dxa"/>
            <w:bottom w:w="0" w:type="dxa"/>
          </w:tblCellMar>
        </w:tblPrEx>
        <w:trPr>
          <w:cantSplit/>
        </w:trPr>
        <w:tc>
          <w:tcPr>
            <w:tcW w:w="1020"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950" w:type="dxa"/>
            <w:tcBorders>
              <w:top w:val="nil"/>
              <w:bottom w:val="nil"/>
            </w:tcBorders>
            <w:shd w:val="clear" w:color="auto" w:fill="000000"/>
          </w:tcPr>
          <w:p w:rsidR="00B43C57" w:rsidRPr="00F5723F" w:rsidRDefault="00B43C57">
            <w:pPr>
              <w:pStyle w:val="Tabelltext"/>
              <w:rPr>
                <w:snapToGrid w:val="0"/>
              </w:rPr>
            </w:pPr>
            <w:r w:rsidRPr="00F5723F">
              <w:rPr>
                <w:snapToGrid w:val="0"/>
              </w:rPr>
              <w:t>37</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30</w:t>
            </w:r>
          </w:p>
        </w:tc>
        <w:tc>
          <w:tcPr>
            <w:tcW w:w="1045" w:type="dxa"/>
            <w:tcBorders>
              <w:top w:val="nil"/>
            </w:tcBorders>
          </w:tcPr>
          <w:p w:rsidR="00B43C57" w:rsidRPr="00F5723F" w:rsidRDefault="00B43C57">
            <w:pPr>
              <w:pStyle w:val="Tabelltext"/>
              <w:rPr>
                <w:snapToGrid w:val="0"/>
              </w:rPr>
            </w:pPr>
            <w:r w:rsidRPr="00F5723F">
              <w:rPr>
                <w:snapToGrid w:val="0"/>
              </w:rPr>
              <w:t>LU</w:t>
            </w:r>
          </w:p>
        </w:tc>
        <w:tc>
          <w:tcPr>
            <w:tcW w:w="851" w:type="dxa"/>
            <w:tcBorders>
              <w:top w:val="nil"/>
            </w:tcBorders>
          </w:tcPr>
          <w:p w:rsidR="00B43C57" w:rsidRPr="00F5723F" w:rsidRDefault="00B43C57">
            <w:pPr>
              <w:pStyle w:val="Tabelltext"/>
              <w:rPr>
                <w:snapToGrid w:val="0"/>
              </w:rPr>
            </w:pPr>
            <w:r w:rsidRPr="00F5723F">
              <w:rPr>
                <w:snapToGrid w:val="0"/>
              </w:rPr>
              <w:t>36</w:t>
            </w:r>
          </w:p>
        </w:tc>
      </w:tr>
      <w:tr w:rsidR="00000000" w:rsidRPr="00F5723F">
        <w:tblPrEx>
          <w:tblCellMar>
            <w:top w:w="0" w:type="dxa"/>
            <w:bottom w:w="0" w:type="dxa"/>
          </w:tblCellMar>
        </w:tblPrEx>
        <w:trPr>
          <w:cantSplit/>
        </w:trPr>
        <w:tc>
          <w:tcPr>
            <w:tcW w:w="1020"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950" w:type="dxa"/>
            <w:tcBorders>
              <w:top w:val="nil"/>
              <w:bottom w:val="nil"/>
            </w:tcBorders>
            <w:shd w:val="clear" w:color="auto" w:fill="000000"/>
          </w:tcPr>
          <w:p w:rsidR="00B43C57" w:rsidRPr="00F5723F" w:rsidRDefault="00B43C57">
            <w:pPr>
              <w:pStyle w:val="Tabelltext"/>
              <w:rPr>
                <w:snapToGrid w:val="0"/>
              </w:rPr>
            </w:pPr>
            <w:r w:rsidRPr="00F5723F">
              <w:rPr>
                <w:snapToGrid w:val="0"/>
              </w:rPr>
              <w:t>33</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29</w:t>
            </w:r>
          </w:p>
        </w:tc>
        <w:tc>
          <w:tcPr>
            <w:tcW w:w="1045" w:type="dxa"/>
            <w:tcBorders>
              <w:bottom w:val="nil"/>
            </w:tcBorders>
          </w:tcPr>
          <w:p w:rsidR="00B43C57" w:rsidRPr="00F5723F" w:rsidRDefault="00B43C57">
            <w:pPr>
              <w:pStyle w:val="Tabelltext"/>
              <w:rPr>
                <w:snapToGrid w:val="0"/>
              </w:rPr>
            </w:pPr>
            <w:r w:rsidRPr="00F5723F">
              <w:rPr>
                <w:snapToGrid w:val="0"/>
              </w:rPr>
              <w:t>SoU</w:t>
            </w:r>
          </w:p>
        </w:tc>
        <w:tc>
          <w:tcPr>
            <w:tcW w:w="851" w:type="dxa"/>
            <w:tcBorders>
              <w:bottom w:val="nil"/>
            </w:tcBorders>
          </w:tcPr>
          <w:p w:rsidR="00B43C57" w:rsidRPr="00F5723F" w:rsidRDefault="00B43C57">
            <w:pPr>
              <w:pStyle w:val="Tabelltext"/>
              <w:rPr>
                <w:snapToGrid w:val="0"/>
              </w:rPr>
            </w:pPr>
            <w:r w:rsidRPr="00F5723F">
              <w:rPr>
                <w:snapToGrid w:val="0"/>
              </w:rPr>
              <w:t>33</w:t>
            </w:r>
          </w:p>
        </w:tc>
      </w:tr>
      <w:tr w:rsidR="00000000" w:rsidRPr="00F5723F">
        <w:tblPrEx>
          <w:tblCellMar>
            <w:top w:w="0" w:type="dxa"/>
            <w:bottom w:w="0" w:type="dxa"/>
          </w:tblCellMar>
        </w:tblPrEx>
        <w:trPr>
          <w:cantSplit/>
        </w:trPr>
        <w:tc>
          <w:tcPr>
            <w:tcW w:w="1020" w:type="dxa"/>
            <w:tcBorders>
              <w:top w:val="nil"/>
              <w:bottom w:val="nil"/>
            </w:tcBorders>
            <w:shd w:val="clear" w:color="auto" w:fill="000000"/>
          </w:tcPr>
          <w:p w:rsidR="00B43C57" w:rsidRPr="00F5723F" w:rsidRDefault="00B43C57">
            <w:pPr>
              <w:pStyle w:val="Tabelltext"/>
              <w:rPr>
                <w:snapToGrid w:val="0"/>
              </w:rPr>
            </w:pPr>
            <w:r w:rsidRPr="00F5723F">
              <w:rPr>
                <w:snapToGrid w:val="0"/>
              </w:rPr>
              <w:t>SkU</w:t>
            </w:r>
          </w:p>
        </w:tc>
        <w:tc>
          <w:tcPr>
            <w:tcW w:w="950" w:type="dxa"/>
            <w:tcBorders>
              <w:top w:val="nil"/>
              <w:bottom w:val="nil"/>
            </w:tcBorders>
            <w:shd w:val="clear" w:color="auto" w:fill="000000"/>
          </w:tcPr>
          <w:p w:rsidR="00B43C57" w:rsidRPr="00F5723F" w:rsidRDefault="00B43C57">
            <w:pPr>
              <w:pStyle w:val="Tabelltext"/>
              <w:rPr>
                <w:snapToGrid w:val="0"/>
              </w:rPr>
            </w:pPr>
            <w:r w:rsidRPr="00F5723F">
              <w:rPr>
                <w:snapToGrid w:val="0"/>
              </w:rPr>
              <w:t>24</w:t>
            </w:r>
          </w:p>
        </w:tc>
        <w:tc>
          <w:tcPr>
            <w:tcW w:w="1045" w:type="dxa"/>
            <w:tcBorders>
              <w:top w:val="nil"/>
              <w:bottom w:val="nil"/>
            </w:tcBorders>
          </w:tcPr>
          <w:p w:rsidR="00B43C57" w:rsidRPr="00F5723F" w:rsidRDefault="00B43C57">
            <w:pPr>
              <w:pStyle w:val="Tabelltext"/>
              <w:rPr>
                <w:snapToGrid w:val="0"/>
              </w:rPr>
            </w:pPr>
            <w:r w:rsidRPr="00F5723F">
              <w:rPr>
                <w:snapToGrid w:val="0"/>
              </w:rPr>
              <w:t>LU</w:t>
            </w:r>
          </w:p>
        </w:tc>
        <w:tc>
          <w:tcPr>
            <w:tcW w:w="1045" w:type="dxa"/>
            <w:tcBorders>
              <w:top w:val="nil"/>
              <w:bottom w:val="nil"/>
            </w:tcBorders>
          </w:tcPr>
          <w:p w:rsidR="00B43C57" w:rsidRPr="00F5723F" w:rsidRDefault="00B43C57">
            <w:pPr>
              <w:pStyle w:val="Tabelltext"/>
              <w:rPr>
                <w:snapToGrid w:val="0"/>
              </w:rPr>
            </w:pPr>
            <w:r w:rsidRPr="00F5723F">
              <w:rPr>
                <w:snapToGrid w:val="0"/>
              </w:rPr>
              <w:t>25</w:t>
            </w:r>
          </w:p>
        </w:tc>
        <w:tc>
          <w:tcPr>
            <w:tcW w:w="1045" w:type="dxa"/>
            <w:tcBorders>
              <w:top w:val="nil"/>
              <w:bottom w:val="nil"/>
            </w:tcBorders>
            <w:shd w:val="clear" w:color="auto" w:fill="000000"/>
          </w:tcPr>
          <w:p w:rsidR="00B43C57" w:rsidRPr="00F5723F" w:rsidRDefault="00B43C57">
            <w:pPr>
              <w:pStyle w:val="Tabelltext"/>
              <w:rPr>
                <w:snapToGrid w:val="0"/>
              </w:rPr>
            </w:pPr>
            <w:r w:rsidRPr="00F5723F">
              <w:rPr>
                <w:snapToGrid w:val="0"/>
              </w:rPr>
              <w:t>SkU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32</w:t>
            </w:r>
          </w:p>
        </w:tc>
      </w:tr>
      <w:tr w:rsidR="00000000" w:rsidRPr="00F5723F">
        <w:tblPrEx>
          <w:tblCellMar>
            <w:top w:w="0" w:type="dxa"/>
            <w:bottom w:w="0" w:type="dxa"/>
          </w:tblCellMar>
        </w:tblPrEx>
        <w:trPr>
          <w:cantSplit/>
        </w:trPr>
        <w:tc>
          <w:tcPr>
            <w:tcW w:w="1020"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BoU</w:t>
            </w:r>
          </w:p>
        </w:tc>
        <w:tc>
          <w:tcPr>
            <w:tcW w:w="950"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16</w:t>
            </w:r>
          </w:p>
        </w:tc>
        <w:tc>
          <w:tcPr>
            <w:tcW w:w="1045"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SkU</w:t>
            </w:r>
          </w:p>
        </w:tc>
        <w:tc>
          <w:tcPr>
            <w:tcW w:w="1045"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21</w:t>
            </w:r>
          </w:p>
        </w:tc>
        <w:tc>
          <w:tcPr>
            <w:tcW w:w="1045" w:type="dxa"/>
            <w:tcBorders>
              <w:top w:val="nil"/>
              <w:bottom w:val="single" w:sz="4" w:space="0" w:color="auto"/>
            </w:tcBorders>
            <w:shd w:val="pct35" w:color="auto" w:fill="FFFFFF"/>
          </w:tcPr>
          <w:p w:rsidR="00B43C57" w:rsidRPr="00F5723F" w:rsidRDefault="00B43C57">
            <w:pPr>
              <w:pStyle w:val="Tabelltext"/>
              <w:rPr>
                <w:snapToGrid w:val="0"/>
              </w:rPr>
            </w:pPr>
            <w:r w:rsidRPr="00F5723F">
              <w:rPr>
                <w:snapToGrid w:val="0"/>
              </w:rPr>
              <w:t>TU</w:t>
            </w:r>
          </w:p>
        </w:tc>
        <w:tc>
          <w:tcPr>
            <w:tcW w:w="851" w:type="dxa"/>
            <w:tcBorders>
              <w:top w:val="nil"/>
              <w:bottom w:val="single" w:sz="4" w:space="0" w:color="auto"/>
            </w:tcBorders>
            <w:shd w:val="pct35" w:color="auto" w:fill="FFFFFF"/>
          </w:tcPr>
          <w:p w:rsidR="00B43C57" w:rsidRPr="00F5723F" w:rsidRDefault="00B43C57">
            <w:pPr>
              <w:pStyle w:val="Tabelltext"/>
              <w:rPr>
                <w:snapToGrid w:val="0"/>
              </w:rPr>
            </w:pPr>
            <w:r w:rsidRPr="00F5723F">
              <w:rPr>
                <w:snapToGrid w:val="0"/>
              </w:rPr>
              <w:t>27</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p>
    <w:p w:rsidR="00B43C57" w:rsidRPr="00F5723F" w:rsidRDefault="00B43C57"/>
    <w:p w:rsidR="00B43C57" w:rsidRPr="00F5723F" w:rsidRDefault="00B43C57">
      <w:r w:rsidRPr="00F5723F">
        <w:t>I konstitutionsutskottets sammanträdestid ingår tid för ärenden som avser utskottets granskning av regeringen. Detta utgör en stor del av utskottets arbete, och under innevarande valperiod har runt 40 procent av sammantr</w:t>
      </w:r>
      <w:r w:rsidRPr="00F5723F">
        <w:t>ä</w:t>
      </w:r>
      <w:r w:rsidRPr="00F5723F">
        <w:t>dest</w:t>
      </w:r>
      <w:r w:rsidRPr="00F5723F">
        <w:t>i</w:t>
      </w:r>
      <w:r w:rsidRPr="00F5723F">
        <w:t>den ägnats åt granskningsärenden. Vad gäller utrikesutskottet kan, av skäl som framgått ovan, nämnas att sammanträdestiden inkluderar tid för mottagningar av besök med mera Runt 40 procent av utrikesutskottets sa</w:t>
      </w:r>
      <w:r w:rsidRPr="00F5723F">
        <w:t>m</w:t>
      </w:r>
      <w:r w:rsidRPr="00F5723F">
        <w:t>mantr</w:t>
      </w:r>
      <w:r w:rsidRPr="00F5723F">
        <w:t>ä</w:t>
      </w:r>
      <w:r w:rsidRPr="00F5723F">
        <w:t>destid kan hänföras till mottagningar av besök med mera Studeras enbart utrikesutskottets allmänna sammanträden, det vill säga enbart samma</w:t>
      </w:r>
      <w:r w:rsidRPr="00F5723F">
        <w:t>n</w:t>
      </w:r>
      <w:r w:rsidRPr="00F5723F">
        <w:t>träden som inte ägnas åt mottagningar av besök med mera, skulle utrikesu</w:t>
      </w:r>
      <w:r w:rsidRPr="00F5723F">
        <w:t>t</w:t>
      </w:r>
      <w:r w:rsidRPr="00F5723F">
        <w:t>skottets belastning i detta avseende motsvara ca 54 procent av det med stö</w:t>
      </w:r>
      <w:r w:rsidRPr="00F5723F">
        <w:t>rst belastning, vilket är samma som socialutskottets b</w:t>
      </w:r>
      <w:r w:rsidRPr="00F5723F">
        <w:t>e</w:t>
      </w:r>
      <w:r w:rsidRPr="00F5723F">
        <w:t>lastning i tabellen.</w:t>
      </w:r>
    </w:p>
    <w:p w:rsidR="00B43C57" w:rsidRPr="00F5723F" w:rsidRDefault="00B43C57">
      <w:pPr>
        <w:pStyle w:val="Normaltindrag"/>
      </w:pPr>
      <w:r w:rsidRPr="00F5723F">
        <w:t>Minst belastat under innevarande valperiod är bostadsutskottet, vars sa</w:t>
      </w:r>
      <w:r w:rsidRPr="00F5723F">
        <w:t>m</w:t>
      </w:r>
      <w:r w:rsidRPr="00F5723F">
        <w:t>ma</w:t>
      </w:r>
      <w:r w:rsidRPr="00F5723F">
        <w:t>n</w:t>
      </w:r>
      <w:r w:rsidRPr="00F5723F">
        <w:t>trädestid är knappt en sjättedel (16 procent) av sammanträdestiden för det mest belastade utskottet. Andra utskott som har jämförelsevis liten belas</w:t>
      </w:r>
      <w:r w:rsidRPr="00F5723F">
        <w:t>t</w:t>
      </w:r>
      <w:r w:rsidRPr="00F5723F">
        <w:t xml:space="preserve">ning när det gäller sammanträdestid är skatte-, utbildnings-, arbetsmarknads- och kulturutskotten. </w:t>
      </w:r>
    </w:p>
    <w:p w:rsidR="00B43C57" w:rsidRPr="00F5723F" w:rsidRDefault="00B43C57">
      <w:pPr>
        <w:pStyle w:val="Normaltindrag"/>
      </w:pPr>
      <w:r w:rsidRPr="00F5723F">
        <w:t>Tabellen visar även att utskottens belastning delvis har skiftat från valper</w:t>
      </w:r>
      <w:r w:rsidRPr="00F5723F">
        <w:t>i</w:t>
      </w:r>
      <w:r w:rsidRPr="00F5723F">
        <w:t>od till valperiod. Under den senaste tioårsperioden har trafikutskottet i jämf</w:t>
      </w:r>
      <w:r w:rsidRPr="00F5723F">
        <w:t>ö</w:t>
      </w:r>
      <w:r w:rsidRPr="00F5723F">
        <w:t>relse med övriga utskott blivit alltmer belastat när det gäller samman</w:t>
      </w:r>
      <w:r w:rsidRPr="00F5723F">
        <w:softHyphen/>
        <w:t>träden. Detsamma gäller socialförsäkringsutskottet. Kultur-, utbildnings- och arbet</w:t>
      </w:r>
      <w:r w:rsidRPr="00F5723F">
        <w:t>s</w:t>
      </w:r>
      <w:r w:rsidRPr="00F5723F">
        <w:t>marknadsutskotten har å sin sida, jämfört med övriga utskott, fått allt mindre belastning.</w:t>
      </w:r>
    </w:p>
    <w:p w:rsidR="00B43C57" w:rsidRPr="00F5723F" w:rsidRDefault="00B43C57">
      <w:pPr>
        <w:pStyle w:val="Normaltindrag"/>
      </w:pPr>
      <w:r w:rsidRPr="00F5723F">
        <w:t>Trots detta finns ändå en viss permanens när det gäller rangordningen av utskottens sammanträdestid. Konstitutions- och utrikesutskotten är mest b</w:t>
      </w:r>
      <w:r w:rsidRPr="00F5723F">
        <w:t>e</w:t>
      </w:r>
      <w:r w:rsidRPr="00F5723F">
        <w:t>lastade under hela den studerade tioårsperioden. Även miljö- och jordbruksu</w:t>
      </w:r>
      <w:r w:rsidRPr="00F5723F">
        <w:t>t</w:t>
      </w:r>
      <w:r w:rsidRPr="00F5723F">
        <w:t>skottet samt, under de senaste valperioderna, socialförsäkrings</w:t>
      </w:r>
      <w:r w:rsidRPr="00F5723F">
        <w:softHyphen/>
        <w:t>utskottet tillhör dem med en förhållandevis stor belastning. Utskott som under en längre tid har tillhört de minst belastade är bostads- och skatteutskotten samt, under de sena</w:t>
      </w:r>
      <w:r w:rsidRPr="00F5723F">
        <w:t>s</w:t>
      </w:r>
      <w:r w:rsidRPr="00F5723F">
        <w:t>te valperioderna, arbetsmarknads- och utbildnings</w:t>
      </w:r>
      <w:r w:rsidRPr="00F5723F">
        <w:softHyphen/>
        <w:t>utskotten.</w:t>
      </w:r>
    </w:p>
    <w:p w:rsidR="00B43C57" w:rsidRPr="00F5723F" w:rsidRDefault="00B43C57">
      <w:pPr>
        <w:pStyle w:val="R4"/>
      </w:pPr>
      <w:bookmarkStart w:id="102" w:name="_Toc121738929"/>
      <w:r w:rsidRPr="00F5723F">
        <w:t>Propositioner och motioner</w:t>
      </w:r>
      <w:bookmarkEnd w:id="102"/>
    </w:p>
    <w:p w:rsidR="00B43C57" w:rsidRPr="00F5723F" w:rsidRDefault="00B43C57">
      <w:r w:rsidRPr="00F5723F">
        <w:t>Arbetsbelastning med avseende på remitterade propositioner och skrivelser framgår av tabell 9:2. Mest belastat har under innevarande valperiod skatteu</w:t>
      </w:r>
      <w:r w:rsidRPr="00F5723F">
        <w:t>t</w:t>
      </w:r>
      <w:r w:rsidRPr="00F5723F">
        <w:t>skottet varit, därefter justitie- och finansutskotten. Även lag-, utrikes- och socialutskotten har fått förhållandevis många propositioner och skrivelser. Av procenttalen framgår dock att skillnaden mellan dessa tre utskott och det mest belastade utskottet (det vill säga skatteutskottet) är ungefär lika stor som skil</w:t>
      </w:r>
      <w:r w:rsidRPr="00F5723F">
        <w:t>l</w:t>
      </w:r>
      <w:r w:rsidRPr="00F5723F">
        <w:t xml:space="preserve">naden mellan dem och det minst belastade. </w:t>
      </w:r>
    </w:p>
    <w:p w:rsidR="00B43C57" w:rsidRPr="00F5723F" w:rsidRDefault="00B43C57">
      <w:pPr>
        <w:pStyle w:val="Normaltindrag"/>
      </w:pPr>
      <w:r w:rsidRPr="00F5723F">
        <w:t xml:space="preserve">Minst belastade under innevarande valperiod har varit försvars-, kultur- och utbildningsutskotten. Dessa har under innevarande valperiod endast fått </w:t>
      </w:r>
      <w:r w:rsidRPr="00F5723F">
        <w:t>en tiondel så många propositioner som det mest belastade utskottet. Även bostads- och arbetsmarknadsutskotten har haft en förhållandevis liten belas</w:t>
      </w:r>
      <w:r w:rsidRPr="00F5723F">
        <w:t>t</w:t>
      </w:r>
      <w:r w:rsidRPr="00F5723F">
        <w:t>ning i detta avseende.</w:t>
      </w:r>
    </w:p>
    <w:p w:rsidR="00B43C57" w:rsidRPr="00F5723F" w:rsidRDefault="00B43C57">
      <w:pPr>
        <w:pStyle w:val="Normaltindrag"/>
      </w:pPr>
      <w:r w:rsidRPr="00F5723F">
        <w:t>Sett över tid är förhållandena slående stabila. De fem utskott som haft minst belastning under innevarande valperiod är samma som varit minst belastade under hela den studerade tioårsperioden, även om den inbördes rangordningen har varierat. På motsvarande sätt är de utskott som haft mest belastning under innevarande valperiod i stort set</w:t>
      </w:r>
      <w:r w:rsidRPr="00F5723F">
        <w:t>t också de som varit mest belastade under hela tioårsperioden. Av dessa har skatteutskottet och, under de s</w:t>
      </w:r>
      <w:r w:rsidRPr="00F5723F">
        <w:t>e</w:t>
      </w:r>
      <w:r w:rsidRPr="00F5723F">
        <w:t>naste valperioderna, justitieutskottet varit de allra mest belastade.</w:t>
      </w:r>
    </w:p>
    <w:p w:rsidR="00B43C57" w:rsidRPr="00F5723F" w:rsidRDefault="00B43C57">
      <w:pPr>
        <w:pStyle w:val="Tabellrubrik"/>
      </w:pPr>
      <w:r w:rsidRPr="00F5723F">
        <w:br w:type="page"/>
        <w:t>Tabell 9:2 Propositioner och skrive</w:t>
      </w:r>
      <w:r w:rsidRPr="00F5723F">
        <w:t>l</w:t>
      </w:r>
      <w:r w:rsidRPr="00F5723F">
        <w:t>ser (rangordning, Procent)</w:t>
      </w:r>
    </w:p>
    <w:tbl>
      <w:tblPr>
        <w:tblW w:w="602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992"/>
        <w:gridCol w:w="1134"/>
        <w:gridCol w:w="851"/>
      </w:tblGrid>
      <w:tr w:rsidR="00000000" w:rsidRPr="00F5723F">
        <w:tblPrEx>
          <w:tblCellMar>
            <w:top w:w="0" w:type="dxa"/>
            <w:bottom w:w="0" w:type="dxa"/>
          </w:tblCellMar>
        </w:tblPrEx>
        <w:trPr>
          <w:cantSplit/>
        </w:trPr>
        <w:tc>
          <w:tcPr>
            <w:tcW w:w="2055"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984" w:type="dxa"/>
            <w:gridSpan w:val="2"/>
            <w:tcBorders>
              <w:top w:val="single" w:sz="4" w:space="0" w:color="auto"/>
              <w:bottom w:val="nil"/>
            </w:tcBorders>
          </w:tcPr>
          <w:p w:rsidR="00B43C57" w:rsidRPr="00F5723F" w:rsidRDefault="00B43C57">
            <w:pPr>
              <w:pStyle w:val="Tabelltext"/>
              <w:jc w:val="center"/>
            </w:pPr>
            <w:r w:rsidRPr="00F5723F">
              <w:t>1998/99–2001/02</w:t>
            </w:r>
          </w:p>
        </w:tc>
        <w:tc>
          <w:tcPr>
            <w:tcW w:w="1985" w:type="dxa"/>
            <w:gridSpan w:val="2"/>
            <w:tcBorders>
              <w:top w:val="single" w:sz="4" w:space="0" w:color="auto"/>
              <w:bottom w:val="nil"/>
            </w:tcBorders>
          </w:tcPr>
          <w:p w:rsidR="00B43C57" w:rsidRPr="00F5723F" w:rsidRDefault="00B43C57">
            <w:pPr>
              <w:pStyle w:val="Tabelltext"/>
              <w:jc w:val="center"/>
            </w:pPr>
            <w:r w:rsidRPr="00F5723F">
              <w:t>1994/95–1997/98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2"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1134" w:type="dxa"/>
            <w:tcBorders>
              <w:top w:val="nil"/>
              <w:bottom w:val="single" w:sz="4" w:space="0" w:color="auto"/>
            </w:tcBorders>
          </w:tcPr>
          <w:p w:rsidR="00B43C57" w:rsidRPr="00F5723F" w:rsidRDefault="00B43C57">
            <w:pPr>
              <w:pStyle w:val="Tabelltext"/>
            </w:pPr>
            <w:r w:rsidRPr="00F5723F">
              <w:t>Utskott</w:t>
            </w:r>
          </w:p>
        </w:tc>
        <w:tc>
          <w:tcPr>
            <w:tcW w:w="851"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SkU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JuU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134"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SkU</w:t>
            </w:r>
          </w:p>
        </w:tc>
        <w:tc>
          <w:tcPr>
            <w:tcW w:w="851"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83</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SkU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89</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UU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74</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FiU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75</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FiU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68</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LU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72</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54</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KU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63</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64</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54</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57</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FiU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61</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54</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57</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NU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58</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rPr>
                <w:snapToGrid w:val="0"/>
              </w:rPr>
            </w:pPr>
            <w:r w:rsidRPr="00F5723F">
              <w:rPr>
                <w:snapToGrid w:val="0"/>
              </w:rPr>
              <w:t>MJU</w:t>
            </w:r>
          </w:p>
        </w:tc>
        <w:tc>
          <w:tcPr>
            <w:tcW w:w="992" w:type="dxa"/>
            <w:tcBorders>
              <w:top w:val="nil"/>
            </w:tcBorders>
          </w:tcPr>
          <w:p w:rsidR="00B43C57" w:rsidRPr="00F5723F" w:rsidRDefault="00B43C57">
            <w:pPr>
              <w:pStyle w:val="Tabelltext"/>
              <w:rPr>
                <w:snapToGrid w:val="0"/>
              </w:rPr>
            </w:pPr>
            <w:r w:rsidRPr="00F5723F">
              <w:rPr>
                <w:snapToGrid w:val="0"/>
              </w:rPr>
              <w:t>52</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56</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KU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54</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SfU</w:t>
            </w:r>
          </w:p>
        </w:tc>
        <w:tc>
          <w:tcPr>
            <w:tcW w:w="992" w:type="dxa"/>
          </w:tcPr>
          <w:p w:rsidR="00B43C57" w:rsidRPr="00F5723F" w:rsidRDefault="00B43C57">
            <w:pPr>
              <w:pStyle w:val="Tabelltext"/>
              <w:rPr>
                <w:snapToGrid w:val="0"/>
              </w:rPr>
            </w:pPr>
            <w:r w:rsidRPr="00F5723F">
              <w:rPr>
                <w:snapToGrid w:val="0"/>
              </w:rPr>
              <w:t>50</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51</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51</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KU</w:t>
            </w:r>
          </w:p>
        </w:tc>
        <w:tc>
          <w:tcPr>
            <w:tcW w:w="992" w:type="dxa"/>
          </w:tcPr>
          <w:p w:rsidR="00B43C57" w:rsidRPr="00F5723F" w:rsidRDefault="00B43C57">
            <w:pPr>
              <w:pStyle w:val="Tabelltext"/>
              <w:rPr>
                <w:snapToGrid w:val="0"/>
              </w:rPr>
            </w:pPr>
            <w:r w:rsidRPr="00F5723F">
              <w:rPr>
                <w:snapToGrid w:val="0"/>
              </w:rPr>
              <w:t>48</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MJU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51</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MJU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50</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NU</w:t>
            </w:r>
          </w:p>
        </w:tc>
        <w:tc>
          <w:tcPr>
            <w:tcW w:w="992" w:type="dxa"/>
          </w:tcPr>
          <w:p w:rsidR="00B43C57" w:rsidRPr="00F5723F" w:rsidRDefault="00B43C57">
            <w:pPr>
              <w:pStyle w:val="Tabelltext"/>
              <w:rPr>
                <w:snapToGrid w:val="0"/>
              </w:rPr>
            </w:pPr>
            <w:r w:rsidRPr="00F5723F">
              <w:rPr>
                <w:snapToGrid w:val="0"/>
              </w:rPr>
              <w:t>44</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45</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TU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47</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rPr>
                <w:snapToGrid w:val="0"/>
              </w:rPr>
            </w:pPr>
            <w:r w:rsidRPr="00F5723F">
              <w:rPr>
                <w:snapToGrid w:val="0"/>
              </w:rPr>
              <w:t>TU</w:t>
            </w:r>
          </w:p>
        </w:tc>
        <w:tc>
          <w:tcPr>
            <w:tcW w:w="992" w:type="dxa"/>
            <w:tcBorders>
              <w:bottom w:val="nil"/>
            </w:tcBorders>
          </w:tcPr>
          <w:p w:rsidR="00B43C57" w:rsidRPr="00F5723F" w:rsidRDefault="00B43C57">
            <w:pPr>
              <w:pStyle w:val="Tabelltext"/>
              <w:rPr>
                <w:snapToGrid w:val="0"/>
              </w:rPr>
            </w:pPr>
            <w:r w:rsidRPr="00F5723F">
              <w:rPr>
                <w:snapToGrid w:val="0"/>
              </w:rPr>
              <w:t>35</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NU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42</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42</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25</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38</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35</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21</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33</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30</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FöU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10</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FöU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26</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26</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10</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21</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21</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UbU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10</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KrU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20</w:t>
            </w:r>
          </w:p>
        </w:tc>
        <w:tc>
          <w:tcPr>
            <w:tcW w:w="1134"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851"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20</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p>
    <w:p w:rsidR="00B43C57" w:rsidRPr="00F5723F" w:rsidRDefault="00B43C57"/>
    <w:p w:rsidR="00B43C57" w:rsidRPr="00F5723F" w:rsidRDefault="00B43C57">
      <w:r w:rsidRPr="00F5723F">
        <w:t>När det gäller remitterade motioner (eller delar därav) framgår av tabell 9:3 att social-, utbildnings-, trafik-, skatte- samt miljö- och jordbruksutskotten har varit de mest belastade utskotten under innevarande valperiod.</w:t>
      </w:r>
    </w:p>
    <w:p w:rsidR="00B43C57" w:rsidRPr="00F5723F" w:rsidRDefault="00B43C57">
      <w:pPr>
        <w:pStyle w:val="Normaltindrag"/>
      </w:pPr>
      <w:r w:rsidRPr="00F5723F">
        <w:t>Minst belastade har varit lag-, finans-, utrikes-, bostads- och försvarsu</w:t>
      </w:r>
      <w:r w:rsidRPr="00F5723F">
        <w:t>t</w:t>
      </w:r>
      <w:r w:rsidRPr="00F5723F">
        <w:t>skotten. Det sistnämnda utskottet har under innevarande valperiod fått min</w:t>
      </w:r>
      <w:r w:rsidRPr="00F5723F">
        <w:t>d</w:t>
      </w:r>
      <w:r w:rsidRPr="00F5723F">
        <w:t>re än en femtedel (18 procent) så många motioner som det mest belastade.</w:t>
      </w:r>
    </w:p>
    <w:p w:rsidR="00B43C57" w:rsidRPr="00F5723F" w:rsidRDefault="00B43C57">
      <w:pPr>
        <w:pStyle w:val="Normaltindrag"/>
      </w:pPr>
      <w:r w:rsidRPr="00F5723F">
        <w:t>I likhet med remitterade propositioner och skrivelser ovan framgår av t</w:t>
      </w:r>
      <w:r w:rsidRPr="00F5723F">
        <w:t>a</w:t>
      </w:r>
      <w:r w:rsidRPr="00F5723F">
        <w:t>bellen att rangordningen är förhållandevis stabil över tid. De fem utskott som haft störst belastning under innevarande valperiod har tillhört de mest bela</w:t>
      </w:r>
      <w:r w:rsidRPr="00F5723F">
        <w:t>s</w:t>
      </w:r>
      <w:r w:rsidRPr="00F5723F">
        <w:t>tade under hela den senaste tioårsperioden. Av dessa framstår socialu</w:t>
      </w:r>
      <w:r w:rsidRPr="00F5723F">
        <w:t>t</w:t>
      </w:r>
      <w:r w:rsidRPr="00F5723F">
        <w:t>skottet som det mest belastade. En förändring som ägt rum under den stud</w:t>
      </w:r>
      <w:r w:rsidRPr="00F5723F">
        <w:t>e</w:t>
      </w:r>
      <w:r w:rsidRPr="00F5723F">
        <w:t>rade perioden är att arbetsmarknadsutskottet blivit mindre belastat. Under 1994/95–1997/98 innehade arbetsmarknadsutskottet fjärdeplaceringen utifrån motioner, men därefter har det tillhört den nedre halvan av ta</w:t>
      </w:r>
      <w:r w:rsidRPr="00F5723F">
        <w:t>bellen. En a</w:t>
      </w:r>
      <w:r w:rsidRPr="00F5723F">
        <w:t>n</w:t>
      </w:r>
      <w:r w:rsidRPr="00F5723F">
        <w:t>nan förändring är att också miljö- och jordbruksutskottet blivit mindre b</w:t>
      </w:r>
      <w:r w:rsidRPr="00F5723F">
        <w:t>e</w:t>
      </w:r>
      <w:r w:rsidRPr="00F5723F">
        <w:t>lastat relativt övriga utskott. Alltjämt tillhör det dock ett av de mest belastade u</w:t>
      </w:r>
      <w:r w:rsidRPr="00F5723F">
        <w:t>t</w:t>
      </w:r>
      <w:r w:rsidRPr="00F5723F">
        <w:t>skotten. Värt att notera är även att vissa utskott successivt får alltfler moti</w:t>
      </w:r>
      <w:r w:rsidRPr="00F5723F">
        <w:t>o</w:t>
      </w:r>
      <w:r w:rsidRPr="00F5723F">
        <w:t>ner relativt övriga utskott, även om de ännu inte i detta avseende tillhör de som är mest belastade. Framför allt kan här nämnas justitie- och socialförsäkringsu</w:t>
      </w:r>
      <w:r w:rsidRPr="00F5723F">
        <w:t>t</w:t>
      </w:r>
      <w:r w:rsidRPr="00F5723F">
        <w:t>skotten.</w:t>
      </w:r>
    </w:p>
    <w:p w:rsidR="00B43C57" w:rsidRPr="00F5723F" w:rsidRDefault="00B43C57"/>
    <w:p w:rsidR="00B43C57" w:rsidRPr="00F5723F" w:rsidRDefault="00B43C57">
      <w:pPr>
        <w:pStyle w:val="Tabellrubrik"/>
        <w:spacing w:before="0"/>
      </w:pPr>
      <w:r w:rsidRPr="00F5723F">
        <w:br w:type="page"/>
        <w:t>Tabell 9:3 Motioner (rangordning, Procent)</w:t>
      </w:r>
    </w:p>
    <w:tbl>
      <w:tblPr>
        <w:tblW w:w="602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992"/>
        <w:gridCol w:w="993"/>
        <w:gridCol w:w="992"/>
      </w:tblGrid>
      <w:tr w:rsidR="00000000" w:rsidRPr="00F5723F">
        <w:tblPrEx>
          <w:tblCellMar>
            <w:top w:w="0" w:type="dxa"/>
            <w:bottom w:w="0" w:type="dxa"/>
          </w:tblCellMar>
        </w:tblPrEx>
        <w:trPr>
          <w:cantSplit/>
        </w:trPr>
        <w:tc>
          <w:tcPr>
            <w:tcW w:w="2055"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984" w:type="dxa"/>
            <w:gridSpan w:val="2"/>
            <w:tcBorders>
              <w:top w:val="single" w:sz="4" w:space="0" w:color="auto"/>
              <w:bottom w:val="nil"/>
            </w:tcBorders>
          </w:tcPr>
          <w:p w:rsidR="00B43C57" w:rsidRPr="00F5723F" w:rsidRDefault="00B43C57">
            <w:pPr>
              <w:pStyle w:val="Tabelltext"/>
              <w:jc w:val="center"/>
            </w:pPr>
            <w:r w:rsidRPr="00F5723F">
              <w:t>1998/99–2001/02</w:t>
            </w:r>
          </w:p>
        </w:tc>
        <w:tc>
          <w:tcPr>
            <w:tcW w:w="1985" w:type="dxa"/>
            <w:gridSpan w:val="2"/>
            <w:tcBorders>
              <w:top w:val="single" w:sz="4" w:space="0" w:color="auto"/>
              <w:bottom w:val="nil"/>
            </w:tcBorders>
          </w:tcPr>
          <w:p w:rsidR="00B43C57" w:rsidRPr="00F5723F" w:rsidRDefault="00B43C57">
            <w:pPr>
              <w:pStyle w:val="Tabelltext"/>
              <w:jc w:val="center"/>
            </w:pPr>
            <w:r w:rsidRPr="00F5723F">
              <w:t>1994/95–1997/98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2"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3"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MJU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UbU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87</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86</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96</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80</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84</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87</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SkU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76</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UbU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81</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AU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85</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74</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SkU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73</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UbU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83</w:t>
            </w:r>
          </w:p>
        </w:tc>
      </w:tr>
      <w:tr w:rsidR="00000000" w:rsidRPr="00F5723F">
        <w:tblPrEx>
          <w:tblCellMar>
            <w:top w:w="0" w:type="dxa"/>
            <w:bottom w:w="0" w:type="dxa"/>
          </w:tblCellMar>
        </w:tblPrEx>
        <w:trPr>
          <w:cantSplit/>
        </w:trPr>
        <w:tc>
          <w:tcPr>
            <w:tcW w:w="1063"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62</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KU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60</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SkU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71</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rPr>
                <w:snapToGrid w:val="0"/>
              </w:rPr>
            </w:pPr>
            <w:r w:rsidRPr="00F5723F">
              <w:rPr>
                <w:snapToGrid w:val="0"/>
              </w:rPr>
              <w:t>KU</w:t>
            </w:r>
          </w:p>
        </w:tc>
        <w:tc>
          <w:tcPr>
            <w:tcW w:w="992" w:type="dxa"/>
            <w:tcBorders>
              <w:top w:val="nil"/>
            </w:tcBorders>
          </w:tcPr>
          <w:p w:rsidR="00B43C57" w:rsidRPr="00F5723F" w:rsidRDefault="00B43C57">
            <w:pPr>
              <w:pStyle w:val="Tabelltext"/>
              <w:rPr>
                <w:snapToGrid w:val="0"/>
              </w:rPr>
            </w:pPr>
            <w:r w:rsidRPr="00F5723F">
              <w:rPr>
                <w:snapToGrid w:val="0"/>
              </w:rPr>
              <w:t>61</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NU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54</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KU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69</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SfU</w:t>
            </w:r>
          </w:p>
        </w:tc>
        <w:tc>
          <w:tcPr>
            <w:tcW w:w="992" w:type="dxa"/>
          </w:tcPr>
          <w:p w:rsidR="00B43C57" w:rsidRPr="00F5723F" w:rsidRDefault="00B43C57">
            <w:pPr>
              <w:pStyle w:val="Tabelltext"/>
              <w:rPr>
                <w:snapToGrid w:val="0"/>
              </w:rPr>
            </w:pPr>
            <w:r w:rsidRPr="00F5723F">
              <w:rPr>
                <w:snapToGrid w:val="0"/>
              </w:rPr>
              <w:t>57</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51</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53</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NU</w:t>
            </w:r>
          </w:p>
        </w:tc>
        <w:tc>
          <w:tcPr>
            <w:tcW w:w="992" w:type="dxa"/>
          </w:tcPr>
          <w:p w:rsidR="00B43C57" w:rsidRPr="00F5723F" w:rsidRDefault="00B43C57">
            <w:pPr>
              <w:pStyle w:val="Tabelltext"/>
              <w:rPr>
                <w:snapToGrid w:val="0"/>
              </w:rPr>
            </w:pPr>
            <w:r w:rsidRPr="00F5723F">
              <w:rPr>
                <w:snapToGrid w:val="0"/>
              </w:rPr>
              <w:t>55</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49</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52</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AU</w:t>
            </w:r>
          </w:p>
        </w:tc>
        <w:tc>
          <w:tcPr>
            <w:tcW w:w="992" w:type="dxa"/>
          </w:tcPr>
          <w:p w:rsidR="00B43C57" w:rsidRPr="00F5723F" w:rsidRDefault="00B43C57">
            <w:pPr>
              <w:pStyle w:val="Tabelltext"/>
              <w:rPr>
                <w:snapToGrid w:val="0"/>
              </w:rPr>
            </w:pPr>
            <w:r w:rsidRPr="00F5723F">
              <w:rPr>
                <w:snapToGrid w:val="0"/>
              </w:rPr>
              <w:t>44</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49</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FiU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51</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rPr>
                <w:snapToGrid w:val="0"/>
              </w:rPr>
            </w:pPr>
            <w:r w:rsidRPr="00F5723F">
              <w:rPr>
                <w:snapToGrid w:val="0"/>
              </w:rPr>
              <w:t>KrU</w:t>
            </w:r>
          </w:p>
        </w:tc>
        <w:tc>
          <w:tcPr>
            <w:tcW w:w="992" w:type="dxa"/>
            <w:tcBorders>
              <w:bottom w:val="nil"/>
            </w:tcBorders>
          </w:tcPr>
          <w:p w:rsidR="00B43C57" w:rsidRPr="00F5723F" w:rsidRDefault="00B43C57">
            <w:pPr>
              <w:pStyle w:val="Tabelltext"/>
              <w:rPr>
                <w:snapToGrid w:val="0"/>
              </w:rPr>
            </w:pPr>
            <w:r w:rsidRPr="00F5723F">
              <w:rPr>
                <w:snapToGrid w:val="0"/>
              </w:rPr>
              <w:t>43</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AU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44</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NU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40</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35</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50</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FiU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36</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34</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47</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36</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FiU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33</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42</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34</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30</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37</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18</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24</w:t>
            </w:r>
          </w:p>
        </w:tc>
        <w:tc>
          <w:tcPr>
            <w:tcW w:w="99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36</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Både motioner från allmän motionstid och övriga moti</w:t>
      </w:r>
      <w:r w:rsidRPr="00F5723F">
        <w:rPr>
          <w:rFonts w:ascii="Arial" w:hAnsi="Arial" w:cs="Arial"/>
          <w:sz w:val="16"/>
          <w:szCs w:val="16"/>
        </w:rPr>
        <w:t>o</w:t>
      </w:r>
      <w:r w:rsidRPr="00F5723F">
        <w:rPr>
          <w:rFonts w:ascii="Arial" w:hAnsi="Arial" w:cs="Arial"/>
          <w:sz w:val="16"/>
          <w:szCs w:val="16"/>
        </w:rPr>
        <w:t>ner ingår. De utskott som under innevarande valperiod har varit mest belastade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markeras med svart ba</w:t>
      </w:r>
      <w:r w:rsidRPr="00F5723F">
        <w:rPr>
          <w:rFonts w:ascii="Arial" w:hAnsi="Arial" w:cs="Arial"/>
          <w:sz w:val="16"/>
          <w:szCs w:val="16"/>
        </w:rPr>
        <w:t>k</w:t>
      </w:r>
      <w:r w:rsidRPr="00F5723F">
        <w:rPr>
          <w:rFonts w:ascii="Arial" w:hAnsi="Arial" w:cs="Arial"/>
          <w:sz w:val="16"/>
          <w:szCs w:val="16"/>
        </w:rPr>
        <w:t>grund. Procenttalen anger belastning relativt det mest bela</w:t>
      </w:r>
      <w:r w:rsidRPr="00F5723F">
        <w:rPr>
          <w:rFonts w:ascii="Arial" w:hAnsi="Arial" w:cs="Arial"/>
          <w:sz w:val="16"/>
          <w:szCs w:val="16"/>
        </w:rPr>
        <w:t>s</w:t>
      </w:r>
      <w:r w:rsidRPr="00F5723F">
        <w:rPr>
          <w:rFonts w:ascii="Arial" w:hAnsi="Arial" w:cs="Arial"/>
          <w:sz w:val="16"/>
          <w:szCs w:val="16"/>
        </w:rPr>
        <w:t>tade utskottet.</w:t>
      </w:r>
    </w:p>
    <w:p w:rsidR="00B43C57" w:rsidRPr="00F5723F" w:rsidRDefault="00B43C57"/>
    <w:p w:rsidR="00B43C57" w:rsidRPr="00F5723F" w:rsidRDefault="00B43C57">
      <w:r w:rsidRPr="00F5723F">
        <w:t>Av tabellen framgår vidare att de utskott som haft minst antal motioner under innevarande valperiod också har varit de minst belastade under hela tioårsp</w:t>
      </w:r>
      <w:r w:rsidRPr="00F5723F">
        <w:t>e</w:t>
      </w:r>
      <w:r w:rsidRPr="00F5723F">
        <w:t>rioden. Minst belastade har genomgående varit försvars- och bostadsutsko</w:t>
      </w:r>
      <w:r w:rsidRPr="00F5723F">
        <w:t>t</w:t>
      </w:r>
      <w:r w:rsidRPr="00F5723F">
        <w:t>ten. Av procenttalen framgår vidare att skillnaden mellan fö</w:t>
      </w:r>
      <w:r w:rsidRPr="00F5723F">
        <w:t>r</w:t>
      </w:r>
      <w:r w:rsidRPr="00F5723F">
        <w:t>svarsutskottet och övriga utskott har ökat för varje valperiod. För lagutskottet finns en lån</w:t>
      </w:r>
      <w:r w:rsidRPr="00F5723F">
        <w:t>g</w:t>
      </w:r>
      <w:r w:rsidRPr="00F5723F">
        <w:t>siktig trend som innebär att utskottet i jämförelse med övriga utskott får all</w:t>
      </w:r>
      <w:r w:rsidRPr="00F5723F">
        <w:t>t</w:t>
      </w:r>
      <w:r w:rsidRPr="00F5723F">
        <w:t>fler motioner, även om det fortfarande tillhör gruppen av utskott som är minst belastade härvidlag.</w:t>
      </w:r>
    </w:p>
    <w:p w:rsidR="00B43C57" w:rsidRPr="00F5723F" w:rsidRDefault="00B43C57">
      <w:pPr>
        <w:pStyle w:val="Normaltindrag"/>
      </w:pPr>
      <w:r w:rsidRPr="00F5723F">
        <w:t>I stället för remitterade motioner (eller delar därav) till respektive utskott studeras i tabell 9:4 rem</w:t>
      </w:r>
      <w:r w:rsidRPr="00F5723F">
        <w:t>itterade motionsyrkanden. Skälet för att även stud</w:t>
      </w:r>
      <w:r w:rsidRPr="00F5723F">
        <w:t>e</w:t>
      </w:r>
      <w:r w:rsidRPr="00F5723F">
        <w:t>ra antal yrkanden är att deras antal varierar stort mellan olika motioner, vilket innebär att den arbetsbelastning som en motion utgör också kan vari</w:t>
      </w:r>
      <w:r w:rsidRPr="00F5723F">
        <w:t>e</w:t>
      </w:r>
      <w:r w:rsidRPr="00F5723F">
        <w:t>ra stort. I tabellen ingår endast motionsyrkanden från allmän motionstid.</w:t>
      </w:r>
    </w:p>
    <w:p w:rsidR="00B43C57" w:rsidRPr="00F5723F" w:rsidRDefault="00B43C57">
      <w:pPr>
        <w:pStyle w:val="Normaltindrag"/>
      </w:pPr>
      <w:r w:rsidRPr="00F5723F">
        <w:t>Som redan konstaterats i avsnittet Produktion ovan blir resultatet ungefär detsamma när endast motionsyrkanden studeras. Av de fem mest belastade utskotten är fyra samma som när endast antal motioner studeras. Motsv</w:t>
      </w:r>
      <w:r w:rsidRPr="00F5723F">
        <w:t>a</w:t>
      </w:r>
      <w:r w:rsidRPr="00F5723F">
        <w:t>rande gäller för de minst belastade utskotten. En skillnad är att skatteutskottet och, till viss del, konstitutionsutskottet framstår som mindre belastade än i tabell 9:3, en annan att utrikesutskottet framstår som mer belastat. Förutom att olika u</w:t>
      </w:r>
      <w:r w:rsidRPr="00F5723F">
        <w:t>t</w:t>
      </w:r>
      <w:r w:rsidRPr="00F5723F">
        <w:t>skotts motioner tenderar att vara olika omfattande med avseende på antal yrkanden kan en del av skillnaden bero på att yrkanden i följdmotioner på propositioner inte ingår i tabell 9:4; ovan visade ju sig framför allt skatte</w:t>
      </w:r>
      <w:r w:rsidRPr="00F5723F">
        <w:softHyphen/>
        <w:t>utskottet erhålla ett stort antal pro</w:t>
      </w:r>
      <w:r w:rsidRPr="00F5723F">
        <w:t>positioner.</w:t>
      </w:r>
    </w:p>
    <w:p w:rsidR="00B43C57" w:rsidRPr="00F5723F" w:rsidRDefault="00B43C57">
      <w:pPr>
        <w:pStyle w:val="Tabellrubrik"/>
      </w:pPr>
    </w:p>
    <w:p w:rsidR="00B43C57" w:rsidRPr="00F5723F" w:rsidRDefault="00B43C57">
      <w:pPr>
        <w:pStyle w:val="Tabellrubrik"/>
      </w:pPr>
      <w:r w:rsidRPr="00F5723F">
        <w:t>Tabell 9:4 Motionsyrkanden (ran</w:t>
      </w:r>
      <w:r w:rsidRPr="00F5723F">
        <w:t>g</w:t>
      </w:r>
      <w:r w:rsidRPr="00F5723F">
        <w:t>ordning, Procent)</w:t>
      </w:r>
    </w:p>
    <w:tbl>
      <w:tblPr>
        <w:tblW w:w="5954"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57"/>
        <w:gridCol w:w="1027"/>
        <w:gridCol w:w="851"/>
        <w:gridCol w:w="1134"/>
        <w:gridCol w:w="922"/>
      </w:tblGrid>
      <w:tr w:rsidR="00000000" w:rsidRPr="00F5723F">
        <w:tblPrEx>
          <w:tblCellMar>
            <w:top w:w="0" w:type="dxa"/>
            <w:bottom w:w="0" w:type="dxa"/>
          </w:tblCellMar>
        </w:tblPrEx>
        <w:trPr>
          <w:cantSplit/>
        </w:trPr>
        <w:tc>
          <w:tcPr>
            <w:tcW w:w="2020" w:type="dxa"/>
            <w:gridSpan w:val="2"/>
            <w:tcBorders>
              <w:top w:val="single" w:sz="4" w:space="0" w:color="auto"/>
              <w:bottom w:val="nil"/>
            </w:tcBorders>
          </w:tcPr>
          <w:p w:rsidR="00B43C57" w:rsidRPr="00F5723F" w:rsidRDefault="00B43C57">
            <w:pPr>
              <w:pStyle w:val="Tabelltextsiffror"/>
              <w:jc w:val="center"/>
            </w:pPr>
            <w:r w:rsidRPr="00F5723F">
              <w:t>2002/03–2003/04</w:t>
            </w:r>
          </w:p>
        </w:tc>
        <w:tc>
          <w:tcPr>
            <w:tcW w:w="1878" w:type="dxa"/>
            <w:gridSpan w:val="2"/>
            <w:tcBorders>
              <w:top w:val="single" w:sz="4" w:space="0" w:color="auto"/>
              <w:bottom w:val="nil"/>
            </w:tcBorders>
          </w:tcPr>
          <w:p w:rsidR="00B43C57" w:rsidRPr="00F5723F" w:rsidRDefault="00B43C57">
            <w:pPr>
              <w:pStyle w:val="Tabelltextsiffror"/>
              <w:jc w:val="center"/>
            </w:pPr>
            <w:r w:rsidRPr="00F5723F">
              <w:t>1998/99–2001/02</w:t>
            </w:r>
          </w:p>
        </w:tc>
        <w:tc>
          <w:tcPr>
            <w:tcW w:w="2056" w:type="dxa"/>
            <w:gridSpan w:val="2"/>
            <w:tcBorders>
              <w:top w:val="single" w:sz="4" w:space="0" w:color="auto"/>
              <w:bottom w:val="nil"/>
            </w:tcBorders>
          </w:tcPr>
          <w:p w:rsidR="00B43C57" w:rsidRPr="00F5723F" w:rsidRDefault="00B43C57">
            <w:pPr>
              <w:pStyle w:val="Tabelltextsiffror"/>
              <w:jc w:val="center"/>
            </w:pPr>
            <w:r w:rsidRPr="00F5723F">
              <w:t>1994/95–1997/98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
            </w:pPr>
            <w:r w:rsidRPr="00F5723F">
              <w:t>Utskott</w:t>
            </w:r>
          </w:p>
        </w:tc>
        <w:tc>
          <w:tcPr>
            <w:tcW w:w="957" w:type="dxa"/>
            <w:tcBorders>
              <w:top w:val="nil"/>
              <w:bottom w:val="single" w:sz="4" w:space="0" w:color="auto"/>
            </w:tcBorders>
          </w:tcPr>
          <w:p w:rsidR="00B43C57" w:rsidRPr="00F5723F" w:rsidRDefault="00B43C57">
            <w:pPr>
              <w:pStyle w:val="Tabelltext"/>
            </w:pPr>
            <w:r w:rsidRPr="00F5723F">
              <w:t>Procent</w:t>
            </w:r>
          </w:p>
        </w:tc>
        <w:tc>
          <w:tcPr>
            <w:tcW w:w="1027" w:type="dxa"/>
            <w:tcBorders>
              <w:top w:val="nil"/>
              <w:bottom w:val="single" w:sz="4" w:space="0" w:color="auto"/>
            </w:tcBorders>
          </w:tcPr>
          <w:p w:rsidR="00B43C57" w:rsidRPr="00F5723F" w:rsidRDefault="00B43C57">
            <w:pPr>
              <w:pStyle w:val="Tabelltext"/>
            </w:pPr>
            <w:r w:rsidRPr="00F5723F">
              <w:t>Utskott</w:t>
            </w:r>
          </w:p>
        </w:tc>
        <w:tc>
          <w:tcPr>
            <w:tcW w:w="851" w:type="dxa"/>
            <w:tcBorders>
              <w:top w:val="nil"/>
              <w:bottom w:val="single" w:sz="4" w:space="0" w:color="auto"/>
            </w:tcBorders>
          </w:tcPr>
          <w:p w:rsidR="00B43C57" w:rsidRPr="00F5723F" w:rsidRDefault="00B43C57">
            <w:pPr>
              <w:pStyle w:val="Tabelltext"/>
            </w:pPr>
            <w:r w:rsidRPr="00F5723F">
              <w:t>Procent</w:t>
            </w:r>
          </w:p>
        </w:tc>
        <w:tc>
          <w:tcPr>
            <w:tcW w:w="1134" w:type="dxa"/>
            <w:tcBorders>
              <w:top w:val="nil"/>
              <w:bottom w:val="single" w:sz="4" w:space="0" w:color="auto"/>
            </w:tcBorders>
          </w:tcPr>
          <w:p w:rsidR="00B43C57" w:rsidRPr="00F5723F" w:rsidRDefault="00B43C57">
            <w:pPr>
              <w:pStyle w:val="Tabelltext"/>
            </w:pPr>
            <w:r w:rsidRPr="00F5723F">
              <w:t>Utskott</w:t>
            </w:r>
          </w:p>
        </w:tc>
        <w:tc>
          <w:tcPr>
            <w:tcW w:w="922"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UbU</w:t>
            </w:r>
          </w:p>
        </w:tc>
        <w:tc>
          <w:tcPr>
            <w:tcW w:w="957"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027"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SoU</w:t>
            </w:r>
          </w:p>
        </w:tc>
        <w:tc>
          <w:tcPr>
            <w:tcW w:w="851"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134"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SoU</w:t>
            </w:r>
          </w:p>
        </w:tc>
        <w:tc>
          <w:tcPr>
            <w:tcW w:w="92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57" w:type="dxa"/>
            <w:tcBorders>
              <w:top w:val="nil"/>
              <w:bottom w:val="nil"/>
            </w:tcBorders>
            <w:shd w:val="pct35" w:color="auto" w:fill="FFFFFF"/>
          </w:tcPr>
          <w:p w:rsidR="00B43C57" w:rsidRPr="00F5723F" w:rsidRDefault="00B43C57">
            <w:pPr>
              <w:pStyle w:val="Tabelltext"/>
              <w:rPr>
                <w:snapToGrid w:val="0"/>
              </w:rPr>
            </w:pPr>
            <w:r w:rsidRPr="00F5723F">
              <w:rPr>
                <w:snapToGrid w:val="0"/>
              </w:rPr>
              <w:t>97</w:t>
            </w:r>
          </w:p>
        </w:tc>
        <w:tc>
          <w:tcPr>
            <w:tcW w:w="1027" w:type="dxa"/>
            <w:tcBorders>
              <w:top w:val="nil"/>
              <w:bottom w:val="nil"/>
            </w:tcBorders>
            <w:shd w:val="pct35" w:color="auto" w:fill="FFFFFF"/>
          </w:tcPr>
          <w:p w:rsidR="00B43C57" w:rsidRPr="00F5723F" w:rsidRDefault="00B43C57">
            <w:pPr>
              <w:pStyle w:val="Tabelltext"/>
              <w:rPr>
                <w:snapToGrid w:val="0"/>
              </w:rPr>
            </w:pPr>
            <w:r w:rsidRPr="00F5723F">
              <w:rPr>
                <w:snapToGrid w:val="0"/>
              </w:rPr>
              <w:t>UbU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98</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922" w:type="dxa"/>
            <w:tcBorders>
              <w:top w:val="nil"/>
              <w:bottom w:val="nil"/>
            </w:tcBorders>
            <w:shd w:val="pct35" w:color="auto" w:fill="FFFFFF"/>
          </w:tcPr>
          <w:p w:rsidR="00B43C57" w:rsidRPr="00F5723F" w:rsidRDefault="00B43C57">
            <w:pPr>
              <w:pStyle w:val="Tabelltext"/>
              <w:rPr>
                <w:snapToGrid w:val="0"/>
              </w:rPr>
            </w:pPr>
            <w:r w:rsidRPr="00F5723F">
              <w:rPr>
                <w:snapToGrid w:val="0"/>
              </w:rPr>
              <w:t>98</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957" w:type="dxa"/>
            <w:tcBorders>
              <w:top w:val="nil"/>
              <w:bottom w:val="nil"/>
            </w:tcBorders>
            <w:shd w:val="pct35" w:color="auto" w:fill="FFFFFF"/>
          </w:tcPr>
          <w:p w:rsidR="00B43C57" w:rsidRPr="00F5723F" w:rsidRDefault="00B43C57">
            <w:pPr>
              <w:pStyle w:val="Tabelltext"/>
              <w:rPr>
                <w:snapToGrid w:val="0"/>
              </w:rPr>
            </w:pPr>
            <w:r w:rsidRPr="00F5723F">
              <w:rPr>
                <w:snapToGrid w:val="0"/>
              </w:rPr>
              <w:t>74</w:t>
            </w:r>
          </w:p>
        </w:tc>
        <w:tc>
          <w:tcPr>
            <w:tcW w:w="1027"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84</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UbU</w:t>
            </w:r>
          </w:p>
        </w:tc>
        <w:tc>
          <w:tcPr>
            <w:tcW w:w="922" w:type="dxa"/>
            <w:tcBorders>
              <w:top w:val="nil"/>
              <w:bottom w:val="nil"/>
            </w:tcBorders>
            <w:shd w:val="pct35" w:color="auto" w:fill="FFFFFF"/>
          </w:tcPr>
          <w:p w:rsidR="00B43C57" w:rsidRPr="00F5723F" w:rsidRDefault="00B43C57">
            <w:pPr>
              <w:pStyle w:val="Tabelltext"/>
              <w:rPr>
                <w:snapToGrid w:val="0"/>
              </w:rPr>
            </w:pPr>
            <w:r w:rsidRPr="00F5723F">
              <w:rPr>
                <w:snapToGrid w:val="0"/>
              </w:rPr>
              <w:t>87</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57" w:type="dxa"/>
            <w:tcBorders>
              <w:top w:val="nil"/>
              <w:bottom w:val="nil"/>
            </w:tcBorders>
            <w:shd w:val="pct35" w:color="auto" w:fill="FFFFFF"/>
          </w:tcPr>
          <w:p w:rsidR="00B43C57" w:rsidRPr="00F5723F" w:rsidRDefault="00B43C57">
            <w:pPr>
              <w:pStyle w:val="Tabelltext"/>
              <w:rPr>
                <w:snapToGrid w:val="0"/>
              </w:rPr>
            </w:pPr>
            <w:r w:rsidRPr="00F5723F">
              <w:rPr>
                <w:snapToGrid w:val="0"/>
              </w:rPr>
              <w:t>64</w:t>
            </w:r>
          </w:p>
        </w:tc>
        <w:tc>
          <w:tcPr>
            <w:tcW w:w="1027"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71</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922" w:type="dxa"/>
            <w:tcBorders>
              <w:top w:val="nil"/>
              <w:bottom w:val="nil"/>
            </w:tcBorders>
            <w:shd w:val="clear" w:color="auto" w:fill="000000"/>
          </w:tcPr>
          <w:p w:rsidR="00B43C57" w:rsidRPr="00F5723F" w:rsidRDefault="00B43C57">
            <w:pPr>
              <w:pStyle w:val="Tabelltext"/>
              <w:rPr>
                <w:snapToGrid w:val="0"/>
              </w:rPr>
            </w:pPr>
            <w:r w:rsidRPr="00F5723F">
              <w:rPr>
                <w:snapToGrid w:val="0"/>
              </w:rPr>
              <w:t>74</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957" w:type="dxa"/>
            <w:tcBorders>
              <w:top w:val="nil"/>
              <w:bottom w:val="nil"/>
            </w:tcBorders>
            <w:shd w:val="pct35" w:color="auto" w:fill="FFFFFF"/>
          </w:tcPr>
          <w:p w:rsidR="00B43C57" w:rsidRPr="00F5723F" w:rsidRDefault="00B43C57">
            <w:pPr>
              <w:pStyle w:val="Tabelltext"/>
              <w:rPr>
                <w:snapToGrid w:val="0"/>
              </w:rPr>
            </w:pPr>
            <w:r w:rsidRPr="00F5723F">
              <w:rPr>
                <w:snapToGrid w:val="0"/>
              </w:rPr>
              <w:t>62</w:t>
            </w:r>
          </w:p>
        </w:tc>
        <w:tc>
          <w:tcPr>
            <w:tcW w:w="1027" w:type="dxa"/>
            <w:tcBorders>
              <w:top w:val="nil"/>
              <w:bottom w:val="nil"/>
            </w:tcBorders>
            <w:shd w:val="clear" w:color="auto" w:fill="FFFFFF"/>
          </w:tcPr>
          <w:p w:rsidR="00B43C57" w:rsidRPr="00F5723F" w:rsidRDefault="00B43C57">
            <w:pPr>
              <w:pStyle w:val="Tabelltext"/>
              <w:rPr>
                <w:snapToGrid w:val="0"/>
              </w:rPr>
            </w:pPr>
            <w:r w:rsidRPr="00F5723F">
              <w:rPr>
                <w:snapToGrid w:val="0"/>
              </w:rPr>
              <w:t>UU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65</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22" w:type="dxa"/>
            <w:tcBorders>
              <w:top w:val="nil"/>
              <w:bottom w:val="nil"/>
            </w:tcBorders>
            <w:shd w:val="pct35" w:color="auto" w:fill="FFFFFF"/>
          </w:tcPr>
          <w:p w:rsidR="00B43C57" w:rsidRPr="00F5723F" w:rsidRDefault="00B43C57">
            <w:pPr>
              <w:pStyle w:val="Tabelltext"/>
              <w:rPr>
                <w:snapToGrid w:val="0"/>
              </w:rPr>
            </w:pPr>
            <w:r w:rsidRPr="00F5723F">
              <w:rPr>
                <w:snapToGrid w:val="0"/>
              </w:rPr>
              <w:t>66</w:t>
            </w:r>
          </w:p>
        </w:tc>
      </w:tr>
      <w:tr w:rsidR="00000000" w:rsidRPr="00F5723F">
        <w:tblPrEx>
          <w:tblCellMar>
            <w:top w:w="0" w:type="dxa"/>
            <w:bottom w:w="0" w:type="dxa"/>
          </w:tblCellMar>
        </w:tblPrEx>
        <w:trPr>
          <w:cantSplit/>
        </w:trPr>
        <w:tc>
          <w:tcPr>
            <w:tcW w:w="1063" w:type="dxa"/>
            <w:tcBorders>
              <w:top w:val="nil"/>
              <w:bottom w:val="nil"/>
            </w:tcBorders>
            <w:shd w:val="clear" w:color="auto" w:fill="FFFFFF"/>
          </w:tcPr>
          <w:p w:rsidR="00B43C57" w:rsidRPr="00F5723F" w:rsidRDefault="00B43C57">
            <w:pPr>
              <w:pStyle w:val="Tabelltext"/>
              <w:rPr>
                <w:snapToGrid w:val="0"/>
              </w:rPr>
            </w:pPr>
            <w:r w:rsidRPr="00F5723F">
              <w:rPr>
                <w:snapToGrid w:val="0"/>
              </w:rPr>
              <w:t>UU</w:t>
            </w:r>
          </w:p>
        </w:tc>
        <w:tc>
          <w:tcPr>
            <w:tcW w:w="957" w:type="dxa"/>
            <w:tcBorders>
              <w:top w:val="nil"/>
              <w:bottom w:val="nil"/>
            </w:tcBorders>
            <w:shd w:val="clear" w:color="auto" w:fill="FFFFFF"/>
          </w:tcPr>
          <w:p w:rsidR="00B43C57" w:rsidRPr="00F5723F" w:rsidRDefault="00B43C57">
            <w:pPr>
              <w:pStyle w:val="Tabelltext"/>
              <w:rPr>
                <w:snapToGrid w:val="0"/>
              </w:rPr>
            </w:pPr>
            <w:r w:rsidRPr="00F5723F">
              <w:rPr>
                <w:snapToGrid w:val="0"/>
              </w:rPr>
              <w:t>60</w:t>
            </w:r>
          </w:p>
        </w:tc>
        <w:tc>
          <w:tcPr>
            <w:tcW w:w="1027"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56</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UU</w:t>
            </w:r>
          </w:p>
        </w:tc>
        <w:tc>
          <w:tcPr>
            <w:tcW w:w="922" w:type="dxa"/>
            <w:tcBorders>
              <w:top w:val="nil"/>
              <w:bottom w:val="nil"/>
            </w:tcBorders>
            <w:shd w:val="clear" w:color="auto" w:fill="FFFFFF"/>
          </w:tcPr>
          <w:p w:rsidR="00B43C57" w:rsidRPr="00F5723F" w:rsidRDefault="00B43C57">
            <w:pPr>
              <w:pStyle w:val="Tabelltext"/>
              <w:rPr>
                <w:snapToGrid w:val="0"/>
              </w:rPr>
            </w:pPr>
            <w:r w:rsidRPr="00F5723F">
              <w:rPr>
                <w:snapToGrid w:val="0"/>
              </w:rPr>
              <w:t>66</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rPr>
                <w:snapToGrid w:val="0"/>
              </w:rPr>
            </w:pPr>
            <w:r w:rsidRPr="00F5723F">
              <w:rPr>
                <w:snapToGrid w:val="0"/>
              </w:rPr>
              <w:t>SfU</w:t>
            </w:r>
          </w:p>
        </w:tc>
        <w:tc>
          <w:tcPr>
            <w:tcW w:w="957" w:type="dxa"/>
            <w:tcBorders>
              <w:top w:val="nil"/>
            </w:tcBorders>
          </w:tcPr>
          <w:p w:rsidR="00B43C57" w:rsidRPr="00F5723F" w:rsidRDefault="00B43C57">
            <w:pPr>
              <w:pStyle w:val="Tabelltext"/>
              <w:rPr>
                <w:snapToGrid w:val="0"/>
              </w:rPr>
            </w:pPr>
            <w:r w:rsidRPr="00F5723F">
              <w:rPr>
                <w:snapToGrid w:val="0"/>
              </w:rPr>
              <w:t>56</w:t>
            </w:r>
          </w:p>
        </w:tc>
        <w:tc>
          <w:tcPr>
            <w:tcW w:w="1027" w:type="dxa"/>
            <w:tcBorders>
              <w:top w:val="nil"/>
              <w:bottom w:val="nil"/>
            </w:tcBorders>
            <w:shd w:val="clear" w:color="auto" w:fill="FFFFFF"/>
          </w:tcPr>
          <w:p w:rsidR="00B43C57" w:rsidRPr="00F5723F" w:rsidRDefault="00B43C57">
            <w:pPr>
              <w:pStyle w:val="Tabelltext"/>
              <w:rPr>
                <w:snapToGrid w:val="0"/>
              </w:rPr>
            </w:pPr>
            <w:r w:rsidRPr="00F5723F">
              <w:rPr>
                <w:snapToGrid w:val="0"/>
              </w:rPr>
              <w:t>NU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55</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922" w:type="dxa"/>
            <w:tcBorders>
              <w:top w:val="nil"/>
              <w:bottom w:val="nil"/>
            </w:tcBorders>
            <w:shd w:val="clear" w:color="auto" w:fill="FFFFFF"/>
          </w:tcPr>
          <w:p w:rsidR="00B43C57" w:rsidRPr="00F5723F" w:rsidRDefault="00B43C57">
            <w:pPr>
              <w:pStyle w:val="Tabelltext"/>
              <w:rPr>
                <w:snapToGrid w:val="0"/>
              </w:rPr>
            </w:pPr>
            <w:r w:rsidRPr="00F5723F">
              <w:rPr>
                <w:snapToGrid w:val="0"/>
              </w:rPr>
              <w:t>51</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NU</w:t>
            </w:r>
          </w:p>
        </w:tc>
        <w:tc>
          <w:tcPr>
            <w:tcW w:w="957" w:type="dxa"/>
          </w:tcPr>
          <w:p w:rsidR="00B43C57" w:rsidRPr="00F5723F" w:rsidRDefault="00B43C57">
            <w:pPr>
              <w:pStyle w:val="Tabelltext"/>
              <w:rPr>
                <w:snapToGrid w:val="0"/>
              </w:rPr>
            </w:pPr>
            <w:r w:rsidRPr="00F5723F">
              <w:rPr>
                <w:snapToGrid w:val="0"/>
              </w:rPr>
              <w:t>48</w:t>
            </w:r>
          </w:p>
        </w:tc>
        <w:tc>
          <w:tcPr>
            <w:tcW w:w="1027" w:type="dxa"/>
            <w:tcBorders>
              <w:top w:val="nil"/>
              <w:bottom w:val="nil"/>
            </w:tcBorders>
            <w:shd w:val="clear" w:color="auto" w:fill="FFFFFF"/>
          </w:tcPr>
          <w:p w:rsidR="00B43C57" w:rsidRPr="00F5723F" w:rsidRDefault="00B43C57">
            <w:pPr>
              <w:pStyle w:val="Tabelltext"/>
              <w:rPr>
                <w:snapToGrid w:val="0"/>
              </w:rPr>
            </w:pPr>
            <w:r w:rsidRPr="00F5723F">
              <w:rPr>
                <w:snapToGrid w:val="0"/>
              </w:rPr>
              <w:t>SkU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54</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NU</w:t>
            </w:r>
          </w:p>
        </w:tc>
        <w:tc>
          <w:tcPr>
            <w:tcW w:w="922" w:type="dxa"/>
            <w:tcBorders>
              <w:top w:val="nil"/>
              <w:bottom w:val="nil"/>
            </w:tcBorders>
            <w:shd w:val="clear" w:color="auto" w:fill="FFFFFF"/>
          </w:tcPr>
          <w:p w:rsidR="00B43C57" w:rsidRPr="00F5723F" w:rsidRDefault="00B43C57">
            <w:pPr>
              <w:pStyle w:val="Tabelltext"/>
              <w:rPr>
                <w:snapToGrid w:val="0"/>
              </w:rPr>
            </w:pPr>
            <w:r w:rsidRPr="00F5723F">
              <w:rPr>
                <w:snapToGrid w:val="0"/>
              </w:rPr>
              <w:t>47</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rPr>
                <w:snapToGrid w:val="0"/>
              </w:rPr>
            </w:pPr>
            <w:r w:rsidRPr="00F5723F">
              <w:rPr>
                <w:snapToGrid w:val="0"/>
              </w:rPr>
              <w:t>SkU</w:t>
            </w:r>
          </w:p>
        </w:tc>
        <w:tc>
          <w:tcPr>
            <w:tcW w:w="957" w:type="dxa"/>
            <w:tcBorders>
              <w:bottom w:val="nil"/>
            </w:tcBorders>
          </w:tcPr>
          <w:p w:rsidR="00B43C57" w:rsidRPr="00F5723F" w:rsidRDefault="00B43C57">
            <w:pPr>
              <w:pStyle w:val="Tabelltext"/>
              <w:rPr>
                <w:snapToGrid w:val="0"/>
              </w:rPr>
            </w:pPr>
            <w:r w:rsidRPr="00F5723F">
              <w:rPr>
                <w:snapToGrid w:val="0"/>
              </w:rPr>
              <w:t>46</w:t>
            </w:r>
          </w:p>
        </w:tc>
        <w:tc>
          <w:tcPr>
            <w:tcW w:w="1027"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53</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SkU</w:t>
            </w:r>
          </w:p>
        </w:tc>
        <w:tc>
          <w:tcPr>
            <w:tcW w:w="922" w:type="dxa"/>
            <w:tcBorders>
              <w:top w:val="nil"/>
              <w:bottom w:val="nil"/>
            </w:tcBorders>
            <w:shd w:val="clear" w:color="auto" w:fill="FFFFFF"/>
          </w:tcPr>
          <w:p w:rsidR="00B43C57" w:rsidRPr="00F5723F" w:rsidRDefault="00B43C57">
            <w:pPr>
              <w:pStyle w:val="Tabelltext"/>
              <w:rPr>
                <w:snapToGrid w:val="0"/>
              </w:rPr>
            </w:pPr>
            <w:r w:rsidRPr="00F5723F">
              <w:rPr>
                <w:snapToGrid w:val="0"/>
              </w:rPr>
              <w:t>46</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KU</w:t>
            </w:r>
          </w:p>
        </w:tc>
        <w:tc>
          <w:tcPr>
            <w:tcW w:w="957" w:type="dxa"/>
            <w:tcBorders>
              <w:top w:val="nil"/>
              <w:bottom w:val="nil"/>
            </w:tcBorders>
            <w:shd w:val="clear" w:color="auto" w:fill="000000"/>
          </w:tcPr>
          <w:p w:rsidR="00B43C57" w:rsidRPr="00F5723F" w:rsidRDefault="00B43C57">
            <w:pPr>
              <w:pStyle w:val="Tabelltext"/>
              <w:rPr>
                <w:snapToGrid w:val="0"/>
              </w:rPr>
            </w:pPr>
            <w:r w:rsidRPr="00F5723F">
              <w:rPr>
                <w:snapToGrid w:val="0"/>
              </w:rPr>
              <w:t>45</w:t>
            </w:r>
          </w:p>
        </w:tc>
        <w:tc>
          <w:tcPr>
            <w:tcW w:w="1027"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51</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FiU</w:t>
            </w:r>
          </w:p>
        </w:tc>
        <w:tc>
          <w:tcPr>
            <w:tcW w:w="922" w:type="dxa"/>
            <w:tcBorders>
              <w:top w:val="nil"/>
              <w:bottom w:val="nil"/>
            </w:tcBorders>
            <w:shd w:val="clear" w:color="auto" w:fill="000000"/>
          </w:tcPr>
          <w:p w:rsidR="00B43C57" w:rsidRPr="00F5723F" w:rsidRDefault="00B43C57">
            <w:pPr>
              <w:pStyle w:val="Tabelltext"/>
              <w:rPr>
                <w:snapToGrid w:val="0"/>
              </w:rPr>
            </w:pPr>
            <w:r w:rsidRPr="00F5723F">
              <w:rPr>
                <w:snapToGrid w:val="0"/>
              </w:rPr>
              <w:t>45</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57" w:type="dxa"/>
            <w:tcBorders>
              <w:top w:val="nil"/>
              <w:bottom w:val="nil"/>
            </w:tcBorders>
            <w:shd w:val="clear" w:color="auto" w:fill="000000"/>
          </w:tcPr>
          <w:p w:rsidR="00B43C57" w:rsidRPr="00F5723F" w:rsidRDefault="00B43C57">
            <w:pPr>
              <w:pStyle w:val="Tabelltext"/>
              <w:rPr>
                <w:snapToGrid w:val="0"/>
              </w:rPr>
            </w:pPr>
            <w:r w:rsidRPr="00F5723F">
              <w:rPr>
                <w:snapToGrid w:val="0"/>
              </w:rPr>
              <w:t>45</w:t>
            </w:r>
          </w:p>
        </w:tc>
        <w:tc>
          <w:tcPr>
            <w:tcW w:w="1027"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50</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922" w:type="dxa"/>
            <w:tcBorders>
              <w:top w:val="nil"/>
              <w:bottom w:val="nil"/>
            </w:tcBorders>
            <w:shd w:val="pct35" w:color="auto" w:fill="FFFFFF"/>
          </w:tcPr>
          <w:p w:rsidR="00B43C57" w:rsidRPr="00F5723F" w:rsidRDefault="00B43C57">
            <w:pPr>
              <w:pStyle w:val="Tabelltext"/>
              <w:rPr>
                <w:snapToGrid w:val="0"/>
              </w:rPr>
            </w:pPr>
            <w:r w:rsidRPr="00F5723F">
              <w:rPr>
                <w:snapToGrid w:val="0"/>
              </w:rPr>
              <w:t>42</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AU</w:t>
            </w:r>
          </w:p>
        </w:tc>
        <w:tc>
          <w:tcPr>
            <w:tcW w:w="957" w:type="dxa"/>
            <w:tcBorders>
              <w:top w:val="nil"/>
              <w:bottom w:val="nil"/>
            </w:tcBorders>
            <w:shd w:val="clear" w:color="auto" w:fill="000000"/>
          </w:tcPr>
          <w:p w:rsidR="00B43C57" w:rsidRPr="00F5723F" w:rsidRDefault="00B43C57">
            <w:pPr>
              <w:pStyle w:val="Tabelltext"/>
              <w:rPr>
                <w:snapToGrid w:val="0"/>
              </w:rPr>
            </w:pPr>
            <w:r w:rsidRPr="00F5723F">
              <w:rPr>
                <w:snapToGrid w:val="0"/>
              </w:rPr>
              <w:t>45</w:t>
            </w:r>
          </w:p>
        </w:tc>
        <w:tc>
          <w:tcPr>
            <w:tcW w:w="1027" w:type="dxa"/>
            <w:tcBorders>
              <w:top w:val="nil"/>
              <w:bottom w:val="nil"/>
            </w:tcBorders>
            <w:shd w:val="clear" w:color="auto" w:fill="000000"/>
          </w:tcPr>
          <w:p w:rsidR="00B43C57" w:rsidRPr="00F5723F" w:rsidRDefault="00B43C57">
            <w:pPr>
              <w:pStyle w:val="Tabelltext"/>
              <w:rPr>
                <w:snapToGrid w:val="0"/>
              </w:rPr>
            </w:pPr>
            <w:r w:rsidRPr="00F5723F">
              <w:rPr>
                <w:snapToGrid w:val="0"/>
              </w:rPr>
              <w:t>FiU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46</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KU</w:t>
            </w:r>
          </w:p>
        </w:tc>
        <w:tc>
          <w:tcPr>
            <w:tcW w:w="922" w:type="dxa"/>
            <w:tcBorders>
              <w:top w:val="nil"/>
              <w:bottom w:val="nil"/>
            </w:tcBorders>
            <w:shd w:val="clear" w:color="auto" w:fill="000000"/>
          </w:tcPr>
          <w:p w:rsidR="00B43C57" w:rsidRPr="00F5723F" w:rsidRDefault="00B43C57">
            <w:pPr>
              <w:pStyle w:val="Tabelltext"/>
              <w:rPr>
                <w:snapToGrid w:val="0"/>
              </w:rPr>
            </w:pPr>
            <w:r w:rsidRPr="00F5723F">
              <w:rPr>
                <w:snapToGrid w:val="0"/>
              </w:rPr>
              <w:t>41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FiU</w:t>
            </w:r>
          </w:p>
        </w:tc>
        <w:tc>
          <w:tcPr>
            <w:tcW w:w="957" w:type="dxa"/>
            <w:tcBorders>
              <w:top w:val="nil"/>
              <w:bottom w:val="nil"/>
            </w:tcBorders>
            <w:shd w:val="clear" w:color="auto" w:fill="000000"/>
          </w:tcPr>
          <w:p w:rsidR="00B43C57" w:rsidRPr="00F5723F" w:rsidRDefault="00B43C57">
            <w:pPr>
              <w:pStyle w:val="Tabelltext"/>
              <w:rPr>
                <w:snapToGrid w:val="0"/>
              </w:rPr>
            </w:pPr>
            <w:r w:rsidRPr="00F5723F">
              <w:rPr>
                <w:snapToGrid w:val="0"/>
              </w:rPr>
              <w:t>44</w:t>
            </w:r>
          </w:p>
        </w:tc>
        <w:tc>
          <w:tcPr>
            <w:tcW w:w="1027" w:type="dxa"/>
            <w:tcBorders>
              <w:top w:val="nil"/>
              <w:bottom w:val="nil"/>
            </w:tcBorders>
            <w:shd w:val="clear" w:color="auto" w:fill="000000"/>
          </w:tcPr>
          <w:p w:rsidR="00B43C57" w:rsidRPr="00F5723F" w:rsidRDefault="00B43C57">
            <w:pPr>
              <w:pStyle w:val="Tabelltext"/>
              <w:rPr>
                <w:snapToGrid w:val="0"/>
              </w:rPr>
            </w:pPr>
            <w:r w:rsidRPr="00F5723F">
              <w:rPr>
                <w:snapToGrid w:val="0"/>
              </w:rPr>
              <w:t>KU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44</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22" w:type="dxa"/>
            <w:tcBorders>
              <w:top w:val="nil"/>
              <w:bottom w:val="nil"/>
            </w:tcBorders>
            <w:shd w:val="clear" w:color="auto" w:fill="000000"/>
          </w:tcPr>
          <w:p w:rsidR="00B43C57" w:rsidRPr="00F5723F" w:rsidRDefault="00B43C57">
            <w:pPr>
              <w:pStyle w:val="Tabelltext"/>
              <w:rPr>
                <w:snapToGrid w:val="0"/>
              </w:rPr>
            </w:pPr>
            <w:r w:rsidRPr="00F5723F">
              <w:rPr>
                <w:snapToGrid w:val="0"/>
              </w:rPr>
              <w:t>40</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957" w:type="dxa"/>
            <w:tcBorders>
              <w:top w:val="nil"/>
              <w:bottom w:val="nil"/>
            </w:tcBorders>
            <w:shd w:val="clear" w:color="auto" w:fill="000000"/>
          </w:tcPr>
          <w:p w:rsidR="00B43C57" w:rsidRPr="00F5723F" w:rsidRDefault="00B43C57">
            <w:pPr>
              <w:pStyle w:val="Tabelltext"/>
              <w:rPr>
                <w:snapToGrid w:val="0"/>
              </w:rPr>
            </w:pPr>
            <w:r w:rsidRPr="00F5723F">
              <w:rPr>
                <w:snapToGrid w:val="0"/>
              </w:rPr>
              <w:t>34</w:t>
            </w:r>
          </w:p>
        </w:tc>
        <w:tc>
          <w:tcPr>
            <w:tcW w:w="1027"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35</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BoU</w:t>
            </w:r>
          </w:p>
        </w:tc>
        <w:tc>
          <w:tcPr>
            <w:tcW w:w="922" w:type="dxa"/>
            <w:tcBorders>
              <w:top w:val="nil"/>
              <w:bottom w:val="nil"/>
            </w:tcBorders>
            <w:shd w:val="clear" w:color="auto" w:fill="000000"/>
          </w:tcPr>
          <w:p w:rsidR="00B43C57" w:rsidRPr="00F5723F" w:rsidRDefault="00B43C57">
            <w:pPr>
              <w:pStyle w:val="Tabelltext"/>
              <w:rPr>
                <w:snapToGrid w:val="0"/>
              </w:rPr>
            </w:pPr>
            <w:r w:rsidRPr="00F5723F">
              <w:rPr>
                <w:snapToGrid w:val="0"/>
              </w:rPr>
              <w:t>35</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57" w:type="dxa"/>
            <w:tcBorders>
              <w:top w:val="nil"/>
              <w:bottom w:val="nil"/>
            </w:tcBorders>
            <w:shd w:val="clear" w:color="auto" w:fill="000000"/>
          </w:tcPr>
          <w:p w:rsidR="00B43C57" w:rsidRPr="00F5723F" w:rsidRDefault="00B43C57">
            <w:pPr>
              <w:pStyle w:val="Tabelltext"/>
              <w:rPr>
                <w:snapToGrid w:val="0"/>
              </w:rPr>
            </w:pPr>
            <w:r w:rsidRPr="00F5723F">
              <w:rPr>
                <w:snapToGrid w:val="0"/>
              </w:rPr>
              <w:t>26</w:t>
            </w:r>
          </w:p>
        </w:tc>
        <w:tc>
          <w:tcPr>
            <w:tcW w:w="1027"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24</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FöU</w:t>
            </w:r>
          </w:p>
        </w:tc>
        <w:tc>
          <w:tcPr>
            <w:tcW w:w="922" w:type="dxa"/>
            <w:tcBorders>
              <w:top w:val="nil"/>
              <w:bottom w:val="nil"/>
            </w:tcBorders>
            <w:shd w:val="clear" w:color="auto" w:fill="000000"/>
          </w:tcPr>
          <w:p w:rsidR="00B43C57" w:rsidRPr="00F5723F" w:rsidRDefault="00B43C57">
            <w:pPr>
              <w:pStyle w:val="Tabelltext"/>
              <w:rPr>
                <w:snapToGrid w:val="0"/>
              </w:rPr>
            </w:pPr>
            <w:r w:rsidRPr="00F5723F">
              <w:rPr>
                <w:snapToGrid w:val="0"/>
              </w:rPr>
              <w:t>23</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957"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15</w:t>
            </w:r>
          </w:p>
        </w:tc>
        <w:tc>
          <w:tcPr>
            <w:tcW w:w="1027"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851"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16</w:t>
            </w:r>
          </w:p>
        </w:tc>
        <w:tc>
          <w:tcPr>
            <w:tcW w:w="1134"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LU</w:t>
            </w:r>
          </w:p>
        </w:tc>
        <w:tc>
          <w:tcPr>
            <w:tcW w:w="92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23</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Endast motionsyrkanden från allmän motionstid ingår. De u</w:t>
      </w:r>
      <w:r w:rsidRPr="00F5723F">
        <w:rPr>
          <w:rFonts w:ascii="Arial" w:hAnsi="Arial" w:cs="Arial"/>
          <w:sz w:val="16"/>
          <w:szCs w:val="16"/>
        </w:rPr>
        <w:t>t</w:t>
      </w:r>
      <w:r w:rsidRPr="00F5723F">
        <w:rPr>
          <w:rFonts w:ascii="Arial" w:hAnsi="Arial" w:cs="Arial"/>
          <w:sz w:val="16"/>
          <w:szCs w:val="16"/>
        </w:rPr>
        <w:t>skott som under innevarande valperiod har varit mest belastade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markeras med svart bakgrund. Procentt</w:t>
      </w:r>
      <w:r w:rsidRPr="00F5723F">
        <w:rPr>
          <w:rFonts w:ascii="Arial" w:hAnsi="Arial" w:cs="Arial"/>
          <w:sz w:val="16"/>
          <w:szCs w:val="16"/>
        </w:rPr>
        <w:t>a</w:t>
      </w:r>
      <w:r w:rsidRPr="00F5723F">
        <w:rPr>
          <w:rFonts w:ascii="Arial" w:hAnsi="Arial" w:cs="Arial"/>
          <w:sz w:val="16"/>
          <w:szCs w:val="16"/>
        </w:rPr>
        <w:t>len anger belastning relativt det mest belastade utskottet.</w:t>
      </w:r>
    </w:p>
    <w:p w:rsidR="00B43C57" w:rsidRPr="00F5723F" w:rsidRDefault="00B43C57"/>
    <w:p w:rsidR="00B43C57" w:rsidRPr="00F5723F" w:rsidRDefault="00B43C57">
      <w:r w:rsidRPr="00F5723F">
        <w:t>Även när det gäller belastningen över tid är bilden i stora drag densamma i tabell 9:4 som i tabell 9:3. Flertalet av de utskott som är mest belastade under innevarande valperiod har varit det under hela den senaste tioårsper</w:t>
      </w:r>
      <w:r w:rsidRPr="00F5723F">
        <w:t>i</w:t>
      </w:r>
      <w:r w:rsidRPr="00F5723F">
        <w:t>oden; utbildnings-, social- samt miljö- och jordbruksutskotten har genomg</w:t>
      </w:r>
      <w:r w:rsidRPr="00F5723F">
        <w:t>å</w:t>
      </w:r>
      <w:r w:rsidRPr="00F5723F">
        <w:t>ende fått flest motionsyrkanden från allmän motionstid. Även flertalet av dem som varit minst belastade under innevarande valperiod har också varit minst bela</w:t>
      </w:r>
      <w:r w:rsidRPr="00F5723F">
        <w:t>s</w:t>
      </w:r>
      <w:r w:rsidRPr="00F5723F">
        <w:t>tade under hela den senaste tioårsperioden; minst antal motion</w:t>
      </w:r>
      <w:r w:rsidRPr="00F5723F">
        <w:t>s</w:t>
      </w:r>
      <w:r w:rsidRPr="00F5723F">
        <w:t>yrkanden från allmän motionstid har genomgående remitterats till försvars-, lag- och b</w:t>
      </w:r>
      <w:r w:rsidRPr="00F5723F">
        <w:t>o</w:t>
      </w:r>
      <w:r w:rsidRPr="00F5723F">
        <w:t>stadsutskotten. Vidare framgår av tabellen tydligt justitieutsko</w:t>
      </w:r>
      <w:r w:rsidRPr="00F5723F">
        <w:t>t</w:t>
      </w:r>
      <w:r w:rsidRPr="00F5723F">
        <w:t>tets allt större belastning relativt övriga utskott, liksom arb</w:t>
      </w:r>
      <w:r w:rsidRPr="00F5723F">
        <w:t>etsmarknadsu</w:t>
      </w:r>
      <w:r w:rsidRPr="00F5723F">
        <w:t>t</w:t>
      </w:r>
      <w:r w:rsidRPr="00F5723F">
        <w:t>skottets allt mindre belastning.</w:t>
      </w:r>
    </w:p>
    <w:p w:rsidR="00B43C57" w:rsidRPr="00F5723F" w:rsidRDefault="00B43C57">
      <w:pPr>
        <w:pStyle w:val="R4"/>
      </w:pPr>
      <w:bookmarkStart w:id="103" w:name="_Toc121738930"/>
      <w:r w:rsidRPr="00F5723F">
        <w:t>Reservationer</w:t>
      </w:r>
      <w:bookmarkEnd w:id="103"/>
    </w:p>
    <w:p w:rsidR="00B43C57" w:rsidRPr="00F5723F" w:rsidRDefault="00B43C57">
      <w:r w:rsidRPr="00F5723F">
        <w:t>I tabell 9:5 redovisas utskottens arbetsbelastning med avseende på antal a</w:t>
      </w:r>
      <w:r w:rsidRPr="00F5723F">
        <w:t>v</w:t>
      </w:r>
      <w:r w:rsidRPr="00F5723F">
        <w:t>givna reservationer. Klart mest belastat under innevarande valperiod har i detta avseende varit utbildningsutskottet, därefter social-, miljö- och jor</w:t>
      </w:r>
      <w:r w:rsidRPr="00F5723F">
        <w:t>d</w:t>
      </w:r>
      <w:r w:rsidRPr="00F5723F">
        <w:t>bruks- och socialförsäkringsutskotten. Skillnaden mellan utbildnings</w:t>
      </w:r>
      <w:r w:rsidRPr="00F5723F">
        <w:softHyphen/>
        <w:t>utskottet och de övriga utskotten är stor; i det näst mest belastade utskottet (socialu</w:t>
      </w:r>
      <w:r w:rsidRPr="00F5723F">
        <w:t>t</w:t>
      </w:r>
      <w:r w:rsidRPr="00F5723F">
        <w:t>skottet) har endast avgetts två tredjedelar (66 procent) så många reserv</w:t>
      </w:r>
      <w:r w:rsidRPr="00F5723F">
        <w:t>a</w:t>
      </w:r>
      <w:r w:rsidRPr="00F5723F">
        <w:t xml:space="preserve">tioner som i utbildningsutskottet. </w:t>
      </w:r>
    </w:p>
    <w:p w:rsidR="00B43C57" w:rsidRPr="00F5723F" w:rsidRDefault="00B43C57">
      <w:pPr>
        <w:pStyle w:val="Normaltindrag"/>
      </w:pPr>
      <w:r w:rsidRPr="00F5723F">
        <w:t>Klart minst belastat är försvarsutskottet. I detta har under första hälften av innevarande val</w:t>
      </w:r>
      <w:r w:rsidRPr="00F5723F">
        <w:t>period endast avgetts en tjugondel (5 procent) så många r</w:t>
      </w:r>
      <w:r w:rsidRPr="00F5723F">
        <w:t>e</w:t>
      </w:r>
      <w:r w:rsidRPr="00F5723F">
        <w:t>servationer som i det mest belastade utskottet. Andra utskott med förhålla</w:t>
      </w:r>
      <w:r w:rsidRPr="00F5723F">
        <w:t>n</w:t>
      </w:r>
      <w:r w:rsidRPr="00F5723F">
        <w:t>devis låg belastning i detta avseende är trafik-, närings-, utrikes-, lag- och kulturutsko</w:t>
      </w:r>
      <w:r w:rsidRPr="00F5723F">
        <w:t>t</w:t>
      </w:r>
      <w:r w:rsidRPr="00F5723F">
        <w:t>ten.</w:t>
      </w:r>
    </w:p>
    <w:p w:rsidR="00B43C57" w:rsidRPr="00F5723F" w:rsidRDefault="00B43C57">
      <w:pPr>
        <w:pStyle w:val="Tabellrubrik"/>
      </w:pPr>
      <w:r w:rsidRPr="00F5723F">
        <w:t>Tabell 9:5 Reservationer (rangor</w:t>
      </w:r>
      <w:r w:rsidRPr="00F5723F">
        <w:t>d</w:t>
      </w:r>
      <w:r w:rsidRPr="00F5723F">
        <w:t>ning, Procent)</w:t>
      </w:r>
    </w:p>
    <w:tbl>
      <w:tblPr>
        <w:tblW w:w="5812" w:type="dxa"/>
        <w:tblInd w:w="127"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992"/>
        <w:gridCol w:w="993"/>
        <w:gridCol w:w="780"/>
      </w:tblGrid>
      <w:tr w:rsidR="00000000" w:rsidRPr="00F5723F">
        <w:tblPrEx>
          <w:tblCellMar>
            <w:top w:w="0" w:type="dxa"/>
            <w:bottom w:w="0" w:type="dxa"/>
          </w:tblCellMar>
        </w:tblPrEx>
        <w:trPr>
          <w:cantSplit/>
        </w:trPr>
        <w:tc>
          <w:tcPr>
            <w:tcW w:w="2055"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984" w:type="dxa"/>
            <w:gridSpan w:val="2"/>
            <w:tcBorders>
              <w:top w:val="single" w:sz="4" w:space="0" w:color="auto"/>
              <w:bottom w:val="nil"/>
            </w:tcBorders>
          </w:tcPr>
          <w:p w:rsidR="00B43C57" w:rsidRPr="00F5723F" w:rsidRDefault="00B43C57">
            <w:pPr>
              <w:pStyle w:val="Tabelltext"/>
              <w:jc w:val="center"/>
            </w:pPr>
            <w:r w:rsidRPr="00F5723F">
              <w:t>1998/99–2001/02</w:t>
            </w:r>
          </w:p>
        </w:tc>
        <w:tc>
          <w:tcPr>
            <w:tcW w:w="1773" w:type="dxa"/>
            <w:gridSpan w:val="2"/>
            <w:tcBorders>
              <w:top w:val="single" w:sz="4" w:space="0" w:color="auto"/>
              <w:bottom w:val="nil"/>
            </w:tcBorders>
          </w:tcPr>
          <w:p w:rsidR="00B43C57" w:rsidRPr="00F5723F" w:rsidRDefault="00B43C57">
            <w:pPr>
              <w:pStyle w:val="Tabelltext"/>
              <w:jc w:val="center"/>
            </w:pPr>
            <w:r w:rsidRPr="00F5723F">
              <w:t>1994/95–1997/98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siffror"/>
              <w:jc w:val="lef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2"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3" w:type="dxa"/>
            <w:tcBorders>
              <w:top w:val="nil"/>
              <w:bottom w:val="single" w:sz="4" w:space="0" w:color="auto"/>
            </w:tcBorders>
          </w:tcPr>
          <w:p w:rsidR="00B43C57" w:rsidRPr="00F5723F" w:rsidRDefault="00B43C57">
            <w:pPr>
              <w:pStyle w:val="Tabelltext"/>
            </w:pPr>
            <w:r w:rsidRPr="00F5723F">
              <w:t>Utskott</w:t>
            </w:r>
          </w:p>
        </w:tc>
        <w:tc>
          <w:tcPr>
            <w:tcW w:w="780"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UbU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UbU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3" w:type="dxa"/>
            <w:tcBorders>
              <w:top w:val="single" w:sz="4" w:space="0" w:color="auto"/>
              <w:bottom w:val="nil"/>
            </w:tcBorders>
          </w:tcPr>
          <w:p w:rsidR="00B43C57" w:rsidRPr="00F5723F" w:rsidRDefault="00B43C57">
            <w:pPr>
              <w:pStyle w:val="Tabelltext"/>
              <w:rPr>
                <w:snapToGrid w:val="0"/>
              </w:rPr>
            </w:pPr>
            <w:r w:rsidRPr="00F5723F">
              <w:rPr>
                <w:snapToGrid w:val="0"/>
              </w:rPr>
              <w:t>FiU</w:t>
            </w:r>
          </w:p>
        </w:tc>
        <w:tc>
          <w:tcPr>
            <w:tcW w:w="780" w:type="dxa"/>
            <w:tcBorders>
              <w:top w:val="single" w:sz="4" w:space="0" w:color="auto"/>
              <w:bottom w:val="nil"/>
            </w:tcBorders>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66</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95</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UbU</w:t>
            </w:r>
          </w:p>
        </w:tc>
        <w:tc>
          <w:tcPr>
            <w:tcW w:w="780" w:type="dxa"/>
            <w:tcBorders>
              <w:top w:val="nil"/>
              <w:bottom w:val="nil"/>
            </w:tcBorders>
            <w:shd w:val="pct35" w:color="auto" w:fill="FFFFFF"/>
          </w:tcPr>
          <w:p w:rsidR="00B43C57" w:rsidRPr="00F5723F" w:rsidRDefault="00B43C57">
            <w:pPr>
              <w:pStyle w:val="Tabelltext"/>
              <w:rPr>
                <w:snapToGrid w:val="0"/>
              </w:rPr>
            </w:pPr>
            <w:r w:rsidRPr="00F5723F">
              <w:rPr>
                <w:snapToGrid w:val="0"/>
              </w:rPr>
              <w:t>67</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58</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68</w:t>
            </w:r>
          </w:p>
        </w:tc>
        <w:tc>
          <w:tcPr>
            <w:tcW w:w="993" w:type="dxa"/>
            <w:tcBorders>
              <w:top w:val="nil"/>
              <w:bottom w:val="nil"/>
            </w:tcBorders>
          </w:tcPr>
          <w:p w:rsidR="00B43C57" w:rsidRPr="00F5723F" w:rsidRDefault="00B43C57">
            <w:pPr>
              <w:pStyle w:val="Tabelltext"/>
              <w:rPr>
                <w:snapToGrid w:val="0"/>
              </w:rPr>
            </w:pPr>
            <w:r w:rsidRPr="00F5723F">
              <w:rPr>
                <w:snapToGrid w:val="0"/>
              </w:rPr>
              <w:t>AU</w:t>
            </w:r>
          </w:p>
        </w:tc>
        <w:tc>
          <w:tcPr>
            <w:tcW w:w="780" w:type="dxa"/>
            <w:tcBorders>
              <w:top w:val="nil"/>
              <w:bottom w:val="nil"/>
            </w:tcBorders>
          </w:tcPr>
          <w:p w:rsidR="00B43C57" w:rsidRPr="00F5723F" w:rsidRDefault="00B43C57">
            <w:pPr>
              <w:pStyle w:val="Tabelltext"/>
              <w:rPr>
                <w:snapToGrid w:val="0"/>
              </w:rPr>
            </w:pPr>
            <w:r w:rsidRPr="00F5723F">
              <w:rPr>
                <w:snapToGrid w:val="0"/>
              </w:rPr>
              <w:t>60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SfU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52</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53</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780" w:type="dxa"/>
            <w:tcBorders>
              <w:top w:val="nil"/>
              <w:bottom w:val="nil"/>
            </w:tcBorders>
            <w:shd w:val="pct35" w:color="auto" w:fill="FFFFFF"/>
          </w:tcPr>
          <w:p w:rsidR="00B43C57" w:rsidRPr="00F5723F" w:rsidRDefault="00B43C57">
            <w:pPr>
              <w:pStyle w:val="Tabelltext"/>
              <w:rPr>
                <w:snapToGrid w:val="0"/>
              </w:rPr>
            </w:pPr>
            <w:r w:rsidRPr="00F5723F">
              <w:rPr>
                <w:snapToGrid w:val="0"/>
              </w:rPr>
              <w:t>58</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48</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SfU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50</w:t>
            </w:r>
          </w:p>
        </w:tc>
        <w:tc>
          <w:tcPr>
            <w:tcW w:w="993" w:type="dxa"/>
            <w:tcBorders>
              <w:top w:val="nil"/>
              <w:bottom w:val="nil"/>
            </w:tcBorders>
          </w:tcPr>
          <w:p w:rsidR="00B43C57" w:rsidRPr="00F5723F" w:rsidRDefault="00B43C57">
            <w:pPr>
              <w:pStyle w:val="Tabelltext"/>
              <w:rPr>
                <w:snapToGrid w:val="0"/>
              </w:rPr>
            </w:pPr>
            <w:r w:rsidRPr="00F5723F">
              <w:rPr>
                <w:snapToGrid w:val="0"/>
              </w:rPr>
              <w:t>SkU</w:t>
            </w:r>
          </w:p>
        </w:tc>
        <w:tc>
          <w:tcPr>
            <w:tcW w:w="780" w:type="dxa"/>
            <w:tcBorders>
              <w:top w:val="nil"/>
              <w:bottom w:val="nil"/>
            </w:tcBorders>
          </w:tcPr>
          <w:p w:rsidR="00B43C57" w:rsidRPr="00F5723F" w:rsidRDefault="00B43C57">
            <w:pPr>
              <w:pStyle w:val="Tabelltext"/>
              <w:rPr>
                <w:snapToGrid w:val="0"/>
              </w:rPr>
            </w:pPr>
            <w:r w:rsidRPr="00F5723F">
              <w:rPr>
                <w:snapToGrid w:val="0"/>
              </w:rPr>
              <w:t>54</w:t>
            </w:r>
          </w:p>
        </w:tc>
      </w:tr>
      <w:tr w:rsidR="00000000" w:rsidRPr="00F5723F">
        <w:tblPrEx>
          <w:tblCellMar>
            <w:top w:w="0" w:type="dxa"/>
            <w:bottom w:w="0" w:type="dxa"/>
          </w:tblCellMar>
        </w:tblPrEx>
        <w:trPr>
          <w:cantSplit/>
        </w:trPr>
        <w:tc>
          <w:tcPr>
            <w:tcW w:w="1063" w:type="dxa"/>
            <w:tcBorders>
              <w:top w:val="nil"/>
              <w:bottom w:val="nil"/>
            </w:tcBorders>
          </w:tcPr>
          <w:p w:rsidR="00B43C57" w:rsidRPr="00F5723F" w:rsidRDefault="00B43C57">
            <w:pPr>
              <w:pStyle w:val="Tabelltext"/>
              <w:rPr>
                <w:snapToGrid w:val="0"/>
              </w:rPr>
            </w:pPr>
            <w:r w:rsidRPr="00F5723F">
              <w:rPr>
                <w:snapToGrid w:val="0"/>
              </w:rPr>
              <w:t>BoU</w:t>
            </w:r>
          </w:p>
        </w:tc>
        <w:tc>
          <w:tcPr>
            <w:tcW w:w="992" w:type="dxa"/>
            <w:tcBorders>
              <w:top w:val="nil"/>
              <w:bottom w:val="nil"/>
            </w:tcBorders>
          </w:tcPr>
          <w:p w:rsidR="00B43C57" w:rsidRPr="00F5723F" w:rsidRDefault="00B43C57">
            <w:pPr>
              <w:pStyle w:val="Tabelltext"/>
              <w:rPr>
                <w:snapToGrid w:val="0"/>
              </w:rPr>
            </w:pPr>
            <w:r w:rsidRPr="00F5723F">
              <w:rPr>
                <w:snapToGrid w:val="0"/>
              </w:rPr>
              <w:t>39</w:t>
            </w:r>
          </w:p>
        </w:tc>
        <w:tc>
          <w:tcPr>
            <w:tcW w:w="992" w:type="dxa"/>
            <w:tcBorders>
              <w:top w:val="nil"/>
              <w:bottom w:val="nil"/>
            </w:tcBorders>
          </w:tcPr>
          <w:p w:rsidR="00B43C57" w:rsidRPr="00F5723F" w:rsidRDefault="00B43C57">
            <w:pPr>
              <w:pStyle w:val="Tabelltext"/>
              <w:rPr>
                <w:snapToGrid w:val="0"/>
              </w:rPr>
            </w:pPr>
            <w:r w:rsidRPr="00F5723F">
              <w:rPr>
                <w:snapToGrid w:val="0"/>
              </w:rPr>
              <w:t>FiU</w:t>
            </w:r>
          </w:p>
        </w:tc>
        <w:tc>
          <w:tcPr>
            <w:tcW w:w="992" w:type="dxa"/>
            <w:tcBorders>
              <w:top w:val="nil"/>
              <w:bottom w:val="nil"/>
            </w:tcBorders>
          </w:tcPr>
          <w:p w:rsidR="00B43C57" w:rsidRPr="00F5723F" w:rsidRDefault="00B43C57">
            <w:pPr>
              <w:pStyle w:val="Tabelltext"/>
              <w:rPr>
                <w:snapToGrid w:val="0"/>
              </w:rPr>
            </w:pPr>
            <w:r w:rsidRPr="00F5723F">
              <w:rPr>
                <w:snapToGrid w:val="0"/>
              </w:rPr>
              <w:t>47</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MJU</w:t>
            </w:r>
          </w:p>
        </w:tc>
        <w:tc>
          <w:tcPr>
            <w:tcW w:w="780" w:type="dxa"/>
            <w:tcBorders>
              <w:top w:val="nil"/>
              <w:bottom w:val="nil"/>
            </w:tcBorders>
            <w:shd w:val="pct35" w:color="auto" w:fill="FFFFFF"/>
          </w:tcPr>
          <w:p w:rsidR="00B43C57" w:rsidRPr="00F5723F" w:rsidRDefault="00B43C57">
            <w:pPr>
              <w:pStyle w:val="Tabelltext"/>
              <w:rPr>
                <w:snapToGrid w:val="0"/>
              </w:rPr>
            </w:pPr>
            <w:r w:rsidRPr="00F5723F">
              <w:rPr>
                <w:snapToGrid w:val="0"/>
              </w:rPr>
              <w:t>52</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rPr>
                <w:snapToGrid w:val="0"/>
              </w:rPr>
            </w:pPr>
            <w:r w:rsidRPr="00F5723F">
              <w:rPr>
                <w:snapToGrid w:val="0"/>
              </w:rPr>
              <w:t>KU</w:t>
            </w:r>
          </w:p>
        </w:tc>
        <w:tc>
          <w:tcPr>
            <w:tcW w:w="992" w:type="dxa"/>
            <w:tcBorders>
              <w:top w:val="nil"/>
            </w:tcBorders>
          </w:tcPr>
          <w:p w:rsidR="00B43C57" w:rsidRPr="00F5723F" w:rsidRDefault="00B43C57">
            <w:pPr>
              <w:pStyle w:val="Tabelltext"/>
              <w:rPr>
                <w:snapToGrid w:val="0"/>
              </w:rPr>
            </w:pPr>
            <w:r w:rsidRPr="00F5723F">
              <w:rPr>
                <w:snapToGrid w:val="0"/>
              </w:rPr>
              <w:t>32</w:t>
            </w:r>
          </w:p>
        </w:tc>
        <w:tc>
          <w:tcPr>
            <w:tcW w:w="992" w:type="dxa"/>
            <w:tcBorders>
              <w:top w:val="nil"/>
              <w:bottom w:val="nil"/>
            </w:tcBorders>
          </w:tcPr>
          <w:p w:rsidR="00B43C57" w:rsidRPr="00F5723F" w:rsidRDefault="00B43C57">
            <w:pPr>
              <w:pStyle w:val="Tabelltext"/>
              <w:rPr>
                <w:snapToGrid w:val="0"/>
              </w:rPr>
            </w:pPr>
            <w:r w:rsidRPr="00F5723F">
              <w:rPr>
                <w:snapToGrid w:val="0"/>
              </w:rPr>
              <w:t>SkU</w:t>
            </w:r>
          </w:p>
        </w:tc>
        <w:tc>
          <w:tcPr>
            <w:tcW w:w="992" w:type="dxa"/>
            <w:tcBorders>
              <w:top w:val="nil"/>
              <w:bottom w:val="nil"/>
            </w:tcBorders>
          </w:tcPr>
          <w:p w:rsidR="00B43C57" w:rsidRPr="00F5723F" w:rsidRDefault="00B43C57">
            <w:pPr>
              <w:pStyle w:val="Tabelltext"/>
              <w:rPr>
                <w:snapToGrid w:val="0"/>
              </w:rPr>
            </w:pPr>
            <w:r w:rsidRPr="00F5723F">
              <w:rPr>
                <w:snapToGrid w:val="0"/>
              </w:rPr>
              <w:t>47</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SfU</w:t>
            </w:r>
          </w:p>
        </w:tc>
        <w:tc>
          <w:tcPr>
            <w:tcW w:w="780" w:type="dxa"/>
            <w:tcBorders>
              <w:top w:val="nil"/>
              <w:bottom w:val="nil"/>
            </w:tcBorders>
            <w:shd w:val="pct35" w:color="auto" w:fill="FFFFFF"/>
          </w:tcPr>
          <w:p w:rsidR="00B43C57" w:rsidRPr="00F5723F" w:rsidRDefault="00B43C57">
            <w:pPr>
              <w:pStyle w:val="Tabelltext"/>
              <w:rPr>
                <w:snapToGrid w:val="0"/>
              </w:rPr>
            </w:pPr>
            <w:r w:rsidRPr="00F5723F">
              <w:rPr>
                <w:snapToGrid w:val="0"/>
              </w:rPr>
              <w:t>45</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SkU</w:t>
            </w:r>
          </w:p>
        </w:tc>
        <w:tc>
          <w:tcPr>
            <w:tcW w:w="992" w:type="dxa"/>
          </w:tcPr>
          <w:p w:rsidR="00B43C57" w:rsidRPr="00F5723F" w:rsidRDefault="00B43C57">
            <w:pPr>
              <w:pStyle w:val="Tabelltext"/>
              <w:rPr>
                <w:snapToGrid w:val="0"/>
              </w:rPr>
            </w:pPr>
            <w:r w:rsidRPr="00F5723F">
              <w:rPr>
                <w:snapToGrid w:val="0"/>
              </w:rPr>
              <w:t>32</w:t>
            </w:r>
          </w:p>
        </w:tc>
        <w:tc>
          <w:tcPr>
            <w:tcW w:w="992" w:type="dxa"/>
            <w:tcBorders>
              <w:top w:val="nil"/>
              <w:bottom w:val="nil"/>
            </w:tcBorders>
          </w:tcPr>
          <w:p w:rsidR="00B43C57" w:rsidRPr="00F5723F" w:rsidRDefault="00B43C57">
            <w:pPr>
              <w:pStyle w:val="Tabelltext"/>
              <w:rPr>
                <w:snapToGrid w:val="0"/>
              </w:rPr>
            </w:pPr>
            <w:r w:rsidRPr="00F5723F">
              <w:rPr>
                <w:snapToGrid w:val="0"/>
              </w:rPr>
              <w:t>BoU</w:t>
            </w:r>
          </w:p>
        </w:tc>
        <w:tc>
          <w:tcPr>
            <w:tcW w:w="992" w:type="dxa"/>
            <w:tcBorders>
              <w:top w:val="nil"/>
              <w:bottom w:val="nil"/>
            </w:tcBorders>
          </w:tcPr>
          <w:p w:rsidR="00B43C57" w:rsidRPr="00F5723F" w:rsidRDefault="00B43C57">
            <w:pPr>
              <w:pStyle w:val="Tabelltext"/>
              <w:rPr>
                <w:snapToGrid w:val="0"/>
              </w:rPr>
            </w:pPr>
            <w:r w:rsidRPr="00F5723F">
              <w:rPr>
                <w:snapToGrid w:val="0"/>
              </w:rPr>
              <w:t>46</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780" w:type="dxa"/>
            <w:tcBorders>
              <w:top w:val="nil"/>
              <w:bottom w:val="nil"/>
            </w:tcBorders>
            <w:shd w:val="pct35" w:color="auto" w:fill="FFFFFF"/>
          </w:tcPr>
          <w:p w:rsidR="00B43C57" w:rsidRPr="00F5723F" w:rsidRDefault="00B43C57">
            <w:pPr>
              <w:pStyle w:val="Tabelltext"/>
              <w:rPr>
                <w:snapToGrid w:val="0"/>
              </w:rPr>
            </w:pPr>
            <w:r w:rsidRPr="00F5723F">
              <w:rPr>
                <w:snapToGrid w:val="0"/>
              </w:rPr>
              <w:t>44</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FiU</w:t>
            </w:r>
          </w:p>
        </w:tc>
        <w:tc>
          <w:tcPr>
            <w:tcW w:w="992" w:type="dxa"/>
          </w:tcPr>
          <w:p w:rsidR="00B43C57" w:rsidRPr="00F5723F" w:rsidRDefault="00B43C57">
            <w:pPr>
              <w:pStyle w:val="Tabelltext"/>
              <w:rPr>
                <w:snapToGrid w:val="0"/>
              </w:rPr>
            </w:pPr>
            <w:r w:rsidRPr="00F5723F">
              <w:rPr>
                <w:snapToGrid w:val="0"/>
              </w:rPr>
              <w:t>26</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46</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780" w:type="dxa"/>
            <w:tcBorders>
              <w:top w:val="nil"/>
              <w:bottom w:val="nil"/>
            </w:tcBorders>
            <w:shd w:val="clear" w:color="auto" w:fill="000000"/>
          </w:tcPr>
          <w:p w:rsidR="00B43C57" w:rsidRPr="00F5723F" w:rsidRDefault="00B43C57">
            <w:pPr>
              <w:pStyle w:val="Tabelltext"/>
              <w:rPr>
                <w:snapToGrid w:val="0"/>
              </w:rPr>
            </w:pPr>
            <w:r w:rsidRPr="00F5723F">
              <w:rPr>
                <w:snapToGrid w:val="0"/>
              </w:rPr>
              <w:t>42</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rPr>
                <w:snapToGrid w:val="0"/>
              </w:rPr>
            </w:pPr>
            <w:r w:rsidRPr="00F5723F">
              <w:rPr>
                <w:snapToGrid w:val="0"/>
              </w:rPr>
              <w:t>AU</w:t>
            </w:r>
          </w:p>
        </w:tc>
        <w:tc>
          <w:tcPr>
            <w:tcW w:w="992" w:type="dxa"/>
            <w:tcBorders>
              <w:bottom w:val="nil"/>
            </w:tcBorders>
          </w:tcPr>
          <w:p w:rsidR="00B43C57" w:rsidRPr="00F5723F" w:rsidRDefault="00B43C57">
            <w:pPr>
              <w:pStyle w:val="Tabelltext"/>
              <w:rPr>
                <w:snapToGrid w:val="0"/>
              </w:rPr>
            </w:pPr>
            <w:r w:rsidRPr="00F5723F">
              <w:rPr>
                <w:snapToGrid w:val="0"/>
              </w:rPr>
              <w:t>25</w:t>
            </w:r>
          </w:p>
        </w:tc>
        <w:tc>
          <w:tcPr>
            <w:tcW w:w="992" w:type="dxa"/>
            <w:tcBorders>
              <w:top w:val="nil"/>
              <w:bottom w:val="nil"/>
            </w:tcBorders>
          </w:tcPr>
          <w:p w:rsidR="00B43C57" w:rsidRPr="00F5723F" w:rsidRDefault="00B43C57">
            <w:pPr>
              <w:pStyle w:val="Tabelltext"/>
              <w:rPr>
                <w:snapToGrid w:val="0"/>
              </w:rPr>
            </w:pPr>
            <w:r w:rsidRPr="00F5723F">
              <w:rPr>
                <w:snapToGrid w:val="0"/>
              </w:rPr>
              <w:t>AU</w:t>
            </w:r>
          </w:p>
        </w:tc>
        <w:tc>
          <w:tcPr>
            <w:tcW w:w="992" w:type="dxa"/>
            <w:tcBorders>
              <w:top w:val="nil"/>
              <w:bottom w:val="nil"/>
            </w:tcBorders>
          </w:tcPr>
          <w:p w:rsidR="00B43C57" w:rsidRPr="00F5723F" w:rsidRDefault="00B43C57">
            <w:pPr>
              <w:pStyle w:val="Tabelltext"/>
              <w:rPr>
                <w:snapToGrid w:val="0"/>
              </w:rPr>
            </w:pPr>
            <w:r w:rsidRPr="00F5723F">
              <w:rPr>
                <w:snapToGrid w:val="0"/>
              </w:rPr>
              <w:t>44</w:t>
            </w:r>
          </w:p>
        </w:tc>
        <w:tc>
          <w:tcPr>
            <w:tcW w:w="993" w:type="dxa"/>
            <w:tcBorders>
              <w:top w:val="nil"/>
              <w:bottom w:val="nil"/>
            </w:tcBorders>
          </w:tcPr>
          <w:p w:rsidR="00B43C57" w:rsidRPr="00F5723F" w:rsidRDefault="00B43C57">
            <w:pPr>
              <w:pStyle w:val="Tabelltext"/>
              <w:rPr>
                <w:snapToGrid w:val="0"/>
              </w:rPr>
            </w:pPr>
            <w:r w:rsidRPr="00F5723F">
              <w:rPr>
                <w:snapToGrid w:val="0"/>
              </w:rPr>
              <w:t>BoU</w:t>
            </w:r>
          </w:p>
        </w:tc>
        <w:tc>
          <w:tcPr>
            <w:tcW w:w="780" w:type="dxa"/>
            <w:tcBorders>
              <w:top w:val="nil"/>
              <w:bottom w:val="nil"/>
            </w:tcBorders>
          </w:tcPr>
          <w:p w:rsidR="00B43C57" w:rsidRPr="00F5723F" w:rsidRDefault="00B43C57">
            <w:pPr>
              <w:pStyle w:val="Tabelltext"/>
              <w:rPr>
                <w:snapToGrid w:val="0"/>
              </w:rPr>
            </w:pPr>
            <w:r w:rsidRPr="00F5723F">
              <w:rPr>
                <w:snapToGrid w:val="0"/>
              </w:rPr>
              <w:t>39</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23</w:t>
            </w:r>
          </w:p>
        </w:tc>
        <w:tc>
          <w:tcPr>
            <w:tcW w:w="992" w:type="dxa"/>
            <w:tcBorders>
              <w:top w:val="nil"/>
              <w:bottom w:val="nil"/>
            </w:tcBorders>
          </w:tcPr>
          <w:p w:rsidR="00B43C57" w:rsidRPr="00F5723F" w:rsidRDefault="00B43C57">
            <w:pPr>
              <w:pStyle w:val="Tabelltext"/>
              <w:rPr>
                <w:snapToGrid w:val="0"/>
              </w:rPr>
            </w:pPr>
            <w:r w:rsidRPr="00F5723F">
              <w:rPr>
                <w:snapToGrid w:val="0"/>
              </w:rPr>
              <w:t>KU</w:t>
            </w:r>
          </w:p>
        </w:tc>
        <w:tc>
          <w:tcPr>
            <w:tcW w:w="992" w:type="dxa"/>
            <w:tcBorders>
              <w:top w:val="nil"/>
              <w:bottom w:val="nil"/>
            </w:tcBorders>
          </w:tcPr>
          <w:p w:rsidR="00B43C57" w:rsidRPr="00F5723F" w:rsidRDefault="00B43C57">
            <w:pPr>
              <w:pStyle w:val="Tabelltext"/>
              <w:rPr>
                <w:snapToGrid w:val="0"/>
              </w:rPr>
            </w:pPr>
            <w:r w:rsidRPr="00F5723F">
              <w:rPr>
                <w:snapToGrid w:val="0"/>
              </w:rPr>
              <w:t>37</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TU</w:t>
            </w:r>
          </w:p>
        </w:tc>
        <w:tc>
          <w:tcPr>
            <w:tcW w:w="780" w:type="dxa"/>
            <w:tcBorders>
              <w:top w:val="nil"/>
              <w:bottom w:val="nil"/>
            </w:tcBorders>
            <w:shd w:val="clear" w:color="auto" w:fill="000000"/>
          </w:tcPr>
          <w:p w:rsidR="00B43C57" w:rsidRPr="00F5723F" w:rsidRDefault="00B43C57">
            <w:pPr>
              <w:pStyle w:val="Tabelltext"/>
              <w:rPr>
                <w:snapToGrid w:val="0"/>
              </w:rPr>
            </w:pPr>
            <w:r w:rsidRPr="00F5723F">
              <w:rPr>
                <w:snapToGrid w:val="0"/>
              </w:rPr>
              <w:t>35</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23</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29</w:t>
            </w:r>
          </w:p>
        </w:tc>
        <w:tc>
          <w:tcPr>
            <w:tcW w:w="993" w:type="dxa"/>
            <w:tcBorders>
              <w:top w:val="nil"/>
              <w:bottom w:val="nil"/>
            </w:tcBorders>
          </w:tcPr>
          <w:p w:rsidR="00B43C57" w:rsidRPr="00F5723F" w:rsidRDefault="00B43C57">
            <w:pPr>
              <w:pStyle w:val="Tabelltext"/>
              <w:rPr>
                <w:snapToGrid w:val="0"/>
              </w:rPr>
            </w:pPr>
            <w:r w:rsidRPr="00F5723F">
              <w:rPr>
                <w:snapToGrid w:val="0"/>
              </w:rPr>
              <w:t>KU</w:t>
            </w:r>
          </w:p>
        </w:tc>
        <w:tc>
          <w:tcPr>
            <w:tcW w:w="780" w:type="dxa"/>
            <w:tcBorders>
              <w:top w:val="nil"/>
              <w:bottom w:val="nil"/>
            </w:tcBorders>
          </w:tcPr>
          <w:p w:rsidR="00B43C57" w:rsidRPr="00F5723F" w:rsidRDefault="00B43C57">
            <w:pPr>
              <w:pStyle w:val="Tabelltext"/>
              <w:rPr>
                <w:snapToGrid w:val="0"/>
              </w:rPr>
            </w:pPr>
            <w:r w:rsidRPr="00F5723F">
              <w:rPr>
                <w:snapToGrid w:val="0"/>
              </w:rPr>
              <w:t>31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22</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26</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780" w:type="dxa"/>
            <w:tcBorders>
              <w:top w:val="nil"/>
              <w:bottom w:val="nil"/>
            </w:tcBorders>
            <w:shd w:val="clear" w:color="auto" w:fill="000000"/>
          </w:tcPr>
          <w:p w:rsidR="00B43C57" w:rsidRPr="00F5723F" w:rsidRDefault="00B43C57">
            <w:pPr>
              <w:pStyle w:val="Tabelltext"/>
              <w:rPr>
                <w:snapToGrid w:val="0"/>
              </w:rPr>
            </w:pPr>
            <w:r w:rsidRPr="00F5723F">
              <w:rPr>
                <w:snapToGrid w:val="0"/>
              </w:rPr>
              <w:t>27</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NU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21</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NU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23</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NU</w:t>
            </w:r>
          </w:p>
        </w:tc>
        <w:tc>
          <w:tcPr>
            <w:tcW w:w="780" w:type="dxa"/>
            <w:tcBorders>
              <w:top w:val="nil"/>
              <w:bottom w:val="nil"/>
            </w:tcBorders>
            <w:shd w:val="clear" w:color="auto" w:fill="000000"/>
          </w:tcPr>
          <w:p w:rsidR="00B43C57" w:rsidRPr="00F5723F" w:rsidRDefault="00B43C57">
            <w:pPr>
              <w:pStyle w:val="Tabelltext"/>
              <w:rPr>
                <w:snapToGrid w:val="0"/>
              </w:rPr>
            </w:pPr>
            <w:r w:rsidRPr="00F5723F">
              <w:rPr>
                <w:snapToGrid w:val="0"/>
              </w:rPr>
              <w:t>24</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16</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19</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780" w:type="dxa"/>
            <w:tcBorders>
              <w:top w:val="nil"/>
              <w:bottom w:val="nil"/>
            </w:tcBorders>
            <w:shd w:val="clear" w:color="auto" w:fill="000000"/>
          </w:tcPr>
          <w:p w:rsidR="00B43C57" w:rsidRPr="00F5723F" w:rsidRDefault="00B43C57">
            <w:pPr>
              <w:pStyle w:val="Tabelltext"/>
              <w:rPr>
                <w:snapToGrid w:val="0"/>
              </w:rPr>
            </w:pPr>
            <w:r w:rsidRPr="00F5723F">
              <w:rPr>
                <w:snapToGrid w:val="0"/>
              </w:rPr>
              <w:t>22</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5</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16</w:t>
            </w:r>
          </w:p>
        </w:tc>
        <w:tc>
          <w:tcPr>
            <w:tcW w:w="99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FöU</w:t>
            </w:r>
          </w:p>
        </w:tc>
        <w:tc>
          <w:tcPr>
            <w:tcW w:w="780"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17</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p>
    <w:p w:rsidR="00B43C57" w:rsidRPr="00F5723F" w:rsidRDefault="00B43C57">
      <w:pPr>
        <w:pStyle w:val="Normaltindrag"/>
        <w:spacing w:line="360" w:lineRule="auto"/>
      </w:pPr>
    </w:p>
    <w:p w:rsidR="00B43C57" w:rsidRPr="00F5723F" w:rsidRDefault="00B43C57">
      <w:r w:rsidRPr="00F5723F">
        <w:t>Sett över tid är förhållandena relativt stabila. En förändring som har ägt rum är dock att antalet reservationer som avges i finansutskottet har minskat dra</w:t>
      </w:r>
      <w:r w:rsidRPr="00F5723F">
        <w:t>s</w:t>
      </w:r>
      <w:r w:rsidRPr="00F5723F">
        <w:t>tiskt. Detta hänger samman med den nya budgetordningen från 1996, vilken medförde färre reservationer i finansutskottets betänkanden. En annan förän</w:t>
      </w:r>
      <w:r w:rsidRPr="00F5723F">
        <w:t>d</w:t>
      </w:r>
      <w:r w:rsidRPr="00F5723F">
        <w:t>ring är att antalet reservationer i arbetsmarknadsutskottet minskat. Förkla</w:t>
      </w:r>
      <w:r w:rsidRPr="00F5723F">
        <w:t>r</w:t>
      </w:r>
      <w:r w:rsidRPr="00F5723F">
        <w:t>ingen till det ligger sannolikt i att, som framgått ovan, arbetsmarknadsutsko</w:t>
      </w:r>
      <w:r w:rsidRPr="00F5723F">
        <w:t>t</w:t>
      </w:r>
      <w:r w:rsidRPr="00F5723F">
        <w:t>tet erhåller allt färre motioner jämfört med andra utskott. I kultu</w:t>
      </w:r>
      <w:r w:rsidRPr="00F5723F">
        <w:t>r</w:t>
      </w:r>
      <w:r w:rsidRPr="00F5723F">
        <w:t>utskottet avgavs jämförelsevis många reservationer under föregående valperiod, men under innevarande valperiod har antalet gått ned i förhål</w:t>
      </w:r>
      <w:r w:rsidRPr="00F5723F">
        <w:t>lande till övriga u</w:t>
      </w:r>
      <w:r w:rsidRPr="00F5723F">
        <w:t>t</w:t>
      </w:r>
      <w:r w:rsidRPr="00F5723F">
        <w:t>skott.</w:t>
      </w:r>
    </w:p>
    <w:p w:rsidR="00B43C57" w:rsidRPr="00F5723F" w:rsidRDefault="00B43C57">
      <w:pPr>
        <w:pStyle w:val="R4"/>
      </w:pPr>
      <w:bookmarkStart w:id="104" w:name="_Toc121738931"/>
      <w:r w:rsidRPr="00F5723F">
        <w:t>Utskottsbetänkanden och yttranden</w:t>
      </w:r>
      <w:bookmarkEnd w:id="104"/>
    </w:p>
    <w:p w:rsidR="00B43C57" w:rsidRPr="00F5723F" w:rsidRDefault="00B43C57">
      <w:r w:rsidRPr="00F5723F">
        <w:t>Arbetsbelastning i form av antal avlämnade utskottsbetänkanden i geno</w:t>
      </w:r>
      <w:r w:rsidRPr="00F5723F">
        <w:t>m</w:t>
      </w:r>
      <w:r w:rsidRPr="00F5723F">
        <w:t>snitt per riksmöte framgår av tabell 9:6. Mest belastat i detta avseende har under innevarande valperiod varit konstitutionsutskottet. Andra högt bela</w:t>
      </w:r>
      <w:r w:rsidRPr="00F5723F">
        <w:t>s</w:t>
      </w:r>
      <w:r w:rsidRPr="00F5723F">
        <w:t>tade utskott är finans-, justitie-, lag- och skatteutskotten. Minst belastade är fö</w:t>
      </w:r>
      <w:r w:rsidRPr="00F5723F">
        <w:t>r</w:t>
      </w:r>
      <w:r w:rsidRPr="00F5723F">
        <w:t>svars-, arbetsmarknads- och kulturutskotten; dessa har under innevarande valperiod avlämnat runt en fjärdedel så många betänkanden som det mest belastade. Även trafik- och bostadsutskotten tillhör gruppen utskott som avlämnat minst antal betänkanden.</w:t>
      </w:r>
    </w:p>
    <w:p w:rsidR="00B43C57" w:rsidRPr="00F5723F" w:rsidRDefault="00B43C57">
      <w:pPr>
        <w:pStyle w:val="Normaltindrag"/>
      </w:pPr>
      <w:r w:rsidRPr="00F5723F">
        <w:t>Sett över tid är rangordn</w:t>
      </w:r>
      <w:r w:rsidRPr="00F5723F">
        <w:t>ingen av utskotten förhållandevis stabil. Utskott som under första hälften av innevarande valperiod varit mest belastade har också varit det under hela den studerade tioårsperioden. Konstitutionsutsko</w:t>
      </w:r>
      <w:r w:rsidRPr="00F5723F">
        <w:t>t</w:t>
      </w:r>
      <w:r w:rsidRPr="00F5723F">
        <w:t>tet är genomgående det utskott som avlämnat flest betänkanden i genomsnitt per riksmöte. Under hälften av innevarande valperiod och den närmast för</w:t>
      </w:r>
      <w:r w:rsidRPr="00F5723F">
        <w:t>e</w:t>
      </w:r>
      <w:r w:rsidRPr="00F5723F">
        <w:t>gående valperioden har finans- och justitieutskotten också tillhört de allra mest belastade i detta avseende.</w:t>
      </w:r>
    </w:p>
    <w:p w:rsidR="00B43C57" w:rsidRPr="00F5723F" w:rsidRDefault="00B43C57">
      <w:pPr>
        <w:pStyle w:val="Tabellrubrik"/>
      </w:pPr>
      <w:r w:rsidRPr="00F5723F">
        <w:t>Tabell 9:6 betänkanden (rangordning, Procent)</w:t>
      </w:r>
    </w:p>
    <w:tbl>
      <w:tblPr>
        <w:tblW w:w="6166"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992"/>
        <w:gridCol w:w="1240"/>
        <w:gridCol w:w="887"/>
      </w:tblGrid>
      <w:tr w:rsidR="00000000" w:rsidRPr="00F5723F">
        <w:tblPrEx>
          <w:tblCellMar>
            <w:top w:w="0" w:type="dxa"/>
            <w:bottom w:w="0" w:type="dxa"/>
          </w:tblCellMar>
        </w:tblPrEx>
        <w:trPr>
          <w:cantSplit/>
        </w:trPr>
        <w:tc>
          <w:tcPr>
            <w:tcW w:w="2055"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984" w:type="dxa"/>
            <w:gridSpan w:val="2"/>
            <w:tcBorders>
              <w:top w:val="single" w:sz="4" w:space="0" w:color="auto"/>
              <w:bottom w:val="nil"/>
            </w:tcBorders>
          </w:tcPr>
          <w:p w:rsidR="00B43C57" w:rsidRPr="00F5723F" w:rsidRDefault="00B43C57">
            <w:pPr>
              <w:pStyle w:val="Tabelltext"/>
              <w:jc w:val="center"/>
            </w:pPr>
            <w:r w:rsidRPr="00F5723F">
              <w:t>1998/99–2001/02</w:t>
            </w:r>
          </w:p>
        </w:tc>
        <w:tc>
          <w:tcPr>
            <w:tcW w:w="2127" w:type="dxa"/>
            <w:gridSpan w:val="2"/>
            <w:tcBorders>
              <w:top w:val="single" w:sz="4" w:space="0" w:color="auto"/>
              <w:bottom w:val="nil"/>
            </w:tcBorders>
          </w:tcPr>
          <w:p w:rsidR="00B43C57" w:rsidRPr="00F5723F" w:rsidRDefault="00B43C57">
            <w:pPr>
              <w:pStyle w:val="Tabelltext"/>
              <w:jc w:val="center"/>
            </w:pPr>
            <w:r w:rsidRPr="00F5723F">
              <w:t>1994/95–1997/98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2"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1240" w:type="dxa"/>
            <w:tcBorders>
              <w:top w:val="nil"/>
              <w:bottom w:val="single" w:sz="4" w:space="0" w:color="auto"/>
            </w:tcBorders>
          </w:tcPr>
          <w:p w:rsidR="00B43C57" w:rsidRPr="00F5723F" w:rsidRDefault="00B43C57">
            <w:pPr>
              <w:pStyle w:val="Tabelltext"/>
            </w:pPr>
            <w:r w:rsidRPr="00F5723F">
              <w:t>Utskott</w:t>
            </w:r>
          </w:p>
        </w:tc>
        <w:tc>
          <w:tcPr>
            <w:tcW w:w="887"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pPr>
            <w:r w:rsidRPr="00F5723F">
              <w:t>KU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pPr>
            <w:r w:rsidRPr="00F5723F">
              <w:t>KU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240" w:type="dxa"/>
            <w:tcBorders>
              <w:top w:val="single" w:sz="4" w:space="0" w:color="auto"/>
              <w:bottom w:val="nil"/>
            </w:tcBorders>
            <w:shd w:val="pct35" w:color="auto" w:fill="FFFFFF"/>
          </w:tcPr>
          <w:p w:rsidR="00B43C57" w:rsidRPr="00F5723F" w:rsidRDefault="00B43C57">
            <w:pPr>
              <w:pStyle w:val="Tabelltext"/>
            </w:pPr>
            <w:r w:rsidRPr="00F5723F">
              <w:t>KU</w:t>
            </w:r>
          </w:p>
        </w:tc>
        <w:tc>
          <w:tcPr>
            <w:tcW w:w="887"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FiU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95</w:t>
            </w:r>
          </w:p>
        </w:tc>
        <w:tc>
          <w:tcPr>
            <w:tcW w:w="992" w:type="dxa"/>
            <w:tcBorders>
              <w:top w:val="nil"/>
              <w:bottom w:val="nil"/>
            </w:tcBorders>
            <w:shd w:val="pct35" w:color="auto" w:fill="FFFFFF"/>
          </w:tcPr>
          <w:p w:rsidR="00B43C57" w:rsidRPr="00F5723F" w:rsidRDefault="00B43C57">
            <w:pPr>
              <w:pStyle w:val="Tabelltext"/>
            </w:pPr>
            <w:r w:rsidRPr="00F5723F">
              <w:t>FiU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98</w:t>
            </w:r>
          </w:p>
        </w:tc>
        <w:tc>
          <w:tcPr>
            <w:tcW w:w="1240" w:type="dxa"/>
            <w:tcBorders>
              <w:top w:val="nil"/>
              <w:bottom w:val="nil"/>
            </w:tcBorders>
            <w:shd w:val="pct35" w:color="auto" w:fill="FFFFFF"/>
          </w:tcPr>
          <w:p w:rsidR="00B43C57" w:rsidRPr="00F5723F" w:rsidRDefault="00B43C57">
            <w:pPr>
              <w:pStyle w:val="Tabelltext"/>
            </w:pPr>
            <w:r w:rsidRPr="00F5723F">
              <w:t>SkU</w:t>
            </w:r>
          </w:p>
        </w:tc>
        <w:tc>
          <w:tcPr>
            <w:tcW w:w="887" w:type="dxa"/>
            <w:tcBorders>
              <w:top w:val="nil"/>
              <w:bottom w:val="nil"/>
            </w:tcBorders>
            <w:shd w:val="pct35" w:color="auto" w:fill="FFFFFF"/>
          </w:tcPr>
          <w:p w:rsidR="00B43C57" w:rsidRPr="00F5723F" w:rsidRDefault="00B43C57">
            <w:pPr>
              <w:pStyle w:val="Tabelltext"/>
              <w:rPr>
                <w:snapToGrid w:val="0"/>
              </w:rPr>
            </w:pPr>
            <w:r w:rsidRPr="00F5723F">
              <w:rPr>
                <w:snapToGrid w:val="0"/>
              </w:rPr>
              <w:t>91</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JuU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81</w:t>
            </w:r>
          </w:p>
        </w:tc>
        <w:tc>
          <w:tcPr>
            <w:tcW w:w="992" w:type="dxa"/>
            <w:tcBorders>
              <w:top w:val="nil"/>
              <w:bottom w:val="nil"/>
            </w:tcBorders>
            <w:shd w:val="pct35" w:color="auto" w:fill="FFFFFF"/>
          </w:tcPr>
          <w:p w:rsidR="00B43C57" w:rsidRPr="00F5723F" w:rsidRDefault="00B43C57">
            <w:pPr>
              <w:pStyle w:val="Tabelltext"/>
            </w:pPr>
            <w:r w:rsidRPr="00F5723F">
              <w:t>JuU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95</w:t>
            </w:r>
          </w:p>
        </w:tc>
        <w:tc>
          <w:tcPr>
            <w:tcW w:w="1240" w:type="dxa"/>
            <w:tcBorders>
              <w:top w:val="nil"/>
              <w:bottom w:val="nil"/>
            </w:tcBorders>
            <w:shd w:val="pct35" w:color="auto" w:fill="FFFFFF"/>
          </w:tcPr>
          <w:p w:rsidR="00B43C57" w:rsidRPr="00F5723F" w:rsidRDefault="00B43C57">
            <w:pPr>
              <w:pStyle w:val="Tabelltext"/>
            </w:pPr>
            <w:r w:rsidRPr="00F5723F">
              <w:t>LU</w:t>
            </w:r>
          </w:p>
        </w:tc>
        <w:tc>
          <w:tcPr>
            <w:tcW w:w="887" w:type="dxa"/>
            <w:tcBorders>
              <w:top w:val="nil"/>
              <w:bottom w:val="nil"/>
            </w:tcBorders>
            <w:shd w:val="pct35" w:color="auto" w:fill="FFFFFF"/>
          </w:tcPr>
          <w:p w:rsidR="00B43C57" w:rsidRPr="00F5723F" w:rsidRDefault="00B43C57">
            <w:pPr>
              <w:pStyle w:val="Tabelltext"/>
              <w:rPr>
                <w:snapToGrid w:val="0"/>
              </w:rPr>
            </w:pPr>
            <w:r w:rsidRPr="00F5723F">
              <w:rPr>
                <w:snapToGrid w:val="0"/>
              </w:rPr>
              <w:t>77</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LU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81</w:t>
            </w:r>
          </w:p>
        </w:tc>
        <w:tc>
          <w:tcPr>
            <w:tcW w:w="992" w:type="dxa"/>
            <w:tcBorders>
              <w:top w:val="nil"/>
              <w:bottom w:val="nil"/>
            </w:tcBorders>
            <w:shd w:val="pct35" w:color="auto" w:fill="FFFFFF"/>
          </w:tcPr>
          <w:p w:rsidR="00B43C57" w:rsidRPr="00F5723F" w:rsidRDefault="00B43C57">
            <w:pPr>
              <w:pStyle w:val="Tabelltext"/>
            </w:pPr>
            <w:r w:rsidRPr="00F5723F">
              <w:t>SkU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88</w:t>
            </w:r>
          </w:p>
        </w:tc>
        <w:tc>
          <w:tcPr>
            <w:tcW w:w="1240" w:type="dxa"/>
            <w:tcBorders>
              <w:top w:val="nil"/>
              <w:bottom w:val="nil"/>
            </w:tcBorders>
            <w:shd w:val="pct35" w:color="auto" w:fill="FFFFFF"/>
          </w:tcPr>
          <w:p w:rsidR="00B43C57" w:rsidRPr="00F5723F" w:rsidRDefault="00B43C57">
            <w:pPr>
              <w:pStyle w:val="Tabelltext"/>
            </w:pPr>
            <w:r w:rsidRPr="00F5723F">
              <w:t>FiU</w:t>
            </w:r>
          </w:p>
        </w:tc>
        <w:tc>
          <w:tcPr>
            <w:tcW w:w="887" w:type="dxa"/>
            <w:tcBorders>
              <w:top w:val="nil"/>
              <w:bottom w:val="nil"/>
            </w:tcBorders>
            <w:shd w:val="pct35" w:color="auto" w:fill="FFFFFF"/>
          </w:tcPr>
          <w:p w:rsidR="00B43C57" w:rsidRPr="00F5723F" w:rsidRDefault="00B43C57">
            <w:pPr>
              <w:pStyle w:val="Tabelltext"/>
              <w:rPr>
                <w:snapToGrid w:val="0"/>
              </w:rPr>
            </w:pPr>
            <w:r w:rsidRPr="00F5723F">
              <w:rPr>
                <w:snapToGrid w:val="0"/>
              </w:rPr>
              <w:t>70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SkU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75</w:t>
            </w:r>
          </w:p>
        </w:tc>
        <w:tc>
          <w:tcPr>
            <w:tcW w:w="992" w:type="dxa"/>
            <w:tcBorders>
              <w:top w:val="nil"/>
              <w:bottom w:val="nil"/>
            </w:tcBorders>
            <w:shd w:val="pct35" w:color="auto" w:fill="FFFFFF"/>
          </w:tcPr>
          <w:p w:rsidR="00B43C57" w:rsidRPr="00F5723F" w:rsidRDefault="00B43C57">
            <w:pPr>
              <w:pStyle w:val="Tabelltext"/>
            </w:pPr>
            <w:r w:rsidRPr="00F5723F">
              <w:t>LU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86</w:t>
            </w:r>
          </w:p>
        </w:tc>
        <w:tc>
          <w:tcPr>
            <w:tcW w:w="1240" w:type="dxa"/>
            <w:tcBorders>
              <w:top w:val="nil"/>
              <w:bottom w:val="nil"/>
            </w:tcBorders>
            <w:shd w:val="clear" w:color="auto" w:fill="FFFFFF"/>
          </w:tcPr>
          <w:p w:rsidR="00B43C57" w:rsidRPr="00F5723F" w:rsidRDefault="00B43C57">
            <w:pPr>
              <w:pStyle w:val="Tabelltext"/>
            </w:pPr>
            <w:r w:rsidRPr="00F5723F">
              <w:t>UU</w:t>
            </w:r>
          </w:p>
        </w:tc>
        <w:tc>
          <w:tcPr>
            <w:tcW w:w="887" w:type="dxa"/>
            <w:tcBorders>
              <w:top w:val="nil"/>
              <w:bottom w:val="nil"/>
            </w:tcBorders>
            <w:shd w:val="clear" w:color="auto" w:fill="FFFFFF"/>
          </w:tcPr>
          <w:p w:rsidR="00B43C57" w:rsidRPr="00F5723F" w:rsidRDefault="00B43C57">
            <w:pPr>
              <w:pStyle w:val="Tabelltext"/>
              <w:rPr>
                <w:snapToGrid w:val="0"/>
              </w:rPr>
            </w:pPr>
            <w:r w:rsidRPr="00F5723F">
              <w:rPr>
                <w:snapToGrid w:val="0"/>
              </w:rPr>
              <w:t>66</w:t>
            </w:r>
          </w:p>
        </w:tc>
      </w:tr>
      <w:tr w:rsidR="00000000" w:rsidRPr="00F5723F">
        <w:tblPrEx>
          <w:tblCellMar>
            <w:top w:w="0" w:type="dxa"/>
            <w:bottom w:w="0" w:type="dxa"/>
          </w:tblCellMar>
        </w:tblPrEx>
        <w:trPr>
          <w:cantSplit/>
        </w:trPr>
        <w:tc>
          <w:tcPr>
            <w:tcW w:w="1063" w:type="dxa"/>
            <w:tcBorders>
              <w:top w:val="nil"/>
              <w:bottom w:val="nil"/>
            </w:tcBorders>
            <w:shd w:val="clear" w:color="auto" w:fill="FFFFFF"/>
          </w:tcPr>
          <w:p w:rsidR="00B43C57" w:rsidRPr="00F5723F" w:rsidRDefault="00B43C57">
            <w:pPr>
              <w:pStyle w:val="Tabelltext"/>
            </w:pPr>
            <w:r w:rsidRPr="00F5723F">
              <w:t>MJU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66</w:t>
            </w:r>
          </w:p>
        </w:tc>
        <w:tc>
          <w:tcPr>
            <w:tcW w:w="992" w:type="dxa"/>
            <w:tcBorders>
              <w:top w:val="nil"/>
              <w:bottom w:val="nil"/>
            </w:tcBorders>
            <w:shd w:val="clear" w:color="auto" w:fill="FFFFFF"/>
          </w:tcPr>
          <w:p w:rsidR="00B43C57" w:rsidRPr="00F5723F" w:rsidRDefault="00B43C57">
            <w:pPr>
              <w:pStyle w:val="Tabelltext"/>
            </w:pPr>
            <w:r w:rsidRPr="00F5723F">
              <w:t>MJU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63</w:t>
            </w:r>
          </w:p>
        </w:tc>
        <w:tc>
          <w:tcPr>
            <w:tcW w:w="1240" w:type="dxa"/>
            <w:tcBorders>
              <w:top w:val="nil"/>
              <w:bottom w:val="nil"/>
            </w:tcBorders>
            <w:shd w:val="clear" w:color="auto" w:fill="FFFFFF"/>
          </w:tcPr>
          <w:p w:rsidR="00B43C57" w:rsidRPr="00F5723F" w:rsidRDefault="00B43C57">
            <w:pPr>
              <w:pStyle w:val="Tabelltext"/>
            </w:pPr>
            <w:r w:rsidRPr="00F5723F">
              <w:t>MJU</w:t>
            </w:r>
          </w:p>
        </w:tc>
        <w:tc>
          <w:tcPr>
            <w:tcW w:w="887" w:type="dxa"/>
            <w:tcBorders>
              <w:top w:val="nil"/>
              <w:bottom w:val="nil"/>
            </w:tcBorders>
            <w:shd w:val="clear" w:color="auto" w:fill="FFFFFF"/>
          </w:tcPr>
          <w:p w:rsidR="00B43C57" w:rsidRPr="00F5723F" w:rsidRDefault="00B43C57">
            <w:pPr>
              <w:pStyle w:val="Tabelltext"/>
              <w:rPr>
                <w:snapToGrid w:val="0"/>
              </w:rPr>
            </w:pPr>
            <w:r w:rsidRPr="00F5723F">
              <w:rPr>
                <w:snapToGrid w:val="0"/>
              </w:rPr>
              <w:t>65</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pPr>
            <w:r w:rsidRPr="00F5723F">
              <w:t>UbU</w:t>
            </w:r>
          </w:p>
        </w:tc>
        <w:tc>
          <w:tcPr>
            <w:tcW w:w="992" w:type="dxa"/>
            <w:tcBorders>
              <w:top w:val="nil"/>
            </w:tcBorders>
          </w:tcPr>
          <w:p w:rsidR="00B43C57" w:rsidRPr="00F5723F" w:rsidRDefault="00B43C57">
            <w:pPr>
              <w:pStyle w:val="Tabelltext"/>
              <w:rPr>
                <w:snapToGrid w:val="0"/>
              </w:rPr>
            </w:pPr>
            <w:r w:rsidRPr="00F5723F">
              <w:rPr>
                <w:snapToGrid w:val="0"/>
              </w:rPr>
              <w:t>61</w:t>
            </w:r>
          </w:p>
        </w:tc>
        <w:tc>
          <w:tcPr>
            <w:tcW w:w="992" w:type="dxa"/>
            <w:tcBorders>
              <w:top w:val="nil"/>
              <w:bottom w:val="nil"/>
            </w:tcBorders>
            <w:shd w:val="clear" w:color="auto" w:fill="FFFFFF"/>
          </w:tcPr>
          <w:p w:rsidR="00B43C57" w:rsidRPr="00F5723F" w:rsidRDefault="00B43C57">
            <w:pPr>
              <w:pStyle w:val="Tabelltext"/>
            </w:pPr>
            <w:r w:rsidRPr="00F5723F">
              <w:t>SoU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61</w:t>
            </w:r>
          </w:p>
        </w:tc>
        <w:tc>
          <w:tcPr>
            <w:tcW w:w="1240" w:type="dxa"/>
            <w:tcBorders>
              <w:top w:val="nil"/>
              <w:bottom w:val="nil"/>
            </w:tcBorders>
            <w:shd w:val="pct35" w:color="auto" w:fill="FFFFFF"/>
          </w:tcPr>
          <w:p w:rsidR="00B43C57" w:rsidRPr="00F5723F" w:rsidRDefault="00B43C57">
            <w:pPr>
              <w:pStyle w:val="Tabelltext"/>
            </w:pPr>
            <w:r w:rsidRPr="00F5723F">
              <w:t>JuU</w:t>
            </w:r>
          </w:p>
        </w:tc>
        <w:tc>
          <w:tcPr>
            <w:tcW w:w="887" w:type="dxa"/>
            <w:tcBorders>
              <w:top w:val="nil"/>
              <w:bottom w:val="nil"/>
            </w:tcBorders>
            <w:shd w:val="pct35" w:color="auto" w:fill="FFFFFF"/>
          </w:tcPr>
          <w:p w:rsidR="00B43C57" w:rsidRPr="00F5723F" w:rsidRDefault="00B43C57">
            <w:pPr>
              <w:pStyle w:val="Tabelltext"/>
              <w:rPr>
                <w:snapToGrid w:val="0"/>
              </w:rPr>
            </w:pPr>
            <w:r w:rsidRPr="00F5723F">
              <w:rPr>
                <w:snapToGrid w:val="0"/>
              </w:rPr>
              <w:t>64</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pPr>
            <w:r w:rsidRPr="00F5723F">
              <w:t>UU</w:t>
            </w:r>
          </w:p>
        </w:tc>
        <w:tc>
          <w:tcPr>
            <w:tcW w:w="992" w:type="dxa"/>
          </w:tcPr>
          <w:p w:rsidR="00B43C57" w:rsidRPr="00F5723F" w:rsidRDefault="00B43C57">
            <w:pPr>
              <w:pStyle w:val="Tabelltext"/>
              <w:rPr>
                <w:snapToGrid w:val="0"/>
              </w:rPr>
            </w:pPr>
            <w:r w:rsidRPr="00F5723F">
              <w:rPr>
                <w:snapToGrid w:val="0"/>
              </w:rPr>
              <w:t>56</w:t>
            </w:r>
          </w:p>
        </w:tc>
        <w:tc>
          <w:tcPr>
            <w:tcW w:w="992" w:type="dxa"/>
            <w:tcBorders>
              <w:top w:val="nil"/>
              <w:bottom w:val="nil"/>
            </w:tcBorders>
            <w:shd w:val="clear" w:color="auto" w:fill="FFFFFF"/>
          </w:tcPr>
          <w:p w:rsidR="00B43C57" w:rsidRPr="00F5723F" w:rsidRDefault="00B43C57">
            <w:pPr>
              <w:pStyle w:val="Tabelltext"/>
            </w:pPr>
            <w:r w:rsidRPr="00F5723F">
              <w:t>UbU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55</w:t>
            </w:r>
          </w:p>
        </w:tc>
        <w:tc>
          <w:tcPr>
            <w:tcW w:w="1240" w:type="dxa"/>
            <w:tcBorders>
              <w:top w:val="nil"/>
              <w:bottom w:val="nil"/>
            </w:tcBorders>
            <w:shd w:val="clear" w:color="auto" w:fill="FFFFFF"/>
          </w:tcPr>
          <w:p w:rsidR="00B43C57" w:rsidRPr="00F5723F" w:rsidRDefault="00B43C57">
            <w:pPr>
              <w:pStyle w:val="Tabelltext"/>
            </w:pPr>
            <w:r w:rsidRPr="00F5723F">
              <w:t>SoU</w:t>
            </w:r>
          </w:p>
        </w:tc>
        <w:tc>
          <w:tcPr>
            <w:tcW w:w="887" w:type="dxa"/>
            <w:tcBorders>
              <w:top w:val="nil"/>
              <w:bottom w:val="nil"/>
            </w:tcBorders>
            <w:shd w:val="clear" w:color="auto" w:fill="FFFFFF"/>
          </w:tcPr>
          <w:p w:rsidR="00B43C57" w:rsidRPr="00F5723F" w:rsidRDefault="00B43C57">
            <w:pPr>
              <w:pStyle w:val="Tabelltext"/>
              <w:rPr>
                <w:snapToGrid w:val="0"/>
              </w:rPr>
            </w:pPr>
            <w:r w:rsidRPr="00F5723F">
              <w:rPr>
                <w:snapToGrid w:val="0"/>
              </w:rPr>
              <w:t>60</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pPr>
            <w:r w:rsidRPr="00F5723F">
              <w:t>SoU</w:t>
            </w:r>
          </w:p>
        </w:tc>
        <w:tc>
          <w:tcPr>
            <w:tcW w:w="992" w:type="dxa"/>
          </w:tcPr>
          <w:p w:rsidR="00B43C57" w:rsidRPr="00F5723F" w:rsidRDefault="00B43C57">
            <w:pPr>
              <w:pStyle w:val="Tabelltext"/>
              <w:rPr>
                <w:snapToGrid w:val="0"/>
              </w:rPr>
            </w:pPr>
            <w:r w:rsidRPr="00F5723F">
              <w:rPr>
                <w:snapToGrid w:val="0"/>
              </w:rPr>
              <w:t>49</w:t>
            </w:r>
          </w:p>
        </w:tc>
        <w:tc>
          <w:tcPr>
            <w:tcW w:w="992" w:type="dxa"/>
            <w:tcBorders>
              <w:top w:val="nil"/>
              <w:bottom w:val="nil"/>
            </w:tcBorders>
            <w:shd w:val="clear" w:color="auto" w:fill="FFFFFF"/>
          </w:tcPr>
          <w:p w:rsidR="00B43C57" w:rsidRPr="00F5723F" w:rsidRDefault="00B43C57">
            <w:pPr>
              <w:pStyle w:val="Tabelltext"/>
            </w:pPr>
            <w:r w:rsidRPr="00F5723F">
              <w:t>NU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52</w:t>
            </w:r>
          </w:p>
        </w:tc>
        <w:tc>
          <w:tcPr>
            <w:tcW w:w="1240" w:type="dxa"/>
            <w:tcBorders>
              <w:top w:val="nil"/>
              <w:bottom w:val="nil"/>
            </w:tcBorders>
            <w:shd w:val="clear" w:color="auto" w:fill="FFFFFF"/>
          </w:tcPr>
          <w:p w:rsidR="00B43C57" w:rsidRPr="00F5723F" w:rsidRDefault="00B43C57">
            <w:pPr>
              <w:pStyle w:val="Tabelltext"/>
            </w:pPr>
            <w:r w:rsidRPr="00F5723F">
              <w:t>NU</w:t>
            </w:r>
          </w:p>
        </w:tc>
        <w:tc>
          <w:tcPr>
            <w:tcW w:w="887" w:type="dxa"/>
            <w:tcBorders>
              <w:top w:val="nil"/>
              <w:bottom w:val="nil"/>
            </w:tcBorders>
            <w:shd w:val="clear" w:color="auto" w:fill="FFFFFF"/>
          </w:tcPr>
          <w:p w:rsidR="00B43C57" w:rsidRPr="00F5723F" w:rsidRDefault="00B43C57">
            <w:pPr>
              <w:pStyle w:val="Tabelltext"/>
              <w:rPr>
                <w:snapToGrid w:val="0"/>
              </w:rPr>
            </w:pPr>
            <w:r w:rsidRPr="00F5723F">
              <w:rPr>
                <w:snapToGrid w:val="0"/>
              </w:rPr>
              <w:t>58</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pPr>
            <w:r w:rsidRPr="00F5723F">
              <w:t>NU</w:t>
            </w:r>
          </w:p>
        </w:tc>
        <w:tc>
          <w:tcPr>
            <w:tcW w:w="992" w:type="dxa"/>
          </w:tcPr>
          <w:p w:rsidR="00B43C57" w:rsidRPr="00F5723F" w:rsidRDefault="00B43C57">
            <w:pPr>
              <w:pStyle w:val="Tabelltext"/>
              <w:rPr>
                <w:snapToGrid w:val="0"/>
              </w:rPr>
            </w:pPr>
            <w:r w:rsidRPr="00F5723F">
              <w:rPr>
                <w:snapToGrid w:val="0"/>
              </w:rPr>
              <w:t>49</w:t>
            </w:r>
          </w:p>
        </w:tc>
        <w:tc>
          <w:tcPr>
            <w:tcW w:w="992" w:type="dxa"/>
            <w:tcBorders>
              <w:top w:val="nil"/>
              <w:bottom w:val="nil"/>
            </w:tcBorders>
            <w:shd w:val="clear" w:color="auto" w:fill="FFFFFF"/>
          </w:tcPr>
          <w:p w:rsidR="00B43C57" w:rsidRPr="00F5723F" w:rsidRDefault="00B43C57">
            <w:pPr>
              <w:pStyle w:val="Tabelltext"/>
            </w:pPr>
            <w:r w:rsidRPr="00F5723F">
              <w:t>SfU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50</w:t>
            </w:r>
          </w:p>
        </w:tc>
        <w:tc>
          <w:tcPr>
            <w:tcW w:w="1240" w:type="dxa"/>
            <w:tcBorders>
              <w:top w:val="nil"/>
              <w:bottom w:val="nil"/>
            </w:tcBorders>
            <w:shd w:val="clear" w:color="auto" w:fill="000000"/>
          </w:tcPr>
          <w:p w:rsidR="00B43C57" w:rsidRPr="00F5723F" w:rsidRDefault="00B43C57">
            <w:pPr>
              <w:pStyle w:val="Tabelltext"/>
            </w:pPr>
            <w:r w:rsidRPr="00F5723F">
              <w:t>KrU</w:t>
            </w:r>
          </w:p>
        </w:tc>
        <w:tc>
          <w:tcPr>
            <w:tcW w:w="887" w:type="dxa"/>
            <w:tcBorders>
              <w:top w:val="nil"/>
              <w:bottom w:val="nil"/>
            </w:tcBorders>
            <w:shd w:val="clear" w:color="auto" w:fill="000000"/>
          </w:tcPr>
          <w:p w:rsidR="00B43C57" w:rsidRPr="00F5723F" w:rsidRDefault="00B43C57">
            <w:pPr>
              <w:pStyle w:val="Tabelltext"/>
              <w:rPr>
                <w:snapToGrid w:val="0"/>
              </w:rPr>
            </w:pPr>
            <w:r w:rsidRPr="00F5723F">
              <w:rPr>
                <w:snapToGrid w:val="0"/>
              </w:rPr>
              <w:t>50</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pPr>
            <w:r w:rsidRPr="00F5723F">
              <w:t>SfU</w:t>
            </w:r>
          </w:p>
        </w:tc>
        <w:tc>
          <w:tcPr>
            <w:tcW w:w="992" w:type="dxa"/>
            <w:tcBorders>
              <w:bottom w:val="nil"/>
            </w:tcBorders>
          </w:tcPr>
          <w:p w:rsidR="00B43C57" w:rsidRPr="00F5723F" w:rsidRDefault="00B43C57">
            <w:pPr>
              <w:pStyle w:val="Tabelltext"/>
              <w:rPr>
                <w:snapToGrid w:val="0"/>
              </w:rPr>
            </w:pPr>
            <w:r w:rsidRPr="00F5723F">
              <w:rPr>
                <w:snapToGrid w:val="0"/>
              </w:rPr>
              <w:t>47</w:t>
            </w:r>
          </w:p>
        </w:tc>
        <w:tc>
          <w:tcPr>
            <w:tcW w:w="992" w:type="dxa"/>
            <w:tcBorders>
              <w:top w:val="nil"/>
              <w:bottom w:val="nil"/>
            </w:tcBorders>
            <w:shd w:val="clear" w:color="auto" w:fill="000000"/>
          </w:tcPr>
          <w:p w:rsidR="00B43C57" w:rsidRPr="00F5723F" w:rsidRDefault="00B43C57">
            <w:pPr>
              <w:pStyle w:val="Tabelltext"/>
            </w:pPr>
            <w:r w:rsidRPr="00F5723F">
              <w:t>TU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49</w:t>
            </w:r>
          </w:p>
        </w:tc>
        <w:tc>
          <w:tcPr>
            <w:tcW w:w="1240" w:type="dxa"/>
            <w:tcBorders>
              <w:top w:val="nil"/>
              <w:bottom w:val="nil"/>
            </w:tcBorders>
            <w:shd w:val="clear" w:color="auto" w:fill="000000"/>
          </w:tcPr>
          <w:p w:rsidR="00B43C57" w:rsidRPr="00F5723F" w:rsidRDefault="00B43C57">
            <w:pPr>
              <w:pStyle w:val="Tabelltext"/>
            </w:pPr>
            <w:r w:rsidRPr="00F5723F">
              <w:t>TU</w:t>
            </w:r>
          </w:p>
        </w:tc>
        <w:tc>
          <w:tcPr>
            <w:tcW w:w="887" w:type="dxa"/>
            <w:tcBorders>
              <w:top w:val="nil"/>
              <w:bottom w:val="nil"/>
            </w:tcBorders>
            <w:shd w:val="clear" w:color="auto" w:fill="000000"/>
          </w:tcPr>
          <w:p w:rsidR="00B43C57" w:rsidRPr="00F5723F" w:rsidRDefault="00B43C57">
            <w:pPr>
              <w:pStyle w:val="Tabelltext"/>
              <w:rPr>
                <w:snapToGrid w:val="0"/>
              </w:rPr>
            </w:pPr>
            <w:r w:rsidRPr="00F5723F">
              <w:rPr>
                <w:snapToGrid w:val="0"/>
              </w:rPr>
              <w:t>49</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BoU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39</w:t>
            </w:r>
          </w:p>
        </w:tc>
        <w:tc>
          <w:tcPr>
            <w:tcW w:w="992" w:type="dxa"/>
            <w:tcBorders>
              <w:top w:val="nil"/>
              <w:bottom w:val="nil"/>
            </w:tcBorders>
            <w:shd w:val="clear" w:color="auto" w:fill="FFFFFF"/>
          </w:tcPr>
          <w:p w:rsidR="00B43C57" w:rsidRPr="00F5723F" w:rsidRDefault="00B43C57">
            <w:pPr>
              <w:pStyle w:val="Tabelltext"/>
            </w:pPr>
            <w:r w:rsidRPr="00F5723F">
              <w:t>UU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48</w:t>
            </w:r>
          </w:p>
        </w:tc>
        <w:tc>
          <w:tcPr>
            <w:tcW w:w="1240" w:type="dxa"/>
            <w:tcBorders>
              <w:top w:val="nil"/>
              <w:bottom w:val="nil"/>
            </w:tcBorders>
            <w:shd w:val="clear" w:color="auto" w:fill="FFFFFF"/>
          </w:tcPr>
          <w:p w:rsidR="00B43C57" w:rsidRPr="00F5723F" w:rsidRDefault="00B43C57">
            <w:pPr>
              <w:pStyle w:val="Tabelltext"/>
            </w:pPr>
            <w:r w:rsidRPr="00F5723F">
              <w:t>UbU</w:t>
            </w:r>
          </w:p>
        </w:tc>
        <w:tc>
          <w:tcPr>
            <w:tcW w:w="887" w:type="dxa"/>
            <w:tcBorders>
              <w:top w:val="nil"/>
              <w:bottom w:val="nil"/>
            </w:tcBorders>
            <w:shd w:val="clear" w:color="auto" w:fill="FFFFFF"/>
          </w:tcPr>
          <w:p w:rsidR="00B43C57" w:rsidRPr="00F5723F" w:rsidRDefault="00B43C57">
            <w:pPr>
              <w:pStyle w:val="Tabelltext"/>
              <w:rPr>
                <w:snapToGrid w:val="0"/>
              </w:rPr>
            </w:pPr>
            <w:r w:rsidRPr="00F5723F">
              <w:rPr>
                <w:snapToGrid w:val="0"/>
              </w:rPr>
              <w:t>46</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TU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34</w:t>
            </w:r>
          </w:p>
        </w:tc>
        <w:tc>
          <w:tcPr>
            <w:tcW w:w="992" w:type="dxa"/>
            <w:tcBorders>
              <w:top w:val="nil"/>
              <w:bottom w:val="nil"/>
            </w:tcBorders>
            <w:shd w:val="clear" w:color="auto" w:fill="000000"/>
          </w:tcPr>
          <w:p w:rsidR="00B43C57" w:rsidRPr="00F5723F" w:rsidRDefault="00B43C57">
            <w:pPr>
              <w:pStyle w:val="Tabelltext"/>
            </w:pPr>
            <w:r w:rsidRPr="00F5723F">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48</w:t>
            </w:r>
          </w:p>
        </w:tc>
        <w:tc>
          <w:tcPr>
            <w:tcW w:w="1240" w:type="dxa"/>
            <w:tcBorders>
              <w:top w:val="nil"/>
              <w:bottom w:val="nil"/>
            </w:tcBorders>
            <w:shd w:val="clear" w:color="auto" w:fill="000000"/>
          </w:tcPr>
          <w:p w:rsidR="00B43C57" w:rsidRPr="00F5723F" w:rsidRDefault="00B43C57">
            <w:pPr>
              <w:pStyle w:val="Tabelltext"/>
            </w:pPr>
            <w:r w:rsidRPr="00F5723F">
              <w:t>AU</w:t>
            </w:r>
          </w:p>
        </w:tc>
        <w:tc>
          <w:tcPr>
            <w:tcW w:w="887" w:type="dxa"/>
            <w:tcBorders>
              <w:top w:val="nil"/>
              <w:bottom w:val="nil"/>
            </w:tcBorders>
            <w:shd w:val="clear" w:color="auto" w:fill="000000"/>
          </w:tcPr>
          <w:p w:rsidR="00B43C57" w:rsidRPr="00F5723F" w:rsidRDefault="00B43C57">
            <w:pPr>
              <w:pStyle w:val="Tabelltext"/>
              <w:rPr>
                <w:snapToGrid w:val="0"/>
              </w:rPr>
            </w:pPr>
            <w:r w:rsidRPr="00F5723F">
              <w:rPr>
                <w:snapToGrid w:val="0"/>
              </w:rPr>
              <w:t>42</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27</w:t>
            </w:r>
          </w:p>
        </w:tc>
        <w:tc>
          <w:tcPr>
            <w:tcW w:w="992" w:type="dxa"/>
            <w:tcBorders>
              <w:top w:val="nil"/>
              <w:bottom w:val="nil"/>
            </w:tcBorders>
            <w:shd w:val="clear" w:color="auto" w:fill="000000"/>
          </w:tcPr>
          <w:p w:rsidR="00B43C57" w:rsidRPr="00F5723F" w:rsidRDefault="00B43C57">
            <w:pPr>
              <w:pStyle w:val="Tabelltext"/>
            </w:pPr>
            <w:r w:rsidRPr="00F5723F">
              <w:t>BoU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42</w:t>
            </w:r>
          </w:p>
        </w:tc>
        <w:tc>
          <w:tcPr>
            <w:tcW w:w="1240" w:type="dxa"/>
            <w:tcBorders>
              <w:top w:val="nil"/>
              <w:bottom w:val="nil"/>
            </w:tcBorders>
            <w:shd w:val="clear" w:color="auto" w:fill="FFFFFF"/>
          </w:tcPr>
          <w:p w:rsidR="00B43C57" w:rsidRPr="00F5723F" w:rsidRDefault="00B43C57">
            <w:pPr>
              <w:pStyle w:val="Tabelltext"/>
            </w:pPr>
            <w:r w:rsidRPr="00F5723F">
              <w:t>SfU</w:t>
            </w:r>
          </w:p>
        </w:tc>
        <w:tc>
          <w:tcPr>
            <w:tcW w:w="887" w:type="dxa"/>
            <w:tcBorders>
              <w:top w:val="nil"/>
              <w:bottom w:val="nil"/>
            </w:tcBorders>
            <w:shd w:val="clear" w:color="auto" w:fill="FFFFFF"/>
          </w:tcPr>
          <w:p w:rsidR="00B43C57" w:rsidRPr="00F5723F" w:rsidRDefault="00B43C57">
            <w:pPr>
              <w:pStyle w:val="Tabelltext"/>
              <w:rPr>
                <w:snapToGrid w:val="0"/>
              </w:rPr>
            </w:pPr>
            <w:r w:rsidRPr="00F5723F">
              <w:rPr>
                <w:snapToGrid w:val="0"/>
              </w:rPr>
              <w:t>40</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AU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24</w:t>
            </w:r>
          </w:p>
        </w:tc>
        <w:tc>
          <w:tcPr>
            <w:tcW w:w="992" w:type="dxa"/>
            <w:tcBorders>
              <w:top w:val="nil"/>
              <w:bottom w:val="nil"/>
            </w:tcBorders>
            <w:shd w:val="clear" w:color="auto" w:fill="000000"/>
          </w:tcPr>
          <w:p w:rsidR="00B43C57" w:rsidRPr="00F5723F" w:rsidRDefault="00B43C57">
            <w:pPr>
              <w:pStyle w:val="Tabelltext"/>
            </w:pPr>
            <w:r w:rsidRPr="00F5723F">
              <w:t>FöU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34</w:t>
            </w:r>
          </w:p>
        </w:tc>
        <w:tc>
          <w:tcPr>
            <w:tcW w:w="1240" w:type="dxa"/>
            <w:tcBorders>
              <w:top w:val="nil"/>
              <w:bottom w:val="nil"/>
            </w:tcBorders>
            <w:shd w:val="clear" w:color="auto" w:fill="000000"/>
          </w:tcPr>
          <w:p w:rsidR="00B43C57" w:rsidRPr="00F5723F" w:rsidRDefault="00B43C57">
            <w:pPr>
              <w:pStyle w:val="Tabelltext"/>
            </w:pPr>
            <w:r w:rsidRPr="00F5723F">
              <w:t>BoU</w:t>
            </w:r>
          </w:p>
        </w:tc>
        <w:tc>
          <w:tcPr>
            <w:tcW w:w="887" w:type="dxa"/>
            <w:tcBorders>
              <w:top w:val="nil"/>
              <w:bottom w:val="nil"/>
            </w:tcBorders>
            <w:shd w:val="clear" w:color="auto" w:fill="000000"/>
          </w:tcPr>
          <w:p w:rsidR="00B43C57" w:rsidRPr="00F5723F" w:rsidRDefault="00B43C57">
            <w:pPr>
              <w:pStyle w:val="Tabelltext"/>
              <w:rPr>
                <w:snapToGrid w:val="0"/>
              </w:rPr>
            </w:pPr>
            <w:r w:rsidRPr="00F5723F">
              <w:rPr>
                <w:snapToGrid w:val="0"/>
              </w:rPr>
              <w:t>40</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pPr>
            <w:r w:rsidRPr="00F5723F">
              <w:t>FöU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22</w:t>
            </w:r>
          </w:p>
        </w:tc>
        <w:tc>
          <w:tcPr>
            <w:tcW w:w="992" w:type="dxa"/>
            <w:tcBorders>
              <w:top w:val="nil"/>
              <w:bottom w:val="single" w:sz="4" w:space="0" w:color="auto"/>
            </w:tcBorders>
            <w:shd w:val="clear" w:color="auto" w:fill="000000"/>
          </w:tcPr>
          <w:p w:rsidR="00B43C57" w:rsidRPr="00F5723F" w:rsidRDefault="00B43C57">
            <w:pPr>
              <w:pStyle w:val="Tabelltext"/>
            </w:pPr>
            <w:r w:rsidRPr="00F5723F">
              <w:t>AU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33</w:t>
            </w:r>
          </w:p>
        </w:tc>
        <w:tc>
          <w:tcPr>
            <w:tcW w:w="1240" w:type="dxa"/>
            <w:tcBorders>
              <w:top w:val="nil"/>
              <w:bottom w:val="single" w:sz="4" w:space="0" w:color="auto"/>
            </w:tcBorders>
            <w:shd w:val="clear" w:color="auto" w:fill="000000"/>
          </w:tcPr>
          <w:p w:rsidR="00B43C57" w:rsidRPr="00F5723F" w:rsidRDefault="00B43C57">
            <w:pPr>
              <w:pStyle w:val="Tabelltext"/>
            </w:pPr>
            <w:r w:rsidRPr="00F5723F">
              <w:t>FöU</w:t>
            </w:r>
          </w:p>
        </w:tc>
        <w:tc>
          <w:tcPr>
            <w:tcW w:w="887"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20</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 xml:space="preserve">Kommentar: </w:t>
      </w:r>
      <w:r w:rsidRPr="00F5723F">
        <w:rPr>
          <w:rFonts w:ascii="Arial" w:hAnsi="Arial" w:cs="Arial"/>
          <w:sz w:val="16"/>
          <w:szCs w:val="16"/>
        </w:rPr>
        <w:t>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p>
    <w:p w:rsidR="00B43C57" w:rsidRPr="00F5723F" w:rsidRDefault="00B43C57">
      <w:pPr>
        <w:pStyle w:val="Normaltindrag"/>
      </w:pPr>
    </w:p>
    <w:p w:rsidR="00B43C57" w:rsidRPr="00F5723F" w:rsidRDefault="00B43C57">
      <w:r w:rsidRPr="00F5723F">
        <w:t>Vad gäller utskottens yttranden har, enligt tabell 9:7, konstitutionsutskottet varit mest belastat under första hälften av innevarande valperiod. Andra u</w:t>
      </w:r>
      <w:r w:rsidRPr="00F5723F">
        <w:t>t</w:t>
      </w:r>
      <w:r w:rsidRPr="00F5723F">
        <w:t>skott med hög belastning är trafik-, bostads- och socialutskotten. Minst bela</w:t>
      </w:r>
      <w:r w:rsidRPr="00F5723F">
        <w:t>s</w:t>
      </w:r>
      <w:r w:rsidRPr="00F5723F">
        <w:t xml:space="preserve">tade har varit lag- och näringsutskotten, som avgett en fjärdedel (25 procent) så många yttranden som det mest belastade utskottet. </w:t>
      </w:r>
    </w:p>
    <w:p w:rsidR="00B43C57" w:rsidRPr="00F5723F" w:rsidRDefault="00B43C57">
      <w:pPr>
        <w:pStyle w:val="Normaltindrag"/>
      </w:pPr>
      <w:r w:rsidRPr="00F5723F">
        <w:t>Sett över tid har rangordningen varierat kraftigt. Utskott som en valper</w:t>
      </w:r>
      <w:r w:rsidRPr="00F5723F">
        <w:t>i</w:t>
      </w:r>
      <w:r w:rsidRPr="00F5723F">
        <w:t>od tillhört de mest belastade tillhör nästföljande valperiod inte sällan de minst belastade, och vice versa. Ett exempel är trafikutskottet, som under föregåe</w:t>
      </w:r>
      <w:r w:rsidRPr="00F5723F">
        <w:t>n</w:t>
      </w:r>
      <w:r w:rsidRPr="00F5723F">
        <w:t>de valperiod avgav minst antal yttranden av samtliga utskott men som under första hälften av innevarande valperiod avgett näst flest yttra</w:t>
      </w:r>
      <w:r w:rsidRPr="00F5723F">
        <w:t>n</w:t>
      </w:r>
      <w:r w:rsidRPr="00F5723F">
        <w:t>den. Ett annat exempel är näringsutskottet, som under 1994/95–1997/98 avgav näst flest yttranden av samtliga utskott men som under innevarande valperiod avgett minst antal yttranden. För två utskott är rangordning</w:t>
      </w:r>
      <w:r w:rsidRPr="00F5723F">
        <w:t>en dock stabil över tid. Konstitutionsutskottet är under hela tioårsperioden det utskott som i geno</w:t>
      </w:r>
      <w:r w:rsidRPr="00F5723F">
        <w:t>m</w:t>
      </w:r>
      <w:r w:rsidRPr="00F5723F">
        <w:t>snitt avgett flest yttranden per riksmöte, medan lagu</w:t>
      </w:r>
      <w:r w:rsidRPr="00F5723F">
        <w:t>t</w:t>
      </w:r>
      <w:r w:rsidRPr="00F5723F">
        <w:t>skottet under samma period har avgett minst eller näst minst antal yttranden.</w:t>
      </w:r>
    </w:p>
    <w:p w:rsidR="00B43C57" w:rsidRPr="00F5723F" w:rsidRDefault="00B43C57">
      <w:pPr>
        <w:pStyle w:val="Normaltindrag"/>
      </w:pPr>
      <w:r w:rsidRPr="00F5723F">
        <w:t>En förklaring till att variationen över tid är så stor torde vara att antalet a</w:t>
      </w:r>
      <w:r w:rsidRPr="00F5723F">
        <w:t>v</w:t>
      </w:r>
      <w:r w:rsidRPr="00F5723F">
        <w:t>givna yttranden är förhållandevis få, särskilt under senare år. Som fra</w:t>
      </w:r>
      <w:r w:rsidRPr="00F5723F">
        <w:t>m</w:t>
      </w:r>
      <w:r w:rsidRPr="00F5723F">
        <w:t xml:space="preserve">gått i avsnittet Produktion ovan har under den innevarande valperiodens första hälft utskotten i genomsnitt avgett drygt tre yttranden per riksmöte. En ökning eller minskning i ett utskott med ett yttrande ger under sådana förhållanden stort utslag i tabellen. </w:t>
      </w:r>
    </w:p>
    <w:p w:rsidR="00B43C57" w:rsidRPr="00F5723F" w:rsidRDefault="00B43C57">
      <w:pPr>
        <w:pStyle w:val="Tabellrubrik"/>
      </w:pPr>
      <w:r w:rsidRPr="00F5723F">
        <w:t>Tabell 9:7 yttranden (rangordning, Procent)</w:t>
      </w:r>
    </w:p>
    <w:tbl>
      <w:tblPr>
        <w:tblW w:w="602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992"/>
        <w:gridCol w:w="993"/>
        <w:gridCol w:w="992"/>
      </w:tblGrid>
      <w:tr w:rsidR="00000000" w:rsidRPr="00F5723F">
        <w:tblPrEx>
          <w:tblCellMar>
            <w:top w:w="0" w:type="dxa"/>
            <w:bottom w:w="0" w:type="dxa"/>
          </w:tblCellMar>
        </w:tblPrEx>
        <w:trPr>
          <w:cantSplit/>
        </w:trPr>
        <w:tc>
          <w:tcPr>
            <w:tcW w:w="2055"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984" w:type="dxa"/>
            <w:gridSpan w:val="2"/>
            <w:tcBorders>
              <w:top w:val="single" w:sz="4" w:space="0" w:color="auto"/>
              <w:bottom w:val="nil"/>
            </w:tcBorders>
          </w:tcPr>
          <w:p w:rsidR="00B43C57" w:rsidRPr="00F5723F" w:rsidRDefault="00B43C57">
            <w:pPr>
              <w:pStyle w:val="Tabelltext"/>
              <w:jc w:val="center"/>
            </w:pPr>
            <w:r w:rsidRPr="00F5723F">
              <w:t>1998/99–2001/02</w:t>
            </w:r>
          </w:p>
        </w:tc>
        <w:tc>
          <w:tcPr>
            <w:tcW w:w="1985" w:type="dxa"/>
            <w:gridSpan w:val="2"/>
            <w:tcBorders>
              <w:top w:val="single" w:sz="4" w:space="0" w:color="auto"/>
              <w:bottom w:val="nil"/>
            </w:tcBorders>
          </w:tcPr>
          <w:p w:rsidR="00B43C57" w:rsidRPr="00F5723F" w:rsidRDefault="00B43C57">
            <w:pPr>
              <w:pStyle w:val="Tabelltext"/>
              <w:jc w:val="center"/>
            </w:pPr>
            <w:r w:rsidRPr="00F5723F">
              <w:t>1994/95–1997/98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2"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3"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KU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KU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KU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92</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94</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NU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83</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83</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91</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78</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75</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SkU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85</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SkU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76</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FöU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67</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70</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73</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AU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67</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BoU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67</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SoU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71</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rPr>
                <w:snapToGrid w:val="0"/>
              </w:rPr>
            </w:pPr>
            <w:r w:rsidRPr="00F5723F">
              <w:rPr>
                <w:snapToGrid w:val="0"/>
              </w:rPr>
              <w:t>SfU</w:t>
            </w:r>
          </w:p>
        </w:tc>
        <w:tc>
          <w:tcPr>
            <w:tcW w:w="992" w:type="dxa"/>
            <w:tcBorders>
              <w:top w:val="nil"/>
            </w:tcBorders>
          </w:tcPr>
          <w:p w:rsidR="00B43C57" w:rsidRPr="00F5723F" w:rsidRDefault="00B43C57">
            <w:pPr>
              <w:pStyle w:val="Tabelltext"/>
              <w:rPr>
                <w:snapToGrid w:val="0"/>
              </w:rPr>
            </w:pPr>
            <w:r w:rsidRPr="00F5723F">
              <w:rPr>
                <w:snapToGrid w:val="0"/>
              </w:rPr>
              <w:t>58</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64</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71</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FiU</w:t>
            </w:r>
          </w:p>
        </w:tc>
        <w:tc>
          <w:tcPr>
            <w:tcW w:w="992" w:type="dxa"/>
          </w:tcPr>
          <w:p w:rsidR="00B43C57" w:rsidRPr="00F5723F" w:rsidRDefault="00B43C57">
            <w:pPr>
              <w:pStyle w:val="Tabelltext"/>
              <w:rPr>
                <w:snapToGrid w:val="0"/>
              </w:rPr>
            </w:pPr>
            <w:r w:rsidRPr="00F5723F">
              <w:rPr>
                <w:snapToGrid w:val="0"/>
              </w:rPr>
              <w:t>50</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FöU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64</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68</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SkU</w:t>
            </w:r>
          </w:p>
        </w:tc>
        <w:tc>
          <w:tcPr>
            <w:tcW w:w="992" w:type="dxa"/>
          </w:tcPr>
          <w:p w:rsidR="00B43C57" w:rsidRPr="00F5723F" w:rsidRDefault="00B43C57">
            <w:pPr>
              <w:pStyle w:val="Tabelltext"/>
              <w:rPr>
                <w:snapToGrid w:val="0"/>
              </w:rPr>
            </w:pPr>
            <w:r w:rsidRPr="00F5723F">
              <w:rPr>
                <w:snapToGrid w:val="0"/>
              </w:rPr>
              <w:t>50</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FiU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61</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AU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63</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JuU</w:t>
            </w:r>
          </w:p>
        </w:tc>
        <w:tc>
          <w:tcPr>
            <w:tcW w:w="992" w:type="dxa"/>
          </w:tcPr>
          <w:p w:rsidR="00B43C57" w:rsidRPr="00F5723F" w:rsidRDefault="00B43C57">
            <w:pPr>
              <w:pStyle w:val="Tabelltext"/>
              <w:rPr>
                <w:snapToGrid w:val="0"/>
              </w:rPr>
            </w:pPr>
            <w:r w:rsidRPr="00F5723F">
              <w:rPr>
                <w:snapToGrid w:val="0"/>
              </w:rPr>
              <w:t>50</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48</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59</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rPr>
                <w:snapToGrid w:val="0"/>
              </w:rPr>
            </w:pPr>
            <w:r w:rsidRPr="00F5723F">
              <w:rPr>
                <w:snapToGrid w:val="0"/>
              </w:rPr>
              <w:t>MJU</w:t>
            </w:r>
          </w:p>
        </w:tc>
        <w:tc>
          <w:tcPr>
            <w:tcW w:w="992" w:type="dxa"/>
            <w:tcBorders>
              <w:bottom w:val="nil"/>
            </w:tcBorders>
          </w:tcPr>
          <w:p w:rsidR="00B43C57" w:rsidRPr="00F5723F" w:rsidRDefault="00B43C57">
            <w:pPr>
              <w:pStyle w:val="Tabelltext"/>
              <w:rPr>
                <w:snapToGrid w:val="0"/>
              </w:rPr>
            </w:pPr>
            <w:r w:rsidRPr="00F5723F">
              <w:rPr>
                <w:snapToGrid w:val="0"/>
              </w:rPr>
              <w:t>50</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NU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48</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MJU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54</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42</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45</w:t>
            </w:r>
          </w:p>
        </w:tc>
        <w:tc>
          <w:tcPr>
            <w:tcW w:w="993" w:type="dxa"/>
            <w:tcBorders>
              <w:top w:val="nil"/>
              <w:bottom w:val="nil"/>
            </w:tcBorders>
            <w:shd w:val="clear" w:color="auto" w:fill="000000"/>
          </w:tcPr>
          <w:p w:rsidR="00B43C57" w:rsidRPr="00F5723F" w:rsidRDefault="00B43C57">
            <w:pPr>
              <w:pStyle w:val="Tabelltext"/>
              <w:rPr>
                <w:snapToGrid w:val="0"/>
              </w:rPr>
            </w:pPr>
            <w:r w:rsidRPr="00F5723F">
              <w:rPr>
                <w:snapToGrid w:val="0"/>
              </w:rPr>
              <w:t>UU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51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33</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MJU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39</w:t>
            </w:r>
          </w:p>
        </w:tc>
        <w:tc>
          <w:tcPr>
            <w:tcW w:w="993" w:type="dxa"/>
            <w:tcBorders>
              <w:top w:val="nil"/>
              <w:bottom w:val="nil"/>
            </w:tcBorders>
            <w:shd w:val="clear" w:color="auto" w:fill="FFFFFF"/>
          </w:tcPr>
          <w:p w:rsidR="00B43C57" w:rsidRPr="00F5723F" w:rsidRDefault="00B43C57">
            <w:pPr>
              <w:pStyle w:val="Tabelltext"/>
              <w:rPr>
                <w:snapToGrid w:val="0"/>
              </w:rPr>
            </w:pPr>
            <w:r w:rsidRPr="00F5723F">
              <w:rPr>
                <w:snapToGrid w:val="0"/>
              </w:rPr>
              <w:t>FiU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41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33</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AU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39</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FöU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25</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33</w:t>
            </w:r>
          </w:p>
        </w:tc>
        <w:tc>
          <w:tcPr>
            <w:tcW w:w="993"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41</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NU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25</w:t>
            </w:r>
          </w:p>
        </w:tc>
        <w:tc>
          <w:tcPr>
            <w:tcW w:w="992" w:type="dxa"/>
            <w:tcBorders>
              <w:top w:val="nil"/>
              <w:bottom w:val="single" w:sz="4" w:space="0" w:color="auto"/>
            </w:tcBorders>
            <w:shd w:val="pct35" w:color="auto" w:fill="FFFFFF"/>
          </w:tcPr>
          <w:p w:rsidR="00B43C57" w:rsidRPr="00F5723F" w:rsidRDefault="00B43C57">
            <w:pPr>
              <w:pStyle w:val="Tabelltext"/>
              <w:rPr>
                <w:snapToGrid w:val="0"/>
              </w:rPr>
            </w:pPr>
            <w:r w:rsidRPr="00F5723F">
              <w:rPr>
                <w:snapToGrid w:val="0"/>
              </w:rPr>
              <w:t>TU</w:t>
            </w:r>
          </w:p>
        </w:tc>
        <w:tc>
          <w:tcPr>
            <w:tcW w:w="992" w:type="dxa"/>
            <w:tcBorders>
              <w:top w:val="nil"/>
              <w:bottom w:val="single" w:sz="4" w:space="0" w:color="auto"/>
            </w:tcBorders>
            <w:shd w:val="pct35" w:color="auto" w:fill="FFFFFF"/>
          </w:tcPr>
          <w:p w:rsidR="00B43C57" w:rsidRPr="00F5723F" w:rsidRDefault="00B43C57">
            <w:pPr>
              <w:pStyle w:val="Tabelltext"/>
              <w:rPr>
                <w:snapToGrid w:val="0"/>
              </w:rPr>
            </w:pPr>
            <w:r w:rsidRPr="00F5723F">
              <w:rPr>
                <w:snapToGrid w:val="0"/>
              </w:rPr>
              <w:t>30</w:t>
            </w:r>
          </w:p>
        </w:tc>
        <w:tc>
          <w:tcPr>
            <w:tcW w:w="99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LU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34</w:t>
            </w:r>
          </w:p>
        </w:tc>
      </w:tr>
    </w:tbl>
    <w:p w:rsidR="00B43C57" w:rsidRPr="00F5723F" w:rsidRDefault="00B43C57">
      <w:pPr>
        <w:spacing w:line="240" w:lineRule="auto"/>
        <w:rPr>
          <w:sz w:val="16"/>
          <w:szCs w:val="16"/>
        </w:rPr>
      </w:pPr>
      <w:r w:rsidRPr="00F5723F">
        <w:rPr>
          <w:rFonts w:ascii="Arial" w:hAnsi="Arial" w:cs="Arial"/>
          <w:b/>
          <w:sz w:val="16"/>
          <w:szCs w:val="16"/>
        </w:rPr>
        <w:t>Kommentar:</w:t>
      </w:r>
      <w:r w:rsidRPr="00F5723F">
        <w:rPr>
          <w:rFonts w:ascii="Arial" w:hAnsi="Arial" w:cs="Arial"/>
          <w:sz w:val="16"/>
          <w:szCs w:val="16"/>
        </w:rPr>
        <w:t xml:space="preserve"> 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r w:rsidRPr="00F5723F">
        <w:rPr>
          <w:sz w:val="16"/>
          <w:szCs w:val="16"/>
        </w:rPr>
        <w:t>.</w:t>
      </w:r>
    </w:p>
    <w:p w:rsidR="00B43C57" w:rsidRPr="00F5723F" w:rsidRDefault="00B43C57">
      <w:pPr>
        <w:pStyle w:val="Normaltindrag"/>
      </w:pPr>
    </w:p>
    <w:p w:rsidR="00B43C57" w:rsidRPr="00F5723F" w:rsidRDefault="00B43C57">
      <w:r w:rsidRPr="00F5723F">
        <w:t>En osäkerhet i att studera antal avlämnade utskottsbetänkanden och även antal yttranden är att de kan variera i storlek. Till exempel kan ett utskott välja att behandla ett stort antal motioner i ett betänkande, medan ett annat väljer att dela upp motioner som teoretiskt skulle kunna behandlas i ett sa</w:t>
      </w:r>
      <w:r w:rsidRPr="00F5723F">
        <w:t>m</w:t>
      </w:r>
      <w:r w:rsidRPr="00F5723F">
        <w:t>manhang på flera betänkanden. Ett alternativ till att studera antal utskottsb</w:t>
      </w:r>
      <w:r w:rsidRPr="00F5723F">
        <w:t>e</w:t>
      </w:r>
      <w:r w:rsidRPr="00F5723F">
        <w:t>tänkanden och yttranden kan vara att studera deras sidantal i rik</w:t>
      </w:r>
      <w:r w:rsidRPr="00F5723F">
        <w:t>s</w:t>
      </w:r>
      <w:r w:rsidRPr="00F5723F">
        <w:t>dagstrycket, vilket i större utsträckning tar hänsyn till betänkandenas och yttrandenas storlek.</w:t>
      </w:r>
    </w:p>
    <w:p w:rsidR="00B43C57" w:rsidRPr="00F5723F" w:rsidRDefault="00B43C57">
      <w:pPr>
        <w:pStyle w:val="Normaltindrag"/>
      </w:pPr>
      <w:r w:rsidRPr="00F5723F">
        <w:t>När detta studeras är bilden delvis densamma som när antalet utskotts</w:t>
      </w:r>
      <w:r w:rsidRPr="00F5723F">
        <w:softHyphen/>
        <w:t>betänkanden studeras, vilket framgår av tabell 9:8; antalet yttranden har mindre betydelse i sammanhanget eftersom de totalt sett utgör endast en liten del av sidantalet i riksdagstrycket. Flest trycksidor per riksmöte prod</w:t>
      </w:r>
      <w:r w:rsidRPr="00F5723F">
        <w:t>u</w:t>
      </w:r>
      <w:r w:rsidRPr="00F5723F">
        <w:t>cerar konstitutions- och finansutskotten. Till en del förklaras detta av deras grans</w:t>
      </w:r>
      <w:r w:rsidRPr="00F5723F">
        <w:t>k</w:t>
      </w:r>
      <w:r w:rsidRPr="00F5723F">
        <w:t>nings- respektive budgetbetänkanden, som bland annat innehåller omfattande bilag</w:t>
      </w:r>
      <w:r w:rsidRPr="00F5723F">
        <w:t>e</w:t>
      </w:r>
      <w:r w:rsidRPr="00F5723F">
        <w:t>delar. Ett annat högt belastat utskott är skatteutskottet. Minst belastat är fö</w:t>
      </w:r>
      <w:r w:rsidRPr="00F5723F">
        <w:t>r</w:t>
      </w:r>
      <w:r w:rsidRPr="00F5723F">
        <w:t>svarsutskottet. Under innevarande valperi</w:t>
      </w:r>
      <w:r w:rsidRPr="00F5723F">
        <w:t>ods första hälft motsvarar detta utskotts produktion av trycksidor en sjundedel (14 procent) av det med störst bel</w:t>
      </w:r>
      <w:r w:rsidRPr="00F5723F">
        <w:t>a</w:t>
      </w:r>
      <w:r w:rsidRPr="00F5723F">
        <w:t>sting. Kultur- och bostadsutskottens produktion av trycksidor motsvarar me</w:t>
      </w:r>
      <w:r w:rsidRPr="00F5723F">
        <w:t>l</w:t>
      </w:r>
      <w:r w:rsidRPr="00F5723F">
        <w:t>lan ungefär en femtedel och en fjärdedel av det mest belastade utskottets produ</w:t>
      </w:r>
      <w:r w:rsidRPr="00F5723F">
        <w:t>k</w:t>
      </w:r>
      <w:r w:rsidRPr="00F5723F">
        <w:t>tion.</w:t>
      </w: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Tabellrubrik"/>
      </w:pPr>
      <w:r w:rsidRPr="00F5723F">
        <w:t>Tabell 9:8 trycksidor (rangordning, Procent)</w:t>
      </w:r>
    </w:p>
    <w:tbl>
      <w:tblPr>
        <w:tblW w:w="5953"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850"/>
        <w:gridCol w:w="1240"/>
        <w:gridCol w:w="1241"/>
      </w:tblGrid>
      <w:tr w:rsidR="00000000" w:rsidRPr="00F5723F">
        <w:tblPrEx>
          <w:tblCellMar>
            <w:top w:w="0" w:type="dxa"/>
            <w:bottom w:w="0" w:type="dxa"/>
          </w:tblCellMar>
        </w:tblPrEx>
        <w:trPr>
          <w:cantSplit/>
        </w:trPr>
        <w:tc>
          <w:tcPr>
            <w:tcW w:w="1771"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701" w:type="dxa"/>
            <w:gridSpan w:val="2"/>
            <w:tcBorders>
              <w:top w:val="single" w:sz="4" w:space="0" w:color="auto"/>
              <w:bottom w:val="nil"/>
            </w:tcBorders>
          </w:tcPr>
          <w:p w:rsidR="00B43C57" w:rsidRPr="00F5723F" w:rsidRDefault="00B43C57">
            <w:pPr>
              <w:pStyle w:val="Tabelltext"/>
              <w:jc w:val="center"/>
            </w:pPr>
            <w:r w:rsidRPr="00F5723F">
              <w:t>1998/99–2001/02</w:t>
            </w:r>
          </w:p>
        </w:tc>
        <w:tc>
          <w:tcPr>
            <w:tcW w:w="2481" w:type="dxa"/>
            <w:gridSpan w:val="2"/>
            <w:tcBorders>
              <w:top w:val="single" w:sz="4" w:space="0" w:color="auto"/>
              <w:bottom w:val="nil"/>
            </w:tcBorders>
          </w:tcPr>
          <w:p w:rsidR="00B43C57" w:rsidRPr="00F5723F" w:rsidRDefault="00B43C57">
            <w:pPr>
              <w:pStyle w:val="Tabelltext"/>
              <w:jc w:val="center"/>
            </w:pPr>
            <w:r w:rsidRPr="00F5723F">
              <w:t>1994/95–1997/98</w:t>
            </w:r>
          </w:p>
        </w:tc>
      </w:tr>
      <w:tr w:rsidR="00000000" w:rsidRPr="00F5723F">
        <w:tblPrEx>
          <w:tblCellMar>
            <w:top w:w="0" w:type="dxa"/>
            <w:bottom w:w="0" w:type="dxa"/>
          </w:tblCellMar>
        </w:tblPrEx>
        <w:trPr>
          <w:cantSplit/>
        </w:trPr>
        <w:tc>
          <w:tcPr>
            <w:tcW w:w="921" w:type="dxa"/>
            <w:tcBorders>
              <w:top w:val="nil"/>
              <w:bottom w:val="single" w:sz="4" w:space="0" w:color="auto"/>
            </w:tcBorders>
          </w:tcPr>
          <w:p w:rsidR="00B43C57" w:rsidRPr="00F5723F" w:rsidRDefault="00B43C57">
            <w:pPr>
              <w:pStyle w:val="Tabelltext"/>
            </w:pPr>
            <w:r w:rsidRPr="00F5723F">
              <w:t>Utskott</w:t>
            </w:r>
          </w:p>
        </w:tc>
        <w:tc>
          <w:tcPr>
            <w:tcW w:w="850" w:type="dxa"/>
            <w:tcBorders>
              <w:top w:val="nil"/>
              <w:bottom w:val="single" w:sz="4" w:space="0" w:color="auto"/>
            </w:tcBorders>
          </w:tcPr>
          <w:p w:rsidR="00B43C57" w:rsidRPr="00F5723F" w:rsidRDefault="00B43C57">
            <w:pPr>
              <w:pStyle w:val="Tabelltext"/>
            </w:pPr>
            <w:r w:rsidRPr="00F5723F">
              <w:t>Procent</w:t>
            </w:r>
          </w:p>
        </w:tc>
        <w:tc>
          <w:tcPr>
            <w:tcW w:w="851" w:type="dxa"/>
            <w:tcBorders>
              <w:top w:val="nil"/>
              <w:bottom w:val="single" w:sz="4" w:space="0" w:color="auto"/>
            </w:tcBorders>
          </w:tcPr>
          <w:p w:rsidR="00B43C57" w:rsidRPr="00F5723F" w:rsidRDefault="00B43C57">
            <w:pPr>
              <w:pStyle w:val="Tabelltext"/>
            </w:pPr>
            <w:r w:rsidRPr="00F5723F">
              <w:t>Utskott</w:t>
            </w:r>
          </w:p>
        </w:tc>
        <w:tc>
          <w:tcPr>
            <w:tcW w:w="850" w:type="dxa"/>
            <w:tcBorders>
              <w:top w:val="nil"/>
              <w:bottom w:val="single" w:sz="4" w:space="0" w:color="auto"/>
            </w:tcBorders>
          </w:tcPr>
          <w:p w:rsidR="00B43C57" w:rsidRPr="00F5723F" w:rsidRDefault="00B43C57">
            <w:pPr>
              <w:pStyle w:val="Tabelltext"/>
            </w:pPr>
            <w:r w:rsidRPr="00F5723F">
              <w:t>Procent</w:t>
            </w:r>
          </w:p>
        </w:tc>
        <w:tc>
          <w:tcPr>
            <w:tcW w:w="1240" w:type="dxa"/>
            <w:tcBorders>
              <w:top w:val="nil"/>
              <w:bottom w:val="single" w:sz="4" w:space="0" w:color="auto"/>
            </w:tcBorders>
          </w:tcPr>
          <w:p w:rsidR="00B43C57" w:rsidRPr="00F5723F" w:rsidRDefault="00B43C57">
            <w:pPr>
              <w:pStyle w:val="Tabelltext"/>
            </w:pPr>
            <w:r w:rsidRPr="00F5723F">
              <w:t>Utskott</w:t>
            </w:r>
          </w:p>
        </w:tc>
        <w:tc>
          <w:tcPr>
            <w:tcW w:w="1241"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921" w:type="dxa"/>
            <w:tcBorders>
              <w:top w:val="single" w:sz="4" w:space="0" w:color="auto"/>
              <w:bottom w:val="nil"/>
            </w:tcBorders>
            <w:shd w:val="pct35" w:color="auto" w:fill="FFFFFF"/>
          </w:tcPr>
          <w:p w:rsidR="00B43C57" w:rsidRPr="00F5723F" w:rsidRDefault="00B43C57">
            <w:pPr>
              <w:pStyle w:val="Tabelltext"/>
            </w:pPr>
            <w:r w:rsidRPr="00F5723F">
              <w:t xml:space="preserve">KU </w:t>
            </w:r>
          </w:p>
        </w:tc>
        <w:tc>
          <w:tcPr>
            <w:tcW w:w="850"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851" w:type="dxa"/>
            <w:tcBorders>
              <w:top w:val="single" w:sz="4" w:space="0" w:color="auto"/>
              <w:bottom w:val="nil"/>
            </w:tcBorders>
            <w:shd w:val="pct35" w:color="auto" w:fill="FFFFFF"/>
          </w:tcPr>
          <w:p w:rsidR="00B43C57" w:rsidRPr="00F5723F" w:rsidRDefault="00B43C57">
            <w:pPr>
              <w:pStyle w:val="Tabelltext"/>
            </w:pPr>
            <w:r w:rsidRPr="00F5723F">
              <w:t xml:space="preserve">KU </w:t>
            </w:r>
          </w:p>
        </w:tc>
        <w:tc>
          <w:tcPr>
            <w:tcW w:w="850"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240" w:type="dxa"/>
            <w:tcBorders>
              <w:top w:val="single" w:sz="4" w:space="0" w:color="auto"/>
              <w:bottom w:val="nil"/>
            </w:tcBorders>
            <w:shd w:val="pct35" w:color="auto" w:fill="FFFFFF"/>
          </w:tcPr>
          <w:p w:rsidR="00B43C57" w:rsidRPr="00F5723F" w:rsidRDefault="00B43C57">
            <w:pPr>
              <w:pStyle w:val="Tabelltext"/>
            </w:pPr>
            <w:r w:rsidRPr="00F5723F">
              <w:t xml:space="preserve">KU </w:t>
            </w:r>
          </w:p>
        </w:tc>
        <w:tc>
          <w:tcPr>
            <w:tcW w:w="1241"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921" w:type="dxa"/>
            <w:tcBorders>
              <w:top w:val="nil"/>
              <w:bottom w:val="nil"/>
            </w:tcBorders>
            <w:shd w:val="pct35" w:color="auto" w:fill="FFFFFF"/>
          </w:tcPr>
          <w:p w:rsidR="00B43C57" w:rsidRPr="00F5723F" w:rsidRDefault="00B43C57">
            <w:pPr>
              <w:pStyle w:val="Tabelltext"/>
            </w:pPr>
            <w:r w:rsidRPr="00F5723F">
              <w:t xml:space="preserve">FiU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97</w:t>
            </w:r>
          </w:p>
        </w:tc>
        <w:tc>
          <w:tcPr>
            <w:tcW w:w="851" w:type="dxa"/>
            <w:tcBorders>
              <w:top w:val="nil"/>
              <w:bottom w:val="nil"/>
            </w:tcBorders>
            <w:shd w:val="pct35" w:color="auto" w:fill="FFFFFF"/>
          </w:tcPr>
          <w:p w:rsidR="00B43C57" w:rsidRPr="00F5723F" w:rsidRDefault="00B43C57">
            <w:pPr>
              <w:pStyle w:val="Tabelltext"/>
            </w:pPr>
            <w:r w:rsidRPr="00F5723F">
              <w:t xml:space="preserve">FiU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99</w:t>
            </w:r>
          </w:p>
        </w:tc>
        <w:tc>
          <w:tcPr>
            <w:tcW w:w="1240" w:type="dxa"/>
            <w:tcBorders>
              <w:top w:val="nil"/>
              <w:bottom w:val="nil"/>
            </w:tcBorders>
            <w:shd w:val="pct35" w:color="auto" w:fill="FFFFFF"/>
          </w:tcPr>
          <w:p w:rsidR="00B43C57" w:rsidRPr="00F5723F" w:rsidRDefault="00B43C57">
            <w:pPr>
              <w:pStyle w:val="Tabelltext"/>
            </w:pPr>
            <w:r w:rsidRPr="00F5723F">
              <w:t xml:space="preserve">FiU </w:t>
            </w:r>
          </w:p>
        </w:tc>
        <w:tc>
          <w:tcPr>
            <w:tcW w:w="1241" w:type="dxa"/>
            <w:tcBorders>
              <w:top w:val="nil"/>
              <w:bottom w:val="nil"/>
            </w:tcBorders>
            <w:shd w:val="pct35" w:color="auto" w:fill="FFFFFF"/>
          </w:tcPr>
          <w:p w:rsidR="00B43C57" w:rsidRPr="00F5723F" w:rsidRDefault="00B43C57">
            <w:pPr>
              <w:pStyle w:val="Tabelltext"/>
              <w:rPr>
                <w:snapToGrid w:val="0"/>
              </w:rPr>
            </w:pPr>
            <w:r w:rsidRPr="00F5723F">
              <w:rPr>
                <w:snapToGrid w:val="0"/>
              </w:rPr>
              <w:t>95</w:t>
            </w:r>
          </w:p>
        </w:tc>
      </w:tr>
      <w:tr w:rsidR="00000000" w:rsidRPr="00F5723F">
        <w:tblPrEx>
          <w:tblCellMar>
            <w:top w:w="0" w:type="dxa"/>
            <w:bottom w:w="0" w:type="dxa"/>
          </w:tblCellMar>
        </w:tblPrEx>
        <w:trPr>
          <w:cantSplit/>
        </w:trPr>
        <w:tc>
          <w:tcPr>
            <w:tcW w:w="921" w:type="dxa"/>
            <w:tcBorders>
              <w:top w:val="nil"/>
              <w:bottom w:val="nil"/>
            </w:tcBorders>
            <w:shd w:val="pct35" w:color="auto" w:fill="FFFFFF"/>
          </w:tcPr>
          <w:p w:rsidR="00B43C57" w:rsidRPr="00F5723F" w:rsidRDefault="00B43C57">
            <w:pPr>
              <w:pStyle w:val="Tabelltext"/>
            </w:pPr>
            <w:r w:rsidRPr="00F5723F">
              <w:t xml:space="preserve">SkU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60</w:t>
            </w:r>
          </w:p>
        </w:tc>
        <w:tc>
          <w:tcPr>
            <w:tcW w:w="851" w:type="dxa"/>
            <w:tcBorders>
              <w:top w:val="nil"/>
              <w:bottom w:val="nil"/>
            </w:tcBorders>
            <w:shd w:val="clear" w:color="auto" w:fill="FFFFFF"/>
          </w:tcPr>
          <w:p w:rsidR="00B43C57" w:rsidRPr="00F5723F" w:rsidRDefault="00B43C57">
            <w:pPr>
              <w:pStyle w:val="Tabelltext"/>
            </w:pPr>
            <w:r w:rsidRPr="00F5723F">
              <w:t xml:space="preserve">SoU </w:t>
            </w:r>
          </w:p>
        </w:tc>
        <w:tc>
          <w:tcPr>
            <w:tcW w:w="850" w:type="dxa"/>
            <w:tcBorders>
              <w:top w:val="nil"/>
              <w:bottom w:val="nil"/>
            </w:tcBorders>
            <w:shd w:val="clear" w:color="auto" w:fill="FFFFFF"/>
          </w:tcPr>
          <w:p w:rsidR="00B43C57" w:rsidRPr="00F5723F" w:rsidRDefault="00B43C57">
            <w:pPr>
              <w:pStyle w:val="Tabelltext"/>
              <w:rPr>
                <w:snapToGrid w:val="0"/>
              </w:rPr>
            </w:pPr>
            <w:r w:rsidRPr="00F5723F">
              <w:rPr>
                <w:snapToGrid w:val="0"/>
              </w:rPr>
              <w:t>51</w:t>
            </w:r>
          </w:p>
        </w:tc>
        <w:tc>
          <w:tcPr>
            <w:tcW w:w="1240" w:type="dxa"/>
            <w:tcBorders>
              <w:top w:val="nil"/>
              <w:bottom w:val="nil"/>
            </w:tcBorders>
            <w:shd w:val="clear" w:color="auto" w:fill="FFFFFF"/>
          </w:tcPr>
          <w:p w:rsidR="00B43C57" w:rsidRPr="00F5723F" w:rsidRDefault="00B43C57">
            <w:pPr>
              <w:pStyle w:val="Tabelltext"/>
            </w:pPr>
            <w:r w:rsidRPr="00F5723F">
              <w:t xml:space="preserve">UU </w:t>
            </w:r>
          </w:p>
        </w:tc>
        <w:tc>
          <w:tcPr>
            <w:tcW w:w="1241" w:type="dxa"/>
            <w:tcBorders>
              <w:top w:val="nil"/>
              <w:bottom w:val="nil"/>
            </w:tcBorders>
            <w:shd w:val="clear" w:color="auto" w:fill="FFFFFF"/>
          </w:tcPr>
          <w:p w:rsidR="00B43C57" w:rsidRPr="00F5723F" w:rsidRDefault="00B43C57">
            <w:pPr>
              <w:pStyle w:val="Tabelltext"/>
              <w:rPr>
                <w:snapToGrid w:val="0"/>
              </w:rPr>
            </w:pPr>
            <w:r w:rsidRPr="00F5723F">
              <w:rPr>
                <w:snapToGrid w:val="0"/>
              </w:rPr>
              <w:t>51</w:t>
            </w:r>
          </w:p>
        </w:tc>
      </w:tr>
      <w:tr w:rsidR="00000000" w:rsidRPr="00F5723F">
        <w:tblPrEx>
          <w:tblCellMar>
            <w:top w:w="0" w:type="dxa"/>
            <w:bottom w:w="0" w:type="dxa"/>
          </w:tblCellMar>
        </w:tblPrEx>
        <w:trPr>
          <w:cantSplit/>
        </w:trPr>
        <w:tc>
          <w:tcPr>
            <w:tcW w:w="921" w:type="dxa"/>
            <w:tcBorders>
              <w:top w:val="nil"/>
              <w:bottom w:val="nil"/>
            </w:tcBorders>
            <w:shd w:val="pct35" w:color="auto" w:fill="FFFFFF"/>
          </w:tcPr>
          <w:p w:rsidR="00B43C57" w:rsidRPr="00F5723F" w:rsidRDefault="00B43C57">
            <w:pPr>
              <w:pStyle w:val="Tabelltext"/>
            </w:pPr>
            <w:r w:rsidRPr="00F5723F">
              <w:t xml:space="preserve">UbU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46</w:t>
            </w:r>
          </w:p>
        </w:tc>
        <w:tc>
          <w:tcPr>
            <w:tcW w:w="851" w:type="dxa"/>
            <w:tcBorders>
              <w:top w:val="nil"/>
              <w:bottom w:val="nil"/>
            </w:tcBorders>
            <w:shd w:val="pct35" w:color="auto" w:fill="FFFFFF"/>
          </w:tcPr>
          <w:p w:rsidR="00B43C57" w:rsidRPr="00F5723F" w:rsidRDefault="00B43C57">
            <w:pPr>
              <w:pStyle w:val="Tabelltext"/>
            </w:pPr>
            <w:r w:rsidRPr="00F5723F">
              <w:t xml:space="preserve">SkU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50</w:t>
            </w:r>
          </w:p>
        </w:tc>
        <w:tc>
          <w:tcPr>
            <w:tcW w:w="1240" w:type="dxa"/>
            <w:tcBorders>
              <w:top w:val="nil"/>
              <w:bottom w:val="nil"/>
            </w:tcBorders>
            <w:shd w:val="clear" w:color="auto" w:fill="FFFFFF"/>
          </w:tcPr>
          <w:p w:rsidR="00B43C57" w:rsidRPr="00F5723F" w:rsidRDefault="00B43C57">
            <w:pPr>
              <w:pStyle w:val="Tabelltext"/>
            </w:pPr>
            <w:r w:rsidRPr="00F5723F">
              <w:t xml:space="preserve">SoU </w:t>
            </w:r>
          </w:p>
        </w:tc>
        <w:tc>
          <w:tcPr>
            <w:tcW w:w="1241" w:type="dxa"/>
            <w:tcBorders>
              <w:top w:val="nil"/>
              <w:bottom w:val="nil"/>
            </w:tcBorders>
            <w:shd w:val="clear" w:color="auto" w:fill="FFFFFF"/>
          </w:tcPr>
          <w:p w:rsidR="00B43C57" w:rsidRPr="00F5723F" w:rsidRDefault="00B43C57">
            <w:pPr>
              <w:pStyle w:val="Tabelltext"/>
              <w:rPr>
                <w:snapToGrid w:val="0"/>
              </w:rPr>
            </w:pPr>
            <w:r w:rsidRPr="00F5723F">
              <w:rPr>
                <w:snapToGrid w:val="0"/>
              </w:rPr>
              <w:t>50</w:t>
            </w:r>
          </w:p>
        </w:tc>
      </w:tr>
      <w:tr w:rsidR="00000000" w:rsidRPr="00F5723F">
        <w:tblPrEx>
          <w:tblCellMar>
            <w:top w:w="0" w:type="dxa"/>
            <w:bottom w:w="0" w:type="dxa"/>
          </w:tblCellMar>
        </w:tblPrEx>
        <w:trPr>
          <w:cantSplit/>
        </w:trPr>
        <w:tc>
          <w:tcPr>
            <w:tcW w:w="921" w:type="dxa"/>
            <w:tcBorders>
              <w:top w:val="nil"/>
              <w:bottom w:val="nil"/>
            </w:tcBorders>
            <w:shd w:val="pct35" w:color="auto" w:fill="FFFFFF"/>
          </w:tcPr>
          <w:p w:rsidR="00B43C57" w:rsidRPr="00F5723F" w:rsidRDefault="00B43C57">
            <w:pPr>
              <w:pStyle w:val="Tabelltext"/>
            </w:pPr>
            <w:r w:rsidRPr="00F5723F">
              <w:t xml:space="preserve">MJU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44</w:t>
            </w:r>
          </w:p>
        </w:tc>
        <w:tc>
          <w:tcPr>
            <w:tcW w:w="851" w:type="dxa"/>
            <w:tcBorders>
              <w:top w:val="nil"/>
              <w:bottom w:val="nil"/>
            </w:tcBorders>
            <w:shd w:val="pct35" w:color="auto" w:fill="FFFFFF"/>
          </w:tcPr>
          <w:p w:rsidR="00B43C57" w:rsidRPr="00F5723F" w:rsidRDefault="00B43C57">
            <w:pPr>
              <w:pStyle w:val="Tabelltext"/>
            </w:pPr>
            <w:r w:rsidRPr="00F5723F">
              <w:t xml:space="preserve">UbU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45</w:t>
            </w:r>
          </w:p>
        </w:tc>
        <w:tc>
          <w:tcPr>
            <w:tcW w:w="1240" w:type="dxa"/>
            <w:tcBorders>
              <w:top w:val="nil"/>
              <w:bottom w:val="nil"/>
            </w:tcBorders>
            <w:shd w:val="pct35" w:color="auto" w:fill="FFFFFF"/>
          </w:tcPr>
          <w:p w:rsidR="00B43C57" w:rsidRPr="00F5723F" w:rsidRDefault="00B43C57">
            <w:pPr>
              <w:pStyle w:val="Tabelltext"/>
            </w:pPr>
            <w:r w:rsidRPr="00F5723F">
              <w:t xml:space="preserve">SkU </w:t>
            </w:r>
          </w:p>
        </w:tc>
        <w:tc>
          <w:tcPr>
            <w:tcW w:w="1241" w:type="dxa"/>
            <w:tcBorders>
              <w:top w:val="nil"/>
              <w:bottom w:val="nil"/>
            </w:tcBorders>
            <w:shd w:val="pct35" w:color="auto" w:fill="FFFFFF"/>
          </w:tcPr>
          <w:p w:rsidR="00B43C57" w:rsidRPr="00F5723F" w:rsidRDefault="00B43C57">
            <w:pPr>
              <w:pStyle w:val="Tabelltext"/>
              <w:rPr>
                <w:snapToGrid w:val="0"/>
              </w:rPr>
            </w:pPr>
            <w:r w:rsidRPr="00F5723F">
              <w:rPr>
                <w:snapToGrid w:val="0"/>
              </w:rPr>
              <w:t>46</w:t>
            </w:r>
          </w:p>
        </w:tc>
      </w:tr>
      <w:tr w:rsidR="00000000" w:rsidRPr="00F5723F">
        <w:tblPrEx>
          <w:tblCellMar>
            <w:top w:w="0" w:type="dxa"/>
            <w:bottom w:w="0" w:type="dxa"/>
          </w:tblCellMar>
        </w:tblPrEx>
        <w:trPr>
          <w:cantSplit/>
        </w:trPr>
        <w:tc>
          <w:tcPr>
            <w:tcW w:w="921" w:type="dxa"/>
            <w:tcBorders>
              <w:top w:val="nil"/>
              <w:bottom w:val="nil"/>
            </w:tcBorders>
            <w:shd w:val="clear" w:color="auto" w:fill="FFFFFF"/>
          </w:tcPr>
          <w:p w:rsidR="00B43C57" w:rsidRPr="00F5723F" w:rsidRDefault="00B43C57">
            <w:pPr>
              <w:pStyle w:val="Tabelltext"/>
            </w:pPr>
            <w:r w:rsidRPr="00F5723F">
              <w:t xml:space="preserve">JuU </w:t>
            </w:r>
          </w:p>
        </w:tc>
        <w:tc>
          <w:tcPr>
            <w:tcW w:w="850" w:type="dxa"/>
            <w:tcBorders>
              <w:top w:val="nil"/>
              <w:bottom w:val="nil"/>
            </w:tcBorders>
            <w:shd w:val="clear" w:color="auto" w:fill="FFFFFF"/>
          </w:tcPr>
          <w:p w:rsidR="00B43C57" w:rsidRPr="00F5723F" w:rsidRDefault="00B43C57">
            <w:pPr>
              <w:pStyle w:val="Tabelltext"/>
              <w:rPr>
                <w:snapToGrid w:val="0"/>
              </w:rPr>
            </w:pPr>
            <w:r w:rsidRPr="00F5723F">
              <w:rPr>
                <w:snapToGrid w:val="0"/>
              </w:rPr>
              <w:t>43</w:t>
            </w:r>
          </w:p>
        </w:tc>
        <w:tc>
          <w:tcPr>
            <w:tcW w:w="851" w:type="dxa"/>
            <w:tcBorders>
              <w:top w:val="nil"/>
              <w:bottom w:val="nil"/>
            </w:tcBorders>
            <w:shd w:val="clear" w:color="auto" w:fill="FFFFFF"/>
          </w:tcPr>
          <w:p w:rsidR="00B43C57" w:rsidRPr="00F5723F" w:rsidRDefault="00B43C57">
            <w:pPr>
              <w:pStyle w:val="Tabelltext"/>
            </w:pPr>
            <w:r w:rsidRPr="00F5723F">
              <w:t xml:space="preserve">SfU </w:t>
            </w:r>
          </w:p>
        </w:tc>
        <w:tc>
          <w:tcPr>
            <w:tcW w:w="850" w:type="dxa"/>
            <w:tcBorders>
              <w:top w:val="nil"/>
              <w:bottom w:val="nil"/>
            </w:tcBorders>
            <w:shd w:val="clear" w:color="auto" w:fill="FFFFFF"/>
          </w:tcPr>
          <w:p w:rsidR="00B43C57" w:rsidRPr="00F5723F" w:rsidRDefault="00B43C57">
            <w:pPr>
              <w:pStyle w:val="Tabelltext"/>
              <w:rPr>
                <w:snapToGrid w:val="0"/>
              </w:rPr>
            </w:pPr>
            <w:r w:rsidRPr="00F5723F">
              <w:rPr>
                <w:snapToGrid w:val="0"/>
              </w:rPr>
              <w:t>44</w:t>
            </w:r>
          </w:p>
        </w:tc>
        <w:tc>
          <w:tcPr>
            <w:tcW w:w="1240" w:type="dxa"/>
            <w:tcBorders>
              <w:top w:val="nil"/>
              <w:bottom w:val="nil"/>
            </w:tcBorders>
            <w:shd w:val="pct35" w:color="auto" w:fill="FFFFFF"/>
          </w:tcPr>
          <w:p w:rsidR="00B43C57" w:rsidRPr="00F5723F" w:rsidRDefault="00B43C57">
            <w:pPr>
              <w:pStyle w:val="Tabelltext"/>
            </w:pPr>
            <w:r w:rsidRPr="00F5723F">
              <w:t xml:space="preserve">MJU </w:t>
            </w:r>
          </w:p>
        </w:tc>
        <w:tc>
          <w:tcPr>
            <w:tcW w:w="1241" w:type="dxa"/>
            <w:tcBorders>
              <w:top w:val="nil"/>
              <w:bottom w:val="nil"/>
            </w:tcBorders>
            <w:shd w:val="pct35" w:color="auto" w:fill="FFFFFF"/>
          </w:tcPr>
          <w:p w:rsidR="00B43C57" w:rsidRPr="00F5723F" w:rsidRDefault="00B43C57">
            <w:pPr>
              <w:pStyle w:val="Tabelltext"/>
              <w:rPr>
                <w:snapToGrid w:val="0"/>
              </w:rPr>
            </w:pPr>
            <w:r w:rsidRPr="00F5723F">
              <w:rPr>
                <w:snapToGrid w:val="0"/>
              </w:rPr>
              <w:t>41</w:t>
            </w:r>
          </w:p>
        </w:tc>
      </w:tr>
      <w:tr w:rsidR="00000000" w:rsidRPr="00F5723F">
        <w:tblPrEx>
          <w:tblCellMar>
            <w:top w:w="0" w:type="dxa"/>
            <w:bottom w:w="0" w:type="dxa"/>
          </w:tblCellMar>
        </w:tblPrEx>
        <w:trPr>
          <w:cantSplit/>
        </w:trPr>
        <w:tc>
          <w:tcPr>
            <w:tcW w:w="921" w:type="dxa"/>
            <w:tcBorders>
              <w:top w:val="nil"/>
            </w:tcBorders>
          </w:tcPr>
          <w:p w:rsidR="00B43C57" w:rsidRPr="00F5723F" w:rsidRDefault="00B43C57">
            <w:pPr>
              <w:pStyle w:val="Tabelltext"/>
            </w:pPr>
            <w:r w:rsidRPr="00F5723F">
              <w:t xml:space="preserve">TU </w:t>
            </w:r>
          </w:p>
        </w:tc>
        <w:tc>
          <w:tcPr>
            <w:tcW w:w="850" w:type="dxa"/>
            <w:tcBorders>
              <w:top w:val="nil"/>
            </w:tcBorders>
          </w:tcPr>
          <w:p w:rsidR="00B43C57" w:rsidRPr="00F5723F" w:rsidRDefault="00B43C57">
            <w:pPr>
              <w:pStyle w:val="Tabelltext"/>
              <w:rPr>
                <w:snapToGrid w:val="0"/>
              </w:rPr>
            </w:pPr>
            <w:r w:rsidRPr="00F5723F">
              <w:rPr>
                <w:snapToGrid w:val="0"/>
              </w:rPr>
              <w:t>43</w:t>
            </w:r>
          </w:p>
        </w:tc>
        <w:tc>
          <w:tcPr>
            <w:tcW w:w="851" w:type="dxa"/>
            <w:tcBorders>
              <w:top w:val="nil"/>
              <w:bottom w:val="nil"/>
            </w:tcBorders>
            <w:shd w:val="pct35" w:color="auto" w:fill="FFFFFF"/>
          </w:tcPr>
          <w:p w:rsidR="00B43C57" w:rsidRPr="00F5723F" w:rsidRDefault="00B43C57">
            <w:pPr>
              <w:pStyle w:val="Tabelltext"/>
            </w:pPr>
            <w:r w:rsidRPr="00F5723F">
              <w:t xml:space="preserve">MJU </w:t>
            </w:r>
          </w:p>
        </w:tc>
        <w:tc>
          <w:tcPr>
            <w:tcW w:w="850" w:type="dxa"/>
            <w:tcBorders>
              <w:top w:val="nil"/>
              <w:bottom w:val="nil"/>
            </w:tcBorders>
            <w:shd w:val="pct35" w:color="auto" w:fill="FFFFFF"/>
          </w:tcPr>
          <w:p w:rsidR="00B43C57" w:rsidRPr="00F5723F" w:rsidRDefault="00B43C57">
            <w:pPr>
              <w:pStyle w:val="Tabelltext"/>
              <w:rPr>
                <w:snapToGrid w:val="0"/>
              </w:rPr>
            </w:pPr>
            <w:r w:rsidRPr="00F5723F">
              <w:rPr>
                <w:snapToGrid w:val="0"/>
              </w:rPr>
              <w:t>42</w:t>
            </w:r>
          </w:p>
        </w:tc>
        <w:tc>
          <w:tcPr>
            <w:tcW w:w="1240" w:type="dxa"/>
            <w:tcBorders>
              <w:top w:val="nil"/>
              <w:bottom w:val="nil"/>
            </w:tcBorders>
            <w:shd w:val="clear" w:color="auto" w:fill="000000"/>
          </w:tcPr>
          <w:p w:rsidR="00B43C57" w:rsidRPr="00F5723F" w:rsidRDefault="00B43C57">
            <w:pPr>
              <w:pStyle w:val="Tabelltext"/>
            </w:pPr>
            <w:r w:rsidRPr="00F5723F">
              <w:t xml:space="preserve">AU </w:t>
            </w:r>
          </w:p>
        </w:tc>
        <w:tc>
          <w:tcPr>
            <w:tcW w:w="1241" w:type="dxa"/>
            <w:tcBorders>
              <w:top w:val="nil"/>
              <w:bottom w:val="nil"/>
            </w:tcBorders>
            <w:shd w:val="clear" w:color="auto" w:fill="000000"/>
          </w:tcPr>
          <w:p w:rsidR="00B43C57" w:rsidRPr="00F5723F" w:rsidRDefault="00B43C57">
            <w:pPr>
              <w:pStyle w:val="Tabelltext"/>
              <w:rPr>
                <w:snapToGrid w:val="0"/>
              </w:rPr>
            </w:pPr>
            <w:r w:rsidRPr="00F5723F">
              <w:rPr>
                <w:snapToGrid w:val="0"/>
              </w:rPr>
              <w:t>41</w:t>
            </w:r>
          </w:p>
        </w:tc>
      </w:tr>
      <w:tr w:rsidR="00000000" w:rsidRPr="00F5723F">
        <w:tblPrEx>
          <w:tblCellMar>
            <w:top w:w="0" w:type="dxa"/>
            <w:bottom w:w="0" w:type="dxa"/>
          </w:tblCellMar>
        </w:tblPrEx>
        <w:trPr>
          <w:cantSplit/>
        </w:trPr>
        <w:tc>
          <w:tcPr>
            <w:tcW w:w="921" w:type="dxa"/>
          </w:tcPr>
          <w:p w:rsidR="00B43C57" w:rsidRPr="00F5723F" w:rsidRDefault="00B43C57">
            <w:pPr>
              <w:pStyle w:val="Tabelltext"/>
            </w:pPr>
            <w:r w:rsidRPr="00F5723F">
              <w:t xml:space="preserve">SoU </w:t>
            </w:r>
          </w:p>
        </w:tc>
        <w:tc>
          <w:tcPr>
            <w:tcW w:w="850" w:type="dxa"/>
          </w:tcPr>
          <w:p w:rsidR="00B43C57" w:rsidRPr="00F5723F" w:rsidRDefault="00B43C57">
            <w:pPr>
              <w:pStyle w:val="Tabelltext"/>
              <w:rPr>
                <w:snapToGrid w:val="0"/>
              </w:rPr>
            </w:pPr>
            <w:r w:rsidRPr="00F5723F">
              <w:rPr>
                <w:snapToGrid w:val="0"/>
              </w:rPr>
              <w:t>43</w:t>
            </w:r>
          </w:p>
        </w:tc>
        <w:tc>
          <w:tcPr>
            <w:tcW w:w="851" w:type="dxa"/>
            <w:tcBorders>
              <w:top w:val="nil"/>
              <w:bottom w:val="nil"/>
            </w:tcBorders>
            <w:shd w:val="clear" w:color="auto" w:fill="FFFFFF"/>
          </w:tcPr>
          <w:p w:rsidR="00B43C57" w:rsidRPr="00F5723F" w:rsidRDefault="00B43C57">
            <w:pPr>
              <w:pStyle w:val="Tabelltext"/>
            </w:pPr>
            <w:r w:rsidRPr="00F5723F">
              <w:t xml:space="preserve">JuU </w:t>
            </w:r>
          </w:p>
        </w:tc>
        <w:tc>
          <w:tcPr>
            <w:tcW w:w="850" w:type="dxa"/>
            <w:tcBorders>
              <w:top w:val="nil"/>
              <w:bottom w:val="nil"/>
            </w:tcBorders>
            <w:shd w:val="clear" w:color="auto" w:fill="FFFFFF"/>
          </w:tcPr>
          <w:p w:rsidR="00B43C57" w:rsidRPr="00F5723F" w:rsidRDefault="00B43C57">
            <w:pPr>
              <w:pStyle w:val="Tabelltext"/>
              <w:rPr>
                <w:snapToGrid w:val="0"/>
              </w:rPr>
            </w:pPr>
            <w:r w:rsidRPr="00F5723F">
              <w:rPr>
                <w:snapToGrid w:val="0"/>
              </w:rPr>
              <w:t>41</w:t>
            </w:r>
          </w:p>
        </w:tc>
        <w:tc>
          <w:tcPr>
            <w:tcW w:w="1240" w:type="dxa"/>
            <w:tcBorders>
              <w:top w:val="nil"/>
              <w:bottom w:val="nil"/>
            </w:tcBorders>
            <w:shd w:val="clear" w:color="auto" w:fill="FFFFFF"/>
          </w:tcPr>
          <w:p w:rsidR="00B43C57" w:rsidRPr="00F5723F" w:rsidRDefault="00B43C57">
            <w:pPr>
              <w:pStyle w:val="Tabelltext"/>
            </w:pPr>
            <w:r w:rsidRPr="00F5723F">
              <w:t xml:space="preserve">JuU </w:t>
            </w:r>
          </w:p>
        </w:tc>
        <w:tc>
          <w:tcPr>
            <w:tcW w:w="1241" w:type="dxa"/>
            <w:tcBorders>
              <w:top w:val="nil"/>
              <w:bottom w:val="nil"/>
            </w:tcBorders>
            <w:shd w:val="clear" w:color="auto" w:fill="FFFFFF"/>
          </w:tcPr>
          <w:p w:rsidR="00B43C57" w:rsidRPr="00F5723F" w:rsidRDefault="00B43C57">
            <w:pPr>
              <w:pStyle w:val="Tabelltext"/>
              <w:rPr>
                <w:snapToGrid w:val="0"/>
              </w:rPr>
            </w:pPr>
            <w:r w:rsidRPr="00F5723F">
              <w:rPr>
                <w:snapToGrid w:val="0"/>
              </w:rPr>
              <w:t>40</w:t>
            </w:r>
          </w:p>
        </w:tc>
      </w:tr>
      <w:tr w:rsidR="00000000" w:rsidRPr="00F5723F">
        <w:tblPrEx>
          <w:tblCellMar>
            <w:top w:w="0" w:type="dxa"/>
            <w:bottom w:w="0" w:type="dxa"/>
          </w:tblCellMar>
        </w:tblPrEx>
        <w:trPr>
          <w:cantSplit/>
        </w:trPr>
        <w:tc>
          <w:tcPr>
            <w:tcW w:w="921" w:type="dxa"/>
          </w:tcPr>
          <w:p w:rsidR="00B43C57" w:rsidRPr="00F5723F" w:rsidRDefault="00B43C57">
            <w:pPr>
              <w:pStyle w:val="Tabelltext"/>
            </w:pPr>
            <w:r w:rsidRPr="00F5723F">
              <w:t xml:space="preserve">NU </w:t>
            </w:r>
          </w:p>
        </w:tc>
        <w:tc>
          <w:tcPr>
            <w:tcW w:w="850" w:type="dxa"/>
          </w:tcPr>
          <w:p w:rsidR="00B43C57" w:rsidRPr="00F5723F" w:rsidRDefault="00B43C57">
            <w:pPr>
              <w:pStyle w:val="Tabelltext"/>
              <w:rPr>
                <w:snapToGrid w:val="0"/>
              </w:rPr>
            </w:pPr>
            <w:r w:rsidRPr="00F5723F">
              <w:rPr>
                <w:snapToGrid w:val="0"/>
              </w:rPr>
              <w:t>41</w:t>
            </w:r>
          </w:p>
        </w:tc>
        <w:tc>
          <w:tcPr>
            <w:tcW w:w="851" w:type="dxa"/>
            <w:tcBorders>
              <w:top w:val="nil"/>
              <w:bottom w:val="nil"/>
            </w:tcBorders>
            <w:shd w:val="clear" w:color="auto" w:fill="FFFFFF"/>
          </w:tcPr>
          <w:p w:rsidR="00B43C57" w:rsidRPr="00F5723F" w:rsidRDefault="00B43C57">
            <w:pPr>
              <w:pStyle w:val="Tabelltext"/>
            </w:pPr>
            <w:r w:rsidRPr="00F5723F">
              <w:t xml:space="preserve">UU </w:t>
            </w:r>
          </w:p>
        </w:tc>
        <w:tc>
          <w:tcPr>
            <w:tcW w:w="850" w:type="dxa"/>
            <w:tcBorders>
              <w:top w:val="nil"/>
              <w:bottom w:val="nil"/>
            </w:tcBorders>
            <w:shd w:val="clear" w:color="auto" w:fill="FFFFFF"/>
          </w:tcPr>
          <w:p w:rsidR="00B43C57" w:rsidRPr="00F5723F" w:rsidRDefault="00B43C57">
            <w:pPr>
              <w:pStyle w:val="Tabelltext"/>
              <w:rPr>
                <w:snapToGrid w:val="0"/>
              </w:rPr>
            </w:pPr>
            <w:r w:rsidRPr="00F5723F">
              <w:rPr>
                <w:snapToGrid w:val="0"/>
              </w:rPr>
              <w:t>38</w:t>
            </w:r>
          </w:p>
        </w:tc>
        <w:tc>
          <w:tcPr>
            <w:tcW w:w="1240" w:type="dxa"/>
            <w:tcBorders>
              <w:top w:val="nil"/>
              <w:bottom w:val="nil"/>
            </w:tcBorders>
            <w:shd w:val="clear" w:color="auto" w:fill="FFFFFF"/>
          </w:tcPr>
          <w:p w:rsidR="00B43C57" w:rsidRPr="00F5723F" w:rsidRDefault="00B43C57">
            <w:pPr>
              <w:pStyle w:val="Tabelltext"/>
            </w:pPr>
            <w:r w:rsidRPr="00F5723F">
              <w:t xml:space="preserve">SfU </w:t>
            </w:r>
          </w:p>
        </w:tc>
        <w:tc>
          <w:tcPr>
            <w:tcW w:w="1241" w:type="dxa"/>
            <w:tcBorders>
              <w:top w:val="nil"/>
              <w:bottom w:val="nil"/>
            </w:tcBorders>
            <w:shd w:val="clear" w:color="auto" w:fill="FFFFFF"/>
          </w:tcPr>
          <w:p w:rsidR="00B43C57" w:rsidRPr="00F5723F" w:rsidRDefault="00B43C57">
            <w:pPr>
              <w:pStyle w:val="Tabelltext"/>
              <w:rPr>
                <w:snapToGrid w:val="0"/>
              </w:rPr>
            </w:pPr>
            <w:r w:rsidRPr="00F5723F">
              <w:rPr>
                <w:snapToGrid w:val="0"/>
              </w:rPr>
              <w:t>37</w:t>
            </w:r>
          </w:p>
        </w:tc>
      </w:tr>
      <w:tr w:rsidR="00000000" w:rsidRPr="00F5723F">
        <w:tblPrEx>
          <w:tblCellMar>
            <w:top w:w="0" w:type="dxa"/>
            <w:bottom w:w="0" w:type="dxa"/>
          </w:tblCellMar>
        </w:tblPrEx>
        <w:trPr>
          <w:cantSplit/>
        </w:trPr>
        <w:tc>
          <w:tcPr>
            <w:tcW w:w="921" w:type="dxa"/>
          </w:tcPr>
          <w:p w:rsidR="00B43C57" w:rsidRPr="00F5723F" w:rsidRDefault="00B43C57">
            <w:pPr>
              <w:pStyle w:val="Tabelltext"/>
            </w:pPr>
            <w:r w:rsidRPr="00F5723F">
              <w:t xml:space="preserve">SfU </w:t>
            </w:r>
          </w:p>
        </w:tc>
        <w:tc>
          <w:tcPr>
            <w:tcW w:w="850" w:type="dxa"/>
          </w:tcPr>
          <w:p w:rsidR="00B43C57" w:rsidRPr="00F5723F" w:rsidRDefault="00B43C57">
            <w:pPr>
              <w:pStyle w:val="Tabelltext"/>
              <w:rPr>
                <w:snapToGrid w:val="0"/>
              </w:rPr>
            </w:pPr>
            <w:r w:rsidRPr="00F5723F">
              <w:rPr>
                <w:snapToGrid w:val="0"/>
              </w:rPr>
              <w:t>41</w:t>
            </w:r>
          </w:p>
        </w:tc>
        <w:tc>
          <w:tcPr>
            <w:tcW w:w="851" w:type="dxa"/>
            <w:tcBorders>
              <w:top w:val="nil"/>
              <w:bottom w:val="nil"/>
            </w:tcBorders>
            <w:shd w:val="clear" w:color="auto" w:fill="FFFFFF"/>
          </w:tcPr>
          <w:p w:rsidR="00B43C57" w:rsidRPr="00F5723F" w:rsidRDefault="00B43C57">
            <w:pPr>
              <w:pStyle w:val="Tabelltext"/>
            </w:pPr>
            <w:r w:rsidRPr="00F5723F">
              <w:t xml:space="preserve">NU </w:t>
            </w:r>
          </w:p>
        </w:tc>
        <w:tc>
          <w:tcPr>
            <w:tcW w:w="850" w:type="dxa"/>
            <w:tcBorders>
              <w:top w:val="nil"/>
              <w:bottom w:val="nil"/>
            </w:tcBorders>
            <w:shd w:val="clear" w:color="auto" w:fill="FFFFFF"/>
          </w:tcPr>
          <w:p w:rsidR="00B43C57" w:rsidRPr="00F5723F" w:rsidRDefault="00B43C57">
            <w:pPr>
              <w:pStyle w:val="Tabelltext"/>
              <w:rPr>
                <w:snapToGrid w:val="0"/>
              </w:rPr>
            </w:pPr>
            <w:r w:rsidRPr="00F5723F">
              <w:rPr>
                <w:snapToGrid w:val="0"/>
              </w:rPr>
              <w:t>33</w:t>
            </w:r>
          </w:p>
        </w:tc>
        <w:tc>
          <w:tcPr>
            <w:tcW w:w="1240" w:type="dxa"/>
            <w:tcBorders>
              <w:top w:val="nil"/>
              <w:bottom w:val="nil"/>
            </w:tcBorders>
            <w:shd w:val="clear" w:color="auto" w:fill="FFFFFF"/>
          </w:tcPr>
          <w:p w:rsidR="00B43C57" w:rsidRPr="00F5723F" w:rsidRDefault="00B43C57">
            <w:pPr>
              <w:pStyle w:val="Tabelltext"/>
            </w:pPr>
            <w:r w:rsidRPr="00F5723F">
              <w:t xml:space="preserve">NU </w:t>
            </w:r>
          </w:p>
        </w:tc>
        <w:tc>
          <w:tcPr>
            <w:tcW w:w="1241" w:type="dxa"/>
            <w:tcBorders>
              <w:top w:val="nil"/>
              <w:bottom w:val="nil"/>
            </w:tcBorders>
            <w:shd w:val="clear" w:color="auto" w:fill="FFFFFF"/>
          </w:tcPr>
          <w:p w:rsidR="00B43C57" w:rsidRPr="00F5723F" w:rsidRDefault="00B43C57">
            <w:pPr>
              <w:pStyle w:val="Tabelltext"/>
              <w:rPr>
                <w:snapToGrid w:val="0"/>
              </w:rPr>
            </w:pPr>
            <w:r w:rsidRPr="00F5723F">
              <w:rPr>
                <w:snapToGrid w:val="0"/>
              </w:rPr>
              <w:t>36</w:t>
            </w:r>
          </w:p>
        </w:tc>
      </w:tr>
      <w:tr w:rsidR="00000000" w:rsidRPr="00F5723F">
        <w:tblPrEx>
          <w:tblCellMar>
            <w:top w:w="0" w:type="dxa"/>
            <w:bottom w:w="0" w:type="dxa"/>
          </w:tblCellMar>
        </w:tblPrEx>
        <w:trPr>
          <w:cantSplit/>
        </w:trPr>
        <w:tc>
          <w:tcPr>
            <w:tcW w:w="921" w:type="dxa"/>
            <w:tcBorders>
              <w:bottom w:val="nil"/>
            </w:tcBorders>
          </w:tcPr>
          <w:p w:rsidR="00B43C57" w:rsidRPr="00F5723F" w:rsidRDefault="00B43C57">
            <w:pPr>
              <w:pStyle w:val="Tabelltext"/>
            </w:pPr>
            <w:r w:rsidRPr="00F5723F">
              <w:t xml:space="preserve">UU </w:t>
            </w:r>
          </w:p>
        </w:tc>
        <w:tc>
          <w:tcPr>
            <w:tcW w:w="850" w:type="dxa"/>
            <w:tcBorders>
              <w:bottom w:val="nil"/>
            </w:tcBorders>
          </w:tcPr>
          <w:p w:rsidR="00B43C57" w:rsidRPr="00F5723F" w:rsidRDefault="00B43C57">
            <w:pPr>
              <w:pStyle w:val="Tabelltext"/>
              <w:rPr>
                <w:snapToGrid w:val="0"/>
              </w:rPr>
            </w:pPr>
            <w:r w:rsidRPr="00F5723F">
              <w:rPr>
                <w:snapToGrid w:val="0"/>
              </w:rPr>
              <w:t>35</w:t>
            </w:r>
          </w:p>
        </w:tc>
        <w:tc>
          <w:tcPr>
            <w:tcW w:w="851" w:type="dxa"/>
            <w:tcBorders>
              <w:top w:val="nil"/>
              <w:bottom w:val="nil"/>
            </w:tcBorders>
            <w:shd w:val="clear" w:color="auto" w:fill="000000"/>
          </w:tcPr>
          <w:p w:rsidR="00B43C57" w:rsidRPr="00F5723F" w:rsidRDefault="00B43C57">
            <w:pPr>
              <w:pStyle w:val="Tabelltext"/>
            </w:pPr>
            <w:r w:rsidRPr="00F5723F">
              <w:t xml:space="preserve">AU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31</w:t>
            </w:r>
          </w:p>
        </w:tc>
        <w:tc>
          <w:tcPr>
            <w:tcW w:w="1240" w:type="dxa"/>
            <w:tcBorders>
              <w:top w:val="nil"/>
              <w:bottom w:val="nil"/>
            </w:tcBorders>
            <w:shd w:val="clear" w:color="auto" w:fill="000000"/>
          </w:tcPr>
          <w:p w:rsidR="00B43C57" w:rsidRPr="00F5723F" w:rsidRDefault="00B43C57">
            <w:pPr>
              <w:pStyle w:val="Tabelltext"/>
            </w:pPr>
            <w:r w:rsidRPr="00F5723F">
              <w:t xml:space="preserve">LU </w:t>
            </w:r>
          </w:p>
        </w:tc>
        <w:tc>
          <w:tcPr>
            <w:tcW w:w="1241" w:type="dxa"/>
            <w:tcBorders>
              <w:top w:val="nil"/>
              <w:bottom w:val="nil"/>
            </w:tcBorders>
            <w:shd w:val="clear" w:color="auto" w:fill="000000"/>
          </w:tcPr>
          <w:p w:rsidR="00B43C57" w:rsidRPr="00F5723F" w:rsidRDefault="00B43C57">
            <w:pPr>
              <w:pStyle w:val="Tabelltext"/>
              <w:rPr>
                <w:snapToGrid w:val="0"/>
              </w:rPr>
            </w:pPr>
            <w:r w:rsidRPr="00F5723F">
              <w:rPr>
                <w:snapToGrid w:val="0"/>
              </w:rPr>
              <w:t>36</w:t>
            </w:r>
          </w:p>
        </w:tc>
      </w:tr>
      <w:tr w:rsidR="00000000" w:rsidRPr="00F5723F">
        <w:tblPrEx>
          <w:tblCellMar>
            <w:top w:w="0" w:type="dxa"/>
            <w:bottom w:w="0" w:type="dxa"/>
          </w:tblCellMar>
        </w:tblPrEx>
        <w:trPr>
          <w:cantSplit/>
        </w:trPr>
        <w:tc>
          <w:tcPr>
            <w:tcW w:w="921" w:type="dxa"/>
            <w:tcBorders>
              <w:top w:val="nil"/>
              <w:bottom w:val="nil"/>
            </w:tcBorders>
            <w:shd w:val="clear" w:color="auto" w:fill="000000"/>
          </w:tcPr>
          <w:p w:rsidR="00B43C57" w:rsidRPr="00F5723F" w:rsidRDefault="00B43C57">
            <w:pPr>
              <w:pStyle w:val="Tabelltext"/>
            </w:pPr>
            <w:r w:rsidRPr="00F5723F">
              <w:t xml:space="preserve">LU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34</w:t>
            </w:r>
          </w:p>
        </w:tc>
        <w:tc>
          <w:tcPr>
            <w:tcW w:w="851" w:type="dxa"/>
            <w:tcBorders>
              <w:top w:val="nil"/>
              <w:bottom w:val="nil"/>
            </w:tcBorders>
            <w:shd w:val="clear" w:color="auto" w:fill="FFFFFF"/>
          </w:tcPr>
          <w:p w:rsidR="00B43C57" w:rsidRPr="00F5723F" w:rsidRDefault="00B43C57">
            <w:pPr>
              <w:pStyle w:val="Tabelltext"/>
            </w:pPr>
            <w:r w:rsidRPr="00F5723F">
              <w:t xml:space="preserve">TU </w:t>
            </w:r>
          </w:p>
        </w:tc>
        <w:tc>
          <w:tcPr>
            <w:tcW w:w="850" w:type="dxa"/>
            <w:tcBorders>
              <w:top w:val="nil"/>
              <w:bottom w:val="nil"/>
            </w:tcBorders>
            <w:shd w:val="clear" w:color="auto" w:fill="FFFFFF"/>
          </w:tcPr>
          <w:p w:rsidR="00B43C57" w:rsidRPr="00F5723F" w:rsidRDefault="00B43C57">
            <w:pPr>
              <w:pStyle w:val="Tabelltext"/>
              <w:rPr>
                <w:snapToGrid w:val="0"/>
              </w:rPr>
            </w:pPr>
            <w:r w:rsidRPr="00F5723F">
              <w:rPr>
                <w:snapToGrid w:val="0"/>
              </w:rPr>
              <w:t>30</w:t>
            </w:r>
          </w:p>
        </w:tc>
        <w:tc>
          <w:tcPr>
            <w:tcW w:w="1240" w:type="dxa"/>
            <w:tcBorders>
              <w:top w:val="nil"/>
              <w:bottom w:val="nil"/>
            </w:tcBorders>
            <w:shd w:val="clear" w:color="auto" w:fill="FFFFFF"/>
          </w:tcPr>
          <w:p w:rsidR="00B43C57" w:rsidRPr="00F5723F" w:rsidRDefault="00B43C57">
            <w:pPr>
              <w:pStyle w:val="Tabelltext"/>
            </w:pPr>
            <w:r w:rsidRPr="00F5723F">
              <w:t xml:space="preserve">TU </w:t>
            </w:r>
          </w:p>
        </w:tc>
        <w:tc>
          <w:tcPr>
            <w:tcW w:w="1241" w:type="dxa"/>
            <w:tcBorders>
              <w:top w:val="nil"/>
              <w:bottom w:val="nil"/>
            </w:tcBorders>
            <w:shd w:val="clear" w:color="auto" w:fill="FFFFFF"/>
          </w:tcPr>
          <w:p w:rsidR="00B43C57" w:rsidRPr="00F5723F" w:rsidRDefault="00B43C57">
            <w:pPr>
              <w:pStyle w:val="Tabelltext"/>
              <w:rPr>
                <w:snapToGrid w:val="0"/>
              </w:rPr>
            </w:pPr>
            <w:r w:rsidRPr="00F5723F">
              <w:rPr>
                <w:snapToGrid w:val="0"/>
              </w:rPr>
              <w:t>31</w:t>
            </w:r>
          </w:p>
        </w:tc>
      </w:tr>
      <w:tr w:rsidR="00000000" w:rsidRPr="00F5723F">
        <w:tblPrEx>
          <w:tblCellMar>
            <w:top w:w="0" w:type="dxa"/>
            <w:bottom w:w="0" w:type="dxa"/>
          </w:tblCellMar>
        </w:tblPrEx>
        <w:trPr>
          <w:cantSplit/>
        </w:trPr>
        <w:tc>
          <w:tcPr>
            <w:tcW w:w="921" w:type="dxa"/>
            <w:tcBorders>
              <w:top w:val="nil"/>
              <w:bottom w:val="nil"/>
            </w:tcBorders>
            <w:shd w:val="clear" w:color="auto" w:fill="000000"/>
          </w:tcPr>
          <w:p w:rsidR="00B43C57" w:rsidRPr="00F5723F" w:rsidRDefault="00B43C57">
            <w:pPr>
              <w:pStyle w:val="Tabelltext"/>
            </w:pPr>
            <w:r w:rsidRPr="00F5723F">
              <w:t xml:space="preserve">AU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30</w:t>
            </w:r>
          </w:p>
        </w:tc>
        <w:tc>
          <w:tcPr>
            <w:tcW w:w="851" w:type="dxa"/>
            <w:tcBorders>
              <w:top w:val="nil"/>
              <w:bottom w:val="nil"/>
            </w:tcBorders>
            <w:shd w:val="clear" w:color="auto" w:fill="000000"/>
          </w:tcPr>
          <w:p w:rsidR="00B43C57" w:rsidRPr="00F5723F" w:rsidRDefault="00B43C57">
            <w:pPr>
              <w:pStyle w:val="Tabelltext"/>
            </w:pPr>
            <w:r w:rsidRPr="00F5723F">
              <w:t xml:space="preserve">LU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30</w:t>
            </w:r>
          </w:p>
        </w:tc>
        <w:tc>
          <w:tcPr>
            <w:tcW w:w="1240" w:type="dxa"/>
            <w:tcBorders>
              <w:top w:val="nil"/>
              <w:bottom w:val="nil"/>
            </w:tcBorders>
            <w:shd w:val="pct35" w:color="auto" w:fill="FFFFFF"/>
          </w:tcPr>
          <w:p w:rsidR="00B43C57" w:rsidRPr="00F5723F" w:rsidRDefault="00B43C57">
            <w:pPr>
              <w:pStyle w:val="Tabelltext"/>
            </w:pPr>
            <w:r w:rsidRPr="00F5723F">
              <w:t xml:space="preserve">UbU </w:t>
            </w:r>
          </w:p>
        </w:tc>
        <w:tc>
          <w:tcPr>
            <w:tcW w:w="1241" w:type="dxa"/>
            <w:tcBorders>
              <w:top w:val="nil"/>
              <w:bottom w:val="nil"/>
            </w:tcBorders>
            <w:shd w:val="pct35" w:color="auto" w:fill="FFFFFF"/>
          </w:tcPr>
          <w:p w:rsidR="00B43C57" w:rsidRPr="00F5723F" w:rsidRDefault="00B43C57">
            <w:pPr>
              <w:pStyle w:val="Tabelltext"/>
              <w:rPr>
                <w:snapToGrid w:val="0"/>
              </w:rPr>
            </w:pPr>
            <w:r w:rsidRPr="00F5723F">
              <w:rPr>
                <w:snapToGrid w:val="0"/>
              </w:rPr>
              <w:t>29</w:t>
            </w:r>
          </w:p>
        </w:tc>
      </w:tr>
      <w:tr w:rsidR="00000000" w:rsidRPr="00F5723F">
        <w:tblPrEx>
          <w:tblCellMar>
            <w:top w:w="0" w:type="dxa"/>
            <w:bottom w:w="0" w:type="dxa"/>
          </w:tblCellMar>
        </w:tblPrEx>
        <w:trPr>
          <w:cantSplit/>
        </w:trPr>
        <w:tc>
          <w:tcPr>
            <w:tcW w:w="921" w:type="dxa"/>
            <w:tcBorders>
              <w:top w:val="nil"/>
              <w:bottom w:val="nil"/>
            </w:tcBorders>
            <w:shd w:val="clear" w:color="auto" w:fill="000000"/>
          </w:tcPr>
          <w:p w:rsidR="00B43C57" w:rsidRPr="00F5723F" w:rsidRDefault="00B43C57">
            <w:pPr>
              <w:pStyle w:val="Tabelltext"/>
            </w:pPr>
            <w:r w:rsidRPr="00F5723F">
              <w:t xml:space="preserve">BoU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26</w:t>
            </w:r>
          </w:p>
        </w:tc>
        <w:tc>
          <w:tcPr>
            <w:tcW w:w="851" w:type="dxa"/>
            <w:tcBorders>
              <w:top w:val="nil"/>
              <w:bottom w:val="nil"/>
            </w:tcBorders>
            <w:shd w:val="clear" w:color="auto" w:fill="000000"/>
          </w:tcPr>
          <w:p w:rsidR="00B43C57" w:rsidRPr="00F5723F" w:rsidRDefault="00B43C57">
            <w:pPr>
              <w:pStyle w:val="Tabelltext"/>
            </w:pPr>
            <w:r w:rsidRPr="00F5723F">
              <w:t xml:space="preserve">KrU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29</w:t>
            </w:r>
          </w:p>
        </w:tc>
        <w:tc>
          <w:tcPr>
            <w:tcW w:w="1240" w:type="dxa"/>
            <w:tcBorders>
              <w:top w:val="nil"/>
              <w:bottom w:val="nil"/>
            </w:tcBorders>
            <w:shd w:val="clear" w:color="auto" w:fill="000000"/>
          </w:tcPr>
          <w:p w:rsidR="00B43C57" w:rsidRPr="00F5723F" w:rsidRDefault="00B43C57">
            <w:pPr>
              <w:pStyle w:val="Tabelltext"/>
            </w:pPr>
            <w:r w:rsidRPr="00F5723F">
              <w:t xml:space="preserve">BoU </w:t>
            </w:r>
          </w:p>
        </w:tc>
        <w:tc>
          <w:tcPr>
            <w:tcW w:w="1241" w:type="dxa"/>
            <w:tcBorders>
              <w:top w:val="nil"/>
              <w:bottom w:val="nil"/>
            </w:tcBorders>
            <w:shd w:val="clear" w:color="auto" w:fill="000000"/>
          </w:tcPr>
          <w:p w:rsidR="00B43C57" w:rsidRPr="00F5723F" w:rsidRDefault="00B43C57">
            <w:pPr>
              <w:pStyle w:val="Tabelltext"/>
              <w:rPr>
                <w:snapToGrid w:val="0"/>
              </w:rPr>
            </w:pPr>
            <w:r w:rsidRPr="00F5723F">
              <w:rPr>
                <w:snapToGrid w:val="0"/>
              </w:rPr>
              <w:t>26</w:t>
            </w:r>
          </w:p>
        </w:tc>
      </w:tr>
      <w:tr w:rsidR="00000000" w:rsidRPr="00F5723F">
        <w:tblPrEx>
          <w:tblCellMar>
            <w:top w:w="0" w:type="dxa"/>
            <w:bottom w:w="0" w:type="dxa"/>
          </w:tblCellMar>
        </w:tblPrEx>
        <w:trPr>
          <w:cantSplit/>
        </w:trPr>
        <w:tc>
          <w:tcPr>
            <w:tcW w:w="921" w:type="dxa"/>
            <w:tcBorders>
              <w:top w:val="nil"/>
              <w:bottom w:val="nil"/>
            </w:tcBorders>
            <w:shd w:val="clear" w:color="auto" w:fill="000000"/>
          </w:tcPr>
          <w:p w:rsidR="00B43C57" w:rsidRPr="00F5723F" w:rsidRDefault="00B43C57">
            <w:pPr>
              <w:pStyle w:val="Tabelltext"/>
            </w:pPr>
            <w:r w:rsidRPr="00F5723F">
              <w:t xml:space="preserve">KrU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21</w:t>
            </w:r>
          </w:p>
        </w:tc>
        <w:tc>
          <w:tcPr>
            <w:tcW w:w="851" w:type="dxa"/>
            <w:tcBorders>
              <w:top w:val="nil"/>
              <w:bottom w:val="nil"/>
            </w:tcBorders>
            <w:shd w:val="clear" w:color="auto" w:fill="000000"/>
          </w:tcPr>
          <w:p w:rsidR="00B43C57" w:rsidRPr="00F5723F" w:rsidRDefault="00B43C57">
            <w:pPr>
              <w:pStyle w:val="Tabelltext"/>
            </w:pPr>
            <w:r w:rsidRPr="00F5723F">
              <w:t xml:space="preserve">BoU </w:t>
            </w:r>
          </w:p>
        </w:tc>
        <w:tc>
          <w:tcPr>
            <w:tcW w:w="850" w:type="dxa"/>
            <w:tcBorders>
              <w:top w:val="nil"/>
              <w:bottom w:val="nil"/>
            </w:tcBorders>
            <w:shd w:val="clear" w:color="auto" w:fill="000000"/>
          </w:tcPr>
          <w:p w:rsidR="00B43C57" w:rsidRPr="00F5723F" w:rsidRDefault="00B43C57">
            <w:pPr>
              <w:pStyle w:val="Tabelltext"/>
              <w:rPr>
                <w:snapToGrid w:val="0"/>
              </w:rPr>
            </w:pPr>
            <w:r w:rsidRPr="00F5723F">
              <w:rPr>
                <w:snapToGrid w:val="0"/>
              </w:rPr>
              <w:t>29</w:t>
            </w:r>
          </w:p>
        </w:tc>
        <w:tc>
          <w:tcPr>
            <w:tcW w:w="1240" w:type="dxa"/>
            <w:tcBorders>
              <w:top w:val="nil"/>
              <w:bottom w:val="nil"/>
            </w:tcBorders>
            <w:shd w:val="clear" w:color="auto" w:fill="000000"/>
          </w:tcPr>
          <w:p w:rsidR="00B43C57" w:rsidRPr="00F5723F" w:rsidRDefault="00B43C57">
            <w:pPr>
              <w:pStyle w:val="Tabelltext"/>
            </w:pPr>
            <w:r w:rsidRPr="00F5723F">
              <w:t xml:space="preserve">KrU </w:t>
            </w:r>
          </w:p>
        </w:tc>
        <w:tc>
          <w:tcPr>
            <w:tcW w:w="1241" w:type="dxa"/>
            <w:tcBorders>
              <w:top w:val="nil"/>
              <w:bottom w:val="nil"/>
            </w:tcBorders>
            <w:shd w:val="clear" w:color="auto" w:fill="000000"/>
          </w:tcPr>
          <w:p w:rsidR="00B43C57" w:rsidRPr="00F5723F" w:rsidRDefault="00B43C57">
            <w:pPr>
              <w:pStyle w:val="Tabelltext"/>
              <w:rPr>
                <w:snapToGrid w:val="0"/>
              </w:rPr>
            </w:pPr>
            <w:r w:rsidRPr="00F5723F">
              <w:rPr>
                <w:snapToGrid w:val="0"/>
              </w:rPr>
              <w:t>22</w:t>
            </w:r>
          </w:p>
        </w:tc>
      </w:tr>
      <w:tr w:rsidR="00000000" w:rsidRPr="00F5723F">
        <w:tblPrEx>
          <w:tblCellMar>
            <w:top w:w="0" w:type="dxa"/>
            <w:bottom w:w="0" w:type="dxa"/>
          </w:tblCellMar>
        </w:tblPrEx>
        <w:trPr>
          <w:cantSplit/>
        </w:trPr>
        <w:tc>
          <w:tcPr>
            <w:tcW w:w="921" w:type="dxa"/>
            <w:tcBorders>
              <w:top w:val="nil"/>
              <w:bottom w:val="single" w:sz="4" w:space="0" w:color="auto"/>
            </w:tcBorders>
            <w:shd w:val="clear" w:color="auto" w:fill="000000"/>
          </w:tcPr>
          <w:p w:rsidR="00B43C57" w:rsidRPr="00F5723F" w:rsidRDefault="00B43C57">
            <w:pPr>
              <w:pStyle w:val="Tabelltext"/>
            </w:pPr>
            <w:r w:rsidRPr="00F5723F">
              <w:t xml:space="preserve">FöU </w:t>
            </w:r>
          </w:p>
        </w:tc>
        <w:tc>
          <w:tcPr>
            <w:tcW w:w="850"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14</w:t>
            </w:r>
          </w:p>
        </w:tc>
        <w:tc>
          <w:tcPr>
            <w:tcW w:w="851" w:type="dxa"/>
            <w:tcBorders>
              <w:top w:val="nil"/>
              <w:bottom w:val="single" w:sz="4" w:space="0" w:color="auto"/>
            </w:tcBorders>
            <w:shd w:val="clear" w:color="auto" w:fill="000000"/>
          </w:tcPr>
          <w:p w:rsidR="00B43C57" w:rsidRPr="00F5723F" w:rsidRDefault="00B43C57">
            <w:pPr>
              <w:pStyle w:val="Tabelltext"/>
              <w:rPr>
                <w:snapToGrid w:val="0"/>
              </w:rPr>
            </w:pPr>
            <w:r w:rsidRPr="00F5723F">
              <w:t xml:space="preserve">FöU </w:t>
            </w:r>
          </w:p>
        </w:tc>
        <w:tc>
          <w:tcPr>
            <w:tcW w:w="850"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27</w:t>
            </w:r>
          </w:p>
        </w:tc>
        <w:tc>
          <w:tcPr>
            <w:tcW w:w="1240" w:type="dxa"/>
            <w:tcBorders>
              <w:top w:val="nil"/>
              <w:bottom w:val="single" w:sz="4" w:space="0" w:color="auto"/>
            </w:tcBorders>
            <w:shd w:val="clear" w:color="auto" w:fill="000000"/>
          </w:tcPr>
          <w:p w:rsidR="00B43C57" w:rsidRPr="00F5723F" w:rsidRDefault="00B43C57">
            <w:pPr>
              <w:pStyle w:val="Tabelltext"/>
            </w:pPr>
            <w:r w:rsidRPr="00F5723F">
              <w:t xml:space="preserve">FöU </w:t>
            </w:r>
          </w:p>
        </w:tc>
        <w:tc>
          <w:tcPr>
            <w:tcW w:w="1241"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19</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 xml:space="preserve">Kommentar: </w:t>
      </w:r>
      <w:r w:rsidRPr="00F5723F">
        <w:rPr>
          <w:rFonts w:ascii="Arial" w:hAnsi="Arial" w:cs="Arial"/>
          <w:sz w:val="16"/>
          <w:szCs w:val="16"/>
        </w:rPr>
        <w:t>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p>
    <w:p w:rsidR="00B43C57" w:rsidRPr="00F5723F" w:rsidRDefault="00B43C57"/>
    <w:p w:rsidR="00B43C57" w:rsidRPr="00F5723F" w:rsidRDefault="00B43C57">
      <w:r w:rsidRPr="00F5723F">
        <w:t>Sett över tid är förhållandena tämligen stabila. Flest antal trycksidor produc</w:t>
      </w:r>
      <w:r w:rsidRPr="00F5723F">
        <w:t>e</w:t>
      </w:r>
      <w:r w:rsidRPr="00F5723F">
        <w:t>rar genomgående konstitutions- och finansutskotten, och minst antal produc</w:t>
      </w:r>
      <w:r w:rsidRPr="00F5723F">
        <w:t>e</w:t>
      </w:r>
      <w:r w:rsidRPr="00F5723F">
        <w:t>rar genomgående försvars-, kultur- och bostadsutskotten.</w:t>
      </w:r>
    </w:p>
    <w:p w:rsidR="00B43C57" w:rsidRPr="00F5723F" w:rsidRDefault="00B43C57">
      <w:pPr>
        <w:pStyle w:val="R4"/>
      </w:pPr>
      <w:bookmarkStart w:id="105" w:name="_Toc121738932"/>
      <w:r w:rsidRPr="00F5723F">
        <w:t>EU-frågor</w:t>
      </w:r>
      <w:bookmarkEnd w:id="105"/>
    </w:p>
    <w:p w:rsidR="00B43C57" w:rsidRPr="00F5723F" w:rsidRDefault="00B43C57">
      <w:r w:rsidRPr="00F5723F">
        <w:t>Arbetsbelastning avseende EU-frågor studeras i form av antal faktapromem</w:t>
      </w:r>
      <w:r w:rsidRPr="00F5723F">
        <w:t>o</w:t>
      </w:r>
      <w:r w:rsidRPr="00F5723F">
        <w:t>rior respektive EU-dokument totalt sett som tilldelats utskotten. Som diskut</w:t>
      </w:r>
      <w:r w:rsidRPr="00F5723F">
        <w:t>e</w:t>
      </w:r>
      <w:r w:rsidRPr="00F5723F">
        <w:t>rats i avsnittet Arbete med EU-frågor ovan är det inte alla EU-dokument, inte ens alla faktapromemorior, som blir föremål för någon reell behandling i utskotten. Trots det torde indikatorerna ge en bild av i vilken utsträckning olika utskott i sitt arbete är belastade av EU-frågor.</w:t>
      </w:r>
    </w:p>
    <w:p w:rsidR="00B43C57" w:rsidRPr="00F5723F" w:rsidRDefault="00B43C57">
      <w:pPr>
        <w:pStyle w:val="Normaltindrag"/>
      </w:pPr>
      <w:r w:rsidRPr="00F5723F">
        <w:t>När belastning, som i tabell 9:9, studeras i form av faktapromemorior är miljö- och jordbruksutskottet det mesta belastade utskottet. Även näringsu</w:t>
      </w:r>
      <w:r w:rsidRPr="00F5723F">
        <w:t>t</w:t>
      </w:r>
      <w:r w:rsidRPr="00F5723F">
        <w:t>skottet och, i viss mån, trafikutskottet får ett förhållandevis stort antal fakt</w:t>
      </w:r>
      <w:r w:rsidRPr="00F5723F">
        <w:t>a</w:t>
      </w:r>
      <w:r w:rsidRPr="00F5723F">
        <w:t>promemorior under ett riksmöte. Jämförs med belastning i andra avseenden kan noteras att näringsutskottet, som i regel är ett medelbelastat utskott, här alltså tillhör de mest belastade. Minst belastade är bostads-, utbildnings-, kultur- och försvarsutskotten. Dessa erhåller endast undantagsvis faktapr</w:t>
      </w:r>
      <w:r w:rsidRPr="00F5723F">
        <w:t>o</w:t>
      </w:r>
      <w:r w:rsidRPr="00F5723F">
        <w:t>memorior. Konst</w:t>
      </w:r>
      <w:r w:rsidRPr="00F5723F">
        <w:t>i</w:t>
      </w:r>
      <w:r w:rsidRPr="00F5723F">
        <w:t>tutionsutskottet, som i andra avseenden ofta har en hög belastning, är här också ett utskott med liten belastn</w:t>
      </w:r>
      <w:r w:rsidRPr="00F5723F">
        <w:t>ing. Vidare bör även noteras att skilln</w:t>
      </w:r>
      <w:r w:rsidRPr="00F5723F">
        <w:t>a</w:t>
      </w:r>
      <w:r w:rsidRPr="00F5723F">
        <w:t>den mellan de mest respektive minst belastade utskotten, vilken framgår av procenttalen, är större än motsvarande skillnad när andra indikatorer på arbetsbelastning har studerats ovan. Variationen mellan utsko</w:t>
      </w:r>
      <w:r w:rsidRPr="00F5723F">
        <w:t>t</w:t>
      </w:r>
      <w:r w:rsidRPr="00F5723F">
        <w:t>tens belastning när det gäller EU-frågor är alltså mycket stor.</w:t>
      </w:r>
    </w:p>
    <w:p w:rsidR="00B43C57" w:rsidRPr="00F5723F" w:rsidRDefault="00B43C57">
      <w:pPr>
        <w:pStyle w:val="Tabellrubrik"/>
      </w:pPr>
      <w:r w:rsidRPr="00F5723F">
        <w:t>Tabell 9:9 faktapromemorior (ran</w:t>
      </w:r>
      <w:r w:rsidRPr="00F5723F">
        <w:t>g</w:t>
      </w:r>
      <w:r w:rsidRPr="00F5723F">
        <w:t>ordning, Procent)</w:t>
      </w:r>
    </w:p>
    <w:tbl>
      <w:tblPr>
        <w:tblW w:w="6081"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07"/>
        <w:gridCol w:w="1134"/>
        <w:gridCol w:w="851"/>
        <w:gridCol w:w="992"/>
        <w:gridCol w:w="248"/>
        <w:gridCol w:w="886"/>
      </w:tblGrid>
      <w:tr w:rsidR="00000000" w:rsidRPr="00F5723F">
        <w:tblPrEx>
          <w:tblCellMar>
            <w:top w:w="0" w:type="dxa"/>
            <w:bottom w:w="0" w:type="dxa"/>
          </w:tblCellMar>
        </w:tblPrEx>
        <w:trPr>
          <w:cantSplit/>
        </w:trPr>
        <w:tc>
          <w:tcPr>
            <w:tcW w:w="1970"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985" w:type="dxa"/>
            <w:gridSpan w:val="2"/>
            <w:tcBorders>
              <w:top w:val="single" w:sz="4" w:space="0" w:color="auto"/>
              <w:bottom w:val="nil"/>
            </w:tcBorders>
          </w:tcPr>
          <w:p w:rsidR="00B43C57" w:rsidRPr="00F5723F" w:rsidRDefault="00B43C57">
            <w:pPr>
              <w:pStyle w:val="Tabelltext"/>
              <w:jc w:val="center"/>
            </w:pPr>
            <w:r w:rsidRPr="00F5723F">
              <w:t>1998/99–2001/02</w:t>
            </w:r>
          </w:p>
        </w:tc>
        <w:tc>
          <w:tcPr>
            <w:tcW w:w="2126" w:type="dxa"/>
            <w:gridSpan w:val="3"/>
            <w:tcBorders>
              <w:top w:val="single" w:sz="4" w:space="0" w:color="auto"/>
              <w:bottom w:val="nil"/>
            </w:tcBorders>
          </w:tcPr>
          <w:p w:rsidR="00B43C57" w:rsidRPr="00F5723F" w:rsidRDefault="00B43C57">
            <w:pPr>
              <w:pStyle w:val="Tabelltext"/>
              <w:jc w:val="center"/>
            </w:pPr>
            <w:r w:rsidRPr="00F5723F">
              <w:t>1995/96–1997/98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
            </w:pPr>
            <w:r w:rsidRPr="00F5723F">
              <w:t>Utskott</w:t>
            </w:r>
          </w:p>
        </w:tc>
        <w:tc>
          <w:tcPr>
            <w:tcW w:w="907" w:type="dxa"/>
            <w:tcBorders>
              <w:top w:val="nil"/>
              <w:bottom w:val="single" w:sz="4" w:space="0" w:color="auto"/>
            </w:tcBorders>
          </w:tcPr>
          <w:p w:rsidR="00B43C57" w:rsidRPr="00F5723F" w:rsidRDefault="00B43C57">
            <w:pPr>
              <w:pStyle w:val="Tabelltext"/>
            </w:pPr>
            <w:r w:rsidRPr="00F5723F">
              <w:t>Procent</w:t>
            </w:r>
          </w:p>
        </w:tc>
        <w:tc>
          <w:tcPr>
            <w:tcW w:w="1134" w:type="dxa"/>
            <w:tcBorders>
              <w:top w:val="nil"/>
              <w:bottom w:val="single" w:sz="4" w:space="0" w:color="auto"/>
            </w:tcBorders>
          </w:tcPr>
          <w:p w:rsidR="00B43C57" w:rsidRPr="00F5723F" w:rsidRDefault="00B43C57">
            <w:pPr>
              <w:pStyle w:val="Tabelltext"/>
            </w:pPr>
            <w:r w:rsidRPr="00F5723F">
              <w:t>Utskott</w:t>
            </w:r>
          </w:p>
        </w:tc>
        <w:tc>
          <w:tcPr>
            <w:tcW w:w="851" w:type="dxa"/>
            <w:tcBorders>
              <w:top w:val="nil"/>
              <w:bottom w:val="single" w:sz="4" w:space="0" w:color="auto"/>
            </w:tcBorders>
          </w:tcPr>
          <w:p w:rsidR="00B43C57" w:rsidRPr="00F5723F" w:rsidRDefault="00B43C57">
            <w:pPr>
              <w:pStyle w:val="Tabelltext"/>
            </w:pPr>
            <w:r w:rsidRPr="00F5723F">
              <w:t>Procent</w:t>
            </w:r>
          </w:p>
        </w:tc>
        <w:tc>
          <w:tcPr>
            <w:tcW w:w="1240" w:type="dxa"/>
            <w:gridSpan w:val="2"/>
            <w:tcBorders>
              <w:top w:val="nil"/>
              <w:bottom w:val="single" w:sz="4" w:space="0" w:color="auto"/>
            </w:tcBorders>
          </w:tcPr>
          <w:p w:rsidR="00B43C57" w:rsidRPr="00F5723F" w:rsidRDefault="00B43C57">
            <w:pPr>
              <w:pStyle w:val="Tabelltext"/>
            </w:pPr>
            <w:r w:rsidRPr="00F5723F">
              <w:t>Utskott</w:t>
            </w:r>
          </w:p>
        </w:tc>
        <w:tc>
          <w:tcPr>
            <w:tcW w:w="886"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MJU</w:t>
            </w:r>
          </w:p>
        </w:tc>
        <w:tc>
          <w:tcPr>
            <w:tcW w:w="907"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1134"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MJU</w:t>
            </w:r>
          </w:p>
        </w:tc>
        <w:tc>
          <w:tcPr>
            <w:tcW w:w="851"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MJU</w:t>
            </w:r>
          </w:p>
        </w:tc>
        <w:tc>
          <w:tcPr>
            <w:tcW w:w="1134" w:type="dxa"/>
            <w:gridSpan w:val="2"/>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NU</w:t>
            </w:r>
          </w:p>
        </w:tc>
        <w:tc>
          <w:tcPr>
            <w:tcW w:w="907" w:type="dxa"/>
            <w:tcBorders>
              <w:top w:val="nil"/>
              <w:bottom w:val="nil"/>
            </w:tcBorders>
            <w:shd w:val="pct35" w:color="auto" w:fill="FFFFFF"/>
          </w:tcPr>
          <w:p w:rsidR="00B43C57" w:rsidRPr="00F5723F" w:rsidRDefault="00B43C57">
            <w:pPr>
              <w:pStyle w:val="Tabelltext"/>
              <w:rPr>
                <w:snapToGrid w:val="0"/>
              </w:rPr>
            </w:pPr>
            <w:r w:rsidRPr="00F5723F">
              <w:rPr>
                <w:snapToGrid w:val="0"/>
              </w:rPr>
              <w:t>82</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50</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1134" w:type="dxa"/>
            <w:gridSpan w:val="2"/>
            <w:tcBorders>
              <w:top w:val="nil"/>
              <w:bottom w:val="nil"/>
            </w:tcBorders>
            <w:shd w:val="pct35" w:color="auto" w:fill="FFFFFF"/>
          </w:tcPr>
          <w:p w:rsidR="00B43C57" w:rsidRPr="00F5723F" w:rsidRDefault="00B43C57">
            <w:pPr>
              <w:pStyle w:val="Tabelltext"/>
              <w:rPr>
                <w:snapToGrid w:val="0"/>
              </w:rPr>
            </w:pPr>
            <w:r w:rsidRPr="00F5723F">
              <w:rPr>
                <w:snapToGrid w:val="0"/>
              </w:rPr>
              <w:t>72</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TU</w:t>
            </w:r>
          </w:p>
        </w:tc>
        <w:tc>
          <w:tcPr>
            <w:tcW w:w="907" w:type="dxa"/>
            <w:tcBorders>
              <w:top w:val="nil"/>
              <w:bottom w:val="nil"/>
            </w:tcBorders>
            <w:shd w:val="pct35" w:color="auto" w:fill="FFFFFF"/>
          </w:tcPr>
          <w:p w:rsidR="00B43C57" w:rsidRPr="00F5723F" w:rsidRDefault="00B43C57">
            <w:pPr>
              <w:pStyle w:val="Tabelltext"/>
              <w:rPr>
                <w:snapToGrid w:val="0"/>
              </w:rPr>
            </w:pPr>
            <w:r w:rsidRPr="00F5723F">
              <w:rPr>
                <w:snapToGrid w:val="0"/>
              </w:rPr>
              <w:t>61</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NU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36</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NU</w:t>
            </w:r>
          </w:p>
        </w:tc>
        <w:tc>
          <w:tcPr>
            <w:tcW w:w="1134" w:type="dxa"/>
            <w:gridSpan w:val="2"/>
            <w:tcBorders>
              <w:top w:val="nil"/>
              <w:bottom w:val="nil"/>
            </w:tcBorders>
            <w:shd w:val="pct35" w:color="auto" w:fill="FFFFFF"/>
          </w:tcPr>
          <w:p w:rsidR="00B43C57" w:rsidRPr="00F5723F" w:rsidRDefault="00B43C57">
            <w:pPr>
              <w:pStyle w:val="Tabelltext"/>
              <w:rPr>
                <w:snapToGrid w:val="0"/>
              </w:rPr>
            </w:pPr>
            <w:r w:rsidRPr="00F5723F">
              <w:rPr>
                <w:snapToGrid w:val="0"/>
              </w:rPr>
              <w:t>71</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LU</w:t>
            </w:r>
          </w:p>
        </w:tc>
        <w:tc>
          <w:tcPr>
            <w:tcW w:w="907" w:type="dxa"/>
            <w:tcBorders>
              <w:top w:val="nil"/>
              <w:bottom w:val="nil"/>
            </w:tcBorders>
            <w:shd w:val="pct35" w:color="auto" w:fill="FFFFFF"/>
          </w:tcPr>
          <w:p w:rsidR="00B43C57" w:rsidRPr="00F5723F" w:rsidRDefault="00B43C57">
            <w:pPr>
              <w:pStyle w:val="Tabelltext"/>
              <w:rPr>
                <w:snapToGrid w:val="0"/>
              </w:rPr>
            </w:pPr>
            <w:r w:rsidRPr="00F5723F">
              <w:rPr>
                <w:snapToGrid w:val="0"/>
              </w:rPr>
              <w:t>41</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29</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UU</w:t>
            </w:r>
          </w:p>
        </w:tc>
        <w:tc>
          <w:tcPr>
            <w:tcW w:w="1134" w:type="dxa"/>
            <w:gridSpan w:val="2"/>
            <w:tcBorders>
              <w:top w:val="nil"/>
              <w:bottom w:val="nil"/>
            </w:tcBorders>
            <w:shd w:val="clear" w:color="auto" w:fill="FFFFFF"/>
          </w:tcPr>
          <w:p w:rsidR="00B43C57" w:rsidRPr="00F5723F" w:rsidRDefault="00B43C57">
            <w:pPr>
              <w:pStyle w:val="Tabelltext"/>
              <w:rPr>
                <w:snapToGrid w:val="0"/>
              </w:rPr>
            </w:pPr>
            <w:r w:rsidRPr="00F5723F">
              <w:rPr>
                <w:snapToGrid w:val="0"/>
              </w:rPr>
              <w:t>55</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rPr>
                <w:snapToGrid w:val="0"/>
              </w:rPr>
            </w:pPr>
            <w:r w:rsidRPr="00F5723F">
              <w:rPr>
                <w:snapToGrid w:val="0"/>
              </w:rPr>
              <w:t>SkU</w:t>
            </w:r>
          </w:p>
        </w:tc>
        <w:tc>
          <w:tcPr>
            <w:tcW w:w="907" w:type="dxa"/>
            <w:tcBorders>
              <w:top w:val="nil"/>
              <w:bottom w:val="nil"/>
            </w:tcBorders>
            <w:shd w:val="pct35" w:color="auto" w:fill="FFFFFF"/>
          </w:tcPr>
          <w:p w:rsidR="00B43C57" w:rsidRPr="00F5723F" w:rsidRDefault="00B43C57">
            <w:pPr>
              <w:pStyle w:val="Tabelltext"/>
              <w:rPr>
                <w:snapToGrid w:val="0"/>
              </w:rPr>
            </w:pPr>
            <w:r w:rsidRPr="00F5723F">
              <w:rPr>
                <w:snapToGrid w:val="0"/>
              </w:rPr>
              <w:t>33</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FiU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25</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FiU</w:t>
            </w:r>
          </w:p>
        </w:tc>
        <w:tc>
          <w:tcPr>
            <w:tcW w:w="1134" w:type="dxa"/>
            <w:gridSpan w:val="2"/>
            <w:tcBorders>
              <w:top w:val="nil"/>
              <w:bottom w:val="nil"/>
            </w:tcBorders>
            <w:shd w:val="clear" w:color="auto" w:fill="FFFFFF"/>
          </w:tcPr>
          <w:p w:rsidR="00B43C57" w:rsidRPr="00F5723F" w:rsidRDefault="00B43C57">
            <w:pPr>
              <w:pStyle w:val="Tabelltext"/>
              <w:rPr>
                <w:snapToGrid w:val="0"/>
              </w:rPr>
            </w:pPr>
            <w:r w:rsidRPr="00F5723F">
              <w:rPr>
                <w:snapToGrid w:val="0"/>
              </w:rPr>
              <w:t>34</w:t>
            </w:r>
          </w:p>
        </w:tc>
      </w:tr>
      <w:tr w:rsidR="00000000" w:rsidRPr="00F5723F">
        <w:tblPrEx>
          <w:tblCellMar>
            <w:top w:w="0" w:type="dxa"/>
            <w:bottom w:w="0" w:type="dxa"/>
          </w:tblCellMar>
        </w:tblPrEx>
        <w:trPr>
          <w:cantSplit/>
        </w:trPr>
        <w:tc>
          <w:tcPr>
            <w:tcW w:w="1063"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907" w:type="dxa"/>
            <w:tcBorders>
              <w:top w:val="nil"/>
              <w:bottom w:val="nil"/>
            </w:tcBorders>
            <w:shd w:val="clear" w:color="auto" w:fill="FFFFFF"/>
          </w:tcPr>
          <w:p w:rsidR="00B43C57" w:rsidRPr="00F5723F" w:rsidRDefault="00B43C57">
            <w:pPr>
              <w:pStyle w:val="Tabelltext"/>
              <w:rPr>
                <w:snapToGrid w:val="0"/>
              </w:rPr>
            </w:pPr>
            <w:r w:rsidRPr="00F5723F">
              <w:rPr>
                <w:snapToGrid w:val="0"/>
              </w:rPr>
              <w:t>31</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UU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18</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SkU</w:t>
            </w:r>
          </w:p>
        </w:tc>
        <w:tc>
          <w:tcPr>
            <w:tcW w:w="1134" w:type="dxa"/>
            <w:gridSpan w:val="2"/>
            <w:tcBorders>
              <w:top w:val="nil"/>
              <w:bottom w:val="nil"/>
            </w:tcBorders>
            <w:shd w:val="pct35" w:color="auto" w:fill="FFFFFF"/>
          </w:tcPr>
          <w:p w:rsidR="00B43C57" w:rsidRPr="00F5723F" w:rsidRDefault="00B43C57">
            <w:pPr>
              <w:pStyle w:val="Tabelltext"/>
              <w:rPr>
                <w:snapToGrid w:val="0"/>
              </w:rPr>
            </w:pPr>
            <w:r w:rsidRPr="00F5723F">
              <w:rPr>
                <w:snapToGrid w:val="0"/>
              </w:rPr>
              <w:t>31</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rPr>
                <w:snapToGrid w:val="0"/>
              </w:rPr>
            </w:pPr>
            <w:r w:rsidRPr="00F5723F">
              <w:rPr>
                <w:snapToGrid w:val="0"/>
              </w:rPr>
              <w:t>UU</w:t>
            </w:r>
          </w:p>
        </w:tc>
        <w:tc>
          <w:tcPr>
            <w:tcW w:w="907" w:type="dxa"/>
            <w:tcBorders>
              <w:top w:val="nil"/>
            </w:tcBorders>
          </w:tcPr>
          <w:p w:rsidR="00B43C57" w:rsidRPr="00F5723F" w:rsidRDefault="00B43C57">
            <w:pPr>
              <w:pStyle w:val="Tabelltext"/>
              <w:rPr>
                <w:snapToGrid w:val="0"/>
              </w:rPr>
            </w:pPr>
            <w:r w:rsidRPr="00F5723F">
              <w:rPr>
                <w:snapToGrid w:val="0"/>
              </w:rPr>
              <w:t>24</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18</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LU</w:t>
            </w:r>
          </w:p>
        </w:tc>
        <w:tc>
          <w:tcPr>
            <w:tcW w:w="1134" w:type="dxa"/>
            <w:gridSpan w:val="2"/>
            <w:tcBorders>
              <w:top w:val="nil"/>
              <w:bottom w:val="nil"/>
            </w:tcBorders>
            <w:shd w:val="pct35" w:color="auto" w:fill="FFFFFF"/>
          </w:tcPr>
          <w:p w:rsidR="00B43C57" w:rsidRPr="00F5723F" w:rsidRDefault="00B43C57">
            <w:pPr>
              <w:pStyle w:val="Tabelltext"/>
              <w:rPr>
                <w:snapToGrid w:val="0"/>
              </w:rPr>
            </w:pPr>
            <w:r w:rsidRPr="00F5723F">
              <w:rPr>
                <w:snapToGrid w:val="0"/>
              </w:rPr>
              <w:t>25</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SfU</w:t>
            </w:r>
          </w:p>
        </w:tc>
        <w:tc>
          <w:tcPr>
            <w:tcW w:w="907" w:type="dxa"/>
          </w:tcPr>
          <w:p w:rsidR="00B43C57" w:rsidRPr="00F5723F" w:rsidRDefault="00B43C57">
            <w:pPr>
              <w:pStyle w:val="Tabelltext"/>
              <w:rPr>
                <w:snapToGrid w:val="0"/>
              </w:rPr>
            </w:pPr>
            <w:r w:rsidRPr="00F5723F">
              <w:rPr>
                <w:snapToGrid w:val="0"/>
              </w:rPr>
              <w:t>24</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SkU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15</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AU</w:t>
            </w:r>
          </w:p>
        </w:tc>
        <w:tc>
          <w:tcPr>
            <w:tcW w:w="1134" w:type="dxa"/>
            <w:gridSpan w:val="2"/>
            <w:tcBorders>
              <w:top w:val="nil"/>
              <w:bottom w:val="nil"/>
            </w:tcBorders>
            <w:shd w:val="clear" w:color="auto" w:fill="FFFFFF"/>
          </w:tcPr>
          <w:p w:rsidR="00B43C57" w:rsidRPr="00F5723F" w:rsidRDefault="00B43C57">
            <w:pPr>
              <w:pStyle w:val="Tabelltext"/>
              <w:rPr>
                <w:snapToGrid w:val="0"/>
              </w:rPr>
            </w:pPr>
            <w:r w:rsidRPr="00F5723F">
              <w:rPr>
                <w:snapToGrid w:val="0"/>
              </w:rPr>
              <w:t>19</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FiU</w:t>
            </w:r>
          </w:p>
        </w:tc>
        <w:tc>
          <w:tcPr>
            <w:tcW w:w="907" w:type="dxa"/>
          </w:tcPr>
          <w:p w:rsidR="00B43C57" w:rsidRPr="00F5723F" w:rsidRDefault="00B43C57">
            <w:pPr>
              <w:pStyle w:val="Tabelltext"/>
              <w:rPr>
                <w:snapToGrid w:val="0"/>
              </w:rPr>
            </w:pPr>
            <w:r w:rsidRPr="00F5723F">
              <w:rPr>
                <w:snapToGrid w:val="0"/>
              </w:rPr>
              <w:t>14</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AU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15</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SoU</w:t>
            </w:r>
          </w:p>
        </w:tc>
        <w:tc>
          <w:tcPr>
            <w:tcW w:w="1134" w:type="dxa"/>
            <w:gridSpan w:val="2"/>
            <w:tcBorders>
              <w:top w:val="nil"/>
              <w:bottom w:val="nil"/>
            </w:tcBorders>
            <w:shd w:val="clear" w:color="auto" w:fill="FFFFFF"/>
          </w:tcPr>
          <w:p w:rsidR="00B43C57" w:rsidRPr="00F5723F" w:rsidRDefault="00B43C57">
            <w:pPr>
              <w:pStyle w:val="Tabelltext"/>
              <w:rPr>
                <w:snapToGrid w:val="0"/>
              </w:rPr>
            </w:pPr>
            <w:r w:rsidRPr="00F5723F">
              <w:rPr>
                <w:snapToGrid w:val="0"/>
              </w:rPr>
              <w:t>18</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rPr>
                <w:snapToGrid w:val="0"/>
              </w:rPr>
            </w:pPr>
            <w:r w:rsidRPr="00F5723F">
              <w:rPr>
                <w:snapToGrid w:val="0"/>
              </w:rPr>
              <w:t>AU</w:t>
            </w:r>
          </w:p>
        </w:tc>
        <w:tc>
          <w:tcPr>
            <w:tcW w:w="907" w:type="dxa"/>
          </w:tcPr>
          <w:p w:rsidR="00B43C57" w:rsidRPr="00F5723F" w:rsidRDefault="00B43C57">
            <w:pPr>
              <w:pStyle w:val="Tabelltext"/>
              <w:rPr>
                <w:snapToGrid w:val="0"/>
              </w:rPr>
            </w:pPr>
            <w:r w:rsidRPr="00F5723F">
              <w:rPr>
                <w:snapToGrid w:val="0"/>
              </w:rPr>
              <w:t>12</w:t>
            </w:r>
          </w:p>
        </w:tc>
        <w:tc>
          <w:tcPr>
            <w:tcW w:w="1134" w:type="dxa"/>
            <w:tcBorders>
              <w:top w:val="nil"/>
              <w:bottom w:val="nil"/>
            </w:tcBorders>
            <w:shd w:val="pct35" w:color="auto" w:fill="FFFFFF"/>
          </w:tcPr>
          <w:p w:rsidR="00B43C57" w:rsidRPr="00F5723F" w:rsidRDefault="00B43C57">
            <w:pPr>
              <w:pStyle w:val="Tabelltext"/>
              <w:rPr>
                <w:snapToGrid w:val="0"/>
              </w:rPr>
            </w:pPr>
            <w:r w:rsidRPr="00F5723F">
              <w:rPr>
                <w:snapToGrid w:val="0"/>
              </w:rPr>
              <w:t>LU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14</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SfU</w:t>
            </w:r>
          </w:p>
        </w:tc>
        <w:tc>
          <w:tcPr>
            <w:tcW w:w="1134" w:type="dxa"/>
            <w:gridSpan w:val="2"/>
            <w:tcBorders>
              <w:top w:val="nil"/>
              <w:bottom w:val="nil"/>
            </w:tcBorders>
            <w:shd w:val="clear" w:color="auto" w:fill="FFFFFF"/>
          </w:tcPr>
          <w:p w:rsidR="00B43C57" w:rsidRPr="00F5723F" w:rsidRDefault="00B43C57">
            <w:pPr>
              <w:pStyle w:val="Tabelltext"/>
              <w:rPr>
                <w:snapToGrid w:val="0"/>
              </w:rPr>
            </w:pPr>
            <w:r w:rsidRPr="00F5723F">
              <w:rPr>
                <w:snapToGrid w:val="0"/>
              </w:rPr>
              <w:t>13</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rPr>
                <w:snapToGrid w:val="0"/>
              </w:rPr>
            </w:pPr>
            <w:r w:rsidRPr="00F5723F">
              <w:rPr>
                <w:snapToGrid w:val="0"/>
              </w:rPr>
              <w:t>SoU</w:t>
            </w:r>
          </w:p>
        </w:tc>
        <w:tc>
          <w:tcPr>
            <w:tcW w:w="907" w:type="dxa"/>
            <w:tcBorders>
              <w:bottom w:val="nil"/>
            </w:tcBorders>
          </w:tcPr>
          <w:p w:rsidR="00B43C57" w:rsidRPr="00F5723F" w:rsidRDefault="00B43C57">
            <w:pPr>
              <w:pStyle w:val="Tabelltext"/>
              <w:rPr>
                <w:snapToGrid w:val="0"/>
              </w:rPr>
            </w:pPr>
            <w:r w:rsidRPr="00F5723F">
              <w:rPr>
                <w:snapToGrid w:val="0"/>
              </w:rPr>
              <w:t>10</w:t>
            </w:r>
          </w:p>
        </w:tc>
        <w:tc>
          <w:tcPr>
            <w:tcW w:w="1134" w:type="dxa"/>
            <w:tcBorders>
              <w:top w:val="nil"/>
              <w:bottom w:val="nil"/>
            </w:tcBorders>
            <w:shd w:val="clear" w:color="auto" w:fill="FFFFFF"/>
          </w:tcPr>
          <w:p w:rsidR="00B43C57" w:rsidRPr="00F5723F" w:rsidRDefault="00B43C57">
            <w:pPr>
              <w:pStyle w:val="Tabelltext"/>
              <w:rPr>
                <w:snapToGrid w:val="0"/>
              </w:rPr>
            </w:pPr>
            <w:r w:rsidRPr="00F5723F">
              <w:rPr>
                <w:snapToGrid w:val="0"/>
              </w:rPr>
              <w:t>SoU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11</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KU</w:t>
            </w:r>
          </w:p>
        </w:tc>
        <w:tc>
          <w:tcPr>
            <w:tcW w:w="1134" w:type="dxa"/>
            <w:gridSpan w:val="2"/>
            <w:tcBorders>
              <w:top w:val="nil"/>
              <w:bottom w:val="nil"/>
            </w:tcBorders>
            <w:shd w:val="clear" w:color="auto" w:fill="000000"/>
          </w:tcPr>
          <w:p w:rsidR="00B43C57" w:rsidRPr="00F5723F" w:rsidRDefault="00B43C57">
            <w:pPr>
              <w:pStyle w:val="Tabelltext"/>
              <w:rPr>
                <w:snapToGrid w:val="0"/>
              </w:rPr>
            </w:pPr>
            <w:r w:rsidRPr="00F5723F">
              <w:rPr>
                <w:snapToGrid w:val="0"/>
              </w:rPr>
              <w:t>11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KU</w:t>
            </w:r>
          </w:p>
        </w:tc>
        <w:tc>
          <w:tcPr>
            <w:tcW w:w="907" w:type="dxa"/>
            <w:tcBorders>
              <w:top w:val="nil"/>
              <w:bottom w:val="nil"/>
            </w:tcBorders>
            <w:shd w:val="clear" w:color="auto" w:fill="000000"/>
          </w:tcPr>
          <w:p w:rsidR="00B43C57" w:rsidRPr="00F5723F" w:rsidRDefault="00B43C57">
            <w:pPr>
              <w:pStyle w:val="Tabelltext"/>
              <w:rPr>
                <w:snapToGrid w:val="0"/>
              </w:rPr>
            </w:pPr>
            <w:r w:rsidRPr="00F5723F">
              <w:rPr>
                <w:snapToGrid w:val="0"/>
              </w:rPr>
              <w:t>8</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KU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4</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1134" w:type="dxa"/>
            <w:gridSpan w:val="2"/>
            <w:tcBorders>
              <w:top w:val="nil"/>
              <w:bottom w:val="nil"/>
            </w:tcBorders>
            <w:shd w:val="clear" w:color="auto" w:fill="000000"/>
          </w:tcPr>
          <w:p w:rsidR="00B43C57" w:rsidRPr="00F5723F" w:rsidRDefault="00B43C57">
            <w:pPr>
              <w:pStyle w:val="Tabelltext"/>
              <w:rPr>
                <w:snapToGrid w:val="0"/>
              </w:rPr>
            </w:pPr>
            <w:r w:rsidRPr="00F5723F">
              <w:rPr>
                <w:snapToGrid w:val="0"/>
              </w:rPr>
              <w:t>9</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FöU</w:t>
            </w:r>
          </w:p>
        </w:tc>
        <w:tc>
          <w:tcPr>
            <w:tcW w:w="907" w:type="dxa"/>
            <w:tcBorders>
              <w:top w:val="nil"/>
              <w:bottom w:val="nil"/>
            </w:tcBorders>
            <w:shd w:val="clear" w:color="auto" w:fill="000000"/>
          </w:tcPr>
          <w:p w:rsidR="00B43C57" w:rsidRPr="00F5723F" w:rsidRDefault="00B43C57">
            <w:pPr>
              <w:pStyle w:val="Tabelltext"/>
              <w:rPr>
                <w:snapToGrid w:val="0"/>
              </w:rPr>
            </w:pPr>
            <w:r w:rsidRPr="00F5723F">
              <w:rPr>
                <w:snapToGrid w:val="0"/>
              </w:rPr>
              <w:t>0</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3</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1134" w:type="dxa"/>
            <w:gridSpan w:val="2"/>
            <w:tcBorders>
              <w:top w:val="nil"/>
              <w:bottom w:val="nil"/>
            </w:tcBorders>
            <w:shd w:val="clear" w:color="auto" w:fill="000000"/>
          </w:tcPr>
          <w:p w:rsidR="00B43C57" w:rsidRPr="00F5723F" w:rsidRDefault="00B43C57">
            <w:pPr>
              <w:pStyle w:val="Tabelltext"/>
              <w:rPr>
                <w:snapToGrid w:val="0"/>
              </w:rPr>
            </w:pPr>
            <w:r w:rsidRPr="00F5723F">
              <w:rPr>
                <w:snapToGrid w:val="0"/>
              </w:rPr>
              <w:t>8</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KrU</w:t>
            </w:r>
          </w:p>
        </w:tc>
        <w:tc>
          <w:tcPr>
            <w:tcW w:w="907" w:type="dxa"/>
            <w:tcBorders>
              <w:top w:val="nil"/>
              <w:bottom w:val="nil"/>
            </w:tcBorders>
            <w:shd w:val="clear" w:color="auto" w:fill="000000"/>
          </w:tcPr>
          <w:p w:rsidR="00B43C57" w:rsidRPr="00F5723F" w:rsidRDefault="00B43C57">
            <w:pPr>
              <w:pStyle w:val="Tabelltext"/>
              <w:rPr>
                <w:snapToGrid w:val="0"/>
              </w:rPr>
            </w:pPr>
            <w:r w:rsidRPr="00F5723F">
              <w:rPr>
                <w:snapToGrid w:val="0"/>
              </w:rPr>
              <w:t>0</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2</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JuU</w:t>
            </w:r>
          </w:p>
        </w:tc>
        <w:tc>
          <w:tcPr>
            <w:tcW w:w="1134" w:type="dxa"/>
            <w:gridSpan w:val="2"/>
            <w:tcBorders>
              <w:top w:val="nil"/>
              <w:bottom w:val="nil"/>
            </w:tcBorders>
            <w:shd w:val="clear" w:color="auto" w:fill="FFFFFF"/>
          </w:tcPr>
          <w:p w:rsidR="00B43C57" w:rsidRPr="00F5723F" w:rsidRDefault="00B43C57">
            <w:pPr>
              <w:pStyle w:val="Tabelltext"/>
              <w:rPr>
                <w:snapToGrid w:val="0"/>
              </w:rPr>
            </w:pPr>
            <w:r w:rsidRPr="00F5723F">
              <w:rPr>
                <w:snapToGrid w:val="0"/>
              </w:rPr>
              <w:t>6</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rPr>
                <w:snapToGrid w:val="0"/>
              </w:rPr>
            </w:pPr>
            <w:r w:rsidRPr="00F5723F">
              <w:rPr>
                <w:snapToGrid w:val="0"/>
              </w:rPr>
              <w:t>UbU</w:t>
            </w:r>
          </w:p>
        </w:tc>
        <w:tc>
          <w:tcPr>
            <w:tcW w:w="907" w:type="dxa"/>
            <w:tcBorders>
              <w:top w:val="nil"/>
              <w:bottom w:val="nil"/>
            </w:tcBorders>
            <w:shd w:val="clear" w:color="auto" w:fill="000000"/>
          </w:tcPr>
          <w:p w:rsidR="00B43C57" w:rsidRPr="00F5723F" w:rsidRDefault="00B43C57">
            <w:pPr>
              <w:pStyle w:val="Tabelltext"/>
              <w:rPr>
                <w:snapToGrid w:val="0"/>
              </w:rPr>
            </w:pPr>
            <w:r w:rsidRPr="00F5723F">
              <w:rPr>
                <w:snapToGrid w:val="0"/>
              </w:rPr>
              <w:t>0</w:t>
            </w:r>
          </w:p>
        </w:tc>
        <w:tc>
          <w:tcPr>
            <w:tcW w:w="1134" w:type="dxa"/>
            <w:tcBorders>
              <w:top w:val="nil"/>
              <w:bottom w:val="nil"/>
            </w:tcBorders>
            <w:shd w:val="clear" w:color="auto" w:fill="000000"/>
          </w:tcPr>
          <w:p w:rsidR="00B43C57" w:rsidRPr="00F5723F" w:rsidRDefault="00B43C57">
            <w:pPr>
              <w:pStyle w:val="Tabelltext"/>
              <w:rPr>
                <w:snapToGrid w:val="0"/>
              </w:rPr>
            </w:pPr>
            <w:r w:rsidRPr="00F5723F">
              <w:rPr>
                <w:snapToGrid w:val="0"/>
              </w:rPr>
              <w:t>FöU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1</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FöU</w:t>
            </w:r>
          </w:p>
        </w:tc>
        <w:tc>
          <w:tcPr>
            <w:tcW w:w="1134" w:type="dxa"/>
            <w:gridSpan w:val="2"/>
            <w:tcBorders>
              <w:top w:val="nil"/>
              <w:bottom w:val="nil"/>
            </w:tcBorders>
            <w:shd w:val="clear" w:color="auto" w:fill="000000"/>
          </w:tcPr>
          <w:p w:rsidR="00B43C57" w:rsidRPr="00F5723F" w:rsidRDefault="00B43C57">
            <w:pPr>
              <w:pStyle w:val="Tabelltext"/>
              <w:rPr>
                <w:snapToGrid w:val="0"/>
              </w:rPr>
            </w:pPr>
            <w:r w:rsidRPr="00F5723F">
              <w:rPr>
                <w:snapToGrid w:val="0"/>
              </w:rPr>
              <w:t>4</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BoU</w:t>
            </w:r>
          </w:p>
        </w:tc>
        <w:tc>
          <w:tcPr>
            <w:tcW w:w="907"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0</w:t>
            </w:r>
          </w:p>
        </w:tc>
        <w:tc>
          <w:tcPr>
            <w:tcW w:w="1134"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BoU</w:t>
            </w:r>
          </w:p>
        </w:tc>
        <w:tc>
          <w:tcPr>
            <w:tcW w:w="851"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1</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BoU</w:t>
            </w:r>
          </w:p>
        </w:tc>
        <w:tc>
          <w:tcPr>
            <w:tcW w:w="1134" w:type="dxa"/>
            <w:gridSpan w:val="2"/>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2</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p>
    <w:p w:rsidR="00B43C57" w:rsidRPr="00F5723F" w:rsidRDefault="00B43C57">
      <w:pPr>
        <w:pStyle w:val="Normaltindrag"/>
      </w:pPr>
    </w:p>
    <w:p w:rsidR="00B43C57" w:rsidRPr="00F5723F" w:rsidRDefault="00B43C57">
      <w:r w:rsidRPr="00F5723F">
        <w:t>Rangordningen av utskotten är förhållandevis stabil över tid. Miljö- och jor</w:t>
      </w:r>
      <w:r w:rsidRPr="00F5723F">
        <w:t>d</w:t>
      </w:r>
      <w:r w:rsidRPr="00F5723F">
        <w:t>bruks-, närings- och trafikutskotten har varit de mest belastade under hela tioårsperioden. Även de minst belastade utskotten har i stort sett varit desa</w:t>
      </w:r>
      <w:r w:rsidRPr="00F5723F">
        <w:t>m</w:t>
      </w:r>
      <w:r w:rsidRPr="00F5723F">
        <w:t>ma. En skillnad som framgår av procenttalen är att justitieutskottet under de senaste valperioderna har fått alltfler faktapromemorior jämfört med övriga utskott. Detsamma gäller lagutskottet. Vidare framgår av tabellen att belas</w:t>
      </w:r>
      <w:r w:rsidRPr="00F5723F">
        <w:t>t</w:t>
      </w:r>
      <w:r w:rsidRPr="00F5723F">
        <w:t>ningen för flertalet av de utskott som under valperioden efter EU-inträdet var minst belastade därefter blivit ännu mindre.</w:t>
      </w:r>
    </w:p>
    <w:p w:rsidR="00B43C57" w:rsidRPr="00F5723F" w:rsidRDefault="00B43C57">
      <w:pPr>
        <w:pStyle w:val="Normaltindrag"/>
      </w:pPr>
      <w:r w:rsidRPr="00F5723F">
        <w:t>Äve</w:t>
      </w:r>
      <w:r w:rsidRPr="00F5723F">
        <w:t>n när inkomna EU-dokument totalt sett studeras är miljö- och jor</w:t>
      </w:r>
      <w:r w:rsidRPr="00F5723F">
        <w:t>d</w:t>
      </w:r>
      <w:r w:rsidRPr="00F5723F">
        <w:t>bruks-, trafik- och näringsutskotten bland de mest belastade och bostads-, försvars-, kultur-, konstitutions- och utbildningsutskotten bland de minst belastade. Dessutom har framför allt utrikesutskottet men även finansutsko</w:t>
      </w:r>
      <w:r w:rsidRPr="00F5723F">
        <w:t>t</w:t>
      </w:r>
      <w:r w:rsidRPr="00F5723F">
        <w:t>tet en hög belastning i detta avseende. Variationen mellan utskotten är all</w:t>
      </w:r>
      <w:r w:rsidRPr="00F5723F">
        <w:t>t</w:t>
      </w:r>
      <w:r w:rsidRPr="00F5723F">
        <w:t>jämt mycket stor.</w:t>
      </w:r>
    </w:p>
    <w:p w:rsidR="00B43C57" w:rsidRPr="00F5723F" w:rsidRDefault="00B43C57">
      <w:pPr>
        <w:pStyle w:val="Normaltindrag"/>
      </w:pPr>
      <w:r w:rsidRPr="00F5723F">
        <w:t>Förhållandena är stabila över tid. Av tabell 9:10 framgår även att utskott som under innevarande valperiod har erhållit ett lite</w:t>
      </w:r>
      <w:r w:rsidRPr="00F5723F">
        <w:t>t antal EU-dokument under de senaste åren har fått en allt mindre belastning jämfört med övriga utskott. Resultatet överensstämmer med utvecklingen av erhållna faktapr</w:t>
      </w:r>
      <w:r w:rsidRPr="00F5723F">
        <w:t>o</w:t>
      </w:r>
      <w:r w:rsidRPr="00F5723F">
        <w:t>memorior. Trenden är med andra ord att skillnaden mellan utskottens belas</w:t>
      </w:r>
      <w:r w:rsidRPr="00F5723F">
        <w:t>t</w:t>
      </w:r>
      <w:r w:rsidRPr="00F5723F">
        <w:t>ning med EU-frågor har ökat under den senaste tioårsperioden.</w:t>
      </w:r>
    </w:p>
    <w:p w:rsidR="00B43C57" w:rsidRPr="00F5723F" w:rsidRDefault="00B43C57">
      <w:pPr>
        <w:pStyle w:val="Tabellrubrik"/>
        <w:spacing w:before="0"/>
      </w:pPr>
      <w:r w:rsidRPr="00F5723F">
        <w:br w:type="page"/>
        <w:t>Tabell 9:10 Inkomna EU-dokument (rangordning, Procent)</w:t>
      </w:r>
    </w:p>
    <w:tbl>
      <w:tblPr>
        <w:tblW w:w="5882"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851"/>
        <w:gridCol w:w="992"/>
        <w:gridCol w:w="992"/>
      </w:tblGrid>
      <w:tr w:rsidR="00000000" w:rsidRPr="00F5723F">
        <w:tblPrEx>
          <w:tblCellMar>
            <w:top w:w="0" w:type="dxa"/>
            <w:bottom w:w="0" w:type="dxa"/>
          </w:tblCellMar>
        </w:tblPrEx>
        <w:trPr>
          <w:cantSplit/>
        </w:trPr>
        <w:tc>
          <w:tcPr>
            <w:tcW w:w="2055" w:type="dxa"/>
            <w:gridSpan w:val="2"/>
            <w:tcBorders>
              <w:top w:val="single" w:sz="4" w:space="0" w:color="auto"/>
              <w:bottom w:val="nil"/>
            </w:tcBorders>
          </w:tcPr>
          <w:p w:rsidR="00B43C57" w:rsidRPr="00F5723F" w:rsidRDefault="00B43C57">
            <w:pPr>
              <w:pStyle w:val="Tabelltext"/>
              <w:jc w:val="center"/>
            </w:pPr>
            <w:r w:rsidRPr="00F5723F">
              <w:t>2002/03–2003/04</w:t>
            </w:r>
          </w:p>
        </w:tc>
        <w:tc>
          <w:tcPr>
            <w:tcW w:w="1843" w:type="dxa"/>
            <w:gridSpan w:val="2"/>
            <w:tcBorders>
              <w:top w:val="single" w:sz="4" w:space="0" w:color="auto"/>
              <w:bottom w:val="nil"/>
            </w:tcBorders>
          </w:tcPr>
          <w:p w:rsidR="00B43C57" w:rsidRPr="00F5723F" w:rsidRDefault="00B43C57">
            <w:pPr>
              <w:pStyle w:val="Tabelltext"/>
              <w:jc w:val="center"/>
            </w:pPr>
            <w:r w:rsidRPr="00F5723F">
              <w:t>1998/99–2001/02</w:t>
            </w:r>
          </w:p>
        </w:tc>
        <w:tc>
          <w:tcPr>
            <w:tcW w:w="1984" w:type="dxa"/>
            <w:gridSpan w:val="2"/>
            <w:tcBorders>
              <w:top w:val="single" w:sz="4" w:space="0" w:color="auto"/>
              <w:bottom w:val="nil"/>
            </w:tcBorders>
          </w:tcPr>
          <w:p w:rsidR="00B43C57" w:rsidRPr="00F5723F" w:rsidRDefault="00B43C57">
            <w:pPr>
              <w:pStyle w:val="Tabelltext"/>
              <w:jc w:val="center"/>
            </w:pPr>
            <w:r w:rsidRPr="00F5723F">
              <w:t>1995/96–1997/98</w:t>
            </w:r>
          </w:p>
        </w:tc>
      </w:tr>
      <w:tr w:rsidR="00000000" w:rsidRPr="00F5723F">
        <w:tblPrEx>
          <w:tblCellMar>
            <w:top w:w="0" w:type="dxa"/>
            <w:bottom w:w="0" w:type="dxa"/>
          </w:tblCellMar>
        </w:tblPrEx>
        <w:trPr>
          <w:cantSplit/>
        </w:trPr>
        <w:tc>
          <w:tcPr>
            <w:tcW w:w="1063"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c>
          <w:tcPr>
            <w:tcW w:w="992" w:type="dxa"/>
            <w:tcBorders>
              <w:top w:val="nil"/>
              <w:bottom w:val="single" w:sz="4" w:space="0" w:color="auto"/>
            </w:tcBorders>
          </w:tcPr>
          <w:p w:rsidR="00B43C57" w:rsidRPr="00F5723F" w:rsidRDefault="00B43C57">
            <w:pPr>
              <w:pStyle w:val="Tabelltext"/>
            </w:pPr>
            <w:r w:rsidRPr="00F5723F">
              <w:t>Utskott</w:t>
            </w:r>
          </w:p>
        </w:tc>
        <w:tc>
          <w:tcPr>
            <w:tcW w:w="851" w:type="dxa"/>
            <w:tcBorders>
              <w:top w:val="nil"/>
              <w:bottom w:val="single" w:sz="4" w:space="0" w:color="auto"/>
            </w:tcBorders>
          </w:tcPr>
          <w:p w:rsidR="00B43C57" w:rsidRPr="00F5723F" w:rsidRDefault="00B43C57">
            <w:pPr>
              <w:pStyle w:val="Tabelltext"/>
            </w:pPr>
            <w:r w:rsidRPr="00F5723F">
              <w:t>Procent</w:t>
            </w:r>
          </w:p>
        </w:tc>
        <w:tc>
          <w:tcPr>
            <w:tcW w:w="992" w:type="dxa"/>
            <w:tcBorders>
              <w:top w:val="nil"/>
              <w:bottom w:val="single" w:sz="4" w:space="0" w:color="auto"/>
            </w:tcBorders>
          </w:tcPr>
          <w:p w:rsidR="00B43C57" w:rsidRPr="00F5723F" w:rsidRDefault="00B43C57">
            <w:pPr>
              <w:pStyle w:val="Tabelltext"/>
            </w:pPr>
            <w:r w:rsidRPr="00F5723F">
              <w:t>Utskott</w:t>
            </w:r>
          </w:p>
        </w:tc>
        <w:tc>
          <w:tcPr>
            <w:tcW w:w="992" w:type="dxa"/>
            <w:tcBorders>
              <w:top w:val="nil"/>
              <w:bottom w:val="single" w:sz="4" w:space="0" w:color="auto"/>
            </w:tcBorders>
          </w:tcPr>
          <w:p w:rsidR="00B43C57" w:rsidRPr="00F5723F" w:rsidRDefault="00B43C57">
            <w:pPr>
              <w:pStyle w:val="Tabelltext"/>
            </w:pPr>
            <w:r w:rsidRPr="00F5723F">
              <w:t>Procent</w:t>
            </w:r>
          </w:p>
        </w:tc>
      </w:tr>
      <w:tr w:rsidR="00000000" w:rsidRPr="00F5723F">
        <w:tblPrEx>
          <w:tblCellMar>
            <w:top w:w="0" w:type="dxa"/>
            <w:bottom w:w="0" w:type="dxa"/>
          </w:tblCellMar>
        </w:tblPrEx>
        <w:trPr>
          <w:cantSplit/>
        </w:trPr>
        <w:tc>
          <w:tcPr>
            <w:tcW w:w="1063" w:type="dxa"/>
            <w:tcBorders>
              <w:top w:val="single" w:sz="4" w:space="0" w:color="auto"/>
              <w:bottom w:val="nil"/>
            </w:tcBorders>
            <w:shd w:val="pct35" w:color="auto" w:fill="FFFFFF"/>
          </w:tcPr>
          <w:p w:rsidR="00B43C57" w:rsidRPr="00F5723F" w:rsidRDefault="00B43C57">
            <w:pPr>
              <w:pStyle w:val="Tabelltext"/>
            </w:pPr>
            <w:r w:rsidRPr="00F5723F">
              <w:t>MJU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pPr>
            <w:r w:rsidRPr="00F5723F">
              <w:t>UU</w:t>
            </w:r>
          </w:p>
        </w:tc>
        <w:tc>
          <w:tcPr>
            <w:tcW w:w="851"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c>
          <w:tcPr>
            <w:tcW w:w="992" w:type="dxa"/>
            <w:tcBorders>
              <w:top w:val="single" w:sz="4" w:space="0" w:color="auto"/>
              <w:bottom w:val="nil"/>
            </w:tcBorders>
            <w:shd w:val="pct35" w:color="auto" w:fill="FFFFFF"/>
          </w:tcPr>
          <w:p w:rsidR="00B43C57" w:rsidRPr="00F5723F" w:rsidRDefault="00B43C57">
            <w:pPr>
              <w:pStyle w:val="Tabelltext"/>
            </w:pPr>
            <w:r w:rsidRPr="00F5723F">
              <w:t>UU</w:t>
            </w:r>
          </w:p>
        </w:tc>
        <w:tc>
          <w:tcPr>
            <w:tcW w:w="992" w:type="dxa"/>
            <w:tcBorders>
              <w:top w:val="single" w:sz="4" w:space="0" w:color="auto"/>
              <w:bottom w:val="nil"/>
            </w:tcBorders>
            <w:shd w:val="pct35" w:color="auto" w:fill="FFFFFF"/>
          </w:tcPr>
          <w:p w:rsidR="00B43C57" w:rsidRPr="00F5723F" w:rsidRDefault="00B43C57">
            <w:pPr>
              <w:pStyle w:val="Tabelltext"/>
              <w:rPr>
                <w:snapToGrid w:val="0"/>
              </w:rPr>
            </w:pPr>
            <w:r w:rsidRPr="00F5723F">
              <w:rPr>
                <w:snapToGrid w:val="0"/>
              </w:rPr>
              <w:t>100</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UU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99</w:t>
            </w:r>
          </w:p>
        </w:tc>
        <w:tc>
          <w:tcPr>
            <w:tcW w:w="992" w:type="dxa"/>
            <w:tcBorders>
              <w:top w:val="nil"/>
              <w:bottom w:val="nil"/>
            </w:tcBorders>
            <w:shd w:val="pct35" w:color="auto" w:fill="FFFFFF"/>
          </w:tcPr>
          <w:p w:rsidR="00B43C57" w:rsidRPr="00F5723F" w:rsidRDefault="00B43C57">
            <w:pPr>
              <w:pStyle w:val="Tabelltext"/>
            </w:pPr>
            <w:r w:rsidRPr="00F5723F">
              <w:t>MJU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75</w:t>
            </w:r>
          </w:p>
        </w:tc>
        <w:tc>
          <w:tcPr>
            <w:tcW w:w="992" w:type="dxa"/>
            <w:tcBorders>
              <w:top w:val="nil"/>
              <w:bottom w:val="nil"/>
            </w:tcBorders>
            <w:shd w:val="pct35" w:color="auto" w:fill="FFFFFF"/>
          </w:tcPr>
          <w:p w:rsidR="00B43C57" w:rsidRPr="00F5723F" w:rsidRDefault="00B43C57">
            <w:pPr>
              <w:pStyle w:val="Tabelltext"/>
            </w:pPr>
            <w:r w:rsidRPr="00F5723F">
              <w:t>MJU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99</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FiU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45</w:t>
            </w:r>
          </w:p>
        </w:tc>
        <w:tc>
          <w:tcPr>
            <w:tcW w:w="992" w:type="dxa"/>
            <w:tcBorders>
              <w:top w:val="nil"/>
              <w:bottom w:val="nil"/>
            </w:tcBorders>
            <w:shd w:val="pct35" w:color="auto" w:fill="FFFFFF"/>
          </w:tcPr>
          <w:p w:rsidR="00B43C57" w:rsidRPr="00F5723F" w:rsidRDefault="00B43C57">
            <w:pPr>
              <w:pStyle w:val="Tabelltext"/>
            </w:pPr>
            <w:r w:rsidRPr="00F5723F">
              <w:t>TU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34</w:t>
            </w:r>
          </w:p>
        </w:tc>
        <w:tc>
          <w:tcPr>
            <w:tcW w:w="992" w:type="dxa"/>
            <w:tcBorders>
              <w:top w:val="nil"/>
              <w:bottom w:val="nil"/>
            </w:tcBorders>
            <w:shd w:val="pct35" w:color="auto" w:fill="FFFFFF"/>
          </w:tcPr>
          <w:p w:rsidR="00B43C57" w:rsidRPr="00F5723F" w:rsidRDefault="00B43C57">
            <w:pPr>
              <w:pStyle w:val="Tabelltext"/>
            </w:pPr>
            <w:r w:rsidRPr="00F5723F">
              <w:t>NU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57</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TU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40</w:t>
            </w:r>
          </w:p>
        </w:tc>
        <w:tc>
          <w:tcPr>
            <w:tcW w:w="992" w:type="dxa"/>
            <w:tcBorders>
              <w:top w:val="nil"/>
              <w:bottom w:val="nil"/>
            </w:tcBorders>
            <w:shd w:val="pct35" w:color="auto" w:fill="FFFFFF"/>
          </w:tcPr>
          <w:p w:rsidR="00B43C57" w:rsidRPr="00F5723F" w:rsidRDefault="00B43C57">
            <w:pPr>
              <w:pStyle w:val="Tabelltext"/>
            </w:pPr>
            <w:r w:rsidRPr="00F5723F">
              <w:t>FiU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31</w:t>
            </w:r>
          </w:p>
        </w:tc>
        <w:tc>
          <w:tcPr>
            <w:tcW w:w="992" w:type="dxa"/>
            <w:tcBorders>
              <w:top w:val="nil"/>
              <w:bottom w:val="nil"/>
            </w:tcBorders>
            <w:shd w:val="pct35" w:color="auto" w:fill="FFFFFF"/>
          </w:tcPr>
          <w:p w:rsidR="00B43C57" w:rsidRPr="00F5723F" w:rsidRDefault="00B43C57">
            <w:pPr>
              <w:pStyle w:val="Tabelltext"/>
            </w:pPr>
            <w:r w:rsidRPr="00F5723F">
              <w:t>TU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48</w:t>
            </w:r>
          </w:p>
        </w:tc>
      </w:tr>
      <w:tr w:rsidR="00000000" w:rsidRPr="00F5723F">
        <w:tblPrEx>
          <w:tblCellMar>
            <w:top w:w="0" w:type="dxa"/>
            <w:bottom w:w="0" w:type="dxa"/>
          </w:tblCellMar>
        </w:tblPrEx>
        <w:trPr>
          <w:cantSplit/>
        </w:trPr>
        <w:tc>
          <w:tcPr>
            <w:tcW w:w="1063" w:type="dxa"/>
            <w:tcBorders>
              <w:top w:val="nil"/>
              <w:bottom w:val="nil"/>
            </w:tcBorders>
            <w:shd w:val="pct35" w:color="auto" w:fill="FFFFFF"/>
          </w:tcPr>
          <w:p w:rsidR="00B43C57" w:rsidRPr="00F5723F" w:rsidRDefault="00B43C57">
            <w:pPr>
              <w:pStyle w:val="Tabelltext"/>
            </w:pPr>
            <w:r w:rsidRPr="00F5723F">
              <w:t>NU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35</w:t>
            </w:r>
          </w:p>
        </w:tc>
        <w:tc>
          <w:tcPr>
            <w:tcW w:w="992" w:type="dxa"/>
            <w:tcBorders>
              <w:top w:val="nil"/>
              <w:bottom w:val="nil"/>
            </w:tcBorders>
            <w:shd w:val="pct35" w:color="auto" w:fill="FFFFFF"/>
          </w:tcPr>
          <w:p w:rsidR="00B43C57" w:rsidRPr="00F5723F" w:rsidRDefault="00B43C57">
            <w:pPr>
              <w:pStyle w:val="Tabelltext"/>
            </w:pPr>
            <w:r w:rsidRPr="00F5723F">
              <w:t>NU</w:t>
            </w:r>
          </w:p>
        </w:tc>
        <w:tc>
          <w:tcPr>
            <w:tcW w:w="851" w:type="dxa"/>
            <w:tcBorders>
              <w:top w:val="nil"/>
              <w:bottom w:val="nil"/>
            </w:tcBorders>
            <w:shd w:val="pct35" w:color="auto" w:fill="FFFFFF"/>
          </w:tcPr>
          <w:p w:rsidR="00B43C57" w:rsidRPr="00F5723F" w:rsidRDefault="00B43C57">
            <w:pPr>
              <w:pStyle w:val="Tabelltext"/>
              <w:rPr>
                <w:snapToGrid w:val="0"/>
              </w:rPr>
            </w:pPr>
            <w:r w:rsidRPr="00F5723F">
              <w:rPr>
                <w:snapToGrid w:val="0"/>
              </w:rPr>
              <w:t>28</w:t>
            </w:r>
          </w:p>
        </w:tc>
        <w:tc>
          <w:tcPr>
            <w:tcW w:w="992" w:type="dxa"/>
            <w:tcBorders>
              <w:top w:val="nil"/>
              <w:bottom w:val="nil"/>
            </w:tcBorders>
            <w:shd w:val="pct35" w:color="auto" w:fill="FFFFFF"/>
          </w:tcPr>
          <w:p w:rsidR="00B43C57" w:rsidRPr="00F5723F" w:rsidRDefault="00B43C57">
            <w:pPr>
              <w:pStyle w:val="Tabelltext"/>
            </w:pPr>
            <w:r w:rsidRPr="00F5723F">
              <w:t>FiU</w:t>
            </w:r>
          </w:p>
        </w:tc>
        <w:tc>
          <w:tcPr>
            <w:tcW w:w="992" w:type="dxa"/>
            <w:tcBorders>
              <w:top w:val="nil"/>
              <w:bottom w:val="nil"/>
            </w:tcBorders>
            <w:shd w:val="pct35" w:color="auto" w:fill="FFFFFF"/>
          </w:tcPr>
          <w:p w:rsidR="00B43C57" w:rsidRPr="00F5723F" w:rsidRDefault="00B43C57">
            <w:pPr>
              <w:pStyle w:val="Tabelltext"/>
              <w:rPr>
                <w:snapToGrid w:val="0"/>
              </w:rPr>
            </w:pPr>
            <w:r w:rsidRPr="00F5723F">
              <w:rPr>
                <w:snapToGrid w:val="0"/>
              </w:rPr>
              <w:t>45</w:t>
            </w:r>
          </w:p>
        </w:tc>
      </w:tr>
      <w:tr w:rsidR="00000000" w:rsidRPr="00F5723F">
        <w:tblPrEx>
          <w:tblCellMar>
            <w:top w:w="0" w:type="dxa"/>
            <w:bottom w:w="0" w:type="dxa"/>
          </w:tblCellMar>
        </w:tblPrEx>
        <w:trPr>
          <w:cantSplit/>
        </w:trPr>
        <w:tc>
          <w:tcPr>
            <w:tcW w:w="1063" w:type="dxa"/>
            <w:tcBorders>
              <w:top w:val="nil"/>
              <w:bottom w:val="nil"/>
            </w:tcBorders>
            <w:shd w:val="clear" w:color="auto" w:fill="FFFFFF"/>
          </w:tcPr>
          <w:p w:rsidR="00B43C57" w:rsidRPr="00F5723F" w:rsidRDefault="00B43C57">
            <w:pPr>
              <w:pStyle w:val="Tabelltext"/>
            </w:pPr>
            <w:r w:rsidRPr="00F5723F">
              <w:t>SkU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28</w:t>
            </w:r>
          </w:p>
        </w:tc>
        <w:tc>
          <w:tcPr>
            <w:tcW w:w="992" w:type="dxa"/>
            <w:tcBorders>
              <w:top w:val="nil"/>
              <w:bottom w:val="nil"/>
            </w:tcBorders>
            <w:shd w:val="clear" w:color="auto" w:fill="FFFFFF"/>
          </w:tcPr>
          <w:p w:rsidR="00B43C57" w:rsidRPr="00F5723F" w:rsidRDefault="00B43C57">
            <w:pPr>
              <w:pStyle w:val="Tabelltext"/>
            </w:pPr>
            <w:r w:rsidRPr="00F5723F">
              <w:t>AU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17</w:t>
            </w:r>
          </w:p>
        </w:tc>
        <w:tc>
          <w:tcPr>
            <w:tcW w:w="992" w:type="dxa"/>
            <w:tcBorders>
              <w:top w:val="nil"/>
              <w:bottom w:val="nil"/>
            </w:tcBorders>
            <w:shd w:val="clear" w:color="auto" w:fill="FFFFFF"/>
          </w:tcPr>
          <w:p w:rsidR="00B43C57" w:rsidRPr="00F5723F" w:rsidRDefault="00B43C57">
            <w:pPr>
              <w:pStyle w:val="Tabelltext"/>
            </w:pPr>
            <w:r w:rsidRPr="00F5723F">
              <w:t>AU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28</w:t>
            </w:r>
          </w:p>
        </w:tc>
      </w:tr>
      <w:tr w:rsidR="00000000" w:rsidRPr="00F5723F">
        <w:tblPrEx>
          <w:tblCellMar>
            <w:top w:w="0" w:type="dxa"/>
            <w:bottom w:w="0" w:type="dxa"/>
          </w:tblCellMar>
        </w:tblPrEx>
        <w:trPr>
          <w:cantSplit/>
        </w:trPr>
        <w:tc>
          <w:tcPr>
            <w:tcW w:w="1063" w:type="dxa"/>
            <w:tcBorders>
              <w:top w:val="nil"/>
            </w:tcBorders>
          </w:tcPr>
          <w:p w:rsidR="00B43C57" w:rsidRPr="00F5723F" w:rsidRDefault="00B43C57">
            <w:pPr>
              <w:pStyle w:val="Tabelltext"/>
            </w:pPr>
            <w:r w:rsidRPr="00F5723F">
              <w:t>JuU</w:t>
            </w:r>
          </w:p>
        </w:tc>
        <w:tc>
          <w:tcPr>
            <w:tcW w:w="992" w:type="dxa"/>
            <w:tcBorders>
              <w:top w:val="nil"/>
            </w:tcBorders>
          </w:tcPr>
          <w:p w:rsidR="00B43C57" w:rsidRPr="00F5723F" w:rsidRDefault="00B43C57">
            <w:pPr>
              <w:pStyle w:val="Tabelltext"/>
              <w:rPr>
                <w:snapToGrid w:val="0"/>
              </w:rPr>
            </w:pPr>
            <w:r w:rsidRPr="00F5723F">
              <w:rPr>
                <w:snapToGrid w:val="0"/>
              </w:rPr>
              <w:t>16</w:t>
            </w:r>
          </w:p>
        </w:tc>
        <w:tc>
          <w:tcPr>
            <w:tcW w:w="992" w:type="dxa"/>
            <w:tcBorders>
              <w:top w:val="nil"/>
              <w:bottom w:val="nil"/>
            </w:tcBorders>
            <w:shd w:val="clear" w:color="auto" w:fill="FFFFFF"/>
          </w:tcPr>
          <w:p w:rsidR="00B43C57" w:rsidRPr="00F5723F" w:rsidRDefault="00B43C57">
            <w:pPr>
              <w:pStyle w:val="Tabelltext"/>
            </w:pPr>
            <w:r w:rsidRPr="00F5723F">
              <w:t>JuU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16</w:t>
            </w:r>
          </w:p>
        </w:tc>
        <w:tc>
          <w:tcPr>
            <w:tcW w:w="992" w:type="dxa"/>
            <w:tcBorders>
              <w:top w:val="nil"/>
              <w:bottom w:val="nil"/>
            </w:tcBorders>
            <w:shd w:val="clear" w:color="auto" w:fill="FFFFFF"/>
          </w:tcPr>
          <w:p w:rsidR="00B43C57" w:rsidRPr="00F5723F" w:rsidRDefault="00B43C57">
            <w:pPr>
              <w:pStyle w:val="Tabelltext"/>
            </w:pPr>
            <w:r w:rsidRPr="00F5723F">
              <w:t>SkU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27</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pPr>
            <w:r w:rsidRPr="00F5723F">
              <w:t>AU</w:t>
            </w:r>
          </w:p>
        </w:tc>
        <w:tc>
          <w:tcPr>
            <w:tcW w:w="992" w:type="dxa"/>
          </w:tcPr>
          <w:p w:rsidR="00B43C57" w:rsidRPr="00F5723F" w:rsidRDefault="00B43C57">
            <w:pPr>
              <w:pStyle w:val="Tabelltext"/>
              <w:rPr>
                <w:snapToGrid w:val="0"/>
              </w:rPr>
            </w:pPr>
            <w:r w:rsidRPr="00F5723F">
              <w:rPr>
                <w:snapToGrid w:val="0"/>
              </w:rPr>
              <w:t>13</w:t>
            </w:r>
          </w:p>
        </w:tc>
        <w:tc>
          <w:tcPr>
            <w:tcW w:w="992" w:type="dxa"/>
            <w:tcBorders>
              <w:top w:val="nil"/>
              <w:bottom w:val="nil"/>
            </w:tcBorders>
            <w:shd w:val="clear" w:color="auto" w:fill="FFFFFF"/>
          </w:tcPr>
          <w:p w:rsidR="00B43C57" w:rsidRPr="00F5723F" w:rsidRDefault="00B43C57">
            <w:pPr>
              <w:pStyle w:val="Tabelltext"/>
            </w:pPr>
            <w:r w:rsidRPr="00F5723F">
              <w:t>SkU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13</w:t>
            </w:r>
          </w:p>
        </w:tc>
        <w:tc>
          <w:tcPr>
            <w:tcW w:w="992" w:type="dxa"/>
            <w:tcBorders>
              <w:top w:val="nil"/>
              <w:bottom w:val="nil"/>
            </w:tcBorders>
            <w:shd w:val="clear" w:color="auto" w:fill="FFFFFF"/>
          </w:tcPr>
          <w:p w:rsidR="00B43C57" w:rsidRPr="00F5723F" w:rsidRDefault="00B43C57">
            <w:pPr>
              <w:pStyle w:val="Tabelltext"/>
            </w:pPr>
            <w:r w:rsidRPr="00F5723F">
              <w:t>SoU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20</w:t>
            </w:r>
          </w:p>
        </w:tc>
      </w:tr>
      <w:tr w:rsidR="00000000" w:rsidRPr="00F5723F">
        <w:tblPrEx>
          <w:tblCellMar>
            <w:top w:w="0" w:type="dxa"/>
            <w:bottom w:w="0" w:type="dxa"/>
          </w:tblCellMar>
        </w:tblPrEx>
        <w:trPr>
          <w:cantSplit/>
        </w:trPr>
        <w:tc>
          <w:tcPr>
            <w:tcW w:w="1063" w:type="dxa"/>
          </w:tcPr>
          <w:p w:rsidR="00B43C57" w:rsidRPr="00F5723F" w:rsidRDefault="00B43C57">
            <w:pPr>
              <w:pStyle w:val="Tabelltext"/>
            </w:pPr>
            <w:r w:rsidRPr="00F5723F">
              <w:t>SfU</w:t>
            </w:r>
          </w:p>
        </w:tc>
        <w:tc>
          <w:tcPr>
            <w:tcW w:w="992" w:type="dxa"/>
          </w:tcPr>
          <w:p w:rsidR="00B43C57" w:rsidRPr="00F5723F" w:rsidRDefault="00B43C57">
            <w:pPr>
              <w:pStyle w:val="Tabelltext"/>
              <w:rPr>
                <w:snapToGrid w:val="0"/>
              </w:rPr>
            </w:pPr>
            <w:r w:rsidRPr="00F5723F">
              <w:rPr>
                <w:snapToGrid w:val="0"/>
              </w:rPr>
              <w:t>12</w:t>
            </w:r>
          </w:p>
        </w:tc>
        <w:tc>
          <w:tcPr>
            <w:tcW w:w="992" w:type="dxa"/>
            <w:tcBorders>
              <w:top w:val="nil"/>
              <w:bottom w:val="nil"/>
            </w:tcBorders>
            <w:shd w:val="clear" w:color="auto" w:fill="000000"/>
          </w:tcPr>
          <w:p w:rsidR="00B43C57" w:rsidRPr="00F5723F" w:rsidRDefault="00B43C57">
            <w:pPr>
              <w:pStyle w:val="Tabelltext"/>
            </w:pPr>
            <w:r w:rsidRPr="00F5723F">
              <w:t>UbU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11</w:t>
            </w:r>
          </w:p>
        </w:tc>
        <w:tc>
          <w:tcPr>
            <w:tcW w:w="992" w:type="dxa"/>
            <w:tcBorders>
              <w:top w:val="nil"/>
              <w:bottom w:val="nil"/>
            </w:tcBorders>
            <w:shd w:val="clear" w:color="auto" w:fill="000000"/>
          </w:tcPr>
          <w:p w:rsidR="00B43C57" w:rsidRPr="00F5723F" w:rsidRDefault="00B43C57">
            <w:pPr>
              <w:pStyle w:val="Tabelltext"/>
            </w:pPr>
            <w:r w:rsidRPr="00F5723F">
              <w:t>UbU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20</w:t>
            </w:r>
          </w:p>
        </w:tc>
      </w:tr>
      <w:tr w:rsidR="00000000" w:rsidRPr="00F5723F">
        <w:tblPrEx>
          <w:tblCellMar>
            <w:top w:w="0" w:type="dxa"/>
            <w:bottom w:w="0" w:type="dxa"/>
          </w:tblCellMar>
        </w:tblPrEx>
        <w:trPr>
          <w:cantSplit/>
        </w:trPr>
        <w:tc>
          <w:tcPr>
            <w:tcW w:w="1063" w:type="dxa"/>
            <w:tcBorders>
              <w:bottom w:val="nil"/>
            </w:tcBorders>
          </w:tcPr>
          <w:p w:rsidR="00B43C57" w:rsidRPr="00F5723F" w:rsidRDefault="00B43C57">
            <w:pPr>
              <w:pStyle w:val="Tabelltext"/>
            </w:pPr>
            <w:r w:rsidRPr="00F5723F">
              <w:t>SoU</w:t>
            </w:r>
          </w:p>
        </w:tc>
        <w:tc>
          <w:tcPr>
            <w:tcW w:w="992" w:type="dxa"/>
            <w:tcBorders>
              <w:bottom w:val="nil"/>
            </w:tcBorders>
          </w:tcPr>
          <w:p w:rsidR="00B43C57" w:rsidRPr="00F5723F" w:rsidRDefault="00B43C57">
            <w:pPr>
              <w:pStyle w:val="Tabelltext"/>
              <w:rPr>
                <w:snapToGrid w:val="0"/>
              </w:rPr>
            </w:pPr>
            <w:r w:rsidRPr="00F5723F">
              <w:rPr>
                <w:snapToGrid w:val="0"/>
              </w:rPr>
              <w:t>12</w:t>
            </w:r>
          </w:p>
        </w:tc>
        <w:tc>
          <w:tcPr>
            <w:tcW w:w="992" w:type="dxa"/>
            <w:tcBorders>
              <w:top w:val="nil"/>
              <w:bottom w:val="nil"/>
            </w:tcBorders>
            <w:shd w:val="clear" w:color="auto" w:fill="FFFFFF"/>
          </w:tcPr>
          <w:p w:rsidR="00B43C57" w:rsidRPr="00F5723F" w:rsidRDefault="00B43C57">
            <w:pPr>
              <w:pStyle w:val="Tabelltext"/>
            </w:pPr>
            <w:r w:rsidRPr="00F5723F">
              <w:t>SoU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10</w:t>
            </w:r>
          </w:p>
        </w:tc>
        <w:tc>
          <w:tcPr>
            <w:tcW w:w="992" w:type="dxa"/>
            <w:tcBorders>
              <w:top w:val="nil"/>
              <w:bottom w:val="nil"/>
            </w:tcBorders>
            <w:shd w:val="clear" w:color="auto" w:fill="000000"/>
          </w:tcPr>
          <w:p w:rsidR="00B43C57" w:rsidRPr="00F5723F" w:rsidRDefault="00B43C57">
            <w:pPr>
              <w:pStyle w:val="Tabelltext"/>
            </w:pPr>
            <w:r w:rsidRPr="00F5723F">
              <w:t>KU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18</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11</w:t>
            </w:r>
          </w:p>
        </w:tc>
        <w:tc>
          <w:tcPr>
            <w:tcW w:w="992" w:type="dxa"/>
            <w:tcBorders>
              <w:top w:val="nil"/>
              <w:bottom w:val="nil"/>
            </w:tcBorders>
            <w:shd w:val="clear" w:color="auto" w:fill="FFFFFF"/>
          </w:tcPr>
          <w:p w:rsidR="00B43C57" w:rsidRPr="00F5723F" w:rsidRDefault="00B43C57">
            <w:pPr>
              <w:pStyle w:val="Tabelltext"/>
            </w:pPr>
            <w:r w:rsidRPr="00F5723F">
              <w:t>SfU</w:t>
            </w:r>
          </w:p>
        </w:tc>
        <w:tc>
          <w:tcPr>
            <w:tcW w:w="851" w:type="dxa"/>
            <w:tcBorders>
              <w:top w:val="nil"/>
              <w:bottom w:val="nil"/>
            </w:tcBorders>
            <w:shd w:val="clear" w:color="auto" w:fill="FFFFFF"/>
          </w:tcPr>
          <w:p w:rsidR="00B43C57" w:rsidRPr="00F5723F" w:rsidRDefault="00B43C57">
            <w:pPr>
              <w:pStyle w:val="Tabelltext"/>
              <w:rPr>
                <w:snapToGrid w:val="0"/>
              </w:rPr>
            </w:pPr>
            <w:r w:rsidRPr="00F5723F">
              <w:rPr>
                <w:snapToGrid w:val="0"/>
              </w:rPr>
              <w:t>9</w:t>
            </w:r>
          </w:p>
        </w:tc>
        <w:tc>
          <w:tcPr>
            <w:tcW w:w="992" w:type="dxa"/>
            <w:tcBorders>
              <w:top w:val="nil"/>
              <w:bottom w:val="nil"/>
            </w:tcBorders>
            <w:shd w:val="clear" w:color="auto" w:fill="000000"/>
          </w:tcPr>
          <w:p w:rsidR="00B43C57" w:rsidRPr="00F5723F" w:rsidRDefault="00B43C57">
            <w:pPr>
              <w:pStyle w:val="Tabelltext"/>
            </w:pPr>
            <w:r w:rsidRPr="00F5723F">
              <w:t>LU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18</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UbU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11</w:t>
            </w:r>
          </w:p>
        </w:tc>
        <w:tc>
          <w:tcPr>
            <w:tcW w:w="992" w:type="dxa"/>
            <w:tcBorders>
              <w:top w:val="nil"/>
              <w:bottom w:val="nil"/>
            </w:tcBorders>
            <w:shd w:val="clear" w:color="auto" w:fill="000000"/>
          </w:tcPr>
          <w:p w:rsidR="00B43C57" w:rsidRPr="00F5723F" w:rsidRDefault="00B43C57">
            <w:pPr>
              <w:pStyle w:val="Tabelltext"/>
            </w:pPr>
            <w:r w:rsidRPr="00F5723F">
              <w:t>LU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8</w:t>
            </w:r>
          </w:p>
        </w:tc>
        <w:tc>
          <w:tcPr>
            <w:tcW w:w="992" w:type="dxa"/>
            <w:tcBorders>
              <w:top w:val="nil"/>
              <w:bottom w:val="nil"/>
            </w:tcBorders>
            <w:shd w:val="clear" w:color="auto" w:fill="FFFFFF"/>
          </w:tcPr>
          <w:p w:rsidR="00B43C57" w:rsidRPr="00F5723F" w:rsidRDefault="00B43C57">
            <w:pPr>
              <w:pStyle w:val="Tabelltext"/>
            </w:pPr>
            <w:r w:rsidRPr="00F5723F">
              <w:t>JuU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13</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KU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7</w:t>
            </w:r>
          </w:p>
        </w:tc>
        <w:tc>
          <w:tcPr>
            <w:tcW w:w="992" w:type="dxa"/>
            <w:tcBorders>
              <w:top w:val="nil"/>
              <w:bottom w:val="nil"/>
            </w:tcBorders>
            <w:shd w:val="clear" w:color="auto" w:fill="000000"/>
          </w:tcPr>
          <w:p w:rsidR="00B43C57" w:rsidRPr="00F5723F" w:rsidRDefault="00B43C57">
            <w:pPr>
              <w:pStyle w:val="Tabelltext"/>
            </w:pPr>
            <w:r w:rsidRPr="00F5723F">
              <w:t>KrU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8</w:t>
            </w:r>
          </w:p>
        </w:tc>
        <w:tc>
          <w:tcPr>
            <w:tcW w:w="992" w:type="dxa"/>
            <w:tcBorders>
              <w:top w:val="nil"/>
              <w:bottom w:val="nil"/>
            </w:tcBorders>
            <w:shd w:val="clear" w:color="auto" w:fill="FFFFFF"/>
          </w:tcPr>
          <w:p w:rsidR="00B43C57" w:rsidRPr="00F5723F" w:rsidRDefault="00B43C57">
            <w:pPr>
              <w:pStyle w:val="Tabelltext"/>
            </w:pPr>
            <w:r w:rsidRPr="00F5723F">
              <w:t>SfU</w:t>
            </w:r>
          </w:p>
        </w:tc>
        <w:tc>
          <w:tcPr>
            <w:tcW w:w="992" w:type="dxa"/>
            <w:tcBorders>
              <w:top w:val="nil"/>
              <w:bottom w:val="nil"/>
            </w:tcBorders>
            <w:shd w:val="clear" w:color="auto" w:fill="FFFFFF"/>
          </w:tcPr>
          <w:p w:rsidR="00B43C57" w:rsidRPr="00F5723F" w:rsidRDefault="00B43C57">
            <w:pPr>
              <w:pStyle w:val="Tabelltext"/>
              <w:rPr>
                <w:snapToGrid w:val="0"/>
              </w:rPr>
            </w:pPr>
            <w:r w:rsidRPr="00F5723F">
              <w:rPr>
                <w:snapToGrid w:val="0"/>
              </w:rPr>
              <w:t>12</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7</w:t>
            </w:r>
          </w:p>
        </w:tc>
        <w:tc>
          <w:tcPr>
            <w:tcW w:w="992" w:type="dxa"/>
            <w:tcBorders>
              <w:top w:val="nil"/>
              <w:bottom w:val="nil"/>
            </w:tcBorders>
            <w:shd w:val="clear" w:color="auto" w:fill="000000"/>
          </w:tcPr>
          <w:p w:rsidR="00B43C57" w:rsidRPr="00F5723F" w:rsidRDefault="00B43C57">
            <w:pPr>
              <w:pStyle w:val="Tabelltext"/>
            </w:pPr>
            <w:r w:rsidRPr="00F5723F">
              <w:t>KU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7</w:t>
            </w:r>
          </w:p>
        </w:tc>
        <w:tc>
          <w:tcPr>
            <w:tcW w:w="992" w:type="dxa"/>
            <w:tcBorders>
              <w:top w:val="nil"/>
              <w:bottom w:val="nil"/>
            </w:tcBorders>
            <w:shd w:val="clear" w:color="auto" w:fill="000000"/>
          </w:tcPr>
          <w:p w:rsidR="00B43C57" w:rsidRPr="00F5723F" w:rsidRDefault="00B43C57">
            <w:pPr>
              <w:pStyle w:val="Tabelltext"/>
            </w:pPr>
            <w:r w:rsidRPr="00F5723F">
              <w:t>KrU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11</w:t>
            </w:r>
          </w:p>
        </w:tc>
      </w:tr>
      <w:tr w:rsidR="00000000" w:rsidRPr="00F5723F">
        <w:tblPrEx>
          <w:tblCellMar>
            <w:top w:w="0" w:type="dxa"/>
            <w:bottom w:w="0" w:type="dxa"/>
          </w:tblCellMar>
        </w:tblPrEx>
        <w:trPr>
          <w:cantSplit/>
        </w:trPr>
        <w:tc>
          <w:tcPr>
            <w:tcW w:w="1063" w:type="dxa"/>
            <w:tcBorders>
              <w:top w:val="nil"/>
              <w:bottom w:val="nil"/>
            </w:tcBorders>
            <w:shd w:val="clear" w:color="auto" w:fill="000000"/>
          </w:tcPr>
          <w:p w:rsidR="00B43C57" w:rsidRPr="00F5723F" w:rsidRDefault="00B43C57">
            <w:pPr>
              <w:pStyle w:val="Tabelltext"/>
            </w:pPr>
            <w:r w:rsidRPr="00F5723F">
              <w:t>FöU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2</w:t>
            </w:r>
          </w:p>
        </w:tc>
        <w:tc>
          <w:tcPr>
            <w:tcW w:w="992" w:type="dxa"/>
            <w:tcBorders>
              <w:top w:val="nil"/>
              <w:bottom w:val="nil"/>
            </w:tcBorders>
            <w:shd w:val="clear" w:color="auto" w:fill="000000"/>
          </w:tcPr>
          <w:p w:rsidR="00B43C57" w:rsidRPr="00F5723F" w:rsidRDefault="00B43C57">
            <w:pPr>
              <w:pStyle w:val="Tabelltext"/>
            </w:pPr>
            <w:r w:rsidRPr="00F5723F">
              <w:t>FöU</w:t>
            </w:r>
          </w:p>
        </w:tc>
        <w:tc>
          <w:tcPr>
            <w:tcW w:w="851" w:type="dxa"/>
            <w:tcBorders>
              <w:top w:val="nil"/>
              <w:bottom w:val="nil"/>
            </w:tcBorders>
            <w:shd w:val="clear" w:color="auto" w:fill="000000"/>
          </w:tcPr>
          <w:p w:rsidR="00B43C57" w:rsidRPr="00F5723F" w:rsidRDefault="00B43C57">
            <w:pPr>
              <w:pStyle w:val="Tabelltext"/>
              <w:rPr>
                <w:snapToGrid w:val="0"/>
              </w:rPr>
            </w:pPr>
            <w:r w:rsidRPr="00F5723F">
              <w:rPr>
                <w:snapToGrid w:val="0"/>
              </w:rPr>
              <w:t>2</w:t>
            </w:r>
          </w:p>
        </w:tc>
        <w:tc>
          <w:tcPr>
            <w:tcW w:w="992" w:type="dxa"/>
            <w:tcBorders>
              <w:top w:val="nil"/>
              <w:bottom w:val="nil"/>
            </w:tcBorders>
            <w:shd w:val="clear" w:color="auto" w:fill="000000"/>
          </w:tcPr>
          <w:p w:rsidR="00B43C57" w:rsidRPr="00F5723F" w:rsidRDefault="00B43C57">
            <w:pPr>
              <w:pStyle w:val="Tabelltext"/>
            </w:pPr>
            <w:r w:rsidRPr="00F5723F">
              <w:t>FöU</w:t>
            </w:r>
          </w:p>
        </w:tc>
        <w:tc>
          <w:tcPr>
            <w:tcW w:w="992" w:type="dxa"/>
            <w:tcBorders>
              <w:top w:val="nil"/>
              <w:bottom w:val="nil"/>
            </w:tcBorders>
            <w:shd w:val="clear" w:color="auto" w:fill="000000"/>
          </w:tcPr>
          <w:p w:rsidR="00B43C57" w:rsidRPr="00F5723F" w:rsidRDefault="00B43C57">
            <w:pPr>
              <w:pStyle w:val="Tabelltext"/>
              <w:rPr>
                <w:snapToGrid w:val="0"/>
              </w:rPr>
            </w:pPr>
            <w:r w:rsidRPr="00F5723F">
              <w:rPr>
                <w:snapToGrid w:val="0"/>
              </w:rPr>
              <w:t>8</w:t>
            </w:r>
          </w:p>
        </w:tc>
      </w:tr>
      <w:tr w:rsidR="00000000" w:rsidRPr="00F5723F">
        <w:tblPrEx>
          <w:tblCellMar>
            <w:top w:w="0" w:type="dxa"/>
            <w:bottom w:w="0" w:type="dxa"/>
          </w:tblCellMar>
        </w:tblPrEx>
        <w:trPr>
          <w:cantSplit/>
        </w:trPr>
        <w:tc>
          <w:tcPr>
            <w:tcW w:w="1063" w:type="dxa"/>
            <w:tcBorders>
              <w:top w:val="nil"/>
              <w:bottom w:val="single" w:sz="4" w:space="0" w:color="auto"/>
            </w:tcBorders>
            <w:shd w:val="clear" w:color="auto" w:fill="000000"/>
          </w:tcPr>
          <w:p w:rsidR="00B43C57" w:rsidRPr="00F5723F" w:rsidRDefault="00B43C57">
            <w:pPr>
              <w:pStyle w:val="Tabelltext"/>
            </w:pPr>
            <w:r w:rsidRPr="00F5723F">
              <w:t>BoU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0</w:t>
            </w:r>
          </w:p>
        </w:tc>
        <w:tc>
          <w:tcPr>
            <w:tcW w:w="992" w:type="dxa"/>
            <w:tcBorders>
              <w:top w:val="nil"/>
              <w:bottom w:val="single" w:sz="4" w:space="0" w:color="auto"/>
            </w:tcBorders>
            <w:shd w:val="clear" w:color="auto" w:fill="000000"/>
          </w:tcPr>
          <w:p w:rsidR="00B43C57" w:rsidRPr="00F5723F" w:rsidRDefault="00B43C57">
            <w:pPr>
              <w:pStyle w:val="Tabelltext"/>
            </w:pPr>
            <w:r w:rsidRPr="00F5723F">
              <w:t>BoU</w:t>
            </w:r>
          </w:p>
        </w:tc>
        <w:tc>
          <w:tcPr>
            <w:tcW w:w="851"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0</w:t>
            </w:r>
          </w:p>
        </w:tc>
        <w:tc>
          <w:tcPr>
            <w:tcW w:w="992" w:type="dxa"/>
            <w:tcBorders>
              <w:top w:val="nil"/>
              <w:bottom w:val="single" w:sz="4" w:space="0" w:color="auto"/>
            </w:tcBorders>
            <w:shd w:val="clear" w:color="auto" w:fill="000000"/>
          </w:tcPr>
          <w:p w:rsidR="00B43C57" w:rsidRPr="00F5723F" w:rsidRDefault="00B43C57">
            <w:pPr>
              <w:pStyle w:val="Tabelltext"/>
            </w:pPr>
            <w:r w:rsidRPr="00F5723F">
              <w:t>BoU</w:t>
            </w:r>
          </w:p>
        </w:tc>
        <w:tc>
          <w:tcPr>
            <w:tcW w:w="992" w:type="dxa"/>
            <w:tcBorders>
              <w:top w:val="nil"/>
              <w:bottom w:val="single" w:sz="4" w:space="0" w:color="auto"/>
            </w:tcBorders>
            <w:shd w:val="clear" w:color="auto" w:fill="000000"/>
          </w:tcPr>
          <w:p w:rsidR="00B43C57" w:rsidRPr="00F5723F" w:rsidRDefault="00B43C57">
            <w:pPr>
              <w:pStyle w:val="Tabelltext"/>
              <w:rPr>
                <w:snapToGrid w:val="0"/>
              </w:rPr>
            </w:pPr>
            <w:r w:rsidRPr="00F5723F">
              <w:rPr>
                <w:snapToGrid w:val="0"/>
              </w:rPr>
              <w:t>6</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De utskott som under innevarande valperiod har varit mest belast</w:t>
      </w:r>
      <w:r w:rsidRPr="00F5723F">
        <w:rPr>
          <w:rFonts w:ascii="Arial" w:hAnsi="Arial" w:cs="Arial"/>
          <w:sz w:val="16"/>
          <w:szCs w:val="16"/>
        </w:rPr>
        <w:t>a</w:t>
      </w:r>
      <w:r w:rsidRPr="00F5723F">
        <w:rPr>
          <w:rFonts w:ascii="Arial" w:hAnsi="Arial" w:cs="Arial"/>
          <w:sz w:val="16"/>
          <w:szCs w:val="16"/>
        </w:rPr>
        <w:t>de markeras med grå bakgrund</w:t>
      </w:r>
      <w:r w:rsidRPr="00F5723F">
        <w:rPr>
          <w:rFonts w:ascii="Arial" w:hAnsi="Arial" w:cs="Arial"/>
          <w:sz w:val="16"/>
          <w:szCs w:val="16"/>
        </w:rPr>
        <w:t>,</w:t>
      </w:r>
      <w:r w:rsidRPr="00F5723F">
        <w:rPr>
          <w:rFonts w:ascii="Arial" w:hAnsi="Arial" w:cs="Arial"/>
          <w:sz w:val="16"/>
          <w:szCs w:val="16"/>
        </w:rPr>
        <w:t xml:space="preserve"> och de utskott som varit minst belastade mark</w:t>
      </w:r>
      <w:r w:rsidRPr="00F5723F">
        <w:rPr>
          <w:rFonts w:ascii="Arial" w:hAnsi="Arial" w:cs="Arial"/>
          <w:sz w:val="16"/>
          <w:szCs w:val="16"/>
        </w:rPr>
        <w:t>e</w:t>
      </w:r>
      <w:r w:rsidRPr="00F5723F">
        <w:rPr>
          <w:rFonts w:ascii="Arial" w:hAnsi="Arial" w:cs="Arial"/>
          <w:sz w:val="16"/>
          <w:szCs w:val="16"/>
        </w:rPr>
        <w:t>ras med svart bakgrund. Procenttalen anger belastning relativt det mest belastade utskottet.</w:t>
      </w:r>
    </w:p>
    <w:p w:rsidR="00B43C57" w:rsidRPr="00F5723F" w:rsidRDefault="00B43C57">
      <w:pPr>
        <w:pStyle w:val="R4"/>
      </w:pPr>
      <w:bookmarkStart w:id="106" w:name="_Toc121738933"/>
      <w:r w:rsidRPr="00F5723F">
        <w:t>Samtliga rangordningar</w:t>
      </w:r>
      <w:bookmarkEnd w:id="106"/>
    </w:p>
    <w:p w:rsidR="00B43C57" w:rsidRPr="00F5723F" w:rsidRDefault="00B43C57">
      <w:r w:rsidRPr="00F5723F">
        <w:t>Som framgått ovan har rangordningen av utskotten i olika avseenden varit fö</w:t>
      </w:r>
      <w:r w:rsidRPr="00F5723F">
        <w:t>r</w:t>
      </w:r>
      <w:r w:rsidRPr="00F5723F">
        <w:t>hållandevis stabil sett över tid. Utskott som under innevarande valperiod har haft hög belastning i ett visst avseende har ofta även under tidigare valp</w:t>
      </w:r>
      <w:r w:rsidRPr="00F5723F">
        <w:t>e</w:t>
      </w:r>
      <w:r w:rsidRPr="00F5723F">
        <w:t>rioder haft hög belastning därvidlag. Självklart finns också exempel på mo</w:t>
      </w:r>
      <w:r w:rsidRPr="00F5723F">
        <w:t>t</w:t>
      </w:r>
      <w:r w:rsidRPr="00F5723F">
        <w:t>satsen, till exempel justitieutskottets ökning och arbetsmarknadsutskottets minskning, när det gäller antal motionsyrkanden.</w:t>
      </w:r>
    </w:p>
    <w:p w:rsidR="00B43C57" w:rsidRPr="00F5723F" w:rsidRDefault="00B43C57">
      <w:pPr>
        <w:pStyle w:val="Normaltindrag"/>
      </w:pPr>
      <w:r w:rsidRPr="00F5723F">
        <w:t>En fråga i anslutning till detta är om rangordningarna av utskotten vari</w:t>
      </w:r>
      <w:r w:rsidRPr="00F5723F">
        <w:t>e</w:t>
      </w:r>
      <w:r w:rsidRPr="00F5723F">
        <w:t>rar mellan olika indikatorer eller om ett utskott som är till exempel högt belastat i ett avs</w:t>
      </w:r>
      <w:r w:rsidRPr="00F5723F">
        <w:t>e</w:t>
      </w:r>
      <w:r w:rsidRPr="00F5723F">
        <w:t>ende också är högt belastat i andra avseenden. I vad mån så är fallet framgår av tabell 9:11. I den anges utskottens samtliga rangtal baserat på deras ran</w:t>
      </w:r>
      <w:r w:rsidRPr="00F5723F">
        <w:t>g</w:t>
      </w:r>
      <w:r w:rsidRPr="00F5723F">
        <w:t>ordningar i tabellerna ovan. Det bör dock betonas att rangtalen i tabellen måste tolkas med försiktighet. Förutom de osäkerheter som påtalades i avsnittets inledning bör här nämnas att vissa indikatorer samvarierar beroe</w:t>
      </w:r>
      <w:r w:rsidRPr="00F5723F">
        <w:t>n</w:t>
      </w:r>
      <w:r w:rsidRPr="00F5723F">
        <w:t>de på att de delvis är samma sak. Till ex</w:t>
      </w:r>
      <w:r w:rsidRPr="00F5723F">
        <w:t>empel hänger antal motioner nära samman med antal motionsyrkanden. Eftersom dessa redovisas som två olika indikatorer erhåller varje utskott två rangtal, men de mäter båda arbetsbelas</w:t>
      </w:r>
      <w:r w:rsidRPr="00F5723F">
        <w:t>t</w:t>
      </w:r>
      <w:r w:rsidRPr="00F5723F">
        <w:t>ning med avseende på motionsberedning. Vidare bör påpekas att olika indik</w:t>
      </w:r>
      <w:r w:rsidRPr="00F5723F">
        <w:t>a</w:t>
      </w:r>
      <w:r w:rsidRPr="00F5723F">
        <w:t>torer bör tillmätas olika vikt beroende på att de på en generell nivå utgör en större eller mindre belastning för utskotten. Ett exempel är indikatorerna betänkanden och yttranden. Betänkandena är som regel både mer omfattande än yttranden och ett större</w:t>
      </w:r>
      <w:r w:rsidRPr="00F5723F">
        <w:t xml:space="preserve"> inslag i alla utskotts verksamhet. Utskottens ran</w:t>
      </w:r>
      <w:r w:rsidRPr="00F5723F">
        <w:t>g</w:t>
      </w:r>
      <w:r w:rsidRPr="00F5723F">
        <w:t>ordning när det gäller betänkanden bör således ges en större vikt än deras rangordning när det gäller yttranden.</w:t>
      </w:r>
    </w:p>
    <w:p w:rsidR="00B43C57" w:rsidRPr="00F5723F" w:rsidRDefault="00B43C57">
      <w:pPr>
        <w:pStyle w:val="Normaltindrag"/>
      </w:pPr>
      <w:r w:rsidRPr="00F5723F">
        <w:t>Med detta sagt kan konstateras att det föreligger ett visst mönster i ran</w:t>
      </w:r>
      <w:r w:rsidRPr="00F5723F">
        <w:t>g</w:t>
      </w:r>
      <w:r w:rsidRPr="00F5723F">
        <w:t>ordningen av utskottens arbetsbelastning. Vissa utskott har låga rangtal på flera indikatorer, vilket alltså innebär att de är högt belastade i flera avsee</w:t>
      </w:r>
      <w:r w:rsidRPr="00F5723F">
        <w:t>n</w:t>
      </w:r>
      <w:r w:rsidRPr="00F5723F">
        <w:t>den. Konstitutionsutskottet har lägst rangtal av samtliga utskott på fyra av de tio indikatorerna: sammanträdestid, betänkanden, yttranden och trycksidor. Som framgått i föregående avsnitt är granskningen av regeringen ett omfa</w:t>
      </w:r>
      <w:r w:rsidRPr="00F5723F">
        <w:t>t</w:t>
      </w:r>
      <w:r w:rsidRPr="00F5723F">
        <w:t>tande inslag i konstitutionsutskottets verksamhet. Någon indikator som direkt mäter granskningsverksamheten finns inte i tabell</w:t>
      </w:r>
      <w:r w:rsidRPr="00F5723F">
        <w:t>en. Indirekt torde dock indikatorerna sammanträdestid och trycksidor täcka in konstitutionsu</w:t>
      </w:r>
      <w:r w:rsidRPr="00F5723F">
        <w:t>t</w:t>
      </w:r>
      <w:r w:rsidRPr="00F5723F">
        <w:t>skottets arbete med granskningen.</w:t>
      </w:r>
    </w:p>
    <w:p w:rsidR="00B43C57" w:rsidRPr="00F5723F" w:rsidRDefault="00B43C57">
      <w:pPr>
        <w:pStyle w:val="Normaltindrag"/>
      </w:pPr>
      <w:r w:rsidRPr="00F5723F">
        <w:t>Ett annat utskott som kännetecknas av låga rangtal är miljö- och jor</w:t>
      </w:r>
      <w:r w:rsidRPr="00F5723F">
        <w:t>d</w:t>
      </w:r>
      <w:r w:rsidRPr="00F5723F">
        <w:t>bruks</w:t>
      </w:r>
      <w:r w:rsidRPr="00F5723F">
        <w:softHyphen/>
        <w:t>utskottet. Detta har högst belastning (lägst rangtal) av alla utskott när det gäller EU-frågor, men det tillhör även de mer belastade utskotten när det gäller sammanträdestid, motioner och motionsyrkanden, reservationer samt trycksidor. Andra utskott som har flera låga rangtal, det vill säga hög belas</w:t>
      </w:r>
      <w:r w:rsidRPr="00F5723F">
        <w:t>t</w:t>
      </w:r>
      <w:r w:rsidRPr="00F5723F">
        <w:t>ning i flera avseenden, är finans- (propositioner, betänkanden, trycksidor, EU-dokument), skatte- (propositioner, motioner, betänkanden, trycksidor, fakt</w:t>
      </w:r>
      <w:r w:rsidRPr="00F5723F">
        <w:t>a</w:t>
      </w:r>
      <w:r w:rsidRPr="00F5723F">
        <w:t>promemorior), justitie- (propositioner, motionsy</w:t>
      </w:r>
      <w:r w:rsidRPr="00F5723F">
        <w:t>rkanden, reservationer, b</w:t>
      </w:r>
      <w:r w:rsidRPr="00F5723F">
        <w:t>e</w:t>
      </w:r>
      <w:r w:rsidRPr="00F5723F">
        <w:t>tänkanden), utrikes- (sammanträdestid, propositioner, EU-dokument), social- (propositioner, motioner, motionsyrkanden, reservationer, yttranden), utbil</w:t>
      </w:r>
      <w:r w:rsidRPr="00F5723F">
        <w:t>d</w:t>
      </w:r>
      <w:r w:rsidRPr="00F5723F">
        <w:t>nings- (motioner, motionsyrkanden, reservationer, trycksidor) och trafiku</w:t>
      </w:r>
      <w:r w:rsidRPr="00F5723F">
        <w:t>t</w:t>
      </w:r>
      <w:r w:rsidRPr="00F5723F">
        <w:t>skotten (sammanträdestid, motioner, motionsyrkanden, yttranden, faktapr</w:t>
      </w:r>
      <w:r w:rsidRPr="00F5723F">
        <w:t>o</w:t>
      </w:r>
      <w:r w:rsidRPr="00F5723F">
        <w:t>memorior, EU-dokument).</w:t>
      </w:r>
    </w:p>
    <w:p w:rsidR="00B43C57" w:rsidRPr="00F5723F" w:rsidRDefault="00B43C57">
      <w:pPr>
        <w:pStyle w:val="Tabellrubrik"/>
        <w:ind w:left="950" w:hanging="950"/>
      </w:pPr>
      <w:r w:rsidRPr="00F5723F">
        <w:t>TAbell 9:11 Utskottens samtliga Rangordningar 2002/03–2003/04 (ran</w:t>
      </w:r>
      <w:r w:rsidRPr="00F5723F">
        <w:t>g</w:t>
      </w:r>
      <w:r w:rsidRPr="00F5723F">
        <w:t>tal)</w:t>
      </w:r>
    </w:p>
    <w:tbl>
      <w:tblPr>
        <w:tblW w:w="5841" w:type="dxa"/>
        <w:tblLayout w:type="fixed"/>
        <w:tblCellMar>
          <w:left w:w="30" w:type="dxa"/>
          <w:right w:w="30" w:type="dxa"/>
        </w:tblCellMar>
        <w:tblLook w:val="0000" w:firstRow="0" w:lastRow="0" w:firstColumn="0" w:lastColumn="0" w:noHBand="0" w:noVBand="0"/>
      </w:tblPr>
      <w:tblGrid>
        <w:gridCol w:w="416"/>
        <w:gridCol w:w="646"/>
        <w:gridCol w:w="388"/>
        <w:gridCol w:w="387"/>
        <w:gridCol w:w="646"/>
        <w:gridCol w:w="517"/>
        <w:gridCol w:w="387"/>
        <w:gridCol w:w="387"/>
        <w:gridCol w:w="672"/>
        <w:gridCol w:w="749"/>
        <w:gridCol w:w="646"/>
      </w:tblGrid>
      <w:tr w:rsidR="00000000" w:rsidRPr="00F5723F">
        <w:tblPrEx>
          <w:tblCellMar>
            <w:top w:w="0" w:type="dxa"/>
            <w:bottom w:w="0" w:type="dxa"/>
          </w:tblCellMar>
        </w:tblPrEx>
        <w:trPr>
          <w:cantSplit/>
          <w:trHeight w:val="242"/>
        </w:trPr>
        <w:tc>
          <w:tcPr>
            <w:tcW w:w="416" w:type="dxa"/>
            <w:tcBorders>
              <w:top w:val="single" w:sz="4" w:space="0" w:color="auto"/>
              <w:bottom w:val="single" w:sz="4" w:space="0" w:color="auto"/>
            </w:tcBorders>
          </w:tcPr>
          <w:p w:rsidR="00B43C57" w:rsidRPr="00F5723F" w:rsidRDefault="00B43C57">
            <w:pPr>
              <w:pStyle w:val="Tabelltext"/>
              <w:rPr>
                <w:snapToGrid w:val="0"/>
              </w:rPr>
            </w:pPr>
          </w:p>
        </w:tc>
        <w:tc>
          <w:tcPr>
            <w:tcW w:w="646"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Smtr.tim</w:t>
            </w:r>
          </w:p>
        </w:tc>
        <w:tc>
          <w:tcPr>
            <w:tcW w:w="388"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Prop</w:t>
            </w:r>
          </w:p>
        </w:tc>
        <w:tc>
          <w:tcPr>
            <w:tcW w:w="387"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Mot</w:t>
            </w:r>
          </w:p>
        </w:tc>
        <w:tc>
          <w:tcPr>
            <w:tcW w:w="646"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Mot.yrk</w:t>
            </w:r>
          </w:p>
        </w:tc>
        <w:tc>
          <w:tcPr>
            <w:tcW w:w="517"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Res</w:t>
            </w:r>
          </w:p>
        </w:tc>
        <w:tc>
          <w:tcPr>
            <w:tcW w:w="387"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Bet</w:t>
            </w:r>
          </w:p>
        </w:tc>
        <w:tc>
          <w:tcPr>
            <w:tcW w:w="387"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Yttr</w:t>
            </w:r>
          </w:p>
        </w:tc>
        <w:tc>
          <w:tcPr>
            <w:tcW w:w="672"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Trycksid</w:t>
            </w:r>
          </w:p>
        </w:tc>
        <w:tc>
          <w:tcPr>
            <w:tcW w:w="749"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Fakta-PM</w:t>
            </w:r>
          </w:p>
        </w:tc>
        <w:tc>
          <w:tcPr>
            <w:tcW w:w="646"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EU-dok</w:t>
            </w:r>
          </w:p>
        </w:tc>
      </w:tr>
      <w:tr w:rsidR="00000000" w:rsidRPr="00F5723F">
        <w:tblPrEx>
          <w:tblCellMar>
            <w:top w:w="0" w:type="dxa"/>
            <w:bottom w:w="0" w:type="dxa"/>
          </w:tblCellMar>
        </w:tblPrEx>
        <w:trPr>
          <w:cantSplit/>
          <w:trHeight w:val="242"/>
        </w:trPr>
        <w:tc>
          <w:tcPr>
            <w:tcW w:w="416" w:type="dxa"/>
            <w:tcBorders>
              <w:top w:val="single" w:sz="4" w:space="0" w:color="auto"/>
            </w:tcBorders>
          </w:tcPr>
          <w:p w:rsidR="00B43C57" w:rsidRPr="00F5723F" w:rsidRDefault="00B43C57">
            <w:pPr>
              <w:pStyle w:val="Tabelltextsiffror"/>
              <w:jc w:val="left"/>
              <w:rPr>
                <w:snapToGrid w:val="0"/>
              </w:rPr>
            </w:pPr>
            <w:r w:rsidRPr="00F5723F">
              <w:rPr>
                <w:snapToGrid w:val="0"/>
              </w:rPr>
              <w:t>KU</w:t>
            </w:r>
          </w:p>
        </w:tc>
        <w:tc>
          <w:tcPr>
            <w:tcW w:w="646" w:type="dxa"/>
            <w:tcBorders>
              <w:top w:val="single" w:sz="4" w:space="0" w:color="auto"/>
            </w:tcBorders>
          </w:tcPr>
          <w:p w:rsidR="00B43C57" w:rsidRPr="00F5723F" w:rsidRDefault="00B43C57">
            <w:pPr>
              <w:pStyle w:val="Tabelltextsiffror"/>
              <w:jc w:val="center"/>
              <w:rPr>
                <w:snapToGrid w:val="0"/>
              </w:rPr>
            </w:pPr>
            <w:r w:rsidRPr="00F5723F">
              <w:rPr>
                <w:snapToGrid w:val="0"/>
              </w:rPr>
              <w:t>1</w:t>
            </w:r>
          </w:p>
        </w:tc>
        <w:tc>
          <w:tcPr>
            <w:tcW w:w="388" w:type="dxa"/>
            <w:tcBorders>
              <w:top w:val="single" w:sz="4" w:space="0" w:color="auto"/>
            </w:tcBorders>
          </w:tcPr>
          <w:p w:rsidR="00B43C57" w:rsidRPr="00F5723F" w:rsidRDefault="00B43C57">
            <w:pPr>
              <w:pStyle w:val="Tabelltextsiffror"/>
              <w:jc w:val="center"/>
              <w:rPr>
                <w:snapToGrid w:val="0"/>
              </w:rPr>
            </w:pPr>
            <w:r w:rsidRPr="00F5723F">
              <w:rPr>
                <w:snapToGrid w:val="0"/>
              </w:rPr>
              <w:t>9</w:t>
            </w:r>
          </w:p>
        </w:tc>
        <w:tc>
          <w:tcPr>
            <w:tcW w:w="387" w:type="dxa"/>
            <w:tcBorders>
              <w:top w:val="single" w:sz="4" w:space="0" w:color="auto"/>
            </w:tcBorders>
          </w:tcPr>
          <w:p w:rsidR="00B43C57" w:rsidRPr="00F5723F" w:rsidRDefault="00B43C57">
            <w:pPr>
              <w:pStyle w:val="Tabelltextsiffror"/>
              <w:jc w:val="center"/>
              <w:rPr>
                <w:snapToGrid w:val="0"/>
              </w:rPr>
            </w:pPr>
            <w:r w:rsidRPr="00F5723F">
              <w:rPr>
                <w:snapToGrid w:val="0"/>
              </w:rPr>
              <w:t>7</w:t>
            </w:r>
          </w:p>
        </w:tc>
        <w:tc>
          <w:tcPr>
            <w:tcW w:w="646" w:type="dxa"/>
            <w:tcBorders>
              <w:top w:val="single" w:sz="4" w:space="0" w:color="auto"/>
            </w:tcBorders>
          </w:tcPr>
          <w:p w:rsidR="00B43C57" w:rsidRPr="00F5723F" w:rsidRDefault="00B43C57">
            <w:pPr>
              <w:pStyle w:val="Tabelltextsiffror"/>
              <w:jc w:val="center"/>
              <w:rPr>
                <w:snapToGrid w:val="0"/>
              </w:rPr>
            </w:pPr>
            <w:r w:rsidRPr="00F5723F">
              <w:rPr>
                <w:snapToGrid w:val="0"/>
              </w:rPr>
              <w:t>11</w:t>
            </w:r>
          </w:p>
        </w:tc>
        <w:tc>
          <w:tcPr>
            <w:tcW w:w="517" w:type="dxa"/>
            <w:tcBorders>
              <w:top w:val="single" w:sz="4" w:space="0" w:color="auto"/>
            </w:tcBorders>
          </w:tcPr>
          <w:p w:rsidR="00B43C57" w:rsidRPr="00F5723F" w:rsidRDefault="00B43C57">
            <w:pPr>
              <w:pStyle w:val="Tabelltextsiffror"/>
              <w:jc w:val="center"/>
              <w:rPr>
                <w:snapToGrid w:val="0"/>
              </w:rPr>
            </w:pPr>
            <w:r w:rsidRPr="00F5723F">
              <w:rPr>
                <w:snapToGrid w:val="0"/>
              </w:rPr>
              <w:t>7,5</w:t>
            </w:r>
          </w:p>
        </w:tc>
        <w:tc>
          <w:tcPr>
            <w:tcW w:w="387" w:type="dxa"/>
            <w:tcBorders>
              <w:top w:val="single" w:sz="4" w:space="0" w:color="auto"/>
            </w:tcBorders>
          </w:tcPr>
          <w:p w:rsidR="00B43C57" w:rsidRPr="00F5723F" w:rsidRDefault="00B43C57">
            <w:pPr>
              <w:pStyle w:val="Tabelltextsiffror"/>
              <w:jc w:val="center"/>
              <w:rPr>
                <w:snapToGrid w:val="0"/>
              </w:rPr>
            </w:pPr>
            <w:r w:rsidRPr="00F5723F">
              <w:rPr>
                <w:snapToGrid w:val="0"/>
              </w:rPr>
              <w:t>1</w:t>
            </w:r>
          </w:p>
        </w:tc>
        <w:tc>
          <w:tcPr>
            <w:tcW w:w="387" w:type="dxa"/>
            <w:tcBorders>
              <w:top w:val="single" w:sz="4" w:space="0" w:color="auto"/>
            </w:tcBorders>
          </w:tcPr>
          <w:p w:rsidR="00B43C57" w:rsidRPr="00F5723F" w:rsidRDefault="00B43C57">
            <w:pPr>
              <w:pStyle w:val="Tabelltextsiffror"/>
              <w:jc w:val="center"/>
              <w:rPr>
                <w:snapToGrid w:val="0"/>
              </w:rPr>
            </w:pPr>
            <w:r w:rsidRPr="00F5723F">
              <w:rPr>
                <w:snapToGrid w:val="0"/>
              </w:rPr>
              <w:t>1</w:t>
            </w:r>
          </w:p>
        </w:tc>
        <w:tc>
          <w:tcPr>
            <w:tcW w:w="672" w:type="dxa"/>
            <w:tcBorders>
              <w:top w:val="single" w:sz="4" w:space="0" w:color="auto"/>
            </w:tcBorders>
          </w:tcPr>
          <w:p w:rsidR="00B43C57" w:rsidRPr="00F5723F" w:rsidRDefault="00B43C57">
            <w:pPr>
              <w:pStyle w:val="Tabelltextsiffror"/>
              <w:jc w:val="center"/>
              <w:rPr>
                <w:snapToGrid w:val="0"/>
              </w:rPr>
            </w:pPr>
            <w:r w:rsidRPr="00F5723F">
              <w:rPr>
                <w:snapToGrid w:val="0"/>
              </w:rPr>
              <w:t>1</w:t>
            </w:r>
          </w:p>
        </w:tc>
        <w:tc>
          <w:tcPr>
            <w:tcW w:w="749" w:type="dxa"/>
            <w:tcBorders>
              <w:top w:val="single" w:sz="4" w:space="0" w:color="auto"/>
            </w:tcBorders>
          </w:tcPr>
          <w:p w:rsidR="00B43C57" w:rsidRPr="00F5723F" w:rsidRDefault="00B43C57">
            <w:pPr>
              <w:pStyle w:val="Tabelltextsiffror"/>
              <w:jc w:val="center"/>
              <w:rPr>
                <w:snapToGrid w:val="0"/>
              </w:rPr>
            </w:pPr>
            <w:r w:rsidRPr="00F5723F">
              <w:rPr>
                <w:snapToGrid w:val="0"/>
              </w:rPr>
              <w:t>12</w:t>
            </w:r>
          </w:p>
        </w:tc>
        <w:tc>
          <w:tcPr>
            <w:tcW w:w="646" w:type="dxa"/>
            <w:tcBorders>
              <w:top w:val="single" w:sz="4" w:space="0" w:color="auto"/>
            </w:tcBorders>
          </w:tcPr>
          <w:p w:rsidR="00B43C57" w:rsidRPr="00F5723F" w:rsidRDefault="00B43C57">
            <w:pPr>
              <w:pStyle w:val="Tabelltextsiffror"/>
              <w:jc w:val="center"/>
              <w:rPr>
                <w:snapToGrid w:val="0"/>
              </w:rPr>
            </w:pPr>
            <w:r w:rsidRPr="00F5723F">
              <w:rPr>
                <w:snapToGrid w:val="0"/>
              </w:rPr>
              <w:t>13,5</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FiU</w:t>
            </w:r>
          </w:p>
        </w:tc>
        <w:tc>
          <w:tcPr>
            <w:tcW w:w="646" w:type="dxa"/>
          </w:tcPr>
          <w:p w:rsidR="00B43C57" w:rsidRPr="00F5723F" w:rsidRDefault="00B43C57">
            <w:pPr>
              <w:pStyle w:val="Tabelltextsiffror"/>
              <w:jc w:val="center"/>
              <w:rPr>
                <w:snapToGrid w:val="0"/>
              </w:rPr>
            </w:pPr>
            <w:r w:rsidRPr="00F5723F">
              <w:rPr>
                <w:snapToGrid w:val="0"/>
              </w:rPr>
              <w:t>9,5</w:t>
            </w:r>
          </w:p>
        </w:tc>
        <w:tc>
          <w:tcPr>
            <w:tcW w:w="388" w:type="dxa"/>
          </w:tcPr>
          <w:p w:rsidR="00B43C57" w:rsidRPr="00F5723F" w:rsidRDefault="00B43C57">
            <w:pPr>
              <w:pStyle w:val="Tabelltextsiffror"/>
              <w:jc w:val="center"/>
              <w:rPr>
                <w:snapToGrid w:val="0"/>
              </w:rPr>
            </w:pPr>
            <w:r w:rsidRPr="00F5723F">
              <w:rPr>
                <w:snapToGrid w:val="0"/>
              </w:rPr>
              <w:t>3</w:t>
            </w:r>
          </w:p>
        </w:tc>
        <w:tc>
          <w:tcPr>
            <w:tcW w:w="387" w:type="dxa"/>
          </w:tcPr>
          <w:p w:rsidR="00B43C57" w:rsidRPr="00F5723F" w:rsidRDefault="00B43C57">
            <w:pPr>
              <w:pStyle w:val="Tabelltextsiffror"/>
              <w:jc w:val="center"/>
              <w:rPr>
                <w:snapToGrid w:val="0"/>
              </w:rPr>
            </w:pPr>
            <w:r w:rsidRPr="00F5723F">
              <w:rPr>
                <w:snapToGrid w:val="0"/>
              </w:rPr>
              <w:t>13,5</w:t>
            </w:r>
          </w:p>
        </w:tc>
        <w:tc>
          <w:tcPr>
            <w:tcW w:w="646" w:type="dxa"/>
          </w:tcPr>
          <w:p w:rsidR="00B43C57" w:rsidRPr="00F5723F" w:rsidRDefault="00B43C57">
            <w:pPr>
              <w:pStyle w:val="Tabelltextsiffror"/>
              <w:jc w:val="center"/>
              <w:rPr>
                <w:snapToGrid w:val="0"/>
              </w:rPr>
            </w:pPr>
            <w:r w:rsidRPr="00F5723F">
              <w:rPr>
                <w:snapToGrid w:val="0"/>
              </w:rPr>
              <w:t>13</w:t>
            </w:r>
          </w:p>
        </w:tc>
        <w:tc>
          <w:tcPr>
            <w:tcW w:w="517" w:type="dxa"/>
          </w:tcPr>
          <w:p w:rsidR="00B43C57" w:rsidRPr="00F5723F" w:rsidRDefault="00B43C57">
            <w:pPr>
              <w:pStyle w:val="Tabelltextsiffror"/>
              <w:jc w:val="center"/>
              <w:rPr>
                <w:snapToGrid w:val="0"/>
              </w:rPr>
            </w:pPr>
            <w:r w:rsidRPr="00F5723F">
              <w:rPr>
                <w:snapToGrid w:val="0"/>
              </w:rPr>
              <w:t>9</w:t>
            </w:r>
          </w:p>
        </w:tc>
        <w:tc>
          <w:tcPr>
            <w:tcW w:w="387" w:type="dxa"/>
          </w:tcPr>
          <w:p w:rsidR="00B43C57" w:rsidRPr="00F5723F" w:rsidRDefault="00B43C57">
            <w:pPr>
              <w:pStyle w:val="Tabelltextsiffror"/>
              <w:jc w:val="center"/>
              <w:rPr>
                <w:snapToGrid w:val="0"/>
              </w:rPr>
            </w:pPr>
            <w:r w:rsidRPr="00F5723F">
              <w:rPr>
                <w:snapToGrid w:val="0"/>
              </w:rPr>
              <w:t>2</w:t>
            </w:r>
          </w:p>
        </w:tc>
        <w:tc>
          <w:tcPr>
            <w:tcW w:w="387" w:type="dxa"/>
          </w:tcPr>
          <w:p w:rsidR="00B43C57" w:rsidRPr="00F5723F" w:rsidRDefault="00B43C57">
            <w:pPr>
              <w:pStyle w:val="Tabelltextsiffror"/>
              <w:jc w:val="center"/>
              <w:rPr>
                <w:snapToGrid w:val="0"/>
              </w:rPr>
            </w:pPr>
            <w:r w:rsidRPr="00F5723F">
              <w:rPr>
                <w:snapToGrid w:val="0"/>
              </w:rPr>
              <w:t>9,5</w:t>
            </w:r>
          </w:p>
        </w:tc>
        <w:tc>
          <w:tcPr>
            <w:tcW w:w="672" w:type="dxa"/>
          </w:tcPr>
          <w:p w:rsidR="00B43C57" w:rsidRPr="00F5723F" w:rsidRDefault="00B43C57">
            <w:pPr>
              <w:pStyle w:val="Tabelltextsiffror"/>
              <w:jc w:val="center"/>
              <w:rPr>
                <w:snapToGrid w:val="0"/>
              </w:rPr>
            </w:pPr>
            <w:r w:rsidRPr="00F5723F">
              <w:rPr>
                <w:snapToGrid w:val="0"/>
              </w:rPr>
              <w:t>2</w:t>
            </w:r>
          </w:p>
        </w:tc>
        <w:tc>
          <w:tcPr>
            <w:tcW w:w="749" w:type="dxa"/>
          </w:tcPr>
          <w:p w:rsidR="00B43C57" w:rsidRPr="00F5723F" w:rsidRDefault="00B43C57">
            <w:pPr>
              <w:pStyle w:val="Tabelltextsiffror"/>
              <w:jc w:val="center"/>
              <w:rPr>
                <w:snapToGrid w:val="0"/>
              </w:rPr>
            </w:pPr>
            <w:r w:rsidRPr="00F5723F">
              <w:rPr>
                <w:snapToGrid w:val="0"/>
              </w:rPr>
              <w:t>9</w:t>
            </w:r>
          </w:p>
        </w:tc>
        <w:tc>
          <w:tcPr>
            <w:tcW w:w="646" w:type="dxa"/>
          </w:tcPr>
          <w:p w:rsidR="00B43C57" w:rsidRPr="00F5723F" w:rsidRDefault="00B43C57">
            <w:pPr>
              <w:pStyle w:val="Tabelltextsiffror"/>
              <w:jc w:val="center"/>
              <w:rPr>
                <w:snapToGrid w:val="0"/>
              </w:rPr>
            </w:pPr>
            <w:r w:rsidRPr="00F5723F">
              <w:rPr>
                <w:snapToGrid w:val="0"/>
              </w:rPr>
              <w:t>3</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SkU</w:t>
            </w:r>
          </w:p>
        </w:tc>
        <w:tc>
          <w:tcPr>
            <w:tcW w:w="646" w:type="dxa"/>
          </w:tcPr>
          <w:p w:rsidR="00B43C57" w:rsidRPr="00F5723F" w:rsidRDefault="00B43C57">
            <w:pPr>
              <w:pStyle w:val="Tabelltextsiffror"/>
              <w:jc w:val="center"/>
              <w:rPr>
                <w:snapToGrid w:val="0"/>
              </w:rPr>
            </w:pPr>
            <w:r w:rsidRPr="00F5723F">
              <w:rPr>
                <w:snapToGrid w:val="0"/>
              </w:rPr>
              <w:t>15</w:t>
            </w:r>
          </w:p>
        </w:tc>
        <w:tc>
          <w:tcPr>
            <w:tcW w:w="388" w:type="dxa"/>
          </w:tcPr>
          <w:p w:rsidR="00B43C57" w:rsidRPr="00F5723F" w:rsidRDefault="00B43C57">
            <w:pPr>
              <w:pStyle w:val="Tabelltextsiffror"/>
              <w:jc w:val="center"/>
              <w:rPr>
                <w:snapToGrid w:val="0"/>
              </w:rPr>
            </w:pPr>
            <w:r w:rsidRPr="00F5723F">
              <w:rPr>
                <w:snapToGrid w:val="0"/>
              </w:rPr>
              <w:t>1</w:t>
            </w:r>
          </w:p>
        </w:tc>
        <w:tc>
          <w:tcPr>
            <w:tcW w:w="387" w:type="dxa"/>
          </w:tcPr>
          <w:p w:rsidR="00B43C57" w:rsidRPr="00F5723F" w:rsidRDefault="00B43C57">
            <w:pPr>
              <w:pStyle w:val="Tabelltextsiffror"/>
              <w:jc w:val="center"/>
              <w:rPr>
                <w:snapToGrid w:val="0"/>
              </w:rPr>
            </w:pPr>
            <w:r w:rsidRPr="00F5723F">
              <w:rPr>
                <w:snapToGrid w:val="0"/>
              </w:rPr>
              <w:t>4</w:t>
            </w:r>
          </w:p>
        </w:tc>
        <w:tc>
          <w:tcPr>
            <w:tcW w:w="646" w:type="dxa"/>
          </w:tcPr>
          <w:p w:rsidR="00B43C57" w:rsidRPr="00F5723F" w:rsidRDefault="00B43C57">
            <w:pPr>
              <w:pStyle w:val="Tabelltextsiffror"/>
              <w:jc w:val="center"/>
              <w:rPr>
                <w:snapToGrid w:val="0"/>
              </w:rPr>
            </w:pPr>
            <w:r w:rsidRPr="00F5723F">
              <w:rPr>
                <w:snapToGrid w:val="0"/>
              </w:rPr>
              <w:t>9</w:t>
            </w:r>
          </w:p>
        </w:tc>
        <w:tc>
          <w:tcPr>
            <w:tcW w:w="517" w:type="dxa"/>
          </w:tcPr>
          <w:p w:rsidR="00B43C57" w:rsidRPr="00F5723F" w:rsidRDefault="00B43C57">
            <w:pPr>
              <w:pStyle w:val="Tabelltextsiffror"/>
              <w:jc w:val="center"/>
              <w:rPr>
                <w:snapToGrid w:val="0"/>
              </w:rPr>
            </w:pPr>
            <w:r w:rsidRPr="00F5723F">
              <w:rPr>
                <w:snapToGrid w:val="0"/>
              </w:rPr>
              <w:t>7,5</w:t>
            </w:r>
          </w:p>
        </w:tc>
        <w:tc>
          <w:tcPr>
            <w:tcW w:w="387" w:type="dxa"/>
          </w:tcPr>
          <w:p w:rsidR="00B43C57" w:rsidRPr="00F5723F" w:rsidRDefault="00B43C57">
            <w:pPr>
              <w:pStyle w:val="Tabelltextsiffror"/>
              <w:jc w:val="center"/>
              <w:rPr>
                <w:snapToGrid w:val="0"/>
              </w:rPr>
            </w:pPr>
            <w:r w:rsidRPr="00F5723F">
              <w:rPr>
                <w:snapToGrid w:val="0"/>
              </w:rPr>
              <w:t>5</w:t>
            </w:r>
          </w:p>
        </w:tc>
        <w:tc>
          <w:tcPr>
            <w:tcW w:w="387" w:type="dxa"/>
          </w:tcPr>
          <w:p w:rsidR="00B43C57" w:rsidRPr="00F5723F" w:rsidRDefault="00B43C57">
            <w:pPr>
              <w:pStyle w:val="Tabelltextsiffror"/>
              <w:jc w:val="center"/>
              <w:rPr>
                <w:snapToGrid w:val="0"/>
              </w:rPr>
            </w:pPr>
            <w:r w:rsidRPr="00F5723F">
              <w:rPr>
                <w:snapToGrid w:val="0"/>
              </w:rPr>
              <w:t>9,5</w:t>
            </w:r>
          </w:p>
        </w:tc>
        <w:tc>
          <w:tcPr>
            <w:tcW w:w="672" w:type="dxa"/>
          </w:tcPr>
          <w:p w:rsidR="00B43C57" w:rsidRPr="00F5723F" w:rsidRDefault="00B43C57">
            <w:pPr>
              <w:pStyle w:val="Tabelltextsiffror"/>
              <w:jc w:val="center"/>
              <w:rPr>
                <w:snapToGrid w:val="0"/>
              </w:rPr>
            </w:pPr>
            <w:r w:rsidRPr="00F5723F">
              <w:rPr>
                <w:snapToGrid w:val="0"/>
              </w:rPr>
              <w:t>3</w:t>
            </w:r>
          </w:p>
        </w:tc>
        <w:tc>
          <w:tcPr>
            <w:tcW w:w="749" w:type="dxa"/>
          </w:tcPr>
          <w:p w:rsidR="00B43C57" w:rsidRPr="00F5723F" w:rsidRDefault="00B43C57">
            <w:pPr>
              <w:pStyle w:val="Tabelltextsiffror"/>
              <w:jc w:val="center"/>
              <w:rPr>
                <w:snapToGrid w:val="0"/>
              </w:rPr>
            </w:pPr>
            <w:r w:rsidRPr="00F5723F">
              <w:rPr>
                <w:snapToGrid w:val="0"/>
              </w:rPr>
              <w:t>5</w:t>
            </w:r>
          </w:p>
        </w:tc>
        <w:tc>
          <w:tcPr>
            <w:tcW w:w="646" w:type="dxa"/>
          </w:tcPr>
          <w:p w:rsidR="00B43C57" w:rsidRPr="00F5723F" w:rsidRDefault="00B43C57">
            <w:pPr>
              <w:pStyle w:val="Tabelltextsiffror"/>
              <w:jc w:val="center"/>
              <w:rPr>
                <w:snapToGrid w:val="0"/>
              </w:rPr>
            </w:pPr>
            <w:r w:rsidRPr="00F5723F">
              <w:rPr>
                <w:snapToGrid w:val="0"/>
              </w:rPr>
              <w:t>6</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JuU</w:t>
            </w:r>
          </w:p>
        </w:tc>
        <w:tc>
          <w:tcPr>
            <w:tcW w:w="646" w:type="dxa"/>
          </w:tcPr>
          <w:p w:rsidR="00B43C57" w:rsidRPr="00F5723F" w:rsidRDefault="00B43C57">
            <w:pPr>
              <w:pStyle w:val="Tabelltextsiffror"/>
              <w:jc w:val="center"/>
              <w:rPr>
                <w:snapToGrid w:val="0"/>
              </w:rPr>
            </w:pPr>
            <w:r w:rsidRPr="00F5723F">
              <w:rPr>
                <w:snapToGrid w:val="0"/>
              </w:rPr>
              <w:t>7,5</w:t>
            </w:r>
          </w:p>
        </w:tc>
        <w:tc>
          <w:tcPr>
            <w:tcW w:w="388" w:type="dxa"/>
          </w:tcPr>
          <w:p w:rsidR="00B43C57" w:rsidRPr="00F5723F" w:rsidRDefault="00B43C57">
            <w:pPr>
              <w:pStyle w:val="Tabelltextsiffror"/>
              <w:jc w:val="center"/>
              <w:rPr>
                <w:snapToGrid w:val="0"/>
              </w:rPr>
            </w:pPr>
            <w:r w:rsidRPr="00F5723F">
              <w:rPr>
                <w:snapToGrid w:val="0"/>
              </w:rPr>
              <w:t>2</w:t>
            </w:r>
          </w:p>
        </w:tc>
        <w:tc>
          <w:tcPr>
            <w:tcW w:w="387" w:type="dxa"/>
          </w:tcPr>
          <w:p w:rsidR="00B43C57" w:rsidRPr="00F5723F" w:rsidRDefault="00B43C57">
            <w:pPr>
              <w:pStyle w:val="Tabelltextsiffror"/>
              <w:jc w:val="center"/>
              <w:rPr>
                <w:snapToGrid w:val="0"/>
              </w:rPr>
            </w:pPr>
            <w:r w:rsidRPr="00F5723F">
              <w:rPr>
                <w:snapToGrid w:val="0"/>
              </w:rPr>
              <w:t>6</w:t>
            </w:r>
          </w:p>
        </w:tc>
        <w:tc>
          <w:tcPr>
            <w:tcW w:w="646" w:type="dxa"/>
          </w:tcPr>
          <w:p w:rsidR="00B43C57" w:rsidRPr="00F5723F" w:rsidRDefault="00B43C57">
            <w:pPr>
              <w:pStyle w:val="Tabelltextsiffror"/>
              <w:jc w:val="center"/>
              <w:rPr>
                <w:snapToGrid w:val="0"/>
              </w:rPr>
            </w:pPr>
            <w:r w:rsidRPr="00F5723F">
              <w:rPr>
                <w:snapToGrid w:val="0"/>
              </w:rPr>
              <w:t>5</w:t>
            </w:r>
          </w:p>
        </w:tc>
        <w:tc>
          <w:tcPr>
            <w:tcW w:w="517" w:type="dxa"/>
          </w:tcPr>
          <w:p w:rsidR="00B43C57" w:rsidRPr="00F5723F" w:rsidRDefault="00B43C57">
            <w:pPr>
              <w:pStyle w:val="Tabelltextsiffror"/>
              <w:jc w:val="center"/>
              <w:rPr>
                <w:snapToGrid w:val="0"/>
              </w:rPr>
            </w:pPr>
            <w:r w:rsidRPr="00F5723F">
              <w:rPr>
                <w:snapToGrid w:val="0"/>
              </w:rPr>
              <w:t>5</w:t>
            </w:r>
          </w:p>
        </w:tc>
        <w:tc>
          <w:tcPr>
            <w:tcW w:w="387" w:type="dxa"/>
          </w:tcPr>
          <w:p w:rsidR="00B43C57" w:rsidRPr="00F5723F" w:rsidRDefault="00B43C57">
            <w:pPr>
              <w:pStyle w:val="Tabelltextsiffror"/>
              <w:jc w:val="center"/>
              <w:rPr>
                <w:snapToGrid w:val="0"/>
              </w:rPr>
            </w:pPr>
            <w:r w:rsidRPr="00F5723F">
              <w:rPr>
                <w:snapToGrid w:val="0"/>
              </w:rPr>
              <w:t>3,5</w:t>
            </w:r>
          </w:p>
        </w:tc>
        <w:tc>
          <w:tcPr>
            <w:tcW w:w="387" w:type="dxa"/>
          </w:tcPr>
          <w:p w:rsidR="00B43C57" w:rsidRPr="00F5723F" w:rsidRDefault="00B43C57">
            <w:pPr>
              <w:pStyle w:val="Tabelltextsiffror"/>
              <w:jc w:val="center"/>
              <w:rPr>
                <w:snapToGrid w:val="0"/>
              </w:rPr>
            </w:pPr>
            <w:r w:rsidRPr="00F5723F">
              <w:rPr>
                <w:snapToGrid w:val="0"/>
              </w:rPr>
              <w:t>9,5</w:t>
            </w:r>
          </w:p>
        </w:tc>
        <w:tc>
          <w:tcPr>
            <w:tcW w:w="672" w:type="dxa"/>
          </w:tcPr>
          <w:p w:rsidR="00B43C57" w:rsidRPr="00F5723F" w:rsidRDefault="00B43C57">
            <w:pPr>
              <w:pStyle w:val="Tabelltextsiffror"/>
              <w:jc w:val="center"/>
              <w:rPr>
                <w:snapToGrid w:val="0"/>
              </w:rPr>
            </w:pPr>
            <w:r w:rsidRPr="00F5723F">
              <w:rPr>
                <w:snapToGrid w:val="0"/>
              </w:rPr>
              <w:t>6</w:t>
            </w:r>
          </w:p>
        </w:tc>
        <w:tc>
          <w:tcPr>
            <w:tcW w:w="749" w:type="dxa"/>
          </w:tcPr>
          <w:p w:rsidR="00B43C57" w:rsidRPr="00F5723F" w:rsidRDefault="00B43C57">
            <w:pPr>
              <w:pStyle w:val="Tabelltextsiffror"/>
              <w:jc w:val="center"/>
              <w:rPr>
                <w:snapToGrid w:val="0"/>
              </w:rPr>
            </w:pPr>
            <w:r w:rsidRPr="00F5723F">
              <w:rPr>
                <w:snapToGrid w:val="0"/>
              </w:rPr>
              <w:t>6</w:t>
            </w:r>
          </w:p>
        </w:tc>
        <w:tc>
          <w:tcPr>
            <w:tcW w:w="646" w:type="dxa"/>
          </w:tcPr>
          <w:p w:rsidR="00B43C57" w:rsidRPr="00F5723F" w:rsidRDefault="00B43C57">
            <w:pPr>
              <w:pStyle w:val="Tabelltextsiffror"/>
              <w:jc w:val="center"/>
              <w:rPr>
                <w:snapToGrid w:val="0"/>
              </w:rPr>
            </w:pPr>
            <w:r w:rsidRPr="00F5723F">
              <w:rPr>
                <w:snapToGrid w:val="0"/>
              </w:rPr>
              <w:t>7</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LU</w:t>
            </w:r>
          </w:p>
        </w:tc>
        <w:tc>
          <w:tcPr>
            <w:tcW w:w="646" w:type="dxa"/>
          </w:tcPr>
          <w:p w:rsidR="00B43C57" w:rsidRPr="00F5723F" w:rsidRDefault="00B43C57">
            <w:pPr>
              <w:pStyle w:val="Tabelltextsiffror"/>
              <w:jc w:val="center"/>
              <w:rPr>
                <w:snapToGrid w:val="0"/>
              </w:rPr>
            </w:pPr>
            <w:r w:rsidRPr="00F5723F">
              <w:rPr>
                <w:snapToGrid w:val="0"/>
              </w:rPr>
              <w:t>11</w:t>
            </w:r>
          </w:p>
        </w:tc>
        <w:tc>
          <w:tcPr>
            <w:tcW w:w="388" w:type="dxa"/>
          </w:tcPr>
          <w:p w:rsidR="00B43C57" w:rsidRPr="00F5723F" w:rsidRDefault="00B43C57">
            <w:pPr>
              <w:pStyle w:val="Tabelltextsiffror"/>
              <w:jc w:val="center"/>
              <w:rPr>
                <w:snapToGrid w:val="0"/>
              </w:rPr>
            </w:pPr>
            <w:r w:rsidRPr="00F5723F">
              <w:rPr>
                <w:snapToGrid w:val="0"/>
              </w:rPr>
              <w:t>5</w:t>
            </w:r>
          </w:p>
        </w:tc>
        <w:tc>
          <w:tcPr>
            <w:tcW w:w="387" w:type="dxa"/>
          </w:tcPr>
          <w:p w:rsidR="00B43C57" w:rsidRPr="00F5723F" w:rsidRDefault="00B43C57">
            <w:pPr>
              <w:pStyle w:val="Tabelltextsiffror"/>
              <w:jc w:val="center"/>
              <w:rPr>
                <w:snapToGrid w:val="0"/>
              </w:rPr>
            </w:pPr>
            <w:r w:rsidRPr="00F5723F">
              <w:rPr>
                <w:snapToGrid w:val="0"/>
              </w:rPr>
              <w:t>12</w:t>
            </w:r>
          </w:p>
        </w:tc>
        <w:tc>
          <w:tcPr>
            <w:tcW w:w="646" w:type="dxa"/>
          </w:tcPr>
          <w:p w:rsidR="00B43C57" w:rsidRPr="00F5723F" w:rsidRDefault="00B43C57">
            <w:pPr>
              <w:pStyle w:val="Tabelltextsiffror"/>
              <w:jc w:val="center"/>
              <w:rPr>
                <w:snapToGrid w:val="0"/>
              </w:rPr>
            </w:pPr>
            <w:r w:rsidRPr="00F5723F">
              <w:rPr>
                <w:snapToGrid w:val="0"/>
              </w:rPr>
              <w:t>15</w:t>
            </w:r>
          </w:p>
        </w:tc>
        <w:tc>
          <w:tcPr>
            <w:tcW w:w="517" w:type="dxa"/>
          </w:tcPr>
          <w:p w:rsidR="00B43C57" w:rsidRPr="00F5723F" w:rsidRDefault="00B43C57">
            <w:pPr>
              <w:pStyle w:val="Tabelltextsiffror"/>
              <w:jc w:val="center"/>
              <w:rPr>
                <w:snapToGrid w:val="0"/>
              </w:rPr>
            </w:pPr>
            <w:r w:rsidRPr="00F5723F">
              <w:rPr>
                <w:snapToGrid w:val="0"/>
              </w:rPr>
              <w:t>11,5</w:t>
            </w:r>
          </w:p>
        </w:tc>
        <w:tc>
          <w:tcPr>
            <w:tcW w:w="387" w:type="dxa"/>
          </w:tcPr>
          <w:p w:rsidR="00B43C57" w:rsidRPr="00F5723F" w:rsidRDefault="00B43C57">
            <w:pPr>
              <w:pStyle w:val="Tabelltextsiffror"/>
              <w:jc w:val="center"/>
              <w:rPr>
                <w:snapToGrid w:val="0"/>
              </w:rPr>
            </w:pPr>
            <w:r w:rsidRPr="00F5723F">
              <w:rPr>
                <w:snapToGrid w:val="0"/>
              </w:rPr>
              <w:t>3,5</w:t>
            </w:r>
          </w:p>
        </w:tc>
        <w:tc>
          <w:tcPr>
            <w:tcW w:w="387" w:type="dxa"/>
          </w:tcPr>
          <w:p w:rsidR="00B43C57" w:rsidRPr="00F5723F" w:rsidRDefault="00B43C57">
            <w:pPr>
              <w:pStyle w:val="Tabelltextsiffror"/>
              <w:jc w:val="center"/>
              <w:rPr>
                <w:snapToGrid w:val="0"/>
              </w:rPr>
            </w:pPr>
            <w:r w:rsidRPr="00F5723F">
              <w:rPr>
                <w:snapToGrid w:val="0"/>
              </w:rPr>
              <w:t>15,5</w:t>
            </w:r>
          </w:p>
        </w:tc>
        <w:tc>
          <w:tcPr>
            <w:tcW w:w="672" w:type="dxa"/>
          </w:tcPr>
          <w:p w:rsidR="00B43C57" w:rsidRPr="00F5723F" w:rsidRDefault="00B43C57">
            <w:pPr>
              <w:pStyle w:val="Tabelltextsiffror"/>
              <w:jc w:val="center"/>
              <w:rPr>
                <w:snapToGrid w:val="0"/>
              </w:rPr>
            </w:pPr>
            <w:r w:rsidRPr="00F5723F">
              <w:rPr>
                <w:snapToGrid w:val="0"/>
              </w:rPr>
              <w:t>12</w:t>
            </w:r>
          </w:p>
        </w:tc>
        <w:tc>
          <w:tcPr>
            <w:tcW w:w="749" w:type="dxa"/>
          </w:tcPr>
          <w:p w:rsidR="00B43C57" w:rsidRPr="00F5723F" w:rsidRDefault="00B43C57">
            <w:pPr>
              <w:pStyle w:val="Tabelltextsiffror"/>
              <w:jc w:val="center"/>
              <w:rPr>
                <w:snapToGrid w:val="0"/>
              </w:rPr>
            </w:pPr>
            <w:r w:rsidRPr="00F5723F">
              <w:rPr>
                <w:snapToGrid w:val="0"/>
              </w:rPr>
              <w:t>4</w:t>
            </w:r>
          </w:p>
        </w:tc>
        <w:tc>
          <w:tcPr>
            <w:tcW w:w="646" w:type="dxa"/>
          </w:tcPr>
          <w:p w:rsidR="00B43C57" w:rsidRPr="00F5723F" w:rsidRDefault="00B43C57">
            <w:pPr>
              <w:pStyle w:val="Tabelltextsiffror"/>
              <w:jc w:val="center"/>
              <w:rPr>
                <w:snapToGrid w:val="0"/>
              </w:rPr>
            </w:pPr>
            <w:r w:rsidRPr="00F5723F">
              <w:rPr>
                <w:snapToGrid w:val="0"/>
              </w:rPr>
              <w:t>11,5</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UU</w:t>
            </w:r>
          </w:p>
        </w:tc>
        <w:tc>
          <w:tcPr>
            <w:tcW w:w="646" w:type="dxa"/>
          </w:tcPr>
          <w:p w:rsidR="00B43C57" w:rsidRPr="00F5723F" w:rsidRDefault="00B43C57">
            <w:pPr>
              <w:pStyle w:val="Tabelltextsiffror"/>
              <w:jc w:val="center"/>
              <w:rPr>
                <w:snapToGrid w:val="0"/>
              </w:rPr>
            </w:pPr>
            <w:r w:rsidRPr="00F5723F">
              <w:rPr>
                <w:snapToGrid w:val="0"/>
              </w:rPr>
              <w:t>2</w:t>
            </w:r>
          </w:p>
        </w:tc>
        <w:tc>
          <w:tcPr>
            <w:tcW w:w="388" w:type="dxa"/>
          </w:tcPr>
          <w:p w:rsidR="00B43C57" w:rsidRPr="00F5723F" w:rsidRDefault="00B43C57">
            <w:pPr>
              <w:pStyle w:val="Tabelltextsiffror"/>
              <w:jc w:val="center"/>
              <w:rPr>
                <w:snapToGrid w:val="0"/>
              </w:rPr>
            </w:pPr>
            <w:r w:rsidRPr="00F5723F">
              <w:rPr>
                <w:snapToGrid w:val="0"/>
              </w:rPr>
              <w:t>5</w:t>
            </w:r>
          </w:p>
        </w:tc>
        <w:tc>
          <w:tcPr>
            <w:tcW w:w="387" w:type="dxa"/>
          </w:tcPr>
          <w:p w:rsidR="00B43C57" w:rsidRPr="00F5723F" w:rsidRDefault="00B43C57">
            <w:pPr>
              <w:pStyle w:val="Tabelltextsiffror"/>
              <w:jc w:val="center"/>
              <w:rPr>
                <w:snapToGrid w:val="0"/>
              </w:rPr>
            </w:pPr>
            <w:r w:rsidRPr="00F5723F">
              <w:rPr>
                <w:snapToGrid w:val="0"/>
              </w:rPr>
              <w:t>13,5</w:t>
            </w:r>
          </w:p>
        </w:tc>
        <w:tc>
          <w:tcPr>
            <w:tcW w:w="646" w:type="dxa"/>
          </w:tcPr>
          <w:p w:rsidR="00B43C57" w:rsidRPr="00F5723F" w:rsidRDefault="00B43C57">
            <w:pPr>
              <w:pStyle w:val="Tabelltextsiffror"/>
              <w:jc w:val="center"/>
              <w:rPr>
                <w:snapToGrid w:val="0"/>
              </w:rPr>
            </w:pPr>
            <w:r w:rsidRPr="00F5723F">
              <w:rPr>
                <w:snapToGrid w:val="0"/>
              </w:rPr>
              <w:t>6</w:t>
            </w:r>
          </w:p>
        </w:tc>
        <w:tc>
          <w:tcPr>
            <w:tcW w:w="517" w:type="dxa"/>
          </w:tcPr>
          <w:p w:rsidR="00B43C57" w:rsidRPr="00F5723F" w:rsidRDefault="00B43C57">
            <w:pPr>
              <w:pStyle w:val="Tabelltextsiffror"/>
              <w:jc w:val="center"/>
              <w:rPr>
                <w:snapToGrid w:val="0"/>
              </w:rPr>
            </w:pPr>
            <w:r w:rsidRPr="00F5723F">
              <w:rPr>
                <w:snapToGrid w:val="0"/>
              </w:rPr>
              <w:t>13</w:t>
            </w:r>
          </w:p>
        </w:tc>
        <w:tc>
          <w:tcPr>
            <w:tcW w:w="387" w:type="dxa"/>
          </w:tcPr>
          <w:p w:rsidR="00B43C57" w:rsidRPr="00F5723F" w:rsidRDefault="00B43C57">
            <w:pPr>
              <w:pStyle w:val="Tabelltextsiffror"/>
              <w:jc w:val="center"/>
              <w:rPr>
                <w:snapToGrid w:val="0"/>
              </w:rPr>
            </w:pPr>
            <w:r w:rsidRPr="00F5723F">
              <w:rPr>
                <w:snapToGrid w:val="0"/>
              </w:rPr>
              <w:t>8</w:t>
            </w:r>
          </w:p>
        </w:tc>
        <w:tc>
          <w:tcPr>
            <w:tcW w:w="387" w:type="dxa"/>
          </w:tcPr>
          <w:p w:rsidR="00B43C57" w:rsidRPr="00F5723F" w:rsidRDefault="00B43C57">
            <w:pPr>
              <w:pStyle w:val="Tabelltextsiffror"/>
              <w:jc w:val="center"/>
              <w:rPr>
                <w:snapToGrid w:val="0"/>
              </w:rPr>
            </w:pPr>
            <w:r w:rsidRPr="00F5723F">
              <w:rPr>
                <w:snapToGrid w:val="0"/>
              </w:rPr>
              <w:t>12</w:t>
            </w:r>
          </w:p>
        </w:tc>
        <w:tc>
          <w:tcPr>
            <w:tcW w:w="672" w:type="dxa"/>
          </w:tcPr>
          <w:p w:rsidR="00B43C57" w:rsidRPr="00F5723F" w:rsidRDefault="00B43C57">
            <w:pPr>
              <w:pStyle w:val="Tabelltextsiffror"/>
              <w:jc w:val="center"/>
              <w:rPr>
                <w:snapToGrid w:val="0"/>
              </w:rPr>
            </w:pPr>
            <w:r w:rsidRPr="00F5723F">
              <w:rPr>
                <w:snapToGrid w:val="0"/>
              </w:rPr>
              <w:t>11</w:t>
            </w:r>
          </w:p>
        </w:tc>
        <w:tc>
          <w:tcPr>
            <w:tcW w:w="749" w:type="dxa"/>
          </w:tcPr>
          <w:p w:rsidR="00B43C57" w:rsidRPr="00F5723F" w:rsidRDefault="00B43C57">
            <w:pPr>
              <w:pStyle w:val="Tabelltextsiffror"/>
              <w:jc w:val="center"/>
              <w:rPr>
                <w:snapToGrid w:val="0"/>
              </w:rPr>
            </w:pPr>
            <w:r w:rsidRPr="00F5723F">
              <w:rPr>
                <w:snapToGrid w:val="0"/>
              </w:rPr>
              <w:t>7,5</w:t>
            </w:r>
          </w:p>
        </w:tc>
        <w:tc>
          <w:tcPr>
            <w:tcW w:w="646" w:type="dxa"/>
          </w:tcPr>
          <w:p w:rsidR="00B43C57" w:rsidRPr="00F5723F" w:rsidRDefault="00B43C57">
            <w:pPr>
              <w:pStyle w:val="Tabelltextsiffror"/>
              <w:jc w:val="center"/>
              <w:rPr>
                <w:snapToGrid w:val="0"/>
              </w:rPr>
            </w:pPr>
            <w:r w:rsidRPr="00F5723F">
              <w:rPr>
                <w:snapToGrid w:val="0"/>
              </w:rPr>
              <w:t>2</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FöU</w:t>
            </w:r>
          </w:p>
        </w:tc>
        <w:tc>
          <w:tcPr>
            <w:tcW w:w="646" w:type="dxa"/>
          </w:tcPr>
          <w:p w:rsidR="00B43C57" w:rsidRPr="00F5723F" w:rsidRDefault="00B43C57">
            <w:pPr>
              <w:pStyle w:val="Tabelltextsiffror"/>
              <w:jc w:val="center"/>
              <w:rPr>
                <w:snapToGrid w:val="0"/>
              </w:rPr>
            </w:pPr>
            <w:r w:rsidRPr="00F5723F">
              <w:rPr>
                <w:snapToGrid w:val="0"/>
              </w:rPr>
              <w:t>9,5</w:t>
            </w:r>
          </w:p>
        </w:tc>
        <w:tc>
          <w:tcPr>
            <w:tcW w:w="388" w:type="dxa"/>
          </w:tcPr>
          <w:p w:rsidR="00B43C57" w:rsidRPr="00F5723F" w:rsidRDefault="00B43C57">
            <w:pPr>
              <w:pStyle w:val="Tabelltextsiffror"/>
              <w:jc w:val="center"/>
              <w:rPr>
                <w:snapToGrid w:val="0"/>
              </w:rPr>
            </w:pPr>
            <w:r w:rsidRPr="00F5723F">
              <w:rPr>
                <w:snapToGrid w:val="0"/>
              </w:rPr>
              <w:t>15</w:t>
            </w:r>
          </w:p>
        </w:tc>
        <w:tc>
          <w:tcPr>
            <w:tcW w:w="387" w:type="dxa"/>
          </w:tcPr>
          <w:p w:rsidR="00B43C57" w:rsidRPr="00F5723F" w:rsidRDefault="00B43C57">
            <w:pPr>
              <w:pStyle w:val="Tabelltextsiffror"/>
              <w:jc w:val="center"/>
              <w:rPr>
                <w:snapToGrid w:val="0"/>
              </w:rPr>
            </w:pPr>
            <w:r w:rsidRPr="00F5723F">
              <w:rPr>
                <w:snapToGrid w:val="0"/>
              </w:rPr>
              <w:t>16</w:t>
            </w:r>
          </w:p>
        </w:tc>
        <w:tc>
          <w:tcPr>
            <w:tcW w:w="646" w:type="dxa"/>
          </w:tcPr>
          <w:p w:rsidR="00B43C57" w:rsidRPr="00F5723F" w:rsidRDefault="00B43C57">
            <w:pPr>
              <w:pStyle w:val="Tabelltextsiffror"/>
              <w:jc w:val="center"/>
              <w:rPr>
                <w:snapToGrid w:val="0"/>
              </w:rPr>
            </w:pPr>
            <w:r w:rsidRPr="00F5723F">
              <w:rPr>
                <w:snapToGrid w:val="0"/>
              </w:rPr>
              <w:t>16</w:t>
            </w:r>
          </w:p>
        </w:tc>
        <w:tc>
          <w:tcPr>
            <w:tcW w:w="517" w:type="dxa"/>
          </w:tcPr>
          <w:p w:rsidR="00B43C57" w:rsidRPr="00F5723F" w:rsidRDefault="00B43C57">
            <w:pPr>
              <w:pStyle w:val="Tabelltextsiffror"/>
              <w:jc w:val="center"/>
              <w:rPr>
                <w:snapToGrid w:val="0"/>
              </w:rPr>
            </w:pPr>
            <w:r w:rsidRPr="00F5723F">
              <w:rPr>
                <w:snapToGrid w:val="0"/>
              </w:rPr>
              <w:t>16</w:t>
            </w:r>
          </w:p>
        </w:tc>
        <w:tc>
          <w:tcPr>
            <w:tcW w:w="387" w:type="dxa"/>
          </w:tcPr>
          <w:p w:rsidR="00B43C57" w:rsidRPr="00F5723F" w:rsidRDefault="00B43C57">
            <w:pPr>
              <w:pStyle w:val="Tabelltextsiffror"/>
              <w:jc w:val="center"/>
              <w:rPr>
                <w:snapToGrid w:val="0"/>
              </w:rPr>
            </w:pPr>
            <w:r w:rsidRPr="00F5723F">
              <w:rPr>
                <w:snapToGrid w:val="0"/>
              </w:rPr>
              <w:t>16</w:t>
            </w:r>
          </w:p>
        </w:tc>
        <w:tc>
          <w:tcPr>
            <w:tcW w:w="387" w:type="dxa"/>
          </w:tcPr>
          <w:p w:rsidR="00B43C57" w:rsidRPr="00F5723F" w:rsidRDefault="00B43C57">
            <w:pPr>
              <w:pStyle w:val="Tabelltextsiffror"/>
              <w:jc w:val="center"/>
              <w:rPr>
                <w:snapToGrid w:val="0"/>
              </w:rPr>
            </w:pPr>
            <w:r w:rsidRPr="00F5723F">
              <w:rPr>
                <w:snapToGrid w:val="0"/>
              </w:rPr>
              <w:t>5,5</w:t>
            </w:r>
          </w:p>
        </w:tc>
        <w:tc>
          <w:tcPr>
            <w:tcW w:w="672" w:type="dxa"/>
          </w:tcPr>
          <w:p w:rsidR="00B43C57" w:rsidRPr="00F5723F" w:rsidRDefault="00B43C57">
            <w:pPr>
              <w:pStyle w:val="Tabelltextsiffror"/>
              <w:jc w:val="center"/>
              <w:rPr>
                <w:snapToGrid w:val="0"/>
              </w:rPr>
            </w:pPr>
            <w:r w:rsidRPr="00F5723F">
              <w:rPr>
                <w:snapToGrid w:val="0"/>
              </w:rPr>
              <w:t>16</w:t>
            </w:r>
          </w:p>
        </w:tc>
        <w:tc>
          <w:tcPr>
            <w:tcW w:w="749" w:type="dxa"/>
          </w:tcPr>
          <w:p w:rsidR="00B43C57" w:rsidRPr="00F5723F" w:rsidRDefault="00B43C57">
            <w:pPr>
              <w:pStyle w:val="Tabelltextsiffror"/>
              <w:jc w:val="center"/>
              <w:rPr>
                <w:snapToGrid w:val="0"/>
              </w:rPr>
            </w:pPr>
            <w:r w:rsidRPr="00F5723F">
              <w:rPr>
                <w:snapToGrid w:val="0"/>
              </w:rPr>
              <w:t>14,5</w:t>
            </w:r>
          </w:p>
        </w:tc>
        <w:tc>
          <w:tcPr>
            <w:tcW w:w="646" w:type="dxa"/>
          </w:tcPr>
          <w:p w:rsidR="00B43C57" w:rsidRPr="00F5723F" w:rsidRDefault="00B43C57">
            <w:pPr>
              <w:pStyle w:val="Tabelltextsiffror"/>
              <w:jc w:val="center"/>
              <w:rPr>
                <w:snapToGrid w:val="0"/>
              </w:rPr>
            </w:pPr>
            <w:r w:rsidRPr="00F5723F">
              <w:rPr>
                <w:snapToGrid w:val="0"/>
              </w:rPr>
              <w:t>15</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SfU</w:t>
            </w:r>
          </w:p>
        </w:tc>
        <w:tc>
          <w:tcPr>
            <w:tcW w:w="646" w:type="dxa"/>
          </w:tcPr>
          <w:p w:rsidR="00B43C57" w:rsidRPr="00F5723F" w:rsidRDefault="00B43C57">
            <w:pPr>
              <w:pStyle w:val="Tabelltextsiffror"/>
              <w:jc w:val="center"/>
              <w:rPr>
                <w:snapToGrid w:val="0"/>
              </w:rPr>
            </w:pPr>
            <w:r w:rsidRPr="00F5723F">
              <w:rPr>
                <w:snapToGrid w:val="0"/>
              </w:rPr>
              <w:t>3</w:t>
            </w:r>
          </w:p>
        </w:tc>
        <w:tc>
          <w:tcPr>
            <w:tcW w:w="388" w:type="dxa"/>
          </w:tcPr>
          <w:p w:rsidR="00B43C57" w:rsidRPr="00F5723F" w:rsidRDefault="00B43C57">
            <w:pPr>
              <w:pStyle w:val="Tabelltextsiffror"/>
              <w:jc w:val="center"/>
              <w:rPr>
                <w:snapToGrid w:val="0"/>
              </w:rPr>
            </w:pPr>
            <w:r w:rsidRPr="00F5723F">
              <w:rPr>
                <w:snapToGrid w:val="0"/>
              </w:rPr>
              <w:t>8</w:t>
            </w:r>
          </w:p>
        </w:tc>
        <w:tc>
          <w:tcPr>
            <w:tcW w:w="387" w:type="dxa"/>
          </w:tcPr>
          <w:p w:rsidR="00B43C57" w:rsidRPr="00F5723F" w:rsidRDefault="00B43C57">
            <w:pPr>
              <w:pStyle w:val="Tabelltextsiffror"/>
              <w:jc w:val="center"/>
              <w:rPr>
                <w:snapToGrid w:val="0"/>
              </w:rPr>
            </w:pPr>
            <w:r w:rsidRPr="00F5723F">
              <w:rPr>
                <w:snapToGrid w:val="0"/>
              </w:rPr>
              <w:t>8</w:t>
            </w:r>
          </w:p>
        </w:tc>
        <w:tc>
          <w:tcPr>
            <w:tcW w:w="646" w:type="dxa"/>
          </w:tcPr>
          <w:p w:rsidR="00B43C57" w:rsidRPr="00F5723F" w:rsidRDefault="00B43C57">
            <w:pPr>
              <w:pStyle w:val="Tabelltextsiffror"/>
              <w:jc w:val="center"/>
              <w:rPr>
                <w:snapToGrid w:val="0"/>
              </w:rPr>
            </w:pPr>
            <w:r w:rsidRPr="00F5723F">
              <w:rPr>
                <w:snapToGrid w:val="0"/>
              </w:rPr>
              <w:t>7</w:t>
            </w:r>
          </w:p>
        </w:tc>
        <w:tc>
          <w:tcPr>
            <w:tcW w:w="517" w:type="dxa"/>
          </w:tcPr>
          <w:p w:rsidR="00B43C57" w:rsidRPr="00F5723F" w:rsidRDefault="00B43C57">
            <w:pPr>
              <w:pStyle w:val="Tabelltextsiffror"/>
              <w:jc w:val="center"/>
              <w:rPr>
                <w:snapToGrid w:val="0"/>
              </w:rPr>
            </w:pPr>
            <w:r w:rsidRPr="00F5723F">
              <w:rPr>
                <w:snapToGrid w:val="0"/>
              </w:rPr>
              <w:t>4</w:t>
            </w:r>
          </w:p>
        </w:tc>
        <w:tc>
          <w:tcPr>
            <w:tcW w:w="387" w:type="dxa"/>
          </w:tcPr>
          <w:p w:rsidR="00B43C57" w:rsidRPr="00F5723F" w:rsidRDefault="00B43C57">
            <w:pPr>
              <w:pStyle w:val="Tabelltextsiffror"/>
              <w:jc w:val="center"/>
              <w:rPr>
                <w:snapToGrid w:val="0"/>
              </w:rPr>
            </w:pPr>
            <w:r w:rsidRPr="00F5723F">
              <w:rPr>
                <w:snapToGrid w:val="0"/>
              </w:rPr>
              <w:t>11</w:t>
            </w:r>
          </w:p>
        </w:tc>
        <w:tc>
          <w:tcPr>
            <w:tcW w:w="387" w:type="dxa"/>
          </w:tcPr>
          <w:p w:rsidR="00B43C57" w:rsidRPr="00F5723F" w:rsidRDefault="00B43C57">
            <w:pPr>
              <w:pStyle w:val="Tabelltextsiffror"/>
              <w:jc w:val="center"/>
              <w:rPr>
                <w:snapToGrid w:val="0"/>
              </w:rPr>
            </w:pPr>
            <w:r w:rsidRPr="00F5723F">
              <w:rPr>
                <w:snapToGrid w:val="0"/>
              </w:rPr>
              <w:t>7</w:t>
            </w:r>
          </w:p>
        </w:tc>
        <w:tc>
          <w:tcPr>
            <w:tcW w:w="672" w:type="dxa"/>
          </w:tcPr>
          <w:p w:rsidR="00B43C57" w:rsidRPr="00F5723F" w:rsidRDefault="00B43C57">
            <w:pPr>
              <w:pStyle w:val="Tabelltextsiffror"/>
              <w:jc w:val="center"/>
              <w:rPr>
                <w:snapToGrid w:val="0"/>
              </w:rPr>
            </w:pPr>
            <w:r w:rsidRPr="00F5723F">
              <w:rPr>
                <w:snapToGrid w:val="0"/>
              </w:rPr>
              <w:t>10</w:t>
            </w:r>
          </w:p>
        </w:tc>
        <w:tc>
          <w:tcPr>
            <w:tcW w:w="749" w:type="dxa"/>
          </w:tcPr>
          <w:p w:rsidR="00B43C57" w:rsidRPr="00F5723F" w:rsidRDefault="00B43C57">
            <w:pPr>
              <w:pStyle w:val="Tabelltextsiffror"/>
              <w:jc w:val="center"/>
              <w:rPr>
                <w:snapToGrid w:val="0"/>
              </w:rPr>
            </w:pPr>
            <w:r w:rsidRPr="00F5723F">
              <w:rPr>
                <w:snapToGrid w:val="0"/>
              </w:rPr>
              <w:t>7,5</w:t>
            </w:r>
          </w:p>
        </w:tc>
        <w:tc>
          <w:tcPr>
            <w:tcW w:w="646" w:type="dxa"/>
          </w:tcPr>
          <w:p w:rsidR="00B43C57" w:rsidRPr="00F5723F" w:rsidRDefault="00B43C57">
            <w:pPr>
              <w:pStyle w:val="Tabelltextsiffror"/>
              <w:jc w:val="center"/>
              <w:rPr>
                <w:snapToGrid w:val="0"/>
              </w:rPr>
            </w:pPr>
            <w:r w:rsidRPr="00F5723F">
              <w:rPr>
                <w:snapToGrid w:val="0"/>
              </w:rPr>
              <w:t>9</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SoU</w:t>
            </w:r>
          </w:p>
        </w:tc>
        <w:tc>
          <w:tcPr>
            <w:tcW w:w="646" w:type="dxa"/>
          </w:tcPr>
          <w:p w:rsidR="00B43C57" w:rsidRPr="00F5723F" w:rsidRDefault="00B43C57">
            <w:pPr>
              <w:pStyle w:val="Tabelltextsiffror"/>
              <w:jc w:val="center"/>
              <w:rPr>
                <w:snapToGrid w:val="0"/>
              </w:rPr>
            </w:pPr>
            <w:r w:rsidRPr="00F5723F">
              <w:rPr>
                <w:snapToGrid w:val="0"/>
              </w:rPr>
              <w:t>6</w:t>
            </w:r>
          </w:p>
        </w:tc>
        <w:tc>
          <w:tcPr>
            <w:tcW w:w="388" w:type="dxa"/>
          </w:tcPr>
          <w:p w:rsidR="00B43C57" w:rsidRPr="00F5723F" w:rsidRDefault="00B43C57">
            <w:pPr>
              <w:pStyle w:val="Tabelltextsiffror"/>
              <w:jc w:val="center"/>
              <w:rPr>
                <w:snapToGrid w:val="0"/>
              </w:rPr>
            </w:pPr>
            <w:r w:rsidRPr="00F5723F">
              <w:rPr>
                <w:snapToGrid w:val="0"/>
              </w:rPr>
              <w:t>5</w:t>
            </w:r>
          </w:p>
        </w:tc>
        <w:tc>
          <w:tcPr>
            <w:tcW w:w="387" w:type="dxa"/>
          </w:tcPr>
          <w:p w:rsidR="00B43C57" w:rsidRPr="00F5723F" w:rsidRDefault="00B43C57">
            <w:pPr>
              <w:pStyle w:val="Tabelltextsiffror"/>
              <w:jc w:val="center"/>
              <w:rPr>
                <w:snapToGrid w:val="0"/>
              </w:rPr>
            </w:pPr>
            <w:r w:rsidRPr="00F5723F">
              <w:rPr>
                <w:snapToGrid w:val="0"/>
              </w:rPr>
              <w:t>1</w:t>
            </w:r>
          </w:p>
        </w:tc>
        <w:tc>
          <w:tcPr>
            <w:tcW w:w="646" w:type="dxa"/>
          </w:tcPr>
          <w:p w:rsidR="00B43C57" w:rsidRPr="00F5723F" w:rsidRDefault="00B43C57">
            <w:pPr>
              <w:pStyle w:val="Tabelltextsiffror"/>
              <w:jc w:val="center"/>
              <w:rPr>
                <w:snapToGrid w:val="0"/>
              </w:rPr>
            </w:pPr>
            <w:r w:rsidRPr="00F5723F">
              <w:rPr>
                <w:snapToGrid w:val="0"/>
              </w:rPr>
              <w:t>2</w:t>
            </w:r>
          </w:p>
        </w:tc>
        <w:tc>
          <w:tcPr>
            <w:tcW w:w="517" w:type="dxa"/>
          </w:tcPr>
          <w:p w:rsidR="00B43C57" w:rsidRPr="00F5723F" w:rsidRDefault="00B43C57">
            <w:pPr>
              <w:pStyle w:val="Tabelltextsiffror"/>
              <w:jc w:val="center"/>
              <w:rPr>
                <w:snapToGrid w:val="0"/>
              </w:rPr>
            </w:pPr>
            <w:r w:rsidRPr="00F5723F">
              <w:rPr>
                <w:snapToGrid w:val="0"/>
              </w:rPr>
              <w:t>2</w:t>
            </w:r>
          </w:p>
        </w:tc>
        <w:tc>
          <w:tcPr>
            <w:tcW w:w="387" w:type="dxa"/>
          </w:tcPr>
          <w:p w:rsidR="00B43C57" w:rsidRPr="00F5723F" w:rsidRDefault="00B43C57">
            <w:pPr>
              <w:pStyle w:val="Tabelltextsiffror"/>
              <w:jc w:val="center"/>
              <w:rPr>
                <w:snapToGrid w:val="0"/>
              </w:rPr>
            </w:pPr>
            <w:r w:rsidRPr="00F5723F">
              <w:rPr>
                <w:snapToGrid w:val="0"/>
              </w:rPr>
              <w:t>9,5</w:t>
            </w:r>
          </w:p>
        </w:tc>
        <w:tc>
          <w:tcPr>
            <w:tcW w:w="387" w:type="dxa"/>
          </w:tcPr>
          <w:p w:rsidR="00B43C57" w:rsidRPr="00F5723F" w:rsidRDefault="00B43C57">
            <w:pPr>
              <w:pStyle w:val="Tabelltextsiffror"/>
              <w:jc w:val="center"/>
              <w:rPr>
                <w:snapToGrid w:val="0"/>
              </w:rPr>
            </w:pPr>
            <w:r w:rsidRPr="00F5723F">
              <w:rPr>
                <w:snapToGrid w:val="0"/>
              </w:rPr>
              <w:t>4</w:t>
            </w:r>
          </w:p>
        </w:tc>
        <w:tc>
          <w:tcPr>
            <w:tcW w:w="672" w:type="dxa"/>
          </w:tcPr>
          <w:p w:rsidR="00B43C57" w:rsidRPr="00F5723F" w:rsidRDefault="00B43C57">
            <w:pPr>
              <w:pStyle w:val="Tabelltextsiffror"/>
              <w:jc w:val="center"/>
              <w:rPr>
                <w:snapToGrid w:val="0"/>
              </w:rPr>
            </w:pPr>
            <w:r w:rsidRPr="00F5723F">
              <w:rPr>
                <w:snapToGrid w:val="0"/>
              </w:rPr>
              <w:t>8</w:t>
            </w:r>
          </w:p>
        </w:tc>
        <w:tc>
          <w:tcPr>
            <w:tcW w:w="749" w:type="dxa"/>
          </w:tcPr>
          <w:p w:rsidR="00B43C57" w:rsidRPr="00F5723F" w:rsidRDefault="00B43C57">
            <w:pPr>
              <w:pStyle w:val="Tabelltextsiffror"/>
              <w:jc w:val="center"/>
              <w:rPr>
                <w:snapToGrid w:val="0"/>
              </w:rPr>
            </w:pPr>
            <w:r w:rsidRPr="00F5723F">
              <w:rPr>
                <w:snapToGrid w:val="0"/>
              </w:rPr>
              <w:t>11</w:t>
            </w:r>
          </w:p>
        </w:tc>
        <w:tc>
          <w:tcPr>
            <w:tcW w:w="646" w:type="dxa"/>
          </w:tcPr>
          <w:p w:rsidR="00B43C57" w:rsidRPr="00F5723F" w:rsidRDefault="00B43C57">
            <w:pPr>
              <w:pStyle w:val="Tabelltextsiffror"/>
              <w:jc w:val="center"/>
              <w:rPr>
                <w:snapToGrid w:val="0"/>
              </w:rPr>
            </w:pPr>
            <w:r w:rsidRPr="00F5723F">
              <w:rPr>
                <w:snapToGrid w:val="0"/>
              </w:rPr>
              <w:t>10</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KrU</w:t>
            </w:r>
          </w:p>
        </w:tc>
        <w:tc>
          <w:tcPr>
            <w:tcW w:w="646" w:type="dxa"/>
          </w:tcPr>
          <w:p w:rsidR="00B43C57" w:rsidRPr="00F5723F" w:rsidRDefault="00B43C57">
            <w:pPr>
              <w:pStyle w:val="Tabelltextsiffror"/>
              <w:jc w:val="center"/>
              <w:rPr>
                <w:snapToGrid w:val="0"/>
              </w:rPr>
            </w:pPr>
            <w:r w:rsidRPr="00F5723F">
              <w:rPr>
                <w:snapToGrid w:val="0"/>
              </w:rPr>
              <w:t>12</w:t>
            </w:r>
          </w:p>
        </w:tc>
        <w:tc>
          <w:tcPr>
            <w:tcW w:w="388" w:type="dxa"/>
          </w:tcPr>
          <w:p w:rsidR="00B43C57" w:rsidRPr="00F5723F" w:rsidRDefault="00B43C57">
            <w:pPr>
              <w:pStyle w:val="Tabelltextsiffror"/>
              <w:jc w:val="center"/>
              <w:rPr>
                <w:snapToGrid w:val="0"/>
              </w:rPr>
            </w:pPr>
            <w:r w:rsidRPr="00F5723F">
              <w:rPr>
                <w:snapToGrid w:val="0"/>
              </w:rPr>
              <w:t>15</w:t>
            </w:r>
          </w:p>
        </w:tc>
        <w:tc>
          <w:tcPr>
            <w:tcW w:w="387" w:type="dxa"/>
          </w:tcPr>
          <w:p w:rsidR="00B43C57" w:rsidRPr="00F5723F" w:rsidRDefault="00B43C57">
            <w:pPr>
              <w:pStyle w:val="Tabelltextsiffror"/>
              <w:jc w:val="center"/>
              <w:rPr>
                <w:snapToGrid w:val="0"/>
              </w:rPr>
            </w:pPr>
            <w:r w:rsidRPr="00F5723F">
              <w:rPr>
                <w:snapToGrid w:val="0"/>
              </w:rPr>
              <w:t>11</w:t>
            </w:r>
          </w:p>
        </w:tc>
        <w:tc>
          <w:tcPr>
            <w:tcW w:w="646" w:type="dxa"/>
          </w:tcPr>
          <w:p w:rsidR="00B43C57" w:rsidRPr="00F5723F" w:rsidRDefault="00B43C57">
            <w:pPr>
              <w:pStyle w:val="Tabelltextsiffror"/>
              <w:jc w:val="center"/>
              <w:rPr>
                <w:snapToGrid w:val="0"/>
              </w:rPr>
            </w:pPr>
            <w:r w:rsidRPr="00F5723F">
              <w:rPr>
                <w:snapToGrid w:val="0"/>
              </w:rPr>
              <w:t>11</w:t>
            </w:r>
          </w:p>
        </w:tc>
        <w:tc>
          <w:tcPr>
            <w:tcW w:w="517" w:type="dxa"/>
          </w:tcPr>
          <w:p w:rsidR="00B43C57" w:rsidRPr="00F5723F" w:rsidRDefault="00B43C57">
            <w:pPr>
              <w:pStyle w:val="Tabelltextsiffror"/>
              <w:jc w:val="center"/>
              <w:rPr>
                <w:snapToGrid w:val="0"/>
              </w:rPr>
            </w:pPr>
            <w:r w:rsidRPr="00F5723F">
              <w:rPr>
                <w:snapToGrid w:val="0"/>
              </w:rPr>
              <w:t>11,5</w:t>
            </w:r>
          </w:p>
        </w:tc>
        <w:tc>
          <w:tcPr>
            <w:tcW w:w="387" w:type="dxa"/>
          </w:tcPr>
          <w:p w:rsidR="00B43C57" w:rsidRPr="00F5723F" w:rsidRDefault="00B43C57">
            <w:pPr>
              <w:pStyle w:val="Tabelltextsiffror"/>
              <w:jc w:val="center"/>
              <w:rPr>
                <w:snapToGrid w:val="0"/>
              </w:rPr>
            </w:pPr>
            <w:r w:rsidRPr="00F5723F">
              <w:rPr>
                <w:snapToGrid w:val="0"/>
              </w:rPr>
              <w:t>14</w:t>
            </w:r>
          </w:p>
        </w:tc>
        <w:tc>
          <w:tcPr>
            <w:tcW w:w="387" w:type="dxa"/>
          </w:tcPr>
          <w:p w:rsidR="00B43C57" w:rsidRPr="00F5723F" w:rsidRDefault="00B43C57">
            <w:pPr>
              <w:pStyle w:val="Tabelltextsiffror"/>
              <w:jc w:val="center"/>
              <w:rPr>
                <w:snapToGrid w:val="0"/>
              </w:rPr>
            </w:pPr>
            <w:r w:rsidRPr="00F5723F">
              <w:rPr>
                <w:snapToGrid w:val="0"/>
              </w:rPr>
              <w:t>13,5</w:t>
            </w:r>
          </w:p>
        </w:tc>
        <w:tc>
          <w:tcPr>
            <w:tcW w:w="672" w:type="dxa"/>
          </w:tcPr>
          <w:p w:rsidR="00B43C57" w:rsidRPr="00F5723F" w:rsidRDefault="00B43C57">
            <w:pPr>
              <w:pStyle w:val="Tabelltextsiffror"/>
              <w:jc w:val="center"/>
              <w:rPr>
                <w:snapToGrid w:val="0"/>
              </w:rPr>
            </w:pPr>
            <w:r w:rsidRPr="00F5723F">
              <w:rPr>
                <w:snapToGrid w:val="0"/>
              </w:rPr>
              <w:t>15</w:t>
            </w:r>
          </w:p>
        </w:tc>
        <w:tc>
          <w:tcPr>
            <w:tcW w:w="749" w:type="dxa"/>
          </w:tcPr>
          <w:p w:rsidR="00B43C57" w:rsidRPr="00F5723F" w:rsidRDefault="00B43C57">
            <w:pPr>
              <w:pStyle w:val="Tabelltextsiffror"/>
              <w:jc w:val="center"/>
              <w:rPr>
                <w:snapToGrid w:val="0"/>
              </w:rPr>
            </w:pPr>
            <w:r w:rsidRPr="00F5723F">
              <w:rPr>
                <w:snapToGrid w:val="0"/>
              </w:rPr>
              <w:t>14,5</w:t>
            </w:r>
          </w:p>
        </w:tc>
        <w:tc>
          <w:tcPr>
            <w:tcW w:w="646" w:type="dxa"/>
          </w:tcPr>
          <w:p w:rsidR="00B43C57" w:rsidRPr="00F5723F" w:rsidRDefault="00B43C57">
            <w:pPr>
              <w:pStyle w:val="Tabelltextsiffror"/>
              <w:jc w:val="center"/>
              <w:rPr>
                <w:snapToGrid w:val="0"/>
              </w:rPr>
            </w:pPr>
            <w:r w:rsidRPr="00F5723F">
              <w:rPr>
                <w:snapToGrid w:val="0"/>
              </w:rPr>
              <w:t>13,5</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UbU</w:t>
            </w:r>
          </w:p>
        </w:tc>
        <w:tc>
          <w:tcPr>
            <w:tcW w:w="646" w:type="dxa"/>
          </w:tcPr>
          <w:p w:rsidR="00B43C57" w:rsidRPr="00F5723F" w:rsidRDefault="00B43C57">
            <w:pPr>
              <w:pStyle w:val="Tabelltextsiffror"/>
              <w:jc w:val="center"/>
              <w:rPr>
                <w:snapToGrid w:val="0"/>
              </w:rPr>
            </w:pPr>
            <w:r w:rsidRPr="00F5723F">
              <w:rPr>
                <w:snapToGrid w:val="0"/>
              </w:rPr>
              <w:t>14</w:t>
            </w:r>
          </w:p>
        </w:tc>
        <w:tc>
          <w:tcPr>
            <w:tcW w:w="388" w:type="dxa"/>
          </w:tcPr>
          <w:p w:rsidR="00B43C57" w:rsidRPr="00F5723F" w:rsidRDefault="00B43C57">
            <w:pPr>
              <w:pStyle w:val="Tabelltextsiffror"/>
              <w:jc w:val="center"/>
              <w:rPr>
                <w:snapToGrid w:val="0"/>
              </w:rPr>
            </w:pPr>
            <w:r w:rsidRPr="00F5723F">
              <w:rPr>
                <w:snapToGrid w:val="0"/>
              </w:rPr>
              <w:t>15</w:t>
            </w:r>
          </w:p>
        </w:tc>
        <w:tc>
          <w:tcPr>
            <w:tcW w:w="387" w:type="dxa"/>
          </w:tcPr>
          <w:p w:rsidR="00B43C57" w:rsidRPr="00F5723F" w:rsidRDefault="00B43C57">
            <w:pPr>
              <w:pStyle w:val="Tabelltextsiffror"/>
              <w:jc w:val="center"/>
              <w:rPr>
                <w:snapToGrid w:val="0"/>
              </w:rPr>
            </w:pPr>
            <w:r w:rsidRPr="00F5723F">
              <w:rPr>
                <w:snapToGrid w:val="0"/>
              </w:rPr>
              <w:t>2</w:t>
            </w:r>
          </w:p>
        </w:tc>
        <w:tc>
          <w:tcPr>
            <w:tcW w:w="646" w:type="dxa"/>
          </w:tcPr>
          <w:p w:rsidR="00B43C57" w:rsidRPr="00F5723F" w:rsidRDefault="00B43C57">
            <w:pPr>
              <w:pStyle w:val="Tabelltextsiffror"/>
              <w:jc w:val="center"/>
              <w:rPr>
                <w:snapToGrid w:val="0"/>
              </w:rPr>
            </w:pPr>
            <w:r w:rsidRPr="00F5723F">
              <w:rPr>
                <w:snapToGrid w:val="0"/>
              </w:rPr>
              <w:t>1</w:t>
            </w:r>
          </w:p>
        </w:tc>
        <w:tc>
          <w:tcPr>
            <w:tcW w:w="517" w:type="dxa"/>
          </w:tcPr>
          <w:p w:rsidR="00B43C57" w:rsidRPr="00F5723F" w:rsidRDefault="00B43C57">
            <w:pPr>
              <w:pStyle w:val="Tabelltextsiffror"/>
              <w:jc w:val="center"/>
              <w:rPr>
                <w:snapToGrid w:val="0"/>
              </w:rPr>
            </w:pPr>
            <w:r w:rsidRPr="00F5723F">
              <w:rPr>
                <w:snapToGrid w:val="0"/>
              </w:rPr>
              <w:t>1</w:t>
            </w:r>
          </w:p>
        </w:tc>
        <w:tc>
          <w:tcPr>
            <w:tcW w:w="387" w:type="dxa"/>
          </w:tcPr>
          <w:p w:rsidR="00B43C57" w:rsidRPr="00F5723F" w:rsidRDefault="00B43C57">
            <w:pPr>
              <w:pStyle w:val="Tabelltextsiffror"/>
              <w:jc w:val="center"/>
              <w:rPr>
                <w:snapToGrid w:val="0"/>
              </w:rPr>
            </w:pPr>
            <w:r w:rsidRPr="00F5723F">
              <w:rPr>
                <w:snapToGrid w:val="0"/>
              </w:rPr>
              <w:t>7</w:t>
            </w:r>
          </w:p>
        </w:tc>
        <w:tc>
          <w:tcPr>
            <w:tcW w:w="387" w:type="dxa"/>
          </w:tcPr>
          <w:p w:rsidR="00B43C57" w:rsidRPr="00F5723F" w:rsidRDefault="00B43C57">
            <w:pPr>
              <w:pStyle w:val="Tabelltextsiffror"/>
              <w:jc w:val="center"/>
              <w:rPr>
                <w:snapToGrid w:val="0"/>
              </w:rPr>
            </w:pPr>
            <w:r w:rsidRPr="00F5723F">
              <w:rPr>
                <w:snapToGrid w:val="0"/>
              </w:rPr>
              <w:t>13,5</w:t>
            </w:r>
          </w:p>
        </w:tc>
        <w:tc>
          <w:tcPr>
            <w:tcW w:w="672" w:type="dxa"/>
          </w:tcPr>
          <w:p w:rsidR="00B43C57" w:rsidRPr="00F5723F" w:rsidRDefault="00B43C57">
            <w:pPr>
              <w:pStyle w:val="Tabelltextsiffror"/>
              <w:jc w:val="center"/>
              <w:rPr>
                <w:snapToGrid w:val="0"/>
              </w:rPr>
            </w:pPr>
            <w:r w:rsidRPr="00F5723F">
              <w:rPr>
                <w:snapToGrid w:val="0"/>
              </w:rPr>
              <w:t>4</w:t>
            </w:r>
          </w:p>
        </w:tc>
        <w:tc>
          <w:tcPr>
            <w:tcW w:w="749" w:type="dxa"/>
          </w:tcPr>
          <w:p w:rsidR="00B43C57" w:rsidRPr="00F5723F" w:rsidRDefault="00B43C57">
            <w:pPr>
              <w:pStyle w:val="Tabelltextsiffror"/>
              <w:jc w:val="center"/>
              <w:rPr>
                <w:snapToGrid w:val="0"/>
              </w:rPr>
            </w:pPr>
            <w:r w:rsidRPr="00F5723F">
              <w:rPr>
                <w:snapToGrid w:val="0"/>
              </w:rPr>
              <w:t>14,5</w:t>
            </w:r>
          </w:p>
        </w:tc>
        <w:tc>
          <w:tcPr>
            <w:tcW w:w="646" w:type="dxa"/>
          </w:tcPr>
          <w:p w:rsidR="00B43C57" w:rsidRPr="00F5723F" w:rsidRDefault="00B43C57">
            <w:pPr>
              <w:pStyle w:val="Tabelltextsiffror"/>
              <w:jc w:val="center"/>
              <w:rPr>
                <w:snapToGrid w:val="0"/>
              </w:rPr>
            </w:pPr>
            <w:r w:rsidRPr="00F5723F">
              <w:rPr>
                <w:snapToGrid w:val="0"/>
              </w:rPr>
              <w:t>11,5</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TU</w:t>
            </w:r>
          </w:p>
        </w:tc>
        <w:tc>
          <w:tcPr>
            <w:tcW w:w="646" w:type="dxa"/>
          </w:tcPr>
          <w:p w:rsidR="00B43C57" w:rsidRPr="00F5723F" w:rsidRDefault="00B43C57">
            <w:pPr>
              <w:pStyle w:val="Tabelltextsiffror"/>
              <w:jc w:val="center"/>
              <w:rPr>
                <w:snapToGrid w:val="0"/>
              </w:rPr>
            </w:pPr>
            <w:r w:rsidRPr="00F5723F">
              <w:rPr>
                <w:snapToGrid w:val="0"/>
              </w:rPr>
              <w:t>4,5</w:t>
            </w:r>
          </w:p>
        </w:tc>
        <w:tc>
          <w:tcPr>
            <w:tcW w:w="388" w:type="dxa"/>
          </w:tcPr>
          <w:p w:rsidR="00B43C57" w:rsidRPr="00F5723F" w:rsidRDefault="00B43C57">
            <w:pPr>
              <w:pStyle w:val="Tabelltextsiffror"/>
              <w:jc w:val="center"/>
              <w:rPr>
                <w:snapToGrid w:val="0"/>
              </w:rPr>
            </w:pPr>
            <w:r w:rsidRPr="00F5723F">
              <w:rPr>
                <w:snapToGrid w:val="0"/>
              </w:rPr>
              <w:t>11</w:t>
            </w:r>
          </w:p>
        </w:tc>
        <w:tc>
          <w:tcPr>
            <w:tcW w:w="387" w:type="dxa"/>
          </w:tcPr>
          <w:p w:rsidR="00B43C57" w:rsidRPr="00F5723F" w:rsidRDefault="00B43C57">
            <w:pPr>
              <w:pStyle w:val="Tabelltextsiffror"/>
              <w:jc w:val="center"/>
              <w:rPr>
                <w:snapToGrid w:val="0"/>
              </w:rPr>
            </w:pPr>
            <w:r w:rsidRPr="00F5723F">
              <w:rPr>
                <w:snapToGrid w:val="0"/>
              </w:rPr>
              <w:t>3</w:t>
            </w:r>
          </w:p>
        </w:tc>
        <w:tc>
          <w:tcPr>
            <w:tcW w:w="646" w:type="dxa"/>
          </w:tcPr>
          <w:p w:rsidR="00B43C57" w:rsidRPr="00F5723F" w:rsidRDefault="00B43C57">
            <w:pPr>
              <w:pStyle w:val="Tabelltextsiffror"/>
              <w:jc w:val="center"/>
              <w:rPr>
                <w:snapToGrid w:val="0"/>
              </w:rPr>
            </w:pPr>
            <w:r w:rsidRPr="00F5723F">
              <w:rPr>
                <w:snapToGrid w:val="0"/>
              </w:rPr>
              <w:t>4</w:t>
            </w:r>
          </w:p>
        </w:tc>
        <w:tc>
          <w:tcPr>
            <w:tcW w:w="517" w:type="dxa"/>
          </w:tcPr>
          <w:p w:rsidR="00B43C57" w:rsidRPr="00F5723F" w:rsidRDefault="00B43C57">
            <w:pPr>
              <w:pStyle w:val="Tabelltextsiffror"/>
              <w:jc w:val="center"/>
              <w:rPr>
                <w:snapToGrid w:val="0"/>
              </w:rPr>
            </w:pPr>
            <w:r w:rsidRPr="00F5723F">
              <w:rPr>
                <w:snapToGrid w:val="0"/>
              </w:rPr>
              <w:t>15</w:t>
            </w:r>
          </w:p>
        </w:tc>
        <w:tc>
          <w:tcPr>
            <w:tcW w:w="387" w:type="dxa"/>
          </w:tcPr>
          <w:p w:rsidR="00B43C57" w:rsidRPr="00F5723F" w:rsidRDefault="00B43C57">
            <w:pPr>
              <w:pStyle w:val="Tabelltextsiffror"/>
              <w:jc w:val="center"/>
              <w:rPr>
                <w:snapToGrid w:val="0"/>
              </w:rPr>
            </w:pPr>
            <w:r w:rsidRPr="00F5723F">
              <w:rPr>
                <w:snapToGrid w:val="0"/>
              </w:rPr>
              <w:t>13</w:t>
            </w:r>
          </w:p>
        </w:tc>
        <w:tc>
          <w:tcPr>
            <w:tcW w:w="387" w:type="dxa"/>
          </w:tcPr>
          <w:p w:rsidR="00B43C57" w:rsidRPr="00F5723F" w:rsidRDefault="00B43C57">
            <w:pPr>
              <w:pStyle w:val="Tabelltextsiffror"/>
              <w:jc w:val="center"/>
              <w:rPr>
                <w:snapToGrid w:val="0"/>
              </w:rPr>
            </w:pPr>
            <w:r w:rsidRPr="00F5723F">
              <w:rPr>
                <w:snapToGrid w:val="0"/>
              </w:rPr>
              <w:t>2</w:t>
            </w:r>
          </w:p>
        </w:tc>
        <w:tc>
          <w:tcPr>
            <w:tcW w:w="672" w:type="dxa"/>
          </w:tcPr>
          <w:p w:rsidR="00B43C57" w:rsidRPr="00F5723F" w:rsidRDefault="00B43C57">
            <w:pPr>
              <w:pStyle w:val="Tabelltextsiffror"/>
              <w:jc w:val="center"/>
              <w:rPr>
                <w:snapToGrid w:val="0"/>
              </w:rPr>
            </w:pPr>
            <w:r w:rsidRPr="00F5723F">
              <w:rPr>
                <w:snapToGrid w:val="0"/>
              </w:rPr>
              <w:t>7</w:t>
            </w:r>
          </w:p>
        </w:tc>
        <w:tc>
          <w:tcPr>
            <w:tcW w:w="749" w:type="dxa"/>
          </w:tcPr>
          <w:p w:rsidR="00B43C57" w:rsidRPr="00F5723F" w:rsidRDefault="00B43C57">
            <w:pPr>
              <w:pStyle w:val="Tabelltextsiffror"/>
              <w:jc w:val="center"/>
              <w:rPr>
                <w:snapToGrid w:val="0"/>
              </w:rPr>
            </w:pPr>
            <w:r w:rsidRPr="00F5723F">
              <w:rPr>
                <w:snapToGrid w:val="0"/>
              </w:rPr>
              <w:t>3</w:t>
            </w:r>
          </w:p>
        </w:tc>
        <w:tc>
          <w:tcPr>
            <w:tcW w:w="646" w:type="dxa"/>
          </w:tcPr>
          <w:p w:rsidR="00B43C57" w:rsidRPr="00F5723F" w:rsidRDefault="00B43C57">
            <w:pPr>
              <w:pStyle w:val="Tabelltextsiffror"/>
              <w:jc w:val="center"/>
              <w:rPr>
                <w:snapToGrid w:val="0"/>
              </w:rPr>
            </w:pPr>
            <w:r w:rsidRPr="00F5723F">
              <w:rPr>
                <w:snapToGrid w:val="0"/>
              </w:rPr>
              <w:t>4</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MJU</w:t>
            </w:r>
          </w:p>
        </w:tc>
        <w:tc>
          <w:tcPr>
            <w:tcW w:w="646" w:type="dxa"/>
          </w:tcPr>
          <w:p w:rsidR="00B43C57" w:rsidRPr="00F5723F" w:rsidRDefault="00B43C57">
            <w:pPr>
              <w:pStyle w:val="Tabelltextsiffror"/>
              <w:jc w:val="center"/>
              <w:rPr>
                <w:snapToGrid w:val="0"/>
              </w:rPr>
            </w:pPr>
            <w:r w:rsidRPr="00F5723F">
              <w:rPr>
                <w:snapToGrid w:val="0"/>
              </w:rPr>
              <w:t>4,5</w:t>
            </w:r>
          </w:p>
        </w:tc>
        <w:tc>
          <w:tcPr>
            <w:tcW w:w="388" w:type="dxa"/>
          </w:tcPr>
          <w:p w:rsidR="00B43C57" w:rsidRPr="00F5723F" w:rsidRDefault="00B43C57">
            <w:pPr>
              <w:pStyle w:val="Tabelltextsiffror"/>
              <w:jc w:val="center"/>
              <w:rPr>
                <w:snapToGrid w:val="0"/>
              </w:rPr>
            </w:pPr>
            <w:r w:rsidRPr="00F5723F">
              <w:rPr>
                <w:snapToGrid w:val="0"/>
              </w:rPr>
              <w:t>7</w:t>
            </w:r>
          </w:p>
        </w:tc>
        <w:tc>
          <w:tcPr>
            <w:tcW w:w="387" w:type="dxa"/>
          </w:tcPr>
          <w:p w:rsidR="00B43C57" w:rsidRPr="00F5723F" w:rsidRDefault="00B43C57">
            <w:pPr>
              <w:pStyle w:val="Tabelltextsiffror"/>
              <w:jc w:val="center"/>
              <w:rPr>
                <w:snapToGrid w:val="0"/>
              </w:rPr>
            </w:pPr>
            <w:r w:rsidRPr="00F5723F">
              <w:rPr>
                <w:snapToGrid w:val="0"/>
              </w:rPr>
              <w:t>5</w:t>
            </w:r>
          </w:p>
        </w:tc>
        <w:tc>
          <w:tcPr>
            <w:tcW w:w="646" w:type="dxa"/>
          </w:tcPr>
          <w:p w:rsidR="00B43C57" w:rsidRPr="00F5723F" w:rsidRDefault="00B43C57">
            <w:pPr>
              <w:pStyle w:val="Tabelltextsiffror"/>
              <w:jc w:val="center"/>
              <w:rPr>
                <w:snapToGrid w:val="0"/>
              </w:rPr>
            </w:pPr>
            <w:r w:rsidRPr="00F5723F">
              <w:rPr>
                <w:snapToGrid w:val="0"/>
              </w:rPr>
              <w:t>3</w:t>
            </w:r>
          </w:p>
        </w:tc>
        <w:tc>
          <w:tcPr>
            <w:tcW w:w="517" w:type="dxa"/>
          </w:tcPr>
          <w:p w:rsidR="00B43C57" w:rsidRPr="00F5723F" w:rsidRDefault="00B43C57">
            <w:pPr>
              <w:pStyle w:val="Tabelltextsiffror"/>
              <w:jc w:val="center"/>
              <w:rPr>
                <w:snapToGrid w:val="0"/>
              </w:rPr>
            </w:pPr>
            <w:r w:rsidRPr="00F5723F">
              <w:rPr>
                <w:snapToGrid w:val="0"/>
              </w:rPr>
              <w:t>3</w:t>
            </w:r>
          </w:p>
        </w:tc>
        <w:tc>
          <w:tcPr>
            <w:tcW w:w="387" w:type="dxa"/>
          </w:tcPr>
          <w:p w:rsidR="00B43C57" w:rsidRPr="00F5723F" w:rsidRDefault="00B43C57">
            <w:pPr>
              <w:pStyle w:val="Tabelltextsiffror"/>
              <w:jc w:val="center"/>
              <w:rPr>
                <w:snapToGrid w:val="0"/>
              </w:rPr>
            </w:pPr>
            <w:r w:rsidRPr="00F5723F">
              <w:rPr>
                <w:snapToGrid w:val="0"/>
              </w:rPr>
              <w:t>6</w:t>
            </w:r>
          </w:p>
        </w:tc>
        <w:tc>
          <w:tcPr>
            <w:tcW w:w="387" w:type="dxa"/>
          </w:tcPr>
          <w:p w:rsidR="00B43C57" w:rsidRPr="00F5723F" w:rsidRDefault="00B43C57">
            <w:pPr>
              <w:pStyle w:val="Tabelltextsiffror"/>
              <w:jc w:val="center"/>
              <w:rPr>
                <w:snapToGrid w:val="0"/>
              </w:rPr>
            </w:pPr>
            <w:r w:rsidRPr="00F5723F">
              <w:rPr>
                <w:snapToGrid w:val="0"/>
              </w:rPr>
              <w:t>9,5</w:t>
            </w:r>
          </w:p>
        </w:tc>
        <w:tc>
          <w:tcPr>
            <w:tcW w:w="672" w:type="dxa"/>
          </w:tcPr>
          <w:p w:rsidR="00B43C57" w:rsidRPr="00F5723F" w:rsidRDefault="00B43C57">
            <w:pPr>
              <w:pStyle w:val="Tabelltextsiffror"/>
              <w:jc w:val="center"/>
              <w:rPr>
                <w:snapToGrid w:val="0"/>
              </w:rPr>
            </w:pPr>
            <w:r w:rsidRPr="00F5723F">
              <w:rPr>
                <w:snapToGrid w:val="0"/>
              </w:rPr>
              <w:t>5</w:t>
            </w:r>
          </w:p>
        </w:tc>
        <w:tc>
          <w:tcPr>
            <w:tcW w:w="749" w:type="dxa"/>
          </w:tcPr>
          <w:p w:rsidR="00B43C57" w:rsidRPr="00F5723F" w:rsidRDefault="00B43C57">
            <w:pPr>
              <w:pStyle w:val="Tabelltextsiffror"/>
              <w:jc w:val="center"/>
              <w:rPr>
                <w:snapToGrid w:val="0"/>
              </w:rPr>
            </w:pPr>
            <w:r w:rsidRPr="00F5723F">
              <w:rPr>
                <w:snapToGrid w:val="0"/>
              </w:rPr>
              <w:t>1</w:t>
            </w:r>
          </w:p>
        </w:tc>
        <w:tc>
          <w:tcPr>
            <w:tcW w:w="646" w:type="dxa"/>
          </w:tcPr>
          <w:p w:rsidR="00B43C57" w:rsidRPr="00F5723F" w:rsidRDefault="00B43C57">
            <w:pPr>
              <w:pStyle w:val="Tabelltextsiffror"/>
              <w:jc w:val="center"/>
              <w:rPr>
                <w:snapToGrid w:val="0"/>
              </w:rPr>
            </w:pPr>
            <w:r w:rsidRPr="00F5723F">
              <w:rPr>
                <w:snapToGrid w:val="0"/>
              </w:rPr>
              <w:t>1</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NU</w:t>
            </w:r>
          </w:p>
        </w:tc>
        <w:tc>
          <w:tcPr>
            <w:tcW w:w="646" w:type="dxa"/>
          </w:tcPr>
          <w:p w:rsidR="00B43C57" w:rsidRPr="00F5723F" w:rsidRDefault="00B43C57">
            <w:pPr>
              <w:pStyle w:val="Tabelltextsiffror"/>
              <w:jc w:val="center"/>
              <w:rPr>
                <w:snapToGrid w:val="0"/>
              </w:rPr>
            </w:pPr>
            <w:r w:rsidRPr="00F5723F">
              <w:rPr>
                <w:snapToGrid w:val="0"/>
              </w:rPr>
              <w:t>7,5</w:t>
            </w:r>
          </w:p>
        </w:tc>
        <w:tc>
          <w:tcPr>
            <w:tcW w:w="388" w:type="dxa"/>
          </w:tcPr>
          <w:p w:rsidR="00B43C57" w:rsidRPr="00F5723F" w:rsidRDefault="00B43C57">
            <w:pPr>
              <w:pStyle w:val="Tabelltextsiffror"/>
              <w:jc w:val="center"/>
              <w:rPr>
                <w:snapToGrid w:val="0"/>
              </w:rPr>
            </w:pPr>
            <w:r w:rsidRPr="00F5723F">
              <w:rPr>
                <w:snapToGrid w:val="0"/>
              </w:rPr>
              <w:t>10</w:t>
            </w:r>
          </w:p>
        </w:tc>
        <w:tc>
          <w:tcPr>
            <w:tcW w:w="387" w:type="dxa"/>
          </w:tcPr>
          <w:p w:rsidR="00B43C57" w:rsidRPr="00F5723F" w:rsidRDefault="00B43C57">
            <w:pPr>
              <w:pStyle w:val="Tabelltextsiffror"/>
              <w:jc w:val="center"/>
              <w:rPr>
                <w:snapToGrid w:val="0"/>
              </w:rPr>
            </w:pPr>
            <w:r w:rsidRPr="00F5723F">
              <w:rPr>
                <w:snapToGrid w:val="0"/>
              </w:rPr>
              <w:t>9</w:t>
            </w:r>
          </w:p>
        </w:tc>
        <w:tc>
          <w:tcPr>
            <w:tcW w:w="646" w:type="dxa"/>
          </w:tcPr>
          <w:p w:rsidR="00B43C57" w:rsidRPr="00F5723F" w:rsidRDefault="00B43C57">
            <w:pPr>
              <w:pStyle w:val="Tabelltextsiffror"/>
              <w:jc w:val="center"/>
              <w:rPr>
                <w:snapToGrid w:val="0"/>
              </w:rPr>
            </w:pPr>
            <w:r w:rsidRPr="00F5723F">
              <w:rPr>
                <w:snapToGrid w:val="0"/>
              </w:rPr>
              <w:t>8</w:t>
            </w:r>
          </w:p>
        </w:tc>
        <w:tc>
          <w:tcPr>
            <w:tcW w:w="517" w:type="dxa"/>
          </w:tcPr>
          <w:p w:rsidR="00B43C57" w:rsidRPr="00F5723F" w:rsidRDefault="00B43C57">
            <w:pPr>
              <w:pStyle w:val="Tabelltextsiffror"/>
              <w:jc w:val="center"/>
              <w:rPr>
                <w:snapToGrid w:val="0"/>
              </w:rPr>
            </w:pPr>
            <w:r w:rsidRPr="00F5723F">
              <w:rPr>
                <w:snapToGrid w:val="0"/>
              </w:rPr>
              <w:t>14</w:t>
            </w:r>
          </w:p>
        </w:tc>
        <w:tc>
          <w:tcPr>
            <w:tcW w:w="387" w:type="dxa"/>
          </w:tcPr>
          <w:p w:rsidR="00B43C57" w:rsidRPr="00F5723F" w:rsidRDefault="00B43C57">
            <w:pPr>
              <w:pStyle w:val="Tabelltextsiffror"/>
              <w:jc w:val="center"/>
              <w:rPr>
                <w:snapToGrid w:val="0"/>
              </w:rPr>
            </w:pPr>
            <w:r w:rsidRPr="00F5723F">
              <w:rPr>
                <w:snapToGrid w:val="0"/>
              </w:rPr>
              <w:t>9,5</w:t>
            </w:r>
          </w:p>
        </w:tc>
        <w:tc>
          <w:tcPr>
            <w:tcW w:w="387" w:type="dxa"/>
          </w:tcPr>
          <w:p w:rsidR="00B43C57" w:rsidRPr="00F5723F" w:rsidRDefault="00B43C57">
            <w:pPr>
              <w:pStyle w:val="Tabelltextsiffror"/>
              <w:jc w:val="center"/>
              <w:rPr>
                <w:snapToGrid w:val="0"/>
              </w:rPr>
            </w:pPr>
            <w:r w:rsidRPr="00F5723F">
              <w:rPr>
                <w:snapToGrid w:val="0"/>
              </w:rPr>
              <w:t>15,5</w:t>
            </w:r>
          </w:p>
        </w:tc>
        <w:tc>
          <w:tcPr>
            <w:tcW w:w="672" w:type="dxa"/>
          </w:tcPr>
          <w:p w:rsidR="00B43C57" w:rsidRPr="00F5723F" w:rsidRDefault="00B43C57">
            <w:pPr>
              <w:pStyle w:val="Tabelltextsiffror"/>
              <w:jc w:val="center"/>
              <w:rPr>
                <w:snapToGrid w:val="0"/>
              </w:rPr>
            </w:pPr>
            <w:r w:rsidRPr="00F5723F">
              <w:rPr>
                <w:snapToGrid w:val="0"/>
              </w:rPr>
              <w:t>9</w:t>
            </w:r>
          </w:p>
        </w:tc>
        <w:tc>
          <w:tcPr>
            <w:tcW w:w="749" w:type="dxa"/>
          </w:tcPr>
          <w:p w:rsidR="00B43C57" w:rsidRPr="00F5723F" w:rsidRDefault="00B43C57">
            <w:pPr>
              <w:pStyle w:val="Tabelltextsiffror"/>
              <w:jc w:val="center"/>
              <w:rPr>
                <w:snapToGrid w:val="0"/>
              </w:rPr>
            </w:pPr>
            <w:r w:rsidRPr="00F5723F">
              <w:rPr>
                <w:snapToGrid w:val="0"/>
              </w:rPr>
              <w:t>2</w:t>
            </w:r>
          </w:p>
        </w:tc>
        <w:tc>
          <w:tcPr>
            <w:tcW w:w="646" w:type="dxa"/>
          </w:tcPr>
          <w:p w:rsidR="00B43C57" w:rsidRPr="00F5723F" w:rsidRDefault="00B43C57">
            <w:pPr>
              <w:pStyle w:val="Tabelltextsiffror"/>
              <w:jc w:val="center"/>
              <w:rPr>
                <w:snapToGrid w:val="0"/>
              </w:rPr>
            </w:pPr>
            <w:r w:rsidRPr="00F5723F">
              <w:rPr>
                <w:snapToGrid w:val="0"/>
              </w:rPr>
              <w:t>5</w:t>
            </w:r>
          </w:p>
        </w:tc>
      </w:tr>
      <w:tr w:rsidR="00000000" w:rsidRPr="00F5723F">
        <w:tblPrEx>
          <w:tblCellMar>
            <w:top w:w="0" w:type="dxa"/>
            <w:bottom w:w="0" w:type="dxa"/>
          </w:tblCellMar>
        </w:tblPrEx>
        <w:trPr>
          <w:cantSplit/>
          <w:trHeight w:val="242"/>
        </w:trPr>
        <w:tc>
          <w:tcPr>
            <w:tcW w:w="416" w:type="dxa"/>
          </w:tcPr>
          <w:p w:rsidR="00B43C57" w:rsidRPr="00F5723F" w:rsidRDefault="00B43C57">
            <w:pPr>
              <w:pStyle w:val="Tabelltextsiffror"/>
              <w:jc w:val="left"/>
              <w:rPr>
                <w:snapToGrid w:val="0"/>
              </w:rPr>
            </w:pPr>
            <w:r w:rsidRPr="00F5723F">
              <w:rPr>
                <w:snapToGrid w:val="0"/>
              </w:rPr>
              <w:t>AU</w:t>
            </w:r>
          </w:p>
        </w:tc>
        <w:tc>
          <w:tcPr>
            <w:tcW w:w="646" w:type="dxa"/>
          </w:tcPr>
          <w:p w:rsidR="00B43C57" w:rsidRPr="00F5723F" w:rsidRDefault="00B43C57">
            <w:pPr>
              <w:pStyle w:val="Tabelltextsiffror"/>
              <w:jc w:val="center"/>
              <w:rPr>
                <w:snapToGrid w:val="0"/>
              </w:rPr>
            </w:pPr>
            <w:r w:rsidRPr="00F5723F">
              <w:rPr>
                <w:snapToGrid w:val="0"/>
              </w:rPr>
              <w:t>13</w:t>
            </w:r>
          </w:p>
        </w:tc>
        <w:tc>
          <w:tcPr>
            <w:tcW w:w="388" w:type="dxa"/>
          </w:tcPr>
          <w:p w:rsidR="00B43C57" w:rsidRPr="00F5723F" w:rsidRDefault="00B43C57">
            <w:pPr>
              <w:pStyle w:val="Tabelltextsiffror"/>
              <w:jc w:val="center"/>
              <w:rPr>
                <w:snapToGrid w:val="0"/>
              </w:rPr>
            </w:pPr>
            <w:r w:rsidRPr="00F5723F">
              <w:rPr>
                <w:snapToGrid w:val="0"/>
              </w:rPr>
              <w:t>13</w:t>
            </w:r>
          </w:p>
        </w:tc>
        <w:tc>
          <w:tcPr>
            <w:tcW w:w="387" w:type="dxa"/>
          </w:tcPr>
          <w:p w:rsidR="00B43C57" w:rsidRPr="00F5723F" w:rsidRDefault="00B43C57">
            <w:pPr>
              <w:pStyle w:val="Tabelltextsiffror"/>
              <w:jc w:val="center"/>
              <w:rPr>
                <w:snapToGrid w:val="0"/>
              </w:rPr>
            </w:pPr>
            <w:r w:rsidRPr="00F5723F">
              <w:rPr>
                <w:snapToGrid w:val="0"/>
              </w:rPr>
              <w:t>10</w:t>
            </w:r>
          </w:p>
        </w:tc>
        <w:tc>
          <w:tcPr>
            <w:tcW w:w="646" w:type="dxa"/>
          </w:tcPr>
          <w:p w:rsidR="00B43C57" w:rsidRPr="00F5723F" w:rsidRDefault="00B43C57">
            <w:pPr>
              <w:pStyle w:val="Tabelltextsiffror"/>
              <w:jc w:val="center"/>
              <w:rPr>
                <w:snapToGrid w:val="0"/>
              </w:rPr>
            </w:pPr>
            <w:r w:rsidRPr="00F5723F">
              <w:rPr>
                <w:snapToGrid w:val="0"/>
              </w:rPr>
              <w:t>11</w:t>
            </w:r>
          </w:p>
        </w:tc>
        <w:tc>
          <w:tcPr>
            <w:tcW w:w="517" w:type="dxa"/>
          </w:tcPr>
          <w:p w:rsidR="00B43C57" w:rsidRPr="00F5723F" w:rsidRDefault="00B43C57">
            <w:pPr>
              <w:pStyle w:val="Tabelltextsiffror"/>
              <w:jc w:val="center"/>
              <w:rPr>
                <w:snapToGrid w:val="0"/>
              </w:rPr>
            </w:pPr>
            <w:r w:rsidRPr="00F5723F">
              <w:rPr>
                <w:snapToGrid w:val="0"/>
              </w:rPr>
              <w:t>10</w:t>
            </w:r>
          </w:p>
        </w:tc>
        <w:tc>
          <w:tcPr>
            <w:tcW w:w="387" w:type="dxa"/>
          </w:tcPr>
          <w:p w:rsidR="00B43C57" w:rsidRPr="00F5723F" w:rsidRDefault="00B43C57">
            <w:pPr>
              <w:pStyle w:val="Tabelltextsiffror"/>
              <w:jc w:val="center"/>
              <w:rPr>
                <w:snapToGrid w:val="0"/>
              </w:rPr>
            </w:pPr>
            <w:r w:rsidRPr="00F5723F">
              <w:rPr>
                <w:snapToGrid w:val="0"/>
              </w:rPr>
              <w:t>15</w:t>
            </w:r>
          </w:p>
        </w:tc>
        <w:tc>
          <w:tcPr>
            <w:tcW w:w="387" w:type="dxa"/>
          </w:tcPr>
          <w:p w:rsidR="00B43C57" w:rsidRPr="00F5723F" w:rsidRDefault="00B43C57">
            <w:pPr>
              <w:pStyle w:val="Tabelltextsiffror"/>
              <w:jc w:val="center"/>
              <w:rPr>
                <w:snapToGrid w:val="0"/>
              </w:rPr>
            </w:pPr>
            <w:r w:rsidRPr="00F5723F">
              <w:rPr>
                <w:snapToGrid w:val="0"/>
              </w:rPr>
              <w:t>5,5</w:t>
            </w:r>
          </w:p>
        </w:tc>
        <w:tc>
          <w:tcPr>
            <w:tcW w:w="672" w:type="dxa"/>
          </w:tcPr>
          <w:p w:rsidR="00B43C57" w:rsidRPr="00F5723F" w:rsidRDefault="00B43C57">
            <w:pPr>
              <w:pStyle w:val="Tabelltextsiffror"/>
              <w:jc w:val="center"/>
              <w:rPr>
                <w:snapToGrid w:val="0"/>
              </w:rPr>
            </w:pPr>
            <w:r w:rsidRPr="00F5723F">
              <w:rPr>
                <w:snapToGrid w:val="0"/>
              </w:rPr>
              <w:t>13</w:t>
            </w:r>
          </w:p>
        </w:tc>
        <w:tc>
          <w:tcPr>
            <w:tcW w:w="749" w:type="dxa"/>
          </w:tcPr>
          <w:p w:rsidR="00B43C57" w:rsidRPr="00F5723F" w:rsidRDefault="00B43C57">
            <w:pPr>
              <w:pStyle w:val="Tabelltextsiffror"/>
              <w:jc w:val="center"/>
              <w:rPr>
                <w:snapToGrid w:val="0"/>
              </w:rPr>
            </w:pPr>
            <w:r w:rsidRPr="00F5723F">
              <w:rPr>
                <w:snapToGrid w:val="0"/>
              </w:rPr>
              <w:t>10</w:t>
            </w:r>
          </w:p>
        </w:tc>
        <w:tc>
          <w:tcPr>
            <w:tcW w:w="646" w:type="dxa"/>
          </w:tcPr>
          <w:p w:rsidR="00B43C57" w:rsidRPr="00F5723F" w:rsidRDefault="00B43C57">
            <w:pPr>
              <w:pStyle w:val="Tabelltextsiffror"/>
              <w:jc w:val="center"/>
              <w:rPr>
                <w:snapToGrid w:val="0"/>
              </w:rPr>
            </w:pPr>
            <w:r w:rsidRPr="00F5723F">
              <w:rPr>
                <w:snapToGrid w:val="0"/>
              </w:rPr>
              <w:t>8</w:t>
            </w:r>
          </w:p>
        </w:tc>
      </w:tr>
      <w:tr w:rsidR="00000000" w:rsidRPr="00F5723F">
        <w:tblPrEx>
          <w:tblCellMar>
            <w:top w:w="0" w:type="dxa"/>
            <w:bottom w:w="0" w:type="dxa"/>
          </w:tblCellMar>
        </w:tblPrEx>
        <w:trPr>
          <w:cantSplit/>
          <w:trHeight w:val="242"/>
        </w:trPr>
        <w:tc>
          <w:tcPr>
            <w:tcW w:w="416" w:type="dxa"/>
            <w:tcBorders>
              <w:bottom w:val="single" w:sz="4" w:space="0" w:color="auto"/>
            </w:tcBorders>
          </w:tcPr>
          <w:p w:rsidR="00B43C57" w:rsidRPr="00F5723F" w:rsidRDefault="00B43C57">
            <w:pPr>
              <w:pStyle w:val="Tabelltextsiffror"/>
              <w:jc w:val="left"/>
              <w:rPr>
                <w:snapToGrid w:val="0"/>
              </w:rPr>
            </w:pPr>
            <w:r w:rsidRPr="00F5723F">
              <w:rPr>
                <w:snapToGrid w:val="0"/>
              </w:rPr>
              <w:t>BoU</w:t>
            </w:r>
          </w:p>
        </w:tc>
        <w:tc>
          <w:tcPr>
            <w:tcW w:w="646" w:type="dxa"/>
            <w:tcBorders>
              <w:bottom w:val="single" w:sz="4" w:space="0" w:color="auto"/>
            </w:tcBorders>
          </w:tcPr>
          <w:p w:rsidR="00B43C57" w:rsidRPr="00F5723F" w:rsidRDefault="00B43C57">
            <w:pPr>
              <w:pStyle w:val="Tabelltextsiffror"/>
              <w:jc w:val="center"/>
              <w:rPr>
                <w:snapToGrid w:val="0"/>
              </w:rPr>
            </w:pPr>
            <w:r w:rsidRPr="00F5723F">
              <w:rPr>
                <w:snapToGrid w:val="0"/>
              </w:rPr>
              <w:t>16</w:t>
            </w:r>
          </w:p>
        </w:tc>
        <w:tc>
          <w:tcPr>
            <w:tcW w:w="388" w:type="dxa"/>
            <w:tcBorders>
              <w:bottom w:val="single" w:sz="4" w:space="0" w:color="auto"/>
            </w:tcBorders>
          </w:tcPr>
          <w:p w:rsidR="00B43C57" w:rsidRPr="00F5723F" w:rsidRDefault="00B43C57">
            <w:pPr>
              <w:pStyle w:val="Tabelltextsiffror"/>
              <w:jc w:val="center"/>
              <w:rPr>
                <w:snapToGrid w:val="0"/>
              </w:rPr>
            </w:pPr>
            <w:r w:rsidRPr="00F5723F">
              <w:rPr>
                <w:snapToGrid w:val="0"/>
              </w:rPr>
              <w:t>12</w:t>
            </w:r>
          </w:p>
        </w:tc>
        <w:tc>
          <w:tcPr>
            <w:tcW w:w="387" w:type="dxa"/>
            <w:tcBorders>
              <w:bottom w:val="single" w:sz="4" w:space="0" w:color="auto"/>
            </w:tcBorders>
          </w:tcPr>
          <w:p w:rsidR="00B43C57" w:rsidRPr="00F5723F" w:rsidRDefault="00B43C57">
            <w:pPr>
              <w:pStyle w:val="Tabelltextsiffror"/>
              <w:jc w:val="center"/>
              <w:rPr>
                <w:snapToGrid w:val="0"/>
              </w:rPr>
            </w:pPr>
            <w:r w:rsidRPr="00F5723F">
              <w:rPr>
                <w:snapToGrid w:val="0"/>
              </w:rPr>
              <w:t>15</w:t>
            </w:r>
          </w:p>
        </w:tc>
        <w:tc>
          <w:tcPr>
            <w:tcW w:w="646" w:type="dxa"/>
            <w:tcBorders>
              <w:bottom w:val="single" w:sz="4" w:space="0" w:color="auto"/>
            </w:tcBorders>
          </w:tcPr>
          <w:p w:rsidR="00B43C57" w:rsidRPr="00F5723F" w:rsidRDefault="00B43C57">
            <w:pPr>
              <w:pStyle w:val="Tabelltextsiffror"/>
              <w:jc w:val="center"/>
              <w:rPr>
                <w:snapToGrid w:val="0"/>
              </w:rPr>
            </w:pPr>
            <w:r w:rsidRPr="00F5723F">
              <w:rPr>
                <w:snapToGrid w:val="0"/>
              </w:rPr>
              <w:t>14</w:t>
            </w:r>
          </w:p>
        </w:tc>
        <w:tc>
          <w:tcPr>
            <w:tcW w:w="517" w:type="dxa"/>
            <w:tcBorders>
              <w:bottom w:val="single" w:sz="4" w:space="0" w:color="auto"/>
            </w:tcBorders>
          </w:tcPr>
          <w:p w:rsidR="00B43C57" w:rsidRPr="00F5723F" w:rsidRDefault="00B43C57">
            <w:pPr>
              <w:pStyle w:val="Tabelltextsiffror"/>
              <w:jc w:val="center"/>
              <w:rPr>
                <w:snapToGrid w:val="0"/>
              </w:rPr>
            </w:pPr>
            <w:r w:rsidRPr="00F5723F">
              <w:rPr>
                <w:snapToGrid w:val="0"/>
              </w:rPr>
              <w:t>6</w:t>
            </w:r>
          </w:p>
        </w:tc>
        <w:tc>
          <w:tcPr>
            <w:tcW w:w="387" w:type="dxa"/>
            <w:tcBorders>
              <w:bottom w:val="single" w:sz="4" w:space="0" w:color="auto"/>
            </w:tcBorders>
          </w:tcPr>
          <w:p w:rsidR="00B43C57" w:rsidRPr="00F5723F" w:rsidRDefault="00B43C57">
            <w:pPr>
              <w:pStyle w:val="Tabelltextsiffror"/>
              <w:jc w:val="center"/>
              <w:rPr>
                <w:snapToGrid w:val="0"/>
              </w:rPr>
            </w:pPr>
            <w:r w:rsidRPr="00F5723F">
              <w:rPr>
                <w:snapToGrid w:val="0"/>
              </w:rPr>
              <w:t>12</w:t>
            </w:r>
          </w:p>
        </w:tc>
        <w:tc>
          <w:tcPr>
            <w:tcW w:w="387" w:type="dxa"/>
            <w:tcBorders>
              <w:bottom w:val="single" w:sz="4" w:space="0" w:color="auto"/>
            </w:tcBorders>
          </w:tcPr>
          <w:p w:rsidR="00B43C57" w:rsidRPr="00F5723F" w:rsidRDefault="00B43C57">
            <w:pPr>
              <w:pStyle w:val="Tabelltextsiffror"/>
              <w:jc w:val="center"/>
              <w:rPr>
                <w:snapToGrid w:val="0"/>
              </w:rPr>
            </w:pPr>
            <w:r w:rsidRPr="00F5723F">
              <w:rPr>
                <w:snapToGrid w:val="0"/>
              </w:rPr>
              <w:t>3</w:t>
            </w:r>
          </w:p>
        </w:tc>
        <w:tc>
          <w:tcPr>
            <w:tcW w:w="672" w:type="dxa"/>
            <w:tcBorders>
              <w:bottom w:val="single" w:sz="4" w:space="0" w:color="auto"/>
            </w:tcBorders>
          </w:tcPr>
          <w:p w:rsidR="00B43C57" w:rsidRPr="00F5723F" w:rsidRDefault="00B43C57">
            <w:pPr>
              <w:pStyle w:val="Tabelltextsiffror"/>
              <w:jc w:val="center"/>
              <w:rPr>
                <w:snapToGrid w:val="0"/>
              </w:rPr>
            </w:pPr>
            <w:r w:rsidRPr="00F5723F">
              <w:rPr>
                <w:snapToGrid w:val="0"/>
              </w:rPr>
              <w:t>14</w:t>
            </w:r>
          </w:p>
        </w:tc>
        <w:tc>
          <w:tcPr>
            <w:tcW w:w="749" w:type="dxa"/>
            <w:tcBorders>
              <w:bottom w:val="single" w:sz="4" w:space="0" w:color="auto"/>
            </w:tcBorders>
          </w:tcPr>
          <w:p w:rsidR="00B43C57" w:rsidRPr="00F5723F" w:rsidRDefault="00B43C57">
            <w:pPr>
              <w:pStyle w:val="Tabelltextsiffror"/>
              <w:jc w:val="center"/>
              <w:rPr>
                <w:snapToGrid w:val="0"/>
              </w:rPr>
            </w:pPr>
            <w:r w:rsidRPr="00F5723F">
              <w:rPr>
                <w:snapToGrid w:val="0"/>
              </w:rPr>
              <w:t>14,5</w:t>
            </w:r>
          </w:p>
        </w:tc>
        <w:tc>
          <w:tcPr>
            <w:tcW w:w="646" w:type="dxa"/>
            <w:tcBorders>
              <w:bottom w:val="single" w:sz="4" w:space="0" w:color="auto"/>
            </w:tcBorders>
          </w:tcPr>
          <w:p w:rsidR="00B43C57" w:rsidRPr="00F5723F" w:rsidRDefault="00B43C57">
            <w:pPr>
              <w:pStyle w:val="Tabelltextsiffror"/>
              <w:jc w:val="center"/>
              <w:rPr>
                <w:snapToGrid w:val="0"/>
              </w:rPr>
            </w:pPr>
            <w:r w:rsidRPr="00F5723F">
              <w:rPr>
                <w:snapToGrid w:val="0"/>
              </w:rPr>
              <w:t>16</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Tabellen visar utskottens rangtal baserat på deras rangordningar i tabe</w:t>
      </w:r>
      <w:r w:rsidRPr="00F5723F">
        <w:rPr>
          <w:rFonts w:ascii="Arial" w:hAnsi="Arial" w:cs="Arial"/>
          <w:sz w:val="16"/>
          <w:szCs w:val="16"/>
        </w:rPr>
        <w:t>l</w:t>
      </w:r>
      <w:r w:rsidRPr="00F5723F">
        <w:rPr>
          <w:rFonts w:ascii="Arial" w:hAnsi="Arial" w:cs="Arial"/>
          <w:sz w:val="16"/>
          <w:szCs w:val="16"/>
        </w:rPr>
        <w:t>lerna 9:1–9:10. Låga rangtal innebär jämförelsevis hög belastning</w:t>
      </w:r>
      <w:r w:rsidRPr="00F5723F">
        <w:rPr>
          <w:rFonts w:ascii="Arial" w:hAnsi="Arial" w:cs="Arial"/>
          <w:sz w:val="16"/>
          <w:szCs w:val="16"/>
        </w:rPr>
        <w:t>,</w:t>
      </w:r>
      <w:r w:rsidRPr="00F5723F">
        <w:rPr>
          <w:rFonts w:ascii="Arial" w:hAnsi="Arial" w:cs="Arial"/>
          <w:sz w:val="16"/>
          <w:szCs w:val="16"/>
        </w:rPr>
        <w:t xml:space="preserve"> och höga rangtal innebär jämf</w:t>
      </w:r>
      <w:r w:rsidRPr="00F5723F">
        <w:rPr>
          <w:rFonts w:ascii="Arial" w:hAnsi="Arial" w:cs="Arial"/>
          <w:sz w:val="16"/>
          <w:szCs w:val="16"/>
        </w:rPr>
        <w:t>ö</w:t>
      </w:r>
      <w:r w:rsidRPr="00F5723F">
        <w:rPr>
          <w:rFonts w:ascii="Arial" w:hAnsi="Arial" w:cs="Arial"/>
          <w:sz w:val="16"/>
          <w:szCs w:val="16"/>
        </w:rPr>
        <w:t>relsevis låg belastning.</w:t>
      </w:r>
    </w:p>
    <w:p w:rsidR="00B43C57" w:rsidRPr="00F5723F" w:rsidRDefault="00B43C57">
      <w:r w:rsidRPr="00F5723F">
        <w:t>Flest högsta rangtal har försvarsutskottet. Detta är fallet på sju av de tio ind</w:t>
      </w:r>
      <w:r w:rsidRPr="00F5723F">
        <w:t>i</w:t>
      </w:r>
      <w:r w:rsidRPr="00F5723F">
        <w:t>katorerna: propositioner (tillsammans med kultur- och utbildnings</w:t>
      </w:r>
      <w:r w:rsidRPr="00F5723F">
        <w:softHyphen/>
        <w:t>utskotten), motioner, motionsyrkanden, reservationer, betänkanden, trycksidor och fakt</w:t>
      </w:r>
      <w:r w:rsidRPr="00F5723F">
        <w:t>a</w:t>
      </w:r>
      <w:r w:rsidRPr="00F5723F">
        <w:t>promemorior (tillsammans med kultur-, utbildnings- och b</w:t>
      </w:r>
      <w:r w:rsidRPr="00F5723F">
        <w:t>o</w:t>
      </w:r>
      <w:r w:rsidRPr="00F5723F">
        <w:t>stadsutskotten). Rangtalet är även bland de högsta på indikatorn EU-dokument. I ett avseende har försvarsutskottets belastning varit förhålland</w:t>
      </w:r>
      <w:r w:rsidRPr="00F5723F">
        <w:t>e</w:t>
      </w:r>
      <w:r w:rsidRPr="00F5723F">
        <w:t>vis hög under innevarande valperiod, nämligen yttranden.</w:t>
      </w:r>
    </w:p>
    <w:p w:rsidR="00B43C57" w:rsidRPr="00F5723F" w:rsidRDefault="00B43C57">
      <w:pPr>
        <w:pStyle w:val="Normaltindrag"/>
      </w:pPr>
      <w:r w:rsidRPr="00F5723F">
        <w:t>Andra utskott som kännetecknas av höga rangtal är kultur- och bostads</w:t>
      </w:r>
      <w:r w:rsidRPr="00F5723F">
        <w:softHyphen/>
        <w:t>utskotten. För kulturutskottets del är rangtalen genomgående förhållandevis höga. Detsamma gäller för bostadsutskottets del med undantag av reservati</w:t>
      </w:r>
      <w:r w:rsidRPr="00F5723F">
        <w:t>o</w:t>
      </w:r>
      <w:r w:rsidRPr="00F5723F">
        <w:t>ner och yttranden. Ytterligare ett utskott som har flera höga rangtal är arbet</w:t>
      </w:r>
      <w:r w:rsidRPr="00F5723F">
        <w:t>s</w:t>
      </w:r>
      <w:r w:rsidRPr="00F5723F">
        <w:t>marknadsutskottet. Särskilt höga är rangtalen på indikatorerna sammanträde</w:t>
      </w:r>
      <w:r w:rsidRPr="00F5723F">
        <w:t>s</w:t>
      </w:r>
      <w:r w:rsidRPr="00F5723F">
        <w:t>tid, propositioner, motionsyrkanden, betänkanden och tryck</w:t>
      </w:r>
      <w:r w:rsidRPr="00F5723F">
        <w:softHyphen/>
        <w:t>sidor.</w:t>
      </w:r>
    </w:p>
    <w:p w:rsidR="00B43C57" w:rsidRPr="00F5723F" w:rsidRDefault="00B43C57">
      <w:pPr>
        <w:pStyle w:val="Rubrik3"/>
        <w:rPr>
          <w:noProof w:val="0"/>
        </w:rPr>
      </w:pPr>
      <w:bookmarkStart w:id="107" w:name="_Toc121738934"/>
      <w:bookmarkStart w:id="108" w:name="_Toc124697816"/>
      <w:r w:rsidRPr="00F5723F">
        <w:rPr>
          <w:noProof w:val="0"/>
        </w:rPr>
        <w:t>Belastning i förhållande till kansliresurser</w:t>
      </w:r>
      <w:bookmarkEnd w:id="107"/>
      <w:bookmarkEnd w:id="108"/>
    </w:p>
    <w:p w:rsidR="00B43C57" w:rsidRPr="00F5723F" w:rsidRDefault="00B43C57">
      <w:r w:rsidRPr="00F5723F">
        <w:t>Utskottens arbetsbelastning kan även studeras ur ett kansliperspektiv. Fr</w:t>
      </w:r>
      <w:r w:rsidRPr="00F5723F">
        <w:t>å</w:t>
      </w:r>
      <w:r w:rsidRPr="00F5723F">
        <w:t>gan som då kan ställas är hur stor belastningen i olika avseenden är i förhå</w:t>
      </w:r>
      <w:r w:rsidRPr="00F5723F">
        <w:t>l</w:t>
      </w:r>
      <w:r w:rsidRPr="00F5723F">
        <w:t>lande till antalet handläggande tjänstemän, det vill säga föredragande. Som framgått i a</w:t>
      </w:r>
      <w:r w:rsidRPr="00F5723F">
        <w:t>v</w:t>
      </w:r>
      <w:r w:rsidRPr="00F5723F">
        <w:t>snittet Organisation varierar kanslierna i storlek, vilket för kansliernas del kan tänkas korrigera skillnader i arbetsbelastning på så sätt att utskott med hög belastning har ett större kansli och vice versa.</w:t>
      </w:r>
    </w:p>
    <w:p w:rsidR="00B43C57" w:rsidRPr="00F5723F" w:rsidRDefault="00B43C57">
      <w:pPr>
        <w:pStyle w:val="Normaltindrag"/>
      </w:pPr>
      <w:r w:rsidRPr="00F5723F">
        <w:t>I tabell 9:12 redovisas arbetsbelastning med hänsyn till kansliernas sto</w:t>
      </w:r>
      <w:r w:rsidRPr="00F5723F">
        <w:t>r</w:t>
      </w:r>
      <w:r w:rsidRPr="00F5723F">
        <w:t>lek. Procenttalen i tabellerna 9:1–9:10 ovan har delats med antal för</w:t>
      </w:r>
      <w:r w:rsidRPr="00F5723F">
        <w:t>e</w:t>
      </w:r>
      <w:r w:rsidRPr="00F5723F">
        <w:t>dragande</w:t>
      </w:r>
      <w:r w:rsidRPr="00F5723F">
        <w:softHyphen/>
        <w:t>tjänster och kan sägas indikera belastningen per handläggartjänst (procent</w:t>
      </w:r>
      <w:r w:rsidRPr="00F5723F">
        <w:softHyphen/>
        <w:t>enheter per föredragandetjänst). Som framgick i avsnittet Organis</w:t>
      </w:r>
      <w:r w:rsidRPr="00F5723F">
        <w:t>a</w:t>
      </w:r>
      <w:r w:rsidRPr="00F5723F">
        <w:t>tion är antalet tjänster inte detsamma som antalet årsarbetskrafter eftersom anställda kan vara borta längre perioder från kansliet på grund av till exempel tjänstl</w:t>
      </w:r>
      <w:r w:rsidRPr="00F5723F">
        <w:t>e</w:t>
      </w:r>
      <w:r w:rsidRPr="00F5723F">
        <w:t>dighet, varvid årsarbetskrafterna blir färre än antalet tjänster, eller kansliet kan ta in extra personal, varvid årsarbetskra</w:t>
      </w:r>
      <w:r w:rsidRPr="00F5723F">
        <w:t>fterna blir fler än antalet tjänster. I tabell 9:12 har dock ingen hänsyn tagits till antalet föredragandeårsarbetskra</w:t>
      </w:r>
      <w:r w:rsidRPr="00F5723F">
        <w:t>f</w:t>
      </w:r>
      <w:r w:rsidRPr="00F5723F">
        <w:t>ter i respektive kansli under perioden 2002/03–2003/04.</w:t>
      </w:r>
    </w:p>
    <w:p w:rsidR="00B43C57" w:rsidRPr="00F5723F" w:rsidRDefault="00B43C57">
      <w:pPr>
        <w:pStyle w:val="Normaltindrag"/>
      </w:pPr>
      <w:r w:rsidRPr="00F5723F">
        <w:t>Av tabellen framgår att skillnaderna mellan utskotten utjämnas något när hänsyn tas till kansliernas storlek, men någon total utjämning är det inte fr</w:t>
      </w:r>
      <w:r w:rsidRPr="00F5723F">
        <w:t>å</w:t>
      </w:r>
      <w:r w:rsidRPr="00F5723F">
        <w:t>gan om. Jämförs procentenheterna är skillnaderna mellan utskott med störst respektive minst belastning i olika avseenden fortfarande stora.</w:t>
      </w:r>
    </w:p>
    <w:p w:rsidR="00B43C57" w:rsidRPr="00F5723F" w:rsidRDefault="00B43C57">
      <w:pPr>
        <w:pStyle w:val="Normaltindrag"/>
      </w:pPr>
      <w:r w:rsidRPr="00F5723F">
        <w:t>En del utskott med stor belastning framstår dock som mindre belastade sett ur ett kansliperspektiv, det vill säga när hänsyn tas till antalet föredragand</w:t>
      </w:r>
      <w:r w:rsidRPr="00F5723F">
        <w:t>e</w:t>
      </w:r>
      <w:r w:rsidRPr="00F5723F">
        <w:t>tjänster. Exempelvis ter sig konstitutionsutskottet, som ovan var det mest bela</w:t>
      </w:r>
      <w:r w:rsidRPr="00F5723F">
        <w:t>s</w:t>
      </w:r>
      <w:r w:rsidRPr="00F5723F">
        <w:t>tade utskottet i fyra avseenden, mindre belastat ur ett kansliperspektiv. Skälet till det är utskottets förhållandevis stora kansli (5,5 föredragandetjän</w:t>
      </w:r>
      <w:r w:rsidRPr="00F5723F">
        <w:t>s</w:t>
      </w:r>
      <w:r w:rsidRPr="00F5723F">
        <w:t>ter). Andra utskott med stor belastning som ter sig mindre belastade sett ur ett kanslipe</w:t>
      </w:r>
      <w:r w:rsidRPr="00F5723F">
        <w:t>r</w:t>
      </w:r>
      <w:r w:rsidRPr="00F5723F">
        <w:t>spektiv är miljö- och jordbruks- samt finansutskotten (4 respektive 5,5 för</w:t>
      </w:r>
      <w:r w:rsidRPr="00F5723F">
        <w:t>e</w:t>
      </w:r>
      <w:r w:rsidRPr="00F5723F">
        <w:t>dragandetjänster).</w:t>
      </w:r>
    </w:p>
    <w:p w:rsidR="00B43C57" w:rsidRPr="00F5723F" w:rsidRDefault="00B43C57">
      <w:pPr>
        <w:pStyle w:val="Normaltindrag"/>
      </w:pPr>
      <w:r w:rsidRPr="00F5723F">
        <w:t>Vissa utskott framstår tvärtom som jämförelsevis mer belastade när de st</w:t>
      </w:r>
      <w:r w:rsidRPr="00F5723F">
        <w:t>u</w:t>
      </w:r>
      <w:r w:rsidRPr="00F5723F">
        <w:t>deras ur ett kansliperspektiv. Här kan nämnas utrikes-, socialförsäkrings- (3 föredragandetjänster vardera) och kulturutskotten (2 föredragandetjän</w:t>
      </w:r>
      <w:r w:rsidRPr="00F5723F">
        <w:t>s</w:t>
      </w:r>
      <w:r w:rsidRPr="00F5723F">
        <w:t>ter). Dessas belastning ter sig alltså högre när hänsyn tas till kansliernas storlek. Mest belastade när hänsyn tas till antal föredragandetjänster ter sig justitie-, utrikes-, trafik- samt miljö- och jordbruksutskotten.</w:t>
      </w:r>
    </w:p>
    <w:p w:rsidR="00B43C57" w:rsidRPr="00F5723F" w:rsidRDefault="00B43C57">
      <w:pPr>
        <w:pStyle w:val="Tabellrubrik"/>
        <w:ind w:left="950" w:hanging="950"/>
      </w:pPr>
      <w:r w:rsidRPr="00F5723F">
        <w:t>TAbell 9:12 belastning per föredragande 2002/03–2003/04 (procente</w:t>
      </w:r>
      <w:r w:rsidRPr="00F5723F">
        <w:t>n</w:t>
      </w:r>
      <w:r w:rsidRPr="00F5723F">
        <w:t>heter)</w:t>
      </w:r>
    </w:p>
    <w:tbl>
      <w:tblPr>
        <w:tblW w:w="5837" w:type="dxa"/>
        <w:tblLayout w:type="fixed"/>
        <w:tblCellMar>
          <w:left w:w="30" w:type="dxa"/>
          <w:right w:w="30" w:type="dxa"/>
        </w:tblCellMar>
        <w:tblLook w:val="0000" w:firstRow="0" w:lastRow="0" w:firstColumn="0" w:lastColumn="0" w:noHBand="0" w:noVBand="0"/>
      </w:tblPr>
      <w:tblGrid>
        <w:gridCol w:w="406"/>
        <w:gridCol w:w="631"/>
        <w:gridCol w:w="379"/>
        <w:gridCol w:w="379"/>
        <w:gridCol w:w="632"/>
        <w:gridCol w:w="505"/>
        <w:gridCol w:w="505"/>
        <w:gridCol w:w="505"/>
        <w:gridCol w:w="631"/>
        <w:gridCol w:w="632"/>
        <w:gridCol w:w="632"/>
      </w:tblGrid>
      <w:tr w:rsidR="00000000" w:rsidRPr="00F5723F">
        <w:tblPrEx>
          <w:tblCellMar>
            <w:top w:w="0" w:type="dxa"/>
            <w:bottom w:w="0" w:type="dxa"/>
          </w:tblCellMar>
        </w:tblPrEx>
        <w:trPr>
          <w:cantSplit/>
          <w:trHeight w:val="240"/>
        </w:trPr>
        <w:tc>
          <w:tcPr>
            <w:tcW w:w="406" w:type="dxa"/>
            <w:tcBorders>
              <w:top w:val="single" w:sz="4" w:space="0" w:color="auto"/>
              <w:bottom w:val="single" w:sz="4" w:space="0" w:color="auto"/>
            </w:tcBorders>
          </w:tcPr>
          <w:p w:rsidR="00B43C57" w:rsidRPr="00F5723F" w:rsidRDefault="00B43C57">
            <w:pPr>
              <w:pStyle w:val="Tabelltext"/>
              <w:rPr>
                <w:snapToGrid w:val="0"/>
              </w:rPr>
            </w:pPr>
          </w:p>
        </w:tc>
        <w:tc>
          <w:tcPr>
            <w:tcW w:w="631"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Smtr.tim</w:t>
            </w:r>
          </w:p>
        </w:tc>
        <w:tc>
          <w:tcPr>
            <w:tcW w:w="379"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Prop</w:t>
            </w:r>
          </w:p>
        </w:tc>
        <w:tc>
          <w:tcPr>
            <w:tcW w:w="379"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Mot</w:t>
            </w:r>
          </w:p>
        </w:tc>
        <w:tc>
          <w:tcPr>
            <w:tcW w:w="632"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Mot.yrk</w:t>
            </w:r>
          </w:p>
        </w:tc>
        <w:tc>
          <w:tcPr>
            <w:tcW w:w="505"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Re.</w:t>
            </w:r>
          </w:p>
        </w:tc>
        <w:tc>
          <w:tcPr>
            <w:tcW w:w="505"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Bet</w:t>
            </w:r>
          </w:p>
        </w:tc>
        <w:tc>
          <w:tcPr>
            <w:tcW w:w="505"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Yttr</w:t>
            </w:r>
          </w:p>
        </w:tc>
        <w:tc>
          <w:tcPr>
            <w:tcW w:w="631"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Tryc</w:t>
            </w:r>
            <w:r w:rsidRPr="00F5723F">
              <w:rPr>
                <w:snapToGrid w:val="0"/>
              </w:rPr>
              <w:t>k</w:t>
            </w:r>
            <w:r w:rsidRPr="00F5723F">
              <w:rPr>
                <w:snapToGrid w:val="0"/>
              </w:rPr>
              <w:t>sid</w:t>
            </w:r>
          </w:p>
        </w:tc>
        <w:tc>
          <w:tcPr>
            <w:tcW w:w="632"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Fa</w:t>
            </w:r>
            <w:r w:rsidRPr="00F5723F">
              <w:rPr>
                <w:snapToGrid w:val="0"/>
              </w:rPr>
              <w:t>k</w:t>
            </w:r>
            <w:r w:rsidRPr="00F5723F">
              <w:rPr>
                <w:snapToGrid w:val="0"/>
              </w:rPr>
              <w:t>ta-PM</w:t>
            </w:r>
          </w:p>
        </w:tc>
        <w:tc>
          <w:tcPr>
            <w:tcW w:w="632" w:type="dxa"/>
            <w:tcBorders>
              <w:top w:val="single" w:sz="4" w:space="0" w:color="auto"/>
              <w:bottom w:val="single" w:sz="4" w:space="0" w:color="auto"/>
            </w:tcBorders>
          </w:tcPr>
          <w:p w:rsidR="00B43C57" w:rsidRPr="00F5723F" w:rsidRDefault="00B43C57">
            <w:pPr>
              <w:pStyle w:val="Tabelltext"/>
              <w:jc w:val="center"/>
              <w:rPr>
                <w:snapToGrid w:val="0"/>
              </w:rPr>
            </w:pPr>
            <w:r w:rsidRPr="00F5723F">
              <w:rPr>
                <w:snapToGrid w:val="0"/>
              </w:rPr>
              <w:t>EU-dok</w:t>
            </w:r>
          </w:p>
        </w:tc>
      </w:tr>
      <w:tr w:rsidR="00000000" w:rsidRPr="00F5723F">
        <w:tblPrEx>
          <w:tblCellMar>
            <w:top w:w="0" w:type="dxa"/>
            <w:bottom w:w="0" w:type="dxa"/>
          </w:tblCellMar>
        </w:tblPrEx>
        <w:trPr>
          <w:cantSplit/>
          <w:trHeight w:val="240"/>
        </w:trPr>
        <w:tc>
          <w:tcPr>
            <w:tcW w:w="406" w:type="dxa"/>
            <w:tcBorders>
              <w:top w:val="single" w:sz="4" w:space="0" w:color="auto"/>
            </w:tcBorders>
          </w:tcPr>
          <w:p w:rsidR="00B43C57" w:rsidRPr="00F5723F" w:rsidRDefault="00B43C57">
            <w:pPr>
              <w:pStyle w:val="Tabelltext"/>
              <w:rPr>
                <w:snapToGrid w:val="0"/>
              </w:rPr>
            </w:pPr>
            <w:r w:rsidRPr="00F5723F">
              <w:rPr>
                <w:snapToGrid w:val="0"/>
              </w:rPr>
              <w:t>KU</w:t>
            </w:r>
          </w:p>
        </w:tc>
        <w:tc>
          <w:tcPr>
            <w:tcW w:w="631" w:type="dxa"/>
            <w:tcBorders>
              <w:top w:val="single" w:sz="4" w:space="0" w:color="auto"/>
            </w:tcBorders>
          </w:tcPr>
          <w:p w:rsidR="00B43C57" w:rsidRPr="00F5723F" w:rsidRDefault="00B43C57">
            <w:pPr>
              <w:pStyle w:val="Tabelltextsiffror"/>
              <w:jc w:val="center"/>
              <w:rPr>
                <w:snapToGrid w:val="0"/>
              </w:rPr>
            </w:pPr>
            <w:r w:rsidRPr="00F5723F">
              <w:rPr>
                <w:snapToGrid w:val="0"/>
              </w:rPr>
              <w:t>18</w:t>
            </w:r>
          </w:p>
        </w:tc>
        <w:tc>
          <w:tcPr>
            <w:tcW w:w="379" w:type="dxa"/>
            <w:tcBorders>
              <w:top w:val="single" w:sz="4" w:space="0" w:color="auto"/>
            </w:tcBorders>
          </w:tcPr>
          <w:p w:rsidR="00B43C57" w:rsidRPr="00F5723F" w:rsidRDefault="00B43C57">
            <w:pPr>
              <w:pStyle w:val="Tabelltextsiffror"/>
              <w:jc w:val="center"/>
              <w:rPr>
                <w:snapToGrid w:val="0"/>
              </w:rPr>
            </w:pPr>
            <w:r w:rsidRPr="00F5723F">
              <w:rPr>
                <w:snapToGrid w:val="0"/>
              </w:rPr>
              <w:t>9</w:t>
            </w:r>
          </w:p>
        </w:tc>
        <w:tc>
          <w:tcPr>
            <w:tcW w:w="379" w:type="dxa"/>
            <w:tcBorders>
              <w:top w:val="single" w:sz="4" w:space="0" w:color="auto"/>
            </w:tcBorders>
          </w:tcPr>
          <w:p w:rsidR="00B43C57" w:rsidRPr="00F5723F" w:rsidRDefault="00B43C57">
            <w:pPr>
              <w:pStyle w:val="Tabelltextsiffror"/>
              <w:jc w:val="center"/>
              <w:rPr>
                <w:snapToGrid w:val="0"/>
              </w:rPr>
            </w:pPr>
            <w:r w:rsidRPr="00F5723F">
              <w:rPr>
                <w:snapToGrid w:val="0"/>
              </w:rPr>
              <w:t>11</w:t>
            </w:r>
          </w:p>
        </w:tc>
        <w:tc>
          <w:tcPr>
            <w:tcW w:w="632" w:type="dxa"/>
            <w:tcBorders>
              <w:top w:val="single" w:sz="4" w:space="0" w:color="auto"/>
            </w:tcBorders>
          </w:tcPr>
          <w:p w:rsidR="00B43C57" w:rsidRPr="00F5723F" w:rsidRDefault="00B43C57">
            <w:pPr>
              <w:pStyle w:val="Tabelltextsiffror"/>
              <w:jc w:val="center"/>
              <w:rPr>
                <w:snapToGrid w:val="0"/>
              </w:rPr>
            </w:pPr>
            <w:r w:rsidRPr="00F5723F">
              <w:rPr>
                <w:snapToGrid w:val="0"/>
              </w:rPr>
              <w:t>8</w:t>
            </w:r>
          </w:p>
        </w:tc>
        <w:tc>
          <w:tcPr>
            <w:tcW w:w="505" w:type="dxa"/>
            <w:tcBorders>
              <w:top w:val="single" w:sz="4" w:space="0" w:color="auto"/>
            </w:tcBorders>
          </w:tcPr>
          <w:p w:rsidR="00B43C57" w:rsidRPr="00F5723F" w:rsidRDefault="00B43C57">
            <w:pPr>
              <w:pStyle w:val="Tabelltextsiffror"/>
              <w:jc w:val="center"/>
              <w:rPr>
                <w:snapToGrid w:val="0"/>
              </w:rPr>
            </w:pPr>
            <w:r w:rsidRPr="00F5723F">
              <w:rPr>
                <w:snapToGrid w:val="0"/>
              </w:rPr>
              <w:t>6</w:t>
            </w:r>
          </w:p>
        </w:tc>
        <w:tc>
          <w:tcPr>
            <w:tcW w:w="505" w:type="dxa"/>
            <w:tcBorders>
              <w:top w:val="single" w:sz="4" w:space="0" w:color="auto"/>
            </w:tcBorders>
          </w:tcPr>
          <w:p w:rsidR="00B43C57" w:rsidRPr="00F5723F" w:rsidRDefault="00B43C57">
            <w:pPr>
              <w:pStyle w:val="Tabelltextsiffror"/>
              <w:jc w:val="center"/>
              <w:rPr>
                <w:snapToGrid w:val="0"/>
              </w:rPr>
            </w:pPr>
            <w:r w:rsidRPr="00F5723F">
              <w:rPr>
                <w:snapToGrid w:val="0"/>
              </w:rPr>
              <w:t>18</w:t>
            </w:r>
          </w:p>
        </w:tc>
        <w:tc>
          <w:tcPr>
            <w:tcW w:w="505" w:type="dxa"/>
            <w:tcBorders>
              <w:top w:val="single" w:sz="4" w:space="0" w:color="auto"/>
            </w:tcBorders>
          </w:tcPr>
          <w:p w:rsidR="00B43C57" w:rsidRPr="00F5723F" w:rsidRDefault="00B43C57">
            <w:pPr>
              <w:pStyle w:val="Tabelltextsiffror"/>
              <w:jc w:val="center"/>
              <w:rPr>
                <w:snapToGrid w:val="0"/>
              </w:rPr>
            </w:pPr>
            <w:r w:rsidRPr="00F5723F">
              <w:rPr>
                <w:snapToGrid w:val="0"/>
              </w:rPr>
              <w:t>18</w:t>
            </w:r>
          </w:p>
        </w:tc>
        <w:tc>
          <w:tcPr>
            <w:tcW w:w="631" w:type="dxa"/>
            <w:tcBorders>
              <w:top w:val="single" w:sz="4" w:space="0" w:color="auto"/>
            </w:tcBorders>
          </w:tcPr>
          <w:p w:rsidR="00B43C57" w:rsidRPr="00F5723F" w:rsidRDefault="00B43C57">
            <w:pPr>
              <w:pStyle w:val="Tabelltextsiffror"/>
              <w:jc w:val="center"/>
              <w:rPr>
                <w:snapToGrid w:val="0"/>
              </w:rPr>
            </w:pPr>
            <w:r w:rsidRPr="00F5723F">
              <w:rPr>
                <w:snapToGrid w:val="0"/>
              </w:rPr>
              <w:t>18</w:t>
            </w:r>
          </w:p>
        </w:tc>
        <w:tc>
          <w:tcPr>
            <w:tcW w:w="632" w:type="dxa"/>
            <w:tcBorders>
              <w:top w:val="single" w:sz="4" w:space="0" w:color="auto"/>
            </w:tcBorders>
          </w:tcPr>
          <w:p w:rsidR="00B43C57" w:rsidRPr="00F5723F" w:rsidRDefault="00B43C57">
            <w:pPr>
              <w:pStyle w:val="Tabelltextsiffror"/>
              <w:jc w:val="center"/>
              <w:rPr>
                <w:snapToGrid w:val="0"/>
              </w:rPr>
            </w:pPr>
            <w:r w:rsidRPr="00F5723F">
              <w:rPr>
                <w:snapToGrid w:val="0"/>
              </w:rPr>
              <w:t>1</w:t>
            </w:r>
          </w:p>
        </w:tc>
        <w:tc>
          <w:tcPr>
            <w:tcW w:w="632" w:type="dxa"/>
            <w:tcBorders>
              <w:top w:val="single" w:sz="4" w:space="0" w:color="auto"/>
            </w:tcBorders>
          </w:tcPr>
          <w:p w:rsidR="00B43C57" w:rsidRPr="00F5723F" w:rsidRDefault="00B43C57">
            <w:pPr>
              <w:pStyle w:val="Tabelltextsiffror"/>
              <w:jc w:val="center"/>
              <w:rPr>
                <w:snapToGrid w:val="0"/>
              </w:rPr>
            </w:pPr>
            <w:r w:rsidRPr="00F5723F">
              <w:rPr>
                <w:snapToGrid w:val="0"/>
              </w:rPr>
              <w:t>1</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FiU</w:t>
            </w:r>
          </w:p>
        </w:tc>
        <w:tc>
          <w:tcPr>
            <w:tcW w:w="631" w:type="dxa"/>
          </w:tcPr>
          <w:p w:rsidR="00B43C57" w:rsidRPr="00F5723F" w:rsidRDefault="00B43C57">
            <w:pPr>
              <w:pStyle w:val="Tabelltextsiffror"/>
              <w:jc w:val="center"/>
              <w:rPr>
                <w:snapToGrid w:val="0"/>
              </w:rPr>
            </w:pPr>
            <w:r w:rsidRPr="00F5723F">
              <w:rPr>
                <w:snapToGrid w:val="0"/>
              </w:rPr>
              <w:t>8</w:t>
            </w:r>
          </w:p>
        </w:tc>
        <w:tc>
          <w:tcPr>
            <w:tcW w:w="379" w:type="dxa"/>
          </w:tcPr>
          <w:p w:rsidR="00B43C57" w:rsidRPr="00F5723F" w:rsidRDefault="00B43C57">
            <w:pPr>
              <w:pStyle w:val="Tabelltextsiffror"/>
              <w:jc w:val="center"/>
              <w:rPr>
                <w:snapToGrid w:val="0"/>
              </w:rPr>
            </w:pPr>
            <w:r w:rsidRPr="00F5723F">
              <w:rPr>
                <w:snapToGrid w:val="0"/>
              </w:rPr>
              <w:t>14</w:t>
            </w:r>
          </w:p>
        </w:tc>
        <w:tc>
          <w:tcPr>
            <w:tcW w:w="379" w:type="dxa"/>
          </w:tcPr>
          <w:p w:rsidR="00B43C57" w:rsidRPr="00F5723F" w:rsidRDefault="00B43C57">
            <w:pPr>
              <w:pStyle w:val="Tabelltextsiffror"/>
              <w:jc w:val="center"/>
              <w:rPr>
                <w:snapToGrid w:val="0"/>
              </w:rPr>
            </w:pPr>
            <w:r w:rsidRPr="00F5723F">
              <w:rPr>
                <w:snapToGrid w:val="0"/>
              </w:rPr>
              <w:t>7</w:t>
            </w:r>
          </w:p>
        </w:tc>
        <w:tc>
          <w:tcPr>
            <w:tcW w:w="632" w:type="dxa"/>
          </w:tcPr>
          <w:p w:rsidR="00B43C57" w:rsidRPr="00F5723F" w:rsidRDefault="00B43C57">
            <w:pPr>
              <w:pStyle w:val="Tabelltextsiffror"/>
              <w:jc w:val="center"/>
              <w:rPr>
                <w:snapToGrid w:val="0"/>
              </w:rPr>
            </w:pPr>
            <w:r w:rsidRPr="00F5723F">
              <w:rPr>
                <w:snapToGrid w:val="0"/>
              </w:rPr>
              <w:t>8</w:t>
            </w:r>
          </w:p>
        </w:tc>
        <w:tc>
          <w:tcPr>
            <w:tcW w:w="505" w:type="dxa"/>
          </w:tcPr>
          <w:p w:rsidR="00B43C57" w:rsidRPr="00F5723F" w:rsidRDefault="00B43C57">
            <w:pPr>
              <w:pStyle w:val="Tabelltextsiffror"/>
              <w:jc w:val="center"/>
              <w:rPr>
                <w:snapToGrid w:val="0"/>
              </w:rPr>
            </w:pPr>
            <w:r w:rsidRPr="00F5723F">
              <w:rPr>
                <w:snapToGrid w:val="0"/>
              </w:rPr>
              <w:t>5</w:t>
            </w:r>
          </w:p>
        </w:tc>
        <w:tc>
          <w:tcPr>
            <w:tcW w:w="505" w:type="dxa"/>
          </w:tcPr>
          <w:p w:rsidR="00B43C57" w:rsidRPr="00F5723F" w:rsidRDefault="00B43C57">
            <w:pPr>
              <w:pStyle w:val="Tabelltextsiffror"/>
              <w:jc w:val="center"/>
              <w:rPr>
                <w:snapToGrid w:val="0"/>
              </w:rPr>
            </w:pPr>
            <w:r w:rsidRPr="00F5723F">
              <w:rPr>
                <w:snapToGrid w:val="0"/>
              </w:rPr>
              <w:t>17</w:t>
            </w:r>
          </w:p>
        </w:tc>
        <w:tc>
          <w:tcPr>
            <w:tcW w:w="505" w:type="dxa"/>
          </w:tcPr>
          <w:p w:rsidR="00B43C57" w:rsidRPr="00F5723F" w:rsidRDefault="00B43C57">
            <w:pPr>
              <w:pStyle w:val="Tabelltextsiffror"/>
              <w:jc w:val="center"/>
              <w:rPr>
                <w:snapToGrid w:val="0"/>
              </w:rPr>
            </w:pPr>
            <w:r w:rsidRPr="00F5723F">
              <w:rPr>
                <w:snapToGrid w:val="0"/>
              </w:rPr>
              <w:t>9</w:t>
            </w:r>
          </w:p>
        </w:tc>
        <w:tc>
          <w:tcPr>
            <w:tcW w:w="631" w:type="dxa"/>
          </w:tcPr>
          <w:p w:rsidR="00B43C57" w:rsidRPr="00F5723F" w:rsidRDefault="00B43C57">
            <w:pPr>
              <w:pStyle w:val="Tabelltextsiffror"/>
              <w:jc w:val="center"/>
              <w:rPr>
                <w:snapToGrid w:val="0"/>
              </w:rPr>
            </w:pPr>
            <w:r w:rsidRPr="00F5723F">
              <w:rPr>
                <w:snapToGrid w:val="0"/>
              </w:rPr>
              <w:t>18</w:t>
            </w:r>
          </w:p>
        </w:tc>
        <w:tc>
          <w:tcPr>
            <w:tcW w:w="632" w:type="dxa"/>
          </w:tcPr>
          <w:p w:rsidR="00B43C57" w:rsidRPr="00F5723F" w:rsidRDefault="00B43C57">
            <w:pPr>
              <w:pStyle w:val="Tabelltextsiffror"/>
              <w:jc w:val="center"/>
              <w:rPr>
                <w:snapToGrid w:val="0"/>
              </w:rPr>
            </w:pPr>
            <w:r w:rsidRPr="00F5723F">
              <w:rPr>
                <w:snapToGrid w:val="0"/>
              </w:rPr>
              <w:t>3</w:t>
            </w:r>
          </w:p>
        </w:tc>
        <w:tc>
          <w:tcPr>
            <w:tcW w:w="632" w:type="dxa"/>
          </w:tcPr>
          <w:p w:rsidR="00B43C57" w:rsidRPr="00F5723F" w:rsidRDefault="00B43C57">
            <w:pPr>
              <w:pStyle w:val="Tabelltextsiffror"/>
              <w:jc w:val="center"/>
              <w:rPr>
                <w:snapToGrid w:val="0"/>
              </w:rPr>
            </w:pPr>
            <w:r w:rsidRPr="00F5723F">
              <w:rPr>
                <w:snapToGrid w:val="0"/>
              </w:rPr>
              <w:t>8</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SkU</w:t>
            </w:r>
          </w:p>
        </w:tc>
        <w:tc>
          <w:tcPr>
            <w:tcW w:w="631" w:type="dxa"/>
          </w:tcPr>
          <w:p w:rsidR="00B43C57" w:rsidRPr="00F5723F" w:rsidRDefault="00B43C57">
            <w:pPr>
              <w:pStyle w:val="Tabelltextsiffror"/>
              <w:jc w:val="center"/>
              <w:rPr>
                <w:snapToGrid w:val="0"/>
              </w:rPr>
            </w:pPr>
            <w:r w:rsidRPr="00F5723F">
              <w:rPr>
                <w:snapToGrid w:val="0"/>
              </w:rPr>
              <w:t>6</w:t>
            </w:r>
          </w:p>
        </w:tc>
        <w:tc>
          <w:tcPr>
            <w:tcW w:w="379" w:type="dxa"/>
          </w:tcPr>
          <w:p w:rsidR="00B43C57" w:rsidRPr="00F5723F" w:rsidRDefault="00B43C57">
            <w:pPr>
              <w:pStyle w:val="Tabelltextsiffror"/>
              <w:jc w:val="center"/>
              <w:rPr>
                <w:snapToGrid w:val="0"/>
              </w:rPr>
            </w:pPr>
            <w:r w:rsidRPr="00F5723F">
              <w:rPr>
                <w:snapToGrid w:val="0"/>
              </w:rPr>
              <w:t>25</w:t>
            </w:r>
          </w:p>
        </w:tc>
        <w:tc>
          <w:tcPr>
            <w:tcW w:w="379" w:type="dxa"/>
          </w:tcPr>
          <w:p w:rsidR="00B43C57" w:rsidRPr="00F5723F" w:rsidRDefault="00B43C57">
            <w:pPr>
              <w:pStyle w:val="Tabelltextsiffror"/>
              <w:jc w:val="center"/>
              <w:rPr>
                <w:snapToGrid w:val="0"/>
              </w:rPr>
            </w:pPr>
            <w:r w:rsidRPr="00F5723F">
              <w:rPr>
                <w:snapToGrid w:val="0"/>
              </w:rPr>
              <w:t>19</w:t>
            </w:r>
          </w:p>
        </w:tc>
        <w:tc>
          <w:tcPr>
            <w:tcW w:w="632" w:type="dxa"/>
          </w:tcPr>
          <w:p w:rsidR="00B43C57" w:rsidRPr="00F5723F" w:rsidRDefault="00B43C57">
            <w:pPr>
              <w:pStyle w:val="Tabelltextsiffror"/>
              <w:jc w:val="center"/>
              <w:rPr>
                <w:snapToGrid w:val="0"/>
              </w:rPr>
            </w:pPr>
            <w:r w:rsidRPr="00F5723F">
              <w:rPr>
                <w:snapToGrid w:val="0"/>
              </w:rPr>
              <w:t>12</w:t>
            </w:r>
          </w:p>
        </w:tc>
        <w:tc>
          <w:tcPr>
            <w:tcW w:w="505" w:type="dxa"/>
          </w:tcPr>
          <w:p w:rsidR="00B43C57" w:rsidRPr="00F5723F" w:rsidRDefault="00B43C57">
            <w:pPr>
              <w:pStyle w:val="Tabelltextsiffror"/>
              <w:jc w:val="center"/>
              <w:rPr>
                <w:snapToGrid w:val="0"/>
              </w:rPr>
            </w:pPr>
            <w:r w:rsidRPr="00F5723F">
              <w:rPr>
                <w:snapToGrid w:val="0"/>
              </w:rPr>
              <w:t>8</w:t>
            </w:r>
          </w:p>
        </w:tc>
        <w:tc>
          <w:tcPr>
            <w:tcW w:w="505" w:type="dxa"/>
          </w:tcPr>
          <w:p w:rsidR="00B43C57" w:rsidRPr="00F5723F" w:rsidRDefault="00B43C57">
            <w:pPr>
              <w:pStyle w:val="Tabelltextsiffror"/>
              <w:jc w:val="center"/>
              <w:rPr>
                <w:snapToGrid w:val="0"/>
              </w:rPr>
            </w:pPr>
            <w:r w:rsidRPr="00F5723F">
              <w:rPr>
                <w:snapToGrid w:val="0"/>
              </w:rPr>
              <w:t>19</w:t>
            </w:r>
          </w:p>
        </w:tc>
        <w:tc>
          <w:tcPr>
            <w:tcW w:w="505" w:type="dxa"/>
          </w:tcPr>
          <w:p w:rsidR="00B43C57" w:rsidRPr="00F5723F" w:rsidRDefault="00B43C57">
            <w:pPr>
              <w:pStyle w:val="Tabelltextsiffror"/>
              <w:jc w:val="center"/>
              <w:rPr>
                <w:snapToGrid w:val="0"/>
              </w:rPr>
            </w:pPr>
            <w:r w:rsidRPr="00F5723F">
              <w:rPr>
                <w:snapToGrid w:val="0"/>
              </w:rPr>
              <w:t>13</w:t>
            </w:r>
          </w:p>
        </w:tc>
        <w:tc>
          <w:tcPr>
            <w:tcW w:w="631" w:type="dxa"/>
          </w:tcPr>
          <w:p w:rsidR="00B43C57" w:rsidRPr="00F5723F" w:rsidRDefault="00B43C57">
            <w:pPr>
              <w:pStyle w:val="Tabelltextsiffror"/>
              <w:jc w:val="center"/>
              <w:rPr>
                <w:snapToGrid w:val="0"/>
              </w:rPr>
            </w:pPr>
            <w:r w:rsidRPr="00F5723F">
              <w:rPr>
                <w:snapToGrid w:val="0"/>
              </w:rPr>
              <w:t>15</w:t>
            </w:r>
          </w:p>
        </w:tc>
        <w:tc>
          <w:tcPr>
            <w:tcW w:w="632" w:type="dxa"/>
          </w:tcPr>
          <w:p w:rsidR="00B43C57" w:rsidRPr="00F5723F" w:rsidRDefault="00B43C57">
            <w:pPr>
              <w:pStyle w:val="Tabelltextsiffror"/>
              <w:jc w:val="center"/>
              <w:rPr>
                <w:snapToGrid w:val="0"/>
              </w:rPr>
            </w:pPr>
            <w:r w:rsidRPr="00F5723F">
              <w:rPr>
                <w:snapToGrid w:val="0"/>
              </w:rPr>
              <w:t>8</w:t>
            </w:r>
          </w:p>
        </w:tc>
        <w:tc>
          <w:tcPr>
            <w:tcW w:w="632" w:type="dxa"/>
          </w:tcPr>
          <w:p w:rsidR="00B43C57" w:rsidRPr="00F5723F" w:rsidRDefault="00B43C57">
            <w:pPr>
              <w:pStyle w:val="Tabelltextsiffror"/>
              <w:jc w:val="center"/>
              <w:rPr>
                <w:snapToGrid w:val="0"/>
              </w:rPr>
            </w:pPr>
            <w:r w:rsidRPr="00F5723F">
              <w:rPr>
                <w:snapToGrid w:val="0"/>
              </w:rPr>
              <w:t>7</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JuU</w:t>
            </w:r>
          </w:p>
        </w:tc>
        <w:tc>
          <w:tcPr>
            <w:tcW w:w="631" w:type="dxa"/>
          </w:tcPr>
          <w:p w:rsidR="00B43C57" w:rsidRPr="00F5723F" w:rsidRDefault="00B43C57">
            <w:pPr>
              <w:pStyle w:val="Tabelltextsiffror"/>
              <w:jc w:val="center"/>
              <w:rPr>
                <w:snapToGrid w:val="0"/>
              </w:rPr>
            </w:pPr>
            <w:r w:rsidRPr="00F5723F">
              <w:rPr>
                <w:snapToGrid w:val="0"/>
              </w:rPr>
              <w:t>17</w:t>
            </w:r>
          </w:p>
        </w:tc>
        <w:tc>
          <w:tcPr>
            <w:tcW w:w="379" w:type="dxa"/>
          </w:tcPr>
          <w:p w:rsidR="00B43C57" w:rsidRPr="00F5723F" w:rsidRDefault="00B43C57">
            <w:pPr>
              <w:pStyle w:val="Tabelltextsiffror"/>
              <w:jc w:val="center"/>
              <w:rPr>
                <w:snapToGrid w:val="0"/>
              </w:rPr>
            </w:pPr>
            <w:r w:rsidRPr="00F5723F">
              <w:rPr>
                <w:snapToGrid w:val="0"/>
              </w:rPr>
              <w:t>28</w:t>
            </w:r>
          </w:p>
        </w:tc>
        <w:tc>
          <w:tcPr>
            <w:tcW w:w="379" w:type="dxa"/>
          </w:tcPr>
          <w:p w:rsidR="00B43C57" w:rsidRPr="00F5723F" w:rsidRDefault="00B43C57">
            <w:pPr>
              <w:pStyle w:val="Tabelltextsiffror"/>
              <w:jc w:val="center"/>
              <w:rPr>
                <w:snapToGrid w:val="0"/>
              </w:rPr>
            </w:pPr>
            <w:r w:rsidRPr="00F5723F">
              <w:rPr>
                <w:snapToGrid w:val="0"/>
              </w:rPr>
              <w:t>21</w:t>
            </w:r>
          </w:p>
        </w:tc>
        <w:tc>
          <w:tcPr>
            <w:tcW w:w="632" w:type="dxa"/>
          </w:tcPr>
          <w:p w:rsidR="00B43C57" w:rsidRPr="00F5723F" w:rsidRDefault="00B43C57">
            <w:pPr>
              <w:pStyle w:val="Tabelltextsiffror"/>
              <w:jc w:val="center"/>
              <w:rPr>
                <w:snapToGrid w:val="0"/>
              </w:rPr>
            </w:pPr>
            <w:r w:rsidRPr="00F5723F">
              <w:rPr>
                <w:snapToGrid w:val="0"/>
              </w:rPr>
              <w:t>21</w:t>
            </w:r>
          </w:p>
        </w:tc>
        <w:tc>
          <w:tcPr>
            <w:tcW w:w="505" w:type="dxa"/>
          </w:tcPr>
          <w:p w:rsidR="00B43C57" w:rsidRPr="00F5723F" w:rsidRDefault="00B43C57">
            <w:pPr>
              <w:pStyle w:val="Tabelltextsiffror"/>
              <w:jc w:val="center"/>
              <w:rPr>
                <w:snapToGrid w:val="0"/>
              </w:rPr>
            </w:pPr>
            <w:r w:rsidRPr="00F5723F">
              <w:rPr>
                <w:snapToGrid w:val="0"/>
              </w:rPr>
              <w:t>16</w:t>
            </w:r>
          </w:p>
        </w:tc>
        <w:tc>
          <w:tcPr>
            <w:tcW w:w="505" w:type="dxa"/>
          </w:tcPr>
          <w:p w:rsidR="00B43C57" w:rsidRPr="00F5723F" w:rsidRDefault="00B43C57">
            <w:pPr>
              <w:pStyle w:val="Tabelltextsiffror"/>
              <w:jc w:val="center"/>
              <w:rPr>
                <w:snapToGrid w:val="0"/>
              </w:rPr>
            </w:pPr>
            <w:r w:rsidRPr="00F5723F">
              <w:rPr>
                <w:snapToGrid w:val="0"/>
              </w:rPr>
              <w:t>27</w:t>
            </w:r>
          </w:p>
        </w:tc>
        <w:tc>
          <w:tcPr>
            <w:tcW w:w="505" w:type="dxa"/>
          </w:tcPr>
          <w:p w:rsidR="00B43C57" w:rsidRPr="00F5723F" w:rsidRDefault="00B43C57">
            <w:pPr>
              <w:pStyle w:val="Tabelltextsiffror"/>
              <w:jc w:val="center"/>
              <w:rPr>
                <w:snapToGrid w:val="0"/>
              </w:rPr>
            </w:pPr>
            <w:r w:rsidRPr="00F5723F">
              <w:rPr>
                <w:snapToGrid w:val="0"/>
              </w:rPr>
              <w:t>17</w:t>
            </w:r>
          </w:p>
        </w:tc>
        <w:tc>
          <w:tcPr>
            <w:tcW w:w="631" w:type="dxa"/>
          </w:tcPr>
          <w:p w:rsidR="00B43C57" w:rsidRPr="00F5723F" w:rsidRDefault="00B43C57">
            <w:pPr>
              <w:pStyle w:val="Tabelltextsiffror"/>
              <w:jc w:val="center"/>
              <w:rPr>
                <w:snapToGrid w:val="0"/>
              </w:rPr>
            </w:pPr>
            <w:r w:rsidRPr="00F5723F">
              <w:rPr>
                <w:snapToGrid w:val="0"/>
              </w:rPr>
              <w:t>14</w:t>
            </w:r>
          </w:p>
        </w:tc>
        <w:tc>
          <w:tcPr>
            <w:tcW w:w="632" w:type="dxa"/>
          </w:tcPr>
          <w:p w:rsidR="00B43C57" w:rsidRPr="00F5723F" w:rsidRDefault="00B43C57">
            <w:pPr>
              <w:pStyle w:val="Tabelltextsiffror"/>
              <w:jc w:val="center"/>
              <w:rPr>
                <w:snapToGrid w:val="0"/>
              </w:rPr>
            </w:pPr>
            <w:r w:rsidRPr="00F5723F">
              <w:rPr>
                <w:snapToGrid w:val="0"/>
              </w:rPr>
              <w:t>10</w:t>
            </w:r>
          </w:p>
        </w:tc>
        <w:tc>
          <w:tcPr>
            <w:tcW w:w="632" w:type="dxa"/>
          </w:tcPr>
          <w:p w:rsidR="00B43C57" w:rsidRPr="00F5723F" w:rsidRDefault="00B43C57">
            <w:pPr>
              <w:pStyle w:val="Tabelltextsiffror"/>
              <w:jc w:val="center"/>
              <w:rPr>
                <w:snapToGrid w:val="0"/>
              </w:rPr>
            </w:pPr>
            <w:r w:rsidRPr="00F5723F">
              <w:rPr>
                <w:snapToGrid w:val="0"/>
              </w:rPr>
              <w:t>5</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LU</w:t>
            </w:r>
          </w:p>
        </w:tc>
        <w:tc>
          <w:tcPr>
            <w:tcW w:w="631" w:type="dxa"/>
          </w:tcPr>
          <w:p w:rsidR="00B43C57" w:rsidRPr="00F5723F" w:rsidRDefault="00B43C57">
            <w:pPr>
              <w:pStyle w:val="Tabelltextsiffror"/>
              <w:jc w:val="center"/>
              <w:rPr>
                <w:snapToGrid w:val="0"/>
              </w:rPr>
            </w:pPr>
            <w:r w:rsidRPr="00F5723F">
              <w:rPr>
                <w:snapToGrid w:val="0"/>
              </w:rPr>
              <w:t>15</w:t>
            </w:r>
          </w:p>
        </w:tc>
        <w:tc>
          <w:tcPr>
            <w:tcW w:w="379" w:type="dxa"/>
          </w:tcPr>
          <w:p w:rsidR="00B43C57" w:rsidRPr="00F5723F" w:rsidRDefault="00B43C57">
            <w:pPr>
              <w:pStyle w:val="Tabelltextsiffror"/>
              <w:jc w:val="center"/>
              <w:rPr>
                <w:snapToGrid w:val="0"/>
              </w:rPr>
            </w:pPr>
            <w:r w:rsidRPr="00F5723F">
              <w:rPr>
                <w:snapToGrid w:val="0"/>
              </w:rPr>
              <w:t>18</w:t>
            </w:r>
          </w:p>
        </w:tc>
        <w:tc>
          <w:tcPr>
            <w:tcW w:w="379" w:type="dxa"/>
          </w:tcPr>
          <w:p w:rsidR="00B43C57" w:rsidRPr="00F5723F" w:rsidRDefault="00B43C57">
            <w:pPr>
              <w:pStyle w:val="Tabelltextsiffror"/>
              <w:jc w:val="center"/>
              <w:rPr>
                <w:snapToGrid w:val="0"/>
              </w:rPr>
            </w:pPr>
            <w:r w:rsidRPr="00F5723F">
              <w:rPr>
                <w:snapToGrid w:val="0"/>
              </w:rPr>
              <w:t>13</w:t>
            </w:r>
          </w:p>
        </w:tc>
        <w:tc>
          <w:tcPr>
            <w:tcW w:w="632" w:type="dxa"/>
          </w:tcPr>
          <w:p w:rsidR="00B43C57" w:rsidRPr="00F5723F" w:rsidRDefault="00B43C57">
            <w:pPr>
              <w:pStyle w:val="Tabelltextsiffror"/>
              <w:jc w:val="center"/>
              <w:rPr>
                <w:snapToGrid w:val="0"/>
              </w:rPr>
            </w:pPr>
            <w:r w:rsidRPr="00F5723F">
              <w:rPr>
                <w:snapToGrid w:val="0"/>
              </w:rPr>
              <w:t>9</w:t>
            </w:r>
          </w:p>
        </w:tc>
        <w:tc>
          <w:tcPr>
            <w:tcW w:w="505" w:type="dxa"/>
          </w:tcPr>
          <w:p w:rsidR="00B43C57" w:rsidRPr="00F5723F" w:rsidRDefault="00B43C57">
            <w:pPr>
              <w:pStyle w:val="Tabelltextsiffror"/>
              <w:jc w:val="center"/>
              <w:rPr>
                <w:snapToGrid w:val="0"/>
              </w:rPr>
            </w:pPr>
            <w:r w:rsidRPr="00F5723F">
              <w:rPr>
                <w:snapToGrid w:val="0"/>
              </w:rPr>
              <w:t>8</w:t>
            </w:r>
          </w:p>
        </w:tc>
        <w:tc>
          <w:tcPr>
            <w:tcW w:w="505" w:type="dxa"/>
          </w:tcPr>
          <w:p w:rsidR="00B43C57" w:rsidRPr="00F5723F" w:rsidRDefault="00B43C57">
            <w:pPr>
              <w:pStyle w:val="Tabelltextsiffror"/>
              <w:jc w:val="center"/>
              <w:rPr>
                <w:snapToGrid w:val="0"/>
              </w:rPr>
            </w:pPr>
            <w:r w:rsidRPr="00F5723F">
              <w:rPr>
                <w:snapToGrid w:val="0"/>
              </w:rPr>
              <w:t>27</w:t>
            </w:r>
          </w:p>
        </w:tc>
        <w:tc>
          <w:tcPr>
            <w:tcW w:w="505" w:type="dxa"/>
          </w:tcPr>
          <w:p w:rsidR="00B43C57" w:rsidRPr="00F5723F" w:rsidRDefault="00B43C57">
            <w:pPr>
              <w:pStyle w:val="Tabelltextsiffror"/>
              <w:jc w:val="center"/>
              <w:rPr>
                <w:snapToGrid w:val="0"/>
              </w:rPr>
            </w:pPr>
            <w:r w:rsidRPr="00F5723F">
              <w:rPr>
                <w:snapToGrid w:val="0"/>
              </w:rPr>
              <w:t>8</w:t>
            </w:r>
          </w:p>
        </w:tc>
        <w:tc>
          <w:tcPr>
            <w:tcW w:w="631" w:type="dxa"/>
          </w:tcPr>
          <w:p w:rsidR="00B43C57" w:rsidRPr="00F5723F" w:rsidRDefault="00B43C57">
            <w:pPr>
              <w:pStyle w:val="Tabelltextsiffror"/>
              <w:jc w:val="center"/>
              <w:rPr>
                <w:snapToGrid w:val="0"/>
              </w:rPr>
            </w:pPr>
            <w:r w:rsidRPr="00F5723F">
              <w:rPr>
                <w:snapToGrid w:val="0"/>
              </w:rPr>
              <w:t>11</w:t>
            </w:r>
          </w:p>
        </w:tc>
        <w:tc>
          <w:tcPr>
            <w:tcW w:w="632" w:type="dxa"/>
          </w:tcPr>
          <w:p w:rsidR="00B43C57" w:rsidRPr="00F5723F" w:rsidRDefault="00B43C57">
            <w:pPr>
              <w:pStyle w:val="Tabelltextsiffror"/>
              <w:jc w:val="center"/>
              <w:rPr>
                <w:snapToGrid w:val="0"/>
              </w:rPr>
            </w:pPr>
            <w:r w:rsidRPr="00F5723F">
              <w:rPr>
                <w:snapToGrid w:val="0"/>
              </w:rPr>
              <w:t>14</w:t>
            </w:r>
          </w:p>
        </w:tc>
        <w:tc>
          <w:tcPr>
            <w:tcW w:w="632" w:type="dxa"/>
          </w:tcPr>
          <w:p w:rsidR="00B43C57" w:rsidRPr="00F5723F" w:rsidRDefault="00B43C57">
            <w:pPr>
              <w:pStyle w:val="Tabelltextsiffror"/>
              <w:jc w:val="center"/>
              <w:rPr>
                <w:snapToGrid w:val="0"/>
              </w:rPr>
            </w:pPr>
            <w:r w:rsidRPr="00F5723F">
              <w:rPr>
                <w:snapToGrid w:val="0"/>
              </w:rPr>
              <w:t>4</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UU</w:t>
            </w:r>
          </w:p>
        </w:tc>
        <w:tc>
          <w:tcPr>
            <w:tcW w:w="631" w:type="dxa"/>
          </w:tcPr>
          <w:p w:rsidR="00B43C57" w:rsidRPr="00F5723F" w:rsidRDefault="00B43C57">
            <w:pPr>
              <w:pStyle w:val="Tabelltextsiffror"/>
              <w:jc w:val="center"/>
              <w:rPr>
                <w:snapToGrid w:val="0"/>
              </w:rPr>
            </w:pPr>
            <w:r w:rsidRPr="00F5723F">
              <w:rPr>
                <w:snapToGrid w:val="0"/>
              </w:rPr>
              <w:t>30</w:t>
            </w:r>
          </w:p>
        </w:tc>
        <w:tc>
          <w:tcPr>
            <w:tcW w:w="379" w:type="dxa"/>
          </w:tcPr>
          <w:p w:rsidR="00B43C57" w:rsidRPr="00F5723F" w:rsidRDefault="00B43C57">
            <w:pPr>
              <w:pStyle w:val="Tabelltextsiffror"/>
              <w:jc w:val="center"/>
              <w:rPr>
                <w:snapToGrid w:val="0"/>
              </w:rPr>
            </w:pPr>
            <w:r w:rsidRPr="00F5723F">
              <w:rPr>
                <w:snapToGrid w:val="0"/>
              </w:rPr>
              <w:t>18</w:t>
            </w:r>
          </w:p>
        </w:tc>
        <w:tc>
          <w:tcPr>
            <w:tcW w:w="379" w:type="dxa"/>
          </w:tcPr>
          <w:p w:rsidR="00B43C57" w:rsidRPr="00F5723F" w:rsidRDefault="00B43C57">
            <w:pPr>
              <w:pStyle w:val="Tabelltextsiffror"/>
              <w:jc w:val="center"/>
              <w:rPr>
                <w:snapToGrid w:val="0"/>
              </w:rPr>
            </w:pPr>
            <w:r w:rsidRPr="00F5723F">
              <w:rPr>
                <w:snapToGrid w:val="0"/>
              </w:rPr>
              <w:t>12</w:t>
            </w:r>
          </w:p>
        </w:tc>
        <w:tc>
          <w:tcPr>
            <w:tcW w:w="632" w:type="dxa"/>
          </w:tcPr>
          <w:p w:rsidR="00B43C57" w:rsidRPr="00F5723F" w:rsidRDefault="00B43C57">
            <w:pPr>
              <w:pStyle w:val="Tabelltextsiffror"/>
              <w:jc w:val="center"/>
              <w:rPr>
                <w:snapToGrid w:val="0"/>
              </w:rPr>
            </w:pPr>
            <w:r w:rsidRPr="00F5723F">
              <w:rPr>
                <w:snapToGrid w:val="0"/>
              </w:rPr>
              <w:t>20</w:t>
            </w:r>
          </w:p>
        </w:tc>
        <w:tc>
          <w:tcPr>
            <w:tcW w:w="505" w:type="dxa"/>
          </w:tcPr>
          <w:p w:rsidR="00B43C57" w:rsidRPr="00F5723F" w:rsidRDefault="00B43C57">
            <w:pPr>
              <w:pStyle w:val="Tabelltextsiffror"/>
              <w:jc w:val="center"/>
              <w:rPr>
                <w:snapToGrid w:val="0"/>
              </w:rPr>
            </w:pPr>
            <w:r w:rsidRPr="00F5723F">
              <w:rPr>
                <w:snapToGrid w:val="0"/>
              </w:rPr>
              <w:t>7</w:t>
            </w:r>
          </w:p>
        </w:tc>
        <w:tc>
          <w:tcPr>
            <w:tcW w:w="505" w:type="dxa"/>
          </w:tcPr>
          <w:p w:rsidR="00B43C57" w:rsidRPr="00F5723F" w:rsidRDefault="00B43C57">
            <w:pPr>
              <w:pStyle w:val="Tabelltextsiffror"/>
              <w:jc w:val="center"/>
              <w:rPr>
                <w:snapToGrid w:val="0"/>
              </w:rPr>
            </w:pPr>
            <w:r w:rsidRPr="00F5723F">
              <w:rPr>
                <w:snapToGrid w:val="0"/>
              </w:rPr>
              <w:t>19</w:t>
            </w:r>
          </w:p>
        </w:tc>
        <w:tc>
          <w:tcPr>
            <w:tcW w:w="505" w:type="dxa"/>
          </w:tcPr>
          <w:p w:rsidR="00B43C57" w:rsidRPr="00F5723F" w:rsidRDefault="00B43C57">
            <w:pPr>
              <w:pStyle w:val="Tabelltextsiffror"/>
              <w:jc w:val="center"/>
              <w:rPr>
                <w:snapToGrid w:val="0"/>
              </w:rPr>
            </w:pPr>
            <w:r w:rsidRPr="00F5723F">
              <w:rPr>
                <w:snapToGrid w:val="0"/>
              </w:rPr>
              <w:t>14</w:t>
            </w:r>
          </w:p>
        </w:tc>
        <w:tc>
          <w:tcPr>
            <w:tcW w:w="631" w:type="dxa"/>
          </w:tcPr>
          <w:p w:rsidR="00B43C57" w:rsidRPr="00F5723F" w:rsidRDefault="00B43C57">
            <w:pPr>
              <w:pStyle w:val="Tabelltextsiffror"/>
              <w:jc w:val="center"/>
              <w:rPr>
                <w:snapToGrid w:val="0"/>
              </w:rPr>
            </w:pPr>
            <w:r w:rsidRPr="00F5723F">
              <w:rPr>
                <w:snapToGrid w:val="0"/>
              </w:rPr>
              <w:t>12</w:t>
            </w:r>
          </w:p>
        </w:tc>
        <w:tc>
          <w:tcPr>
            <w:tcW w:w="632" w:type="dxa"/>
          </w:tcPr>
          <w:p w:rsidR="00B43C57" w:rsidRPr="00F5723F" w:rsidRDefault="00B43C57">
            <w:pPr>
              <w:pStyle w:val="Tabelltextsiffror"/>
              <w:jc w:val="center"/>
              <w:rPr>
                <w:snapToGrid w:val="0"/>
              </w:rPr>
            </w:pPr>
            <w:r w:rsidRPr="00F5723F">
              <w:rPr>
                <w:snapToGrid w:val="0"/>
              </w:rPr>
              <w:t>8</w:t>
            </w:r>
          </w:p>
        </w:tc>
        <w:tc>
          <w:tcPr>
            <w:tcW w:w="632" w:type="dxa"/>
          </w:tcPr>
          <w:p w:rsidR="00B43C57" w:rsidRPr="00F5723F" w:rsidRDefault="00B43C57">
            <w:pPr>
              <w:pStyle w:val="Tabelltextsiffror"/>
              <w:jc w:val="center"/>
              <w:rPr>
                <w:snapToGrid w:val="0"/>
              </w:rPr>
            </w:pPr>
            <w:r w:rsidRPr="00F5723F">
              <w:rPr>
                <w:snapToGrid w:val="0"/>
              </w:rPr>
              <w:t>33</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FöU</w:t>
            </w:r>
          </w:p>
        </w:tc>
        <w:tc>
          <w:tcPr>
            <w:tcW w:w="631" w:type="dxa"/>
          </w:tcPr>
          <w:p w:rsidR="00B43C57" w:rsidRPr="00F5723F" w:rsidRDefault="00B43C57">
            <w:pPr>
              <w:pStyle w:val="Tabelltextsiffror"/>
              <w:jc w:val="center"/>
              <w:rPr>
                <w:snapToGrid w:val="0"/>
              </w:rPr>
            </w:pPr>
            <w:r w:rsidRPr="00F5723F">
              <w:rPr>
                <w:snapToGrid w:val="0"/>
              </w:rPr>
              <w:t>24</w:t>
            </w:r>
          </w:p>
        </w:tc>
        <w:tc>
          <w:tcPr>
            <w:tcW w:w="379" w:type="dxa"/>
          </w:tcPr>
          <w:p w:rsidR="00B43C57" w:rsidRPr="00F5723F" w:rsidRDefault="00B43C57">
            <w:pPr>
              <w:pStyle w:val="Tabelltextsiffror"/>
              <w:jc w:val="center"/>
              <w:rPr>
                <w:snapToGrid w:val="0"/>
              </w:rPr>
            </w:pPr>
            <w:r w:rsidRPr="00F5723F">
              <w:rPr>
                <w:snapToGrid w:val="0"/>
              </w:rPr>
              <w:t>5</w:t>
            </w:r>
          </w:p>
        </w:tc>
        <w:tc>
          <w:tcPr>
            <w:tcW w:w="379" w:type="dxa"/>
          </w:tcPr>
          <w:p w:rsidR="00B43C57" w:rsidRPr="00F5723F" w:rsidRDefault="00B43C57">
            <w:pPr>
              <w:pStyle w:val="Tabelltextsiffror"/>
              <w:jc w:val="center"/>
              <w:rPr>
                <w:snapToGrid w:val="0"/>
              </w:rPr>
            </w:pPr>
            <w:r w:rsidRPr="00F5723F">
              <w:rPr>
                <w:snapToGrid w:val="0"/>
              </w:rPr>
              <w:t>9</w:t>
            </w:r>
          </w:p>
        </w:tc>
        <w:tc>
          <w:tcPr>
            <w:tcW w:w="632" w:type="dxa"/>
          </w:tcPr>
          <w:p w:rsidR="00B43C57" w:rsidRPr="00F5723F" w:rsidRDefault="00B43C57">
            <w:pPr>
              <w:pStyle w:val="Tabelltextsiffror"/>
              <w:jc w:val="center"/>
              <w:rPr>
                <w:snapToGrid w:val="0"/>
              </w:rPr>
            </w:pPr>
            <w:r w:rsidRPr="00F5723F">
              <w:rPr>
                <w:snapToGrid w:val="0"/>
              </w:rPr>
              <w:t>8</w:t>
            </w:r>
          </w:p>
        </w:tc>
        <w:tc>
          <w:tcPr>
            <w:tcW w:w="505" w:type="dxa"/>
          </w:tcPr>
          <w:p w:rsidR="00B43C57" w:rsidRPr="00F5723F" w:rsidRDefault="00B43C57">
            <w:pPr>
              <w:pStyle w:val="Tabelltextsiffror"/>
              <w:jc w:val="center"/>
              <w:rPr>
                <w:snapToGrid w:val="0"/>
              </w:rPr>
            </w:pPr>
            <w:r w:rsidRPr="00F5723F">
              <w:rPr>
                <w:snapToGrid w:val="0"/>
              </w:rPr>
              <w:t>2</w:t>
            </w:r>
          </w:p>
        </w:tc>
        <w:tc>
          <w:tcPr>
            <w:tcW w:w="505" w:type="dxa"/>
          </w:tcPr>
          <w:p w:rsidR="00B43C57" w:rsidRPr="00F5723F" w:rsidRDefault="00B43C57">
            <w:pPr>
              <w:pStyle w:val="Tabelltextsiffror"/>
              <w:jc w:val="center"/>
              <w:rPr>
                <w:snapToGrid w:val="0"/>
              </w:rPr>
            </w:pPr>
            <w:r w:rsidRPr="00F5723F">
              <w:rPr>
                <w:snapToGrid w:val="0"/>
              </w:rPr>
              <w:t>11</w:t>
            </w:r>
          </w:p>
        </w:tc>
        <w:tc>
          <w:tcPr>
            <w:tcW w:w="505" w:type="dxa"/>
          </w:tcPr>
          <w:p w:rsidR="00B43C57" w:rsidRPr="00F5723F" w:rsidRDefault="00B43C57">
            <w:pPr>
              <w:pStyle w:val="Tabelltextsiffror"/>
              <w:jc w:val="center"/>
              <w:rPr>
                <w:snapToGrid w:val="0"/>
              </w:rPr>
            </w:pPr>
            <w:r w:rsidRPr="00F5723F">
              <w:rPr>
                <w:snapToGrid w:val="0"/>
              </w:rPr>
              <w:t>34</w:t>
            </w:r>
          </w:p>
        </w:tc>
        <w:tc>
          <w:tcPr>
            <w:tcW w:w="631" w:type="dxa"/>
          </w:tcPr>
          <w:p w:rsidR="00B43C57" w:rsidRPr="00F5723F" w:rsidRDefault="00B43C57">
            <w:pPr>
              <w:pStyle w:val="Tabelltextsiffror"/>
              <w:jc w:val="center"/>
              <w:rPr>
                <w:snapToGrid w:val="0"/>
              </w:rPr>
            </w:pPr>
            <w:r w:rsidRPr="00F5723F">
              <w:rPr>
                <w:snapToGrid w:val="0"/>
              </w:rPr>
              <w:t>7</w:t>
            </w:r>
          </w:p>
        </w:tc>
        <w:tc>
          <w:tcPr>
            <w:tcW w:w="632" w:type="dxa"/>
          </w:tcPr>
          <w:p w:rsidR="00B43C57" w:rsidRPr="00F5723F" w:rsidRDefault="00B43C57">
            <w:pPr>
              <w:pStyle w:val="Tabelltextsiffror"/>
              <w:jc w:val="center"/>
              <w:rPr>
                <w:snapToGrid w:val="0"/>
              </w:rPr>
            </w:pPr>
            <w:r w:rsidRPr="00F5723F">
              <w:rPr>
                <w:snapToGrid w:val="0"/>
              </w:rPr>
              <w:t>0</w:t>
            </w:r>
          </w:p>
        </w:tc>
        <w:tc>
          <w:tcPr>
            <w:tcW w:w="632" w:type="dxa"/>
          </w:tcPr>
          <w:p w:rsidR="00B43C57" w:rsidRPr="00F5723F" w:rsidRDefault="00B43C57">
            <w:pPr>
              <w:pStyle w:val="Tabelltextsiffror"/>
              <w:jc w:val="center"/>
              <w:rPr>
                <w:snapToGrid w:val="0"/>
              </w:rPr>
            </w:pPr>
            <w:r w:rsidRPr="00F5723F">
              <w:rPr>
                <w:snapToGrid w:val="0"/>
              </w:rPr>
              <w:t>1</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SfU</w:t>
            </w:r>
          </w:p>
        </w:tc>
        <w:tc>
          <w:tcPr>
            <w:tcW w:w="631" w:type="dxa"/>
          </w:tcPr>
          <w:p w:rsidR="00B43C57" w:rsidRPr="00F5723F" w:rsidRDefault="00B43C57">
            <w:pPr>
              <w:pStyle w:val="Tabelltextsiffror"/>
              <w:jc w:val="center"/>
              <w:rPr>
                <w:snapToGrid w:val="0"/>
              </w:rPr>
            </w:pPr>
            <w:r w:rsidRPr="00F5723F">
              <w:rPr>
                <w:snapToGrid w:val="0"/>
              </w:rPr>
              <w:t>20</w:t>
            </w:r>
          </w:p>
        </w:tc>
        <w:tc>
          <w:tcPr>
            <w:tcW w:w="379" w:type="dxa"/>
          </w:tcPr>
          <w:p w:rsidR="00B43C57" w:rsidRPr="00F5723F" w:rsidRDefault="00B43C57">
            <w:pPr>
              <w:pStyle w:val="Tabelltextsiffror"/>
              <w:jc w:val="center"/>
              <w:rPr>
                <w:snapToGrid w:val="0"/>
              </w:rPr>
            </w:pPr>
            <w:r w:rsidRPr="00F5723F">
              <w:rPr>
                <w:snapToGrid w:val="0"/>
              </w:rPr>
              <w:t>17</w:t>
            </w:r>
          </w:p>
        </w:tc>
        <w:tc>
          <w:tcPr>
            <w:tcW w:w="379" w:type="dxa"/>
          </w:tcPr>
          <w:p w:rsidR="00B43C57" w:rsidRPr="00F5723F" w:rsidRDefault="00B43C57">
            <w:pPr>
              <w:pStyle w:val="Tabelltextsiffror"/>
              <w:jc w:val="center"/>
              <w:rPr>
                <w:snapToGrid w:val="0"/>
              </w:rPr>
            </w:pPr>
            <w:r w:rsidRPr="00F5723F">
              <w:rPr>
                <w:snapToGrid w:val="0"/>
              </w:rPr>
              <w:t>19</w:t>
            </w:r>
          </w:p>
        </w:tc>
        <w:tc>
          <w:tcPr>
            <w:tcW w:w="632" w:type="dxa"/>
          </w:tcPr>
          <w:p w:rsidR="00B43C57" w:rsidRPr="00F5723F" w:rsidRDefault="00B43C57">
            <w:pPr>
              <w:pStyle w:val="Tabelltextsiffror"/>
              <w:jc w:val="center"/>
              <w:rPr>
                <w:snapToGrid w:val="0"/>
              </w:rPr>
            </w:pPr>
            <w:r w:rsidRPr="00F5723F">
              <w:rPr>
                <w:snapToGrid w:val="0"/>
              </w:rPr>
              <w:t>19</w:t>
            </w:r>
          </w:p>
        </w:tc>
        <w:tc>
          <w:tcPr>
            <w:tcW w:w="505" w:type="dxa"/>
          </w:tcPr>
          <w:p w:rsidR="00B43C57" w:rsidRPr="00F5723F" w:rsidRDefault="00B43C57">
            <w:pPr>
              <w:pStyle w:val="Tabelltextsiffror"/>
              <w:jc w:val="center"/>
              <w:rPr>
                <w:snapToGrid w:val="0"/>
              </w:rPr>
            </w:pPr>
            <w:r w:rsidRPr="00F5723F">
              <w:rPr>
                <w:snapToGrid w:val="0"/>
              </w:rPr>
              <w:t>17</w:t>
            </w:r>
          </w:p>
        </w:tc>
        <w:tc>
          <w:tcPr>
            <w:tcW w:w="505" w:type="dxa"/>
          </w:tcPr>
          <w:p w:rsidR="00B43C57" w:rsidRPr="00F5723F" w:rsidRDefault="00B43C57">
            <w:pPr>
              <w:pStyle w:val="Tabelltextsiffror"/>
              <w:jc w:val="center"/>
              <w:rPr>
                <w:snapToGrid w:val="0"/>
              </w:rPr>
            </w:pPr>
            <w:r w:rsidRPr="00F5723F">
              <w:rPr>
                <w:snapToGrid w:val="0"/>
              </w:rPr>
              <w:t>16</w:t>
            </w:r>
          </w:p>
        </w:tc>
        <w:tc>
          <w:tcPr>
            <w:tcW w:w="505" w:type="dxa"/>
          </w:tcPr>
          <w:p w:rsidR="00B43C57" w:rsidRPr="00F5723F" w:rsidRDefault="00B43C57">
            <w:pPr>
              <w:pStyle w:val="Tabelltextsiffror"/>
              <w:jc w:val="center"/>
              <w:rPr>
                <w:snapToGrid w:val="0"/>
              </w:rPr>
            </w:pPr>
            <w:r w:rsidRPr="00F5723F">
              <w:rPr>
                <w:snapToGrid w:val="0"/>
              </w:rPr>
              <w:t>19</w:t>
            </w:r>
          </w:p>
        </w:tc>
        <w:tc>
          <w:tcPr>
            <w:tcW w:w="631" w:type="dxa"/>
          </w:tcPr>
          <w:p w:rsidR="00B43C57" w:rsidRPr="00F5723F" w:rsidRDefault="00B43C57">
            <w:pPr>
              <w:pStyle w:val="Tabelltextsiffror"/>
              <w:jc w:val="center"/>
              <w:rPr>
                <w:snapToGrid w:val="0"/>
              </w:rPr>
            </w:pPr>
            <w:r w:rsidRPr="00F5723F">
              <w:rPr>
                <w:snapToGrid w:val="0"/>
              </w:rPr>
              <w:t>14</w:t>
            </w:r>
          </w:p>
        </w:tc>
        <w:tc>
          <w:tcPr>
            <w:tcW w:w="632" w:type="dxa"/>
          </w:tcPr>
          <w:p w:rsidR="00B43C57" w:rsidRPr="00F5723F" w:rsidRDefault="00B43C57">
            <w:pPr>
              <w:pStyle w:val="Tabelltextsiffror"/>
              <w:jc w:val="center"/>
              <w:rPr>
                <w:snapToGrid w:val="0"/>
              </w:rPr>
            </w:pPr>
            <w:r w:rsidRPr="00F5723F">
              <w:rPr>
                <w:snapToGrid w:val="0"/>
              </w:rPr>
              <w:t>8</w:t>
            </w:r>
          </w:p>
        </w:tc>
        <w:tc>
          <w:tcPr>
            <w:tcW w:w="632" w:type="dxa"/>
          </w:tcPr>
          <w:p w:rsidR="00B43C57" w:rsidRPr="00F5723F" w:rsidRDefault="00B43C57">
            <w:pPr>
              <w:pStyle w:val="Tabelltextsiffror"/>
              <w:jc w:val="center"/>
              <w:rPr>
                <w:snapToGrid w:val="0"/>
              </w:rPr>
            </w:pPr>
            <w:r w:rsidRPr="00F5723F">
              <w:rPr>
                <w:snapToGrid w:val="0"/>
              </w:rPr>
              <w:t>4</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SoU</w:t>
            </w:r>
          </w:p>
        </w:tc>
        <w:tc>
          <w:tcPr>
            <w:tcW w:w="631" w:type="dxa"/>
          </w:tcPr>
          <w:p w:rsidR="00B43C57" w:rsidRPr="00F5723F" w:rsidRDefault="00B43C57">
            <w:pPr>
              <w:pStyle w:val="Tabelltextsiffror"/>
              <w:jc w:val="center"/>
              <w:rPr>
                <w:snapToGrid w:val="0"/>
              </w:rPr>
            </w:pPr>
            <w:r w:rsidRPr="00F5723F">
              <w:rPr>
                <w:snapToGrid w:val="0"/>
              </w:rPr>
              <w:t>14</w:t>
            </w:r>
          </w:p>
        </w:tc>
        <w:tc>
          <w:tcPr>
            <w:tcW w:w="379" w:type="dxa"/>
          </w:tcPr>
          <w:p w:rsidR="00B43C57" w:rsidRPr="00F5723F" w:rsidRDefault="00B43C57">
            <w:pPr>
              <w:pStyle w:val="Tabelltextsiffror"/>
              <w:jc w:val="center"/>
              <w:rPr>
                <w:snapToGrid w:val="0"/>
              </w:rPr>
            </w:pPr>
            <w:r w:rsidRPr="00F5723F">
              <w:rPr>
                <w:snapToGrid w:val="0"/>
              </w:rPr>
              <w:t>14</w:t>
            </w:r>
          </w:p>
        </w:tc>
        <w:tc>
          <w:tcPr>
            <w:tcW w:w="379" w:type="dxa"/>
          </w:tcPr>
          <w:p w:rsidR="00B43C57" w:rsidRPr="00F5723F" w:rsidRDefault="00B43C57">
            <w:pPr>
              <w:pStyle w:val="Tabelltextsiffror"/>
              <w:jc w:val="center"/>
              <w:rPr>
                <w:snapToGrid w:val="0"/>
              </w:rPr>
            </w:pPr>
            <w:r w:rsidRPr="00F5723F">
              <w:rPr>
                <w:snapToGrid w:val="0"/>
              </w:rPr>
              <w:t>25</w:t>
            </w:r>
          </w:p>
        </w:tc>
        <w:tc>
          <w:tcPr>
            <w:tcW w:w="632" w:type="dxa"/>
          </w:tcPr>
          <w:p w:rsidR="00B43C57" w:rsidRPr="00F5723F" w:rsidRDefault="00B43C57">
            <w:pPr>
              <w:pStyle w:val="Tabelltextsiffror"/>
              <w:jc w:val="center"/>
              <w:rPr>
                <w:snapToGrid w:val="0"/>
              </w:rPr>
            </w:pPr>
            <w:r w:rsidRPr="00F5723F">
              <w:rPr>
                <w:snapToGrid w:val="0"/>
              </w:rPr>
              <w:t>24</w:t>
            </w:r>
          </w:p>
        </w:tc>
        <w:tc>
          <w:tcPr>
            <w:tcW w:w="505" w:type="dxa"/>
          </w:tcPr>
          <w:p w:rsidR="00B43C57" w:rsidRPr="00F5723F" w:rsidRDefault="00B43C57">
            <w:pPr>
              <w:pStyle w:val="Tabelltextsiffror"/>
              <w:jc w:val="center"/>
              <w:rPr>
                <w:snapToGrid w:val="0"/>
              </w:rPr>
            </w:pPr>
            <w:r w:rsidRPr="00F5723F">
              <w:rPr>
                <w:snapToGrid w:val="0"/>
              </w:rPr>
              <w:t>16</w:t>
            </w:r>
          </w:p>
        </w:tc>
        <w:tc>
          <w:tcPr>
            <w:tcW w:w="505" w:type="dxa"/>
          </w:tcPr>
          <w:p w:rsidR="00B43C57" w:rsidRPr="00F5723F" w:rsidRDefault="00B43C57">
            <w:pPr>
              <w:pStyle w:val="Tabelltextsiffror"/>
              <w:jc w:val="center"/>
              <w:rPr>
                <w:snapToGrid w:val="0"/>
              </w:rPr>
            </w:pPr>
            <w:r w:rsidRPr="00F5723F">
              <w:rPr>
                <w:snapToGrid w:val="0"/>
              </w:rPr>
              <w:t>12</w:t>
            </w:r>
          </w:p>
        </w:tc>
        <w:tc>
          <w:tcPr>
            <w:tcW w:w="505" w:type="dxa"/>
          </w:tcPr>
          <w:p w:rsidR="00B43C57" w:rsidRPr="00F5723F" w:rsidRDefault="00B43C57">
            <w:pPr>
              <w:pStyle w:val="Tabelltextsiffror"/>
              <w:jc w:val="center"/>
              <w:rPr>
                <w:snapToGrid w:val="0"/>
              </w:rPr>
            </w:pPr>
            <w:r w:rsidRPr="00F5723F">
              <w:rPr>
                <w:snapToGrid w:val="0"/>
              </w:rPr>
              <w:t>19</w:t>
            </w:r>
          </w:p>
        </w:tc>
        <w:tc>
          <w:tcPr>
            <w:tcW w:w="631" w:type="dxa"/>
          </w:tcPr>
          <w:p w:rsidR="00B43C57" w:rsidRPr="00F5723F" w:rsidRDefault="00B43C57">
            <w:pPr>
              <w:pStyle w:val="Tabelltextsiffror"/>
              <w:jc w:val="center"/>
              <w:rPr>
                <w:snapToGrid w:val="0"/>
              </w:rPr>
            </w:pPr>
            <w:r w:rsidRPr="00F5723F">
              <w:rPr>
                <w:snapToGrid w:val="0"/>
              </w:rPr>
              <w:t>11</w:t>
            </w:r>
          </w:p>
        </w:tc>
        <w:tc>
          <w:tcPr>
            <w:tcW w:w="632" w:type="dxa"/>
          </w:tcPr>
          <w:p w:rsidR="00B43C57" w:rsidRPr="00F5723F" w:rsidRDefault="00B43C57">
            <w:pPr>
              <w:pStyle w:val="Tabelltextsiffror"/>
              <w:jc w:val="center"/>
              <w:rPr>
                <w:snapToGrid w:val="0"/>
              </w:rPr>
            </w:pPr>
            <w:r w:rsidRPr="00F5723F">
              <w:rPr>
                <w:snapToGrid w:val="0"/>
              </w:rPr>
              <w:t>3</w:t>
            </w:r>
          </w:p>
        </w:tc>
        <w:tc>
          <w:tcPr>
            <w:tcW w:w="632" w:type="dxa"/>
          </w:tcPr>
          <w:p w:rsidR="00B43C57" w:rsidRPr="00F5723F" w:rsidRDefault="00B43C57">
            <w:pPr>
              <w:pStyle w:val="Tabelltextsiffror"/>
              <w:jc w:val="center"/>
              <w:rPr>
                <w:snapToGrid w:val="0"/>
              </w:rPr>
            </w:pPr>
            <w:r w:rsidRPr="00F5723F">
              <w:rPr>
                <w:snapToGrid w:val="0"/>
              </w:rPr>
              <w:t>3</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KrU</w:t>
            </w:r>
          </w:p>
        </w:tc>
        <w:tc>
          <w:tcPr>
            <w:tcW w:w="631" w:type="dxa"/>
          </w:tcPr>
          <w:p w:rsidR="00B43C57" w:rsidRPr="00F5723F" w:rsidRDefault="00B43C57">
            <w:pPr>
              <w:pStyle w:val="Tabelltextsiffror"/>
              <w:jc w:val="center"/>
              <w:rPr>
                <w:snapToGrid w:val="0"/>
              </w:rPr>
            </w:pPr>
            <w:r w:rsidRPr="00F5723F">
              <w:rPr>
                <w:snapToGrid w:val="0"/>
              </w:rPr>
              <w:t>20</w:t>
            </w:r>
          </w:p>
        </w:tc>
        <w:tc>
          <w:tcPr>
            <w:tcW w:w="379" w:type="dxa"/>
          </w:tcPr>
          <w:p w:rsidR="00B43C57" w:rsidRPr="00F5723F" w:rsidRDefault="00B43C57">
            <w:pPr>
              <w:pStyle w:val="Tabelltextsiffror"/>
              <w:jc w:val="center"/>
              <w:rPr>
                <w:snapToGrid w:val="0"/>
              </w:rPr>
            </w:pPr>
            <w:r w:rsidRPr="00F5723F">
              <w:rPr>
                <w:snapToGrid w:val="0"/>
              </w:rPr>
              <w:t>5</w:t>
            </w:r>
          </w:p>
        </w:tc>
        <w:tc>
          <w:tcPr>
            <w:tcW w:w="379" w:type="dxa"/>
          </w:tcPr>
          <w:p w:rsidR="00B43C57" w:rsidRPr="00F5723F" w:rsidRDefault="00B43C57">
            <w:pPr>
              <w:pStyle w:val="Tabelltextsiffror"/>
              <w:jc w:val="center"/>
              <w:rPr>
                <w:snapToGrid w:val="0"/>
              </w:rPr>
            </w:pPr>
            <w:r w:rsidRPr="00F5723F">
              <w:rPr>
                <w:snapToGrid w:val="0"/>
              </w:rPr>
              <w:t>22</w:t>
            </w:r>
          </w:p>
        </w:tc>
        <w:tc>
          <w:tcPr>
            <w:tcW w:w="632" w:type="dxa"/>
          </w:tcPr>
          <w:p w:rsidR="00B43C57" w:rsidRPr="00F5723F" w:rsidRDefault="00B43C57">
            <w:pPr>
              <w:pStyle w:val="Tabelltextsiffror"/>
              <w:jc w:val="center"/>
              <w:rPr>
                <w:snapToGrid w:val="0"/>
              </w:rPr>
            </w:pPr>
            <w:r w:rsidRPr="00F5723F">
              <w:rPr>
                <w:snapToGrid w:val="0"/>
              </w:rPr>
              <w:t>23</w:t>
            </w:r>
          </w:p>
        </w:tc>
        <w:tc>
          <w:tcPr>
            <w:tcW w:w="505" w:type="dxa"/>
          </w:tcPr>
          <w:p w:rsidR="00B43C57" w:rsidRPr="00F5723F" w:rsidRDefault="00B43C57">
            <w:pPr>
              <w:pStyle w:val="Tabelltextsiffror"/>
              <w:jc w:val="center"/>
              <w:rPr>
                <w:snapToGrid w:val="0"/>
              </w:rPr>
            </w:pPr>
            <w:r w:rsidRPr="00F5723F">
              <w:rPr>
                <w:snapToGrid w:val="0"/>
              </w:rPr>
              <w:t>12</w:t>
            </w:r>
          </w:p>
        </w:tc>
        <w:tc>
          <w:tcPr>
            <w:tcW w:w="505" w:type="dxa"/>
          </w:tcPr>
          <w:p w:rsidR="00B43C57" w:rsidRPr="00F5723F" w:rsidRDefault="00B43C57">
            <w:pPr>
              <w:pStyle w:val="Tabelltextsiffror"/>
              <w:jc w:val="center"/>
              <w:rPr>
                <w:snapToGrid w:val="0"/>
              </w:rPr>
            </w:pPr>
            <w:r w:rsidRPr="00F5723F">
              <w:rPr>
                <w:snapToGrid w:val="0"/>
              </w:rPr>
              <w:t>14</w:t>
            </w:r>
          </w:p>
        </w:tc>
        <w:tc>
          <w:tcPr>
            <w:tcW w:w="505" w:type="dxa"/>
          </w:tcPr>
          <w:p w:rsidR="00B43C57" w:rsidRPr="00F5723F" w:rsidRDefault="00B43C57">
            <w:pPr>
              <w:pStyle w:val="Tabelltextsiffror"/>
              <w:jc w:val="center"/>
              <w:rPr>
                <w:snapToGrid w:val="0"/>
              </w:rPr>
            </w:pPr>
            <w:r w:rsidRPr="00F5723F">
              <w:rPr>
                <w:snapToGrid w:val="0"/>
              </w:rPr>
              <w:t>17</w:t>
            </w:r>
          </w:p>
        </w:tc>
        <w:tc>
          <w:tcPr>
            <w:tcW w:w="631" w:type="dxa"/>
          </w:tcPr>
          <w:p w:rsidR="00B43C57" w:rsidRPr="00F5723F" w:rsidRDefault="00B43C57">
            <w:pPr>
              <w:pStyle w:val="Tabelltextsiffror"/>
              <w:jc w:val="center"/>
              <w:rPr>
                <w:snapToGrid w:val="0"/>
              </w:rPr>
            </w:pPr>
            <w:r w:rsidRPr="00F5723F">
              <w:rPr>
                <w:snapToGrid w:val="0"/>
              </w:rPr>
              <w:t>11</w:t>
            </w:r>
          </w:p>
        </w:tc>
        <w:tc>
          <w:tcPr>
            <w:tcW w:w="632" w:type="dxa"/>
          </w:tcPr>
          <w:p w:rsidR="00B43C57" w:rsidRPr="00F5723F" w:rsidRDefault="00B43C57">
            <w:pPr>
              <w:pStyle w:val="Tabelltextsiffror"/>
              <w:jc w:val="center"/>
              <w:rPr>
                <w:snapToGrid w:val="0"/>
              </w:rPr>
            </w:pPr>
            <w:r w:rsidRPr="00F5723F">
              <w:rPr>
                <w:snapToGrid w:val="0"/>
              </w:rPr>
              <w:t>0</w:t>
            </w:r>
          </w:p>
        </w:tc>
        <w:tc>
          <w:tcPr>
            <w:tcW w:w="632" w:type="dxa"/>
          </w:tcPr>
          <w:p w:rsidR="00B43C57" w:rsidRPr="00F5723F" w:rsidRDefault="00B43C57">
            <w:pPr>
              <w:pStyle w:val="Tabelltextsiffror"/>
              <w:jc w:val="center"/>
              <w:rPr>
                <w:snapToGrid w:val="0"/>
              </w:rPr>
            </w:pPr>
            <w:r w:rsidRPr="00F5723F">
              <w:rPr>
                <w:snapToGrid w:val="0"/>
              </w:rPr>
              <w:t>4</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UbU</w:t>
            </w:r>
          </w:p>
        </w:tc>
        <w:tc>
          <w:tcPr>
            <w:tcW w:w="631" w:type="dxa"/>
          </w:tcPr>
          <w:p w:rsidR="00B43C57" w:rsidRPr="00F5723F" w:rsidRDefault="00B43C57">
            <w:pPr>
              <w:pStyle w:val="Tabelltextsiffror"/>
              <w:jc w:val="center"/>
              <w:rPr>
                <w:snapToGrid w:val="0"/>
              </w:rPr>
            </w:pPr>
            <w:r w:rsidRPr="00F5723F">
              <w:rPr>
                <w:snapToGrid w:val="0"/>
              </w:rPr>
              <w:t>11</w:t>
            </w:r>
          </w:p>
        </w:tc>
        <w:tc>
          <w:tcPr>
            <w:tcW w:w="379" w:type="dxa"/>
          </w:tcPr>
          <w:p w:rsidR="00B43C57" w:rsidRPr="00F5723F" w:rsidRDefault="00B43C57">
            <w:pPr>
              <w:pStyle w:val="Tabelltextsiffror"/>
              <w:jc w:val="center"/>
              <w:rPr>
                <w:snapToGrid w:val="0"/>
              </w:rPr>
            </w:pPr>
            <w:r w:rsidRPr="00F5723F">
              <w:rPr>
                <w:snapToGrid w:val="0"/>
              </w:rPr>
              <w:t>3</w:t>
            </w:r>
          </w:p>
        </w:tc>
        <w:tc>
          <w:tcPr>
            <w:tcW w:w="379" w:type="dxa"/>
          </w:tcPr>
          <w:p w:rsidR="00B43C57" w:rsidRPr="00F5723F" w:rsidRDefault="00B43C57">
            <w:pPr>
              <w:pStyle w:val="Tabelltextsiffror"/>
              <w:jc w:val="center"/>
              <w:rPr>
                <w:snapToGrid w:val="0"/>
              </w:rPr>
            </w:pPr>
            <w:r w:rsidRPr="00F5723F">
              <w:rPr>
                <w:snapToGrid w:val="0"/>
              </w:rPr>
              <w:t>29</w:t>
            </w:r>
          </w:p>
        </w:tc>
        <w:tc>
          <w:tcPr>
            <w:tcW w:w="632" w:type="dxa"/>
          </w:tcPr>
          <w:p w:rsidR="00B43C57" w:rsidRPr="00F5723F" w:rsidRDefault="00B43C57">
            <w:pPr>
              <w:pStyle w:val="Tabelltextsiffror"/>
              <w:jc w:val="center"/>
              <w:rPr>
                <w:snapToGrid w:val="0"/>
              </w:rPr>
            </w:pPr>
            <w:r w:rsidRPr="00F5723F">
              <w:rPr>
                <w:snapToGrid w:val="0"/>
              </w:rPr>
              <w:t>33</w:t>
            </w:r>
          </w:p>
        </w:tc>
        <w:tc>
          <w:tcPr>
            <w:tcW w:w="505" w:type="dxa"/>
          </w:tcPr>
          <w:p w:rsidR="00B43C57" w:rsidRPr="00F5723F" w:rsidRDefault="00B43C57">
            <w:pPr>
              <w:pStyle w:val="Tabelltextsiffror"/>
              <w:jc w:val="center"/>
              <w:rPr>
                <w:snapToGrid w:val="0"/>
              </w:rPr>
            </w:pPr>
            <w:r w:rsidRPr="00F5723F">
              <w:rPr>
                <w:snapToGrid w:val="0"/>
              </w:rPr>
              <w:t>33</w:t>
            </w:r>
          </w:p>
        </w:tc>
        <w:tc>
          <w:tcPr>
            <w:tcW w:w="505" w:type="dxa"/>
          </w:tcPr>
          <w:p w:rsidR="00B43C57" w:rsidRPr="00F5723F" w:rsidRDefault="00B43C57">
            <w:pPr>
              <w:pStyle w:val="Tabelltextsiffror"/>
              <w:jc w:val="center"/>
              <w:rPr>
                <w:snapToGrid w:val="0"/>
              </w:rPr>
            </w:pPr>
            <w:r w:rsidRPr="00F5723F">
              <w:rPr>
                <w:snapToGrid w:val="0"/>
              </w:rPr>
              <w:t>20</w:t>
            </w:r>
          </w:p>
        </w:tc>
        <w:tc>
          <w:tcPr>
            <w:tcW w:w="505" w:type="dxa"/>
          </w:tcPr>
          <w:p w:rsidR="00B43C57" w:rsidRPr="00F5723F" w:rsidRDefault="00B43C57">
            <w:pPr>
              <w:pStyle w:val="Tabelltextsiffror"/>
              <w:jc w:val="center"/>
              <w:rPr>
                <w:snapToGrid w:val="0"/>
              </w:rPr>
            </w:pPr>
            <w:r w:rsidRPr="00F5723F">
              <w:rPr>
                <w:snapToGrid w:val="0"/>
              </w:rPr>
              <w:t>11</w:t>
            </w:r>
          </w:p>
        </w:tc>
        <w:tc>
          <w:tcPr>
            <w:tcW w:w="631" w:type="dxa"/>
          </w:tcPr>
          <w:p w:rsidR="00B43C57" w:rsidRPr="00F5723F" w:rsidRDefault="00B43C57">
            <w:pPr>
              <w:pStyle w:val="Tabelltextsiffror"/>
              <w:jc w:val="center"/>
              <w:rPr>
                <w:snapToGrid w:val="0"/>
              </w:rPr>
            </w:pPr>
            <w:r w:rsidRPr="00F5723F">
              <w:rPr>
                <w:snapToGrid w:val="0"/>
              </w:rPr>
              <w:t>15</w:t>
            </w:r>
          </w:p>
        </w:tc>
        <w:tc>
          <w:tcPr>
            <w:tcW w:w="632" w:type="dxa"/>
          </w:tcPr>
          <w:p w:rsidR="00B43C57" w:rsidRPr="00F5723F" w:rsidRDefault="00B43C57">
            <w:pPr>
              <w:pStyle w:val="Tabelltextsiffror"/>
              <w:jc w:val="center"/>
              <w:rPr>
                <w:snapToGrid w:val="0"/>
              </w:rPr>
            </w:pPr>
            <w:r w:rsidRPr="00F5723F">
              <w:rPr>
                <w:snapToGrid w:val="0"/>
              </w:rPr>
              <w:t>0</w:t>
            </w:r>
          </w:p>
        </w:tc>
        <w:tc>
          <w:tcPr>
            <w:tcW w:w="632" w:type="dxa"/>
          </w:tcPr>
          <w:p w:rsidR="00B43C57" w:rsidRPr="00F5723F" w:rsidRDefault="00B43C57">
            <w:pPr>
              <w:pStyle w:val="Tabelltextsiffror"/>
              <w:jc w:val="center"/>
              <w:rPr>
                <w:snapToGrid w:val="0"/>
              </w:rPr>
            </w:pPr>
            <w:r w:rsidRPr="00F5723F">
              <w:rPr>
                <w:snapToGrid w:val="0"/>
              </w:rPr>
              <w:t>4</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TU</w:t>
            </w:r>
          </w:p>
        </w:tc>
        <w:tc>
          <w:tcPr>
            <w:tcW w:w="631" w:type="dxa"/>
          </w:tcPr>
          <w:p w:rsidR="00B43C57" w:rsidRPr="00F5723F" w:rsidRDefault="00B43C57">
            <w:pPr>
              <w:pStyle w:val="Tabelltextsiffror"/>
              <w:jc w:val="center"/>
              <w:rPr>
                <w:snapToGrid w:val="0"/>
              </w:rPr>
            </w:pPr>
            <w:r w:rsidRPr="00F5723F">
              <w:rPr>
                <w:snapToGrid w:val="0"/>
              </w:rPr>
              <w:t>18</w:t>
            </w:r>
          </w:p>
        </w:tc>
        <w:tc>
          <w:tcPr>
            <w:tcW w:w="379" w:type="dxa"/>
          </w:tcPr>
          <w:p w:rsidR="00B43C57" w:rsidRPr="00F5723F" w:rsidRDefault="00B43C57">
            <w:pPr>
              <w:pStyle w:val="Tabelltextsiffror"/>
              <w:jc w:val="center"/>
              <w:rPr>
                <w:snapToGrid w:val="0"/>
              </w:rPr>
            </w:pPr>
            <w:r w:rsidRPr="00F5723F">
              <w:rPr>
                <w:snapToGrid w:val="0"/>
              </w:rPr>
              <w:t>12</w:t>
            </w:r>
          </w:p>
        </w:tc>
        <w:tc>
          <w:tcPr>
            <w:tcW w:w="379" w:type="dxa"/>
          </w:tcPr>
          <w:p w:rsidR="00B43C57" w:rsidRPr="00F5723F" w:rsidRDefault="00B43C57">
            <w:pPr>
              <w:pStyle w:val="Tabelltextsiffror"/>
              <w:jc w:val="center"/>
              <w:rPr>
                <w:snapToGrid w:val="0"/>
              </w:rPr>
            </w:pPr>
            <w:r w:rsidRPr="00F5723F">
              <w:rPr>
                <w:snapToGrid w:val="0"/>
              </w:rPr>
              <w:t>27</w:t>
            </w:r>
          </w:p>
        </w:tc>
        <w:tc>
          <w:tcPr>
            <w:tcW w:w="632" w:type="dxa"/>
          </w:tcPr>
          <w:p w:rsidR="00B43C57" w:rsidRPr="00F5723F" w:rsidRDefault="00B43C57">
            <w:pPr>
              <w:pStyle w:val="Tabelltextsiffror"/>
              <w:jc w:val="center"/>
              <w:rPr>
                <w:snapToGrid w:val="0"/>
              </w:rPr>
            </w:pPr>
            <w:r w:rsidRPr="00F5723F">
              <w:rPr>
                <w:snapToGrid w:val="0"/>
              </w:rPr>
              <w:t>21</w:t>
            </w:r>
          </w:p>
        </w:tc>
        <w:tc>
          <w:tcPr>
            <w:tcW w:w="505" w:type="dxa"/>
          </w:tcPr>
          <w:p w:rsidR="00B43C57" w:rsidRPr="00F5723F" w:rsidRDefault="00B43C57">
            <w:pPr>
              <w:pStyle w:val="Tabelltextsiffror"/>
              <w:jc w:val="center"/>
              <w:rPr>
                <w:snapToGrid w:val="0"/>
              </w:rPr>
            </w:pPr>
            <w:r w:rsidRPr="00F5723F">
              <w:rPr>
                <w:snapToGrid w:val="0"/>
              </w:rPr>
              <w:t>5</w:t>
            </w:r>
          </w:p>
        </w:tc>
        <w:tc>
          <w:tcPr>
            <w:tcW w:w="505" w:type="dxa"/>
          </w:tcPr>
          <w:p w:rsidR="00B43C57" w:rsidRPr="00F5723F" w:rsidRDefault="00B43C57">
            <w:pPr>
              <w:pStyle w:val="Tabelltextsiffror"/>
              <w:jc w:val="center"/>
              <w:rPr>
                <w:snapToGrid w:val="0"/>
              </w:rPr>
            </w:pPr>
            <w:r w:rsidRPr="00F5723F">
              <w:rPr>
                <w:snapToGrid w:val="0"/>
              </w:rPr>
              <w:t>11</w:t>
            </w:r>
          </w:p>
        </w:tc>
        <w:tc>
          <w:tcPr>
            <w:tcW w:w="505" w:type="dxa"/>
          </w:tcPr>
          <w:p w:rsidR="00B43C57" w:rsidRPr="00F5723F" w:rsidRDefault="00B43C57">
            <w:pPr>
              <w:pStyle w:val="Tabelltextsiffror"/>
              <w:jc w:val="center"/>
              <w:rPr>
                <w:snapToGrid w:val="0"/>
              </w:rPr>
            </w:pPr>
            <w:r w:rsidRPr="00F5723F">
              <w:rPr>
                <w:snapToGrid w:val="0"/>
              </w:rPr>
              <w:t>31</w:t>
            </w:r>
          </w:p>
        </w:tc>
        <w:tc>
          <w:tcPr>
            <w:tcW w:w="631" w:type="dxa"/>
          </w:tcPr>
          <w:p w:rsidR="00B43C57" w:rsidRPr="00F5723F" w:rsidRDefault="00B43C57">
            <w:pPr>
              <w:pStyle w:val="Tabelltextsiffror"/>
              <w:jc w:val="center"/>
              <w:rPr>
                <w:snapToGrid w:val="0"/>
              </w:rPr>
            </w:pPr>
            <w:r w:rsidRPr="00F5723F">
              <w:rPr>
                <w:snapToGrid w:val="0"/>
              </w:rPr>
              <w:t>14</w:t>
            </w:r>
          </w:p>
        </w:tc>
        <w:tc>
          <w:tcPr>
            <w:tcW w:w="632" w:type="dxa"/>
          </w:tcPr>
          <w:p w:rsidR="00B43C57" w:rsidRPr="00F5723F" w:rsidRDefault="00B43C57">
            <w:pPr>
              <w:pStyle w:val="Tabelltextsiffror"/>
              <w:jc w:val="center"/>
              <w:rPr>
                <w:snapToGrid w:val="0"/>
              </w:rPr>
            </w:pPr>
            <w:r w:rsidRPr="00F5723F">
              <w:rPr>
                <w:snapToGrid w:val="0"/>
              </w:rPr>
              <w:t>20</w:t>
            </w:r>
          </w:p>
        </w:tc>
        <w:tc>
          <w:tcPr>
            <w:tcW w:w="632" w:type="dxa"/>
          </w:tcPr>
          <w:p w:rsidR="00B43C57" w:rsidRPr="00F5723F" w:rsidRDefault="00B43C57">
            <w:pPr>
              <w:pStyle w:val="Tabelltextsiffror"/>
              <w:jc w:val="center"/>
              <w:rPr>
                <w:snapToGrid w:val="0"/>
              </w:rPr>
            </w:pPr>
            <w:r w:rsidRPr="00F5723F">
              <w:rPr>
                <w:snapToGrid w:val="0"/>
              </w:rPr>
              <w:t>13</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MJU</w:t>
            </w:r>
          </w:p>
        </w:tc>
        <w:tc>
          <w:tcPr>
            <w:tcW w:w="631" w:type="dxa"/>
          </w:tcPr>
          <w:p w:rsidR="00B43C57" w:rsidRPr="00F5723F" w:rsidRDefault="00B43C57">
            <w:pPr>
              <w:pStyle w:val="Tabelltextsiffror"/>
              <w:jc w:val="center"/>
              <w:rPr>
                <w:snapToGrid w:val="0"/>
              </w:rPr>
            </w:pPr>
            <w:r w:rsidRPr="00F5723F">
              <w:rPr>
                <w:snapToGrid w:val="0"/>
              </w:rPr>
              <w:t>14</w:t>
            </w:r>
          </w:p>
        </w:tc>
        <w:tc>
          <w:tcPr>
            <w:tcW w:w="379" w:type="dxa"/>
          </w:tcPr>
          <w:p w:rsidR="00B43C57" w:rsidRPr="00F5723F" w:rsidRDefault="00B43C57">
            <w:pPr>
              <w:pStyle w:val="Tabelltextsiffror"/>
              <w:jc w:val="center"/>
              <w:rPr>
                <w:snapToGrid w:val="0"/>
              </w:rPr>
            </w:pPr>
            <w:r w:rsidRPr="00F5723F">
              <w:rPr>
                <w:snapToGrid w:val="0"/>
              </w:rPr>
              <w:t>13</w:t>
            </w:r>
          </w:p>
        </w:tc>
        <w:tc>
          <w:tcPr>
            <w:tcW w:w="379" w:type="dxa"/>
          </w:tcPr>
          <w:p w:rsidR="00B43C57" w:rsidRPr="00F5723F" w:rsidRDefault="00B43C57">
            <w:pPr>
              <w:pStyle w:val="Tabelltextsiffror"/>
              <w:jc w:val="center"/>
              <w:rPr>
                <w:snapToGrid w:val="0"/>
              </w:rPr>
            </w:pPr>
            <w:r w:rsidRPr="00F5723F">
              <w:rPr>
                <w:snapToGrid w:val="0"/>
              </w:rPr>
              <w:t>19</w:t>
            </w:r>
          </w:p>
        </w:tc>
        <w:tc>
          <w:tcPr>
            <w:tcW w:w="632" w:type="dxa"/>
          </w:tcPr>
          <w:p w:rsidR="00B43C57" w:rsidRPr="00F5723F" w:rsidRDefault="00B43C57">
            <w:pPr>
              <w:pStyle w:val="Tabelltextsiffror"/>
              <w:jc w:val="center"/>
              <w:rPr>
                <w:snapToGrid w:val="0"/>
              </w:rPr>
            </w:pPr>
            <w:r w:rsidRPr="00F5723F">
              <w:rPr>
                <w:snapToGrid w:val="0"/>
              </w:rPr>
              <w:t>19</w:t>
            </w:r>
          </w:p>
        </w:tc>
        <w:tc>
          <w:tcPr>
            <w:tcW w:w="505" w:type="dxa"/>
          </w:tcPr>
          <w:p w:rsidR="00B43C57" w:rsidRPr="00F5723F" w:rsidRDefault="00B43C57">
            <w:pPr>
              <w:pStyle w:val="Tabelltextsiffror"/>
              <w:jc w:val="center"/>
              <w:rPr>
                <w:snapToGrid w:val="0"/>
              </w:rPr>
            </w:pPr>
            <w:r w:rsidRPr="00F5723F">
              <w:rPr>
                <w:snapToGrid w:val="0"/>
              </w:rPr>
              <w:t>14</w:t>
            </w:r>
          </w:p>
        </w:tc>
        <w:tc>
          <w:tcPr>
            <w:tcW w:w="505" w:type="dxa"/>
          </w:tcPr>
          <w:p w:rsidR="00B43C57" w:rsidRPr="00F5723F" w:rsidRDefault="00B43C57">
            <w:pPr>
              <w:pStyle w:val="Tabelltextsiffror"/>
              <w:jc w:val="center"/>
              <w:rPr>
                <w:snapToGrid w:val="0"/>
              </w:rPr>
            </w:pPr>
            <w:r w:rsidRPr="00F5723F">
              <w:rPr>
                <w:snapToGrid w:val="0"/>
              </w:rPr>
              <w:t>17</w:t>
            </w:r>
          </w:p>
        </w:tc>
        <w:tc>
          <w:tcPr>
            <w:tcW w:w="505" w:type="dxa"/>
          </w:tcPr>
          <w:p w:rsidR="00B43C57" w:rsidRPr="00F5723F" w:rsidRDefault="00B43C57">
            <w:pPr>
              <w:pStyle w:val="Tabelltextsiffror"/>
              <w:jc w:val="center"/>
              <w:rPr>
                <w:snapToGrid w:val="0"/>
              </w:rPr>
            </w:pPr>
            <w:r w:rsidRPr="00F5723F">
              <w:rPr>
                <w:snapToGrid w:val="0"/>
              </w:rPr>
              <w:t>13</w:t>
            </w:r>
          </w:p>
        </w:tc>
        <w:tc>
          <w:tcPr>
            <w:tcW w:w="631" w:type="dxa"/>
          </w:tcPr>
          <w:p w:rsidR="00B43C57" w:rsidRPr="00F5723F" w:rsidRDefault="00B43C57">
            <w:pPr>
              <w:pStyle w:val="Tabelltextsiffror"/>
              <w:jc w:val="center"/>
              <w:rPr>
                <w:snapToGrid w:val="0"/>
              </w:rPr>
            </w:pPr>
            <w:r w:rsidRPr="00F5723F">
              <w:rPr>
                <w:snapToGrid w:val="0"/>
              </w:rPr>
              <w:t>11</w:t>
            </w:r>
          </w:p>
        </w:tc>
        <w:tc>
          <w:tcPr>
            <w:tcW w:w="632" w:type="dxa"/>
          </w:tcPr>
          <w:p w:rsidR="00B43C57" w:rsidRPr="00F5723F" w:rsidRDefault="00B43C57">
            <w:pPr>
              <w:pStyle w:val="Tabelltextsiffror"/>
              <w:jc w:val="center"/>
              <w:rPr>
                <w:snapToGrid w:val="0"/>
              </w:rPr>
            </w:pPr>
            <w:r w:rsidRPr="00F5723F">
              <w:rPr>
                <w:snapToGrid w:val="0"/>
              </w:rPr>
              <w:t>25</w:t>
            </w:r>
          </w:p>
        </w:tc>
        <w:tc>
          <w:tcPr>
            <w:tcW w:w="632" w:type="dxa"/>
          </w:tcPr>
          <w:p w:rsidR="00B43C57" w:rsidRPr="00F5723F" w:rsidRDefault="00B43C57">
            <w:pPr>
              <w:pStyle w:val="Tabelltextsiffror"/>
              <w:jc w:val="center"/>
              <w:rPr>
                <w:snapToGrid w:val="0"/>
              </w:rPr>
            </w:pPr>
            <w:r w:rsidRPr="00F5723F">
              <w:rPr>
                <w:snapToGrid w:val="0"/>
              </w:rPr>
              <w:t>25</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NU</w:t>
            </w:r>
          </w:p>
        </w:tc>
        <w:tc>
          <w:tcPr>
            <w:tcW w:w="631" w:type="dxa"/>
          </w:tcPr>
          <w:p w:rsidR="00B43C57" w:rsidRPr="00F5723F" w:rsidRDefault="00B43C57">
            <w:pPr>
              <w:pStyle w:val="Tabelltextsiffror"/>
              <w:jc w:val="center"/>
              <w:rPr>
                <w:snapToGrid w:val="0"/>
              </w:rPr>
            </w:pPr>
            <w:r w:rsidRPr="00F5723F">
              <w:rPr>
                <w:snapToGrid w:val="0"/>
              </w:rPr>
              <w:t>17</w:t>
            </w:r>
          </w:p>
        </w:tc>
        <w:tc>
          <w:tcPr>
            <w:tcW w:w="379" w:type="dxa"/>
          </w:tcPr>
          <w:p w:rsidR="00B43C57" w:rsidRPr="00F5723F" w:rsidRDefault="00B43C57">
            <w:pPr>
              <w:pStyle w:val="Tabelltextsiffror"/>
              <w:jc w:val="center"/>
              <w:rPr>
                <w:snapToGrid w:val="0"/>
              </w:rPr>
            </w:pPr>
            <w:r w:rsidRPr="00F5723F">
              <w:rPr>
                <w:snapToGrid w:val="0"/>
              </w:rPr>
              <w:t>15</w:t>
            </w:r>
          </w:p>
        </w:tc>
        <w:tc>
          <w:tcPr>
            <w:tcW w:w="379" w:type="dxa"/>
          </w:tcPr>
          <w:p w:rsidR="00B43C57" w:rsidRPr="00F5723F" w:rsidRDefault="00B43C57">
            <w:pPr>
              <w:pStyle w:val="Tabelltextsiffror"/>
              <w:jc w:val="center"/>
              <w:rPr>
                <w:snapToGrid w:val="0"/>
              </w:rPr>
            </w:pPr>
            <w:r w:rsidRPr="00F5723F">
              <w:rPr>
                <w:snapToGrid w:val="0"/>
              </w:rPr>
              <w:t>18</w:t>
            </w:r>
          </w:p>
        </w:tc>
        <w:tc>
          <w:tcPr>
            <w:tcW w:w="632" w:type="dxa"/>
          </w:tcPr>
          <w:p w:rsidR="00B43C57" w:rsidRPr="00F5723F" w:rsidRDefault="00B43C57">
            <w:pPr>
              <w:pStyle w:val="Tabelltextsiffror"/>
              <w:jc w:val="center"/>
              <w:rPr>
                <w:snapToGrid w:val="0"/>
              </w:rPr>
            </w:pPr>
            <w:r w:rsidRPr="00F5723F">
              <w:rPr>
                <w:snapToGrid w:val="0"/>
              </w:rPr>
              <w:t>16</w:t>
            </w:r>
          </w:p>
        </w:tc>
        <w:tc>
          <w:tcPr>
            <w:tcW w:w="505" w:type="dxa"/>
          </w:tcPr>
          <w:p w:rsidR="00B43C57" w:rsidRPr="00F5723F" w:rsidRDefault="00B43C57">
            <w:pPr>
              <w:pStyle w:val="Tabelltextsiffror"/>
              <w:jc w:val="center"/>
              <w:rPr>
                <w:snapToGrid w:val="0"/>
              </w:rPr>
            </w:pPr>
            <w:r w:rsidRPr="00F5723F">
              <w:rPr>
                <w:snapToGrid w:val="0"/>
              </w:rPr>
              <w:t>7</w:t>
            </w:r>
          </w:p>
        </w:tc>
        <w:tc>
          <w:tcPr>
            <w:tcW w:w="505" w:type="dxa"/>
          </w:tcPr>
          <w:p w:rsidR="00B43C57" w:rsidRPr="00F5723F" w:rsidRDefault="00B43C57">
            <w:pPr>
              <w:pStyle w:val="Tabelltextsiffror"/>
              <w:jc w:val="center"/>
              <w:rPr>
                <w:snapToGrid w:val="0"/>
              </w:rPr>
            </w:pPr>
            <w:r w:rsidRPr="00F5723F">
              <w:rPr>
                <w:snapToGrid w:val="0"/>
              </w:rPr>
              <w:t>16</w:t>
            </w:r>
          </w:p>
        </w:tc>
        <w:tc>
          <w:tcPr>
            <w:tcW w:w="505" w:type="dxa"/>
          </w:tcPr>
          <w:p w:rsidR="00B43C57" w:rsidRPr="00F5723F" w:rsidRDefault="00B43C57">
            <w:pPr>
              <w:pStyle w:val="Tabelltextsiffror"/>
              <w:jc w:val="center"/>
              <w:rPr>
                <w:snapToGrid w:val="0"/>
              </w:rPr>
            </w:pPr>
            <w:r w:rsidRPr="00F5723F">
              <w:rPr>
                <w:snapToGrid w:val="0"/>
              </w:rPr>
              <w:t>8</w:t>
            </w:r>
          </w:p>
        </w:tc>
        <w:tc>
          <w:tcPr>
            <w:tcW w:w="631" w:type="dxa"/>
          </w:tcPr>
          <w:p w:rsidR="00B43C57" w:rsidRPr="00F5723F" w:rsidRDefault="00B43C57">
            <w:pPr>
              <w:pStyle w:val="Tabelltextsiffror"/>
              <w:jc w:val="center"/>
              <w:rPr>
                <w:snapToGrid w:val="0"/>
              </w:rPr>
            </w:pPr>
            <w:r w:rsidRPr="00F5723F">
              <w:rPr>
                <w:snapToGrid w:val="0"/>
              </w:rPr>
              <w:t>14</w:t>
            </w:r>
          </w:p>
        </w:tc>
        <w:tc>
          <w:tcPr>
            <w:tcW w:w="632" w:type="dxa"/>
          </w:tcPr>
          <w:p w:rsidR="00B43C57" w:rsidRPr="00F5723F" w:rsidRDefault="00B43C57">
            <w:pPr>
              <w:pStyle w:val="Tabelltextsiffror"/>
              <w:jc w:val="center"/>
              <w:rPr>
                <w:snapToGrid w:val="0"/>
              </w:rPr>
            </w:pPr>
            <w:r w:rsidRPr="00F5723F">
              <w:rPr>
                <w:snapToGrid w:val="0"/>
              </w:rPr>
              <w:t>27</w:t>
            </w:r>
          </w:p>
        </w:tc>
        <w:tc>
          <w:tcPr>
            <w:tcW w:w="632" w:type="dxa"/>
          </w:tcPr>
          <w:p w:rsidR="00B43C57" w:rsidRPr="00F5723F" w:rsidRDefault="00B43C57">
            <w:pPr>
              <w:pStyle w:val="Tabelltextsiffror"/>
              <w:jc w:val="center"/>
              <w:rPr>
                <w:snapToGrid w:val="0"/>
              </w:rPr>
            </w:pPr>
            <w:r w:rsidRPr="00F5723F">
              <w:rPr>
                <w:snapToGrid w:val="0"/>
              </w:rPr>
              <w:t>12</w:t>
            </w:r>
          </w:p>
        </w:tc>
      </w:tr>
      <w:tr w:rsidR="00000000" w:rsidRPr="00F5723F">
        <w:tblPrEx>
          <w:tblCellMar>
            <w:top w:w="0" w:type="dxa"/>
            <w:bottom w:w="0" w:type="dxa"/>
          </w:tblCellMar>
        </w:tblPrEx>
        <w:trPr>
          <w:cantSplit/>
          <w:trHeight w:val="240"/>
        </w:trPr>
        <w:tc>
          <w:tcPr>
            <w:tcW w:w="406" w:type="dxa"/>
          </w:tcPr>
          <w:p w:rsidR="00B43C57" w:rsidRPr="00F5723F" w:rsidRDefault="00B43C57">
            <w:pPr>
              <w:pStyle w:val="Tabelltext"/>
              <w:rPr>
                <w:snapToGrid w:val="0"/>
              </w:rPr>
            </w:pPr>
            <w:r w:rsidRPr="00F5723F">
              <w:rPr>
                <w:snapToGrid w:val="0"/>
              </w:rPr>
              <w:t>AU</w:t>
            </w:r>
          </w:p>
        </w:tc>
        <w:tc>
          <w:tcPr>
            <w:tcW w:w="631" w:type="dxa"/>
          </w:tcPr>
          <w:p w:rsidR="00B43C57" w:rsidRPr="00F5723F" w:rsidRDefault="00B43C57">
            <w:pPr>
              <w:pStyle w:val="Tabelltextsiffror"/>
              <w:jc w:val="center"/>
              <w:rPr>
                <w:snapToGrid w:val="0"/>
              </w:rPr>
            </w:pPr>
            <w:r w:rsidRPr="00F5723F">
              <w:rPr>
                <w:snapToGrid w:val="0"/>
              </w:rPr>
              <w:t>12</w:t>
            </w:r>
          </w:p>
        </w:tc>
        <w:tc>
          <w:tcPr>
            <w:tcW w:w="379" w:type="dxa"/>
          </w:tcPr>
          <w:p w:rsidR="00B43C57" w:rsidRPr="00F5723F" w:rsidRDefault="00B43C57">
            <w:pPr>
              <w:pStyle w:val="Tabelltextsiffror"/>
              <w:jc w:val="center"/>
              <w:rPr>
                <w:snapToGrid w:val="0"/>
              </w:rPr>
            </w:pPr>
            <w:r w:rsidRPr="00F5723F">
              <w:rPr>
                <w:snapToGrid w:val="0"/>
              </w:rPr>
              <w:t>7</w:t>
            </w:r>
          </w:p>
        </w:tc>
        <w:tc>
          <w:tcPr>
            <w:tcW w:w="379" w:type="dxa"/>
          </w:tcPr>
          <w:p w:rsidR="00B43C57" w:rsidRPr="00F5723F" w:rsidRDefault="00B43C57">
            <w:pPr>
              <w:pStyle w:val="Tabelltextsiffror"/>
              <w:jc w:val="center"/>
              <w:rPr>
                <w:snapToGrid w:val="0"/>
              </w:rPr>
            </w:pPr>
            <w:r w:rsidRPr="00F5723F">
              <w:rPr>
                <w:snapToGrid w:val="0"/>
              </w:rPr>
              <w:t>15</w:t>
            </w:r>
          </w:p>
        </w:tc>
        <w:tc>
          <w:tcPr>
            <w:tcW w:w="632" w:type="dxa"/>
          </w:tcPr>
          <w:p w:rsidR="00B43C57" w:rsidRPr="00F5723F" w:rsidRDefault="00B43C57">
            <w:pPr>
              <w:pStyle w:val="Tabelltextsiffror"/>
              <w:jc w:val="center"/>
              <w:rPr>
                <w:snapToGrid w:val="0"/>
              </w:rPr>
            </w:pPr>
            <w:r w:rsidRPr="00F5723F">
              <w:rPr>
                <w:snapToGrid w:val="0"/>
              </w:rPr>
              <w:t>15</w:t>
            </w:r>
          </w:p>
        </w:tc>
        <w:tc>
          <w:tcPr>
            <w:tcW w:w="505" w:type="dxa"/>
          </w:tcPr>
          <w:p w:rsidR="00B43C57" w:rsidRPr="00F5723F" w:rsidRDefault="00B43C57">
            <w:pPr>
              <w:pStyle w:val="Tabelltextsiffror"/>
              <w:jc w:val="center"/>
              <w:rPr>
                <w:snapToGrid w:val="0"/>
              </w:rPr>
            </w:pPr>
            <w:r w:rsidRPr="00F5723F">
              <w:rPr>
                <w:snapToGrid w:val="0"/>
              </w:rPr>
              <w:t>8</w:t>
            </w:r>
          </w:p>
        </w:tc>
        <w:tc>
          <w:tcPr>
            <w:tcW w:w="505" w:type="dxa"/>
          </w:tcPr>
          <w:p w:rsidR="00B43C57" w:rsidRPr="00F5723F" w:rsidRDefault="00B43C57">
            <w:pPr>
              <w:pStyle w:val="Tabelltextsiffror"/>
              <w:jc w:val="center"/>
              <w:rPr>
                <w:snapToGrid w:val="0"/>
              </w:rPr>
            </w:pPr>
            <w:r w:rsidRPr="00F5723F">
              <w:rPr>
                <w:snapToGrid w:val="0"/>
              </w:rPr>
              <w:t>8</w:t>
            </w:r>
          </w:p>
        </w:tc>
        <w:tc>
          <w:tcPr>
            <w:tcW w:w="505" w:type="dxa"/>
          </w:tcPr>
          <w:p w:rsidR="00B43C57" w:rsidRPr="00F5723F" w:rsidRDefault="00B43C57">
            <w:pPr>
              <w:pStyle w:val="Tabelltextsiffror"/>
              <w:jc w:val="center"/>
              <w:rPr>
                <w:snapToGrid w:val="0"/>
              </w:rPr>
            </w:pPr>
            <w:r w:rsidRPr="00F5723F">
              <w:rPr>
                <w:snapToGrid w:val="0"/>
              </w:rPr>
              <w:t>22</w:t>
            </w:r>
          </w:p>
        </w:tc>
        <w:tc>
          <w:tcPr>
            <w:tcW w:w="631" w:type="dxa"/>
          </w:tcPr>
          <w:p w:rsidR="00B43C57" w:rsidRPr="00F5723F" w:rsidRDefault="00B43C57">
            <w:pPr>
              <w:pStyle w:val="Tabelltextsiffror"/>
              <w:jc w:val="center"/>
              <w:rPr>
                <w:snapToGrid w:val="0"/>
              </w:rPr>
            </w:pPr>
            <w:r w:rsidRPr="00F5723F">
              <w:rPr>
                <w:snapToGrid w:val="0"/>
              </w:rPr>
              <w:t>10</w:t>
            </w:r>
          </w:p>
        </w:tc>
        <w:tc>
          <w:tcPr>
            <w:tcW w:w="632" w:type="dxa"/>
          </w:tcPr>
          <w:p w:rsidR="00B43C57" w:rsidRPr="00F5723F" w:rsidRDefault="00B43C57">
            <w:pPr>
              <w:pStyle w:val="Tabelltextsiffror"/>
              <w:jc w:val="center"/>
              <w:rPr>
                <w:snapToGrid w:val="0"/>
              </w:rPr>
            </w:pPr>
            <w:r w:rsidRPr="00F5723F">
              <w:rPr>
                <w:snapToGrid w:val="0"/>
              </w:rPr>
              <w:t>4</w:t>
            </w:r>
          </w:p>
        </w:tc>
        <w:tc>
          <w:tcPr>
            <w:tcW w:w="632" w:type="dxa"/>
          </w:tcPr>
          <w:p w:rsidR="00B43C57" w:rsidRPr="00F5723F" w:rsidRDefault="00B43C57">
            <w:pPr>
              <w:pStyle w:val="Tabelltextsiffror"/>
              <w:jc w:val="center"/>
              <w:rPr>
                <w:snapToGrid w:val="0"/>
              </w:rPr>
            </w:pPr>
            <w:r w:rsidRPr="00F5723F">
              <w:rPr>
                <w:snapToGrid w:val="0"/>
              </w:rPr>
              <w:t>4</w:t>
            </w:r>
          </w:p>
        </w:tc>
      </w:tr>
      <w:tr w:rsidR="00000000" w:rsidRPr="00F5723F">
        <w:tblPrEx>
          <w:tblCellMar>
            <w:top w:w="0" w:type="dxa"/>
            <w:bottom w:w="0" w:type="dxa"/>
          </w:tblCellMar>
        </w:tblPrEx>
        <w:trPr>
          <w:cantSplit/>
          <w:trHeight w:val="240"/>
        </w:trPr>
        <w:tc>
          <w:tcPr>
            <w:tcW w:w="406" w:type="dxa"/>
            <w:tcBorders>
              <w:bottom w:val="single" w:sz="4" w:space="0" w:color="auto"/>
            </w:tcBorders>
          </w:tcPr>
          <w:p w:rsidR="00B43C57" w:rsidRPr="00F5723F" w:rsidRDefault="00B43C57">
            <w:pPr>
              <w:pStyle w:val="Tabelltext"/>
              <w:rPr>
                <w:snapToGrid w:val="0"/>
              </w:rPr>
            </w:pPr>
            <w:r w:rsidRPr="00F5723F">
              <w:rPr>
                <w:snapToGrid w:val="0"/>
              </w:rPr>
              <w:t>BoU</w:t>
            </w:r>
          </w:p>
        </w:tc>
        <w:tc>
          <w:tcPr>
            <w:tcW w:w="631" w:type="dxa"/>
            <w:tcBorders>
              <w:bottom w:val="single" w:sz="4" w:space="0" w:color="auto"/>
            </w:tcBorders>
          </w:tcPr>
          <w:p w:rsidR="00B43C57" w:rsidRPr="00F5723F" w:rsidRDefault="00B43C57">
            <w:pPr>
              <w:pStyle w:val="Tabelltextsiffror"/>
              <w:jc w:val="center"/>
              <w:rPr>
                <w:snapToGrid w:val="0"/>
              </w:rPr>
            </w:pPr>
            <w:r w:rsidRPr="00F5723F">
              <w:rPr>
                <w:snapToGrid w:val="0"/>
              </w:rPr>
              <w:t>5</w:t>
            </w:r>
          </w:p>
        </w:tc>
        <w:tc>
          <w:tcPr>
            <w:tcW w:w="379" w:type="dxa"/>
            <w:tcBorders>
              <w:bottom w:val="single" w:sz="4" w:space="0" w:color="auto"/>
            </w:tcBorders>
          </w:tcPr>
          <w:p w:rsidR="00B43C57" w:rsidRPr="00F5723F" w:rsidRDefault="00B43C57">
            <w:pPr>
              <w:pStyle w:val="Tabelltextsiffror"/>
              <w:jc w:val="center"/>
              <w:rPr>
                <w:snapToGrid w:val="0"/>
              </w:rPr>
            </w:pPr>
            <w:r w:rsidRPr="00F5723F">
              <w:rPr>
                <w:snapToGrid w:val="0"/>
              </w:rPr>
              <w:t>8</w:t>
            </w:r>
          </w:p>
        </w:tc>
        <w:tc>
          <w:tcPr>
            <w:tcW w:w="379" w:type="dxa"/>
            <w:tcBorders>
              <w:bottom w:val="single" w:sz="4" w:space="0" w:color="auto"/>
            </w:tcBorders>
          </w:tcPr>
          <w:p w:rsidR="00B43C57" w:rsidRPr="00F5723F" w:rsidRDefault="00B43C57">
            <w:pPr>
              <w:pStyle w:val="Tabelltextsiffror"/>
              <w:jc w:val="center"/>
              <w:rPr>
                <w:snapToGrid w:val="0"/>
              </w:rPr>
            </w:pPr>
            <w:r w:rsidRPr="00F5723F">
              <w:rPr>
                <w:snapToGrid w:val="0"/>
              </w:rPr>
              <w:t>11</w:t>
            </w:r>
          </w:p>
        </w:tc>
        <w:tc>
          <w:tcPr>
            <w:tcW w:w="632" w:type="dxa"/>
            <w:tcBorders>
              <w:bottom w:val="single" w:sz="4" w:space="0" w:color="auto"/>
            </w:tcBorders>
          </w:tcPr>
          <w:p w:rsidR="00B43C57" w:rsidRPr="00F5723F" w:rsidRDefault="00B43C57">
            <w:pPr>
              <w:pStyle w:val="Tabelltextsiffror"/>
              <w:jc w:val="center"/>
              <w:rPr>
                <w:snapToGrid w:val="0"/>
              </w:rPr>
            </w:pPr>
            <w:r w:rsidRPr="00F5723F">
              <w:rPr>
                <w:snapToGrid w:val="0"/>
              </w:rPr>
              <w:t>11</w:t>
            </w:r>
          </w:p>
        </w:tc>
        <w:tc>
          <w:tcPr>
            <w:tcW w:w="505" w:type="dxa"/>
            <w:tcBorders>
              <w:bottom w:val="single" w:sz="4" w:space="0" w:color="auto"/>
            </w:tcBorders>
          </w:tcPr>
          <w:p w:rsidR="00B43C57" w:rsidRPr="00F5723F" w:rsidRDefault="00B43C57">
            <w:pPr>
              <w:pStyle w:val="Tabelltextsiffror"/>
              <w:jc w:val="center"/>
              <w:rPr>
                <w:snapToGrid w:val="0"/>
              </w:rPr>
            </w:pPr>
            <w:r w:rsidRPr="00F5723F">
              <w:rPr>
                <w:snapToGrid w:val="0"/>
              </w:rPr>
              <w:t>13</w:t>
            </w:r>
          </w:p>
        </w:tc>
        <w:tc>
          <w:tcPr>
            <w:tcW w:w="505" w:type="dxa"/>
            <w:tcBorders>
              <w:bottom w:val="single" w:sz="4" w:space="0" w:color="auto"/>
            </w:tcBorders>
          </w:tcPr>
          <w:p w:rsidR="00B43C57" w:rsidRPr="00F5723F" w:rsidRDefault="00B43C57">
            <w:pPr>
              <w:pStyle w:val="Tabelltextsiffror"/>
              <w:jc w:val="center"/>
              <w:rPr>
                <w:snapToGrid w:val="0"/>
              </w:rPr>
            </w:pPr>
            <w:r w:rsidRPr="00F5723F">
              <w:rPr>
                <w:snapToGrid w:val="0"/>
              </w:rPr>
              <w:t>13</w:t>
            </w:r>
          </w:p>
        </w:tc>
        <w:tc>
          <w:tcPr>
            <w:tcW w:w="505" w:type="dxa"/>
            <w:tcBorders>
              <w:bottom w:val="single" w:sz="4" w:space="0" w:color="auto"/>
            </w:tcBorders>
          </w:tcPr>
          <w:p w:rsidR="00B43C57" w:rsidRPr="00F5723F" w:rsidRDefault="00B43C57">
            <w:pPr>
              <w:pStyle w:val="Tabelltextsiffror"/>
              <w:jc w:val="center"/>
              <w:rPr>
                <w:snapToGrid w:val="0"/>
              </w:rPr>
            </w:pPr>
            <w:r w:rsidRPr="00F5723F">
              <w:rPr>
                <w:snapToGrid w:val="0"/>
              </w:rPr>
              <w:t>28</w:t>
            </w:r>
          </w:p>
        </w:tc>
        <w:tc>
          <w:tcPr>
            <w:tcW w:w="631" w:type="dxa"/>
            <w:tcBorders>
              <w:bottom w:val="single" w:sz="4" w:space="0" w:color="auto"/>
            </w:tcBorders>
          </w:tcPr>
          <w:p w:rsidR="00B43C57" w:rsidRPr="00F5723F" w:rsidRDefault="00B43C57">
            <w:pPr>
              <w:pStyle w:val="Tabelltextsiffror"/>
              <w:jc w:val="center"/>
              <w:rPr>
                <w:snapToGrid w:val="0"/>
              </w:rPr>
            </w:pPr>
            <w:r w:rsidRPr="00F5723F">
              <w:rPr>
                <w:snapToGrid w:val="0"/>
              </w:rPr>
              <w:t>9</w:t>
            </w:r>
          </w:p>
        </w:tc>
        <w:tc>
          <w:tcPr>
            <w:tcW w:w="632" w:type="dxa"/>
            <w:tcBorders>
              <w:bottom w:val="single" w:sz="4" w:space="0" w:color="auto"/>
            </w:tcBorders>
          </w:tcPr>
          <w:p w:rsidR="00B43C57" w:rsidRPr="00F5723F" w:rsidRDefault="00B43C57">
            <w:pPr>
              <w:pStyle w:val="Tabelltextsiffror"/>
              <w:jc w:val="center"/>
              <w:rPr>
                <w:snapToGrid w:val="0"/>
              </w:rPr>
            </w:pPr>
            <w:r w:rsidRPr="00F5723F">
              <w:rPr>
                <w:snapToGrid w:val="0"/>
              </w:rPr>
              <w:t>0</w:t>
            </w:r>
          </w:p>
        </w:tc>
        <w:tc>
          <w:tcPr>
            <w:tcW w:w="632" w:type="dxa"/>
            <w:tcBorders>
              <w:bottom w:val="single" w:sz="4" w:space="0" w:color="auto"/>
            </w:tcBorders>
          </w:tcPr>
          <w:p w:rsidR="00B43C57" w:rsidRPr="00F5723F" w:rsidRDefault="00B43C57">
            <w:pPr>
              <w:pStyle w:val="Tabelltextsiffror"/>
              <w:jc w:val="center"/>
              <w:rPr>
                <w:snapToGrid w:val="0"/>
              </w:rPr>
            </w:pPr>
            <w:r w:rsidRPr="00F5723F">
              <w:rPr>
                <w:snapToGrid w:val="0"/>
              </w:rPr>
              <w:t>0</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i/>
          <w:sz w:val="16"/>
          <w:szCs w:val="16"/>
        </w:rPr>
        <w:t>:</w:t>
      </w:r>
      <w:r w:rsidRPr="00F5723F">
        <w:rPr>
          <w:rFonts w:ascii="Arial" w:hAnsi="Arial" w:cs="Arial"/>
          <w:sz w:val="16"/>
          <w:szCs w:val="16"/>
        </w:rPr>
        <w:t xml:space="preserve"> Tabellen visar belastning i form av procentenheter per föredragand</w:t>
      </w:r>
      <w:r w:rsidRPr="00F5723F">
        <w:rPr>
          <w:rFonts w:ascii="Arial" w:hAnsi="Arial" w:cs="Arial"/>
          <w:sz w:val="16"/>
          <w:szCs w:val="16"/>
        </w:rPr>
        <w:t>e</w:t>
      </w:r>
      <w:r w:rsidRPr="00F5723F">
        <w:rPr>
          <w:rFonts w:ascii="Arial" w:hAnsi="Arial" w:cs="Arial"/>
          <w:sz w:val="16"/>
          <w:szCs w:val="16"/>
        </w:rPr>
        <w:t>tjänst i respektive utskottskansli. Beräkningen bygger på uppgifter om dels belas</w:t>
      </w:r>
      <w:r w:rsidRPr="00F5723F">
        <w:rPr>
          <w:rFonts w:ascii="Arial" w:hAnsi="Arial" w:cs="Arial"/>
          <w:sz w:val="16"/>
          <w:szCs w:val="16"/>
        </w:rPr>
        <w:t>t</w:t>
      </w:r>
      <w:r w:rsidRPr="00F5723F">
        <w:rPr>
          <w:rFonts w:ascii="Arial" w:hAnsi="Arial" w:cs="Arial"/>
          <w:sz w:val="16"/>
          <w:szCs w:val="16"/>
        </w:rPr>
        <w:t>ning (procent) under 2002/03–2003/04 enligt tabellerna 9:1–9:10, dels antalet för</w:t>
      </w:r>
      <w:r w:rsidRPr="00F5723F">
        <w:rPr>
          <w:rFonts w:ascii="Arial" w:hAnsi="Arial" w:cs="Arial"/>
          <w:sz w:val="16"/>
          <w:szCs w:val="16"/>
        </w:rPr>
        <w:t>e</w:t>
      </w:r>
      <w:r w:rsidRPr="00F5723F">
        <w:rPr>
          <w:rFonts w:ascii="Arial" w:hAnsi="Arial" w:cs="Arial"/>
          <w:sz w:val="16"/>
          <w:szCs w:val="16"/>
        </w:rPr>
        <w:t>dragandetjänster enligt tabell 3:3. Höga värden indikerar hög belastning per för</w:t>
      </w:r>
      <w:r w:rsidRPr="00F5723F">
        <w:rPr>
          <w:rFonts w:ascii="Arial" w:hAnsi="Arial" w:cs="Arial"/>
          <w:sz w:val="16"/>
          <w:szCs w:val="16"/>
        </w:rPr>
        <w:t>e</w:t>
      </w:r>
      <w:r w:rsidRPr="00F5723F">
        <w:rPr>
          <w:rFonts w:ascii="Arial" w:hAnsi="Arial" w:cs="Arial"/>
          <w:sz w:val="16"/>
          <w:szCs w:val="16"/>
        </w:rPr>
        <w:t>dragandetjänst och låga värden indikerar låg belastning per för</w:t>
      </w:r>
      <w:r w:rsidRPr="00F5723F">
        <w:rPr>
          <w:rFonts w:ascii="Arial" w:hAnsi="Arial" w:cs="Arial"/>
          <w:sz w:val="16"/>
          <w:szCs w:val="16"/>
        </w:rPr>
        <w:t>e</w:t>
      </w:r>
      <w:r w:rsidRPr="00F5723F">
        <w:rPr>
          <w:rFonts w:ascii="Arial" w:hAnsi="Arial" w:cs="Arial"/>
          <w:sz w:val="16"/>
          <w:szCs w:val="16"/>
        </w:rPr>
        <w:t>dragandetjänst.</w:t>
      </w:r>
    </w:p>
    <w:p w:rsidR="00B43C57" w:rsidRPr="00F5723F" w:rsidRDefault="00B43C57">
      <w:pPr>
        <w:pStyle w:val="Normaltindrag"/>
      </w:pPr>
    </w:p>
    <w:p w:rsidR="00B43C57" w:rsidRPr="00F5723F" w:rsidRDefault="00B43C57">
      <w:r w:rsidRPr="00F5723F">
        <w:t>De, enligt ovan, totalt sett minst belastade utskotten var försvars-, kultur- bostads- och arbetsmarknadsutskotten. Skillnaderna mellan dessa och övriga utskott minskar till en del när belastningen studeras per föredragandetjänst. Detta beror på att de – särskilt försvars- och kulturutskotten (2 föredraga</w:t>
      </w:r>
      <w:r w:rsidRPr="00F5723F">
        <w:t>n</w:t>
      </w:r>
      <w:r w:rsidRPr="00F5723F">
        <w:t>de</w:t>
      </w:r>
      <w:r w:rsidRPr="00F5723F">
        <w:softHyphen/>
        <w:t>tjänster vartdera) – har färre föredragandetjänster än genomsnittet. Med u</w:t>
      </w:r>
      <w:r w:rsidRPr="00F5723F">
        <w:t>n</w:t>
      </w:r>
      <w:r w:rsidRPr="00F5723F">
        <w:t>dantag för kulturutskottet är deras belastning, i de avseenden som här stud</w:t>
      </w:r>
      <w:r w:rsidRPr="00F5723F">
        <w:t>e</w:t>
      </w:r>
      <w:r w:rsidRPr="00F5723F">
        <w:t>ras, alltjämt förhållandevis låg.</w:t>
      </w:r>
    </w:p>
    <w:p w:rsidR="00B43C57" w:rsidRPr="00F5723F" w:rsidRDefault="00B43C57">
      <w:pPr>
        <w:pStyle w:val="Normaltindrag"/>
      </w:pPr>
      <w:r w:rsidRPr="00F5723F">
        <w:t>Som nämnts ovan bör i sammanhanget betonas att antalet föredragande</w:t>
      </w:r>
      <w:r w:rsidRPr="00F5723F">
        <w:softHyphen/>
        <w:t>tjänster i regel skiljer sig från antal föredragandeårsarbetskrafter, som fra</w:t>
      </w:r>
      <w:r w:rsidRPr="00F5723F">
        <w:t>m</w:t>
      </w:r>
      <w:r w:rsidRPr="00F5723F">
        <w:t>gått i avsnittet Organisation. Till exempel hade arbetsmarknadsutskottet under 2003/04 klart färre årsarbetskrafter än tjänster, vilket innebär att den faktiska belastningen sett ur ett kansliperspektiv var högre än tabell 9:12 gör gällande. Justitieutskottet å sin sida hade klart fler årsarbetskrafter än tjän</w:t>
      </w:r>
      <w:r w:rsidRPr="00F5723F">
        <w:t>s</w:t>
      </w:r>
      <w:r w:rsidRPr="00F5723F">
        <w:t>ter, vilket således innebär att den faktiska belastningen sett ur ett kanslipe</w:t>
      </w:r>
      <w:r w:rsidRPr="00F5723F">
        <w:t>r</w:t>
      </w:r>
      <w:r w:rsidRPr="00F5723F">
        <w:t>spektiv var lägre än i tabell 9:12.</w:t>
      </w:r>
    </w:p>
    <w:p w:rsidR="00B43C57" w:rsidRPr="00F5723F" w:rsidRDefault="00B43C57">
      <w:pPr>
        <w:pStyle w:val="Rubrik3"/>
        <w:rPr>
          <w:noProof w:val="0"/>
        </w:rPr>
      </w:pPr>
      <w:bookmarkStart w:id="109" w:name="_Toc124697817"/>
      <w:r w:rsidRPr="00F5723F">
        <w:rPr>
          <w:noProof w:val="0"/>
        </w:rPr>
        <w:t>Bedömn</w:t>
      </w:r>
      <w:r w:rsidRPr="00F5723F">
        <w:rPr>
          <w:noProof w:val="0"/>
        </w:rPr>
        <w:t>ing avseende utskottens arbetsbelastning</w:t>
      </w:r>
      <w:bookmarkEnd w:id="109"/>
    </w:p>
    <w:p w:rsidR="00B43C57" w:rsidRPr="00F5723F" w:rsidRDefault="00B43C57">
      <w:r w:rsidRPr="00F5723F">
        <w:t>Genomgången visar att det finns systematiska skillnader i utskottens arbetsb</w:t>
      </w:r>
      <w:r w:rsidRPr="00F5723F">
        <w:t>e</w:t>
      </w:r>
      <w:r w:rsidRPr="00F5723F">
        <w:t>lastning såsom den här har studerats, och sett över tid är skillnaderna tämligen stabila. Bland utskott som kännetecknas av hög belastning på grund av en stor ärendemängd (propositioner och/eller motioner) kan nä</w:t>
      </w:r>
      <w:r w:rsidRPr="00F5723F">
        <w:t>m</w:t>
      </w:r>
      <w:r w:rsidRPr="00F5723F">
        <w:t>nas finans-, skatte-, justitie-, social- och utbildningsutskotten. Vidare har miljö- och jordbruksu</w:t>
      </w:r>
      <w:r w:rsidRPr="00F5723F">
        <w:t>t</w:t>
      </w:r>
      <w:r w:rsidRPr="00F5723F">
        <w:t>skottet en stor mängd ärenden med EU-koppling. Konstitutionsutskottet har en hög belastning till följd av utskottets granskning av regeringen, vilket i föreliggande rapport indikeras av ett stort an</w:t>
      </w:r>
      <w:r w:rsidRPr="00F5723F">
        <w:t>tal sammanträdestimmar respe</w:t>
      </w:r>
      <w:r w:rsidRPr="00F5723F">
        <w:t>k</w:t>
      </w:r>
      <w:r w:rsidRPr="00F5723F">
        <w:t>tive sidor i riksdagstrycket.</w:t>
      </w:r>
    </w:p>
    <w:p w:rsidR="00B43C57" w:rsidRPr="00F5723F" w:rsidRDefault="00B43C57">
      <w:pPr>
        <w:pStyle w:val="Normaltindrag"/>
      </w:pPr>
      <w:r w:rsidRPr="00F5723F">
        <w:t>Bland utskott som i flera avseenden har förhållandevis liten arbetsbelas</w:t>
      </w:r>
      <w:r w:rsidRPr="00F5723F">
        <w:t>t</w:t>
      </w:r>
      <w:r w:rsidRPr="00F5723F">
        <w:t>ning märks framför allt försvars-, kultur-, arbetsmarknads- och bostadsutsko</w:t>
      </w:r>
      <w:r w:rsidRPr="00F5723F">
        <w:t>t</w:t>
      </w:r>
      <w:r w:rsidRPr="00F5723F">
        <w:t>ten. Dessa erhåller i regel färre ärenden (motioner och propositioner) än övr</w:t>
      </w:r>
      <w:r w:rsidRPr="00F5723F">
        <w:t>i</w:t>
      </w:r>
      <w:r w:rsidRPr="00F5723F">
        <w:t>ga utskott, och de har mycket få EU-relaterade frågor.</w:t>
      </w:r>
    </w:p>
    <w:p w:rsidR="00B43C57" w:rsidRPr="00F5723F" w:rsidRDefault="00B43C57">
      <w:pPr>
        <w:pStyle w:val="Normaltindrag"/>
      </w:pPr>
      <w:r w:rsidRPr="00F5723F">
        <w:t>Ur ett kansliperspektiv korrigeras skillnaderna i arbetsbelastning delvis genom att utskott med hög belastning har större kanslier med fyra till fem för</w:t>
      </w:r>
      <w:r w:rsidRPr="00F5723F">
        <w:t>e</w:t>
      </w:r>
      <w:r w:rsidRPr="00F5723F">
        <w:t>dragandetjänster och utskott med låg belastning har mindre kanslier, i vissa fall med endast två föredragandetjänster.</w:t>
      </w:r>
    </w:p>
    <w:p w:rsidR="00B43C57" w:rsidRPr="00F5723F" w:rsidRDefault="00B43C57">
      <w:pPr>
        <w:pStyle w:val="Rubrik2"/>
      </w:pPr>
      <w:bookmarkStart w:id="110" w:name="_Toc88539603"/>
      <w:bookmarkStart w:id="111" w:name="_Toc121738935"/>
      <w:bookmarkStart w:id="112" w:name="_Toc121738884"/>
      <w:bookmarkStart w:id="113" w:name="_Toc124697818"/>
      <w:r w:rsidRPr="00F5723F">
        <w:t>Sammanfattning</w:t>
      </w:r>
      <w:bookmarkEnd w:id="112"/>
      <w:bookmarkEnd w:id="113"/>
    </w:p>
    <w:p w:rsidR="00B43C57" w:rsidRPr="00F5723F" w:rsidRDefault="00B43C57">
      <w:r w:rsidRPr="00F5723F">
        <w:t>Utskottsindelningen är i stora drag oförändrad sedan införandet av enka</w:t>
      </w:r>
      <w:r w:rsidRPr="00F5723F">
        <w:t>m</w:t>
      </w:r>
      <w:r w:rsidRPr="00F5723F">
        <w:t>marriksdagen 1971. Tre utskott har bytt namn. Vissa ändringar har gjorts i utskottens beredningsområden. Särskilt utskott har förekommit vid ett tillfä</w:t>
      </w:r>
      <w:r w:rsidRPr="00F5723F">
        <w:t>l</w:t>
      </w:r>
      <w:r w:rsidRPr="00F5723F">
        <w:t>le, nämligen 1992 då EES-utskottet tillsattes. Sammansatta utskott har för</w:t>
      </w:r>
      <w:r w:rsidRPr="00F5723F">
        <w:t>e</w:t>
      </w:r>
      <w:r w:rsidRPr="00F5723F">
        <w:t>kommit i ett antal olika konstellationer sedan mitten av 1990-talet, sam</w:t>
      </w:r>
      <w:r w:rsidRPr="00F5723F">
        <w:t>t</w:t>
      </w:r>
      <w:r w:rsidRPr="00F5723F">
        <w:t>liga med utrikesutskottet som ett av utskotten. Utskottens kanslier varierar i sto</w:t>
      </w:r>
      <w:r w:rsidRPr="00F5723F">
        <w:t>r</w:t>
      </w:r>
      <w:r w:rsidRPr="00F5723F">
        <w:t>lek, från 5 tjänster till 10,5. De faktiska årsarbet</w:t>
      </w:r>
      <w:r w:rsidRPr="00F5723F">
        <w:t>s</w:t>
      </w:r>
      <w:r w:rsidRPr="00F5723F">
        <w:t>krafterna är dock som regel något färre i de större kanslierna och något fl</w:t>
      </w:r>
      <w:r w:rsidRPr="00F5723F">
        <w:t>er i de mindre kanslierna. Drygt två tredjedelar av kanslierna uppger att de emellanåt, i större eller mindre utsträckning, lånar in personal från andra kanslier eller enheter.</w:t>
      </w:r>
    </w:p>
    <w:p w:rsidR="00B43C57" w:rsidRPr="00F5723F" w:rsidRDefault="00B43C57">
      <w:pPr>
        <w:pStyle w:val="Normaltindrag"/>
      </w:pPr>
      <w:r w:rsidRPr="00F5723F">
        <w:t>Antalet sammanträdestimmar i utskotten ökade mellan 2002/03 och 2003/04. Sett över en längre tidsperiod har antalet sammanträdestimmar gått ned. Sedan början av 1990-talet är minskningen nästan 20 procent och s</w:t>
      </w:r>
      <w:r w:rsidRPr="00F5723F">
        <w:t>e</w:t>
      </w:r>
      <w:r w:rsidRPr="00F5723F">
        <w:t>dan början av 1970-talet 40 procent. Skillnaden mellan utskottens sammanträde</w:t>
      </w:r>
      <w:r w:rsidRPr="00F5723F">
        <w:t>s</w:t>
      </w:r>
      <w:r w:rsidRPr="00F5723F">
        <w:t>tid är stor. Mest sammanträder konstitutionsutskottet. Det hänger samman med granskningen av regeringen, som upptar runt 40 procent av utskottets sa</w:t>
      </w:r>
      <w:r w:rsidRPr="00F5723F">
        <w:t>m</w:t>
      </w:r>
      <w:r w:rsidRPr="00F5723F">
        <w:t>manträdestid. Minst har under senare år bostadsutskottet sammanträtt. Kansliernas bedömning är att utskotten i dag sammanträder i lagom utsträc</w:t>
      </w:r>
      <w:r w:rsidRPr="00F5723F">
        <w:t>k</w:t>
      </w:r>
      <w:r w:rsidRPr="00F5723F">
        <w:t>ning i förhå</w:t>
      </w:r>
      <w:r w:rsidRPr="00F5723F">
        <w:t>l</w:t>
      </w:r>
      <w:r w:rsidRPr="00F5723F">
        <w:t>lande till deras uppgifter samt att närvaron på sammanträdena är god. Vissa uppger dock att närvaron runt bordet blir sämre mot</w:t>
      </w:r>
      <w:r w:rsidRPr="00F5723F">
        <w:t xml:space="preserve"> slutet av framför allt längre sammanträden. De aktiviteter som dominerar sammantr</w:t>
      </w:r>
      <w:r w:rsidRPr="00F5723F">
        <w:t>ä</w:t>
      </w:r>
      <w:r w:rsidRPr="00F5723F">
        <w:t>dena är beredning av motioner och propositioner. Uppföljning och utvärd</w:t>
      </w:r>
      <w:r w:rsidRPr="00F5723F">
        <w:t>e</w:t>
      </w:r>
      <w:r w:rsidRPr="00F5723F">
        <w:t>ring är en av de aktiviteter som ägnas minst tid. Ett problem som flera kansl</w:t>
      </w:r>
      <w:r w:rsidRPr="00F5723F">
        <w:t>i</w:t>
      </w:r>
      <w:r w:rsidRPr="00F5723F">
        <w:t>er nämner i samband med sammanträdes</w:t>
      </w:r>
      <w:r w:rsidRPr="00F5723F">
        <w:softHyphen/>
        <w:t>planeringen är förbudet att samma</w:t>
      </w:r>
      <w:r w:rsidRPr="00F5723F">
        <w:t>n</w:t>
      </w:r>
      <w:r w:rsidRPr="00F5723F">
        <w:t>träda samt</w:t>
      </w:r>
      <w:r w:rsidRPr="00F5723F">
        <w:t>i</w:t>
      </w:r>
      <w:r w:rsidRPr="00F5723F">
        <w:t>digt med arbetsplenum i kammaren. Särskilt gäller detta i slutet av terminerna när arbetsplenum pågår hela dagarna.</w:t>
      </w:r>
    </w:p>
    <w:p w:rsidR="00B43C57" w:rsidRPr="00F5723F" w:rsidRDefault="00B43C57">
      <w:pPr>
        <w:pStyle w:val="Normaltindrag"/>
      </w:pPr>
      <w:r w:rsidRPr="00F5723F">
        <w:t>Ärendemängden har betydelse för sammanträdestiden. Fler motioner l</w:t>
      </w:r>
      <w:r w:rsidRPr="00F5723F">
        <w:t>e</w:t>
      </w:r>
      <w:r w:rsidRPr="00F5723F">
        <w:t>der i genomsnitt till längre sammanträdestid. När det gäller propositi</w:t>
      </w:r>
      <w:r w:rsidRPr="00F5723F">
        <w:t>o</w:t>
      </w:r>
      <w:r w:rsidRPr="00F5723F">
        <w:t>ner leder endast propositioner på vilka det väckts följdmotioner till längre sammantr</w:t>
      </w:r>
      <w:r w:rsidRPr="00F5723F">
        <w:t>ä</w:t>
      </w:r>
      <w:r w:rsidRPr="00F5723F">
        <w:t>destid. Undersökningen visar också att sammanträdestiden skiljer sig åt me</w:t>
      </w:r>
      <w:r w:rsidRPr="00F5723F">
        <w:t>l</w:t>
      </w:r>
      <w:r w:rsidRPr="00F5723F">
        <w:t>lan utskotten även vid kontroll för antal ärenden. Ett skäl till det kan vara att vissa utskott är mer effektiva i sin ärendeberedning än andra utskott. Ett annat skulle kunna vara att ärendena i genomsnitt är mer omfattande i vissa utskott än i andra, varför varje ärende i geno</w:t>
      </w:r>
      <w:r w:rsidRPr="00F5723F">
        <w:t>msnitt kräver mer sa</w:t>
      </w:r>
      <w:r w:rsidRPr="00F5723F">
        <w:t>m</w:t>
      </w:r>
      <w:r w:rsidRPr="00F5723F">
        <w:t>manträdestid. Ett tredje skäl är att vissa utskott ägnar stor del av sin sa</w:t>
      </w:r>
      <w:r w:rsidRPr="00F5723F">
        <w:t>m</w:t>
      </w:r>
      <w:r w:rsidRPr="00F5723F">
        <w:t>manträdestid åt annat än ärendeberedning, till exempel granskning av regeringen (konstitutionsu</w:t>
      </w:r>
      <w:r w:rsidRPr="00F5723F">
        <w:t>t</w:t>
      </w:r>
      <w:r w:rsidRPr="00F5723F">
        <w:t>skottet).</w:t>
      </w:r>
    </w:p>
    <w:p w:rsidR="00B43C57" w:rsidRPr="00F5723F" w:rsidRDefault="00B43C57">
      <w:pPr>
        <w:pStyle w:val="Normaltindrag"/>
      </w:pPr>
      <w:r w:rsidRPr="00F5723F">
        <w:t>Antalet avlämnade propositioner har minskat den senaste tioårsperioden, medan antalet skrivelser ökat något. Jämfört med föregående valperiod rör det sig dock inte om någon nämnvärd minskning; i drygt hälften av utsko</w:t>
      </w:r>
      <w:r w:rsidRPr="00F5723F">
        <w:t>t</w:t>
      </w:r>
      <w:r w:rsidRPr="00F5723F">
        <w:t>ten har antalet propositioner tvärtom ökat. Skillnaderna mellan u</w:t>
      </w:r>
      <w:r w:rsidRPr="00F5723F">
        <w:t>t</w:t>
      </w:r>
      <w:r w:rsidRPr="00F5723F">
        <w:t>skotten är dock stora. Flest propositioner remitteras till skatte- och just</w:t>
      </w:r>
      <w:r w:rsidRPr="00F5723F">
        <w:t>i</w:t>
      </w:r>
      <w:r w:rsidRPr="00F5723F">
        <w:t>tieutskotten, som under innevarande valperiod erhållit i genomsnitt 24 respektive 20 propos</w:t>
      </w:r>
      <w:r w:rsidRPr="00F5723F">
        <w:t>i</w:t>
      </w:r>
      <w:r w:rsidRPr="00F5723F">
        <w:t>tioner per riksmöte. Minst antal propositioner har under innevarande valper</w:t>
      </w:r>
      <w:r w:rsidRPr="00F5723F">
        <w:t>i</w:t>
      </w:r>
      <w:r w:rsidRPr="00F5723F">
        <w:t>od remitterats till försvars-, kultur- och utbil</w:t>
      </w:r>
      <w:r w:rsidRPr="00F5723F">
        <w:t>d</w:t>
      </w:r>
      <w:r w:rsidRPr="00F5723F">
        <w:t>ningsutskotten, som erhållit i genomsnitt 2,5 propositioner per riksmöte.</w:t>
      </w:r>
    </w:p>
    <w:p w:rsidR="00B43C57" w:rsidRPr="00F5723F" w:rsidRDefault="00B43C57">
      <w:pPr>
        <w:pStyle w:val="Normaltindrag"/>
      </w:pPr>
      <w:r w:rsidRPr="00F5723F">
        <w:t>Antalet motioner, liksom antalet motionsyrkanden, har ökat under de s</w:t>
      </w:r>
      <w:r w:rsidRPr="00F5723F">
        <w:t>e</w:t>
      </w:r>
      <w:r w:rsidRPr="00F5723F">
        <w:t>naste tio åren. Under 2003/04 avlämnades ca 1 000 fler motioner än under 1993/94, vilket motsvarar en ökning med 30 procent. Antalet motionsyrka</w:t>
      </w:r>
      <w:r w:rsidRPr="00F5723F">
        <w:t>n</w:t>
      </w:r>
      <w:r w:rsidRPr="00F5723F">
        <w:t>den ökade under samma period i ännu större utsträckning. Samtidigt som motionerna blir alltfler blir de alltså även mer omfattande. Ökningen av ant</w:t>
      </w:r>
      <w:r w:rsidRPr="00F5723F">
        <w:t>a</w:t>
      </w:r>
      <w:r w:rsidRPr="00F5723F">
        <w:t>let motioner omfattar alla utskott utom försvars- och arbetsmarknadsutsko</w:t>
      </w:r>
      <w:r w:rsidRPr="00F5723F">
        <w:t>t</w:t>
      </w:r>
      <w:r w:rsidRPr="00F5723F">
        <w:t>ten. Skillnaderna mellan utskotten är stora. Flest motioner remitteras till soc</w:t>
      </w:r>
      <w:r w:rsidRPr="00F5723F">
        <w:t>i</w:t>
      </w:r>
      <w:r w:rsidRPr="00F5723F">
        <w:t>al-, utbildnings-, trafik-, miljö- och jordbruks- samt skatteuts</w:t>
      </w:r>
      <w:r w:rsidRPr="00F5723F">
        <w:t>kotten, vilka erhåller i genomsnitt 370–500 motioner per riksmöte. Minst motioner remitt</w:t>
      </w:r>
      <w:r w:rsidRPr="00F5723F">
        <w:t>e</w:t>
      </w:r>
      <w:r w:rsidRPr="00F5723F">
        <w:t>ras till försvarsutskottet, som under innevarande valperiod erhållit knappt 90 motioner per riksmöte. Andra utskott som under innevarande valperiod erhå</w:t>
      </w:r>
      <w:r w:rsidRPr="00F5723F">
        <w:t>l</w:t>
      </w:r>
      <w:r w:rsidRPr="00F5723F">
        <w:t>lit förhållandevis få motioner är bostads-, utrikes- och finansutskotten. Stud</w:t>
      </w:r>
      <w:r w:rsidRPr="00F5723F">
        <w:t>e</w:t>
      </w:r>
      <w:r w:rsidRPr="00F5723F">
        <w:t>ras i stället antal motionsyrkanden är bilden ungefär densamma. En skillnad är dock att utrikesutskottet relativt sett erhåller fler yrkanden, medan skatteu</w:t>
      </w:r>
      <w:r w:rsidRPr="00F5723F">
        <w:t>t</w:t>
      </w:r>
      <w:r w:rsidRPr="00F5723F">
        <w:t>skottet r</w:t>
      </w:r>
      <w:r w:rsidRPr="00F5723F">
        <w:t>e</w:t>
      </w:r>
      <w:r w:rsidRPr="00F5723F">
        <w:t>lativt sett erhåller fär</w:t>
      </w:r>
      <w:r w:rsidRPr="00F5723F">
        <w:t>re yrkanden.</w:t>
      </w:r>
    </w:p>
    <w:p w:rsidR="00B43C57" w:rsidRPr="00F5723F" w:rsidRDefault="00B43C57">
      <w:pPr>
        <w:pStyle w:val="Normaltindrag"/>
      </w:pPr>
      <w:r w:rsidRPr="00F5723F">
        <w:t>Det finns ett positivt samband mellan antal propositioner och motioner; u</w:t>
      </w:r>
      <w:r w:rsidRPr="00F5723F">
        <w:t>t</w:t>
      </w:r>
      <w:r w:rsidRPr="00F5723F">
        <w:t>skott som erhåller ett stort antal propositioner erhåller i regel också ett stort antal motioner. Exempelvis kännetecknas skatteutskottet av att det erhåller både många propositioner och många motioner. Försvars-, bostads-, arbet</w:t>
      </w:r>
      <w:r w:rsidRPr="00F5723F">
        <w:t>s</w:t>
      </w:r>
      <w:r w:rsidRPr="00F5723F">
        <w:t>marknads- och kulturutskotten kännetecknas däremot av att de erhåller ett förhållandevis litet antal av både propositioner och moti</w:t>
      </w:r>
      <w:r w:rsidRPr="00F5723F">
        <w:t>o</w:t>
      </w:r>
      <w:r w:rsidRPr="00F5723F">
        <w:t>ner. Undantag från detta mönster finns också. Finansutskottet kännetecknas av att det erhåller många propositioner men förhållandevis få motioner, me</w:t>
      </w:r>
      <w:r w:rsidRPr="00F5723F">
        <w:t>dan utbildningsu</w:t>
      </w:r>
      <w:r w:rsidRPr="00F5723F">
        <w:t>t</w:t>
      </w:r>
      <w:r w:rsidRPr="00F5723F">
        <w:t>skottet kännetecknas av att det erhåller få propositioner men förhå</w:t>
      </w:r>
      <w:r w:rsidRPr="00F5723F">
        <w:t>l</w:t>
      </w:r>
      <w:r w:rsidRPr="00F5723F">
        <w:t>landevis många motioner.</w:t>
      </w:r>
    </w:p>
    <w:p w:rsidR="00B43C57" w:rsidRPr="00F5723F" w:rsidRDefault="00B43C57">
      <w:pPr>
        <w:pStyle w:val="Normaltindrag"/>
      </w:pPr>
      <w:r w:rsidRPr="00F5723F">
        <w:t>Antalet reservationer har sedan 1993/94 ökat i ungefär samma utsträc</w:t>
      </w:r>
      <w:r w:rsidRPr="00F5723F">
        <w:t>k</w:t>
      </w:r>
      <w:r w:rsidRPr="00F5723F">
        <w:t>ning som antalet motioner, det vill säga med ca 30 procent. Klart flest reservati</w:t>
      </w:r>
      <w:r w:rsidRPr="00F5723F">
        <w:t>o</w:t>
      </w:r>
      <w:r w:rsidRPr="00F5723F">
        <w:t>ner, ca 430 per riksmöte, har under första hälften av innevarande valperiod avgetts i utbildningsutskottet, och klart minst antal, ca 20 per riksmöte, har avgetts i försvarsu</w:t>
      </w:r>
      <w:r w:rsidRPr="00F5723F">
        <w:t>t</w:t>
      </w:r>
      <w:r w:rsidRPr="00F5723F">
        <w:t>skottet.</w:t>
      </w:r>
    </w:p>
    <w:p w:rsidR="00B43C57" w:rsidRPr="00F5723F" w:rsidRDefault="00B43C57">
      <w:pPr>
        <w:pStyle w:val="Normaltindrag"/>
      </w:pPr>
      <w:r w:rsidRPr="00F5723F">
        <w:t>Antalet avlämnade utskottsbetänkanden har minskat under den senaste ti</w:t>
      </w:r>
      <w:r w:rsidRPr="00F5723F">
        <w:t>o</w:t>
      </w:r>
      <w:r w:rsidRPr="00F5723F">
        <w:t>år</w:t>
      </w:r>
      <w:r w:rsidRPr="00F5723F">
        <w:t>s</w:t>
      </w:r>
      <w:r w:rsidRPr="00F5723F">
        <w:t>perioden. Utvecklingen finns i flertalet utskott, men minskningen är olika stor. Särskilt stor har minskningen varit i kultur-, arbetsmarknads- och trafi</w:t>
      </w:r>
      <w:r w:rsidRPr="00F5723F">
        <w:t>k</w:t>
      </w:r>
      <w:r w:rsidRPr="00F5723F">
        <w:t>utskotten, vilka under innevarande valperiod avlämnat i g</w:t>
      </w:r>
      <w:r w:rsidRPr="00F5723F">
        <w:t>e</w:t>
      </w:r>
      <w:r w:rsidRPr="00F5723F">
        <w:t>nomsnitt hälften så många betänkanden per riksmöte som under valper</w:t>
      </w:r>
      <w:r w:rsidRPr="00F5723F">
        <w:t>i</w:t>
      </w:r>
      <w:r w:rsidRPr="00F5723F">
        <w:t>oden 1994/95–1997/98. Flest betänkanden, 22–30 per riksmöte, avlämnar konst</w:t>
      </w:r>
      <w:r w:rsidRPr="00F5723F">
        <w:t>i</w:t>
      </w:r>
      <w:r w:rsidRPr="00F5723F">
        <w:t>tutions-, finans-, justitie-, lag- och skatteutskotten. Minst antal, 6–8 per riksmöte, avlämnar försvars-, arbetsmarknads- och kulturutsko</w:t>
      </w:r>
      <w:r w:rsidRPr="00F5723F">
        <w:t>t</w:t>
      </w:r>
      <w:r w:rsidRPr="00F5723F">
        <w:t>ten. Även när</w:t>
      </w:r>
      <w:r w:rsidRPr="00F5723F">
        <w:t xml:space="preserve"> det gäller antal avgivna yttranden är utvecklingen nedåtg</w:t>
      </w:r>
      <w:r w:rsidRPr="00F5723F">
        <w:t>å</w:t>
      </w:r>
      <w:r w:rsidRPr="00F5723F">
        <w:t>ende. Flest yttranden avger i regel konstitutions</w:t>
      </w:r>
      <w:r w:rsidRPr="00F5723F">
        <w:softHyphen/>
        <w:t>utskottet, medan lagu</w:t>
      </w:r>
      <w:r w:rsidRPr="00F5723F">
        <w:t>t</w:t>
      </w:r>
      <w:r w:rsidRPr="00F5723F">
        <w:t>skottet i regel avger minst antal yttranden. Studeras antal sidor i rik</w:t>
      </w:r>
      <w:r w:rsidRPr="00F5723F">
        <w:t>s</w:t>
      </w:r>
      <w:r w:rsidRPr="00F5723F">
        <w:t>dagstrycket i stället för antal betänkanden (och yttranden) är utvecklin</w:t>
      </w:r>
      <w:r w:rsidRPr="00F5723F">
        <w:t>g</w:t>
      </w:r>
      <w:r w:rsidRPr="00F5723F">
        <w:t>en en annan. Under den senaste tioårsperioden har antalet trycksidor bl</w:t>
      </w:r>
      <w:r w:rsidRPr="00F5723F">
        <w:t>i</w:t>
      </w:r>
      <w:r w:rsidRPr="00F5723F">
        <w:t>vit allt större. De allt färre betänkandena blir således i genomsnitt allt större. Konstitutions- och finan</w:t>
      </w:r>
      <w:r w:rsidRPr="00F5723F">
        <w:t>s</w:t>
      </w:r>
      <w:r w:rsidRPr="00F5723F">
        <w:t>utskotten producerar flest antal trycks</w:t>
      </w:r>
      <w:r w:rsidRPr="00F5723F">
        <w:t>i</w:t>
      </w:r>
      <w:r w:rsidRPr="00F5723F">
        <w:t>dor, vilket delv</w:t>
      </w:r>
      <w:r w:rsidRPr="00F5723F">
        <w:t>is har att göra med granskningsbetänkandet på våren r</w:t>
      </w:r>
      <w:r w:rsidRPr="00F5723F">
        <w:t>e</w:t>
      </w:r>
      <w:r w:rsidRPr="00F5723F">
        <w:t>spektive budgetbetänkandena på våren och, i synnerhet, hösten.</w:t>
      </w:r>
    </w:p>
    <w:p w:rsidR="00B43C57" w:rsidRPr="00F5723F" w:rsidRDefault="00B43C57">
      <w:pPr>
        <w:pStyle w:val="Normaltindrag"/>
      </w:pPr>
      <w:r w:rsidRPr="00F5723F">
        <w:t>Flertalet utskott uppges ha ambitioner att förenkla motionshanteringen; fyra utskott har inte någon sådan ambition. Metoderna för att förenkla m</w:t>
      </w:r>
      <w:r w:rsidRPr="00F5723F">
        <w:t>o</w:t>
      </w:r>
      <w:r w:rsidRPr="00F5723F">
        <w:t>tionshanteringen varierar. Vanligast är att hänvisa till att frågan, enligt den ansvarsfördelning som gäller, inte avgörs av riksdagen utan av annat statso</w:t>
      </w:r>
      <w:r w:rsidRPr="00F5723F">
        <w:t>r</w:t>
      </w:r>
      <w:r w:rsidRPr="00F5723F">
        <w:t>gan eller på en annan nivå. Erfarenheten hittills av förenklad motionshante</w:t>
      </w:r>
      <w:r w:rsidRPr="00F5723F">
        <w:t>r</w:t>
      </w:r>
      <w:r w:rsidRPr="00F5723F">
        <w:t>ing är, enligt kansliernas bedömning, mindre positiv. Acce</w:t>
      </w:r>
      <w:r w:rsidRPr="00F5723F">
        <w:t>p</w:t>
      </w:r>
      <w:r w:rsidRPr="00F5723F">
        <w:t>tansen i utskottet är inte alltid så hög i praktiken. Minoriteten vill ofta r</w:t>
      </w:r>
      <w:r w:rsidRPr="00F5723F">
        <w:t>e</w:t>
      </w:r>
      <w:r w:rsidRPr="00F5723F">
        <w:t>servera sig. Tidsvinsten som den förenklade hanteringen är tänkt att i</w:t>
      </w:r>
      <w:r w:rsidRPr="00F5723F">
        <w:t>n</w:t>
      </w:r>
      <w:r w:rsidRPr="00F5723F">
        <w:t>nebära är inte speciellt stor, särskilt inte för kansliet men inte hell</w:t>
      </w:r>
      <w:r w:rsidRPr="00F5723F">
        <w:t>er alltid för utskottet.</w:t>
      </w:r>
    </w:p>
    <w:p w:rsidR="00B43C57" w:rsidRPr="00F5723F" w:rsidRDefault="00B43C57">
      <w:pPr>
        <w:pStyle w:val="Normaltindrag"/>
      </w:pPr>
      <w:r w:rsidRPr="00F5723F">
        <w:t>Utskottens kunskapsförsörjning studeras i form av utfrågningar och up</w:t>
      </w:r>
      <w:r w:rsidRPr="00F5723F">
        <w:t>p</w:t>
      </w:r>
      <w:r w:rsidRPr="00F5723F">
        <w:t>följning och utvärdering. Vad gäller utfrågningar noteras att en stor major</w:t>
      </w:r>
      <w:r w:rsidRPr="00F5723F">
        <w:t>i</w:t>
      </w:r>
      <w:r w:rsidRPr="00F5723F">
        <w:t>tet anordnar offentliga sådana åtminstone någon gång varje rik</w:t>
      </w:r>
      <w:r w:rsidRPr="00F5723F">
        <w:t>s</w:t>
      </w:r>
      <w:r w:rsidRPr="00F5723F">
        <w:t>möte. Vidare ökade antalet utfrågningar kraftigt under 2003/04. Flest offentliga utfrågnin</w:t>
      </w:r>
      <w:r w:rsidRPr="00F5723F">
        <w:t>g</w:t>
      </w:r>
      <w:r w:rsidRPr="00F5723F">
        <w:t>ar anordnar konstitutionsutskottet, vilket hänger samman med utskottets granskning av regeringen. Enligt flera kansliers b</w:t>
      </w:r>
      <w:r w:rsidRPr="00F5723F">
        <w:t>e</w:t>
      </w:r>
      <w:r w:rsidRPr="00F5723F">
        <w:t>dömning är utfrågningar en av de aktiviteter som ledamöterna vill ägna mer tid åt. Även uppföljning och utvärdering bedöms vara en aktivitet som ledamöterna v</w:t>
      </w:r>
      <w:r w:rsidRPr="00F5723F">
        <w:t>ill ägna mer tid åt. Samtidigt bedöms intresset och engagemanget för uppföljning och utvärd</w:t>
      </w:r>
      <w:r w:rsidRPr="00F5723F">
        <w:t>e</w:t>
      </w:r>
      <w:r w:rsidRPr="00F5723F">
        <w:t>ring vara lägre än för andra aktiviteter i utskottet. Ointresse bland ledamöte</w:t>
      </w:r>
      <w:r w:rsidRPr="00F5723F">
        <w:t>r</w:t>
      </w:r>
      <w:r w:rsidRPr="00F5723F">
        <w:t>na nämns också som en o</w:t>
      </w:r>
      <w:r w:rsidRPr="00F5723F">
        <w:t>r</w:t>
      </w:r>
      <w:r w:rsidRPr="00F5723F">
        <w:t>sak till varför utskotten i dag inte ägnar mer tid åt uppföljning och utvä</w:t>
      </w:r>
      <w:r w:rsidRPr="00F5723F">
        <w:t>r</w:t>
      </w:r>
      <w:r w:rsidRPr="00F5723F">
        <w:t>dering.</w:t>
      </w:r>
    </w:p>
    <w:p w:rsidR="00B43C57" w:rsidRPr="00F5723F" w:rsidRDefault="00B43C57">
      <w:pPr>
        <w:pStyle w:val="Normaltindrag"/>
      </w:pPr>
      <w:r w:rsidRPr="00F5723F">
        <w:t>Utskottens arbete med EU-frågor, sett till antal faktapromemorior och andra EU-dokument, varierar stort. Flest EU-frågor hanteras av miljö- och jordbruksutskottet. Andra utskott som hanterar många EU-frågor är trafik-, närings- och ut</w:t>
      </w:r>
      <w:r w:rsidRPr="00F5723F">
        <w:t>rikesutskotten. Minst antal EU-frågor hanteras av försvars-, kultur-, utbildnings- och bostadsutskotten. I runt tio utskott f</w:t>
      </w:r>
      <w:r w:rsidRPr="00F5723F">
        <w:t>ö</w:t>
      </w:r>
      <w:r w:rsidRPr="00F5723F">
        <w:t>rekommer det flera gånger per år att statssekreterare och tjänstemän från Regeringskansliet kommer till utskottet för att informera i EU-ärenden. I övriga utskott är det mindre vanligt. Att statsråd kommer till utskottet är mindre vanligt, men i sex utskott förekommer det åtminstone 1–2 gånger per år. Vanligast är att info</w:t>
      </w:r>
      <w:r w:rsidRPr="00F5723F">
        <w:t>r</w:t>
      </w:r>
      <w:r w:rsidRPr="00F5723F">
        <w:t>mationstillfällena präglas av ren inform</w:t>
      </w:r>
      <w:r w:rsidRPr="00F5723F">
        <w:t>a</w:t>
      </w:r>
      <w:r w:rsidRPr="00F5723F">
        <w:t>tions</w:t>
      </w:r>
      <w:r w:rsidRPr="00F5723F">
        <w:softHyphen/>
        <w:t>givning från r</w:t>
      </w:r>
      <w:r w:rsidRPr="00F5723F">
        <w:t>egeringen, men i vissa utskott förekommer även sa</w:t>
      </w:r>
      <w:r w:rsidRPr="00F5723F">
        <w:t>m</w:t>
      </w:r>
      <w:r w:rsidRPr="00F5723F">
        <w:t>råd.</w:t>
      </w:r>
    </w:p>
    <w:p w:rsidR="00B43C57" w:rsidRPr="00F5723F" w:rsidRDefault="00B43C57">
      <w:pPr>
        <w:pStyle w:val="Normaltindrag"/>
      </w:pPr>
      <w:r w:rsidRPr="00F5723F">
        <w:t>Med några få undantag är kontakterna med andra utskott inom EU begrä</w:t>
      </w:r>
      <w:r w:rsidRPr="00F5723F">
        <w:t>n</w:t>
      </w:r>
      <w:r w:rsidRPr="00F5723F">
        <w:t>sade, och i den mån de förekommer rör det sig framför allt om studieb</w:t>
      </w:r>
      <w:r w:rsidRPr="00F5723F">
        <w:t>e</w:t>
      </w:r>
      <w:r w:rsidRPr="00F5723F">
        <w:t>sök och liknande. Utanför EU är kontakterna än mindre utarbetade. Inom Sver</w:t>
      </w:r>
      <w:r w:rsidRPr="00F5723F">
        <w:t>i</w:t>
      </w:r>
      <w:r w:rsidRPr="00F5723F">
        <w:t>ge förekommer kontakter i form av studiebesök och uppvaktningar som regel flera gånger per år. Vanligtvis deltar hela utskottet vid dessa tillfällen.</w:t>
      </w:r>
    </w:p>
    <w:p w:rsidR="00B43C57" w:rsidRPr="00F5723F" w:rsidRDefault="00B43C57">
      <w:pPr>
        <w:pStyle w:val="Normaltindrag"/>
      </w:pPr>
      <w:r w:rsidRPr="00F5723F">
        <w:t>Utskottens arbetsbelastning studeras i tio olika avseenden: samman</w:t>
      </w:r>
      <w:r w:rsidRPr="00F5723F">
        <w:softHyphen/>
        <w:t>trädestid, remitterade propositioner, motioner och motionsyrkanden, reserv</w:t>
      </w:r>
      <w:r w:rsidRPr="00F5723F">
        <w:t>a</w:t>
      </w:r>
      <w:r w:rsidRPr="00F5723F">
        <w:t>tioner, avlämnade betänkanden, avgivna yttranden, sidor i riksdagstryc</w:t>
      </w:r>
      <w:r w:rsidRPr="00F5723F">
        <w:t>k</w:t>
      </w:r>
      <w:r w:rsidRPr="00F5723F">
        <w:t>et, faktapr</w:t>
      </w:r>
      <w:r w:rsidRPr="00F5723F">
        <w:t>o</w:t>
      </w:r>
      <w:r w:rsidRPr="00F5723F">
        <w:t>memorior och EU-dokument. Inget utskott har hög belastning i alla avseenden. Den samlade bedömningen är dock att det finns systemati</w:t>
      </w:r>
      <w:r w:rsidRPr="00F5723F">
        <w:t>s</w:t>
      </w:r>
      <w:r w:rsidRPr="00F5723F">
        <w:t>ka skillnader mellan utskotten som också är stabila över tid. Vissa utskott tend</w:t>
      </w:r>
      <w:r w:rsidRPr="00F5723F">
        <w:t>e</w:t>
      </w:r>
      <w:r w:rsidRPr="00F5723F">
        <w:t>rar att ha jämförelsevis hög arbetsbelastning i ett antal avseenden. Bland dessa märks konstitutions-, finans-, skatte-, justitie-, social-</w:t>
      </w:r>
      <w:r w:rsidRPr="00F5723F">
        <w:t>, utbil</w:t>
      </w:r>
      <w:r w:rsidRPr="00F5723F">
        <w:t>d</w:t>
      </w:r>
      <w:r w:rsidRPr="00F5723F">
        <w:t>nings- samt miljö- och jordbruksutskotten. Andra utskott tenderar att ha jämförelsevis låg belastning i flera avseenden. Här märks framför allt försvars-, kultur-, a</w:t>
      </w:r>
      <w:r w:rsidRPr="00F5723F">
        <w:t>r</w:t>
      </w:r>
      <w:r w:rsidRPr="00F5723F">
        <w:t>betsmarknads- och bostads</w:t>
      </w:r>
      <w:r w:rsidRPr="00F5723F">
        <w:softHyphen/>
        <w:t>utskotten. Sett ur ett kanslipe</w:t>
      </w:r>
      <w:r w:rsidRPr="00F5723F">
        <w:t>r</w:t>
      </w:r>
      <w:r w:rsidRPr="00F5723F">
        <w:t>spektiv korrigeras skillnaderna mellan utskotten till en del genom att utskott med hög arbetsb</w:t>
      </w:r>
      <w:r w:rsidRPr="00F5723F">
        <w:t>e</w:t>
      </w:r>
      <w:r w:rsidRPr="00F5723F">
        <w:t>lastning ofta har ett större kansli (fler föredragandetjän</w:t>
      </w:r>
      <w:r w:rsidRPr="00F5723F">
        <w:t>s</w:t>
      </w:r>
      <w:r w:rsidRPr="00F5723F">
        <w:t>ter) än utskott med låg arbetsb</w:t>
      </w:r>
      <w:r w:rsidRPr="00F5723F">
        <w:t>e</w:t>
      </w:r>
      <w:r w:rsidRPr="00F5723F">
        <w:t>lastning.</w:t>
      </w:r>
    </w:p>
    <w:p w:rsidR="00B43C57" w:rsidRPr="00F5723F" w:rsidRDefault="00B43C57">
      <w:pPr>
        <w:pStyle w:val="Rubrik3"/>
        <w:spacing w:before="0"/>
        <w:rPr>
          <w:noProof w:val="0"/>
        </w:rPr>
      </w:pPr>
      <w:r w:rsidRPr="00F5723F">
        <w:rPr>
          <w:noProof w:val="0"/>
        </w:rPr>
        <w:br w:type="page"/>
      </w:r>
      <w:bookmarkStart w:id="114" w:name="_Toc124697819"/>
      <w:r w:rsidRPr="00F5723F">
        <w:rPr>
          <w:noProof w:val="0"/>
        </w:rPr>
        <w:t xml:space="preserve">Appendix </w:t>
      </w:r>
      <w:bookmarkEnd w:id="110"/>
      <w:r w:rsidRPr="00F5723F">
        <w:rPr>
          <w:noProof w:val="0"/>
        </w:rPr>
        <w:t>1</w:t>
      </w:r>
      <w:bookmarkEnd w:id="111"/>
      <w:bookmarkEnd w:id="114"/>
    </w:p>
    <w:p w:rsidR="00B43C57" w:rsidRPr="00F5723F" w:rsidRDefault="00B43C57">
      <w:r w:rsidRPr="00F5723F">
        <w:t>Utskottens beredningsområden enligt tilläggsbestämmelserna 4.6.1–16 RO.</w:t>
      </w:r>
    </w:p>
    <w:p w:rsidR="00B43C57" w:rsidRPr="00F5723F" w:rsidRDefault="00B43C57"/>
    <w:p w:rsidR="00B43C57" w:rsidRPr="00F5723F" w:rsidRDefault="00B43C57">
      <w:r w:rsidRPr="00F5723F">
        <w:t>Konstitutionsutskottet bereder ärenden om</w:t>
      </w:r>
    </w:p>
    <w:p w:rsidR="00B43C57" w:rsidRPr="00F5723F" w:rsidRDefault="00B43C57">
      <w:r w:rsidRPr="00F5723F">
        <w:t>1. lagstiftning i konstitutionella och allmänt förvaltningsrättsliga ämnen,</w:t>
      </w:r>
    </w:p>
    <w:p w:rsidR="00B43C57" w:rsidRPr="00F5723F" w:rsidRDefault="00B43C57">
      <w:r w:rsidRPr="00F5723F">
        <w:t>2. lagstiftning om radio, television och film,</w:t>
      </w:r>
    </w:p>
    <w:p w:rsidR="00B43C57" w:rsidRPr="00F5723F" w:rsidRDefault="00B43C57">
      <w:r w:rsidRPr="00F5723F">
        <w:t>3. yttrandefrihet, opinionsbildning och religionsfrihet,</w:t>
      </w:r>
    </w:p>
    <w:p w:rsidR="00B43C57" w:rsidRPr="00F5723F" w:rsidRDefault="00B43C57">
      <w:r w:rsidRPr="00F5723F">
        <w:t>4. press- och partistöd,</w:t>
      </w:r>
    </w:p>
    <w:p w:rsidR="00B43C57" w:rsidRPr="00F5723F" w:rsidRDefault="00B43C57">
      <w:r w:rsidRPr="00F5723F">
        <w:t>5. Riksrevisionen, såvitt avser val av riksrevisor, skiljande av riksrevisor från uppdraget, åtal mot riksrevisor och åtal mot ledamot av myndighetens styre</w:t>
      </w:r>
      <w:r w:rsidRPr="00F5723F">
        <w:t>l</w:t>
      </w:r>
      <w:r w:rsidRPr="00F5723F">
        <w:t>se,</w:t>
      </w:r>
    </w:p>
    <w:p w:rsidR="00B43C57" w:rsidRPr="00F5723F" w:rsidRDefault="00B43C57">
      <w:r w:rsidRPr="00F5723F">
        <w:t>6. riksdagen och riksdagens myndigheter i övrigt utom Riksbanken och Rik</w:t>
      </w:r>
      <w:r w:rsidRPr="00F5723F">
        <w:t>s</w:t>
      </w:r>
      <w:r w:rsidRPr="00F5723F">
        <w:t>revisionen,</w:t>
      </w:r>
    </w:p>
    <w:p w:rsidR="00B43C57" w:rsidRPr="00F5723F" w:rsidRDefault="00B43C57">
      <w:r w:rsidRPr="00F5723F">
        <w:t>7. den kommunala självstyrelsen samt</w:t>
      </w:r>
    </w:p>
    <w:p w:rsidR="00B43C57" w:rsidRPr="00F5723F" w:rsidRDefault="00B43C57">
      <w:r w:rsidRPr="00F5723F">
        <w:t>8. medgivande från riksdagen att väcka talan mot en riksdagsledamot eller att ingripa i en ledamots personliga frihet.</w:t>
      </w:r>
    </w:p>
    <w:p w:rsidR="00B43C57" w:rsidRPr="00F5723F" w:rsidRDefault="00B43C57">
      <w:r w:rsidRPr="00F5723F">
        <w:t>Dessutom bereder utskottet ärenden om anslag inom utgiftsområde 1 Rikets styrelse.</w:t>
      </w:r>
    </w:p>
    <w:p w:rsidR="00B43C57" w:rsidRPr="00F5723F" w:rsidRDefault="00B43C57"/>
    <w:p w:rsidR="00B43C57" w:rsidRPr="00F5723F" w:rsidRDefault="00B43C57">
      <w:r w:rsidRPr="00F5723F">
        <w:t>Finansutskottet bereder ärenden om</w:t>
      </w:r>
    </w:p>
    <w:p w:rsidR="00B43C57" w:rsidRPr="00F5723F" w:rsidRDefault="00B43C57">
      <w:r w:rsidRPr="00F5723F">
        <w:t>1. penning-, kredit-, valuta- och statsskuldspolitiken,</w:t>
      </w:r>
    </w:p>
    <w:p w:rsidR="00B43C57" w:rsidRPr="00F5723F" w:rsidRDefault="00B43C57">
      <w:r w:rsidRPr="00F5723F">
        <w:t>2. kredit- och fondväsendet,</w:t>
      </w:r>
    </w:p>
    <w:p w:rsidR="00B43C57" w:rsidRPr="00F5723F" w:rsidRDefault="00B43C57">
      <w:r w:rsidRPr="00F5723F">
        <w:t>3. det affärsmässiga försäkringsväsendet,</w:t>
      </w:r>
    </w:p>
    <w:p w:rsidR="00B43C57" w:rsidRPr="00F5723F" w:rsidRDefault="00B43C57">
      <w:r w:rsidRPr="00F5723F">
        <w:t>4. Riksrevisionen i den mån ärendena inte tillhör konstitutionsutskottets b</w:t>
      </w:r>
      <w:r w:rsidRPr="00F5723F">
        <w:t>e</w:t>
      </w:r>
      <w:r w:rsidRPr="00F5723F">
        <w:t>redning,</w:t>
      </w:r>
    </w:p>
    <w:p w:rsidR="00B43C57" w:rsidRPr="00F5723F" w:rsidRDefault="00B43C57">
      <w:r w:rsidRPr="00F5723F">
        <w:t>5. den kommunala ekonomin,</w:t>
      </w:r>
    </w:p>
    <w:p w:rsidR="00B43C57" w:rsidRPr="00F5723F" w:rsidRDefault="00B43C57">
      <w:r w:rsidRPr="00F5723F">
        <w:t>6. statliga arbetsgivarfrågor, statlig statistik, redovisning, revision och ration</w:t>
      </w:r>
      <w:r w:rsidRPr="00F5723F">
        <w:t>a</w:t>
      </w:r>
      <w:r w:rsidRPr="00F5723F">
        <w:t>lisering,</w:t>
      </w:r>
    </w:p>
    <w:p w:rsidR="00B43C57" w:rsidRPr="00F5723F" w:rsidRDefault="00B43C57">
      <w:r w:rsidRPr="00F5723F">
        <w:t>7. statens egendom och upphandling i allmänhet,</w:t>
      </w:r>
    </w:p>
    <w:p w:rsidR="00B43C57" w:rsidRPr="00F5723F" w:rsidRDefault="00B43C57">
      <w:r w:rsidRPr="00F5723F">
        <w:t>8. förvaltningsekonomiska frågor i övrigt som inte rör enbart ett visst ämne</w:t>
      </w:r>
      <w:r w:rsidRPr="00F5723F">
        <w:t>s</w:t>
      </w:r>
      <w:r w:rsidRPr="00F5723F">
        <w:t>område samt</w:t>
      </w:r>
    </w:p>
    <w:p w:rsidR="00B43C57" w:rsidRPr="00F5723F" w:rsidRDefault="00B43C57">
      <w:r w:rsidRPr="00F5723F">
        <w:t>9. budgettekniska frågor.</w:t>
      </w:r>
    </w:p>
    <w:p w:rsidR="00B43C57" w:rsidRPr="00F5723F" w:rsidRDefault="00B43C57">
      <w:r w:rsidRPr="00F5723F">
        <w:t>Utskottet skall även granska beräkningen av statens inkomster och samma</w:t>
      </w:r>
      <w:r w:rsidRPr="00F5723F">
        <w:t>n</w:t>
      </w:r>
      <w:r w:rsidRPr="00F5723F">
        <w:t xml:space="preserve">ställa statsbudgeten. </w:t>
      </w:r>
    </w:p>
    <w:p w:rsidR="00B43C57" w:rsidRPr="00F5723F" w:rsidRDefault="00B43C57">
      <w:pPr>
        <w:pStyle w:val="Normaltindrag"/>
      </w:pPr>
      <w:r w:rsidRPr="00F5723F">
        <w:t>Dessutom bereder utskottet ärenden om anslag inom utgiftsområdena 2 Samhällsekonomi och finansförvaltning, 25 Allmänna bidrag till kommuner, 26 Statsskuldsräntor med mera samt 27 Avgiften till Europeiska gemensk</w:t>
      </w:r>
      <w:r w:rsidRPr="00F5723F">
        <w:t>a</w:t>
      </w:r>
      <w:r w:rsidRPr="00F5723F">
        <w:t>pen.</w:t>
      </w:r>
    </w:p>
    <w:p w:rsidR="00B43C57" w:rsidRPr="00F5723F" w:rsidRDefault="00B43C57"/>
    <w:p w:rsidR="00B43C57" w:rsidRPr="00F5723F" w:rsidRDefault="00B43C57">
      <w:r w:rsidRPr="00F5723F">
        <w:t>Skatteutskottet bereder ärenden om</w:t>
      </w:r>
    </w:p>
    <w:p w:rsidR="00B43C57" w:rsidRPr="00F5723F" w:rsidRDefault="00B43C57">
      <w:r w:rsidRPr="00F5723F">
        <w:t>1. taxering och skattebetalning,</w:t>
      </w:r>
    </w:p>
    <w:p w:rsidR="00B43C57" w:rsidRPr="00F5723F" w:rsidRDefault="00B43C57">
      <w:r w:rsidRPr="00F5723F">
        <w:t>2. folkbokföring samt</w:t>
      </w:r>
    </w:p>
    <w:p w:rsidR="00B43C57" w:rsidRPr="00F5723F" w:rsidRDefault="00B43C57">
      <w:r w:rsidRPr="00F5723F">
        <w:t>3. exekutionsväsendet.</w:t>
      </w:r>
    </w:p>
    <w:p w:rsidR="00B43C57" w:rsidRPr="00F5723F" w:rsidRDefault="00B43C57">
      <w:r w:rsidRPr="00F5723F">
        <w:t xml:space="preserve">Dessutom bereder utskottet ärenden om anslag inom utgiftsområde 3 Skatt, tull och exekution. </w:t>
      </w:r>
    </w:p>
    <w:p w:rsidR="00B43C57" w:rsidRPr="00F5723F" w:rsidRDefault="00B43C57"/>
    <w:p w:rsidR="00B43C57" w:rsidRPr="00F5723F" w:rsidRDefault="00B43C57">
      <w:r w:rsidRPr="00F5723F">
        <w:t>Justitieutskottet bereder ärenden om</w:t>
      </w:r>
    </w:p>
    <w:p w:rsidR="00B43C57" w:rsidRPr="00F5723F" w:rsidRDefault="00B43C57">
      <w:r w:rsidRPr="00F5723F">
        <w:t>1. domstolarna,</w:t>
      </w:r>
    </w:p>
    <w:p w:rsidR="00B43C57" w:rsidRPr="00F5723F" w:rsidRDefault="00B43C57">
      <w:r w:rsidRPr="00F5723F">
        <w:t>2. arrendenämnderna och hyresnämnderna,</w:t>
      </w:r>
    </w:p>
    <w:p w:rsidR="00B43C57" w:rsidRPr="00F5723F" w:rsidRDefault="00B43C57">
      <w:r w:rsidRPr="00F5723F">
        <w:t>3. åklagarväsendet,</w:t>
      </w:r>
    </w:p>
    <w:p w:rsidR="00B43C57" w:rsidRPr="00F5723F" w:rsidRDefault="00B43C57">
      <w:r w:rsidRPr="00F5723F">
        <w:t>4. polisväsendet,</w:t>
      </w:r>
    </w:p>
    <w:p w:rsidR="00B43C57" w:rsidRPr="00F5723F" w:rsidRDefault="00B43C57">
      <w:r w:rsidRPr="00F5723F">
        <w:t>5. rättsmedicinen,</w:t>
      </w:r>
    </w:p>
    <w:p w:rsidR="00B43C57" w:rsidRPr="00F5723F" w:rsidRDefault="00B43C57">
      <w:r w:rsidRPr="00F5723F">
        <w:t>6. kriminalvården samt</w:t>
      </w:r>
    </w:p>
    <w:p w:rsidR="00B43C57" w:rsidRPr="00F5723F" w:rsidRDefault="00B43C57">
      <w:r w:rsidRPr="00F5723F">
        <w:t>7. brottsbalken, rättegångsbalken och lagar som ersätter eller har nära sa</w:t>
      </w:r>
      <w:r w:rsidRPr="00F5723F">
        <w:t>m</w:t>
      </w:r>
      <w:r w:rsidRPr="00F5723F">
        <w:t>band med föreskrifter i dessa balkar.</w:t>
      </w:r>
    </w:p>
    <w:p w:rsidR="00B43C57" w:rsidRPr="00F5723F" w:rsidRDefault="00B43C57">
      <w:r w:rsidRPr="00F5723F">
        <w:t>Dessutom bereder utskottet ärenden om anslag inom utgiftsområde 4 Rättsv</w:t>
      </w:r>
      <w:r w:rsidRPr="00F5723F">
        <w:t>ä</w:t>
      </w:r>
      <w:r w:rsidRPr="00F5723F">
        <w:t>sendet.</w:t>
      </w:r>
    </w:p>
    <w:p w:rsidR="00B43C57" w:rsidRPr="00F5723F" w:rsidRDefault="00B43C57"/>
    <w:p w:rsidR="00B43C57" w:rsidRPr="00F5723F" w:rsidRDefault="00B43C57">
      <w:r w:rsidRPr="00F5723F">
        <w:t>Lagutskottet bereder ärenden om</w:t>
      </w:r>
    </w:p>
    <w:p w:rsidR="00B43C57" w:rsidRPr="00F5723F" w:rsidRDefault="00B43C57">
      <w:r w:rsidRPr="00F5723F">
        <w:t>1. äktenskaps-, föräldra-, ärvda-, handels-, jorda- och utsökningsbalkarna och lagar som ersätter eller anknyter till föreskrifter i dessa balkar, i den mån ärendena inte tillhör ett annat utskotts beredning,</w:t>
      </w:r>
    </w:p>
    <w:p w:rsidR="00B43C57" w:rsidRPr="00F5723F" w:rsidRDefault="00B43C57">
      <w:r w:rsidRPr="00F5723F">
        <w:t>2. försäkringsavtalsrätt,</w:t>
      </w:r>
    </w:p>
    <w:p w:rsidR="00B43C57" w:rsidRPr="00F5723F" w:rsidRDefault="00B43C57">
      <w:r w:rsidRPr="00F5723F">
        <w:t>3. bolags- och föreningsrätt med undantag för bostadsrätt,</w:t>
      </w:r>
    </w:p>
    <w:p w:rsidR="00B43C57" w:rsidRPr="00F5723F" w:rsidRDefault="00B43C57">
      <w:r w:rsidRPr="00F5723F">
        <w:t>4. växel- och checkrätt,</w:t>
      </w:r>
    </w:p>
    <w:p w:rsidR="00B43C57" w:rsidRPr="00F5723F" w:rsidRDefault="00B43C57">
      <w:r w:rsidRPr="00F5723F">
        <w:t>5. skadeståndsrätt,</w:t>
      </w:r>
    </w:p>
    <w:p w:rsidR="00B43C57" w:rsidRPr="00F5723F" w:rsidRDefault="00B43C57">
      <w:r w:rsidRPr="00F5723F">
        <w:t>6. immaterialrätt,</w:t>
      </w:r>
    </w:p>
    <w:p w:rsidR="00B43C57" w:rsidRPr="00F5723F" w:rsidRDefault="00B43C57">
      <w:r w:rsidRPr="00F5723F">
        <w:t>7. transporträtt,</w:t>
      </w:r>
    </w:p>
    <w:p w:rsidR="00B43C57" w:rsidRPr="00F5723F" w:rsidRDefault="00B43C57">
      <w:r w:rsidRPr="00F5723F">
        <w:t>8. konkursrätt,</w:t>
      </w:r>
    </w:p>
    <w:p w:rsidR="00B43C57" w:rsidRPr="00F5723F" w:rsidRDefault="00B43C57">
      <w:r w:rsidRPr="00F5723F">
        <w:t>9. konsumenträtt,</w:t>
      </w:r>
    </w:p>
    <w:p w:rsidR="00B43C57" w:rsidRPr="00F5723F" w:rsidRDefault="00B43C57">
      <w:r w:rsidRPr="00F5723F">
        <w:t>10. internationell privaträtt samt</w:t>
      </w:r>
    </w:p>
    <w:p w:rsidR="00B43C57" w:rsidRPr="00F5723F" w:rsidRDefault="00B43C57">
      <w:r w:rsidRPr="00F5723F">
        <w:t>11. lagstiftning i andra ärenden av allmänt privaträttslig beskaffenhet.</w:t>
      </w:r>
    </w:p>
    <w:p w:rsidR="00B43C57" w:rsidRPr="00F5723F" w:rsidRDefault="00B43C57"/>
    <w:p w:rsidR="00B43C57" w:rsidRPr="00F5723F" w:rsidRDefault="00B43C57">
      <w:r w:rsidRPr="00F5723F">
        <w:t>Utrikesutskottet bereder ärenden om</w:t>
      </w:r>
    </w:p>
    <w:p w:rsidR="00B43C57" w:rsidRPr="00F5723F" w:rsidRDefault="00B43C57">
      <w:r w:rsidRPr="00F5723F">
        <w:t>1. rikets förhållande till och överenskommelser med andra stater och mella</w:t>
      </w:r>
      <w:r w:rsidRPr="00F5723F">
        <w:t>n</w:t>
      </w:r>
      <w:r w:rsidRPr="00F5723F">
        <w:t>folkliga organisationer,</w:t>
      </w:r>
    </w:p>
    <w:p w:rsidR="00B43C57" w:rsidRPr="00F5723F" w:rsidRDefault="00B43C57">
      <w:r w:rsidRPr="00F5723F">
        <w:t>2. bistånd till andra länders utveckling samt</w:t>
      </w:r>
    </w:p>
    <w:p w:rsidR="00B43C57" w:rsidRPr="00F5723F" w:rsidRDefault="00B43C57">
      <w:r w:rsidRPr="00F5723F">
        <w:t>3. utrikeshandel i övrigt och internationellt ekonomiskt samarbete,</w:t>
      </w:r>
    </w:p>
    <w:p w:rsidR="00B43C57" w:rsidRPr="00F5723F" w:rsidRDefault="00B43C57">
      <w:r w:rsidRPr="00F5723F">
        <w:t>allt i den mån ärendena inte tillhör något annat utskotts beredning.</w:t>
      </w:r>
    </w:p>
    <w:p w:rsidR="00B43C57" w:rsidRPr="00F5723F" w:rsidRDefault="00B43C57">
      <w:r w:rsidRPr="00F5723F">
        <w:t>Dessutom bereder utskottet ärenden om anslag inom utgiftsområdena 5 Inte</w:t>
      </w:r>
      <w:r w:rsidRPr="00F5723F">
        <w:t>r</w:t>
      </w:r>
      <w:r w:rsidRPr="00F5723F">
        <w:t>nationell samverkan och 7 Internationellt bistånd.</w:t>
      </w:r>
    </w:p>
    <w:p w:rsidR="00B43C57" w:rsidRPr="00F5723F" w:rsidRDefault="00B43C57"/>
    <w:p w:rsidR="00B43C57" w:rsidRPr="00F5723F" w:rsidRDefault="00B43C57">
      <w:r w:rsidRPr="00F5723F">
        <w:t>Försvarsutskottet bereder ärenden om</w:t>
      </w:r>
    </w:p>
    <w:p w:rsidR="00B43C57" w:rsidRPr="00F5723F" w:rsidRDefault="00B43C57">
      <w:r w:rsidRPr="00F5723F">
        <w:t>1. den militära delen av totalförsvaret,</w:t>
      </w:r>
    </w:p>
    <w:p w:rsidR="00B43C57" w:rsidRPr="00F5723F" w:rsidRDefault="00B43C57">
      <w:r w:rsidRPr="00F5723F">
        <w:t>2. den civila delen av totalförsvaret, i den mån sådana ärenden inte tillhör något annat utskotts beredning,</w:t>
      </w:r>
    </w:p>
    <w:p w:rsidR="00B43C57" w:rsidRPr="00F5723F" w:rsidRDefault="00B43C57">
      <w:r w:rsidRPr="00F5723F">
        <w:t>3. samordningen inom totalförsvaret,</w:t>
      </w:r>
    </w:p>
    <w:p w:rsidR="00B43C57" w:rsidRPr="00F5723F" w:rsidRDefault="00B43C57">
      <w:r w:rsidRPr="00F5723F">
        <w:t>4. fredsräddningstjänsten samt</w:t>
      </w:r>
    </w:p>
    <w:p w:rsidR="00B43C57" w:rsidRPr="00F5723F" w:rsidRDefault="00B43C57">
      <w:r w:rsidRPr="00F5723F">
        <w:t>5. kustbevakningen.</w:t>
      </w:r>
    </w:p>
    <w:p w:rsidR="00B43C57" w:rsidRPr="00F5723F" w:rsidRDefault="00B43C57">
      <w:r w:rsidRPr="00F5723F">
        <w:t>Dessutom bereder utskottet ärenden om anslag inom utgiftsområde 6 Fö</w:t>
      </w:r>
      <w:r w:rsidRPr="00F5723F">
        <w:t>r</w:t>
      </w:r>
      <w:r w:rsidRPr="00F5723F">
        <w:t>svar samt beredskap mot sårbarhet.</w:t>
      </w:r>
    </w:p>
    <w:p w:rsidR="00B43C57" w:rsidRPr="00F5723F" w:rsidRDefault="00B43C57"/>
    <w:p w:rsidR="00B43C57" w:rsidRPr="00F5723F" w:rsidRDefault="00B43C57">
      <w:r w:rsidRPr="00F5723F">
        <w:t>Socialförsäkringsutskottet bereder ärenden om</w:t>
      </w:r>
    </w:p>
    <w:p w:rsidR="00B43C57" w:rsidRPr="00F5723F" w:rsidRDefault="00B43C57">
      <w:r w:rsidRPr="00F5723F">
        <w:t>1. allmän försäkring,</w:t>
      </w:r>
    </w:p>
    <w:p w:rsidR="00B43C57" w:rsidRPr="00F5723F" w:rsidRDefault="00B43C57">
      <w:r w:rsidRPr="00F5723F">
        <w:t>2. allmän pension,</w:t>
      </w:r>
    </w:p>
    <w:p w:rsidR="00B43C57" w:rsidRPr="00F5723F" w:rsidRDefault="00B43C57">
      <w:r w:rsidRPr="00F5723F">
        <w:t>3. arbetsskadeförsäkring,</w:t>
      </w:r>
    </w:p>
    <w:p w:rsidR="00B43C57" w:rsidRPr="00F5723F" w:rsidRDefault="00B43C57">
      <w:r w:rsidRPr="00F5723F">
        <w:t>4. ekonomiskt stöd åt barnfamiljer,</w:t>
      </w:r>
    </w:p>
    <w:p w:rsidR="00B43C57" w:rsidRPr="00F5723F" w:rsidRDefault="00B43C57">
      <w:r w:rsidRPr="00F5723F">
        <w:t>5. svenskt medborgarskap samt</w:t>
      </w:r>
    </w:p>
    <w:p w:rsidR="00B43C57" w:rsidRPr="00F5723F" w:rsidRDefault="00B43C57">
      <w:r w:rsidRPr="00F5723F">
        <w:t>6. utlännings- och invandrarfrågor.</w:t>
      </w:r>
    </w:p>
    <w:p w:rsidR="00B43C57" w:rsidRPr="00F5723F" w:rsidRDefault="00B43C57">
      <w:r w:rsidRPr="00F5723F">
        <w:t>Dessutom bereder utskottet ärenden om anslag inom utgiftsområdena 8 I</w:t>
      </w:r>
      <w:r w:rsidRPr="00F5723F">
        <w:t>n</w:t>
      </w:r>
      <w:r w:rsidRPr="00F5723F">
        <w:t>vandrare och flyktingar, 10 Ekonomisk trygghet vid sjukdom och hand</w:t>
      </w:r>
      <w:r w:rsidRPr="00F5723F">
        <w:t>i</w:t>
      </w:r>
      <w:r w:rsidRPr="00F5723F">
        <w:t>kapp, 11 Ekonomisk trygghet vid ålderdom och 12 Ekonomisk trygghet för familjer och barn.</w:t>
      </w:r>
    </w:p>
    <w:p w:rsidR="00B43C57" w:rsidRPr="00F5723F" w:rsidRDefault="00B43C57"/>
    <w:p w:rsidR="00B43C57" w:rsidRPr="00F5723F" w:rsidRDefault="00B43C57">
      <w:r w:rsidRPr="00F5723F">
        <w:t>Socialutskottet bereder ärenden om</w:t>
      </w:r>
    </w:p>
    <w:p w:rsidR="00B43C57" w:rsidRPr="00F5723F" w:rsidRDefault="00B43C57">
      <w:r w:rsidRPr="00F5723F">
        <w:t>1. omsorger om barn och ungdom utom förskoleverksamhet och skolbarn</w:t>
      </w:r>
      <w:r w:rsidRPr="00F5723F">
        <w:t>s</w:t>
      </w:r>
      <w:r w:rsidRPr="00F5723F">
        <w:t>omsorg,</w:t>
      </w:r>
    </w:p>
    <w:p w:rsidR="00B43C57" w:rsidRPr="00F5723F" w:rsidRDefault="00B43C57">
      <w:r w:rsidRPr="00F5723F">
        <w:t>2. omsorg om äldre och handikappade,</w:t>
      </w:r>
    </w:p>
    <w:p w:rsidR="00B43C57" w:rsidRPr="00F5723F" w:rsidRDefault="00B43C57">
      <w:r w:rsidRPr="00F5723F">
        <w:t>3. åtgärder mot missbruk och andra socialtjänstfrågor,</w:t>
      </w:r>
    </w:p>
    <w:p w:rsidR="00B43C57" w:rsidRPr="00F5723F" w:rsidRDefault="00B43C57">
      <w:r w:rsidRPr="00F5723F">
        <w:t>4. alkoholpolitiska åtgärder,</w:t>
      </w:r>
    </w:p>
    <w:p w:rsidR="00B43C57" w:rsidRPr="00F5723F" w:rsidRDefault="00B43C57">
      <w:r w:rsidRPr="00F5723F">
        <w:t>5. hälso- och sjukvård samt</w:t>
      </w:r>
    </w:p>
    <w:p w:rsidR="00B43C57" w:rsidRPr="00F5723F" w:rsidRDefault="00B43C57">
      <w:r w:rsidRPr="00F5723F">
        <w:t>6. sociala ärenden i övrigt.</w:t>
      </w:r>
    </w:p>
    <w:p w:rsidR="00B43C57" w:rsidRPr="00F5723F" w:rsidRDefault="00B43C57">
      <w:r w:rsidRPr="00F5723F">
        <w:t>Dessutom bereder utskottet ärenden om anslag inom utgiftsområde 9 Häls</w:t>
      </w:r>
      <w:r w:rsidRPr="00F5723F">
        <w:t>o</w:t>
      </w:r>
      <w:r w:rsidRPr="00F5723F">
        <w:t>vård, sjukvård och social omsorg.</w:t>
      </w:r>
    </w:p>
    <w:p w:rsidR="00B43C57" w:rsidRPr="00F5723F" w:rsidRDefault="00B43C57"/>
    <w:p w:rsidR="00B43C57" w:rsidRPr="00F5723F" w:rsidRDefault="00B43C57">
      <w:r w:rsidRPr="00F5723F">
        <w:t>Kulturutskottet bereder ärenden om</w:t>
      </w:r>
    </w:p>
    <w:p w:rsidR="00B43C57" w:rsidRPr="00F5723F" w:rsidRDefault="00B43C57">
      <w:r w:rsidRPr="00F5723F">
        <w:t>1. allmänna kultur- och bildningsändamål,</w:t>
      </w:r>
    </w:p>
    <w:p w:rsidR="00B43C57" w:rsidRPr="00F5723F" w:rsidRDefault="00B43C57">
      <w:r w:rsidRPr="00F5723F">
        <w:t>2. folkbildning,</w:t>
      </w:r>
    </w:p>
    <w:p w:rsidR="00B43C57" w:rsidRPr="00F5723F" w:rsidRDefault="00B43C57">
      <w:r w:rsidRPr="00F5723F">
        <w:t>3. ungdomsverksamhet,</w:t>
      </w:r>
    </w:p>
    <w:p w:rsidR="00B43C57" w:rsidRPr="00F5723F" w:rsidRDefault="00B43C57">
      <w:r w:rsidRPr="00F5723F">
        <w:t>4. internationellt kulturellt samarbete,</w:t>
      </w:r>
    </w:p>
    <w:p w:rsidR="00B43C57" w:rsidRPr="00F5723F" w:rsidRDefault="00B43C57">
      <w:r w:rsidRPr="00F5723F">
        <w:t>5. idrotts- och friluftsverksamhet,</w:t>
      </w:r>
    </w:p>
    <w:p w:rsidR="00B43C57" w:rsidRPr="00F5723F" w:rsidRDefault="00B43C57">
      <w:r w:rsidRPr="00F5723F">
        <w:t>6. trossamfunden i den mån de inte tillhör konstitutionsutskottets beredning samt</w:t>
      </w:r>
    </w:p>
    <w:p w:rsidR="00B43C57" w:rsidRPr="00F5723F" w:rsidRDefault="00B43C57">
      <w:r w:rsidRPr="00F5723F">
        <w:t>7. radio och television i den mån de inte tillhör konstitutionsutskottets bere</w:t>
      </w:r>
      <w:r w:rsidRPr="00F5723F">
        <w:t>d</w:t>
      </w:r>
      <w:r w:rsidRPr="00F5723F">
        <w:t>ning.</w:t>
      </w:r>
    </w:p>
    <w:p w:rsidR="00B43C57" w:rsidRPr="00F5723F" w:rsidRDefault="00B43C57">
      <w:r w:rsidRPr="00F5723F">
        <w:t>Dessutom bereder utskottet ärenden om anslag inom utgiftsområde 17 Ku</w:t>
      </w:r>
      <w:r w:rsidRPr="00F5723F">
        <w:t>l</w:t>
      </w:r>
      <w:r w:rsidRPr="00F5723F">
        <w:t>tur, medier, trossamfund och fritid.</w:t>
      </w:r>
    </w:p>
    <w:p w:rsidR="00B43C57" w:rsidRPr="00F5723F" w:rsidRDefault="00B43C57"/>
    <w:p w:rsidR="00B43C57" w:rsidRPr="00F5723F" w:rsidRDefault="00B43C57">
      <w:r w:rsidRPr="00F5723F">
        <w:t>Utbildningsutskottet bereder ärenden om</w:t>
      </w:r>
    </w:p>
    <w:p w:rsidR="00B43C57" w:rsidRPr="00F5723F" w:rsidRDefault="00B43C57">
      <w:r w:rsidRPr="00F5723F">
        <w:t>1. förskoleverksamhet och skolbarnsomsorg,</w:t>
      </w:r>
    </w:p>
    <w:p w:rsidR="00B43C57" w:rsidRPr="00F5723F" w:rsidRDefault="00B43C57">
      <w:r w:rsidRPr="00F5723F">
        <w:t>2. skolväsendet,</w:t>
      </w:r>
    </w:p>
    <w:p w:rsidR="00B43C57" w:rsidRPr="00F5723F" w:rsidRDefault="00B43C57">
      <w:r w:rsidRPr="00F5723F">
        <w:t>3. högre utbildning och forskning samt</w:t>
      </w:r>
    </w:p>
    <w:p w:rsidR="00B43C57" w:rsidRPr="00F5723F" w:rsidRDefault="00B43C57">
      <w:r w:rsidRPr="00F5723F">
        <w:t>4. studiestöd.</w:t>
      </w:r>
    </w:p>
    <w:p w:rsidR="00B43C57" w:rsidRPr="00F5723F" w:rsidRDefault="00B43C57">
      <w:r w:rsidRPr="00F5723F">
        <w:t>Dessutom bereder utskottet ärenden om anslag inom utgiftsområdena 15 Studiestöd och 16 Utbildning och universitetsforskning.</w:t>
      </w:r>
    </w:p>
    <w:p w:rsidR="00B43C57" w:rsidRPr="00F5723F" w:rsidRDefault="00B43C57"/>
    <w:p w:rsidR="00B43C57" w:rsidRPr="00F5723F" w:rsidRDefault="00B43C57">
      <w:r w:rsidRPr="00F5723F">
        <w:t>Trafikutskottet bereder ärenden om</w:t>
      </w:r>
    </w:p>
    <w:p w:rsidR="00B43C57" w:rsidRPr="00F5723F" w:rsidRDefault="00B43C57">
      <w:r w:rsidRPr="00F5723F">
        <w:t>1. vägar och vägtrafik,</w:t>
      </w:r>
    </w:p>
    <w:p w:rsidR="00B43C57" w:rsidRPr="00F5723F" w:rsidRDefault="00B43C57">
      <w:r w:rsidRPr="00F5723F">
        <w:t>2. järnvägar och järnvägstrafik,</w:t>
      </w:r>
    </w:p>
    <w:p w:rsidR="00B43C57" w:rsidRPr="00F5723F" w:rsidRDefault="00B43C57">
      <w:r w:rsidRPr="00F5723F">
        <w:t>3. sjöfart,</w:t>
      </w:r>
    </w:p>
    <w:p w:rsidR="00B43C57" w:rsidRPr="00F5723F" w:rsidRDefault="00B43C57">
      <w:r w:rsidRPr="00F5723F">
        <w:t>4. luftfart,</w:t>
      </w:r>
    </w:p>
    <w:p w:rsidR="00B43C57" w:rsidRPr="00F5723F" w:rsidRDefault="00B43C57">
      <w:r w:rsidRPr="00F5723F">
        <w:t>5. trafiksäkerhet,</w:t>
      </w:r>
    </w:p>
    <w:p w:rsidR="00B43C57" w:rsidRPr="00F5723F" w:rsidRDefault="00B43C57">
      <w:r w:rsidRPr="00F5723F">
        <w:t>6. post och telekommunikationer samt</w:t>
      </w:r>
    </w:p>
    <w:p w:rsidR="00B43C57" w:rsidRPr="00F5723F" w:rsidRDefault="00B43C57">
      <w:r w:rsidRPr="00F5723F">
        <w:t>7. informationsteknik.</w:t>
      </w:r>
    </w:p>
    <w:p w:rsidR="00B43C57" w:rsidRPr="00F5723F" w:rsidRDefault="00B43C57">
      <w:r w:rsidRPr="00F5723F">
        <w:t>Dessutom bereder utskottet ärenden om anslag inom utgiftsområde 22 Ko</w:t>
      </w:r>
      <w:r w:rsidRPr="00F5723F">
        <w:t>m</w:t>
      </w:r>
      <w:r w:rsidRPr="00F5723F">
        <w:t>munikationer.</w:t>
      </w:r>
    </w:p>
    <w:p w:rsidR="00B43C57" w:rsidRPr="00F5723F" w:rsidRDefault="00B43C57"/>
    <w:p w:rsidR="00B43C57" w:rsidRPr="00F5723F" w:rsidRDefault="00B43C57">
      <w:r w:rsidRPr="00F5723F">
        <w:t>Miljö- och jordbruksutskottet bereder ärenden om</w:t>
      </w:r>
    </w:p>
    <w:p w:rsidR="00B43C57" w:rsidRPr="00F5723F" w:rsidRDefault="00B43C57">
      <w:r w:rsidRPr="00F5723F">
        <w:t>1. jordbruk, skogsbruk, trädgårdsnäring, jakt och fiske,</w:t>
      </w:r>
    </w:p>
    <w:p w:rsidR="00B43C57" w:rsidRPr="00F5723F" w:rsidRDefault="00B43C57">
      <w:r w:rsidRPr="00F5723F">
        <w:t>2. vädertjänst,</w:t>
      </w:r>
    </w:p>
    <w:p w:rsidR="00B43C57" w:rsidRPr="00F5723F" w:rsidRDefault="00B43C57">
      <w:r w:rsidRPr="00F5723F">
        <w:t>3. kärnsäkerhet,</w:t>
      </w:r>
    </w:p>
    <w:p w:rsidR="00B43C57" w:rsidRPr="00F5723F" w:rsidRDefault="00B43C57">
      <w:r w:rsidRPr="00F5723F">
        <w:t>4. naturvård samt</w:t>
      </w:r>
    </w:p>
    <w:p w:rsidR="00B43C57" w:rsidRPr="00F5723F" w:rsidRDefault="00B43C57">
      <w:r w:rsidRPr="00F5723F">
        <w:t>5. miljövård i övrigt som inte tillhör något annat utskotts beredning.</w:t>
      </w:r>
    </w:p>
    <w:p w:rsidR="00B43C57" w:rsidRPr="00F5723F" w:rsidRDefault="00B43C57">
      <w:r w:rsidRPr="00F5723F">
        <w:t>Dessutom bereder utskottet ärenden om anslag inom utgiftsområdena 20 Allmän miljö- och naturvård samt 23 Jord- och skogsbruk, fiske med ansl</w:t>
      </w:r>
      <w:r w:rsidRPr="00F5723F">
        <w:t>u</w:t>
      </w:r>
      <w:r w:rsidRPr="00F5723F">
        <w:t>tande näringar.</w:t>
      </w:r>
    </w:p>
    <w:p w:rsidR="00B43C57" w:rsidRPr="00F5723F" w:rsidRDefault="00B43C57"/>
    <w:p w:rsidR="00B43C57" w:rsidRPr="00F5723F" w:rsidRDefault="00B43C57">
      <w:r w:rsidRPr="00F5723F">
        <w:t>Näringsutskottet bereder ärenden om</w:t>
      </w:r>
    </w:p>
    <w:p w:rsidR="00B43C57" w:rsidRPr="00F5723F" w:rsidRDefault="00B43C57">
      <w:r w:rsidRPr="00F5723F">
        <w:t>1. allmänna riktlinjer för näringspolitiken och därmed sammanhängande forskningsfrågor,</w:t>
      </w:r>
    </w:p>
    <w:p w:rsidR="00B43C57" w:rsidRPr="00F5723F" w:rsidRDefault="00B43C57">
      <w:r w:rsidRPr="00F5723F">
        <w:t>2. industri och hantverk,</w:t>
      </w:r>
    </w:p>
    <w:p w:rsidR="00B43C57" w:rsidRPr="00F5723F" w:rsidRDefault="00B43C57">
      <w:r w:rsidRPr="00F5723F">
        <w:t>3. handel,</w:t>
      </w:r>
    </w:p>
    <w:p w:rsidR="00B43C57" w:rsidRPr="00F5723F" w:rsidRDefault="00B43C57">
      <w:r w:rsidRPr="00F5723F">
        <w:t>4. energipolitik,</w:t>
      </w:r>
    </w:p>
    <w:p w:rsidR="00B43C57" w:rsidRPr="00F5723F" w:rsidRDefault="00B43C57">
      <w:r w:rsidRPr="00F5723F">
        <w:t>5. regional utvecklingspolitik,</w:t>
      </w:r>
    </w:p>
    <w:p w:rsidR="00B43C57" w:rsidRPr="00F5723F" w:rsidRDefault="00B43C57">
      <w:r w:rsidRPr="00F5723F">
        <w:t>6. statlig företagsamhet samt</w:t>
      </w:r>
    </w:p>
    <w:p w:rsidR="00B43C57" w:rsidRPr="00F5723F" w:rsidRDefault="00B43C57">
      <w:r w:rsidRPr="00F5723F">
        <w:t>7. pris- och konkurrensförhållanden i näringslivet.</w:t>
      </w:r>
    </w:p>
    <w:p w:rsidR="00B43C57" w:rsidRPr="00F5723F" w:rsidRDefault="00B43C57">
      <w:r w:rsidRPr="00F5723F">
        <w:t>Dessutom skall utskottet bereda ärenden om anslag inom utgiftsområdena 19 Regional utveckling, 21 Energi och 24 Näringsliv.</w:t>
      </w:r>
    </w:p>
    <w:p w:rsidR="00B43C57" w:rsidRPr="00F5723F" w:rsidRDefault="00B43C57"/>
    <w:p w:rsidR="00B43C57" w:rsidRPr="00F5723F" w:rsidRDefault="00B43C57">
      <w:r w:rsidRPr="00F5723F">
        <w:t>Arbetsmarknadsutskottet bereder ärenden om</w:t>
      </w:r>
    </w:p>
    <w:p w:rsidR="00B43C57" w:rsidRPr="00F5723F" w:rsidRDefault="00B43C57">
      <w:r w:rsidRPr="00F5723F">
        <w:t>1. arbetsmarknadspolitik,</w:t>
      </w:r>
    </w:p>
    <w:p w:rsidR="00B43C57" w:rsidRPr="00F5723F" w:rsidRDefault="00B43C57">
      <w:r w:rsidRPr="00F5723F">
        <w:t>2. arbetslivspolitik med arbetsrätt samt</w:t>
      </w:r>
    </w:p>
    <w:p w:rsidR="00B43C57" w:rsidRPr="00F5723F" w:rsidRDefault="00B43C57">
      <w:r w:rsidRPr="00F5723F">
        <w:t>3. jämställdhet mellan kvinnor och män i arbetslivet.</w:t>
      </w:r>
    </w:p>
    <w:p w:rsidR="00B43C57" w:rsidRPr="00F5723F" w:rsidRDefault="00B43C57">
      <w:r w:rsidRPr="00F5723F">
        <w:t>Dessutom bereder utskottet ärenden om anslag inom utgiftsområdena 13 Arbetsmarknad och 14 Arbetsliv.</w:t>
      </w:r>
    </w:p>
    <w:p w:rsidR="00B43C57" w:rsidRPr="00F5723F" w:rsidRDefault="00B43C57"/>
    <w:p w:rsidR="00B43C57" w:rsidRPr="00F5723F" w:rsidRDefault="00B43C57">
      <w:r w:rsidRPr="00F5723F">
        <w:t>Bostadsutskottet bereder ärenden om</w:t>
      </w:r>
    </w:p>
    <w:p w:rsidR="00B43C57" w:rsidRPr="00F5723F" w:rsidRDefault="00B43C57">
      <w:r w:rsidRPr="00F5723F">
        <w:t>1. bostadspolitik,</w:t>
      </w:r>
    </w:p>
    <w:p w:rsidR="00B43C57" w:rsidRPr="00F5723F" w:rsidRDefault="00B43C57">
      <w:r w:rsidRPr="00F5723F">
        <w:t>2. hyra, bostadsrätt och tomträtt,</w:t>
      </w:r>
    </w:p>
    <w:p w:rsidR="00B43C57" w:rsidRPr="00F5723F" w:rsidRDefault="00B43C57">
      <w:r w:rsidRPr="00F5723F">
        <w:t>3. vattenrätt,</w:t>
      </w:r>
    </w:p>
    <w:p w:rsidR="00B43C57" w:rsidRPr="00F5723F" w:rsidRDefault="00B43C57">
      <w:r w:rsidRPr="00F5723F">
        <w:t>4. bebyggelseplanläggning,</w:t>
      </w:r>
    </w:p>
    <w:p w:rsidR="00B43C57" w:rsidRPr="00F5723F" w:rsidRDefault="00B43C57">
      <w:r w:rsidRPr="00F5723F">
        <w:t>5. byggnadsväsendet,</w:t>
      </w:r>
    </w:p>
    <w:p w:rsidR="00B43C57" w:rsidRPr="00F5723F" w:rsidRDefault="00B43C57">
      <w:r w:rsidRPr="00F5723F">
        <w:t>6. fysisk planering,</w:t>
      </w:r>
    </w:p>
    <w:p w:rsidR="00B43C57" w:rsidRPr="00F5723F" w:rsidRDefault="00B43C57">
      <w:r w:rsidRPr="00F5723F">
        <w:t>7. expropriation, fastighetsbildning och lantmäteriväsendet,</w:t>
      </w:r>
    </w:p>
    <w:p w:rsidR="00B43C57" w:rsidRPr="00F5723F" w:rsidRDefault="00B43C57">
      <w:r w:rsidRPr="00F5723F">
        <w:t>8. länsförvaltningen och rikets administrativa indelning samt</w:t>
      </w:r>
    </w:p>
    <w:p w:rsidR="00B43C57" w:rsidRPr="00F5723F" w:rsidRDefault="00B43C57">
      <w:r w:rsidRPr="00F5723F">
        <w:t>9. sådana kommunfrågor som inte tillhör något annat utskotts beredning.</w:t>
      </w:r>
    </w:p>
    <w:p w:rsidR="00B43C57" w:rsidRPr="00F5723F" w:rsidRDefault="00B43C57">
      <w:r w:rsidRPr="00F5723F">
        <w:t>Dessutom bereder utskottet ärenden om anslag inom utgiftsområde 18 Sa</w:t>
      </w:r>
      <w:r w:rsidRPr="00F5723F">
        <w:t>m</w:t>
      </w:r>
      <w:r w:rsidRPr="00F5723F">
        <w:t xml:space="preserve">hällsplanering, bostadsförsörjning och byggande. </w:t>
      </w:r>
    </w:p>
    <w:p w:rsidR="00B43C57" w:rsidRPr="00F5723F" w:rsidRDefault="00B43C57">
      <w:pPr>
        <w:pStyle w:val="Rubrik3"/>
        <w:spacing w:before="0" w:after="60"/>
        <w:rPr>
          <w:noProof w:val="0"/>
        </w:rPr>
      </w:pPr>
      <w:r w:rsidRPr="00F5723F">
        <w:rPr>
          <w:noProof w:val="0"/>
        </w:rPr>
        <w:br w:type="page"/>
      </w:r>
      <w:bookmarkStart w:id="115" w:name="_Toc88538640"/>
      <w:bookmarkStart w:id="116" w:name="_Toc88539604"/>
      <w:bookmarkStart w:id="117" w:name="_Toc88540037"/>
      <w:bookmarkStart w:id="118" w:name="_Toc88974510"/>
      <w:bookmarkStart w:id="119" w:name="_Toc88983064"/>
      <w:bookmarkStart w:id="120" w:name="_Toc90302558"/>
      <w:bookmarkStart w:id="121" w:name="_Toc90437286"/>
      <w:bookmarkStart w:id="122" w:name="_Toc90437586"/>
      <w:bookmarkStart w:id="123" w:name="_Toc121738936"/>
      <w:bookmarkStart w:id="124" w:name="_Toc124697820"/>
      <w:r w:rsidRPr="00F5723F">
        <w:rPr>
          <w:noProof w:val="0"/>
        </w:rPr>
        <w:t xml:space="preserve">Appendix </w:t>
      </w:r>
      <w:bookmarkEnd w:id="115"/>
      <w:bookmarkEnd w:id="116"/>
      <w:bookmarkEnd w:id="117"/>
      <w:bookmarkEnd w:id="118"/>
      <w:bookmarkEnd w:id="119"/>
      <w:r w:rsidRPr="00F5723F">
        <w:rPr>
          <w:noProof w:val="0"/>
        </w:rPr>
        <w:t>2</w:t>
      </w:r>
      <w:bookmarkEnd w:id="120"/>
      <w:bookmarkEnd w:id="121"/>
      <w:bookmarkEnd w:id="122"/>
      <w:bookmarkEnd w:id="123"/>
      <w:bookmarkEnd w:id="124"/>
    </w:p>
    <w:p w:rsidR="00B43C57" w:rsidRPr="00F5723F" w:rsidRDefault="00B43C57">
      <w:pPr>
        <w:spacing w:before="0" w:line="120" w:lineRule="exact"/>
      </w:pPr>
    </w:p>
    <w:p w:rsidR="00B43C57" w:rsidRPr="00F5723F" w:rsidRDefault="00F5723F">
      <w:pPr>
        <w:ind w:left="-95"/>
      </w:pPr>
      <w:r w:rsidRPr="00F5723F">
        <w:rPr>
          <w:noProof/>
        </w:rPr>
        <w:drawing>
          <wp:anchor distT="0" distB="0" distL="114300" distR="114300" simplePos="0" relativeHeight="251642880" behindDoc="0" locked="0" layoutInCell="1" allowOverlap="1">
            <wp:simplePos x="0" y="0"/>
            <wp:positionH relativeFrom="character">
              <wp:posOffset>0</wp:posOffset>
            </wp:positionH>
            <wp:positionV relativeFrom="line">
              <wp:posOffset>0</wp:posOffset>
            </wp:positionV>
            <wp:extent cx="3800475" cy="6105525"/>
            <wp:effectExtent l="0" t="0" r="0" b="0"/>
            <wp:wrapNone/>
            <wp:docPr id="823" name="Bild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8">
                      <a:extLst>
                        <a:ext uri="{28A0092B-C50C-407E-A947-70E740481C1C}">
                          <a14:useLocalDpi xmlns:a14="http://schemas.microsoft.com/office/drawing/2010/main" val="0"/>
                        </a:ext>
                      </a:extLst>
                    </a:blip>
                    <a:srcRect l="4047" r="19075"/>
                    <a:stretch>
                      <a:fillRect/>
                    </a:stretch>
                  </pic:blipFill>
                  <pic:spPr bwMode="auto">
                    <a:xfrm rot="-10800000">
                      <a:off x="0" y="0"/>
                      <a:ext cx="3800475" cy="610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799205" cy="6106795"/>
                <wp:effectExtent l="0" t="0" r="0" b="0"/>
                <wp:docPr id="99273286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99205" cy="610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68500" id="AutoShape 2" o:spid="_x0000_s1026" style="width:299.15pt;height:4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" filled="f" stroked="f">
                <o:lock v:ext="edit" aspectratio="t"/>
                <w10:anchorlock/>
              </v:rect>
            </w:pict>
          </mc:Fallback>
        </mc:AlternateContent>
      </w:r>
    </w:p>
    <w:p w:rsidR="00B43C57" w:rsidRPr="00F5723F" w:rsidRDefault="00B43C57">
      <w:pPr>
        <w:pStyle w:val="Normaltindrag"/>
      </w:pPr>
    </w:p>
    <w:p w:rsidR="00B43C57" w:rsidRPr="00F5723F" w:rsidRDefault="00B43C57">
      <w:pPr>
        <w:pStyle w:val="Rubrik3"/>
        <w:pageBreakBefore/>
        <w:spacing w:before="0"/>
        <w:rPr>
          <w:noProof w:val="0"/>
        </w:rPr>
      </w:pPr>
      <w:bookmarkStart w:id="125" w:name="_Toc88538641"/>
      <w:bookmarkStart w:id="126" w:name="_Toc88539605"/>
      <w:bookmarkStart w:id="127" w:name="_Toc88540038"/>
      <w:bookmarkStart w:id="128" w:name="_Toc88974511"/>
      <w:bookmarkStart w:id="129" w:name="_Toc88983065"/>
      <w:bookmarkStart w:id="130" w:name="_Toc90302559"/>
      <w:bookmarkStart w:id="131" w:name="_Toc90437287"/>
      <w:bookmarkStart w:id="132" w:name="_Toc90437587"/>
      <w:bookmarkStart w:id="133" w:name="_Toc121738937"/>
      <w:bookmarkStart w:id="134" w:name="_Toc124697821"/>
      <w:r w:rsidRPr="00F5723F">
        <w:rPr>
          <w:noProof w:val="0"/>
        </w:rPr>
        <w:t xml:space="preserve">Appendix </w:t>
      </w:r>
      <w:bookmarkEnd w:id="125"/>
      <w:bookmarkEnd w:id="126"/>
      <w:bookmarkEnd w:id="127"/>
      <w:bookmarkEnd w:id="128"/>
      <w:bookmarkEnd w:id="129"/>
      <w:r w:rsidRPr="00F5723F">
        <w:rPr>
          <w:noProof w:val="0"/>
        </w:rPr>
        <w:t>3</w:t>
      </w:r>
      <w:bookmarkEnd w:id="130"/>
      <w:bookmarkEnd w:id="131"/>
      <w:bookmarkEnd w:id="132"/>
      <w:bookmarkEnd w:id="133"/>
      <w:bookmarkEnd w:id="134"/>
    </w:p>
    <w:p w:rsidR="00B43C57" w:rsidRPr="00F5723F" w:rsidRDefault="00F5723F">
      <w:pPr>
        <w:ind w:left="-95"/>
      </w:pPr>
      <w:r w:rsidRPr="00F5723F">
        <w:rPr>
          <w:noProof/>
        </w:rPr>
        <w:drawing>
          <wp:anchor distT="0" distB="0" distL="114300" distR="114300" simplePos="0" relativeHeight="251650048" behindDoc="0" locked="0" layoutInCell="1" allowOverlap="1">
            <wp:simplePos x="0" y="0"/>
            <wp:positionH relativeFrom="character">
              <wp:posOffset>0</wp:posOffset>
            </wp:positionH>
            <wp:positionV relativeFrom="line">
              <wp:posOffset>0</wp:posOffset>
            </wp:positionV>
            <wp:extent cx="4143375" cy="6381750"/>
            <wp:effectExtent l="0" t="0" r="0" b="0"/>
            <wp:wrapNone/>
            <wp:docPr id="812" name="Bild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9">
                      <a:extLst>
                        <a:ext uri="{28A0092B-C50C-407E-A947-70E740481C1C}">
                          <a14:useLocalDpi xmlns:a14="http://schemas.microsoft.com/office/drawing/2010/main" val="0"/>
                        </a:ext>
                      </a:extLst>
                    </a:blip>
                    <a:srcRect r="16185"/>
                    <a:stretch>
                      <a:fillRect/>
                    </a:stretch>
                  </pic:blipFill>
                  <pic:spPr bwMode="auto">
                    <a:xfrm rot="-10800000">
                      <a:off x="0" y="0"/>
                      <a:ext cx="4143375" cy="638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4142105" cy="6384290"/>
                <wp:effectExtent l="0" t="0" r="0" b="0"/>
                <wp:docPr id="168029601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2105" cy="638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AC4DB" id="AutoShape 3" o:spid="_x0000_s1026" style="width:326.15pt;height:5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" filled="f" stroked="f">
                <o:lock v:ext="edit" aspectratio="t"/>
                <w10:anchorlock/>
              </v:rect>
            </w:pict>
          </mc:Fallback>
        </mc:AlternateContent>
      </w:r>
    </w:p>
    <w:p w:rsidR="00B43C57" w:rsidRPr="00F5723F" w:rsidRDefault="00B43C57">
      <w:pPr>
        <w:pStyle w:val="Rubrik3"/>
        <w:pageBreakBefore/>
        <w:spacing w:before="0" w:after="60"/>
        <w:rPr>
          <w:noProof w:val="0"/>
        </w:rPr>
      </w:pPr>
      <w:bookmarkStart w:id="135" w:name="_Toc88538642"/>
      <w:bookmarkStart w:id="136" w:name="_Toc88539606"/>
      <w:bookmarkStart w:id="137" w:name="_Toc88540039"/>
      <w:bookmarkStart w:id="138" w:name="_Toc88974512"/>
      <w:bookmarkStart w:id="139" w:name="_Toc88983066"/>
      <w:bookmarkStart w:id="140" w:name="_Toc90302560"/>
      <w:bookmarkStart w:id="141" w:name="_Toc90437288"/>
      <w:bookmarkStart w:id="142" w:name="_Toc90437588"/>
      <w:bookmarkStart w:id="143" w:name="_Toc121738938"/>
      <w:bookmarkStart w:id="144" w:name="_Toc124697822"/>
      <w:r w:rsidRPr="00F5723F">
        <w:rPr>
          <w:noProof w:val="0"/>
        </w:rPr>
        <w:t xml:space="preserve">Appendix </w:t>
      </w:r>
      <w:bookmarkEnd w:id="135"/>
      <w:bookmarkEnd w:id="136"/>
      <w:bookmarkEnd w:id="137"/>
      <w:bookmarkEnd w:id="138"/>
      <w:bookmarkEnd w:id="139"/>
      <w:r w:rsidRPr="00F5723F">
        <w:rPr>
          <w:noProof w:val="0"/>
        </w:rPr>
        <w:t>4</w:t>
      </w:r>
      <w:bookmarkEnd w:id="140"/>
      <w:bookmarkEnd w:id="141"/>
      <w:bookmarkEnd w:id="142"/>
      <w:bookmarkEnd w:id="143"/>
      <w:bookmarkEnd w:id="144"/>
    </w:p>
    <w:p w:rsidR="00B43C57" w:rsidRPr="00F5723F" w:rsidRDefault="00F5723F">
      <w:r w:rsidRPr="00F5723F">
        <w:rPr>
          <w:noProof/>
        </w:rPr>
        <w:drawing>
          <wp:anchor distT="0" distB="0" distL="114300" distR="114300" simplePos="0" relativeHeight="251649024" behindDoc="0" locked="0" layoutInCell="1" allowOverlap="1">
            <wp:simplePos x="0" y="0"/>
            <wp:positionH relativeFrom="character">
              <wp:posOffset>0</wp:posOffset>
            </wp:positionH>
            <wp:positionV relativeFrom="line">
              <wp:posOffset>0</wp:posOffset>
            </wp:positionV>
            <wp:extent cx="3679190" cy="6063615"/>
            <wp:effectExtent l="0" t="0" r="0" b="0"/>
            <wp:wrapNone/>
            <wp:docPr id="813" name="Bild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0">
                      <a:extLst>
                        <a:ext uri="{28A0092B-C50C-407E-A947-70E740481C1C}">
                          <a14:useLocalDpi xmlns:a14="http://schemas.microsoft.com/office/drawing/2010/main" val="0"/>
                        </a:ext>
                      </a:extLst>
                    </a:blip>
                    <a:srcRect l="189" r="35275"/>
                    <a:stretch>
                      <a:fillRect/>
                    </a:stretch>
                  </pic:blipFill>
                  <pic:spPr bwMode="auto">
                    <a:xfrm rot="-10800000">
                      <a:off x="0" y="0"/>
                      <a:ext cx="3679190" cy="606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679190" cy="6063615"/>
                <wp:effectExtent l="0" t="0" r="0" b="0"/>
                <wp:docPr id="18326990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79190" cy="606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F664E" id="AutoShape 4" o:spid="_x0000_s1026" style="width:289.7pt;height:4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" filled="f" stroked="f">
                <o:lock v:ext="edit" aspectratio="t"/>
                <w10:anchorlock/>
              </v:rect>
            </w:pict>
          </mc:Fallback>
        </mc:AlternateContent>
      </w:r>
    </w:p>
    <w:p w:rsidR="00B43C57" w:rsidRPr="00F5723F" w:rsidRDefault="00B43C57">
      <w:pPr>
        <w:pStyle w:val="Rubrik3"/>
        <w:pageBreakBefore/>
        <w:spacing w:before="0" w:after="60"/>
        <w:rPr>
          <w:noProof w:val="0"/>
        </w:rPr>
      </w:pPr>
      <w:bookmarkStart w:id="145" w:name="_Toc88538643"/>
      <w:bookmarkStart w:id="146" w:name="_Toc88539607"/>
      <w:bookmarkStart w:id="147" w:name="_Toc88540040"/>
      <w:bookmarkStart w:id="148" w:name="_Toc88974513"/>
      <w:bookmarkStart w:id="149" w:name="_Toc88983067"/>
      <w:bookmarkStart w:id="150" w:name="_Toc90302561"/>
      <w:bookmarkStart w:id="151" w:name="_Toc90437289"/>
      <w:bookmarkStart w:id="152" w:name="_Toc90437589"/>
      <w:bookmarkStart w:id="153" w:name="_Toc121738939"/>
      <w:bookmarkStart w:id="154" w:name="_Toc124697823"/>
      <w:r w:rsidRPr="00F5723F">
        <w:rPr>
          <w:noProof w:val="0"/>
        </w:rPr>
        <w:t>Appendix 5</w:t>
      </w:r>
      <w:bookmarkEnd w:id="151"/>
      <w:bookmarkEnd w:id="152"/>
      <w:bookmarkEnd w:id="153"/>
      <w:bookmarkEnd w:id="154"/>
    </w:p>
    <w:p w:rsidR="00B43C57" w:rsidRPr="00F5723F" w:rsidRDefault="00F5723F">
      <w:r w:rsidRPr="00F5723F">
        <w:rPr>
          <w:noProof/>
        </w:rPr>
        <w:drawing>
          <wp:anchor distT="0" distB="0" distL="114300" distR="114300" simplePos="0" relativeHeight="251648000" behindDoc="0" locked="0" layoutInCell="1" allowOverlap="1">
            <wp:simplePos x="0" y="0"/>
            <wp:positionH relativeFrom="character">
              <wp:posOffset>0</wp:posOffset>
            </wp:positionH>
            <wp:positionV relativeFrom="line">
              <wp:posOffset>0</wp:posOffset>
            </wp:positionV>
            <wp:extent cx="3858895" cy="5852160"/>
            <wp:effectExtent l="0" t="0" r="0" b="0"/>
            <wp:wrapNone/>
            <wp:docPr id="814" name="Bild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1">
                      <a:extLst>
                        <a:ext uri="{28A0092B-C50C-407E-A947-70E740481C1C}">
                          <a14:useLocalDpi xmlns:a14="http://schemas.microsoft.com/office/drawing/2010/main" val="0"/>
                        </a:ext>
                      </a:extLst>
                    </a:blip>
                    <a:srcRect l="2293" r="30620"/>
                    <a:stretch>
                      <a:fillRect/>
                    </a:stretch>
                  </pic:blipFill>
                  <pic:spPr bwMode="auto">
                    <a:xfrm rot="-10800000">
                      <a:off x="0" y="0"/>
                      <a:ext cx="3858895" cy="585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858895" cy="5850890"/>
                <wp:effectExtent l="0" t="0" r="0" b="0"/>
                <wp:docPr id="84532476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8895" cy="585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DF9E1" id="AutoShape 5" o:spid="_x0000_s1026" style="width:303.85pt;height:4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" filled="f" stroked="f">
                <o:lock v:ext="edit" aspectratio="t"/>
                <w10:anchorlock/>
              </v:rect>
            </w:pict>
          </mc:Fallback>
        </mc:AlternateContent>
      </w:r>
    </w:p>
    <w:p w:rsidR="00B43C57" w:rsidRPr="00F5723F" w:rsidRDefault="00B43C57">
      <w:pPr>
        <w:pStyle w:val="Rubrik3"/>
        <w:pageBreakBefore/>
        <w:spacing w:before="0" w:after="60"/>
        <w:rPr>
          <w:noProof w:val="0"/>
        </w:rPr>
      </w:pPr>
      <w:bookmarkStart w:id="155" w:name="_Toc90437290"/>
      <w:bookmarkStart w:id="156" w:name="_Toc90437590"/>
      <w:bookmarkStart w:id="157" w:name="_Toc121738940"/>
      <w:bookmarkStart w:id="158" w:name="_Toc124697824"/>
      <w:r w:rsidRPr="00F5723F">
        <w:rPr>
          <w:noProof w:val="0"/>
        </w:rPr>
        <w:t xml:space="preserve">Appendix </w:t>
      </w:r>
      <w:bookmarkEnd w:id="150"/>
      <w:r w:rsidRPr="00F5723F">
        <w:rPr>
          <w:noProof w:val="0"/>
        </w:rPr>
        <w:t>6</w:t>
      </w:r>
      <w:bookmarkEnd w:id="155"/>
      <w:bookmarkEnd w:id="156"/>
      <w:bookmarkEnd w:id="157"/>
      <w:bookmarkEnd w:id="158"/>
    </w:p>
    <w:p w:rsidR="00B43C57" w:rsidRPr="00F5723F" w:rsidRDefault="00B43C57">
      <w:pPr>
        <w:spacing w:before="0" w:line="120" w:lineRule="exact"/>
      </w:pPr>
      <w:bookmarkStart w:id="159" w:name="_Toc90302562"/>
      <w:bookmarkStart w:id="160" w:name="_Toc90437291"/>
      <w:bookmarkStart w:id="161" w:name="_Toc90437591"/>
      <w:bookmarkStart w:id="162" w:name="_Toc121738941"/>
    </w:p>
    <w:p w:rsidR="00B43C57" w:rsidRPr="00F5723F" w:rsidRDefault="00F5723F">
      <w:r w:rsidRPr="00F5723F">
        <w:rPr>
          <w:noProof/>
        </w:rPr>
        <w:drawing>
          <wp:anchor distT="0" distB="0" distL="114300" distR="114300" simplePos="0" relativeHeight="251646976" behindDoc="0" locked="0" layoutInCell="1" allowOverlap="1">
            <wp:simplePos x="0" y="0"/>
            <wp:positionH relativeFrom="character">
              <wp:posOffset>0</wp:posOffset>
            </wp:positionH>
            <wp:positionV relativeFrom="line">
              <wp:posOffset>0</wp:posOffset>
            </wp:positionV>
            <wp:extent cx="3543300" cy="6610350"/>
            <wp:effectExtent l="0" t="0" r="0" b="0"/>
            <wp:wrapNone/>
            <wp:docPr id="815" name="Bild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2">
                      <a:extLst>
                        <a:ext uri="{28A0092B-C50C-407E-A947-70E740481C1C}">
                          <a14:useLocalDpi xmlns:a14="http://schemas.microsoft.com/office/drawing/2010/main" val="0"/>
                        </a:ext>
                      </a:extLst>
                    </a:blip>
                    <a:srcRect l="2312" r="26012"/>
                    <a:stretch>
                      <a:fillRect/>
                    </a:stretch>
                  </pic:blipFill>
                  <pic:spPr bwMode="auto">
                    <a:xfrm rot="-10800000">
                      <a:off x="0" y="0"/>
                      <a:ext cx="3543300" cy="661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543300" cy="6612890"/>
                <wp:effectExtent l="0" t="0" r="0" b="0"/>
                <wp:docPr id="62071306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3300" cy="661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52BA4" id="AutoShape 6" o:spid="_x0000_s1026" style="width:279pt;height:5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" filled="f" stroked="f">
                <o:lock v:ext="edit" aspectratio="t"/>
                <w10:anchorlock/>
              </v:rect>
            </w:pict>
          </mc:Fallback>
        </mc:AlternateContent>
      </w:r>
    </w:p>
    <w:p w:rsidR="00B43C57" w:rsidRPr="00F5723F" w:rsidRDefault="00B43C57">
      <w:pPr>
        <w:pStyle w:val="Rubrik3"/>
        <w:pageBreakBefore/>
        <w:spacing w:before="0"/>
        <w:rPr>
          <w:noProof w:val="0"/>
        </w:rPr>
      </w:pPr>
      <w:bookmarkStart w:id="163" w:name="_Toc124697825"/>
      <w:r w:rsidRPr="00F5723F">
        <w:rPr>
          <w:noProof w:val="0"/>
        </w:rPr>
        <w:t xml:space="preserve">Appendix </w:t>
      </w:r>
      <w:bookmarkEnd w:id="145"/>
      <w:bookmarkEnd w:id="146"/>
      <w:bookmarkEnd w:id="147"/>
      <w:bookmarkEnd w:id="148"/>
      <w:bookmarkEnd w:id="149"/>
      <w:bookmarkEnd w:id="159"/>
      <w:r w:rsidRPr="00F5723F">
        <w:rPr>
          <w:noProof w:val="0"/>
        </w:rPr>
        <w:t>7</w:t>
      </w:r>
      <w:bookmarkEnd w:id="160"/>
      <w:bookmarkEnd w:id="161"/>
      <w:bookmarkEnd w:id="162"/>
      <w:bookmarkEnd w:id="163"/>
    </w:p>
    <w:p w:rsidR="00B43C57" w:rsidRPr="00F5723F" w:rsidRDefault="00B43C57">
      <w:pPr>
        <w:pStyle w:val="Normaltindrag"/>
        <w:spacing w:line="120" w:lineRule="exact"/>
      </w:pPr>
    </w:p>
    <w:p w:rsidR="00B43C57" w:rsidRPr="00F5723F" w:rsidRDefault="00F5723F">
      <w:r w:rsidRPr="00F5723F">
        <w:rPr>
          <w:noProof/>
        </w:rPr>
        <w:drawing>
          <wp:anchor distT="0" distB="0" distL="114300" distR="114300" simplePos="0" relativeHeight="251641856" behindDoc="0" locked="0" layoutInCell="1" allowOverlap="1">
            <wp:simplePos x="0" y="0"/>
            <wp:positionH relativeFrom="character">
              <wp:posOffset>0</wp:posOffset>
            </wp:positionH>
            <wp:positionV relativeFrom="line">
              <wp:posOffset>0</wp:posOffset>
            </wp:positionV>
            <wp:extent cx="3557905" cy="6591300"/>
            <wp:effectExtent l="0" t="0" r="0" b="0"/>
            <wp:wrapNone/>
            <wp:docPr id="825" name="Bild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3">
                      <a:extLst>
                        <a:ext uri="{28A0092B-C50C-407E-A947-70E740481C1C}">
                          <a14:useLocalDpi xmlns:a14="http://schemas.microsoft.com/office/drawing/2010/main" val="0"/>
                        </a:ext>
                      </a:extLst>
                    </a:blip>
                    <a:srcRect l="4311" r="23718"/>
                    <a:stretch>
                      <a:fillRect/>
                    </a:stretch>
                  </pic:blipFill>
                  <pic:spPr bwMode="auto">
                    <a:xfrm rot="-10800000">
                      <a:off x="0" y="0"/>
                      <a:ext cx="3557905"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559810" cy="6591300"/>
                <wp:effectExtent l="0" t="0" r="0" b="0"/>
                <wp:docPr id="131160212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9810"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4506C" id="AutoShape 7" o:spid="_x0000_s1026" style="width:280.3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" filled="f" stroked="f">
                <o:lock v:ext="edit" aspectratio="t"/>
                <w10:anchorlock/>
              </v:rect>
            </w:pict>
          </mc:Fallback>
        </mc:AlternateContent>
      </w:r>
    </w:p>
    <w:p w:rsidR="00B43C57" w:rsidRPr="00F5723F" w:rsidRDefault="00B43C57">
      <w:pPr>
        <w:pStyle w:val="Rubrik3"/>
        <w:pageBreakBefore/>
        <w:spacing w:before="0" w:after="60"/>
        <w:rPr>
          <w:noProof w:val="0"/>
        </w:rPr>
      </w:pPr>
      <w:bookmarkStart w:id="164" w:name="_Toc88538644"/>
      <w:bookmarkStart w:id="165" w:name="_Toc88539608"/>
      <w:bookmarkStart w:id="166" w:name="_Toc88540041"/>
      <w:bookmarkStart w:id="167" w:name="_Toc88974514"/>
      <w:bookmarkStart w:id="168" w:name="_Toc88983068"/>
      <w:bookmarkStart w:id="169" w:name="_Toc90302563"/>
      <w:bookmarkStart w:id="170" w:name="_Toc90437292"/>
      <w:bookmarkStart w:id="171" w:name="_Toc90437592"/>
      <w:bookmarkStart w:id="172" w:name="_Toc121738942"/>
      <w:bookmarkStart w:id="173" w:name="_Toc124697826"/>
      <w:r w:rsidRPr="00F5723F">
        <w:rPr>
          <w:noProof w:val="0"/>
        </w:rPr>
        <w:t xml:space="preserve">Appendix </w:t>
      </w:r>
      <w:bookmarkEnd w:id="167"/>
      <w:bookmarkEnd w:id="168"/>
      <w:bookmarkEnd w:id="169"/>
      <w:r w:rsidRPr="00F5723F">
        <w:rPr>
          <w:noProof w:val="0"/>
        </w:rPr>
        <w:t>8</w:t>
      </w:r>
      <w:bookmarkEnd w:id="170"/>
      <w:bookmarkEnd w:id="171"/>
      <w:bookmarkEnd w:id="172"/>
      <w:bookmarkEnd w:id="173"/>
    </w:p>
    <w:p w:rsidR="00B43C57" w:rsidRPr="00F5723F" w:rsidRDefault="00B43C57">
      <w:pPr>
        <w:spacing w:before="0" w:line="120" w:lineRule="exact"/>
      </w:pPr>
    </w:p>
    <w:p w:rsidR="00B43C57" w:rsidRPr="00F5723F" w:rsidRDefault="00F5723F">
      <w:bookmarkStart w:id="174" w:name="_Toc88974515"/>
      <w:bookmarkStart w:id="175" w:name="_Toc88983069"/>
      <w:bookmarkStart w:id="176" w:name="_Toc90302564"/>
      <w:bookmarkStart w:id="177" w:name="_Toc90437293"/>
      <w:bookmarkStart w:id="178" w:name="_Toc90437593"/>
      <w:bookmarkStart w:id="179" w:name="_Toc121738943"/>
      <w:r w:rsidRPr="00F5723F">
        <w:rPr>
          <w:noProof/>
        </w:rPr>
        <w:drawing>
          <wp:anchor distT="0" distB="0" distL="114300" distR="114300" simplePos="0" relativeHeight="251643904" behindDoc="0" locked="0" layoutInCell="1" allowOverlap="1">
            <wp:simplePos x="0" y="0"/>
            <wp:positionH relativeFrom="character">
              <wp:posOffset>0</wp:posOffset>
            </wp:positionH>
            <wp:positionV relativeFrom="line">
              <wp:posOffset>0</wp:posOffset>
            </wp:positionV>
            <wp:extent cx="3542030" cy="6858000"/>
            <wp:effectExtent l="0" t="0" r="0" b="0"/>
            <wp:wrapNone/>
            <wp:docPr id="820" name="Bild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4">
                      <a:extLst>
                        <a:ext uri="{28A0092B-C50C-407E-A947-70E740481C1C}">
                          <a14:useLocalDpi xmlns:a14="http://schemas.microsoft.com/office/drawing/2010/main" val="0"/>
                        </a:ext>
                      </a:extLst>
                    </a:blip>
                    <a:srcRect l="2307" r="26035"/>
                    <a:stretch>
                      <a:fillRect/>
                    </a:stretch>
                  </pic:blipFill>
                  <pic:spPr bwMode="auto">
                    <a:xfrm rot="-10800000">
                      <a:off x="0" y="0"/>
                      <a:ext cx="354203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543300" cy="6858000"/>
                <wp:effectExtent l="0" t="0" r="0" b="0"/>
                <wp:docPr id="52352576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33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2A66B" id="AutoShape 8" o:spid="_x0000_s1026" style="width:279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" filled="f" stroked="f">
                <o:lock v:ext="edit" aspectratio="t"/>
                <w10:anchorlock/>
              </v:rect>
            </w:pict>
          </mc:Fallback>
        </mc:AlternateContent>
      </w:r>
    </w:p>
    <w:p w:rsidR="00B43C57" w:rsidRPr="00F5723F" w:rsidRDefault="00B43C57">
      <w:pPr>
        <w:pStyle w:val="Rubrik3"/>
        <w:pageBreakBefore/>
        <w:spacing w:before="0"/>
        <w:rPr>
          <w:noProof w:val="0"/>
        </w:rPr>
      </w:pPr>
      <w:bookmarkStart w:id="180" w:name="_Toc124697827"/>
      <w:r w:rsidRPr="00F5723F">
        <w:rPr>
          <w:noProof w:val="0"/>
        </w:rPr>
        <w:t xml:space="preserve">Appendix </w:t>
      </w:r>
      <w:bookmarkEnd w:id="164"/>
      <w:bookmarkEnd w:id="165"/>
      <w:bookmarkEnd w:id="166"/>
      <w:bookmarkEnd w:id="174"/>
      <w:bookmarkEnd w:id="175"/>
      <w:bookmarkEnd w:id="176"/>
      <w:r w:rsidRPr="00F5723F">
        <w:rPr>
          <w:noProof w:val="0"/>
        </w:rPr>
        <w:t>9</w:t>
      </w:r>
      <w:bookmarkEnd w:id="177"/>
      <w:bookmarkEnd w:id="178"/>
      <w:bookmarkEnd w:id="179"/>
      <w:bookmarkEnd w:id="180"/>
    </w:p>
    <w:p w:rsidR="00B43C57" w:rsidRPr="00F5723F" w:rsidRDefault="00B43C57">
      <w:pPr>
        <w:spacing w:before="0" w:line="120" w:lineRule="exact"/>
      </w:pPr>
    </w:p>
    <w:p w:rsidR="00B43C57" w:rsidRPr="00F5723F" w:rsidRDefault="00F5723F">
      <w:bookmarkStart w:id="181" w:name="_Toc88538645"/>
      <w:bookmarkStart w:id="182" w:name="_Toc88540042"/>
      <w:bookmarkStart w:id="183" w:name="_Toc88974516"/>
      <w:bookmarkStart w:id="184" w:name="_Toc88983070"/>
      <w:bookmarkStart w:id="185" w:name="_Toc90302565"/>
      <w:bookmarkStart w:id="186" w:name="_Toc90437294"/>
      <w:bookmarkStart w:id="187" w:name="_Toc90437594"/>
      <w:bookmarkStart w:id="188" w:name="_Toc121738944"/>
      <w:r w:rsidRPr="00F5723F">
        <w:rPr>
          <w:noProof/>
        </w:rPr>
        <w:drawing>
          <wp:anchor distT="0" distB="0" distL="114300" distR="114300" simplePos="0" relativeHeight="251645952" behindDoc="0" locked="0" layoutInCell="1" allowOverlap="1">
            <wp:simplePos x="0" y="0"/>
            <wp:positionH relativeFrom="character">
              <wp:posOffset>0</wp:posOffset>
            </wp:positionH>
            <wp:positionV relativeFrom="line">
              <wp:posOffset>0</wp:posOffset>
            </wp:positionV>
            <wp:extent cx="3848100" cy="6415405"/>
            <wp:effectExtent l="0" t="0" r="0" b="0"/>
            <wp:wrapNone/>
            <wp:docPr id="818" name="Bild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5">
                      <a:extLst>
                        <a:ext uri="{28A0092B-C50C-407E-A947-70E740481C1C}">
                          <a14:useLocalDpi xmlns:a14="http://schemas.microsoft.com/office/drawing/2010/main" val="0"/>
                        </a:ext>
                      </a:extLst>
                    </a:blip>
                    <a:srcRect r="21417"/>
                    <a:stretch>
                      <a:fillRect/>
                    </a:stretch>
                  </pic:blipFill>
                  <pic:spPr bwMode="auto">
                    <a:xfrm rot="-10800000">
                      <a:off x="0" y="0"/>
                      <a:ext cx="3848100" cy="641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848100" cy="6411595"/>
                <wp:effectExtent l="0" t="0" r="0" b="0"/>
                <wp:docPr id="1498827606"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48100" cy="641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1DCC2" id="AutoShape 9" o:spid="_x0000_s1026" style="width:303pt;height:5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" filled="f" stroked="f">
                <o:lock v:ext="edit" aspectratio="t"/>
                <w10:anchorlock/>
              </v:rect>
            </w:pict>
          </mc:Fallback>
        </mc:AlternateContent>
      </w:r>
    </w:p>
    <w:p w:rsidR="00B43C57" w:rsidRPr="00F5723F" w:rsidRDefault="00B43C57">
      <w:pPr>
        <w:pStyle w:val="Rubrik3"/>
        <w:pageBreakBefore/>
        <w:spacing w:before="0"/>
        <w:rPr>
          <w:noProof w:val="0"/>
        </w:rPr>
      </w:pPr>
      <w:bookmarkStart w:id="189" w:name="_Toc124697828"/>
      <w:r w:rsidRPr="00F5723F">
        <w:rPr>
          <w:noProof w:val="0"/>
        </w:rPr>
        <w:t xml:space="preserve">Appendix </w:t>
      </w:r>
      <w:bookmarkEnd w:id="181"/>
      <w:bookmarkEnd w:id="182"/>
      <w:bookmarkEnd w:id="183"/>
      <w:bookmarkEnd w:id="184"/>
      <w:bookmarkEnd w:id="185"/>
      <w:r w:rsidRPr="00F5723F">
        <w:rPr>
          <w:noProof w:val="0"/>
        </w:rPr>
        <w:t>10</w:t>
      </w:r>
      <w:bookmarkEnd w:id="186"/>
      <w:bookmarkEnd w:id="187"/>
      <w:bookmarkEnd w:id="188"/>
      <w:bookmarkEnd w:id="189"/>
    </w:p>
    <w:p w:rsidR="00B43C57" w:rsidRPr="00F5723F" w:rsidRDefault="00B43C57">
      <w:pPr>
        <w:spacing w:before="0" w:line="120" w:lineRule="exact"/>
      </w:pPr>
    </w:p>
    <w:p w:rsidR="00B43C57" w:rsidRPr="00F5723F" w:rsidRDefault="00F5723F">
      <w:r w:rsidRPr="00F5723F">
        <w:rPr>
          <w:noProof/>
        </w:rPr>
        <w:drawing>
          <wp:anchor distT="0" distB="0" distL="114300" distR="114300" simplePos="0" relativeHeight="251644928" behindDoc="0" locked="0" layoutInCell="1" allowOverlap="1">
            <wp:simplePos x="0" y="0"/>
            <wp:positionH relativeFrom="character">
              <wp:posOffset>0</wp:posOffset>
            </wp:positionH>
            <wp:positionV relativeFrom="line">
              <wp:posOffset>0</wp:posOffset>
            </wp:positionV>
            <wp:extent cx="3542665" cy="6753225"/>
            <wp:effectExtent l="0" t="0" r="0" b="0"/>
            <wp:wrapNone/>
            <wp:docPr id="819" name="Bild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6">
                      <a:extLst>
                        <a:ext uri="{28A0092B-C50C-407E-A947-70E740481C1C}">
                          <a14:useLocalDpi xmlns:a14="http://schemas.microsoft.com/office/drawing/2010/main" val="0"/>
                        </a:ext>
                      </a:extLst>
                    </a:blip>
                    <a:srcRect r="28340"/>
                    <a:stretch>
                      <a:fillRect/>
                    </a:stretch>
                  </pic:blipFill>
                  <pic:spPr bwMode="auto">
                    <a:xfrm rot="-10800000">
                      <a:off x="0" y="0"/>
                      <a:ext cx="3542665" cy="675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23F">
        <w:rPr>
          <w:noProof/>
        </w:rPr>
        <mc:AlternateContent>
          <mc:Choice Requires="wps">
            <w:drawing>
              <wp:inline distT="0" distB="0" distL="0" distR="0">
                <wp:extent cx="3543300" cy="6754495"/>
                <wp:effectExtent l="0" t="0" r="0" b="0"/>
                <wp:docPr id="34979822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3300" cy="675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808EC" id="AutoShape 10" o:spid="_x0000_s1026" style="width:279pt;height:5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" filled="f" stroked="f">
                <o:lock v:ext="edit" aspectratio="t"/>
                <w10:anchorlock/>
              </v:rect>
            </w:pict>
          </mc:Fallback>
        </mc:AlternateContent>
      </w:r>
    </w:p>
    <w:p w:rsidR="00B43C57" w:rsidRPr="00F5723F" w:rsidRDefault="00B43C57">
      <w:bookmarkStart w:id="190" w:name="_Toc121738945"/>
    </w:p>
    <w:p w:rsidR="00B43C57" w:rsidRPr="00F5723F" w:rsidRDefault="00B43C57">
      <w:pPr>
        <w:sectPr w:rsidR="00000000" w:rsidRPr="00F5723F">
          <w:headerReference w:type="even" r:id="rId57"/>
          <w:headerReference w:type="default" r:id="rId58"/>
          <w:footerReference w:type="even" r:id="rId59"/>
          <w:footerReference w:type="default" r:id="rId60"/>
          <w:headerReference w:type="first" r:id="rId61"/>
          <w:footerReference w:type="first" r:id="rId62"/>
          <w:pgSz w:w="11906" w:h="16838" w:code="9"/>
          <w:pgMar w:top="907" w:right="4649" w:bottom="4508" w:left="1304" w:header="340" w:footer="227" w:gutter="0"/>
          <w:cols w:space="720"/>
          <w:titlePg/>
        </w:sectPr>
      </w:pPr>
    </w:p>
    <w:p w:rsidR="00B43C57" w:rsidRPr="00F5723F" w:rsidRDefault="00B43C57">
      <w:pPr>
        <w:pStyle w:val="Rubrik1"/>
        <w:jc w:val="center"/>
        <w:rPr>
          <w:b/>
          <w:noProof w:val="0"/>
        </w:rPr>
      </w:pPr>
      <w:bookmarkStart w:id="191" w:name="_Toc124697829"/>
      <w:r w:rsidRPr="00F5723F">
        <w:rPr>
          <w:b/>
          <w:noProof w:val="0"/>
        </w:rPr>
        <w:t>Rapport 3</w:t>
      </w:r>
      <w:bookmarkEnd w:id="191"/>
    </w:p>
    <w:p w:rsidR="00B43C57" w:rsidRPr="00F5723F" w:rsidRDefault="00B43C57">
      <w:pPr>
        <w:pStyle w:val="Rubrik1"/>
        <w:jc w:val="center"/>
        <w:rPr>
          <w:noProof w:val="0"/>
        </w:rPr>
      </w:pPr>
      <w:bookmarkStart w:id="192" w:name="_Toc124697830"/>
      <w:r w:rsidRPr="00F5723F">
        <w:rPr>
          <w:noProof w:val="0"/>
        </w:rPr>
        <w:t>Utskottens arbete med forsknings- och framtidsfrågor</w:t>
      </w:r>
      <w:bookmarkEnd w:id="17"/>
      <w:bookmarkEnd w:id="190"/>
      <w:bookmarkEnd w:id="192"/>
    </w:p>
    <w:p w:rsidR="00B43C57" w:rsidRPr="00F5723F" w:rsidRDefault="00B43C57">
      <w:pPr>
        <w:jc w:val="center"/>
        <w:rPr>
          <w:b/>
        </w:rPr>
      </w:pPr>
      <w:r w:rsidRPr="00F5723F">
        <w:rPr>
          <w:b/>
        </w:rPr>
        <w:t>Kai Kronvall</w:t>
      </w:r>
    </w:p>
    <w:p w:rsidR="00B43C57" w:rsidRPr="00F5723F" w:rsidRDefault="00B43C57"/>
    <w:p w:rsidR="00B43C57" w:rsidRPr="00F5723F" w:rsidRDefault="00B43C57"/>
    <w:p w:rsidR="00B43C57" w:rsidRPr="00F5723F" w:rsidRDefault="00B43C57"/>
    <w:p w:rsidR="00B43C57" w:rsidRPr="00F5723F" w:rsidRDefault="00B43C57"/>
    <w:p w:rsidR="00B43C57" w:rsidRPr="00F5723F" w:rsidRDefault="00B43C57">
      <w:r w:rsidRPr="00F5723F">
        <w:t>Inom Riksdagskommittén har det befunnits lämpligt att samla in uppgi</w:t>
      </w:r>
      <w:r w:rsidRPr="00F5723F">
        <w:t>f</w:t>
      </w:r>
      <w:r w:rsidRPr="00F5723F">
        <w:t>ter från utskotten om bland annat i vilken utsträckning forsknings- och framtid</w:t>
      </w:r>
      <w:r w:rsidRPr="00F5723F">
        <w:t>s</w:t>
      </w:r>
      <w:r w:rsidRPr="00F5723F">
        <w:t>frågor inryms i arbetet inom utskotten. I det följande lämmnas en redovisning av dessa up</w:t>
      </w:r>
      <w:r w:rsidRPr="00F5723F">
        <w:t>p</w:t>
      </w:r>
      <w:r w:rsidRPr="00F5723F">
        <w:t>gifter.</w:t>
      </w:r>
    </w:p>
    <w:p w:rsidR="00B43C57" w:rsidRPr="00F5723F" w:rsidRDefault="00B43C57">
      <w:pPr>
        <w:pStyle w:val="Normaltindrag"/>
      </w:pPr>
      <w:r w:rsidRPr="00F5723F">
        <w:t xml:space="preserve">Med </w:t>
      </w:r>
      <w:r w:rsidRPr="00F5723F">
        <w:rPr>
          <w:i/>
        </w:rPr>
        <w:t xml:space="preserve">forskningsfrågor </w:t>
      </w:r>
      <w:r w:rsidRPr="00F5723F">
        <w:t xml:space="preserve">menas här närmast vad som kan kallas ”forskning för politik”, det vill säga i vad mån vetenskapligt baserad kunskap ligger till grund för eller på annat sätt är en integrerad del av det politiska arbetet i utskotten. </w:t>
      </w:r>
    </w:p>
    <w:p w:rsidR="00B43C57" w:rsidRPr="00F5723F" w:rsidRDefault="00B43C57">
      <w:pPr>
        <w:pStyle w:val="Normaltindrag"/>
      </w:pPr>
      <w:r w:rsidRPr="00F5723F">
        <w:t xml:space="preserve">Med </w:t>
      </w:r>
      <w:r w:rsidRPr="00F5723F">
        <w:rPr>
          <w:i/>
        </w:rPr>
        <w:t xml:space="preserve">framtidsfrågor </w:t>
      </w:r>
      <w:r w:rsidRPr="00F5723F">
        <w:t>menas här närmast sådana frågor som avser kons</w:t>
      </w:r>
      <w:r w:rsidRPr="00F5723F">
        <w:t>e</w:t>
      </w:r>
      <w:r w:rsidRPr="00F5723F">
        <w:t>kvenser av samhällsutvecklingen på längre sikt (10–20 år) och vilka behov av bland annat politisk handlingsberedskap denna utveckling och dessa kons</w:t>
      </w:r>
      <w:r w:rsidRPr="00F5723F">
        <w:t>e</w:t>
      </w:r>
      <w:r w:rsidRPr="00F5723F">
        <w:t>kvenser ger upphov till.</w:t>
      </w:r>
    </w:p>
    <w:p w:rsidR="00B43C57" w:rsidRPr="00F5723F" w:rsidRDefault="00B43C57">
      <w:pPr>
        <w:pStyle w:val="Normaltindrag"/>
      </w:pPr>
      <w:r w:rsidRPr="00F5723F">
        <w:t>Mot denna bakgrund har följande frågor tillställts utskottens kanslichefer samt chefen för utredningstjänsten, RUT:</w:t>
      </w:r>
    </w:p>
    <w:p w:rsidR="00B43C57" w:rsidRPr="00F5723F" w:rsidRDefault="00B43C57">
      <w:pPr>
        <w:pStyle w:val="Normaltindrag"/>
      </w:pPr>
    </w:p>
    <w:p w:rsidR="00B43C57" w:rsidRPr="00F5723F" w:rsidRDefault="00B43C57">
      <w:pPr>
        <w:pStyle w:val="Normaltindrag"/>
        <w:numPr>
          <w:ilvl w:val="0"/>
          <w:numId w:val="43"/>
        </w:numPr>
        <w:tabs>
          <w:tab w:val="clear" w:pos="947"/>
          <w:tab w:val="num" w:pos="567"/>
        </w:tabs>
        <w:ind w:left="567" w:hanging="567"/>
      </w:pPr>
      <w:r w:rsidRPr="00F5723F">
        <w:t>På vilket sätt arbetar generellt sett utskottet redan i dag med fors</w:t>
      </w:r>
      <w:r w:rsidRPr="00F5723F">
        <w:t>k</w:t>
      </w:r>
      <w:r w:rsidRPr="00F5723F">
        <w:t>nings- och framtidsfrågor?</w:t>
      </w:r>
    </w:p>
    <w:p w:rsidR="00B43C57" w:rsidRPr="00F5723F" w:rsidRDefault="00B43C57">
      <w:pPr>
        <w:pStyle w:val="Normaltindrag"/>
        <w:numPr>
          <w:ilvl w:val="0"/>
          <w:numId w:val="43"/>
        </w:numPr>
        <w:tabs>
          <w:tab w:val="clear" w:pos="947"/>
          <w:tab w:val="num" w:pos="567"/>
        </w:tabs>
        <w:ind w:left="567" w:hanging="567"/>
      </w:pPr>
      <w:r w:rsidRPr="00F5723F">
        <w:t>Vid vilka tillfällen och på vilket sätt har utskottet arbetat med fors</w:t>
      </w:r>
      <w:r w:rsidRPr="00F5723F">
        <w:t>k</w:t>
      </w:r>
      <w:r w:rsidRPr="00F5723F">
        <w:t>nings- och framtidsfrågor under riksmötet 2002/03 och innevarande riksmöte? Ange gärna konkreta exempel!</w:t>
      </w:r>
    </w:p>
    <w:p w:rsidR="00B43C57" w:rsidRPr="00F5723F" w:rsidRDefault="00B43C57">
      <w:pPr>
        <w:pStyle w:val="Normaltindrag"/>
        <w:numPr>
          <w:ilvl w:val="0"/>
          <w:numId w:val="43"/>
        </w:numPr>
        <w:tabs>
          <w:tab w:val="clear" w:pos="947"/>
          <w:tab w:val="num" w:pos="567"/>
        </w:tabs>
        <w:ind w:left="567" w:hanging="567"/>
      </w:pPr>
      <w:r w:rsidRPr="00F5723F">
        <w:t>Vilka allmänna synpunkter har utskottet på hur riksdagen framgent kan arbeta praktiskt med forsknings- och framtidsfrågor och hur ku</w:t>
      </w:r>
      <w:r w:rsidRPr="00F5723F">
        <w:t>n</w:t>
      </w:r>
      <w:r w:rsidRPr="00F5723F">
        <w:t>skap på denna grund kan utnyttjas och integreras i beslutsfatta</w:t>
      </w:r>
      <w:r w:rsidRPr="00F5723F">
        <w:t>n</w:t>
      </w:r>
      <w:r w:rsidRPr="00F5723F">
        <w:t>det?</w:t>
      </w:r>
    </w:p>
    <w:p w:rsidR="00B43C57" w:rsidRPr="00F5723F" w:rsidRDefault="00B43C57">
      <w:pPr>
        <w:pStyle w:val="Normaltindrag"/>
        <w:numPr>
          <w:ilvl w:val="0"/>
          <w:numId w:val="43"/>
        </w:numPr>
        <w:tabs>
          <w:tab w:val="clear" w:pos="947"/>
          <w:tab w:val="num" w:pos="567"/>
        </w:tabs>
        <w:ind w:left="567" w:hanging="567"/>
      </w:pPr>
      <w:r w:rsidRPr="00F5723F">
        <w:t>Vilken eller vilka typer av stöd och resurser anser sig utskottet beh</w:t>
      </w:r>
      <w:r w:rsidRPr="00F5723F">
        <w:t>ö</w:t>
      </w:r>
      <w:r w:rsidRPr="00F5723F">
        <w:t>va för ett eventuellt intensifierat arbete med forsknings- och framtidsfr</w:t>
      </w:r>
      <w:r w:rsidRPr="00F5723F">
        <w:t>å</w:t>
      </w:r>
      <w:r w:rsidRPr="00F5723F">
        <w:t>gor?</w:t>
      </w:r>
    </w:p>
    <w:p w:rsidR="00B43C57" w:rsidRPr="00F5723F" w:rsidRDefault="00B43C57">
      <w:r w:rsidRPr="00F5723F">
        <w:t>Det har förutsatts att respektive kanslichef skulle inhämta ledamöternas e</w:t>
      </w:r>
      <w:r w:rsidRPr="00F5723F">
        <w:t>l</w:t>
      </w:r>
      <w:r w:rsidRPr="00F5723F">
        <w:t>ler åtminstone presidiets synpunkter särskilt vad gäller fråga 3 och eventuellt även fråga 4.</w:t>
      </w:r>
    </w:p>
    <w:p w:rsidR="00B43C57" w:rsidRPr="00F5723F" w:rsidRDefault="00B43C57">
      <w:pPr>
        <w:pStyle w:val="Normaltindrag"/>
      </w:pPr>
      <w:r w:rsidRPr="00F5723F">
        <w:t>Till enkäten bifogades en promemoria som författats av utrikesutskottets kanslichef Thomas Hörberg.</w:t>
      </w:r>
    </w:p>
    <w:p w:rsidR="00B43C57" w:rsidRPr="00F5723F" w:rsidRDefault="00B43C57">
      <w:pPr>
        <w:pStyle w:val="Normaltindrag"/>
      </w:pPr>
      <w:r w:rsidRPr="00F5723F">
        <w:t>Svar på enkätfrågorna har lämnats i skriftlig form eller vid intervjuer med kanslicheferna, där i vissa fall även föredraganden vid utskottskanslierna medverkat. Svaren varierar innehållsligt inom relativt vida ramar, från utfö</w:t>
      </w:r>
      <w:r w:rsidRPr="00F5723F">
        <w:t>r</w:t>
      </w:r>
      <w:r w:rsidRPr="00F5723F">
        <w:t>liga skriftliga svar till relativt kortfattade muntliga svar. Bakom de bedö</w:t>
      </w:r>
      <w:r w:rsidRPr="00F5723F">
        <w:t>m</w:t>
      </w:r>
      <w:r w:rsidRPr="00F5723F">
        <w:t>ningar som gjorts, förslag som lämnats etc. står i de flesta fall respektive utskott eller dess presidium. I vissa fall är det enskilda ledamöter som står bakom svaren. Om enskilda svar är omfattande anges deras karaktär i te</w:t>
      </w:r>
      <w:r w:rsidRPr="00F5723F">
        <w:t>x</w:t>
      </w:r>
      <w:r w:rsidRPr="00F5723F">
        <w:t>ten. Det kan också vara en kanslichef som lämnat svaret i utskottets namn; när detta sker har jag utan närmare prövning antagit att det är sakligt vä</w:t>
      </w:r>
      <w:r w:rsidRPr="00F5723F">
        <w:t>l</w:t>
      </w:r>
      <w:r w:rsidRPr="00F5723F">
        <w:t>grundat. En konsekvens av det redovisningssätt som valts är</w:t>
      </w:r>
      <w:r w:rsidRPr="00F5723F">
        <w:t xml:space="preserve"> således att ett svar som refererar till ett utskott inte alltid har utskottet som avsändare i strikt formell mening. </w:t>
      </w:r>
    </w:p>
    <w:p w:rsidR="00B43C57" w:rsidRPr="00F5723F" w:rsidRDefault="00B43C57">
      <w:pPr>
        <w:pStyle w:val="Normaltindrag"/>
      </w:pPr>
      <w:r w:rsidRPr="00F5723F">
        <w:t>Med hänsyn till inkommande uppgifters disparata karaktär har det inte b</w:t>
      </w:r>
      <w:r w:rsidRPr="00F5723F">
        <w:t>e</w:t>
      </w:r>
      <w:r w:rsidRPr="00F5723F">
        <w:t>dömts som meningsfullt att detaljerat systematisera svaren innehållsligt eller att kvantifiera svaren, det vill säga redovisa frekvensen av olika typer av svar på enskilda frågor. I stället har en redovisningsteknik valts som innebär att jag ger en översiktlig bild av svarsutfallet på de enskilda frågorna med e</w:t>
      </w:r>
      <w:r w:rsidRPr="00F5723F">
        <w:t>x</w:t>
      </w:r>
      <w:r w:rsidRPr="00F5723F">
        <w:t>empel på vad som är den dominerande tendensen, om det finns en sådan, och red</w:t>
      </w:r>
      <w:r w:rsidRPr="00F5723F">
        <w:t>o</w:t>
      </w:r>
      <w:r w:rsidRPr="00F5723F">
        <w:t>visar övriga svar därutöver. I princip alla svar som lämnats redov</w:t>
      </w:r>
      <w:r w:rsidRPr="00F5723F">
        <w:t>i</w:t>
      </w:r>
      <w:r w:rsidRPr="00F5723F">
        <w:t>sas också, mer eller mindre fullständigt, i texten.</w:t>
      </w:r>
    </w:p>
    <w:p w:rsidR="00B43C57" w:rsidRPr="00F5723F" w:rsidRDefault="00B43C57">
      <w:pPr>
        <w:pStyle w:val="Normaltindrag"/>
      </w:pPr>
      <w:r w:rsidRPr="00F5723F">
        <w:t>T</w:t>
      </w:r>
      <w:r w:rsidRPr="00F5723F">
        <w:t>olv utskott har besvarat enkäten: KU, FiU, UU, FöU, SfU, SoU, KrU, UbU, TU, MJU, NU och AU. Det innebär att ca 70 procent av de tillfrågade besvarat enkäten. Av detta följer att de svar som lämnats inte fullt ut kan betra</w:t>
      </w:r>
      <w:r w:rsidRPr="00F5723F">
        <w:t>k</w:t>
      </w:r>
      <w:r w:rsidRPr="00F5723F">
        <w:t>tas som i statistisk mening representativa för hela utskottskollektivet. Icke desto mindre kan det antas att de fakta, bedömningar och förslag som kommit fram i svaren ger en relativt rättvisande bild av utskottens aktivit</w:t>
      </w:r>
      <w:r w:rsidRPr="00F5723F">
        <w:t>e</w:t>
      </w:r>
      <w:r w:rsidRPr="00F5723F">
        <w:t>ter och attityder i de här aktuella frågorna.</w:t>
      </w:r>
    </w:p>
    <w:p w:rsidR="00B43C57" w:rsidRPr="00F5723F" w:rsidRDefault="00B43C57">
      <w:pPr>
        <w:pStyle w:val="Rubrik2"/>
      </w:pPr>
      <w:bookmarkStart w:id="193" w:name="_Toc121738947"/>
      <w:bookmarkStart w:id="194" w:name="_Toc124697831"/>
      <w:r w:rsidRPr="00F5723F">
        <w:t>Samspelet mellan fors</w:t>
      </w:r>
      <w:r w:rsidRPr="00F5723F">
        <w:t>kning och politik</w:t>
      </w:r>
      <w:bookmarkEnd w:id="193"/>
      <w:bookmarkEnd w:id="194"/>
    </w:p>
    <w:p w:rsidR="00B43C57" w:rsidRPr="00F5723F" w:rsidRDefault="00B43C57">
      <w:r w:rsidRPr="00F5723F">
        <w:t>I detta avsnitt vidarebefordrar jag inledningsvis några allmänna synpunkter som kanslichefen vid utrikesutskottet Thomas Hörberg lämnat i en promem</w:t>
      </w:r>
      <w:r w:rsidRPr="00F5723F">
        <w:t>o</w:t>
      </w:r>
      <w:r w:rsidRPr="00F5723F">
        <w:t>ria i anslutning till enk</w:t>
      </w:r>
      <w:r w:rsidRPr="00F5723F">
        <w:t>ä</w:t>
      </w:r>
      <w:r w:rsidRPr="00F5723F">
        <w:t>ten.</w:t>
      </w:r>
    </w:p>
    <w:p w:rsidR="00B43C57" w:rsidRPr="00F5723F" w:rsidRDefault="00B43C57">
      <w:pPr>
        <w:pStyle w:val="Normaltindrag"/>
      </w:pPr>
      <w:r w:rsidRPr="00F5723F">
        <w:t>Om forskningen skall få en mera framträdande roll i riksdagsarbetet är ”mo</w:t>
      </w:r>
      <w:r w:rsidRPr="00F5723F">
        <w:t>t</w:t>
      </w:r>
      <w:r w:rsidRPr="00F5723F">
        <w:t>tagningskapaciteten” en av förutsättningarna. Ett sätt för utskotten att skaffa en sådan kapacitet är att forskare eller experter rekryteras till utskott</w:t>
      </w:r>
      <w:r w:rsidRPr="00F5723F">
        <w:t>s</w:t>
      </w:r>
      <w:r w:rsidRPr="00F5723F">
        <w:t xml:space="preserve">kansliet, med uppgift att tolka, värdera och föra in vetenskapliga data i det politiska arbetet. </w:t>
      </w:r>
    </w:p>
    <w:p w:rsidR="00B43C57" w:rsidRPr="00F5723F" w:rsidRDefault="00B43C57">
      <w:pPr>
        <w:pStyle w:val="Normaltindrag"/>
      </w:pPr>
      <w:r w:rsidRPr="00F5723F">
        <w:t>Nationalekonomerna synes historiskt sett ha gått i bräschen som vete</w:t>
      </w:r>
      <w:r w:rsidRPr="00F5723F">
        <w:t>n</w:t>
      </w:r>
      <w:r w:rsidRPr="00F5723F">
        <w:t>skapl</w:t>
      </w:r>
      <w:r w:rsidRPr="00F5723F">
        <w:t>i</w:t>
      </w:r>
      <w:r w:rsidRPr="00F5723F">
        <w:t>ga rådgivare till politiker; en portalfigur är i detta sammanhang den britti</w:t>
      </w:r>
      <w:r w:rsidRPr="00F5723F">
        <w:t>s</w:t>
      </w:r>
      <w:r w:rsidRPr="00F5723F">
        <w:t>ke ekonomen J.M. Keynes. Behovet av långsiktig politisk planering samt av analys av säkerhetspolitiska frågor medförde att statsvetare gjorde entré i rådgivningsbranschen; så inrättades i slutet av 1940-talet en politisk plan</w:t>
      </w:r>
      <w:r w:rsidRPr="00F5723F">
        <w:t>e</w:t>
      </w:r>
      <w:r w:rsidRPr="00F5723F">
        <w:t>ringsstab i det amerikanska utrikesdepartementet, och UD i Sverige fick en motsvarande funktion i början av 1970-talet. Sådana enheter tenderar erfare</w:t>
      </w:r>
      <w:r w:rsidRPr="00F5723F">
        <w:t>n</w:t>
      </w:r>
      <w:r w:rsidRPr="00F5723F">
        <w:t>hetsmässigt att antingen isoleras från linjen och b</w:t>
      </w:r>
      <w:r w:rsidRPr="00F5723F">
        <w:t>li irrelevanta eller dras in i det löpande arbetet och därmed hindras i det arbete de egentligen är till för att utföra. (Utrikesutskottets kansli i det svenska parlamentet är e</w:t>
      </w:r>
      <w:r w:rsidRPr="00F5723F">
        <w:t>x</w:t>
      </w:r>
      <w:r w:rsidRPr="00F5723F">
        <w:t>tremt for</w:t>
      </w:r>
      <w:r w:rsidRPr="00F5723F">
        <w:t>s</w:t>
      </w:r>
      <w:r w:rsidRPr="00F5723F">
        <w:t>kartätt.)</w:t>
      </w:r>
    </w:p>
    <w:p w:rsidR="00B43C57" w:rsidRPr="00F5723F" w:rsidRDefault="00B43C57">
      <w:pPr>
        <w:pStyle w:val="Normaltindrag"/>
      </w:pPr>
      <w:r w:rsidRPr="00F5723F">
        <w:t>Avsaknad av vetenskapliga studier av expertfunktioner i parlamentariska organisationer medför att det inte finns någon säker kunskap om hur exper</w:t>
      </w:r>
      <w:r w:rsidRPr="00F5723F">
        <w:t>t</w:t>
      </w:r>
      <w:r w:rsidRPr="00F5723F">
        <w:t>funktioner – i detta fall personer som kan föra in forskningsresultat med mera i det parlamentariska arbetet – kan och bör integreras i denna typ av organis</w:t>
      </w:r>
      <w:r w:rsidRPr="00F5723F">
        <w:t>a</w:t>
      </w:r>
      <w:r w:rsidRPr="00F5723F">
        <w:t>tion.</w:t>
      </w:r>
    </w:p>
    <w:p w:rsidR="00B43C57" w:rsidRPr="00F5723F" w:rsidRDefault="00B43C57">
      <w:pPr>
        <w:pStyle w:val="Normaltindrag"/>
      </w:pPr>
      <w:r w:rsidRPr="00F5723F">
        <w:t>Ett annat sätt att föra in vetenskaplig kunskap i det parlamentariska arb</w:t>
      </w:r>
      <w:r w:rsidRPr="00F5723F">
        <w:t>e</w:t>
      </w:r>
      <w:r w:rsidRPr="00F5723F">
        <w:t>tet är att efter förebild från det brittiska parlamentet upprätta fasta förbinde</w:t>
      </w:r>
      <w:r w:rsidRPr="00F5723F">
        <w:t>l</w:t>
      </w:r>
      <w:r w:rsidRPr="00F5723F">
        <w:t>ser med externa forskare för s.k. parliamentary briefings. En tanke bakom ett sådant arrangemang är att intellektuella stimuli utifrån befrämjar effektivit</w:t>
      </w:r>
      <w:r w:rsidRPr="00F5723F">
        <w:t>e</w:t>
      </w:r>
      <w:r w:rsidRPr="00F5723F">
        <w:t>ten hos såväl tjänstemannaorganisationen som den politiska organisati</w:t>
      </w:r>
      <w:r w:rsidRPr="00F5723F">
        <w:t>o</w:t>
      </w:r>
      <w:r w:rsidRPr="00F5723F">
        <w:t>nen. (Utr</w:t>
      </w:r>
      <w:r w:rsidRPr="00F5723F">
        <w:t>i</w:t>
      </w:r>
      <w:r w:rsidRPr="00F5723F">
        <w:t>kesutskottet har för sin del fr.o.m. innevarande riksmöte avtalat med Utrike</w:t>
      </w:r>
      <w:r w:rsidRPr="00F5723F">
        <w:t>s</w:t>
      </w:r>
      <w:r w:rsidRPr="00F5723F">
        <w:t>politiska institutet om sådana intellektuella injektioner.)</w:t>
      </w:r>
    </w:p>
    <w:p w:rsidR="00B43C57" w:rsidRPr="00F5723F" w:rsidRDefault="00B43C57">
      <w:pPr>
        <w:pStyle w:val="Normaltindrag"/>
      </w:pPr>
      <w:r w:rsidRPr="00F5723F">
        <w:t xml:space="preserve">Ett ytterligare sätt att höja mottagningskapaciteten hos </w:t>
      </w:r>
      <w:r w:rsidRPr="00F5723F">
        <w:t>parlamentariska o</w:t>
      </w:r>
      <w:r w:rsidRPr="00F5723F">
        <w:t>r</w:t>
      </w:r>
      <w:r w:rsidRPr="00F5723F">
        <w:t>gan är att ge ledamöterna likvärdiga förutsättningar för att tillgodogöra sig kvalificerad forskningsinformation, varvid internutbildning i form av akad</w:t>
      </w:r>
      <w:r w:rsidRPr="00F5723F">
        <w:t>e</w:t>
      </w:r>
      <w:r w:rsidRPr="00F5723F">
        <w:t>miska föreläsningar är en möjlig metod. Därvid kan, som fallet är i utrikesu</w:t>
      </w:r>
      <w:r w:rsidRPr="00F5723F">
        <w:t>t</w:t>
      </w:r>
      <w:r w:rsidRPr="00F5723F">
        <w:t>skottet, tyngdpunkten läggas vid terminologi och grundläggande vetenskapl</w:t>
      </w:r>
      <w:r w:rsidRPr="00F5723F">
        <w:t>i</w:t>
      </w:r>
      <w:r w:rsidRPr="00F5723F">
        <w:t>ga sy</w:t>
      </w:r>
      <w:r w:rsidRPr="00F5723F">
        <w:t>n</w:t>
      </w:r>
      <w:r w:rsidRPr="00F5723F">
        <w:t>sätt inom den eller de aktuella disciplinerna.</w:t>
      </w:r>
    </w:p>
    <w:p w:rsidR="00B43C57" w:rsidRPr="00F5723F" w:rsidRDefault="00B43C57">
      <w:pPr>
        <w:pStyle w:val="Normaltindrag"/>
      </w:pPr>
      <w:r w:rsidRPr="00F5723F">
        <w:t>Med utgångspunkt från den politiskt kontroversiella frågan om hiv/aids i Sydafrika skulle jag vilja något problematisera den grundläggand</w:t>
      </w:r>
      <w:r w:rsidRPr="00F5723F">
        <w:t>e frågan om interaktionen mellan vetenskap och politik. Som bekant gäller kontr</w:t>
      </w:r>
      <w:r w:rsidRPr="00F5723F">
        <w:t>o</w:t>
      </w:r>
      <w:r w:rsidRPr="00F5723F">
        <w:t>versen i Sydafrika i korthet bland annat skilda bedömningar av förklaringar till och förekomst av virus, giltig empiri och lämpliga åtgärder. President Mbeki har under de senaste tio åren på ett sätt som väckt uppseende världen över ifråg</w:t>
      </w:r>
      <w:r w:rsidRPr="00F5723F">
        <w:t>a</w:t>
      </w:r>
      <w:r w:rsidRPr="00F5723F">
        <w:t>satt råda</w:t>
      </w:r>
      <w:r w:rsidRPr="00F5723F">
        <w:t>n</w:t>
      </w:r>
      <w:r w:rsidRPr="00F5723F">
        <w:t>de vetenskapliga konsensus om sambandet mellan hiv och aids, med stora konsekvenser för behandlingsmetoder etc. I juli 2002 ålade konstit</w:t>
      </w:r>
      <w:r w:rsidRPr="00F5723F">
        <w:t>u</w:t>
      </w:r>
      <w:r w:rsidRPr="00F5723F">
        <w:t>tionsdo</w:t>
      </w:r>
      <w:r w:rsidRPr="00F5723F">
        <w:t>m</w:t>
      </w:r>
      <w:r w:rsidRPr="00F5723F">
        <w:t>stolen regeringen att åter låta distr</w:t>
      </w:r>
      <w:r w:rsidRPr="00F5723F">
        <w:t>ibuera en viss bromsmedicin till grav</w:t>
      </w:r>
      <w:r w:rsidRPr="00F5723F">
        <w:t>i</w:t>
      </w:r>
      <w:r w:rsidRPr="00F5723F">
        <w:t>da kvinnor.</w:t>
      </w:r>
      <w:r w:rsidRPr="00F5723F">
        <w:rPr>
          <w:rStyle w:val="Fotnotsreferens"/>
        </w:rPr>
        <w:footnoteReference w:id="74"/>
      </w:r>
      <w:r w:rsidRPr="00F5723F">
        <w:t xml:space="preserve"> </w:t>
      </w:r>
    </w:p>
    <w:p w:rsidR="00B43C57" w:rsidRPr="00F5723F" w:rsidRDefault="00B43C57">
      <w:pPr>
        <w:pStyle w:val="Normaltindrag"/>
      </w:pPr>
      <w:r w:rsidRPr="00F5723F">
        <w:t>Det sydafrikanska exemplet kan i detta sammanhang synas en aning e</w:t>
      </w:r>
      <w:r w:rsidRPr="00F5723F">
        <w:t>x</w:t>
      </w:r>
      <w:r w:rsidRPr="00F5723F">
        <w:t>tremt, men enligt min mening visar det på sambandet generellt mellan fors</w:t>
      </w:r>
      <w:r w:rsidRPr="00F5723F">
        <w:t>k</w:t>
      </w:r>
      <w:r w:rsidRPr="00F5723F">
        <w:t>ning och politik på ett närmast övertydligt sätt. Vetenskapssociologen Peter Weingart har framhållit att fallet är unikt i studier av sambandet mellan ku</w:t>
      </w:r>
      <w:r w:rsidRPr="00F5723F">
        <w:t>n</w:t>
      </w:r>
      <w:r w:rsidRPr="00F5723F">
        <w:t>skapsproduktion och politiskt beslutsfattande. Enligt Weingart bygger dem</w:t>
      </w:r>
      <w:r w:rsidRPr="00F5723F">
        <w:t>o</w:t>
      </w:r>
      <w:r w:rsidRPr="00F5723F">
        <w:t>krati på vetenskaplig kunskap; politiker utgår för det mesta från råda</w:t>
      </w:r>
      <w:r w:rsidRPr="00F5723F">
        <w:t>n</w:t>
      </w:r>
      <w:r w:rsidRPr="00F5723F">
        <w:t>de vetenskaplig konsensus och åberopar vid behov vetenskapens auktoritet, som kan anses starkare än någon annan auktoritet. I fallet Sydaf</w:t>
      </w:r>
      <w:r w:rsidRPr="00F5723F">
        <w:t>rika är enligt Weingart det intressanta att en politiker utamanade en relativt stark vete</w:t>
      </w:r>
      <w:r w:rsidRPr="00F5723F">
        <w:t>n</w:t>
      </w:r>
      <w:r w:rsidRPr="00F5723F">
        <w:t>skaplig konsensus och försökte därvid så att säga omförhandla kontraktet me</w:t>
      </w:r>
      <w:r w:rsidRPr="00F5723F">
        <w:t>l</w:t>
      </w:r>
      <w:r w:rsidRPr="00F5723F">
        <w:t>lan vetenskap och politik. Weingart menar också att politiker kan vara sele</w:t>
      </w:r>
      <w:r w:rsidRPr="00F5723F">
        <w:t>k</w:t>
      </w:r>
      <w:r w:rsidRPr="00F5723F">
        <w:t>tiva när de fogar in vetenskapliga fakta i sin argumentation. De kan dock inte riskfritt argumentera totalt på tvärs mot rådande vetenskaplig konse</w:t>
      </w:r>
      <w:r w:rsidRPr="00F5723F">
        <w:t>n</w:t>
      </w:r>
      <w:r w:rsidRPr="00F5723F">
        <w:t>sus.</w:t>
      </w:r>
      <w:r w:rsidRPr="00F5723F">
        <w:rPr>
          <w:rStyle w:val="Fotnotsreferens"/>
        </w:rPr>
        <w:footnoteReference w:id="75"/>
      </w:r>
      <w:r w:rsidRPr="00F5723F">
        <w:t xml:space="preserve"> </w:t>
      </w:r>
    </w:p>
    <w:p w:rsidR="00B43C57" w:rsidRPr="00F5723F" w:rsidRDefault="00B43C57">
      <w:pPr>
        <w:pStyle w:val="Normaltindrag"/>
      </w:pPr>
      <w:r w:rsidRPr="00F5723F">
        <w:t>Det sistnämnda är närmast ägnat att erinra om den stora betydelse vete</w:t>
      </w:r>
      <w:r w:rsidRPr="00F5723F">
        <w:t>n</w:t>
      </w:r>
      <w:r w:rsidRPr="00F5723F">
        <w:t>skapliga data har i den politiska verksamheten i allmänhet och i lagstiftning</w:t>
      </w:r>
      <w:r w:rsidRPr="00F5723F">
        <w:t>s</w:t>
      </w:r>
      <w:r w:rsidRPr="00F5723F">
        <w:t>arbetet i synnerhet, även i situationer där det finns konkurrerande uppfat</w:t>
      </w:r>
      <w:r w:rsidRPr="00F5723F">
        <w:t>t</w:t>
      </w:r>
      <w:r w:rsidRPr="00F5723F">
        <w:t>ningar om vad som anses vara rätt och fel.</w:t>
      </w:r>
    </w:p>
    <w:p w:rsidR="00B43C57" w:rsidRPr="00F5723F" w:rsidRDefault="00B43C57">
      <w:pPr>
        <w:pStyle w:val="Rubrik2"/>
      </w:pPr>
      <w:bookmarkStart w:id="195" w:name="_Toc121738948"/>
      <w:bookmarkStart w:id="196" w:name="_Toc124697832"/>
      <w:r w:rsidRPr="00F5723F">
        <w:t>Hur utskotten arbetar med forsknings- och framtidsfrågor</w:t>
      </w:r>
      <w:bookmarkEnd w:id="195"/>
      <w:bookmarkEnd w:id="196"/>
    </w:p>
    <w:p w:rsidR="00B43C57" w:rsidRPr="00F5723F" w:rsidRDefault="00B43C57">
      <w:r w:rsidRPr="00F5723F">
        <w:t>I detta avsnitt redovisas svaren på fråga 1 och fråga 2 i enkäten. Det som här beskrivs är hur utskotten i dagsläget arbetar med att skaffa forskningsankn</w:t>
      </w:r>
      <w:r w:rsidRPr="00F5723F">
        <w:t>u</w:t>
      </w:r>
      <w:r w:rsidRPr="00F5723F">
        <w:t>ten och framtidsinriktad information och att integrera denna i det politiska arbetet (fråga 1) samt exempel på i vilka former detta arbete sker och vilken o</w:t>
      </w:r>
      <w:r w:rsidRPr="00F5723F">
        <w:t>m</w:t>
      </w:r>
      <w:r w:rsidRPr="00F5723F">
        <w:t>fattning det har (fråga 2).</w:t>
      </w:r>
    </w:p>
    <w:p w:rsidR="00B43C57" w:rsidRPr="00F5723F" w:rsidRDefault="00B43C57">
      <w:pPr>
        <w:pStyle w:val="Normaltindrag"/>
      </w:pPr>
      <w:r w:rsidRPr="00F5723F">
        <w:t xml:space="preserve">I några fall finns i svaren från utskotten </w:t>
      </w:r>
      <w:r w:rsidRPr="00F5723F">
        <w:rPr>
          <w:i/>
        </w:rPr>
        <w:t>uttalanden av mera principiell k</w:t>
      </w:r>
      <w:r w:rsidRPr="00F5723F">
        <w:rPr>
          <w:i/>
        </w:rPr>
        <w:t>a</w:t>
      </w:r>
      <w:r w:rsidRPr="00F5723F">
        <w:rPr>
          <w:i/>
        </w:rPr>
        <w:t>ra</w:t>
      </w:r>
      <w:r w:rsidRPr="00F5723F">
        <w:rPr>
          <w:i/>
        </w:rPr>
        <w:t>k</w:t>
      </w:r>
      <w:r w:rsidRPr="00F5723F">
        <w:rPr>
          <w:i/>
        </w:rPr>
        <w:t>tär</w:t>
      </w:r>
      <w:r w:rsidRPr="00F5723F">
        <w:t xml:space="preserve"> eller </w:t>
      </w:r>
      <w:r w:rsidRPr="00F5723F">
        <w:rPr>
          <w:i/>
        </w:rPr>
        <w:t>information av övergripande intresse</w:t>
      </w:r>
      <w:r w:rsidRPr="00F5723F">
        <w:t xml:space="preserve"> som det finns anledning att återge inledningsvis.</w:t>
      </w:r>
    </w:p>
    <w:p w:rsidR="00B43C57" w:rsidRPr="00F5723F" w:rsidRDefault="00B43C57">
      <w:pPr>
        <w:pStyle w:val="Normaltindrag"/>
      </w:pPr>
      <w:r w:rsidRPr="00F5723F">
        <w:rPr>
          <w:i/>
        </w:rPr>
        <w:t>Utrikesutskottet</w:t>
      </w:r>
      <w:r w:rsidRPr="00F5723F">
        <w:t xml:space="preserve"> refererar i sitt svar till riksdagens huvuduppgifter så som de beskrevs av Riksdagskommittén (förs. 2000/01:RS1, bet. KU23). Huvu</w:t>
      </w:r>
      <w:r w:rsidRPr="00F5723F">
        <w:t>d</w:t>
      </w:r>
      <w:r w:rsidRPr="00F5723F">
        <w:t>uppgifterna är enligt Riksdagskommittén representativitetsfunktionen (att avspegla åsiktsfördelningen bland väljarna), kontrollfunktionen (att öve</w:t>
      </w:r>
      <w:r w:rsidRPr="00F5723F">
        <w:t>r</w:t>
      </w:r>
      <w:r w:rsidRPr="00F5723F">
        <w:t>vaka regeringens arbete), initiativfunktionen (att ta initiativ i frågor som inte kan tas upp av regeringen), opinionsbildningsfunktionen (att vara central debat</w:t>
      </w:r>
      <w:r w:rsidRPr="00F5723F">
        <w:t>t</w:t>
      </w:r>
      <w:r w:rsidRPr="00F5723F">
        <w:t>arena) och kvalitetsfunktionen (att förutse framtida problem innan de bl</w:t>
      </w:r>
      <w:r w:rsidRPr="00F5723F">
        <w:t>ir akuta).</w:t>
      </w:r>
    </w:p>
    <w:p w:rsidR="00B43C57" w:rsidRPr="00F5723F" w:rsidRDefault="00B43C57">
      <w:pPr>
        <w:pStyle w:val="Normaltindrag"/>
      </w:pPr>
      <w:r w:rsidRPr="00F5723F">
        <w:t>Dessa uppgifter, med undantag för den första, framhålls som de där fors</w:t>
      </w:r>
      <w:r w:rsidRPr="00F5723F">
        <w:t>k</w:t>
      </w:r>
      <w:r w:rsidRPr="00F5723F">
        <w:t>ningsanknytningen är av intresse, om man anser att utskottens arbete med uppföljning och utvärdering är att se som ett utflöde av kontrollfun</w:t>
      </w:r>
      <w:r w:rsidRPr="00F5723F">
        <w:t>k</w:t>
      </w:r>
      <w:r w:rsidRPr="00F5723F">
        <w:t>tionen. När det gäller initiativ- och kvalitetsfunktionen kan inspiration också hä</w:t>
      </w:r>
      <w:r w:rsidRPr="00F5723F">
        <w:t>m</w:t>
      </w:r>
      <w:r w:rsidRPr="00F5723F">
        <w:t>tas från blan annat framtidsstudier.</w:t>
      </w:r>
    </w:p>
    <w:p w:rsidR="00B43C57" w:rsidRPr="00F5723F" w:rsidRDefault="00B43C57">
      <w:pPr>
        <w:pStyle w:val="Normaltindrag"/>
      </w:pPr>
      <w:r w:rsidRPr="00F5723F">
        <w:rPr>
          <w:i/>
        </w:rPr>
        <w:t>Trafikutskottet</w:t>
      </w:r>
      <w:r w:rsidRPr="00F5723F">
        <w:t xml:space="preserve"> har i sitt svar sagt att utskottet har ambitionen att låta fors</w:t>
      </w:r>
      <w:r w:rsidRPr="00F5723F">
        <w:t>k</w:t>
      </w:r>
      <w:r w:rsidRPr="00F5723F">
        <w:t>nings- och framtidsfrågor ingå i det strategiska beslutsfattandet, inte minst när det gäller prognoser om samhällsutvecklingen på längre sikt. I detta samma</w:t>
      </w:r>
      <w:r w:rsidRPr="00F5723F">
        <w:t>n</w:t>
      </w:r>
      <w:r w:rsidRPr="00F5723F">
        <w:t>hang ställer utskottet krav på underlag med forskningsankny</w:t>
      </w:r>
      <w:r w:rsidRPr="00F5723F">
        <w:t>t</w:t>
      </w:r>
      <w:r w:rsidRPr="00F5723F">
        <w:t>ning där även framtidsfrågor beaktas. För flera av utskottets ansvarsområden, till e</w:t>
      </w:r>
      <w:r w:rsidRPr="00F5723F">
        <w:t>x</w:t>
      </w:r>
      <w:r w:rsidRPr="00F5723F">
        <w:t>empel investeringar i trafikinfrastrukturen, omställning till ett miljömä</w:t>
      </w:r>
      <w:r w:rsidRPr="00F5723F">
        <w:t>s</w:t>
      </w:r>
      <w:r w:rsidRPr="00F5723F">
        <w:t>sigt hållbart transportsystem och trafiksäkerhetsarbetet enligt nollvis</w:t>
      </w:r>
      <w:r w:rsidRPr="00F5723F">
        <w:t>ionen spelar progn</w:t>
      </w:r>
      <w:r w:rsidRPr="00F5723F">
        <w:t>o</w:t>
      </w:r>
      <w:r w:rsidRPr="00F5723F">
        <w:t>ser om framtiden stor roll.</w:t>
      </w:r>
    </w:p>
    <w:p w:rsidR="00B43C57" w:rsidRPr="00F5723F" w:rsidRDefault="00B43C57">
      <w:pPr>
        <w:pStyle w:val="Normaltindrag"/>
      </w:pPr>
      <w:r w:rsidRPr="00F5723F">
        <w:rPr>
          <w:i/>
        </w:rPr>
        <w:t>Konstitutionsutskottet</w:t>
      </w:r>
      <w:r w:rsidRPr="00F5723F">
        <w:rPr>
          <w:b/>
        </w:rPr>
        <w:t xml:space="preserve"> </w:t>
      </w:r>
      <w:r w:rsidRPr="00F5723F">
        <w:t>ordnar några gånger per år interna seminarier vid vilka inbjudna forskare lämnar redovisningar på ämnen inom utskottets b</w:t>
      </w:r>
      <w:r w:rsidRPr="00F5723F">
        <w:t>e</w:t>
      </w:r>
      <w:r w:rsidRPr="00F5723F">
        <w:t>redningsområde. Samverkan med forskare förekommer också i samband med utskottets arbete med uppföljning och utvärdering, där forskare me</w:t>
      </w:r>
      <w:r w:rsidRPr="00F5723F">
        <w:t>d</w:t>
      </w:r>
      <w:r w:rsidRPr="00F5723F">
        <w:t>verkar i referensgrupper som följer och granskar framväxten av rapporterna där resu</w:t>
      </w:r>
      <w:r w:rsidRPr="00F5723F">
        <w:t>l</w:t>
      </w:r>
      <w:r w:rsidRPr="00F5723F">
        <w:t>tatet presenteras. I utskottets granskning av statsrådens tjänsteutö</w:t>
      </w:r>
      <w:r w:rsidRPr="00F5723F">
        <w:t>v</w:t>
      </w:r>
      <w:r w:rsidRPr="00F5723F">
        <w:t>ning med mera begär utskottet i vissa fall yttranden av extern expertis, däribland forsk</w:t>
      </w:r>
      <w:r w:rsidRPr="00F5723F">
        <w:t>a</w:t>
      </w:r>
      <w:r w:rsidRPr="00F5723F">
        <w:t xml:space="preserve">re. Sådan </w:t>
      </w:r>
      <w:r w:rsidRPr="00F5723F">
        <w:t>expertis engageras även vid utfrågningar i samband med behandling av lagstiftningsärenden. Inom kansliet finns också egen vetenskaplig komp</w:t>
      </w:r>
      <w:r w:rsidRPr="00F5723F">
        <w:t>e</w:t>
      </w:r>
      <w:r w:rsidRPr="00F5723F">
        <w:t xml:space="preserve">tens i form av två disputerade statsvetare. </w:t>
      </w:r>
    </w:p>
    <w:p w:rsidR="00B43C57" w:rsidRPr="00F5723F" w:rsidRDefault="00B43C57">
      <w:pPr>
        <w:pStyle w:val="Normaltindrag"/>
        <w:rPr>
          <w:b/>
        </w:rPr>
      </w:pPr>
      <w:r w:rsidRPr="00F5723F">
        <w:t xml:space="preserve">Riksbanken rapporterar i vissa fall till </w:t>
      </w:r>
      <w:r w:rsidRPr="00F5723F">
        <w:rPr>
          <w:i/>
        </w:rPr>
        <w:t>finansutskottet</w:t>
      </w:r>
      <w:r w:rsidRPr="00F5723F">
        <w:rPr>
          <w:b/>
        </w:rPr>
        <w:t xml:space="preserve"> </w:t>
      </w:r>
      <w:r w:rsidRPr="00F5723F">
        <w:t>på grundval av egen forskning. Utskottet lägger i samband med uppföljning och utvärdering ibland ut uppdrag på vetenskapliga institutioner eller myndigheter som</w:t>
      </w:r>
      <w:r w:rsidRPr="00F5723F">
        <w:rPr>
          <w:b/>
        </w:rPr>
        <w:t xml:space="preserve"> </w:t>
      </w:r>
      <w:r w:rsidRPr="00F5723F">
        <w:t>Konjunktu</w:t>
      </w:r>
      <w:r w:rsidRPr="00F5723F">
        <w:t>r</w:t>
      </w:r>
      <w:r w:rsidRPr="00F5723F">
        <w:t>institutet. Utskottet har 5–6 årliga utfrågningar, där forskare i vissa fall me</w:t>
      </w:r>
      <w:r w:rsidRPr="00F5723F">
        <w:t>d</w:t>
      </w:r>
      <w:r w:rsidRPr="00F5723F">
        <w:t>verkar. Vid två stående utfrågningar är riksbankschefen sv</w:t>
      </w:r>
      <w:r w:rsidRPr="00F5723F">
        <w:t>a</w:t>
      </w:r>
      <w:r w:rsidRPr="00F5723F">
        <w:t>rande. Utskottet företar studiebesök såväl inom landet hos bland annat SCB som uto</w:t>
      </w:r>
      <w:r w:rsidRPr="00F5723F">
        <w:t>m</w:t>
      </w:r>
      <w:r w:rsidRPr="00F5723F">
        <w:t>lands.</w:t>
      </w:r>
    </w:p>
    <w:p w:rsidR="00B43C57" w:rsidRPr="00F5723F" w:rsidRDefault="00B43C57">
      <w:pPr>
        <w:pStyle w:val="Normaltindrag"/>
      </w:pPr>
      <w:r w:rsidRPr="00F5723F">
        <w:rPr>
          <w:i/>
        </w:rPr>
        <w:t>Socialförsäkringsutskottet</w:t>
      </w:r>
      <w:r w:rsidRPr="00F5723F">
        <w:rPr>
          <w:b/>
        </w:rPr>
        <w:t xml:space="preserve"> </w:t>
      </w:r>
      <w:r w:rsidRPr="00F5723F">
        <w:t>har genomfört utfrågningar med forskarmedve</w:t>
      </w:r>
      <w:r w:rsidRPr="00F5723F">
        <w:t>r</w:t>
      </w:r>
      <w:r w:rsidRPr="00F5723F">
        <w:t>kan både 2002/03 och innevarande riksmöte. Utskottet har också geno</w:t>
      </w:r>
      <w:r w:rsidRPr="00F5723F">
        <w:t>m</w:t>
      </w:r>
      <w:r w:rsidRPr="00F5723F">
        <w:t>fört studieresor, bland annat till WHO i Gèneve år 2003.</w:t>
      </w:r>
    </w:p>
    <w:p w:rsidR="00B43C57" w:rsidRPr="00F5723F" w:rsidRDefault="00B43C57">
      <w:pPr>
        <w:pStyle w:val="Normaltindrag"/>
      </w:pPr>
      <w:r w:rsidRPr="00F5723F">
        <w:rPr>
          <w:i/>
        </w:rPr>
        <w:t>Socialutskottet</w:t>
      </w:r>
      <w:r w:rsidRPr="00F5723F">
        <w:rPr>
          <w:b/>
        </w:rPr>
        <w:t xml:space="preserve"> </w:t>
      </w:r>
      <w:r w:rsidRPr="00F5723F">
        <w:t>har sedan länge kontakter med forskningen inom ramen för utfrågningar, särskilda föredragningar och studiebesök. Utskottet har också regelbundna kontakter med myndigheter som Statens beredning för utvärd</w:t>
      </w:r>
      <w:r w:rsidRPr="00F5723F">
        <w:t>e</w:t>
      </w:r>
      <w:r w:rsidRPr="00F5723F">
        <w:t>ring av medicinsk metodik (SBU), Folkhälsoinstitutet och Socialst</w:t>
      </w:r>
      <w:r w:rsidRPr="00F5723F">
        <w:t>y</w:t>
      </w:r>
      <w:r w:rsidRPr="00F5723F">
        <w:t>relsen. Dessutom har utskottet tillsammans med justitieutskottet ett gemensamt pr</w:t>
      </w:r>
      <w:r w:rsidRPr="00F5723F">
        <w:t>o</w:t>
      </w:r>
      <w:r w:rsidRPr="00F5723F">
        <w:t>jekt med forskningsinslag med inriktning på drogproblem.</w:t>
      </w:r>
    </w:p>
    <w:p w:rsidR="00B43C57" w:rsidRPr="00F5723F" w:rsidRDefault="00B43C57">
      <w:pPr>
        <w:pStyle w:val="Normaltindrag"/>
      </w:pPr>
      <w:r w:rsidRPr="00F5723F">
        <w:rPr>
          <w:i/>
        </w:rPr>
        <w:t>Kulturutskottet</w:t>
      </w:r>
      <w:r w:rsidRPr="00F5723F">
        <w:rPr>
          <w:b/>
        </w:rPr>
        <w:t xml:space="preserve"> </w:t>
      </w:r>
      <w:r w:rsidRPr="00F5723F">
        <w:t>tar del av forskningsresultat vid studiebesök, konfere</w:t>
      </w:r>
      <w:r w:rsidRPr="00F5723F">
        <w:t>n</w:t>
      </w:r>
      <w:r w:rsidRPr="00F5723F">
        <w:t>ser, information inför utskottet med mera Representanter för utskottet deltar i s</w:t>
      </w:r>
      <w:r w:rsidRPr="00F5723F">
        <w:t>e</w:t>
      </w:r>
      <w:r w:rsidRPr="00F5723F">
        <w:t>minarier med mera. med forskningsanknytning anordnade av myndigheter, unive</w:t>
      </w:r>
      <w:r w:rsidRPr="00F5723F">
        <w:t>r</w:t>
      </w:r>
      <w:r w:rsidRPr="00F5723F">
        <w:t>sitet, högskolor, intresseorganisationer med mera. Utskottet kommer också indirekt i kontakt med till exempel kulturpolitiskt, ungdomspolitiskt rel</w:t>
      </w:r>
      <w:r w:rsidRPr="00F5723F">
        <w:t>e</w:t>
      </w:r>
      <w:r w:rsidRPr="00F5723F">
        <w:t>vant forskning genom Statens kulturråd och Ungdomsstyrelsen. Även Riksantikvarieämb</w:t>
      </w:r>
      <w:r w:rsidRPr="00F5723F">
        <w:t>e</w:t>
      </w:r>
      <w:r w:rsidRPr="00F5723F">
        <w:t>tet, Riksarkivet och andra centrala museer disponerar statliga med</w:t>
      </w:r>
      <w:r w:rsidRPr="00F5723F">
        <w:t>el för forskning, liksom Riksidrottsförbundet och Statens folkhä</w:t>
      </w:r>
      <w:r w:rsidRPr="00F5723F">
        <w:t>l</w:t>
      </w:r>
      <w:r w:rsidRPr="00F5723F">
        <w:t>soinst</w:t>
      </w:r>
      <w:r w:rsidRPr="00F5723F">
        <w:t>i</w:t>
      </w:r>
      <w:r w:rsidRPr="00F5723F">
        <w:t>tut.</w:t>
      </w:r>
    </w:p>
    <w:p w:rsidR="00B43C57" w:rsidRPr="00F5723F" w:rsidRDefault="00B43C57">
      <w:pPr>
        <w:pStyle w:val="Normaltindrag"/>
      </w:pPr>
      <w:r w:rsidRPr="00F5723F">
        <w:t>I</w:t>
      </w:r>
      <w:r w:rsidRPr="00F5723F">
        <w:rPr>
          <w:b/>
        </w:rPr>
        <w:t xml:space="preserve"> </w:t>
      </w:r>
      <w:r w:rsidRPr="00F5723F">
        <w:rPr>
          <w:i/>
        </w:rPr>
        <w:t>utbildningsutskottets</w:t>
      </w:r>
      <w:r w:rsidRPr="00F5723F">
        <w:rPr>
          <w:b/>
        </w:rPr>
        <w:t xml:space="preserve"> </w:t>
      </w:r>
      <w:r w:rsidRPr="00F5723F">
        <w:t>arbete</w:t>
      </w:r>
      <w:r w:rsidRPr="00F5723F">
        <w:rPr>
          <w:b/>
        </w:rPr>
        <w:t xml:space="preserve"> </w:t>
      </w:r>
      <w:r w:rsidRPr="00F5723F">
        <w:t>ingår forskning både som ett ansvarsomr</w:t>
      </w:r>
      <w:r w:rsidRPr="00F5723F">
        <w:t>å</w:t>
      </w:r>
      <w:r w:rsidRPr="00F5723F">
        <w:t>de/sakområde och som möjlighet till kunskap för stöd till utskottets verksa</w:t>
      </w:r>
      <w:r w:rsidRPr="00F5723F">
        <w:t>m</w:t>
      </w:r>
      <w:r w:rsidRPr="00F5723F">
        <w:t>het. I det första avseendet gäller det grundforskning inom hela forskningsfä</w:t>
      </w:r>
      <w:r w:rsidRPr="00F5723F">
        <w:t>l</w:t>
      </w:r>
      <w:r w:rsidRPr="00F5723F">
        <w:t>tet, i det andra avseendet gäller det forskning om utbildning och forskning om forskning. Fra</w:t>
      </w:r>
      <w:r w:rsidRPr="00F5723F">
        <w:t>m</w:t>
      </w:r>
      <w:r w:rsidRPr="00F5723F">
        <w:t>tidsbedömningar ligger implicit i de långsiktiga frågor som utbil</w:t>
      </w:r>
      <w:r w:rsidRPr="00F5723F">
        <w:t>d</w:t>
      </w:r>
      <w:r w:rsidRPr="00F5723F">
        <w:t>nings- och forskningspolitiken gäller. Material rörande dessa frågor tas kontinuerligt fram av myndigheter som Högskoleverket, Sk</w:t>
      </w:r>
      <w:r w:rsidRPr="00F5723F">
        <w:t>olverket och V</w:t>
      </w:r>
      <w:r w:rsidRPr="00F5723F">
        <w:t>e</w:t>
      </w:r>
      <w:r w:rsidRPr="00F5723F">
        <w:t>tenskap</w:t>
      </w:r>
      <w:r w:rsidRPr="00F5723F">
        <w:t>s</w:t>
      </w:r>
      <w:r w:rsidRPr="00F5723F">
        <w:t>rådet, SCB m.fl. Internationella organisationer som OECD och EU tar fram data om utvecklingen inom forskning och utbildning i olika länder. Det omfattande bakgrundsmaterial som finns inom utskottets omr</w:t>
      </w:r>
      <w:r w:rsidRPr="00F5723F">
        <w:t>å</w:t>
      </w:r>
      <w:r w:rsidRPr="00F5723F">
        <w:t>de kommer på en rad olika sätt till nytta i utskottsarbetet, såväl inom den reguljära äre</w:t>
      </w:r>
      <w:r w:rsidRPr="00F5723F">
        <w:t>n</w:t>
      </w:r>
      <w:r w:rsidRPr="00F5723F">
        <w:t>deberedningen som i uppföljning och utvärdering. Presentationer av forskning och långsiktiga analyser är vidare viktiga inslag i utsko</w:t>
      </w:r>
      <w:r w:rsidRPr="00F5723F">
        <w:t>t</w:t>
      </w:r>
      <w:r w:rsidRPr="00F5723F">
        <w:t>tets utfrågningar och studiebesök.</w:t>
      </w:r>
    </w:p>
    <w:p w:rsidR="00B43C57" w:rsidRPr="00F5723F" w:rsidRDefault="00B43C57">
      <w:pPr>
        <w:pStyle w:val="Normaltindrag"/>
      </w:pPr>
      <w:r w:rsidRPr="00F5723F">
        <w:rPr>
          <w:i/>
        </w:rPr>
        <w:t>Miljö- och jordbruksutskot</w:t>
      </w:r>
      <w:r w:rsidRPr="00F5723F">
        <w:rPr>
          <w:i/>
        </w:rPr>
        <w:t xml:space="preserve">tet </w:t>
      </w:r>
      <w:r w:rsidRPr="00F5723F">
        <w:t>följer sedan länge forskningen på vissa ä</w:t>
      </w:r>
      <w:r w:rsidRPr="00F5723F">
        <w:t>m</w:t>
      </w:r>
      <w:r w:rsidRPr="00F5723F">
        <w:t>nesområden som genmodifierad odling (GMO), växtodling och väx</w:t>
      </w:r>
      <w:r w:rsidRPr="00F5723F">
        <w:t>t</w:t>
      </w:r>
      <w:r w:rsidRPr="00F5723F">
        <w:t>skydd samt djurhållning. Underlaget till betänkanden replierar ofta på forskning</w:t>
      </w:r>
      <w:r w:rsidRPr="00F5723F">
        <w:t>s</w:t>
      </w:r>
      <w:r w:rsidRPr="00F5723F">
        <w:t>rön från dessa områden.</w:t>
      </w:r>
    </w:p>
    <w:p w:rsidR="00B43C57" w:rsidRPr="00F5723F" w:rsidRDefault="00B43C57">
      <w:pPr>
        <w:pStyle w:val="Normaltindrag"/>
      </w:pPr>
      <w:r w:rsidRPr="00F5723F">
        <w:rPr>
          <w:i/>
        </w:rPr>
        <w:t>Arbetsmarknadsutskottet</w:t>
      </w:r>
      <w:r w:rsidRPr="00F5723F">
        <w:t xml:space="preserve"> har de senaste fem åren tagit till sig rön från se</w:t>
      </w:r>
      <w:r w:rsidRPr="00F5723F">
        <w:t>k</w:t>
      </w:r>
      <w:r w:rsidRPr="00F5723F">
        <w:t>torsforskningsorgan inom utskottets beredningsområde som Institutet för arbetsmarknadspolitisk utvärdering (IFAU) och Arbetslivsinstitutet (ALI) samt sådan forskning som bedrivs vid bland annat Arbetsmarknadsstyrelsen (AMS) och Statistiska centralbyrån (SCB).</w:t>
      </w:r>
    </w:p>
    <w:p w:rsidR="00B43C57" w:rsidRPr="00F5723F" w:rsidRDefault="00B43C57">
      <w:pPr>
        <w:pStyle w:val="Normaltindrag"/>
      </w:pPr>
      <w:r w:rsidRPr="00F5723F">
        <w:t xml:space="preserve">I några fall har rapporterats att utskottet inte har någon etablerad rutin för att hantera forskningsrön och dylikt. inom ramen för utskottsarbetet. Detta är fallet inom till exempel </w:t>
      </w:r>
      <w:r w:rsidRPr="00F5723F">
        <w:rPr>
          <w:i/>
        </w:rPr>
        <w:t>försvarsutskottet</w:t>
      </w:r>
      <w:r w:rsidRPr="00F5723F">
        <w:t xml:space="preserve"> och </w:t>
      </w:r>
      <w:r w:rsidRPr="00F5723F">
        <w:rPr>
          <w:i/>
        </w:rPr>
        <w:t>näringsutskottet</w:t>
      </w:r>
      <w:r w:rsidRPr="00F5723F">
        <w:t>, eventuellt också inom de utskott som inte besvarat enkäten. Inom FöU efterfrågar led</w:t>
      </w:r>
      <w:r w:rsidRPr="00F5723F">
        <w:t>a</w:t>
      </w:r>
      <w:r w:rsidRPr="00F5723F">
        <w:t>möterna inte någon systematisk redovisning från kansliet av aktuell forskning inom utsko</w:t>
      </w:r>
      <w:r w:rsidRPr="00F5723F">
        <w:t>t</w:t>
      </w:r>
      <w:r w:rsidRPr="00F5723F">
        <w:t>tets beredningsområde. Kansliet följer forskningen mera aktivt och rapporterar i vissa fall till utskottets ordförande eller hela utskottet om intressanta, aktuella forskningsrapporter, vilket kan leda till att utskottet b</w:t>
      </w:r>
      <w:r w:rsidRPr="00F5723F">
        <w:t>e</w:t>
      </w:r>
      <w:r w:rsidRPr="00F5723F">
        <w:t>ställer en för</w:t>
      </w:r>
      <w:r w:rsidRPr="00F5723F">
        <w:t>e</w:t>
      </w:r>
      <w:r w:rsidRPr="00F5723F">
        <w:t>dragning med anledning av ett sådant initiativ.</w:t>
      </w:r>
    </w:p>
    <w:p w:rsidR="00B43C57" w:rsidRPr="00F5723F" w:rsidRDefault="00B43C57">
      <w:r w:rsidRPr="00F5723F">
        <w:t xml:space="preserve">Ser man mer </w:t>
      </w:r>
      <w:r w:rsidRPr="00F5723F">
        <w:t xml:space="preserve">generellt till </w:t>
      </w:r>
      <w:r w:rsidRPr="00F5723F">
        <w:rPr>
          <w:i/>
        </w:rPr>
        <w:t>formerna</w:t>
      </w:r>
      <w:r w:rsidRPr="00F5723F">
        <w:t xml:space="preserve"> för utskottens arbete med forskningsbas</w:t>
      </w:r>
      <w:r w:rsidRPr="00F5723F">
        <w:t>e</w:t>
      </w:r>
      <w:r w:rsidRPr="00F5723F">
        <w:t>rad och, i viss mån, framtidsinriktad kunskap, finner man i huvu</w:t>
      </w:r>
      <w:r w:rsidRPr="00F5723F">
        <w:t>d</w:t>
      </w:r>
      <w:r w:rsidRPr="00F5723F">
        <w:t>sak fyra former. Utskotten kommer i beröring med forsk</w:t>
      </w:r>
      <w:r w:rsidRPr="00F5723F">
        <w:t>a</w:t>
      </w:r>
      <w:r w:rsidRPr="00F5723F">
        <w:t>re/forskningsverksamhet inom ramen för utfrågningar och/eller seminarier, vidare studiebesök eller studieresor inom eller utanför Sverige, uppföljning och utvärdering samt ärendeberedning. I vissa fall arbetar man med en kombination av dessa fo</w:t>
      </w:r>
      <w:r w:rsidRPr="00F5723F">
        <w:t>r</w:t>
      </w:r>
      <w:r w:rsidRPr="00F5723F">
        <w:t>mer.</w:t>
      </w:r>
    </w:p>
    <w:p w:rsidR="00B43C57" w:rsidRPr="00F5723F" w:rsidRDefault="00B43C57">
      <w:pPr>
        <w:pStyle w:val="Normaltindrag"/>
      </w:pPr>
      <w:r w:rsidRPr="00F5723F">
        <w:t xml:space="preserve">När det gäller </w:t>
      </w:r>
      <w:r w:rsidRPr="00F5723F">
        <w:rPr>
          <w:i/>
        </w:rPr>
        <w:t xml:space="preserve">utfrågningar </w:t>
      </w:r>
      <w:r w:rsidRPr="00F5723F">
        <w:t>är mönstret i allmänhet att utskottet finner skäl att, inte minst när det gäller nya frågor där kunskapsläget är osäkert, bjuda in en eller flera forskare eller andra experter för föredragningar och/eller besv</w:t>
      </w:r>
      <w:r w:rsidRPr="00F5723F">
        <w:t>a</w:t>
      </w:r>
      <w:r w:rsidRPr="00F5723F">
        <w:t>rande av frågor från utskottets ledamöter. En relativt vanlig situation, där man går till väga på detta sätt, kan vara att utskottet skall b</w:t>
      </w:r>
      <w:r w:rsidRPr="00F5723F">
        <w:t>e</w:t>
      </w:r>
      <w:r w:rsidRPr="00F5723F">
        <w:t>handla en proposition och därvid vill skaffa sig fördjupad, kompletterande eller alte</w:t>
      </w:r>
      <w:r w:rsidRPr="00F5723F">
        <w:t>r</w:t>
      </w:r>
      <w:r w:rsidRPr="00F5723F">
        <w:t>nativ kunskap på det aktuella sakområdet. I ett sådant fall ka</w:t>
      </w:r>
      <w:r w:rsidRPr="00F5723F">
        <w:t>n man säga att kunskapsinhä</w:t>
      </w:r>
      <w:r w:rsidRPr="00F5723F">
        <w:t>m</w:t>
      </w:r>
      <w:r w:rsidRPr="00F5723F">
        <w:t xml:space="preserve">tandet också är ett led i </w:t>
      </w:r>
      <w:r w:rsidRPr="00F5723F">
        <w:rPr>
          <w:i/>
        </w:rPr>
        <w:t xml:space="preserve">ärendeberedningen </w:t>
      </w:r>
      <w:r w:rsidRPr="00F5723F">
        <w:t>inför arbetet med utskottets ko</w:t>
      </w:r>
      <w:r w:rsidRPr="00F5723F">
        <w:t>m</w:t>
      </w:r>
      <w:r w:rsidRPr="00F5723F">
        <w:t>mande betänkande i det ärende som behandlas i propositionen. I detta sa</w:t>
      </w:r>
      <w:r w:rsidRPr="00F5723F">
        <w:t>m</w:t>
      </w:r>
      <w:r w:rsidRPr="00F5723F">
        <w:t>manhang kan särskilt nämnas analyser av fors</w:t>
      </w:r>
      <w:r w:rsidRPr="00F5723F">
        <w:t>k</w:t>
      </w:r>
      <w:r w:rsidRPr="00F5723F">
        <w:t>ningens aktuella läge som de återkommande forskningspolitiska propositionerna innehåller och som han</w:t>
      </w:r>
      <w:r w:rsidRPr="00F5723F">
        <w:t>d</w:t>
      </w:r>
      <w:r w:rsidRPr="00F5723F">
        <w:t>läggs av utbildningsutskottet.</w:t>
      </w:r>
    </w:p>
    <w:p w:rsidR="00B43C57" w:rsidRPr="00F5723F" w:rsidRDefault="00B43C57">
      <w:pPr>
        <w:pStyle w:val="Normaltindrag"/>
      </w:pPr>
      <w:r w:rsidRPr="00F5723F">
        <w:rPr>
          <w:i/>
        </w:rPr>
        <w:t xml:space="preserve">Studiebesök </w:t>
      </w:r>
      <w:r w:rsidRPr="00F5723F">
        <w:t>riktar sig i flera fall till universitet, högskolor och sektor</w:t>
      </w:r>
      <w:r w:rsidRPr="00F5723F">
        <w:t>s</w:t>
      </w:r>
      <w:r w:rsidRPr="00F5723F">
        <w:t>forskningsorgan samt myndigheter som i vissa fall bedriver egen forskning, till exempel Socialstyrelsen.</w:t>
      </w:r>
    </w:p>
    <w:p w:rsidR="00B43C57" w:rsidRPr="00F5723F" w:rsidRDefault="00B43C57">
      <w:pPr>
        <w:pStyle w:val="Normaltindrag"/>
      </w:pPr>
      <w:r w:rsidRPr="00F5723F">
        <w:t xml:space="preserve">I samband med </w:t>
      </w:r>
      <w:r w:rsidRPr="00F5723F">
        <w:rPr>
          <w:i/>
        </w:rPr>
        <w:t xml:space="preserve">uppföljning och utvärdering </w:t>
      </w:r>
      <w:r w:rsidRPr="00F5723F">
        <w:t>förekommer det att utskotten lägger ut uppdrag på till exempel forskningsinstitutioner, som får i uppgift att nä</w:t>
      </w:r>
      <w:r w:rsidRPr="00F5723F">
        <w:t>r</w:t>
      </w:r>
      <w:r w:rsidRPr="00F5723F">
        <w:t>mare studera ett visst område eller del av ett område som ingår i utskottets plan; som exempel kan nämnas att forskare vid Köpenhamns universitet på utbildningsutskottets uppdrag gjort en utvärdering av inrättandet av Vete</w:t>
      </w:r>
      <w:r w:rsidRPr="00F5723F">
        <w:t>n</w:t>
      </w:r>
      <w:r w:rsidRPr="00F5723F">
        <w:t>skapsr</w:t>
      </w:r>
      <w:r w:rsidRPr="00F5723F">
        <w:t>å</w:t>
      </w:r>
      <w:r w:rsidRPr="00F5723F">
        <w:t>det. I KU förekommer samarbete med forskare i referensgrupper som följer och granskar framväxten av de rapporter som blir ett resultat av arb</w:t>
      </w:r>
      <w:r w:rsidRPr="00F5723F">
        <w:t>etet.</w:t>
      </w:r>
    </w:p>
    <w:p w:rsidR="00B43C57" w:rsidRPr="00F5723F" w:rsidRDefault="00B43C57">
      <w:pPr>
        <w:pStyle w:val="Normaltindrag"/>
      </w:pPr>
      <w:r w:rsidRPr="00F5723F">
        <w:rPr>
          <w:i/>
        </w:rPr>
        <w:t xml:space="preserve">Andra former </w:t>
      </w:r>
      <w:r w:rsidRPr="00F5723F">
        <w:t>för kontakter med företrädare för forskningsvärlden är till exempel deltagande i forskningskonferenser (TU), genomförande av interna semin</w:t>
      </w:r>
      <w:r w:rsidRPr="00F5723F">
        <w:t>a</w:t>
      </w:r>
      <w:r w:rsidRPr="00F5723F">
        <w:t>rier (KU) eller miniseminarier (MJU), Riksbankens rapportering på basis av egen forskning till finansutskottet i vissa fall, föredragningar av representa</w:t>
      </w:r>
      <w:r w:rsidRPr="00F5723F">
        <w:t>n</w:t>
      </w:r>
      <w:r w:rsidRPr="00F5723F">
        <w:t>ter för Utrikespolitiska institutet inför utrikesutskottet, att forskare spontant öve</w:t>
      </w:r>
      <w:r w:rsidRPr="00F5723F">
        <w:t>r</w:t>
      </w:r>
      <w:r w:rsidRPr="00F5723F">
        <w:t>lämnar forskningsrapporter till utskottet (UU), att utskottets ledamöter får information om forskningsrapporter och dylikt via ett in</w:t>
      </w:r>
      <w:r w:rsidRPr="00F5723F">
        <w:t>ternt nyhetsbrev som utarbetas av kansliet (AU) samt att utskottet, som fallet är i utrikesu</w:t>
      </w:r>
      <w:r w:rsidRPr="00F5723F">
        <w:t>t</w:t>
      </w:r>
      <w:r w:rsidRPr="00F5723F">
        <w:t>skottet, har självstyrande arbetsgrupper som i flera fall har utnyttjat forskarstöd i samband med utarbetande av projektmål eller för kunskapsup</w:t>
      </w:r>
      <w:r w:rsidRPr="00F5723F">
        <w:t>p</w:t>
      </w:r>
      <w:r w:rsidRPr="00F5723F">
        <w:t>byggnad. En ytterligare form av kontakter redovisas av kulturutskottet, vars ledamöter återkommande medverkar i statliga kommittéer, där forskare ofta medverkar med att utarbeta underlag för arbetet i kommittén. Enskilda led</w:t>
      </w:r>
      <w:r w:rsidRPr="00F5723F">
        <w:t>a</w:t>
      </w:r>
      <w:r w:rsidRPr="00F5723F">
        <w:t>möter av KrU har också kontakter med forskning ge</w:t>
      </w:r>
      <w:r w:rsidRPr="00F5723F">
        <w:t>nom styrelseuppdrag inom till exempel Rik</w:t>
      </w:r>
      <w:r w:rsidRPr="00F5723F">
        <w:t>s</w:t>
      </w:r>
      <w:r w:rsidRPr="00F5723F">
        <w:t>bankens jubileumsfond och Nordiska kulturfonden.</w:t>
      </w:r>
    </w:p>
    <w:p w:rsidR="00B43C57" w:rsidRPr="00F5723F" w:rsidRDefault="00B43C57">
      <w:pPr>
        <w:pStyle w:val="Normaltindrag"/>
      </w:pPr>
      <w:r w:rsidRPr="00F5723F">
        <w:t xml:space="preserve">När det gäller </w:t>
      </w:r>
      <w:r w:rsidRPr="00F5723F">
        <w:rPr>
          <w:i/>
        </w:rPr>
        <w:t xml:space="preserve">konkreta exempel </w:t>
      </w:r>
      <w:r w:rsidRPr="00F5723F">
        <w:t>på utskottens arbete med forskningsrelat</w:t>
      </w:r>
      <w:r w:rsidRPr="00F5723F">
        <w:t>e</w:t>
      </w:r>
      <w:r w:rsidRPr="00F5723F">
        <w:t>rade frågor och framtidsfrågor, något som togs upp i enkätens fråga 2, redov</w:t>
      </w:r>
      <w:r w:rsidRPr="00F5723F">
        <w:t>i</w:t>
      </w:r>
      <w:r w:rsidRPr="00F5723F">
        <w:t>sas svaren utskottsvis i det följande.</w:t>
      </w:r>
    </w:p>
    <w:p w:rsidR="00B43C57" w:rsidRPr="00F5723F" w:rsidRDefault="00B43C57">
      <w:pPr>
        <w:pStyle w:val="Rubrik3"/>
        <w:rPr>
          <w:noProof w:val="0"/>
        </w:rPr>
      </w:pPr>
      <w:bookmarkStart w:id="197" w:name="_Toc121738949"/>
      <w:bookmarkStart w:id="198" w:name="_Toc124697833"/>
      <w:r w:rsidRPr="00F5723F">
        <w:rPr>
          <w:noProof w:val="0"/>
        </w:rPr>
        <w:t>Konstitutionsutskottet</w:t>
      </w:r>
      <w:bookmarkEnd w:id="197"/>
      <w:bookmarkEnd w:id="198"/>
    </w:p>
    <w:p w:rsidR="00B43C57" w:rsidRPr="00F5723F" w:rsidRDefault="00B43C57">
      <w:r w:rsidRPr="00F5723F">
        <w:t>Interna kvällsseminarier några gånger per år.</w:t>
      </w:r>
    </w:p>
    <w:p w:rsidR="00B43C57" w:rsidRPr="00F5723F" w:rsidRDefault="00B43C57">
      <w:r w:rsidRPr="00F5723F">
        <w:t>Samarbete med forskare i referensgrupper i samband med arbetet med up</w:t>
      </w:r>
      <w:r w:rsidRPr="00F5723F">
        <w:t>p</w:t>
      </w:r>
      <w:r w:rsidRPr="00F5723F">
        <w:t>följning och utvärdering.</w:t>
      </w:r>
    </w:p>
    <w:p w:rsidR="00B43C57" w:rsidRPr="00F5723F" w:rsidRDefault="00B43C57">
      <w:r w:rsidRPr="00F5723F">
        <w:t>Yttranden i vissa fall från forskare i samband med utskottets granskning av statsrådens tjänsteutövning.</w:t>
      </w:r>
    </w:p>
    <w:p w:rsidR="00B43C57" w:rsidRPr="00F5723F" w:rsidRDefault="00B43C57">
      <w:r w:rsidRPr="00F5723F">
        <w:t>Utskottsutfrågningar i samband med beredning av lagstiftningsäre</w:t>
      </w:r>
      <w:r w:rsidRPr="00F5723F">
        <w:t>n</w:t>
      </w:r>
      <w:r w:rsidRPr="00F5723F">
        <w:t>den.</w:t>
      </w:r>
    </w:p>
    <w:p w:rsidR="00B43C57" w:rsidRPr="00F5723F" w:rsidRDefault="00B43C57">
      <w:r w:rsidRPr="00F5723F">
        <w:t>Ett exempel på att en forskningsrapport fått direkt genomslag i ett betänka</w:t>
      </w:r>
      <w:r w:rsidRPr="00F5723F">
        <w:t>n</w:t>
      </w:r>
      <w:r w:rsidRPr="00F5723F">
        <w:t>de är en rapport</w:t>
      </w:r>
      <w:r w:rsidRPr="00F5723F">
        <w:rPr>
          <w:rStyle w:val="Fotnotsreferens"/>
        </w:rPr>
        <w:footnoteReference w:id="76"/>
      </w:r>
      <w:r w:rsidRPr="00F5723F">
        <w:t xml:space="preserve"> till vilken det refereras i betänkande 2003/04:KUU1 Europei</w:t>
      </w:r>
      <w:r w:rsidRPr="00F5723F">
        <w:t>s</w:t>
      </w:r>
      <w:r w:rsidRPr="00F5723F">
        <w:t>ka ko</w:t>
      </w:r>
      <w:r w:rsidRPr="00F5723F">
        <w:t>n</w:t>
      </w:r>
      <w:r w:rsidRPr="00F5723F">
        <w:t>ventet om EU:s framtid, del 1.</w:t>
      </w:r>
    </w:p>
    <w:p w:rsidR="00B43C57" w:rsidRPr="00F5723F" w:rsidRDefault="00B43C57">
      <w:pPr>
        <w:pStyle w:val="Rubrik3"/>
        <w:rPr>
          <w:noProof w:val="0"/>
        </w:rPr>
      </w:pPr>
      <w:bookmarkStart w:id="199" w:name="_Toc121738950"/>
      <w:bookmarkStart w:id="200" w:name="_Toc124697834"/>
      <w:r w:rsidRPr="00F5723F">
        <w:rPr>
          <w:noProof w:val="0"/>
        </w:rPr>
        <w:t>Finans</w:t>
      </w:r>
      <w:bookmarkEnd w:id="199"/>
      <w:r w:rsidRPr="00F5723F">
        <w:rPr>
          <w:noProof w:val="0"/>
        </w:rPr>
        <w:t>utskottet</w:t>
      </w:r>
      <w:bookmarkEnd w:id="200"/>
      <w:r w:rsidRPr="00F5723F">
        <w:rPr>
          <w:noProof w:val="0"/>
        </w:rPr>
        <w:t xml:space="preserve"> </w:t>
      </w:r>
    </w:p>
    <w:p w:rsidR="00B43C57" w:rsidRPr="00F5723F" w:rsidRDefault="00B43C57">
      <w:r w:rsidRPr="00F5723F">
        <w:t>Föredragnings-PM (bakgrund, statistik).</w:t>
      </w:r>
    </w:p>
    <w:p w:rsidR="00B43C57" w:rsidRPr="00F5723F" w:rsidRDefault="00B43C57">
      <w:r w:rsidRPr="00F5723F">
        <w:t>Rapportering från Riksbanken (omnämnt ovan).</w:t>
      </w:r>
    </w:p>
    <w:p w:rsidR="00B43C57" w:rsidRPr="00F5723F" w:rsidRDefault="00B43C57">
      <w:r w:rsidRPr="00F5723F">
        <w:t>Utvärderingar, till exempel utvecklingen av penningpolitiken, uppdrag till Konjun</w:t>
      </w:r>
      <w:r w:rsidRPr="00F5723F">
        <w:t>k</w:t>
      </w:r>
      <w:r w:rsidRPr="00F5723F">
        <w:t>turinstitutet.</w:t>
      </w:r>
    </w:p>
    <w:p w:rsidR="00B43C57" w:rsidRPr="00F5723F" w:rsidRDefault="00B43C57">
      <w:r w:rsidRPr="00F5723F">
        <w:t>Utfrågningar, 5–6 per år, varav 2 ordinarie med riksbankschefen, samt utfrå</w:t>
      </w:r>
      <w:r w:rsidRPr="00F5723F">
        <w:t>g</w:t>
      </w:r>
      <w:r w:rsidRPr="00F5723F">
        <w:t>ningar om till exempel lönebildning, globala finansiella marknader (Tobin</w:t>
      </w:r>
      <w:r w:rsidRPr="00F5723F">
        <w:t>s</w:t>
      </w:r>
      <w:r w:rsidRPr="00F5723F">
        <w:t>katten), budgetprocessen, där forskare medverkat.</w:t>
      </w:r>
    </w:p>
    <w:p w:rsidR="00B43C57" w:rsidRPr="00F5723F" w:rsidRDefault="00B43C57">
      <w:r w:rsidRPr="00F5723F">
        <w:t>Studiebesök hos bland annat SCB samt utländska studiebesök.</w:t>
      </w:r>
    </w:p>
    <w:p w:rsidR="00B43C57" w:rsidRPr="00F5723F" w:rsidRDefault="00B43C57">
      <w:pPr>
        <w:pStyle w:val="Rubrik3"/>
        <w:rPr>
          <w:noProof w:val="0"/>
        </w:rPr>
      </w:pPr>
      <w:bookmarkStart w:id="201" w:name="_Toc121738951"/>
      <w:bookmarkStart w:id="202" w:name="_Toc124697835"/>
      <w:r w:rsidRPr="00F5723F">
        <w:rPr>
          <w:noProof w:val="0"/>
        </w:rPr>
        <w:t>U</w:t>
      </w:r>
      <w:bookmarkEnd w:id="201"/>
      <w:r w:rsidRPr="00F5723F">
        <w:rPr>
          <w:noProof w:val="0"/>
        </w:rPr>
        <w:t>trikesutskottet</w:t>
      </w:r>
      <w:bookmarkEnd w:id="202"/>
    </w:p>
    <w:p w:rsidR="00B43C57" w:rsidRPr="00F5723F" w:rsidRDefault="00B43C57">
      <w:r w:rsidRPr="00F5723F">
        <w:t>Följande utgör exempel där forskningsbaserad kunskap integrerats i betä</w:t>
      </w:r>
      <w:r w:rsidRPr="00F5723F">
        <w:t>n</w:t>
      </w:r>
      <w:r w:rsidRPr="00F5723F">
        <w:t>kanden:</w:t>
      </w:r>
    </w:p>
    <w:p w:rsidR="00B43C57" w:rsidRPr="00F5723F" w:rsidRDefault="00B43C57">
      <w:pPr>
        <w:rPr>
          <w:spacing w:val="-2"/>
          <w:szCs w:val="19"/>
        </w:rPr>
      </w:pPr>
      <w:r w:rsidRPr="00F5723F">
        <w:rPr>
          <w:spacing w:val="-2"/>
          <w:szCs w:val="19"/>
        </w:rPr>
        <w:t>Betänkande 1998/99:UU12 om utrikeshandel och internationella investerin</w:t>
      </w:r>
      <w:r w:rsidRPr="00F5723F">
        <w:rPr>
          <w:spacing w:val="-2"/>
          <w:szCs w:val="19"/>
        </w:rPr>
        <w:t>g</w:t>
      </w:r>
      <w:r w:rsidRPr="00F5723F">
        <w:rPr>
          <w:spacing w:val="-2"/>
          <w:szCs w:val="19"/>
        </w:rPr>
        <w:t>ar.</w:t>
      </w:r>
    </w:p>
    <w:p w:rsidR="00B43C57" w:rsidRPr="00F5723F" w:rsidRDefault="00B43C57">
      <w:r w:rsidRPr="00F5723F">
        <w:t>Betänkande 2000/01:UU4 om en säkerhetsordning för 2000-talet.</w:t>
      </w:r>
    </w:p>
    <w:p w:rsidR="00B43C57" w:rsidRPr="00F5723F" w:rsidRDefault="00B43C57">
      <w:r w:rsidRPr="00F5723F">
        <w:t>Betänkande 2001/02:UU4 om globalisering.</w:t>
      </w:r>
    </w:p>
    <w:p w:rsidR="00B43C57" w:rsidRPr="00F5723F" w:rsidRDefault="00B43C57">
      <w:r w:rsidRPr="00F5723F">
        <w:t>Betänkande 2001/02:UU1u om politiskt beslutsfattande.</w:t>
      </w:r>
    </w:p>
    <w:p w:rsidR="00B43C57" w:rsidRPr="00F5723F" w:rsidRDefault="00B43C57">
      <w:pPr>
        <w:pStyle w:val="Rubrik3"/>
        <w:rPr>
          <w:noProof w:val="0"/>
        </w:rPr>
      </w:pPr>
      <w:bookmarkStart w:id="203" w:name="_Toc121738952"/>
      <w:bookmarkStart w:id="204" w:name="_Toc124697836"/>
      <w:r w:rsidRPr="00F5723F">
        <w:rPr>
          <w:noProof w:val="0"/>
        </w:rPr>
        <w:t>Försvars</w:t>
      </w:r>
      <w:bookmarkEnd w:id="203"/>
      <w:r w:rsidRPr="00F5723F">
        <w:rPr>
          <w:noProof w:val="0"/>
        </w:rPr>
        <w:t>utskottet</w:t>
      </w:r>
      <w:bookmarkEnd w:id="204"/>
    </w:p>
    <w:p w:rsidR="00B43C57" w:rsidRPr="00F5723F" w:rsidRDefault="00B43C57">
      <w:r w:rsidRPr="00F5723F">
        <w:t>Utfrågningar om massförstörelsevapen med medverkan av forskare från Fö</w:t>
      </w:r>
      <w:r w:rsidRPr="00F5723F">
        <w:t>r</w:t>
      </w:r>
      <w:r w:rsidRPr="00F5723F">
        <w:t>svarsmaktens forskningsinstitut (FOI) våren 2003 samt om framtida konfli</w:t>
      </w:r>
      <w:r w:rsidRPr="00F5723F">
        <w:t>k</w:t>
      </w:r>
      <w:r w:rsidRPr="00F5723F">
        <w:t>ter våren 2003.</w:t>
      </w:r>
    </w:p>
    <w:p w:rsidR="00B43C57" w:rsidRPr="00F5723F" w:rsidRDefault="00B43C57">
      <w:pPr>
        <w:pStyle w:val="Rubrik3"/>
        <w:rPr>
          <w:noProof w:val="0"/>
        </w:rPr>
      </w:pPr>
      <w:bookmarkStart w:id="205" w:name="_Toc121738953"/>
      <w:bookmarkStart w:id="206" w:name="_Toc124697837"/>
      <w:r w:rsidRPr="00F5723F">
        <w:rPr>
          <w:noProof w:val="0"/>
        </w:rPr>
        <w:t>Socialförsäkrings</w:t>
      </w:r>
      <w:bookmarkEnd w:id="205"/>
      <w:r w:rsidRPr="00F5723F">
        <w:rPr>
          <w:noProof w:val="0"/>
        </w:rPr>
        <w:t>utskottet</w:t>
      </w:r>
      <w:bookmarkEnd w:id="206"/>
    </w:p>
    <w:p w:rsidR="00B43C57" w:rsidRPr="00F5723F" w:rsidRDefault="00B43C57">
      <w:r w:rsidRPr="00F5723F">
        <w:t>Studieresa till WHO i Gèneve januari 2003.</w:t>
      </w:r>
    </w:p>
    <w:p w:rsidR="00B43C57" w:rsidRPr="00F5723F" w:rsidRDefault="00B43C57">
      <w:r w:rsidRPr="00F5723F">
        <w:t>Exempel på utfrågningar med forskarmedverkan:</w:t>
      </w:r>
    </w:p>
    <w:p w:rsidR="00B43C57" w:rsidRPr="00F5723F" w:rsidRDefault="00B43C57">
      <w:r w:rsidRPr="00F5723F">
        <w:t>Migration och asylpolitik (bet. 2002/03:SfU8) (bil. 2).</w:t>
      </w:r>
    </w:p>
    <w:p w:rsidR="00B43C57" w:rsidRPr="00F5723F" w:rsidRDefault="00B43C57">
      <w:r w:rsidRPr="00F5723F">
        <w:t>Ohälsa och sjukfrånvaro (bet. 2002/03:SfU10) (bil. 3), medverkande från A</w:t>
      </w:r>
      <w:r w:rsidRPr="00F5723F">
        <w:t>r</w:t>
      </w:r>
      <w:r w:rsidRPr="00F5723F">
        <w:t>betslivsinstitutet, Karolinska Institutet m.fl.</w:t>
      </w:r>
    </w:p>
    <w:p w:rsidR="00B43C57" w:rsidRPr="00F5723F" w:rsidRDefault="00B43C57">
      <w:r w:rsidRPr="00F5723F">
        <w:t>Utfrågning om asylpolitik i samband med behandling av betänkande 2003/04:KUU1 (del 2, bil. 14).</w:t>
      </w:r>
    </w:p>
    <w:p w:rsidR="00B43C57" w:rsidRPr="00F5723F" w:rsidRDefault="00B43C57">
      <w:r w:rsidRPr="00F5723F">
        <w:t>Utfrågning om pensionssystemet (planerad våren 2004).</w:t>
      </w:r>
    </w:p>
    <w:p w:rsidR="00B43C57" w:rsidRPr="00F5723F" w:rsidRDefault="00B43C57">
      <w:pPr>
        <w:pStyle w:val="Rubrik3"/>
        <w:rPr>
          <w:noProof w:val="0"/>
        </w:rPr>
      </w:pPr>
      <w:bookmarkStart w:id="207" w:name="_Toc121738954"/>
      <w:bookmarkStart w:id="208" w:name="_Toc124697838"/>
      <w:r w:rsidRPr="00F5723F">
        <w:rPr>
          <w:noProof w:val="0"/>
        </w:rPr>
        <w:t>So</w:t>
      </w:r>
      <w:bookmarkEnd w:id="207"/>
      <w:r w:rsidRPr="00F5723F">
        <w:rPr>
          <w:noProof w:val="0"/>
        </w:rPr>
        <w:t>cialutskottet</w:t>
      </w:r>
      <w:bookmarkEnd w:id="208"/>
    </w:p>
    <w:p w:rsidR="00B43C57" w:rsidRPr="00F5723F" w:rsidRDefault="00B43C57">
      <w:pPr>
        <w:rPr>
          <w:spacing w:val="-2"/>
          <w:szCs w:val="19"/>
        </w:rPr>
      </w:pPr>
      <w:r w:rsidRPr="00F5723F">
        <w:rPr>
          <w:spacing w:val="-2"/>
          <w:szCs w:val="19"/>
        </w:rPr>
        <w:t>Sluten utfrågning i anslutning till behandling av proposition 2001/02:44 Bi</w:t>
      </w:r>
      <w:r w:rsidRPr="00F5723F">
        <w:rPr>
          <w:spacing w:val="-2"/>
          <w:szCs w:val="19"/>
        </w:rPr>
        <w:t>o</w:t>
      </w:r>
      <w:r w:rsidRPr="00F5723F">
        <w:rPr>
          <w:spacing w:val="-2"/>
          <w:szCs w:val="19"/>
        </w:rPr>
        <w:t>banker inom hälso- och sjukvården, där forskare från bland annat Umeå unive</w:t>
      </w:r>
      <w:r w:rsidRPr="00F5723F">
        <w:rPr>
          <w:spacing w:val="-2"/>
          <w:szCs w:val="19"/>
        </w:rPr>
        <w:t>r</w:t>
      </w:r>
      <w:r w:rsidRPr="00F5723F">
        <w:rPr>
          <w:spacing w:val="-2"/>
          <w:szCs w:val="19"/>
        </w:rPr>
        <w:t>sitet, Sahlgrenska universitetssjukhuset och Karolinska sjukhuset medve</w:t>
      </w:r>
      <w:r w:rsidRPr="00F5723F">
        <w:rPr>
          <w:spacing w:val="-2"/>
          <w:szCs w:val="19"/>
        </w:rPr>
        <w:t>r</w:t>
      </w:r>
      <w:r w:rsidRPr="00F5723F">
        <w:rPr>
          <w:spacing w:val="-2"/>
          <w:szCs w:val="19"/>
        </w:rPr>
        <w:t>kade.</w:t>
      </w:r>
    </w:p>
    <w:p w:rsidR="00B43C57" w:rsidRPr="00F5723F" w:rsidRDefault="00B43C57">
      <w:r w:rsidRPr="00F5723F">
        <w:t>Öppen utfrågning med anledning av proposition om stamcellsfors</w:t>
      </w:r>
      <w:r w:rsidRPr="00F5723F">
        <w:t>k</w:t>
      </w:r>
      <w:r w:rsidRPr="00F5723F">
        <w:t>ning våren 2004.</w:t>
      </w:r>
    </w:p>
    <w:p w:rsidR="00B43C57" w:rsidRPr="00F5723F" w:rsidRDefault="00B43C57">
      <w:r w:rsidRPr="00F5723F">
        <w:t>SoU och JuU har genomfört en gemensam hearing i december 2003 om dro</w:t>
      </w:r>
      <w:r w:rsidRPr="00F5723F">
        <w:t>g</w:t>
      </w:r>
      <w:r w:rsidRPr="00F5723F">
        <w:t>problem med 5–6 forskare som medverkande (inom ramen för ett gemensamt projekt som beskrivits i det föregående).</w:t>
      </w:r>
    </w:p>
    <w:p w:rsidR="00B43C57" w:rsidRPr="00F5723F" w:rsidRDefault="00B43C57">
      <w:pPr>
        <w:pStyle w:val="Rubrik3"/>
        <w:spacing w:before="320"/>
        <w:rPr>
          <w:noProof w:val="0"/>
        </w:rPr>
      </w:pPr>
      <w:bookmarkStart w:id="209" w:name="_Toc121738955"/>
      <w:bookmarkStart w:id="210" w:name="_Toc124697839"/>
      <w:r w:rsidRPr="00F5723F">
        <w:rPr>
          <w:noProof w:val="0"/>
        </w:rPr>
        <w:t>K</w:t>
      </w:r>
      <w:bookmarkEnd w:id="209"/>
      <w:r w:rsidRPr="00F5723F">
        <w:rPr>
          <w:noProof w:val="0"/>
        </w:rPr>
        <w:t>ulturutskottet</w:t>
      </w:r>
      <w:bookmarkEnd w:id="210"/>
    </w:p>
    <w:p w:rsidR="00B43C57" w:rsidRPr="00F5723F" w:rsidRDefault="00B43C57">
      <w:r w:rsidRPr="00F5723F">
        <w:t>Ledamöters deltagande i Nordiska kulturfondens seminarier under 2003 om forskning om kulturpolitik.</w:t>
      </w:r>
    </w:p>
    <w:p w:rsidR="00B43C57" w:rsidRPr="00F5723F" w:rsidRDefault="00B43C57">
      <w:r w:rsidRPr="00F5723F">
        <w:t>Deltagande i seminarier i regi av Stockholms läns landsting och AF Kultur Stockholm om forskning och konstnärliga uttrycksformer i vårdmiljöer.</w:t>
      </w:r>
    </w:p>
    <w:p w:rsidR="00B43C57" w:rsidRPr="00F5723F" w:rsidRDefault="00B43C57">
      <w:r w:rsidRPr="00F5723F">
        <w:t>RUT har på utskottets uppdrag i samverkan med Talboks- och punktskrift</w:t>
      </w:r>
      <w:r w:rsidRPr="00F5723F">
        <w:t>s</w:t>
      </w:r>
      <w:r w:rsidRPr="00F5723F">
        <w:t>biblioteket (TPB) gjort en uppföljning av teknikskiftet från analog till digital teknik beträffande talböcker.</w:t>
      </w:r>
    </w:p>
    <w:p w:rsidR="00B43C57" w:rsidRPr="00F5723F" w:rsidRDefault="00B43C57">
      <w:r w:rsidRPr="00F5723F">
        <w:t>Utskottets tema vid forskningsdagen den 4 mars 2004 var kultur och hälsa.</w:t>
      </w:r>
    </w:p>
    <w:p w:rsidR="00B43C57" w:rsidRPr="00F5723F" w:rsidRDefault="00B43C57">
      <w:pPr>
        <w:pStyle w:val="Rubrik3"/>
        <w:spacing w:before="320"/>
        <w:rPr>
          <w:noProof w:val="0"/>
        </w:rPr>
      </w:pPr>
      <w:bookmarkStart w:id="211" w:name="_Toc121738956"/>
      <w:bookmarkStart w:id="212" w:name="_Toc124697840"/>
      <w:r w:rsidRPr="00F5723F">
        <w:rPr>
          <w:noProof w:val="0"/>
        </w:rPr>
        <w:t>U</w:t>
      </w:r>
      <w:bookmarkEnd w:id="211"/>
      <w:r w:rsidRPr="00F5723F">
        <w:rPr>
          <w:noProof w:val="0"/>
        </w:rPr>
        <w:t>tbildningsutskottet</w:t>
      </w:r>
      <w:bookmarkEnd w:id="212"/>
    </w:p>
    <w:p w:rsidR="00B43C57" w:rsidRPr="00F5723F" w:rsidRDefault="00B43C57">
      <w:r w:rsidRPr="00F5723F">
        <w:t>Forskarpresentationer vid öppna eller slutna utfrågningar avseende aktuell forskning och forskningsresultat; öppen utfrågning om mob</w:t>
      </w:r>
      <w:r w:rsidRPr="00F5723F">
        <w:t>b</w:t>
      </w:r>
      <w:r w:rsidRPr="00F5723F">
        <w:t>ning i skolan.</w:t>
      </w:r>
    </w:p>
    <w:p w:rsidR="00B43C57" w:rsidRPr="00F5723F" w:rsidRDefault="00B43C57">
      <w:r w:rsidRPr="00F5723F">
        <w:t>Studiebesök vid universitet och högskolor.</w:t>
      </w:r>
    </w:p>
    <w:p w:rsidR="00B43C57" w:rsidRPr="00F5723F" w:rsidRDefault="00B43C57">
      <w:r w:rsidRPr="00F5723F">
        <w:t>Uppföljning inom kansliet av den utbildningsvetenskapliga kommi</w:t>
      </w:r>
      <w:r w:rsidRPr="00F5723F">
        <w:t>t</w:t>
      </w:r>
      <w:r w:rsidRPr="00F5723F">
        <w:t>tén inom Vetenskapsrådet.</w:t>
      </w:r>
    </w:p>
    <w:p w:rsidR="00B43C57" w:rsidRPr="00F5723F" w:rsidRDefault="00B43C57">
      <w:r w:rsidRPr="00F5723F">
        <w:t>Uppföljning med extern forskarmedverkan av inrättandet av Vetenskapsr</w:t>
      </w:r>
      <w:r w:rsidRPr="00F5723F">
        <w:t>å</w:t>
      </w:r>
      <w:r w:rsidRPr="00F5723F">
        <w:t>det.</w:t>
      </w:r>
    </w:p>
    <w:p w:rsidR="00B43C57" w:rsidRPr="00F5723F" w:rsidRDefault="00B43C57">
      <w:pPr>
        <w:pStyle w:val="Rubrik3"/>
        <w:spacing w:before="320"/>
        <w:rPr>
          <w:noProof w:val="0"/>
        </w:rPr>
      </w:pPr>
      <w:bookmarkStart w:id="213" w:name="_Toc121738957"/>
      <w:bookmarkStart w:id="214" w:name="_Toc124697841"/>
      <w:r w:rsidRPr="00F5723F">
        <w:rPr>
          <w:noProof w:val="0"/>
        </w:rPr>
        <w:t>T</w:t>
      </w:r>
      <w:bookmarkEnd w:id="213"/>
      <w:r w:rsidRPr="00F5723F">
        <w:rPr>
          <w:noProof w:val="0"/>
        </w:rPr>
        <w:t>rafikutskottet</w:t>
      </w:r>
      <w:bookmarkEnd w:id="214"/>
    </w:p>
    <w:p w:rsidR="00B43C57" w:rsidRPr="00F5723F" w:rsidRDefault="00B43C57">
      <w:r w:rsidRPr="00F5723F">
        <w:t>Internt seminarium med företrädare för Vinnova m.fl.</w:t>
      </w:r>
    </w:p>
    <w:p w:rsidR="00B43C57" w:rsidRPr="00F5723F" w:rsidRDefault="00B43C57">
      <w:pPr>
        <w:spacing w:before="60"/>
      </w:pPr>
      <w:r w:rsidRPr="00F5723F">
        <w:t>Utfrågningar om trafiksäkerhet, bredbandsutveckling, trängselavgifter, inv</w:t>
      </w:r>
      <w:r w:rsidRPr="00F5723F">
        <w:t>e</w:t>
      </w:r>
      <w:r w:rsidRPr="00F5723F">
        <w:t>steringsplanering och vägunderhåll med forskarmedverkan.</w:t>
      </w:r>
    </w:p>
    <w:p w:rsidR="00B43C57" w:rsidRPr="00F5723F" w:rsidRDefault="00B43C57">
      <w:pPr>
        <w:spacing w:before="60"/>
      </w:pPr>
      <w:r w:rsidRPr="00F5723F">
        <w:t>Deltagande i konferenser, främst Transportforskningsdagen.</w:t>
      </w:r>
    </w:p>
    <w:p w:rsidR="00B43C57" w:rsidRPr="00F5723F" w:rsidRDefault="00B43C57">
      <w:pPr>
        <w:spacing w:before="60"/>
      </w:pPr>
      <w:r w:rsidRPr="00F5723F">
        <w:t>Studiebesök vid Statens institut för kommunikationsforskning (Sika) och Vä</w:t>
      </w:r>
      <w:r w:rsidRPr="00F5723F">
        <w:t>g</w:t>
      </w:r>
      <w:r w:rsidRPr="00F5723F">
        <w:t>trafiksinstitutet (VTI).</w:t>
      </w:r>
    </w:p>
    <w:p w:rsidR="00B43C57" w:rsidRPr="00F5723F" w:rsidRDefault="00B43C57">
      <w:pPr>
        <w:spacing w:before="60"/>
      </w:pPr>
      <w:r w:rsidRPr="00F5723F">
        <w:t>Uppföljning och utvärdering: planering av vägar och järnvägar, rik</w:t>
      </w:r>
      <w:r w:rsidRPr="00F5723F">
        <w:t>t</w:t>
      </w:r>
      <w:r w:rsidRPr="00F5723F">
        <w:t>linjer för uppföljningsarbete.</w:t>
      </w:r>
    </w:p>
    <w:p w:rsidR="00B43C57" w:rsidRPr="00F5723F" w:rsidRDefault="00B43C57">
      <w:pPr>
        <w:pStyle w:val="Rubrik3"/>
        <w:spacing w:before="320"/>
        <w:rPr>
          <w:noProof w:val="0"/>
        </w:rPr>
      </w:pPr>
      <w:bookmarkStart w:id="215" w:name="_Toc121738958"/>
      <w:bookmarkStart w:id="216" w:name="_Toc124697842"/>
      <w:r w:rsidRPr="00F5723F">
        <w:rPr>
          <w:noProof w:val="0"/>
        </w:rPr>
        <w:t>Miljö- och jordbruksutskottet</w:t>
      </w:r>
      <w:bookmarkEnd w:id="215"/>
      <w:bookmarkEnd w:id="216"/>
    </w:p>
    <w:p w:rsidR="00B43C57" w:rsidRPr="00F5723F" w:rsidRDefault="00B43C57">
      <w:r w:rsidRPr="00F5723F">
        <w:t>Utskottet har hösten 2003 genomfört en serie miniseminarier i samband med ordinarie utskottssammanträden i samarbete med Sveriges lantbruksunivers</w:t>
      </w:r>
      <w:r w:rsidRPr="00F5723F">
        <w:t>i</w:t>
      </w:r>
      <w:r w:rsidRPr="00F5723F">
        <w:t>tet i Uppsala (SLU) samt de forskningsprojekt som arbetar under namnen MAT-21 och Hagmarksmistra. Teman för seminarierna:</w:t>
      </w:r>
    </w:p>
    <w:p w:rsidR="00B43C57" w:rsidRPr="00F5723F" w:rsidRDefault="00B43C57">
      <w:r w:rsidRPr="00F5723F">
        <w:t>Uthållig växtodling och växtskydd.</w:t>
      </w:r>
    </w:p>
    <w:p w:rsidR="00B43C57" w:rsidRPr="00F5723F" w:rsidRDefault="00B43C57">
      <w:pPr>
        <w:spacing w:before="60"/>
      </w:pPr>
      <w:r w:rsidRPr="00F5723F">
        <w:t>Jordbrukets mervärden och ersättning.</w:t>
      </w:r>
    </w:p>
    <w:p w:rsidR="00B43C57" w:rsidRPr="00F5723F" w:rsidRDefault="00B43C57">
      <w:pPr>
        <w:spacing w:before="60"/>
      </w:pPr>
      <w:r w:rsidRPr="00F5723F">
        <w:t>Uthållig djurhållning.</w:t>
      </w:r>
    </w:p>
    <w:p w:rsidR="00B43C57" w:rsidRPr="00F5723F" w:rsidRDefault="00B43C57">
      <w:pPr>
        <w:pStyle w:val="Rubrik3"/>
        <w:rPr>
          <w:noProof w:val="0"/>
        </w:rPr>
      </w:pPr>
      <w:bookmarkStart w:id="217" w:name="_Toc121738959"/>
      <w:bookmarkStart w:id="218" w:name="_Toc124697843"/>
      <w:r w:rsidRPr="00F5723F">
        <w:rPr>
          <w:noProof w:val="0"/>
        </w:rPr>
        <w:t>Näringsutskottet</w:t>
      </w:r>
      <w:bookmarkEnd w:id="217"/>
      <w:bookmarkEnd w:id="218"/>
    </w:p>
    <w:p w:rsidR="00B43C57" w:rsidRPr="00F5723F" w:rsidRDefault="00B43C57">
      <w:r w:rsidRPr="00F5723F">
        <w:t>Förstudie genom RUT om statens stöd till forskning och utveckling fördelat på företag av olika storlek.</w:t>
      </w:r>
    </w:p>
    <w:p w:rsidR="00B43C57" w:rsidRPr="00F5723F" w:rsidRDefault="00B43C57">
      <w:r w:rsidRPr="00F5723F">
        <w:t>Studiebesök hos Verket för innovationssystem (Vinnova) och Ve</w:t>
      </w:r>
      <w:r w:rsidRPr="00F5723F">
        <w:t>r</w:t>
      </w:r>
      <w:r w:rsidRPr="00F5723F">
        <w:t>ket för näringslivsutveckling (Nutek).</w:t>
      </w:r>
    </w:p>
    <w:p w:rsidR="00B43C57" w:rsidRPr="00F5723F" w:rsidRDefault="00B43C57">
      <w:r w:rsidRPr="00F5723F">
        <w:t>Information i utskottet om omstrukturering av industriforskningsi</w:t>
      </w:r>
      <w:r w:rsidRPr="00F5723F">
        <w:t>n</w:t>
      </w:r>
      <w:r w:rsidRPr="00F5723F">
        <w:t>stituten.</w:t>
      </w:r>
    </w:p>
    <w:p w:rsidR="00B43C57" w:rsidRPr="00F5723F" w:rsidRDefault="00B43C57">
      <w:r w:rsidRPr="00F5723F">
        <w:t>Informationsmöte hos Kungl. Ingenjörsvetenskapsakademien.</w:t>
      </w:r>
    </w:p>
    <w:p w:rsidR="00B43C57" w:rsidRPr="00F5723F" w:rsidRDefault="00B43C57">
      <w:r w:rsidRPr="00F5723F">
        <w:t>Utfrågning om tillväxtfrågor (innovationer, innovationsprocessen, kapitalfö</w:t>
      </w:r>
      <w:r w:rsidRPr="00F5723F">
        <w:t>r</w:t>
      </w:r>
      <w:r w:rsidRPr="00F5723F">
        <w:t>sörjning) planerad.</w:t>
      </w:r>
    </w:p>
    <w:p w:rsidR="00B43C57" w:rsidRPr="00F5723F" w:rsidRDefault="00B43C57">
      <w:pPr>
        <w:pStyle w:val="Rubrik3"/>
        <w:rPr>
          <w:noProof w:val="0"/>
        </w:rPr>
      </w:pPr>
      <w:bookmarkStart w:id="219" w:name="_Toc121738960"/>
      <w:bookmarkStart w:id="220" w:name="_Toc124697844"/>
      <w:r w:rsidRPr="00F5723F">
        <w:rPr>
          <w:noProof w:val="0"/>
        </w:rPr>
        <w:t>Arbetsmarknads</w:t>
      </w:r>
      <w:bookmarkEnd w:id="219"/>
      <w:r w:rsidRPr="00F5723F">
        <w:rPr>
          <w:noProof w:val="0"/>
        </w:rPr>
        <w:t>utskottet</w:t>
      </w:r>
      <w:bookmarkEnd w:id="220"/>
    </w:p>
    <w:p w:rsidR="00B43C57" w:rsidRPr="00F5723F" w:rsidRDefault="00B43C57">
      <w:r w:rsidRPr="00F5723F">
        <w:t>Betänkande 2002/03:AU1 utgiftsområde 13 Arbetsmarknad.</w:t>
      </w:r>
    </w:p>
    <w:p w:rsidR="00B43C57" w:rsidRPr="00F5723F" w:rsidRDefault="00B43C57">
      <w:r w:rsidRPr="00F5723F">
        <w:t>Betänkande 2002/03:AU2 utgiftsområde 14 Arbetsliv.</w:t>
      </w:r>
    </w:p>
    <w:p w:rsidR="00B43C57" w:rsidRPr="00F5723F" w:rsidRDefault="00B43C57">
      <w:r w:rsidRPr="00F5723F">
        <w:t>Betänkande 2002/03:AU3 FN-konventionen mot kvinnodiskriminering, jä</w:t>
      </w:r>
      <w:r w:rsidRPr="00F5723F">
        <w:t>m</w:t>
      </w:r>
      <w:r w:rsidRPr="00F5723F">
        <w:t>ställdhetsfrågor och andra diskrimineringsfrågor.</w:t>
      </w:r>
    </w:p>
    <w:p w:rsidR="00B43C57" w:rsidRPr="00F5723F" w:rsidRDefault="00B43C57">
      <w:r w:rsidRPr="00F5723F">
        <w:t>Betänkande 2002/03:AU4 Vissa frågor om arbetslöshetsförsäkringen med mera</w:t>
      </w:r>
    </w:p>
    <w:p w:rsidR="00B43C57" w:rsidRPr="00F5723F" w:rsidRDefault="00B43C57">
      <w:r w:rsidRPr="00F5723F">
        <w:t>Betänkande 2002/03:AU:5 Arbetsmiljö.</w:t>
      </w:r>
    </w:p>
    <w:p w:rsidR="00B43C57" w:rsidRPr="00F5723F" w:rsidRDefault="00B43C57">
      <w:r w:rsidRPr="00F5723F">
        <w:t>Betänkande 2002/03:AU6 Statens ansvarsnämnd och arbetsrättsliga frågor.</w:t>
      </w:r>
    </w:p>
    <w:p w:rsidR="00B43C57" w:rsidRPr="00F5723F" w:rsidRDefault="00B43C57">
      <w:r w:rsidRPr="00F5723F">
        <w:t>Betänkande 2002/03:AU8 Arbetsmarknadspolitik.</w:t>
      </w:r>
    </w:p>
    <w:p w:rsidR="00B43C57" w:rsidRPr="00F5723F" w:rsidRDefault="00B43C57">
      <w:r w:rsidRPr="00F5723F">
        <w:t>Betänkande 2003/04:AU1 utgiftsområdena 13 Arbetsmarknad och 14 Arbet</w:t>
      </w:r>
      <w:r w:rsidRPr="00F5723F">
        <w:t>s</w:t>
      </w:r>
      <w:r w:rsidRPr="00F5723F">
        <w:t>liv.</w:t>
      </w:r>
    </w:p>
    <w:p w:rsidR="00B43C57" w:rsidRPr="00F5723F" w:rsidRDefault="00B43C57">
      <w:r w:rsidRPr="00F5723F">
        <w:t>Offentlig utfrågning på temat Arbetsmiljö av ordföranden i Arbetslivsinstit</w:t>
      </w:r>
      <w:r w:rsidRPr="00F5723F">
        <w:t>u</w:t>
      </w:r>
      <w:r w:rsidRPr="00F5723F">
        <w:t>tets styrelse vid riksdagens forskningsdag den 4 mars 2004.</w:t>
      </w:r>
    </w:p>
    <w:p w:rsidR="00B43C57" w:rsidRPr="00F5723F" w:rsidRDefault="00B43C57">
      <w:r w:rsidRPr="00F5723F">
        <w:t>Möten med Institutet för arbetsmarknadspolitisk utvärdering (IFAU), vanligt förekommande.</w:t>
      </w:r>
    </w:p>
    <w:p w:rsidR="00B43C57" w:rsidRPr="00F5723F" w:rsidRDefault="00B43C57">
      <w:r w:rsidRPr="00F5723F">
        <w:t xml:space="preserve">Studiebesök vid Arbetslivsinstitutet, vanligt förekommande. </w:t>
      </w:r>
    </w:p>
    <w:p w:rsidR="00B43C57" w:rsidRPr="00F5723F" w:rsidRDefault="00B43C57"/>
    <w:p w:rsidR="00B43C57" w:rsidRPr="00F5723F" w:rsidRDefault="00B43C57">
      <w:pPr>
        <w:pStyle w:val="Rubrik2"/>
        <w:spacing w:before="0"/>
      </w:pPr>
      <w:bookmarkStart w:id="221" w:name="_Toc121738961"/>
      <w:r w:rsidRPr="00F5723F">
        <w:br w:type="page"/>
      </w:r>
      <w:bookmarkStart w:id="222" w:name="_Toc124697845"/>
      <w:r w:rsidRPr="00F5723F">
        <w:t>Synpunkter på och förslag om utskottens framtida arbete med fors</w:t>
      </w:r>
      <w:r w:rsidRPr="00F5723F">
        <w:t>k</w:t>
      </w:r>
      <w:r w:rsidRPr="00F5723F">
        <w:t>nings- och framtidsfrågor</w:t>
      </w:r>
      <w:bookmarkEnd w:id="221"/>
      <w:bookmarkEnd w:id="222"/>
    </w:p>
    <w:p w:rsidR="00B43C57" w:rsidRPr="00F5723F" w:rsidRDefault="00B43C57">
      <w:r w:rsidRPr="00F5723F">
        <w:t>Inledningsvis redovisar jag här utskottens allmänna bedömningar av hur det praktiska arbetet med forskningsbaserad och framtidsrelaterad kunskap fra</w:t>
      </w:r>
      <w:r w:rsidRPr="00F5723F">
        <w:t>m</w:t>
      </w:r>
      <w:r w:rsidRPr="00F5723F">
        <w:t>gent kan bedrivas i utskotten.</w:t>
      </w:r>
    </w:p>
    <w:p w:rsidR="00B43C57" w:rsidRPr="00F5723F" w:rsidRDefault="00B43C57">
      <w:pPr>
        <w:pStyle w:val="Normaltindrag"/>
      </w:pPr>
      <w:r w:rsidRPr="00F5723F">
        <w:t>Ett sätt att bedöma framtiden kan vara att som utrikesutskottet värdera e</w:t>
      </w:r>
      <w:r w:rsidRPr="00F5723F">
        <w:t>r</w:t>
      </w:r>
      <w:r w:rsidRPr="00F5723F">
        <w:t>farenheterna av den hittillsvarande verksamheten. Det framhålls att utskottet sedan mitten av 1990-talet bedriver ett kontinuerligt moderniseringsarbete, där inflytande genom vad som kallas idémakt är en ledstjärna. No</w:t>
      </w:r>
      <w:r w:rsidRPr="00F5723F">
        <w:t>g</w:t>
      </w:r>
      <w:r w:rsidRPr="00F5723F">
        <w:t>granna analyser och kreativitet är förutsättningarna för en aktiv och framåtblicka</w:t>
      </w:r>
      <w:r w:rsidRPr="00F5723F">
        <w:t>n</w:t>
      </w:r>
      <w:r w:rsidRPr="00F5723F">
        <w:t>de verksamhet, där kontakter med forskningen och internationella kontakter bedöms som betydelsefulla. Från ledamöternas sida rapporteras enbart posit</w:t>
      </w:r>
      <w:r w:rsidRPr="00F5723F">
        <w:t>i</w:t>
      </w:r>
      <w:r w:rsidRPr="00F5723F">
        <w:t xml:space="preserve">va reaktioner på detta sätt att arbeta. </w:t>
      </w:r>
    </w:p>
    <w:p w:rsidR="00B43C57" w:rsidRPr="00F5723F" w:rsidRDefault="00B43C57">
      <w:pPr>
        <w:pStyle w:val="Normaltindrag"/>
      </w:pPr>
      <w:r w:rsidRPr="00F5723F">
        <w:t xml:space="preserve">I andra fall görs </w:t>
      </w:r>
      <w:r w:rsidRPr="00F5723F">
        <w:t>bedömningen att kontakterna med forskarsamhället fu</w:t>
      </w:r>
      <w:r w:rsidRPr="00F5723F">
        <w:t>n</w:t>
      </w:r>
      <w:r w:rsidRPr="00F5723F">
        <w:t>nit sina former på ett ändamålsenligt sätt, att tillståndet med andra ord är ”bra som det är” och att man avser att fortsätta med forskarkontakter etc. som hittills. Så kan man tolka svaren från konstitutionsutskottet, finansu</w:t>
      </w:r>
      <w:r w:rsidRPr="00F5723F">
        <w:t>t</w:t>
      </w:r>
      <w:r w:rsidRPr="00F5723F">
        <w:t>skottet, försvarsutskottet, socialutskottet, socialförsäkringsutskottet och arbetsmar</w:t>
      </w:r>
      <w:r w:rsidRPr="00F5723F">
        <w:t>k</w:t>
      </w:r>
      <w:r w:rsidRPr="00F5723F">
        <w:t xml:space="preserve">nadsutskottet. </w:t>
      </w:r>
    </w:p>
    <w:p w:rsidR="00B43C57" w:rsidRPr="00F5723F" w:rsidRDefault="00B43C57">
      <w:pPr>
        <w:pStyle w:val="Normaltindrag"/>
      </w:pPr>
      <w:r w:rsidRPr="00F5723F">
        <w:t>Några kommentarer utöver dessa kan också vara värda att återge. Socialu</w:t>
      </w:r>
      <w:r w:rsidRPr="00F5723F">
        <w:t>t</w:t>
      </w:r>
      <w:r w:rsidRPr="00F5723F">
        <w:t>skottet anser att man inte behöver rekrytera forskarutbildade personer till kansliet. Vidare rapporteras att ledamöterna i utskottet är måna om att ident</w:t>
      </w:r>
      <w:r w:rsidRPr="00F5723F">
        <w:t>i</w:t>
      </w:r>
      <w:r w:rsidRPr="00F5723F">
        <w:t>fiera sig som politiker, varigenom man markerar sitt oberoende i förhå</w:t>
      </w:r>
      <w:r w:rsidRPr="00F5723F">
        <w:t>l</w:t>
      </w:r>
      <w:r w:rsidRPr="00F5723F">
        <w:t>lande till forskningen. En liknande bedömning har gjorts inom finansutsko</w:t>
      </w:r>
      <w:r w:rsidRPr="00F5723F">
        <w:t>t</w:t>
      </w:r>
      <w:r w:rsidRPr="00F5723F">
        <w:t>tet, där ledamöterna gärna tar del av forskningsrön men följer sin pol</w:t>
      </w:r>
      <w:r w:rsidRPr="00F5723F">
        <w:t>i</w:t>
      </w:r>
      <w:r w:rsidRPr="00F5723F">
        <w:t>tiska instinkt då man tar ställning i enskilda sakfrågor.</w:t>
      </w:r>
    </w:p>
    <w:p w:rsidR="00B43C57" w:rsidRPr="00F5723F" w:rsidRDefault="00B43C57">
      <w:pPr>
        <w:pStyle w:val="Normaltindrag"/>
      </w:pPr>
      <w:r w:rsidRPr="00F5723F">
        <w:t>I några fall vill man, mot bakgrund av bedömningen av forskarkontakte</w:t>
      </w:r>
      <w:r w:rsidRPr="00F5723F">
        <w:t>r</w:t>
      </w:r>
      <w:r w:rsidRPr="00F5723F">
        <w:t>na hittills, markera att man inte ser något behov av ett särskilt ”forskning</w:t>
      </w:r>
      <w:r w:rsidRPr="00F5723F">
        <w:t>s</w:t>
      </w:r>
      <w:r w:rsidRPr="00F5723F">
        <w:t>organ” (SoU) eller ”ett övergripande organ” inom riksdagen på området fors</w:t>
      </w:r>
      <w:r w:rsidRPr="00F5723F">
        <w:t>k</w:t>
      </w:r>
      <w:r w:rsidRPr="00F5723F">
        <w:t>ning och framtidsfrågor (SfU). Näringsutskottet anser att tekniken att arbeta med sammansatta utskott är att föredra framför ett särskilt forsknings- och fra</w:t>
      </w:r>
      <w:r w:rsidRPr="00F5723F">
        <w:t>m</w:t>
      </w:r>
      <w:r w:rsidRPr="00F5723F">
        <w:t>tidsutskott. Enligt utbildningsutskottet kommer de långsiktiga, framtidsinri</w:t>
      </w:r>
      <w:r w:rsidRPr="00F5723F">
        <w:t>k</w:t>
      </w:r>
      <w:r w:rsidRPr="00F5723F">
        <w:t>tade analyserna till störst nytta genom att direkt förankras i berörda delar av den reguljära organisationen. Därför bör enl</w:t>
      </w:r>
      <w:r w:rsidRPr="00F5723F">
        <w:t>igt UbU forsknings- och framtid</w:t>
      </w:r>
      <w:r w:rsidRPr="00F5723F">
        <w:t>s</w:t>
      </w:r>
      <w:r w:rsidRPr="00F5723F">
        <w:t>frågor framför allt behandlas där de innehållsligt hör hemma i utskottsorgan</w:t>
      </w:r>
      <w:r w:rsidRPr="00F5723F">
        <w:t>i</w:t>
      </w:r>
      <w:r w:rsidRPr="00F5723F">
        <w:t>sationen. Det är också viktigt, anser UbU, att i olika former stimulera intresset för forskningsfrågor, som sker till exempel genom Rifos arbete och den sä</w:t>
      </w:r>
      <w:r w:rsidRPr="00F5723F">
        <w:t>r</w:t>
      </w:r>
      <w:r w:rsidRPr="00F5723F">
        <w:t>skilda forskningsdagen i mars 2004. Trafikutsko</w:t>
      </w:r>
      <w:r w:rsidRPr="00F5723F">
        <w:t>t</w:t>
      </w:r>
      <w:r w:rsidRPr="00F5723F">
        <w:t>tet anser att det är en uppgift för riksdagen att verka för en ändamålsenlig organisation för fors</w:t>
      </w:r>
      <w:r w:rsidRPr="00F5723F">
        <w:t>k</w:t>
      </w:r>
      <w:r w:rsidRPr="00F5723F">
        <w:t>nings- och framtidsfrågor. Till grund för utskottets uppfattning i denna del ligger att utskottet an</w:t>
      </w:r>
      <w:r w:rsidRPr="00F5723F">
        <w:t>ser att verksamheten på det aktuella området delvis är fragment</w:t>
      </w:r>
      <w:r w:rsidRPr="00F5723F">
        <w:t>e</w:t>
      </w:r>
      <w:r w:rsidRPr="00F5723F">
        <w:t>rad och att många aktörer verkar utan en samlad syn.</w:t>
      </w:r>
    </w:p>
    <w:p w:rsidR="00B43C57" w:rsidRPr="00F5723F" w:rsidRDefault="00B43C57">
      <w:pPr>
        <w:pStyle w:val="Normaltindrag"/>
      </w:pPr>
      <w:r w:rsidRPr="00F5723F">
        <w:t>När det gäller uppfattningar om vad som kan göras för att förbättra den nuv</w:t>
      </w:r>
      <w:r w:rsidRPr="00F5723F">
        <w:t>a</w:t>
      </w:r>
      <w:r w:rsidRPr="00F5723F">
        <w:t>rande verksamheten med forskarkontakter och framtidsfrågor, framförs förslag på såväl övergripande (riksdags)nivå som på utskottsnivå. Trafiku</w:t>
      </w:r>
      <w:r w:rsidRPr="00F5723F">
        <w:t>t</w:t>
      </w:r>
      <w:r w:rsidRPr="00F5723F">
        <w:t>skottet anser att sambandet mellan politik och forskning bör stärkas med hjälp av en utvecklad dialog. Utskottet anser också att forskningsfrågor bör behan</w:t>
      </w:r>
      <w:r w:rsidRPr="00F5723F">
        <w:t>d</w:t>
      </w:r>
      <w:r w:rsidRPr="00F5723F">
        <w:t>las mera ingående i samband med riksdagens budgetbehan</w:t>
      </w:r>
      <w:r w:rsidRPr="00F5723F">
        <w:t>d</w:t>
      </w:r>
      <w:r w:rsidRPr="00F5723F">
        <w:t>ling och inom ramen för mål- och resultatbedömningen. Enligt TU bör den allmänna ku</w:t>
      </w:r>
      <w:r w:rsidRPr="00F5723F">
        <w:t>n</w:t>
      </w:r>
      <w:r w:rsidRPr="00F5723F">
        <w:t>skapen i riksdagen om forsknings- och framtidsfrågor öka.</w:t>
      </w:r>
    </w:p>
    <w:p w:rsidR="00B43C57" w:rsidRPr="00F5723F" w:rsidRDefault="00B43C57">
      <w:pPr>
        <w:pStyle w:val="Normaltindrag"/>
      </w:pPr>
      <w:r w:rsidRPr="00F5723F">
        <w:t>Vad gäller särs</w:t>
      </w:r>
      <w:r w:rsidRPr="00F5723F">
        <w:t>kilt framtidsfrågor menar utrikesutskottet att framtidsst</w:t>
      </w:r>
      <w:r w:rsidRPr="00F5723F">
        <w:t>u</w:t>
      </w:r>
      <w:r w:rsidRPr="00F5723F">
        <w:t>dier kan bidra till att riksdagen kan lösa sina uppgifter som initiativtagare och i fråga om kvalitetsfunktionen (se avsnitt 2) på ett bättre sätt. Det vore enligt utskottets mening intressant om man i kammaren återkommande debatt</w:t>
      </w:r>
      <w:r w:rsidRPr="00F5723F">
        <w:t>e</w:t>
      </w:r>
      <w:r w:rsidRPr="00F5723F">
        <w:t>rar forskningsfrågor inom utskottens ansvarsområden. Utskottet anser oc</w:t>
      </w:r>
      <w:r w:rsidRPr="00F5723F">
        <w:t>k</w:t>
      </w:r>
      <w:r w:rsidRPr="00F5723F">
        <w:t>så att samtliga utskott möjligen kunde uppmanas att gärna en gång per mandatper</w:t>
      </w:r>
      <w:r w:rsidRPr="00F5723F">
        <w:t>i</w:t>
      </w:r>
      <w:r w:rsidRPr="00F5723F">
        <w:t>od lägga fram ett forskningsbaserat framtidsbetänkande, i vilket man fö</w:t>
      </w:r>
      <w:r w:rsidRPr="00F5723F">
        <w:t>r</w:t>
      </w:r>
      <w:r w:rsidRPr="00F5723F">
        <w:t>sökte identifiera och problematisera förhållanden som kan få större betydelse på mycket lång sikt.</w:t>
      </w:r>
    </w:p>
    <w:p w:rsidR="00B43C57" w:rsidRPr="00F5723F" w:rsidRDefault="00B43C57">
      <w:pPr>
        <w:pStyle w:val="Normaltindrag"/>
      </w:pPr>
      <w:r w:rsidRPr="00F5723F">
        <w:t>Andra förslag på övergripande nivå framförs av MJU och SoU. Bakom MJU:s förslag står en enskild ledamot. Enligt denne bör ett utskott kunna besluta om att ett visst vetenskapligt baserat underlag skall tas fram eller att en utredning som berör ett utskotts ansvarsområde genomförs. Ett näraligga</w:t>
      </w:r>
      <w:r w:rsidRPr="00F5723F">
        <w:t>n</w:t>
      </w:r>
      <w:r w:rsidRPr="00F5723F">
        <w:t>de förslag från SoU är att ett utskott bör kunna beställa viss forskning. MJU-ledamoten förslår vidare att utskott, eller i vissa fall Rifo, bör kalla in forsk</w:t>
      </w:r>
      <w:r w:rsidRPr="00F5723F">
        <w:t>a</w:t>
      </w:r>
      <w:r w:rsidRPr="00F5723F">
        <w:t>re från olika forskningsområden till utfrågning och att utskott bör kunna komplettera forskningsrön med samtal med ”vanliga forskare”. En annan ledamot i MJU anser att Rifo borde kunna vara koordinator när det gäller utskottens behov av forskarkommentarer vid utarbetande av betänkanden. Ytterligare en enskild ledamot inom MJU anser att aktuella proj</w:t>
      </w:r>
      <w:r w:rsidRPr="00F5723F">
        <w:t>ekt med forskningsanknytning inom ramen för utskottets verksamhet bör red</w:t>
      </w:r>
      <w:r w:rsidRPr="00F5723F">
        <w:t>o</w:t>
      </w:r>
      <w:r w:rsidRPr="00F5723F">
        <w:t>visas årligen.</w:t>
      </w:r>
    </w:p>
    <w:p w:rsidR="00B43C57" w:rsidRPr="00F5723F" w:rsidRDefault="00B43C57">
      <w:pPr>
        <w:pStyle w:val="Normaltindrag"/>
      </w:pPr>
      <w:r w:rsidRPr="00F5723F">
        <w:t xml:space="preserve">Avslutningsvis redovisas vissa av </w:t>
      </w:r>
      <w:r w:rsidRPr="00F5723F">
        <w:rPr>
          <w:i/>
        </w:rPr>
        <w:t>utskottens planer och ambitioner</w:t>
      </w:r>
      <w:r w:rsidRPr="00F5723F">
        <w:t xml:space="preserve"> inför framtiden.</w:t>
      </w:r>
    </w:p>
    <w:p w:rsidR="00B43C57" w:rsidRPr="00F5723F" w:rsidRDefault="00B43C57">
      <w:pPr>
        <w:pStyle w:val="Normaltindrag"/>
      </w:pPr>
      <w:r w:rsidRPr="00F5723F">
        <w:t>Finansutskottet avser att med hjälp av forskningsinsatser fördjupa sig på områdena statsskulden och dess relation till målen för budgetpolitiken, mål- och resultatstyrning samt vad gäller framtidsinriktade frågor de statliga lån</w:t>
      </w:r>
      <w:r w:rsidRPr="00F5723F">
        <w:t>g</w:t>
      </w:r>
      <w:r w:rsidRPr="00F5723F">
        <w:t xml:space="preserve">tidsutredningarna. </w:t>
      </w:r>
    </w:p>
    <w:p w:rsidR="00B43C57" w:rsidRPr="00F5723F" w:rsidRDefault="00B43C57">
      <w:pPr>
        <w:pStyle w:val="Normaltindrag"/>
      </w:pPr>
      <w:r w:rsidRPr="00F5723F">
        <w:t>Socialförsäkringsutskottet anser att forskning om pensionssystemet, migr</w:t>
      </w:r>
      <w:r w:rsidRPr="00F5723F">
        <w:t>a</w:t>
      </w:r>
      <w:r w:rsidRPr="00F5723F">
        <w:t>tion, integration och familjepolitik är angelägna från framtidspolitisk sy</w:t>
      </w:r>
      <w:r w:rsidRPr="00F5723F">
        <w:t>n</w:t>
      </w:r>
      <w:r w:rsidRPr="00F5723F">
        <w:t xml:space="preserve">punkt. </w:t>
      </w:r>
    </w:p>
    <w:p w:rsidR="00B43C57" w:rsidRPr="00F5723F" w:rsidRDefault="00B43C57">
      <w:pPr>
        <w:pStyle w:val="Normaltindrag"/>
      </w:pPr>
      <w:r w:rsidRPr="00F5723F">
        <w:t>Socialutskottet efterlyser mer ekonomiinriktad forskning inom vård- och omsorgsverksamheten, där till exempel ekonomiska aspekter på förebygga</w:t>
      </w:r>
      <w:r w:rsidRPr="00F5723F">
        <w:t>n</w:t>
      </w:r>
      <w:r w:rsidRPr="00F5723F">
        <w:t>de ver</w:t>
      </w:r>
      <w:r w:rsidRPr="00F5723F">
        <w:t>k</w:t>
      </w:r>
      <w:r w:rsidRPr="00F5723F">
        <w:t xml:space="preserve">samhet jämförs med akutinsatser. </w:t>
      </w:r>
    </w:p>
    <w:p w:rsidR="00B43C57" w:rsidRPr="00F5723F" w:rsidRDefault="00B43C57">
      <w:pPr>
        <w:pStyle w:val="Normaltindrag"/>
      </w:pPr>
      <w:r w:rsidRPr="00F5723F">
        <w:t>Enligt kulturutskottet är det viktigt för det framtida beslutsfattandet att u</w:t>
      </w:r>
      <w:r w:rsidRPr="00F5723F">
        <w:t>t</w:t>
      </w:r>
      <w:r w:rsidRPr="00F5723F">
        <w:t>sko</w:t>
      </w:r>
      <w:r w:rsidRPr="00F5723F">
        <w:t>t</w:t>
      </w:r>
      <w:r w:rsidRPr="00F5723F">
        <w:t>tet får tillgång till forskningsresultat om den teknik som alltmer kommer att påverka de enskilda människornas liv, till exempel medieteknik och te</w:t>
      </w:r>
      <w:r w:rsidRPr="00F5723F">
        <w:t>k</w:t>
      </w:r>
      <w:r w:rsidRPr="00F5723F">
        <w:t>nik av betyde</w:t>
      </w:r>
      <w:r w:rsidRPr="00F5723F">
        <w:t>l</w:t>
      </w:r>
      <w:r w:rsidRPr="00F5723F">
        <w:t>se från tillgänglighetssynpunkt för människor i hela landet och för de funktionshindrade. Det är också viktigt att få bättre kunskap om tekniku</w:t>
      </w:r>
      <w:r w:rsidRPr="00F5723F">
        <w:t>t</w:t>
      </w:r>
      <w:r w:rsidRPr="00F5723F">
        <w:t>vecklingen när det gäller gränsöverskridande spel och lotterier via Inte</w:t>
      </w:r>
      <w:r w:rsidRPr="00F5723F">
        <w:t>r</w:t>
      </w:r>
      <w:r w:rsidRPr="00F5723F">
        <w:t>net, mobiltelefoner med mera och vilka konsekvenser detta kan få för e</w:t>
      </w:r>
      <w:r w:rsidRPr="00F5723F">
        <w:t>n</w:t>
      </w:r>
      <w:r w:rsidRPr="00F5723F">
        <w:t>skilda och för den svenska spelpolitiken. Det behövs ocks</w:t>
      </w:r>
      <w:r w:rsidRPr="00F5723F">
        <w:t>å enligt utskottet bättre kunskap om vilka krav ungdomar ställer på framtidens kultur och kulturpol</w:t>
      </w:r>
      <w:r w:rsidRPr="00F5723F">
        <w:t>i</w:t>
      </w:r>
      <w:r w:rsidRPr="00F5723F">
        <w:t>tik. Vidare efterlyses forskning om det offentligt stödda kulturutbudet stä</w:t>
      </w:r>
      <w:r w:rsidRPr="00F5723F">
        <w:t>m</w:t>
      </w:r>
      <w:r w:rsidRPr="00F5723F">
        <w:t>mer med vad människor önskar.</w:t>
      </w:r>
    </w:p>
    <w:p w:rsidR="00B43C57" w:rsidRPr="00F5723F" w:rsidRDefault="00B43C57">
      <w:pPr>
        <w:pStyle w:val="Normaltindrag"/>
      </w:pPr>
      <w:r w:rsidRPr="00F5723F">
        <w:t>Enligt arbetsmarknadsutskottet är det framför allt forskning med inrik</w:t>
      </w:r>
      <w:r w:rsidRPr="00F5723F">
        <w:t>t</w:t>
      </w:r>
      <w:r w:rsidRPr="00F5723F">
        <w:t>ning på den långsiktiga demografiska utvecklingen som är viktig för utsko</w:t>
      </w:r>
      <w:r w:rsidRPr="00F5723F">
        <w:t>t</w:t>
      </w:r>
      <w:r w:rsidRPr="00F5723F">
        <w:t>tets del.</w:t>
      </w:r>
    </w:p>
    <w:p w:rsidR="00B43C57" w:rsidRPr="00F5723F" w:rsidRDefault="00B43C57">
      <w:pPr>
        <w:pStyle w:val="Rubrik2"/>
      </w:pPr>
      <w:bookmarkStart w:id="223" w:name="_Toc121738962"/>
      <w:bookmarkStart w:id="224" w:name="_Toc124697846"/>
      <w:r w:rsidRPr="00F5723F">
        <w:t>Behov av stöd och resurser</w:t>
      </w:r>
      <w:bookmarkEnd w:id="223"/>
      <w:bookmarkEnd w:id="224"/>
    </w:p>
    <w:p w:rsidR="00B43C57" w:rsidRPr="00F5723F" w:rsidRDefault="00B43C57">
      <w:r w:rsidRPr="00F5723F">
        <w:t>Här redovisas svaren på fråga 4 i enkäten som gällde vilka typer av stöd och resurser utskotten anser sig behöva för att eventuellt intensifiera sitt arbete med forsknings- och framtidsfrågor.</w:t>
      </w:r>
    </w:p>
    <w:p w:rsidR="00B43C57" w:rsidRPr="00F5723F" w:rsidRDefault="00B43C57">
      <w:pPr>
        <w:pStyle w:val="Normaltindrag"/>
      </w:pPr>
      <w:r w:rsidRPr="00F5723F">
        <w:t>Enligt trafikutskottet är det inte realistiskt att det byggs upp en egen ko</w:t>
      </w:r>
      <w:r w:rsidRPr="00F5723F">
        <w:t>m</w:t>
      </w:r>
      <w:r w:rsidRPr="00F5723F">
        <w:t>petens inom utskotten för att beställa FoU-uppdrag; det bör i första hand a</w:t>
      </w:r>
      <w:r w:rsidRPr="00F5723F">
        <w:t>n</w:t>
      </w:r>
      <w:r w:rsidRPr="00F5723F">
        <w:t>komma på regeringen. Däremot krävs det enligt TU:s mening kompetens inom utskotten för att relatera forskningsrön och olika framtidsfrågor vid formulering och analys av de politiska målen. Till viss del bör denna komp</w:t>
      </w:r>
      <w:r w:rsidRPr="00F5723F">
        <w:t>e</w:t>
      </w:r>
      <w:r w:rsidRPr="00F5723F">
        <w:t>tens kunna lånas in när forsknings- och framtidsfrågor hanteras. Särskilda insatser kan också behövas för att öka utskottens kunskap om forskningsm</w:t>
      </w:r>
      <w:r w:rsidRPr="00F5723F">
        <w:t>e</w:t>
      </w:r>
      <w:r w:rsidRPr="00F5723F">
        <w:t>todik och centrala FoU-begrepp.</w:t>
      </w:r>
    </w:p>
    <w:p w:rsidR="00B43C57" w:rsidRPr="00F5723F" w:rsidRDefault="00B43C57">
      <w:pPr>
        <w:pStyle w:val="Normaltindrag"/>
      </w:pPr>
      <w:r w:rsidRPr="00F5723F">
        <w:t xml:space="preserve">Utskottet anser vidare att utskotten </w:t>
      </w:r>
      <w:r w:rsidRPr="00F5723F">
        <w:t>bör kunna disponera resurser för att vid behov ställa samman kunskapsöversikter och fördjupningsanalyser. Genom en årlig återkommande forskningsdag skulle en mer systematisk inhämtning av underlag möjliggöras. Det kan också enligt TU finnas anle</w:t>
      </w:r>
      <w:r w:rsidRPr="00F5723F">
        <w:t>d</w:t>
      </w:r>
      <w:r w:rsidRPr="00F5723F">
        <w:t>ning att låta utskotten initiera ett arbete med s.k. Technology Assessment, det vill säga utvärdering av konsekvenser av vetenskapliga rön och teknisk utveckling. De resurser för uppföljning och utvärdering som utskotten disponerar gemensamt borde efter särskild prö</w:t>
      </w:r>
      <w:r w:rsidRPr="00F5723F">
        <w:t>vning kunna användas för framåtsyftande åtgärder.</w:t>
      </w:r>
    </w:p>
    <w:p w:rsidR="00B43C57" w:rsidRPr="00F5723F" w:rsidRDefault="00B43C57">
      <w:pPr>
        <w:pStyle w:val="Normaltindrag"/>
      </w:pPr>
      <w:r w:rsidRPr="00F5723F">
        <w:t>Svaren från andra utskott berör i vissa fall de förslag som TU lämnat. Ku</w:t>
      </w:r>
      <w:r w:rsidRPr="00F5723F">
        <w:t>l</w:t>
      </w:r>
      <w:r w:rsidRPr="00F5723F">
        <w:t>turutskottets kansli anser att det behövs mera resurser inom utskott</w:t>
      </w:r>
      <w:r w:rsidRPr="00F5723F">
        <w:t>s</w:t>
      </w:r>
      <w:r w:rsidRPr="00F5723F">
        <w:t>kanslierna för att de skall kunna göra goda beställningar hos forskare av till exempel utvärd</w:t>
      </w:r>
      <w:r w:rsidRPr="00F5723F">
        <w:t>e</w:t>
      </w:r>
      <w:r w:rsidRPr="00F5723F">
        <w:t>ringar och för att kunna beställa forskningsinformation eller inhämta inform</w:t>
      </w:r>
      <w:r w:rsidRPr="00F5723F">
        <w:t>a</w:t>
      </w:r>
      <w:r w:rsidRPr="00F5723F">
        <w:t>tion om forskning på annat sätt. Det behövs också resurser inom riksdagen för att göra sammanställningar av forskningsresultat och för att ge råd och stöd till utskottskanslierna om de behöver göra beställningar hos externa konsulter med mera Det kan också behövas en sam</w:t>
      </w:r>
      <w:r w:rsidRPr="00F5723F">
        <w:t>ordnande funktion med god kunskap om och kontakt med forskarvärlden som kan bistå utskott</w:t>
      </w:r>
      <w:r w:rsidRPr="00F5723F">
        <w:t>s</w:t>
      </w:r>
      <w:r w:rsidRPr="00F5723F">
        <w:t>kanslierna när de b</w:t>
      </w:r>
      <w:r w:rsidRPr="00F5723F">
        <w:t>e</w:t>
      </w:r>
      <w:r w:rsidRPr="00F5723F">
        <w:t>höver kontakta forskare.</w:t>
      </w:r>
    </w:p>
    <w:p w:rsidR="00B43C57" w:rsidRPr="00F5723F" w:rsidRDefault="00B43C57">
      <w:pPr>
        <w:pStyle w:val="Normaltindrag"/>
      </w:pPr>
      <w:r w:rsidRPr="00F5723F">
        <w:t>Utbildningsutskottet anser som tidigare redovisats att bevakningen av och arbetet med forsknings- och framtidsfrågor bör ligga på respektive utskotts kansli, vilket medför att kompetensen hos utskottskansliernas pe</w:t>
      </w:r>
      <w:r w:rsidRPr="00F5723F">
        <w:t>r</w:t>
      </w:r>
      <w:r w:rsidRPr="00F5723F">
        <w:t>sonal ökar. Det kan för ett utskott som UbU vara svårt att med bibehållna krav på ver</w:t>
      </w:r>
      <w:r w:rsidRPr="00F5723F">
        <w:t>k</w:t>
      </w:r>
      <w:r w:rsidRPr="00F5723F">
        <w:t>samheten i övrigt få tillräckligt utrymme för forsknings- och framtidsfrågor inom ramen för nuvarande resurser. Ökat utrymme för forsknings- och fra</w:t>
      </w:r>
      <w:r w:rsidRPr="00F5723F">
        <w:t>m</w:t>
      </w:r>
      <w:r w:rsidRPr="00F5723F">
        <w:t>tidsfrågor kräver enligt utskottet således en allmän förstär</w:t>
      </w:r>
      <w:r w:rsidRPr="00F5723F">
        <w:t>k</w:t>
      </w:r>
      <w:r w:rsidRPr="00F5723F">
        <w:t>ning av utskottets kansli.</w:t>
      </w:r>
    </w:p>
    <w:p w:rsidR="00B43C57" w:rsidRPr="00F5723F" w:rsidRDefault="00B43C57">
      <w:pPr>
        <w:pStyle w:val="Normaltindrag"/>
      </w:pPr>
      <w:r w:rsidRPr="00F5723F">
        <w:t>En ledamot i miljö- och jordbruksutskottet framhåller att utskottskanslie</w:t>
      </w:r>
      <w:r w:rsidRPr="00F5723F">
        <w:t>r</w:t>
      </w:r>
      <w:r w:rsidRPr="00F5723F">
        <w:t>na bör ha vetenskaplig expertis som kan informera om kunskapsläget inom respektive utskotts ansvarsområden. Samma ledamot föreslår att u</w:t>
      </w:r>
      <w:r w:rsidRPr="00F5723F">
        <w:t>t</w:t>
      </w:r>
      <w:r w:rsidRPr="00F5723F">
        <w:t>skotten bör få resurser att belysa olika förslags bärkraft utifrån olika vetenskapliga pe</w:t>
      </w:r>
      <w:r w:rsidRPr="00F5723F">
        <w:t>r</w:t>
      </w:r>
      <w:r w:rsidRPr="00F5723F">
        <w:t>spektiv. Ett ytterligare förslag från samma håll är att RUT bör förstärkas med särskilda forskningsinformatörer inom olika vetenskapso</w:t>
      </w:r>
      <w:r w:rsidRPr="00F5723F">
        <w:t>m</w:t>
      </w:r>
      <w:r w:rsidRPr="00F5723F">
        <w:t>råden. Ett liknande förslag kommer från socialutskottet, som anser att det behövs mer resurser för att bistå utskotten med tolkningar och bedömningar</w:t>
      </w:r>
      <w:r w:rsidRPr="00F5723F">
        <w:t xml:space="preserve"> av vete</w:t>
      </w:r>
      <w:r w:rsidRPr="00F5723F">
        <w:t>n</w:t>
      </w:r>
      <w:r w:rsidRPr="00F5723F">
        <w:t>skapliga utsagor och resultat; dessa resurser kan enligt SoU läggas hos till exempel RUT.</w:t>
      </w:r>
    </w:p>
    <w:p w:rsidR="00B43C57" w:rsidRPr="00F5723F" w:rsidRDefault="00B43C57">
      <w:pPr>
        <w:pStyle w:val="Normaltindrag"/>
      </w:pPr>
      <w:r w:rsidRPr="00F5723F">
        <w:t>Andra förstärkningar av utskotten som föreslås av den nämnda ledamoten av MJU gäller bland annat att utskottets eget kansli bör förses med särskild kompetens för riskbedömning, att en ny enhet för analys av den statliga pol</w:t>
      </w:r>
      <w:r w:rsidRPr="00F5723F">
        <w:t>i</w:t>
      </w:r>
      <w:r w:rsidRPr="00F5723F">
        <w:t>tikens konsekvenser för ett långsiktigt hållbart samhälle bör tillföras finansu</w:t>
      </w:r>
      <w:r w:rsidRPr="00F5723F">
        <w:t>t</w:t>
      </w:r>
      <w:r w:rsidRPr="00F5723F">
        <w:t>skottets kan</w:t>
      </w:r>
      <w:r w:rsidRPr="00F5723F">
        <w:t>s</w:t>
      </w:r>
      <w:r w:rsidRPr="00F5723F">
        <w:t>li och att en tjänst som forskningsutredare bör tillsättas för att bistå MJU, SoU, TU och NU.</w:t>
      </w:r>
    </w:p>
    <w:p w:rsidR="00B43C57" w:rsidRPr="00F5723F" w:rsidRDefault="00B43C57">
      <w:pPr>
        <w:pStyle w:val="Normaltindrag"/>
      </w:pPr>
      <w:r w:rsidRPr="00F5723F">
        <w:t>Vissa andra typer av resursfrågor har tagits upp i enkätsvaren i denna del. FöU, SoU och SfU har framhållit att den begränsade tid som står till utsko</w:t>
      </w:r>
      <w:r w:rsidRPr="00F5723F">
        <w:t>t</w:t>
      </w:r>
      <w:r w:rsidRPr="00F5723F">
        <w:t>tens förfogande att arbeta specifikt med vetenskapligt baserad information och framtidsfrågor är en kritisk faktor i sammanhanget. En annan begränsa</w:t>
      </w:r>
      <w:r w:rsidRPr="00F5723F">
        <w:t>n</w:t>
      </w:r>
      <w:r w:rsidRPr="00F5723F">
        <w:t>de faktor är enligt socialutskottet den knappa tillgången på lämpliga lokaler för utfrågningar och dylikt i riksdagshuset. SfU och AU uppger att fr</w:t>
      </w:r>
      <w:r w:rsidRPr="00F5723F">
        <w:t>å</w:t>
      </w:r>
      <w:r w:rsidRPr="00F5723F">
        <w:t>gan om ekonomisk ersättning till forskare som medverkar vid utfrågningar, seminar</w:t>
      </w:r>
      <w:r w:rsidRPr="00F5723F">
        <w:t>i</w:t>
      </w:r>
      <w:r w:rsidRPr="00F5723F">
        <w:t>er och dylikt utgör ett problem; det finns inga särskilda medel för detta och inga anvisningar om hur det ska hanteras praktiskt. Et</w:t>
      </w:r>
      <w:r w:rsidRPr="00F5723F">
        <w:t>t näraliggande problem som trafikutskottet tagit upp gäller möjligheterna för utskottets deltagande i exte</w:t>
      </w:r>
      <w:r w:rsidRPr="00F5723F">
        <w:t>r</w:t>
      </w:r>
      <w:r w:rsidRPr="00F5723F">
        <w:t>na evenemang som forskningskonferenser.</w:t>
      </w:r>
    </w:p>
    <w:p w:rsidR="00B43C57" w:rsidRPr="00F5723F" w:rsidRDefault="00B43C57">
      <w:pPr>
        <w:pStyle w:val="Rubrik2"/>
      </w:pPr>
      <w:bookmarkStart w:id="225" w:name="_Toc121738963"/>
      <w:bookmarkStart w:id="226" w:name="_Toc124697847"/>
      <w:r w:rsidRPr="00F5723F">
        <w:t>Sammanfattning och avslutande synpunkter</w:t>
      </w:r>
      <w:bookmarkEnd w:id="225"/>
      <w:bookmarkEnd w:id="226"/>
    </w:p>
    <w:p w:rsidR="00B43C57" w:rsidRPr="00F5723F" w:rsidRDefault="00B43C57">
      <w:r w:rsidRPr="00F5723F">
        <w:t>De flesta av de utskott som medverkat i enkäten anser sig ha väl upparbet</w:t>
      </w:r>
      <w:r w:rsidRPr="00F5723F">
        <w:t>a</w:t>
      </w:r>
      <w:r w:rsidRPr="00F5723F">
        <w:t xml:space="preserve">de </w:t>
      </w:r>
      <w:r w:rsidRPr="00F5723F">
        <w:rPr>
          <w:i/>
        </w:rPr>
        <w:t>rutiner för hantering av forsknings- och framtidsfrågor</w:t>
      </w:r>
      <w:r w:rsidRPr="00F5723F">
        <w:t>. I några fall up</w:t>
      </w:r>
      <w:r w:rsidRPr="00F5723F">
        <w:t>p</w:t>
      </w:r>
      <w:r w:rsidRPr="00F5723F">
        <w:t>ges explicit att forsknings- och framtidsfrågor är en del av utskottets strat</w:t>
      </w:r>
      <w:r w:rsidRPr="00F5723F">
        <w:t>e</w:t>
      </w:r>
      <w:r w:rsidRPr="00F5723F">
        <w:t>giska beslutsfattande. Detta förhållningssätt stämmer väl överens med b</w:t>
      </w:r>
      <w:r w:rsidRPr="00F5723F">
        <w:t>e</w:t>
      </w:r>
      <w:r w:rsidRPr="00F5723F">
        <w:t>dömningen att forsknings- och framtidsfrågor naturligt knyter an till merparten av riksd</w:t>
      </w:r>
      <w:r w:rsidRPr="00F5723F">
        <w:t>a</w:t>
      </w:r>
      <w:r w:rsidRPr="00F5723F">
        <w:t>gens huvuduppgifter som de formulerats av Riksdagskommittén: kontroll-, initiativ-, opinionsbildnings- och kvalitetsuppgifterna eller -funktionerna. Utbildningsutskottet skiljer sig från övriga ut</w:t>
      </w:r>
      <w:r w:rsidRPr="00F5723F">
        <w:t>skott därigenom att forskning är både ett ansvarsområde (forskningspolitik) för utskottet och ett stöd till u</w:t>
      </w:r>
      <w:r w:rsidRPr="00F5723F">
        <w:t>t</w:t>
      </w:r>
      <w:r w:rsidRPr="00F5723F">
        <w:t xml:space="preserve">skottets verksamhet i allmänhet. </w:t>
      </w:r>
    </w:p>
    <w:p w:rsidR="00B43C57" w:rsidRPr="00F5723F" w:rsidRDefault="00B43C57">
      <w:pPr>
        <w:pStyle w:val="Normaltindrag"/>
      </w:pPr>
      <w:r w:rsidRPr="00F5723F">
        <w:rPr>
          <w:i/>
        </w:rPr>
        <w:t xml:space="preserve">Formerna för utskottens arbete </w:t>
      </w:r>
      <w:r w:rsidRPr="00F5723F">
        <w:t>med forskningsbaserad och framtidsinri</w:t>
      </w:r>
      <w:r w:rsidRPr="00F5723F">
        <w:t>k</w:t>
      </w:r>
      <w:r w:rsidRPr="00F5723F">
        <w:t>tad information är framför allt följande:</w:t>
      </w:r>
    </w:p>
    <w:p w:rsidR="00B43C57" w:rsidRPr="00F5723F" w:rsidRDefault="00B43C57">
      <w:pPr>
        <w:pStyle w:val="Normaltindrag"/>
        <w:numPr>
          <w:ilvl w:val="0"/>
          <w:numId w:val="42"/>
        </w:numPr>
        <w:tabs>
          <w:tab w:val="clear" w:pos="947"/>
          <w:tab w:val="num" w:pos="567"/>
        </w:tabs>
        <w:spacing w:before="125"/>
        <w:ind w:left="567" w:hanging="567"/>
      </w:pPr>
      <w:r w:rsidRPr="00F5723F">
        <w:t>Utfrågningar och seminarier, ofta inför behandlingen av en propos</w:t>
      </w:r>
      <w:r w:rsidRPr="00F5723F">
        <w:t>i</w:t>
      </w:r>
      <w:r w:rsidRPr="00F5723F">
        <w:t>tion, då man bjuder in forskare och andra e</w:t>
      </w:r>
      <w:r w:rsidRPr="00F5723F">
        <w:t>x</w:t>
      </w:r>
      <w:r w:rsidRPr="00F5723F">
        <w:t>perter.</w:t>
      </w:r>
    </w:p>
    <w:p w:rsidR="00B43C57" w:rsidRPr="00F5723F" w:rsidRDefault="00B43C57">
      <w:pPr>
        <w:numPr>
          <w:ilvl w:val="0"/>
          <w:numId w:val="42"/>
        </w:numPr>
        <w:tabs>
          <w:tab w:val="clear" w:pos="947"/>
          <w:tab w:val="num" w:pos="567"/>
        </w:tabs>
        <w:ind w:left="567" w:hanging="567"/>
      </w:pPr>
      <w:r w:rsidRPr="00F5723F">
        <w:t>Studiebesök vid och studieresor inom och utom la</w:t>
      </w:r>
      <w:r w:rsidRPr="00F5723F">
        <w:t>n</w:t>
      </w:r>
      <w:r w:rsidRPr="00F5723F">
        <w:t>det till universitet, högskolor och sektorsforskningsorgan samt myndigheter som i vissa fall bedriver egen forskning.</w:t>
      </w:r>
    </w:p>
    <w:p w:rsidR="00B43C57" w:rsidRPr="00F5723F" w:rsidRDefault="00B43C57">
      <w:pPr>
        <w:numPr>
          <w:ilvl w:val="0"/>
          <w:numId w:val="42"/>
        </w:numPr>
        <w:tabs>
          <w:tab w:val="clear" w:pos="947"/>
          <w:tab w:val="num" w:pos="567"/>
        </w:tabs>
        <w:ind w:left="567" w:hanging="567"/>
      </w:pPr>
      <w:r w:rsidRPr="00F5723F">
        <w:t>Arbetet med uppföljning och utvärdering, då man till exempel lägger ut uppdrag på enskilda forskare eller forskningsinstitutioner eller bi</w:t>
      </w:r>
      <w:r w:rsidRPr="00F5723F">
        <w:t>l</w:t>
      </w:r>
      <w:r w:rsidRPr="00F5723F">
        <w:t>dar ref</w:t>
      </w:r>
      <w:r w:rsidRPr="00F5723F">
        <w:t>e</w:t>
      </w:r>
      <w:r w:rsidRPr="00F5723F">
        <w:t>rensgrupper i vilka forskare ingår.</w:t>
      </w:r>
    </w:p>
    <w:p w:rsidR="00B43C57" w:rsidRPr="00F5723F" w:rsidRDefault="00B43C57">
      <w:pPr>
        <w:numPr>
          <w:ilvl w:val="0"/>
          <w:numId w:val="42"/>
        </w:numPr>
        <w:tabs>
          <w:tab w:val="clear" w:pos="947"/>
          <w:tab w:val="num" w:pos="567"/>
        </w:tabs>
        <w:ind w:left="567" w:hanging="567"/>
      </w:pPr>
      <w:r w:rsidRPr="00F5723F">
        <w:t>Ärendehantering, jfr utfrågningar och seminarier ovan.</w:t>
      </w:r>
    </w:p>
    <w:p w:rsidR="00B43C57" w:rsidRPr="00F5723F" w:rsidRDefault="00B43C57">
      <w:r w:rsidRPr="00F5723F">
        <w:t>Inte sällan arbetar man med en kombination av dessa former.</w:t>
      </w:r>
    </w:p>
    <w:p w:rsidR="00B43C57" w:rsidRPr="00F5723F" w:rsidRDefault="00B43C57">
      <w:pPr>
        <w:pStyle w:val="Normaltindrag"/>
      </w:pPr>
      <w:r w:rsidRPr="00F5723F">
        <w:t>Kontakter med forskning sker också i andra former, till exempel att led</w:t>
      </w:r>
      <w:r w:rsidRPr="00F5723F">
        <w:t>a</w:t>
      </w:r>
      <w:r w:rsidRPr="00F5723F">
        <w:t>möter och kanslipersonal deltar i forskningskonferenser, att ledamöterna får inform</w:t>
      </w:r>
      <w:r w:rsidRPr="00F5723F">
        <w:t>a</w:t>
      </w:r>
      <w:r w:rsidRPr="00F5723F">
        <w:t>tion via interna nyhetsbrev, att ledamöterna medverkar i statliga kommitt</w:t>
      </w:r>
      <w:r w:rsidRPr="00F5723F">
        <w:t>é</w:t>
      </w:r>
      <w:r w:rsidRPr="00F5723F">
        <w:t>er eller i styrelser för forskningsfinansieringsorgan.</w:t>
      </w:r>
    </w:p>
    <w:p w:rsidR="00B43C57" w:rsidRPr="00F5723F" w:rsidRDefault="00B43C57">
      <w:pPr>
        <w:pStyle w:val="Normaltindrag"/>
      </w:pPr>
      <w:r w:rsidRPr="00F5723F">
        <w:t>I några av de utskott som besvarat enkäten har man ingen fast praxis för inhämtande av forskningsrön och dylikt inom ramen för utskottsarbetet. I dessa fall efterfrågar ledamöterna inte systematiskt redovisningar, utan sådana kan komma till stånd snarare efter tips från utskottskansliet.</w:t>
      </w:r>
    </w:p>
    <w:p w:rsidR="00B43C57" w:rsidRPr="00F5723F" w:rsidRDefault="00B43C57">
      <w:pPr>
        <w:pStyle w:val="Normaltindrag"/>
      </w:pPr>
      <w:r w:rsidRPr="00F5723F">
        <w:t xml:space="preserve">När det gäller utskottens syn på </w:t>
      </w:r>
      <w:r w:rsidRPr="00F5723F">
        <w:rPr>
          <w:i/>
        </w:rPr>
        <w:t>hur man framgent kan arbeta</w:t>
      </w:r>
      <w:r w:rsidRPr="00F5723F">
        <w:t xml:space="preserve"> med fors</w:t>
      </w:r>
      <w:r w:rsidRPr="00F5723F">
        <w:t>k</w:t>
      </w:r>
      <w:r w:rsidRPr="00F5723F">
        <w:t>ningsrelaterad och framtidsinriktad information, är det relativt vanligt att man framhåller att utskottets kontakter med forskningen funnit ändamålse</w:t>
      </w:r>
      <w:r w:rsidRPr="00F5723F">
        <w:t>n</w:t>
      </w:r>
      <w:r w:rsidRPr="00F5723F">
        <w:t>liga former och att man avser att fortsätta ungefär som hittills. Mot denna ba</w:t>
      </w:r>
      <w:r w:rsidRPr="00F5723F">
        <w:t>k</w:t>
      </w:r>
      <w:r w:rsidRPr="00F5723F">
        <w:t xml:space="preserve">grund är det inte förvånande att utskotten är återhållsamma med att lämna förslag som syftar till organisatoriska förändringar, samordning och dylikt. I flera fall säger man explicit att förändringar med sådan inriktning inte behövs; forsknings- </w:t>
      </w:r>
      <w:r w:rsidRPr="00F5723F">
        <w:t>och framtidsfrågor bör företrädesvis hanteras i den reguljära organisationen, eventuellt i sammansatta utskott vid behov. Samtidigt fra</w:t>
      </w:r>
      <w:r w:rsidRPr="00F5723F">
        <w:t>m</w:t>
      </w:r>
      <w:r w:rsidRPr="00F5723F">
        <w:t>håller några utskott att intresset för forskningsfrågor bör stimuleras genom till exempel Rifo och forskningsdagar inom riksdagen av det slag som nyligen pr</w:t>
      </w:r>
      <w:r w:rsidRPr="00F5723F">
        <w:t>ö</w:t>
      </w:r>
      <w:r w:rsidRPr="00F5723F">
        <w:t>vats för första gången.</w:t>
      </w:r>
    </w:p>
    <w:p w:rsidR="00B43C57" w:rsidRPr="00F5723F" w:rsidRDefault="00B43C57">
      <w:pPr>
        <w:pStyle w:val="Normaltindrag"/>
      </w:pPr>
      <w:r w:rsidRPr="00F5723F">
        <w:t>Flera förslag har lämnats om åtgärder ägnade att förbättra den nuvarande situationen. Som exempel kan följande nämnas.</w:t>
      </w:r>
    </w:p>
    <w:p w:rsidR="00B43C57" w:rsidRPr="00F5723F" w:rsidRDefault="00B43C57">
      <w:pPr>
        <w:pStyle w:val="Normaltindrag"/>
        <w:numPr>
          <w:ilvl w:val="0"/>
          <w:numId w:val="43"/>
        </w:numPr>
        <w:tabs>
          <w:tab w:val="clear" w:pos="947"/>
          <w:tab w:val="num" w:pos="567"/>
        </w:tabs>
        <w:spacing w:before="125"/>
        <w:ind w:left="567" w:hanging="567"/>
      </w:pPr>
      <w:r w:rsidRPr="00F5723F">
        <w:t>Stärk sambandet mellan forskning och politik.</w:t>
      </w:r>
    </w:p>
    <w:p w:rsidR="00B43C57" w:rsidRPr="00F5723F" w:rsidRDefault="00B43C57">
      <w:pPr>
        <w:numPr>
          <w:ilvl w:val="0"/>
          <w:numId w:val="43"/>
        </w:numPr>
        <w:tabs>
          <w:tab w:val="clear" w:pos="947"/>
          <w:tab w:val="num" w:pos="567"/>
        </w:tabs>
        <w:ind w:left="567" w:hanging="567"/>
      </w:pPr>
      <w:r w:rsidRPr="00F5723F">
        <w:t>Öka den allmänna kunskapen i riksdagen om forsknings- och fra</w:t>
      </w:r>
      <w:r w:rsidRPr="00F5723F">
        <w:t>m</w:t>
      </w:r>
      <w:r w:rsidRPr="00F5723F">
        <w:t>tidsfrågor.</w:t>
      </w:r>
    </w:p>
    <w:p w:rsidR="00B43C57" w:rsidRPr="00F5723F" w:rsidRDefault="00B43C57">
      <w:pPr>
        <w:numPr>
          <w:ilvl w:val="0"/>
          <w:numId w:val="43"/>
        </w:numPr>
        <w:tabs>
          <w:tab w:val="clear" w:pos="947"/>
          <w:tab w:val="num" w:pos="567"/>
        </w:tabs>
        <w:ind w:left="567" w:hanging="567"/>
      </w:pPr>
      <w:r w:rsidRPr="00F5723F">
        <w:t>Behandla forskningsfrågor mer ingående i samband med budgetb</w:t>
      </w:r>
      <w:r w:rsidRPr="00F5723F">
        <w:t>e</w:t>
      </w:r>
      <w:r w:rsidRPr="00F5723F">
        <w:t>handlingen och mål- och resultatbedömningar.</w:t>
      </w:r>
    </w:p>
    <w:p w:rsidR="00B43C57" w:rsidRPr="00F5723F" w:rsidRDefault="00B43C57">
      <w:pPr>
        <w:numPr>
          <w:ilvl w:val="0"/>
          <w:numId w:val="43"/>
        </w:numPr>
        <w:tabs>
          <w:tab w:val="clear" w:pos="947"/>
          <w:tab w:val="num" w:pos="567"/>
        </w:tabs>
        <w:ind w:left="567" w:hanging="567"/>
      </w:pPr>
      <w:r w:rsidRPr="00F5723F">
        <w:t>Debattera återkommande forskningsfrågor i kammaren, och st</w:t>
      </w:r>
      <w:r w:rsidRPr="00F5723F">
        <w:t>i</w:t>
      </w:r>
      <w:r w:rsidRPr="00F5723F">
        <w:t>mulera utskotten att skriva ett framtidsbetänkande vartdera en gång per ma</w:t>
      </w:r>
      <w:r w:rsidRPr="00F5723F">
        <w:t>n</w:t>
      </w:r>
      <w:r w:rsidRPr="00F5723F">
        <w:t>datper</w:t>
      </w:r>
      <w:r w:rsidRPr="00F5723F">
        <w:t>i</w:t>
      </w:r>
      <w:r w:rsidRPr="00F5723F">
        <w:t>od.</w:t>
      </w:r>
    </w:p>
    <w:p w:rsidR="00B43C57" w:rsidRPr="00F5723F" w:rsidRDefault="00B43C57">
      <w:pPr>
        <w:numPr>
          <w:ilvl w:val="0"/>
          <w:numId w:val="43"/>
        </w:numPr>
        <w:tabs>
          <w:tab w:val="clear" w:pos="947"/>
          <w:tab w:val="num" w:pos="567"/>
        </w:tabs>
        <w:ind w:left="567" w:hanging="567"/>
      </w:pPr>
      <w:r w:rsidRPr="00F5723F">
        <w:t>Öka möjligheterna för utskotten att initiera forskning.</w:t>
      </w:r>
    </w:p>
    <w:p w:rsidR="00B43C57" w:rsidRPr="00F5723F" w:rsidRDefault="00B43C57">
      <w:pPr>
        <w:numPr>
          <w:ilvl w:val="0"/>
          <w:numId w:val="43"/>
        </w:numPr>
        <w:tabs>
          <w:tab w:val="clear" w:pos="947"/>
          <w:tab w:val="num" w:pos="567"/>
        </w:tabs>
        <w:ind w:left="567" w:hanging="567"/>
      </w:pPr>
      <w:r w:rsidRPr="00F5723F">
        <w:t>Rifo bör kunna koordinera utskottens behov av forskningskomment</w:t>
      </w:r>
      <w:r w:rsidRPr="00F5723F">
        <w:t>a</w:t>
      </w:r>
      <w:r w:rsidRPr="00F5723F">
        <w:t>rer i betänkandearbetet.</w:t>
      </w:r>
    </w:p>
    <w:p w:rsidR="00B43C57" w:rsidRPr="00F5723F" w:rsidRDefault="00B43C57">
      <w:pPr>
        <w:pStyle w:val="Normaltindrag"/>
        <w:numPr>
          <w:ilvl w:val="0"/>
          <w:numId w:val="43"/>
        </w:numPr>
        <w:tabs>
          <w:tab w:val="clear" w:pos="947"/>
          <w:tab w:val="num" w:pos="567"/>
        </w:tabs>
        <w:ind w:left="567" w:hanging="567"/>
      </w:pPr>
      <w:r w:rsidRPr="00F5723F">
        <w:t>De utskott som har en mer omfattande verksamhet på det här aktue</w:t>
      </w:r>
      <w:r w:rsidRPr="00F5723F">
        <w:t>l</w:t>
      </w:r>
      <w:r w:rsidRPr="00F5723F">
        <w:t xml:space="preserve">la området anser tämligen samstämmigt att en ökning av olika slags </w:t>
      </w:r>
      <w:r w:rsidRPr="00F5723F">
        <w:rPr>
          <w:i/>
        </w:rPr>
        <w:t>stöd och resurser</w:t>
      </w:r>
      <w:r w:rsidRPr="00F5723F">
        <w:t xml:space="preserve"> behövs för att utskotten skall kunna arbeta effe</w:t>
      </w:r>
      <w:r w:rsidRPr="00F5723F">
        <w:t>k</w:t>
      </w:r>
      <w:r w:rsidRPr="00F5723F">
        <w:t>tivt med fors</w:t>
      </w:r>
      <w:r w:rsidRPr="00F5723F">
        <w:t>k</w:t>
      </w:r>
      <w:r w:rsidRPr="00F5723F">
        <w:t>nings- och framtidsfrågor.</w:t>
      </w:r>
    </w:p>
    <w:p w:rsidR="00B43C57" w:rsidRPr="00F5723F" w:rsidRDefault="00B43C57">
      <w:r w:rsidRPr="00F5723F">
        <w:t>Ett önskemål är att utskotten får ökad egen kompetens eller möjlighet att låna in sådan i samband med arbetet med forsknings- och framtidsfrågor. Det bedöms också att utskotten har behov av särskilda medel för att ställa samman kunskap på ett visst område eller för att beställa forskning. Utskottens geme</w:t>
      </w:r>
      <w:r w:rsidRPr="00F5723F">
        <w:t>n</w:t>
      </w:r>
      <w:r w:rsidRPr="00F5723F">
        <w:t>samma resurser för uppföljning och utvärderingen bör kunna användas också för framåtsyftande åtgärder.</w:t>
      </w:r>
    </w:p>
    <w:p w:rsidR="00B43C57" w:rsidRPr="00F5723F" w:rsidRDefault="00B43C57">
      <w:pPr>
        <w:pStyle w:val="Normaltindrag"/>
      </w:pPr>
      <w:r w:rsidRPr="00F5723F">
        <w:t>Det framhålls också att utskotten har behov av en samordnande funktion som kan bistå kanslierna med forskarkontakter. Ett mera allmänt formul</w:t>
      </w:r>
      <w:r w:rsidRPr="00F5723F">
        <w:t>e</w:t>
      </w:r>
      <w:r w:rsidRPr="00F5723F">
        <w:t>rat krav på förstärkning av utskottskanslierna motiveras med att det är svårt att få tillräckligt utrymme för forsknings- och framtidsfrågor med oförändrade (höga) krav på den ordinarie verksamheten. Ett närliggande problem gäller den begränsade tid som utskotten har för att arbeta med forsknings- och fra</w:t>
      </w:r>
      <w:r w:rsidRPr="00F5723F">
        <w:t>m</w:t>
      </w:r>
      <w:r w:rsidRPr="00F5723F">
        <w:t>tidsfrågor. I några fall anförs att det finns problem med arvodering av inbju</w:t>
      </w:r>
      <w:r w:rsidRPr="00F5723F">
        <w:t>d</w:t>
      </w:r>
      <w:r w:rsidRPr="00F5723F">
        <w:t>na forskare och finansiering av utskottets deltagande i forskningsko</w:t>
      </w:r>
      <w:r w:rsidRPr="00F5723F">
        <w:t>n</w:t>
      </w:r>
      <w:r w:rsidRPr="00F5723F">
        <w:t>ferenser och dylikt.</w:t>
      </w:r>
    </w:p>
    <w:p w:rsidR="00B43C57" w:rsidRPr="00F5723F" w:rsidRDefault="00B43C57">
      <w:pPr>
        <w:pStyle w:val="Normaltindrag"/>
      </w:pPr>
      <w:r w:rsidRPr="00F5723F">
        <w:t>Några avslutande synpunkter är att d</w:t>
      </w:r>
      <w:r w:rsidRPr="00F5723F">
        <w:t>et vore en överdrift att säga att denna undersökning gett några sensationella besked. Man kan konstatera att utsko</w:t>
      </w:r>
      <w:r w:rsidRPr="00F5723F">
        <w:t>t</w:t>
      </w:r>
      <w:r w:rsidRPr="00F5723F">
        <w:t>ten fortlöpande i den reguljära verksamheten arbetar i varierande omfat</w:t>
      </w:r>
      <w:r w:rsidRPr="00F5723F">
        <w:t>t</w:t>
      </w:r>
      <w:r w:rsidRPr="00F5723F">
        <w:t>ning och med varierande intensitet med att söka och tolka vetenskapliga rön och framtidsinriktade bedömningar samt att infoga dessa rön och bedömningar i b</w:t>
      </w:r>
      <w:r w:rsidRPr="00F5723F">
        <w:t>e</w:t>
      </w:r>
      <w:r w:rsidRPr="00F5723F">
        <w:t xml:space="preserve">tänkanden och i uppföljnings- och utvärderingsverksamheten. Detta sker i varierande former som de enskilda utskotten bedömer som ändamålsenliga utifrån deras respektive </w:t>
      </w:r>
      <w:r w:rsidRPr="00F5723F">
        <w:t>ambitionsnivå, behov och traditi</w:t>
      </w:r>
      <w:r w:rsidRPr="00F5723F">
        <w:t>o</w:t>
      </w:r>
      <w:r w:rsidRPr="00F5723F">
        <w:t>ner. Det är därför inte särskilt överraskande att inga långtgående förslag framförs om förän</w:t>
      </w:r>
      <w:r w:rsidRPr="00F5723F">
        <w:t>d</w:t>
      </w:r>
      <w:r w:rsidRPr="00F5723F">
        <w:t>ringar på det här aktuella området av till exempel utskottens organisation eller uppgiftsfördelningen dem emellan. Däremot framförs en del s.k. modest proposals som det finns goda skäl för Riksdagskommittén att närmare b</w:t>
      </w:r>
      <w:r w:rsidRPr="00F5723F">
        <w:t>e</w:t>
      </w:r>
      <w:r w:rsidRPr="00F5723F">
        <w:t>grunda. Det gäller framför allt förslagen om en höjning av forsknings- och framtidsfrågornas status i lagstiftningsarbetet, ökad kompetens både på led</w:t>
      </w:r>
      <w:r w:rsidRPr="00F5723F">
        <w:t>a</w:t>
      </w:r>
      <w:r w:rsidRPr="00F5723F">
        <w:t>mots- och tjän</w:t>
      </w:r>
      <w:r w:rsidRPr="00F5723F">
        <w:t>stemannasidan samt ökade materiella resurser i olika hänsee</w:t>
      </w:r>
      <w:r w:rsidRPr="00F5723F">
        <w:t>n</w:t>
      </w:r>
      <w:r w:rsidRPr="00F5723F">
        <w:t>den, event</w:t>
      </w:r>
      <w:r w:rsidRPr="00F5723F">
        <w:t>u</w:t>
      </w:r>
      <w:r w:rsidRPr="00F5723F">
        <w:t>ellt också förstärkningar av utskottens kompetens och initiativrätt på det aktuella omr</w:t>
      </w:r>
      <w:r w:rsidRPr="00F5723F">
        <w:t>å</w:t>
      </w:r>
      <w:r w:rsidRPr="00F5723F">
        <w:t>det.</w:t>
      </w:r>
    </w:p>
    <w:p w:rsidR="00B43C57" w:rsidRPr="00F5723F" w:rsidRDefault="00B43C57">
      <w:bookmarkStart w:id="227" w:name="_Toc124697848"/>
    </w:p>
    <w:p w:rsidR="00B43C57" w:rsidRPr="00F5723F" w:rsidRDefault="00B43C57">
      <w:pPr>
        <w:pStyle w:val="Rubrik1"/>
        <w:jc w:val="center"/>
        <w:rPr>
          <w:b/>
          <w:noProof w:val="0"/>
        </w:rPr>
        <w:sectPr w:rsidR="00000000" w:rsidRPr="00F5723F">
          <w:headerReference w:type="even" r:id="rId63"/>
          <w:headerReference w:type="default" r:id="rId64"/>
          <w:footerReference w:type="even" r:id="rId65"/>
          <w:footerReference w:type="default" r:id="rId66"/>
          <w:headerReference w:type="first" r:id="rId67"/>
          <w:footerReference w:type="first" r:id="rId68"/>
          <w:pgSz w:w="11906" w:h="16838" w:code="9"/>
          <w:pgMar w:top="907" w:right="4649" w:bottom="4508" w:left="1304" w:header="340" w:footer="227" w:gutter="0"/>
          <w:cols w:space="720"/>
          <w:titlePg/>
        </w:sectPr>
      </w:pPr>
    </w:p>
    <w:p w:rsidR="00B43C57" w:rsidRPr="00F5723F" w:rsidRDefault="00B43C57">
      <w:pPr>
        <w:pStyle w:val="Rubrik1"/>
        <w:jc w:val="center"/>
        <w:rPr>
          <w:b/>
          <w:noProof w:val="0"/>
        </w:rPr>
      </w:pPr>
      <w:r w:rsidRPr="00F5723F">
        <w:rPr>
          <w:b/>
          <w:noProof w:val="0"/>
        </w:rPr>
        <w:t>Rapport 4</w:t>
      </w:r>
      <w:bookmarkEnd w:id="227"/>
    </w:p>
    <w:p w:rsidR="00B43C57" w:rsidRPr="00F5723F" w:rsidRDefault="00B43C57">
      <w:pPr>
        <w:pStyle w:val="Rubrik1"/>
        <w:jc w:val="center"/>
        <w:rPr>
          <w:noProof w:val="0"/>
        </w:rPr>
      </w:pPr>
      <w:bookmarkStart w:id="228" w:name="_Toc121738964"/>
      <w:bookmarkStart w:id="229" w:name="_Toc124697849"/>
      <w:r w:rsidRPr="00F5723F">
        <w:rPr>
          <w:noProof w:val="0"/>
        </w:rPr>
        <w:t>Riksdagsledamöternas a</w:t>
      </w:r>
      <w:r w:rsidRPr="00F5723F">
        <w:rPr>
          <w:noProof w:val="0"/>
        </w:rPr>
        <w:t>r</w:t>
      </w:r>
      <w:r w:rsidRPr="00F5723F">
        <w:rPr>
          <w:noProof w:val="0"/>
        </w:rPr>
        <w:t>betsvecka</w:t>
      </w:r>
      <w:bookmarkEnd w:id="228"/>
      <w:bookmarkEnd w:id="229"/>
    </w:p>
    <w:p w:rsidR="00B43C57" w:rsidRPr="00F5723F" w:rsidRDefault="00B43C57">
      <w:pPr>
        <w:jc w:val="center"/>
        <w:rPr>
          <w:b/>
        </w:rPr>
      </w:pPr>
      <w:r w:rsidRPr="00F5723F">
        <w:rPr>
          <w:b/>
        </w:rPr>
        <w:t>Martin Brothén</w:t>
      </w:r>
    </w:p>
    <w:p w:rsidR="00B43C57" w:rsidRPr="00F5723F" w:rsidRDefault="00B43C57"/>
    <w:p w:rsidR="00B43C57" w:rsidRPr="00F5723F" w:rsidRDefault="00B43C57"/>
    <w:p w:rsidR="00B43C57" w:rsidRPr="00F5723F" w:rsidRDefault="00B43C57"/>
    <w:p w:rsidR="00B43C57" w:rsidRPr="00F5723F" w:rsidRDefault="00B43C57"/>
    <w:p w:rsidR="00B43C57" w:rsidRPr="00F5723F" w:rsidRDefault="00B43C57">
      <w:r w:rsidRPr="00F5723F">
        <w:t>Riksdagsarbetet är speciellt. Det är på en och samma gång väldigt individ</w:t>
      </w:r>
      <w:r w:rsidRPr="00F5723F">
        <w:t>u</w:t>
      </w:r>
      <w:r w:rsidRPr="00F5723F">
        <w:t>ellt och väldigt kollektivt. Det handlar både om att utöva ett personligt e</w:t>
      </w:r>
      <w:r w:rsidRPr="00F5723F">
        <w:t>r</w:t>
      </w:r>
      <w:r w:rsidRPr="00F5723F">
        <w:t>hållet mandat från väljarna och att företräda en partigrupp. Ledamoten måste bala</w:t>
      </w:r>
      <w:r w:rsidRPr="00F5723F">
        <w:t>n</w:t>
      </w:r>
      <w:r w:rsidRPr="00F5723F">
        <w:t>sera olika krav mot varandra och ytterst den fria individuella rollen som l</w:t>
      </w:r>
      <w:r w:rsidRPr="00F5723F">
        <w:t>e</w:t>
      </w:r>
      <w:r w:rsidRPr="00F5723F">
        <w:t>damot mot den kollektiva partiföreträdarro</w:t>
      </w:r>
      <w:r w:rsidRPr="00F5723F">
        <w:t>l</w:t>
      </w:r>
      <w:r w:rsidRPr="00F5723F">
        <w:t>len.</w:t>
      </w:r>
    </w:p>
    <w:p w:rsidR="00B43C57" w:rsidRPr="00F5723F" w:rsidRDefault="00B43C57">
      <w:pPr>
        <w:pStyle w:val="Normaltindrag"/>
      </w:pPr>
      <w:r w:rsidRPr="00F5723F">
        <w:t>Någon tydlig arbetsbeskrivning av riksdagsuppdraget står inte att finna. Något anställningsförhållande med anställningsavtal eller någon arbetsgiv</w:t>
      </w:r>
      <w:r w:rsidRPr="00F5723F">
        <w:t>a</w:t>
      </w:r>
      <w:r w:rsidRPr="00F5723F">
        <w:t>re och chef föreligger inte som kan bringa klarhet. Inte heller terminologin är klarg</w:t>
      </w:r>
      <w:r w:rsidRPr="00F5723F">
        <w:t>ö</w:t>
      </w:r>
      <w:r w:rsidRPr="00F5723F">
        <w:t>rande. Termen riksdagsarbete får ofta stå både för det personliga och individuella arbete som riksdagsledamoten utför och för det kollektiva arbete som utförs i riksdagen och i riksdagens organ. Det gör riksdagsled</w:t>
      </w:r>
      <w:r w:rsidRPr="00F5723F">
        <w:t>a</w:t>
      </w:r>
      <w:r w:rsidRPr="00F5723F">
        <w:t>motens arbet</w:t>
      </w:r>
      <w:r w:rsidRPr="00F5723F">
        <w:t>s</w:t>
      </w:r>
      <w:r w:rsidRPr="00F5723F">
        <w:t xml:space="preserve">villkor unika. </w:t>
      </w:r>
    </w:p>
    <w:p w:rsidR="00B43C57" w:rsidRPr="00F5723F" w:rsidRDefault="00B43C57">
      <w:pPr>
        <w:pStyle w:val="Normaltindrag"/>
      </w:pPr>
      <w:r w:rsidRPr="00F5723F">
        <w:t>Ledamoten har stor frihet att själv utforma innehållet i sitt uppdrag. Helt fria att utforma riksdagsuppdraget är dock ledamöterna inte. Olika former av begränsningar förekommer. Va</w:t>
      </w:r>
      <w:r w:rsidRPr="00F5723F">
        <w:t xml:space="preserve">rje ledamot är till exempel vald på ett mandat från </w:t>
      </w:r>
      <w:r w:rsidRPr="00F5723F">
        <w:rPr>
          <w:i/>
        </w:rPr>
        <w:t>väljare</w:t>
      </w:r>
      <w:r w:rsidRPr="00F5723F">
        <w:t xml:space="preserve">, i några fall också på </w:t>
      </w:r>
      <w:r w:rsidRPr="00F5723F">
        <w:rPr>
          <w:i/>
        </w:rPr>
        <w:t>perso</w:t>
      </w:r>
      <w:r w:rsidRPr="00F5723F">
        <w:rPr>
          <w:i/>
        </w:rPr>
        <w:t>n</w:t>
      </w:r>
      <w:r w:rsidRPr="00F5723F">
        <w:rPr>
          <w:i/>
        </w:rPr>
        <w:t>röster</w:t>
      </w:r>
      <w:r w:rsidRPr="00F5723F">
        <w:t xml:space="preserve">. Samtidigt är varje ledamot representant för ett </w:t>
      </w:r>
      <w:r w:rsidRPr="00F5723F">
        <w:rPr>
          <w:i/>
        </w:rPr>
        <w:t>parti</w:t>
      </w:r>
      <w:r w:rsidRPr="00F5723F">
        <w:t>. Beslutsmakten över viktigare uppdrag i den egna partiorganisationen som till exempel talesman i någon fråga, uppdrag i statl</w:t>
      </w:r>
      <w:r w:rsidRPr="00F5723F">
        <w:t>i</w:t>
      </w:r>
      <w:r w:rsidRPr="00F5723F">
        <w:t>ga kommittéer och styrelser och inte minst utskottsplacering, bestäms av partigru</w:t>
      </w:r>
      <w:r w:rsidRPr="00F5723F">
        <w:t>p</w:t>
      </w:r>
      <w:r w:rsidRPr="00F5723F">
        <w:t xml:space="preserve">pen. </w:t>
      </w:r>
    </w:p>
    <w:p w:rsidR="00B43C57" w:rsidRPr="00F5723F" w:rsidRDefault="00B43C57">
      <w:pPr>
        <w:pStyle w:val="Normaltindrag"/>
      </w:pPr>
      <w:r w:rsidRPr="00F5723F">
        <w:t>Hur arbetsvillkoren för folkvalda riksdagsledamöter ser ut är en demokrat</w:t>
      </w:r>
      <w:r w:rsidRPr="00F5723F">
        <w:t>i</w:t>
      </w:r>
      <w:r w:rsidRPr="00F5723F">
        <w:t>fråga. Vilka a</w:t>
      </w:r>
      <w:r w:rsidRPr="00F5723F">
        <w:t>r</w:t>
      </w:r>
      <w:r w:rsidRPr="00F5723F">
        <w:t>betsförhållanden som råder på Helgeandsholmen kan tänkas påverka inte bara vilka pers</w:t>
      </w:r>
      <w:r w:rsidRPr="00F5723F">
        <w:t>o</w:t>
      </w:r>
      <w:r w:rsidRPr="00F5723F">
        <w:t xml:space="preserve">ner som rekryteras </w:t>
      </w:r>
      <w:r w:rsidRPr="00F5723F">
        <w:rPr>
          <w:i/>
        </w:rPr>
        <w:t>till</w:t>
      </w:r>
      <w:r w:rsidRPr="00F5723F">
        <w:t xml:space="preserve"> politiken, utan också vilka som </w:t>
      </w:r>
      <w:r w:rsidRPr="00F5723F">
        <w:rPr>
          <w:i/>
        </w:rPr>
        <w:t>stannar kvar</w:t>
      </w:r>
      <w:r w:rsidRPr="00F5723F">
        <w:t xml:space="preserve"> i den politiska verksamheten. Hur ledamöterna vä</w:t>
      </w:r>
      <w:r w:rsidRPr="00F5723F">
        <w:t>l</w:t>
      </w:r>
      <w:r w:rsidRPr="00F5723F">
        <w:t>jer att utforma sitt uppdrag och sina arbetsuppgifter säger också något om demokr</w:t>
      </w:r>
      <w:r w:rsidRPr="00F5723F">
        <w:t>a</w:t>
      </w:r>
      <w:r w:rsidRPr="00F5723F">
        <w:t>tins funktionssätt. Vad är centralt i ledamotens arbete och vad är mindre cen</w:t>
      </w:r>
      <w:r w:rsidRPr="00F5723F">
        <w:t>t</w:t>
      </w:r>
      <w:r w:rsidRPr="00F5723F">
        <w:t>ralt? Vilka prioriteringar görs av ledamöterna bland de många arbetsuppgifter som är förenliga med riksdagsuppdr</w:t>
      </w:r>
      <w:r w:rsidRPr="00F5723F">
        <w:t>a</w:t>
      </w:r>
      <w:r w:rsidRPr="00F5723F">
        <w:t xml:space="preserve">get? </w:t>
      </w:r>
    </w:p>
    <w:p w:rsidR="00B43C57" w:rsidRPr="00F5723F" w:rsidRDefault="00B43C57">
      <w:pPr>
        <w:pStyle w:val="Normaltindrag"/>
      </w:pPr>
      <w:r w:rsidRPr="00F5723F">
        <w:t>Det finns i d</w:t>
      </w:r>
      <w:r w:rsidRPr="00F5723F">
        <w:t>ag bara begränsad forskning om riksdagen som arbetsplats och om riksdagsledamöternas arbetsvillkor.</w:t>
      </w:r>
      <w:r w:rsidRPr="00F5723F">
        <w:rPr>
          <w:rStyle w:val="Fotnotsreferens"/>
        </w:rPr>
        <w:footnoteReference w:id="77"/>
      </w:r>
      <w:r w:rsidRPr="00F5723F">
        <w:t xml:space="preserve"> Inte heller den internationella stat</w:t>
      </w:r>
      <w:r w:rsidRPr="00F5723F">
        <w:t>s</w:t>
      </w:r>
      <w:r w:rsidRPr="00F5723F">
        <w:t>vetarforskningen om nationella parlament som arbetsplats är särskilt omfa</w:t>
      </w:r>
      <w:r w:rsidRPr="00F5723F">
        <w:t>t</w:t>
      </w:r>
      <w:r w:rsidRPr="00F5723F">
        <w:t>tande.</w:t>
      </w:r>
      <w:r w:rsidRPr="00F5723F">
        <w:rPr>
          <w:rStyle w:val="Fotnotsreferens"/>
        </w:rPr>
        <w:footnoteReference w:id="78"/>
      </w:r>
      <w:r w:rsidRPr="00F5723F">
        <w:t xml:space="preserve"> Ett av skälen kan ha att göra med ett av de resu</w:t>
      </w:r>
      <w:r w:rsidRPr="00F5723F">
        <w:t>l</w:t>
      </w:r>
      <w:r w:rsidRPr="00F5723F">
        <w:t>tat som trots allt finns på området. Det finns en otydlighet om vad uppdraget som riksdagsledamot innebär. Det är således svårt att veta vad forskningen skulle fok</w:t>
      </w:r>
      <w:r w:rsidRPr="00F5723F">
        <w:t>u</w:t>
      </w:r>
      <w:r w:rsidRPr="00F5723F">
        <w:t xml:space="preserve">sera på. </w:t>
      </w:r>
      <w:r w:rsidRPr="00F5723F">
        <w:t>Den danske statsvetaren Torben K. Jensen har skrivit: ”Ingen har forsøgt formelt at definiere folketingsarb</w:t>
      </w:r>
      <w:r w:rsidRPr="00F5723F">
        <w:t>e</w:t>
      </w:r>
      <w:r w:rsidRPr="00F5723F">
        <w:t>jedst formål og opgaver eller at specificere krav til ’ansøgelser’ til, eller ’indehavere’ af ’jobbet’.”</w:t>
      </w:r>
      <w:r w:rsidRPr="00F5723F">
        <w:rPr>
          <w:rStyle w:val="Fotnotsreferens"/>
        </w:rPr>
        <w:footnoteReference w:id="79"/>
      </w:r>
      <w:r w:rsidRPr="00F5723F">
        <w:t>. L</w:t>
      </w:r>
      <w:r w:rsidRPr="00F5723F">
        <w:t>e</w:t>
      </w:r>
      <w:r w:rsidRPr="00F5723F">
        <w:t>damoten står tämligen fri att specificera och utforma arbetsinnehållet i riksdag</w:t>
      </w:r>
      <w:r w:rsidRPr="00F5723F">
        <w:t>s</w:t>
      </w:r>
      <w:r w:rsidRPr="00F5723F">
        <w:t xml:space="preserve">uppdraget själv. </w:t>
      </w:r>
    </w:p>
    <w:p w:rsidR="00B43C57" w:rsidRPr="00F5723F" w:rsidRDefault="00B43C57">
      <w:pPr>
        <w:pStyle w:val="Normaltindrag"/>
      </w:pPr>
      <w:r w:rsidRPr="00F5723F">
        <w:t>Det närmaste vi kommer forskning om riksdagen som arbetsplats och om riksdagsledamöternas arbetsvillkor är undersökningar genomförda av To</w:t>
      </w:r>
      <w:r w:rsidRPr="00F5723F">
        <w:t>r</w:t>
      </w:r>
      <w:r w:rsidRPr="00F5723F">
        <w:t>ben K. Jensen och en serie svenska undersökningar av riksdagsl</w:t>
      </w:r>
      <w:r w:rsidRPr="00F5723F">
        <w:t>e</w:t>
      </w:r>
      <w:r w:rsidRPr="00F5723F">
        <w:t>damöternas arbetsvecka genomförda sedan 1974. Riksdagen har tidigare också initierat ett forskningsprojekt som nära anknyter till frågeställningar om arbetsvillk</w:t>
      </w:r>
      <w:r w:rsidRPr="00F5723F">
        <w:t>o</w:t>
      </w:r>
      <w:r w:rsidRPr="00F5723F">
        <w:t>ren för nationella parlamentariker.</w:t>
      </w:r>
      <w:r w:rsidRPr="00F5723F">
        <w:rPr>
          <w:rStyle w:val="Fotnotsreferens"/>
        </w:rPr>
        <w:footnoteReference w:id="80"/>
      </w:r>
      <w:r w:rsidRPr="00F5723F">
        <w:t xml:space="preserve"> I ett nu pågående forskningsprojekt unders</w:t>
      </w:r>
      <w:r w:rsidRPr="00F5723F">
        <w:t>ö</w:t>
      </w:r>
      <w:r w:rsidRPr="00F5723F">
        <w:t>ker Jörgen Hermansson, Shirin Ahlbäck Öberg och Lena Wängn</w:t>
      </w:r>
      <w:r w:rsidRPr="00F5723F">
        <w:t>e</w:t>
      </w:r>
      <w:r w:rsidRPr="00F5723F">
        <w:t>rud hur politikerrollen bland svenska riksdag</w:t>
      </w:r>
      <w:r w:rsidRPr="00F5723F">
        <w:t>s</w:t>
      </w:r>
      <w:r w:rsidRPr="00F5723F">
        <w:t>ledamöter har förändrats i Sverige. Avsikten med projektet är att belysa frågor om riksdagsledamöternas uppl</w:t>
      </w:r>
      <w:r w:rsidRPr="00F5723F">
        <w:t>e</w:t>
      </w:r>
      <w:r w:rsidRPr="00F5723F">
        <w:t>velse av riksdagsuppdraget och om kvinnor och män har olika skäl att lämna sitt uppdrag.</w:t>
      </w:r>
      <w:r w:rsidRPr="00F5723F">
        <w:rPr>
          <w:rStyle w:val="Fotnotsreferens"/>
          <w:rFonts w:ascii="Garamond" w:hAnsi="Garamond"/>
        </w:rPr>
        <w:footnoteReference w:id="81"/>
      </w:r>
      <w:r w:rsidRPr="00F5723F">
        <w:t xml:space="preserve"> Lenita Freidenvall sammanställer, på Riksdagskommitténs uppdrag, en litteraturöversikt om riksdagen ur ett genusperspektiv där avsi</w:t>
      </w:r>
      <w:r w:rsidRPr="00F5723F">
        <w:t>k</w:t>
      </w:r>
      <w:r w:rsidRPr="00F5723F">
        <w:t>ten är att bel</w:t>
      </w:r>
      <w:r w:rsidRPr="00F5723F">
        <w:t>y</w:t>
      </w:r>
      <w:r w:rsidRPr="00F5723F">
        <w:t>sa vilken forskning som finns om kvinnors villkor och situation i b</w:t>
      </w:r>
      <w:r w:rsidRPr="00F5723F">
        <w:t>e</w:t>
      </w:r>
      <w:r w:rsidRPr="00F5723F">
        <w:t>slutsfattande församlingar som riksdagen.</w:t>
      </w:r>
      <w:r w:rsidRPr="00F5723F">
        <w:rPr>
          <w:rStyle w:val="Fotnotsreferens"/>
          <w:rFonts w:ascii="Garamond" w:hAnsi="Garamond"/>
        </w:rPr>
        <w:footnoteReference w:id="82"/>
      </w:r>
    </w:p>
    <w:p w:rsidR="00B43C57" w:rsidRPr="00F5723F" w:rsidRDefault="00B43C57">
      <w:pPr>
        <w:pStyle w:val="Normaltindrag"/>
      </w:pPr>
      <w:r w:rsidRPr="00F5723F">
        <w:t>Syftet med den här studien är att undersöka hur riksdagsledamöternas a</w:t>
      </w:r>
      <w:r w:rsidRPr="00F5723F">
        <w:t>r</w:t>
      </w:r>
      <w:r w:rsidRPr="00F5723F">
        <w:t>betssituation ser ut i dag och hur den har förändrats i ett trettioårigt perspe</w:t>
      </w:r>
      <w:r w:rsidRPr="00F5723F">
        <w:t>k</w:t>
      </w:r>
      <w:r w:rsidRPr="00F5723F">
        <w:t>tiv mellan 1974 och 2004. Därmed undersöks riksdagsledamöternas arbetsförhå</w:t>
      </w:r>
      <w:r w:rsidRPr="00F5723F">
        <w:t>l</w:t>
      </w:r>
      <w:r w:rsidRPr="00F5723F">
        <w:t>landen under enkammarriksdagen och under en tidsperiod som i övrigt uppv</w:t>
      </w:r>
      <w:r w:rsidRPr="00F5723F">
        <w:t>i</w:t>
      </w:r>
      <w:r w:rsidRPr="00F5723F">
        <w:t>sat en stor samhällsomvandling. Syftet är också att belysa eventuella skilln</w:t>
      </w:r>
      <w:r w:rsidRPr="00F5723F">
        <w:t>a</w:t>
      </w:r>
      <w:r w:rsidRPr="00F5723F">
        <w:t>der mellan partierna och mellan könen.</w:t>
      </w:r>
    </w:p>
    <w:p w:rsidR="00B43C57" w:rsidRPr="00F5723F" w:rsidRDefault="00B43C57">
      <w:pPr>
        <w:pStyle w:val="Normaltindrag"/>
      </w:pPr>
      <w:r w:rsidRPr="00F5723F">
        <w:t>Vi kan ha några olika förväntningar på resultaten. Förväntningarna styrs både av kunskaper om hur riksdagsarbetet på kollektiv nivå har förän</w:t>
      </w:r>
      <w:r w:rsidRPr="00F5723F">
        <w:t>d</w:t>
      </w:r>
      <w:r w:rsidRPr="00F5723F">
        <w:t>rats under den aktuella perioden och av kunskaper om hur det omgivande samhä</w:t>
      </w:r>
      <w:r w:rsidRPr="00F5723F">
        <w:t>l</w:t>
      </w:r>
      <w:r w:rsidRPr="00F5723F">
        <w:t>let har förändrats under motsvarande tid.</w:t>
      </w:r>
    </w:p>
    <w:p w:rsidR="00B43C57" w:rsidRPr="00F5723F" w:rsidRDefault="00B43C57">
      <w:pPr>
        <w:pStyle w:val="Normaltindrag"/>
      </w:pPr>
      <w:r w:rsidRPr="00F5723F">
        <w:t>Förändringarna av det omgivande samhället har varit stora från 1970-talet och framåt. I flera avseenden kan sådana omgivande samhällsförän</w:t>
      </w:r>
      <w:r w:rsidRPr="00F5723F">
        <w:t>d</w:t>
      </w:r>
      <w:r w:rsidRPr="00F5723F">
        <w:t>ringar tänkas påverka arbetsformerna i riksdagen. Bland de mer utmärkande förän</w:t>
      </w:r>
      <w:r w:rsidRPr="00F5723F">
        <w:t>d</w:t>
      </w:r>
      <w:r w:rsidRPr="00F5723F">
        <w:t xml:space="preserve">ringstendenserna återfinner vi en ökad </w:t>
      </w:r>
      <w:r w:rsidRPr="00F5723F">
        <w:rPr>
          <w:i/>
        </w:rPr>
        <w:t>medialisering, individualis</w:t>
      </w:r>
      <w:r w:rsidRPr="00F5723F">
        <w:rPr>
          <w:i/>
        </w:rPr>
        <w:t>e</w:t>
      </w:r>
      <w:r w:rsidRPr="00F5723F">
        <w:rPr>
          <w:i/>
        </w:rPr>
        <w:t>ring</w:t>
      </w:r>
      <w:r w:rsidRPr="00F5723F">
        <w:t xml:space="preserve"> och </w:t>
      </w:r>
      <w:r w:rsidRPr="00F5723F">
        <w:rPr>
          <w:i/>
        </w:rPr>
        <w:t>internationalisering</w:t>
      </w:r>
      <w:r w:rsidRPr="00F5723F">
        <w:t xml:space="preserve">, men också </w:t>
      </w:r>
      <w:r w:rsidRPr="00F5723F">
        <w:rPr>
          <w:i/>
        </w:rPr>
        <w:t>datoriseringen</w:t>
      </w:r>
      <w:r w:rsidRPr="00F5723F">
        <w:t xml:space="preserve"> och den snabba </w:t>
      </w:r>
      <w:r w:rsidRPr="00F5723F">
        <w:rPr>
          <w:i/>
        </w:rPr>
        <w:t>teknikutvec</w:t>
      </w:r>
      <w:r w:rsidRPr="00F5723F">
        <w:rPr>
          <w:i/>
        </w:rPr>
        <w:t>k</w:t>
      </w:r>
      <w:r w:rsidRPr="00F5723F">
        <w:rPr>
          <w:i/>
        </w:rPr>
        <w:t>lingen</w:t>
      </w:r>
      <w:r w:rsidRPr="00F5723F">
        <w:t xml:space="preserve"> påverkar ledamöterna precis som andra yrkeskategor</w:t>
      </w:r>
      <w:r w:rsidRPr="00F5723F">
        <w:t>i</w:t>
      </w:r>
      <w:r w:rsidRPr="00F5723F">
        <w:t>er.</w:t>
      </w:r>
      <w:r w:rsidRPr="00F5723F">
        <w:rPr>
          <w:rStyle w:val="Fotnotsreferens"/>
        </w:rPr>
        <w:footnoteReference w:id="83"/>
      </w:r>
    </w:p>
    <w:p w:rsidR="00B43C57" w:rsidRPr="00F5723F" w:rsidRDefault="00B43C57">
      <w:pPr>
        <w:pStyle w:val="Normaltindrag"/>
      </w:pPr>
      <w:r w:rsidRPr="00F5723F">
        <w:t>Medialiseringen av samhället har varit tydlig under tidsperioden mellan 1974 och 2004 och kan tänkas påverka ledamöternas benägenhet att medve</w:t>
      </w:r>
      <w:r w:rsidRPr="00F5723F">
        <w:t>r</w:t>
      </w:r>
      <w:r w:rsidRPr="00F5723F">
        <w:t>ka och delta i mediala sammanhang.</w:t>
      </w:r>
      <w:r w:rsidRPr="00F5723F">
        <w:rPr>
          <w:rStyle w:val="Fotnotsreferens"/>
        </w:rPr>
        <w:footnoteReference w:id="84"/>
      </w:r>
      <w:r w:rsidRPr="00F5723F">
        <w:t xml:space="preserve"> Individualiseringen och personifierin</w:t>
      </w:r>
      <w:r w:rsidRPr="00F5723F">
        <w:t>g</w:t>
      </w:r>
      <w:r w:rsidRPr="00F5723F">
        <w:t>en av politiken har också ökat. Genom införandet av ett personvalsi</w:t>
      </w:r>
      <w:r w:rsidRPr="00F5723F">
        <w:t>n</w:t>
      </w:r>
      <w:r w:rsidRPr="00F5723F">
        <w:t>slag i de politiska valen i Sverige ställs möjligen större krav på ledam</w:t>
      </w:r>
      <w:r w:rsidRPr="00F5723F">
        <w:t>ö</w:t>
      </w:r>
      <w:r w:rsidRPr="00F5723F">
        <w:t>terna att ha fler kontakter med det omgivande samhället; ett av syftena med den genomförda personvalsreformen var till exempel att öka konta</w:t>
      </w:r>
      <w:r w:rsidRPr="00F5723F">
        <w:t>k</w:t>
      </w:r>
      <w:r w:rsidRPr="00F5723F">
        <w:t>terna mellan väljare och folkvalda.</w:t>
      </w:r>
      <w:r w:rsidRPr="00F5723F">
        <w:rPr>
          <w:rStyle w:val="Fotnotsreferens"/>
        </w:rPr>
        <w:footnoteReference w:id="85"/>
      </w:r>
      <w:r w:rsidRPr="00F5723F">
        <w:t xml:space="preserve"> De i Sverige tidigare starka inslagen av korporat</w:t>
      </w:r>
      <w:r w:rsidRPr="00F5723F">
        <w:t>i</w:t>
      </w:r>
      <w:r w:rsidRPr="00F5723F">
        <w:t>vism kan ha minskat, men kontakterna med intresseorganisationer och företag antas fortf</w:t>
      </w:r>
      <w:r w:rsidRPr="00F5723F">
        <w:t>a</w:t>
      </w:r>
      <w:r w:rsidRPr="00F5723F">
        <w:t>rande vara betydande för valda ledamöter. Lobbyismen har stärkt sin stäl</w:t>
      </w:r>
      <w:r w:rsidRPr="00F5723F">
        <w:t>l</w:t>
      </w:r>
      <w:r w:rsidRPr="00F5723F">
        <w:t>ning.</w:t>
      </w:r>
      <w:r w:rsidRPr="00F5723F">
        <w:rPr>
          <w:rStyle w:val="Fotnotsreferens"/>
        </w:rPr>
        <w:footnoteReference w:id="86"/>
      </w:r>
      <w:r w:rsidRPr="00F5723F">
        <w:t xml:space="preserve"> Likaså har internationaliseringen varit iög</w:t>
      </w:r>
      <w:r w:rsidRPr="00F5723F">
        <w:t>o</w:t>
      </w:r>
      <w:r w:rsidRPr="00F5723F">
        <w:t>nenfallande under den aktuella tidsperioden, vilket ställer ledamöter inför nya avvä</w:t>
      </w:r>
      <w:r w:rsidRPr="00F5723F">
        <w:t>g</w:t>
      </w:r>
      <w:r w:rsidRPr="00F5723F">
        <w:t>ningsproblem att hantera både lokalt, nationellt och internati</w:t>
      </w:r>
      <w:r w:rsidRPr="00F5723F">
        <w:t>o</w:t>
      </w:r>
      <w:r w:rsidRPr="00F5723F">
        <w:t>nellt.</w:t>
      </w:r>
      <w:r w:rsidRPr="00F5723F">
        <w:rPr>
          <w:rStyle w:val="Fotnotsreferens"/>
        </w:rPr>
        <w:footnoteReference w:id="87"/>
      </w:r>
      <w:r w:rsidRPr="00F5723F">
        <w:t xml:space="preserve"> </w:t>
      </w:r>
    </w:p>
    <w:p w:rsidR="00B43C57" w:rsidRPr="00F5723F" w:rsidRDefault="00B43C57">
      <w:pPr>
        <w:pStyle w:val="Normaltindrag"/>
      </w:pPr>
      <w:r w:rsidRPr="00F5723F">
        <w:t>Också riksdagsarbetet på kollektiv nivå har förändrats. Undersökningar om arbetet i riksdagen har visat att utskottsarbetet har minskat i omfattning. U</w:t>
      </w:r>
      <w:r w:rsidRPr="00F5723F">
        <w:t>t</w:t>
      </w:r>
      <w:r w:rsidRPr="00F5723F">
        <w:t>skottens genomsnittliga sammanträdestid har minskat med omkring 40 procent de senaste trettio åren. Från början av 1970-talet till början av 1980-talet har utskottens genomsnittliga sammanträdestid minskat från cirka 68 timmar per riksmöte till 57 timmar per riksmöte.</w:t>
      </w:r>
      <w:r w:rsidRPr="00F5723F">
        <w:rPr>
          <w:rStyle w:val="Fotnotsreferens"/>
        </w:rPr>
        <w:footnoteReference w:id="88"/>
      </w:r>
      <w:r w:rsidRPr="00F5723F">
        <w:t xml:space="preserve"> Minskningen av sa</w:t>
      </w:r>
      <w:r w:rsidRPr="00F5723F">
        <w:t>m</w:t>
      </w:r>
      <w:r w:rsidRPr="00F5723F">
        <w:t>manträdestiden i utskotten har fortsatt. Mellan 1989/90 och 2003/04 minskade den från 59 timmar till 41.</w:t>
      </w:r>
      <w:r w:rsidRPr="00F5723F">
        <w:rPr>
          <w:rStyle w:val="Fotnotsreferens"/>
          <w:rFonts w:ascii="Garamond" w:hAnsi="Garamond"/>
        </w:rPr>
        <w:footnoteReference w:id="89"/>
      </w:r>
      <w:r w:rsidRPr="00F5723F">
        <w:t xml:space="preserve"> Antalet timmar som kammaren har sammanträtt har dock varit någorlunda stabilt. Det genomsnittliga antalet plen</w:t>
      </w:r>
      <w:r w:rsidRPr="00F5723F">
        <w:t>i</w:t>
      </w:r>
      <w:r w:rsidRPr="00F5723F">
        <w:t>timmar mellan 1971 och 2002/03 har varit cirka 600.</w:t>
      </w:r>
      <w:r w:rsidRPr="00F5723F">
        <w:rPr>
          <w:rStyle w:val="Fotnotsreferens"/>
        </w:rPr>
        <w:footnoteReference w:id="90"/>
      </w:r>
      <w:r w:rsidRPr="00F5723F">
        <w:t xml:space="preserve"> Sedan tidigare vet vi att ant</w:t>
      </w:r>
      <w:r w:rsidRPr="00F5723F">
        <w:t>a</w:t>
      </w:r>
      <w:r w:rsidRPr="00F5723F">
        <w:t>let kommunala och landstingskommunala uppdrag bland ledamöterna min</w:t>
      </w:r>
      <w:r w:rsidRPr="00F5723F">
        <w:t>s</w:t>
      </w:r>
      <w:r w:rsidRPr="00F5723F">
        <w:t>kat påfallande sedan tvåkammartiden. Färre ledamöter har i dag sådana uppdrag jämfört med tid</w:t>
      </w:r>
      <w:r w:rsidRPr="00F5723F">
        <w:t>i</w:t>
      </w:r>
      <w:r w:rsidRPr="00F5723F">
        <w:t>gare.</w:t>
      </w:r>
      <w:r w:rsidRPr="00F5723F">
        <w:rPr>
          <w:rStyle w:val="Fotnotsreferens"/>
        </w:rPr>
        <w:footnoteReference w:id="91"/>
      </w:r>
      <w:r w:rsidRPr="00F5723F">
        <w:t xml:space="preserve"> </w:t>
      </w:r>
    </w:p>
    <w:p w:rsidR="00B43C57" w:rsidRPr="00F5723F" w:rsidRDefault="00B43C57">
      <w:pPr>
        <w:pStyle w:val="Normaltindrag"/>
      </w:pPr>
      <w:r w:rsidRPr="00F5723F">
        <w:t xml:space="preserve">Sammantaget finns det mycket som talar för att vi på teoretiska grunder kan förvänta oss att ledamöternas </w:t>
      </w:r>
      <w:r w:rsidRPr="00F5723F">
        <w:rPr>
          <w:i/>
        </w:rPr>
        <w:t>inåtriktade</w:t>
      </w:r>
      <w:r w:rsidRPr="00F5723F">
        <w:t xml:space="preserve"> verksamhet har minskat i o</w:t>
      </w:r>
      <w:r w:rsidRPr="00F5723F">
        <w:t>m</w:t>
      </w:r>
      <w:r w:rsidRPr="00F5723F">
        <w:t xml:space="preserve">fattning medan den </w:t>
      </w:r>
      <w:r w:rsidRPr="00F5723F">
        <w:rPr>
          <w:i/>
        </w:rPr>
        <w:t>utåtriktade</w:t>
      </w:r>
      <w:r w:rsidRPr="00F5723F">
        <w:t xml:space="preserve"> har ökat. Också </w:t>
      </w:r>
      <w:r w:rsidRPr="00F5723F">
        <w:rPr>
          <w:i/>
        </w:rPr>
        <w:t>empiriskt</w:t>
      </w:r>
      <w:r w:rsidRPr="00F5723F">
        <w:t xml:space="preserve"> finns skäl att fö</w:t>
      </w:r>
      <w:r w:rsidRPr="00F5723F">
        <w:t>r</w:t>
      </w:r>
      <w:r w:rsidRPr="00F5723F">
        <w:t>vänta sig detsamma. Tidigare svenska undersökningar av hur ledamöte</w:t>
      </w:r>
      <w:r w:rsidRPr="00F5723F">
        <w:t>r</w:t>
      </w:r>
      <w:r w:rsidRPr="00F5723F">
        <w:t>na valt att fö</w:t>
      </w:r>
      <w:r w:rsidRPr="00F5723F">
        <w:t>r</w:t>
      </w:r>
      <w:r w:rsidRPr="00F5723F">
        <w:t xml:space="preserve">dela sitt arbete på </w:t>
      </w:r>
      <w:r w:rsidRPr="00F5723F">
        <w:rPr>
          <w:i/>
        </w:rPr>
        <w:t>inåt</w:t>
      </w:r>
      <w:r w:rsidRPr="00F5723F">
        <w:t xml:space="preserve">- respektive </w:t>
      </w:r>
      <w:r w:rsidRPr="00F5723F">
        <w:rPr>
          <w:i/>
        </w:rPr>
        <w:t>utåtriktade</w:t>
      </w:r>
      <w:r w:rsidRPr="00F5723F">
        <w:t xml:space="preserve"> aktiviteter har visat att det </w:t>
      </w:r>
      <w:r w:rsidRPr="00F5723F">
        <w:rPr>
          <w:i/>
        </w:rPr>
        <w:t>utåtriktade</w:t>
      </w:r>
      <w:r w:rsidRPr="00F5723F">
        <w:t xml:space="preserve"> arbetet blivit något viktigare i ledamöternas priorit</w:t>
      </w:r>
      <w:r w:rsidRPr="00F5723F">
        <w:t>e</w:t>
      </w:r>
      <w:r w:rsidRPr="00F5723F">
        <w:t>ringar över tid.</w:t>
      </w:r>
      <w:r w:rsidRPr="00F5723F">
        <w:rPr>
          <w:rStyle w:val="Fotnotsreferens"/>
        </w:rPr>
        <w:footnoteReference w:id="92"/>
      </w:r>
      <w:r w:rsidRPr="00F5723F">
        <w:t xml:space="preserve"> I den här rapporten prövas stödet för tesen att det utåtriktade arb</w:t>
      </w:r>
      <w:r w:rsidRPr="00F5723F">
        <w:t>e</w:t>
      </w:r>
      <w:r w:rsidRPr="00F5723F">
        <w:t>tet i ledamöternas pri</w:t>
      </w:r>
      <w:r w:rsidRPr="00F5723F">
        <w:t>o</w:t>
      </w:r>
      <w:r w:rsidRPr="00F5723F">
        <w:t>riteringar har fortsatt att öka.</w:t>
      </w:r>
    </w:p>
    <w:p w:rsidR="00B43C57" w:rsidRPr="00F5723F" w:rsidRDefault="00B43C57">
      <w:pPr>
        <w:pStyle w:val="Normaltindrag"/>
      </w:pPr>
      <w:r w:rsidRPr="00F5723F">
        <w:t>Rapporten är i det följande uppdelad på sex avsnitt där nästkommande a</w:t>
      </w:r>
      <w:r w:rsidRPr="00F5723F">
        <w:t>v</w:t>
      </w:r>
      <w:r w:rsidRPr="00F5723F">
        <w:t>snitt ger en detaljerad beskrivning av undersökningens uppläggning och g</w:t>
      </w:r>
      <w:r w:rsidRPr="00F5723F">
        <w:t>e</w:t>
      </w:r>
      <w:r w:rsidRPr="00F5723F">
        <w:t>nomförande. Avsnittet är främst avsett för den metodologiskt intre</w:t>
      </w:r>
      <w:r w:rsidRPr="00F5723F">
        <w:t>s</w:t>
      </w:r>
      <w:r w:rsidRPr="00F5723F">
        <w:t>serade läsaren. I fyra avsnitt följer därefter en redovisning av undersökningens resu</w:t>
      </w:r>
      <w:r w:rsidRPr="00F5723F">
        <w:t>l</w:t>
      </w:r>
      <w:r w:rsidRPr="00F5723F">
        <w:t>tat. Ett avsnitt ägnas riksdagsledamotens arbetsvecka och hur arbetssituati</w:t>
      </w:r>
      <w:r w:rsidRPr="00F5723F">
        <w:t>o</w:t>
      </w:r>
      <w:r w:rsidRPr="00F5723F">
        <w:t>nen har förändrats för ledamöterna över tid samt hur den ser ut i dag inom olika partier och för kvinnor och män. Ett därpå följande a</w:t>
      </w:r>
      <w:r w:rsidRPr="00F5723F">
        <w:t>v</w:t>
      </w:r>
      <w:r w:rsidRPr="00F5723F">
        <w:t>snitt redovisar vilka uppdrag ledamöter har utanför riksdagen i komm</w:t>
      </w:r>
      <w:r w:rsidRPr="00F5723F">
        <w:t>u</w:t>
      </w:r>
      <w:r w:rsidRPr="00F5723F">
        <w:t>ner o</w:t>
      </w:r>
      <w:r w:rsidRPr="00F5723F">
        <w:t>ch landsting samt i olika sta</w:t>
      </w:r>
      <w:r w:rsidRPr="00F5723F">
        <w:t>t</w:t>
      </w:r>
      <w:r w:rsidRPr="00F5723F">
        <w:t>liga organ och sammanhang. I ett särskilt avsnitt redovisas i vilken utsträckning riksdagsledamöter deltar, och önskar delta, i det region</w:t>
      </w:r>
      <w:r w:rsidRPr="00F5723F">
        <w:t>a</w:t>
      </w:r>
      <w:r w:rsidRPr="00F5723F">
        <w:t>la och lokala partiarbetet. Avslutningsvis redovisas ledamöternas egna uppfat</w:t>
      </w:r>
      <w:r w:rsidRPr="00F5723F">
        <w:t>t</w:t>
      </w:r>
      <w:r w:rsidRPr="00F5723F">
        <w:t>ningar om sin arbetssituation. I det avsnittet diskuteras såväl ledam</w:t>
      </w:r>
      <w:r w:rsidRPr="00F5723F">
        <w:t>ö</w:t>
      </w:r>
      <w:r w:rsidRPr="00F5723F">
        <w:t>ternas trivsel som ledamöternas uppfattningar om vilka a</w:t>
      </w:r>
      <w:r w:rsidRPr="00F5723F">
        <w:t>r</w:t>
      </w:r>
      <w:r w:rsidRPr="00F5723F">
        <w:t>betsuppgifter de önskar ägna mer respektive mindre tid åt. Dessutom redovisas vilka åtgärder ledam</w:t>
      </w:r>
      <w:r w:rsidRPr="00F5723F">
        <w:t>ö</w:t>
      </w:r>
      <w:r w:rsidRPr="00F5723F">
        <w:t>terna anser bör vidtas för att åstadkom</w:t>
      </w:r>
      <w:r w:rsidRPr="00F5723F">
        <w:t>ma en bättre arbetssituation för ledam</w:t>
      </w:r>
      <w:r w:rsidRPr="00F5723F">
        <w:t>ö</w:t>
      </w:r>
      <w:r w:rsidRPr="00F5723F">
        <w:t>terna. Rapporten avslutas med en sammanfattning av resultaten och några avslutande reflekti</w:t>
      </w:r>
      <w:r w:rsidRPr="00F5723F">
        <w:t>o</w:t>
      </w:r>
      <w:r w:rsidRPr="00F5723F">
        <w:t xml:space="preserve">ner. </w:t>
      </w:r>
    </w:p>
    <w:p w:rsidR="00B43C57" w:rsidRPr="00F5723F" w:rsidRDefault="00B43C57">
      <w:pPr>
        <w:pStyle w:val="Rubrik2"/>
      </w:pPr>
      <w:bookmarkStart w:id="230" w:name="_Toc98075737"/>
      <w:bookmarkStart w:id="231" w:name="_Toc121738967"/>
      <w:bookmarkStart w:id="232" w:name="_Toc124697850"/>
      <w:r w:rsidRPr="00F5723F">
        <w:t>Undersökningens uppläggning</w:t>
      </w:r>
      <w:bookmarkEnd w:id="230"/>
      <w:bookmarkEnd w:id="231"/>
      <w:bookmarkEnd w:id="232"/>
    </w:p>
    <w:p w:rsidR="00B43C57" w:rsidRPr="00F5723F" w:rsidRDefault="00B43C57">
      <w:r w:rsidRPr="00F5723F">
        <w:t>Under våren 2004 lät Riksdagskommittén genomföra en undersökning med samtliga rik</w:t>
      </w:r>
      <w:r w:rsidRPr="00F5723F">
        <w:t>s</w:t>
      </w:r>
      <w:r w:rsidRPr="00F5723F">
        <w:t>dagsledamöter om riksdagsarbetet och riksdagens arbetsformer. Undersökningen geno</w:t>
      </w:r>
      <w:r w:rsidRPr="00F5723F">
        <w:t>m</w:t>
      </w:r>
      <w:r w:rsidRPr="00F5723F">
        <w:t xml:space="preserve">fördes som en brevenkät och bestod av två delar. Dels genomfördes en s.k. </w:t>
      </w:r>
      <w:r w:rsidRPr="00F5723F">
        <w:rPr>
          <w:i/>
        </w:rPr>
        <w:t>tidsbudgetstudie</w:t>
      </w:r>
      <w:r w:rsidRPr="00F5723F">
        <w:t xml:space="preserve"> där ledam</w:t>
      </w:r>
      <w:r w:rsidRPr="00F5723F">
        <w:t>ö</w:t>
      </w:r>
      <w:r w:rsidRPr="00F5723F">
        <w:t>terna så exakt som möjligt, i dagboksform, fick föra in i vilken utsträckning och vid vilken ti</w:t>
      </w:r>
      <w:r w:rsidRPr="00F5723F">
        <w:t>d</w:t>
      </w:r>
      <w:r w:rsidRPr="00F5723F">
        <w:t>punkt som de ägnat sig åt olika arbetsuppgifter med anknytning till deras politiska ver</w:t>
      </w:r>
      <w:r w:rsidRPr="00F5723F">
        <w:t>k</w:t>
      </w:r>
      <w:r w:rsidRPr="00F5723F">
        <w:t xml:space="preserve">samhet, dels genomfördes en mindre </w:t>
      </w:r>
      <w:r w:rsidRPr="00F5723F">
        <w:rPr>
          <w:i/>
        </w:rPr>
        <w:t>enkätundersökning</w:t>
      </w:r>
      <w:r w:rsidRPr="00F5723F">
        <w:t xml:space="preserve"> med ledamöterna om riksdagsarbetet och riksdagens a</w:t>
      </w:r>
      <w:r w:rsidRPr="00F5723F">
        <w:t>r</w:t>
      </w:r>
      <w:r w:rsidRPr="00F5723F">
        <w:t xml:space="preserve">betsformer. </w:t>
      </w:r>
    </w:p>
    <w:p w:rsidR="00B43C57" w:rsidRPr="00F5723F" w:rsidRDefault="00B43C57">
      <w:pPr>
        <w:pStyle w:val="Normaltindrag"/>
      </w:pPr>
      <w:r w:rsidRPr="00F5723F">
        <w:t>Dagboksstudien genomfördes</w:t>
      </w:r>
      <w:r w:rsidRPr="00F5723F">
        <w:t xml:space="preserve"> med samma upplägg som tidigare undersö</w:t>
      </w:r>
      <w:r w:rsidRPr="00F5723F">
        <w:t>k</w:t>
      </w:r>
      <w:r w:rsidRPr="00F5723F">
        <w:t>ningar från 1974, 1977 och 1985. Så stor likhet som möjligt eftersträv</w:t>
      </w:r>
      <w:r w:rsidRPr="00F5723F">
        <w:t>a</w:t>
      </w:r>
      <w:r w:rsidRPr="00F5723F">
        <w:t>des för att få jämförbarhet över tid. Därför användes även i denna undersö</w:t>
      </w:r>
      <w:r w:rsidRPr="00F5723F">
        <w:t>k</w:t>
      </w:r>
      <w:r w:rsidRPr="00F5723F">
        <w:t>ning tekniken med ett dagboksblad, låt vara att ledamöterna kunde välja att delta i undersökningen datormässigt eller med hjälp av en pappersversion av da</w:t>
      </w:r>
      <w:r w:rsidRPr="00F5723F">
        <w:t>g</w:t>
      </w:r>
      <w:r w:rsidRPr="00F5723F">
        <w:t>boksbladet. Ledamöterna ombads också, som tidigare, att ra</w:t>
      </w:r>
      <w:r w:rsidRPr="00F5723F">
        <w:t>p</w:t>
      </w:r>
      <w:r w:rsidRPr="00F5723F">
        <w:t>portera sina aktiviteter från klockan 8.00 till klockan 22.00 varje dag. För att få en mer komplett bild av veck</w:t>
      </w:r>
      <w:r w:rsidRPr="00F5723F">
        <w:t>oslutsaktiviteterna omfattade undersö</w:t>
      </w:r>
      <w:r w:rsidRPr="00F5723F">
        <w:t>k</w:t>
      </w:r>
      <w:r w:rsidRPr="00F5723F">
        <w:t>ningen, likt 1985 års undersökning, också sönd</w:t>
      </w:r>
      <w:r w:rsidRPr="00F5723F">
        <w:t>a</w:t>
      </w:r>
      <w:r w:rsidRPr="00F5723F">
        <w:t xml:space="preserve">gen. </w:t>
      </w:r>
    </w:p>
    <w:p w:rsidR="00B43C57" w:rsidRPr="00F5723F" w:rsidRDefault="00B43C57">
      <w:pPr>
        <w:pStyle w:val="Normaltindrag"/>
      </w:pPr>
      <w:r w:rsidRPr="00F5723F">
        <w:t>Anledning har funnits att överväga att rapporteringen skulle omfatta en större del av dy</w:t>
      </w:r>
      <w:r w:rsidRPr="00F5723F">
        <w:t>g</w:t>
      </w:r>
      <w:r w:rsidRPr="00F5723F">
        <w:t>net. Många ledamöter befinner sig till exempel på resa till och från Stockholm på tidpunkter utanför det angivna tidsintervallet. Kväll</w:t>
      </w:r>
      <w:r w:rsidRPr="00F5723F">
        <w:t>s</w:t>
      </w:r>
      <w:r w:rsidRPr="00F5723F">
        <w:t>plenum kan dessutom pågå efter 22.00. Dessa förhållanden har dock varit tämligen likartade vid tidigare undersökningstillfällen. För jämförbarhetens skull har dagboksbladen för måndag till lördag utformats på samma sätt som tidigare. Det kan inte uteslutas att en förändring av blanketten i detta avsee</w:t>
      </w:r>
      <w:r w:rsidRPr="00F5723F">
        <w:t>n</w:t>
      </w:r>
      <w:r w:rsidRPr="00F5723F">
        <w:t>de skulle kunna leda till en förändring i aktiv</w:t>
      </w:r>
      <w:r w:rsidRPr="00F5723F">
        <w:t>i</w:t>
      </w:r>
      <w:r w:rsidRPr="00F5723F">
        <w:t>tetsrapporteringen också</w:t>
      </w:r>
      <w:r w:rsidRPr="00F5723F">
        <w:t xml:space="preserve"> inom tidsramen 08.00–22.00. Förändringar i tidsintervallet i den nu geno</w:t>
      </w:r>
      <w:r w:rsidRPr="00F5723F">
        <w:t>m</w:t>
      </w:r>
      <w:r w:rsidRPr="00F5723F">
        <w:t>förda undersökningen hade omöjliggjort jämförande analyser av hur arbetssituati</w:t>
      </w:r>
      <w:r w:rsidRPr="00F5723F">
        <w:t>o</w:t>
      </w:r>
      <w:r w:rsidRPr="00F5723F">
        <w:t>nen för riksdagens ledamöter har utvecklats över tid. För att, om möjligt, något kompensera för den begränsning som följer av att endast medta uppgi</w:t>
      </w:r>
      <w:r w:rsidRPr="00F5723F">
        <w:t>f</w:t>
      </w:r>
      <w:r w:rsidRPr="00F5723F">
        <w:t>ter som faller inom tidsintervallet 08.00–22.00 medtogs i enkätundersöknin</w:t>
      </w:r>
      <w:r w:rsidRPr="00F5723F">
        <w:t>g</w:t>
      </w:r>
      <w:r w:rsidRPr="00F5723F">
        <w:t>en en specifik fråga om i vilken utsträckning ledamöter arbetar med riksdag</w:t>
      </w:r>
      <w:r w:rsidRPr="00F5723F">
        <w:t>s</w:t>
      </w:r>
      <w:r w:rsidRPr="00F5723F">
        <w:t xml:space="preserve">anknutna uppgifter vid andra tidpunkter. </w:t>
      </w:r>
    </w:p>
    <w:p w:rsidR="00B43C57" w:rsidRPr="00F5723F" w:rsidRDefault="00B43C57">
      <w:pPr>
        <w:pStyle w:val="Normaltindrag"/>
      </w:pPr>
      <w:r w:rsidRPr="00F5723F">
        <w:t>Ett par förändri</w:t>
      </w:r>
      <w:r w:rsidRPr="00F5723F">
        <w:t>ngar har redan tidigare gjorts i klassifikationsschemat. Den från 1974 och 1977 tidigare utnyttjade restkategorin ”Föredrag, artiklar, i</w:t>
      </w:r>
      <w:r w:rsidRPr="00F5723F">
        <w:t>n</w:t>
      </w:r>
      <w:r w:rsidRPr="00F5723F">
        <w:t>läsnings- och studiearbete, studieresor med mera” delades i 1985 års unde</w:t>
      </w:r>
      <w:r w:rsidRPr="00F5723F">
        <w:t>r</w:t>
      </w:r>
      <w:r w:rsidRPr="00F5723F">
        <w:t>sökning upp på två kategorier så att föredrag och massmediedeltagande kunde rappo</w:t>
      </w:r>
      <w:r w:rsidRPr="00F5723F">
        <w:t>r</w:t>
      </w:r>
      <w:r w:rsidRPr="00F5723F">
        <w:t>teras för sig. I de tidiga undersökningarna från 1970-talet medtogs vidare yrkesverksamhet som en särskild kategori. Den antogs vara av värde för utövande av ledamotskapet och därför av särskilt intresse. Inför 1985 års</w:t>
      </w:r>
      <w:r w:rsidRPr="00F5723F">
        <w:t xml:space="preserve"> undersökning argumenterades för att ledamotskapet utgjorde en heltidssysse</w:t>
      </w:r>
      <w:r w:rsidRPr="00F5723F">
        <w:t>l</w:t>
      </w:r>
      <w:r w:rsidRPr="00F5723F">
        <w:t>sättning. Det ansågs också att rapporterad yrkesverksamhet i många fall var svår att skilja från ”utåtriktade aktivit</w:t>
      </w:r>
      <w:r w:rsidRPr="00F5723F">
        <w:t>e</w:t>
      </w:r>
      <w:r w:rsidRPr="00F5723F">
        <w:t>ter”, det vill säga verksamhet i partier och organisationer. Därför uteslöts den kategorin helt.</w:t>
      </w:r>
      <w:r w:rsidRPr="00F5723F">
        <w:rPr>
          <w:rStyle w:val="Fotnotsreferens"/>
        </w:rPr>
        <w:footnoteReference w:id="93"/>
      </w:r>
      <w:r w:rsidRPr="00F5723F">
        <w:t xml:space="preserve"> </w:t>
      </w:r>
    </w:p>
    <w:p w:rsidR="00B43C57" w:rsidRPr="00F5723F" w:rsidRDefault="00B43C57">
      <w:pPr>
        <w:pStyle w:val="Normaltindrag"/>
      </w:pPr>
      <w:r w:rsidRPr="00F5723F">
        <w:t>Också kategorin ”restid” togs 1985 bort efter att tidigare ha utgjort en egen kategori i u</w:t>
      </w:r>
      <w:r w:rsidRPr="00F5723F">
        <w:t>n</w:t>
      </w:r>
      <w:r w:rsidRPr="00F5723F">
        <w:t>dersökningens dagboksblad. Ett stort antal ledamöter gjorde i 1974 och 1977 års unde</w:t>
      </w:r>
      <w:r w:rsidRPr="00F5723F">
        <w:t>r</w:t>
      </w:r>
      <w:r w:rsidRPr="00F5723F">
        <w:t>sökningar dubbelmarkeringar för restid och annan aktivitet, som inläsnings- och förberedelsearbete. Den aktuella tiden kodades då konsekvent som restid. För att få en renare rapportering av faktiska aktiv</w:t>
      </w:r>
      <w:r w:rsidRPr="00F5723F">
        <w:t>i</w:t>
      </w:r>
      <w:r w:rsidRPr="00F5723F">
        <w:t>teter togs kategorin bort. Tidsåtgången för resor mäts i stället genom att l</w:t>
      </w:r>
      <w:r w:rsidRPr="00F5723F">
        <w:t>e</w:t>
      </w:r>
      <w:r w:rsidRPr="00F5723F">
        <w:t>damöterna i tillägg till uppgifter om aktivitet också ombetts rapportera var aktivitete</w:t>
      </w:r>
      <w:r w:rsidRPr="00F5723F">
        <w:t>r</w:t>
      </w:r>
      <w:r w:rsidRPr="00F5723F">
        <w:t>na bedrivs.</w:t>
      </w:r>
    </w:p>
    <w:p w:rsidR="00B43C57" w:rsidRPr="00F5723F" w:rsidRDefault="00B43C57">
      <w:pPr>
        <w:pStyle w:val="Rubrik3"/>
        <w:rPr>
          <w:noProof w:val="0"/>
        </w:rPr>
      </w:pPr>
      <w:bookmarkStart w:id="233" w:name="_Toc98075738"/>
      <w:bookmarkStart w:id="234" w:name="_Toc121738968"/>
      <w:bookmarkStart w:id="235" w:name="_Toc124697851"/>
      <w:r w:rsidRPr="00F5723F">
        <w:rPr>
          <w:noProof w:val="0"/>
        </w:rPr>
        <w:t>Val av undersökningsvecka</w:t>
      </w:r>
      <w:bookmarkEnd w:id="233"/>
      <w:bookmarkEnd w:id="234"/>
      <w:bookmarkEnd w:id="235"/>
    </w:p>
    <w:p w:rsidR="00B43C57" w:rsidRPr="00F5723F" w:rsidRDefault="00B43C57">
      <w:r w:rsidRPr="00F5723F">
        <w:t>Arbetssituationen i riksdagen varierar inte bara från vecka till vecka. Den varierar också över året. Variationer har också förekommit över tid; bestä</w:t>
      </w:r>
      <w:r w:rsidRPr="00F5723F">
        <w:t>m</w:t>
      </w:r>
      <w:r w:rsidRPr="00F5723F">
        <w:t>melserna om riksmöte har till exempel förändrats mellan 1974 och 2004.</w:t>
      </w:r>
      <w:r w:rsidRPr="00F5723F">
        <w:rPr>
          <w:rStyle w:val="Fotnotsreferens"/>
        </w:rPr>
        <w:footnoteReference w:id="94"/>
      </w:r>
      <w:r w:rsidRPr="00F5723F">
        <w:t xml:space="preserve"> I figur 1 redovisas den totala plenitiden (i timmar) för riksd</w:t>
      </w:r>
      <w:r w:rsidRPr="00F5723F">
        <w:t>a</w:t>
      </w:r>
      <w:r w:rsidRPr="00F5723F">
        <w:t>gens kammare riksmötena 2002/03 respektive 2003/04.</w:t>
      </w:r>
      <w:r w:rsidRPr="00F5723F">
        <w:rPr>
          <w:rStyle w:val="Fotnotsreferens"/>
        </w:rPr>
        <w:footnoteReference w:id="95"/>
      </w:r>
      <w:r w:rsidRPr="00F5723F">
        <w:t xml:space="preserve"> </w:t>
      </w:r>
    </w:p>
    <w:p w:rsidR="00B43C57" w:rsidRPr="00F5723F" w:rsidRDefault="00B43C57">
      <w:pPr>
        <w:pStyle w:val="Normaltindrag"/>
        <w:spacing w:line="240" w:lineRule="auto"/>
      </w:pPr>
    </w:p>
    <w:p w:rsidR="00B43C57" w:rsidRPr="00F5723F" w:rsidRDefault="00B43C57">
      <w:pPr>
        <w:pStyle w:val="Tabellrubrik"/>
        <w:spacing w:line="240" w:lineRule="auto"/>
      </w:pPr>
      <w:r w:rsidRPr="00F5723F">
        <w:t>Figur 1</w:t>
      </w:r>
      <w:r w:rsidRPr="00F5723F">
        <w:tab/>
        <w:t>Total plenitid för riksdagens kammare rik</w:t>
      </w:r>
      <w:r w:rsidRPr="00F5723F">
        <w:t>s</w:t>
      </w:r>
      <w:r w:rsidRPr="00F5723F">
        <w:t>mötena 2002/03  respekt</w:t>
      </w:r>
      <w:r w:rsidRPr="00F5723F">
        <w:t>i</w:t>
      </w:r>
      <w:r w:rsidRPr="00F5723F">
        <w:t>ve 2003/04 (timmar)</w:t>
      </w:r>
    </w:p>
    <w:p w:rsidR="00B43C57" w:rsidRPr="00F5723F" w:rsidRDefault="00B43C57">
      <w:r w:rsidRPr="00F5723F">
        <w:rPr>
          <w:rFonts w:ascii="GillSans" w:hAnsi="GillSans"/>
        </w:rPr>
        <w:object w:dxaOrig="1440" w:dyaOrig="1440">
          <v:shape id="_x0000_s1037" type="#_x0000_t75" style="position:absolute;left:0;text-align:left;margin-left:-9.5pt;margin-top:18.65pt;width:266.75pt;height:166.15pt;z-index:251651072">
            <v:imagedata r:id="rId69" o:title=""/>
            <w10:wrap type="topAndBottom"/>
          </v:shape>
          <o:OLEObject Type="Embed" ProgID="Excel.Sheet.8" ShapeID="_x0000_s1037" DrawAspect="Content" ObjectID="_1827438480" r:id="rId70"/>
        </w:object>
      </w:r>
    </w:p>
    <w:p w:rsidR="00B43C57" w:rsidRPr="00F5723F" w:rsidRDefault="00B43C57"/>
    <w:p w:rsidR="00B43C57" w:rsidRPr="00F5723F" w:rsidRDefault="00B43C57">
      <w:r w:rsidRPr="00F5723F">
        <w:t>Totalt uppgick plenitiden till 550 respektive 602 timmar (2002/03 och 2003/04). Antalet plenitimmar för hela tidsperioden 1971–2002/03 har legat på i genomsnitt cirka 600 ti</w:t>
      </w:r>
      <w:r w:rsidRPr="00F5723F">
        <w:t>m</w:t>
      </w:r>
      <w:r w:rsidRPr="00F5723F">
        <w:t>mar. Variationerna över riksmötet är tämligen stora mellan olika månader. Resultaten i figur 1 visar att såväl december som mars innebär en arbetshopning för kammaren. Också i slutet av våren kan antalet plenitimmar vara högt. I december och mars uppgår kammart</w:t>
      </w:r>
      <w:r w:rsidRPr="00F5723F">
        <w:t>i</w:t>
      </w:r>
      <w:r w:rsidRPr="00F5723F">
        <w:t>den till omkring 100 timmar, medan den i juni stannat på 39 (för 2003/04) och 65 (2002/03) ti</w:t>
      </w:r>
      <w:r w:rsidRPr="00F5723F">
        <w:t>m</w:t>
      </w:r>
      <w:r w:rsidRPr="00F5723F">
        <w:t>mar.</w:t>
      </w:r>
    </w:p>
    <w:p w:rsidR="00B43C57" w:rsidRPr="00F5723F" w:rsidRDefault="00B43C57">
      <w:pPr>
        <w:pStyle w:val="Normaltindrag"/>
      </w:pPr>
      <w:r w:rsidRPr="00F5723F">
        <w:t>Så stor likhet som möjligt med tidigare undersökningar har eftersträvats för att möjliggöra tidsjämförande analyser. Förändringar i riksdagsarb</w:t>
      </w:r>
      <w:r w:rsidRPr="00F5723F">
        <w:t>e</w:t>
      </w:r>
      <w:r w:rsidRPr="00F5723F">
        <w:t>tet och reglerna för riksmötet har dock redan tidigare utgjort begränsningar i möjli</w:t>
      </w:r>
      <w:r w:rsidRPr="00F5723F">
        <w:t>g</w:t>
      </w:r>
      <w:r w:rsidRPr="00F5723F">
        <w:t>heterna att göra fullständiga jämförelser mellan olika undersökningar. En avvägning har därför gjorts mellan behovet av att göra tidsjämförande anal</w:t>
      </w:r>
      <w:r w:rsidRPr="00F5723F">
        <w:t>y</w:t>
      </w:r>
      <w:r w:rsidRPr="00F5723F">
        <w:t>ser och behovet av att säkerställa att dagboksstudien ger så stor rättv</w:t>
      </w:r>
      <w:r w:rsidRPr="00F5723F">
        <w:t>i</w:t>
      </w:r>
      <w:r w:rsidRPr="00F5723F">
        <w:t>sa som möjligt åt de faktiska förhållandena vid undersökningens genomföra</w:t>
      </w:r>
      <w:r w:rsidRPr="00F5723F">
        <w:t>n</w:t>
      </w:r>
      <w:r w:rsidRPr="00F5723F">
        <w:t>de.</w:t>
      </w:r>
    </w:p>
    <w:p w:rsidR="00B43C57" w:rsidRPr="00F5723F" w:rsidRDefault="00B43C57">
      <w:pPr>
        <w:pStyle w:val="Normaltindrag"/>
      </w:pPr>
      <w:r w:rsidRPr="00F5723F">
        <w:t>Undersökningarna 1974 och 1977 genomfördes i november medan unde</w:t>
      </w:r>
      <w:r w:rsidRPr="00F5723F">
        <w:t>r</w:t>
      </w:r>
      <w:r w:rsidRPr="00F5723F">
        <w:t>sökningen 1985 genomfördes en aprilvecka. Sett till förändringarna av rik</w:t>
      </w:r>
      <w:r w:rsidRPr="00F5723F">
        <w:t>s</w:t>
      </w:r>
      <w:r w:rsidRPr="00F5723F">
        <w:t>dagsåret och den nya budgetpr</w:t>
      </w:r>
      <w:r w:rsidRPr="00F5723F">
        <w:t>o</w:t>
      </w:r>
      <w:r w:rsidRPr="00F5723F">
        <w:t xml:space="preserve">cessen föreföll det lämpligt att också 2004 genomföra undersökningen i april. </w:t>
      </w:r>
    </w:p>
    <w:p w:rsidR="00B43C57" w:rsidRPr="00F5723F" w:rsidRDefault="00B43C57">
      <w:pPr>
        <w:pStyle w:val="Normaltindrag"/>
      </w:pPr>
      <w:r w:rsidRPr="00F5723F">
        <w:t>Folkstyrelsekommittén valde 1985 att undersöka vecka 17 (22/4–28/4). I förhållande till tidigare undersökta novembervecka (vecka 48) kunde apri</w:t>
      </w:r>
      <w:r w:rsidRPr="00F5723F">
        <w:t>l</w:t>
      </w:r>
      <w:r w:rsidRPr="00F5723F">
        <w:t>veckan tänkas vara en ”typisk riksdagsvecka” på det sättet att verksamh</w:t>
      </w:r>
      <w:r w:rsidRPr="00F5723F">
        <w:t>e</w:t>
      </w:r>
      <w:r w:rsidRPr="00F5723F">
        <w:t>ten i både utskott och kammare var omfattande. Riksdagskommi</w:t>
      </w:r>
      <w:r w:rsidRPr="00F5723F">
        <w:t>t</w:t>
      </w:r>
      <w:r w:rsidRPr="00F5723F">
        <w:t xml:space="preserve">tén valde mot samma bakgrund för 2004 års undersökning vecka 17 (19/4–25/4). </w:t>
      </w:r>
    </w:p>
    <w:p w:rsidR="00B43C57" w:rsidRPr="00F5723F" w:rsidRDefault="00B43C57">
      <w:pPr>
        <w:pStyle w:val="Normaltindrag"/>
      </w:pPr>
      <w:r w:rsidRPr="00F5723F">
        <w:t>Valet av undersökningsvecka är inte oproblematiskt. Den strävan som, även i tidigare undersökningar, funnits att återfinna ett slags ”typisk” eller ”genomsnittlig” vecka medför svårigheter, dels därför att det egen</w:t>
      </w:r>
      <w:r w:rsidRPr="00F5723F">
        <w:t>t</w:t>
      </w:r>
      <w:r w:rsidRPr="00F5723F">
        <w:t>ligen inte finns någon sådan vecka, dels därför att det blir svårt att generalisera result</w:t>
      </w:r>
      <w:r w:rsidRPr="00F5723F">
        <w:t>a</w:t>
      </w:r>
      <w:r w:rsidRPr="00F5723F">
        <w:t>ten från undersökningen till andra tider under riksmötet. Reservationen måste hållas i minnet som bakgrund till den fortsatta redovi</w:t>
      </w:r>
      <w:r w:rsidRPr="00F5723F">
        <w:t>s</w:t>
      </w:r>
      <w:r w:rsidRPr="00F5723F">
        <w:t>ningen.</w:t>
      </w:r>
    </w:p>
    <w:p w:rsidR="00B43C57" w:rsidRPr="00F5723F" w:rsidRDefault="00B43C57">
      <w:pPr>
        <w:pStyle w:val="Normaltindrag"/>
      </w:pPr>
      <w:r w:rsidRPr="00F5723F">
        <w:t>Dessutom finns anledning att påpeka att riksdagsarbetet förändrats i vikt</w:t>
      </w:r>
      <w:r w:rsidRPr="00F5723F">
        <w:t>i</w:t>
      </w:r>
      <w:r w:rsidRPr="00F5723F">
        <w:t>ga avseenden sedan den senaste undersökningen 1985. De båda undersö</w:t>
      </w:r>
      <w:r w:rsidRPr="00F5723F">
        <w:t>k</w:t>
      </w:r>
      <w:r w:rsidRPr="00F5723F">
        <w:t>ningsveckorna kan därför inte betraktas som varandras exakta motsvarigh</w:t>
      </w:r>
      <w:r w:rsidRPr="00F5723F">
        <w:t>e</w:t>
      </w:r>
      <w:r w:rsidRPr="00F5723F">
        <w:t>ter. Omläggningen av budgetprocessen omöjliggör en fullständig jämförba</w:t>
      </w:r>
      <w:r w:rsidRPr="00F5723F">
        <w:t>r</w:t>
      </w:r>
      <w:r w:rsidRPr="00F5723F">
        <w:t>het. Även vissa förändringar i kammararbetet har geno</w:t>
      </w:r>
      <w:r w:rsidRPr="00F5723F">
        <w:t>m</w:t>
      </w:r>
      <w:r w:rsidRPr="00F5723F">
        <w:t>förts; 1985 hölls till exempel både på onsdagen och på torsdagen tre voteringar efter 20.00 va</w:t>
      </w:r>
      <w:r w:rsidRPr="00F5723F">
        <w:t>r</w:t>
      </w:r>
      <w:r w:rsidRPr="00F5723F">
        <w:t>dera kvällen. Också ändringar i debattformerna (undersökningsveckan 2004 inn</w:t>
      </w:r>
      <w:r w:rsidRPr="00F5723F">
        <w:t>e</w:t>
      </w:r>
      <w:r w:rsidRPr="00F5723F">
        <w:t>höll till exempel den nya debattformen ”statsministerns frågestund”) påve</w:t>
      </w:r>
      <w:r w:rsidRPr="00F5723F">
        <w:t>rkar mö</w:t>
      </w:r>
      <w:r w:rsidRPr="00F5723F">
        <w:t>j</w:t>
      </w:r>
      <w:r w:rsidRPr="00F5723F">
        <w:t>ligheterna att göra jämförelser mellan 1985 och 2004. Likså bör hållas i minnet att 1985 var valår till riksdagen, vilket kan ha påverkat aktivitetsgr</w:t>
      </w:r>
      <w:r w:rsidRPr="00F5723F">
        <w:t>a</w:t>
      </w:r>
      <w:r w:rsidRPr="00F5723F">
        <w:t>den under våren. År 2004 hölls i juni val till Europaparl</w:t>
      </w:r>
      <w:r w:rsidRPr="00F5723F">
        <w:t>a</w:t>
      </w:r>
      <w:r w:rsidRPr="00F5723F">
        <w:t>mentet.</w:t>
      </w:r>
      <w:r w:rsidRPr="00F5723F">
        <w:rPr>
          <w:rStyle w:val="Fotnotsreferens"/>
        </w:rPr>
        <w:footnoteReference w:id="96"/>
      </w:r>
      <w:r w:rsidRPr="00F5723F">
        <w:t xml:space="preserve"> </w:t>
      </w:r>
    </w:p>
    <w:p w:rsidR="00B43C57" w:rsidRPr="00F5723F" w:rsidRDefault="00B43C57">
      <w:pPr>
        <w:pStyle w:val="Normaltindrag"/>
      </w:pPr>
      <w:r w:rsidRPr="00F5723F">
        <w:t>I flera avseenden kan dock undersökningsveckan sägas ha varit en någo</w:t>
      </w:r>
      <w:r w:rsidRPr="00F5723F">
        <w:t>r</w:t>
      </w:r>
      <w:r w:rsidRPr="00F5723F">
        <w:t>lunda normal arbetsvecka sett utifrån riksdagsåret och tidigare genomförda undersökningar av likartad karaktär. Antalet plenitimmar den specifika unde</w:t>
      </w:r>
      <w:r w:rsidRPr="00F5723F">
        <w:t>r</w:t>
      </w:r>
      <w:r w:rsidRPr="00F5723F">
        <w:t>sö</w:t>
      </w:r>
      <w:r w:rsidRPr="00F5723F">
        <w:t>k</w:t>
      </w:r>
      <w:r w:rsidRPr="00F5723F">
        <w:t>ningsveckan uppgick till 23.</w:t>
      </w:r>
      <w:r w:rsidRPr="00F5723F">
        <w:rPr>
          <w:rStyle w:val="Fotnotsreferens"/>
        </w:rPr>
        <w:footnoteReference w:id="97"/>
      </w:r>
      <w:r w:rsidRPr="00F5723F">
        <w:t xml:space="preserve"> Det är sex timmar färre än 1985 och fyra timmar färre än 1974. Det är dock fem timmar mer än 1977. Under den akt</w:t>
      </w:r>
      <w:r w:rsidRPr="00F5723F">
        <w:t>u</w:t>
      </w:r>
      <w:r w:rsidRPr="00F5723F">
        <w:t>ella veckan ägnades betydande plenitid åt ärendedebatter (15 timmar och 30 minuter), interpellationsdebatter (6 timmar 45 minuter), statsministerns fråg</w:t>
      </w:r>
      <w:r w:rsidRPr="00F5723F">
        <w:t>e</w:t>
      </w:r>
      <w:r w:rsidRPr="00F5723F">
        <w:t>stund (45 minuter). Tre voteringar hölls, två på onsd</w:t>
      </w:r>
      <w:r w:rsidRPr="00F5723F">
        <w:t>a</w:t>
      </w:r>
      <w:r w:rsidRPr="00F5723F">
        <w:t>gen (klockan 09.00 och klockan 16.00) och en på tor</w:t>
      </w:r>
      <w:r w:rsidRPr="00F5723F">
        <w:t>s</w:t>
      </w:r>
      <w:r w:rsidRPr="00F5723F">
        <w:t xml:space="preserve">dagen (klockan 17.00). </w:t>
      </w:r>
    </w:p>
    <w:p w:rsidR="00B43C57" w:rsidRPr="00F5723F" w:rsidRDefault="00B43C57">
      <w:pPr>
        <w:pStyle w:val="Normaltindrag"/>
      </w:pPr>
      <w:r w:rsidRPr="00F5723F">
        <w:t>Samtliga riksdagsutskott – utom skatte- och utbildningsutskottet – sa</w:t>
      </w:r>
      <w:r w:rsidRPr="00F5723F">
        <w:t>m</w:t>
      </w:r>
      <w:r w:rsidRPr="00F5723F">
        <w:t>manträdde någon gång under veckan. Skatteutskottet och utbildningsutskottet sammanträdde inte alls men gjorde studiebesök. Sammanträdestiden varierade avsevärt från som minst 15 respektive 30 minuter för finansutsko</w:t>
      </w:r>
      <w:r w:rsidRPr="00F5723F">
        <w:t>t</w:t>
      </w:r>
      <w:r w:rsidRPr="00F5723F">
        <w:t>tet och bostadsutskottet till som mest 5 timmar respektive 9 timmar och 40 minuter för utrikesutskottet och konstitutionsutskottet. EU-nämnden sa</w:t>
      </w:r>
      <w:r w:rsidRPr="00F5723F">
        <w:t>m</w:t>
      </w:r>
      <w:r w:rsidRPr="00F5723F">
        <w:t>manträdde på fredagen i undersö</w:t>
      </w:r>
      <w:r w:rsidRPr="00F5723F">
        <w:t>k</w:t>
      </w:r>
      <w:r w:rsidRPr="00F5723F">
        <w:t>ningsveckan under totalt 4 timmar.</w:t>
      </w:r>
      <w:r w:rsidRPr="00F5723F">
        <w:rPr>
          <w:rStyle w:val="Fotnotsreferens"/>
        </w:rPr>
        <w:footnoteReference w:id="98"/>
      </w:r>
    </w:p>
    <w:p w:rsidR="00B43C57" w:rsidRPr="00F5723F" w:rsidRDefault="00B43C57">
      <w:pPr>
        <w:pStyle w:val="Normaltindrag"/>
      </w:pPr>
      <w:r w:rsidRPr="00F5723F">
        <w:t>Ett betydande antal ledamöter deltog under den aktuella undersökning</w:t>
      </w:r>
      <w:r w:rsidRPr="00F5723F">
        <w:t>s</w:t>
      </w:r>
      <w:r w:rsidRPr="00F5723F">
        <w:t>veckan i två inte</w:t>
      </w:r>
      <w:r w:rsidRPr="00F5723F">
        <w:t>r</w:t>
      </w:r>
      <w:r w:rsidRPr="00F5723F">
        <w:t>nationella delegationsresor. En resa genomfördes (18–21 april) till Saudiarabien.</w:t>
      </w:r>
      <w:r w:rsidRPr="00F5723F">
        <w:rPr>
          <w:rStyle w:val="Fotnotsreferens"/>
        </w:rPr>
        <w:footnoteReference w:id="99"/>
      </w:r>
      <w:r w:rsidRPr="00F5723F">
        <w:t xml:space="preserve"> Samma vecka deltog också flera ledamöter i Inte</w:t>
      </w:r>
      <w:r w:rsidRPr="00F5723F">
        <w:t>r</w:t>
      </w:r>
      <w:r w:rsidRPr="00F5723F">
        <w:t>parlament</w:t>
      </w:r>
      <w:r w:rsidRPr="00F5723F">
        <w:t>a</w:t>
      </w:r>
      <w:r w:rsidRPr="00F5723F">
        <w:t>riska unionens möte i Mexiko (18–23 april).</w:t>
      </w:r>
      <w:r w:rsidRPr="00F5723F">
        <w:rPr>
          <w:rStyle w:val="Fotnotsreferens"/>
        </w:rPr>
        <w:footnoteReference w:id="100"/>
      </w:r>
    </w:p>
    <w:p w:rsidR="00B43C57" w:rsidRPr="00F5723F" w:rsidRDefault="00B43C57">
      <w:pPr>
        <w:pStyle w:val="Rubrik3"/>
        <w:rPr>
          <w:noProof w:val="0"/>
        </w:rPr>
      </w:pPr>
      <w:bookmarkStart w:id="236" w:name="_Toc98075739"/>
      <w:bookmarkStart w:id="237" w:name="_Toc121738969"/>
      <w:bookmarkStart w:id="238" w:name="_Toc124697852"/>
      <w:r w:rsidRPr="00F5723F">
        <w:rPr>
          <w:noProof w:val="0"/>
        </w:rPr>
        <w:t>Undersökningens genomförande</w:t>
      </w:r>
      <w:r w:rsidRPr="00F5723F">
        <w:rPr>
          <w:rStyle w:val="Fotnotsreferens"/>
          <w:noProof w:val="0"/>
        </w:rPr>
        <w:footnoteReference w:id="101"/>
      </w:r>
      <w:bookmarkEnd w:id="236"/>
      <w:bookmarkEnd w:id="237"/>
      <w:bookmarkEnd w:id="238"/>
    </w:p>
    <w:p w:rsidR="00B43C57" w:rsidRPr="00F5723F" w:rsidRDefault="00B43C57">
      <w:r w:rsidRPr="00F5723F">
        <w:t>Riksdagskommitténs dagboksstudie och tillhörande enkät om riksdagsarb</w:t>
      </w:r>
      <w:r w:rsidRPr="00F5723F">
        <w:t>e</w:t>
      </w:r>
      <w:r w:rsidRPr="00F5723F">
        <w:t>tet och riksdagsledamöternas arbetssituation utsändes så att ledam</w:t>
      </w:r>
      <w:r w:rsidRPr="00F5723F">
        <w:t>ö</w:t>
      </w:r>
      <w:r w:rsidRPr="00F5723F">
        <w:t>terna fick den med e-posten torsdagen den 15 april strax före voterin</w:t>
      </w:r>
      <w:r w:rsidRPr="00F5723F">
        <w:t>g</w:t>
      </w:r>
      <w:r w:rsidRPr="00F5723F">
        <w:t>en.</w:t>
      </w:r>
    </w:p>
    <w:p w:rsidR="00B43C57" w:rsidRPr="00F5723F" w:rsidRDefault="00B43C57">
      <w:pPr>
        <w:pStyle w:val="Normaltindrag"/>
      </w:pPr>
      <w:r w:rsidRPr="00F5723F">
        <w:t>Det kan ifrågasättas om det är lämpligt att sända ut en tidsbudgetstudie veckan före undersökningsveckan. Det finns en risk att undersökningseffe</w:t>
      </w:r>
      <w:r w:rsidRPr="00F5723F">
        <w:t>k</w:t>
      </w:r>
      <w:r w:rsidRPr="00F5723F">
        <w:t>ter uppstår och att ledam</w:t>
      </w:r>
      <w:r w:rsidRPr="00F5723F">
        <w:t>ö</w:t>
      </w:r>
      <w:r w:rsidRPr="00F5723F">
        <w:t>terna arbetar mer koncentrerat och utnyttjar tiden mer systematiskt än vad de gör under vanliga veckor. En viss risk för ”effektivis</w:t>
      </w:r>
      <w:r w:rsidRPr="00F5723F">
        <w:t>e</w:t>
      </w:r>
      <w:r w:rsidRPr="00F5723F">
        <w:t>ring” av den egna arbetssituationen kan misstänkas bara genom själva delt</w:t>
      </w:r>
      <w:r w:rsidRPr="00F5723F">
        <w:t>a</w:t>
      </w:r>
      <w:r w:rsidRPr="00F5723F">
        <w:t>gandet i undersökningen. Samtidigt kan svaren antas bli kvalit</w:t>
      </w:r>
      <w:r w:rsidRPr="00F5723F">
        <w:t>a</w:t>
      </w:r>
      <w:r w:rsidRPr="00F5723F">
        <w:t>tivt bättre än om ledamöterna i efterhand skulle försöka att i detalj kartlägga en intensiv arbetsvecka. Beträffande svarens validitet i övrigt diskuteras detta problem något ytterligare i anslutning till resultatre</w:t>
      </w:r>
      <w:r w:rsidRPr="00F5723F">
        <w:t>dovisningen.</w:t>
      </w:r>
      <w:r w:rsidRPr="00F5723F">
        <w:rPr>
          <w:rStyle w:val="Fotnotsreferens"/>
        </w:rPr>
        <w:footnoteReference w:id="102"/>
      </w:r>
    </w:p>
    <w:p w:rsidR="00B43C57" w:rsidRPr="00F5723F" w:rsidRDefault="00B43C57">
      <w:pPr>
        <w:pStyle w:val="Normaltindrag"/>
      </w:pPr>
      <w:r w:rsidRPr="00F5723F">
        <w:t>Utskicket föregicks av information till samtliga ledamöter, dels genom i</w:t>
      </w:r>
      <w:r w:rsidRPr="00F5723F">
        <w:t>n</w:t>
      </w:r>
      <w:r w:rsidRPr="00F5723F">
        <w:t>formation från gruppledarna på sammanträden i partigrupperna, dels g</w:t>
      </w:r>
      <w:r w:rsidRPr="00F5723F">
        <w:t>e</w:t>
      </w:r>
      <w:r w:rsidRPr="00F5723F">
        <w:t>nom skriftlig information från Riksdagskommitténs ordförande och huvudsekret</w:t>
      </w:r>
      <w:r w:rsidRPr="00F5723F">
        <w:t>e</w:t>
      </w:r>
      <w:r w:rsidRPr="00F5723F">
        <w:t>rare till samtliga riksdagsledamöter. Partigrupperna informerades om unde</w:t>
      </w:r>
      <w:r w:rsidRPr="00F5723F">
        <w:t>r</w:t>
      </w:r>
      <w:r w:rsidRPr="00F5723F">
        <w:t>sökningen redan den 6 april. Genom ett brev och ett e-postmeddelande den 14 april informerades samtliga ledamöter om undersöknin</w:t>
      </w:r>
      <w:r w:rsidRPr="00F5723F">
        <w:t>g</w:t>
      </w:r>
      <w:r w:rsidRPr="00F5723F">
        <w:t xml:space="preserve">en. </w:t>
      </w:r>
    </w:p>
    <w:p w:rsidR="00B43C57" w:rsidRPr="00F5723F" w:rsidRDefault="00B43C57">
      <w:pPr>
        <w:pStyle w:val="Normaltindrag"/>
      </w:pPr>
      <w:r w:rsidRPr="00F5723F">
        <w:t>Påminnelser om undersökningen gjordes löpande under undersökning</w:t>
      </w:r>
      <w:r w:rsidRPr="00F5723F">
        <w:t>s</w:t>
      </w:r>
      <w:r w:rsidRPr="00F5723F">
        <w:t>veckan på Helgonät, där information och länkar till undersökningen låg hela veckan. Partigrupperna uppmanades också att påminna om undersö</w:t>
      </w:r>
      <w:r w:rsidRPr="00F5723F">
        <w:t>k</w:t>
      </w:r>
      <w:r w:rsidRPr="00F5723F">
        <w:t>ningen, dels på gruppmötena tisdagen den 20 april, dels genom ett särskilt e-postmeddelande från partikansliet till samtliga ledamöter tor</w:t>
      </w:r>
      <w:r w:rsidRPr="00F5723F">
        <w:t>s</w:t>
      </w:r>
      <w:r w:rsidRPr="00F5723F">
        <w:t>dagen den 22 april. Dessutom uppmanades partigrupperna att påminna om undersöknin</w:t>
      </w:r>
      <w:r w:rsidRPr="00F5723F">
        <w:t>g</w:t>
      </w:r>
      <w:r w:rsidRPr="00F5723F">
        <w:t>en vid gruppsammanträdet tisdagen den 4 maj. Två påminnelser skic</w:t>
      </w:r>
      <w:r w:rsidRPr="00F5723F">
        <w:t>k</w:t>
      </w:r>
      <w:r w:rsidRPr="00F5723F">
        <w:t>ades ut centralt från undersökningsledningen till led</w:t>
      </w:r>
      <w:r w:rsidRPr="00F5723F">
        <w:t>a</w:t>
      </w:r>
      <w:r w:rsidRPr="00F5723F">
        <w:t xml:space="preserve">möterna genom e-post (28 april </w:t>
      </w:r>
      <w:r w:rsidRPr="00F5723F">
        <w:t>och 12 maj). Förny</w:t>
      </w:r>
      <w:r w:rsidRPr="00F5723F">
        <w:t>a</w:t>
      </w:r>
      <w:r w:rsidRPr="00F5723F">
        <w:t>de påminnelser har också gjorts på Helgonät. En särskild skriftlig påminnelse utsändes till ledamöter som deltog i deleg</w:t>
      </w:r>
      <w:r w:rsidRPr="00F5723F">
        <w:t>a</w:t>
      </w:r>
      <w:r w:rsidRPr="00F5723F">
        <w:t>tionsresorna till Saudiarabien respektive Mexiko under undersökningsvec</w:t>
      </w:r>
      <w:r w:rsidRPr="00F5723F">
        <w:t>k</w:t>
      </w:r>
      <w:r w:rsidRPr="00F5723F">
        <w:t xml:space="preserve">an. </w:t>
      </w:r>
    </w:p>
    <w:p w:rsidR="00B43C57" w:rsidRPr="00F5723F" w:rsidRDefault="00B43C57">
      <w:pPr>
        <w:pStyle w:val="Normaltindrag"/>
      </w:pPr>
      <w:r w:rsidRPr="00F5723F">
        <w:t xml:space="preserve">Ingen ledamot hörde av sig och var direkt negativ till undersökningen. De kommentarer som gjordes om undersökningen var positiva, främst vad gäller informationen om undersökningen, som ansågs vara utförlig och bra. </w:t>
      </w:r>
    </w:p>
    <w:p w:rsidR="00B43C57" w:rsidRPr="00F5723F" w:rsidRDefault="00B43C57">
      <w:pPr>
        <w:pStyle w:val="Normaltindrag"/>
      </w:pPr>
      <w:r w:rsidRPr="00F5723F">
        <w:t>Ko</w:t>
      </w:r>
      <w:r w:rsidRPr="00F5723F">
        <w:t>m</w:t>
      </w:r>
      <w:r w:rsidRPr="00F5723F">
        <w:t>mentarer och frågor gällde mestadels följande saker (uppställda efter ungefärlig bedömning av antalet kontakter i respektive fr</w:t>
      </w:r>
      <w:r w:rsidRPr="00F5723F">
        <w:t>å</w:t>
      </w:r>
      <w:r w:rsidRPr="00F5723F">
        <w:t xml:space="preserve">ga): </w:t>
      </w:r>
    </w:p>
    <w:p w:rsidR="00B43C57" w:rsidRPr="00F5723F" w:rsidRDefault="00B43C57">
      <w:pPr>
        <w:pStyle w:val="Normaltindrag"/>
        <w:numPr>
          <w:ilvl w:val="0"/>
          <w:numId w:val="44"/>
        </w:numPr>
        <w:tabs>
          <w:tab w:val="clear" w:pos="947"/>
          <w:tab w:val="num" w:pos="567"/>
        </w:tabs>
        <w:spacing w:before="125"/>
        <w:ind w:left="567" w:hanging="567"/>
      </w:pPr>
      <w:r w:rsidRPr="00F5723F">
        <w:t>Beställning/önskemål om att få fylla i undersökningen i pappersfo</w:t>
      </w:r>
      <w:r w:rsidRPr="00F5723F">
        <w:t>r</w:t>
      </w:r>
      <w:r w:rsidRPr="00F5723F">
        <w:t>mat (ca 50-talet l</w:t>
      </w:r>
      <w:r w:rsidRPr="00F5723F">
        <w:t>e</w:t>
      </w:r>
      <w:r w:rsidRPr="00F5723F">
        <w:t>damöter).</w:t>
      </w:r>
    </w:p>
    <w:p w:rsidR="00B43C57" w:rsidRPr="00F5723F" w:rsidRDefault="00B43C57">
      <w:pPr>
        <w:numPr>
          <w:ilvl w:val="0"/>
          <w:numId w:val="44"/>
        </w:numPr>
        <w:tabs>
          <w:tab w:val="clear" w:pos="947"/>
          <w:tab w:val="num" w:pos="567"/>
        </w:tabs>
        <w:ind w:left="567" w:hanging="567"/>
      </w:pPr>
      <w:r w:rsidRPr="00F5723F">
        <w:t>Problem att utläsa hur dagboksstudien skulle ”skickas” efter att den besv</w:t>
      </w:r>
      <w:r w:rsidRPr="00F5723F">
        <w:t>a</w:t>
      </w:r>
      <w:r w:rsidRPr="00F5723F">
        <w:t>rats (ca 30-talet ledamöter).</w:t>
      </w:r>
    </w:p>
    <w:p w:rsidR="00B43C57" w:rsidRPr="00F5723F" w:rsidRDefault="00B43C57">
      <w:pPr>
        <w:numPr>
          <w:ilvl w:val="0"/>
          <w:numId w:val="44"/>
        </w:numPr>
        <w:tabs>
          <w:tab w:val="clear" w:pos="947"/>
          <w:tab w:val="num" w:pos="567"/>
        </w:tabs>
        <w:ind w:left="567" w:hanging="567"/>
      </w:pPr>
      <w:r w:rsidRPr="00F5723F">
        <w:t>Frågor i samband med påminnelser där ledamoten undrat om han/hon inte redan besvarat undersökningen (ca 30-talet ledam</w:t>
      </w:r>
      <w:r w:rsidRPr="00F5723F">
        <w:t>ö</w:t>
      </w:r>
      <w:r w:rsidRPr="00F5723F">
        <w:t>ter).</w:t>
      </w:r>
    </w:p>
    <w:p w:rsidR="00B43C57" w:rsidRPr="00F5723F" w:rsidRDefault="00B43C57">
      <w:pPr>
        <w:numPr>
          <w:ilvl w:val="0"/>
          <w:numId w:val="44"/>
        </w:numPr>
        <w:tabs>
          <w:tab w:val="clear" w:pos="947"/>
          <w:tab w:val="num" w:pos="567"/>
        </w:tabs>
        <w:ind w:left="567" w:hanging="567"/>
      </w:pPr>
      <w:r w:rsidRPr="00F5723F">
        <w:t>Synpunkter om att ledamotens vecka inte varit en genomsnittlig vecka och att ledamoten därför inte ansett ett deltagande i undersökningen relevant (ca 5 ledamöter).</w:t>
      </w:r>
    </w:p>
    <w:p w:rsidR="00B43C57" w:rsidRPr="00F5723F" w:rsidRDefault="00B43C57">
      <w:pPr>
        <w:numPr>
          <w:ilvl w:val="0"/>
          <w:numId w:val="44"/>
        </w:numPr>
        <w:tabs>
          <w:tab w:val="clear" w:pos="947"/>
          <w:tab w:val="num" w:pos="567"/>
        </w:tabs>
        <w:ind w:left="567" w:hanging="567"/>
      </w:pPr>
      <w:r w:rsidRPr="00F5723F">
        <w:t>Frågor om varför inte kommittén frågat om vad ledamoten gör på andra tider än 8–22 (ca 5 ledamöter).</w:t>
      </w:r>
    </w:p>
    <w:p w:rsidR="00B43C57" w:rsidRPr="00F5723F" w:rsidRDefault="00B43C57">
      <w:r w:rsidRPr="00F5723F">
        <w:t>Samtliga ledamöter som hört av sig med synpunkter, kommentarer eller fr</w:t>
      </w:r>
      <w:r w:rsidRPr="00F5723F">
        <w:t>å</w:t>
      </w:r>
      <w:r w:rsidRPr="00F5723F">
        <w:t>gor fick ett personligt formulerat svar. För de ledamöter som undrat om de inte redan besvarat undersökningen har en särskild kontroll gjorts och svar medd</w:t>
      </w:r>
      <w:r w:rsidRPr="00F5723F">
        <w:t>e</w:t>
      </w:r>
      <w:r w:rsidRPr="00F5723F">
        <w:t xml:space="preserve">lats. </w:t>
      </w:r>
    </w:p>
    <w:p w:rsidR="00B43C57" w:rsidRPr="00F5723F" w:rsidRDefault="00B43C57">
      <w:pPr>
        <w:pStyle w:val="Normaltindrag"/>
      </w:pPr>
      <w:r w:rsidRPr="00F5723F">
        <w:t>Ytterligare några kommentarer kan göras. Mycket tyder på att det varit olyckligt (men nödvändigt) att hålla isär dagboksstudien och enkätundersö</w:t>
      </w:r>
      <w:r w:rsidRPr="00F5723F">
        <w:t>k</w:t>
      </w:r>
      <w:r w:rsidRPr="00F5723F">
        <w:t>ningens frågor. Många ledamöter har haft svårt att se att det varit två delar som skulle besvaras. Möjligen lämpar sig da</w:t>
      </w:r>
      <w:r w:rsidRPr="00F5723F">
        <w:t>g</w:t>
      </w:r>
      <w:r w:rsidRPr="00F5723F">
        <w:t>boksstudien inte för att ifyllas datormässigt i samma utsträckning som andra enkäter. Det kan antas att det för ledamöterna som fyllt i datorversionen av dagboksundersökningen varit svårt att få en uppfattning om när undersökningen besvarats i sin helhet. En överblick, som för ledamöter som besvarat pappersversionen av undersö</w:t>
      </w:r>
      <w:r w:rsidRPr="00F5723F">
        <w:t>k</w:t>
      </w:r>
      <w:r w:rsidRPr="00F5723F">
        <w:t xml:space="preserve">ningen, har inte varit möjlig att få. En misstanke finns om </w:t>
      </w:r>
      <w:r w:rsidRPr="00F5723F">
        <w:t>att vissa ledam</w:t>
      </w:r>
      <w:r w:rsidRPr="00F5723F">
        <w:t>ö</w:t>
      </w:r>
      <w:r w:rsidRPr="00F5723F">
        <w:t>ter eventuellt bara gått in och fyllt i delar av undersökningen. I pappersversionen hade det varit tydligt att hela dagboksbladet inte varit ifyllt och komplett</w:t>
      </w:r>
      <w:r w:rsidRPr="00F5723F">
        <w:t>e</w:t>
      </w:r>
      <w:r w:rsidRPr="00F5723F">
        <w:t>ringar hade då kunnat göras. Vidare har utformningen av dagboksst</w:t>
      </w:r>
      <w:r w:rsidRPr="00F5723F">
        <w:t>u</w:t>
      </w:r>
      <w:r w:rsidRPr="00F5723F">
        <w:t>diens frågor om partitillhörighet och kön varit olycklig, varför ett stort internbortfall kunnat ident</w:t>
      </w:r>
      <w:r w:rsidRPr="00F5723F">
        <w:t>i</w:t>
      </w:r>
      <w:r w:rsidRPr="00F5723F">
        <w:t>fieras för dessa uppgifter. Undersökningspopulationen omfattade samtliga under veckan tjänstgörande ledamöter och ersättare.</w:t>
      </w:r>
      <w:r w:rsidRPr="00F5723F">
        <w:rPr>
          <w:rStyle w:val="Fotnotsreferens"/>
        </w:rPr>
        <w:footnoteReference w:id="103"/>
      </w:r>
      <w:r w:rsidRPr="00F5723F">
        <w:t xml:space="preserve"> Svarsfrekve</w:t>
      </w:r>
      <w:r w:rsidRPr="00F5723F">
        <w:t>n</w:t>
      </w:r>
      <w:r w:rsidRPr="00F5723F">
        <w:t>sen för tidigare undersö</w:t>
      </w:r>
      <w:r w:rsidRPr="00F5723F">
        <w:t>k</w:t>
      </w:r>
      <w:r w:rsidRPr="00F5723F">
        <w:t>ningar har varit mycket tillfredsställande. Både 1974 och 1977 uppgick svarsfrekve</w:t>
      </w:r>
      <w:r w:rsidRPr="00F5723F">
        <w:t>n</w:t>
      </w:r>
      <w:r w:rsidRPr="00F5723F">
        <w:t>sen till 84 procent. År 1985 uppgick den till 90 procent. Svarsfrekvensen för 2004 års undersökning var 81 procent och red</w:t>
      </w:r>
      <w:r w:rsidRPr="00F5723F">
        <w:t>o</w:t>
      </w:r>
      <w:r w:rsidRPr="00F5723F">
        <w:t xml:space="preserve">visas i tabell 1. </w:t>
      </w:r>
    </w:p>
    <w:p w:rsidR="00B43C57" w:rsidRPr="00F5723F" w:rsidRDefault="00B43C57">
      <w:pPr>
        <w:pStyle w:val="Tabellrubrik"/>
      </w:pPr>
      <w:r w:rsidRPr="00F5723F">
        <w:t>Tabell 1</w:t>
      </w:r>
      <w:r w:rsidRPr="00F5723F">
        <w:tab/>
        <w:t>Svarsfrekvens på dagboksstudien och enk</w:t>
      </w:r>
      <w:r w:rsidRPr="00F5723F">
        <w:t>ä</w:t>
      </w:r>
      <w:r w:rsidRPr="00F5723F">
        <w:t>ten</w:t>
      </w:r>
    </w:p>
    <w:tbl>
      <w:tblPr>
        <w:tblW w:w="5868" w:type="dxa"/>
        <w:tblBorders>
          <w:top w:val="single" w:sz="4" w:space="0" w:color="auto"/>
          <w:bottom w:val="single" w:sz="4" w:space="0" w:color="auto"/>
        </w:tblBorders>
        <w:tblLayout w:type="fixed"/>
        <w:tblCellMar>
          <w:left w:w="56" w:type="dxa"/>
          <w:right w:w="56" w:type="dxa"/>
        </w:tblCellMar>
        <w:tblLook w:val="0000" w:firstRow="0" w:lastRow="0" w:firstColumn="0" w:lastColumn="0" w:noHBand="0" w:noVBand="0"/>
      </w:tblPr>
      <w:tblGrid>
        <w:gridCol w:w="2466"/>
        <w:gridCol w:w="1276"/>
        <w:gridCol w:w="850"/>
        <w:gridCol w:w="1276"/>
      </w:tblGrid>
      <w:tr w:rsidR="00000000" w:rsidRPr="00F5723F">
        <w:tblPrEx>
          <w:tblCellMar>
            <w:top w:w="0" w:type="dxa"/>
            <w:bottom w:w="0" w:type="dxa"/>
          </w:tblCellMar>
        </w:tblPrEx>
        <w:tc>
          <w:tcPr>
            <w:tcW w:w="2466" w:type="dxa"/>
            <w:tcBorders>
              <w:top w:val="single" w:sz="4" w:space="0" w:color="auto"/>
              <w:bottom w:val="single" w:sz="4" w:space="0" w:color="auto"/>
            </w:tcBorders>
          </w:tcPr>
          <w:p w:rsidR="00B43C57" w:rsidRPr="00F5723F" w:rsidRDefault="00B43C57">
            <w:pPr>
              <w:pStyle w:val="Tabelltext"/>
            </w:pPr>
            <w:r w:rsidRPr="00F5723F">
              <w:t>Parti</w:t>
            </w:r>
          </w:p>
        </w:tc>
        <w:tc>
          <w:tcPr>
            <w:tcW w:w="1276" w:type="dxa"/>
            <w:tcBorders>
              <w:top w:val="single" w:sz="4" w:space="0" w:color="auto"/>
              <w:bottom w:val="single" w:sz="4" w:space="0" w:color="auto"/>
            </w:tcBorders>
          </w:tcPr>
          <w:p w:rsidR="00B43C57" w:rsidRPr="00F5723F" w:rsidRDefault="00B43C57">
            <w:pPr>
              <w:pStyle w:val="Tabelltext"/>
              <w:jc w:val="center"/>
            </w:pPr>
            <w:r w:rsidRPr="00F5723F">
              <w:t>Antal ledam</w:t>
            </w:r>
            <w:r w:rsidRPr="00F5723F">
              <w:t>ö</w:t>
            </w:r>
            <w:r w:rsidRPr="00F5723F">
              <w:t>ter</w:t>
            </w:r>
          </w:p>
        </w:tc>
        <w:tc>
          <w:tcPr>
            <w:tcW w:w="850" w:type="dxa"/>
            <w:tcBorders>
              <w:top w:val="single" w:sz="4" w:space="0" w:color="auto"/>
              <w:bottom w:val="single" w:sz="4" w:space="0" w:color="auto"/>
            </w:tcBorders>
          </w:tcPr>
          <w:p w:rsidR="00B43C57" w:rsidRPr="00F5723F" w:rsidRDefault="00B43C57">
            <w:pPr>
              <w:pStyle w:val="Tabelltext"/>
              <w:jc w:val="center"/>
            </w:pPr>
            <w:r w:rsidRPr="00F5723F">
              <w:t>Antal svar</w:t>
            </w:r>
          </w:p>
        </w:tc>
        <w:tc>
          <w:tcPr>
            <w:tcW w:w="1276" w:type="dxa"/>
            <w:tcBorders>
              <w:top w:val="single" w:sz="4" w:space="0" w:color="auto"/>
              <w:bottom w:val="single" w:sz="4" w:space="0" w:color="auto"/>
            </w:tcBorders>
          </w:tcPr>
          <w:p w:rsidR="00B43C57" w:rsidRPr="00F5723F" w:rsidRDefault="00B43C57">
            <w:pPr>
              <w:pStyle w:val="Tabelltext"/>
              <w:jc w:val="center"/>
            </w:pPr>
            <w:r w:rsidRPr="00F5723F">
              <w:t>Svarsfr</w:t>
            </w:r>
            <w:r w:rsidRPr="00F5723F">
              <w:t>e</w:t>
            </w:r>
            <w:r w:rsidRPr="00F5723F">
              <w:t>kvens</w:t>
            </w:r>
          </w:p>
        </w:tc>
      </w:tr>
      <w:tr w:rsidR="00000000" w:rsidRPr="00F5723F">
        <w:tblPrEx>
          <w:tblCellMar>
            <w:top w:w="0" w:type="dxa"/>
            <w:bottom w:w="0" w:type="dxa"/>
          </w:tblCellMar>
        </w:tblPrEx>
        <w:tc>
          <w:tcPr>
            <w:tcW w:w="2466" w:type="dxa"/>
            <w:tcBorders>
              <w:top w:val="single" w:sz="4" w:space="0" w:color="auto"/>
              <w:bottom w:val="nil"/>
            </w:tcBorders>
          </w:tcPr>
          <w:p w:rsidR="00B43C57" w:rsidRPr="00F5723F" w:rsidRDefault="00B43C57">
            <w:pPr>
              <w:pStyle w:val="Tabelltext"/>
            </w:pPr>
          </w:p>
        </w:tc>
        <w:tc>
          <w:tcPr>
            <w:tcW w:w="1276" w:type="dxa"/>
            <w:tcBorders>
              <w:top w:val="single" w:sz="4" w:space="0" w:color="auto"/>
              <w:bottom w:val="nil"/>
            </w:tcBorders>
          </w:tcPr>
          <w:p w:rsidR="00B43C57" w:rsidRPr="00F5723F" w:rsidRDefault="00B43C57">
            <w:pPr>
              <w:pStyle w:val="Tabelltext"/>
            </w:pPr>
          </w:p>
        </w:tc>
        <w:tc>
          <w:tcPr>
            <w:tcW w:w="850" w:type="dxa"/>
            <w:tcBorders>
              <w:top w:val="single" w:sz="4" w:space="0" w:color="auto"/>
              <w:bottom w:val="nil"/>
            </w:tcBorders>
          </w:tcPr>
          <w:p w:rsidR="00B43C57" w:rsidRPr="00F5723F" w:rsidRDefault="00B43C57">
            <w:pPr>
              <w:pStyle w:val="Tabelltext"/>
            </w:pPr>
          </w:p>
        </w:tc>
        <w:tc>
          <w:tcPr>
            <w:tcW w:w="1276" w:type="dxa"/>
            <w:tcBorders>
              <w:top w:val="single" w:sz="4" w:space="0" w:color="auto"/>
              <w:bottom w:val="nil"/>
            </w:tcBorders>
          </w:tcPr>
          <w:p w:rsidR="00B43C57" w:rsidRPr="00F5723F" w:rsidRDefault="00B43C57">
            <w:pPr>
              <w:pStyle w:val="Tabelltext"/>
            </w:pPr>
          </w:p>
        </w:tc>
      </w:tr>
      <w:tr w:rsidR="00000000" w:rsidRPr="00F5723F">
        <w:tblPrEx>
          <w:tblCellMar>
            <w:top w:w="0" w:type="dxa"/>
            <w:bottom w:w="0" w:type="dxa"/>
          </w:tblCellMar>
        </w:tblPrEx>
        <w:tc>
          <w:tcPr>
            <w:tcW w:w="2466" w:type="dxa"/>
            <w:tcBorders>
              <w:top w:val="nil"/>
            </w:tcBorders>
          </w:tcPr>
          <w:p w:rsidR="00B43C57" w:rsidRPr="00F5723F" w:rsidRDefault="00B43C57">
            <w:pPr>
              <w:pStyle w:val="Tabelltext"/>
              <w:spacing w:line="360" w:lineRule="auto"/>
              <w:rPr>
                <w:b/>
              </w:rPr>
            </w:pPr>
            <w:r w:rsidRPr="00F5723F">
              <w:rPr>
                <w:b/>
              </w:rPr>
              <w:t>Dagboksstudien</w:t>
            </w:r>
          </w:p>
        </w:tc>
        <w:tc>
          <w:tcPr>
            <w:tcW w:w="1276" w:type="dxa"/>
            <w:tcBorders>
              <w:top w:val="nil"/>
            </w:tcBorders>
          </w:tcPr>
          <w:p w:rsidR="00B43C57" w:rsidRPr="00F5723F" w:rsidRDefault="00B43C57">
            <w:pPr>
              <w:pStyle w:val="Tabelltext"/>
              <w:spacing w:line="360" w:lineRule="auto"/>
              <w:jc w:val="center"/>
            </w:pPr>
          </w:p>
        </w:tc>
        <w:tc>
          <w:tcPr>
            <w:tcW w:w="850" w:type="dxa"/>
            <w:tcBorders>
              <w:top w:val="nil"/>
            </w:tcBorders>
          </w:tcPr>
          <w:p w:rsidR="00B43C57" w:rsidRPr="00F5723F" w:rsidRDefault="00B43C57">
            <w:pPr>
              <w:pStyle w:val="Tabelltext"/>
              <w:spacing w:line="360" w:lineRule="auto"/>
              <w:jc w:val="center"/>
            </w:pPr>
          </w:p>
        </w:tc>
        <w:tc>
          <w:tcPr>
            <w:tcW w:w="1276" w:type="dxa"/>
            <w:tcBorders>
              <w:top w:val="nil"/>
            </w:tcBorders>
          </w:tcPr>
          <w:p w:rsidR="00B43C57" w:rsidRPr="00F5723F" w:rsidRDefault="00B43C57">
            <w:pPr>
              <w:pStyle w:val="Tabelltext"/>
              <w:spacing w:line="360" w:lineRule="auto"/>
              <w:jc w:val="center"/>
            </w:pPr>
          </w:p>
        </w:tc>
      </w:tr>
      <w:tr w:rsidR="00000000" w:rsidRPr="00F5723F">
        <w:tblPrEx>
          <w:tblCellMar>
            <w:top w:w="0" w:type="dxa"/>
            <w:bottom w:w="0" w:type="dxa"/>
          </w:tblCellMar>
        </w:tblPrEx>
        <w:tc>
          <w:tcPr>
            <w:tcW w:w="2466" w:type="dxa"/>
          </w:tcPr>
          <w:p w:rsidR="00B43C57" w:rsidRPr="00F5723F" w:rsidRDefault="00B43C57">
            <w:pPr>
              <w:pStyle w:val="Tabelltext"/>
            </w:pPr>
            <w:r w:rsidRPr="00F5723F">
              <w:t xml:space="preserve">Vänsterpartiet </w:t>
            </w:r>
          </w:p>
        </w:tc>
        <w:tc>
          <w:tcPr>
            <w:tcW w:w="1276" w:type="dxa"/>
          </w:tcPr>
          <w:p w:rsidR="00B43C57" w:rsidRPr="00F5723F" w:rsidRDefault="00B43C57">
            <w:pPr>
              <w:pStyle w:val="Tabelltext"/>
              <w:jc w:val="center"/>
            </w:pPr>
            <w:r w:rsidRPr="00F5723F">
              <w:t>30</w:t>
            </w:r>
          </w:p>
        </w:tc>
        <w:tc>
          <w:tcPr>
            <w:tcW w:w="850" w:type="dxa"/>
          </w:tcPr>
          <w:p w:rsidR="00B43C57" w:rsidRPr="00F5723F" w:rsidRDefault="00B43C57">
            <w:pPr>
              <w:pStyle w:val="Tabelltext"/>
              <w:jc w:val="center"/>
            </w:pPr>
            <w:r w:rsidRPr="00F5723F">
              <w:t>24</w:t>
            </w:r>
          </w:p>
        </w:tc>
        <w:tc>
          <w:tcPr>
            <w:tcW w:w="1276" w:type="dxa"/>
            <w:vAlign w:val="bottom"/>
          </w:tcPr>
          <w:p w:rsidR="00B43C57" w:rsidRPr="00F5723F" w:rsidRDefault="00B43C57">
            <w:pPr>
              <w:pStyle w:val="Tabelltext"/>
              <w:jc w:val="center"/>
            </w:pPr>
            <w:r w:rsidRPr="00F5723F">
              <w:t>80</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Socialdemokraterna</w:t>
            </w:r>
          </w:p>
        </w:tc>
        <w:tc>
          <w:tcPr>
            <w:tcW w:w="1276" w:type="dxa"/>
          </w:tcPr>
          <w:p w:rsidR="00B43C57" w:rsidRPr="00F5723F" w:rsidRDefault="00B43C57">
            <w:pPr>
              <w:pStyle w:val="Tabelltext"/>
              <w:jc w:val="center"/>
            </w:pPr>
            <w:r w:rsidRPr="00F5723F">
              <w:t>144</w:t>
            </w:r>
          </w:p>
        </w:tc>
        <w:tc>
          <w:tcPr>
            <w:tcW w:w="850" w:type="dxa"/>
          </w:tcPr>
          <w:p w:rsidR="00B43C57" w:rsidRPr="00F5723F" w:rsidRDefault="00B43C57">
            <w:pPr>
              <w:pStyle w:val="Tabelltext"/>
              <w:jc w:val="center"/>
            </w:pPr>
            <w:r w:rsidRPr="00F5723F">
              <w:t>109</w:t>
            </w:r>
          </w:p>
        </w:tc>
        <w:tc>
          <w:tcPr>
            <w:tcW w:w="1276" w:type="dxa"/>
            <w:vAlign w:val="bottom"/>
          </w:tcPr>
          <w:p w:rsidR="00B43C57" w:rsidRPr="00F5723F" w:rsidRDefault="00B43C57">
            <w:pPr>
              <w:pStyle w:val="Tabelltext"/>
              <w:jc w:val="center"/>
            </w:pPr>
            <w:r w:rsidRPr="00F5723F">
              <w:t>76</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Centerpartiet</w:t>
            </w:r>
          </w:p>
        </w:tc>
        <w:tc>
          <w:tcPr>
            <w:tcW w:w="1276" w:type="dxa"/>
          </w:tcPr>
          <w:p w:rsidR="00B43C57" w:rsidRPr="00F5723F" w:rsidRDefault="00B43C57">
            <w:pPr>
              <w:pStyle w:val="Tabelltext"/>
              <w:jc w:val="center"/>
            </w:pPr>
            <w:r w:rsidRPr="00F5723F">
              <w:t>22</w:t>
            </w:r>
          </w:p>
        </w:tc>
        <w:tc>
          <w:tcPr>
            <w:tcW w:w="850" w:type="dxa"/>
          </w:tcPr>
          <w:p w:rsidR="00B43C57" w:rsidRPr="00F5723F" w:rsidRDefault="00B43C57">
            <w:pPr>
              <w:pStyle w:val="Tabelltext"/>
              <w:jc w:val="center"/>
            </w:pPr>
            <w:r w:rsidRPr="00F5723F">
              <w:t>18</w:t>
            </w:r>
          </w:p>
        </w:tc>
        <w:tc>
          <w:tcPr>
            <w:tcW w:w="1276" w:type="dxa"/>
            <w:vAlign w:val="bottom"/>
          </w:tcPr>
          <w:p w:rsidR="00B43C57" w:rsidRPr="00F5723F" w:rsidRDefault="00B43C57">
            <w:pPr>
              <w:pStyle w:val="Tabelltext"/>
              <w:jc w:val="center"/>
            </w:pPr>
            <w:r w:rsidRPr="00F5723F">
              <w:t>82</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Folkpartiet liberalerna</w:t>
            </w:r>
          </w:p>
        </w:tc>
        <w:tc>
          <w:tcPr>
            <w:tcW w:w="1276" w:type="dxa"/>
          </w:tcPr>
          <w:p w:rsidR="00B43C57" w:rsidRPr="00F5723F" w:rsidRDefault="00B43C57">
            <w:pPr>
              <w:pStyle w:val="Tabelltext"/>
              <w:jc w:val="center"/>
            </w:pPr>
            <w:r w:rsidRPr="00F5723F">
              <w:t>48</w:t>
            </w:r>
          </w:p>
        </w:tc>
        <w:tc>
          <w:tcPr>
            <w:tcW w:w="850" w:type="dxa"/>
          </w:tcPr>
          <w:p w:rsidR="00B43C57" w:rsidRPr="00F5723F" w:rsidRDefault="00B43C57">
            <w:pPr>
              <w:pStyle w:val="Tabelltext"/>
              <w:jc w:val="center"/>
            </w:pPr>
            <w:r w:rsidRPr="00F5723F">
              <w:t>34</w:t>
            </w:r>
          </w:p>
        </w:tc>
        <w:tc>
          <w:tcPr>
            <w:tcW w:w="1276" w:type="dxa"/>
            <w:vAlign w:val="bottom"/>
          </w:tcPr>
          <w:p w:rsidR="00B43C57" w:rsidRPr="00F5723F" w:rsidRDefault="00B43C57">
            <w:pPr>
              <w:pStyle w:val="Tabelltext"/>
              <w:jc w:val="center"/>
            </w:pPr>
            <w:r w:rsidRPr="00F5723F">
              <w:t>71</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Moderata samlingspartiet</w:t>
            </w:r>
          </w:p>
        </w:tc>
        <w:tc>
          <w:tcPr>
            <w:tcW w:w="1276" w:type="dxa"/>
          </w:tcPr>
          <w:p w:rsidR="00B43C57" w:rsidRPr="00F5723F" w:rsidRDefault="00B43C57">
            <w:pPr>
              <w:pStyle w:val="Tabelltext"/>
              <w:jc w:val="center"/>
            </w:pPr>
            <w:r w:rsidRPr="00F5723F">
              <w:t>55</w:t>
            </w:r>
          </w:p>
        </w:tc>
        <w:tc>
          <w:tcPr>
            <w:tcW w:w="850" w:type="dxa"/>
          </w:tcPr>
          <w:p w:rsidR="00B43C57" w:rsidRPr="00F5723F" w:rsidRDefault="00B43C57">
            <w:pPr>
              <w:pStyle w:val="Tabelltext"/>
              <w:jc w:val="center"/>
            </w:pPr>
            <w:r w:rsidRPr="00F5723F">
              <w:t>38</w:t>
            </w:r>
          </w:p>
        </w:tc>
        <w:tc>
          <w:tcPr>
            <w:tcW w:w="1276" w:type="dxa"/>
            <w:vAlign w:val="bottom"/>
          </w:tcPr>
          <w:p w:rsidR="00B43C57" w:rsidRPr="00F5723F" w:rsidRDefault="00B43C57">
            <w:pPr>
              <w:pStyle w:val="Tabelltext"/>
              <w:jc w:val="center"/>
            </w:pPr>
            <w:r w:rsidRPr="00F5723F">
              <w:t>69</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Kristdemokraterna</w:t>
            </w:r>
          </w:p>
        </w:tc>
        <w:tc>
          <w:tcPr>
            <w:tcW w:w="1276" w:type="dxa"/>
          </w:tcPr>
          <w:p w:rsidR="00B43C57" w:rsidRPr="00F5723F" w:rsidRDefault="00B43C57">
            <w:pPr>
              <w:pStyle w:val="Tabelltext"/>
              <w:jc w:val="center"/>
            </w:pPr>
            <w:r w:rsidRPr="00F5723F">
              <w:t>33</w:t>
            </w:r>
          </w:p>
        </w:tc>
        <w:tc>
          <w:tcPr>
            <w:tcW w:w="850" w:type="dxa"/>
          </w:tcPr>
          <w:p w:rsidR="00B43C57" w:rsidRPr="00F5723F" w:rsidRDefault="00B43C57">
            <w:pPr>
              <w:pStyle w:val="Tabelltext"/>
              <w:jc w:val="center"/>
            </w:pPr>
            <w:r w:rsidRPr="00F5723F">
              <w:t>28</w:t>
            </w:r>
          </w:p>
        </w:tc>
        <w:tc>
          <w:tcPr>
            <w:tcW w:w="1276" w:type="dxa"/>
            <w:vAlign w:val="bottom"/>
          </w:tcPr>
          <w:p w:rsidR="00B43C57" w:rsidRPr="00F5723F" w:rsidRDefault="00B43C57">
            <w:pPr>
              <w:pStyle w:val="Tabelltext"/>
              <w:jc w:val="center"/>
            </w:pPr>
            <w:r w:rsidRPr="00F5723F">
              <w:t>85</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Miljöpartiet de gröna</w:t>
            </w:r>
          </w:p>
        </w:tc>
        <w:tc>
          <w:tcPr>
            <w:tcW w:w="1276" w:type="dxa"/>
          </w:tcPr>
          <w:p w:rsidR="00B43C57" w:rsidRPr="00F5723F" w:rsidRDefault="00B43C57">
            <w:pPr>
              <w:pStyle w:val="Tabelltext"/>
              <w:jc w:val="center"/>
            </w:pPr>
            <w:r w:rsidRPr="00F5723F">
              <w:t>17</w:t>
            </w:r>
          </w:p>
        </w:tc>
        <w:tc>
          <w:tcPr>
            <w:tcW w:w="850" w:type="dxa"/>
          </w:tcPr>
          <w:p w:rsidR="00B43C57" w:rsidRPr="00F5723F" w:rsidRDefault="00B43C57">
            <w:pPr>
              <w:pStyle w:val="Tabelltext"/>
              <w:jc w:val="center"/>
            </w:pPr>
            <w:r w:rsidRPr="00F5723F">
              <w:t>11</w:t>
            </w:r>
          </w:p>
        </w:tc>
        <w:tc>
          <w:tcPr>
            <w:tcW w:w="1276" w:type="dxa"/>
            <w:vAlign w:val="bottom"/>
          </w:tcPr>
          <w:p w:rsidR="00B43C57" w:rsidRPr="00F5723F" w:rsidRDefault="00B43C57">
            <w:pPr>
              <w:pStyle w:val="Tabelltext"/>
              <w:jc w:val="center"/>
            </w:pPr>
            <w:r w:rsidRPr="00F5723F">
              <w:t>65</w:t>
            </w:r>
          </w:p>
        </w:tc>
      </w:tr>
      <w:tr w:rsidR="00000000" w:rsidRPr="00F5723F">
        <w:tblPrEx>
          <w:tblCellMar>
            <w:top w:w="0" w:type="dxa"/>
            <w:bottom w:w="0" w:type="dxa"/>
          </w:tblCellMar>
        </w:tblPrEx>
        <w:tc>
          <w:tcPr>
            <w:tcW w:w="2466" w:type="dxa"/>
          </w:tcPr>
          <w:p w:rsidR="00B43C57" w:rsidRPr="00F5723F" w:rsidRDefault="00B43C57">
            <w:pPr>
              <w:pStyle w:val="Tabelltext"/>
              <w:spacing w:line="360" w:lineRule="auto"/>
            </w:pPr>
            <w:r w:rsidRPr="00F5723F">
              <w:t>Uppgift saknas</w:t>
            </w:r>
          </w:p>
        </w:tc>
        <w:tc>
          <w:tcPr>
            <w:tcW w:w="1276" w:type="dxa"/>
          </w:tcPr>
          <w:p w:rsidR="00B43C57" w:rsidRPr="00F5723F" w:rsidRDefault="00B43C57">
            <w:pPr>
              <w:pStyle w:val="Tabelltext"/>
              <w:spacing w:line="360" w:lineRule="auto"/>
              <w:jc w:val="center"/>
            </w:pPr>
          </w:p>
        </w:tc>
        <w:tc>
          <w:tcPr>
            <w:tcW w:w="850" w:type="dxa"/>
          </w:tcPr>
          <w:p w:rsidR="00B43C57" w:rsidRPr="00F5723F" w:rsidRDefault="00B43C57">
            <w:pPr>
              <w:pStyle w:val="Tabelltext"/>
              <w:spacing w:line="360" w:lineRule="auto"/>
              <w:jc w:val="center"/>
            </w:pPr>
            <w:r w:rsidRPr="00F5723F">
              <w:t>6</w:t>
            </w:r>
          </w:p>
        </w:tc>
        <w:tc>
          <w:tcPr>
            <w:tcW w:w="1276" w:type="dxa"/>
            <w:vAlign w:val="bottom"/>
          </w:tcPr>
          <w:p w:rsidR="00B43C57" w:rsidRPr="00F5723F" w:rsidRDefault="00B43C57">
            <w:pPr>
              <w:pStyle w:val="Tabelltext"/>
              <w:spacing w:line="360" w:lineRule="auto"/>
              <w:jc w:val="center"/>
            </w:pPr>
          </w:p>
        </w:tc>
      </w:tr>
      <w:tr w:rsidR="00000000" w:rsidRPr="00F5723F">
        <w:tblPrEx>
          <w:tblCellMar>
            <w:top w:w="0" w:type="dxa"/>
            <w:bottom w:w="0" w:type="dxa"/>
          </w:tblCellMar>
        </w:tblPrEx>
        <w:tc>
          <w:tcPr>
            <w:tcW w:w="2466" w:type="dxa"/>
          </w:tcPr>
          <w:p w:rsidR="00B43C57" w:rsidRPr="00F5723F" w:rsidRDefault="00B43C57">
            <w:pPr>
              <w:pStyle w:val="Tabelltext"/>
              <w:rPr>
                <w:i/>
                <w:szCs w:val="16"/>
              </w:rPr>
            </w:pPr>
            <w:r w:rsidRPr="00F5723F">
              <w:rPr>
                <w:i/>
                <w:szCs w:val="16"/>
              </w:rPr>
              <w:t>Samtliga</w:t>
            </w:r>
          </w:p>
        </w:tc>
        <w:tc>
          <w:tcPr>
            <w:tcW w:w="1276" w:type="dxa"/>
          </w:tcPr>
          <w:p w:rsidR="00B43C57" w:rsidRPr="00F5723F" w:rsidRDefault="00B43C57">
            <w:pPr>
              <w:pStyle w:val="Tabelltext"/>
              <w:jc w:val="center"/>
              <w:rPr>
                <w:i/>
                <w:szCs w:val="16"/>
              </w:rPr>
            </w:pPr>
            <w:r w:rsidRPr="00F5723F">
              <w:rPr>
                <w:i/>
                <w:szCs w:val="16"/>
              </w:rPr>
              <w:t>349</w:t>
            </w:r>
          </w:p>
        </w:tc>
        <w:tc>
          <w:tcPr>
            <w:tcW w:w="850" w:type="dxa"/>
          </w:tcPr>
          <w:p w:rsidR="00B43C57" w:rsidRPr="00F5723F" w:rsidRDefault="00B43C57">
            <w:pPr>
              <w:pStyle w:val="Tabelltext"/>
              <w:jc w:val="center"/>
              <w:rPr>
                <w:i/>
                <w:szCs w:val="16"/>
              </w:rPr>
            </w:pPr>
            <w:r w:rsidRPr="00F5723F">
              <w:rPr>
                <w:i/>
                <w:szCs w:val="16"/>
              </w:rPr>
              <w:t>268</w:t>
            </w:r>
          </w:p>
        </w:tc>
        <w:tc>
          <w:tcPr>
            <w:tcW w:w="1276" w:type="dxa"/>
            <w:vAlign w:val="bottom"/>
          </w:tcPr>
          <w:p w:rsidR="00B43C57" w:rsidRPr="00F5723F" w:rsidRDefault="00B43C57">
            <w:pPr>
              <w:pStyle w:val="Tabelltext"/>
              <w:jc w:val="center"/>
              <w:rPr>
                <w:i/>
                <w:szCs w:val="16"/>
              </w:rPr>
            </w:pPr>
            <w:r w:rsidRPr="00F5723F">
              <w:rPr>
                <w:i/>
                <w:szCs w:val="16"/>
              </w:rPr>
              <w:t>77</w:t>
            </w:r>
          </w:p>
        </w:tc>
      </w:tr>
      <w:tr w:rsidR="00000000" w:rsidRPr="00F5723F">
        <w:tblPrEx>
          <w:tblCellMar>
            <w:top w:w="0" w:type="dxa"/>
            <w:bottom w:w="0" w:type="dxa"/>
          </w:tblCellMar>
        </w:tblPrEx>
        <w:tc>
          <w:tcPr>
            <w:tcW w:w="2466" w:type="dxa"/>
          </w:tcPr>
          <w:p w:rsidR="00B43C57" w:rsidRPr="00F5723F" w:rsidRDefault="00B43C57">
            <w:pPr>
              <w:pStyle w:val="Tabelltext"/>
            </w:pPr>
          </w:p>
        </w:tc>
        <w:tc>
          <w:tcPr>
            <w:tcW w:w="1276" w:type="dxa"/>
          </w:tcPr>
          <w:p w:rsidR="00B43C57" w:rsidRPr="00F5723F" w:rsidRDefault="00B43C57">
            <w:pPr>
              <w:pStyle w:val="Tabelltext"/>
              <w:jc w:val="center"/>
            </w:pPr>
          </w:p>
        </w:tc>
        <w:tc>
          <w:tcPr>
            <w:tcW w:w="850" w:type="dxa"/>
          </w:tcPr>
          <w:p w:rsidR="00B43C57" w:rsidRPr="00F5723F" w:rsidRDefault="00B43C57">
            <w:pPr>
              <w:pStyle w:val="Tabelltext"/>
              <w:jc w:val="center"/>
            </w:pPr>
          </w:p>
        </w:tc>
        <w:tc>
          <w:tcPr>
            <w:tcW w:w="1276" w:type="dxa"/>
            <w:vAlign w:val="bottom"/>
          </w:tcPr>
          <w:p w:rsidR="00B43C57" w:rsidRPr="00F5723F" w:rsidRDefault="00B43C57">
            <w:pPr>
              <w:pStyle w:val="Tabelltext"/>
              <w:jc w:val="center"/>
            </w:pPr>
          </w:p>
        </w:tc>
      </w:tr>
      <w:tr w:rsidR="00000000" w:rsidRPr="00F5723F">
        <w:tblPrEx>
          <w:tblCellMar>
            <w:top w:w="0" w:type="dxa"/>
            <w:bottom w:w="0" w:type="dxa"/>
          </w:tblCellMar>
        </w:tblPrEx>
        <w:tc>
          <w:tcPr>
            <w:tcW w:w="2466" w:type="dxa"/>
          </w:tcPr>
          <w:p w:rsidR="00B43C57" w:rsidRPr="00F5723F" w:rsidRDefault="00B43C57">
            <w:pPr>
              <w:pStyle w:val="Tabelltext"/>
              <w:spacing w:line="360" w:lineRule="auto"/>
              <w:rPr>
                <w:b/>
              </w:rPr>
            </w:pPr>
            <w:r w:rsidRPr="00F5723F">
              <w:rPr>
                <w:b/>
              </w:rPr>
              <w:t>Enkäten</w:t>
            </w:r>
          </w:p>
        </w:tc>
        <w:tc>
          <w:tcPr>
            <w:tcW w:w="1276" w:type="dxa"/>
          </w:tcPr>
          <w:p w:rsidR="00B43C57" w:rsidRPr="00F5723F" w:rsidRDefault="00B43C57">
            <w:pPr>
              <w:pStyle w:val="Tabelltext"/>
              <w:spacing w:line="360" w:lineRule="auto"/>
              <w:jc w:val="center"/>
            </w:pPr>
          </w:p>
        </w:tc>
        <w:tc>
          <w:tcPr>
            <w:tcW w:w="850" w:type="dxa"/>
          </w:tcPr>
          <w:p w:rsidR="00B43C57" w:rsidRPr="00F5723F" w:rsidRDefault="00B43C57">
            <w:pPr>
              <w:pStyle w:val="Tabelltext"/>
              <w:spacing w:line="360" w:lineRule="auto"/>
              <w:jc w:val="center"/>
            </w:pPr>
          </w:p>
        </w:tc>
        <w:tc>
          <w:tcPr>
            <w:tcW w:w="1276" w:type="dxa"/>
            <w:vAlign w:val="bottom"/>
          </w:tcPr>
          <w:p w:rsidR="00B43C57" w:rsidRPr="00F5723F" w:rsidRDefault="00B43C57">
            <w:pPr>
              <w:pStyle w:val="Tabelltext"/>
              <w:spacing w:line="360" w:lineRule="auto"/>
              <w:jc w:val="center"/>
            </w:pPr>
          </w:p>
        </w:tc>
      </w:tr>
      <w:tr w:rsidR="00000000" w:rsidRPr="00F5723F">
        <w:tblPrEx>
          <w:tblCellMar>
            <w:top w:w="0" w:type="dxa"/>
            <w:bottom w:w="0" w:type="dxa"/>
          </w:tblCellMar>
        </w:tblPrEx>
        <w:tc>
          <w:tcPr>
            <w:tcW w:w="2466" w:type="dxa"/>
          </w:tcPr>
          <w:p w:rsidR="00B43C57" w:rsidRPr="00F5723F" w:rsidRDefault="00B43C57">
            <w:pPr>
              <w:pStyle w:val="Tabelltext"/>
            </w:pPr>
            <w:r w:rsidRPr="00F5723F">
              <w:t xml:space="preserve">Vänsterpartiet </w:t>
            </w:r>
          </w:p>
        </w:tc>
        <w:tc>
          <w:tcPr>
            <w:tcW w:w="1276" w:type="dxa"/>
          </w:tcPr>
          <w:p w:rsidR="00B43C57" w:rsidRPr="00F5723F" w:rsidRDefault="00B43C57">
            <w:pPr>
              <w:pStyle w:val="Tabelltext"/>
              <w:jc w:val="center"/>
            </w:pPr>
            <w:r w:rsidRPr="00F5723F">
              <w:t>30</w:t>
            </w:r>
          </w:p>
        </w:tc>
        <w:tc>
          <w:tcPr>
            <w:tcW w:w="850" w:type="dxa"/>
          </w:tcPr>
          <w:p w:rsidR="00B43C57" w:rsidRPr="00F5723F" w:rsidRDefault="00B43C57">
            <w:pPr>
              <w:pStyle w:val="Tabelltext"/>
              <w:jc w:val="center"/>
            </w:pPr>
            <w:r w:rsidRPr="00F5723F">
              <w:t>24</w:t>
            </w:r>
          </w:p>
        </w:tc>
        <w:tc>
          <w:tcPr>
            <w:tcW w:w="1276" w:type="dxa"/>
            <w:vAlign w:val="bottom"/>
          </w:tcPr>
          <w:p w:rsidR="00B43C57" w:rsidRPr="00F5723F" w:rsidRDefault="00B43C57">
            <w:pPr>
              <w:pStyle w:val="Tabelltext"/>
              <w:jc w:val="center"/>
            </w:pPr>
            <w:r w:rsidRPr="00F5723F">
              <w:t>80</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Socialdemokraterna</w:t>
            </w:r>
          </w:p>
        </w:tc>
        <w:tc>
          <w:tcPr>
            <w:tcW w:w="1276" w:type="dxa"/>
          </w:tcPr>
          <w:p w:rsidR="00B43C57" w:rsidRPr="00F5723F" w:rsidRDefault="00B43C57">
            <w:pPr>
              <w:pStyle w:val="Tabelltext"/>
              <w:jc w:val="center"/>
            </w:pPr>
            <w:r w:rsidRPr="00F5723F">
              <w:t>144</w:t>
            </w:r>
          </w:p>
        </w:tc>
        <w:tc>
          <w:tcPr>
            <w:tcW w:w="850" w:type="dxa"/>
          </w:tcPr>
          <w:p w:rsidR="00B43C57" w:rsidRPr="00F5723F" w:rsidRDefault="00B43C57">
            <w:pPr>
              <w:pStyle w:val="Tabelltext"/>
              <w:jc w:val="center"/>
            </w:pPr>
            <w:r w:rsidRPr="00F5723F">
              <w:t>98</w:t>
            </w:r>
          </w:p>
        </w:tc>
        <w:tc>
          <w:tcPr>
            <w:tcW w:w="1276" w:type="dxa"/>
            <w:vAlign w:val="bottom"/>
          </w:tcPr>
          <w:p w:rsidR="00B43C57" w:rsidRPr="00F5723F" w:rsidRDefault="00B43C57">
            <w:pPr>
              <w:pStyle w:val="Tabelltext"/>
              <w:jc w:val="center"/>
            </w:pPr>
            <w:r w:rsidRPr="00F5723F">
              <w:t>68</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Centerpartiet</w:t>
            </w:r>
          </w:p>
        </w:tc>
        <w:tc>
          <w:tcPr>
            <w:tcW w:w="1276" w:type="dxa"/>
          </w:tcPr>
          <w:p w:rsidR="00B43C57" w:rsidRPr="00F5723F" w:rsidRDefault="00B43C57">
            <w:pPr>
              <w:pStyle w:val="Tabelltext"/>
              <w:jc w:val="center"/>
            </w:pPr>
            <w:r w:rsidRPr="00F5723F">
              <w:t>22</w:t>
            </w:r>
          </w:p>
        </w:tc>
        <w:tc>
          <w:tcPr>
            <w:tcW w:w="850" w:type="dxa"/>
          </w:tcPr>
          <w:p w:rsidR="00B43C57" w:rsidRPr="00F5723F" w:rsidRDefault="00B43C57">
            <w:pPr>
              <w:pStyle w:val="Tabelltext"/>
              <w:jc w:val="center"/>
            </w:pPr>
            <w:r w:rsidRPr="00F5723F">
              <w:t>16</w:t>
            </w:r>
          </w:p>
        </w:tc>
        <w:tc>
          <w:tcPr>
            <w:tcW w:w="1276" w:type="dxa"/>
            <w:vAlign w:val="bottom"/>
          </w:tcPr>
          <w:p w:rsidR="00B43C57" w:rsidRPr="00F5723F" w:rsidRDefault="00B43C57">
            <w:pPr>
              <w:pStyle w:val="Tabelltext"/>
              <w:jc w:val="center"/>
            </w:pPr>
            <w:r w:rsidRPr="00F5723F">
              <w:t>73</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Folkpartiet liberalerna</w:t>
            </w:r>
          </w:p>
        </w:tc>
        <w:tc>
          <w:tcPr>
            <w:tcW w:w="1276" w:type="dxa"/>
          </w:tcPr>
          <w:p w:rsidR="00B43C57" w:rsidRPr="00F5723F" w:rsidRDefault="00B43C57">
            <w:pPr>
              <w:pStyle w:val="Tabelltext"/>
              <w:jc w:val="center"/>
            </w:pPr>
            <w:r w:rsidRPr="00F5723F">
              <w:t>48</w:t>
            </w:r>
          </w:p>
        </w:tc>
        <w:tc>
          <w:tcPr>
            <w:tcW w:w="850" w:type="dxa"/>
          </w:tcPr>
          <w:p w:rsidR="00B43C57" w:rsidRPr="00F5723F" w:rsidRDefault="00B43C57">
            <w:pPr>
              <w:pStyle w:val="Tabelltext"/>
              <w:jc w:val="center"/>
            </w:pPr>
            <w:r w:rsidRPr="00F5723F">
              <w:t>34</w:t>
            </w:r>
          </w:p>
        </w:tc>
        <w:tc>
          <w:tcPr>
            <w:tcW w:w="1276" w:type="dxa"/>
            <w:vAlign w:val="bottom"/>
          </w:tcPr>
          <w:p w:rsidR="00B43C57" w:rsidRPr="00F5723F" w:rsidRDefault="00B43C57">
            <w:pPr>
              <w:pStyle w:val="Tabelltext"/>
              <w:jc w:val="center"/>
            </w:pPr>
            <w:r w:rsidRPr="00F5723F">
              <w:t>71</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Moderata samlingspartiet</w:t>
            </w:r>
          </w:p>
        </w:tc>
        <w:tc>
          <w:tcPr>
            <w:tcW w:w="1276" w:type="dxa"/>
          </w:tcPr>
          <w:p w:rsidR="00B43C57" w:rsidRPr="00F5723F" w:rsidRDefault="00B43C57">
            <w:pPr>
              <w:pStyle w:val="Tabelltext"/>
              <w:jc w:val="center"/>
            </w:pPr>
            <w:r w:rsidRPr="00F5723F">
              <w:t>55</w:t>
            </w:r>
          </w:p>
        </w:tc>
        <w:tc>
          <w:tcPr>
            <w:tcW w:w="850" w:type="dxa"/>
          </w:tcPr>
          <w:p w:rsidR="00B43C57" w:rsidRPr="00F5723F" w:rsidRDefault="00B43C57">
            <w:pPr>
              <w:pStyle w:val="Tabelltext"/>
              <w:jc w:val="center"/>
            </w:pPr>
            <w:r w:rsidRPr="00F5723F">
              <w:t>37</w:t>
            </w:r>
          </w:p>
        </w:tc>
        <w:tc>
          <w:tcPr>
            <w:tcW w:w="1276" w:type="dxa"/>
            <w:vAlign w:val="bottom"/>
          </w:tcPr>
          <w:p w:rsidR="00B43C57" w:rsidRPr="00F5723F" w:rsidRDefault="00B43C57">
            <w:pPr>
              <w:pStyle w:val="Tabelltext"/>
              <w:jc w:val="center"/>
            </w:pPr>
            <w:r w:rsidRPr="00F5723F">
              <w:t>67</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Kristdemokraterna</w:t>
            </w:r>
          </w:p>
        </w:tc>
        <w:tc>
          <w:tcPr>
            <w:tcW w:w="1276" w:type="dxa"/>
          </w:tcPr>
          <w:p w:rsidR="00B43C57" w:rsidRPr="00F5723F" w:rsidRDefault="00B43C57">
            <w:pPr>
              <w:pStyle w:val="Tabelltext"/>
              <w:jc w:val="center"/>
            </w:pPr>
            <w:r w:rsidRPr="00F5723F">
              <w:t>33</w:t>
            </w:r>
          </w:p>
        </w:tc>
        <w:tc>
          <w:tcPr>
            <w:tcW w:w="850" w:type="dxa"/>
          </w:tcPr>
          <w:p w:rsidR="00B43C57" w:rsidRPr="00F5723F" w:rsidRDefault="00B43C57">
            <w:pPr>
              <w:pStyle w:val="Tabelltext"/>
              <w:jc w:val="center"/>
            </w:pPr>
            <w:r w:rsidRPr="00F5723F">
              <w:t>25</w:t>
            </w:r>
          </w:p>
        </w:tc>
        <w:tc>
          <w:tcPr>
            <w:tcW w:w="1276" w:type="dxa"/>
            <w:vAlign w:val="bottom"/>
          </w:tcPr>
          <w:p w:rsidR="00B43C57" w:rsidRPr="00F5723F" w:rsidRDefault="00B43C57">
            <w:pPr>
              <w:pStyle w:val="Tabelltext"/>
              <w:jc w:val="center"/>
            </w:pPr>
            <w:r w:rsidRPr="00F5723F">
              <w:t>76</w:t>
            </w:r>
          </w:p>
        </w:tc>
      </w:tr>
      <w:tr w:rsidR="00000000" w:rsidRPr="00F5723F">
        <w:tblPrEx>
          <w:tblCellMar>
            <w:top w:w="0" w:type="dxa"/>
            <w:bottom w:w="0" w:type="dxa"/>
          </w:tblCellMar>
        </w:tblPrEx>
        <w:tc>
          <w:tcPr>
            <w:tcW w:w="2466" w:type="dxa"/>
          </w:tcPr>
          <w:p w:rsidR="00B43C57" w:rsidRPr="00F5723F" w:rsidRDefault="00B43C57">
            <w:pPr>
              <w:pStyle w:val="Tabelltext"/>
            </w:pPr>
            <w:r w:rsidRPr="00F5723F">
              <w:t>Miljöpartiet de gröna</w:t>
            </w:r>
          </w:p>
        </w:tc>
        <w:tc>
          <w:tcPr>
            <w:tcW w:w="1276" w:type="dxa"/>
          </w:tcPr>
          <w:p w:rsidR="00B43C57" w:rsidRPr="00F5723F" w:rsidRDefault="00B43C57">
            <w:pPr>
              <w:pStyle w:val="Tabelltext"/>
              <w:jc w:val="center"/>
            </w:pPr>
            <w:r w:rsidRPr="00F5723F">
              <w:t>17</w:t>
            </w:r>
          </w:p>
        </w:tc>
        <w:tc>
          <w:tcPr>
            <w:tcW w:w="850" w:type="dxa"/>
          </w:tcPr>
          <w:p w:rsidR="00B43C57" w:rsidRPr="00F5723F" w:rsidRDefault="00B43C57">
            <w:pPr>
              <w:pStyle w:val="Tabelltext"/>
              <w:jc w:val="center"/>
            </w:pPr>
            <w:r w:rsidRPr="00F5723F">
              <w:t>10</w:t>
            </w:r>
          </w:p>
        </w:tc>
        <w:tc>
          <w:tcPr>
            <w:tcW w:w="1276" w:type="dxa"/>
            <w:vAlign w:val="bottom"/>
          </w:tcPr>
          <w:p w:rsidR="00B43C57" w:rsidRPr="00F5723F" w:rsidRDefault="00B43C57">
            <w:pPr>
              <w:pStyle w:val="Tabelltext"/>
              <w:jc w:val="center"/>
            </w:pPr>
            <w:r w:rsidRPr="00F5723F">
              <w:t>59</w:t>
            </w:r>
          </w:p>
        </w:tc>
      </w:tr>
      <w:tr w:rsidR="00000000" w:rsidRPr="00F5723F">
        <w:tblPrEx>
          <w:tblCellMar>
            <w:top w:w="0" w:type="dxa"/>
            <w:bottom w:w="0" w:type="dxa"/>
          </w:tblCellMar>
        </w:tblPrEx>
        <w:tc>
          <w:tcPr>
            <w:tcW w:w="2466" w:type="dxa"/>
          </w:tcPr>
          <w:p w:rsidR="00B43C57" w:rsidRPr="00F5723F" w:rsidRDefault="00B43C57">
            <w:pPr>
              <w:pStyle w:val="Tabelltext"/>
              <w:spacing w:line="360" w:lineRule="auto"/>
            </w:pPr>
            <w:r w:rsidRPr="00F5723F">
              <w:t>Uppgift saknas</w:t>
            </w:r>
          </w:p>
        </w:tc>
        <w:tc>
          <w:tcPr>
            <w:tcW w:w="1276" w:type="dxa"/>
          </w:tcPr>
          <w:p w:rsidR="00B43C57" w:rsidRPr="00F5723F" w:rsidRDefault="00B43C57">
            <w:pPr>
              <w:pStyle w:val="Tabelltext"/>
              <w:spacing w:line="360" w:lineRule="auto"/>
              <w:jc w:val="center"/>
            </w:pPr>
          </w:p>
        </w:tc>
        <w:tc>
          <w:tcPr>
            <w:tcW w:w="850" w:type="dxa"/>
          </w:tcPr>
          <w:p w:rsidR="00B43C57" w:rsidRPr="00F5723F" w:rsidRDefault="00B43C57">
            <w:pPr>
              <w:pStyle w:val="Tabelltext"/>
              <w:spacing w:line="360" w:lineRule="auto"/>
              <w:jc w:val="center"/>
            </w:pPr>
            <w:r w:rsidRPr="00F5723F">
              <w:t>37</w:t>
            </w:r>
          </w:p>
        </w:tc>
        <w:tc>
          <w:tcPr>
            <w:tcW w:w="1276" w:type="dxa"/>
            <w:vAlign w:val="bottom"/>
          </w:tcPr>
          <w:p w:rsidR="00B43C57" w:rsidRPr="00F5723F" w:rsidRDefault="00B43C57">
            <w:pPr>
              <w:pStyle w:val="Tabelltext"/>
              <w:spacing w:line="360" w:lineRule="auto"/>
              <w:jc w:val="center"/>
            </w:pPr>
          </w:p>
        </w:tc>
      </w:tr>
      <w:tr w:rsidR="00000000" w:rsidRPr="00F5723F">
        <w:tblPrEx>
          <w:tblCellMar>
            <w:top w:w="0" w:type="dxa"/>
            <w:bottom w:w="0" w:type="dxa"/>
          </w:tblCellMar>
        </w:tblPrEx>
        <w:tc>
          <w:tcPr>
            <w:tcW w:w="2466" w:type="dxa"/>
          </w:tcPr>
          <w:p w:rsidR="00B43C57" w:rsidRPr="00F5723F" w:rsidRDefault="00B43C57">
            <w:pPr>
              <w:pStyle w:val="Tabelltext"/>
              <w:rPr>
                <w:i/>
                <w:szCs w:val="16"/>
              </w:rPr>
            </w:pPr>
            <w:r w:rsidRPr="00F5723F">
              <w:rPr>
                <w:i/>
                <w:szCs w:val="16"/>
              </w:rPr>
              <w:t>Samtliga</w:t>
            </w:r>
          </w:p>
        </w:tc>
        <w:tc>
          <w:tcPr>
            <w:tcW w:w="1276" w:type="dxa"/>
          </w:tcPr>
          <w:p w:rsidR="00B43C57" w:rsidRPr="00F5723F" w:rsidRDefault="00B43C57">
            <w:pPr>
              <w:pStyle w:val="Tabelltext"/>
              <w:jc w:val="center"/>
              <w:rPr>
                <w:i/>
                <w:szCs w:val="16"/>
              </w:rPr>
            </w:pPr>
            <w:r w:rsidRPr="00F5723F">
              <w:rPr>
                <w:i/>
                <w:szCs w:val="16"/>
              </w:rPr>
              <w:t>349</w:t>
            </w:r>
          </w:p>
        </w:tc>
        <w:tc>
          <w:tcPr>
            <w:tcW w:w="850" w:type="dxa"/>
          </w:tcPr>
          <w:p w:rsidR="00B43C57" w:rsidRPr="00F5723F" w:rsidRDefault="00B43C57">
            <w:pPr>
              <w:pStyle w:val="Tabelltext"/>
              <w:jc w:val="center"/>
              <w:rPr>
                <w:i/>
                <w:szCs w:val="16"/>
              </w:rPr>
            </w:pPr>
            <w:r w:rsidRPr="00F5723F">
              <w:rPr>
                <w:i/>
                <w:szCs w:val="16"/>
              </w:rPr>
              <w:t>281</w:t>
            </w:r>
          </w:p>
        </w:tc>
        <w:tc>
          <w:tcPr>
            <w:tcW w:w="1276" w:type="dxa"/>
            <w:vAlign w:val="bottom"/>
          </w:tcPr>
          <w:p w:rsidR="00B43C57" w:rsidRPr="00F5723F" w:rsidRDefault="00B43C57">
            <w:pPr>
              <w:pStyle w:val="Tabelltext"/>
              <w:jc w:val="center"/>
              <w:rPr>
                <w:i/>
                <w:szCs w:val="16"/>
              </w:rPr>
            </w:pPr>
            <w:r w:rsidRPr="00F5723F">
              <w:rPr>
                <w:i/>
                <w:szCs w:val="16"/>
              </w:rPr>
              <w:t>81</w:t>
            </w:r>
          </w:p>
        </w:tc>
      </w:tr>
      <w:tr w:rsidR="00000000" w:rsidRPr="00F5723F">
        <w:tblPrEx>
          <w:tblCellMar>
            <w:top w:w="0" w:type="dxa"/>
            <w:bottom w:w="0" w:type="dxa"/>
          </w:tblCellMar>
        </w:tblPrEx>
        <w:tc>
          <w:tcPr>
            <w:tcW w:w="2466" w:type="dxa"/>
          </w:tcPr>
          <w:p w:rsidR="00B43C57" w:rsidRPr="00F5723F" w:rsidRDefault="00B43C57">
            <w:pPr>
              <w:pStyle w:val="Tabelltext"/>
              <w:rPr>
                <w:i/>
                <w:szCs w:val="16"/>
              </w:rPr>
            </w:pPr>
          </w:p>
        </w:tc>
        <w:tc>
          <w:tcPr>
            <w:tcW w:w="1276" w:type="dxa"/>
          </w:tcPr>
          <w:p w:rsidR="00B43C57" w:rsidRPr="00F5723F" w:rsidRDefault="00B43C57">
            <w:pPr>
              <w:pStyle w:val="Tabelltext"/>
              <w:jc w:val="center"/>
              <w:rPr>
                <w:i/>
                <w:szCs w:val="16"/>
              </w:rPr>
            </w:pPr>
          </w:p>
        </w:tc>
        <w:tc>
          <w:tcPr>
            <w:tcW w:w="850" w:type="dxa"/>
          </w:tcPr>
          <w:p w:rsidR="00B43C57" w:rsidRPr="00F5723F" w:rsidRDefault="00B43C57">
            <w:pPr>
              <w:pStyle w:val="Tabelltext"/>
              <w:jc w:val="center"/>
              <w:rPr>
                <w:i/>
                <w:szCs w:val="16"/>
              </w:rPr>
            </w:pPr>
          </w:p>
        </w:tc>
        <w:tc>
          <w:tcPr>
            <w:tcW w:w="1276" w:type="dxa"/>
            <w:vAlign w:val="bottom"/>
          </w:tcPr>
          <w:p w:rsidR="00B43C57" w:rsidRPr="00F5723F" w:rsidRDefault="00B43C57">
            <w:pPr>
              <w:pStyle w:val="Tabelltext"/>
              <w:jc w:val="center"/>
              <w:rPr>
                <w:i/>
                <w:szCs w:val="16"/>
              </w:rPr>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Undersökningen genomfördes med garanti för ledamöternas anon</w:t>
      </w:r>
      <w:r w:rsidRPr="00F5723F">
        <w:rPr>
          <w:rFonts w:ascii="Arial" w:hAnsi="Arial" w:cs="Arial"/>
          <w:sz w:val="16"/>
          <w:szCs w:val="16"/>
        </w:rPr>
        <w:t>y</w:t>
      </w:r>
      <w:r w:rsidRPr="00F5723F">
        <w:rPr>
          <w:rFonts w:ascii="Arial" w:hAnsi="Arial" w:cs="Arial"/>
          <w:sz w:val="16"/>
          <w:szCs w:val="16"/>
        </w:rPr>
        <w:t>mitet. De två bakgrundsuppgifter (kön och parti) som efterfrågades fick ledam</w:t>
      </w:r>
      <w:r w:rsidRPr="00F5723F">
        <w:rPr>
          <w:rFonts w:ascii="Arial" w:hAnsi="Arial" w:cs="Arial"/>
          <w:sz w:val="16"/>
          <w:szCs w:val="16"/>
        </w:rPr>
        <w:t>ö</w:t>
      </w:r>
      <w:r w:rsidRPr="00F5723F">
        <w:rPr>
          <w:rFonts w:ascii="Arial" w:hAnsi="Arial" w:cs="Arial"/>
          <w:sz w:val="16"/>
          <w:szCs w:val="16"/>
        </w:rPr>
        <w:t>terna således själva fylla i. För de l</w:t>
      </w:r>
      <w:r w:rsidRPr="00F5723F">
        <w:rPr>
          <w:rFonts w:ascii="Arial" w:hAnsi="Arial" w:cs="Arial"/>
          <w:sz w:val="16"/>
          <w:szCs w:val="16"/>
        </w:rPr>
        <w:t>e</w:t>
      </w:r>
      <w:r w:rsidRPr="00F5723F">
        <w:rPr>
          <w:rFonts w:ascii="Arial" w:hAnsi="Arial" w:cs="Arial"/>
          <w:sz w:val="16"/>
          <w:szCs w:val="16"/>
        </w:rPr>
        <w:t>damöter som av något skäl valt att inte fylla i dessa uppgifter anges i tabellen, och efterföljande anal</w:t>
      </w:r>
      <w:r w:rsidRPr="00F5723F">
        <w:rPr>
          <w:rFonts w:ascii="Arial" w:hAnsi="Arial" w:cs="Arial"/>
          <w:sz w:val="16"/>
          <w:szCs w:val="16"/>
        </w:rPr>
        <w:t>y</w:t>
      </w:r>
      <w:r w:rsidRPr="00F5723F">
        <w:rPr>
          <w:rFonts w:ascii="Arial" w:hAnsi="Arial" w:cs="Arial"/>
          <w:sz w:val="16"/>
          <w:szCs w:val="16"/>
        </w:rPr>
        <w:t xml:space="preserve">ser, att uppgift saknas. </w:t>
      </w:r>
    </w:p>
    <w:p w:rsidR="00B43C57" w:rsidRPr="00F5723F" w:rsidRDefault="00B43C57"/>
    <w:p w:rsidR="00B43C57" w:rsidRPr="00F5723F" w:rsidRDefault="00B43C57">
      <w:r w:rsidRPr="00F5723F">
        <w:t>Svarsfrekvensen 2004 är något lägre än i tidigare undersökningar. Bland ledamöterna har 268 (77 procent) inrapporterat uppgifter för tidsbudgetstud</w:t>
      </w:r>
      <w:r w:rsidRPr="00F5723F">
        <w:t>i</w:t>
      </w:r>
      <w:r w:rsidRPr="00F5723F">
        <w:t>en. Något fler, eller totalt 281 ledamöter (81 procent), har besvarat den del av undersökningen som bestod av tretton enkätfrågor. Svarsfrekvensen skiljer sig åt något mellan de olika partierna. Högst svarsbenägenhet hade kristd</w:t>
      </w:r>
      <w:r w:rsidRPr="00F5723F">
        <w:t>e</w:t>
      </w:r>
      <w:r w:rsidRPr="00F5723F">
        <w:t>mokrater, centerpartister och vänsterpartister. Lägst var svarsfrekvensen i Miljöpartiet och Moder</w:t>
      </w:r>
      <w:r w:rsidRPr="00F5723F">
        <w:t>a</w:t>
      </w:r>
      <w:r w:rsidRPr="00F5723F">
        <w:t>terna.</w:t>
      </w:r>
    </w:p>
    <w:p w:rsidR="00B43C57" w:rsidRPr="00F5723F" w:rsidRDefault="00B43C57">
      <w:pPr>
        <w:pStyle w:val="Normaltindrag"/>
      </w:pPr>
      <w:r w:rsidRPr="00F5723F">
        <w:t>Eftersom undersökningen innehöll preciserade frågor om ledamöternas a</w:t>
      </w:r>
      <w:r w:rsidRPr="00F5723F">
        <w:t>r</w:t>
      </w:r>
      <w:r w:rsidRPr="00F5723F">
        <w:t>bete under en särskild vecka var kvaliteten på svaren i ovanligt hög grad beroende av att inte alltför lång tid förflöt mellan den studerade tidsperioden och det tillfälle då enkäten besvarades. Möjligheterna att bearbeta ledamöte</w:t>
      </w:r>
      <w:r w:rsidRPr="00F5723F">
        <w:t>r</w:t>
      </w:r>
      <w:r w:rsidRPr="00F5723F">
        <w:t>na i syfte att få in ytterligare svar har därför varit begrä</w:t>
      </w:r>
      <w:r w:rsidRPr="00F5723F">
        <w:t>n</w:t>
      </w:r>
      <w:r w:rsidRPr="00F5723F">
        <w:t>sade. Allt som allt gjordes dock fler, och senare, påminnelser i 2004 års undersökning än tidig</w:t>
      </w:r>
      <w:r w:rsidRPr="00F5723F">
        <w:t>a</w:t>
      </w:r>
      <w:r w:rsidRPr="00F5723F">
        <w:t xml:space="preserve">re. </w:t>
      </w:r>
    </w:p>
    <w:p w:rsidR="00B43C57" w:rsidRPr="00F5723F" w:rsidRDefault="00B43C57">
      <w:pPr>
        <w:pStyle w:val="Rubrik2"/>
      </w:pPr>
      <w:bookmarkStart w:id="239" w:name="_Toc98075740"/>
      <w:bookmarkStart w:id="240" w:name="_Toc121738970"/>
      <w:bookmarkStart w:id="241" w:name="_Toc124697853"/>
      <w:r w:rsidRPr="00F5723F">
        <w:t>Arbetsveckan för en riksdagsledamot</w:t>
      </w:r>
      <w:bookmarkEnd w:id="239"/>
      <w:bookmarkEnd w:id="240"/>
      <w:bookmarkEnd w:id="241"/>
    </w:p>
    <w:p w:rsidR="00B43C57" w:rsidRPr="00F5723F" w:rsidRDefault="00B43C57">
      <w:r w:rsidRPr="00F5723F">
        <w:t>I det följande skall vi närmare analysera riksdagsledamöternas arbetssitu</w:t>
      </w:r>
      <w:r w:rsidRPr="00F5723F">
        <w:t>a</w:t>
      </w:r>
      <w:r w:rsidRPr="00F5723F">
        <w:t>tion. Redovisningen inleds med en beskrivning av den riksdagsvecka då undersö</w:t>
      </w:r>
      <w:r w:rsidRPr="00F5723F">
        <w:t>k</w:t>
      </w:r>
      <w:r w:rsidRPr="00F5723F">
        <w:t>ningen genomfördes (vecka 17, 2004). Riksdagskommitténs tid</w:t>
      </w:r>
      <w:r w:rsidRPr="00F5723F">
        <w:t>s</w:t>
      </w:r>
      <w:r w:rsidRPr="00F5723F">
        <w:t>budgetstudie med ledamöterna var den fjärde i ordningen. Tidigare unde</w:t>
      </w:r>
      <w:r w:rsidRPr="00F5723F">
        <w:t>r</w:t>
      </w:r>
      <w:r w:rsidRPr="00F5723F">
        <w:t>sökningar har genomförts med motsvarande upplägg 1974, 1977 och 1985. Internationellt sett torde detta vara en tämligen unik mätserie över arbetss</w:t>
      </w:r>
      <w:r w:rsidRPr="00F5723F">
        <w:t>i</w:t>
      </w:r>
      <w:r w:rsidRPr="00F5723F">
        <w:t>tuationen för det egna landets nationella parlamentariker över en så lång tidsperiod. De i a</w:t>
      </w:r>
      <w:r w:rsidRPr="00F5723F">
        <w:t>v</w:t>
      </w:r>
      <w:r w:rsidRPr="00F5723F">
        <w:t>snittet därefter följande analyserna innehåller jämförelser fö</w:t>
      </w:r>
      <w:r w:rsidRPr="00F5723F">
        <w:t>r hela den senaste trettioårsperioden och jämför också resultaten för kvinnliga och manliga ledamöter, respektive mellan olika part</w:t>
      </w:r>
      <w:r w:rsidRPr="00F5723F">
        <w:t>i</w:t>
      </w:r>
      <w:r w:rsidRPr="00F5723F">
        <w:t>er.</w:t>
      </w:r>
    </w:p>
    <w:p w:rsidR="00B43C57" w:rsidRPr="00F5723F" w:rsidRDefault="00B43C57">
      <w:pPr>
        <w:pStyle w:val="Rubrik3"/>
        <w:rPr>
          <w:noProof w:val="0"/>
        </w:rPr>
      </w:pPr>
      <w:bookmarkStart w:id="242" w:name="_Toc98075741"/>
      <w:bookmarkStart w:id="243" w:name="_Toc121738971"/>
      <w:bookmarkStart w:id="244" w:name="_Toc124697854"/>
      <w:r w:rsidRPr="00F5723F">
        <w:rPr>
          <w:noProof w:val="0"/>
        </w:rPr>
        <w:t>Arbetsveckan i riksdagen</w:t>
      </w:r>
      <w:bookmarkEnd w:id="242"/>
      <w:bookmarkEnd w:id="243"/>
      <w:bookmarkEnd w:id="244"/>
    </w:p>
    <w:p w:rsidR="00B43C57" w:rsidRPr="00F5723F" w:rsidRDefault="00B43C57">
      <w:r w:rsidRPr="00F5723F">
        <w:t>Den vecka som undersökningen avsåg – vecka 17 (19/4–25/4 2004) – var sett till tidsplaneringen en ”normal” riksdagsvecka. Den följande geno</w:t>
      </w:r>
      <w:r w:rsidRPr="00F5723F">
        <w:t>m</w:t>
      </w:r>
      <w:r w:rsidRPr="00F5723F">
        <w:t>gången bygger på en analys av ”Riksdagskalendern” och riksdagens respektive u</w:t>
      </w:r>
      <w:r w:rsidRPr="00F5723F">
        <w:t>t</w:t>
      </w:r>
      <w:r w:rsidRPr="00F5723F">
        <w:t>skottens protokoll för undersökning</w:t>
      </w:r>
      <w:r w:rsidRPr="00F5723F">
        <w:t>s</w:t>
      </w:r>
      <w:r w:rsidRPr="00F5723F">
        <w:t>veckan.</w:t>
      </w:r>
      <w:r w:rsidRPr="00F5723F">
        <w:rPr>
          <w:rStyle w:val="Fotnotsreferens"/>
        </w:rPr>
        <w:footnoteReference w:id="104"/>
      </w:r>
    </w:p>
    <w:p w:rsidR="00B43C57" w:rsidRPr="00F5723F" w:rsidRDefault="00B43C57">
      <w:pPr>
        <w:pStyle w:val="Normaltindrag"/>
      </w:pPr>
      <w:r w:rsidRPr="00F5723F">
        <w:rPr>
          <w:i/>
        </w:rPr>
        <w:t>Måndagen</w:t>
      </w:r>
      <w:r w:rsidRPr="00F5723F">
        <w:t xml:space="preserve"> var sammanträdesfri och i den meningen ”riksdagsfri”. På </w:t>
      </w:r>
      <w:r w:rsidRPr="00F5723F">
        <w:rPr>
          <w:i/>
        </w:rPr>
        <w:t>ti</w:t>
      </w:r>
      <w:r w:rsidRPr="00F5723F">
        <w:rPr>
          <w:i/>
        </w:rPr>
        <w:t>s</w:t>
      </w:r>
      <w:r w:rsidRPr="00F5723F">
        <w:rPr>
          <w:i/>
        </w:rPr>
        <w:t>dagen</w:t>
      </w:r>
      <w:r w:rsidRPr="00F5723F">
        <w:t xml:space="preserve"> sammanträdde flertalet utskott från klockan 11. Sammanträdestiden varierade från som lägst 5 respektive 15 minuter för justitieutskottet (JuU) respektive finansutskottet (FiU) till som mest 3 ti</w:t>
      </w:r>
      <w:r w:rsidRPr="00F5723F">
        <w:t>m</w:t>
      </w:r>
      <w:r w:rsidRPr="00F5723F">
        <w:t>mar och 35 minuter för konstitutionsutskottet (KU). Tre utskott sammanträdde inte alls, nämligen kultur-, skatte- och utbildningsutskottet (KrU, SkU och UbU). På utskottst</w:t>
      </w:r>
      <w:r w:rsidRPr="00F5723F">
        <w:t>i</w:t>
      </w:r>
      <w:r w:rsidRPr="00F5723F">
        <w:t xml:space="preserve">den gjorde skatteutskottet ett studiebesök. </w:t>
      </w:r>
    </w:p>
    <w:p w:rsidR="00B43C57" w:rsidRPr="00F5723F" w:rsidRDefault="00B43C57">
      <w:pPr>
        <w:pStyle w:val="Normaltindrag"/>
      </w:pPr>
      <w:r w:rsidRPr="00F5723F">
        <w:t xml:space="preserve">Klockan 14.00 på </w:t>
      </w:r>
      <w:r w:rsidRPr="00F5723F">
        <w:rPr>
          <w:i/>
        </w:rPr>
        <w:t>tisdagen</w:t>
      </w:r>
      <w:r w:rsidRPr="00F5723F">
        <w:t xml:space="preserve"> vidtog verksamhet i kammaren, då utrikesm</w:t>
      </w:r>
      <w:r w:rsidRPr="00F5723F">
        <w:t>i</w:t>
      </w:r>
      <w:r w:rsidRPr="00F5723F">
        <w:t>nister Freivalds, finansminister Ringholm och socialminister Engqvist besv</w:t>
      </w:r>
      <w:r w:rsidRPr="00F5723F">
        <w:t>a</w:t>
      </w:r>
      <w:r w:rsidRPr="00F5723F">
        <w:t>rade interpellationer. Uppehåll i plenum gjordes mellan 16.28 och 18.00 för partiernas gruppmöten. Under eftermiddagen sammanträdde samtliga part</w:t>
      </w:r>
      <w:r w:rsidRPr="00F5723F">
        <w:t>i</w:t>
      </w:r>
      <w:r w:rsidRPr="00F5723F">
        <w:t>grupper. Kammaren sammanträdde därefter mellan 18.00 och 20.41 då fö</w:t>
      </w:r>
      <w:r w:rsidRPr="00F5723F">
        <w:t>r</w:t>
      </w:r>
      <w:r w:rsidRPr="00F5723F">
        <w:t>svar</w:t>
      </w:r>
      <w:r w:rsidRPr="00F5723F">
        <w:t>s</w:t>
      </w:r>
      <w:r w:rsidRPr="00F5723F">
        <w:t xml:space="preserve">minister Björklund och statsrådet Holmberg besvarade interpellationer. </w:t>
      </w:r>
    </w:p>
    <w:p w:rsidR="00B43C57" w:rsidRPr="00F5723F" w:rsidRDefault="00B43C57">
      <w:pPr>
        <w:pStyle w:val="Normaltindrag"/>
      </w:pPr>
      <w:r w:rsidRPr="00F5723F">
        <w:t xml:space="preserve">På </w:t>
      </w:r>
      <w:r w:rsidRPr="00F5723F">
        <w:rPr>
          <w:i/>
        </w:rPr>
        <w:t>onsdagen</w:t>
      </w:r>
      <w:r w:rsidRPr="00F5723F">
        <w:t xml:space="preserve"> startade arbetsplenum med votering klockan 09.00. Under dagen behandlades betänkanden från fem utskott: miljö- och jordbruksutsko</w:t>
      </w:r>
      <w:r w:rsidRPr="00F5723F">
        <w:t>t</w:t>
      </w:r>
      <w:r w:rsidRPr="00F5723F">
        <w:t>tet (MJU), lagutskottet (LU), utrikesutskottet (UU), försvarsutskottet (FöU) och utbildningsutskottet (UbU). Votering ägde rum ytte</w:t>
      </w:r>
      <w:r w:rsidRPr="00F5723F">
        <w:t>r</w:t>
      </w:r>
      <w:r w:rsidRPr="00F5723F">
        <w:t>ligare en gång under onsdagen, nämligen kl. 16.00. Plenum avslutades kloc</w:t>
      </w:r>
      <w:r w:rsidRPr="00F5723F">
        <w:t>k</w:t>
      </w:r>
      <w:r w:rsidRPr="00F5723F">
        <w:t xml:space="preserve">an 17.47. </w:t>
      </w:r>
    </w:p>
    <w:p w:rsidR="00B43C57" w:rsidRPr="00F5723F" w:rsidRDefault="00B43C57">
      <w:pPr>
        <w:pStyle w:val="Normaltindrag"/>
      </w:pPr>
      <w:r w:rsidRPr="00F5723F">
        <w:t xml:space="preserve">På </w:t>
      </w:r>
      <w:r w:rsidRPr="00F5723F">
        <w:rPr>
          <w:i/>
        </w:rPr>
        <w:t>torsdagen</w:t>
      </w:r>
      <w:r w:rsidRPr="00F5723F">
        <w:t xml:space="preserve"> sammanträdde hälften av utskotten. Förutom försvarsutsko</w:t>
      </w:r>
      <w:r w:rsidRPr="00F5723F">
        <w:t>t</w:t>
      </w:r>
      <w:r w:rsidRPr="00F5723F">
        <w:t>tet (FöU), bostadsutskottet (BoU), näringsutskottet (NU), finansutsko</w:t>
      </w:r>
      <w:r w:rsidRPr="00F5723F">
        <w:t>t</w:t>
      </w:r>
      <w:r w:rsidRPr="00F5723F">
        <w:t>tet (FiU) och arbetsmarknadsutskottet (AU) hade miljö- och jordbruksu</w:t>
      </w:r>
      <w:r w:rsidRPr="00F5723F">
        <w:t>t</w:t>
      </w:r>
      <w:r w:rsidRPr="00F5723F">
        <w:t>skottet (MJU), skatteutskottet (SkU) och utbildningsutskottet (UbU) inga samma</w:t>
      </w:r>
      <w:r w:rsidRPr="00F5723F">
        <w:t>n</w:t>
      </w:r>
      <w:r w:rsidRPr="00F5723F">
        <w:t>träden denna torsdag. För de utskott som sammanträdde varierade samma</w:t>
      </w:r>
      <w:r w:rsidRPr="00F5723F">
        <w:t>n</w:t>
      </w:r>
      <w:r w:rsidRPr="00F5723F">
        <w:t>trädestiden från 10 respektive 15 minuter för trafikutskottet (TU) och lagu</w:t>
      </w:r>
      <w:r w:rsidRPr="00F5723F">
        <w:t>t</w:t>
      </w:r>
      <w:r w:rsidRPr="00F5723F">
        <w:t>skottet (LU) till som mest 2 timmar och 25 minuter för konstit</w:t>
      </w:r>
      <w:r w:rsidRPr="00F5723F">
        <w:t>u</w:t>
      </w:r>
      <w:r w:rsidRPr="00F5723F">
        <w:t>tionsutskottet (K</w:t>
      </w:r>
      <w:r w:rsidRPr="00F5723F">
        <w:t>U).</w:t>
      </w:r>
      <w:r w:rsidRPr="00F5723F">
        <w:rPr>
          <w:rStyle w:val="Fotnotsreferens"/>
        </w:rPr>
        <w:footnoteReference w:id="105"/>
      </w:r>
      <w:r w:rsidRPr="00F5723F">
        <w:t xml:space="preserve"> Bostadsutskottet och näringsutskottet gjorde på u</w:t>
      </w:r>
      <w:r w:rsidRPr="00F5723F">
        <w:t>t</w:t>
      </w:r>
      <w:r w:rsidRPr="00F5723F">
        <w:t>skottstiden var sitt studiebesök. Ett utskott fick under torsdagen viss information från Regering</w:t>
      </w:r>
      <w:r w:rsidRPr="00F5723F">
        <w:t>s</w:t>
      </w:r>
      <w:r w:rsidRPr="00F5723F">
        <w:t xml:space="preserve">kansliet i aktuella EU-frågor (45 minuter). </w:t>
      </w:r>
    </w:p>
    <w:p w:rsidR="00B43C57" w:rsidRPr="00F5723F" w:rsidRDefault="00B43C57">
      <w:pPr>
        <w:pStyle w:val="Normaltindrag"/>
      </w:pPr>
      <w:r w:rsidRPr="00F5723F">
        <w:t>Den totala sammanträdestiden för utskotten för hela veckan varierade kra</w:t>
      </w:r>
      <w:r w:rsidRPr="00F5723F">
        <w:t>f</w:t>
      </w:r>
      <w:r w:rsidRPr="00F5723F">
        <w:t>tigt. Skatteu</w:t>
      </w:r>
      <w:r w:rsidRPr="00F5723F">
        <w:t>t</w:t>
      </w:r>
      <w:r w:rsidRPr="00F5723F">
        <w:t>skottet och utbildningsutskottet sammanträdde inte alls under veckan, men gjorde studiebesök. Sammanträdestiden för de utskott som sammanträdde varierade från som minst 15 respektive 30 minuter för finan</w:t>
      </w:r>
      <w:r w:rsidRPr="00F5723F">
        <w:t>s</w:t>
      </w:r>
      <w:r w:rsidRPr="00F5723F">
        <w:t>utskottet och bostadsutskottet till som mest 5 timmar respektive 9 timmar och 40 minuter för utrikesutskottet och konstitutionsutskottet. Konstitutionsu</w:t>
      </w:r>
      <w:r w:rsidRPr="00F5723F">
        <w:t>t</w:t>
      </w:r>
      <w:r w:rsidRPr="00F5723F">
        <w:t>skottet hade under veckan ett internatsammanträde med anle</w:t>
      </w:r>
      <w:r w:rsidRPr="00F5723F">
        <w:t>d</w:t>
      </w:r>
      <w:r w:rsidRPr="00F5723F">
        <w:t>ning av sin granskningsverksamhet, vilket förklarar den mycket omfattande sammant</w:t>
      </w:r>
      <w:r w:rsidRPr="00F5723F">
        <w:t>r</w:t>
      </w:r>
      <w:r w:rsidRPr="00F5723F">
        <w:t>ä</w:t>
      </w:r>
      <w:r w:rsidRPr="00F5723F">
        <w:t>destiden. Utrikesutskottet tog – utöver protokollförda samma</w:t>
      </w:r>
      <w:r w:rsidRPr="00F5723F">
        <w:t>n</w:t>
      </w:r>
      <w:r w:rsidRPr="00F5723F">
        <w:t>träden – emot internationella besök och föredragningar om sammanlagt 5 timmar under veckan. Även för socialförsäkringsutskottet var sammanträdestiden omfatta</w:t>
      </w:r>
      <w:r w:rsidRPr="00F5723F">
        <w:t>n</w:t>
      </w:r>
      <w:r w:rsidRPr="00F5723F">
        <w:t>de under den aktuella veckan (3 timmar och 15 min</w:t>
      </w:r>
      <w:r w:rsidRPr="00F5723F">
        <w:t>u</w:t>
      </w:r>
      <w:r w:rsidRPr="00F5723F">
        <w:t>ter).</w:t>
      </w:r>
    </w:p>
    <w:p w:rsidR="00B43C57" w:rsidRPr="00F5723F" w:rsidRDefault="00B43C57">
      <w:pPr>
        <w:pStyle w:val="Normaltindrag"/>
      </w:pPr>
      <w:r w:rsidRPr="00F5723F">
        <w:t>Fyra utskott gjorde studiebesök under veckan. Utbildningsutskottet besö</w:t>
      </w:r>
      <w:r w:rsidRPr="00F5723F">
        <w:t>k</w:t>
      </w:r>
      <w:r w:rsidRPr="00F5723F">
        <w:t>te Högskoleve</w:t>
      </w:r>
      <w:r w:rsidRPr="00F5723F">
        <w:t>r</w:t>
      </w:r>
      <w:r w:rsidRPr="00F5723F">
        <w:t>ket på onsdagskvällen (3 timmar). Skatteutskottet gjorde ett studiebesök på Skatteverket på ordinarie utskottssammanträdestid på tisdag</w:t>
      </w:r>
      <w:r w:rsidRPr="00F5723F">
        <w:t>s</w:t>
      </w:r>
      <w:r w:rsidRPr="00F5723F">
        <w:t>förmiddagen (3 timmar). På torsdagens utskottstid gjorde Bostadsu</w:t>
      </w:r>
      <w:r w:rsidRPr="00F5723F">
        <w:t>t</w:t>
      </w:r>
      <w:r w:rsidRPr="00F5723F">
        <w:t>skottet ett studiebesök på Länsstyrelsen i Stockholms län (2 timmar och 15 minuter) och näringsutskottet ett besök på Invest in Sweden Agency (2 timmar och 30 min</w:t>
      </w:r>
      <w:r w:rsidRPr="00F5723F">
        <w:t>u</w:t>
      </w:r>
      <w:r w:rsidRPr="00F5723F">
        <w:t xml:space="preserve">ter). </w:t>
      </w:r>
    </w:p>
    <w:p w:rsidR="00B43C57" w:rsidRPr="00F5723F" w:rsidRDefault="00B43C57">
      <w:pPr>
        <w:pStyle w:val="Normaltindrag"/>
      </w:pPr>
      <w:r w:rsidRPr="00F5723F">
        <w:t>Mellan klockan 12.00 och 14.00 på torsdagen pågick plenum med betä</w:t>
      </w:r>
      <w:r w:rsidRPr="00F5723F">
        <w:t>n</w:t>
      </w:r>
      <w:r w:rsidRPr="00F5723F">
        <w:t>kanden från skatteutskottet (SkU) och justitieutskottet (JuU). Kloc</w:t>
      </w:r>
      <w:r w:rsidRPr="00F5723F">
        <w:t>k</w:t>
      </w:r>
      <w:r w:rsidRPr="00F5723F">
        <w:t>an 14.00 och fyrtiofem minuter framåt pågick statsministerns frågestund. Därefter återupptogs ärendedebatten om utskottsbetä</w:t>
      </w:r>
      <w:r w:rsidRPr="00F5723F">
        <w:t>n</w:t>
      </w:r>
      <w:r w:rsidRPr="00F5723F">
        <w:t xml:space="preserve">kanden. Votering ägde rum klockan 17.00. Kammaren åtskiljdes klockan 19.46. </w:t>
      </w:r>
    </w:p>
    <w:p w:rsidR="00B43C57" w:rsidRPr="00F5723F" w:rsidRDefault="00B43C57">
      <w:pPr>
        <w:pStyle w:val="Normaltindrag"/>
      </w:pPr>
      <w:r w:rsidRPr="00F5723F">
        <w:t xml:space="preserve">Under </w:t>
      </w:r>
      <w:r w:rsidRPr="00F5723F">
        <w:rPr>
          <w:i/>
        </w:rPr>
        <w:t>fredagen</w:t>
      </w:r>
      <w:r w:rsidRPr="00F5723F">
        <w:t xml:space="preserve"> besvarade statsrådet Messing och justitieminister Bo</w:t>
      </w:r>
      <w:r w:rsidRPr="00F5723F">
        <w:t>d</w:t>
      </w:r>
      <w:r w:rsidRPr="00F5723F">
        <w:t>ström interpellationer i kammaren mellan klockan 9.00 och 10.36. Därefter var riksdagsarbetet alltså avslutat vad gällde sammanträden i utskotten och pl</w:t>
      </w:r>
      <w:r w:rsidRPr="00F5723F">
        <w:t>e</w:t>
      </w:r>
      <w:r w:rsidRPr="00F5723F">
        <w:t>num i kammaren.</w:t>
      </w:r>
    </w:p>
    <w:p w:rsidR="00B43C57" w:rsidRPr="00F5723F" w:rsidRDefault="00B43C57">
      <w:pPr>
        <w:pStyle w:val="Rubrik3"/>
        <w:rPr>
          <w:noProof w:val="0"/>
        </w:rPr>
      </w:pPr>
      <w:bookmarkStart w:id="245" w:name="_Toc98075742"/>
      <w:bookmarkStart w:id="246" w:name="_Toc121738972"/>
      <w:bookmarkStart w:id="247" w:name="_Toc124697855"/>
      <w:r w:rsidRPr="00F5723F">
        <w:rPr>
          <w:noProof w:val="0"/>
        </w:rPr>
        <w:t>Riksdagsledamöternas arbetsvecka: tidsbudgetstudien</w:t>
      </w:r>
      <w:bookmarkEnd w:id="245"/>
      <w:bookmarkEnd w:id="246"/>
      <w:bookmarkEnd w:id="247"/>
    </w:p>
    <w:p w:rsidR="00B43C57" w:rsidRPr="00F5723F" w:rsidRDefault="00B43C57">
      <w:pPr>
        <w:rPr>
          <w:i/>
        </w:rPr>
      </w:pPr>
      <w:r w:rsidRPr="00F5723F">
        <w:t xml:space="preserve">När vi i det följande prövar tesen om att ledamöternas </w:t>
      </w:r>
      <w:r w:rsidRPr="00F5723F">
        <w:rPr>
          <w:i/>
        </w:rPr>
        <w:t>utåtriktade</w:t>
      </w:r>
      <w:r w:rsidRPr="00F5723F">
        <w:t xml:space="preserve"> verksa</w:t>
      </w:r>
      <w:r w:rsidRPr="00F5723F">
        <w:t>m</w:t>
      </w:r>
      <w:r w:rsidRPr="00F5723F">
        <w:t>het har ökat i omfattning sker det främst utifrån en typologi som tagits fram av den danske statsvetaren Torben K. Jensen. Han har i intervjuer bett dan</w:t>
      </w:r>
      <w:r w:rsidRPr="00F5723F">
        <w:t>s</w:t>
      </w:r>
      <w:r w:rsidRPr="00F5723F">
        <w:t>ka folketingsledamöter att ge en beskrivning av sin vardag. Från hans genomfö</w:t>
      </w:r>
      <w:r w:rsidRPr="00F5723F">
        <w:t>r</w:t>
      </w:r>
      <w:r w:rsidRPr="00F5723F">
        <w:t>da intervjuer kan några gemensamma aktivitetst</w:t>
      </w:r>
      <w:r w:rsidRPr="00F5723F">
        <w:t>y</w:t>
      </w:r>
      <w:r w:rsidRPr="00F5723F">
        <w:t xml:space="preserve">per utläsas. Han urskiljer dels </w:t>
      </w:r>
      <w:r w:rsidRPr="00F5723F">
        <w:rPr>
          <w:i/>
        </w:rPr>
        <w:t>inåtriktat</w:t>
      </w:r>
      <w:r w:rsidRPr="00F5723F">
        <w:t xml:space="preserve"> arbete (”Christiansborg”) i kammare, utskott och i partigrupp, dels i förhållande till andra politiker. Det </w:t>
      </w:r>
      <w:r w:rsidRPr="00F5723F">
        <w:rPr>
          <w:i/>
        </w:rPr>
        <w:t>utåtriktade</w:t>
      </w:r>
      <w:r w:rsidRPr="00F5723F">
        <w:t xml:space="preserve"> arbetet består i medi</w:t>
      </w:r>
      <w:r w:rsidRPr="00F5723F">
        <w:t>e</w:t>
      </w:r>
      <w:r w:rsidRPr="00F5723F">
        <w:t>kontakter, kontakter med enski</w:t>
      </w:r>
      <w:r w:rsidRPr="00F5723F">
        <w:t>lda personer och representanter för olika i</w:t>
      </w:r>
      <w:r w:rsidRPr="00F5723F">
        <w:t>n</w:t>
      </w:r>
      <w:r w:rsidRPr="00F5723F">
        <w:t xml:space="preserve">tresseorganisationer. En särskild aktivitet som framkommer i intervjuerna är </w:t>
      </w:r>
      <w:r w:rsidRPr="00F5723F">
        <w:rPr>
          <w:i/>
        </w:rPr>
        <w:t>valkretsarbetet</w:t>
      </w:r>
      <w:r w:rsidRPr="00F5723F">
        <w:t xml:space="preserve"> och dess kontakter med väljare och partiorganisationen på hemmaplan. En fjärde arbetskategori som går att utläsa i Jensens forskning handlar om förberedelser, inläsning med mera samt uppdrag och deltagande i sammanhang som ligger utanför det egentliga uppdraget som ledamot av Folk</w:t>
      </w:r>
      <w:r w:rsidRPr="00F5723F">
        <w:t>e</w:t>
      </w:r>
      <w:r w:rsidRPr="00F5723F">
        <w:t xml:space="preserve">tinget. Jensen kallar denna aktivitetskategori </w:t>
      </w:r>
      <w:r w:rsidRPr="00F5723F">
        <w:rPr>
          <w:i/>
        </w:rPr>
        <w:t>ajour.</w:t>
      </w:r>
      <w:r w:rsidRPr="00F5723F">
        <w:rPr>
          <w:rStyle w:val="Fotnotsreferens"/>
        </w:rPr>
        <w:footnoteReference w:id="106"/>
      </w:r>
    </w:p>
    <w:p w:rsidR="00B43C57" w:rsidRPr="00F5723F" w:rsidRDefault="00B43C57">
      <w:pPr>
        <w:pStyle w:val="Normaltindrag"/>
      </w:pPr>
      <w:r w:rsidRPr="00F5723F">
        <w:t>Utifrån Jensens typologi kan vi indela också de svenska riksdagsledam</w:t>
      </w:r>
      <w:r w:rsidRPr="00F5723F">
        <w:t>ö</w:t>
      </w:r>
      <w:r w:rsidRPr="00F5723F">
        <w:t>ternas olika arbet</w:t>
      </w:r>
      <w:r w:rsidRPr="00F5723F">
        <w:t>s</w:t>
      </w:r>
      <w:r w:rsidRPr="00F5723F">
        <w:t>uppgifter. Till inåtriktade aktiviteter räknar vi att följa och delta i kammardebatten, utskottsarbetet och riksdagsgruppsarbetet. Till de utåtriktade arbetsuppgifterna hänför vi föredrag, mediemedverkan och up</w:t>
      </w:r>
      <w:r w:rsidRPr="00F5723F">
        <w:t>p</w:t>
      </w:r>
      <w:r w:rsidRPr="00F5723F">
        <w:t>vaktningar. Till kategorin ajour räknar vi övrigt partiarbete, uppdrag i statl</w:t>
      </w:r>
      <w:r w:rsidRPr="00F5723F">
        <w:t>i</w:t>
      </w:r>
      <w:r w:rsidRPr="00F5723F">
        <w:t>ga utredningar, statliga styrelser, organisationsuppdrag och kommunala uppdrag men också allmänt inläsningsarbete och studieresor med mera. Valkretsarb</w:t>
      </w:r>
      <w:r w:rsidRPr="00F5723F">
        <w:t>e</w:t>
      </w:r>
      <w:r w:rsidRPr="00F5723F">
        <w:t>tet kan vi inte, som i de danska unde</w:t>
      </w:r>
      <w:r w:rsidRPr="00F5723F">
        <w:t>r</w:t>
      </w:r>
      <w:r w:rsidRPr="00F5723F">
        <w:t>sökningarna,</w:t>
      </w:r>
      <w:r w:rsidRPr="00F5723F">
        <w:t xml:space="preserve"> följa lika noggrant med det material (tidsbudgetstudien) som står till vårt förfogande. Den enkätunde</w:t>
      </w:r>
      <w:r w:rsidRPr="00F5723F">
        <w:t>r</w:t>
      </w:r>
      <w:r w:rsidRPr="00F5723F">
        <w:t>sökning som genomfördes parallellt med tidsbudgetstudien innehöll dock specifika frågor om väljar- och valkretskontakter. Valkretsa</w:t>
      </w:r>
      <w:r w:rsidRPr="00F5723F">
        <w:t>r</w:t>
      </w:r>
      <w:r w:rsidRPr="00F5723F">
        <w:t>betet belyses delvis i rapportens a</w:t>
      </w:r>
      <w:r w:rsidRPr="00F5723F">
        <w:t>v</w:t>
      </w:r>
      <w:r w:rsidRPr="00F5723F">
        <w:t xml:space="preserve">snitt 5 och 6. </w:t>
      </w:r>
    </w:p>
    <w:p w:rsidR="00B43C57" w:rsidRPr="00F5723F" w:rsidRDefault="00B43C57">
      <w:pPr>
        <w:pStyle w:val="Normaltindrag"/>
      </w:pPr>
      <w:r w:rsidRPr="00F5723F">
        <w:t>I tabell 2 ges en sammanfattande presentation av huvudresultaten av sam</w:t>
      </w:r>
      <w:r w:rsidRPr="00F5723F">
        <w:t>t</w:t>
      </w:r>
      <w:r w:rsidRPr="00F5723F">
        <w:t>liga undersökningar mellan 1974 och 2004. Tabellen innehåller en redovi</w:t>
      </w:r>
      <w:r w:rsidRPr="00F5723F">
        <w:t>s</w:t>
      </w:r>
      <w:r w:rsidRPr="00F5723F">
        <w:t>ning av den genomsnittliga tid som ledamöterna ägnat sig åt olika aktiviteter. För att kunna jämföra olika undersökningsår anges tidsomfat</w:t>
      </w:r>
      <w:r w:rsidRPr="00F5723F">
        <w:t>t</w:t>
      </w:r>
      <w:r w:rsidRPr="00F5723F">
        <w:t>ningen i timmar och minuter. För varje undersökningsår redovisas också hur stor procentuell andel tid som ägnas respektive arbetsuppgift av den totala a</w:t>
      </w:r>
      <w:r w:rsidRPr="00F5723F">
        <w:t>r</w:t>
      </w:r>
      <w:r w:rsidRPr="00F5723F">
        <w:t>betstiden. I figur 2 åskådliggörs samma resultat i form av ett diagram.</w:t>
      </w:r>
    </w:p>
    <w:p w:rsidR="00B43C57" w:rsidRPr="00F5723F" w:rsidRDefault="00B43C57">
      <w:pPr>
        <w:pStyle w:val="Normaltindrag"/>
      </w:pPr>
      <w:r w:rsidRPr="00F5723F">
        <w:t>Undersökningar som den nu genomförda tidsbudgetst</w:t>
      </w:r>
      <w:r w:rsidRPr="00F5723F">
        <w:t>u</w:t>
      </w:r>
      <w:r w:rsidRPr="00F5723F">
        <w:t>dien behäftas med vissa validitetsproblem. Det finns därför anledning att påtala att grunduppgi</w:t>
      </w:r>
      <w:r w:rsidRPr="00F5723F">
        <w:t>f</w:t>
      </w:r>
      <w:r w:rsidRPr="00F5723F">
        <w:t>terna bakom genomsnittsvärdena har en lägre grad av precision än vad tabe</w:t>
      </w:r>
      <w:r w:rsidRPr="00F5723F">
        <w:t>l</w:t>
      </w:r>
      <w:r w:rsidRPr="00F5723F">
        <w:t>len och figuren kan ge sken av. Ledamöterna har rapporterat vad de i huvu</w:t>
      </w:r>
      <w:r w:rsidRPr="00F5723F">
        <w:t>d</w:t>
      </w:r>
      <w:r w:rsidRPr="00F5723F">
        <w:t>sak varit sysselsatta med under varje timme. Undersökningen bygger således på självrapporterade uppgifter. Såväl under- som överskattning kan tänkas påverka resultaten i den nu aktuella studien.</w:t>
      </w:r>
      <w:r w:rsidRPr="00F5723F">
        <w:rPr>
          <w:rStyle w:val="Fotnotsreferens"/>
        </w:rPr>
        <w:footnoteReference w:id="107"/>
      </w:r>
      <w:r w:rsidRPr="00F5723F">
        <w:t xml:space="preserve"> Vi har däremot svårt att up</w:t>
      </w:r>
      <w:r w:rsidRPr="00F5723F">
        <w:t>p</w:t>
      </w:r>
      <w:r w:rsidRPr="00F5723F">
        <w:t>skatta storleken på sådana effekter. Undersökningar av det här slaget måste därför alltid betraktas med viss försiktighet till följd av probl</w:t>
      </w:r>
      <w:r w:rsidRPr="00F5723F">
        <w:t>e</w:t>
      </w:r>
      <w:r w:rsidRPr="00F5723F">
        <w:t>matiken med under- och överskattning. Tidigare undersökningar har till exempel starkt ifrågasatts av Per Gahrton i hans bok Rik</w:t>
      </w:r>
      <w:r w:rsidRPr="00F5723F">
        <w:t>s</w:t>
      </w:r>
      <w:r w:rsidRPr="00F5723F">
        <w:t>dagen inifrån.</w:t>
      </w:r>
      <w:r w:rsidRPr="00F5723F">
        <w:rPr>
          <w:rStyle w:val="Fotnotsreferens"/>
        </w:rPr>
        <w:footnoteReference w:id="108"/>
      </w:r>
      <w:r w:rsidRPr="00F5723F">
        <w:t xml:space="preserve"> </w:t>
      </w:r>
    </w:p>
    <w:p w:rsidR="00B43C57" w:rsidRPr="00F5723F" w:rsidRDefault="00B43C57">
      <w:pPr>
        <w:pStyle w:val="Normaltindrag"/>
      </w:pPr>
      <w:r w:rsidRPr="00F5723F">
        <w:t>Möjligheterna att validera resultaten är begränsade. Ett sätt är dock att jämföra de självrapporterade uppgifterna i dagboksstudien med faktiska o</w:t>
      </w:r>
      <w:r w:rsidRPr="00F5723F">
        <w:t>m</w:t>
      </w:r>
      <w:r w:rsidRPr="00F5723F">
        <w:t>ständigheter som är möjliga att undersöka på annat sätt. Den i dagbok</w:t>
      </w:r>
      <w:r w:rsidRPr="00F5723F">
        <w:t>s</w:t>
      </w:r>
      <w:r w:rsidRPr="00F5723F">
        <w:t>studien enda möjlighet som erbjuds är en jämförelse av själ</w:t>
      </w:r>
      <w:r w:rsidRPr="00F5723F">
        <w:t>v</w:t>
      </w:r>
      <w:r w:rsidRPr="00F5723F">
        <w:t>rapporterade uppgifter om utskottsarbete med faktisk sammanträdestid för utskotten den aktuella veckan. Också den jämförelsen haltar betänkligt eftersom ledam</w:t>
      </w:r>
      <w:r w:rsidRPr="00F5723F">
        <w:t>ö</w:t>
      </w:r>
      <w:r w:rsidRPr="00F5723F">
        <w:t>terna i de självrapporterade uppgifterna får väga in sammanträde, inläsning, förber</w:t>
      </w:r>
      <w:r w:rsidRPr="00F5723F">
        <w:t>e</w:t>
      </w:r>
      <w:r w:rsidRPr="00F5723F">
        <w:t xml:space="preserve">dande utskottsgruppssammanträde </w:t>
      </w:r>
      <w:r w:rsidRPr="00F5723F">
        <w:t>med mera</w:t>
      </w:r>
      <w:r w:rsidRPr="00F5723F">
        <w:t xml:space="preserve"> medan den enda uppgift vi kan jämföra med är den faktiska sammanträdestid i utskotten som redovis</w:t>
      </w:r>
      <w:r w:rsidRPr="00F5723F">
        <w:t>as i prot</w:t>
      </w:r>
      <w:r w:rsidRPr="00F5723F">
        <w:t>o</w:t>
      </w:r>
      <w:r w:rsidRPr="00F5723F">
        <w:t>kollen. Diskrepansen mellan självrapporterade uppgifter och faktisk samma</w:t>
      </w:r>
      <w:r w:rsidRPr="00F5723F">
        <w:t>n</w:t>
      </w:r>
      <w:r w:rsidRPr="00F5723F">
        <w:t>trädestid är med en sådan jämförelse stor. Den i dagboksstudien rapporterade geno</w:t>
      </w:r>
      <w:r w:rsidRPr="00F5723F">
        <w:t>m</w:t>
      </w:r>
      <w:r w:rsidRPr="00F5723F">
        <w:t>snittliga tid som riksdagens ledamöter under vecka 17 ägnat sig åt utskottsverksamhet uppgår till 6 timmar och 34 min</w:t>
      </w:r>
      <w:r w:rsidRPr="00F5723F">
        <w:t>u</w:t>
      </w:r>
      <w:r w:rsidRPr="00F5723F">
        <w:t>ter. Den genomsnittliga tid som de 16 utskotten sammanträdde under veckan up</w:t>
      </w:r>
      <w:r w:rsidRPr="00F5723F">
        <w:t>p</w:t>
      </w:r>
      <w:r w:rsidRPr="00F5723F">
        <w:t>gick till 1 timme och 49 minuter om vi ser till ordinarie sammanträden och till 2 timmar och 51 min</w:t>
      </w:r>
      <w:r w:rsidRPr="00F5723F">
        <w:t>u</w:t>
      </w:r>
      <w:r w:rsidRPr="00F5723F">
        <w:t>ter om vi också räknar studiebesök och liknande, vi</w:t>
      </w:r>
      <w:r w:rsidRPr="00F5723F">
        <w:t>lket är det rimliga eftersom detta i dagboksanteckningarna troligen har antecknats som utskottsver</w:t>
      </w:r>
      <w:r w:rsidRPr="00F5723F">
        <w:t>k</w:t>
      </w:r>
      <w:r w:rsidRPr="00F5723F">
        <w:t>samhet. Ledamöter kan också ha utnyttjat kategorin ”allmänt inläsnings- och studiearbete”, vari inberäknas och uppräknas studiebesök. Därtill sammanträdde EU-nämnden denna vecka under totalt 4 timmar. Di</w:t>
      </w:r>
      <w:r w:rsidRPr="00F5723F">
        <w:t>s</w:t>
      </w:r>
      <w:r w:rsidRPr="00F5723F">
        <w:t>krepansen i materialet kan till viss del återföras på att ledam</w:t>
      </w:r>
      <w:r w:rsidRPr="00F5723F">
        <w:t>ö</w:t>
      </w:r>
      <w:r w:rsidRPr="00F5723F">
        <w:t>terna i sina självrapporterade uppgifter förväntas inräkna – förutom själva sammanträde</w:t>
      </w:r>
      <w:r w:rsidRPr="00F5723F">
        <w:t>s</w:t>
      </w:r>
      <w:r w:rsidRPr="00F5723F">
        <w:t>tiden – inläsning och förberedande utskottsgruppssammantr</w:t>
      </w:r>
      <w:r w:rsidRPr="00F5723F">
        <w:t>ä</w:t>
      </w:r>
      <w:r w:rsidRPr="00F5723F">
        <w:t xml:space="preserve">de med mera. </w:t>
      </w:r>
    </w:p>
    <w:p w:rsidR="00B43C57" w:rsidRPr="00F5723F" w:rsidRDefault="00B43C57"/>
    <w:p w:rsidR="00B43C57" w:rsidRPr="00F5723F" w:rsidRDefault="00B43C57">
      <w:pPr>
        <w:pStyle w:val="Normaltindrag"/>
        <w:sectPr w:rsidR="00000000" w:rsidRPr="00F5723F">
          <w:headerReference w:type="even" r:id="rId71"/>
          <w:headerReference w:type="default" r:id="rId72"/>
          <w:footerReference w:type="even" r:id="rId73"/>
          <w:footerReference w:type="default" r:id="rId74"/>
          <w:headerReference w:type="first" r:id="rId75"/>
          <w:footerReference w:type="first" r:id="rId76"/>
          <w:pgSz w:w="11906" w:h="16838" w:code="9"/>
          <w:pgMar w:top="907" w:right="4649" w:bottom="4508" w:left="1304" w:header="340" w:footer="227" w:gutter="0"/>
          <w:cols w:space="720"/>
          <w:titlePg/>
        </w:sectPr>
      </w:pPr>
    </w:p>
    <w:p w:rsidR="00B43C57" w:rsidRPr="00F5723F" w:rsidRDefault="00B43C57">
      <w:pPr>
        <w:pStyle w:val="Tabellrubrik"/>
        <w:ind w:hanging="661"/>
      </w:pPr>
    </w:p>
    <w:p w:rsidR="00B43C57" w:rsidRPr="00F5723F" w:rsidRDefault="00B43C57">
      <w:pPr>
        <w:pStyle w:val="Tabellrubrik"/>
        <w:ind w:hanging="661"/>
      </w:pPr>
      <w:r w:rsidRPr="00F5723F">
        <w:t xml:space="preserve">Tabell 2  </w:t>
      </w:r>
      <w:r w:rsidRPr="00F5723F">
        <w:t>Riksdagsledamöternas tidsbudget 1974, 1977, 1985 och 2004</w:t>
      </w:r>
    </w:p>
    <w:tbl>
      <w:tblPr>
        <w:tblW w:w="10973" w:type="dxa"/>
        <w:tblInd w:w="212" w:type="dxa"/>
        <w:tblLayout w:type="fixed"/>
        <w:tblCellMar>
          <w:left w:w="70" w:type="dxa"/>
          <w:right w:w="70" w:type="dxa"/>
        </w:tblCellMar>
        <w:tblLook w:val="01E0" w:firstRow="1" w:lastRow="1" w:firstColumn="1" w:lastColumn="1" w:noHBand="0" w:noVBand="0"/>
      </w:tblPr>
      <w:tblGrid>
        <w:gridCol w:w="2233"/>
        <w:gridCol w:w="1045"/>
        <w:gridCol w:w="1045"/>
        <w:gridCol w:w="1045"/>
        <w:gridCol w:w="950"/>
        <w:gridCol w:w="950"/>
        <w:gridCol w:w="950"/>
        <w:gridCol w:w="1045"/>
        <w:gridCol w:w="855"/>
        <w:gridCol w:w="855"/>
      </w:tblGrid>
      <w:tr w:rsidR="00000000" w:rsidRPr="00F5723F">
        <w:tblPrEx>
          <w:tblCellMar>
            <w:top w:w="0" w:type="dxa"/>
            <w:bottom w:w="0" w:type="dxa"/>
          </w:tblCellMar>
        </w:tblPrEx>
        <w:tc>
          <w:tcPr>
            <w:tcW w:w="2233" w:type="dxa"/>
            <w:tcBorders>
              <w:top w:val="single" w:sz="4" w:space="0" w:color="auto"/>
              <w:bottom w:val="single" w:sz="4" w:space="0" w:color="auto"/>
            </w:tcBorders>
          </w:tcPr>
          <w:p w:rsidR="00B43C57" w:rsidRPr="00F5723F" w:rsidRDefault="00B43C57">
            <w:pPr>
              <w:pStyle w:val="Tabelltext"/>
              <w:ind w:left="168" w:hanging="190"/>
            </w:pPr>
          </w:p>
          <w:p w:rsidR="00B43C57" w:rsidRPr="00F5723F" w:rsidRDefault="00B43C57">
            <w:pPr>
              <w:pStyle w:val="Tabelltext"/>
              <w:ind w:left="168" w:hanging="190"/>
            </w:pPr>
          </w:p>
          <w:p w:rsidR="00B43C57" w:rsidRPr="00F5723F" w:rsidRDefault="00B43C57">
            <w:pPr>
              <w:pStyle w:val="Tabelltext"/>
              <w:ind w:left="168" w:hanging="190"/>
            </w:pPr>
            <w:r w:rsidRPr="00F5723F">
              <w:t>Aktivitet</w:t>
            </w:r>
          </w:p>
        </w:tc>
        <w:tc>
          <w:tcPr>
            <w:tcW w:w="1045"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Tidså</w:t>
            </w:r>
            <w:r w:rsidRPr="00F5723F">
              <w:rPr>
                <w:szCs w:val="16"/>
              </w:rPr>
              <w:t>t</w:t>
            </w:r>
            <w:r w:rsidRPr="00F5723F">
              <w:rPr>
                <w:szCs w:val="16"/>
              </w:rPr>
              <w:t>gång 1974</w:t>
            </w:r>
          </w:p>
        </w:tc>
        <w:tc>
          <w:tcPr>
            <w:tcW w:w="1045"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Andel av sam</w:t>
            </w:r>
            <w:r w:rsidRPr="00F5723F">
              <w:rPr>
                <w:szCs w:val="16"/>
              </w:rPr>
              <w:t>t</w:t>
            </w:r>
            <w:r w:rsidRPr="00F5723F">
              <w:rPr>
                <w:szCs w:val="16"/>
              </w:rPr>
              <w:t>lig tid</w:t>
            </w:r>
          </w:p>
        </w:tc>
        <w:tc>
          <w:tcPr>
            <w:tcW w:w="1045"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Tidså</w:t>
            </w:r>
            <w:r w:rsidRPr="00F5723F">
              <w:rPr>
                <w:szCs w:val="16"/>
              </w:rPr>
              <w:t>t</w:t>
            </w:r>
            <w:r w:rsidRPr="00F5723F">
              <w:rPr>
                <w:szCs w:val="16"/>
              </w:rPr>
              <w:t>gång 1977</w:t>
            </w:r>
          </w:p>
        </w:tc>
        <w:tc>
          <w:tcPr>
            <w:tcW w:w="950"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Andel av samtlig tid</w:t>
            </w:r>
          </w:p>
        </w:tc>
        <w:tc>
          <w:tcPr>
            <w:tcW w:w="950"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Tidså</w:t>
            </w:r>
            <w:r w:rsidRPr="00F5723F">
              <w:rPr>
                <w:szCs w:val="16"/>
              </w:rPr>
              <w:t>t</w:t>
            </w:r>
            <w:r w:rsidRPr="00F5723F">
              <w:rPr>
                <w:szCs w:val="16"/>
              </w:rPr>
              <w:t>gång 1985</w:t>
            </w:r>
          </w:p>
        </w:tc>
        <w:tc>
          <w:tcPr>
            <w:tcW w:w="950"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Andel av sam</w:t>
            </w:r>
            <w:r w:rsidRPr="00F5723F">
              <w:rPr>
                <w:szCs w:val="16"/>
              </w:rPr>
              <w:t>t</w:t>
            </w:r>
            <w:r w:rsidRPr="00F5723F">
              <w:rPr>
                <w:szCs w:val="16"/>
              </w:rPr>
              <w:t>lig tid</w:t>
            </w:r>
          </w:p>
        </w:tc>
        <w:tc>
          <w:tcPr>
            <w:tcW w:w="1045"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Tidså</w:t>
            </w:r>
            <w:r w:rsidRPr="00F5723F">
              <w:rPr>
                <w:szCs w:val="16"/>
              </w:rPr>
              <w:t>t</w:t>
            </w:r>
            <w:r w:rsidRPr="00F5723F">
              <w:rPr>
                <w:szCs w:val="16"/>
              </w:rPr>
              <w:t>gång 2004</w:t>
            </w:r>
          </w:p>
        </w:tc>
        <w:tc>
          <w:tcPr>
            <w:tcW w:w="855" w:type="dxa"/>
            <w:tcBorders>
              <w:top w:val="single" w:sz="4" w:space="0" w:color="auto"/>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Andel av sam</w:t>
            </w:r>
            <w:r w:rsidRPr="00F5723F">
              <w:rPr>
                <w:szCs w:val="16"/>
              </w:rPr>
              <w:t>t</w:t>
            </w:r>
            <w:r w:rsidRPr="00F5723F">
              <w:rPr>
                <w:szCs w:val="16"/>
              </w:rPr>
              <w:t>lig tid</w:t>
            </w:r>
          </w:p>
        </w:tc>
        <w:tc>
          <w:tcPr>
            <w:tcW w:w="855" w:type="dxa"/>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Förän</w:t>
            </w:r>
            <w:r w:rsidRPr="00F5723F">
              <w:rPr>
                <w:szCs w:val="16"/>
              </w:rPr>
              <w:t>d</w:t>
            </w:r>
            <w:r w:rsidRPr="00F5723F">
              <w:rPr>
                <w:szCs w:val="16"/>
              </w:rPr>
              <w:t>ring 1974–2004</w:t>
            </w:r>
          </w:p>
        </w:tc>
      </w:tr>
      <w:tr w:rsidR="00000000" w:rsidRPr="00F5723F">
        <w:tblPrEx>
          <w:tblCellMar>
            <w:top w:w="0" w:type="dxa"/>
            <w:bottom w:w="0" w:type="dxa"/>
          </w:tblCellMar>
        </w:tblPrEx>
        <w:tc>
          <w:tcPr>
            <w:tcW w:w="2233" w:type="dxa"/>
            <w:tcBorders>
              <w:top w:val="single" w:sz="4" w:space="0" w:color="auto"/>
            </w:tcBorders>
          </w:tcPr>
          <w:p w:rsidR="00B43C57" w:rsidRPr="00F5723F" w:rsidRDefault="00B43C57">
            <w:pPr>
              <w:pStyle w:val="Tabelltext"/>
              <w:ind w:left="168" w:hanging="190"/>
              <w:rPr>
                <w:b/>
              </w:rPr>
            </w:pPr>
            <w:r w:rsidRPr="00F5723F">
              <w:rPr>
                <w:b/>
              </w:rPr>
              <w:t>Inåtriktad aktivitet</w:t>
            </w:r>
          </w:p>
        </w:tc>
        <w:tc>
          <w:tcPr>
            <w:tcW w:w="1045" w:type="dxa"/>
            <w:tcBorders>
              <w:top w:val="single" w:sz="4" w:space="0" w:color="auto"/>
            </w:tcBorders>
          </w:tcPr>
          <w:p w:rsidR="00B43C57" w:rsidRPr="00F5723F" w:rsidRDefault="00B43C57">
            <w:pPr>
              <w:pStyle w:val="Tabelltext"/>
              <w:jc w:val="center"/>
              <w:rPr>
                <w:rFonts w:ascii="Arial" w:hAnsi="Arial" w:cs="Arial"/>
                <w:szCs w:val="16"/>
              </w:rPr>
            </w:pPr>
          </w:p>
        </w:tc>
        <w:tc>
          <w:tcPr>
            <w:tcW w:w="1045" w:type="dxa"/>
            <w:tcBorders>
              <w:top w:val="single" w:sz="4" w:space="0" w:color="auto"/>
            </w:tcBorders>
          </w:tcPr>
          <w:p w:rsidR="00B43C57" w:rsidRPr="00F5723F" w:rsidRDefault="00B43C57">
            <w:pPr>
              <w:pStyle w:val="Tabelltext"/>
              <w:jc w:val="center"/>
              <w:rPr>
                <w:rFonts w:ascii="Arial" w:hAnsi="Arial" w:cs="Arial"/>
                <w:szCs w:val="16"/>
              </w:rPr>
            </w:pPr>
          </w:p>
        </w:tc>
        <w:tc>
          <w:tcPr>
            <w:tcW w:w="1045" w:type="dxa"/>
            <w:tcBorders>
              <w:top w:val="single" w:sz="4" w:space="0" w:color="auto"/>
            </w:tcBorders>
          </w:tcPr>
          <w:p w:rsidR="00B43C57" w:rsidRPr="00F5723F" w:rsidRDefault="00B43C57">
            <w:pPr>
              <w:pStyle w:val="Tabelltext"/>
              <w:jc w:val="center"/>
              <w:rPr>
                <w:rFonts w:ascii="Arial" w:hAnsi="Arial" w:cs="Arial"/>
                <w:szCs w:val="16"/>
              </w:rPr>
            </w:pPr>
          </w:p>
        </w:tc>
        <w:tc>
          <w:tcPr>
            <w:tcW w:w="950" w:type="dxa"/>
            <w:tcBorders>
              <w:top w:val="single" w:sz="4" w:space="0" w:color="auto"/>
            </w:tcBorders>
          </w:tcPr>
          <w:p w:rsidR="00B43C57" w:rsidRPr="00F5723F" w:rsidRDefault="00B43C57">
            <w:pPr>
              <w:pStyle w:val="Tabelltext"/>
              <w:jc w:val="center"/>
              <w:rPr>
                <w:rFonts w:ascii="Arial" w:hAnsi="Arial" w:cs="Arial"/>
                <w:szCs w:val="16"/>
              </w:rPr>
            </w:pPr>
          </w:p>
        </w:tc>
        <w:tc>
          <w:tcPr>
            <w:tcW w:w="950" w:type="dxa"/>
            <w:tcBorders>
              <w:top w:val="single" w:sz="4" w:space="0" w:color="auto"/>
            </w:tcBorders>
          </w:tcPr>
          <w:p w:rsidR="00B43C57" w:rsidRPr="00F5723F" w:rsidRDefault="00B43C57">
            <w:pPr>
              <w:pStyle w:val="Tabelltext"/>
              <w:jc w:val="center"/>
              <w:rPr>
                <w:rFonts w:ascii="Arial" w:hAnsi="Arial" w:cs="Arial"/>
                <w:szCs w:val="16"/>
              </w:rPr>
            </w:pPr>
          </w:p>
        </w:tc>
        <w:tc>
          <w:tcPr>
            <w:tcW w:w="950" w:type="dxa"/>
            <w:tcBorders>
              <w:top w:val="single" w:sz="4" w:space="0" w:color="auto"/>
            </w:tcBorders>
          </w:tcPr>
          <w:p w:rsidR="00B43C57" w:rsidRPr="00F5723F" w:rsidRDefault="00B43C57">
            <w:pPr>
              <w:pStyle w:val="Tabelltext"/>
              <w:jc w:val="center"/>
              <w:rPr>
                <w:rFonts w:ascii="Arial" w:hAnsi="Arial" w:cs="Arial"/>
                <w:szCs w:val="16"/>
              </w:rPr>
            </w:pPr>
          </w:p>
        </w:tc>
        <w:tc>
          <w:tcPr>
            <w:tcW w:w="1045" w:type="dxa"/>
            <w:tcBorders>
              <w:top w:val="single" w:sz="4" w:space="0" w:color="auto"/>
            </w:tcBorders>
          </w:tcPr>
          <w:p w:rsidR="00B43C57" w:rsidRPr="00F5723F" w:rsidRDefault="00B43C57">
            <w:pPr>
              <w:pStyle w:val="Tabelltext"/>
              <w:jc w:val="center"/>
              <w:rPr>
                <w:rFonts w:ascii="Arial" w:hAnsi="Arial" w:cs="Arial"/>
                <w:szCs w:val="16"/>
              </w:rPr>
            </w:pPr>
          </w:p>
        </w:tc>
        <w:tc>
          <w:tcPr>
            <w:tcW w:w="855" w:type="dxa"/>
            <w:tcBorders>
              <w:top w:val="single" w:sz="4" w:space="0" w:color="auto"/>
            </w:tcBorders>
          </w:tcPr>
          <w:p w:rsidR="00B43C57" w:rsidRPr="00F5723F" w:rsidRDefault="00B43C57">
            <w:pPr>
              <w:pStyle w:val="Tabelltext"/>
              <w:jc w:val="center"/>
              <w:rPr>
                <w:rFonts w:ascii="Arial" w:hAnsi="Arial" w:cs="Arial"/>
                <w:szCs w:val="16"/>
              </w:rPr>
            </w:pPr>
          </w:p>
        </w:tc>
        <w:tc>
          <w:tcPr>
            <w:tcW w:w="855" w:type="dxa"/>
            <w:tcBorders>
              <w:top w:val="single" w:sz="4" w:space="0" w:color="auto"/>
            </w:tcBorders>
          </w:tcPr>
          <w:p w:rsidR="00B43C57" w:rsidRPr="00F5723F" w:rsidRDefault="00B43C57">
            <w:pPr>
              <w:pStyle w:val="Tabelltext"/>
              <w:jc w:val="center"/>
              <w:rPr>
                <w:rFonts w:ascii="Arial" w:hAnsi="Arial" w:cs="Arial"/>
                <w:szCs w:val="16"/>
              </w:rPr>
            </w:pP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Delta i kammardeba</w:t>
            </w:r>
            <w:r w:rsidRPr="00F5723F">
              <w:t>t</w:t>
            </w:r>
            <w:r w:rsidRPr="00F5723F">
              <w:t>ten</w:t>
            </w:r>
          </w:p>
        </w:tc>
        <w:tc>
          <w:tcPr>
            <w:tcW w:w="1045" w:type="dxa"/>
          </w:tcPr>
          <w:p w:rsidR="00B43C57" w:rsidRPr="00F5723F" w:rsidRDefault="00B43C57">
            <w:pPr>
              <w:pStyle w:val="Tabelltext"/>
              <w:jc w:val="center"/>
            </w:pPr>
            <w:r w:rsidRPr="00F5723F">
              <w:t xml:space="preserve">0 t. </w:t>
            </w:r>
            <w:smartTag w:uri="urn:schemas-microsoft-com:office:smarttags" w:element="metricconverter">
              <w:smartTagPr>
                <w:attr w:name="ProductID" w:val="24 m"/>
              </w:smartTagPr>
              <w:r w:rsidRPr="00F5723F">
                <w:t>24 m</w:t>
              </w:r>
            </w:smartTag>
            <w:r w:rsidRPr="00F5723F">
              <w:t>.</w:t>
            </w:r>
          </w:p>
        </w:tc>
        <w:tc>
          <w:tcPr>
            <w:tcW w:w="1045" w:type="dxa"/>
          </w:tcPr>
          <w:p w:rsidR="00B43C57" w:rsidRPr="00F5723F" w:rsidRDefault="00B43C57">
            <w:pPr>
              <w:pStyle w:val="Tabelltext"/>
              <w:jc w:val="center"/>
            </w:pPr>
            <w:r w:rsidRPr="00F5723F">
              <w:t>0</w:t>
            </w:r>
          </w:p>
        </w:tc>
        <w:tc>
          <w:tcPr>
            <w:tcW w:w="1045" w:type="dxa"/>
          </w:tcPr>
          <w:p w:rsidR="00B43C57" w:rsidRPr="00F5723F" w:rsidRDefault="00B43C57">
            <w:pPr>
              <w:pStyle w:val="Tabelltext"/>
              <w:jc w:val="center"/>
            </w:pPr>
            <w:r w:rsidRPr="00F5723F">
              <w:t xml:space="preserve">0 t. </w:t>
            </w:r>
            <w:smartTag w:uri="urn:schemas-microsoft-com:office:smarttags" w:element="metricconverter">
              <w:smartTagPr>
                <w:attr w:name="ProductID" w:val="19 m"/>
              </w:smartTagPr>
              <w:r w:rsidRPr="00F5723F">
                <w:t>19 m</w:t>
              </w:r>
            </w:smartTag>
            <w:r w:rsidRPr="00F5723F">
              <w:t>.</w:t>
            </w:r>
          </w:p>
        </w:tc>
        <w:tc>
          <w:tcPr>
            <w:tcW w:w="950" w:type="dxa"/>
          </w:tcPr>
          <w:p w:rsidR="00B43C57" w:rsidRPr="00F5723F" w:rsidRDefault="00B43C57">
            <w:pPr>
              <w:pStyle w:val="Tabelltext"/>
              <w:jc w:val="center"/>
            </w:pPr>
            <w:r w:rsidRPr="00F5723F">
              <w:t>0</w:t>
            </w:r>
          </w:p>
        </w:tc>
        <w:tc>
          <w:tcPr>
            <w:tcW w:w="950" w:type="dxa"/>
          </w:tcPr>
          <w:p w:rsidR="00B43C57" w:rsidRPr="00F5723F" w:rsidRDefault="00B43C57">
            <w:pPr>
              <w:pStyle w:val="Tabelltext"/>
              <w:jc w:val="center"/>
            </w:pPr>
            <w:r w:rsidRPr="00F5723F">
              <w:t xml:space="preserve">0 t. </w:t>
            </w:r>
            <w:smartTag w:uri="urn:schemas-microsoft-com:office:smarttags" w:element="metricconverter">
              <w:smartTagPr>
                <w:attr w:name="ProductID" w:val="46 m"/>
              </w:smartTagPr>
              <w:r w:rsidRPr="00F5723F">
                <w:t>46 m</w:t>
              </w:r>
            </w:smartTag>
            <w:r w:rsidRPr="00F5723F">
              <w:t>.</w:t>
            </w:r>
          </w:p>
        </w:tc>
        <w:tc>
          <w:tcPr>
            <w:tcW w:w="950" w:type="dxa"/>
          </w:tcPr>
          <w:p w:rsidR="00B43C57" w:rsidRPr="00F5723F" w:rsidRDefault="00B43C57">
            <w:pPr>
              <w:pStyle w:val="Tabelltext"/>
              <w:jc w:val="center"/>
            </w:pPr>
            <w:r w:rsidRPr="00F5723F">
              <w:t>1</w:t>
            </w:r>
          </w:p>
        </w:tc>
        <w:tc>
          <w:tcPr>
            <w:tcW w:w="1045" w:type="dxa"/>
          </w:tcPr>
          <w:p w:rsidR="00B43C57" w:rsidRPr="00F5723F" w:rsidRDefault="00B43C57">
            <w:pPr>
              <w:pStyle w:val="Tabelltext"/>
              <w:jc w:val="center"/>
            </w:pPr>
            <w:r w:rsidRPr="00F5723F">
              <w:t xml:space="preserve">1 t </w:t>
            </w:r>
            <w:smartTag w:uri="urn:schemas-microsoft-com:office:smarttags" w:element="metricconverter">
              <w:smartTagPr>
                <w:attr w:name="ProductID" w:val="38 m"/>
              </w:smartTagPr>
              <w:r w:rsidRPr="00F5723F">
                <w:t>38 m</w:t>
              </w:r>
            </w:smartTag>
            <w:r w:rsidRPr="00F5723F">
              <w:t>.</w:t>
            </w:r>
          </w:p>
        </w:tc>
        <w:tc>
          <w:tcPr>
            <w:tcW w:w="855" w:type="dxa"/>
          </w:tcPr>
          <w:p w:rsidR="00B43C57" w:rsidRPr="00F5723F" w:rsidRDefault="00B43C57">
            <w:pPr>
              <w:pStyle w:val="Tabelltext"/>
              <w:jc w:val="center"/>
            </w:pPr>
            <w:r w:rsidRPr="00F5723F">
              <w:t>3</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Följa kamma</w:t>
            </w:r>
            <w:r w:rsidRPr="00F5723F">
              <w:t>r</w:t>
            </w:r>
            <w:r w:rsidRPr="00F5723F">
              <w:t>debatten</w:t>
            </w:r>
          </w:p>
        </w:tc>
        <w:tc>
          <w:tcPr>
            <w:tcW w:w="1045" w:type="dxa"/>
          </w:tcPr>
          <w:p w:rsidR="00B43C57" w:rsidRPr="00F5723F" w:rsidRDefault="00B43C57">
            <w:pPr>
              <w:pStyle w:val="Tabelltext"/>
              <w:jc w:val="center"/>
            </w:pPr>
            <w:r w:rsidRPr="00F5723F">
              <w:t xml:space="preserve">7 t. </w:t>
            </w:r>
            <w:smartTag w:uri="urn:schemas-microsoft-com:office:smarttags" w:element="metricconverter">
              <w:smartTagPr>
                <w:attr w:name="ProductID" w:val="36 m"/>
              </w:smartTagPr>
              <w:r w:rsidRPr="00F5723F">
                <w:t>36 m</w:t>
              </w:r>
            </w:smartTag>
            <w:r w:rsidRPr="00F5723F">
              <w:t>.</w:t>
            </w:r>
          </w:p>
        </w:tc>
        <w:tc>
          <w:tcPr>
            <w:tcW w:w="1045" w:type="dxa"/>
          </w:tcPr>
          <w:p w:rsidR="00B43C57" w:rsidRPr="00F5723F" w:rsidRDefault="00B43C57">
            <w:pPr>
              <w:pStyle w:val="Tabelltext"/>
              <w:jc w:val="center"/>
            </w:pPr>
            <w:r w:rsidRPr="00F5723F">
              <w:t>13</w:t>
            </w:r>
          </w:p>
        </w:tc>
        <w:tc>
          <w:tcPr>
            <w:tcW w:w="1045" w:type="dxa"/>
          </w:tcPr>
          <w:p w:rsidR="00B43C57" w:rsidRPr="00F5723F" w:rsidRDefault="00B43C57">
            <w:pPr>
              <w:pStyle w:val="Tabelltext"/>
              <w:jc w:val="center"/>
            </w:pPr>
            <w:r w:rsidRPr="00F5723F">
              <w:t xml:space="preserve">4 t. </w:t>
            </w:r>
            <w:smartTag w:uri="urn:schemas-microsoft-com:office:smarttags" w:element="metricconverter">
              <w:smartTagPr>
                <w:attr w:name="ProductID" w:val="14 m"/>
              </w:smartTagPr>
              <w:r w:rsidRPr="00F5723F">
                <w:t>14 m</w:t>
              </w:r>
            </w:smartTag>
            <w:r w:rsidRPr="00F5723F">
              <w:t>.</w:t>
            </w:r>
          </w:p>
        </w:tc>
        <w:tc>
          <w:tcPr>
            <w:tcW w:w="950" w:type="dxa"/>
          </w:tcPr>
          <w:p w:rsidR="00B43C57" w:rsidRPr="00F5723F" w:rsidRDefault="00B43C57">
            <w:pPr>
              <w:pStyle w:val="Tabelltext"/>
              <w:jc w:val="center"/>
            </w:pPr>
            <w:r w:rsidRPr="00F5723F">
              <w:t>8</w:t>
            </w:r>
          </w:p>
        </w:tc>
        <w:tc>
          <w:tcPr>
            <w:tcW w:w="950" w:type="dxa"/>
          </w:tcPr>
          <w:p w:rsidR="00B43C57" w:rsidRPr="00F5723F" w:rsidRDefault="00B43C57">
            <w:pPr>
              <w:pStyle w:val="Tabelltext"/>
              <w:jc w:val="center"/>
            </w:pPr>
            <w:r w:rsidRPr="00F5723F">
              <w:t xml:space="preserve">8 t. </w:t>
            </w:r>
            <w:smartTag w:uri="urn:schemas-microsoft-com:office:smarttags" w:element="metricconverter">
              <w:smartTagPr>
                <w:attr w:name="ProductID" w:val="38 m"/>
              </w:smartTagPr>
              <w:r w:rsidRPr="00F5723F">
                <w:t>38 m</w:t>
              </w:r>
            </w:smartTag>
            <w:r w:rsidRPr="00F5723F">
              <w:t>.</w:t>
            </w:r>
          </w:p>
        </w:tc>
        <w:tc>
          <w:tcPr>
            <w:tcW w:w="950" w:type="dxa"/>
          </w:tcPr>
          <w:p w:rsidR="00B43C57" w:rsidRPr="00F5723F" w:rsidRDefault="00B43C57">
            <w:pPr>
              <w:pStyle w:val="Tabelltext"/>
              <w:jc w:val="center"/>
            </w:pPr>
            <w:r w:rsidRPr="00F5723F">
              <w:t>15</w:t>
            </w:r>
          </w:p>
        </w:tc>
        <w:tc>
          <w:tcPr>
            <w:tcW w:w="1045" w:type="dxa"/>
          </w:tcPr>
          <w:p w:rsidR="00B43C57" w:rsidRPr="00F5723F" w:rsidRDefault="00B43C57">
            <w:pPr>
              <w:pStyle w:val="Tabelltext"/>
              <w:jc w:val="center"/>
            </w:pPr>
            <w:r w:rsidRPr="00F5723F">
              <w:t xml:space="preserve">1 t. </w:t>
            </w:r>
            <w:smartTag w:uri="urn:schemas-microsoft-com:office:smarttags" w:element="metricconverter">
              <w:smartTagPr>
                <w:attr w:name="ProductID" w:val="35 m"/>
              </w:smartTagPr>
              <w:r w:rsidRPr="00F5723F">
                <w:t>35 m</w:t>
              </w:r>
            </w:smartTag>
            <w:r w:rsidRPr="00F5723F">
              <w:t>.</w:t>
            </w:r>
          </w:p>
        </w:tc>
        <w:tc>
          <w:tcPr>
            <w:tcW w:w="855" w:type="dxa"/>
          </w:tcPr>
          <w:p w:rsidR="00B43C57" w:rsidRPr="00F5723F" w:rsidRDefault="00B43C57">
            <w:pPr>
              <w:pStyle w:val="Tabelltext"/>
              <w:jc w:val="center"/>
            </w:pPr>
            <w:r w:rsidRPr="00F5723F">
              <w:t>3</w:t>
            </w:r>
          </w:p>
        </w:tc>
        <w:tc>
          <w:tcPr>
            <w:tcW w:w="855" w:type="dxa"/>
          </w:tcPr>
          <w:p w:rsidR="00B43C57" w:rsidRPr="00F5723F" w:rsidRDefault="00B43C57">
            <w:pPr>
              <w:pStyle w:val="Tabelltext"/>
              <w:jc w:val="center"/>
            </w:pPr>
            <w:r w:rsidRPr="00F5723F">
              <w:t>- -</w:t>
            </w: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Utskottsa</w:t>
            </w:r>
            <w:r w:rsidRPr="00F5723F">
              <w:t>r</w:t>
            </w:r>
            <w:r w:rsidRPr="00F5723F">
              <w:t>bete</w:t>
            </w:r>
          </w:p>
        </w:tc>
        <w:tc>
          <w:tcPr>
            <w:tcW w:w="1045" w:type="dxa"/>
          </w:tcPr>
          <w:p w:rsidR="00B43C57" w:rsidRPr="00F5723F" w:rsidRDefault="00B43C57">
            <w:pPr>
              <w:pStyle w:val="Tabelltext"/>
              <w:jc w:val="center"/>
            </w:pPr>
            <w:r w:rsidRPr="00F5723F">
              <w:t xml:space="preserve">5 t. </w:t>
            </w:r>
            <w:smartTag w:uri="urn:schemas-microsoft-com:office:smarttags" w:element="metricconverter">
              <w:smartTagPr>
                <w:attr w:name="ProductID" w:val="36 m"/>
              </w:smartTagPr>
              <w:r w:rsidRPr="00F5723F">
                <w:t>36 m</w:t>
              </w:r>
            </w:smartTag>
            <w:r w:rsidRPr="00F5723F">
              <w:t>.</w:t>
            </w:r>
          </w:p>
        </w:tc>
        <w:tc>
          <w:tcPr>
            <w:tcW w:w="1045" w:type="dxa"/>
          </w:tcPr>
          <w:p w:rsidR="00B43C57" w:rsidRPr="00F5723F" w:rsidRDefault="00B43C57">
            <w:pPr>
              <w:pStyle w:val="Tabelltext"/>
              <w:jc w:val="center"/>
            </w:pPr>
            <w:r w:rsidRPr="00F5723F">
              <w:t>10</w:t>
            </w:r>
          </w:p>
        </w:tc>
        <w:tc>
          <w:tcPr>
            <w:tcW w:w="1045" w:type="dxa"/>
          </w:tcPr>
          <w:p w:rsidR="00B43C57" w:rsidRPr="00F5723F" w:rsidRDefault="00B43C57">
            <w:pPr>
              <w:pStyle w:val="Tabelltext"/>
              <w:jc w:val="center"/>
            </w:pPr>
            <w:r w:rsidRPr="00F5723F">
              <w:t xml:space="preserve">5 t. </w:t>
            </w:r>
            <w:smartTag w:uri="urn:schemas-microsoft-com:office:smarttags" w:element="metricconverter">
              <w:smartTagPr>
                <w:attr w:name="ProductID" w:val="55 m"/>
              </w:smartTagPr>
              <w:r w:rsidRPr="00F5723F">
                <w:t>55 m</w:t>
              </w:r>
            </w:smartTag>
            <w:r w:rsidRPr="00F5723F">
              <w:t>.</w:t>
            </w:r>
          </w:p>
        </w:tc>
        <w:tc>
          <w:tcPr>
            <w:tcW w:w="950" w:type="dxa"/>
          </w:tcPr>
          <w:p w:rsidR="00B43C57" w:rsidRPr="00F5723F" w:rsidRDefault="00B43C57">
            <w:pPr>
              <w:pStyle w:val="Tabelltext"/>
              <w:jc w:val="center"/>
            </w:pPr>
            <w:r w:rsidRPr="00F5723F">
              <w:t>11</w:t>
            </w:r>
          </w:p>
        </w:tc>
        <w:tc>
          <w:tcPr>
            <w:tcW w:w="950" w:type="dxa"/>
          </w:tcPr>
          <w:p w:rsidR="00B43C57" w:rsidRPr="00F5723F" w:rsidRDefault="00B43C57">
            <w:pPr>
              <w:pStyle w:val="Tabelltext"/>
              <w:jc w:val="center"/>
            </w:pPr>
            <w:r w:rsidRPr="00F5723F">
              <w:t xml:space="preserve">5 t. </w:t>
            </w:r>
            <w:smartTag w:uri="urn:schemas-microsoft-com:office:smarttags" w:element="metricconverter">
              <w:smartTagPr>
                <w:attr w:name="ProductID" w:val="58 m"/>
              </w:smartTagPr>
              <w:r w:rsidRPr="00F5723F">
                <w:t>58 m</w:t>
              </w:r>
            </w:smartTag>
            <w:r w:rsidRPr="00F5723F">
              <w:t>.</w:t>
            </w:r>
          </w:p>
        </w:tc>
        <w:tc>
          <w:tcPr>
            <w:tcW w:w="950" w:type="dxa"/>
          </w:tcPr>
          <w:p w:rsidR="00B43C57" w:rsidRPr="00F5723F" w:rsidRDefault="00B43C57">
            <w:pPr>
              <w:pStyle w:val="Tabelltext"/>
              <w:jc w:val="center"/>
            </w:pPr>
            <w:r w:rsidRPr="00F5723F">
              <w:t>11</w:t>
            </w:r>
          </w:p>
        </w:tc>
        <w:tc>
          <w:tcPr>
            <w:tcW w:w="1045" w:type="dxa"/>
          </w:tcPr>
          <w:p w:rsidR="00B43C57" w:rsidRPr="00F5723F" w:rsidRDefault="00B43C57">
            <w:pPr>
              <w:pStyle w:val="Tabelltext"/>
              <w:jc w:val="center"/>
            </w:pPr>
            <w:r w:rsidRPr="00F5723F">
              <w:t xml:space="preserve">6 t. </w:t>
            </w:r>
            <w:smartTag w:uri="urn:schemas-microsoft-com:office:smarttags" w:element="metricconverter">
              <w:smartTagPr>
                <w:attr w:name="ProductID" w:val="34 m"/>
              </w:smartTagPr>
              <w:r w:rsidRPr="00F5723F">
                <w:t>34 m</w:t>
              </w:r>
            </w:smartTag>
            <w:r w:rsidRPr="00F5723F">
              <w:t>.</w:t>
            </w:r>
          </w:p>
        </w:tc>
        <w:tc>
          <w:tcPr>
            <w:tcW w:w="855" w:type="dxa"/>
          </w:tcPr>
          <w:p w:rsidR="00B43C57" w:rsidRPr="00F5723F" w:rsidRDefault="00B43C57">
            <w:pPr>
              <w:pStyle w:val="Tabelltext"/>
              <w:jc w:val="center"/>
            </w:pPr>
            <w:r w:rsidRPr="00F5723F">
              <w:t>12</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Riksdagsgruppsa</w:t>
            </w:r>
            <w:r w:rsidRPr="00F5723F">
              <w:t>r</w:t>
            </w:r>
            <w:r w:rsidRPr="00F5723F">
              <w:t>bete</w:t>
            </w:r>
          </w:p>
        </w:tc>
        <w:tc>
          <w:tcPr>
            <w:tcW w:w="1045" w:type="dxa"/>
          </w:tcPr>
          <w:p w:rsidR="00B43C57" w:rsidRPr="00F5723F" w:rsidRDefault="00B43C57">
            <w:pPr>
              <w:pStyle w:val="Tabelltext"/>
              <w:jc w:val="center"/>
            </w:pPr>
            <w:r w:rsidRPr="00F5723F">
              <w:t xml:space="preserve">4 t. </w:t>
            </w:r>
            <w:smartTag w:uri="urn:schemas-microsoft-com:office:smarttags" w:element="metricconverter">
              <w:smartTagPr>
                <w:attr w:name="ProductID" w:val="48 m"/>
              </w:smartTagPr>
              <w:r w:rsidRPr="00F5723F">
                <w:t>48 m</w:t>
              </w:r>
            </w:smartTag>
            <w:r w:rsidRPr="00F5723F">
              <w:t>.</w:t>
            </w:r>
          </w:p>
        </w:tc>
        <w:tc>
          <w:tcPr>
            <w:tcW w:w="1045" w:type="dxa"/>
          </w:tcPr>
          <w:p w:rsidR="00B43C57" w:rsidRPr="00F5723F" w:rsidRDefault="00B43C57">
            <w:pPr>
              <w:pStyle w:val="Tabelltext"/>
              <w:jc w:val="center"/>
            </w:pPr>
            <w:r w:rsidRPr="00F5723F">
              <w:t>8</w:t>
            </w:r>
          </w:p>
        </w:tc>
        <w:tc>
          <w:tcPr>
            <w:tcW w:w="1045" w:type="dxa"/>
          </w:tcPr>
          <w:p w:rsidR="00B43C57" w:rsidRPr="00F5723F" w:rsidRDefault="00B43C57">
            <w:pPr>
              <w:pStyle w:val="Tabelltext"/>
              <w:jc w:val="center"/>
            </w:pPr>
            <w:r w:rsidRPr="00F5723F">
              <w:t xml:space="preserve">3 t. </w:t>
            </w:r>
            <w:smartTag w:uri="urn:schemas-microsoft-com:office:smarttags" w:element="metricconverter">
              <w:smartTagPr>
                <w:attr w:name="ProductID" w:val="49 m"/>
              </w:smartTagPr>
              <w:r w:rsidRPr="00F5723F">
                <w:t>49 m</w:t>
              </w:r>
            </w:smartTag>
            <w:r w:rsidRPr="00F5723F">
              <w:t>.</w:t>
            </w:r>
          </w:p>
        </w:tc>
        <w:tc>
          <w:tcPr>
            <w:tcW w:w="950" w:type="dxa"/>
          </w:tcPr>
          <w:p w:rsidR="00B43C57" w:rsidRPr="00F5723F" w:rsidRDefault="00B43C57">
            <w:pPr>
              <w:pStyle w:val="Tabelltext"/>
              <w:jc w:val="center"/>
            </w:pPr>
            <w:r w:rsidRPr="00F5723F">
              <w:t>7</w:t>
            </w:r>
          </w:p>
        </w:tc>
        <w:tc>
          <w:tcPr>
            <w:tcW w:w="950" w:type="dxa"/>
          </w:tcPr>
          <w:p w:rsidR="00B43C57" w:rsidRPr="00F5723F" w:rsidRDefault="00B43C57">
            <w:pPr>
              <w:pStyle w:val="Tabelltext"/>
              <w:jc w:val="center"/>
            </w:pPr>
            <w:r w:rsidRPr="00F5723F">
              <w:t xml:space="preserve">4 t. </w:t>
            </w:r>
            <w:smartTag w:uri="urn:schemas-microsoft-com:office:smarttags" w:element="metricconverter">
              <w:smartTagPr>
                <w:attr w:name="ProductID" w:val="23 m"/>
              </w:smartTagPr>
              <w:r w:rsidRPr="00F5723F">
                <w:t>23 m</w:t>
              </w:r>
            </w:smartTag>
            <w:r w:rsidRPr="00F5723F">
              <w:t>.</w:t>
            </w:r>
          </w:p>
        </w:tc>
        <w:tc>
          <w:tcPr>
            <w:tcW w:w="950" w:type="dxa"/>
          </w:tcPr>
          <w:p w:rsidR="00B43C57" w:rsidRPr="00F5723F" w:rsidRDefault="00B43C57">
            <w:pPr>
              <w:pStyle w:val="Tabelltext"/>
              <w:jc w:val="center"/>
            </w:pPr>
            <w:r w:rsidRPr="00F5723F">
              <w:t>8</w:t>
            </w:r>
          </w:p>
        </w:tc>
        <w:tc>
          <w:tcPr>
            <w:tcW w:w="1045" w:type="dxa"/>
          </w:tcPr>
          <w:p w:rsidR="00B43C57" w:rsidRPr="00F5723F" w:rsidRDefault="00B43C57">
            <w:pPr>
              <w:pStyle w:val="Tabelltext"/>
              <w:jc w:val="center"/>
            </w:pPr>
            <w:r w:rsidRPr="00F5723F">
              <w:t xml:space="preserve">6 t. </w:t>
            </w:r>
            <w:smartTag w:uri="urn:schemas-microsoft-com:office:smarttags" w:element="metricconverter">
              <w:smartTagPr>
                <w:attr w:name="ProductID" w:val="12 m"/>
              </w:smartTagPr>
              <w:r w:rsidRPr="00F5723F">
                <w:t>12 m</w:t>
              </w:r>
            </w:smartTag>
            <w:r w:rsidRPr="00F5723F">
              <w:t>.</w:t>
            </w:r>
          </w:p>
        </w:tc>
        <w:tc>
          <w:tcPr>
            <w:tcW w:w="855" w:type="dxa"/>
          </w:tcPr>
          <w:p w:rsidR="00B43C57" w:rsidRPr="00F5723F" w:rsidRDefault="00B43C57">
            <w:pPr>
              <w:pStyle w:val="Tabelltext"/>
              <w:jc w:val="center"/>
            </w:pPr>
            <w:r w:rsidRPr="00F5723F">
              <w:t>12</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168" w:hanging="190"/>
              <w:rPr>
                <w:b/>
              </w:rPr>
            </w:pPr>
            <w:r w:rsidRPr="00F5723F">
              <w:rPr>
                <w:b/>
              </w:rPr>
              <w:t>Utåtriktad aktivitet</w:t>
            </w:r>
          </w:p>
        </w:tc>
        <w:tc>
          <w:tcPr>
            <w:tcW w:w="1045"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855" w:type="dxa"/>
          </w:tcPr>
          <w:p w:rsidR="00B43C57" w:rsidRPr="00F5723F" w:rsidRDefault="00B43C57">
            <w:pPr>
              <w:pStyle w:val="Tabelltext"/>
              <w:jc w:val="center"/>
              <w:rPr>
                <w:b/>
              </w:rPr>
            </w:pPr>
          </w:p>
        </w:tc>
        <w:tc>
          <w:tcPr>
            <w:tcW w:w="855" w:type="dxa"/>
          </w:tcPr>
          <w:p w:rsidR="00B43C57" w:rsidRPr="00F5723F" w:rsidRDefault="00B43C57">
            <w:pPr>
              <w:pStyle w:val="Tabelltext"/>
              <w:jc w:val="center"/>
              <w:rPr>
                <w:b/>
              </w:rPr>
            </w:pP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Uppvak</w:t>
            </w:r>
            <w:r w:rsidRPr="00F5723F">
              <w:t>t</w:t>
            </w:r>
            <w:r w:rsidRPr="00F5723F">
              <w:t>ningar</w:t>
            </w:r>
          </w:p>
        </w:tc>
        <w:tc>
          <w:tcPr>
            <w:tcW w:w="1045" w:type="dxa"/>
          </w:tcPr>
          <w:p w:rsidR="00B43C57" w:rsidRPr="00F5723F" w:rsidRDefault="00B43C57">
            <w:pPr>
              <w:pStyle w:val="Tabelltext"/>
              <w:jc w:val="center"/>
            </w:pPr>
            <w:r w:rsidRPr="00F5723F">
              <w:t xml:space="preserve">2 t. </w:t>
            </w:r>
            <w:smartTag w:uri="urn:schemas-microsoft-com:office:smarttags" w:element="metricconverter">
              <w:smartTagPr>
                <w:attr w:name="ProductID" w:val="48 m"/>
              </w:smartTagPr>
              <w:r w:rsidRPr="00F5723F">
                <w:t>48 m</w:t>
              </w:r>
            </w:smartTag>
            <w:r w:rsidRPr="00F5723F">
              <w:t>.</w:t>
            </w:r>
          </w:p>
        </w:tc>
        <w:tc>
          <w:tcPr>
            <w:tcW w:w="1045" w:type="dxa"/>
          </w:tcPr>
          <w:p w:rsidR="00B43C57" w:rsidRPr="00F5723F" w:rsidRDefault="00B43C57">
            <w:pPr>
              <w:pStyle w:val="Tabelltext"/>
              <w:jc w:val="center"/>
            </w:pPr>
            <w:r w:rsidRPr="00F5723F">
              <w:t>5</w:t>
            </w:r>
          </w:p>
        </w:tc>
        <w:tc>
          <w:tcPr>
            <w:tcW w:w="1045" w:type="dxa"/>
          </w:tcPr>
          <w:p w:rsidR="00B43C57" w:rsidRPr="00F5723F" w:rsidRDefault="00B43C57">
            <w:pPr>
              <w:pStyle w:val="Tabelltext"/>
              <w:jc w:val="center"/>
            </w:pPr>
            <w:r w:rsidRPr="00F5723F">
              <w:t xml:space="preserve">2 t. </w:t>
            </w:r>
            <w:smartTag w:uri="urn:schemas-microsoft-com:office:smarttags" w:element="metricconverter">
              <w:smartTagPr>
                <w:attr w:name="ProductID" w:val="58 m"/>
              </w:smartTagPr>
              <w:r w:rsidRPr="00F5723F">
                <w:t>58 m</w:t>
              </w:r>
            </w:smartTag>
            <w:r w:rsidRPr="00F5723F">
              <w:t>.</w:t>
            </w:r>
          </w:p>
        </w:tc>
        <w:tc>
          <w:tcPr>
            <w:tcW w:w="950" w:type="dxa"/>
          </w:tcPr>
          <w:p w:rsidR="00B43C57" w:rsidRPr="00F5723F" w:rsidRDefault="00B43C57">
            <w:pPr>
              <w:pStyle w:val="Tabelltext"/>
              <w:jc w:val="center"/>
            </w:pPr>
            <w:r w:rsidRPr="00F5723F">
              <w:t>6</w:t>
            </w:r>
          </w:p>
        </w:tc>
        <w:tc>
          <w:tcPr>
            <w:tcW w:w="950" w:type="dxa"/>
          </w:tcPr>
          <w:p w:rsidR="00B43C57" w:rsidRPr="00F5723F" w:rsidRDefault="00B43C57">
            <w:pPr>
              <w:pStyle w:val="Tabelltext"/>
              <w:jc w:val="center"/>
            </w:pPr>
            <w:r w:rsidRPr="00F5723F">
              <w:t xml:space="preserve">3 t. </w:t>
            </w:r>
            <w:smartTag w:uri="urn:schemas-microsoft-com:office:smarttags" w:element="metricconverter">
              <w:smartTagPr>
                <w:attr w:name="ProductID" w:val="14 m"/>
              </w:smartTagPr>
              <w:r w:rsidRPr="00F5723F">
                <w:t>14 m</w:t>
              </w:r>
            </w:smartTag>
            <w:r w:rsidRPr="00F5723F">
              <w:t>.</w:t>
            </w:r>
          </w:p>
        </w:tc>
        <w:tc>
          <w:tcPr>
            <w:tcW w:w="950" w:type="dxa"/>
          </w:tcPr>
          <w:p w:rsidR="00B43C57" w:rsidRPr="00F5723F" w:rsidRDefault="00B43C57">
            <w:pPr>
              <w:pStyle w:val="Tabelltext"/>
              <w:jc w:val="center"/>
            </w:pPr>
            <w:r w:rsidRPr="00F5723F">
              <w:t>6</w:t>
            </w:r>
          </w:p>
        </w:tc>
        <w:tc>
          <w:tcPr>
            <w:tcW w:w="1045" w:type="dxa"/>
          </w:tcPr>
          <w:p w:rsidR="00B43C57" w:rsidRPr="00F5723F" w:rsidRDefault="00B43C57">
            <w:pPr>
              <w:pStyle w:val="Tabelltext"/>
              <w:jc w:val="center"/>
            </w:pPr>
            <w:r w:rsidRPr="00F5723F">
              <w:t xml:space="preserve">9 t. </w:t>
            </w:r>
            <w:smartTag w:uri="urn:schemas-microsoft-com:office:smarttags" w:element="metricconverter">
              <w:smartTagPr>
                <w:attr w:name="ProductID" w:val="08 m"/>
              </w:smartTagPr>
              <w:r w:rsidRPr="00F5723F">
                <w:t>08 m</w:t>
              </w:r>
            </w:smartTag>
            <w:r w:rsidRPr="00F5723F">
              <w:t>.</w:t>
            </w:r>
          </w:p>
        </w:tc>
        <w:tc>
          <w:tcPr>
            <w:tcW w:w="855" w:type="dxa"/>
          </w:tcPr>
          <w:p w:rsidR="00B43C57" w:rsidRPr="00F5723F" w:rsidRDefault="00B43C57">
            <w:pPr>
              <w:pStyle w:val="Tabelltext"/>
              <w:jc w:val="center"/>
            </w:pPr>
            <w:r w:rsidRPr="00F5723F">
              <w:t>17</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Föredrag, medieme</w:t>
            </w:r>
            <w:r w:rsidRPr="00F5723F">
              <w:t>d</w:t>
            </w:r>
            <w:r w:rsidRPr="00F5723F">
              <w:t>verkan</w:t>
            </w:r>
          </w:p>
        </w:tc>
        <w:tc>
          <w:tcPr>
            <w:tcW w:w="1045" w:type="dxa"/>
          </w:tcPr>
          <w:p w:rsidR="00B43C57" w:rsidRPr="00F5723F" w:rsidRDefault="00B43C57">
            <w:pPr>
              <w:pStyle w:val="Tabelltext"/>
              <w:jc w:val="center"/>
            </w:pPr>
            <w:r w:rsidRPr="00F5723F">
              <w:t xml:space="preserve">8 t. </w:t>
            </w:r>
            <w:smartTag w:uri="urn:schemas-microsoft-com:office:smarttags" w:element="metricconverter">
              <w:smartTagPr>
                <w:attr w:name="ProductID" w:val="06 m"/>
              </w:smartTagPr>
              <w:r w:rsidRPr="00F5723F">
                <w:t>06 m</w:t>
              </w:r>
            </w:smartTag>
            <w:r w:rsidRPr="00F5723F">
              <w:t>.*</w:t>
            </w:r>
          </w:p>
        </w:tc>
        <w:tc>
          <w:tcPr>
            <w:tcW w:w="1045" w:type="dxa"/>
          </w:tcPr>
          <w:p w:rsidR="00B43C57" w:rsidRPr="00F5723F" w:rsidRDefault="00B43C57">
            <w:pPr>
              <w:pStyle w:val="Tabelltext"/>
              <w:jc w:val="center"/>
            </w:pPr>
            <w:r w:rsidRPr="00F5723F">
              <w:t>14*</w:t>
            </w:r>
          </w:p>
        </w:tc>
        <w:tc>
          <w:tcPr>
            <w:tcW w:w="1045" w:type="dxa"/>
          </w:tcPr>
          <w:p w:rsidR="00B43C57" w:rsidRPr="00F5723F" w:rsidRDefault="00B43C57">
            <w:pPr>
              <w:pStyle w:val="Tabelltext"/>
              <w:jc w:val="center"/>
            </w:pPr>
            <w:r w:rsidRPr="00F5723F">
              <w:t xml:space="preserve">8 t. </w:t>
            </w:r>
            <w:smartTag w:uri="urn:schemas-microsoft-com:office:smarttags" w:element="metricconverter">
              <w:smartTagPr>
                <w:attr w:name="ProductID" w:val="50 m"/>
              </w:smartTagPr>
              <w:r w:rsidRPr="00F5723F">
                <w:t>50 m</w:t>
              </w:r>
            </w:smartTag>
            <w:r w:rsidRPr="00F5723F">
              <w:t>.*</w:t>
            </w:r>
          </w:p>
        </w:tc>
        <w:tc>
          <w:tcPr>
            <w:tcW w:w="950" w:type="dxa"/>
          </w:tcPr>
          <w:p w:rsidR="00B43C57" w:rsidRPr="00F5723F" w:rsidRDefault="00B43C57">
            <w:pPr>
              <w:pStyle w:val="Tabelltext"/>
              <w:jc w:val="center"/>
            </w:pPr>
            <w:r w:rsidRPr="00F5723F">
              <w:t>17*</w:t>
            </w:r>
          </w:p>
        </w:tc>
        <w:tc>
          <w:tcPr>
            <w:tcW w:w="950" w:type="dxa"/>
          </w:tcPr>
          <w:p w:rsidR="00B43C57" w:rsidRPr="00F5723F" w:rsidRDefault="00B43C57">
            <w:pPr>
              <w:pStyle w:val="Tabelltext"/>
              <w:jc w:val="center"/>
            </w:pPr>
            <w:r w:rsidRPr="00F5723F">
              <w:t xml:space="preserve">5 t. </w:t>
            </w:r>
            <w:smartTag w:uri="urn:schemas-microsoft-com:office:smarttags" w:element="metricconverter">
              <w:smartTagPr>
                <w:attr w:name="ProductID" w:val="19 m"/>
              </w:smartTagPr>
              <w:r w:rsidRPr="00F5723F">
                <w:t>19 m</w:t>
              </w:r>
            </w:smartTag>
            <w:r w:rsidRPr="00F5723F">
              <w:t>.</w:t>
            </w:r>
          </w:p>
        </w:tc>
        <w:tc>
          <w:tcPr>
            <w:tcW w:w="950" w:type="dxa"/>
          </w:tcPr>
          <w:p w:rsidR="00B43C57" w:rsidRPr="00F5723F" w:rsidRDefault="00B43C57">
            <w:pPr>
              <w:pStyle w:val="Tabelltext"/>
              <w:jc w:val="center"/>
            </w:pPr>
            <w:r w:rsidRPr="00F5723F">
              <w:t>10</w:t>
            </w:r>
          </w:p>
        </w:tc>
        <w:tc>
          <w:tcPr>
            <w:tcW w:w="1045" w:type="dxa"/>
          </w:tcPr>
          <w:p w:rsidR="00B43C57" w:rsidRPr="00F5723F" w:rsidRDefault="00B43C57">
            <w:pPr>
              <w:pStyle w:val="Tabelltext"/>
              <w:jc w:val="center"/>
            </w:pPr>
            <w:r w:rsidRPr="00F5723F">
              <w:t xml:space="preserve">3 t. </w:t>
            </w:r>
            <w:smartTag w:uri="urn:schemas-microsoft-com:office:smarttags" w:element="metricconverter">
              <w:smartTagPr>
                <w:attr w:name="ProductID" w:val="16 m"/>
              </w:smartTagPr>
              <w:r w:rsidRPr="00F5723F">
                <w:t>16 m</w:t>
              </w:r>
            </w:smartTag>
            <w:r w:rsidRPr="00F5723F">
              <w:t>.</w:t>
            </w:r>
          </w:p>
        </w:tc>
        <w:tc>
          <w:tcPr>
            <w:tcW w:w="855" w:type="dxa"/>
          </w:tcPr>
          <w:p w:rsidR="00B43C57" w:rsidRPr="00F5723F" w:rsidRDefault="00B43C57">
            <w:pPr>
              <w:pStyle w:val="Tabelltext"/>
              <w:jc w:val="center"/>
            </w:pPr>
            <w:r w:rsidRPr="00F5723F">
              <w:t>6</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168" w:hanging="190"/>
              <w:rPr>
                <w:b/>
              </w:rPr>
            </w:pPr>
            <w:r w:rsidRPr="00F5723F">
              <w:rPr>
                <w:b/>
              </w:rPr>
              <w:t>Ajour</w:t>
            </w:r>
          </w:p>
        </w:tc>
        <w:tc>
          <w:tcPr>
            <w:tcW w:w="1045"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855" w:type="dxa"/>
          </w:tcPr>
          <w:p w:rsidR="00B43C57" w:rsidRPr="00F5723F" w:rsidRDefault="00B43C57">
            <w:pPr>
              <w:pStyle w:val="Tabelltext"/>
              <w:jc w:val="center"/>
              <w:rPr>
                <w:b/>
              </w:rPr>
            </w:pPr>
          </w:p>
        </w:tc>
        <w:tc>
          <w:tcPr>
            <w:tcW w:w="855" w:type="dxa"/>
          </w:tcPr>
          <w:p w:rsidR="00B43C57" w:rsidRPr="00F5723F" w:rsidRDefault="00B43C57">
            <w:pPr>
              <w:pStyle w:val="Tabelltext"/>
              <w:jc w:val="center"/>
              <w:rPr>
                <w:b/>
              </w:rPr>
            </w:pPr>
          </w:p>
        </w:tc>
      </w:tr>
      <w:tr w:rsidR="00000000" w:rsidRPr="00F5723F">
        <w:tblPrEx>
          <w:tblCellMar>
            <w:top w:w="0" w:type="dxa"/>
            <w:bottom w:w="0" w:type="dxa"/>
          </w:tblCellMar>
        </w:tblPrEx>
        <w:tc>
          <w:tcPr>
            <w:tcW w:w="2233" w:type="dxa"/>
          </w:tcPr>
          <w:p w:rsidR="00B43C57" w:rsidRPr="00F5723F" w:rsidRDefault="00B43C57">
            <w:pPr>
              <w:pStyle w:val="Tabelltext"/>
              <w:ind w:left="358" w:hanging="190"/>
            </w:pPr>
            <w:r w:rsidRPr="00F5723F">
              <w:t>Allmänt inläsnings- och st</w:t>
            </w:r>
            <w:r w:rsidRPr="00F5723F">
              <w:t>u</w:t>
            </w:r>
            <w:r w:rsidRPr="00F5723F">
              <w:t xml:space="preserve">diearbete, studieresor </w:t>
            </w:r>
            <w:r w:rsidRPr="00F5723F">
              <w:t>m m</w:t>
            </w:r>
          </w:p>
        </w:tc>
        <w:tc>
          <w:tcPr>
            <w:tcW w:w="1045" w:type="dxa"/>
          </w:tcPr>
          <w:p w:rsidR="00B43C57" w:rsidRPr="00F5723F" w:rsidRDefault="00B43C57">
            <w:pPr>
              <w:pStyle w:val="Tabelltext"/>
              <w:jc w:val="center"/>
            </w:pPr>
            <w:r w:rsidRPr="00F5723F">
              <w:t xml:space="preserve">(8 t. </w:t>
            </w:r>
            <w:smartTag w:uri="urn:schemas-microsoft-com:office:smarttags" w:element="metricconverter">
              <w:smartTagPr>
                <w:attr w:name="ProductID" w:val="06 m"/>
              </w:smartTagPr>
              <w:r w:rsidRPr="00F5723F">
                <w:t>06 m</w:t>
              </w:r>
            </w:smartTag>
            <w:r w:rsidRPr="00F5723F">
              <w:t>.)*</w:t>
            </w:r>
          </w:p>
        </w:tc>
        <w:tc>
          <w:tcPr>
            <w:tcW w:w="1045" w:type="dxa"/>
          </w:tcPr>
          <w:p w:rsidR="00B43C57" w:rsidRPr="00F5723F" w:rsidRDefault="00B43C57">
            <w:pPr>
              <w:pStyle w:val="Tabelltext"/>
              <w:jc w:val="center"/>
            </w:pPr>
            <w:r w:rsidRPr="00F5723F">
              <w:t>(14)*</w:t>
            </w:r>
          </w:p>
        </w:tc>
        <w:tc>
          <w:tcPr>
            <w:tcW w:w="1045" w:type="dxa"/>
          </w:tcPr>
          <w:p w:rsidR="00B43C57" w:rsidRPr="00F5723F" w:rsidRDefault="00B43C57">
            <w:pPr>
              <w:pStyle w:val="Tabelltext"/>
              <w:jc w:val="center"/>
            </w:pPr>
            <w:r w:rsidRPr="00F5723F">
              <w:t xml:space="preserve">(8 t. </w:t>
            </w:r>
            <w:smartTag w:uri="urn:schemas-microsoft-com:office:smarttags" w:element="metricconverter">
              <w:smartTagPr>
                <w:attr w:name="ProductID" w:val="50 m"/>
              </w:smartTagPr>
              <w:r w:rsidRPr="00F5723F">
                <w:t>50 m</w:t>
              </w:r>
            </w:smartTag>
            <w:r w:rsidRPr="00F5723F">
              <w:t>.)*</w:t>
            </w:r>
          </w:p>
        </w:tc>
        <w:tc>
          <w:tcPr>
            <w:tcW w:w="950" w:type="dxa"/>
          </w:tcPr>
          <w:p w:rsidR="00B43C57" w:rsidRPr="00F5723F" w:rsidRDefault="00B43C57">
            <w:pPr>
              <w:pStyle w:val="Tabelltext"/>
              <w:jc w:val="center"/>
            </w:pPr>
            <w:r w:rsidRPr="00F5723F">
              <w:t>(17)*</w:t>
            </w:r>
          </w:p>
        </w:tc>
        <w:tc>
          <w:tcPr>
            <w:tcW w:w="950" w:type="dxa"/>
          </w:tcPr>
          <w:p w:rsidR="00B43C57" w:rsidRPr="00F5723F" w:rsidRDefault="00B43C57">
            <w:pPr>
              <w:pStyle w:val="Tabelltext"/>
              <w:jc w:val="center"/>
            </w:pPr>
            <w:r w:rsidRPr="00F5723F">
              <w:t xml:space="preserve">6 t. </w:t>
            </w:r>
            <w:smartTag w:uri="urn:schemas-microsoft-com:office:smarttags" w:element="metricconverter">
              <w:smartTagPr>
                <w:attr w:name="ProductID" w:val="03 m"/>
              </w:smartTagPr>
              <w:r w:rsidRPr="00F5723F">
                <w:t>03 m</w:t>
              </w:r>
            </w:smartTag>
            <w:r w:rsidRPr="00F5723F">
              <w:t>.</w:t>
            </w:r>
          </w:p>
        </w:tc>
        <w:tc>
          <w:tcPr>
            <w:tcW w:w="950" w:type="dxa"/>
          </w:tcPr>
          <w:p w:rsidR="00B43C57" w:rsidRPr="00F5723F" w:rsidRDefault="00B43C57">
            <w:pPr>
              <w:pStyle w:val="Tabelltext"/>
              <w:jc w:val="center"/>
            </w:pPr>
            <w:r w:rsidRPr="00F5723F">
              <w:t>11</w:t>
            </w:r>
          </w:p>
        </w:tc>
        <w:tc>
          <w:tcPr>
            <w:tcW w:w="1045" w:type="dxa"/>
          </w:tcPr>
          <w:p w:rsidR="00B43C57" w:rsidRPr="00F5723F" w:rsidRDefault="00B43C57">
            <w:pPr>
              <w:pStyle w:val="Tabelltext"/>
              <w:jc w:val="center"/>
            </w:pPr>
            <w:r w:rsidRPr="00F5723F">
              <w:t>8 t. 53m.</w:t>
            </w:r>
          </w:p>
        </w:tc>
        <w:tc>
          <w:tcPr>
            <w:tcW w:w="855" w:type="dxa"/>
          </w:tcPr>
          <w:p w:rsidR="00B43C57" w:rsidRPr="00F5723F" w:rsidRDefault="00B43C57">
            <w:pPr>
              <w:pStyle w:val="Tabelltext"/>
              <w:jc w:val="center"/>
            </w:pPr>
            <w:r w:rsidRPr="00F5723F">
              <w:t>17</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358" w:hanging="190"/>
            </w:pPr>
            <w:r w:rsidRPr="00F5723F">
              <w:t>Partiarbete i övrigt</w:t>
            </w:r>
          </w:p>
        </w:tc>
        <w:tc>
          <w:tcPr>
            <w:tcW w:w="1045" w:type="dxa"/>
          </w:tcPr>
          <w:p w:rsidR="00B43C57" w:rsidRPr="00F5723F" w:rsidRDefault="00B43C57">
            <w:pPr>
              <w:pStyle w:val="Tabelltext"/>
              <w:jc w:val="center"/>
            </w:pPr>
            <w:r w:rsidRPr="00F5723F">
              <w:t xml:space="preserve">7 t. </w:t>
            </w:r>
            <w:smartTag w:uri="urn:schemas-microsoft-com:office:smarttags" w:element="metricconverter">
              <w:smartTagPr>
                <w:attr w:name="ProductID" w:val="36 m"/>
              </w:smartTagPr>
              <w:r w:rsidRPr="00F5723F">
                <w:t>36 m</w:t>
              </w:r>
            </w:smartTag>
            <w:r w:rsidRPr="00F5723F">
              <w:t>.</w:t>
            </w:r>
          </w:p>
        </w:tc>
        <w:tc>
          <w:tcPr>
            <w:tcW w:w="1045" w:type="dxa"/>
          </w:tcPr>
          <w:p w:rsidR="00B43C57" w:rsidRPr="00F5723F" w:rsidRDefault="00B43C57">
            <w:pPr>
              <w:pStyle w:val="Tabelltext"/>
              <w:jc w:val="center"/>
            </w:pPr>
            <w:r w:rsidRPr="00F5723F">
              <w:t>13</w:t>
            </w:r>
          </w:p>
        </w:tc>
        <w:tc>
          <w:tcPr>
            <w:tcW w:w="1045" w:type="dxa"/>
          </w:tcPr>
          <w:p w:rsidR="00B43C57" w:rsidRPr="00F5723F" w:rsidRDefault="00B43C57">
            <w:pPr>
              <w:pStyle w:val="Tabelltext"/>
              <w:jc w:val="center"/>
            </w:pPr>
            <w:r w:rsidRPr="00F5723F">
              <w:t xml:space="preserve">6 t. </w:t>
            </w:r>
            <w:smartTag w:uri="urn:schemas-microsoft-com:office:smarttags" w:element="metricconverter">
              <w:smartTagPr>
                <w:attr w:name="ProductID" w:val="29 m"/>
              </w:smartTagPr>
              <w:r w:rsidRPr="00F5723F">
                <w:t>29 m</w:t>
              </w:r>
            </w:smartTag>
            <w:r w:rsidRPr="00F5723F">
              <w:t>.</w:t>
            </w:r>
          </w:p>
        </w:tc>
        <w:tc>
          <w:tcPr>
            <w:tcW w:w="950" w:type="dxa"/>
          </w:tcPr>
          <w:p w:rsidR="00B43C57" w:rsidRPr="00F5723F" w:rsidRDefault="00B43C57">
            <w:pPr>
              <w:pStyle w:val="Tabelltext"/>
              <w:jc w:val="center"/>
            </w:pPr>
            <w:r w:rsidRPr="00F5723F">
              <w:t>12</w:t>
            </w:r>
          </w:p>
        </w:tc>
        <w:tc>
          <w:tcPr>
            <w:tcW w:w="950" w:type="dxa"/>
          </w:tcPr>
          <w:p w:rsidR="00B43C57" w:rsidRPr="00F5723F" w:rsidRDefault="00B43C57">
            <w:pPr>
              <w:pStyle w:val="Tabelltext"/>
              <w:jc w:val="center"/>
            </w:pPr>
            <w:r w:rsidRPr="00F5723F">
              <w:t xml:space="preserve">9 t. </w:t>
            </w:r>
            <w:smartTag w:uri="urn:schemas-microsoft-com:office:smarttags" w:element="metricconverter">
              <w:smartTagPr>
                <w:attr w:name="ProductID" w:val="15 m"/>
              </w:smartTagPr>
              <w:r w:rsidRPr="00F5723F">
                <w:t>15 m</w:t>
              </w:r>
            </w:smartTag>
            <w:r w:rsidRPr="00F5723F">
              <w:t>.</w:t>
            </w:r>
          </w:p>
        </w:tc>
        <w:tc>
          <w:tcPr>
            <w:tcW w:w="950" w:type="dxa"/>
          </w:tcPr>
          <w:p w:rsidR="00B43C57" w:rsidRPr="00F5723F" w:rsidRDefault="00B43C57">
            <w:pPr>
              <w:pStyle w:val="Tabelltext"/>
              <w:jc w:val="center"/>
            </w:pPr>
            <w:r w:rsidRPr="00F5723F">
              <w:t>17</w:t>
            </w:r>
          </w:p>
        </w:tc>
        <w:tc>
          <w:tcPr>
            <w:tcW w:w="1045" w:type="dxa"/>
          </w:tcPr>
          <w:p w:rsidR="00B43C57" w:rsidRPr="00F5723F" w:rsidRDefault="00B43C57">
            <w:pPr>
              <w:pStyle w:val="Tabelltext"/>
              <w:jc w:val="center"/>
            </w:pPr>
            <w:r w:rsidRPr="00F5723F">
              <w:t xml:space="preserve">8 t. </w:t>
            </w:r>
            <w:smartTag w:uri="urn:schemas-microsoft-com:office:smarttags" w:element="metricconverter">
              <w:smartTagPr>
                <w:attr w:name="ProductID" w:val="26 m"/>
              </w:smartTagPr>
              <w:r w:rsidRPr="00F5723F">
                <w:t>26 m</w:t>
              </w:r>
            </w:smartTag>
            <w:r w:rsidRPr="00F5723F">
              <w:t>.</w:t>
            </w:r>
          </w:p>
        </w:tc>
        <w:tc>
          <w:tcPr>
            <w:tcW w:w="855" w:type="dxa"/>
          </w:tcPr>
          <w:p w:rsidR="00B43C57" w:rsidRPr="00F5723F" w:rsidRDefault="00B43C57">
            <w:pPr>
              <w:pStyle w:val="Tabelltext"/>
              <w:jc w:val="center"/>
            </w:pPr>
            <w:r w:rsidRPr="00F5723F">
              <w:t>16</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358" w:hanging="190"/>
            </w:pPr>
            <w:r w:rsidRPr="00F5723F">
              <w:t>Statliga utredningar, statl</w:t>
            </w:r>
            <w:r w:rsidRPr="00F5723F">
              <w:t>i</w:t>
            </w:r>
            <w:r w:rsidRPr="00F5723F">
              <w:t>ga styrelser</w:t>
            </w:r>
          </w:p>
        </w:tc>
        <w:tc>
          <w:tcPr>
            <w:tcW w:w="1045" w:type="dxa"/>
          </w:tcPr>
          <w:p w:rsidR="00B43C57" w:rsidRPr="00F5723F" w:rsidRDefault="00B43C57">
            <w:pPr>
              <w:pStyle w:val="Tabelltext"/>
              <w:jc w:val="center"/>
            </w:pPr>
            <w:r w:rsidRPr="00F5723F">
              <w:t xml:space="preserve">3 t. </w:t>
            </w:r>
            <w:smartTag w:uri="urn:schemas-microsoft-com:office:smarttags" w:element="metricconverter">
              <w:smartTagPr>
                <w:attr w:name="ProductID" w:val="30 m"/>
              </w:smartTagPr>
              <w:r w:rsidRPr="00F5723F">
                <w:t>30 m</w:t>
              </w:r>
            </w:smartTag>
            <w:r w:rsidRPr="00F5723F">
              <w:t>.</w:t>
            </w:r>
          </w:p>
        </w:tc>
        <w:tc>
          <w:tcPr>
            <w:tcW w:w="1045" w:type="dxa"/>
          </w:tcPr>
          <w:p w:rsidR="00B43C57" w:rsidRPr="00F5723F" w:rsidRDefault="00B43C57">
            <w:pPr>
              <w:pStyle w:val="Tabelltext"/>
              <w:jc w:val="center"/>
            </w:pPr>
            <w:r w:rsidRPr="00F5723F">
              <w:t>6</w:t>
            </w:r>
          </w:p>
        </w:tc>
        <w:tc>
          <w:tcPr>
            <w:tcW w:w="1045" w:type="dxa"/>
          </w:tcPr>
          <w:p w:rsidR="00B43C57" w:rsidRPr="00F5723F" w:rsidRDefault="00B43C57">
            <w:pPr>
              <w:pStyle w:val="Tabelltext"/>
              <w:jc w:val="center"/>
            </w:pPr>
            <w:r w:rsidRPr="00F5723F">
              <w:t xml:space="preserve">3 t. </w:t>
            </w:r>
            <w:smartTag w:uri="urn:schemas-microsoft-com:office:smarttags" w:element="metricconverter">
              <w:smartTagPr>
                <w:attr w:name="ProductID" w:val="45 m"/>
              </w:smartTagPr>
              <w:r w:rsidRPr="00F5723F">
                <w:t>45 m</w:t>
              </w:r>
            </w:smartTag>
            <w:r w:rsidRPr="00F5723F">
              <w:t>.</w:t>
            </w:r>
          </w:p>
        </w:tc>
        <w:tc>
          <w:tcPr>
            <w:tcW w:w="950" w:type="dxa"/>
          </w:tcPr>
          <w:p w:rsidR="00B43C57" w:rsidRPr="00F5723F" w:rsidRDefault="00B43C57">
            <w:pPr>
              <w:pStyle w:val="Tabelltext"/>
              <w:jc w:val="center"/>
            </w:pPr>
            <w:r w:rsidRPr="00F5723F">
              <w:t>7</w:t>
            </w:r>
          </w:p>
        </w:tc>
        <w:tc>
          <w:tcPr>
            <w:tcW w:w="950" w:type="dxa"/>
          </w:tcPr>
          <w:p w:rsidR="00B43C57" w:rsidRPr="00F5723F" w:rsidRDefault="00B43C57">
            <w:pPr>
              <w:pStyle w:val="Tabelltext"/>
              <w:jc w:val="center"/>
            </w:pPr>
            <w:r w:rsidRPr="00F5723F">
              <w:t xml:space="preserve">2 t. </w:t>
            </w:r>
            <w:smartTag w:uri="urn:schemas-microsoft-com:office:smarttags" w:element="metricconverter">
              <w:smartTagPr>
                <w:attr w:name="ProductID" w:val="50 m"/>
              </w:smartTagPr>
              <w:r w:rsidRPr="00F5723F">
                <w:t>50 m</w:t>
              </w:r>
            </w:smartTag>
            <w:r w:rsidRPr="00F5723F">
              <w:t>.</w:t>
            </w:r>
          </w:p>
        </w:tc>
        <w:tc>
          <w:tcPr>
            <w:tcW w:w="950" w:type="dxa"/>
          </w:tcPr>
          <w:p w:rsidR="00B43C57" w:rsidRPr="00F5723F" w:rsidRDefault="00B43C57">
            <w:pPr>
              <w:pStyle w:val="Tabelltext"/>
              <w:jc w:val="center"/>
            </w:pPr>
            <w:r w:rsidRPr="00F5723F">
              <w:t>5</w:t>
            </w:r>
          </w:p>
        </w:tc>
        <w:tc>
          <w:tcPr>
            <w:tcW w:w="1045" w:type="dxa"/>
          </w:tcPr>
          <w:p w:rsidR="00B43C57" w:rsidRPr="00F5723F" w:rsidRDefault="00B43C57">
            <w:pPr>
              <w:pStyle w:val="Tabelltext"/>
              <w:jc w:val="center"/>
            </w:pPr>
            <w:r w:rsidRPr="00F5723F">
              <w:t xml:space="preserve">1 t. </w:t>
            </w:r>
            <w:smartTag w:uri="urn:schemas-microsoft-com:office:smarttags" w:element="metricconverter">
              <w:smartTagPr>
                <w:attr w:name="ProductID" w:val="41 m"/>
              </w:smartTagPr>
              <w:r w:rsidRPr="00F5723F">
                <w:t>41 m</w:t>
              </w:r>
            </w:smartTag>
            <w:r w:rsidRPr="00F5723F">
              <w:t>.</w:t>
            </w:r>
          </w:p>
        </w:tc>
        <w:tc>
          <w:tcPr>
            <w:tcW w:w="855" w:type="dxa"/>
          </w:tcPr>
          <w:p w:rsidR="00B43C57" w:rsidRPr="00F5723F" w:rsidRDefault="00B43C57">
            <w:pPr>
              <w:pStyle w:val="Tabelltext"/>
              <w:jc w:val="center"/>
            </w:pPr>
            <w:r w:rsidRPr="00F5723F">
              <w:t>3</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358" w:hanging="190"/>
            </w:pPr>
            <w:r w:rsidRPr="00F5723F">
              <w:t>Organisationsupp</w:t>
            </w:r>
            <w:r w:rsidRPr="00F5723F">
              <w:t>d</w:t>
            </w:r>
            <w:r w:rsidRPr="00F5723F">
              <w:t>rag</w:t>
            </w:r>
          </w:p>
        </w:tc>
        <w:tc>
          <w:tcPr>
            <w:tcW w:w="1045" w:type="dxa"/>
          </w:tcPr>
          <w:p w:rsidR="00B43C57" w:rsidRPr="00F5723F" w:rsidRDefault="00B43C57">
            <w:pPr>
              <w:pStyle w:val="Tabelltext"/>
              <w:jc w:val="center"/>
            </w:pPr>
            <w:r w:rsidRPr="00F5723F">
              <w:t xml:space="preserve">3 t. </w:t>
            </w:r>
            <w:smartTag w:uri="urn:schemas-microsoft-com:office:smarttags" w:element="metricconverter">
              <w:smartTagPr>
                <w:attr w:name="ProductID" w:val="48 m"/>
              </w:smartTagPr>
              <w:r w:rsidRPr="00F5723F">
                <w:t>48 m</w:t>
              </w:r>
            </w:smartTag>
            <w:r w:rsidRPr="00F5723F">
              <w:t>.</w:t>
            </w:r>
          </w:p>
        </w:tc>
        <w:tc>
          <w:tcPr>
            <w:tcW w:w="1045" w:type="dxa"/>
          </w:tcPr>
          <w:p w:rsidR="00B43C57" w:rsidRPr="00F5723F" w:rsidRDefault="00B43C57">
            <w:pPr>
              <w:pStyle w:val="Tabelltext"/>
              <w:jc w:val="center"/>
            </w:pPr>
            <w:r w:rsidRPr="00F5723F">
              <w:t>7</w:t>
            </w:r>
          </w:p>
        </w:tc>
        <w:tc>
          <w:tcPr>
            <w:tcW w:w="1045" w:type="dxa"/>
          </w:tcPr>
          <w:p w:rsidR="00B43C57" w:rsidRPr="00F5723F" w:rsidRDefault="00B43C57">
            <w:pPr>
              <w:pStyle w:val="Tabelltext"/>
              <w:jc w:val="center"/>
            </w:pPr>
            <w:r w:rsidRPr="00F5723F">
              <w:t xml:space="preserve">4 t. </w:t>
            </w:r>
            <w:smartTag w:uri="urn:schemas-microsoft-com:office:smarttags" w:element="metricconverter">
              <w:smartTagPr>
                <w:attr w:name="ProductID" w:val="39 m"/>
              </w:smartTagPr>
              <w:r w:rsidRPr="00F5723F">
                <w:t>39 m</w:t>
              </w:r>
            </w:smartTag>
            <w:r w:rsidRPr="00F5723F">
              <w:t>.</w:t>
            </w:r>
          </w:p>
        </w:tc>
        <w:tc>
          <w:tcPr>
            <w:tcW w:w="950" w:type="dxa"/>
          </w:tcPr>
          <w:p w:rsidR="00B43C57" w:rsidRPr="00F5723F" w:rsidRDefault="00B43C57">
            <w:pPr>
              <w:pStyle w:val="Tabelltext"/>
              <w:jc w:val="center"/>
            </w:pPr>
            <w:r w:rsidRPr="00F5723F">
              <w:t>9</w:t>
            </w:r>
          </w:p>
        </w:tc>
        <w:tc>
          <w:tcPr>
            <w:tcW w:w="950" w:type="dxa"/>
          </w:tcPr>
          <w:p w:rsidR="00B43C57" w:rsidRPr="00F5723F" w:rsidRDefault="00B43C57">
            <w:pPr>
              <w:pStyle w:val="Tabelltext"/>
              <w:jc w:val="center"/>
            </w:pPr>
            <w:r w:rsidRPr="00F5723F">
              <w:t xml:space="preserve">4 t. </w:t>
            </w:r>
            <w:smartTag w:uri="urn:schemas-microsoft-com:office:smarttags" w:element="metricconverter">
              <w:smartTagPr>
                <w:attr w:name="ProductID" w:val="29 m"/>
              </w:smartTagPr>
              <w:r w:rsidRPr="00F5723F">
                <w:t>29 m</w:t>
              </w:r>
            </w:smartTag>
            <w:r w:rsidRPr="00F5723F">
              <w:t>.</w:t>
            </w:r>
          </w:p>
        </w:tc>
        <w:tc>
          <w:tcPr>
            <w:tcW w:w="950" w:type="dxa"/>
          </w:tcPr>
          <w:p w:rsidR="00B43C57" w:rsidRPr="00F5723F" w:rsidRDefault="00B43C57">
            <w:pPr>
              <w:pStyle w:val="Tabelltext"/>
              <w:jc w:val="center"/>
            </w:pPr>
            <w:r w:rsidRPr="00F5723F">
              <w:t>8</w:t>
            </w:r>
          </w:p>
        </w:tc>
        <w:tc>
          <w:tcPr>
            <w:tcW w:w="1045" w:type="dxa"/>
          </w:tcPr>
          <w:p w:rsidR="00B43C57" w:rsidRPr="00F5723F" w:rsidRDefault="00B43C57">
            <w:pPr>
              <w:pStyle w:val="Tabelltext"/>
              <w:jc w:val="center"/>
            </w:pPr>
            <w:r w:rsidRPr="00F5723F">
              <w:t xml:space="preserve">2 t. </w:t>
            </w:r>
            <w:smartTag w:uri="urn:schemas-microsoft-com:office:smarttags" w:element="metricconverter">
              <w:smartTagPr>
                <w:attr w:name="ProductID" w:val="02 m"/>
              </w:smartTagPr>
              <w:r w:rsidRPr="00F5723F">
                <w:t>02 m</w:t>
              </w:r>
            </w:smartTag>
            <w:r w:rsidRPr="00F5723F">
              <w:t>.</w:t>
            </w:r>
          </w:p>
        </w:tc>
        <w:tc>
          <w:tcPr>
            <w:tcW w:w="855" w:type="dxa"/>
          </w:tcPr>
          <w:p w:rsidR="00B43C57" w:rsidRPr="00F5723F" w:rsidRDefault="00B43C57">
            <w:pPr>
              <w:pStyle w:val="Tabelltext"/>
              <w:jc w:val="center"/>
            </w:pPr>
            <w:r w:rsidRPr="00F5723F">
              <w:t>4</w:t>
            </w: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358" w:hanging="190"/>
            </w:pPr>
            <w:r w:rsidRPr="00F5723F">
              <w:t>Kommun</w:t>
            </w:r>
            <w:r w:rsidRPr="00F5723F">
              <w:t>a</w:t>
            </w:r>
            <w:r w:rsidRPr="00F5723F">
              <w:t>la uppdrag</w:t>
            </w:r>
          </w:p>
        </w:tc>
        <w:tc>
          <w:tcPr>
            <w:tcW w:w="1045" w:type="dxa"/>
          </w:tcPr>
          <w:p w:rsidR="00B43C57" w:rsidRPr="00F5723F" w:rsidRDefault="00B43C57">
            <w:pPr>
              <w:pStyle w:val="Tabelltext"/>
              <w:jc w:val="center"/>
            </w:pPr>
            <w:r w:rsidRPr="00F5723F">
              <w:t xml:space="preserve">3 t. </w:t>
            </w:r>
            <w:smartTag w:uri="urn:schemas-microsoft-com:office:smarttags" w:element="metricconverter">
              <w:smartTagPr>
                <w:attr w:name="ProductID" w:val="00 m"/>
              </w:smartTagPr>
              <w:r w:rsidRPr="00F5723F">
                <w:t>00 m</w:t>
              </w:r>
            </w:smartTag>
            <w:r w:rsidRPr="00F5723F">
              <w:t>.</w:t>
            </w:r>
          </w:p>
        </w:tc>
        <w:tc>
          <w:tcPr>
            <w:tcW w:w="1045" w:type="dxa"/>
          </w:tcPr>
          <w:p w:rsidR="00B43C57" w:rsidRPr="00F5723F" w:rsidRDefault="00B43C57">
            <w:pPr>
              <w:pStyle w:val="Tabelltext"/>
              <w:jc w:val="center"/>
            </w:pPr>
            <w:r w:rsidRPr="00F5723F">
              <w:t>5</w:t>
            </w:r>
          </w:p>
        </w:tc>
        <w:tc>
          <w:tcPr>
            <w:tcW w:w="1045" w:type="dxa"/>
          </w:tcPr>
          <w:p w:rsidR="00B43C57" w:rsidRPr="00F5723F" w:rsidRDefault="00B43C57">
            <w:pPr>
              <w:pStyle w:val="Tabelltext"/>
              <w:jc w:val="center"/>
            </w:pPr>
            <w:r w:rsidRPr="00F5723F">
              <w:t xml:space="preserve">2 t. </w:t>
            </w:r>
            <w:smartTag w:uri="urn:schemas-microsoft-com:office:smarttags" w:element="metricconverter">
              <w:smartTagPr>
                <w:attr w:name="ProductID" w:val="34 m"/>
              </w:smartTagPr>
              <w:r w:rsidRPr="00F5723F">
                <w:t>34 m</w:t>
              </w:r>
            </w:smartTag>
            <w:r w:rsidRPr="00F5723F">
              <w:t>.</w:t>
            </w:r>
          </w:p>
        </w:tc>
        <w:tc>
          <w:tcPr>
            <w:tcW w:w="950" w:type="dxa"/>
          </w:tcPr>
          <w:p w:rsidR="00B43C57" w:rsidRPr="00F5723F" w:rsidRDefault="00B43C57">
            <w:pPr>
              <w:pStyle w:val="Tabelltext"/>
              <w:jc w:val="center"/>
            </w:pPr>
            <w:r w:rsidRPr="00F5723F">
              <w:t>5</w:t>
            </w:r>
          </w:p>
        </w:tc>
        <w:tc>
          <w:tcPr>
            <w:tcW w:w="950" w:type="dxa"/>
          </w:tcPr>
          <w:p w:rsidR="00B43C57" w:rsidRPr="00F5723F" w:rsidRDefault="00B43C57">
            <w:pPr>
              <w:pStyle w:val="Tabelltext"/>
              <w:jc w:val="center"/>
            </w:pPr>
            <w:r w:rsidRPr="00F5723F">
              <w:t xml:space="preserve">1 t. </w:t>
            </w:r>
            <w:smartTag w:uri="urn:schemas-microsoft-com:office:smarttags" w:element="metricconverter">
              <w:smartTagPr>
                <w:attr w:name="ProductID" w:val="12 m"/>
              </w:smartTagPr>
              <w:r w:rsidRPr="00F5723F">
                <w:t>12 m</w:t>
              </w:r>
            </w:smartTag>
            <w:r w:rsidRPr="00F5723F">
              <w:t>.</w:t>
            </w:r>
          </w:p>
        </w:tc>
        <w:tc>
          <w:tcPr>
            <w:tcW w:w="950" w:type="dxa"/>
          </w:tcPr>
          <w:p w:rsidR="00B43C57" w:rsidRPr="00F5723F" w:rsidRDefault="00B43C57">
            <w:pPr>
              <w:pStyle w:val="Tabelltext"/>
              <w:jc w:val="center"/>
            </w:pPr>
            <w:r w:rsidRPr="00F5723F">
              <w:t>2</w:t>
            </w:r>
          </w:p>
        </w:tc>
        <w:tc>
          <w:tcPr>
            <w:tcW w:w="1045" w:type="dxa"/>
          </w:tcPr>
          <w:p w:rsidR="00B43C57" w:rsidRPr="00F5723F" w:rsidRDefault="00B43C57">
            <w:pPr>
              <w:pStyle w:val="Tabelltext"/>
              <w:jc w:val="center"/>
            </w:pPr>
            <w:r w:rsidRPr="00F5723F">
              <w:t xml:space="preserve">0 t. </w:t>
            </w:r>
            <w:smartTag w:uri="urn:schemas-microsoft-com:office:smarttags" w:element="metricconverter">
              <w:smartTagPr>
                <w:attr w:name="ProductID" w:val="37 m"/>
              </w:smartTagPr>
              <w:r w:rsidRPr="00F5723F">
                <w:t>37 m</w:t>
              </w:r>
            </w:smartTag>
            <w:r w:rsidRPr="00F5723F">
              <w:t>.</w:t>
            </w:r>
          </w:p>
        </w:tc>
        <w:tc>
          <w:tcPr>
            <w:tcW w:w="855" w:type="dxa"/>
          </w:tcPr>
          <w:p w:rsidR="00B43C57" w:rsidRPr="00F5723F" w:rsidRDefault="00B43C57">
            <w:pPr>
              <w:pStyle w:val="Tabelltext"/>
              <w:jc w:val="center"/>
            </w:pPr>
            <w:r w:rsidRPr="00F5723F">
              <w:t>1</w:t>
            </w:r>
          </w:p>
        </w:tc>
        <w:tc>
          <w:tcPr>
            <w:tcW w:w="855" w:type="dxa"/>
          </w:tcPr>
          <w:p w:rsidR="00B43C57" w:rsidRPr="00F5723F" w:rsidRDefault="00B43C57">
            <w:pPr>
              <w:pStyle w:val="Tabelltext"/>
              <w:jc w:val="center"/>
            </w:pPr>
            <w:r w:rsidRPr="00F5723F">
              <w:t>- -</w:t>
            </w:r>
          </w:p>
        </w:tc>
      </w:tr>
      <w:tr w:rsidR="00000000" w:rsidRPr="00F5723F">
        <w:tblPrEx>
          <w:tblCellMar>
            <w:top w:w="0" w:type="dxa"/>
            <w:bottom w:w="0" w:type="dxa"/>
          </w:tblCellMar>
        </w:tblPrEx>
        <w:tc>
          <w:tcPr>
            <w:tcW w:w="2233" w:type="dxa"/>
          </w:tcPr>
          <w:p w:rsidR="00B43C57" w:rsidRPr="00F5723F" w:rsidRDefault="00B43C57">
            <w:pPr>
              <w:pStyle w:val="Tabelltext"/>
              <w:ind w:left="168" w:hanging="190"/>
              <w:rPr>
                <w:b/>
              </w:rPr>
            </w:pPr>
            <w:r w:rsidRPr="00F5723F">
              <w:rPr>
                <w:b/>
              </w:rPr>
              <w:t>Övrig akt</w:t>
            </w:r>
            <w:r w:rsidRPr="00F5723F">
              <w:rPr>
                <w:b/>
              </w:rPr>
              <w:t>i</w:t>
            </w:r>
            <w:r w:rsidRPr="00F5723F">
              <w:rPr>
                <w:b/>
              </w:rPr>
              <w:t>vitet</w:t>
            </w:r>
          </w:p>
        </w:tc>
        <w:tc>
          <w:tcPr>
            <w:tcW w:w="1045"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950" w:type="dxa"/>
          </w:tcPr>
          <w:p w:rsidR="00B43C57" w:rsidRPr="00F5723F" w:rsidRDefault="00B43C57">
            <w:pPr>
              <w:pStyle w:val="Tabelltext"/>
              <w:jc w:val="center"/>
              <w:rPr>
                <w:b/>
              </w:rPr>
            </w:pPr>
          </w:p>
        </w:tc>
        <w:tc>
          <w:tcPr>
            <w:tcW w:w="1045" w:type="dxa"/>
          </w:tcPr>
          <w:p w:rsidR="00B43C57" w:rsidRPr="00F5723F" w:rsidRDefault="00B43C57">
            <w:pPr>
              <w:pStyle w:val="Tabelltext"/>
              <w:jc w:val="center"/>
              <w:rPr>
                <w:b/>
              </w:rPr>
            </w:pPr>
          </w:p>
        </w:tc>
        <w:tc>
          <w:tcPr>
            <w:tcW w:w="855" w:type="dxa"/>
          </w:tcPr>
          <w:p w:rsidR="00B43C57" w:rsidRPr="00F5723F" w:rsidRDefault="00B43C57">
            <w:pPr>
              <w:pStyle w:val="Tabelltext"/>
              <w:jc w:val="center"/>
              <w:rPr>
                <w:b/>
              </w:rPr>
            </w:pPr>
          </w:p>
        </w:tc>
        <w:tc>
          <w:tcPr>
            <w:tcW w:w="855" w:type="dxa"/>
          </w:tcPr>
          <w:p w:rsidR="00B43C57" w:rsidRPr="00F5723F" w:rsidRDefault="00B43C57">
            <w:pPr>
              <w:pStyle w:val="Tabelltext"/>
              <w:jc w:val="center"/>
              <w:rPr>
                <w:b/>
              </w:rPr>
            </w:pP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Yrkesarb</w:t>
            </w:r>
            <w:r w:rsidRPr="00F5723F">
              <w:t>e</w:t>
            </w:r>
            <w:r w:rsidRPr="00F5723F">
              <w:t>te</w:t>
            </w:r>
          </w:p>
        </w:tc>
        <w:tc>
          <w:tcPr>
            <w:tcW w:w="1045" w:type="dxa"/>
          </w:tcPr>
          <w:p w:rsidR="00B43C57" w:rsidRPr="00F5723F" w:rsidRDefault="00B43C57">
            <w:pPr>
              <w:pStyle w:val="Tabelltext"/>
              <w:jc w:val="center"/>
            </w:pPr>
            <w:r w:rsidRPr="00F5723F">
              <w:t xml:space="preserve">2 t. </w:t>
            </w:r>
            <w:smartTag w:uri="urn:schemas-microsoft-com:office:smarttags" w:element="metricconverter">
              <w:smartTagPr>
                <w:attr w:name="ProductID" w:val="42 m"/>
              </w:smartTagPr>
              <w:r w:rsidRPr="00F5723F">
                <w:t>42 m</w:t>
              </w:r>
            </w:smartTag>
            <w:r w:rsidRPr="00F5723F">
              <w:t>.</w:t>
            </w:r>
          </w:p>
        </w:tc>
        <w:tc>
          <w:tcPr>
            <w:tcW w:w="1045" w:type="dxa"/>
          </w:tcPr>
          <w:p w:rsidR="00B43C57" w:rsidRPr="00F5723F" w:rsidRDefault="00B43C57">
            <w:pPr>
              <w:pStyle w:val="Tabelltext"/>
              <w:jc w:val="center"/>
            </w:pPr>
            <w:r w:rsidRPr="00F5723F">
              <w:t>5</w:t>
            </w:r>
          </w:p>
        </w:tc>
        <w:tc>
          <w:tcPr>
            <w:tcW w:w="1045" w:type="dxa"/>
          </w:tcPr>
          <w:p w:rsidR="00B43C57" w:rsidRPr="00F5723F" w:rsidRDefault="00B43C57">
            <w:pPr>
              <w:pStyle w:val="Tabelltext"/>
              <w:jc w:val="center"/>
            </w:pPr>
            <w:r w:rsidRPr="00F5723F">
              <w:t xml:space="preserve">2 t. </w:t>
            </w:r>
            <w:smartTag w:uri="urn:schemas-microsoft-com:office:smarttags" w:element="metricconverter">
              <w:smartTagPr>
                <w:attr w:name="ProductID" w:val="15 m"/>
              </w:smartTagPr>
              <w:r w:rsidRPr="00F5723F">
                <w:t>15 m</w:t>
              </w:r>
            </w:smartTag>
            <w:r w:rsidRPr="00F5723F">
              <w:t>.</w:t>
            </w:r>
          </w:p>
        </w:tc>
        <w:tc>
          <w:tcPr>
            <w:tcW w:w="950" w:type="dxa"/>
          </w:tcPr>
          <w:p w:rsidR="00B43C57" w:rsidRPr="00F5723F" w:rsidRDefault="00B43C57">
            <w:pPr>
              <w:pStyle w:val="Tabelltext"/>
              <w:jc w:val="center"/>
            </w:pPr>
            <w:r w:rsidRPr="00F5723F">
              <w:t>4</w:t>
            </w:r>
          </w:p>
        </w:tc>
        <w:tc>
          <w:tcPr>
            <w:tcW w:w="950" w:type="dxa"/>
          </w:tcPr>
          <w:p w:rsidR="00B43C57" w:rsidRPr="00F5723F" w:rsidRDefault="00B43C57">
            <w:pPr>
              <w:pStyle w:val="Tabelltext"/>
              <w:jc w:val="center"/>
            </w:pPr>
          </w:p>
        </w:tc>
        <w:tc>
          <w:tcPr>
            <w:tcW w:w="950" w:type="dxa"/>
          </w:tcPr>
          <w:p w:rsidR="00B43C57" w:rsidRPr="00F5723F" w:rsidRDefault="00B43C57">
            <w:pPr>
              <w:pStyle w:val="Tabelltext"/>
              <w:jc w:val="center"/>
            </w:pPr>
          </w:p>
        </w:tc>
        <w:tc>
          <w:tcPr>
            <w:tcW w:w="1045" w:type="dxa"/>
          </w:tcPr>
          <w:p w:rsidR="00B43C57" w:rsidRPr="00F5723F" w:rsidRDefault="00B43C57">
            <w:pPr>
              <w:pStyle w:val="Tabelltext"/>
              <w:jc w:val="center"/>
            </w:pPr>
          </w:p>
        </w:tc>
        <w:tc>
          <w:tcPr>
            <w:tcW w:w="855" w:type="dxa"/>
          </w:tcPr>
          <w:p w:rsidR="00B43C57" w:rsidRPr="00F5723F" w:rsidRDefault="00B43C57">
            <w:pPr>
              <w:pStyle w:val="Tabelltext"/>
              <w:jc w:val="center"/>
            </w:pP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Pr>
          <w:p w:rsidR="00B43C57" w:rsidRPr="00F5723F" w:rsidRDefault="00B43C57">
            <w:pPr>
              <w:pStyle w:val="Tabelltext"/>
              <w:ind w:left="168"/>
            </w:pPr>
            <w:r w:rsidRPr="00F5723F">
              <w:t>Restid</w:t>
            </w:r>
          </w:p>
        </w:tc>
        <w:tc>
          <w:tcPr>
            <w:tcW w:w="1045" w:type="dxa"/>
          </w:tcPr>
          <w:p w:rsidR="00B43C57" w:rsidRPr="00F5723F" w:rsidRDefault="00B43C57">
            <w:pPr>
              <w:pStyle w:val="Tabelltext"/>
              <w:jc w:val="center"/>
            </w:pPr>
            <w:r w:rsidRPr="00F5723F">
              <w:t xml:space="preserve">6 t. </w:t>
            </w:r>
            <w:smartTag w:uri="urn:schemas-microsoft-com:office:smarttags" w:element="metricconverter">
              <w:smartTagPr>
                <w:attr w:name="ProductID" w:val="00 m"/>
              </w:smartTagPr>
              <w:r w:rsidRPr="00F5723F">
                <w:t>00 m</w:t>
              </w:r>
            </w:smartTag>
            <w:r w:rsidRPr="00F5723F">
              <w:t>.</w:t>
            </w:r>
          </w:p>
        </w:tc>
        <w:tc>
          <w:tcPr>
            <w:tcW w:w="1045" w:type="dxa"/>
          </w:tcPr>
          <w:p w:rsidR="00B43C57" w:rsidRPr="00F5723F" w:rsidRDefault="00B43C57">
            <w:pPr>
              <w:pStyle w:val="Tabelltext"/>
              <w:jc w:val="center"/>
            </w:pPr>
            <w:r w:rsidRPr="00F5723F">
              <w:t>10</w:t>
            </w:r>
          </w:p>
        </w:tc>
        <w:tc>
          <w:tcPr>
            <w:tcW w:w="1045" w:type="dxa"/>
          </w:tcPr>
          <w:p w:rsidR="00B43C57" w:rsidRPr="00F5723F" w:rsidRDefault="00B43C57">
            <w:pPr>
              <w:pStyle w:val="Tabelltext"/>
              <w:jc w:val="center"/>
            </w:pPr>
            <w:r w:rsidRPr="00F5723F">
              <w:t xml:space="preserve">6 t. </w:t>
            </w:r>
            <w:smartTag w:uri="urn:schemas-microsoft-com:office:smarttags" w:element="metricconverter">
              <w:smartTagPr>
                <w:attr w:name="ProductID" w:val="13 m"/>
              </w:smartTagPr>
              <w:r w:rsidRPr="00F5723F">
                <w:t>13 m</w:t>
              </w:r>
            </w:smartTag>
            <w:r w:rsidRPr="00F5723F">
              <w:t>.</w:t>
            </w:r>
          </w:p>
        </w:tc>
        <w:tc>
          <w:tcPr>
            <w:tcW w:w="950" w:type="dxa"/>
          </w:tcPr>
          <w:p w:rsidR="00B43C57" w:rsidRPr="00F5723F" w:rsidRDefault="00B43C57">
            <w:pPr>
              <w:pStyle w:val="Tabelltext"/>
              <w:jc w:val="center"/>
            </w:pPr>
            <w:r w:rsidRPr="00F5723F">
              <w:t>12</w:t>
            </w:r>
          </w:p>
        </w:tc>
        <w:tc>
          <w:tcPr>
            <w:tcW w:w="950" w:type="dxa"/>
          </w:tcPr>
          <w:p w:rsidR="00B43C57" w:rsidRPr="00F5723F" w:rsidRDefault="00B43C57">
            <w:pPr>
              <w:pStyle w:val="Tabelltext"/>
              <w:jc w:val="center"/>
            </w:pPr>
          </w:p>
        </w:tc>
        <w:tc>
          <w:tcPr>
            <w:tcW w:w="950" w:type="dxa"/>
          </w:tcPr>
          <w:p w:rsidR="00B43C57" w:rsidRPr="00F5723F" w:rsidRDefault="00B43C57">
            <w:pPr>
              <w:pStyle w:val="Tabelltext"/>
              <w:jc w:val="center"/>
            </w:pPr>
          </w:p>
        </w:tc>
        <w:tc>
          <w:tcPr>
            <w:tcW w:w="1045" w:type="dxa"/>
          </w:tcPr>
          <w:p w:rsidR="00B43C57" w:rsidRPr="00F5723F" w:rsidRDefault="00B43C57">
            <w:pPr>
              <w:pStyle w:val="Tabelltext"/>
              <w:jc w:val="center"/>
            </w:pPr>
          </w:p>
        </w:tc>
        <w:tc>
          <w:tcPr>
            <w:tcW w:w="855" w:type="dxa"/>
          </w:tcPr>
          <w:p w:rsidR="00B43C57" w:rsidRPr="00F5723F" w:rsidRDefault="00B43C57">
            <w:pPr>
              <w:pStyle w:val="Tabelltext"/>
              <w:jc w:val="center"/>
            </w:pPr>
          </w:p>
        </w:tc>
        <w:tc>
          <w:tcPr>
            <w:tcW w:w="855" w:type="dxa"/>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Borders>
              <w:bottom w:val="single" w:sz="4" w:space="0" w:color="auto"/>
            </w:tcBorders>
          </w:tcPr>
          <w:p w:rsidR="00B43C57" w:rsidRPr="00F5723F" w:rsidRDefault="00B43C57">
            <w:pPr>
              <w:pStyle w:val="Tabelltext"/>
              <w:ind w:left="168"/>
            </w:pPr>
            <w:r w:rsidRPr="00F5723F">
              <w:t>Övrigt</w:t>
            </w:r>
          </w:p>
        </w:tc>
        <w:tc>
          <w:tcPr>
            <w:tcW w:w="1045" w:type="dxa"/>
            <w:tcBorders>
              <w:bottom w:val="single" w:sz="4" w:space="0" w:color="auto"/>
            </w:tcBorders>
          </w:tcPr>
          <w:p w:rsidR="00B43C57" w:rsidRPr="00F5723F" w:rsidRDefault="00B43C57">
            <w:pPr>
              <w:pStyle w:val="Tabelltext"/>
              <w:jc w:val="center"/>
            </w:pPr>
            <w:r w:rsidRPr="00F5723F">
              <w:t xml:space="preserve">1 t. </w:t>
            </w:r>
            <w:smartTag w:uri="urn:schemas-microsoft-com:office:smarttags" w:element="metricconverter">
              <w:smartTagPr>
                <w:attr w:name="ProductID" w:val="42 m"/>
              </w:smartTagPr>
              <w:r w:rsidRPr="00F5723F">
                <w:t>42 m</w:t>
              </w:r>
            </w:smartTag>
            <w:r w:rsidRPr="00F5723F">
              <w:t>.</w:t>
            </w:r>
          </w:p>
        </w:tc>
        <w:tc>
          <w:tcPr>
            <w:tcW w:w="1045" w:type="dxa"/>
            <w:tcBorders>
              <w:bottom w:val="single" w:sz="4" w:space="0" w:color="auto"/>
            </w:tcBorders>
          </w:tcPr>
          <w:p w:rsidR="00B43C57" w:rsidRPr="00F5723F" w:rsidRDefault="00B43C57">
            <w:pPr>
              <w:pStyle w:val="Tabelltext"/>
              <w:jc w:val="center"/>
            </w:pPr>
            <w:r w:rsidRPr="00F5723F">
              <w:t>3</w:t>
            </w:r>
          </w:p>
        </w:tc>
        <w:tc>
          <w:tcPr>
            <w:tcW w:w="1045" w:type="dxa"/>
            <w:tcBorders>
              <w:bottom w:val="single" w:sz="4" w:space="0" w:color="auto"/>
            </w:tcBorders>
          </w:tcPr>
          <w:p w:rsidR="00B43C57" w:rsidRPr="00F5723F" w:rsidRDefault="00B43C57">
            <w:pPr>
              <w:pStyle w:val="Tabelltext"/>
              <w:jc w:val="center"/>
            </w:pPr>
            <w:r w:rsidRPr="00F5723F">
              <w:t xml:space="preserve">1 t. </w:t>
            </w:r>
            <w:smartTag w:uri="urn:schemas-microsoft-com:office:smarttags" w:element="metricconverter">
              <w:smartTagPr>
                <w:attr w:name="ProductID" w:val="32 m"/>
              </w:smartTagPr>
              <w:r w:rsidRPr="00F5723F">
                <w:t>32 m</w:t>
              </w:r>
            </w:smartTag>
            <w:r w:rsidRPr="00F5723F">
              <w:t>.</w:t>
            </w:r>
          </w:p>
        </w:tc>
        <w:tc>
          <w:tcPr>
            <w:tcW w:w="950" w:type="dxa"/>
            <w:tcBorders>
              <w:bottom w:val="single" w:sz="4" w:space="0" w:color="auto"/>
            </w:tcBorders>
          </w:tcPr>
          <w:p w:rsidR="00B43C57" w:rsidRPr="00F5723F" w:rsidRDefault="00B43C57">
            <w:pPr>
              <w:pStyle w:val="Tabelltext"/>
              <w:jc w:val="center"/>
            </w:pPr>
            <w:r w:rsidRPr="00F5723F">
              <w:t>3</w:t>
            </w:r>
          </w:p>
        </w:tc>
        <w:tc>
          <w:tcPr>
            <w:tcW w:w="950" w:type="dxa"/>
            <w:tcBorders>
              <w:bottom w:val="single" w:sz="4" w:space="0" w:color="auto"/>
            </w:tcBorders>
          </w:tcPr>
          <w:p w:rsidR="00B43C57" w:rsidRPr="00F5723F" w:rsidRDefault="00B43C57">
            <w:pPr>
              <w:pStyle w:val="Tabelltext"/>
              <w:jc w:val="center"/>
            </w:pPr>
            <w:r w:rsidRPr="00F5723F">
              <w:t xml:space="preserve">3 t. </w:t>
            </w:r>
            <w:smartTag w:uri="urn:schemas-microsoft-com:office:smarttags" w:element="metricconverter">
              <w:smartTagPr>
                <w:attr w:name="ProductID" w:val="35 m"/>
              </w:smartTagPr>
              <w:r w:rsidRPr="00F5723F">
                <w:t>35 m</w:t>
              </w:r>
            </w:smartTag>
            <w:r w:rsidRPr="00F5723F">
              <w:t>.</w:t>
            </w:r>
          </w:p>
        </w:tc>
        <w:tc>
          <w:tcPr>
            <w:tcW w:w="950" w:type="dxa"/>
            <w:tcBorders>
              <w:bottom w:val="single" w:sz="4" w:space="0" w:color="auto"/>
            </w:tcBorders>
          </w:tcPr>
          <w:p w:rsidR="00B43C57" w:rsidRPr="00F5723F" w:rsidRDefault="00B43C57">
            <w:pPr>
              <w:pStyle w:val="Tabelltext"/>
              <w:jc w:val="center"/>
            </w:pPr>
            <w:r w:rsidRPr="00F5723F">
              <w:t>6</w:t>
            </w:r>
          </w:p>
        </w:tc>
        <w:tc>
          <w:tcPr>
            <w:tcW w:w="1045" w:type="dxa"/>
            <w:tcBorders>
              <w:bottom w:val="single" w:sz="4" w:space="0" w:color="auto"/>
            </w:tcBorders>
          </w:tcPr>
          <w:p w:rsidR="00B43C57" w:rsidRPr="00F5723F" w:rsidRDefault="00B43C57">
            <w:pPr>
              <w:pStyle w:val="Tabelltext"/>
              <w:jc w:val="center"/>
            </w:pPr>
            <w:r w:rsidRPr="00F5723F">
              <w:t xml:space="preserve">2 t. </w:t>
            </w:r>
            <w:smartTag w:uri="urn:schemas-microsoft-com:office:smarttags" w:element="metricconverter">
              <w:smartTagPr>
                <w:attr w:name="ProductID" w:val="50 m"/>
              </w:smartTagPr>
              <w:r w:rsidRPr="00F5723F">
                <w:t>50 m</w:t>
              </w:r>
            </w:smartTag>
            <w:r w:rsidRPr="00F5723F">
              <w:t>.</w:t>
            </w:r>
          </w:p>
        </w:tc>
        <w:tc>
          <w:tcPr>
            <w:tcW w:w="855" w:type="dxa"/>
            <w:tcBorders>
              <w:bottom w:val="single" w:sz="4" w:space="0" w:color="auto"/>
            </w:tcBorders>
          </w:tcPr>
          <w:p w:rsidR="00B43C57" w:rsidRPr="00F5723F" w:rsidRDefault="00B43C57">
            <w:pPr>
              <w:pStyle w:val="Tabelltext"/>
              <w:jc w:val="center"/>
            </w:pPr>
            <w:r w:rsidRPr="00F5723F">
              <w:t>6</w:t>
            </w:r>
          </w:p>
        </w:tc>
        <w:tc>
          <w:tcPr>
            <w:tcW w:w="855" w:type="dxa"/>
            <w:tcBorders>
              <w:bottom w:val="single" w:sz="4" w:space="0" w:color="auto"/>
            </w:tcBorders>
          </w:tcPr>
          <w:p w:rsidR="00B43C57" w:rsidRPr="00F5723F" w:rsidRDefault="00B43C57">
            <w:pPr>
              <w:pStyle w:val="Tabelltext"/>
              <w:jc w:val="center"/>
            </w:pPr>
            <w:r w:rsidRPr="00F5723F">
              <w:t>+</w:t>
            </w:r>
          </w:p>
        </w:tc>
      </w:tr>
      <w:tr w:rsidR="00000000" w:rsidRPr="00F5723F">
        <w:tblPrEx>
          <w:tblCellMar>
            <w:top w:w="0" w:type="dxa"/>
            <w:bottom w:w="0" w:type="dxa"/>
          </w:tblCellMar>
        </w:tblPrEx>
        <w:tc>
          <w:tcPr>
            <w:tcW w:w="2233" w:type="dxa"/>
            <w:tcBorders>
              <w:top w:val="single" w:sz="4" w:space="0" w:color="auto"/>
              <w:bottom w:val="single" w:sz="4" w:space="0" w:color="auto"/>
            </w:tcBorders>
          </w:tcPr>
          <w:p w:rsidR="00B43C57" w:rsidRPr="00F5723F" w:rsidRDefault="00B43C57">
            <w:pPr>
              <w:pStyle w:val="Tabelltext"/>
              <w:ind w:left="168" w:hanging="190"/>
            </w:pPr>
            <w:r w:rsidRPr="00F5723F">
              <w:t>Samma</w:t>
            </w:r>
            <w:r w:rsidRPr="00F5723F">
              <w:t>n</w:t>
            </w:r>
            <w:r w:rsidRPr="00F5723F">
              <w:t>lagt</w:t>
            </w:r>
          </w:p>
        </w:tc>
        <w:tc>
          <w:tcPr>
            <w:tcW w:w="1045" w:type="dxa"/>
            <w:tcBorders>
              <w:top w:val="single" w:sz="4" w:space="0" w:color="auto"/>
              <w:bottom w:val="single" w:sz="4" w:space="0" w:color="auto"/>
            </w:tcBorders>
          </w:tcPr>
          <w:p w:rsidR="00B43C57" w:rsidRPr="00F5723F" w:rsidRDefault="00B43C57">
            <w:pPr>
              <w:pStyle w:val="Tabelltext"/>
              <w:jc w:val="center"/>
            </w:pPr>
            <w:r w:rsidRPr="00F5723F">
              <w:t xml:space="preserve">57 t. </w:t>
            </w:r>
            <w:smartTag w:uri="urn:schemas-microsoft-com:office:smarttags" w:element="metricconverter">
              <w:smartTagPr>
                <w:attr w:name="ProductID" w:val="36 m"/>
              </w:smartTagPr>
              <w:r w:rsidRPr="00F5723F">
                <w:t>36 m</w:t>
              </w:r>
            </w:smartTag>
            <w:r w:rsidRPr="00F5723F">
              <w:t>.</w:t>
            </w:r>
          </w:p>
        </w:tc>
        <w:tc>
          <w:tcPr>
            <w:tcW w:w="1045" w:type="dxa"/>
            <w:tcBorders>
              <w:top w:val="single" w:sz="4" w:space="0" w:color="auto"/>
              <w:bottom w:val="single" w:sz="4" w:space="0" w:color="auto"/>
            </w:tcBorders>
          </w:tcPr>
          <w:p w:rsidR="00B43C57" w:rsidRPr="00F5723F" w:rsidRDefault="00B43C57">
            <w:pPr>
              <w:pStyle w:val="Tabelltext"/>
              <w:jc w:val="center"/>
            </w:pPr>
            <w:r w:rsidRPr="00F5723F">
              <w:t>100</w:t>
            </w:r>
          </w:p>
        </w:tc>
        <w:tc>
          <w:tcPr>
            <w:tcW w:w="1045" w:type="dxa"/>
            <w:tcBorders>
              <w:top w:val="single" w:sz="4" w:space="0" w:color="auto"/>
              <w:bottom w:val="single" w:sz="4" w:space="0" w:color="auto"/>
            </w:tcBorders>
          </w:tcPr>
          <w:p w:rsidR="00B43C57" w:rsidRPr="00F5723F" w:rsidRDefault="00B43C57">
            <w:pPr>
              <w:pStyle w:val="Tabelltext"/>
              <w:jc w:val="center"/>
            </w:pPr>
            <w:r w:rsidRPr="00F5723F">
              <w:t xml:space="preserve">53 t. </w:t>
            </w:r>
            <w:smartTag w:uri="urn:schemas-microsoft-com:office:smarttags" w:element="metricconverter">
              <w:smartTagPr>
                <w:attr w:name="ProductID" w:val="32 m"/>
              </w:smartTagPr>
              <w:r w:rsidRPr="00F5723F">
                <w:t>32 m</w:t>
              </w:r>
            </w:smartTag>
            <w:r w:rsidRPr="00F5723F">
              <w:t>.</w:t>
            </w:r>
          </w:p>
        </w:tc>
        <w:tc>
          <w:tcPr>
            <w:tcW w:w="950" w:type="dxa"/>
            <w:tcBorders>
              <w:top w:val="single" w:sz="4" w:space="0" w:color="auto"/>
              <w:bottom w:val="single" w:sz="4" w:space="0" w:color="auto"/>
            </w:tcBorders>
          </w:tcPr>
          <w:p w:rsidR="00B43C57" w:rsidRPr="00F5723F" w:rsidRDefault="00B43C57">
            <w:pPr>
              <w:pStyle w:val="Tabelltext"/>
              <w:jc w:val="center"/>
            </w:pPr>
            <w:r w:rsidRPr="00F5723F">
              <w:t>100</w:t>
            </w:r>
          </w:p>
        </w:tc>
        <w:tc>
          <w:tcPr>
            <w:tcW w:w="950" w:type="dxa"/>
            <w:tcBorders>
              <w:top w:val="single" w:sz="4" w:space="0" w:color="auto"/>
              <w:bottom w:val="single" w:sz="4" w:space="0" w:color="auto"/>
            </w:tcBorders>
          </w:tcPr>
          <w:p w:rsidR="00B43C57" w:rsidRPr="00F5723F" w:rsidRDefault="00B43C57">
            <w:pPr>
              <w:pStyle w:val="Tabelltext"/>
              <w:jc w:val="center"/>
            </w:pPr>
            <w:r w:rsidRPr="00F5723F">
              <w:t xml:space="preserve">55 t. </w:t>
            </w:r>
            <w:smartTag w:uri="urn:schemas-microsoft-com:office:smarttags" w:element="metricconverter">
              <w:smartTagPr>
                <w:attr w:name="ProductID" w:val="42 m"/>
              </w:smartTagPr>
              <w:r w:rsidRPr="00F5723F">
                <w:t>42 m</w:t>
              </w:r>
            </w:smartTag>
            <w:r w:rsidRPr="00F5723F">
              <w:t>.</w:t>
            </w:r>
          </w:p>
        </w:tc>
        <w:tc>
          <w:tcPr>
            <w:tcW w:w="950" w:type="dxa"/>
            <w:tcBorders>
              <w:top w:val="single" w:sz="4" w:space="0" w:color="auto"/>
              <w:bottom w:val="single" w:sz="4" w:space="0" w:color="auto"/>
            </w:tcBorders>
          </w:tcPr>
          <w:p w:rsidR="00B43C57" w:rsidRPr="00F5723F" w:rsidRDefault="00B43C57">
            <w:pPr>
              <w:pStyle w:val="Tabelltext"/>
              <w:jc w:val="center"/>
            </w:pPr>
            <w:r w:rsidRPr="00F5723F">
              <w:t>100</w:t>
            </w:r>
          </w:p>
        </w:tc>
        <w:tc>
          <w:tcPr>
            <w:tcW w:w="1045" w:type="dxa"/>
            <w:tcBorders>
              <w:top w:val="single" w:sz="4" w:space="0" w:color="auto"/>
              <w:bottom w:val="single" w:sz="4" w:space="0" w:color="auto"/>
            </w:tcBorders>
          </w:tcPr>
          <w:p w:rsidR="00B43C57" w:rsidRPr="00F5723F" w:rsidRDefault="00B43C57">
            <w:pPr>
              <w:pStyle w:val="Tabelltext"/>
              <w:jc w:val="center"/>
            </w:pPr>
            <w:r w:rsidRPr="00F5723F">
              <w:t xml:space="preserve">52 t. </w:t>
            </w:r>
            <w:smartTag w:uri="urn:schemas-microsoft-com:office:smarttags" w:element="metricconverter">
              <w:smartTagPr>
                <w:attr w:name="ProductID" w:val="51 m"/>
              </w:smartTagPr>
              <w:r w:rsidRPr="00F5723F">
                <w:t>51 m</w:t>
              </w:r>
            </w:smartTag>
            <w:r w:rsidRPr="00F5723F">
              <w:t>.</w:t>
            </w:r>
          </w:p>
        </w:tc>
        <w:tc>
          <w:tcPr>
            <w:tcW w:w="855" w:type="dxa"/>
            <w:tcBorders>
              <w:top w:val="single" w:sz="4" w:space="0" w:color="auto"/>
              <w:bottom w:val="single" w:sz="4" w:space="0" w:color="auto"/>
            </w:tcBorders>
          </w:tcPr>
          <w:p w:rsidR="00B43C57" w:rsidRPr="00F5723F" w:rsidRDefault="00B43C57">
            <w:pPr>
              <w:pStyle w:val="Tabelltext"/>
              <w:jc w:val="center"/>
            </w:pPr>
            <w:r w:rsidRPr="00F5723F">
              <w:t>100</w:t>
            </w:r>
          </w:p>
        </w:tc>
        <w:tc>
          <w:tcPr>
            <w:tcW w:w="855" w:type="dxa"/>
            <w:tcBorders>
              <w:top w:val="single" w:sz="4" w:space="0" w:color="auto"/>
              <w:bottom w:val="single" w:sz="4" w:space="0" w:color="auto"/>
            </w:tcBorders>
          </w:tcPr>
          <w:p w:rsidR="00B43C57" w:rsidRPr="00F5723F" w:rsidRDefault="00B43C57">
            <w:pPr>
              <w:pStyle w:val="Tabelltext"/>
              <w:jc w:val="center"/>
            </w:pPr>
          </w:p>
        </w:tc>
      </w:tr>
    </w:tbl>
    <w:p w:rsidR="00B43C57" w:rsidRPr="00F5723F" w:rsidRDefault="00B43C57">
      <w:pPr>
        <w:spacing w:before="187" w:line="240" w:lineRule="auto"/>
        <w:ind w:left="190" w:right="281"/>
        <w:rPr>
          <w:rFonts w:ascii="Arial" w:hAnsi="Arial" w:cs="Arial"/>
          <w:sz w:val="14"/>
          <w:szCs w:val="14"/>
        </w:rPr>
      </w:pPr>
      <w:r w:rsidRPr="00F5723F">
        <w:rPr>
          <w:rFonts w:ascii="Arial" w:hAnsi="Arial" w:cs="Arial"/>
          <w:b/>
          <w:sz w:val="14"/>
          <w:szCs w:val="14"/>
        </w:rPr>
        <w:t>Kommentar</w:t>
      </w:r>
      <w:r w:rsidRPr="00F5723F">
        <w:rPr>
          <w:rFonts w:ascii="Arial" w:hAnsi="Arial" w:cs="Arial"/>
          <w:sz w:val="14"/>
          <w:szCs w:val="14"/>
        </w:rPr>
        <w:t xml:space="preserve">: * Kategorierna var gemensam i undersökningarna 1974 och 1977. ** Kategorierna fanns inte med i undersökningarna 1985 och 2004. </w:t>
      </w:r>
      <w:r w:rsidRPr="00F5723F">
        <w:rPr>
          <w:rFonts w:ascii="Arial" w:hAnsi="Arial" w:cs="Arial"/>
          <w:b/>
          <w:sz w:val="14"/>
          <w:szCs w:val="14"/>
        </w:rPr>
        <w:t>Källa:</w:t>
      </w:r>
      <w:r w:rsidRPr="00F5723F">
        <w:rPr>
          <w:rFonts w:ascii="Arial" w:hAnsi="Arial" w:cs="Arial"/>
          <w:sz w:val="14"/>
          <w:szCs w:val="14"/>
        </w:rPr>
        <w:t xml:space="preserve"> Förslag 1975/76:15, s. 78; förslag 1978/79:15, s. 26; SOU 1986:27, s. 19 samt Riksdagskommitténs dagbok</w:t>
      </w:r>
      <w:r w:rsidRPr="00F5723F">
        <w:rPr>
          <w:rFonts w:ascii="Arial" w:hAnsi="Arial" w:cs="Arial"/>
          <w:sz w:val="14"/>
          <w:szCs w:val="14"/>
        </w:rPr>
        <w:t>s</w:t>
      </w:r>
      <w:r w:rsidRPr="00F5723F">
        <w:rPr>
          <w:rFonts w:ascii="Arial" w:hAnsi="Arial" w:cs="Arial"/>
          <w:sz w:val="14"/>
          <w:szCs w:val="14"/>
        </w:rPr>
        <w:t>studie 2004. Antalet svarande ledamöter år 2004 var 252.</w:t>
      </w:r>
    </w:p>
    <w:p w:rsidR="00B43C57" w:rsidRPr="00F5723F" w:rsidRDefault="00B43C57">
      <w:pPr>
        <w:pStyle w:val="Normaltindrag"/>
        <w:sectPr w:rsidR="00000000" w:rsidRPr="00F5723F">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2409" w:right="1020" w:bottom="2409" w:left="4422" w:header="340" w:footer="227" w:gutter="0"/>
          <w:cols w:space="720"/>
          <w:titlePg/>
          <w:docGrid w:linePitch="258"/>
        </w:sectPr>
      </w:pPr>
    </w:p>
    <w:p w:rsidR="00B43C57" w:rsidRPr="00F5723F" w:rsidRDefault="00B43C57">
      <w:pPr>
        <w:pStyle w:val="Tabellrubrik"/>
        <w:spacing w:before="0"/>
        <w:ind w:left="680" w:hanging="680"/>
        <w:rPr>
          <w:spacing w:val="0"/>
          <w:szCs w:val="14"/>
        </w:rPr>
      </w:pPr>
      <w:r w:rsidRPr="00F5723F">
        <w:t xml:space="preserve">Figur 2 </w:t>
      </w:r>
      <w:r w:rsidRPr="00F5723F">
        <w:t xml:space="preserve"> </w:t>
      </w:r>
      <w:r w:rsidRPr="00F5723F">
        <w:rPr>
          <w:spacing w:val="0"/>
          <w:szCs w:val="14"/>
        </w:rPr>
        <w:t>Riksdagsledamöternas tidsbudget efter olika up</w:t>
      </w:r>
      <w:r w:rsidRPr="00F5723F">
        <w:rPr>
          <w:spacing w:val="0"/>
          <w:szCs w:val="14"/>
        </w:rPr>
        <w:t>p</w:t>
      </w:r>
      <w:r w:rsidRPr="00F5723F">
        <w:rPr>
          <w:spacing w:val="0"/>
          <w:szCs w:val="14"/>
        </w:rPr>
        <w:t>gifter 1974–2004</w:t>
      </w:r>
    </w:p>
    <w:p w:rsidR="00B43C57" w:rsidRPr="00F5723F" w:rsidRDefault="00F5723F">
      <w:pPr>
        <w:pStyle w:val="Tabelltext"/>
      </w:pPr>
      <w:r w:rsidRPr="00F5723F">
        <w:rPr>
          <w:noProof/>
        </w:rPr>
        <mc:AlternateContent>
          <mc:Choice Requires="wps">
            <w:drawing>
              <wp:anchor distT="0" distB="0" distL="114300" distR="114300" simplePos="0" relativeHeight="251671552" behindDoc="0" locked="0" layoutInCell="1" allowOverlap="1">
                <wp:simplePos x="0" y="0"/>
                <wp:positionH relativeFrom="column">
                  <wp:posOffset>-60325</wp:posOffset>
                </wp:positionH>
                <wp:positionV relativeFrom="paragraph">
                  <wp:posOffset>17145</wp:posOffset>
                </wp:positionV>
                <wp:extent cx="542925" cy="228600"/>
                <wp:effectExtent l="0" t="0" r="0" b="0"/>
                <wp:wrapNone/>
                <wp:docPr id="16312081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spacing w:before="0" w:line="240" w:lineRule="atLeast"/>
                              <w:rPr>
                                <w:rFonts w:ascii="Arial" w:hAnsi="Arial" w:cs="Arial"/>
                                <w:sz w:val="13"/>
                                <w:szCs w:val="13"/>
                              </w:rPr>
                            </w:pPr>
                            <w:r w:rsidRPr="00F5723F">
                              <w:rPr>
                                <w:rFonts w:ascii="Arial" w:hAnsi="Arial" w:cs="Arial"/>
                                <w:sz w:val="13"/>
                                <w:szCs w:val="13"/>
                              </w:rPr>
                              <w:t>m</w:t>
                            </w:r>
                            <w:r w:rsidRPr="00F5723F">
                              <w:rPr>
                                <w:rFonts w:ascii="Arial" w:hAnsi="Arial" w:cs="Arial"/>
                                <w:sz w:val="13"/>
                                <w:szCs w:val="13"/>
                              </w:rPr>
                              <w:t>i</w:t>
                            </w:r>
                            <w:r w:rsidRPr="00F5723F">
                              <w:rPr>
                                <w:rFonts w:ascii="Arial" w:hAnsi="Arial" w:cs="Arial"/>
                                <w:sz w:val="13"/>
                                <w:szCs w:val="13"/>
                              </w:rPr>
                              <w:t>nuter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040" type="#_x0000_t202" style="position:absolute;margin-left:-4.75pt;margin-top:1.35pt;width:42.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" stroked="f">
                <v:textbox>
                  <w:txbxContent>
                    <w:p w:rsidR="00B43C57" w:rsidRPr="00F5723F" w:rsidRDefault="00B43C57">
                      <w:pPr>
                        <w:spacing w:before="0" w:line="240" w:lineRule="atLeast"/>
                        <w:rPr>
                          <w:rFonts w:ascii="Arial" w:hAnsi="Arial" w:cs="Arial"/>
                          <w:sz w:val="13"/>
                          <w:szCs w:val="13"/>
                        </w:rPr>
                      </w:pPr>
                      <w:r w:rsidRPr="00F5723F">
                        <w:rPr>
                          <w:rFonts w:ascii="Arial" w:hAnsi="Arial" w:cs="Arial"/>
                          <w:sz w:val="13"/>
                          <w:szCs w:val="13"/>
                        </w:rPr>
                        <w:t>m</w:t>
                      </w:r>
                      <w:r w:rsidRPr="00F5723F">
                        <w:rPr>
                          <w:rFonts w:ascii="Arial" w:hAnsi="Arial" w:cs="Arial"/>
                          <w:sz w:val="13"/>
                          <w:szCs w:val="13"/>
                        </w:rPr>
                        <w:t>i</w:t>
                      </w:r>
                      <w:r w:rsidRPr="00F5723F">
                        <w:rPr>
                          <w:rFonts w:ascii="Arial" w:hAnsi="Arial" w:cs="Arial"/>
                          <w:sz w:val="13"/>
                          <w:szCs w:val="13"/>
                        </w:rPr>
                        <w:t>nuter</w:t>
                      </w:r>
                    </w:p>
                  </w:txbxContent>
                </v:textbox>
              </v:shape>
            </w:pict>
          </mc:Fallback>
        </mc:AlternateContent>
      </w:r>
    </w:p>
    <w:p w:rsidR="00B43C57" w:rsidRPr="00F5723F" w:rsidRDefault="00F5723F">
      <w:r w:rsidRPr="00F5723F">
        <w:rPr>
          <w:noProof/>
        </w:rPr>
        <mc:AlternateContent>
          <mc:Choice Requires="wps">
            <w:drawing>
              <wp:anchor distT="0" distB="0" distL="114300" distR="114300" simplePos="0" relativeHeight="251672576" behindDoc="0" locked="0" layoutInCell="1" allowOverlap="1">
                <wp:simplePos x="0" y="0"/>
                <wp:positionH relativeFrom="column">
                  <wp:posOffset>2654300</wp:posOffset>
                </wp:positionH>
                <wp:positionV relativeFrom="paragraph">
                  <wp:posOffset>1947545</wp:posOffset>
                </wp:positionV>
                <wp:extent cx="363855" cy="342900"/>
                <wp:effectExtent l="0" t="0" r="0" b="0"/>
                <wp:wrapNone/>
                <wp:docPr id="171819551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C57" w:rsidRPr="00F5723F" w:rsidRDefault="00B43C57">
                            <w:pPr>
                              <w:spacing w:before="0" w:line="240" w:lineRule="auto"/>
                              <w:rPr>
                                <w:rFonts w:ascii="Arial" w:hAnsi="Arial" w:cs="Arial"/>
                                <w:sz w:val="13"/>
                                <w:szCs w:val="13"/>
                              </w:rPr>
                            </w:pPr>
                            <w:r w:rsidRPr="00F5723F">
                              <w:rPr>
                                <w:rFonts w:ascii="Arial" w:hAnsi="Arial" w:cs="Arial"/>
                                <w:sz w:val="13"/>
                                <w:szCs w:val="13"/>
                              </w:rPr>
                              <w:t>år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041" type="#_x0000_t202" style="position:absolute;left:0;text-align:left;margin-left:209pt;margin-top:153.35pt;width:28.6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" stroked="f">
                <v:textbox>
                  <w:txbxContent>
                    <w:p w:rsidR="00B43C57" w:rsidRPr="00F5723F" w:rsidRDefault="00B43C57">
                      <w:pPr>
                        <w:spacing w:before="0" w:line="240" w:lineRule="auto"/>
                        <w:rPr>
                          <w:rFonts w:ascii="Arial" w:hAnsi="Arial" w:cs="Arial"/>
                          <w:sz w:val="13"/>
                          <w:szCs w:val="13"/>
                        </w:rPr>
                      </w:pPr>
                      <w:r w:rsidRPr="00F5723F">
                        <w:rPr>
                          <w:rFonts w:ascii="Arial" w:hAnsi="Arial" w:cs="Arial"/>
                          <w:sz w:val="13"/>
                          <w:szCs w:val="13"/>
                        </w:rPr>
                        <w:t>år</w:t>
                      </w:r>
                    </w:p>
                  </w:txbxContent>
                </v:textbox>
              </v:shape>
            </w:pict>
          </mc:Fallback>
        </mc:AlternateContent>
      </w:r>
      <w:r w:rsidRPr="00F5723F">
        <w:rPr>
          <w:noProof/>
        </w:rPr>
        <w:drawing>
          <wp:inline distT="0" distB="0" distL="0" distR="0">
            <wp:extent cx="2699385" cy="386969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9385" cy="3869690"/>
                    </a:xfrm>
                    <a:prstGeom prst="rect">
                      <a:avLst/>
                    </a:prstGeom>
                    <a:noFill/>
                    <a:ln>
                      <a:noFill/>
                    </a:ln>
                  </pic:spPr>
                </pic:pic>
              </a:graphicData>
            </a:graphic>
          </wp:inline>
        </w:drawing>
      </w:r>
    </w:p>
    <w:p w:rsidR="00B43C57" w:rsidRPr="00F5723F" w:rsidRDefault="00B43C57">
      <w:pPr>
        <w:spacing w:before="0"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I figuren redovisas arbetstiden, mätt i minuter, för respektive up</w:t>
      </w:r>
      <w:r w:rsidRPr="00F5723F">
        <w:rPr>
          <w:rFonts w:ascii="Arial" w:hAnsi="Arial" w:cs="Arial"/>
          <w:sz w:val="16"/>
          <w:szCs w:val="16"/>
        </w:rPr>
        <w:t>p</w:t>
      </w:r>
      <w:r w:rsidRPr="00F5723F">
        <w:rPr>
          <w:rFonts w:ascii="Arial" w:hAnsi="Arial" w:cs="Arial"/>
          <w:sz w:val="16"/>
          <w:szCs w:val="16"/>
        </w:rPr>
        <w:t>gift 1974, 197</w:t>
      </w:r>
      <w:r w:rsidRPr="00F5723F">
        <w:rPr>
          <w:rFonts w:ascii="Arial" w:hAnsi="Arial" w:cs="Arial"/>
          <w:sz w:val="16"/>
          <w:szCs w:val="16"/>
        </w:rPr>
        <w:t>7, 1985 och 2002 (jfr tabell 2</w:t>
      </w:r>
      <w:r w:rsidRPr="00F5723F">
        <w:rPr>
          <w:rFonts w:ascii="Arial" w:hAnsi="Arial" w:cs="Arial"/>
          <w:sz w:val="16"/>
          <w:szCs w:val="16"/>
        </w:rPr>
        <w:t>). Resultaten bygger på Riksdagskommi</w:t>
      </w:r>
      <w:r w:rsidRPr="00F5723F">
        <w:rPr>
          <w:rFonts w:ascii="Arial" w:hAnsi="Arial" w:cs="Arial"/>
          <w:sz w:val="16"/>
          <w:szCs w:val="16"/>
        </w:rPr>
        <w:t>t</w:t>
      </w:r>
      <w:r w:rsidRPr="00F5723F">
        <w:rPr>
          <w:rFonts w:ascii="Arial" w:hAnsi="Arial" w:cs="Arial"/>
          <w:sz w:val="16"/>
          <w:szCs w:val="16"/>
        </w:rPr>
        <w:t>téns dagbokstudie 2004.</w:t>
      </w:r>
    </w:p>
    <w:p w:rsidR="00B43C57" w:rsidRPr="00F5723F" w:rsidRDefault="00B43C57"/>
    <w:p w:rsidR="00B43C57" w:rsidRPr="00F5723F" w:rsidRDefault="00B43C57">
      <w:r w:rsidRPr="00F5723F">
        <w:t>Ledamöterna uppger sig i genomsnitt ha varit verksamma omkring 56 timmar under undersökningsveckan med arbetsuppgifter i anknytning till riksdag</w:t>
      </w:r>
      <w:r w:rsidRPr="00F5723F">
        <w:t>s</w:t>
      </w:r>
      <w:r w:rsidRPr="00F5723F">
        <w:t>uppdraget. Om vi, för jämfö</w:t>
      </w:r>
      <w:r w:rsidRPr="00F5723F">
        <w:t>r</w:t>
      </w:r>
      <w:r w:rsidRPr="00F5723F">
        <w:t>barhetens skull, begränsar oss till att analysera den genomsnittliga arbetstiden under må</w:t>
      </w:r>
      <w:r w:rsidRPr="00F5723F">
        <w:t>n</w:t>
      </w:r>
      <w:r w:rsidRPr="00F5723F">
        <w:t>dag–lördag uppgick den till knappa 53 timmar. När motsvarande unde</w:t>
      </w:r>
      <w:r w:rsidRPr="00F5723F">
        <w:t>r</w:t>
      </w:r>
      <w:r w:rsidRPr="00F5723F">
        <w:t>sökning genomfördes 1974 uppmättes den genomsnittliga arbetsveckan måndag–lördag till 57 ti</w:t>
      </w:r>
      <w:r w:rsidRPr="00F5723F">
        <w:t>m</w:t>
      </w:r>
      <w:r w:rsidRPr="00F5723F">
        <w:t>mar och 42 minuter. 1977 uppgick den till 53 timmar och 32 minuter. I 1985 års undersökning uppgav sig ledamöterna i genomsnitt ha ägnat 55 timmar och 42 minuter åt arbetsuppgifter i anknytning till riksdagsuppdr</w:t>
      </w:r>
      <w:r w:rsidRPr="00F5723F">
        <w:t>a</w:t>
      </w:r>
      <w:r w:rsidRPr="00F5723F">
        <w:t xml:space="preserve">get. </w:t>
      </w:r>
    </w:p>
    <w:p w:rsidR="00B43C57" w:rsidRPr="00F5723F" w:rsidRDefault="00B43C57">
      <w:pPr>
        <w:pStyle w:val="Normaltindrag"/>
      </w:pPr>
      <w:r w:rsidRPr="00F5723F">
        <w:t>Även om undersö</w:t>
      </w:r>
      <w:r w:rsidRPr="00F5723F">
        <w:t>kningarna inte är alldeles jämförbara till följd av skilln</w:t>
      </w:r>
      <w:r w:rsidRPr="00F5723F">
        <w:t>a</w:t>
      </w:r>
      <w:r w:rsidRPr="00F5723F">
        <w:t>der i avgränsningar, kategoriindelningar och val av undersökningsvecka, bör slutsatsen kunna dras att några större förändringar i riksdagsledamöternas totala arbetssituation inte har inträffat under den trettioårsperiod som kan överblickas med hjälp av inte mindre än fyra tidsbudgetstudier med riksd</w:t>
      </w:r>
      <w:r w:rsidRPr="00F5723F">
        <w:t>a</w:t>
      </w:r>
      <w:r w:rsidRPr="00F5723F">
        <w:t xml:space="preserve">gens samtliga ledamöter. Arbetstiden är fortfarande mycket omfattande och överstiger klart den normala arbetstidsreglerade arbetsveckans fyrtio timmar. </w:t>
      </w:r>
      <w:r w:rsidRPr="00F5723F">
        <w:t>Även ett stort kompar</w:t>
      </w:r>
      <w:r w:rsidRPr="00F5723F">
        <w:t>a</w:t>
      </w:r>
      <w:r w:rsidRPr="00F5723F">
        <w:t>tivt forskningsprojekt om makteliter i Sverige visar att politiker, och då inte enbart riksdagsledamöter, är en grupp som jobbar myc</w:t>
      </w:r>
      <w:r w:rsidRPr="00F5723F">
        <w:t>k</w:t>
      </w:r>
      <w:r w:rsidRPr="00F5723F">
        <w:t>et mer än andra elitgrupper i samhället.</w:t>
      </w:r>
      <w:r w:rsidRPr="00F5723F">
        <w:rPr>
          <w:rStyle w:val="Fotnotsreferens"/>
          <w:rFonts w:ascii="Garamond" w:hAnsi="Garamond"/>
        </w:rPr>
        <w:footnoteReference w:id="109"/>
      </w:r>
      <w:r w:rsidRPr="00F5723F">
        <w:t xml:space="preserve"> </w:t>
      </w:r>
    </w:p>
    <w:p w:rsidR="00B43C57" w:rsidRPr="00F5723F" w:rsidRDefault="00B43C57">
      <w:pPr>
        <w:pStyle w:val="Normaltindrag"/>
      </w:pPr>
      <w:r w:rsidRPr="00F5723F">
        <w:t>Redan Arbetsformsutredningen drog slutsatsen att små förändringar hade inträffat mellan 1974 och 1977. Den nedgång i det totala antalet a</w:t>
      </w:r>
      <w:r w:rsidRPr="00F5723F">
        <w:t>r</w:t>
      </w:r>
      <w:r w:rsidRPr="00F5723F">
        <w:t>betstimmar som kunde iakttas (4 timmar och 10 minuter) menade man förklarades av tillfälliga variationer i antalet plenitimmar under undersökning</w:t>
      </w:r>
      <w:r w:rsidRPr="00F5723F">
        <w:t>s</w:t>
      </w:r>
      <w:r w:rsidRPr="00F5723F">
        <w:t>veckorna; antalet plenitimmar 1974 uppgick till 27 medan det 1977 uppgick till 18 timmar. Undersökningarna 1985 och 2004 förstärker bilden av stabil</w:t>
      </w:r>
      <w:r w:rsidRPr="00F5723F">
        <w:t>i</w:t>
      </w:r>
      <w:r w:rsidRPr="00F5723F">
        <w:t>tet.</w:t>
      </w:r>
    </w:p>
    <w:p w:rsidR="00B43C57" w:rsidRPr="00F5723F" w:rsidRDefault="00B43C57">
      <w:pPr>
        <w:pStyle w:val="Normaltindrag"/>
      </w:pPr>
      <w:r w:rsidRPr="00F5723F">
        <w:t>Även om jämförelsen mellan 1974 och 2004 tyder på att arbetssituati</w:t>
      </w:r>
      <w:r w:rsidRPr="00F5723F">
        <w:t>o</w:t>
      </w:r>
      <w:r w:rsidRPr="00F5723F">
        <w:t>nen skulle vara mindre nu än då kan det finnas anledning att vara något försiktig med en sådan slutsats. Någon egentlig grund för att anta att riksdagsledam</w:t>
      </w:r>
      <w:r w:rsidRPr="00F5723F">
        <w:t>ö</w:t>
      </w:r>
      <w:r w:rsidRPr="00F5723F">
        <w:t>ternas arbetssituation skulle ha min</w:t>
      </w:r>
      <w:r w:rsidRPr="00F5723F">
        <w:t>s</w:t>
      </w:r>
      <w:r w:rsidRPr="00F5723F">
        <w:t>kat sedan mitten av 1970-talet finns inte om vi beaktar att det i 1974 och 1977 års siffror har inberä</w:t>
      </w:r>
      <w:r w:rsidRPr="00F5723F">
        <w:t>k</w:t>
      </w:r>
      <w:r w:rsidRPr="00F5723F">
        <w:t>nats såväl tid för yrkesarbete som för resor. Dessa kategorier har i senare undersökningar ut</w:t>
      </w:r>
      <w:r w:rsidRPr="00F5723F">
        <w:t>e</w:t>
      </w:r>
      <w:r w:rsidRPr="00F5723F">
        <w:t>lämnats.</w:t>
      </w:r>
    </w:p>
    <w:p w:rsidR="00B43C57" w:rsidRPr="00F5723F" w:rsidRDefault="00B43C57">
      <w:pPr>
        <w:pStyle w:val="Normaltindrag"/>
      </w:pPr>
      <w:r w:rsidRPr="00F5723F">
        <w:t>Slutsatsen om en omfattande arbetstid bekräftar de studier som geno</w:t>
      </w:r>
      <w:r w:rsidRPr="00F5723F">
        <w:t>m</w:t>
      </w:r>
      <w:r w:rsidRPr="00F5723F">
        <w:t>förts i andra länder, till exempel i Danmark.</w:t>
      </w:r>
      <w:r w:rsidRPr="00F5723F">
        <w:rPr>
          <w:rStyle w:val="Fotnotsreferens"/>
        </w:rPr>
        <w:footnoteReference w:id="110"/>
      </w:r>
      <w:r w:rsidRPr="00F5723F">
        <w:t xml:space="preserve"> En av Torben K. Jensens slutsatser är att ledamöterna av Folketinget är ”myreflittige”.</w:t>
      </w:r>
      <w:r w:rsidRPr="00F5723F">
        <w:rPr>
          <w:rStyle w:val="Fotnotsreferens"/>
        </w:rPr>
        <w:footnoteReference w:id="111"/>
      </w:r>
      <w:r w:rsidRPr="00F5723F">
        <w:t xml:space="preserve"> Jensen har dock kunnat ide</w:t>
      </w:r>
      <w:r w:rsidRPr="00F5723F">
        <w:t>n</w:t>
      </w:r>
      <w:r w:rsidRPr="00F5723F">
        <w:t>tifiera tre huvudtyper av ledamöter. Han skiljer mellan ”døgnbrænderne”, ”fuldtidspolitikerne” och ”deltidspolitike</w:t>
      </w:r>
      <w:r w:rsidRPr="00F5723F">
        <w:t>r</w:t>
      </w:r>
      <w:r w:rsidRPr="00F5723F">
        <w:t>ne”. Den första kategorin ägnar hela sin vakna tid åt sitt politiska uppdrag medan fulltid</w:t>
      </w:r>
      <w:r w:rsidRPr="00F5723F">
        <w:t>s</w:t>
      </w:r>
      <w:r w:rsidRPr="00F5723F">
        <w:t>politikern har en mer normal, eller till och med omfattande, arbetstid. Deltidspolitikerna är de l</w:t>
      </w:r>
      <w:r w:rsidRPr="00F5723F">
        <w:t>e</w:t>
      </w:r>
      <w:r w:rsidRPr="00F5723F">
        <w:t>damöter av Folketinget som har annat arbete vid sidan av uppdraget på Chri</w:t>
      </w:r>
      <w:r w:rsidRPr="00F5723F">
        <w:t>s</w:t>
      </w:r>
      <w:r w:rsidRPr="00F5723F">
        <w:t>tiansborg i form av egna företag, kommunala respektive regionala uppdrag, borgmästaruppdrag eller annan</w:t>
      </w:r>
      <w:r w:rsidRPr="00F5723F">
        <w:t xml:space="preserve"> anstäl</w:t>
      </w:r>
      <w:r w:rsidRPr="00F5723F">
        <w:t>l</w:t>
      </w:r>
      <w:r w:rsidRPr="00F5723F">
        <w:t xml:space="preserve">ning. Den senare kategorin är ovanlig i Sverige. </w:t>
      </w:r>
    </w:p>
    <w:p w:rsidR="00B43C57" w:rsidRPr="00F5723F" w:rsidRDefault="00B43C57">
      <w:pPr>
        <w:pStyle w:val="Normaltindrag"/>
      </w:pPr>
      <w:r w:rsidRPr="00F5723F">
        <w:t xml:space="preserve"> I tabellens högra kolumn illustreras en analys av hur tidsomfattningen av olika uppgifter har ändrats över tid (mellan 1974 och 2004). För att skilja stora och små förändringar används olika tecken. En ökning av nedlagd a</w:t>
      </w:r>
      <w:r w:rsidRPr="00F5723F">
        <w:t>r</w:t>
      </w:r>
      <w:r w:rsidRPr="00F5723F">
        <w:t>betstid på maximalt två timmar markeras med +, medan en större tidsförän</w:t>
      </w:r>
      <w:r w:rsidRPr="00F5723F">
        <w:t>d</w:t>
      </w:r>
      <w:r w:rsidRPr="00F5723F">
        <w:t>ring markeras med ++. På motsvarande sätt markeras en minskad a</w:t>
      </w:r>
      <w:r w:rsidRPr="00F5723F">
        <w:t>r</w:t>
      </w:r>
      <w:r w:rsidRPr="00F5723F">
        <w:t xml:space="preserve">betstid med – (för en minskning med maximalt två timmar) och – (för en minskning som är större än två timmar). </w:t>
      </w:r>
    </w:p>
    <w:p w:rsidR="00B43C57" w:rsidRPr="00F5723F" w:rsidRDefault="00B43C57">
      <w:pPr>
        <w:pStyle w:val="Normaltindrag"/>
      </w:pPr>
      <w:r w:rsidRPr="00F5723F">
        <w:t>Några uppgifter har ökat kraftigt i tidsomfattning. Det gäller kontaktver</w:t>
      </w:r>
      <w:r w:rsidRPr="00F5723F">
        <w:t>k</w:t>
      </w:r>
      <w:r w:rsidRPr="00F5723F">
        <w:t>samhet och uppvaktningar i form av samma</w:t>
      </w:r>
      <w:r w:rsidRPr="00F5723F">
        <w:t>n</w:t>
      </w:r>
      <w:r w:rsidRPr="00F5723F">
        <w:t>träffanden med grupper av olika slag och besök av enskilda. I denna kategori inräknas också besvarande av brev, och i 2004 års undersökning, besvara</w:t>
      </w:r>
      <w:r w:rsidRPr="00F5723F">
        <w:t>n</w:t>
      </w:r>
      <w:r w:rsidRPr="00F5723F">
        <w:t xml:space="preserve">de av e-post. </w:t>
      </w:r>
    </w:p>
    <w:p w:rsidR="00B43C57" w:rsidRPr="00F5723F" w:rsidRDefault="00B43C57">
      <w:pPr>
        <w:pStyle w:val="Normaltindrag"/>
      </w:pPr>
      <w:r w:rsidRPr="00F5723F">
        <w:t xml:space="preserve">En annan kategori som tar betydligt större tid i anspråk 2004 jämfört med 1974 är föredrag och mediemedverkan samt det allmänna inläsnings- och studiearbetet. Dessa aktiviteter har ökat från drygt 8 timmar till drygt 12 timmar. </w:t>
      </w:r>
    </w:p>
    <w:p w:rsidR="00B43C57" w:rsidRPr="00F5723F" w:rsidRDefault="00B43C57">
      <w:pPr>
        <w:pStyle w:val="Normaltindrag"/>
      </w:pPr>
      <w:r w:rsidRPr="00F5723F">
        <w:t>En ökning av nedlagd arbetstid på aktiviteterna deltagande i kammardeba</w:t>
      </w:r>
      <w:r w:rsidRPr="00F5723F">
        <w:t>t</w:t>
      </w:r>
      <w:r w:rsidRPr="00F5723F">
        <w:t>ten, utskottsarb</w:t>
      </w:r>
      <w:r w:rsidRPr="00F5723F">
        <w:t>e</w:t>
      </w:r>
      <w:r w:rsidRPr="00F5723F">
        <w:t>tet, riksdagsgruppsarbetet och partiarbetet i övrigt kan vidare iakttas i materialet. Även kat</w:t>
      </w:r>
      <w:r w:rsidRPr="00F5723F">
        <w:t>e</w:t>
      </w:r>
      <w:r w:rsidRPr="00F5723F">
        <w:t>gorin övrigt har ökat (från knappt 2 timmar till knappt 3 timmar). I 2004 års undersökning har vissa internationella akt</w:t>
      </w:r>
      <w:r w:rsidRPr="00F5723F">
        <w:t>i</w:t>
      </w:r>
      <w:r w:rsidRPr="00F5723F">
        <w:t xml:space="preserve">viteter hänförts till denna kategori. </w:t>
      </w:r>
    </w:p>
    <w:p w:rsidR="00B43C57" w:rsidRPr="00F5723F" w:rsidRDefault="00B43C57">
      <w:pPr>
        <w:pStyle w:val="Normaltindrag"/>
      </w:pPr>
      <w:r w:rsidRPr="00F5723F">
        <w:t>Att följa kammardebatten och kommunala uppdrag har blivit en allt min</w:t>
      </w:r>
      <w:r w:rsidRPr="00F5723F">
        <w:t>d</w:t>
      </w:r>
      <w:r w:rsidRPr="00F5723F">
        <w:t>re tidskrävande uppgift för riksdagsledamöterna. Också tiden som ledamöte</w:t>
      </w:r>
      <w:r w:rsidRPr="00F5723F">
        <w:t>r</w:t>
      </w:r>
      <w:r w:rsidRPr="00F5723F">
        <w:t>na lägger ned på deltagandet i statliga utredningar och styrelser samt i organ</w:t>
      </w:r>
      <w:r w:rsidRPr="00F5723F">
        <w:t>i</w:t>
      </w:r>
      <w:r w:rsidRPr="00F5723F">
        <w:t>sationer av olika slag har min</w:t>
      </w:r>
      <w:r w:rsidRPr="00F5723F">
        <w:t>s</w:t>
      </w:r>
      <w:r w:rsidRPr="00F5723F">
        <w:t xml:space="preserve">kat. </w:t>
      </w:r>
    </w:p>
    <w:p w:rsidR="00B43C57" w:rsidRPr="00F5723F" w:rsidRDefault="00B43C57">
      <w:pPr>
        <w:pStyle w:val="Normaltindrag"/>
      </w:pPr>
      <w:r w:rsidRPr="00F5723F">
        <w:t>Den totala tid som ledamöter ägnar åt inåtriktad riksdagsverksamhet har minskat mellan 1974 och 2004. I procent räknat är minskningen av arbetst</w:t>
      </w:r>
      <w:r w:rsidRPr="00F5723F">
        <w:t>i</w:t>
      </w:r>
      <w:r w:rsidRPr="00F5723F">
        <w:t>den lika stor som den ökning som kan konstateras för de utåtriktade aktivit</w:t>
      </w:r>
      <w:r w:rsidRPr="00F5723F">
        <w:t>e</w:t>
      </w:r>
      <w:r w:rsidRPr="00F5723F">
        <w:t>terna (13–14 procent). Ökningen är troligen än större eftersom det i tidsang</w:t>
      </w:r>
      <w:r w:rsidRPr="00F5723F">
        <w:t>i</w:t>
      </w:r>
      <w:r w:rsidRPr="00F5723F">
        <w:t>velserna för 1974 års resultat ingår ”allmänt inläsnings- och studi</w:t>
      </w:r>
      <w:r w:rsidRPr="00F5723F">
        <w:t>e</w:t>
      </w:r>
      <w:r w:rsidRPr="00F5723F">
        <w:t>arbete” som i 2004 års undersökning förts till en egen kategori. Den inåtriktade ver</w:t>
      </w:r>
      <w:r w:rsidRPr="00F5723F">
        <w:t>k</w:t>
      </w:r>
      <w:r w:rsidRPr="00F5723F">
        <w:t>samheten utgör dock fortfarande totalt sett en större andel av ledam</w:t>
      </w:r>
      <w:r w:rsidRPr="00F5723F">
        <w:t>ö</w:t>
      </w:r>
      <w:r w:rsidRPr="00F5723F">
        <w:t>ternas arbetstid än den utåtriktade (959 minuter mot 744 minuter). Åtminstone när vi använder oss av Jensens typ</w:t>
      </w:r>
      <w:r w:rsidRPr="00F5723F">
        <w:t>o</w:t>
      </w:r>
      <w:r w:rsidRPr="00F5723F">
        <w:t>logisering och indelnin</w:t>
      </w:r>
      <w:r w:rsidRPr="00F5723F">
        <w:t>g i inåt- och utåtriktade aktivit</w:t>
      </w:r>
      <w:r w:rsidRPr="00F5723F">
        <w:t>e</w:t>
      </w:r>
      <w:r w:rsidRPr="00F5723F">
        <w:t xml:space="preserve">ter. </w:t>
      </w:r>
    </w:p>
    <w:p w:rsidR="00B43C57" w:rsidRPr="00F5723F" w:rsidRDefault="00B43C57">
      <w:pPr>
        <w:pStyle w:val="Normaltindrag"/>
      </w:pPr>
      <w:r w:rsidRPr="00F5723F">
        <w:t>Sedan den första dagboksstudien genomfördes 1975 har dock också en a</w:t>
      </w:r>
      <w:r w:rsidRPr="00F5723F">
        <w:t>n</w:t>
      </w:r>
      <w:r w:rsidRPr="00F5723F">
        <w:t>nan indelning kommit att användas för att sammanfatta de många kategorie</w:t>
      </w:r>
      <w:r w:rsidRPr="00F5723F">
        <w:t>r</w:t>
      </w:r>
      <w:r w:rsidRPr="00F5723F">
        <w:t>na i dagboksbladet. I 1975 års undersökning gjordes skillnad mellan riksdag</w:t>
      </w:r>
      <w:r w:rsidRPr="00F5723F">
        <w:t>s</w:t>
      </w:r>
      <w:r w:rsidRPr="00F5723F">
        <w:t>arbete, utåtriktat arbete, allmänt studie- och inläsningsarbete, restid och y</w:t>
      </w:r>
      <w:r w:rsidRPr="00F5723F">
        <w:t>r</w:t>
      </w:r>
      <w:r w:rsidRPr="00F5723F">
        <w:t>kesverksamhet. Till den första kategorin – riksdag</w:t>
      </w:r>
      <w:r w:rsidRPr="00F5723F">
        <w:t>s</w:t>
      </w:r>
      <w:r w:rsidRPr="00F5723F">
        <w:t>arbete – hänfördes samma aktiviteter som i Jensens ”inåtriktade aktiviteter”. Till kategorin u</w:t>
      </w:r>
      <w:r w:rsidRPr="00F5723F">
        <w:t>t</w:t>
      </w:r>
      <w:r w:rsidRPr="00F5723F">
        <w:t>åtriktat arbete räknades dock riksdagsgruppsarbetet, partiarbete i övrigt, uppvak</w:t>
      </w:r>
      <w:r w:rsidRPr="00F5723F">
        <w:t>t</w:t>
      </w:r>
      <w:r w:rsidRPr="00F5723F">
        <w:t>ningar, kommunala uppdrag, statliga utredningar och orga</w:t>
      </w:r>
      <w:r w:rsidRPr="00F5723F">
        <w:t>nis</w:t>
      </w:r>
      <w:r w:rsidRPr="00F5723F">
        <w:t>a</w:t>
      </w:r>
      <w:r w:rsidRPr="00F5723F">
        <w:t>tionsuppdrag. Därmed skiljer sig denna kategori från den av Jensen utnyt</w:t>
      </w:r>
      <w:r w:rsidRPr="00F5723F">
        <w:t>t</w:t>
      </w:r>
      <w:r w:rsidRPr="00F5723F">
        <w:t>jade kategorin ”utåtriktade aktiviteter”. Med den från 1975 gjorda inde</w:t>
      </w:r>
      <w:r w:rsidRPr="00F5723F">
        <w:t>l</w:t>
      </w:r>
      <w:r w:rsidRPr="00F5723F">
        <w:t>ningen tar kategorin främst syfte på uppgifter vid sidan av själva riksdagsarbetet. En annan term</w:t>
      </w:r>
      <w:r w:rsidRPr="00F5723F">
        <w:t>i</w:t>
      </w:r>
      <w:r w:rsidRPr="00F5723F">
        <w:t>nologi skulle därför kunna vara ”riksdagsegentlig” och ”riksdagsanknuten” verksamhet för att betona att det handlar om up</w:t>
      </w:r>
      <w:r w:rsidRPr="00F5723F">
        <w:t>p</w:t>
      </w:r>
      <w:r w:rsidRPr="00F5723F">
        <w:t>gifter som ligger olika nära det egentliga riksdagsarbetet i form av arbetet i kammare, utskott och part</w:t>
      </w:r>
      <w:r w:rsidRPr="00F5723F">
        <w:t>i</w:t>
      </w:r>
      <w:r w:rsidRPr="00F5723F">
        <w:t>grupper. Hur ledamöternas nedlagda tid</w:t>
      </w:r>
      <w:r w:rsidRPr="00F5723F">
        <w:t xml:space="preserve"> på r</w:t>
      </w:r>
      <w:r w:rsidRPr="00F5723F">
        <w:t>e</w:t>
      </w:r>
      <w:r w:rsidRPr="00F5723F">
        <w:t>spektive uppgift har utvecklats över tid och i olika partier framgår av tabell 3 a–3 d. Några stora skillnader att tala om går inte att spåra i mater</w:t>
      </w:r>
      <w:r w:rsidRPr="00F5723F">
        <w:t>i</w:t>
      </w:r>
      <w:r w:rsidRPr="00F5723F">
        <w:t xml:space="preserve">alet. </w:t>
      </w:r>
    </w:p>
    <w:p w:rsidR="00B43C57" w:rsidRPr="00F5723F" w:rsidRDefault="00B43C57">
      <w:pPr>
        <w:pStyle w:val="Tabellrubrik"/>
        <w:spacing w:before="0"/>
        <w:ind w:left="1330" w:hanging="1330"/>
      </w:pPr>
      <w:r w:rsidRPr="00F5723F">
        <w:br w:type="page"/>
      </w:r>
      <w:r w:rsidRPr="00F5723F">
        <w:t>Tabell 3 a–3 d</w:t>
      </w:r>
      <w:r w:rsidRPr="00F5723F">
        <w:tab/>
        <w:t>Riksdagsledamöternas arbete fördelat på riksdag</w:t>
      </w:r>
      <w:r w:rsidRPr="00F5723F">
        <w:t>s</w:t>
      </w:r>
      <w:r w:rsidRPr="00F5723F">
        <w:t xml:space="preserve">   </w:t>
      </w:r>
      <w:r w:rsidRPr="00F5723F">
        <w:t>egentlig och riksdagsanknuten verksamhet 1974–2004 i andel av den totala arbetstiden måndag till lö</w:t>
      </w:r>
      <w:r w:rsidRPr="00F5723F">
        <w:t>r</w:t>
      </w:r>
      <w:r w:rsidRPr="00F5723F">
        <w:t>dag (pr</w:t>
      </w:r>
      <w:r w:rsidRPr="00F5723F">
        <w:t>o</w:t>
      </w:r>
      <w:r w:rsidRPr="00F5723F">
        <w:t>cent)</w:t>
      </w:r>
    </w:p>
    <w:p w:rsidR="00B43C57" w:rsidRPr="00F5723F" w:rsidRDefault="00B43C57"/>
    <w:p w:rsidR="00B43C57" w:rsidRPr="00F5723F" w:rsidRDefault="00B43C57">
      <w:pPr>
        <w:rPr>
          <w:rFonts w:ascii="Arial" w:hAnsi="Arial" w:cs="Arial"/>
          <w:sz w:val="16"/>
          <w:szCs w:val="16"/>
        </w:rPr>
      </w:pPr>
      <w:r w:rsidRPr="00F5723F">
        <w:rPr>
          <w:rFonts w:ascii="Arial" w:hAnsi="Arial" w:cs="Arial"/>
          <w:sz w:val="16"/>
          <w:szCs w:val="16"/>
        </w:rPr>
        <w:t>a)</w:t>
      </w:r>
      <w:r w:rsidRPr="00F5723F">
        <w:rPr>
          <w:rFonts w:ascii="Arial" w:hAnsi="Arial" w:cs="Arial"/>
          <w:b/>
          <w:sz w:val="16"/>
          <w:szCs w:val="16"/>
        </w:rPr>
        <w:t xml:space="preserve"> 1974</w:t>
      </w:r>
    </w:p>
    <w:tbl>
      <w:tblPr>
        <w:tblW w:w="5920" w:type="dxa"/>
        <w:tblInd w:w="-38" w:type="dxa"/>
        <w:tblLayout w:type="fixed"/>
        <w:tblCellMar>
          <w:left w:w="70" w:type="dxa"/>
          <w:right w:w="70" w:type="dxa"/>
        </w:tblCellMar>
        <w:tblLook w:val="01E0" w:firstRow="1" w:lastRow="1" w:firstColumn="1" w:lastColumn="1" w:noHBand="0" w:noVBand="0"/>
      </w:tblPr>
      <w:tblGrid>
        <w:gridCol w:w="1809"/>
        <w:gridCol w:w="709"/>
        <w:gridCol w:w="425"/>
        <w:gridCol w:w="426"/>
        <w:gridCol w:w="425"/>
        <w:gridCol w:w="567"/>
        <w:gridCol w:w="425"/>
        <w:gridCol w:w="567"/>
        <w:gridCol w:w="567"/>
      </w:tblGrid>
      <w:tr w:rsidR="00000000" w:rsidRPr="00F5723F">
        <w:tblPrEx>
          <w:tblCellMar>
            <w:top w:w="0" w:type="dxa"/>
            <w:bottom w:w="0" w:type="dxa"/>
          </w:tblCellMar>
        </w:tblPrEx>
        <w:tc>
          <w:tcPr>
            <w:tcW w:w="1809" w:type="dxa"/>
            <w:tcBorders>
              <w:top w:val="single" w:sz="4" w:space="0" w:color="auto"/>
              <w:bottom w:val="single" w:sz="4" w:space="0" w:color="auto"/>
            </w:tcBorders>
          </w:tcPr>
          <w:p w:rsidR="00B43C57" w:rsidRPr="00F5723F" w:rsidRDefault="00B43C57">
            <w:pPr>
              <w:pStyle w:val="Tabelltext"/>
            </w:pPr>
            <w:r w:rsidRPr="00F5723F">
              <w:t>Kategori</w:t>
            </w:r>
          </w:p>
        </w:tc>
        <w:tc>
          <w:tcPr>
            <w:tcW w:w="709" w:type="dxa"/>
            <w:tcBorders>
              <w:top w:val="single" w:sz="4" w:space="0" w:color="auto"/>
              <w:bottom w:val="single" w:sz="4" w:space="0" w:color="auto"/>
            </w:tcBorders>
          </w:tcPr>
          <w:p w:rsidR="00B43C57" w:rsidRPr="00F5723F" w:rsidRDefault="00B43C57">
            <w:pPr>
              <w:pStyle w:val="Tabelltext"/>
              <w:jc w:val="center"/>
            </w:pPr>
            <w:r w:rsidRPr="00F5723F">
              <w:t>samtl</w:t>
            </w:r>
            <w:r w:rsidRPr="00F5723F">
              <w:t>i</w:t>
            </w:r>
            <w:r w:rsidRPr="00F5723F">
              <w:t>ga</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vpk</w:t>
            </w:r>
          </w:p>
        </w:tc>
        <w:tc>
          <w:tcPr>
            <w:tcW w:w="426" w:type="dxa"/>
            <w:tcBorders>
              <w:top w:val="single" w:sz="4" w:space="0" w:color="auto"/>
              <w:bottom w:val="single" w:sz="4" w:space="0" w:color="auto"/>
            </w:tcBorders>
          </w:tcPr>
          <w:p w:rsidR="00B43C57" w:rsidRPr="00F5723F" w:rsidRDefault="00B43C57">
            <w:pPr>
              <w:pStyle w:val="Tabelltext"/>
              <w:jc w:val="center"/>
            </w:pPr>
            <w:r w:rsidRPr="00F5723F">
              <w:t>s</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c</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fp</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m</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kd</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mp</w:t>
            </w:r>
          </w:p>
        </w:tc>
      </w:tr>
      <w:tr w:rsidR="00000000" w:rsidRPr="00F5723F">
        <w:tblPrEx>
          <w:tblCellMar>
            <w:top w:w="0" w:type="dxa"/>
            <w:bottom w:w="0" w:type="dxa"/>
          </w:tblCellMar>
        </w:tblPrEx>
        <w:tc>
          <w:tcPr>
            <w:tcW w:w="1809" w:type="dxa"/>
            <w:tcBorders>
              <w:top w:val="single" w:sz="4" w:space="0" w:color="auto"/>
            </w:tcBorders>
          </w:tcPr>
          <w:p w:rsidR="00B43C57" w:rsidRPr="00F5723F" w:rsidRDefault="00B43C57">
            <w:pPr>
              <w:pStyle w:val="Tabelltext"/>
            </w:pPr>
            <w:r w:rsidRPr="00F5723F">
              <w:t>Riksdagsegentlig (1–4)</w:t>
            </w:r>
          </w:p>
        </w:tc>
        <w:tc>
          <w:tcPr>
            <w:tcW w:w="709" w:type="dxa"/>
            <w:tcBorders>
              <w:top w:val="single" w:sz="4" w:space="0" w:color="auto"/>
            </w:tcBorders>
          </w:tcPr>
          <w:p w:rsidR="00B43C57" w:rsidRPr="00F5723F" w:rsidRDefault="00B43C57">
            <w:pPr>
              <w:pStyle w:val="Tabelltextsiffror"/>
              <w:jc w:val="center"/>
            </w:pPr>
            <w:r w:rsidRPr="00F5723F">
              <w:t>32</w:t>
            </w:r>
          </w:p>
        </w:tc>
        <w:tc>
          <w:tcPr>
            <w:tcW w:w="425" w:type="dxa"/>
            <w:tcBorders>
              <w:top w:val="single" w:sz="4" w:space="0" w:color="auto"/>
            </w:tcBorders>
          </w:tcPr>
          <w:p w:rsidR="00B43C57" w:rsidRPr="00F5723F" w:rsidRDefault="00B43C57">
            <w:pPr>
              <w:pStyle w:val="Tabelltextsiffror"/>
              <w:jc w:val="center"/>
            </w:pPr>
            <w:r w:rsidRPr="00F5723F">
              <w:t>29</w:t>
            </w:r>
          </w:p>
        </w:tc>
        <w:tc>
          <w:tcPr>
            <w:tcW w:w="426" w:type="dxa"/>
            <w:tcBorders>
              <w:top w:val="single" w:sz="4" w:space="0" w:color="auto"/>
            </w:tcBorders>
          </w:tcPr>
          <w:p w:rsidR="00B43C57" w:rsidRPr="00F5723F" w:rsidRDefault="00B43C57">
            <w:pPr>
              <w:pStyle w:val="Tabelltextsiffror"/>
              <w:jc w:val="center"/>
            </w:pPr>
            <w:r w:rsidRPr="00F5723F">
              <w:t>31</w:t>
            </w:r>
          </w:p>
        </w:tc>
        <w:tc>
          <w:tcPr>
            <w:tcW w:w="425" w:type="dxa"/>
            <w:tcBorders>
              <w:top w:val="single" w:sz="4" w:space="0" w:color="auto"/>
            </w:tcBorders>
          </w:tcPr>
          <w:p w:rsidR="00B43C57" w:rsidRPr="00F5723F" w:rsidRDefault="00B43C57">
            <w:pPr>
              <w:pStyle w:val="Tabelltextsiffror"/>
              <w:jc w:val="center"/>
            </w:pPr>
            <w:r w:rsidRPr="00F5723F">
              <w:t>34</w:t>
            </w:r>
          </w:p>
        </w:tc>
        <w:tc>
          <w:tcPr>
            <w:tcW w:w="567" w:type="dxa"/>
            <w:tcBorders>
              <w:top w:val="single" w:sz="4" w:space="0" w:color="auto"/>
            </w:tcBorders>
          </w:tcPr>
          <w:p w:rsidR="00B43C57" w:rsidRPr="00F5723F" w:rsidRDefault="00B43C57">
            <w:pPr>
              <w:pStyle w:val="Tabelltextsiffror"/>
              <w:jc w:val="center"/>
            </w:pPr>
            <w:r w:rsidRPr="00F5723F">
              <w:t>32</w:t>
            </w:r>
          </w:p>
        </w:tc>
        <w:tc>
          <w:tcPr>
            <w:tcW w:w="425" w:type="dxa"/>
            <w:tcBorders>
              <w:top w:val="single" w:sz="4" w:space="0" w:color="auto"/>
            </w:tcBorders>
          </w:tcPr>
          <w:p w:rsidR="00B43C57" w:rsidRPr="00F5723F" w:rsidRDefault="00B43C57">
            <w:pPr>
              <w:pStyle w:val="Tabelltextsiffror"/>
              <w:jc w:val="center"/>
            </w:pPr>
            <w:r w:rsidRPr="00F5723F">
              <w:t>33</w:t>
            </w:r>
          </w:p>
        </w:tc>
        <w:tc>
          <w:tcPr>
            <w:tcW w:w="567" w:type="dxa"/>
            <w:tcBorders>
              <w:top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c>
          <w:tcPr>
            <w:tcW w:w="567" w:type="dxa"/>
            <w:tcBorders>
              <w:top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Riksdagsanknuten (5–9)</w:t>
            </w:r>
          </w:p>
        </w:tc>
        <w:tc>
          <w:tcPr>
            <w:tcW w:w="709" w:type="dxa"/>
          </w:tcPr>
          <w:p w:rsidR="00B43C57" w:rsidRPr="00F5723F" w:rsidRDefault="00B43C57">
            <w:pPr>
              <w:pStyle w:val="Tabelltextsiffror"/>
              <w:jc w:val="center"/>
            </w:pPr>
            <w:r w:rsidRPr="00F5723F">
              <w:t>36</w:t>
            </w:r>
          </w:p>
        </w:tc>
        <w:tc>
          <w:tcPr>
            <w:tcW w:w="425" w:type="dxa"/>
          </w:tcPr>
          <w:p w:rsidR="00B43C57" w:rsidRPr="00F5723F" w:rsidRDefault="00B43C57">
            <w:pPr>
              <w:pStyle w:val="Tabelltextsiffror"/>
              <w:jc w:val="center"/>
            </w:pPr>
            <w:r w:rsidRPr="00F5723F">
              <w:t>42</w:t>
            </w:r>
          </w:p>
        </w:tc>
        <w:tc>
          <w:tcPr>
            <w:tcW w:w="426" w:type="dxa"/>
          </w:tcPr>
          <w:p w:rsidR="00B43C57" w:rsidRPr="00F5723F" w:rsidRDefault="00B43C57">
            <w:pPr>
              <w:pStyle w:val="Tabelltextsiffror"/>
              <w:jc w:val="center"/>
            </w:pPr>
            <w:r w:rsidRPr="00F5723F">
              <w:t>38</w:t>
            </w:r>
          </w:p>
        </w:tc>
        <w:tc>
          <w:tcPr>
            <w:tcW w:w="425" w:type="dxa"/>
          </w:tcPr>
          <w:p w:rsidR="00B43C57" w:rsidRPr="00F5723F" w:rsidRDefault="00B43C57">
            <w:pPr>
              <w:pStyle w:val="Tabelltextsiffror"/>
              <w:jc w:val="center"/>
            </w:pPr>
            <w:r w:rsidRPr="00F5723F">
              <w:t>34</w:t>
            </w:r>
          </w:p>
        </w:tc>
        <w:tc>
          <w:tcPr>
            <w:tcW w:w="567" w:type="dxa"/>
          </w:tcPr>
          <w:p w:rsidR="00B43C57" w:rsidRPr="00F5723F" w:rsidRDefault="00B43C57">
            <w:pPr>
              <w:pStyle w:val="Tabelltextsiffror"/>
              <w:jc w:val="center"/>
            </w:pPr>
            <w:r w:rsidRPr="00F5723F">
              <w:t>35</w:t>
            </w:r>
          </w:p>
        </w:tc>
        <w:tc>
          <w:tcPr>
            <w:tcW w:w="425" w:type="dxa"/>
          </w:tcPr>
          <w:p w:rsidR="00B43C57" w:rsidRPr="00F5723F" w:rsidRDefault="00B43C57">
            <w:pPr>
              <w:pStyle w:val="Tabelltextsiffror"/>
              <w:jc w:val="center"/>
            </w:pPr>
            <w:r w:rsidRPr="00F5723F">
              <w:t>32</w:t>
            </w:r>
          </w:p>
        </w:tc>
        <w:tc>
          <w:tcPr>
            <w:tcW w:w="567" w:type="dxa"/>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c>
          <w:tcPr>
            <w:tcW w:w="567" w:type="dxa"/>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r>
      <w:tr w:rsidR="00000000" w:rsidRPr="00F5723F">
        <w:tblPrEx>
          <w:tblCellMar>
            <w:top w:w="0" w:type="dxa"/>
            <w:bottom w:w="0" w:type="dxa"/>
          </w:tblCellMar>
        </w:tblPrEx>
        <w:tc>
          <w:tcPr>
            <w:tcW w:w="1809" w:type="dxa"/>
            <w:tcBorders>
              <w:bottom w:val="single" w:sz="4" w:space="0" w:color="auto"/>
            </w:tcBorders>
          </w:tcPr>
          <w:p w:rsidR="00B43C57" w:rsidRPr="00F5723F" w:rsidRDefault="00B43C57">
            <w:pPr>
              <w:pStyle w:val="Tabelltext"/>
            </w:pPr>
            <w:r w:rsidRPr="00F5723F">
              <w:t>Övrigt (10–14)</w:t>
            </w:r>
          </w:p>
        </w:tc>
        <w:tc>
          <w:tcPr>
            <w:tcW w:w="709" w:type="dxa"/>
            <w:tcBorders>
              <w:bottom w:val="single" w:sz="4" w:space="0" w:color="auto"/>
            </w:tcBorders>
          </w:tcPr>
          <w:p w:rsidR="00B43C57" w:rsidRPr="00F5723F" w:rsidRDefault="00B43C57">
            <w:pPr>
              <w:pStyle w:val="Tabelltextsiffror"/>
              <w:jc w:val="center"/>
            </w:pPr>
            <w:r w:rsidRPr="00F5723F">
              <w:t>32</w:t>
            </w:r>
          </w:p>
        </w:tc>
        <w:tc>
          <w:tcPr>
            <w:tcW w:w="425" w:type="dxa"/>
            <w:tcBorders>
              <w:bottom w:val="single" w:sz="4" w:space="0" w:color="auto"/>
            </w:tcBorders>
          </w:tcPr>
          <w:p w:rsidR="00B43C57" w:rsidRPr="00F5723F" w:rsidRDefault="00B43C57">
            <w:pPr>
              <w:pStyle w:val="Tabelltextsiffror"/>
              <w:jc w:val="center"/>
            </w:pPr>
            <w:r w:rsidRPr="00F5723F">
              <w:t>29</w:t>
            </w:r>
          </w:p>
        </w:tc>
        <w:tc>
          <w:tcPr>
            <w:tcW w:w="426" w:type="dxa"/>
            <w:tcBorders>
              <w:bottom w:val="single" w:sz="4" w:space="0" w:color="auto"/>
            </w:tcBorders>
          </w:tcPr>
          <w:p w:rsidR="00B43C57" w:rsidRPr="00F5723F" w:rsidRDefault="00B43C57">
            <w:pPr>
              <w:pStyle w:val="Tabelltextsiffror"/>
              <w:jc w:val="center"/>
            </w:pPr>
            <w:r w:rsidRPr="00F5723F">
              <w:t>41</w:t>
            </w:r>
          </w:p>
        </w:tc>
        <w:tc>
          <w:tcPr>
            <w:tcW w:w="425" w:type="dxa"/>
            <w:tcBorders>
              <w:bottom w:val="single" w:sz="4" w:space="0" w:color="auto"/>
            </w:tcBorders>
          </w:tcPr>
          <w:p w:rsidR="00B43C57" w:rsidRPr="00F5723F" w:rsidRDefault="00B43C57">
            <w:pPr>
              <w:pStyle w:val="Tabelltextsiffror"/>
              <w:jc w:val="center"/>
            </w:pPr>
            <w:r w:rsidRPr="00F5723F">
              <w:t>32</w:t>
            </w:r>
          </w:p>
        </w:tc>
        <w:tc>
          <w:tcPr>
            <w:tcW w:w="567" w:type="dxa"/>
            <w:tcBorders>
              <w:bottom w:val="single" w:sz="4" w:space="0" w:color="auto"/>
            </w:tcBorders>
          </w:tcPr>
          <w:p w:rsidR="00B43C57" w:rsidRPr="00F5723F" w:rsidRDefault="00B43C57">
            <w:pPr>
              <w:pStyle w:val="Tabelltextsiffror"/>
              <w:jc w:val="center"/>
            </w:pPr>
            <w:r w:rsidRPr="00F5723F">
              <w:t>34</w:t>
            </w:r>
          </w:p>
        </w:tc>
        <w:tc>
          <w:tcPr>
            <w:tcW w:w="425" w:type="dxa"/>
            <w:tcBorders>
              <w:bottom w:val="single" w:sz="4" w:space="0" w:color="auto"/>
            </w:tcBorders>
          </w:tcPr>
          <w:p w:rsidR="00B43C57" w:rsidRPr="00F5723F" w:rsidRDefault="00B43C57">
            <w:pPr>
              <w:pStyle w:val="Tabelltextsiffror"/>
              <w:jc w:val="center"/>
            </w:pPr>
            <w:r w:rsidRPr="00F5723F">
              <w:t>35</w:t>
            </w:r>
          </w:p>
        </w:tc>
        <w:tc>
          <w:tcPr>
            <w:tcW w:w="567" w:type="dxa"/>
            <w:tcBorders>
              <w:bottom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c>
          <w:tcPr>
            <w:tcW w:w="567" w:type="dxa"/>
            <w:tcBorders>
              <w:bottom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r>
      <w:tr w:rsidR="00000000" w:rsidRPr="00F57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809" w:type="dxa"/>
            <w:tcBorders>
              <w:top w:val="single" w:sz="4" w:space="0" w:color="auto"/>
              <w:left w:val="nil"/>
              <w:bottom w:val="single" w:sz="4" w:space="0" w:color="auto"/>
              <w:right w:val="nil"/>
            </w:tcBorders>
          </w:tcPr>
          <w:p w:rsidR="00B43C57" w:rsidRPr="00F5723F" w:rsidRDefault="00B43C57">
            <w:pPr>
              <w:pStyle w:val="Tabelltext"/>
            </w:pPr>
            <w:r w:rsidRPr="00F5723F">
              <w:t>Differens</w:t>
            </w:r>
          </w:p>
          <w:p w:rsidR="00B43C57" w:rsidRPr="00F5723F" w:rsidRDefault="00B43C57">
            <w:pPr>
              <w:pStyle w:val="Tabelltext"/>
            </w:pPr>
            <w:r w:rsidRPr="00F5723F">
              <w:t>egentlig–</w:t>
            </w:r>
            <w:r w:rsidRPr="00F5723F">
              <w:t>anknuten</w:t>
            </w:r>
          </w:p>
        </w:tc>
        <w:tc>
          <w:tcPr>
            <w:tcW w:w="709"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−4</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−13</w:t>
            </w:r>
          </w:p>
        </w:tc>
        <w:tc>
          <w:tcPr>
            <w:tcW w:w="426"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−7</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±0</w:t>
            </w:r>
          </w:p>
        </w:tc>
        <w:tc>
          <w:tcPr>
            <w:tcW w:w="567"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−3</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w:t>
            </w:r>
          </w:p>
        </w:tc>
        <w:tc>
          <w:tcPr>
            <w:tcW w:w="567" w:type="dxa"/>
            <w:tcBorders>
              <w:top w:val="single" w:sz="4" w:space="0" w:color="auto"/>
              <w:left w:val="nil"/>
              <w:bottom w:val="single" w:sz="4" w:space="0" w:color="auto"/>
              <w:right w:val="nil"/>
            </w:tcBorders>
          </w:tcPr>
          <w:p w:rsidR="00B43C57" w:rsidRPr="00F5723F" w:rsidRDefault="00B43C57">
            <w:pPr>
              <w:pStyle w:val="Tabelltextsiffror"/>
              <w:jc w:val="center"/>
              <w:rPr>
                <w:rFonts w:ascii="Arial" w:hAnsi="Arial" w:cs="Arial"/>
                <w:szCs w:val="16"/>
              </w:rPr>
            </w:pPr>
          </w:p>
        </w:tc>
        <w:tc>
          <w:tcPr>
            <w:tcW w:w="567" w:type="dxa"/>
            <w:tcBorders>
              <w:top w:val="single" w:sz="4" w:space="0" w:color="auto"/>
              <w:left w:val="nil"/>
              <w:bottom w:val="single" w:sz="4" w:space="0" w:color="auto"/>
              <w:right w:val="nil"/>
            </w:tcBorders>
          </w:tcPr>
          <w:p w:rsidR="00B43C57" w:rsidRPr="00F5723F" w:rsidRDefault="00B43C57">
            <w:pPr>
              <w:pStyle w:val="Tabelltextsiffror"/>
              <w:jc w:val="center"/>
              <w:rPr>
                <w:rFonts w:ascii="Arial" w:hAnsi="Arial" w:cs="Arial"/>
                <w:szCs w:val="16"/>
              </w:rPr>
            </w:pPr>
          </w:p>
        </w:tc>
      </w:tr>
    </w:tbl>
    <w:p w:rsidR="00B43C57" w:rsidRPr="00F5723F" w:rsidRDefault="00B43C57">
      <w:pPr>
        <w:rPr>
          <w:rFonts w:ascii="Arial" w:hAnsi="Arial" w:cs="Arial"/>
          <w:sz w:val="16"/>
          <w:szCs w:val="16"/>
        </w:rPr>
      </w:pPr>
    </w:p>
    <w:p w:rsidR="00B43C57" w:rsidRPr="00F5723F" w:rsidRDefault="00B43C57">
      <w:pPr>
        <w:rPr>
          <w:rFonts w:ascii="Arial" w:hAnsi="Arial" w:cs="Arial"/>
          <w:sz w:val="16"/>
          <w:szCs w:val="16"/>
        </w:rPr>
      </w:pPr>
      <w:r w:rsidRPr="00F5723F">
        <w:rPr>
          <w:rFonts w:ascii="Arial" w:hAnsi="Arial" w:cs="Arial"/>
          <w:sz w:val="16"/>
          <w:szCs w:val="16"/>
        </w:rPr>
        <w:t xml:space="preserve">b) </w:t>
      </w:r>
      <w:r w:rsidRPr="00F5723F">
        <w:rPr>
          <w:rFonts w:ascii="Arial" w:hAnsi="Arial" w:cs="Arial"/>
          <w:b/>
          <w:sz w:val="16"/>
          <w:szCs w:val="16"/>
        </w:rPr>
        <w:t>1977</w:t>
      </w:r>
    </w:p>
    <w:tbl>
      <w:tblPr>
        <w:tblW w:w="5920" w:type="dxa"/>
        <w:tblInd w:w="-38" w:type="dxa"/>
        <w:tblLayout w:type="fixed"/>
        <w:tblCellMar>
          <w:left w:w="70" w:type="dxa"/>
          <w:right w:w="70" w:type="dxa"/>
        </w:tblCellMar>
        <w:tblLook w:val="01E0" w:firstRow="1" w:lastRow="1" w:firstColumn="1" w:lastColumn="1" w:noHBand="0" w:noVBand="0"/>
      </w:tblPr>
      <w:tblGrid>
        <w:gridCol w:w="1809"/>
        <w:gridCol w:w="709"/>
        <w:gridCol w:w="425"/>
        <w:gridCol w:w="426"/>
        <w:gridCol w:w="425"/>
        <w:gridCol w:w="567"/>
        <w:gridCol w:w="425"/>
        <w:gridCol w:w="567"/>
        <w:gridCol w:w="567"/>
      </w:tblGrid>
      <w:tr w:rsidR="00000000" w:rsidRPr="00F5723F">
        <w:tblPrEx>
          <w:tblCellMar>
            <w:top w:w="0" w:type="dxa"/>
            <w:bottom w:w="0" w:type="dxa"/>
          </w:tblCellMar>
        </w:tblPrEx>
        <w:tc>
          <w:tcPr>
            <w:tcW w:w="1809" w:type="dxa"/>
            <w:tcBorders>
              <w:top w:val="single" w:sz="4" w:space="0" w:color="auto"/>
              <w:bottom w:val="single" w:sz="4" w:space="0" w:color="auto"/>
            </w:tcBorders>
          </w:tcPr>
          <w:p w:rsidR="00B43C57" w:rsidRPr="00F5723F" w:rsidRDefault="00B43C57">
            <w:pPr>
              <w:pStyle w:val="Tabelltext"/>
            </w:pPr>
            <w:r w:rsidRPr="00F5723F">
              <w:t>Kategori</w:t>
            </w:r>
          </w:p>
        </w:tc>
        <w:tc>
          <w:tcPr>
            <w:tcW w:w="709" w:type="dxa"/>
            <w:tcBorders>
              <w:top w:val="single" w:sz="4" w:space="0" w:color="auto"/>
              <w:bottom w:val="single" w:sz="4" w:space="0" w:color="auto"/>
            </w:tcBorders>
          </w:tcPr>
          <w:p w:rsidR="00B43C57" w:rsidRPr="00F5723F" w:rsidRDefault="00B43C57">
            <w:pPr>
              <w:pStyle w:val="Tabelltext"/>
              <w:jc w:val="center"/>
            </w:pPr>
            <w:r w:rsidRPr="00F5723F">
              <w:t>samtliga</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v</w:t>
            </w:r>
          </w:p>
        </w:tc>
        <w:tc>
          <w:tcPr>
            <w:tcW w:w="426" w:type="dxa"/>
            <w:tcBorders>
              <w:top w:val="single" w:sz="4" w:space="0" w:color="auto"/>
              <w:bottom w:val="single" w:sz="4" w:space="0" w:color="auto"/>
            </w:tcBorders>
          </w:tcPr>
          <w:p w:rsidR="00B43C57" w:rsidRPr="00F5723F" w:rsidRDefault="00B43C57">
            <w:pPr>
              <w:pStyle w:val="Tabelltext"/>
              <w:jc w:val="center"/>
            </w:pPr>
            <w:r w:rsidRPr="00F5723F">
              <w:t>s</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c</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fp</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m</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kd</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mp</w:t>
            </w:r>
          </w:p>
        </w:tc>
      </w:tr>
      <w:tr w:rsidR="00000000" w:rsidRPr="00F5723F">
        <w:tblPrEx>
          <w:tblCellMar>
            <w:top w:w="0" w:type="dxa"/>
            <w:bottom w:w="0" w:type="dxa"/>
          </w:tblCellMar>
        </w:tblPrEx>
        <w:tc>
          <w:tcPr>
            <w:tcW w:w="1809" w:type="dxa"/>
            <w:tcBorders>
              <w:top w:val="single" w:sz="4" w:space="0" w:color="auto"/>
            </w:tcBorders>
          </w:tcPr>
          <w:p w:rsidR="00B43C57" w:rsidRPr="00F5723F" w:rsidRDefault="00B43C57">
            <w:pPr>
              <w:pStyle w:val="Tabelltext"/>
            </w:pPr>
            <w:r w:rsidRPr="00F5723F">
              <w:t>Riksdagsegentlig (1–4)</w:t>
            </w:r>
          </w:p>
        </w:tc>
        <w:tc>
          <w:tcPr>
            <w:tcW w:w="709" w:type="dxa"/>
            <w:tcBorders>
              <w:top w:val="single" w:sz="4" w:space="0" w:color="auto"/>
            </w:tcBorders>
          </w:tcPr>
          <w:p w:rsidR="00B43C57" w:rsidRPr="00F5723F" w:rsidRDefault="00B43C57">
            <w:pPr>
              <w:pStyle w:val="Tabelltextsiffror"/>
              <w:jc w:val="center"/>
            </w:pPr>
            <w:r w:rsidRPr="00F5723F">
              <w:t>26</w:t>
            </w:r>
          </w:p>
        </w:tc>
        <w:tc>
          <w:tcPr>
            <w:tcW w:w="425" w:type="dxa"/>
            <w:tcBorders>
              <w:top w:val="single" w:sz="4" w:space="0" w:color="auto"/>
            </w:tcBorders>
          </w:tcPr>
          <w:p w:rsidR="00B43C57" w:rsidRPr="00F5723F" w:rsidRDefault="00B43C57">
            <w:pPr>
              <w:pStyle w:val="Tabelltextsiffror"/>
              <w:jc w:val="center"/>
            </w:pPr>
            <w:r w:rsidRPr="00F5723F">
              <w:t>24</w:t>
            </w:r>
          </w:p>
        </w:tc>
        <w:tc>
          <w:tcPr>
            <w:tcW w:w="426" w:type="dxa"/>
            <w:tcBorders>
              <w:top w:val="single" w:sz="4" w:space="0" w:color="auto"/>
            </w:tcBorders>
          </w:tcPr>
          <w:p w:rsidR="00B43C57" w:rsidRPr="00F5723F" w:rsidRDefault="00B43C57">
            <w:pPr>
              <w:pStyle w:val="Tabelltextsiffror"/>
              <w:jc w:val="center"/>
            </w:pPr>
            <w:r w:rsidRPr="00F5723F">
              <w:t>26</w:t>
            </w:r>
          </w:p>
        </w:tc>
        <w:tc>
          <w:tcPr>
            <w:tcW w:w="425" w:type="dxa"/>
            <w:tcBorders>
              <w:top w:val="single" w:sz="4" w:space="0" w:color="auto"/>
            </w:tcBorders>
          </w:tcPr>
          <w:p w:rsidR="00B43C57" w:rsidRPr="00F5723F" w:rsidRDefault="00B43C57">
            <w:pPr>
              <w:pStyle w:val="Tabelltextsiffror"/>
              <w:jc w:val="center"/>
            </w:pPr>
            <w:r w:rsidRPr="00F5723F">
              <w:t>26</w:t>
            </w:r>
          </w:p>
        </w:tc>
        <w:tc>
          <w:tcPr>
            <w:tcW w:w="567" w:type="dxa"/>
            <w:tcBorders>
              <w:top w:val="single" w:sz="4" w:space="0" w:color="auto"/>
            </w:tcBorders>
          </w:tcPr>
          <w:p w:rsidR="00B43C57" w:rsidRPr="00F5723F" w:rsidRDefault="00B43C57">
            <w:pPr>
              <w:pStyle w:val="Tabelltextsiffror"/>
              <w:jc w:val="center"/>
            </w:pPr>
            <w:r w:rsidRPr="00F5723F">
              <w:t>27</w:t>
            </w:r>
          </w:p>
        </w:tc>
        <w:tc>
          <w:tcPr>
            <w:tcW w:w="425" w:type="dxa"/>
            <w:tcBorders>
              <w:top w:val="single" w:sz="4" w:space="0" w:color="auto"/>
            </w:tcBorders>
          </w:tcPr>
          <w:p w:rsidR="00B43C57" w:rsidRPr="00F5723F" w:rsidRDefault="00B43C57">
            <w:pPr>
              <w:pStyle w:val="Tabelltextsiffror"/>
              <w:jc w:val="center"/>
            </w:pPr>
            <w:r w:rsidRPr="00F5723F">
              <w:t>24</w:t>
            </w:r>
          </w:p>
        </w:tc>
        <w:tc>
          <w:tcPr>
            <w:tcW w:w="567" w:type="dxa"/>
            <w:tcBorders>
              <w:top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c>
          <w:tcPr>
            <w:tcW w:w="567" w:type="dxa"/>
            <w:tcBorders>
              <w:top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Riksdagsanknuten (5–9)</w:t>
            </w:r>
          </w:p>
        </w:tc>
        <w:tc>
          <w:tcPr>
            <w:tcW w:w="709" w:type="dxa"/>
          </w:tcPr>
          <w:p w:rsidR="00B43C57" w:rsidRPr="00F5723F" w:rsidRDefault="00B43C57">
            <w:pPr>
              <w:pStyle w:val="Tabelltextsiffror"/>
              <w:jc w:val="center"/>
            </w:pPr>
            <w:r w:rsidRPr="00F5723F">
              <w:t>38</w:t>
            </w:r>
          </w:p>
        </w:tc>
        <w:tc>
          <w:tcPr>
            <w:tcW w:w="425" w:type="dxa"/>
          </w:tcPr>
          <w:p w:rsidR="00B43C57" w:rsidRPr="00F5723F" w:rsidRDefault="00B43C57">
            <w:pPr>
              <w:pStyle w:val="Tabelltextsiffror"/>
              <w:jc w:val="center"/>
            </w:pPr>
            <w:r w:rsidRPr="00F5723F">
              <w:t>46</w:t>
            </w:r>
          </w:p>
        </w:tc>
        <w:tc>
          <w:tcPr>
            <w:tcW w:w="426" w:type="dxa"/>
          </w:tcPr>
          <w:p w:rsidR="00B43C57" w:rsidRPr="00F5723F" w:rsidRDefault="00B43C57">
            <w:pPr>
              <w:pStyle w:val="Tabelltextsiffror"/>
              <w:jc w:val="center"/>
            </w:pPr>
            <w:r w:rsidRPr="00F5723F">
              <w:t>41</w:t>
            </w:r>
          </w:p>
        </w:tc>
        <w:tc>
          <w:tcPr>
            <w:tcW w:w="425" w:type="dxa"/>
          </w:tcPr>
          <w:p w:rsidR="00B43C57" w:rsidRPr="00F5723F" w:rsidRDefault="00B43C57">
            <w:pPr>
              <w:pStyle w:val="Tabelltextsiffror"/>
              <w:jc w:val="center"/>
            </w:pPr>
            <w:r w:rsidRPr="00F5723F">
              <w:t>37</w:t>
            </w:r>
          </w:p>
        </w:tc>
        <w:tc>
          <w:tcPr>
            <w:tcW w:w="567" w:type="dxa"/>
          </w:tcPr>
          <w:p w:rsidR="00B43C57" w:rsidRPr="00F5723F" w:rsidRDefault="00B43C57">
            <w:pPr>
              <w:pStyle w:val="Tabelltextsiffror"/>
              <w:jc w:val="center"/>
            </w:pPr>
            <w:r w:rsidRPr="00F5723F">
              <w:t>33</w:t>
            </w:r>
          </w:p>
        </w:tc>
        <w:tc>
          <w:tcPr>
            <w:tcW w:w="425" w:type="dxa"/>
          </w:tcPr>
          <w:p w:rsidR="00B43C57" w:rsidRPr="00F5723F" w:rsidRDefault="00B43C57">
            <w:pPr>
              <w:pStyle w:val="Tabelltextsiffror"/>
              <w:jc w:val="center"/>
            </w:pPr>
            <w:r w:rsidRPr="00F5723F">
              <w:t>35</w:t>
            </w:r>
          </w:p>
        </w:tc>
        <w:tc>
          <w:tcPr>
            <w:tcW w:w="567" w:type="dxa"/>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c>
          <w:tcPr>
            <w:tcW w:w="567" w:type="dxa"/>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r>
      <w:tr w:rsidR="00000000" w:rsidRPr="00F5723F">
        <w:tblPrEx>
          <w:tblCellMar>
            <w:top w:w="0" w:type="dxa"/>
            <w:bottom w:w="0" w:type="dxa"/>
          </w:tblCellMar>
        </w:tblPrEx>
        <w:tc>
          <w:tcPr>
            <w:tcW w:w="1809" w:type="dxa"/>
            <w:tcBorders>
              <w:bottom w:val="single" w:sz="4" w:space="0" w:color="auto"/>
            </w:tcBorders>
          </w:tcPr>
          <w:p w:rsidR="00B43C57" w:rsidRPr="00F5723F" w:rsidRDefault="00B43C57">
            <w:pPr>
              <w:pStyle w:val="Tabelltext"/>
            </w:pPr>
            <w:r w:rsidRPr="00F5723F">
              <w:t>Övrigt (10–14)</w:t>
            </w:r>
          </w:p>
        </w:tc>
        <w:tc>
          <w:tcPr>
            <w:tcW w:w="709" w:type="dxa"/>
            <w:tcBorders>
              <w:bottom w:val="single" w:sz="4" w:space="0" w:color="auto"/>
            </w:tcBorders>
          </w:tcPr>
          <w:p w:rsidR="00B43C57" w:rsidRPr="00F5723F" w:rsidRDefault="00B43C57">
            <w:pPr>
              <w:pStyle w:val="Tabelltextsiffror"/>
              <w:jc w:val="center"/>
            </w:pPr>
            <w:r w:rsidRPr="00F5723F">
              <w:t>35</w:t>
            </w:r>
          </w:p>
        </w:tc>
        <w:tc>
          <w:tcPr>
            <w:tcW w:w="425" w:type="dxa"/>
            <w:tcBorders>
              <w:bottom w:val="single" w:sz="4" w:space="0" w:color="auto"/>
            </w:tcBorders>
          </w:tcPr>
          <w:p w:rsidR="00B43C57" w:rsidRPr="00F5723F" w:rsidRDefault="00B43C57">
            <w:pPr>
              <w:pStyle w:val="Tabelltextsiffror"/>
              <w:jc w:val="center"/>
            </w:pPr>
            <w:r w:rsidRPr="00F5723F">
              <w:t>30</w:t>
            </w:r>
          </w:p>
        </w:tc>
        <w:tc>
          <w:tcPr>
            <w:tcW w:w="426" w:type="dxa"/>
            <w:tcBorders>
              <w:bottom w:val="single" w:sz="4" w:space="0" w:color="auto"/>
            </w:tcBorders>
          </w:tcPr>
          <w:p w:rsidR="00B43C57" w:rsidRPr="00F5723F" w:rsidRDefault="00B43C57">
            <w:pPr>
              <w:pStyle w:val="Tabelltextsiffror"/>
              <w:jc w:val="center"/>
            </w:pPr>
            <w:r w:rsidRPr="00F5723F">
              <w:t>31</w:t>
            </w:r>
          </w:p>
        </w:tc>
        <w:tc>
          <w:tcPr>
            <w:tcW w:w="425" w:type="dxa"/>
            <w:tcBorders>
              <w:bottom w:val="single" w:sz="4" w:space="0" w:color="auto"/>
            </w:tcBorders>
          </w:tcPr>
          <w:p w:rsidR="00B43C57" w:rsidRPr="00F5723F" w:rsidRDefault="00B43C57">
            <w:pPr>
              <w:pStyle w:val="Tabelltextsiffror"/>
              <w:jc w:val="center"/>
            </w:pPr>
            <w:r w:rsidRPr="00F5723F">
              <w:t>36</w:t>
            </w:r>
          </w:p>
        </w:tc>
        <w:tc>
          <w:tcPr>
            <w:tcW w:w="567" w:type="dxa"/>
            <w:tcBorders>
              <w:bottom w:val="single" w:sz="4" w:space="0" w:color="auto"/>
            </w:tcBorders>
          </w:tcPr>
          <w:p w:rsidR="00B43C57" w:rsidRPr="00F5723F" w:rsidRDefault="00B43C57">
            <w:pPr>
              <w:pStyle w:val="Tabelltextsiffror"/>
              <w:jc w:val="center"/>
            </w:pPr>
            <w:r w:rsidRPr="00F5723F">
              <w:t>40</w:t>
            </w:r>
          </w:p>
        </w:tc>
        <w:tc>
          <w:tcPr>
            <w:tcW w:w="425" w:type="dxa"/>
            <w:tcBorders>
              <w:bottom w:val="single" w:sz="4" w:space="0" w:color="auto"/>
            </w:tcBorders>
          </w:tcPr>
          <w:p w:rsidR="00B43C57" w:rsidRPr="00F5723F" w:rsidRDefault="00B43C57">
            <w:pPr>
              <w:pStyle w:val="Tabelltextsiffror"/>
              <w:jc w:val="center"/>
            </w:pPr>
            <w:r w:rsidRPr="00F5723F">
              <w:t>40</w:t>
            </w:r>
          </w:p>
        </w:tc>
        <w:tc>
          <w:tcPr>
            <w:tcW w:w="567" w:type="dxa"/>
            <w:tcBorders>
              <w:bottom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c>
          <w:tcPr>
            <w:tcW w:w="567" w:type="dxa"/>
            <w:tcBorders>
              <w:bottom w:val="single" w:sz="4" w:space="0" w:color="auto"/>
            </w:tcBorders>
          </w:tcPr>
          <w:p w:rsidR="00B43C57" w:rsidRPr="00F5723F" w:rsidRDefault="00B43C57">
            <w:pPr>
              <w:pStyle w:val="Tabelltextsiffror"/>
              <w:jc w:val="center"/>
              <w:rPr>
                <w:rFonts w:ascii="Arial" w:hAnsi="Arial" w:cs="Arial"/>
                <w:szCs w:val="16"/>
              </w:rPr>
            </w:pPr>
            <w:r w:rsidRPr="00F5723F">
              <w:rPr>
                <w:rFonts w:ascii="Arial" w:hAnsi="Arial" w:cs="Arial"/>
                <w:szCs w:val="16"/>
              </w:rPr>
              <w:t>---</w:t>
            </w:r>
          </w:p>
        </w:tc>
      </w:tr>
      <w:tr w:rsidR="00000000" w:rsidRPr="00F57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809" w:type="dxa"/>
            <w:tcBorders>
              <w:top w:val="single" w:sz="4" w:space="0" w:color="auto"/>
              <w:left w:val="nil"/>
              <w:bottom w:val="single" w:sz="4" w:space="0" w:color="auto"/>
              <w:right w:val="nil"/>
            </w:tcBorders>
          </w:tcPr>
          <w:p w:rsidR="00B43C57" w:rsidRPr="00F5723F" w:rsidRDefault="00B43C57">
            <w:pPr>
              <w:pStyle w:val="Tabelltext"/>
            </w:pPr>
            <w:r w:rsidRPr="00F5723F">
              <w:t>Differens</w:t>
            </w:r>
          </w:p>
          <w:p w:rsidR="00B43C57" w:rsidRPr="00F5723F" w:rsidRDefault="00B43C57">
            <w:pPr>
              <w:pStyle w:val="Tabelltext"/>
            </w:pPr>
            <w:r w:rsidRPr="00F5723F">
              <w:t>egentlig–</w:t>
            </w:r>
            <w:r w:rsidRPr="00F5723F">
              <w:t>anknuten</w:t>
            </w:r>
          </w:p>
        </w:tc>
        <w:tc>
          <w:tcPr>
            <w:tcW w:w="709"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−12</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−22</w:t>
            </w:r>
          </w:p>
        </w:tc>
        <w:tc>
          <w:tcPr>
            <w:tcW w:w="426"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−15</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−11</w:t>
            </w:r>
          </w:p>
        </w:tc>
        <w:tc>
          <w:tcPr>
            <w:tcW w:w="567"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−6</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−11</w:t>
            </w:r>
          </w:p>
        </w:tc>
        <w:tc>
          <w:tcPr>
            <w:tcW w:w="567" w:type="dxa"/>
            <w:tcBorders>
              <w:top w:val="single" w:sz="4" w:space="0" w:color="auto"/>
              <w:left w:val="nil"/>
              <w:bottom w:val="single" w:sz="4" w:space="0" w:color="auto"/>
              <w:right w:val="nil"/>
            </w:tcBorders>
          </w:tcPr>
          <w:p w:rsidR="00B43C57" w:rsidRPr="00F5723F" w:rsidRDefault="00B43C57">
            <w:pPr>
              <w:pStyle w:val="Tabelltextsiffror"/>
              <w:jc w:val="center"/>
              <w:rPr>
                <w:rFonts w:ascii="Arial" w:hAnsi="Arial" w:cs="Arial"/>
                <w:szCs w:val="16"/>
              </w:rPr>
            </w:pPr>
          </w:p>
        </w:tc>
        <w:tc>
          <w:tcPr>
            <w:tcW w:w="567" w:type="dxa"/>
            <w:tcBorders>
              <w:top w:val="single" w:sz="4" w:space="0" w:color="auto"/>
              <w:left w:val="nil"/>
              <w:bottom w:val="single" w:sz="4" w:space="0" w:color="auto"/>
              <w:right w:val="nil"/>
            </w:tcBorders>
          </w:tcPr>
          <w:p w:rsidR="00B43C57" w:rsidRPr="00F5723F" w:rsidRDefault="00B43C57">
            <w:pPr>
              <w:pStyle w:val="Tabelltextsiffror"/>
              <w:jc w:val="center"/>
              <w:rPr>
                <w:rFonts w:ascii="Arial" w:hAnsi="Arial" w:cs="Arial"/>
                <w:szCs w:val="16"/>
              </w:rPr>
            </w:pPr>
          </w:p>
        </w:tc>
      </w:tr>
    </w:tbl>
    <w:p w:rsidR="00B43C57" w:rsidRPr="00F5723F" w:rsidRDefault="00B43C57">
      <w:pPr>
        <w:rPr>
          <w:rFonts w:ascii="Arial" w:hAnsi="Arial" w:cs="Arial"/>
          <w:sz w:val="16"/>
          <w:szCs w:val="16"/>
        </w:rPr>
      </w:pPr>
    </w:p>
    <w:p w:rsidR="00B43C57" w:rsidRPr="00F5723F" w:rsidRDefault="00B43C57">
      <w:pPr>
        <w:rPr>
          <w:rFonts w:ascii="Arial" w:hAnsi="Arial" w:cs="Arial"/>
          <w:sz w:val="16"/>
          <w:szCs w:val="16"/>
        </w:rPr>
      </w:pPr>
      <w:r w:rsidRPr="00F5723F">
        <w:rPr>
          <w:rFonts w:ascii="Arial" w:hAnsi="Arial" w:cs="Arial"/>
          <w:sz w:val="16"/>
          <w:szCs w:val="16"/>
        </w:rPr>
        <w:t xml:space="preserve">c) </w:t>
      </w:r>
      <w:r w:rsidRPr="00F5723F">
        <w:rPr>
          <w:rFonts w:ascii="Arial" w:hAnsi="Arial" w:cs="Arial"/>
          <w:b/>
          <w:sz w:val="16"/>
          <w:szCs w:val="16"/>
        </w:rPr>
        <w:t>1985</w:t>
      </w:r>
    </w:p>
    <w:tbl>
      <w:tblPr>
        <w:tblW w:w="5920" w:type="dxa"/>
        <w:tblInd w:w="-38" w:type="dxa"/>
        <w:tblLayout w:type="fixed"/>
        <w:tblCellMar>
          <w:left w:w="70" w:type="dxa"/>
          <w:right w:w="70" w:type="dxa"/>
        </w:tblCellMar>
        <w:tblLook w:val="01E0" w:firstRow="1" w:lastRow="1" w:firstColumn="1" w:lastColumn="1" w:noHBand="0" w:noVBand="0"/>
      </w:tblPr>
      <w:tblGrid>
        <w:gridCol w:w="1809"/>
        <w:gridCol w:w="709"/>
        <w:gridCol w:w="425"/>
        <w:gridCol w:w="426"/>
        <w:gridCol w:w="425"/>
        <w:gridCol w:w="567"/>
        <w:gridCol w:w="425"/>
        <w:gridCol w:w="567"/>
        <w:gridCol w:w="567"/>
      </w:tblGrid>
      <w:tr w:rsidR="00000000" w:rsidRPr="00F5723F">
        <w:tblPrEx>
          <w:tblCellMar>
            <w:top w:w="0" w:type="dxa"/>
            <w:bottom w:w="0" w:type="dxa"/>
          </w:tblCellMar>
        </w:tblPrEx>
        <w:tc>
          <w:tcPr>
            <w:tcW w:w="1809" w:type="dxa"/>
            <w:tcBorders>
              <w:top w:val="single" w:sz="4" w:space="0" w:color="auto"/>
              <w:bottom w:val="single" w:sz="4" w:space="0" w:color="auto"/>
            </w:tcBorders>
          </w:tcPr>
          <w:p w:rsidR="00B43C57" w:rsidRPr="00F5723F" w:rsidRDefault="00B43C57">
            <w:pPr>
              <w:pStyle w:val="Tabelltext"/>
            </w:pPr>
            <w:r w:rsidRPr="00F5723F">
              <w:t>Kategori</w:t>
            </w:r>
          </w:p>
        </w:tc>
        <w:tc>
          <w:tcPr>
            <w:tcW w:w="709" w:type="dxa"/>
            <w:tcBorders>
              <w:top w:val="single" w:sz="4" w:space="0" w:color="auto"/>
              <w:bottom w:val="single" w:sz="4" w:space="0" w:color="auto"/>
            </w:tcBorders>
          </w:tcPr>
          <w:p w:rsidR="00B43C57" w:rsidRPr="00F5723F" w:rsidRDefault="00B43C57">
            <w:pPr>
              <w:pStyle w:val="Tabelltext"/>
              <w:jc w:val="center"/>
            </w:pPr>
            <w:r w:rsidRPr="00F5723F">
              <w:t>samtliga</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v</w:t>
            </w:r>
          </w:p>
        </w:tc>
        <w:tc>
          <w:tcPr>
            <w:tcW w:w="426" w:type="dxa"/>
            <w:tcBorders>
              <w:top w:val="single" w:sz="4" w:space="0" w:color="auto"/>
              <w:bottom w:val="single" w:sz="4" w:space="0" w:color="auto"/>
            </w:tcBorders>
          </w:tcPr>
          <w:p w:rsidR="00B43C57" w:rsidRPr="00F5723F" w:rsidRDefault="00B43C57">
            <w:pPr>
              <w:pStyle w:val="Tabelltext"/>
              <w:jc w:val="center"/>
            </w:pPr>
            <w:r w:rsidRPr="00F5723F">
              <w:t>s</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c</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fp</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m</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kd</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mp</w:t>
            </w:r>
          </w:p>
        </w:tc>
      </w:tr>
      <w:tr w:rsidR="00000000" w:rsidRPr="00F5723F">
        <w:tblPrEx>
          <w:tblCellMar>
            <w:top w:w="0" w:type="dxa"/>
            <w:bottom w:w="0" w:type="dxa"/>
          </w:tblCellMar>
        </w:tblPrEx>
        <w:tc>
          <w:tcPr>
            <w:tcW w:w="1809" w:type="dxa"/>
            <w:tcBorders>
              <w:top w:val="single" w:sz="4" w:space="0" w:color="auto"/>
            </w:tcBorders>
          </w:tcPr>
          <w:p w:rsidR="00B43C57" w:rsidRPr="00F5723F" w:rsidRDefault="00B43C57">
            <w:pPr>
              <w:pStyle w:val="Tabelltext"/>
            </w:pPr>
            <w:r w:rsidRPr="00F5723F">
              <w:t>Riksdagsegentlig (1–4)</w:t>
            </w:r>
          </w:p>
        </w:tc>
        <w:tc>
          <w:tcPr>
            <w:tcW w:w="709" w:type="dxa"/>
            <w:tcBorders>
              <w:top w:val="single" w:sz="4" w:space="0" w:color="auto"/>
            </w:tcBorders>
          </w:tcPr>
          <w:p w:rsidR="00B43C57" w:rsidRPr="00F5723F" w:rsidRDefault="00B43C57">
            <w:pPr>
              <w:pStyle w:val="Tabelltextsiffror"/>
              <w:jc w:val="center"/>
            </w:pPr>
            <w:r w:rsidRPr="00F5723F">
              <w:t>35</w:t>
            </w:r>
          </w:p>
        </w:tc>
        <w:tc>
          <w:tcPr>
            <w:tcW w:w="425" w:type="dxa"/>
            <w:tcBorders>
              <w:top w:val="single" w:sz="4" w:space="0" w:color="auto"/>
            </w:tcBorders>
          </w:tcPr>
          <w:p w:rsidR="00B43C57" w:rsidRPr="00F5723F" w:rsidRDefault="00B43C57">
            <w:pPr>
              <w:pStyle w:val="Tabelltextsiffror"/>
              <w:jc w:val="center"/>
            </w:pPr>
            <w:r w:rsidRPr="00F5723F">
              <w:t>44</w:t>
            </w:r>
          </w:p>
        </w:tc>
        <w:tc>
          <w:tcPr>
            <w:tcW w:w="426" w:type="dxa"/>
            <w:tcBorders>
              <w:top w:val="single" w:sz="4" w:space="0" w:color="auto"/>
            </w:tcBorders>
          </w:tcPr>
          <w:p w:rsidR="00B43C57" w:rsidRPr="00F5723F" w:rsidRDefault="00B43C57">
            <w:pPr>
              <w:pStyle w:val="Tabelltextsiffror"/>
              <w:jc w:val="center"/>
            </w:pPr>
            <w:r w:rsidRPr="00F5723F">
              <w:t>34</w:t>
            </w:r>
          </w:p>
        </w:tc>
        <w:tc>
          <w:tcPr>
            <w:tcW w:w="425" w:type="dxa"/>
            <w:tcBorders>
              <w:top w:val="single" w:sz="4" w:space="0" w:color="auto"/>
            </w:tcBorders>
          </w:tcPr>
          <w:p w:rsidR="00B43C57" w:rsidRPr="00F5723F" w:rsidRDefault="00B43C57">
            <w:pPr>
              <w:pStyle w:val="Tabelltextsiffror"/>
              <w:jc w:val="center"/>
            </w:pPr>
            <w:r w:rsidRPr="00F5723F">
              <w:t>35</w:t>
            </w:r>
          </w:p>
        </w:tc>
        <w:tc>
          <w:tcPr>
            <w:tcW w:w="567" w:type="dxa"/>
            <w:tcBorders>
              <w:top w:val="single" w:sz="4" w:space="0" w:color="auto"/>
            </w:tcBorders>
          </w:tcPr>
          <w:p w:rsidR="00B43C57" w:rsidRPr="00F5723F" w:rsidRDefault="00B43C57">
            <w:pPr>
              <w:pStyle w:val="Tabelltextsiffror"/>
              <w:jc w:val="center"/>
            </w:pPr>
            <w:r w:rsidRPr="00F5723F">
              <w:t>38</w:t>
            </w:r>
          </w:p>
        </w:tc>
        <w:tc>
          <w:tcPr>
            <w:tcW w:w="425" w:type="dxa"/>
            <w:tcBorders>
              <w:top w:val="single" w:sz="4" w:space="0" w:color="auto"/>
            </w:tcBorders>
          </w:tcPr>
          <w:p w:rsidR="00B43C57" w:rsidRPr="00F5723F" w:rsidRDefault="00B43C57">
            <w:pPr>
              <w:pStyle w:val="Tabelltextsiffror"/>
              <w:jc w:val="center"/>
            </w:pPr>
            <w:r w:rsidRPr="00F5723F">
              <w:t>36</w:t>
            </w:r>
          </w:p>
        </w:tc>
        <w:tc>
          <w:tcPr>
            <w:tcW w:w="567" w:type="dxa"/>
            <w:tcBorders>
              <w:top w:val="single" w:sz="4" w:space="0" w:color="auto"/>
            </w:tcBorders>
          </w:tcPr>
          <w:p w:rsidR="00B43C57" w:rsidRPr="00F5723F" w:rsidRDefault="00B43C57">
            <w:pPr>
              <w:pStyle w:val="Tabelltextsiffror"/>
              <w:jc w:val="center"/>
              <w:rPr>
                <w:szCs w:val="16"/>
              </w:rPr>
            </w:pPr>
            <w:r w:rsidRPr="00F5723F">
              <w:rPr>
                <w:szCs w:val="16"/>
              </w:rPr>
              <w:t>---</w:t>
            </w:r>
          </w:p>
        </w:tc>
        <w:tc>
          <w:tcPr>
            <w:tcW w:w="567" w:type="dxa"/>
            <w:tcBorders>
              <w:top w:val="single" w:sz="4" w:space="0" w:color="auto"/>
            </w:tcBorders>
          </w:tcPr>
          <w:p w:rsidR="00B43C57" w:rsidRPr="00F5723F" w:rsidRDefault="00B43C57">
            <w:pPr>
              <w:pStyle w:val="Tabelltextsiffror"/>
              <w:jc w:val="center"/>
              <w:rPr>
                <w:szCs w:val="16"/>
              </w:rPr>
            </w:pPr>
            <w:r w:rsidRPr="00F5723F">
              <w:rPr>
                <w:szCs w:val="16"/>
              </w:rPr>
              <w:t>---</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Riksdagsanknuten (5–9)</w:t>
            </w:r>
          </w:p>
        </w:tc>
        <w:tc>
          <w:tcPr>
            <w:tcW w:w="709" w:type="dxa"/>
          </w:tcPr>
          <w:p w:rsidR="00B43C57" w:rsidRPr="00F5723F" w:rsidRDefault="00B43C57">
            <w:pPr>
              <w:pStyle w:val="Tabelltextsiffror"/>
              <w:jc w:val="center"/>
            </w:pPr>
            <w:r w:rsidRPr="00F5723F">
              <w:t>38</w:t>
            </w:r>
          </w:p>
        </w:tc>
        <w:tc>
          <w:tcPr>
            <w:tcW w:w="425" w:type="dxa"/>
          </w:tcPr>
          <w:p w:rsidR="00B43C57" w:rsidRPr="00F5723F" w:rsidRDefault="00B43C57">
            <w:pPr>
              <w:pStyle w:val="Tabelltextsiffror"/>
              <w:jc w:val="center"/>
            </w:pPr>
            <w:r w:rsidRPr="00F5723F">
              <w:t>32</w:t>
            </w:r>
          </w:p>
        </w:tc>
        <w:tc>
          <w:tcPr>
            <w:tcW w:w="426" w:type="dxa"/>
          </w:tcPr>
          <w:p w:rsidR="00B43C57" w:rsidRPr="00F5723F" w:rsidRDefault="00B43C57">
            <w:pPr>
              <w:pStyle w:val="Tabelltextsiffror"/>
              <w:jc w:val="center"/>
            </w:pPr>
            <w:r w:rsidRPr="00F5723F">
              <w:t>40</w:t>
            </w:r>
          </w:p>
        </w:tc>
        <w:tc>
          <w:tcPr>
            <w:tcW w:w="425" w:type="dxa"/>
          </w:tcPr>
          <w:p w:rsidR="00B43C57" w:rsidRPr="00F5723F" w:rsidRDefault="00B43C57">
            <w:pPr>
              <w:pStyle w:val="Tabelltextsiffror"/>
              <w:jc w:val="center"/>
            </w:pPr>
            <w:r w:rsidRPr="00F5723F">
              <w:t>41</w:t>
            </w:r>
          </w:p>
        </w:tc>
        <w:tc>
          <w:tcPr>
            <w:tcW w:w="567" w:type="dxa"/>
          </w:tcPr>
          <w:p w:rsidR="00B43C57" w:rsidRPr="00F5723F" w:rsidRDefault="00B43C57">
            <w:pPr>
              <w:pStyle w:val="Tabelltextsiffror"/>
              <w:jc w:val="center"/>
            </w:pPr>
            <w:r w:rsidRPr="00F5723F">
              <w:t>40</w:t>
            </w:r>
          </w:p>
        </w:tc>
        <w:tc>
          <w:tcPr>
            <w:tcW w:w="425" w:type="dxa"/>
          </w:tcPr>
          <w:p w:rsidR="00B43C57" w:rsidRPr="00F5723F" w:rsidRDefault="00B43C57">
            <w:pPr>
              <w:pStyle w:val="Tabelltextsiffror"/>
              <w:jc w:val="center"/>
            </w:pPr>
            <w:r w:rsidRPr="00F5723F">
              <w:t>31</w:t>
            </w:r>
          </w:p>
        </w:tc>
        <w:tc>
          <w:tcPr>
            <w:tcW w:w="567" w:type="dxa"/>
          </w:tcPr>
          <w:p w:rsidR="00B43C57" w:rsidRPr="00F5723F" w:rsidRDefault="00B43C57">
            <w:pPr>
              <w:pStyle w:val="Tabelltextsiffror"/>
              <w:jc w:val="center"/>
              <w:rPr>
                <w:szCs w:val="16"/>
              </w:rPr>
            </w:pPr>
            <w:r w:rsidRPr="00F5723F">
              <w:rPr>
                <w:szCs w:val="16"/>
              </w:rPr>
              <w:t>---</w:t>
            </w:r>
          </w:p>
        </w:tc>
        <w:tc>
          <w:tcPr>
            <w:tcW w:w="567" w:type="dxa"/>
          </w:tcPr>
          <w:p w:rsidR="00B43C57" w:rsidRPr="00F5723F" w:rsidRDefault="00B43C57">
            <w:pPr>
              <w:pStyle w:val="Tabelltextsiffror"/>
              <w:jc w:val="center"/>
              <w:rPr>
                <w:szCs w:val="16"/>
              </w:rPr>
            </w:pPr>
            <w:r w:rsidRPr="00F5723F">
              <w:rPr>
                <w:szCs w:val="16"/>
              </w:rPr>
              <w:t>---</w:t>
            </w:r>
          </w:p>
        </w:tc>
      </w:tr>
      <w:tr w:rsidR="00000000" w:rsidRPr="00F5723F">
        <w:tblPrEx>
          <w:tblCellMar>
            <w:top w:w="0" w:type="dxa"/>
            <w:bottom w:w="0" w:type="dxa"/>
          </w:tblCellMar>
        </w:tblPrEx>
        <w:tc>
          <w:tcPr>
            <w:tcW w:w="1809" w:type="dxa"/>
            <w:tcBorders>
              <w:bottom w:val="single" w:sz="4" w:space="0" w:color="auto"/>
            </w:tcBorders>
          </w:tcPr>
          <w:p w:rsidR="00B43C57" w:rsidRPr="00F5723F" w:rsidRDefault="00B43C57">
            <w:pPr>
              <w:pStyle w:val="Tabelltext"/>
            </w:pPr>
            <w:r w:rsidRPr="00F5723F">
              <w:t>Övrigt (10–14)</w:t>
            </w:r>
          </w:p>
        </w:tc>
        <w:tc>
          <w:tcPr>
            <w:tcW w:w="709" w:type="dxa"/>
            <w:tcBorders>
              <w:bottom w:val="single" w:sz="4" w:space="0" w:color="auto"/>
            </w:tcBorders>
          </w:tcPr>
          <w:p w:rsidR="00B43C57" w:rsidRPr="00F5723F" w:rsidRDefault="00B43C57">
            <w:pPr>
              <w:pStyle w:val="Tabelltextsiffror"/>
              <w:jc w:val="center"/>
            </w:pPr>
            <w:r w:rsidRPr="00F5723F">
              <w:t>27</w:t>
            </w:r>
          </w:p>
        </w:tc>
        <w:tc>
          <w:tcPr>
            <w:tcW w:w="425" w:type="dxa"/>
            <w:tcBorders>
              <w:bottom w:val="single" w:sz="4" w:space="0" w:color="auto"/>
            </w:tcBorders>
          </w:tcPr>
          <w:p w:rsidR="00B43C57" w:rsidRPr="00F5723F" w:rsidRDefault="00B43C57">
            <w:pPr>
              <w:pStyle w:val="Tabelltextsiffror"/>
              <w:jc w:val="center"/>
            </w:pPr>
            <w:r w:rsidRPr="00F5723F">
              <w:t>24</w:t>
            </w:r>
          </w:p>
        </w:tc>
        <w:tc>
          <w:tcPr>
            <w:tcW w:w="426" w:type="dxa"/>
            <w:tcBorders>
              <w:bottom w:val="single" w:sz="4" w:space="0" w:color="auto"/>
            </w:tcBorders>
          </w:tcPr>
          <w:p w:rsidR="00B43C57" w:rsidRPr="00F5723F" w:rsidRDefault="00B43C57">
            <w:pPr>
              <w:pStyle w:val="Tabelltextsiffror"/>
              <w:jc w:val="center"/>
            </w:pPr>
            <w:r w:rsidRPr="00F5723F">
              <w:t>26</w:t>
            </w:r>
          </w:p>
        </w:tc>
        <w:tc>
          <w:tcPr>
            <w:tcW w:w="425" w:type="dxa"/>
            <w:tcBorders>
              <w:bottom w:val="single" w:sz="4" w:space="0" w:color="auto"/>
            </w:tcBorders>
          </w:tcPr>
          <w:p w:rsidR="00B43C57" w:rsidRPr="00F5723F" w:rsidRDefault="00B43C57">
            <w:pPr>
              <w:pStyle w:val="Tabelltextsiffror"/>
              <w:jc w:val="center"/>
            </w:pPr>
            <w:r w:rsidRPr="00F5723F">
              <w:t>24</w:t>
            </w:r>
          </w:p>
        </w:tc>
        <w:tc>
          <w:tcPr>
            <w:tcW w:w="567" w:type="dxa"/>
            <w:tcBorders>
              <w:bottom w:val="single" w:sz="4" w:space="0" w:color="auto"/>
            </w:tcBorders>
          </w:tcPr>
          <w:p w:rsidR="00B43C57" w:rsidRPr="00F5723F" w:rsidRDefault="00B43C57">
            <w:pPr>
              <w:pStyle w:val="Tabelltextsiffror"/>
              <w:jc w:val="center"/>
            </w:pPr>
            <w:r w:rsidRPr="00F5723F">
              <w:t>22</w:t>
            </w:r>
          </w:p>
        </w:tc>
        <w:tc>
          <w:tcPr>
            <w:tcW w:w="425" w:type="dxa"/>
            <w:tcBorders>
              <w:bottom w:val="single" w:sz="4" w:space="0" w:color="auto"/>
            </w:tcBorders>
          </w:tcPr>
          <w:p w:rsidR="00B43C57" w:rsidRPr="00F5723F" w:rsidRDefault="00B43C57">
            <w:pPr>
              <w:pStyle w:val="Tabelltextsiffror"/>
              <w:jc w:val="center"/>
            </w:pPr>
            <w:r w:rsidRPr="00F5723F">
              <w:t>33</w:t>
            </w:r>
          </w:p>
        </w:tc>
        <w:tc>
          <w:tcPr>
            <w:tcW w:w="567" w:type="dxa"/>
            <w:tcBorders>
              <w:bottom w:val="single" w:sz="4" w:space="0" w:color="auto"/>
            </w:tcBorders>
          </w:tcPr>
          <w:p w:rsidR="00B43C57" w:rsidRPr="00F5723F" w:rsidRDefault="00B43C57">
            <w:pPr>
              <w:pStyle w:val="Tabelltextsiffror"/>
              <w:jc w:val="center"/>
              <w:rPr>
                <w:szCs w:val="16"/>
              </w:rPr>
            </w:pPr>
            <w:r w:rsidRPr="00F5723F">
              <w:rPr>
                <w:szCs w:val="16"/>
              </w:rPr>
              <w:t>---</w:t>
            </w:r>
          </w:p>
        </w:tc>
        <w:tc>
          <w:tcPr>
            <w:tcW w:w="567" w:type="dxa"/>
            <w:tcBorders>
              <w:bottom w:val="single" w:sz="4" w:space="0" w:color="auto"/>
            </w:tcBorders>
          </w:tcPr>
          <w:p w:rsidR="00B43C57" w:rsidRPr="00F5723F" w:rsidRDefault="00B43C57">
            <w:pPr>
              <w:pStyle w:val="Tabelltextsiffror"/>
              <w:jc w:val="center"/>
              <w:rPr>
                <w:szCs w:val="16"/>
              </w:rPr>
            </w:pPr>
            <w:r w:rsidRPr="00F5723F">
              <w:rPr>
                <w:szCs w:val="16"/>
              </w:rPr>
              <w:t>---</w:t>
            </w:r>
          </w:p>
        </w:tc>
      </w:tr>
      <w:tr w:rsidR="00000000" w:rsidRPr="00F57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809" w:type="dxa"/>
            <w:tcBorders>
              <w:top w:val="single" w:sz="4" w:space="0" w:color="auto"/>
              <w:left w:val="nil"/>
              <w:bottom w:val="single" w:sz="4" w:space="0" w:color="auto"/>
              <w:right w:val="nil"/>
            </w:tcBorders>
          </w:tcPr>
          <w:p w:rsidR="00B43C57" w:rsidRPr="00F5723F" w:rsidRDefault="00B43C57">
            <w:pPr>
              <w:pStyle w:val="Tabelltext"/>
            </w:pPr>
            <w:r w:rsidRPr="00F5723F">
              <w:t>Differens</w:t>
            </w:r>
          </w:p>
          <w:p w:rsidR="00B43C57" w:rsidRPr="00F5723F" w:rsidRDefault="00B43C57">
            <w:pPr>
              <w:pStyle w:val="Tabelltext"/>
            </w:pPr>
            <w:r w:rsidRPr="00F5723F">
              <w:t>egentlig–</w:t>
            </w:r>
            <w:r w:rsidRPr="00F5723F">
              <w:t>anknuten</w:t>
            </w:r>
          </w:p>
        </w:tc>
        <w:tc>
          <w:tcPr>
            <w:tcW w:w="709"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−3</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+12</w:t>
            </w:r>
          </w:p>
        </w:tc>
        <w:tc>
          <w:tcPr>
            <w:tcW w:w="426"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−6</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−6</w:t>
            </w:r>
          </w:p>
        </w:tc>
        <w:tc>
          <w:tcPr>
            <w:tcW w:w="567"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−2</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+5</w:t>
            </w:r>
          </w:p>
        </w:tc>
        <w:tc>
          <w:tcPr>
            <w:tcW w:w="567" w:type="dxa"/>
            <w:tcBorders>
              <w:top w:val="single" w:sz="4" w:space="0" w:color="auto"/>
              <w:left w:val="nil"/>
              <w:bottom w:val="single" w:sz="4" w:space="0" w:color="auto"/>
              <w:right w:val="nil"/>
            </w:tcBorders>
          </w:tcPr>
          <w:p w:rsidR="00B43C57" w:rsidRPr="00F5723F" w:rsidRDefault="00B43C57">
            <w:pPr>
              <w:pStyle w:val="Tabelltextsiffror"/>
              <w:jc w:val="center"/>
              <w:rPr>
                <w:szCs w:val="16"/>
              </w:rPr>
            </w:pPr>
          </w:p>
        </w:tc>
        <w:tc>
          <w:tcPr>
            <w:tcW w:w="567" w:type="dxa"/>
            <w:tcBorders>
              <w:top w:val="single" w:sz="4" w:space="0" w:color="auto"/>
              <w:left w:val="nil"/>
              <w:bottom w:val="single" w:sz="4" w:space="0" w:color="auto"/>
              <w:right w:val="nil"/>
            </w:tcBorders>
          </w:tcPr>
          <w:p w:rsidR="00B43C57" w:rsidRPr="00F5723F" w:rsidRDefault="00B43C57">
            <w:pPr>
              <w:pStyle w:val="Tabelltextsiffror"/>
              <w:jc w:val="center"/>
              <w:rPr>
                <w:szCs w:val="16"/>
              </w:rPr>
            </w:pPr>
          </w:p>
        </w:tc>
      </w:tr>
    </w:tbl>
    <w:p w:rsidR="00B43C57" w:rsidRPr="00F5723F" w:rsidRDefault="00B43C57">
      <w:pPr>
        <w:rPr>
          <w:rFonts w:ascii="Arial" w:hAnsi="Arial" w:cs="Arial"/>
          <w:sz w:val="16"/>
          <w:szCs w:val="16"/>
        </w:rPr>
      </w:pPr>
    </w:p>
    <w:p w:rsidR="00B43C57" w:rsidRPr="00F5723F" w:rsidRDefault="00B43C57">
      <w:pPr>
        <w:rPr>
          <w:rFonts w:ascii="Arial" w:hAnsi="Arial" w:cs="Arial"/>
          <w:sz w:val="16"/>
          <w:szCs w:val="16"/>
        </w:rPr>
      </w:pPr>
      <w:r w:rsidRPr="00F5723F">
        <w:rPr>
          <w:rFonts w:ascii="Arial" w:hAnsi="Arial" w:cs="Arial"/>
          <w:sz w:val="16"/>
          <w:szCs w:val="16"/>
        </w:rPr>
        <w:t xml:space="preserve">d) </w:t>
      </w:r>
      <w:r w:rsidRPr="00F5723F">
        <w:rPr>
          <w:rFonts w:ascii="Arial" w:hAnsi="Arial" w:cs="Arial"/>
          <w:b/>
          <w:sz w:val="16"/>
          <w:szCs w:val="16"/>
        </w:rPr>
        <w:t>2004</w:t>
      </w:r>
    </w:p>
    <w:tbl>
      <w:tblPr>
        <w:tblW w:w="5920" w:type="dxa"/>
        <w:tblInd w:w="-38" w:type="dxa"/>
        <w:tblLayout w:type="fixed"/>
        <w:tblCellMar>
          <w:left w:w="70" w:type="dxa"/>
          <w:right w:w="70" w:type="dxa"/>
        </w:tblCellMar>
        <w:tblLook w:val="01E0" w:firstRow="1" w:lastRow="1" w:firstColumn="1" w:lastColumn="1" w:noHBand="0" w:noVBand="0"/>
      </w:tblPr>
      <w:tblGrid>
        <w:gridCol w:w="1809"/>
        <w:gridCol w:w="709"/>
        <w:gridCol w:w="425"/>
        <w:gridCol w:w="426"/>
        <w:gridCol w:w="425"/>
        <w:gridCol w:w="567"/>
        <w:gridCol w:w="425"/>
        <w:gridCol w:w="567"/>
        <w:gridCol w:w="567"/>
      </w:tblGrid>
      <w:tr w:rsidR="00000000" w:rsidRPr="00F5723F">
        <w:tblPrEx>
          <w:tblCellMar>
            <w:top w:w="0" w:type="dxa"/>
            <w:bottom w:w="0" w:type="dxa"/>
          </w:tblCellMar>
        </w:tblPrEx>
        <w:tc>
          <w:tcPr>
            <w:tcW w:w="1809" w:type="dxa"/>
            <w:tcBorders>
              <w:top w:val="single" w:sz="4" w:space="0" w:color="auto"/>
              <w:bottom w:val="single" w:sz="4" w:space="0" w:color="auto"/>
            </w:tcBorders>
          </w:tcPr>
          <w:p w:rsidR="00B43C57" w:rsidRPr="00F5723F" w:rsidRDefault="00B43C57">
            <w:pPr>
              <w:pStyle w:val="Tabelltext"/>
            </w:pPr>
            <w:r w:rsidRPr="00F5723F">
              <w:t>Kategori</w:t>
            </w:r>
          </w:p>
        </w:tc>
        <w:tc>
          <w:tcPr>
            <w:tcW w:w="709" w:type="dxa"/>
            <w:tcBorders>
              <w:top w:val="single" w:sz="4" w:space="0" w:color="auto"/>
              <w:bottom w:val="single" w:sz="4" w:space="0" w:color="auto"/>
            </w:tcBorders>
          </w:tcPr>
          <w:p w:rsidR="00B43C57" w:rsidRPr="00F5723F" w:rsidRDefault="00B43C57">
            <w:pPr>
              <w:pStyle w:val="Tabelltext"/>
              <w:jc w:val="center"/>
            </w:pPr>
            <w:r w:rsidRPr="00F5723F">
              <w:t>samtliga</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v</w:t>
            </w:r>
          </w:p>
        </w:tc>
        <w:tc>
          <w:tcPr>
            <w:tcW w:w="426" w:type="dxa"/>
            <w:tcBorders>
              <w:top w:val="single" w:sz="4" w:space="0" w:color="auto"/>
              <w:bottom w:val="single" w:sz="4" w:space="0" w:color="auto"/>
            </w:tcBorders>
          </w:tcPr>
          <w:p w:rsidR="00B43C57" w:rsidRPr="00F5723F" w:rsidRDefault="00B43C57">
            <w:pPr>
              <w:pStyle w:val="Tabelltext"/>
              <w:jc w:val="center"/>
            </w:pPr>
            <w:r w:rsidRPr="00F5723F">
              <w:t>s</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c</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fp</w:t>
            </w:r>
          </w:p>
        </w:tc>
        <w:tc>
          <w:tcPr>
            <w:tcW w:w="425" w:type="dxa"/>
            <w:tcBorders>
              <w:top w:val="single" w:sz="4" w:space="0" w:color="auto"/>
              <w:bottom w:val="single" w:sz="4" w:space="0" w:color="auto"/>
            </w:tcBorders>
          </w:tcPr>
          <w:p w:rsidR="00B43C57" w:rsidRPr="00F5723F" w:rsidRDefault="00B43C57">
            <w:pPr>
              <w:pStyle w:val="Tabelltext"/>
              <w:jc w:val="center"/>
            </w:pPr>
            <w:r w:rsidRPr="00F5723F">
              <w:t>m</w:t>
            </w:r>
          </w:p>
        </w:tc>
        <w:tc>
          <w:tcPr>
            <w:tcW w:w="567" w:type="dxa"/>
            <w:tcBorders>
              <w:top w:val="single" w:sz="4" w:space="0" w:color="auto"/>
              <w:bottom w:val="single" w:sz="4" w:space="0" w:color="auto"/>
            </w:tcBorders>
          </w:tcPr>
          <w:p w:rsidR="00B43C57" w:rsidRPr="00F5723F" w:rsidRDefault="00B43C57">
            <w:pPr>
              <w:pStyle w:val="Tabelltext"/>
              <w:jc w:val="center"/>
            </w:pPr>
            <w:r w:rsidRPr="00F5723F">
              <w:t>kd</w:t>
            </w:r>
          </w:p>
        </w:tc>
        <w:tc>
          <w:tcPr>
            <w:tcW w:w="567" w:type="dxa"/>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mp</w:t>
            </w:r>
          </w:p>
        </w:tc>
      </w:tr>
      <w:tr w:rsidR="00000000" w:rsidRPr="00F5723F">
        <w:tblPrEx>
          <w:tblCellMar>
            <w:top w:w="0" w:type="dxa"/>
            <w:bottom w:w="0" w:type="dxa"/>
          </w:tblCellMar>
        </w:tblPrEx>
        <w:tc>
          <w:tcPr>
            <w:tcW w:w="1809" w:type="dxa"/>
            <w:tcBorders>
              <w:top w:val="single" w:sz="4" w:space="0" w:color="auto"/>
            </w:tcBorders>
          </w:tcPr>
          <w:p w:rsidR="00B43C57" w:rsidRPr="00F5723F" w:rsidRDefault="00B43C57">
            <w:pPr>
              <w:pStyle w:val="Tabelltext"/>
            </w:pPr>
            <w:r w:rsidRPr="00F5723F">
              <w:t>Riksdagsegentlig (1–4)</w:t>
            </w:r>
          </w:p>
        </w:tc>
        <w:tc>
          <w:tcPr>
            <w:tcW w:w="709" w:type="dxa"/>
            <w:tcBorders>
              <w:top w:val="single" w:sz="4" w:space="0" w:color="auto"/>
            </w:tcBorders>
          </w:tcPr>
          <w:p w:rsidR="00B43C57" w:rsidRPr="00F5723F" w:rsidRDefault="00B43C57">
            <w:pPr>
              <w:pStyle w:val="Tabelltextsiffror"/>
              <w:jc w:val="center"/>
            </w:pPr>
            <w:r w:rsidRPr="00F5723F">
              <w:t>30</w:t>
            </w:r>
          </w:p>
        </w:tc>
        <w:tc>
          <w:tcPr>
            <w:tcW w:w="425" w:type="dxa"/>
            <w:tcBorders>
              <w:top w:val="single" w:sz="4" w:space="0" w:color="auto"/>
            </w:tcBorders>
          </w:tcPr>
          <w:p w:rsidR="00B43C57" w:rsidRPr="00F5723F" w:rsidRDefault="00B43C57">
            <w:pPr>
              <w:pStyle w:val="Tabelltextsiffror"/>
              <w:jc w:val="center"/>
            </w:pPr>
            <w:r w:rsidRPr="00F5723F">
              <w:t>28</w:t>
            </w:r>
          </w:p>
        </w:tc>
        <w:tc>
          <w:tcPr>
            <w:tcW w:w="426" w:type="dxa"/>
            <w:tcBorders>
              <w:top w:val="single" w:sz="4" w:space="0" w:color="auto"/>
            </w:tcBorders>
          </w:tcPr>
          <w:p w:rsidR="00B43C57" w:rsidRPr="00F5723F" w:rsidRDefault="00B43C57">
            <w:pPr>
              <w:pStyle w:val="Tabelltextsiffror"/>
              <w:jc w:val="center"/>
            </w:pPr>
            <w:r w:rsidRPr="00F5723F">
              <w:t>33</w:t>
            </w:r>
          </w:p>
        </w:tc>
        <w:tc>
          <w:tcPr>
            <w:tcW w:w="425" w:type="dxa"/>
            <w:tcBorders>
              <w:top w:val="single" w:sz="4" w:space="0" w:color="auto"/>
            </w:tcBorders>
          </w:tcPr>
          <w:p w:rsidR="00B43C57" w:rsidRPr="00F5723F" w:rsidRDefault="00B43C57">
            <w:pPr>
              <w:pStyle w:val="Tabelltextsiffror"/>
              <w:jc w:val="center"/>
            </w:pPr>
            <w:r w:rsidRPr="00F5723F">
              <w:t>27</w:t>
            </w:r>
          </w:p>
        </w:tc>
        <w:tc>
          <w:tcPr>
            <w:tcW w:w="567" w:type="dxa"/>
            <w:tcBorders>
              <w:top w:val="single" w:sz="4" w:space="0" w:color="auto"/>
            </w:tcBorders>
          </w:tcPr>
          <w:p w:rsidR="00B43C57" w:rsidRPr="00F5723F" w:rsidRDefault="00B43C57">
            <w:pPr>
              <w:pStyle w:val="Tabelltextsiffror"/>
              <w:jc w:val="center"/>
            </w:pPr>
            <w:r w:rsidRPr="00F5723F">
              <w:t>30</w:t>
            </w:r>
          </w:p>
        </w:tc>
        <w:tc>
          <w:tcPr>
            <w:tcW w:w="425" w:type="dxa"/>
            <w:tcBorders>
              <w:top w:val="single" w:sz="4" w:space="0" w:color="auto"/>
            </w:tcBorders>
          </w:tcPr>
          <w:p w:rsidR="00B43C57" w:rsidRPr="00F5723F" w:rsidRDefault="00B43C57">
            <w:pPr>
              <w:pStyle w:val="Tabelltextsiffror"/>
              <w:jc w:val="center"/>
            </w:pPr>
            <w:r w:rsidRPr="00F5723F">
              <w:t>36</w:t>
            </w:r>
          </w:p>
        </w:tc>
        <w:tc>
          <w:tcPr>
            <w:tcW w:w="567" w:type="dxa"/>
            <w:tcBorders>
              <w:top w:val="single" w:sz="4" w:space="0" w:color="auto"/>
            </w:tcBorders>
          </w:tcPr>
          <w:p w:rsidR="00B43C57" w:rsidRPr="00F5723F" w:rsidRDefault="00B43C57">
            <w:pPr>
              <w:pStyle w:val="Tabelltextsiffror"/>
              <w:jc w:val="center"/>
              <w:rPr>
                <w:szCs w:val="16"/>
              </w:rPr>
            </w:pPr>
            <w:r w:rsidRPr="00F5723F">
              <w:rPr>
                <w:szCs w:val="16"/>
              </w:rPr>
              <w:t>24</w:t>
            </w:r>
          </w:p>
        </w:tc>
        <w:tc>
          <w:tcPr>
            <w:tcW w:w="567" w:type="dxa"/>
            <w:tcBorders>
              <w:top w:val="single" w:sz="4" w:space="0" w:color="auto"/>
            </w:tcBorders>
          </w:tcPr>
          <w:p w:rsidR="00B43C57" w:rsidRPr="00F5723F" w:rsidRDefault="00B43C57">
            <w:pPr>
              <w:pStyle w:val="Tabelltextsiffror"/>
              <w:jc w:val="center"/>
              <w:rPr>
                <w:szCs w:val="16"/>
              </w:rPr>
            </w:pPr>
            <w:r w:rsidRPr="00F5723F">
              <w:rPr>
                <w:szCs w:val="16"/>
              </w:rPr>
              <w:t>41</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Riksdagsanknuten (5–9)</w:t>
            </w:r>
          </w:p>
        </w:tc>
        <w:tc>
          <w:tcPr>
            <w:tcW w:w="709" w:type="dxa"/>
          </w:tcPr>
          <w:p w:rsidR="00B43C57" w:rsidRPr="00F5723F" w:rsidRDefault="00B43C57">
            <w:pPr>
              <w:pStyle w:val="Tabelltextsiffror"/>
              <w:jc w:val="center"/>
            </w:pPr>
            <w:r w:rsidRPr="00F5723F">
              <w:t>41</w:t>
            </w:r>
          </w:p>
        </w:tc>
        <w:tc>
          <w:tcPr>
            <w:tcW w:w="425" w:type="dxa"/>
          </w:tcPr>
          <w:p w:rsidR="00B43C57" w:rsidRPr="00F5723F" w:rsidRDefault="00B43C57">
            <w:pPr>
              <w:pStyle w:val="Tabelltextsiffror"/>
              <w:jc w:val="center"/>
            </w:pPr>
            <w:r w:rsidRPr="00F5723F">
              <w:t>36</w:t>
            </w:r>
          </w:p>
        </w:tc>
        <w:tc>
          <w:tcPr>
            <w:tcW w:w="426" w:type="dxa"/>
          </w:tcPr>
          <w:p w:rsidR="00B43C57" w:rsidRPr="00F5723F" w:rsidRDefault="00B43C57">
            <w:pPr>
              <w:pStyle w:val="Tabelltextsiffror"/>
              <w:jc w:val="center"/>
            </w:pPr>
            <w:r w:rsidRPr="00F5723F">
              <w:t>41</w:t>
            </w:r>
          </w:p>
        </w:tc>
        <w:tc>
          <w:tcPr>
            <w:tcW w:w="425" w:type="dxa"/>
          </w:tcPr>
          <w:p w:rsidR="00B43C57" w:rsidRPr="00F5723F" w:rsidRDefault="00B43C57">
            <w:pPr>
              <w:pStyle w:val="Tabelltextsiffror"/>
              <w:jc w:val="center"/>
            </w:pPr>
            <w:r w:rsidRPr="00F5723F">
              <w:t>44</w:t>
            </w:r>
          </w:p>
        </w:tc>
        <w:tc>
          <w:tcPr>
            <w:tcW w:w="567" w:type="dxa"/>
          </w:tcPr>
          <w:p w:rsidR="00B43C57" w:rsidRPr="00F5723F" w:rsidRDefault="00B43C57">
            <w:pPr>
              <w:pStyle w:val="Tabelltextsiffror"/>
              <w:jc w:val="center"/>
            </w:pPr>
            <w:r w:rsidRPr="00F5723F">
              <w:t>39</w:t>
            </w:r>
          </w:p>
        </w:tc>
        <w:tc>
          <w:tcPr>
            <w:tcW w:w="425" w:type="dxa"/>
          </w:tcPr>
          <w:p w:rsidR="00B43C57" w:rsidRPr="00F5723F" w:rsidRDefault="00B43C57">
            <w:pPr>
              <w:pStyle w:val="Tabelltextsiffror"/>
              <w:jc w:val="center"/>
            </w:pPr>
            <w:r w:rsidRPr="00F5723F">
              <w:t>60</w:t>
            </w:r>
          </w:p>
        </w:tc>
        <w:tc>
          <w:tcPr>
            <w:tcW w:w="567" w:type="dxa"/>
          </w:tcPr>
          <w:p w:rsidR="00B43C57" w:rsidRPr="00F5723F" w:rsidRDefault="00B43C57">
            <w:pPr>
              <w:pStyle w:val="Tabelltextsiffror"/>
              <w:jc w:val="center"/>
              <w:rPr>
                <w:szCs w:val="16"/>
              </w:rPr>
            </w:pPr>
            <w:r w:rsidRPr="00F5723F">
              <w:rPr>
                <w:szCs w:val="16"/>
              </w:rPr>
              <w:t>42</w:t>
            </w:r>
          </w:p>
        </w:tc>
        <w:tc>
          <w:tcPr>
            <w:tcW w:w="567" w:type="dxa"/>
          </w:tcPr>
          <w:p w:rsidR="00B43C57" w:rsidRPr="00F5723F" w:rsidRDefault="00B43C57">
            <w:pPr>
              <w:pStyle w:val="Tabelltextsiffror"/>
              <w:jc w:val="center"/>
              <w:rPr>
                <w:szCs w:val="16"/>
              </w:rPr>
            </w:pPr>
            <w:r w:rsidRPr="00F5723F">
              <w:rPr>
                <w:szCs w:val="16"/>
              </w:rPr>
              <w:t>37</w:t>
            </w:r>
          </w:p>
        </w:tc>
      </w:tr>
      <w:tr w:rsidR="00000000" w:rsidRPr="00F5723F">
        <w:tblPrEx>
          <w:tblCellMar>
            <w:top w:w="0" w:type="dxa"/>
            <w:bottom w:w="0" w:type="dxa"/>
          </w:tblCellMar>
        </w:tblPrEx>
        <w:tc>
          <w:tcPr>
            <w:tcW w:w="1809" w:type="dxa"/>
            <w:tcBorders>
              <w:bottom w:val="single" w:sz="4" w:space="0" w:color="auto"/>
            </w:tcBorders>
          </w:tcPr>
          <w:p w:rsidR="00B43C57" w:rsidRPr="00F5723F" w:rsidRDefault="00B43C57">
            <w:pPr>
              <w:pStyle w:val="Tabelltext"/>
            </w:pPr>
            <w:r w:rsidRPr="00F5723F">
              <w:t>Övrigt (10–14)</w:t>
            </w:r>
          </w:p>
        </w:tc>
        <w:tc>
          <w:tcPr>
            <w:tcW w:w="709" w:type="dxa"/>
            <w:tcBorders>
              <w:bottom w:val="single" w:sz="4" w:space="0" w:color="auto"/>
            </w:tcBorders>
          </w:tcPr>
          <w:p w:rsidR="00B43C57" w:rsidRPr="00F5723F" w:rsidRDefault="00B43C57">
            <w:pPr>
              <w:pStyle w:val="Tabelltextsiffror"/>
              <w:jc w:val="center"/>
            </w:pPr>
            <w:r w:rsidRPr="00F5723F">
              <w:t>28</w:t>
            </w:r>
          </w:p>
        </w:tc>
        <w:tc>
          <w:tcPr>
            <w:tcW w:w="425" w:type="dxa"/>
            <w:tcBorders>
              <w:bottom w:val="single" w:sz="4" w:space="0" w:color="auto"/>
            </w:tcBorders>
          </w:tcPr>
          <w:p w:rsidR="00B43C57" w:rsidRPr="00F5723F" w:rsidRDefault="00B43C57">
            <w:pPr>
              <w:pStyle w:val="Tabelltextsiffror"/>
              <w:jc w:val="center"/>
            </w:pPr>
            <w:r w:rsidRPr="00F5723F">
              <w:t>35</w:t>
            </w:r>
          </w:p>
        </w:tc>
        <w:tc>
          <w:tcPr>
            <w:tcW w:w="426" w:type="dxa"/>
            <w:tcBorders>
              <w:bottom w:val="single" w:sz="4" w:space="0" w:color="auto"/>
            </w:tcBorders>
          </w:tcPr>
          <w:p w:rsidR="00B43C57" w:rsidRPr="00F5723F" w:rsidRDefault="00B43C57">
            <w:pPr>
              <w:pStyle w:val="Tabelltextsiffror"/>
              <w:jc w:val="center"/>
            </w:pPr>
            <w:r w:rsidRPr="00F5723F">
              <w:t>26</w:t>
            </w:r>
          </w:p>
        </w:tc>
        <w:tc>
          <w:tcPr>
            <w:tcW w:w="425" w:type="dxa"/>
            <w:tcBorders>
              <w:bottom w:val="single" w:sz="4" w:space="0" w:color="auto"/>
            </w:tcBorders>
          </w:tcPr>
          <w:p w:rsidR="00B43C57" w:rsidRPr="00F5723F" w:rsidRDefault="00B43C57">
            <w:pPr>
              <w:pStyle w:val="Tabelltextsiffror"/>
              <w:jc w:val="center"/>
            </w:pPr>
            <w:r w:rsidRPr="00F5723F">
              <w:t>30</w:t>
            </w:r>
          </w:p>
        </w:tc>
        <w:tc>
          <w:tcPr>
            <w:tcW w:w="567" w:type="dxa"/>
            <w:tcBorders>
              <w:bottom w:val="single" w:sz="4" w:space="0" w:color="auto"/>
            </w:tcBorders>
          </w:tcPr>
          <w:p w:rsidR="00B43C57" w:rsidRPr="00F5723F" w:rsidRDefault="00B43C57">
            <w:pPr>
              <w:pStyle w:val="Tabelltextsiffror"/>
              <w:jc w:val="center"/>
            </w:pPr>
            <w:r w:rsidRPr="00F5723F">
              <w:t>31</w:t>
            </w:r>
          </w:p>
        </w:tc>
        <w:tc>
          <w:tcPr>
            <w:tcW w:w="425" w:type="dxa"/>
            <w:tcBorders>
              <w:bottom w:val="single" w:sz="4" w:space="0" w:color="auto"/>
            </w:tcBorders>
          </w:tcPr>
          <w:p w:rsidR="00B43C57" w:rsidRPr="00F5723F" w:rsidRDefault="00B43C57">
            <w:pPr>
              <w:pStyle w:val="Tabelltextsiffror"/>
              <w:jc w:val="center"/>
            </w:pPr>
            <w:r w:rsidRPr="00F5723F">
              <w:t>4</w:t>
            </w:r>
          </w:p>
        </w:tc>
        <w:tc>
          <w:tcPr>
            <w:tcW w:w="567" w:type="dxa"/>
            <w:tcBorders>
              <w:bottom w:val="single" w:sz="4" w:space="0" w:color="auto"/>
            </w:tcBorders>
          </w:tcPr>
          <w:p w:rsidR="00B43C57" w:rsidRPr="00F5723F" w:rsidRDefault="00B43C57">
            <w:pPr>
              <w:pStyle w:val="Tabelltextsiffror"/>
              <w:jc w:val="center"/>
              <w:rPr>
                <w:szCs w:val="16"/>
              </w:rPr>
            </w:pPr>
            <w:r w:rsidRPr="00F5723F">
              <w:rPr>
                <w:szCs w:val="16"/>
              </w:rPr>
              <w:t>33</w:t>
            </w:r>
          </w:p>
        </w:tc>
        <w:tc>
          <w:tcPr>
            <w:tcW w:w="567" w:type="dxa"/>
            <w:tcBorders>
              <w:bottom w:val="single" w:sz="4" w:space="0" w:color="auto"/>
            </w:tcBorders>
          </w:tcPr>
          <w:p w:rsidR="00B43C57" w:rsidRPr="00F5723F" w:rsidRDefault="00B43C57">
            <w:pPr>
              <w:pStyle w:val="Tabelltextsiffror"/>
              <w:jc w:val="center"/>
              <w:rPr>
                <w:szCs w:val="16"/>
              </w:rPr>
            </w:pPr>
            <w:r w:rsidRPr="00F5723F">
              <w:rPr>
                <w:szCs w:val="16"/>
              </w:rPr>
              <w:t>22</w:t>
            </w:r>
          </w:p>
        </w:tc>
      </w:tr>
      <w:tr w:rsidR="00000000" w:rsidRPr="00F57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809" w:type="dxa"/>
            <w:tcBorders>
              <w:top w:val="single" w:sz="4" w:space="0" w:color="auto"/>
              <w:left w:val="nil"/>
              <w:bottom w:val="single" w:sz="4" w:space="0" w:color="auto"/>
              <w:right w:val="nil"/>
            </w:tcBorders>
          </w:tcPr>
          <w:p w:rsidR="00B43C57" w:rsidRPr="00F5723F" w:rsidRDefault="00B43C57">
            <w:pPr>
              <w:pStyle w:val="Tabelltext"/>
            </w:pPr>
            <w:r w:rsidRPr="00F5723F">
              <w:t>Differens</w:t>
            </w:r>
          </w:p>
          <w:p w:rsidR="00B43C57" w:rsidRPr="00F5723F" w:rsidRDefault="00B43C57">
            <w:pPr>
              <w:pStyle w:val="Tabelltext"/>
            </w:pPr>
            <w:r w:rsidRPr="00F5723F">
              <w:t>egentlig–</w:t>
            </w:r>
            <w:r w:rsidRPr="00F5723F">
              <w:t>anknuten</w:t>
            </w:r>
          </w:p>
        </w:tc>
        <w:tc>
          <w:tcPr>
            <w:tcW w:w="709"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−11</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−8</w:t>
            </w:r>
          </w:p>
        </w:tc>
        <w:tc>
          <w:tcPr>
            <w:tcW w:w="426"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−8</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−17</w:t>
            </w:r>
          </w:p>
        </w:tc>
        <w:tc>
          <w:tcPr>
            <w:tcW w:w="567"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−9</w:t>
            </w:r>
          </w:p>
        </w:tc>
        <w:tc>
          <w:tcPr>
            <w:tcW w:w="425" w:type="dxa"/>
            <w:tcBorders>
              <w:top w:val="single" w:sz="4" w:space="0" w:color="auto"/>
              <w:left w:val="nil"/>
              <w:bottom w:val="single" w:sz="4" w:space="0" w:color="auto"/>
              <w:right w:val="nil"/>
            </w:tcBorders>
            <w:vAlign w:val="bottom"/>
          </w:tcPr>
          <w:p w:rsidR="00B43C57" w:rsidRPr="00F5723F" w:rsidRDefault="00B43C57">
            <w:pPr>
              <w:pStyle w:val="Tabelltextsiffror"/>
              <w:jc w:val="center"/>
            </w:pPr>
            <w:r w:rsidRPr="00F5723F">
              <w:t>−24</w:t>
            </w:r>
          </w:p>
        </w:tc>
        <w:tc>
          <w:tcPr>
            <w:tcW w:w="567" w:type="dxa"/>
            <w:tcBorders>
              <w:top w:val="single" w:sz="4" w:space="0" w:color="auto"/>
              <w:left w:val="nil"/>
              <w:bottom w:val="single" w:sz="4" w:space="0" w:color="auto"/>
              <w:right w:val="nil"/>
            </w:tcBorders>
            <w:vAlign w:val="bottom"/>
          </w:tcPr>
          <w:p w:rsidR="00B43C57" w:rsidRPr="00F5723F" w:rsidRDefault="00B43C57">
            <w:pPr>
              <w:pStyle w:val="Tabelltextsiffror"/>
              <w:jc w:val="center"/>
              <w:rPr>
                <w:szCs w:val="16"/>
              </w:rPr>
            </w:pPr>
            <w:r w:rsidRPr="00F5723F">
              <w:rPr>
                <w:szCs w:val="16"/>
              </w:rPr>
              <w:t>−18</w:t>
            </w:r>
          </w:p>
        </w:tc>
        <w:tc>
          <w:tcPr>
            <w:tcW w:w="567" w:type="dxa"/>
            <w:tcBorders>
              <w:top w:val="single" w:sz="4" w:space="0" w:color="auto"/>
              <w:left w:val="nil"/>
              <w:bottom w:val="single" w:sz="4" w:space="0" w:color="auto"/>
              <w:right w:val="nil"/>
            </w:tcBorders>
            <w:vAlign w:val="bottom"/>
          </w:tcPr>
          <w:p w:rsidR="00B43C57" w:rsidRPr="00F5723F" w:rsidRDefault="00B43C57">
            <w:pPr>
              <w:pStyle w:val="Tabelltextsiffror"/>
              <w:jc w:val="center"/>
              <w:rPr>
                <w:szCs w:val="16"/>
              </w:rPr>
            </w:pPr>
            <w:r w:rsidRPr="00F5723F">
              <w:rPr>
                <w:szCs w:val="16"/>
              </w:rPr>
              <w:t>+4</w:t>
            </w:r>
          </w:p>
        </w:tc>
      </w:tr>
    </w:tbl>
    <w:p w:rsidR="00B43C57" w:rsidRPr="00F5723F" w:rsidRDefault="00B43C57"/>
    <w:p w:rsidR="00B43C57" w:rsidRPr="00F5723F" w:rsidRDefault="00B43C57"/>
    <w:p w:rsidR="00B43C57" w:rsidRPr="00F5723F" w:rsidRDefault="00B43C57"/>
    <w:p w:rsidR="00B43C57" w:rsidRPr="00F5723F" w:rsidRDefault="00B43C57">
      <w:r w:rsidRPr="00F5723F">
        <w:br w:type="page"/>
        <w:t>Bakom de genomsnittliga sif</w:t>
      </w:r>
      <w:r w:rsidRPr="00F5723F">
        <w:t>frorna för samtliga ledamöter döljer sig betyda</w:t>
      </w:r>
      <w:r w:rsidRPr="00F5723F">
        <w:t>n</w:t>
      </w:r>
      <w:r w:rsidRPr="00F5723F">
        <w:t>de individuella och partimässiga variationer. Någon direkt skillnad mellan kvinnors och mäns arbetssitu</w:t>
      </w:r>
      <w:r w:rsidRPr="00F5723F">
        <w:t>a</w:t>
      </w:r>
      <w:r w:rsidRPr="00F5723F">
        <w:t>tion har dock inte kunnat återfinnas i materialet (se tabell 4). Däremot är skillnaderna mellan partierna stora, vilket vi åte</w:t>
      </w:r>
      <w:r w:rsidRPr="00F5723F">
        <w:t>r</w:t>
      </w:r>
      <w:r w:rsidRPr="00F5723F">
        <w:t>kommer till i ett särskilt avsnitt i det fö</w:t>
      </w:r>
      <w:r w:rsidRPr="00F5723F">
        <w:t>l</w:t>
      </w:r>
      <w:r w:rsidRPr="00F5723F">
        <w:t>jande.</w:t>
      </w:r>
    </w:p>
    <w:p w:rsidR="00B43C57" w:rsidRPr="00F5723F" w:rsidRDefault="00B43C57">
      <w:pPr>
        <w:pStyle w:val="Normaltindrag"/>
        <w:spacing w:line="240" w:lineRule="auto"/>
      </w:pPr>
    </w:p>
    <w:p w:rsidR="00B43C57" w:rsidRPr="00F5723F" w:rsidRDefault="00B43C57">
      <w:pPr>
        <w:pStyle w:val="Tabellrubrik"/>
      </w:pPr>
      <w:r w:rsidRPr="00F5723F">
        <w:t>Tabell 4</w:t>
      </w:r>
      <w:r w:rsidRPr="00F5723F">
        <w:tab/>
        <w:t>Riksdagsledamöternas tidsbudget 2004 u</w:t>
      </w:r>
      <w:r w:rsidRPr="00F5723F">
        <w:t>t</w:t>
      </w:r>
      <w:r w:rsidRPr="00F5723F">
        <w:t>ifrån kön</w:t>
      </w:r>
    </w:p>
    <w:tbl>
      <w:tblPr>
        <w:tblW w:w="0" w:type="auto"/>
        <w:tblInd w:w="-38" w:type="dxa"/>
        <w:tblLayout w:type="fixed"/>
        <w:tblCellMar>
          <w:left w:w="70" w:type="dxa"/>
          <w:right w:w="70" w:type="dxa"/>
        </w:tblCellMar>
        <w:tblLook w:val="01E0" w:firstRow="1" w:lastRow="1" w:firstColumn="1" w:lastColumn="1" w:noHBand="0" w:noVBand="0"/>
      </w:tblPr>
      <w:tblGrid>
        <w:gridCol w:w="1668"/>
        <w:gridCol w:w="879"/>
        <w:gridCol w:w="879"/>
        <w:gridCol w:w="879"/>
        <w:gridCol w:w="879"/>
        <w:gridCol w:w="879"/>
      </w:tblGrid>
      <w:tr w:rsidR="00000000" w:rsidRPr="00F5723F">
        <w:tblPrEx>
          <w:tblCellMar>
            <w:top w:w="0" w:type="dxa"/>
            <w:bottom w:w="0" w:type="dxa"/>
          </w:tblCellMar>
        </w:tblPrEx>
        <w:tc>
          <w:tcPr>
            <w:tcW w:w="1668" w:type="dxa"/>
            <w:tcBorders>
              <w:top w:val="single" w:sz="4" w:space="0" w:color="auto"/>
              <w:bottom w:val="single" w:sz="4" w:space="0" w:color="auto"/>
            </w:tcBorders>
          </w:tcPr>
          <w:p w:rsidR="00B43C57" w:rsidRPr="00F5723F" w:rsidRDefault="00B43C57">
            <w:pPr>
              <w:pStyle w:val="Tabelltext"/>
            </w:pPr>
          </w:p>
          <w:p w:rsidR="00B43C57" w:rsidRPr="00F5723F" w:rsidRDefault="00B43C57">
            <w:pPr>
              <w:pStyle w:val="Tabelltext"/>
            </w:pPr>
            <w:r w:rsidRPr="00F5723F">
              <w:t>Aktivitet</w:t>
            </w:r>
          </w:p>
        </w:tc>
        <w:tc>
          <w:tcPr>
            <w:tcW w:w="879"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Män</w:t>
            </w:r>
          </w:p>
        </w:tc>
        <w:tc>
          <w:tcPr>
            <w:tcW w:w="879" w:type="dxa"/>
            <w:tcBorders>
              <w:top w:val="single" w:sz="4" w:space="0" w:color="auto"/>
              <w:bottom w:val="single" w:sz="4" w:space="0" w:color="auto"/>
            </w:tcBorders>
          </w:tcPr>
          <w:p w:rsidR="00B43C57" w:rsidRPr="00F5723F" w:rsidRDefault="00B43C57">
            <w:pPr>
              <w:pStyle w:val="Tabelltext"/>
              <w:jc w:val="center"/>
            </w:pPr>
            <w:r w:rsidRPr="00F5723F">
              <w:t>Andel av samtlig tid</w:t>
            </w:r>
          </w:p>
        </w:tc>
        <w:tc>
          <w:tcPr>
            <w:tcW w:w="879" w:type="dxa"/>
            <w:tcBorders>
              <w:top w:val="single" w:sz="4" w:space="0" w:color="auto"/>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Kvinnor</w:t>
            </w:r>
          </w:p>
        </w:tc>
        <w:tc>
          <w:tcPr>
            <w:tcW w:w="879" w:type="dxa"/>
            <w:tcBorders>
              <w:top w:val="single" w:sz="4" w:space="0" w:color="auto"/>
              <w:bottom w:val="single" w:sz="4" w:space="0" w:color="auto"/>
            </w:tcBorders>
          </w:tcPr>
          <w:p w:rsidR="00B43C57" w:rsidRPr="00F5723F" w:rsidRDefault="00B43C57">
            <w:pPr>
              <w:pStyle w:val="Tabelltext"/>
              <w:jc w:val="center"/>
            </w:pPr>
            <w:r w:rsidRPr="00F5723F">
              <w:t>Andel av sam</w:t>
            </w:r>
            <w:r w:rsidRPr="00F5723F">
              <w:t>t</w:t>
            </w:r>
            <w:r w:rsidRPr="00F5723F">
              <w:t>lig tid</w:t>
            </w:r>
          </w:p>
        </w:tc>
        <w:tc>
          <w:tcPr>
            <w:tcW w:w="879" w:type="dxa"/>
            <w:tcBorders>
              <w:top w:val="single" w:sz="4" w:space="0" w:color="auto"/>
              <w:bottom w:val="single" w:sz="4" w:space="0" w:color="auto"/>
            </w:tcBorders>
          </w:tcPr>
          <w:p w:rsidR="00B43C57" w:rsidRPr="00F5723F" w:rsidRDefault="00B43C57">
            <w:pPr>
              <w:pStyle w:val="Tabelltext"/>
              <w:jc w:val="center"/>
            </w:pPr>
            <w:r w:rsidRPr="00F5723F">
              <w:t>Procent-differens</w:t>
            </w:r>
          </w:p>
        </w:tc>
      </w:tr>
      <w:tr w:rsidR="00000000" w:rsidRPr="00F5723F">
        <w:tblPrEx>
          <w:tblCellMar>
            <w:top w:w="0" w:type="dxa"/>
            <w:bottom w:w="0" w:type="dxa"/>
          </w:tblCellMar>
        </w:tblPrEx>
        <w:tc>
          <w:tcPr>
            <w:tcW w:w="1668" w:type="dxa"/>
            <w:tcBorders>
              <w:top w:val="single" w:sz="4" w:space="0" w:color="auto"/>
            </w:tcBorders>
          </w:tcPr>
          <w:p w:rsidR="00B43C57" w:rsidRPr="00F5723F" w:rsidRDefault="00B43C57">
            <w:pPr>
              <w:pStyle w:val="Tabelltext"/>
              <w:ind w:left="228" w:hanging="228"/>
            </w:pPr>
            <w:r w:rsidRPr="00F5723F">
              <w:t>Delta i kammar</w:t>
            </w:r>
            <w:r w:rsidRPr="00F5723F">
              <w:t>-</w:t>
            </w:r>
            <w:r w:rsidRPr="00F5723F">
              <w:t>deba</w:t>
            </w:r>
            <w:r w:rsidRPr="00F5723F">
              <w:t>t</w:t>
            </w:r>
            <w:r w:rsidRPr="00F5723F">
              <w:t>ten</w:t>
            </w:r>
          </w:p>
        </w:tc>
        <w:tc>
          <w:tcPr>
            <w:tcW w:w="879" w:type="dxa"/>
            <w:tcBorders>
              <w:top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1 h</w:t>
            </w:r>
            <w:r w:rsidRPr="00F5723F">
              <w:t xml:space="preserve"> </w:t>
            </w:r>
            <w:smartTag w:uri="urn:schemas-microsoft-com:office:smarttags" w:element="metricconverter">
              <w:smartTagPr>
                <w:attr w:name="ProductID" w:val="40 m"/>
              </w:smartTagPr>
              <w:r w:rsidRPr="00F5723F">
                <w:t>40 m</w:t>
              </w:r>
            </w:smartTag>
          </w:p>
        </w:tc>
        <w:tc>
          <w:tcPr>
            <w:tcW w:w="879" w:type="dxa"/>
            <w:tcBorders>
              <w:top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3</w:t>
            </w:r>
          </w:p>
        </w:tc>
        <w:tc>
          <w:tcPr>
            <w:tcW w:w="879" w:type="dxa"/>
            <w:tcBorders>
              <w:top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 xml:space="preserve">1 h </w:t>
            </w:r>
            <w:smartTag w:uri="urn:schemas-microsoft-com:office:smarttags" w:element="metricconverter">
              <w:smartTagPr>
                <w:attr w:name="ProductID" w:val="34 m"/>
              </w:smartTagPr>
              <w:r w:rsidRPr="00F5723F">
                <w:t>34 m</w:t>
              </w:r>
            </w:smartTag>
          </w:p>
        </w:tc>
        <w:tc>
          <w:tcPr>
            <w:tcW w:w="879" w:type="dxa"/>
            <w:tcBorders>
              <w:top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3</w:t>
            </w:r>
          </w:p>
        </w:tc>
        <w:tc>
          <w:tcPr>
            <w:tcW w:w="879" w:type="dxa"/>
            <w:tcBorders>
              <w:top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±0</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Följa kammardeba</w:t>
            </w:r>
            <w:r w:rsidRPr="00F5723F">
              <w:t>t</w:t>
            </w:r>
            <w:r w:rsidRPr="00F5723F">
              <w:t>ten</w:t>
            </w:r>
          </w:p>
        </w:tc>
        <w:tc>
          <w:tcPr>
            <w:tcW w:w="879" w:type="dxa"/>
          </w:tcPr>
          <w:p w:rsidR="00B43C57" w:rsidRPr="00F5723F" w:rsidRDefault="00B43C57">
            <w:pPr>
              <w:pStyle w:val="Tabelltext"/>
              <w:jc w:val="center"/>
            </w:pPr>
            <w:r w:rsidRPr="00F5723F">
              <w:t xml:space="preserve">1 h </w:t>
            </w:r>
            <w:smartTag w:uri="urn:schemas-microsoft-com:office:smarttags" w:element="metricconverter">
              <w:smartTagPr>
                <w:attr w:name="ProductID" w:val="35 m"/>
              </w:smartTagPr>
              <w:r w:rsidRPr="00F5723F">
                <w:t>35 m</w:t>
              </w:r>
            </w:smartTag>
          </w:p>
        </w:tc>
        <w:tc>
          <w:tcPr>
            <w:tcW w:w="879" w:type="dxa"/>
          </w:tcPr>
          <w:p w:rsidR="00B43C57" w:rsidRPr="00F5723F" w:rsidRDefault="00B43C57">
            <w:pPr>
              <w:pStyle w:val="Tabelltext"/>
              <w:jc w:val="center"/>
            </w:pPr>
            <w:r w:rsidRPr="00F5723F">
              <w:t>3</w:t>
            </w:r>
          </w:p>
        </w:tc>
        <w:tc>
          <w:tcPr>
            <w:tcW w:w="879" w:type="dxa"/>
          </w:tcPr>
          <w:p w:rsidR="00B43C57" w:rsidRPr="00F5723F" w:rsidRDefault="00B43C57">
            <w:pPr>
              <w:pStyle w:val="Tabelltext"/>
              <w:jc w:val="center"/>
            </w:pPr>
            <w:r w:rsidRPr="00F5723F">
              <w:t xml:space="preserve">1 h </w:t>
            </w:r>
            <w:smartTag w:uri="urn:schemas-microsoft-com:office:smarttags" w:element="metricconverter">
              <w:smartTagPr>
                <w:attr w:name="ProductID" w:val="36 m"/>
              </w:smartTagPr>
              <w:r w:rsidRPr="00F5723F">
                <w:t>36 m</w:t>
              </w:r>
            </w:smartTag>
          </w:p>
        </w:tc>
        <w:tc>
          <w:tcPr>
            <w:tcW w:w="879" w:type="dxa"/>
          </w:tcPr>
          <w:p w:rsidR="00B43C57" w:rsidRPr="00F5723F" w:rsidRDefault="00B43C57">
            <w:pPr>
              <w:pStyle w:val="Tabelltext"/>
              <w:jc w:val="center"/>
            </w:pPr>
            <w:r w:rsidRPr="00F5723F">
              <w:t>3</w:t>
            </w:r>
          </w:p>
        </w:tc>
        <w:tc>
          <w:tcPr>
            <w:tcW w:w="879" w:type="dxa"/>
          </w:tcPr>
          <w:p w:rsidR="00B43C57" w:rsidRPr="00F5723F" w:rsidRDefault="00B43C57">
            <w:pPr>
              <w:pStyle w:val="Tabelltext"/>
              <w:jc w:val="center"/>
            </w:pPr>
            <w:r w:rsidRPr="00F5723F">
              <w:t>±0</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Utskottsarbete</w:t>
            </w:r>
          </w:p>
        </w:tc>
        <w:tc>
          <w:tcPr>
            <w:tcW w:w="879" w:type="dxa"/>
          </w:tcPr>
          <w:p w:rsidR="00B43C57" w:rsidRPr="00F5723F" w:rsidRDefault="00B43C57">
            <w:pPr>
              <w:pStyle w:val="Tabelltext"/>
              <w:jc w:val="center"/>
            </w:pPr>
            <w:r w:rsidRPr="00F5723F">
              <w:t xml:space="preserve">6 h </w:t>
            </w:r>
            <w:smartTag w:uri="urn:schemas-microsoft-com:office:smarttags" w:element="metricconverter">
              <w:smartTagPr>
                <w:attr w:name="ProductID" w:val="32 m"/>
              </w:smartTagPr>
              <w:r w:rsidRPr="00F5723F">
                <w:t>32 m</w:t>
              </w:r>
            </w:smartTag>
          </w:p>
        </w:tc>
        <w:tc>
          <w:tcPr>
            <w:tcW w:w="879" w:type="dxa"/>
          </w:tcPr>
          <w:p w:rsidR="00B43C57" w:rsidRPr="00F5723F" w:rsidRDefault="00B43C57">
            <w:pPr>
              <w:pStyle w:val="Tabelltext"/>
              <w:jc w:val="center"/>
            </w:pPr>
            <w:r w:rsidRPr="00F5723F">
              <w:t>12</w:t>
            </w:r>
          </w:p>
        </w:tc>
        <w:tc>
          <w:tcPr>
            <w:tcW w:w="879" w:type="dxa"/>
          </w:tcPr>
          <w:p w:rsidR="00B43C57" w:rsidRPr="00F5723F" w:rsidRDefault="00B43C57">
            <w:pPr>
              <w:pStyle w:val="Tabelltext"/>
              <w:jc w:val="center"/>
            </w:pPr>
            <w:r w:rsidRPr="00F5723F">
              <w:t xml:space="preserve">6 h </w:t>
            </w:r>
            <w:smartTag w:uri="urn:schemas-microsoft-com:office:smarttags" w:element="metricconverter">
              <w:smartTagPr>
                <w:attr w:name="ProductID" w:val="39 m"/>
              </w:smartTagPr>
              <w:r w:rsidRPr="00F5723F">
                <w:t>39 m</w:t>
              </w:r>
            </w:smartTag>
          </w:p>
        </w:tc>
        <w:tc>
          <w:tcPr>
            <w:tcW w:w="879" w:type="dxa"/>
          </w:tcPr>
          <w:p w:rsidR="00B43C57" w:rsidRPr="00F5723F" w:rsidRDefault="00B43C57">
            <w:pPr>
              <w:pStyle w:val="Tabelltext"/>
              <w:jc w:val="center"/>
            </w:pPr>
            <w:r w:rsidRPr="00F5723F">
              <w:t>13</w:t>
            </w:r>
          </w:p>
        </w:tc>
        <w:tc>
          <w:tcPr>
            <w:tcW w:w="879" w:type="dxa"/>
          </w:tcPr>
          <w:p w:rsidR="00B43C57" w:rsidRPr="00F5723F" w:rsidRDefault="00B43C57">
            <w:pPr>
              <w:pStyle w:val="Tabelltext"/>
              <w:jc w:val="center"/>
            </w:pPr>
            <w:r w:rsidRPr="00F5723F">
              <w:t>+1</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Riksdagsgruppsarb</w:t>
            </w:r>
            <w:r w:rsidRPr="00F5723F">
              <w:t>e</w:t>
            </w:r>
            <w:r w:rsidRPr="00F5723F">
              <w:t>te</w:t>
            </w:r>
          </w:p>
        </w:tc>
        <w:tc>
          <w:tcPr>
            <w:tcW w:w="879" w:type="dxa"/>
          </w:tcPr>
          <w:p w:rsidR="00B43C57" w:rsidRPr="00F5723F" w:rsidRDefault="00B43C57">
            <w:pPr>
              <w:pStyle w:val="Tabelltext"/>
              <w:jc w:val="center"/>
            </w:pPr>
            <w:r w:rsidRPr="00F5723F">
              <w:t xml:space="preserve">6 h </w:t>
            </w:r>
            <w:smartTag w:uri="urn:schemas-microsoft-com:office:smarttags" w:element="metricconverter">
              <w:smartTagPr>
                <w:attr w:name="ProductID" w:val="29 m"/>
              </w:smartTagPr>
              <w:r w:rsidRPr="00F5723F">
                <w:t>29 m</w:t>
              </w:r>
            </w:smartTag>
          </w:p>
        </w:tc>
        <w:tc>
          <w:tcPr>
            <w:tcW w:w="879" w:type="dxa"/>
          </w:tcPr>
          <w:p w:rsidR="00B43C57" w:rsidRPr="00F5723F" w:rsidRDefault="00B43C57">
            <w:pPr>
              <w:pStyle w:val="Tabelltext"/>
              <w:jc w:val="center"/>
            </w:pPr>
            <w:r w:rsidRPr="00F5723F">
              <w:t>12</w:t>
            </w:r>
          </w:p>
        </w:tc>
        <w:tc>
          <w:tcPr>
            <w:tcW w:w="879" w:type="dxa"/>
          </w:tcPr>
          <w:p w:rsidR="00B43C57" w:rsidRPr="00F5723F" w:rsidRDefault="00B43C57">
            <w:pPr>
              <w:pStyle w:val="Tabelltext"/>
              <w:jc w:val="center"/>
            </w:pPr>
            <w:r w:rsidRPr="00F5723F">
              <w:t xml:space="preserve">5 h </w:t>
            </w:r>
            <w:smartTag w:uri="urn:schemas-microsoft-com:office:smarttags" w:element="metricconverter">
              <w:smartTagPr>
                <w:attr w:name="ProductID" w:val="52 m"/>
              </w:smartTagPr>
              <w:r w:rsidRPr="00F5723F">
                <w:t>52 m</w:t>
              </w:r>
            </w:smartTag>
          </w:p>
        </w:tc>
        <w:tc>
          <w:tcPr>
            <w:tcW w:w="879" w:type="dxa"/>
          </w:tcPr>
          <w:p w:rsidR="00B43C57" w:rsidRPr="00F5723F" w:rsidRDefault="00B43C57">
            <w:pPr>
              <w:pStyle w:val="Tabelltext"/>
              <w:jc w:val="center"/>
            </w:pPr>
            <w:r w:rsidRPr="00F5723F">
              <w:t>11</w:t>
            </w:r>
          </w:p>
        </w:tc>
        <w:tc>
          <w:tcPr>
            <w:tcW w:w="879" w:type="dxa"/>
          </w:tcPr>
          <w:p w:rsidR="00B43C57" w:rsidRPr="00F5723F" w:rsidRDefault="00B43C57">
            <w:pPr>
              <w:pStyle w:val="Tabelltext"/>
              <w:jc w:val="center"/>
            </w:pPr>
            <w:r w:rsidRPr="00F5723F">
              <w:t>−1</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Partiarbete i övrigt</w:t>
            </w:r>
          </w:p>
        </w:tc>
        <w:tc>
          <w:tcPr>
            <w:tcW w:w="879" w:type="dxa"/>
          </w:tcPr>
          <w:p w:rsidR="00B43C57" w:rsidRPr="00F5723F" w:rsidRDefault="00B43C57">
            <w:pPr>
              <w:pStyle w:val="Tabelltext"/>
              <w:jc w:val="center"/>
            </w:pPr>
            <w:r w:rsidRPr="00F5723F">
              <w:t xml:space="preserve">8 h </w:t>
            </w:r>
            <w:smartTag w:uri="urn:schemas-microsoft-com:office:smarttags" w:element="metricconverter">
              <w:smartTagPr>
                <w:attr w:name="ProductID" w:val="45 m"/>
              </w:smartTagPr>
              <w:r w:rsidRPr="00F5723F">
                <w:t>45 m</w:t>
              </w:r>
            </w:smartTag>
          </w:p>
        </w:tc>
        <w:tc>
          <w:tcPr>
            <w:tcW w:w="879" w:type="dxa"/>
          </w:tcPr>
          <w:p w:rsidR="00B43C57" w:rsidRPr="00F5723F" w:rsidRDefault="00B43C57">
            <w:pPr>
              <w:pStyle w:val="Tabelltext"/>
              <w:jc w:val="center"/>
            </w:pPr>
            <w:r w:rsidRPr="00F5723F">
              <w:t>16</w:t>
            </w:r>
          </w:p>
        </w:tc>
        <w:tc>
          <w:tcPr>
            <w:tcW w:w="879" w:type="dxa"/>
          </w:tcPr>
          <w:p w:rsidR="00B43C57" w:rsidRPr="00F5723F" w:rsidRDefault="00B43C57">
            <w:pPr>
              <w:pStyle w:val="Tabelltext"/>
              <w:jc w:val="center"/>
            </w:pPr>
            <w:r w:rsidRPr="00F5723F">
              <w:t xml:space="preserve">8 h </w:t>
            </w:r>
            <w:smartTag w:uri="urn:schemas-microsoft-com:office:smarttags" w:element="metricconverter">
              <w:smartTagPr>
                <w:attr w:name="ProductID" w:val="1 m"/>
              </w:smartTagPr>
              <w:r w:rsidRPr="00F5723F">
                <w:t>1 m</w:t>
              </w:r>
            </w:smartTag>
          </w:p>
        </w:tc>
        <w:tc>
          <w:tcPr>
            <w:tcW w:w="879" w:type="dxa"/>
          </w:tcPr>
          <w:p w:rsidR="00B43C57" w:rsidRPr="00F5723F" w:rsidRDefault="00B43C57">
            <w:pPr>
              <w:pStyle w:val="Tabelltext"/>
              <w:jc w:val="center"/>
            </w:pPr>
            <w:r w:rsidRPr="00F5723F">
              <w:t>16</w:t>
            </w:r>
          </w:p>
        </w:tc>
        <w:tc>
          <w:tcPr>
            <w:tcW w:w="879" w:type="dxa"/>
          </w:tcPr>
          <w:p w:rsidR="00B43C57" w:rsidRPr="00F5723F" w:rsidRDefault="00B43C57">
            <w:pPr>
              <w:pStyle w:val="Tabelltext"/>
              <w:jc w:val="center"/>
            </w:pPr>
            <w:r w:rsidRPr="00F5723F">
              <w:t>±0</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Uppvaktningar</w:t>
            </w:r>
          </w:p>
        </w:tc>
        <w:tc>
          <w:tcPr>
            <w:tcW w:w="879" w:type="dxa"/>
          </w:tcPr>
          <w:p w:rsidR="00B43C57" w:rsidRPr="00F5723F" w:rsidRDefault="00B43C57">
            <w:pPr>
              <w:pStyle w:val="Tabelltext"/>
              <w:jc w:val="center"/>
            </w:pPr>
            <w:r w:rsidRPr="00F5723F">
              <w:t xml:space="preserve">8 h </w:t>
            </w:r>
            <w:smartTag w:uri="urn:schemas-microsoft-com:office:smarttags" w:element="metricconverter">
              <w:smartTagPr>
                <w:attr w:name="ProductID" w:val="40 m"/>
              </w:smartTagPr>
              <w:r w:rsidRPr="00F5723F">
                <w:t>40 m</w:t>
              </w:r>
            </w:smartTag>
          </w:p>
        </w:tc>
        <w:tc>
          <w:tcPr>
            <w:tcW w:w="879" w:type="dxa"/>
          </w:tcPr>
          <w:p w:rsidR="00B43C57" w:rsidRPr="00F5723F" w:rsidRDefault="00B43C57">
            <w:pPr>
              <w:pStyle w:val="Tabelltext"/>
              <w:jc w:val="center"/>
            </w:pPr>
            <w:r w:rsidRPr="00F5723F">
              <w:t>16</w:t>
            </w:r>
          </w:p>
        </w:tc>
        <w:tc>
          <w:tcPr>
            <w:tcW w:w="879" w:type="dxa"/>
          </w:tcPr>
          <w:p w:rsidR="00B43C57" w:rsidRPr="00F5723F" w:rsidRDefault="00B43C57">
            <w:pPr>
              <w:pStyle w:val="Tabelltext"/>
              <w:jc w:val="center"/>
            </w:pPr>
            <w:r w:rsidRPr="00F5723F">
              <w:t xml:space="preserve">9 h </w:t>
            </w:r>
            <w:smartTag w:uri="urn:schemas-microsoft-com:office:smarttags" w:element="metricconverter">
              <w:smartTagPr>
                <w:attr w:name="ProductID" w:val="35 m"/>
              </w:smartTagPr>
              <w:r w:rsidRPr="00F5723F">
                <w:t>35 m</w:t>
              </w:r>
            </w:smartTag>
          </w:p>
        </w:tc>
        <w:tc>
          <w:tcPr>
            <w:tcW w:w="879" w:type="dxa"/>
          </w:tcPr>
          <w:p w:rsidR="00B43C57" w:rsidRPr="00F5723F" w:rsidRDefault="00B43C57">
            <w:pPr>
              <w:pStyle w:val="Tabelltext"/>
              <w:jc w:val="center"/>
            </w:pPr>
            <w:r w:rsidRPr="00F5723F">
              <w:t>19</w:t>
            </w:r>
          </w:p>
        </w:tc>
        <w:tc>
          <w:tcPr>
            <w:tcW w:w="879" w:type="dxa"/>
          </w:tcPr>
          <w:p w:rsidR="00B43C57" w:rsidRPr="00F5723F" w:rsidRDefault="00B43C57">
            <w:pPr>
              <w:pStyle w:val="Tabelltext"/>
              <w:jc w:val="center"/>
            </w:pPr>
            <w:r w:rsidRPr="00F5723F">
              <w:t>+3</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Kommunala uppdrag</w:t>
            </w:r>
          </w:p>
        </w:tc>
        <w:tc>
          <w:tcPr>
            <w:tcW w:w="879" w:type="dxa"/>
          </w:tcPr>
          <w:p w:rsidR="00B43C57" w:rsidRPr="00F5723F" w:rsidRDefault="00B43C57">
            <w:pPr>
              <w:pStyle w:val="Tabelltext"/>
              <w:jc w:val="center"/>
            </w:pPr>
            <w:smartTag w:uri="urn:schemas-microsoft-com:office:smarttags" w:element="metricconverter">
              <w:smartTagPr>
                <w:attr w:name="ProductID" w:val="41 m"/>
              </w:smartTagPr>
              <w:r w:rsidRPr="00F5723F">
                <w:t>41 m</w:t>
              </w:r>
            </w:smartTag>
          </w:p>
        </w:tc>
        <w:tc>
          <w:tcPr>
            <w:tcW w:w="879" w:type="dxa"/>
          </w:tcPr>
          <w:p w:rsidR="00B43C57" w:rsidRPr="00F5723F" w:rsidRDefault="00B43C57">
            <w:pPr>
              <w:pStyle w:val="Tabelltext"/>
              <w:jc w:val="center"/>
            </w:pPr>
            <w:r w:rsidRPr="00F5723F">
              <w:t>1</w:t>
            </w:r>
          </w:p>
        </w:tc>
        <w:tc>
          <w:tcPr>
            <w:tcW w:w="879" w:type="dxa"/>
          </w:tcPr>
          <w:p w:rsidR="00B43C57" w:rsidRPr="00F5723F" w:rsidRDefault="00B43C57">
            <w:pPr>
              <w:pStyle w:val="Tabelltext"/>
              <w:jc w:val="center"/>
            </w:pPr>
            <w:smartTag w:uri="urn:schemas-microsoft-com:office:smarttags" w:element="metricconverter">
              <w:smartTagPr>
                <w:attr w:name="ProductID" w:val="33 m"/>
              </w:smartTagPr>
              <w:r w:rsidRPr="00F5723F">
                <w:t>33 m</w:t>
              </w:r>
            </w:smartTag>
          </w:p>
        </w:tc>
        <w:tc>
          <w:tcPr>
            <w:tcW w:w="879" w:type="dxa"/>
          </w:tcPr>
          <w:p w:rsidR="00B43C57" w:rsidRPr="00F5723F" w:rsidRDefault="00B43C57">
            <w:pPr>
              <w:pStyle w:val="Tabelltext"/>
              <w:jc w:val="center"/>
            </w:pPr>
            <w:r w:rsidRPr="00F5723F">
              <w:t>1</w:t>
            </w:r>
          </w:p>
        </w:tc>
        <w:tc>
          <w:tcPr>
            <w:tcW w:w="879" w:type="dxa"/>
          </w:tcPr>
          <w:p w:rsidR="00B43C57" w:rsidRPr="00F5723F" w:rsidRDefault="00B43C57">
            <w:pPr>
              <w:pStyle w:val="Tabelltext"/>
              <w:jc w:val="center"/>
            </w:pPr>
            <w:r w:rsidRPr="00F5723F">
              <w:t>±0</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Statliga utredningar</w:t>
            </w:r>
          </w:p>
        </w:tc>
        <w:tc>
          <w:tcPr>
            <w:tcW w:w="879" w:type="dxa"/>
          </w:tcPr>
          <w:p w:rsidR="00B43C57" w:rsidRPr="00F5723F" w:rsidRDefault="00B43C57">
            <w:pPr>
              <w:pStyle w:val="Tabelltext"/>
              <w:jc w:val="center"/>
            </w:pPr>
            <w:r w:rsidRPr="00F5723F">
              <w:t xml:space="preserve">1 h </w:t>
            </w:r>
            <w:smartTag w:uri="urn:schemas-microsoft-com:office:smarttags" w:element="metricconverter">
              <w:smartTagPr>
                <w:attr w:name="ProductID" w:val="31 m"/>
              </w:smartTagPr>
              <w:r w:rsidRPr="00F5723F">
                <w:t>31 m</w:t>
              </w:r>
            </w:smartTag>
          </w:p>
        </w:tc>
        <w:tc>
          <w:tcPr>
            <w:tcW w:w="879" w:type="dxa"/>
          </w:tcPr>
          <w:p w:rsidR="00B43C57" w:rsidRPr="00F5723F" w:rsidRDefault="00B43C57">
            <w:pPr>
              <w:pStyle w:val="Tabelltext"/>
              <w:jc w:val="center"/>
            </w:pPr>
            <w:r w:rsidRPr="00F5723F">
              <w:t>3</w:t>
            </w:r>
          </w:p>
        </w:tc>
        <w:tc>
          <w:tcPr>
            <w:tcW w:w="879" w:type="dxa"/>
          </w:tcPr>
          <w:p w:rsidR="00B43C57" w:rsidRPr="00F5723F" w:rsidRDefault="00B43C57">
            <w:pPr>
              <w:pStyle w:val="Tabelltext"/>
              <w:jc w:val="center"/>
            </w:pPr>
            <w:r w:rsidRPr="00F5723F">
              <w:t xml:space="preserve">1 h </w:t>
            </w:r>
            <w:smartTag w:uri="urn:schemas-microsoft-com:office:smarttags" w:element="metricconverter">
              <w:smartTagPr>
                <w:attr w:name="ProductID" w:val="47 m"/>
              </w:smartTagPr>
              <w:r w:rsidRPr="00F5723F">
                <w:t>47 m</w:t>
              </w:r>
            </w:smartTag>
          </w:p>
        </w:tc>
        <w:tc>
          <w:tcPr>
            <w:tcW w:w="879" w:type="dxa"/>
          </w:tcPr>
          <w:p w:rsidR="00B43C57" w:rsidRPr="00F5723F" w:rsidRDefault="00B43C57">
            <w:pPr>
              <w:pStyle w:val="Tabelltext"/>
              <w:jc w:val="center"/>
            </w:pPr>
            <w:r w:rsidRPr="00F5723F">
              <w:t>3</w:t>
            </w:r>
          </w:p>
        </w:tc>
        <w:tc>
          <w:tcPr>
            <w:tcW w:w="879" w:type="dxa"/>
          </w:tcPr>
          <w:p w:rsidR="00B43C57" w:rsidRPr="00F5723F" w:rsidRDefault="00B43C57">
            <w:pPr>
              <w:pStyle w:val="Tabelltext"/>
              <w:jc w:val="center"/>
            </w:pPr>
            <w:r w:rsidRPr="00F5723F">
              <w:t>±0</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Organisationsup</w:t>
            </w:r>
            <w:r w:rsidRPr="00F5723F">
              <w:t>p</w:t>
            </w:r>
            <w:r w:rsidRPr="00F5723F">
              <w:t>drag</w:t>
            </w:r>
          </w:p>
        </w:tc>
        <w:tc>
          <w:tcPr>
            <w:tcW w:w="879" w:type="dxa"/>
          </w:tcPr>
          <w:p w:rsidR="00B43C57" w:rsidRPr="00F5723F" w:rsidRDefault="00B43C57">
            <w:pPr>
              <w:pStyle w:val="Tabelltext"/>
              <w:jc w:val="center"/>
            </w:pPr>
            <w:r w:rsidRPr="00F5723F">
              <w:t xml:space="preserve">2 h </w:t>
            </w:r>
            <w:smartTag w:uri="urn:schemas-microsoft-com:office:smarttags" w:element="metricconverter">
              <w:smartTagPr>
                <w:attr w:name="ProductID" w:val="19 m"/>
              </w:smartTagPr>
              <w:r w:rsidRPr="00F5723F">
                <w:t>19 m</w:t>
              </w:r>
            </w:smartTag>
          </w:p>
        </w:tc>
        <w:tc>
          <w:tcPr>
            <w:tcW w:w="879" w:type="dxa"/>
          </w:tcPr>
          <w:p w:rsidR="00B43C57" w:rsidRPr="00F5723F" w:rsidRDefault="00B43C57">
            <w:pPr>
              <w:pStyle w:val="Tabelltext"/>
              <w:jc w:val="center"/>
            </w:pPr>
            <w:r w:rsidRPr="00F5723F">
              <w:t>4</w:t>
            </w:r>
          </w:p>
        </w:tc>
        <w:tc>
          <w:tcPr>
            <w:tcW w:w="879" w:type="dxa"/>
          </w:tcPr>
          <w:p w:rsidR="00B43C57" w:rsidRPr="00F5723F" w:rsidRDefault="00B43C57">
            <w:pPr>
              <w:pStyle w:val="Tabelltext"/>
              <w:jc w:val="center"/>
            </w:pPr>
            <w:r w:rsidRPr="00F5723F">
              <w:t xml:space="preserve">1 h </w:t>
            </w:r>
            <w:smartTag w:uri="urn:schemas-microsoft-com:office:smarttags" w:element="metricconverter">
              <w:smartTagPr>
                <w:attr w:name="ProductID" w:val="45 m"/>
              </w:smartTagPr>
              <w:r w:rsidRPr="00F5723F">
                <w:t>45 m</w:t>
              </w:r>
            </w:smartTag>
          </w:p>
        </w:tc>
        <w:tc>
          <w:tcPr>
            <w:tcW w:w="879" w:type="dxa"/>
          </w:tcPr>
          <w:p w:rsidR="00B43C57" w:rsidRPr="00F5723F" w:rsidRDefault="00B43C57">
            <w:pPr>
              <w:pStyle w:val="Tabelltext"/>
              <w:jc w:val="center"/>
            </w:pPr>
            <w:r w:rsidRPr="00F5723F">
              <w:t>3</w:t>
            </w:r>
          </w:p>
        </w:tc>
        <w:tc>
          <w:tcPr>
            <w:tcW w:w="879" w:type="dxa"/>
          </w:tcPr>
          <w:p w:rsidR="00B43C57" w:rsidRPr="00F5723F" w:rsidRDefault="00B43C57">
            <w:pPr>
              <w:pStyle w:val="Tabelltext"/>
              <w:jc w:val="center"/>
            </w:pPr>
            <w:r w:rsidRPr="00F5723F">
              <w:t>−1</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Föredrag, medie</w:t>
            </w:r>
            <w:r w:rsidRPr="00F5723F">
              <w:t>-</w:t>
            </w:r>
            <w:r w:rsidRPr="00F5723F">
              <w:t>me</w:t>
            </w:r>
            <w:r w:rsidRPr="00F5723F">
              <w:t>d</w:t>
            </w:r>
            <w:r w:rsidRPr="00F5723F">
              <w:t>verkan</w:t>
            </w:r>
          </w:p>
        </w:tc>
        <w:tc>
          <w:tcPr>
            <w:tcW w:w="879" w:type="dxa"/>
          </w:tcPr>
          <w:p w:rsidR="00B43C57" w:rsidRPr="00F5723F" w:rsidRDefault="00B43C57">
            <w:pPr>
              <w:pStyle w:val="Tabelltext"/>
              <w:jc w:val="center"/>
            </w:pPr>
          </w:p>
          <w:p w:rsidR="00B43C57" w:rsidRPr="00F5723F" w:rsidRDefault="00B43C57">
            <w:pPr>
              <w:pStyle w:val="Tabelltext"/>
              <w:jc w:val="center"/>
            </w:pPr>
            <w:r w:rsidRPr="00F5723F">
              <w:t xml:space="preserve">2 h </w:t>
            </w:r>
            <w:smartTag w:uri="urn:schemas-microsoft-com:office:smarttags" w:element="metricconverter">
              <w:smartTagPr>
                <w:attr w:name="ProductID" w:val="46 m"/>
              </w:smartTagPr>
              <w:r w:rsidRPr="00F5723F">
                <w:t>46 m</w:t>
              </w:r>
            </w:smartTag>
          </w:p>
        </w:tc>
        <w:tc>
          <w:tcPr>
            <w:tcW w:w="879" w:type="dxa"/>
          </w:tcPr>
          <w:p w:rsidR="00B43C57" w:rsidRPr="00F5723F" w:rsidRDefault="00B43C57">
            <w:pPr>
              <w:pStyle w:val="Tabelltext"/>
              <w:jc w:val="center"/>
            </w:pPr>
          </w:p>
          <w:p w:rsidR="00B43C57" w:rsidRPr="00F5723F" w:rsidRDefault="00B43C57">
            <w:pPr>
              <w:pStyle w:val="Tabelltext"/>
              <w:jc w:val="center"/>
            </w:pPr>
            <w:r w:rsidRPr="00F5723F">
              <w:t>6</w:t>
            </w:r>
          </w:p>
        </w:tc>
        <w:tc>
          <w:tcPr>
            <w:tcW w:w="879" w:type="dxa"/>
          </w:tcPr>
          <w:p w:rsidR="00B43C57" w:rsidRPr="00F5723F" w:rsidRDefault="00B43C57">
            <w:pPr>
              <w:pStyle w:val="Tabelltext"/>
              <w:jc w:val="center"/>
            </w:pPr>
          </w:p>
          <w:p w:rsidR="00B43C57" w:rsidRPr="00F5723F" w:rsidRDefault="00B43C57">
            <w:pPr>
              <w:pStyle w:val="Tabelltext"/>
              <w:jc w:val="center"/>
            </w:pPr>
            <w:r w:rsidRPr="00F5723F">
              <w:t xml:space="preserve">3 h </w:t>
            </w:r>
            <w:smartTag w:uri="urn:schemas-microsoft-com:office:smarttags" w:element="metricconverter">
              <w:smartTagPr>
                <w:attr w:name="ProductID" w:val="48 m"/>
              </w:smartTagPr>
              <w:r w:rsidRPr="00F5723F">
                <w:t>48 m</w:t>
              </w:r>
            </w:smartTag>
          </w:p>
        </w:tc>
        <w:tc>
          <w:tcPr>
            <w:tcW w:w="879" w:type="dxa"/>
          </w:tcPr>
          <w:p w:rsidR="00B43C57" w:rsidRPr="00F5723F" w:rsidRDefault="00B43C57">
            <w:pPr>
              <w:pStyle w:val="Tabelltext"/>
              <w:jc w:val="center"/>
            </w:pPr>
          </w:p>
          <w:p w:rsidR="00B43C57" w:rsidRPr="00F5723F" w:rsidRDefault="00B43C57">
            <w:pPr>
              <w:pStyle w:val="Tabelltext"/>
              <w:jc w:val="center"/>
            </w:pPr>
            <w:r w:rsidRPr="00F5723F">
              <w:t>7</w:t>
            </w:r>
          </w:p>
        </w:tc>
        <w:tc>
          <w:tcPr>
            <w:tcW w:w="879" w:type="dxa"/>
          </w:tcPr>
          <w:p w:rsidR="00B43C57" w:rsidRPr="00F5723F" w:rsidRDefault="00B43C57">
            <w:pPr>
              <w:pStyle w:val="Tabelltext"/>
              <w:jc w:val="center"/>
            </w:pPr>
          </w:p>
          <w:p w:rsidR="00B43C57" w:rsidRPr="00F5723F" w:rsidRDefault="00B43C57">
            <w:pPr>
              <w:pStyle w:val="Tabelltext"/>
              <w:jc w:val="center"/>
            </w:pPr>
            <w:r w:rsidRPr="00F5723F">
              <w:t>+1</w:t>
            </w:r>
          </w:p>
        </w:tc>
      </w:tr>
      <w:tr w:rsidR="00000000" w:rsidRPr="00F5723F">
        <w:tblPrEx>
          <w:tblCellMar>
            <w:top w:w="0" w:type="dxa"/>
            <w:bottom w:w="0" w:type="dxa"/>
          </w:tblCellMar>
        </w:tblPrEx>
        <w:tc>
          <w:tcPr>
            <w:tcW w:w="1668" w:type="dxa"/>
          </w:tcPr>
          <w:p w:rsidR="00B43C57" w:rsidRPr="00F5723F" w:rsidRDefault="00B43C57">
            <w:pPr>
              <w:pStyle w:val="Tabelltext"/>
              <w:ind w:left="228" w:hanging="228"/>
            </w:pPr>
            <w:r w:rsidRPr="00F5723F">
              <w:t>Allmänt inläsnings</w:t>
            </w:r>
            <w:r w:rsidRPr="00F5723F">
              <w:t>-/</w:t>
            </w:r>
          </w:p>
          <w:p w:rsidR="00B43C57" w:rsidRPr="00F5723F" w:rsidRDefault="00B43C57">
            <w:pPr>
              <w:pStyle w:val="Tabelltext"/>
              <w:ind w:left="228" w:hanging="228"/>
            </w:pPr>
            <w:r w:rsidRPr="00F5723F">
              <w:t>studiearbete, studier</w:t>
            </w:r>
            <w:r w:rsidRPr="00F5723F">
              <w:t>e</w:t>
            </w:r>
            <w:r w:rsidRPr="00F5723F">
              <w:t xml:space="preserve">sor </w:t>
            </w:r>
            <w:r w:rsidRPr="00F5723F">
              <w:t>med mera</w:t>
            </w:r>
          </w:p>
        </w:tc>
        <w:tc>
          <w:tcPr>
            <w:tcW w:w="879" w:type="dxa"/>
          </w:tcPr>
          <w:p w:rsidR="00B43C57" w:rsidRPr="00F5723F" w:rsidRDefault="00B43C57">
            <w:pPr>
              <w:pStyle w:val="Tabelltext"/>
              <w:jc w:val="center"/>
            </w:pPr>
          </w:p>
          <w:p w:rsidR="00B43C57" w:rsidRPr="00F5723F" w:rsidRDefault="00B43C57">
            <w:pPr>
              <w:pStyle w:val="Tabelltext"/>
              <w:jc w:val="center"/>
            </w:pPr>
            <w:r w:rsidRPr="00F5723F">
              <w:t xml:space="preserve">10 h </w:t>
            </w:r>
            <w:smartTag w:uri="urn:schemas-microsoft-com:office:smarttags" w:element="metricconverter">
              <w:smartTagPr>
                <w:attr w:name="ProductID" w:val="8 m"/>
              </w:smartTagPr>
              <w:r w:rsidRPr="00F5723F">
                <w:t>8 m</w:t>
              </w:r>
            </w:smartTag>
          </w:p>
        </w:tc>
        <w:tc>
          <w:tcPr>
            <w:tcW w:w="879" w:type="dxa"/>
          </w:tcPr>
          <w:p w:rsidR="00B43C57" w:rsidRPr="00F5723F" w:rsidRDefault="00B43C57">
            <w:pPr>
              <w:pStyle w:val="Tabelltext"/>
              <w:jc w:val="center"/>
            </w:pPr>
          </w:p>
          <w:p w:rsidR="00B43C57" w:rsidRPr="00F5723F" w:rsidRDefault="00B43C57">
            <w:pPr>
              <w:pStyle w:val="Tabelltext"/>
              <w:jc w:val="center"/>
            </w:pPr>
            <w:r w:rsidRPr="00F5723F">
              <w:t>19</w:t>
            </w:r>
          </w:p>
        </w:tc>
        <w:tc>
          <w:tcPr>
            <w:tcW w:w="879" w:type="dxa"/>
          </w:tcPr>
          <w:p w:rsidR="00B43C57" w:rsidRPr="00F5723F" w:rsidRDefault="00B43C57">
            <w:pPr>
              <w:pStyle w:val="Tabelltext"/>
              <w:jc w:val="center"/>
            </w:pPr>
          </w:p>
          <w:p w:rsidR="00B43C57" w:rsidRPr="00F5723F" w:rsidRDefault="00B43C57">
            <w:pPr>
              <w:pStyle w:val="Tabelltext"/>
              <w:jc w:val="center"/>
            </w:pPr>
            <w:r w:rsidRPr="00F5723F">
              <w:t xml:space="preserve">7 h </w:t>
            </w:r>
            <w:smartTag w:uri="urn:schemas-microsoft-com:office:smarttags" w:element="metricconverter">
              <w:smartTagPr>
                <w:attr w:name="ProductID" w:val="34 m"/>
              </w:smartTagPr>
              <w:r w:rsidRPr="00F5723F">
                <w:t>34 m</w:t>
              </w:r>
            </w:smartTag>
          </w:p>
        </w:tc>
        <w:tc>
          <w:tcPr>
            <w:tcW w:w="879" w:type="dxa"/>
          </w:tcPr>
          <w:p w:rsidR="00B43C57" w:rsidRPr="00F5723F" w:rsidRDefault="00B43C57">
            <w:pPr>
              <w:pStyle w:val="Tabelltext"/>
              <w:jc w:val="center"/>
            </w:pPr>
          </w:p>
          <w:p w:rsidR="00B43C57" w:rsidRPr="00F5723F" w:rsidRDefault="00B43C57">
            <w:pPr>
              <w:pStyle w:val="Tabelltext"/>
              <w:jc w:val="center"/>
            </w:pPr>
            <w:r w:rsidRPr="00F5723F">
              <w:t>15</w:t>
            </w:r>
          </w:p>
        </w:tc>
        <w:tc>
          <w:tcPr>
            <w:tcW w:w="879" w:type="dxa"/>
          </w:tcPr>
          <w:p w:rsidR="00B43C57" w:rsidRPr="00F5723F" w:rsidRDefault="00B43C57">
            <w:pPr>
              <w:pStyle w:val="Tabelltext"/>
              <w:jc w:val="center"/>
            </w:pPr>
          </w:p>
          <w:p w:rsidR="00B43C57" w:rsidRPr="00F5723F" w:rsidRDefault="00B43C57">
            <w:pPr>
              <w:pStyle w:val="Tabelltext"/>
              <w:jc w:val="center"/>
            </w:pPr>
            <w:r w:rsidRPr="00F5723F">
              <w:t>−4</w:t>
            </w:r>
          </w:p>
        </w:tc>
      </w:tr>
      <w:tr w:rsidR="00000000" w:rsidRPr="00F5723F">
        <w:tblPrEx>
          <w:tblCellMar>
            <w:top w:w="0" w:type="dxa"/>
            <w:bottom w:w="0" w:type="dxa"/>
          </w:tblCellMar>
        </w:tblPrEx>
        <w:tc>
          <w:tcPr>
            <w:tcW w:w="1668" w:type="dxa"/>
            <w:tcBorders>
              <w:bottom w:val="single" w:sz="4" w:space="0" w:color="auto"/>
            </w:tcBorders>
          </w:tcPr>
          <w:p w:rsidR="00B43C57" w:rsidRPr="00F5723F" w:rsidRDefault="00B43C57">
            <w:pPr>
              <w:pStyle w:val="Tabelltext"/>
              <w:ind w:left="228" w:hanging="228"/>
            </w:pPr>
            <w:r w:rsidRPr="00F5723F">
              <w:t>Övrigt</w:t>
            </w:r>
          </w:p>
        </w:tc>
        <w:tc>
          <w:tcPr>
            <w:tcW w:w="879" w:type="dxa"/>
            <w:tcBorders>
              <w:bottom w:val="single" w:sz="4" w:space="0" w:color="auto"/>
            </w:tcBorders>
          </w:tcPr>
          <w:p w:rsidR="00B43C57" w:rsidRPr="00F5723F" w:rsidRDefault="00B43C57">
            <w:pPr>
              <w:pStyle w:val="Tabelltext"/>
              <w:jc w:val="center"/>
            </w:pPr>
            <w:r w:rsidRPr="00F5723F">
              <w:t xml:space="preserve">2 h </w:t>
            </w:r>
            <w:smartTag w:uri="urn:schemas-microsoft-com:office:smarttags" w:element="metricconverter">
              <w:smartTagPr>
                <w:attr w:name="ProductID" w:val="35 m"/>
              </w:smartTagPr>
              <w:r w:rsidRPr="00F5723F">
                <w:t>35 m</w:t>
              </w:r>
            </w:smartTag>
          </w:p>
        </w:tc>
        <w:tc>
          <w:tcPr>
            <w:tcW w:w="879" w:type="dxa"/>
            <w:tcBorders>
              <w:bottom w:val="single" w:sz="4" w:space="0" w:color="auto"/>
            </w:tcBorders>
          </w:tcPr>
          <w:p w:rsidR="00B43C57" w:rsidRPr="00F5723F" w:rsidRDefault="00B43C57">
            <w:pPr>
              <w:pStyle w:val="Tabelltext"/>
              <w:jc w:val="center"/>
            </w:pPr>
            <w:r w:rsidRPr="00F5723F">
              <w:t>5</w:t>
            </w:r>
          </w:p>
        </w:tc>
        <w:tc>
          <w:tcPr>
            <w:tcW w:w="879" w:type="dxa"/>
            <w:tcBorders>
              <w:bottom w:val="single" w:sz="4" w:space="0" w:color="auto"/>
            </w:tcBorders>
          </w:tcPr>
          <w:p w:rsidR="00B43C57" w:rsidRPr="00F5723F" w:rsidRDefault="00B43C57">
            <w:pPr>
              <w:pStyle w:val="Tabelltext"/>
              <w:jc w:val="center"/>
            </w:pPr>
            <w:r w:rsidRPr="00F5723F">
              <w:t xml:space="preserve">3 h </w:t>
            </w:r>
            <w:smartTag w:uri="urn:schemas-microsoft-com:office:smarttags" w:element="metricconverter">
              <w:smartTagPr>
                <w:attr w:name="ProductID" w:val="10 m"/>
              </w:smartTagPr>
              <w:r w:rsidRPr="00F5723F">
                <w:t>10 m</w:t>
              </w:r>
            </w:smartTag>
          </w:p>
        </w:tc>
        <w:tc>
          <w:tcPr>
            <w:tcW w:w="879" w:type="dxa"/>
            <w:tcBorders>
              <w:bottom w:val="single" w:sz="4" w:space="0" w:color="auto"/>
            </w:tcBorders>
          </w:tcPr>
          <w:p w:rsidR="00B43C57" w:rsidRPr="00F5723F" w:rsidRDefault="00B43C57">
            <w:pPr>
              <w:pStyle w:val="Tabelltext"/>
              <w:jc w:val="center"/>
            </w:pPr>
            <w:r w:rsidRPr="00F5723F">
              <w:t>6</w:t>
            </w:r>
          </w:p>
        </w:tc>
        <w:tc>
          <w:tcPr>
            <w:tcW w:w="879" w:type="dxa"/>
            <w:tcBorders>
              <w:bottom w:val="single" w:sz="4" w:space="0" w:color="auto"/>
            </w:tcBorders>
          </w:tcPr>
          <w:p w:rsidR="00B43C57" w:rsidRPr="00F5723F" w:rsidRDefault="00B43C57">
            <w:pPr>
              <w:pStyle w:val="Tabelltext"/>
              <w:jc w:val="center"/>
            </w:pPr>
            <w:r w:rsidRPr="00F5723F">
              <w:t>+1</w:t>
            </w:r>
          </w:p>
        </w:tc>
      </w:tr>
      <w:tr w:rsidR="00000000" w:rsidRPr="00F5723F">
        <w:tblPrEx>
          <w:tblCellMar>
            <w:top w:w="0" w:type="dxa"/>
            <w:bottom w:w="0" w:type="dxa"/>
          </w:tblCellMar>
        </w:tblPrEx>
        <w:tc>
          <w:tcPr>
            <w:tcW w:w="1668" w:type="dxa"/>
            <w:tcBorders>
              <w:top w:val="single" w:sz="4" w:space="0" w:color="auto"/>
              <w:bottom w:val="single" w:sz="4" w:space="0" w:color="auto"/>
            </w:tcBorders>
          </w:tcPr>
          <w:p w:rsidR="00B43C57" w:rsidRPr="00F5723F" w:rsidRDefault="00B43C57">
            <w:pPr>
              <w:pStyle w:val="Tabelltext"/>
            </w:pPr>
            <w:r w:rsidRPr="00F5723F">
              <w:t>Sammanlagt</w:t>
            </w:r>
          </w:p>
        </w:tc>
        <w:tc>
          <w:tcPr>
            <w:tcW w:w="879" w:type="dxa"/>
            <w:tcBorders>
              <w:top w:val="single" w:sz="4" w:space="0" w:color="auto"/>
              <w:bottom w:val="single" w:sz="4" w:space="0" w:color="auto"/>
            </w:tcBorders>
          </w:tcPr>
          <w:p w:rsidR="00B43C57" w:rsidRPr="00F5723F" w:rsidRDefault="00B43C57">
            <w:pPr>
              <w:pStyle w:val="Tabelltext"/>
              <w:jc w:val="center"/>
            </w:pPr>
            <w:r w:rsidRPr="00F5723F">
              <w:t xml:space="preserve">53 h </w:t>
            </w:r>
            <w:smartTag w:uri="urn:schemas-microsoft-com:office:smarttags" w:element="metricconverter">
              <w:smartTagPr>
                <w:attr w:name="ProductID" w:val="41 m"/>
              </w:smartTagPr>
              <w:r w:rsidRPr="00F5723F">
                <w:t>41 m</w:t>
              </w:r>
            </w:smartTag>
          </w:p>
        </w:tc>
        <w:tc>
          <w:tcPr>
            <w:tcW w:w="879" w:type="dxa"/>
            <w:tcBorders>
              <w:top w:val="single" w:sz="4" w:space="0" w:color="auto"/>
              <w:bottom w:val="single" w:sz="4" w:space="0" w:color="auto"/>
            </w:tcBorders>
          </w:tcPr>
          <w:p w:rsidR="00B43C57" w:rsidRPr="00F5723F" w:rsidRDefault="00B43C57">
            <w:pPr>
              <w:pStyle w:val="Tabelltext"/>
              <w:jc w:val="center"/>
            </w:pPr>
            <w:r w:rsidRPr="00F5723F">
              <w:t>100</w:t>
            </w:r>
          </w:p>
        </w:tc>
        <w:tc>
          <w:tcPr>
            <w:tcW w:w="879" w:type="dxa"/>
            <w:tcBorders>
              <w:top w:val="single" w:sz="4" w:space="0" w:color="auto"/>
              <w:bottom w:val="single" w:sz="4" w:space="0" w:color="auto"/>
            </w:tcBorders>
          </w:tcPr>
          <w:p w:rsidR="00B43C57" w:rsidRPr="00F5723F" w:rsidRDefault="00B43C57">
            <w:pPr>
              <w:pStyle w:val="Tabelltext"/>
              <w:jc w:val="center"/>
            </w:pPr>
            <w:r w:rsidRPr="00F5723F">
              <w:t xml:space="preserve">52 h </w:t>
            </w:r>
            <w:smartTag w:uri="urn:schemas-microsoft-com:office:smarttags" w:element="metricconverter">
              <w:smartTagPr>
                <w:attr w:name="ProductID" w:val="49 m"/>
              </w:smartTagPr>
              <w:r w:rsidRPr="00F5723F">
                <w:t>49 m</w:t>
              </w:r>
            </w:smartTag>
          </w:p>
        </w:tc>
        <w:tc>
          <w:tcPr>
            <w:tcW w:w="879" w:type="dxa"/>
            <w:tcBorders>
              <w:top w:val="single" w:sz="4" w:space="0" w:color="auto"/>
              <w:bottom w:val="single" w:sz="4" w:space="0" w:color="auto"/>
            </w:tcBorders>
          </w:tcPr>
          <w:p w:rsidR="00B43C57" w:rsidRPr="00F5723F" w:rsidRDefault="00B43C57">
            <w:pPr>
              <w:pStyle w:val="Tabelltext"/>
              <w:jc w:val="center"/>
            </w:pPr>
            <w:r w:rsidRPr="00F5723F">
              <w:t>100</w:t>
            </w:r>
          </w:p>
        </w:tc>
        <w:tc>
          <w:tcPr>
            <w:tcW w:w="879" w:type="dxa"/>
            <w:tcBorders>
              <w:top w:val="single" w:sz="4" w:space="0" w:color="auto"/>
              <w:bottom w:val="single" w:sz="4" w:space="0" w:color="auto"/>
            </w:tcBorders>
          </w:tcPr>
          <w:p w:rsidR="00B43C57" w:rsidRPr="00F5723F" w:rsidRDefault="00B43C57">
            <w:pPr>
              <w:pStyle w:val="Tabelltext"/>
              <w:jc w:val="center"/>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Källa:</w:t>
      </w:r>
      <w:r w:rsidRPr="00F5723F">
        <w:rPr>
          <w:rFonts w:ascii="Arial" w:hAnsi="Arial" w:cs="Arial"/>
          <w:sz w:val="16"/>
          <w:szCs w:val="16"/>
        </w:rPr>
        <w:t xml:space="preserve"> Riksdagskommitténs dagboksst</w:t>
      </w:r>
      <w:r w:rsidRPr="00F5723F">
        <w:rPr>
          <w:rFonts w:ascii="Arial" w:hAnsi="Arial" w:cs="Arial"/>
          <w:sz w:val="16"/>
          <w:szCs w:val="16"/>
        </w:rPr>
        <w:t>u</w:t>
      </w:r>
      <w:r w:rsidRPr="00F5723F">
        <w:rPr>
          <w:rFonts w:ascii="Arial" w:hAnsi="Arial" w:cs="Arial"/>
          <w:sz w:val="16"/>
          <w:szCs w:val="16"/>
        </w:rPr>
        <w:t xml:space="preserve">die 2004. </w:t>
      </w:r>
    </w:p>
    <w:p w:rsidR="00B43C57" w:rsidRPr="00F5723F" w:rsidRDefault="00B43C57"/>
    <w:p w:rsidR="00B43C57" w:rsidRPr="00F5723F" w:rsidRDefault="00B43C57">
      <w:r w:rsidRPr="00F5723F">
        <w:t>Av ledamöterna är det 19 procent som redovisar en veckoarbetstid på 40 timmar eller min</w:t>
      </w:r>
      <w:r w:rsidRPr="00F5723F">
        <w:t>d</w:t>
      </w:r>
      <w:r w:rsidRPr="00F5723F">
        <w:t xml:space="preserve">re. Det är en avsevärt högre andel </w:t>
      </w:r>
      <w:r w:rsidRPr="00F5723F">
        <w:t>än i tidigare studier då motsvarande andel legat omkring 5 procent (se figur 3). Två tolkningar kan göras av denna markanta skillnad. Den ena tolknin</w:t>
      </w:r>
      <w:r w:rsidRPr="00F5723F">
        <w:t>g</w:t>
      </w:r>
      <w:r w:rsidRPr="00F5723F">
        <w:t>en säger att resultaten återspeglar en reell förändring: fler ledamöter än tidigare vill se riksdagsup</w:t>
      </w:r>
      <w:r w:rsidRPr="00F5723F">
        <w:t>p</w:t>
      </w:r>
      <w:r w:rsidRPr="00F5723F">
        <w:t>draget som ett uppdrag med en ”normal” arbetsvecka. Riksdagen har också, genom till exempel fasta voteringstillfällen, gått i riktning mot en arbetsplan</w:t>
      </w:r>
      <w:r w:rsidRPr="00F5723F">
        <w:t>e</w:t>
      </w:r>
      <w:r w:rsidRPr="00F5723F">
        <w:t>ring som överensstämmer med det övriga arbetsl</w:t>
      </w:r>
      <w:r w:rsidRPr="00F5723F">
        <w:t>i</w:t>
      </w:r>
      <w:r w:rsidRPr="00F5723F">
        <w:t>vet. Den andra tolkningen gör gällande att ledamöterna inte</w:t>
      </w:r>
      <w:r w:rsidRPr="00F5723F">
        <w:t xml:space="preserve"> rapporterat samtliga genomförda akt</w:t>
      </w:r>
      <w:r w:rsidRPr="00F5723F">
        <w:t>i</w:t>
      </w:r>
      <w:r w:rsidRPr="00F5723F">
        <w:t>viteter under veckan i dagboksbladet och därmed fått en lägre rapporterad arbetstid än den faktiska. Underskattningstendenserna antas, med denna tolkning, vara större i 2004 års elektroniskt genomförda undersökning jämfört med tidig</w:t>
      </w:r>
      <w:r w:rsidRPr="00F5723F">
        <w:t>a</w:t>
      </w:r>
      <w:r w:rsidRPr="00F5723F">
        <w:t>re undersökningar.</w:t>
      </w:r>
      <w:r w:rsidRPr="00F5723F">
        <w:rPr>
          <w:rStyle w:val="Fotnotsreferens"/>
        </w:rPr>
        <w:footnoteReference w:id="112"/>
      </w:r>
      <w:r w:rsidRPr="00F5723F">
        <w:t xml:space="preserve"> Vilken tolkning som har mest fog för sig är svårt att avg</w:t>
      </w:r>
      <w:r w:rsidRPr="00F5723F">
        <w:t>ö</w:t>
      </w:r>
      <w:r w:rsidRPr="00F5723F">
        <w:t xml:space="preserve">ra. </w:t>
      </w:r>
    </w:p>
    <w:p w:rsidR="00B43C57" w:rsidRPr="00F5723F" w:rsidRDefault="00B43C57">
      <w:pPr>
        <w:pStyle w:val="Normaltindrag"/>
      </w:pPr>
      <w:r w:rsidRPr="00F5723F">
        <w:t>Den genomsnittliga arbetstiden och andelen ledamöter som har arbetat en s.k. ”40-timmarsvecka” skiljer sig något åt mellan ledamöter som besv</w:t>
      </w:r>
      <w:r w:rsidRPr="00F5723F">
        <w:t>a</w:t>
      </w:r>
      <w:r w:rsidRPr="00F5723F">
        <w:t>rat unde</w:t>
      </w:r>
      <w:r w:rsidRPr="00F5723F">
        <w:t>r</w:t>
      </w:r>
      <w:r w:rsidRPr="00F5723F">
        <w:t>sökningen med olika tekniker. Det begränsade antal ledamöter som använt sig av undersökningens pappersversion (54 ledamöter) har en geno</w:t>
      </w:r>
      <w:r w:rsidRPr="00F5723F">
        <w:t>m</w:t>
      </w:r>
      <w:r w:rsidRPr="00F5723F">
        <w:t>snittlig arbetstid på 56 timmar, och 13 procent uppger sig ha en 40-timmarsvecka. För ledamöter som har besvarat undersökningen elektroniskt uppgår arbetstiden till nära 52 timmar, och 20 procent säger sig arbeta max</w:t>
      </w:r>
      <w:r w:rsidRPr="00F5723F">
        <w:t>i</w:t>
      </w:r>
      <w:r w:rsidRPr="00F5723F">
        <w:t>malt 40 timmar per vecka. Arbetstiden är således längre och andelen ledam</w:t>
      </w:r>
      <w:r w:rsidRPr="00F5723F">
        <w:t>ö</w:t>
      </w:r>
      <w:r w:rsidRPr="00F5723F">
        <w:t>ter med ”normal” arbetsvecka lägre bland de ledamöter som svarat med pa</w:t>
      </w:r>
      <w:r w:rsidRPr="00F5723F">
        <w:t>p</w:t>
      </w:r>
      <w:r w:rsidRPr="00F5723F">
        <w:t>pe</w:t>
      </w:r>
      <w:r w:rsidRPr="00F5723F">
        <w:t>rsversionen av undersökningen; möjligheten finns att undersökningstekn</w:t>
      </w:r>
      <w:r w:rsidRPr="00F5723F">
        <w:t>i</w:t>
      </w:r>
      <w:r w:rsidRPr="00F5723F">
        <w:t>ken påverkat svaren och medverkat till att antalet redovisade arbetsti</w:t>
      </w:r>
      <w:r w:rsidRPr="00F5723F">
        <w:t>m</w:t>
      </w:r>
      <w:r w:rsidRPr="00F5723F">
        <w:t>mar har underskattats av ledamöter som svarat på undersökningen över dator. Samt</w:t>
      </w:r>
      <w:r w:rsidRPr="00F5723F">
        <w:t>i</w:t>
      </w:r>
      <w:r w:rsidRPr="00F5723F">
        <w:t>digt är inte den grupp som utnyttjat pappersalternativet fullt representativ för riksdagsledamöterna i allmänhet. I den gruppen sv</w:t>
      </w:r>
      <w:r w:rsidRPr="00F5723F">
        <w:t>a</w:t>
      </w:r>
      <w:r w:rsidRPr="00F5723F">
        <w:t>rande återfinns nämligen många ledam</w:t>
      </w:r>
      <w:r w:rsidRPr="00F5723F">
        <w:t>ö</w:t>
      </w:r>
      <w:r w:rsidRPr="00F5723F">
        <w:t>ter som deltagit i internationella delegationer som varit på utlandsresor den aktuella undersökningsveckan. På dessa reso</w:t>
      </w:r>
      <w:r w:rsidRPr="00F5723F">
        <w:t>r har ledam</w:t>
      </w:r>
      <w:r w:rsidRPr="00F5723F">
        <w:t>ö</w:t>
      </w:r>
      <w:r w:rsidRPr="00F5723F">
        <w:t>terna kanske haft specifika arbetstider som skiljer sig från det ordinarie rik</w:t>
      </w:r>
      <w:r w:rsidRPr="00F5723F">
        <w:t>s</w:t>
      </w:r>
      <w:r w:rsidRPr="00F5723F">
        <w:t>dagsarbetet en vecka i Stockholm eller i valkre</w:t>
      </w:r>
      <w:r w:rsidRPr="00F5723F">
        <w:t>t</w:t>
      </w:r>
      <w:r w:rsidRPr="00F5723F">
        <w:t xml:space="preserve">sen. </w:t>
      </w:r>
    </w:p>
    <w:p w:rsidR="00B43C57" w:rsidRPr="00F5723F" w:rsidRDefault="00B43C57">
      <w:pPr>
        <w:pStyle w:val="Normaltindrag"/>
      </w:pPr>
      <w:r w:rsidRPr="00F5723F">
        <w:t>Om vi sorterar bort den grupp ledamöter som uppgivit sig ha haft ett o</w:t>
      </w:r>
      <w:r w:rsidRPr="00F5723F">
        <w:t>m</w:t>
      </w:r>
      <w:r w:rsidRPr="00F5723F">
        <w:t>fattande internati</w:t>
      </w:r>
      <w:r w:rsidRPr="00F5723F">
        <w:t>o</w:t>
      </w:r>
      <w:r w:rsidRPr="00F5723F">
        <w:t>nellt engagemang den aktuella undersökningsveckan, de som varit på internationella resor, återstår 46 ledamöter som besvarat unde</w:t>
      </w:r>
      <w:r w:rsidRPr="00F5723F">
        <w:t>r</w:t>
      </w:r>
      <w:r w:rsidRPr="00F5723F">
        <w:t>sökningen i dess pappersversion. Den gruppen ledamöter har en g</w:t>
      </w:r>
      <w:r w:rsidRPr="00F5723F">
        <w:t>e</w:t>
      </w:r>
      <w:r w:rsidRPr="00F5723F">
        <w:t>nomsnittlig arbetstid på 55 timmar, och 15 procent uppger sig ha en 40-timmarsvecka. Fortfarande är det således en betydande andel, och en större andel än tidigare år, som uppger sig ha en arbetsvecka på 40 ti</w:t>
      </w:r>
      <w:r w:rsidRPr="00F5723F">
        <w:t>m</w:t>
      </w:r>
      <w:r w:rsidRPr="00F5723F">
        <w:t xml:space="preserve">mar eller mindre. </w:t>
      </w:r>
    </w:p>
    <w:p w:rsidR="00B43C57" w:rsidRPr="00F5723F" w:rsidRDefault="00B43C57">
      <w:pPr>
        <w:pStyle w:val="Normaltindrag"/>
      </w:pPr>
      <w:r w:rsidRPr="00F5723F">
        <w:t xml:space="preserve">Andelen ledamöter med en veckoarbetstid på 40 timmar eller mindre är </w:t>
      </w:r>
      <w:r w:rsidRPr="00F5723F">
        <w:t>högre bland riksdagskvinnorna (21 pr</w:t>
      </w:r>
      <w:r w:rsidRPr="00F5723F">
        <w:t>o</w:t>
      </w:r>
      <w:r w:rsidRPr="00F5723F">
        <w:t>cent) än bland riksdagsmännen (16 procent). Kvinnorna, vilka också ökat sin representation i riksdagen sedan tidigare undersökningar, har i större utsträckning än männen en normal a</w:t>
      </w:r>
      <w:r w:rsidRPr="00F5723F">
        <w:t>r</w:t>
      </w:r>
      <w:r w:rsidRPr="00F5723F">
        <w:t>betsvecka.</w:t>
      </w:r>
    </w:p>
    <w:p w:rsidR="00B43C57" w:rsidRPr="00F5723F" w:rsidRDefault="00B43C57">
      <w:pPr>
        <w:pStyle w:val="Tabellrubrik"/>
        <w:spacing w:before="0"/>
        <w:rPr>
          <w:spacing w:val="0"/>
          <w:szCs w:val="14"/>
        </w:rPr>
      </w:pPr>
      <w:r w:rsidRPr="00F5723F">
        <w:br w:type="page"/>
      </w:r>
      <w:r w:rsidRPr="00F5723F">
        <w:rPr>
          <w:spacing w:val="0"/>
          <w:szCs w:val="14"/>
        </w:rPr>
        <w:t>Figur 2 Arbetsveckans längd för riksdagsledamöte</w:t>
      </w:r>
      <w:r w:rsidRPr="00F5723F">
        <w:rPr>
          <w:spacing w:val="0"/>
          <w:szCs w:val="14"/>
        </w:rPr>
        <w:t>r</w:t>
      </w:r>
      <w:r w:rsidRPr="00F5723F">
        <w:rPr>
          <w:spacing w:val="0"/>
          <w:szCs w:val="14"/>
        </w:rPr>
        <w:t>na 1974, 1985 och 2004</w:t>
      </w:r>
    </w:p>
    <w:p w:rsidR="00B43C57" w:rsidRPr="00F5723F" w:rsidRDefault="00B43C57"/>
    <w:p w:rsidR="00B43C57" w:rsidRPr="00F5723F" w:rsidRDefault="00F5723F">
      <w:pPr>
        <w:spacing w:before="0"/>
      </w:pPr>
      <w:r w:rsidRPr="00F5723F">
        <w:rPr>
          <w:noProof/>
        </w:rPr>
        <w:drawing>
          <wp:inline distT="0" distB="0" distL="0" distR="0">
            <wp:extent cx="2459990" cy="21228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59990" cy="2122805"/>
                    </a:xfrm>
                    <a:prstGeom prst="rect">
                      <a:avLst/>
                    </a:prstGeom>
                    <a:noFill/>
                    <a:ln>
                      <a:noFill/>
                    </a:ln>
                  </pic:spPr>
                </pic:pic>
              </a:graphicData>
            </a:graphic>
          </wp:inline>
        </w:drawing>
      </w:r>
      <w:r w:rsidRPr="00F5723F">
        <w:rPr>
          <w:noProof/>
        </w:rPr>
        <w:drawing>
          <wp:inline distT="0" distB="0" distL="0" distR="0">
            <wp:extent cx="2459990" cy="212280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59990" cy="2122805"/>
                    </a:xfrm>
                    <a:prstGeom prst="rect">
                      <a:avLst/>
                    </a:prstGeom>
                    <a:noFill/>
                    <a:ln>
                      <a:noFill/>
                    </a:ln>
                  </pic:spPr>
                </pic:pic>
              </a:graphicData>
            </a:graphic>
          </wp:inline>
        </w:drawing>
      </w:r>
      <w:r w:rsidRPr="00F5723F">
        <w:rPr>
          <w:noProof/>
        </w:rPr>
        <w:drawing>
          <wp:inline distT="0" distB="0" distL="0" distR="0">
            <wp:extent cx="2459990" cy="212280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59990" cy="2122805"/>
                    </a:xfrm>
                    <a:prstGeom prst="rect">
                      <a:avLst/>
                    </a:prstGeom>
                    <a:noFill/>
                    <a:ln>
                      <a:noFill/>
                    </a:ln>
                  </pic:spPr>
                </pic:pic>
              </a:graphicData>
            </a:graphic>
          </wp:inline>
        </w:drawing>
      </w:r>
    </w:p>
    <w:p w:rsidR="00B43C57" w:rsidRPr="00F5723F" w:rsidRDefault="00B43C57">
      <w:pPr>
        <w:spacing w:line="240" w:lineRule="auto"/>
      </w:pPr>
      <w:r w:rsidRPr="00F5723F">
        <w:rPr>
          <w:rFonts w:ascii="Arial" w:hAnsi="Arial" w:cs="Arial"/>
          <w:b/>
          <w:sz w:val="16"/>
          <w:szCs w:val="16"/>
        </w:rPr>
        <w:t>Källa:</w:t>
      </w:r>
      <w:r w:rsidRPr="00F5723F">
        <w:rPr>
          <w:rFonts w:ascii="Arial" w:hAnsi="Arial" w:cs="Arial"/>
          <w:sz w:val="16"/>
          <w:szCs w:val="16"/>
        </w:rPr>
        <w:t xml:space="preserve"> Förslag 1975/76:15, s. 79, SOU 1986:27, s. 21, samt Riksdagskommitténs da</w:t>
      </w:r>
      <w:r w:rsidRPr="00F5723F">
        <w:rPr>
          <w:rFonts w:ascii="Arial" w:hAnsi="Arial" w:cs="Arial"/>
          <w:sz w:val="16"/>
          <w:szCs w:val="16"/>
        </w:rPr>
        <w:t>g</w:t>
      </w:r>
      <w:r w:rsidRPr="00F5723F">
        <w:rPr>
          <w:rFonts w:ascii="Arial" w:hAnsi="Arial" w:cs="Arial"/>
          <w:sz w:val="16"/>
          <w:szCs w:val="16"/>
        </w:rPr>
        <w:t xml:space="preserve">boksstudie 2004. </w:t>
      </w:r>
    </w:p>
    <w:p w:rsidR="00B43C57" w:rsidRPr="00F5723F" w:rsidRDefault="00B43C57">
      <w:pPr>
        <w:rPr>
          <w:sz w:val="20"/>
        </w:rPr>
        <w:sectPr w:rsidR="00000000" w:rsidRPr="00F5723F">
          <w:headerReference w:type="even" r:id="rId87"/>
          <w:headerReference w:type="default" r:id="rId88"/>
          <w:footerReference w:type="even" r:id="rId89"/>
          <w:footerReference w:type="default" r:id="rId90"/>
          <w:headerReference w:type="first" r:id="rId91"/>
          <w:footerReference w:type="first" r:id="rId92"/>
          <w:pgSz w:w="11907" w:h="16840"/>
          <w:pgMar w:top="907" w:right="4649" w:bottom="4508" w:left="1304" w:header="720" w:footer="720" w:gutter="0"/>
          <w:cols w:space="708"/>
          <w:docGrid w:linePitch="360"/>
        </w:sectPr>
      </w:pPr>
    </w:p>
    <w:p w:rsidR="00B43C57" w:rsidRPr="00F5723F" w:rsidRDefault="00B43C57">
      <w:r w:rsidRPr="00F5723F">
        <w:t>Nära 10 procent av ledamöterna uppger sig ha arbetat mer än 70 timmar. Sex ledamöter redovisar en arbetsvecka på 80 eller fler timmar. Det högsta värdet är 84 timmar. Som framgår av figur 3 är spridningen kring medelvärdet ung</w:t>
      </w:r>
      <w:r w:rsidRPr="00F5723F">
        <w:t>e</w:t>
      </w:r>
      <w:r w:rsidRPr="00F5723F">
        <w:t>fär densamma som 1974 och 1985, med undantag av den betydligt större andelen för en ”normal” arbet</w:t>
      </w:r>
      <w:r w:rsidRPr="00F5723F">
        <w:t>s</w:t>
      </w:r>
      <w:r w:rsidRPr="00F5723F">
        <w:t>vecka.</w:t>
      </w:r>
    </w:p>
    <w:p w:rsidR="00B43C57" w:rsidRPr="00F5723F" w:rsidRDefault="00B43C57">
      <w:pPr>
        <w:pStyle w:val="Normaltindrag"/>
      </w:pPr>
      <w:r w:rsidRPr="00F5723F">
        <w:t>Ett annat sätt att se på arbetstiden för ledamöterna är att studera förekom</w:t>
      </w:r>
      <w:r w:rsidRPr="00F5723F">
        <w:t>s</w:t>
      </w:r>
      <w:r w:rsidRPr="00F5723F">
        <w:t>ten av ”obekväm arbetstid”. I enkäten har en fråga ställts om i vilken u</w:t>
      </w:r>
      <w:r w:rsidRPr="00F5723F">
        <w:t>t</w:t>
      </w:r>
      <w:r w:rsidRPr="00F5723F">
        <w:t>sträckning ledamöterna normalt arbetar på andra tider än de i tidsintervallet i da</w:t>
      </w:r>
      <w:r w:rsidRPr="00F5723F">
        <w:t>g</w:t>
      </w:r>
      <w:r w:rsidRPr="00F5723F">
        <w:t>boksstudien efterfrågade (klockan 08.00 till 22.00). Frågan löd: ”Om Du ser till riksmötet i sin helhet, hur vanligt är det att Du i Ditt uppdrag som rik</w:t>
      </w:r>
      <w:r w:rsidRPr="00F5723F">
        <w:t>s</w:t>
      </w:r>
      <w:r w:rsidRPr="00F5723F">
        <w:t>dagsledamot arbetar på andra tider än mellan klockan 08.00 och 22.00?” Svarsalternativen var ”minst en gång i veckan”, ”en eller ett par gånger i månaden”, ”några gånger”, ”n</w:t>
      </w:r>
      <w:r w:rsidRPr="00F5723F">
        <w:t>å</w:t>
      </w:r>
      <w:r w:rsidRPr="00F5723F">
        <w:t>gon enstaka gång” och ”ald</w:t>
      </w:r>
      <w:r w:rsidRPr="00F5723F">
        <w:t xml:space="preserve">rig”. </w:t>
      </w:r>
    </w:p>
    <w:p w:rsidR="00B43C57" w:rsidRPr="00F5723F" w:rsidRDefault="00B43C57">
      <w:pPr>
        <w:pStyle w:val="Normaltindrag"/>
      </w:pPr>
      <w:r w:rsidRPr="00F5723F">
        <w:t>Majoriteten av ledamöterna, eller hela 59 procent, uppger sig minst en gång i veckan arbeta sena kvällar eller tidiga morgnar. Ytterligare 22 procent gör det minst en eller ett par gånger i månaden. Totalt är det således 81 pr</w:t>
      </w:r>
      <w:r w:rsidRPr="00F5723F">
        <w:t>o</w:t>
      </w:r>
      <w:r w:rsidRPr="00F5723F">
        <w:t>cent av ledamöterna som ofta arbetar på tider tidigare än klockan 08.00 och senare än klockan 22.00. Bland männen är and</w:t>
      </w:r>
      <w:r w:rsidRPr="00F5723F">
        <w:t>e</w:t>
      </w:r>
      <w:r w:rsidRPr="00F5723F">
        <w:t xml:space="preserve">len betydligt högre än bland kvinnorna: 88 procent jämfört med 71 procent. </w:t>
      </w:r>
    </w:p>
    <w:p w:rsidR="00B43C57" w:rsidRPr="00F5723F" w:rsidRDefault="00B43C57">
      <w:pPr>
        <w:pStyle w:val="Normaltindrag"/>
      </w:pPr>
      <w:r w:rsidRPr="00F5723F">
        <w:t>Olika skillnader borde kunna förväntas mellan partigrupperna när det gäl</w:t>
      </w:r>
      <w:r w:rsidRPr="00F5723F">
        <w:t>l</w:t>
      </w:r>
      <w:r w:rsidRPr="00F5723F">
        <w:t>er arbetssituationen för ledamöterna.</w:t>
      </w:r>
      <w:r w:rsidRPr="00F5723F">
        <w:rPr>
          <w:rStyle w:val="Fotnotsreferens"/>
        </w:rPr>
        <w:footnoteReference w:id="113"/>
      </w:r>
      <w:r w:rsidRPr="00F5723F">
        <w:t xml:space="preserve"> Två aspekter gör sig naturligt gälla</w:t>
      </w:r>
      <w:r w:rsidRPr="00F5723F">
        <w:t>n</w:t>
      </w:r>
      <w:r w:rsidRPr="00F5723F">
        <w:t xml:space="preserve">de: </w:t>
      </w:r>
      <w:r w:rsidRPr="00F5723F">
        <w:rPr>
          <w:i/>
        </w:rPr>
        <w:t>partiernas storlek</w:t>
      </w:r>
      <w:r w:rsidRPr="00F5723F">
        <w:t xml:space="preserve"> och om partierna fungerar som </w:t>
      </w:r>
      <w:r w:rsidRPr="00F5723F">
        <w:rPr>
          <w:i/>
        </w:rPr>
        <w:t xml:space="preserve">oppositions- </w:t>
      </w:r>
      <w:r w:rsidRPr="00F5723F">
        <w:t>eller</w:t>
      </w:r>
      <w:r w:rsidRPr="00F5723F">
        <w:rPr>
          <w:i/>
        </w:rPr>
        <w:t xml:space="preserve"> rege</w:t>
      </w:r>
      <w:r w:rsidRPr="00F5723F">
        <w:rPr>
          <w:i/>
        </w:rPr>
        <w:t>r</w:t>
      </w:r>
      <w:r w:rsidRPr="00F5723F">
        <w:rPr>
          <w:i/>
        </w:rPr>
        <w:t>ingsparti</w:t>
      </w:r>
      <w:r w:rsidRPr="00F5723F">
        <w:t>. I det följande skall vi först analys</w:t>
      </w:r>
      <w:r w:rsidRPr="00F5723F">
        <w:t>e</w:t>
      </w:r>
      <w:r w:rsidRPr="00F5723F">
        <w:t>ra skillnader mellan partierna utifrån både partistorlek och om partierna är oppositions- eller regering</w:t>
      </w:r>
      <w:r w:rsidRPr="00F5723F">
        <w:t>s</w:t>
      </w:r>
      <w:r w:rsidRPr="00F5723F">
        <w:t xml:space="preserve">parti. </w:t>
      </w:r>
    </w:p>
    <w:p w:rsidR="00B43C57" w:rsidRPr="00F5723F" w:rsidRDefault="00B43C57">
      <w:pPr>
        <w:pStyle w:val="Normaltindrag"/>
      </w:pPr>
      <w:r w:rsidRPr="00F5723F">
        <w:t>Arbetssituationen för ledamöter tillhörande små och stora partier kan antas skilja sig åt. För mindre partigrupper kan arbetssituationen antas vara svårare eftersom dessa har färre led</w:t>
      </w:r>
      <w:r w:rsidRPr="00F5723F">
        <w:t>a</w:t>
      </w:r>
      <w:r w:rsidRPr="00F5723F">
        <w:t>möter att fördela arbetet mellan. I utskotten gör sig detta gällande genom att små partier bara har en eller kanske två företr</w:t>
      </w:r>
      <w:r w:rsidRPr="00F5723F">
        <w:t>ä</w:t>
      </w:r>
      <w:r w:rsidRPr="00F5723F">
        <w:t>dare; riksdagens näst största parti har tre ledamöter i utskotten och Sociald</w:t>
      </w:r>
      <w:r w:rsidRPr="00F5723F">
        <w:t>e</w:t>
      </w:r>
      <w:r w:rsidRPr="00F5723F">
        <w:t>mokraterna har åtta.</w:t>
      </w:r>
      <w:r w:rsidRPr="00F5723F">
        <w:rPr>
          <w:rStyle w:val="Fotnotsreferens"/>
        </w:rPr>
        <w:footnoteReference w:id="114"/>
      </w:r>
    </w:p>
    <w:p w:rsidR="00B43C57" w:rsidRPr="00F5723F" w:rsidRDefault="00B43C57">
      <w:pPr>
        <w:pStyle w:val="Normaltindrag"/>
      </w:pPr>
      <w:r w:rsidRPr="00F5723F">
        <w:t>Det är också möjligt att anta att skillnader förekommer mellan företrädare för regeringspartiet/regeringspartierna och oppositionspartierna. Arbet</w:t>
      </w:r>
      <w:r w:rsidRPr="00F5723F">
        <w:t>s</w:t>
      </w:r>
      <w:r w:rsidRPr="00F5723F">
        <w:t>formsutredningen prövade antagandet att oppositionspartiernas riksdagsled</w:t>
      </w:r>
      <w:r w:rsidRPr="00F5723F">
        <w:t>a</w:t>
      </w:r>
      <w:r w:rsidRPr="00F5723F">
        <w:t>möter skulle ha till uppgift att i första hand i själva riksdagsarbetet utforma alternativen till regeringens förslag, under det att regeringspartiför</w:t>
      </w:r>
      <w:r w:rsidRPr="00F5723F">
        <w:t>e</w:t>
      </w:r>
      <w:r w:rsidRPr="00F5723F">
        <w:t>trädare var att se som stödtrupper, vilka hade till uppgift att driva opinionsbildning för regeringens förslag. Man borde därför, menade utredningen, kunna fö</w:t>
      </w:r>
      <w:r w:rsidRPr="00F5723F">
        <w:t>r</w:t>
      </w:r>
      <w:r w:rsidRPr="00F5723F">
        <w:t>vänta sig att oppositionspartierna ägnade mer kraft och tid åt det egentliga (inåtri</w:t>
      </w:r>
      <w:r w:rsidRPr="00F5723F">
        <w:t>k</w:t>
      </w:r>
      <w:r w:rsidRPr="00F5723F">
        <w:t>tade) riksdagsarbetet medan regeringsparti</w:t>
      </w:r>
      <w:r w:rsidRPr="00F5723F">
        <w:t>ets (partiernas) företrädare i större utsträckning kunde koncen</w:t>
      </w:r>
      <w:r w:rsidRPr="00F5723F">
        <w:t>t</w:t>
      </w:r>
      <w:r w:rsidRPr="00F5723F">
        <w:t xml:space="preserve">rera sig på utåtriktade aktiviteter. </w:t>
      </w:r>
    </w:p>
    <w:p w:rsidR="00B43C57" w:rsidRPr="00F5723F" w:rsidRDefault="00B43C57">
      <w:pPr>
        <w:pStyle w:val="Normaltindrag"/>
      </w:pPr>
      <w:r w:rsidRPr="00F5723F">
        <w:t>Materialet utvisar tydliga skillnader mellan partierna. Den genomsnittliga arbetstiden är lägst för riksdagens tre största partier (s, m och fp). Sociald</w:t>
      </w:r>
      <w:r w:rsidRPr="00F5723F">
        <w:t>e</w:t>
      </w:r>
      <w:r w:rsidRPr="00F5723F">
        <w:t>mokraternas ledamöter har en genomsnittlig arbetstid på 49 timmar och 33 minuter. Moderaternas genomsnittliga tid uppgår till 53 timmar och 48 min</w:t>
      </w:r>
      <w:r w:rsidRPr="00F5723F">
        <w:t>u</w:t>
      </w:r>
      <w:r w:rsidRPr="00F5723F">
        <w:t>ter medan Folkpartiets genomsnittstid uppgår till 52 timmar. Ledamöterna i Vänsterpartiet och Miljöpartiet är de som uppger den högsta genomsnittliga tiden för a</w:t>
      </w:r>
      <w:r w:rsidRPr="00F5723F">
        <w:t>r</w:t>
      </w:r>
      <w:r w:rsidRPr="00F5723F">
        <w:t>betsuppgifter i anknytning till riksdagsuppdraget (60 respektive 59 timmar). Centerpartiets ledamöter har i genomsnitt uppgivit sig ha ägnat 55 timmar och 53 minuter åt riksdagsuppdragsanknutna arbetsup</w:t>
      </w:r>
      <w:r w:rsidRPr="00F5723F">
        <w:t>pgifter. Motsv</w:t>
      </w:r>
      <w:r w:rsidRPr="00F5723F">
        <w:t>a</w:t>
      </w:r>
      <w:r w:rsidRPr="00F5723F">
        <w:t>rande genomsnitt för kd-ledamöterna uppgår till 57 ti</w:t>
      </w:r>
      <w:r w:rsidRPr="00F5723F">
        <w:t>m</w:t>
      </w:r>
      <w:r w:rsidRPr="00F5723F">
        <w:t xml:space="preserve">mar och 24 minuter. </w:t>
      </w:r>
    </w:p>
    <w:p w:rsidR="00B43C57" w:rsidRPr="00F5723F" w:rsidRDefault="00B43C57">
      <w:pPr>
        <w:pStyle w:val="Normaltindrag"/>
      </w:pPr>
      <w:r w:rsidRPr="00F5723F">
        <w:t>Lägst andel ledamöter som återkommande arbetar på andra tider än mellan 08.00 och 22.00 har riksdagens största partier – Socialdemokraterna (73 pr</w:t>
      </w:r>
      <w:r w:rsidRPr="00F5723F">
        <w:t>o</w:t>
      </w:r>
      <w:r w:rsidRPr="00F5723F">
        <w:t>cent) och Moderaterna (79 procent). Miljöpartiet (89 procent) och Centerpa</w:t>
      </w:r>
      <w:r w:rsidRPr="00F5723F">
        <w:t>r</w:t>
      </w:r>
      <w:r w:rsidRPr="00F5723F">
        <w:t>tiet (100 procent), tillika de minsta partierna, har den högsta andelen ledam</w:t>
      </w:r>
      <w:r w:rsidRPr="00F5723F">
        <w:t>ö</w:t>
      </w:r>
      <w:r w:rsidRPr="00F5723F">
        <w:t>ter som minst en eller ett par gånger i månaden arbetar utanför tidsinte</w:t>
      </w:r>
      <w:r w:rsidRPr="00F5723F">
        <w:t>r</w:t>
      </w:r>
      <w:r w:rsidRPr="00F5723F">
        <w:t>vallet 08.00–22.00. För kristdemokrater och folkpartister är andelen 84 pr</w:t>
      </w:r>
      <w:r w:rsidRPr="00F5723F">
        <w:t>o</w:t>
      </w:r>
      <w:r w:rsidRPr="00F5723F">
        <w:t>cent och för vänste</w:t>
      </w:r>
      <w:r w:rsidRPr="00F5723F">
        <w:t>r</w:t>
      </w:r>
      <w:r w:rsidRPr="00F5723F">
        <w:t xml:space="preserve">partister 83 procent. </w:t>
      </w:r>
    </w:p>
    <w:p w:rsidR="00B43C57" w:rsidRPr="00F5723F" w:rsidRDefault="00B43C57">
      <w:pPr>
        <w:pStyle w:val="Rubrik2"/>
      </w:pPr>
      <w:bookmarkStart w:id="248" w:name="_Toc98075743"/>
      <w:bookmarkStart w:id="249" w:name="_Toc121738973"/>
      <w:bookmarkStart w:id="250" w:name="_Toc124697856"/>
      <w:r w:rsidRPr="00F5723F">
        <w:t>Politiska uppdrag utanför riksdagen</w:t>
      </w:r>
      <w:bookmarkEnd w:id="248"/>
      <w:bookmarkEnd w:id="249"/>
      <w:bookmarkEnd w:id="250"/>
    </w:p>
    <w:p w:rsidR="00B43C57" w:rsidRPr="00F5723F" w:rsidRDefault="00B43C57">
      <w:r w:rsidRPr="00F5723F">
        <w:t>Uppdraget som ledamot av riksdagen förenas ofta med andra politiska up</w:t>
      </w:r>
      <w:r w:rsidRPr="00F5723F">
        <w:t>p</w:t>
      </w:r>
      <w:r w:rsidRPr="00F5723F">
        <w:t>drag inom den offentliga sfären. Det handlar då främst om uppdrag på ko</w:t>
      </w:r>
      <w:r w:rsidRPr="00F5723F">
        <w:t>m</w:t>
      </w:r>
      <w:r w:rsidRPr="00F5723F">
        <w:t>munal och landstingskommunal nivå. På nationell nivå ingår riksdagsledam</w:t>
      </w:r>
      <w:r w:rsidRPr="00F5723F">
        <w:t>ö</w:t>
      </w:r>
      <w:r w:rsidRPr="00F5723F">
        <w:t>ter inte sällan i offentliga kommittéer och i styrelser för myndigheter och andra organ. På länsnivå utses ledamöter att ingå i länsstyre</w:t>
      </w:r>
      <w:r w:rsidRPr="00F5723F">
        <w:t>l</w:t>
      </w:r>
      <w:r w:rsidRPr="00F5723F">
        <w:t>serna men också i statliga länsnämnder såsom skogsvårdsstyrelser, länsarbetsnämnder, försä</w:t>
      </w:r>
      <w:r w:rsidRPr="00F5723F">
        <w:t>k</w:t>
      </w:r>
      <w:r w:rsidRPr="00F5723F">
        <w:t>ringskassor och polisstyrelser i respektive ledamots län. Ledamotskapet ko</w:t>
      </w:r>
      <w:r w:rsidRPr="00F5723F">
        <w:t>m</w:t>
      </w:r>
      <w:r w:rsidRPr="00F5723F">
        <w:t>bineras emellanåt också med politiska uppdrag på intern</w:t>
      </w:r>
      <w:r w:rsidRPr="00F5723F">
        <w:t>a</w:t>
      </w:r>
      <w:r w:rsidRPr="00F5723F">
        <w:t>tionel</w:t>
      </w:r>
      <w:r w:rsidRPr="00F5723F">
        <w:t>l nivå.</w:t>
      </w:r>
      <w:r w:rsidRPr="00F5723F">
        <w:rPr>
          <w:rStyle w:val="Fotnotsreferens"/>
        </w:rPr>
        <w:footnoteReference w:id="115"/>
      </w:r>
      <w:r w:rsidRPr="00F5723F">
        <w:t xml:space="preserve"> </w:t>
      </w:r>
    </w:p>
    <w:p w:rsidR="00B43C57" w:rsidRPr="00F5723F" w:rsidRDefault="00B43C57">
      <w:pPr>
        <w:pStyle w:val="Normaltindrag"/>
      </w:pPr>
      <w:r w:rsidRPr="00F5723F">
        <w:t>När vi i det följande skall analysera den nuvarande situationen har vi ett rikt historiskt material att jämföra med. Tid</w:t>
      </w:r>
      <w:r w:rsidRPr="00F5723F">
        <w:t>i</w:t>
      </w:r>
      <w:r w:rsidRPr="00F5723F">
        <w:t>gare undersökningar av vilka uppdrag riksdagsledamöterna har utanför riksdagen har gjorts vid åtminstone tre tillfällen. År 1969 redovisade Represent</w:t>
      </w:r>
      <w:r w:rsidRPr="00F5723F">
        <w:t>a</w:t>
      </w:r>
      <w:r w:rsidRPr="00F5723F">
        <w:t>tionsundersökningen en studie av kommunala uppdrag hos andra kammarens l</w:t>
      </w:r>
      <w:r w:rsidRPr="00F5723F">
        <w:t>e</w:t>
      </w:r>
      <w:r w:rsidRPr="00F5723F">
        <w:t>damöter.</w:t>
      </w:r>
      <w:r w:rsidRPr="00F5723F">
        <w:rPr>
          <w:rStyle w:val="Fotnotsreferens"/>
        </w:rPr>
        <w:footnoteReference w:id="116"/>
      </w:r>
      <w:r w:rsidRPr="00F5723F">
        <w:t xml:space="preserve"> Både statliga och kommunala uppdrag ingick i redovisningen för hur situationen såg ut 1983.</w:t>
      </w:r>
      <w:r w:rsidRPr="00F5723F">
        <w:rPr>
          <w:rStyle w:val="Fotnotsreferens"/>
        </w:rPr>
        <w:footnoteReference w:id="117"/>
      </w:r>
      <w:r w:rsidRPr="00F5723F">
        <w:t xml:space="preserve"> Med Riksdagskommitténs huvudbetänkande från 2001 följde en redovisning av hur vanligt det var med motsvarande up</w:t>
      </w:r>
      <w:r w:rsidRPr="00F5723F">
        <w:t>p</w:t>
      </w:r>
      <w:r w:rsidRPr="00F5723F">
        <w:t xml:space="preserve">drag hos riksdagens ledamöter 1999. </w:t>
      </w:r>
    </w:p>
    <w:p w:rsidR="00B43C57" w:rsidRPr="00F5723F" w:rsidRDefault="00B43C57">
      <w:pPr>
        <w:pStyle w:val="Normaltindrag"/>
      </w:pPr>
      <w:r w:rsidRPr="00F5723F">
        <w:t>Riksdagens utredningstjänst har ånyo, för Riksdagskommitténs räkning, tagit fram uppgifter om riksdagsledamöternas statliga och kommunala up</w:t>
      </w:r>
      <w:r w:rsidRPr="00F5723F">
        <w:t>p</w:t>
      </w:r>
      <w:r w:rsidRPr="00F5723F">
        <w:t>drag. Uppgifterna har hämtats dels från Rixlex, dels från publikationen ”Fakta om folkvalda”.</w:t>
      </w:r>
      <w:r w:rsidRPr="00F5723F">
        <w:rPr>
          <w:rStyle w:val="Fotnotsreferens"/>
        </w:rPr>
        <w:footnoteReference w:id="118"/>
      </w:r>
      <w:r w:rsidRPr="00F5723F">
        <w:t xml:space="preserve"> Kompletterande uppgifter har hämtats från publikationen ”Sveriges statskalender </w:t>
      </w:r>
      <w:smartTag w:uri="urn:schemas-microsoft-com:office:smarttags" w:element="metricconverter">
        <w:smartTagPr>
          <w:attr w:name="ProductID" w:val="2003”"/>
        </w:smartTagPr>
        <w:r w:rsidRPr="00F5723F">
          <w:t>2003”</w:t>
        </w:r>
      </w:smartTag>
      <w:r w:rsidRPr="00F5723F">
        <w:t xml:space="preserve"> samt från webbs</w:t>
      </w:r>
      <w:r w:rsidRPr="00F5723F">
        <w:t>i</w:t>
      </w:r>
      <w:r w:rsidRPr="00F5723F">
        <w:t>dor på Internet (myndigheter, kommuner, länsstyrelser etc.).</w:t>
      </w:r>
      <w:r w:rsidRPr="00F5723F">
        <w:rPr>
          <w:rStyle w:val="Fotnotsreferens"/>
        </w:rPr>
        <w:footnoteReference w:id="119"/>
      </w:r>
      <w:r w:rsidRPr="00F5723F">
        <w:t xml:space="preserve"> Den redovisning som presenteras i det fö</w:t>
      </w:r>
      <w:r w:rsidRPr="00F5723F">
        <w:t>l</w:t>
      </w:r>
      <w:r w:rsidRPr="00F5723F">
        <w:t xml:space="preserve">jande avser förhållandena den 31 mars 2004. </w:t>
      </w:r>
    </w:p>
    <w:p w:rsidR="00B43C57" w:rsidRPr="00F5723F" w:rsidRDefault="00B43C57">
      <w:pPr>
        <w:pStyle w:val="Rubrik3"/>
        <w:rPr>
          <w:noProof w:val="0"/>
        </w:rPr>
      </w:pPr>
      <w:bookmarkStart w:id="251" w:name="_Toc98075744"/>
      <w:bookmarkStart w:id="252" w:name="_Toc121738974"/>
      <w:bookmarkStart w:id="253" w:name="_Toc124697857"/>
      <w:r w:rsidRPr="00F5723F">
        <w:rPr>
          <w:noProof w:val="0"/>
        </w:rPr>
        <w:t>Uppdrag i kommuner och landsting</w:t>
      </w:r>
      <w:bookmarkEnd w:id="251"/>
      <w:bookmarkEnd w:id="252"/>
      <w:bookmarkEnd w:id="253"/>
    </w:p>
    <w:p w:rsidR="00B43C57" w:rsidRPr="00F5723F" w:rsidRDefault="00B43C57">
      <w:r w:rsidRPr="00F5723F">
        <w:t>Även om det fortfarande är så att en tydlig majoritet bland ledamöterna före invalet i riksdagen varit kommunpolitiskt aktiva har andelen aktiva kommu</w:t>
      </w:r>
      <w:r w:rsidRPr="00F5723F">
        <w:t>n</w:t>
      </w:r>
      <w:r w:rsidRPr="00F5723F">
        <w:t>politiker bland riksdagens ledamöter minskat kraftigt sedan tvåkammartiden. Tidigare har bland annat Folkstyrels</w:t>
      </w:r>
      <w:r w:rsidRPr="00F5723F">
        <w:t>e</w:t>
      </w:r>
      <w:r w:rsidRPr="00F5723F">
        <w:t>kommittén och Riksdagskommittén redovisat en markant nedgång i andelen ledam</w:t>
      </w:r>
      <w:r w:rsidRPr="00F5723F">
        <w:t>ö</w:t>
      </w:r>
      <w:r w:rsidRPr="00F5723F">
        <w:t>ter med kommunala eller landstingskommunala uppdrag mellan 1969 och 1983. Därefter har utvec</w:t>
      </w:r>
      <w:r w:rsidRPr="00F5723F">
        <w:t>k</w:t>
      </w:r>
      <w:r w:rsidRPr="00F5723F">
        <w:t>lingen varit rel</w:t>
      </w:r>
      <w:r w:rsidRPr="00F5723F">
        <w:t>a</w:t>
      </w:r>
      <w:r w:rsidRPr="00F5723F">
        <w:t>tivt oförändrad, vilket framgår av tabell 5.</w:t>
      </w:r>
    </w:p>
    <w:p w:rsidR="00B43C57" w:rsidRPr="00F5723F" w:rsidRDefault="00B43C57">
      <w:pPr>
        <w:pStyle w:val="Normaltindrag"/>
        <w:spacing w:line="240" w:lineRule="auto"/>
      </w:pPr>
    </w:p>
    <w:p w:rsidR="00B43C57" w:rsidRPr="00F5723F" w:rsidRDefault="00B43C57">
      <w:pPr>
        <w:pStyle w:val="Tabellrubrik"/>
        <w:ind w:left="950" w:hanging="950"/>
      </w:pPr>
      <w:r w:rsidRPr="00F5723F">
        <w:t xml:space="preserve">Tabell 5     </w:t>
      </w:r>
      <w:r w:rsidRPr="00F5723F">
        <w:t>Andel ledamöter med kommunala och lands</w:t>
      </w:r>
      <w:r w:rsidRPr="00F5723F">
        <w:t>tingskomm</w:t>
      </w:r>
      <w:r w:rsidRPr="00F5723F">
        <w:t>u</w:t>
      </w:r>
      <w:r w:rsidRPr="00F5723F">
        <w:t>nala upp</w:t>
      </w:r>
      <w:r w:rsidRPr="00F5723F">
        <w:t>drag 1969–2004 (procent)</w:t>
      </w:r>
    </w:p>
    <w:tbl>
      <w:tblPr>
        <w:tblW w:w="5868" w:type="dxa"/>
        <w:tblLayout w:type="fixed"/>
        <w:tblCellMar>
          <w:left w:w="56" w:type="dxa"/>
          <w:right w:w="56" w:type="dxa"/>
        </w:tblCellMar>
        <w:tblLook w:val="0000" w:firstRow="0" w:lastRow="0" w:firstColumn="0" w:lastColumn="0" w:noHBand="0" w:noVBand="0"/>
      </w:tblPr>
      <w:tblGrid>
        <w:gridCol w:w="2750"/>
        <w:gridCol w:w="850"/>
        <w:gridCol w:w="708"/>
        <w:gridCol w:w="710"/>
        <w:gridCol w:w="850"/>
      </w:tblGrid>
      <w:tr w:rsidR="00000000" w:rsidRPr="00F5723F">
        <w:tblPrEx>
          <w:tblCellMar>
            <w:top w:w="0" w:type="dxa"/>
            <w:bottom w:w="0" w:type="dxa"/>
          </w:tblCellMar>
        </w:tblPrEx>
        <w:tc>
          <w:tcPr>
            <w:tcW w:w="2750" w:type="dxa"/>
            <w:tcBorders>
              <w:top w:val="single" w:sz="4" w:space="0" w:color="auto"/>
              <w:bottom w:val="single" w:sz="4" w:space="0" w:color="auto"/>
            </w:tcBorders>
          </w:tcPr>
          <w:p w:rsidR="00B43C57" w:rsidRPr="00F5723F" w:rsidRDefault="00B43C57">
            <w:pPr>
              <w:spacing w:line="240" w:lineRule="auto"/>
              <w:jc w:val="center"/>
              <w:rPr>
                <w:sz w:val="20"/>
              </w:rPr>
            </w:pPr>
          </w:p>
        </w:tc>
        <w:tc>
          <w:tcPr>
            <w:tcW w:w="850" w:type="dxa"/>
            <w:tcBorders>
              <w:top w:val="single" w:sz="4" w:space="0" w:color="auto"/>
              <w:bottom w:val="single" w:sz="4" w:space="0" w:color="auto"/>
            </w:tcBorders>
          </w:tcPr>
          <w:p w:rsidR="00B43C57" w:rsidRPr="00F5723F" w:rsidRDefault="00B43C57">
            <w:pPr>
              <w:pStyle w:val="Tabelltextsiffror"/>
              <w:spacing w:line="240" w:lineRule="auto"/>
              <w:jc w:val="center"/>
            </w:pPr>
            <w:r w:rsidRPr="00F5723F">
              <w:t>1969</w:t>
            </w:r>
          </w:p>
        </w:tc>
        <w:tc>
          <w:tcPr>
            <w:tcW w:w="708" w:type="dxa"/>
            <w:tcBorders>
              <w:top w:val="single" w:sz="4" w:space="0" w:color="auto"/>
              <w:bottom w:val="single" w:sz="4" w:space="0" w:color="auto"/>
            </w:tcBorders>
          </w:tcPr>
          <w:p w:rsidR="00B43C57" w:rsidRPr="00F5723F" w:rsidRDefault="00B43C57">
            <w:pPr>
              <w:pStyle w:val="Tabelltextsiffror"/>
              <w:spacing w:line="240" w:lineRule="auto"/>
              <w:jc w:val="center"/>
            </w:pPr>
            <w:r w:rsidRPr="00F5723F">
              <w:t>1983</w:t>
            </w:r>
          </w:p>
        </w:tc>
        <w:tc>
          <w:tcPr>
            <w:tcW w:w="710" w:type="dxa"/>
            <w:tcBorders>
              <w:top w:val="single" w:sz="4" w:space="0" w:color="auto"/>
              <w:bottom w:val="single" w:sz="4" w:space="0" w:color="auto"/>
            </w:tcBorders>
          </w:tcPr>
          <w:p w:rsidR="00B43C57" w:rsidRPr="00F5723F" w:rsidRDefault="00B43C57">
            <w:pPr>
              <w:pStyle w:val="Tabelltextsiffror"/>
              <w:spacing w:line="240" w:lineRule="auto"/>
              <w:jc w:val="center"/>
            </w:pPr>
            <w:r w:rsidRPr="00F5723F">
              <w:t>1999</w:t>
            </w:r>
          </w:p>
        </w:tc>
        <w:tc>
          <w:tcPr>
            <w:tcW w:w="850" w:type="dxa"/>
            <w:tcBorders>
              <w:top w:val="single" w:sz="4" w:space="0" w:color="auto"/>
              <w:bottom w:val="single" w:sz="4" w:space="0" w:color="auto"/>
            </w:tcBorders>
          </w:tcPr>
          <w:p w:rsidR="00B43C57" w:rsidRPr="00F5723F" w:rsidRDefault="00B43C57">
            <w:pPr>
              <w:pStyle w:val="Tabelltextsiffror"/>
              <w:spacing w:line="240" w:lineRule="auto"/>
              <w:jc w:val="center"/>
            </w:pPr>
            <w:r w:rsidRPr="00F5723F">
              <w:t>2004</w:t>
            </w:r>
          </w:p>
        </w:tc>
      </w:tr>
      <w:tr w:rsidR="00000000" w:rsidRPr="00F5723F">
        <w:tblPrEx>
          <w:tblCellMar>
            <w:top w:w="0" w:type="dxa"/>
            <w:bottom w:w="0" w:type="dxa"/>
          </w:tblCellMar>
        </w:tblPrEx>
        <w:tc>
          <w:tcPr>
            <w:tcW w:w="2750" w:type="dxa"/>
            <w:tcBorders>
              <w:top w:val="single" w:sz="4" w:space="0" w:color="auto"/>
            </w:tcBorders>
          </w:tcPr>
          <w:p w:rsidR="00B43C57" w:rsidRPr="00F5723F" w:rsidRDefault="00B43C57">
            <w:pPr>
              <w:pStyle w:val="Tabelltext"/>
              <w:ind w:left="190" w:hanging="190"/>
            </w:pPr>
            <w:r w:rsidRPr="00F5723F">
              <w:t>Kommunfullmäktigeledamöter</w:t>
            </w:r>
          </w:p>
        </w:tc>
        <w:tc>
          <w:tcPr>
            <w:tcW w:w="850" w:type="dxa"/>
            <w:tcBorders>
              <w:top w:val="single" w:sz="4" w:space="0" w:color="auto"/>
            </w:tcBorders>
          </w:tcPr>
          <w:p w:rsidR="00B43C57" w:rsidRPr="00F5723F" w:rsidRDefault="00B43C57">
            <w:pPr>
              <w:pStyle w:val="Tabelltextsiffror"/>
              <w:tabs>
                <w:tab w:val="decimal" w:pos="480"/>
              </w:tabs>
              <w:jc w:val="left"/>
            </w:pPr>
            <w:r w:rsidRPr="00F5723F">
              <w:t>43</w:t>
            </w:r>
          </w:p>
        </w:tc>
        <w:tc>
          <w:tcPr>
            <w:tcW w:w="708" w:type="dxa"/>
            <w:tcBorders>
              <w:top w:val="single" w:sz="4" w:space="0" w:color="auto"/>
            </w:tcBorders>
          </w:tcPr>
          <w:p w:rsidR="00B43C57" w:rsidRPr="00F5723F" w:rsidRDefault="00B43C57">
            <w:pPr>
              <w:pStyle w:val="Tabelltextsiffror"/>
              <w:tabs>
                <w:tab w:val="decimal" w:pos="480"/>
              </w:tabs>
              <w:jc w:val="left"/>
            </w:pPr>
            <w:r w:rsidRPr="00F5723F">
              <w:t>23</w:t>
            </w:r>
          </w:p>
        </w:tc>
        <w:tc>
          <w:tcPr>
            <w:tcW w:w="710" w:type="dxa"/>
            <w:tcBorders>
              <w:top w:val="single" w:sz="4" w:space="0" w:color="auto"/>
            </w:tcBorders>
          </w:tcPr>
          <w:p w:rsidR="00B43C57" w:rsidRPr="00F5723F" w:rsidRDefault="00B43C57">
            <w:pPr>
              <w:pStyle w:val="Tabelltextsiffror"/>
              <w:tabs>
                <w:tab w:val="decimal" w:pos="480"/>
              </w:tabs>
              <w:jc w:val="left"/>
            </w:pPr>
            <w:r w:rsidRPr="00F5723F">
              <w:t>33</w:t>
            </w:r>
          </w:p>
        </w:tc>
        <w:tc>
          <w:tcPr>
            <w:tcW w:w="850" w:type="dxa"/>
            <w:tcBorders>
              <w:top w:val="single" w:sz="4" w:space="0" w:color="auto"/>
            </w:tcBorders>
          </w:tcPr>
          <w:p w:rsidR="00B43C57" w:rsidRPr="00F5723F" w:rsidRDefault="00B43C57">
            <w:pPr>
              <w:pStyle w:val="Tabelltextsiffror"/>
              <w:tabs>
                <w:tab w:val="decimal" w:pos="480"/>
              </w:tabs>
              <w:jc w:val="left"/>
            </w:pPr>
            <w:r w:rsidRPr="00F5723F">
              <w:t>28</w:t>
            </w:r>
          </w:p>
        </w:tc>
      </w:tr>
      <w:tr w:rsidR="00000000" w:rsidRPr="00F5723F">
        <w:tblPrEx>
          <w:tblCellMar>
            <w:top w:w="0" w:type="dxa"/>
            <w:bottom w:w="0" w:type="dxa"/>
          </w:tblCellMar>
        </w:tblPrEx>
        <w:tc>
          <w:tcPr>
            <w:tcW w:w="2750" w:type="dxa"/>
          </w:tcPr>
          <w:p w:rsidR="00B43C57" w:rsidRPr="00F5723F" w:rsidRDefault="00B43C57">
            <w:pPr>
              <w:pStyle w:val="Tabelltext"/>
              <w:ind w:left="190" w:hanging="190"/>
            </w:pPr>
            <w:r w:rsidRPr="00F5723F">
              <w:t>Ledamöter av kommunstyrelse</w:t>
            </w:r>
          </w:p>
        </w:tc>
        <w:tc>
          <w:tcPr>
            <w:tcW w:w="850" w:type="dxa"/>
          </w:tcPr>
          <w:p w:rsidR="00B43C57" w:rsidRPr="00F5723F" w:rsidRDefault="00B43C57">
            <w:pPr>
              <w:pStyle w:val="Tabelltextsiffror"/>
              <w:tabs>
                <w:tab w:val="decimal" w:pos="480"/>
              </w:tabs>
              <w:jc w:val="left"/>
            </w:pPr>
            <w:r w:rsidRPr="00F5723F">
              <w:t>24</w:t>
            </w:r>
          </w:p>
        </w:tc>
        <w:tc>
          <w:tcPr>
            <w:tcW w:w="708" w:type="dxa"/>
          </w:tcPr>
          <w:p w:rsidR="00B43C57" w:rsidRPr="00F5723F" w:rsidRDefault="00B43C57">
            <w:pPr>
              <w:pStyle w:val="Tabelltextsiffror"/>
              <w:tabs>
                <w:tab w:val="decimal" w:pos="480"/>
              </w:tabs>
              <w:jc w:val="left"/>
            </w:pPr>
            <w:r w:rsidRPr="00F5723F">
              <w:t>3</w:t>
            </w:r>
          </w:p>
        </w:tc>
        <w:tc>
          <w:tcPr>
            <w:tcW w:w="710" w:type="dxa"/>
          </w:tcPr>
          <w:p w:rsidR="00B43C57" w:rsidRPr="00F5723F" w:rsidRDefault="00B43C57">
            <w:pPr>
              <w:pStyle w:val="Tabelltextsiffror"/>
              <w:tabs>
                <w:tab w:val="decimal" w:pos="480"/>
              </w:tabs>
              <w:jc w:val="left"/>
            </w:pPr>
            <w:r w:rsidRPr="00F5723F">
              <w:t>4</w:t>
            </w:r>
          </w:p>
        </w:tc>
        <w:tc>
          <w:tcPr>
            <w:tcW w:w="850" w:type="dxa"/>
          </w:tcPr>
          <w:p w:rsidR="00B43C57" w:rsidRPr="00F5723F" w:rsidRDefault="00B43C57">
            <w:pPr>
              <w:pStyle w:val="Tabelltextsiffror"/>
              <w:tabs>
                <w:tab w:val="decimal" w:pos="480"/>
              </w:tabs>
              <w:jc w:val="left"/>
            </w:pPr>
            <w:r w:rsidRPr="00F5723F">
              <w:t>2</w:t>
            </w:r>
          </w:p>
        </w:tc>
      </w:tr>
      <w:tr w:rsidR="00000000" w:rsidRPr="00F5723F">
        <w:tblPrEx>
          <w:tblCellMar>
            <w:top w:w="0" w:type="dxa"/>
            <w:bottom w:w="0" w:type="dxa"/>
          </w:tblCellMar>
        </w:tblPrEx>
        <w:tc>
          <w:tcPr>
            <w:tcW w:w="2750" w:type="dxa"/>
          </w:tcPr>
          <w:p w:rsidR="00B43C57" w:rsidRPr="00F5723F" w:rsidRDefault="00B43C57">
            <w:pPr>
              <w:pStyle w:val="Tabelltext"/>
              <w:ind w:left="190" w:hanging="190"/>
            </w:pPr>
            <w:r w:rsidRPr="00F5723F">
              <w:t>Ledamöter av landstingsfullmäkt</w:t>
            </w:r>
            <w:r w:rsidRPr="00F5723F">
              <w:t>i</w:t>
            </w:r>
            <w:r w:rsidRPr="00F5723F">
              <w:t>ge/ regionfullmäktige</w:t>
            </w:r>
          </w:p>
        </w:tc>
        <w:tc>
          <w:tcPr>
            <w:tcW w:w="850"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35</w:t>
            </w:r>
          </w:p>
        </w:tc>
        <w:tc>
          <w:tcPr>
            <w:tcW w:w="708"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8</w:t>
            </w:r>
          </w:p>
        </w:tc>
        <w:tc>
          <w:tcPr>
            <w:tcW w:w="710"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4</w:t>
            </w:r>
          </w:p>
        </w:tc>
        <w:tc>
          <w:tcPr>
            <w:tcW w:w="850"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2</w:t>
            </w:r>
          </w:p>
        </w:tc>
      </w:tr>
      <w:tr w:rsidR="00000000" w:rsidRPr="00F5723F">
        <w:tblPrEx>
          <w:tblCellMar>
            <w:top w:w="0" w:type="dxa"/>
            <w:bottom w:w="0" w:type="dxa"/>
          </w:tblCellMar>
        </w:tblPrEx>
        <w:tc>
          <w:tcPr>
            <w:tcW w:w="2750" w:type="dxa"/>
          </w:tcPr>
          <w:p w:rsidR="00B43C57" w:rsidRPr="00F5723F" w:rsidRDefault="00B43C57">
            <w:pPr>
              <w:pStyle w:val="Tabelltext"/>
              <w:ind w:left="190" w:hanging="190"/>
            </w:pPr>
            <w:r w:rsidRPr="00F5723F">
              <w:t>Ledamöter av landstingsstyrelse/ regio</w:t>
            </w:r>
            <w:r w:rsidRPr="00F5723F">
              <w:t>n</w:t>
            </w:r>
            <w:r w:rsidRPr="00F5723F">
              <w:t>styrelse</w:t>
            </w:r>
          </w:p>
        </w:tc>
        <w:tc>
          <w:tcPr>
            <w:tcW w:w="850"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12</w:t>
            </w:r>
          </w:p>
        </w:tc>
        <w:tc>
          <w:tcPr>
            <w:tcW w:w="708"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2</w:t>
            </w:r>
          </w:p>
        </w:tc>
        <w:tc>
          <w:tcPr>
            <w:tcW w:w="710"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u.s.</w:t>
            </w:r>
          </w:p>
        </w:tc>
        <w:tc>
          <w:tcPr>
            <w:tcW w:w="850" w:type="dxa"/>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0</w:t>
            </w:r>
          </w:p>
        </w:tc>
      </w:tr>
      <w:tr w:rsidR="00000000" w:rsidRPr="00F5723F">
        <w:tblPrEx>
          <w:tblCellMar>
            <w:top w:w="0" w:type="dxa"/>
            <w:bottom w:w="0" w:type="dxa"/>
          </w:tblCellMar>
        </w:tblPrEx>
        <w:tc>
          <w:tcPr>
            <w:tcW w:w="2750" w:type="dxa"/>
            <w:tcBorders>
              <w:bottom w:val="single" w:sz="4" w:space="0" w:color="auto"/>
            </w:tcBorders>
          </w:tcPr>
          <w:p w:rsidR="00B43C57" w:rsidRPr="00F5723F" w:rsidRDefault="00B43C57">
            <w:pPr>
              <w:pStyle w:val="Tabelltext"/>
              <w:ind w:left="190" w:hanging="190"/>
            </w:pPr>
            <w:r w:rsidRPr="00F5723F">
              <w:t>Ledamöter med något ko</w:t>
            </w:r>
            <w:r w:rsidRPr="00F5723F">
              <w:t>m</w:t>
            </w:r>
            <w:r w:rsidRPr="00F5723F">
              <w:t>munalt/ landstingskommunalt/regionalt up</w:t>
            </w:r>
            <w:r w:rsidRPr="00F5723F">
              <w:t>p</w:t>
            </w:r>
            <w:r w:rsidRPr="00F5723F">
              <w:t>drag</w:t>
            </w:r>
          </w:p>
        </w:tc>
        <w:tc>
          <w:tcPr>
            <w:tcW w:w="850" w:type="dxa"/>
            <w:tcBorders>
              <w:bottom w:val="single" w:sz="4" w:space="0" w:color="auto"/>
            </w:tcBorders>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78</w:t>
            </w:r>
          </w:p>
        </w:tc>
        <w:tc>
          <w:tcPr>
            <w:tcW w:w="708" w:type="dxa"/>
            <w:tcBorders>
              <w:bottom w:val="single" w:sz="4" w:space="0" w:color="auto"/>
            </w:tcBorders>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33</w:t>
            </w:r>
          </w:p>
        </w:tc>
        <w:tc>
          <w:tcPr>
            <w:tcW w:w="710" w:type="dxa"/>
            <w:tcBorders>
              <w:bottom w:val="single" w:sz="4" w:space="0" w:color="auto"/>
            </w:tcBorders>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39</w:t>
            </w:r>
          </w:p>
        </w:tc>
        <w:tc>
          <w:tcPr>
            <w:tcW w:w="850" w:type="dxa"/>
            <w:tcBorders>
              <w:bottom w:val="single" w:sz="4" w:space="0" w:color="auto"/>
            </w:tcBorders>
          </w:tcPr>
          <w:p w:rsidR="00B43C57" w:rsidRPr="00F5723F" w:rsidRDefault="00B43C57">
            <w:pPr>
              <w:pStyle w:val="Tabelltextsiffror"/>
              <w:tabs>
                <w:tab w:val="decimal" w:pos="480"/>
              </w:tabs>
              <w:jc w:val="left"/>
            </w:pPr>
          </w:p>
          <w:p w:rsidR="00B43C57" w:rsidRPr="00F5723F" w:rsidRDefault="00B43C57">
            <w:pPr>
              <w:pStyle w:val="Tabelltextsiffror"/>
              <w:tabs>
                <w:tab w:val="decimal" w:pos="480"/>
              </w:tabs>
              <w:jc w:val="left"/>
            </w:pPr>
            <w:r w:rsidRPr="00F5723F">
              <w:t>32</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Uppgift saknas markeras i tabellen med ”u.s.”. Källa: SOU 1987:26, s. 13–15, Riksdagskommitt</w:t>
      </w:r>
      <w:r w:rsidRPr="00F5723F">
        <w:rPr>
          <w:rFonts w:ascii="Arial" w:hAnsi="Arial" w:cs="Arial"/>
          <w:sz w:val="16"/>
          <w:szCs w:val="16"/>
        </w:rPr>
        <w:t>én 2001:43–45. För år 2004 har r</w:t>
      </w:r>
      <w:r w:rsidRPr="00F5723F">
        <w:rPr>
          <w:rFonts w:ascii="Arial" w:hAnsi="Arial" w:cs="Arial"/>
          <w:sz w:val="16"/>
          <w:szCs w:val="16"/>
        </w:rPr>
        <w:t>iksdagens utredning</w:t>
      </w:r>
      <w:r w:rsidRPr="00F5723F">
        <w:rPr>
          <w:rFonts w:ascii="Arial" w:hAnsi="Arial" w:cs="Arial"/>
          <w:sz w:val="16"/>
          <w:szCs w:val="16"/>
        </w:rPr>
        <w:t>s</w:t>
      </w:r>
      <w:r w:rsidRPr="00F5723F">
        <w:rPr>
          <w:rFonts w:ascii="Arial" w:hAnsi="Arial" w:cs="Arial"/>
          <w:sz w:val="16"/>
          <w:szCs w:val="16"/>
        </w:rPr>
        <w:t xml:space="preserve">tjänst sammanställt material från Rixlex, publikationerna ”Fakta om folkvalda” och ”Sveriges statskalender </w:t>
      </w:r>
      <w:smartTag w:uri="urn:schemas-microsoft-com:office:smarttags" w:element="metricconverter">
        <w:smartTagPr>
          <w:attr w:name="ProductID" w:val="2003”"/>
        </w:smartTagPr>
        <w:r w:rsidRPr="00F5723F">
          <w:rPr>
            <w:rFonts w:ascii="Arial" w:hAnsi="Arial" w:cs="Arial"/>
            <w:sz w:val="16"/>
            <w:szCs w:val="16"/>
          </w:rPr>
          <w:t>2003”</w:t>
        </w:r>
      </w:smartTag>
      <w:r w:rsidRPr="00F5723F">
        <w:rPr>
          <w:rFonts w:ascii="Arial" w:hAnsi="Arial" w:cs="Arial"/>
          <w:sz w:val="16"/>
          <w:szCs w:val="16"/>
        </w:rPr>
        <w:t xml:space="preserve"> samt från webbsidor på Internet (myndigheter, ko</w:t>
      </w:r>
      <w:r w:rsidRPr="00F5723F">
        <w:rPr>
          <w:rFonts w:ascii="Arial" w:hAnsi="Arial" w:cs="Arial"/>
          <w:sz w:val="16"/>
          <w:szCs w:val="16"/>
        </w:rPr>
        <w:t>m</w:t>
      </w:r>
      <w:r w:rsidRPr="00F5723F">
        <w:rPr>
          <w:rFonts w:ascii="Arial" w:hAnsi="Arial" w:cs="Arial"/>
          <w:sz w:val="16"/>
          <w:szCs w:val="16"/>
        </w:rPr>
        <w:t>muner, länsst</w:t>
      </w:r>
      <w:r w:rsidRPr="00F5723F">
        <w:rPr>
          <w:rFonts w:ascii="Arial" w:hAnsi="Arial" w:cs="Arial"/>
          <w:sz w:val="16"/>
          <w:szCs w:val="16"/>
        </w:rPr>
        <w:t>y</w:t>
      </w:r>
      <w:r w:rsidRPr="00F5723F">
        <w:rPr>
          <w:rFonts w:ascii="Arial" w:hAnsi="Arial" w:cs="Arial"/>
          <w:sz w:val="16"/>
          <w:szCs w:val="16"/>
        </w:rPr>
        <w:t xml:space="preserve">relser etc.). </w:t>
      </w:r>
    </w:p>
    <w:p w:rsidR="00B43C57" w:rsidRPr="00F5723F" w:rsidRDefault="00B43C57">
      <w:pPr>
        <w:pStyle w:val="Normaltindrag"/>
        <w:spacing w:line="360" w:lineRule="auto"/>
      </w:pPr>
    </w:p>
    <w:p w:rsidR="00B43C57" w:rsidRPr="00F5723F" w:rsidRDefault="00B43C57">
      <w:pPr>
        <w:spacing w:before="187"/>
      </w:pPr>
      <w:r w:rsidRPr="00F5723F">
        <w:t>År 1969 hade 78 procent av andrakammarledamöterna någon typ av ko</w:t>
      </w:r>
      <w:r w:rsidRPr="00F5723F">
        <w:t>m</w:t>
      </w:r>
      <w:r w:rsidRPr="00F5723F">
        <w:t>munalt uppdrag: 43 procent satt i kommu</w:t>
      </w:r>
      <w:r w:rsidRPr="00F5723F">
        <w:t>n</w:t>
      </w:r>
      <w:r w:rsidRPr="00F5723F">
        <w:t>fullmäktige och 35 procent var landstingsledamöter. Inte mindre än var fjärde ledamot fullgjorde ett uppdrag i en kommunstyrelse och 12 procent fullgjorde samma uppdrag i ett land</w:t>
      </w:r>
      <w:r w:rsidRPr="00F5723F">
        <w:t>s</w:t>
      </w:r>
      <w:r w:rsidRPr="00F5723F">
        <w:t>tingskommunalt förvaltningsutskott. Andelen ledamöter med n</w:t>
      </w:r>
      <w:r w:rsidRPr="00F5723F">
        <w:t>å</w:t>
      </w:r>
      <w:r w:rsidRPr="00F5723F">
        <w:t>gon form av kommunalt uppdrag hade 1983 gått ned till en tredjedel (33 procent). Det stora flertalet var kommunfullmäktigeledamöter (23 procent). Väldigt få fullgjorde uppdrag i ledande befattningar på kommunal eller landstingsko</w:t>
      </w:r>
      <w:r w:rsidRPr="00F5723F">
        <w:t>m</w:t>
      </w:r>
      <w:r w:rsidRPr="00F5723F">
        <w:t>m</w:t>
      </w:r>
      <w:r w:rsidRPr="00F5723F">
        <w:t>unal nivå vid denna tidpunkt (3 procent var kommunalstyrelseledamöter,    2 procent var ledamöter av landstingens förvaltningsu</w:t>
      </w:r>
      <w:r w:rsidRPr="00F5723F">
        <w:t>t</w:t>
      </w:r>
      <w:r w:rsidRPr="00F5723F">
        <w:t xml:space="preserve">skott). </w:t>
      </w:r>
    </w:p>
    <w:p w:rsidR="00B43C57" w:rsidRPr="00F5723F" w:rsidRDefault="00B43C57">
      <w:pPr>
        <w:pStyle w:val="Normaltindrag"/>
      </w:pPr>
      <w:r w:rsidRPr="00F5723F">
        <w:t>Enligt Folkstyrelsekommittén kunde minskningen av andelen ledamöter med kommunala uppdrag delvis tillskrivas den ökade arbetsbördan i riksd</w:t>
      </w:r>
      <w:r w:rsidRPr="00F5723F">
        <w:t>a</w:t>
      </w:r>
      <w:r w:rsidRPr="00F5723F">
        <w:t>gen och på att partierna hade sökt motverka uppdragskoncentrationen. Till stor del ansågs dock förklaringen vara de ändrade villkoren för det kommun</w:t>
      </w:r>
      <w:r w:rsidRPr="00F5723F">
        <w:t>a</w:t>
      </w:r>
      <w:r w:rsidRPr="00F5723F">
        <w:t>la arbetet. Genom expansionen av ko</w:t>
      </w:r>
      <w:r w:rsidRPr="00F5723F">
        <w:t>m</w:t>
      </w:r>
      <w:r w:rsidRPr="00F5723F">
        <w:t>munala verksamheter ökade kraven på både de primärkommunala och de landstingskommunala förtr</w:t>
      </w:r>
      <w:r w:rsidRPr="00F5723F">
        <w:t>o</w:t>
      </w:r>
      <w:r w:rsidRPr="00F5723F">
        <w:t>endevalda. Det anses således ha blivit svårare att kombinera uppdrag på komm</w:t>
      </w:r>
      <w:r w:rsidRPr="00F5723F">
        <w:t>u</w:t>
      </w:r>
      <w:r w:rsidRPr="00F5723F">
        <w:t xml:space="preserve">nal/landstingskommunal och nationell nivå. </w:t>
      </w:r>
    </w:p>
    <w:p w:rsidR="00B43C57" w:rsidRPr="00F5723F" w:rsidRDefault="00B43C57">
      <w:pPr>
        <w:pStyle w:val="Normaltindrag"/>
      </w:pPr>
      <w:r w:rsidRPr="00F5723F">
        <w:t>Till diskussionen kan också hänföras den tydliga trenden med en mycket stor minskning av antalet förtroendevalda</w:t>
      </w:r>
      <w:r w:rsidRPr="00F5723F">
        <w:t xml:space="preserve"> totalt sett på kommunal och land</w:t>
      </w:r>
      <w:r w:rsidRPr="00F5723F">
        <w:t>s</w:t>
      </w:r>
      <w:r w:rsidRPr="00F5723F">
        <w:t>tingskommunal nivå.</w:t>
      </w:r>
      <w:r w:rsidRPr="00F5723F">
        <w:rPr>
          <w:rStyle w:val="Fotnotsreferens"/>
          <w:rFonts w:ascii="Garamond" w:hAnsi="Garamond"/>
        </w:rPr>
        <w:footnoteReference w:id="120"/>
      </w:r>
      <w:r w:rsidRPr="00F5723F">
        <w:t xml:space="preserve"> Dä</w:t>
      </w:r>
      <w:r w:rsidRPr="00F5723F">
        <w:t>r</w:t>
      </w:r>
      <w:r w:rsidRPr="00F5723F">
        <w:t>med har det arbetsmässigt blivit tyngre för dem som söker och får sådant uppdrag; koncentrati</w:t>
      </w:r>
      <w:r w:rsidRPr="00F5723F">
        <w:t>o</w:t>
      </w:r>
      <w:r w:rsidRPr="00F5723F">
        <w:t>nen har blivit tydligare till färre personer. En annan viktig anledning är naturligtvis frånvaron av ”det kommunala samband” som tidigare fanns i statsskicket genom konstrukti</w:t>
      </w:r>
      <w:r w:rsidRPr="00F5723F">
        <w:t>o</w:t>
      </w:r>
      <w:r w:rsidRPr="00F5723F">
        <w:t>nen med en tvåkammarriksdag där ledamöterna i första kammaren valdes indirekt genom ele</w:t>
      </w:r>
      <w:r w:rsidRPr="00F5723F">
        <w:t>k</w:t>
      </w:r>
      <w:r w:rsidRPr="00F5723F">
        <w:t>torsröster.</w:t>
      </w:r>
    </w:p>
    <w:p w:rsidR="00B43C57" w:rsidRPr="00F5723F" w:rsidRDefault="00B43C57">
      <w:pPr>
        <w:pStyle w:val="Normaltindrag"/>
      </w:pPr>
      <w:r w:rsidRPr="00F5723F">
        <w:t>När motsvarande undersökning görs om med fem års mellanrum är result</w:t>
      </w:r>
      <w:r w:rsidRPr="00F5723F">
        <w:t>a</w:t>
      </w:r>
      <w:r w:rsidRPr="00F5723F">
        <w:t>ten påfallande lika 1999 och 2004, vilket kan utläsas i tabell 6.</w:t>
      </w: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pPr>
    </w:p>
    <w:p w:rsidR="00B43C57" w:rsidRPr="00F5723F" w:rsidRDefault="00B43C57">
      <w:pPr>
        <w:pStyle w:val="Normaltindrag"/>
        <w:sectPr w:rsidR="00000000" w:rsidRPr="00F5723F">
          <w:footerReference w:type="even" r:id="rId93"/>
          <w:footerReference w:type="default" r:id="rId94"/>
          <w:pgSz w:w="11906" w:h="16838"/>
          <w:pgMar w:top="907" w:right="4649" w:bottom="4508" w:left="1304" w:header="709" w:footer="709" w:gutter="0"/>
          <w:cols w:space="708"/>
          <w:titlePg/>
          <w:docGrid w:linePitch="360"/>
        </w:sectPr>
      </w:pPr>
    </w:p>
    <w:p w:rsidR="00B43C57" w:rsidRPr="00F5723F" w:rsidRDefault="00B43C57">
      <w:pPr>
        <w:pStyle w:val="Tabellrubrik"/>
      </w:pPr>
    </w:p>
    <w:p w:rsidR="00B43C57" w:rsidRPr="00F5723F" w:rsidRDefault="00B43C57">
      <w:pPr>
        <w:pStyle w:val="Tabellrubrik"/>
      </w:pPr>
      <w:r w:rsidRPr="00F5723F">
        <w:t xml:space="preserve">      Tabell 6 </w:t>
      </w:r>
      <w:r w:rsidRPr="00F5723F">
        <w:t>Riksdagsledamöternas kommunala och landstingskommunala uppdrag 1983–2004 (procent)</w:t>
      </w:r>
    </w:p>
    <w:tbl>
      <w:tblPr>
        <w:tblW w:w="11850" w:type="dxa"/>
        <w:tblInd w:w="-324" w:type="dxa"/>
        <w:tblLayout w:type="fixed"/>
        <w:tblCellMar>
          <w:left w:w="56" w:type="dxa"/>
          <w:right w:w="56" w:type="dxa"/>
        </w:tblCellMar>
        <w:tblLook w:val="0000" w:firstRow="0" w:lastRow="0" w:firstColumn="0" w:lastColumn="0" w:noHBand="0" w:noVBand="0"/>
      </w:tblPr>
      <w:tblGrid>
        <w:gridCol w:w="271"/>
        <w:gridCol w:w="2840"/>
        <w:gridCol w:w="456"/>
        <w:gridCol w:w="308"/>
        <w:gridCol w:w="307"/>
        <w:gridCol w:w="309"/>
        <w:gridCol w:w="308"/>
        <w:gridCol w:w="434"/>
        <w:gridCol w:w="192"/>
        <w:gridCol w:w="449"/>
        <w:gridCol w:w="431"/>
        <w:gridCol w:w="431"/>
        <w:gridCol w:w="431"/>
        <w:gridCol w:w="431"/>
        <w:gridCol w:w="431"/>
        <w:gridCol w:w="431"/>
        <w:gridCol w:w="437"/>
        <w:gridCol w:w="192"/>
        <w:gridCol w:w="304"/>
        <w:gridCol w:w="308"/>
        <w:gridCol w:w="309"/>
        <w:gridCol w:w="308"/>
        <w:gridCol w:w="309"/>
        <w:gridCol w:w="308"/>
        <w:gridCol w:w="458"/>
        <w:gridCol w:w="457"/>
      </w:tblGrid>
      <w:tr w:rsidR="00000000" w:rsidRPr="00F5723F">
        <w:tblPrEx>
          <w:tblCellMar>
            <w:top w:w="0" w:type="dxa"/>
            <w:bottom w:w="0" w:type="dxa"/>
          </w:tblCellMar>
        </w:tblPrEx>
        <w:tc>
          <w:tcPr>
            <w:tcW w:w="271" w:type="dxa"/>
            <w:tcBorders>
              <w:top w:val="single" w:sz="4" w:space="0" w:color="auto"/>
            </w:tcBorders>
          </w:tcPr>
          <w:p w:rsidR="00B43C57" w:rsidRPr="00F5723F" w:rsidRDefault="00B43C57">
            <w:pPr>
              <w:pStyle w:val="Tabelltext"/>
            </w:pPr>
          </w:p>
        </w:tc>
        <w:tc>
          <w:tcPr>
            <w:tcW w:w="2840" w:type="dxa"/>
            <w:tcBorders>
              <w:top w:val="single" w:sz="4" w:space="0" w:color="auto"/>
            </w:tcBorders>
          </w:tcPr>
          <w:p w:rsidR="00B43C57" w:rsidRPr="00F5723F" w:rsidRDefault="00B43C57">
            <w:pPr>
              <w:pStyle w:val="Tabelltext"/>
            </w:pPr>
          </w:p>
        </w:tc>
        <w:tc>
          <w:tcPr>
            <w:tcW w:w="2122" w:type="dxa"/>
            <w:gridSpan w:val="6"/>
            <w:tcBorders>
              <w:top w:val="single" w:sz="4" w:space="0" w:color="auto"/>
              <w:bottom w:val="single" w:sz="4" w:space="0" w:color="auto"/>
            </w:tcBorders>
          </w:tcPr>
          <w:p w:rsidR="00B43C57" w:rsidRPr="00F5723F" w:rsidRDefault="00B43C57">
            <w:pPr>
              <w:pStyle w:val="Tabelltext"/>
            </w:pPr>
            <w:r w:rsidRPr="00F5723F">
              <w:t>1983</w:t>
            </w:r>
          </w:p>
        </w:tc>
        <w:tc>
          <w:tcPr>
            <w:tcW w:w="192" w:type="dxa"/>
            <w:tcBorders>
              <w:top w:val="single" w:sz="4" w:space="0" w:color="auto"/>
            </w:tcBorders>
          </w:tcPr>
          <w:p w:rsidR="00B43C57" w:rsidRPr="00F5723F" w:rsidRDefault="00B43C57">
            <w:pPr>
              <w:pStyle w:val="Tabelltext"/>
            </w:pPr>
          </w:p>
        </w:tc>
        <w:tc>
          <w:tcPr>
            <w:tcW w:w="3472" w:type="dxa"/>
            <w:gridSpan w:val="8"/>
            <w:tcBorders>
              <w:top w:val="single" w:sz="4" w:space="0" w:color="auto"/>
              <w:bottom w:val="single" w:sz="4" w:space="0" w:color="auto"/>
            </w:tcBorders>
          </w:tcPr>
          <w:p w:rsidR="00B43C57" w:rsidRPr="00F5723F" w:rsidRDefault="00B43C57">
            <w:pPr>
              <w:pStyle w:val="Tabelltext"/>
            </w:pPr>
            <w:r w:rsidRPr="00F5723F">
              <w:t>1999</w:t>
            </w:r>
          </w:p>
        </w:tc>
        <w:tc>
          <w:tcPr>
            <w:tcW w:w="192" w:type="dxa"/>
            <w:tcBorders>
              <w:top w:val="single" w:sz="4" w:space="0" w:color="auto"/>
            </w:tcBorders>
          </w:tcPr>
          <w:p w:rsidR="00B43C57" w:rsidRPr="00F5723F" w:rsidRDefault="00B43C57">
            <w:pPr>
              <w:pStyle w:val="Tabelltext"/>
            </w:pPr>
          </w:p>
        </w:tc>
        <w:tc>
          <w:tcPr>
            <w:tcW w:w="2761" w:type="dxa"/>
            <w:gridSpan w:val="8"/>
            <w:tcBorders>
              <w:top w:val="single" w:sz="4" w:space="0" w:color="auto"/>
              <w:bottom w:val="single" w:sz="4" w:space="0" w:color="auto"/>
            </w:tcBorders>
          </w:tcPr>
          <w:p w:rsidR="00B43C57" w:rsidRPr="00F5723F" w:rsidRDefault="00B43C57">
            <w:pPr>
              <w:pStyle w:val="Tabelltext"/>
            </w:pPr>
            <w:r w:rsidRPr="00F5723F">
              <w:t>2004</w:t>
            </w:r>
          </w:p>
        </w:tc>
      </w:tr>
      <w:tr w:rsidR="00000000" w:rsidRPr="00F5723F">
        <w:tblPrEx>
          <w:tblCellMar>
            <w:top w:w="0" w:type="dxa"/>
            <w:bottom w:w="0" w:type="dxa"/>
          </w:tblCellMar>
        </w:tblPrEx>
        <w:tc>
          <w:tcPr>
            <w:tcW w:w="271" w:type="dxa"/>
            <w:tcBorders>
              <w:bottom w:val="single" w:sz="4" w:space="0" w:color="auto"/>
            </w:tcBorders>
          </w:tcPr>
          <w:p w:rsidR="00B43C57" w:rsidRPr="00F5723F" w:rsidRDefault="00B43C57">
            <w:pPr>
              <w:pStyle w:val="Tabelltext"/>
              <w:jc w:val="center"/>
              <w:rPr>
                <w:sz w:val="18"/>
              </w:rPr>
            </w:pPr>
          </w:p>
        </w:tc>
        <w:tc>
          <w:tcPr>
            <w:tcW w:w="2840" w:type="dxa"/>
            <w:tcBorders>
              <w:bottom w:val="single" w:sz="4" w:space="0" w:color="auto"/>
            </w:tcBorders>
          </w:tcPr>
          <w:p w:rsidR="00B43C57" w:rsidRPr="00F5723F" w:rsidRDefault="00B43C57">
            <w:pPr>
              <w:pStyle w:val="Tabelltext"/>
              <w:jc w:val="center"/>
              <w:rPr>
                <w:sz w:val="18"/>
              </w:rPr>
            </w:pPr>
          </w:p>
        </w:tc>
        <w:tc>
          <w:tcPr>
            <w:tcW w:w="456" w:type="dxa"/>
            <w:tcBorders>
              <w:top w:val="single" w:sz="4" w:space="0" w:color="auto"/>
              <w:bottom w:val="single" w:sz="4" w:space="0" w:color="auto"/>
            </w:tcBorders>
          </w:tcPr>
          <w:p w:rsidR="00B43C57" w:rsidRPr="00F5723F" w:rsidRDefault="00B43C57">
            <w:pPr>
              <w:pStyle w:val="Tabelltextsiffror"/>
              <w:jc w:val="center"/>
            </w:pPr>
            <w:r w:rsidRPr="00F5723F">
              <w:t>vpk</w:t>
            </w:r>
          </w:p>
        </w:tc>
        <w:tc>
          <w:tcPr>
            <w:tcW w:w="308"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307"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309"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308"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434" w:type="dxa"/>
            <w:tcBorders>
              <w:top w:val="single" w:sz="4" w:space="0" w:color="auto"/>
              <w:bottom w:val="single" w:sz="4" w:space="0" w:color="auto"/>
            </w:tcBorders>
          </w:tcPr>
          <w:p w:rsidR="00B43C57" w:rsidRPr="00F5723F" w:rsidRDefault="00B43C57">
            <w:pPr>
              <w:pStyle w:val="Tabelltextsiffror"/>
              <w:jc w:val="center"/>
            </w:pPr>
            <w:r w:rsidRPr="00F5723F">
              <w:t>alla</w:t>
            </w:r>
          </w:p>
        </w:tc>
        <w:tc>
          <w:tcPr>
            <w:tcW w:w="192" w:type="dxa"/>
            <w:tcBorders>
              <w:bottom w:val="single" w:sz="4" w:space="0" w:color="auto"/>
            </w:tcBorders>
          </w:tcPr>
          <w:p w:rsidR="00B43C57" w:rsidRPr="00F5723F" w:rsidRDefault="00B43C57">
            <w:pPr>
              <w:pStyle w:val="Tabelltextsiffror"/>
              <w:jc w:val="center"/>
            </w:pPr>
          </w:p>
        </w:tc>
        <w:tc>
          <w:tcPr>
            <w:tcW w:w="449"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431"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431"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431"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431"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431"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431"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437" w:type="dxa"/>
            <w:tcBorders>
              <w:top w:val="single" w:sz="4" w:space="0" w:color="auto"/>
              <w:bottom w:val="single" w:sz="4" w:space="0" w:color="auto"/>
            </w:tcBorders>
          </w:tcPr>
          <w:p w:rsidR="00B43C57" w:rsidRPr="00F5723F" w:rsidRDefault="00B43C57">
            <w:pPr>
              <w:pStyle w:val="Tabelltextsiffror"/>
              <w:jc w:val="center"/>
            </w:pPr>
            <w:r w:rsidRPr="00F5723F">
              <w:t>alla</w:t>
            </w:r>
          </w:p>
        </w:tc>
        <w:tc>
          <w:tcPr>
            <w:tcW w:w="192" w:type="dxa"/>
            <w:tcBorders>
              <w:bottom w:val="single" w:sz="4" w:space="0" w:color="auto"/>
            </w:tcBorders>
          </w:tcPr>
          <w:p w:rsidR="00B43C57" w:rsidRPr="00F5723F" w:rsidRDefault="00B43C57">
            <w:pPr>
              <w:pStyle w:val="Tabelltextsiffror"/>
              <w:jc w:val="center"/>
            </w:pPr>
          </w:p>
        </w:tc>
        <w:tc>
          <w:tcPr>
            <w:tcW w:w="304"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308"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309"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308"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309"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308"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458"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457" w:type="dxa"/>
            <w:tcBorders>
              <w:top w:val="single" w:sz="4" w:space="0" w:color="auto"/>
              <w:bottom w:val="single" w:sz="4" w:space="0" w:color="auto"/>
            </w:tcBorders>
          </w:tcPr>
          <w:p w:rsidR="00B43C57" w:rsidRPr="00F5723F" w:rsidRDefault="00B43C57">
            <w:pPr>
              <w:pStyle w:val="Tabelltextsiffror"/>
              <w:jc w:val="center"/>
            </w:pPr>
            <w:r w:rsidRPr="00F5723F">
              <w:t>alla</w:t>
            </w:r>
          </w:p>
        </w:tc>
      </w:tr>
      <w:tr w:rsidR="00000000" w:rsidRPr="00F5723F">
        <w:tblPrEx>
          <w:tblCellMar>
            <w:top w:w="0" w:type="dxa"/>
            <w:bottom w:w="0" w:type="dxa"/>
          </w:tblCellMar>
        </w:tblPrEx>
        <w:tc>
          <w:tcPr>
            <w:tcW w:w="271" w:type="dxa"/>
          </w:tcPr>
          <w:p w:rsidR="00B43C57" w:rsidRPr="00F5723F" w:rsidRDefault="00B43C57">
            <w:pPr>
              <w:pStyle w:val="Tabelltext"/>
            </w:pPr>
            <w:r w:rsidRPr="00F5723F">
              <w:t>1</w:t>
            </w:r>
          </w:p>
        </w:tc>
        <w:tc>
          <w:tcPr>
            <w:tcW w:w="2840" w:type="dxa"/>
          </w:tcPr>
          <w:p w:rsidR="00B43C57" w:rsidRPr="00F5723F" w:rsidRDefault="00B43C57">
            <w:pPr>
              <w:pStyle w:val="Tabelltext"/>
              <w:ind w:left="148" w:hanging="148"/>
            </w:pPr>
            <w:r w:rsidRPr="00F5723F">
              <w:t>Kommunfullmäktigeledamöter</w:t>
            </w:r>
          </w:p>
        </w:tc>
        <w:tc>
          <w:tcPr>
            <w:tcW w:w="456" w:type="dxa"/>
          </w:tcPr>
          <w:p w:rsidR="00B43C57" w:rsidRPr="00F5723F" w:rsidRDefault="00B43C57">
            <w:pPr>
              <w:pStyle w:val="Tabelltextsiffror"/>
              <w:jc w:val="center"/>
            </w:pPr>
            <w:r w:rsidRPr="00F5723F">
              <w:t>15</w:t>
            </w:r>
          </w:p>
        </w:tc>
        <w:tc>
          <w:tcPr>
            <w:tcW w:w="308" w:type="dxa"/>
          </w:tcPr>
          <w:p w:rsidR="00B43C57" w:rsidRPr="00F5723F" w:rsidRDefault="00B43C57">
            <w:pPr>
              <w:pStyle w:val="Tabelltextsiffror"/>
              <w:jc w:val="center"/>
            </w:pPr>
            <w:r w:rsidRPr="00F5723F">
              <w:t>32</w:t>
            </w:r>
          </w:p>
        </w:tc>
        <w:tc>
          <w:tcPr>
            <w:tcW w:w="307" w:type="dxa"/>
          </w:tcPr>
          <w:p w:rsidR="00B43C57" w:rsidRPr="00F5723F" w:rsidRDefault="00B43C57">
            <w:pPr>
              <w:pStyle w:val="Tabelltextsiffror"/>
              <w:jc w:val="center"/>
            </w:pPr>
            <w:r w:rsidRPr="00F5723F">
              <w:t>18</w:t>
            </w:r>
          </w:p>
        </w:tc>
        <w:tc>
          <w:tcPr>
            <w:tcW w:w="309" w:type="dxa"/>
          </w:tcPr>
          <w:p w:rsidR="00B43C57" w:rsidRPr="00F5723F" w:rsidRDefault="00B43C57">
            <w:pPr>
              <w:pStyle w:val="Tabelltextsiffror"/>
              <w:jc w:val="center"/>
            </w:pPr>
            <w:r w:rsidRPr="00F5723F">
              <w:t>5</w:t>
            </w:r>
          </w:p>
        </w:tc>
        <w:tc>
          <w:tcPr>
            <w:tcW w:w="308" w:type="dxa"/>
          </w:tcPr>
          <w:p w:rsidR="00B43C57" w:rsidRPr="00F5723F" w:rsidRDefault="00B43C57">
            <w:pPr>
              <w:pStyle w:val="Tabelltextsiffror"/>
              <w:jc w:val="center"/>
            </w:pPr>
            <w:r w:rsidRPr="00F5723F">
              <w:t>17</w:t>
            </w:r>
          </w:p>
        </w:tc>
        <w:tc>
          <w:tcPr>
            <w:tcW w:w="434" w:type="dxa"/>
          </w:tcPr>
          <w:p w:rsidR="00B43C57" w:rsidRPr="00F5723F" w:rsidRDefault="00B43C57">
            <w:pPr>
              <w:pStyle w:val="Tabelltextsiffror"/>
              <w:jc w:val="center"/>
            </w:pPr>
            <w:r w:rsidRPr="00F5723F">
              <w:t>23</w:t>
            </w: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r w:rsidRPr="00F5723F">
              <w:t>42</w:t>
            </w:r>
          </w:p>
        </w:tc>
        <w:tc>
          <w:tcPr>
            <w:tcW w:w="431" w:type="dxa"/>
          </w:tcPr>
          <w:p w:rsidR="00B43C57" w:rsidRPr="00F5723F" w:rsidRDefault="00B43C57">
            <w:pPr>
              <w:pStyle w:val="Tabelltextsiffror"/>
              <w:jc w:val="center"/>
            </w:pPr>
            <w:r w:rsidRPr="00F5723F">
              <w:t>34</w:t>
            </w:r>
          </w:p>
        </w:tc>
        <w:tc>
          <w:tcPr>
            <w:tcW w:w="431" w:type="dxa"/>
          </w:tcPr>
          <w:p w:rsidR="00B43C57" w:rsidRPr="00F5723F" w:rsidRDefault="00B43C57">
            <w:pPr>
              <w:pStyle w:val="Tabelltextsiffror"/>
              <w:jc w:val="center"/>
            </w:pPr>
            <w:r w:rsidRPr="00F5723F">
              <w:t>44</w:t>
            </w:r>
          </w:p>
        </w:tc>
        <w:tc>
          <w:tcPr>
            <w:tcW w:w="431" w:type="dxa"/>
          </w:tcPr>
          <w:p w:rsidR="00B43C57" w:rsidRPr="00F5723F" w:rsidRDefault="00B43C57">
            <w:pPr>
              <w:pStyle w:val="Tabelltextsiffror"/>
              <w:jc w:val="center"/>
            </w:pPr>
            <w:r w:rsidRPr="00F5723F">
              <w:t>12</w:t>
            </w:r>
          </w:p>
        </w:tc>
        <w:tc>
          <w:tcPr>
            <w:tcW w:w="431" w:type="dxa"/>
          </w:tcPr>
          <w:p w:rsidR="00B43C57" w:rsidRPr="00F5723F" w:rsidRDefault="00B43C57">
            <w:pPr>
              <w:pStyle w:val="Tabelltextsiffror"/>
              <w:jc w:val="center"/>
            </w:pPr>
            <w:r w:rsidRPr="00F5723F">
              <w:t>31</w:t>
            </w:r>
          </w:p>
        </w:tc>
        <w:tc>
          <w:tcPr>
            <w:tcW w:w="431" w:type="dxa"/>
          </w:tcPr>
          <w:p w:rsidR="00B43C57" w:rsidRPr="00F5723F" w:rsidRDefault="00B43C57">
            <w:pPr>
              <w:pStyle w:val="Tabelltextsiffror"/>
              <w:jc w:val="center"/>
            </w:pPr>
            <w:r w:rsidRPr="00F5723F">
              <w:t>41</w:t>
            </w:r>
          </w:p>
        </w:tc>
        <w:tc>
          <w:tcPr>
            <w:tcW w:w="431" w:type="dxa"/>
          </w:tcPr>
          <w:p w:rsidR="00B43C57" w:rsidRPr="00F5723F" w:rsidRDefault="00B43C57">
            <w:pPr>
              <w:pStyle w:val="Tabelltextsiffror"/>
              <w:jc w:val="center"/>
            </w:pPr>
            <w:r w:rsidRPr="00F5723F">
              <w:t>---</w:t>
            </w:r>
          </w:p>
        </w:tc>
        <w:tc>
          <w:tcPr>
            <w:tcW w:w="437" w:type="dxa"/>
          </w:tcPr>
          <w:p w:rsidR="00B43C57" w:rsidRPr="00F5723F" w:rsidRDefault="00B43C57">
            <w:pPr>
              <w:pStyle w:val="Tabelltextsiffror"/>
              <w:jc w:val="center"/>
            </w:pPr>
            <w:r w:rsidRPr="00F5723F">
              <w:t>33</w:t>
            </w: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r w:rsidRPr="00F5723F">
              <w:t>27</w:t>
            </w:r>
          </w:p>
        </w:tc>
        <w:tc>
          <w:tcPr>
            <w:tcW w:w="308" w:type="dxa"/>
          </w:tcPr>
          <w:p w:rsidR="00B43C57" w:rsidRPr="00F5723F" w:rsidRDefault="00B43C57">
            <w:pPr>
              <w:pStyle w:val="Tabelltextsiffror"/>
              <w:jc w:val="center"/>
            </w:pPr>
            <w:r w:rsidRPr="00F5723F">
              <w:t>32</w:t>
            </w:r>
          </w:p>
        </w:tc>
        <w:tc>
          <w:tcPr>
            <w:tcW w:w="309" w:type="dxa"/>
          </w:tcPr>
          <w:p w:rsidR="00B43C57" w:rsidRPr="00F5723F" w:rsidRDefault="00B43C57">
            <w:pPr>
              <w:pStyle w:val="Tabelltextsiffror"/>
              <w:jc w:val="center"/>
            </w:pPr>
            <w:r w:rsidRPr="00F5723F">
              <w:t>36</w:t>
            </w:r>
          </w:p>
        </w:tc>
        <w:tc>
          <w:tcPr>
            <w:tcW w:w="308" w:type="dxa"/>
          </w:tcPr>
          <w:p w:rsidR="00B43C57" w:rsidRPr="00F5723F" w:rsidRDefault="00B43C57">
            <w:pPr>
              <w:pStyle w:val="Tabelltextsiffror"/>
              <w:jc w:val="center"/>
            </w:pPr>
            <w:r w:rsidRPr="00F5723F">
              <w:t>20</w:t>
            </w:r>
          </w:p>
        </w:tc>
        <w:tc>
          <w:tcPr>
            <w:tcW w:w="309" w:type="dxa"/>
          </w:tcPr>
          <w:p w:rsidR="00B43C57" w:rsidRPr="00F5723F" w:rsidRDefault="00B43C57">
            <w:pPr>
              <w:pStyle w:val="Tabelltextsiffror"/>
              <w:jc w:val="center"/>
            </w:pPr>
            <w:r w:rsidRPr="00F5723F">
              <w:t>27</w:t>
            </w:r>
          </w:p>
        </w:tc>
        <w:tc>
          <w:tcPr>
            <w:tcW w:w="308" w:type="dxa"/>
          </w:tcPr>
          <w:p w:rsidR="00B43C57" w:rsidRPr="00F5723F" w:rsidRDefault="00B43C57">
            <w:pPr>
              <w:pStyle w:val="Tabelltextsiffror"/>
              <w:jc w:val="center"/>
            </w:pPr>
            <w:r w:rsidRPr="00F5723F">
              <w:t>21</w:t>
            </w:r>
          </w:p>
        </w:tc>
        <w:tc>
          <w:tcPr>
            <w:tcW w:w="458" w:type="dxa"/>
          </w:tcPr>
          <w:p w:rsidR="00B43C57" w:rsidRPr="00F5723F" w:rsidRDefault="00B43C57">
            <w:pPr>
              <w:pStyle w:val="Tabelltextsiffror"/>
              <w:jc w:val="center"/>
            </w:pPr>
            <w:r w:rsidRPr="00F5723F">
              <w:t>24</w:t>
            </w:r>
          </w:p>
        </w:tc>
        <w:tc>
          <w:tcPr>
            <w:tcW w:w="457" w:type="dxa"/>
          </w:tcPr>
          <w:p w:rsidR="00B43C57" w:rsidRPr="00F5723F" w:rsidRDefault="00B43C57">
            <w:pPr>
              <w:pStyle w:val="Tabelltextsiffror"/>
              <w:jc w:val="center"/>
            </w:pPr>
            <w:r w:rsidRPr="00F5723F">
              <w:t>28</w:t>
            </w:r>
          </w:p>
        </w:tc>
      </w:tr>
      <w:tr w:rsidR="00000000" w:rsidRPr="00F5723F">
        <w:tblPrEx>
          <w:tblCellMar>
            <w:top w:w="0" w:type="dxa"/>
            <w:bottom w:w="0" w:type="dxa"/>
          </w:tblCellMar>
        </w:tblPrEx>
        <w:tc>
          <w:tcPr>
            <w:tcW w:w="271" w:type="dxa"/>
          </w:tcPr>
          <w:p w:rsidR="00B43C57" w:rsidRPr="00F5723F" w:rsidRDefault="00B43C57">
            <w:pPr>
              <w:pStyle w:val="Tabelltext"/>
            </w:pPr>
            <w:r w:rsidRPr="00F5723F">
              <w:t>2</w:t>
            </w:r>
          </w:p>
        </w:tc>
        <w:tc>
          <w:tcPr>
            <w:tcW w:w="2840" w:type="dxa"/>
          </w:tcPr>
          <w:p w:rsidR="00B43C57" w:rsidRPr="00F5723F" w:rsidRDefault="00B43C57">
            <w:pPr>
              <w:pStyle w:val="Tabelltext"/>
              <w:ind w:left="148" w:hanging="148"/>
            </w:pPr>
            <w:r w:rsidRPr="00F5723F">
              <w:t>Ledamöter av kommunstyrelse</w:t>
            </w:r>
          </w:p>
        </w:tc>
        <w:tc>
          <w:tcPr>
            <w:tcW w:w="456"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4</w:t>
            </w:r>
          </w:p>
        </w:tc>
        <w:tc>
          <w:tcPr>
            <w:tcW w:w="307" w:type="dxa"/>
          </w:tcPr>
          <w:p w:rsidR="00B43C57" w:rsidRPr="00F5723F" w:rsidRDefault="00B43C57">
            <w:pPr>
              <w:pStyle w:val="Tabelltextsiffror"/>
              <w:jc w:val="center"/>
            </w:pPr>
            <w:r w:rsidRPr="00F5723F">
              <w:t>2</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2</w:t>
            </w:r>
          </w:p>
        </w:tc>
        <w:tc>
          <w:tcPr>
            <w:tcW w:w="434" w:type="dxa"/>
          </w:tcPr>
          <w:p w:rsidR="00B43C57" w:rsidRPr="00F5723F" w:rsidRDefault="00B43C57">
            <w:pPr>
              <w:pStyle w:val="Tabelltextsiffror"/>
              <w:jc w:val="center"/>
            </w:pPr>
            <w:r w:rsidRPr="00F5723F">
              <w:t>3</w:t>
            </w: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r w:rsidRPr="00F5723F">
              <w:t>5</w:t>
            </w:r>
          </w:p>
        </w:tc>
        <w:tc>
          <w:tcPr>
            <w:tcW w:w="431" w:type="dxa"/>
          </w:tcPr>
          <w:p w:rsidR="00B43C57" w:rsidRPr="00F5723F" w:rsidRDefault="00B43C57">
            <w:pPr>
              <w:pStyle w:val="Tabelltextsiffror"/>
              <w:jc w:val="center"/>
            </w:pPr>
            <w:r w:rsidRPr="00F5723F">
              <w:t>2</w:t>
            </w:r>
          </w:p>
        </w:tc>
        <w:tc>
          <w:tcPr>
            <w:tcW w:w="431" w:type="dxa"/>
          </w:tcPr>
          <w:p w:rsidR="00B43C57" w:rsidRPr="00F5723F" w:rsidRDefault="00B43C57">
            <w:pPr>
              <w:pStyle w:val="Tabelltextsiffror"/>
              <w:jc w:val="center"/>
            </w:pPr>
            <w:r w:rsidRPr="00F5723F">
              <w:t>22</w:t>
            </w:r>
          </w:p>
        </w:tc>
        <w:tc>
          <w:tcPr>
            <w:tcW w:w="431" w:type="dxa"/>
          </w:tcPr>
          <w:p w:rsidR="00B43C57" w:rsidRPr="00F5723F" w:rsidRDefault="00B43C57">
            <w:pPr>
              <w:pStyle w:val="Tabelltextsiffror"/>
              <w:jc w:val="center"/>
            </w:pPr>
            <w:r w:rsidRPr="00F5723F">
              <w:t>---</w:t>
            </w:r>
          </w:p>
        </w:tc>
        <w:tc>
          <w:tcPr>
            <w:tcW w:w="431" w:type="dxa"/>
          </w:tcPr>
          <w:p w:rsidR="00B43C57" w:rsidRPr="00F5723F" w:rsidRDefault="00B43C57">
            <w:pPr>
              <w:pStyle w:val="Tabelltextsiffror"/>
              <w:jc w:val="center"/>
            </w:pPr>
            <w:r w:rsidRPr="00F5723F">
              <w:t>6</w:t>
            </w:r>
          </w:p>
        </w:tc>
        <w:tc>
          <w:tcPr>
            <w:tcW w:w="431" w:type="dxa"/>
          </w:tcPr>
          <w:p w:rsidR="00B43C57" w:rsidRPr="00F5723F" w:rsidRDefault="00B43C57">
            <w:pPr>
              <w:pStyle w:val="Tabelltextsiffror"/>
              <w:jc w:val="center"/>
            </w:pPr>
            <w:r w:rsidRPr="00F5723F">
              <w:t>2</w:t>
            </w:r>
          </w:p>
        </w:tc>
        <w:tc>
          <w:tcPr>
            <w:tcW w:w="431" w:type="dxa"/>
          </w:tcPr>
          <w:p w:rsidR="00B43C57" w:rsidRPr="00F5723F" w:rsidRDefault="00B43C57">
            <w:pPr>
              <w:pStyle w:val="Tabelltextsiffror"/>
              <w:jc w:val="center"/>
            </w:pPr>
            <w:r w:rsidRPr="00F5723F">
              <w:t>---</w:t>
            </w:r>
          </w:p>
        </w:tc>
        <w:tc>
          <w:tcPr>
            <w:tcW w:w="437" w:type="dxa"/>
          </w:tcPr>
          <w:p w:rsidR="00B43C57" w:rsidRPr="00F5723F" w:rsidRDefault="00B43C57">
            <w:pPr>
              <w:pStyle w:val="Tabelltextsiffror"/>
              <w:jc w:val="center"/>
            </w:pPr>
            <w:r w:rsidRPr="00F5723F">
              <w:t>4</w:t>
            </w: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r w:rsidRPr="00F5723F">
              <w:t>3</w:t>
            </w:r>
          </w:p>
        </w:tc>
        <w:tc>
          <w:tcPr>
            <w:tcW w:w="308" w:type="dxa"/>
          </w:tcPr>
          <w:p w:rsidR="00B43C57" w:rsidRPr="00F5723F" w:rsidRDefault="00B43C57">
            <w:pPr>
              <w:pStyle w:val="Tabelltextsiffror"/>
              <w:jc w:val="center"/>
            </w:pPr>
            <w:r w:rsidRPr="00F5723F">
              <w:t>1</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4</w:t>
            </w:r>
          </w:p>
        </w:tc>
        <w:tc>
          <w:tcPr>
            <w:tcW w:w="309" w:type="dxa"/>
          </w:tcPr>
          <w:p w:rsidR="00B43C57" w:rsidRPr="00F5723F" w:rsidRDefault="00B43C57">
            <w:pPr>
              <w:pStyle w:val="Tabelltextsiffror"/>
              <w:jc w:val="center"/>
            </w:pPr>
            <w:r w:rsidRPr="00F5723F">
              <w:t>2</w:t>
            </w:r>
          </w:p>
        </w:tc>
        <w:tc>
          <w:tcPr>
            <w:tcW w:w="308" w:type="dxa"/>
          </w:tcPr>
          <w:p w:rsidR="00B43C57" w:rsidRPr="00F5723F" w:rsidRDefault="00B43C57">
            <w:pPr>
              <w:pStyle w:val="Tabelltextsiffror"/>
              <w:jc w:val="center"/>
            </w:pPr>
            <w:r w:rsidRPr="00F5723F">
              <w:t>0</w:t>
            </w:r>
          </w:p>
        </w:tc>
        <w:tc>
          <w:tcPr>
            <w:tcW w:w="458" w:type="dxa"/>
          </w:tcPr>
          <w:p w:rsidR="00B43C57" w:rsidRPr="00F5723F" w:rsidRDefault="00B43C57">
            <w:pPr>
              <w:pStyle w:val="Tabelltextsiffror"/>
              <w:jc w:val="center"/>
            </w:pPr>
            <w:r w:rsidRPr="00F5723F">
              <w:t>12</w:t>
            </w:r>
          </w:p>
        </w:tc>
        <w:tc>
          <w:tcPr>
            <w:tcW w:w="457" w:type="dxa"/>
          </w:tcPr>
          <w:p w:rsidR="00B43C57" w:rsidRPr="00F5723F" w:rsidRDefault="00B43C57">
            <w:pPr>
              <w:pStyle w:val="Tabelltextsiffror"/>
              <w:jc w:val="center"/>
            </w:pPr>
            <w:r w:rsidRPr="00F5723F">
              <w:t>2</w:t>
            </w:r>
          </w:p>
        </w:tc>
      </w:tr>
      <w:tr w:rsidR="00000000" w:rsidRPr="00F5723F">
        <w:tblPrEx>
          <w:tblCellMar>
            <w:top w:w="0" w:type="dxa"/>
            <w:bottom w:w="0" w:type="dxa"/>
          </w:tblCellMar>
        </w:tblPrEx>
        <w:tc>
          <w:tcPr>
            <w:tcW w:w="271" w:type="dxa"/>
          </w:tcPr>
          <w:p w:rsidR="00B43C57" w:rsidRPr="00F5723F" w:rsidRDefault="00B43C57">
            <w:pPr>
              <w:pStyle w:val="Tabelltext"/>
            </w:pPr>
            <w:r w:rsidRPr="00F5723F">
              <w:t>3</w:t>
            </w:r>
          </w:p>
        </w:tc>
        <w:tc>
          <w:tcPr>
            <w:tcW w:w="2840" w:type="dxa"/>
          </w:tcPr>
          <w:p w:rsidR="00B43C57" w:rsidRPr="00F5723F" w:rsidRDefault="00B43C57">
            <w:pPr>
              <w:pStyle w:val="Tabelltext"/>
              <w:ind w:left="148" w:hanging="148"/>
            </w:pPr>
            <w:r w:rsidRPr="00F5723F">
              <w:t>Ledamöter av annan kommunal styrelse, nämnd</w:t>
            </w:r>
          </w:p>
        </w:tc>
        <w:tc>
          <w:tcPr>
            <w:tcW w:w="456" w:type="dxa"/>
          </w:tcPr>
          <w:p w:rsidR="00B43C57" w:rsidRPr="00F5723F" w:rsidRDefault="00B43C57">
            <w:pPr>
              <w:pStyle w:val="Tabelltextsiffror"/>
              <w:jc w:val="center"/>
            </w:pPr>
            <w:r w:rsidRPr="00F5723F">
              <w:t>10</w:t>
            </w:r>
          </w:p>
        </w:tc>
        <w:tc>
          <w:tcPr>
            <w:tcW w:w="308" w:type="dxa"/>
          </w:tcPr>
          <w:p w:rsidR="00B43C57" w:rsidRPr="00F5723F" w:rsidRDefault="00B43C57">
            <w:pPr>
              <w:pStyle w:val="Tabelltextsiffror"/>
              <w:jc w:val="center"/>
            </w:pPr>
            <w:r w:rsidRPr="00F5723F">
              <w:t>16</w:t>
            </w:r>
          </w:p>
        </w:tc>
        <w:tc>
          <w:tcPr>
            <w:tcW w:w="307" w:type="dxa"/>
          </w:tcPr>
          <w:p w:rsidR="00B43C57" w:rsidRPr="00F5723F" w:rsidRDefault="00B43C57">
            <w:pPr>
              <w:pStyle w:val="Tabelltextsiffror"/>
              <w:jc w:val="center"/>
            </w:pPr>
            <w:r w:rsidRPr="00F5723F">
              <w:t>2</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9</w:t>
            </w:r>
          </w:p>
        </w:tc>
        <w:tc>
          <w:tcPr>
            <w:tcW w:w="434" w:type="dxa"/>
          </w:tcPr>
          <w:p w:rsidR="00B43C57" w:rsidRPr="00F5723F" w:rsidRDefault="00B43C57">
            <w:pPr>
              <w:pStyle w:val="Tabelltextsiffror"/>
              <w:jc w:val="center"/>
            </w:pPr>
            <w:r w:rsidRPr="00F5723F">
              <w:t>10</w:t>
            </w: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r w:rsidRPr="00F5723F">
              <w:t>7</w:t>
            </w:r>
          </w:p>
        </w:tc>
        <w:tc>
          <w:tcPr>
            <w:tcW w:w="431" w:type="dxa"/>
          </w:tcPr>
          <w:p w:rsidR="00B43C57" w:rsidRPr="00F5723F" w:rsidRDefault="00B43C57">
            <w:pPr>
              <w:pStyle w:val="Tabelltextsiffror"/>
              <w:jc w:val="center"/>
            </w:pPr>
            <w:r w:rsidRPr="00F5723F">
              <w:t>4</w:t>
            </w:r>
          </w:p>
        </w:tc>
        <w:tc>
          <w:tcPr>
            <w:tcW w:w="431" w:type="dxa"/>
          </w:tcPr>
          <w:p w:rsidR="00B43C57" w:rsidRPr="00F5723F" w:rsidRDefault="00B43C57">
            <w:pPr>
              <w:pStyle w:val="Tabelltextsiffror"/>
              <w:jc w:val="center"/>
            </w:pPr>
            <w:r w:rsidRPr="00F5723F">
              <w:t>6</w:t>
            </w:r>
          </w:p>
        </w:tc>
        <w:tc>
          <w:tcPr>
            <w:tcW w:w="431" w:type="dxa"/>
          </w:tcPr>
          <w:p w:rsidR="00B43C57" w:rsidRPr="00F5723F" w:rsidRDefault="00B43C57">
            <w:pPr>
              <w:pStyle w:val="Tabelltextsiffror"/>
              <w:jc w:val="center"/>
            </w:pPr>
            <w:r w:rsidRPr="00F5723F">
              <w:t>6</w:t>
            </w:r>
          </w:p>
        </w:tc>
        <w:tc>
          <w:tcPr>
            <w:tcW w:w="431" w:type="dxa"/>
          </w:tcPr>
          <w:p w:rsidR="00B43C57" w:rsidRPr="00F5723F" w:rsidRDefault="00B43C57">
            <w:pPr>
              <w:pStyle w:val="Tabelltextsiffror"/>
              <w:jc w:val="center"/>
            </w:pPr>
            <w:r w:rsidRPr="00F5723F">
              <w:t>10</w:t>
            </w:r>
          </w:p>
        </w:tc>
        <w:tc>
          <w:tcPr>
            <w:tcW w:w="431" w:type="dxa"/>
          </w:tcPr>
          <w:p w:rsidR="00B43C57" w:rsidRPr="00F5723F" w:rsidRDefault="00B43C57">
            <w:pPr>
              <w:pStyle w:val="Tabelltextsiffror"/>
              <w:jc w:val="center"/>
            </w:pPr>
            <w:r w:rsidRPr="00F5723F">
              <w:t>5</w:t>
            </w:r>
          </w:p>
        </w:tc>
        <w:tc>
          <w:tcPr>
            <w:tcW w:w="431" w:type="dxa"/>
          </w:tcPr>
          <w:p w:rsidR="00B43C57" w:rsidRPr="00F5723F" w:rsidRDefault="00B43C57">
            <w:pPr>
              <w:pStyle w:val="Tabelltextsiffror"/>
              <w:jc w:val="center"/>
            </w:pPr>
            <w:r w:rsidRPr="00F5723F">
              <w:t>6</w:t>
            </w:r>
          </w:p>
        </w:tc>
        <w:tc>
          <w:tcPr>
            <w:tcW w:w="437" w:type="dxa"/>
          </w:tcPr>
          <w:p w:rsidR="00B43C57" w:rsidRPr="00F5723F" w:rsidRDefault="00B43C57">
            <w:pPr>
              <w:pStyle w:val="Tabelltextsiffror"/>
              <w:jc w:val="center"/>
            </w:pPr>
            <w:r w:rsidRPr="00F5723F">
              <w:t>6</w:t>
            </w: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r w:rsidRPr="00F5723F">
              <w:t>10</w:t>
            </w:r>
          </w:p>
        </w:tc>
        <w:tc>
          <w:tcPr>
            <w:tcW w:w="308" w:type="dxa"/>
          </w:tcPr>
          <w:p w:rsidR="00B43C57" w:rsidRPr="00F5723F" w:rsidRDefault="00B43C57">
            <w:pPr>
              <w:pStyle w:val="Tabelltextsiffror"/>
              <w:jc w:val="center"/>
            </w:pPr>
            <w:r w:rsidRPr="00F5723F">
              <w:t>5</w:t>
            </w:r>
          </w:p>
        </w:tc>
        <w:tc>
          <w:tcPr>
            <w:tcW w:w="309" w:type="dxa"/>
          </w:tcPr>
          <w:p w:rsidR="00B43C57" w:rsidRPr="00F5723F" w:rsidRDefault="00B43C57">
            <w:pPr>
              <w:pStyle w:val="Tabelltextsiffror"/>
              <w:jc w:val="center"/>
            </w:pPr>
            <w:r w:rsidRPr="00F5723F">
              <w:t>5</w:t>
            </w:r>
          </w:p>
        </w:tc>
        <w:tc>
          <w:tcPr>
            <w:tcW w:w="308" w:type="dxa"/>
          </w:tcPr>
          <w:p w:rsidR="00B43C57" w:rsidRPr="00F5723F" w:rsidRDefault="00B43C57">
            <w:pPr>
              <w:pStyle w:val="Tabelltextsiffror"/>
              <w:jc w:val="center"/>
            </w:pPr>
            <w:r w:rsidRPr="00F5723F">
              <w:t>6</w:t>
            </w:r>
          </w:p>
        </w:tc>
        <w:tc>
          <w:tcPr>
            <w:tcW w:w="309" w:type="dxa"/>
          </w:tcPr>
          <w:p w:rsidR="00B43C57" w:rsidRPr="00F5723F" w:rsidRDefault="00B43C57">
            <w:pPr>
              <w:pStyle w:val="Tabelltextsiffror"/>
              <w:jc w:val="center"/>
            </w:pPr>
            <w:r w:rsidRPr="00F5723F">
              <w:t>7</w:t>
            </w:r>
          </w:p>
        </w:tc>
        <w:tc>
          <w:tcPr>
            <w:tcW w:w="308" w:type="dxa"/>
          </w:tcPr>
          <w:p w:rsidR="00B43C57" w:rsidRPr="00F5723F" w:rsidRDefault="00B43C57">
            <w:pPr>
              <w:pStyle w:val="Tabelltextsiffror"/>
              <w:jc w:val="center"/>
            </w:pPr>
            <w:r w:rsidRPr="00F5723F">
              <w:t>3</w:t>
            </w:r>
          </w:p>
        </w:tc>
        <w:tc>
          <w:tcPr>
            <w:tcW w:w="458" w:type="dxa"/>
          </w:tcPr>
          <w:p w:rsidR="00B43C57" w:rsidRPr="00F5723F" w:rsidRDefault="00B43C57">
            <w:pPr>
              <w:pStyle w:val="Tabelltextsiffror"/>
              <w:jc w:val="center"/>
            </w:pPr>
            <w:r w:rsidRPr="00F5723F">
              <w:t>6</w:t>
            </w:r>
          </w:p>
        </w:tc>
        <w:tc>
          <w:tcPr>
            <w:tcW w:w="457" w:type="dxa"/>
          </w:tcPr>
          <w:p w:rsidR="00B43C57" w:rsidRPr="00F5723F" w:rsidRDefault="00B43C57">
            <w:pPr>
              <w:pStyle w:val="Tabelltextsiffror"/>
              <w:jc w:val="center"/>
            </w:pPr>
            <w:r w:rsidRPr="00F5723F">
              <w:t>6</w:t>
            </w:r>
          </w:p>
        </w:tc>
      </w:tr>
      <w:tr w:rsidR="00000000" w:rsidRPr="00F5723F">
        <w:tblPrEx>
          <w:tblCellMar>
            <w:top w:w="0" w:type="dxa"/>
            <w:bottom w:w="0" w:type="dxa"/>
          </w:tblCellMar>
        </w:tblPrEx>
        <w:tc>
          <w:tcPr>
            <w:tcW w:w="271" w:type="dxa"/>
          </w:tcPr>
          <w:p w:rsidR="00B43C57" w:rsidRPr="00F5723F" w:rsidRDefault="00B43C57">
            <w:pPr>
              <w:pStyle w:val="Tabelltext"/>
            </w:pPr>
          </w:p>
        </w:tc>
        <w:tc>
          <w:tcPr>
            <w:tcW w:w="2840" w:type="dxa"/>
          </w:tcPr>
          <w:p w:rsidR="00B43C57" w:rsidRPr="00F5723F" w:rsidRDefault="00B43C57">
            <w:pPr>
              <w:pStyle w:val="Tabelltext"/>
              <w:ind w:left="148" w:hanging="148"/>
            </w:pPr>
          </w:p>
        </w:tc>
        <w:tc>
          <w:tcPr>
            <w:tcW w:w="456"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7"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34"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7"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58" w:type="dxa"/>
          </w:tcPr>
          <w:p w:rsidR="00B43C57" w:rsidRPr="00F5723F" w:rsidRDefault="00B43C57">
            <w:pPr>
              <w:pStyle w:val="Tabelltextsiffror"/>
              <w:jc w:val="center"/>
            </w:pPr>
          </w:p>
        </w:tc>
        <w:tc>
          <w:tcPr>
            <w:tcW w:w="457" w:type="dxa"/>
          </w:tcPr>
          <w:p w:rsidR="00B43C57" w:rsidRPr="00F5723F" w:rsidRDefault="00B43C57">
            <w:pPr>
              <w:pStyle w:val="Tabelltextsiffror"/>
              <w:jc w:val="center"/>
            </w:pPr>
          </w:p>
        </w:tc>
      </w:tr>
      <w:tr w:rsidR="00000000" w:rsidRPr="00F5723F">
        <w:tblPrEx>
          <w:tblCellMar>
            <w:top w:w="0" w:type="dxa"/>
            <w:bottom w:w="0" w:type="dxa"/>
          </w:tblCellMar>
        </w:tblPrEx>
        <w:tc>
          <w:tcPr>
            <w:tcW w:w="271" w:type="dxa"/>
            <w:shd w:val="pct5" w:color="auto" w:fill="auto"/>
          </w:tcPr>
          <w:p w:rsidR="00B43C57" w:rsidRPr="00F5723F" w:rsidRDefault="00B43C57">
            <w:pPr>
              <w:pStyle w:val="Tabelltext"/>
            </w:pPr>
            <w:r w:rsidRPr="00F5723F">
              <w:t>4</w:t>
            </w:r>
          </w:p>
        </w:tc>
        <w:tc>
          <w:tcPr>
            <w:tcW w:w="2840" w:type="dxa"/>
            <w:shd w:val="pct5" w:color="auto" w:fill="auto"/>
          </w:tcPr>
          <w:p w:rsidR="00B43C57" w:rsidRPr="00F5723F" w:rsidRDefault="00B43C57">
            <w:pPr>
              <w:pStyle w:val="Tabelltext"/>
              <w:ind w:left="148" w:hanging="148"/>
            </w:pPr>
            <w:r w:rsidRPr="00F5723F">
              <w:t xml:space="preserve">Ledamöter med </w:t>
            </w:r>
            <w:r w:rsidRPr="00F5723F">
              <w:rPr>
                <w:i/>
              </w:rPr>
              <w:t>något</w:t>
            </w:r>
            <w:r w:rsidRPr="00F5723F">
              <w:t xml:space="preserve"> kommunalt up</w:t>
            </w:r>
            <w:r w:rsidRPr="00F5723F">
              <w:t>p</w:t>
            </w:r>
            <w:r w:rsidRPr="00F5723F">
              <w:t>drag (något uppdrag enligt 1–3)</w:t>
            </w:r>
          </w:p>
        </w:tc>
        <w:tc>
          <w:tcPr>
            <w:tcW w:w="456" w:type="dxa"/>
            <w:shd w:val="pct5" w:color="auto" w:fill="auto"/>
          </w:tcPr>
          <w:p w:rsidR="00B43C57" w:rsidRPr="00F5723F" w:rsidRDefault="00B43C57">
            <w:pPr>
              <w:pStyle w:val="Tabelltextsiffror"/>
              <w:jc w:val="center"/>
            </w:pPr>
            <w:r w:rsidRPr="00F5723F">
              <w:t>25</w:t>
            </w:r>
          </w:p>
        </w:tc>
        <w:tc>
          <w:tcPr>
            <w:tcW w:w="308" w:type="dxa"/>
            <w:shd w:val="pct5" w:color="auto" w:fill="auto"/>
          </w:tcPr>
          <w:p w:rsidR="00B43C57" w:rsidRPr="00F5723F" w:rsidRDefault="00B43C57">
            <w:pPr>
              <w:pStyle w:val="Tabelltextsiffror"/>
              <w:jc w:val="center"/>
            </w:pPr>
            <w:r w:rsidRPr="00F5723F">
              <w:t>36</w:t>
            </w:r>
          </w:p>
        </w:tc>
        <w:tc>
          <w:tcPr>
            <w:tcW w:w="307" w:type="dxa"/>
            <w:shd w:val="pct5" w:color="auto" w:fill="auto"/>
          </w:tcPr>
          <w:p w:rsidR="00B43C57" w:rsidRPr="00F5723F" w:rsidRDefault="00B43C57">
            <w:pPr>
              <w:pStyle w:val="Tabelltextsiffror"/>
              <w:jc w:val="center"/>
            </w:pPr>
            <w:r w:rsidRPr="00F5723F">
              <w:t>18</w:t>
            </w:r>
          </w:p>
        </w:tc>
        <w:tc>
          <w:tcPr>
            <w:tcW w:w="309" w:type="dxa"/>
            <w:shd w:val="pct5" w:color="auto" w:fill="auto"/>
          </w:tcPr>
          <w:p w:rsidR="00B43C57" w:rsidRPr="00F5723F" w:rsidRDefault="00B43C57">
            <w:pPr>
              <w:pStyle w:val="Tabelltextsiffror"/>
              <w:jc w:val="center"/>
            </w:pPr>
            <w:r w:rsidRPr="00F5723F">
              <w:t>5</w:t>
            </w:r>
          </w:p>
        </w:tc>
        <w:tc>
          <w:tcPr>
            <w:tcW w:w="308" w:type="dxa"/>
            <w:shd w:val="pct5" w:color="auto" w:fill="auto"/>
          </w:tcPr>
          <w:p w:rsidR="00B43C57" w:rsidRPr="00F5723F" w:rsidRDefault="00B43C57">
            <w:pPr>
              <w:pStyle w:val="Tabelltextsiffror"/>
              <w:jc w:val="center"/>
            </w:pPr>
            <w:r w:rsidRPr="00F5723F">
              <w:t>21</w:t>
            </w:r>
          </w:p>
        </w:tc>
        <w:tc>
          <w:tcPr>
            <w:tcW w:w="434" w:type="dxa"/>
            <w:shd w:val="pct5" w:color="auto" w:fill="auto"/>
          </w:tcPr>
          <w:p w:rsidR="00B43C57" w:rsidRPr="00F5723F" w:rsidRDefault="00B43C57">
            <w:pPr>
              <w:pStyle w:val="Tabelltextsiffror"/>
              <w:jc w:val="center"/>
            </w:pPr>
            <w:r w:rsidRPr="00F5723F">
              <w:t>27</w:t>
            </w:r>
          </w:p>
        </w:tc>
        <w:tc>
          <w:tcPr>
            <w:tcW w:w="192" w:type="dxa"/>
            <w:shd w:val="pct5" w:color="auto" w:fill="auto"/>
          </w:tcPr>
          <w:p w:rsidR="00B43C57" w:rsidRPr="00F5723F" w:rsidRDefault="00B43C57">
            <w:pPr>
              <w:pStyle w:val="Tabelltextsiffror"/>
              <w:jc w:val="center"/>
            </w:pPr>
          </w:p>
        </w:tc>
        <w:tc>
          <w:tcPr>
            <w:tcW w:w="449" w:type="dxa"/>
            <w:shd w:val="pct5" w:color="auto" w:fill="auto"/>
          </w:tcPr>
          <w:p w:rsidR="00B43C57" w:rsidRPr="00F5723F" w:rsidRDefault="00B43C57">
            <w:pPr>
              <w:pStyle w:val="Tabelltextsiffror"/>
              <w:jc w:val="center"/>
            </w:pPr>
            <w:r w:rsidRPr="00F5723F">
              <w:t>44</w:t>
            </w:r>
          </w:p>
        </w:tc>
        <w:tc>
          <w:tcPr>
            <w:tcW w:w="431" w:type="dxa"/>
            <w:shd w:val="pct5" w:color="auto" w:fill="auto"/>
          </w:tcPr>
          <w:p w:rsidR="00B43C57" w:rsidRPr="00F5723F" w:rsidRDefault="00B43C57">
            <w:pPr>
              <w:pStyle w:val="Tabelltextsiffror"/>
              <w:jc w:val="center"/>
            </w:pPr>
            <w:r w:rsidRPr="00F5723F">
              <w:t>35</w:t>
            </w:r>
          </w:p>
        </w:tc>
        <w:tc>
          <w:tcPr>
            <w:tcW w:w="431" w:type="dxa"/>
            <w:shd w:val="pct5" w:color="auto" w:fill="auto"/>
          </w:tcPr>
          <w:p w:rsidR="00B43C57" w:rsidRPr="00F5723F" w:rsidRDefault="00B43C57">
            <w:pPr>
              <w:pStyle w:val="Tabelltextsiffror"/>
              <w:jc w:val="center"/>
            </w:pPr>
            <w:r w:rsidRPr="00F5723F">
              <w:t>50</w:t>
            </w:r>
          </w:p>
        </w:tc>
        <w:tc>
          <w:tcPr>
            <w:tcW w:w="431" w:type="dxa"/>
            <w:shd w:val="pct5" w:color="auto" w:fill="auto"/>
          </w:tcPr>
          <w:p w:rsidR="00B43C57" w:rsidRPr="00F5723F" w:rsidRDefault="00B43C57">
            <w:pPr>
              <w:pStyle w:val="Tabelltextsiffror"/>
              <w:jc w:val="center"/>
            </w:pPr>
            <w:r w:rsidRPr="00F5723F">
              <w:t>18</w:t>
            </w:r>
          </w:p>
        </w:tc>
        <w:tc>
          <w:tcPr>
            <w:tcW w:w="431" w:type="dxa"/>
            <w:shd w:val="pct5" w:color="auto" w:fill="auto"/>
          </w:tcPr>
          <w:p w:rsidR="00B43C57" w:rsidRPr="00F5723F" w:rsidRDefault="00B43C57">
            <w:pPr>
              <w:pStyle w:val="Tabelltextsiffror"/>
              <w:jc w:val="center"/>
            </w:pPr>
            <w:r w:rsidRPr="00F5723F">
              <w:t>33</w:t>
            </w:r>
          </w:p>
        </w:tc>
        <w:tc>
          <w:tcPr>
            <w:tcW w:w="431" w:type="dxa"/>
            <w:shd w:val="pct5" w:color="auto" w:fill="auto"/>
          </w:tcPr>
          <w:p w:rsidR="00B43C57" w:rsidRPr="00F5723F" w:rsidRDefault="00B43C57">
            <w:pPr>
              <w:pStyle w:val="Tabelltextsiffror"/>
              <w:jc w:val="center"/>
            </w:pPr>
            <w:r w:rsidRPr="00F5723F">
              <w:t>41</w:t>
            </w:r>
          </w:p>
        </w:tc>
        <w:tc>
          <w:tcPr>
            <w:tcW w:w="431" w:type="dxa"/>
            <w:shd w:val="pct5" w:color="auto" w:fill="auto"/>
          </w:tcPr>
          <w:p w:rsidR="00B43C57" w:rsidRPr="00F5723F" w:rsidRDefault="00B43C57">
            <w:pPr>
              <w:pStyle w:val="Tabelltextsiffror"/>
              <w:jc w:val="center"/>
            </w:pPr>
            <w:r w:rsidRPr="00F5723F">
              <w:t>6</w:t>
            </w:r>
          </w:p>
        </w:tc>
        <w:tc>
          <w:tcPr>
            <w:tcW w:w="437" w:type="dxa"/>
            <w:shd w:val="pct5" w:color="auto" w:fill="auto"/>
          </w:tcPr>
          <w:p w:rsidR="00B43C57" w:rsidRPr="00F5723F" w:rsidRDefault="00B43C57">
            <w:pPr>
              <w:pStyle w:val="Tabelltextsiffror"/>
              <w:jc w:val="center"/>
            </w:pPr>
            <w:r w:rsidRPr="00F5723F">
              <w:t>35</w:t>
            </w:r>
          </w:p>
        </w:tc>
        <w:tc>
          <w:tcPr>
            <w:tcW w:w="192" w:type="dxa"/>
            <w:shd w:val="pct5" w:color="auto" w:fill="auto"/>
          </w:tcPr>
          <w:p w:rsidR="00B43C57" w:rsidRPr="00F5723F" w:rsidRDefault="00B43C57">
            <w:pPr>
              <w:pStyle w:val="Tabelltextsiffror"/>
              <w:jc w:val="center"/>
            </w:pPr>
          </w:p>
        </w:tc>
        <w:tc>
          <w:tcPr>
            <w:tcW w:w="304" w:type="dxa"/>
            <w:shd w:val="pct5" w:color="auto" w:fill="auto"/>
          </w:tcPr>
          <w:p w:rsidR="00B43C57" w:rsidRPr="00F5723F" w:rsidRDefault="00B43C57">
            <w:pPr>
              <w:pStyle w:val="Tabelltextsiffror"/>
              <w:jc w:val="center"/>
            </w:pPr>
            <w:r w:rsidRPr="00F5723F">
              <w:t>30</w:t>
            </w:r>
          </w:p>
        </w:tc>
        <w:tc>
          <w:tcPr>
            <w:tcW w:w="308" w:type="dxa"/>
            <w:shd w:val="pct5" w:color="auto" w:fill="auto"/>
          </w:tcPr>
          <w:p w:rsidR="00B43C57" w:rsidRPr="00F5723F" w:rsidRDefault="00B43C57">
            <w:pPr>
              <w:pStyle w:val="Tabelltextsiffror"/>
              <w:jc w:val="center"/>
            </w:pPr>
            <w:r w:rsidRPr="00F5723F">
              <w:t>33</w:t>
            </w:r>
          </w:p>
        </w:tc>
        <w:tc>
          <w:tcPr>
            <w:tcW w:w="309" w:type="dxa"/>
            <w:shd w:val="pct5" w:color="auto" w:fill="auto"/>
          </w:tcPr>
          <w:p w:rsidR="00B43C57" w:rsidRPr="00F5723F" w:rsidRDefault="00B43C57">
            <w:pPr>
              <w:pStyle w:val="Tabelltextsiffror"/>
              <w:jc w:val="center"/>
            </w:pPr>
            <w:r w:rsidRPr="00F5723F">
              <w:t>36</w:t>
            </w:r>
          </w:p>
        </w:tc>
        <w:tc>
          <w:tcPr>
            <w:tcW w:w="308" w:type="dxa"/>
            <w:shd w:val="pct5" w:color="auto" w:fill="auto"/>
          </w:tcPr>
          <w:p w:rsidR="00B43C57" w:rsidRPr="00F5723F" w:rsidRDefault="00B43C57">
            <w:pPr>
              <w:pStyle w:val="Tabelltextsiffror"/>
              <w:jc w:val="center"/>
            </w:pPr>
            <w:r w:rsidRPr="00F5723F">
              <w:t>22</w:t>
            </w:r>
          </w:p>
        </w:tc>
        <w:tc>
          <w:tcPr>
            <w:tcW w:w="309" w:type="dxa"/>
            <w:shd w:val="pct5" w:color="auto" w:fill="auto"/>
          </w:tcPr>
          <w:p w:rsidR="00B43C57" w:rsidRPr="00F5723F" w:rsidRDefault="00B43C57">
            <w:pPr>
              <w:pStyle w:val="Tabelltextsiffror"/>
              <w:jc w:val="center"/>
            </w:pPr>
            <w:r w:rsidRPr="00F5723F">
              <w:t>33</w:t>
            </w:r>
          </w:p>
        </w:tc>
        <w:tc>
          <w:tcPr>
            <w:tcW w:w="308" w:type="dxa"/>
            <w:shd w:val="pct5" w:color="auto" w:fill="auto"/>
          </w:tcPr>
          <w:p w:rsidR="00B43C57" w:rsidRPr="00F5723F" w:rsidRDefault="00B43C57">
            <w:pPr>
              <w:pStyle w:val="Tabelltextsiffror"/>
              <w:jc w:val="center"/>
            </w:pPr>
            <w:r w:rsidRPr="00F5723F">
              <w:t>21</w:t>
            </w:r>
          </w:p>
        </w:tc>
        <w:tc>
          <w:tcPr>
            <w:tcW w:w="458" w:type="dxa"/>
            <w:shd w:val="pct5" w:color="auto" w:fill="auto"/>
          </w:tcPr>
          <w:p w:rsidR="00B43C57" w:rsidRPr="00F5723F" w:rsidRDefault="00B43C57">
            <w:pPr>
              <w:pStyle w:val="Tabelltextsiffror"/>
              <w:jc w:val="center"/>
            </w:pPr>
            <w:r w:rsidRPr="00F5723F">
              <w:t>24</w:t>
            </w:r>
          </w:p>
        </w:tc>
        <w:tc>
          <w:tcPr>
            <w:tcW w:w="457" w:type="dxa"/>
            <w:shd w:val="pct5" w:color="auto" w:fill="auto"/>
          </w:tcPr>
          <w:p w:rsidR="00B43C57" w:rsidRPr="00F5723F" w:rsidRDefault="00B43C57">
            <w:pPr>
              <w:pStyle w:val="Tabelltextsiffror"/>
              <w:jc w:val="center"/>
            </w:pPr>
            <w:r w:rsidRPr="00F5723F">
              <w:t>30</w:t>
            </w:r>
          </w:p>
        </w:tc>
      </w:tr>
      <w:tr w:rsidR="00000000" w:rsidRPr="00F5723F">
        <w:tblPrEx>
          <w:tblCellMar>
            <w:top w:w="0" w:type="dxa"/>
            <w:bottom w:w="0" w:type="dxa"/>
          </w:tblCellMar>
        </w:tblPrEx>
        <w:tc>
          <w:tcPr>
            <w:tcW w:w="271" w:type="dxa"/>
          </w:tcPr>
          <w:p w:rsidR="00B43C57" w:rsidRPr="00F5723F" w:rsidRDefault="00B43C57">
            <w:pPr>
              <w:pStyle w:val="Tabelltext"/>
            </w:pPr>
          </w:p>
        </w:tc>
        <w:tc>
          <w:tcPr>
            <w:tcW w:w="2840" w:type="dxa"/>
          </w:tcPr>
          <w:p w:rsidR="00B43C57" w:rsidRPr="00F5723F" w:rsidRDefault="00B43C57">
            <w:pPr>
              <w:pStyle w:val="Tabelltext"/>
              <w:ind w:left="148" w:hanging="148"/>
            </w:pPr>
          </w:p>
        </w:tc>
        <w:tc>
          <w:tcPr>
            <w:tcW w:w="456"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7"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34"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7"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58" w:type="dxa"/>
          </w:tcPr>
          <w:p w:rsidR="00B43C57" w:rsidRPr="00F5723F" w:rsidRDefault="00B43C57">
            <w:pPr>
              <w:pStyle w:val="Tabelltextsiffror"/>
              <w:jc w:val="center"/>
            </w:pPr>
          </w:p>
        </w:tc>
        <w:tc>
          <w:tcPr>
            <w:tcW w:w="457" w:type="dxa"/>
          </w:tcPr>
          <w:p w:rsidR="00B43C57" w:rsidRPr="00F5723F" w:rsidRDefault="00B43C57">
            <w:pPr>
              <w:pStyle w:val="Tabelltextsiffror"/>
              <w:jc w:val="center"/>
            </w:pPr>
          </w:p>
        </w:tc>
      </w:tr>
      <w:tr w:rsidR="00000000" w:rsidRPr="00F5723F">
        <w:tblPrEx>
          <w:tblCellMar>
            <w:top w:w="0" w:type="dxa"/>
            <w:bottom w:w="0" w:type="dxa"/>
          </w:tblCellMar>
        </w:tblPrEx>
        <w:tc>
          <w:tcPr>
            <w:tcW w:w="271" w:type="dxa"/>
          </w:tcPr>
          <w:p w:rsidR="00B43C57" w:rsidRPr="00F5723F" w:rsidRDefault="00B43C57">
            <w:pPr>
              <w:pStyle w:val="Tabelltext"/>
            </w:pPr>
            <w:r w:rsidRPr="00F5723F">
              <w:t>5</w:t>
            </w:r>
          </w:p>
        </w:tc>
        <w:tc>
          <w:tcPr>
            <w:tcW w:w="2840" w:type="dxa"/>
          </w:tcPr>
          <w:p w:rsidR="00B43C57" w:rsidRPr="00F5723F" w:rsidRDefault="00B43C57">
            <w:pPr>
              <w:pStyle w:val="Tabelltext"/>
              <w:ind w:left="148" w:hanging="148"/>
            </w:pPr>
            <w:r w:rsidRPr="00F5723F">
              <w:t>Ledamöter av landstingsfullmäkt</w:t>
            </w:r>
            <w:r w:rsidRPr="00F5723F">
              <w:t>i</w:t>
            </w:r>
            <w:r w:rsidRPr="00F5723F">
              <w:t>ge/regionfullmäktige</w:t>
            </w:r>
          </w:p>
        </w:tc>
        <w:tc>
          <w:tcPr>
            <w:tcW w:w="456" w:type="dxa"/>
          </w:tcPr>
          <w:p w:rsidR="00B43C57" w:rsidRPr="00F5723F" w:rsidRDefault="00B43C57">
            <w:pPr>
              <w:pStyle w:val="Tabelltextsiffror"/>
              <w:jc w:val="center"/>
            </w:pPr>
            <w:r w:rsidRPr="00F5723F">
              <w:t>5</w:t>
            </w:r>
          </w:p>
        </w:tc>
        <w:tc>
          <w:tcPr>
            <w:tcW w:w="308" w:type="dxa"/>
          </w:tcPr>
          <w:p w:rsidR="00B43C57" w:rsidRPr="00F5723F" w:rsidRDefault="00B43C57">
            <w:pPr>
              <w:pStyle w:val="Tabelltextsiffror"/>
              <w:jc w:val="center"/>
            </w:pPr>
            <w:r w:rsidRPr="00F5723F">
              <w:t>5</w:t>
            </w:r>
          </w:p>
        </w:tc>
        <w:tc>
          <w:tcPr>
            <w:tcW w:w="307" w:type="dxa"/>
          </w:tcPr>
          <w:p w:rsidR="00B43C57" w:rsidRPr="00F5723F" w:rsidRDefault="00B43C57">
            <w:pPr>
              <w:pStyle w:val="Tabelltextsiffror"/>
              <w:jc w:val="center"/>
            </w:pPr>
            <w:r w:rsidRPr="00F5723F">
              <w:t>14</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11</w:t>
            </w:r>
          </w:p>
        </w:tc>
        <w:tc>
          <w:tcPr>
            <w:tcW w:w="434" w:type="dxa"/>
          </w:tcPr>
          <w:p w:rsidR="00B43C57" w:rsidRPr="00F5723F" w:rsidRDefault="00B43C57">
            <w:pPr>
              <w:pStyle w:val="Tabelltextsiffror"/>
              <w:jc w:val="center"/>
            </w:pPr>
            <w:r w:rsidRPr="00F5723F">
              <w:t>8</w:t>
            </w: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r w:rsidRPr="00F5723F">
              <w:t>5</w:t>
            </w:r>
          </w:p>
        </w:tc>
        <w:tc>
          <w:tcPr>
            <w:tcW w:w="431" w:type="dxa"/>
          </w:tcPr>
          <w:p w:rsidR="00B43C57" w:rsidRPr="00F5723F" w:rsidRDefault="00B43C57">
            <w:pPr>
              <w:pStyle w:val="Tabelltextsiffror"/>
              <w:jc w:val="center"/>
            </w:pPr>
            <w:r w:rsidRPr="00F5723F">
              <w:t>2</w:t>
            </w:r>
          </w:p>
        </w:tc>
        <w:tc>
          <w:tcPr>
            <w:tcW w:w="431" w:type="dxa"/>
          </w:tcPr>
          <w:p w:rsidR="00B43C57" w:rsidRPr="00F5723F" w:rsidRDefault="00B43C57">
            <w:pPr>
              <w:pStyle w:val="Tabelltextsiffror"/>
              <w:jc w:val="center"/>
            </w:pPr>
            <w:r w:rsidRPr="00F5723F">
              <w:t>11</w:t>
            </w:r>
          </w:p>
        </w:tc>
        <w:tc>
          <w:tcPr>
            <w:tcW w:w="431" w:type="dxa"/>
          </w:tcPr>
          <w:p w:rsidR="00B43C57" w:rsidRPr="00F5723F" w:rsidRDefault="00B43C57">
            <w:pPr>
              <w:pStyle w:val="Tabelltextsiffror"/>
              <w:jc w:val="center"/>
            </w:pPr>
            <w:r w:rsidRPr="00F5723F">
              <w:t>---</w:t>
            </w:r>
          </w:p>
        </w:tc>
        <w:tc>
          <w:tcPr>
            <w:tcW w:w="431" w:type="dxa"/>
          </w:tcPr>
          <w:p w:rsidR="00B43C57" w:rsidRPr="00F5723F" w:rsidRDefault="00B43C57">
            <w:pPr>
              <w:pStyle w:val="Tabelltextsiffror"/>
              <w:jc w:val="center"/>
            </w:pPr>
            <w:r w:rsidRPr="00F5723F">
              <w:t>6</w:t>
            </w:r>
          </w:p>
        </w:tc>
        <w:tc>
          <w:tcPr>
            <w:tcW w:w="431" w:type="dxa"/>
          </w:tcPr>
          <w:p w:rsidR="00B43C57" w:rsidRPr="00F5723F" w:rsidRDefault="00B43C57">
            <w:pPr>
              <w:pStyle w:val="Tabelltextsiffror"/>
              <w:jc w:val="center"/>
            </w:pPr>
            <w:r w:rsidRPr="00F5723F">
              <w:t>10</w:t>
            </w:r>
          </w:p>
        </w:tc>
        <w:tc>
          <w:tcPr>
            <w:tcW w:w="431" w:type="dxa"/>
          </w:tcPr>
          <w:p w:rsidR="00B43C57" w:rsidRPr="00F5723F" w:rsidRDefault="00B43C57">
            <w:pPr>
              <w:pStyle w:val="Tabelltextsiffror"/>
              <w:jc w:val="center"/>
            </w:pPr>
            <w:r w:rsidRPr="00F5723F">
              <w:t>---</w:t>
            </w:r>
          </w:p>
        </w:tc>
        <w:tc>
          <w:tcPr>
            <w:tcW w:w="437" w:type="dxa"/>
          </w:tcPr>
          <w:p w:rsidR="00B43C57" w:rsidRPr="00F5723F" w:rsidRDefault="00B43C57">
            <w:pPr>
              <w:pStyle w:val="Tabelltextsiffror"/>
              <w:jc w:val="center"/>
            </w:pPr>
            <w:r w:rsidRPr="00F5723F">
              <w:t>4</w:t>
            </w: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1</w:t>
            </w:r>
          </w:p>
        </w:tc>
        <w:tc>
          <w:tcPr>
            <w:tcW w:w="309" w:type="dxa"/>
          </w:tcPr>
          <w:p w:rsidR="00B43C57" w:rsidRPr="00F5723F" w:rsidRDefault="00B43C57">
            <w:pPr>
              <w:pStyle w:val="Tabelltextsiffror"/>
              <w:jc w:val="center"/>
            </w:pPr>
            <w:r w:rsidRPr="00F5723F">
              <w:t>5</w:t>
            </w:r>
          </w:p>
        </w:tc>
        <w:tc>
          <w:tcPr>
            <w:tcW w:w="308" w:type="dxa"/>
          </w:tcPr>
          <w:p w:rsidR="00B43C57" w:rsidRPr="00F5723F" w:rsidRDefault="00B43C57">
            <w:pPr>
              <w:pStyle w:val="Tabelltextsiffror"/>
              <w:jc w:val="center"/>
            </w:pPr>
            <w:r w:rsidRPr="00F5723F">
              <w:t>2</w:t>
            </w:r>
          </w:p>
        </w:tc>
        <w:tc>
          <w:tcPr>
            <w:tcW w:w="309" w:type="dxa"/>
          </w:tcPr>
          <w:p w:rsidR="00B43C57" w:rsidRPr="00F5723F" w:rsidRDefault="00B43C57">
            <w:pPr>
              <w:pStyle w:val="Tabelltextsiffror"/>
              <w:jc w:val="center"/>
            </w:pPr>
            <w:r w:rsidRPr="00F5723F">
              <w:t>7</w:t>
            </w:r>
          </w:p>
        </w:tc>
        <w:tc>
          <w:tcPr>
            <w:tcW w:w="308" w:type="dxa"/>
          </w:tcPr>
          <w:p w:rsidR="00B43C57" w:rsidRPr="00F5723F" w:rsidRDefault="00B43C57">
            <w:pPr>
              <w:pStyle w:val="Tabelltextsiffror"/>
              <w:jc w:val="center"/>
            </w:pPr>
            <w:r w:rsidRPr="00F5723F">
              <w:t>3</w:t>
            </w:r>
          </w:p>
        </w:tc>
        <w:tc>
          <w:tcPr>
            <w:tcW w:w="458" w:type="dxa"/>
          </w:tcPr>
          <w:p w:rsidR="00B43C57" w:rsidRPr="00F5723F" w:rsidRDefault="00B43C57">
            <w:pPr>
              <w:pStyle w:val="Tabelltextsiffror"/>
              <w:jc w:val="center"/>
            </w:pPr>
            <w:r w:rsidRPr="00F5723F">
              <w:t>0</w:t>
            </w:r>
          </w:p>
        </w:tc>
        <w:tc>
          <w:tcPr>
            <w:tcW w:w="457" w:type="dxa"/>
          </w:tcPr>
          <w:p w:rsidR="00B43C57" w:rsidRPr="00F5723F" w:rsidRDefault="00B43C57">
            <w:pPr>
              <w:pStyle w:val="Tabelltextsiffror"/>
              <w:jc w:val="center"/>
            </w:pPr>
            <w:r w:rsidRPr="00F5723F">
              <w:t>2</w:t>
            </w:r>
          </w:p>
        </w:tc>
      </w:tr>
      <w:tr w:rsidR="00000000" w:rsidRPr="00F5723F">
        <w:tblPrEx>
          <w:tblCellMar>
            <w:top w:w="0" w:type="dxa"/>
            <w:bottom w:w="0" w:type="dxa"/>
          </w:tblCellMar>
        </w:tblPrEx>
        <w:tc>
          <w:tcPr>
            <w:tcW w:w="271" w:type="dxa"/>
          </w:tcPr>
          <w:p w:rsidR="00B43C57" w:rsidRPr="00F5723F" w:rsidRDefault="00B43C57">
            <w:pPr>
              <w:pStyle w:val="Tabelltext"/>
            </w:pPr>
            <w:r w:rsidRPr="00F5723F">
              <w:t>6</w:t>
            </w:r>
          </w:p>
        </w:tc>
        <w:tc>
          <w:tcPr>
            <w:tcW w:w="2840" w:type="dxa"/>
          </w:tcPr>
          <w:p w:rsidR="00B43C57" w:rsidRPr="00F5723F" w:rsidRDefault="00B43C57">
            <w:pPr>
              <w:pStyle w:val="Tabelltext"/>
              <w:ind w:left="148" w:hanging="148"/>
            </w:pPr>
            <w:r w:rsidRPr="00F5723F">
              <w:t>Ledamöter av landstingsstyre</w:t>
            </w:r>
            <w:r w:rsidRPr="00F5723F">
              <w:t>l</w:t>
            </w:r>
            <w:r w:rsidRPr="00F5723F">
              <w:t>se/regionstyrelse</w:t>
            </w:r>
          </w:p>
        </w:tc>
        <w:tc>
          <w:tcPr>
            <w:tcW w:w="456"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1</w:t>
            </w:r>
          </w:p>
        </w:tc>
        <w:tc>
          <w:tcPr>
            <w:tcW w:w="307" w:type="dxa"/>
          </w:tcPr>
          <w:p w:rsidR="00B43C57" w:rsidRPr="00F5723F" w:rsidRDefault="00B43C57">
            <w:pPr>
              <w:pStyle w:val="Tabelltextsiffror"/>
              <w:jc w:val="center"/>
            </w:pPr>
            <w:r w:rsidRPr="00F5723F">
              <w:t>4</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1</w:t>
            </w:r>
          </w:p>
        </w:tc>
        <w:tc>
          <w:tcPr>
            <w:tcW w:w="434" w:type="dxa"/>
          </w:tcPr>
          <w:p w:rsidR="00B43C57" w:rsidRPr="00F5723F" w:rsidRDefault="00B43C57">
            <w:pPr>
              <w:pStyle w:val="Tabelltextsiffror"/>
              <w:jc w:val="center"/>
            </w:pPr>
            <w:r w:rsidRPr="00F5723F">
              <w:t>2</w:t>
            </w: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r w:rsidRPr="00F5723F">
              <w:t>u.s.</w:t>
            </w:r>
          </w:p>
        </w:tc>
        <w:tc>
          <w:tcPr>
            <w:tcW w:w="431" w:type="dxa"/>
          </w:tcPr>
          <w:p w:rsidR="00B43C57" w:rsidRPr="00F5723F" w:rsidRDefault="00B43C57">
            <w:pPr>
              <w:pStyle w:val="Tabelltextsiffror"/>
              <w:jc w:val="center"/>
            </w:pPr>
            <w:r w:rsidRPr="00F5723F">
              <w:t>u.s.</w:t>
            </w:r>
          </w:p>
        </w:tc>
        <w:tc>
          <w:tcPr>
            <w:tcW w:w="431" w:type="dxa"/>
          </w:tcPr>
          <w:p w:rsidR="00B43C57" w:rsidRPr="00F5723F" w:rsidRDefault="00B43C57">
            <w:pPr>
              <w:pStyle w:val="Tabelltextsiffror"/>
              <w:jc w:val="center"/>
            </w:pPr>
            <w:r w:rsidRPr="00F5723F">
              <w:t>u.s.</w:t>
            </w:r>
          </w:p>
        </w:tc>
        <w:tc>
          <w:tcPr>
            <w:tcW w:w="431" w:type="dxa"/>
          </w:tcPr>
          <w:p w:rsidR="00B43C57" w:rsidRPr="00F5723F" w:rsidRDefault="00B43C57">
            <w:pPr>
              <w:pStyle w:val="Tabelltextsiffror"/>
              <w:jc w:val="center"/>
            </w:pPr>
            <w:r w:rsidRPr="00F5723F">
              <w:t>u.s.</w:t>
            </w:r>
          </w:p>
        </w:tc>
        <w:tc>
          <w:tcPr>
            <w:tcW w:w="431" w:type="dxa"/>
          </w:tcPr>
          <w:p w:rsidR="00B43C57" w:rsidRPr="00F5723F" w:rsidRDefault="00B43C57">
            <w:pPr>
              <w:pStyle w:val="Tabelltextsiffror"/>
              <w:jc w:val="center"/>
            </w:pPr>
            <w:r w:rsidRPr="00F5723F">
              <w:t>u.s.</w:t>
            </w:r>
          </w:p>
        </w:tc>
        <w:tc>
          <w:tcPr>
            <w:tcW w:w="431" w:type="dxa"/>
          </w:tcPr>
          <w:p w:rsidR="00B43C57" w:rsidRPr="00F5723F" w:rsidRDefault="00B43C57">
            <w:pPr>
              <w:pStyle w:val="Tabelltextsiffror"/>
              <w:jc w:val="center"/>
            </w:pPr>
            <w:r w:rsidRPr="00F5723F">
              <w:t>u.s.</w:t>
            </w:r>
          </w:p>
        </w:tc>
        <w:tc>
          <w:tcPr>
            <w:tcW w:w="431" w:type="dxa"/>
          </w:tcPr>
          <w:p w:rsidR="00B43C57" w:rsidRPr="00F5723F" w:rsidRDefault="00B43C57">
            <w:pPr>
              <w:pStyle w:val="Tabelltextsiffror"/>
              <w:jc w:val="center"/>
            </w:pPr>
            <w:r w:rsidRPr="00F5723F">
              <w:t>u.s.</w:t>
            </w:r>
          </w:p>
        </w:tc>
        <w:tc>
          <w:tcPr>
            <w:tcW w:w="437" w:type="dxa"/>
          </w:tcPr>
          <w:p w:rsidR="00B43C57" w:rsidRPr="00F5723F" w:rsidRDefault="00B43C57">
            <w:pPr>
              <w:pStyle w:val="Tabelltextsiffror"/>
              <w:jc w:val="center"/>
            </w:pPr>
            <w:r w:rsidRPr="00F5723F">
              <w:t>u.s.</w:t>
            </w: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0</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0</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0</w:t>
            </w:r>
          </w:p>
        </w:tc>
        <w:tc>
          <w:tcPr>
            <w:tcW w:w="458" w:type="dxa"/>
          </w:tcPr>
          <w:p w:rsidR="00B43C57" w:rsidRPr="00F5723F" w:rsidRDefault="00B43C57">
            <w:pPr>
              <w:pStyle w:val="Tabelltextsiffror"/>
              <w:jc w:val="center"/>
            </w:pPr>
            <w:r w:rsidRPr="00F5723F">
              <w:t>0</w:t>
            </w:r>
          </w:p>
        </w:tc>
        <w:tc>
          <w:tcPr>
            <w:tcW w:w="457" w:type="dxa"/>
          </w:tcPr>
          <w:p w:rsidR="00B43C57" w:rsidRPr="00F5723F" w:rsidRDefault="00B43C57">
            <w:pPr>
              <w:pStyle w:val="Tabelltextsiffror"/>
              <w:jc w:val="center"/>
            </w:pPr>
            <w:r w:rsidRPr="00F5723F">
              <w:t>0</w:t>
            </w:r>
          </w:p>
        </w:tc>
      </w:tr>
      <w:tr w:rsidR="00000000" w:rsidRPr="00F5723F">
        <w:tblPrEx>
          <w:tblCellMar>
            <w:top w:w="0" w:type="dxa"/>
            <w:bottom w:w="0" w:type="dxa"/>
          </w:tblCellMar>
        </w:tblPrEx>
        <w:tc>
          <w:tcPr>
            <w:tcW w:w="271" w:type="dxa"/>
          </w:tcPr>
          <w:p w:rsidR="00B43C57" w:rsidRPr="00F5723F" w:rsidRDefault="00B43C57">
            <w:pPr>
              <w:pStyle w:val="Tabelltext"/>
            </w:pPr>
            <w:r w:rsidRPr="00F5723F">
              <w:t>7</w:t>
            </w:r>
          </w:p>
        </w:tc>
        <w:tc>
          <w:tcPr>
            <w:tcW w:w="2840" w:type="dxa"/>
          </w:tcPr>
          <w:p w:rsidR="00B43C57" w:rsidRPr="00F5723F" w:rsidRDefault="00B43C57">
            <w:pPr>
              <w:pStyle w:val="Tabelltext"/>
              <w:ind w:left="148" w:hanging="148"/>
            </w:pPr>
            <w:r w:rsidRPr="00F5723F">
              <w:t>Ledamöter av annan landstingsstyre</w:t>
            </w:r>
            <w:r w:rsidRPr="00F5723F">
              <w:t>l</w:t>
            </w:r>
            <w:r w:rsidRPr="00F5723F">
              <w:t>se/regionstyrelse, nämnd eller motsv</w:t>
            </w:r>
            <w:r w:rsidRPr="00F5723F">
              <w:t>a</w:t>
            </w:r>
            <w:r w:rsidRPr="00F5723F">
              <w:t>rande</w:t>
            </w:r>
          </w:p>
        </w:tc>
        <w:tc>
          <w:tcPr>
            <w:tcW w:w="456" w:type="dxa"/>
          </w:tcPr>
          <w:p w:rsidR="00B43C57" w:rsidRPr="00F5723F" w:rsidRDefault="00B43C57">
            <w:pPr>
              <w:pStyle w:val="Tabelltextsiffror"/>
              <w:jc w:val="center"/>
            </w:pPr>
            <w:r w:rsidRPr="00F5723F">
              <w:t>5</w:t>
            </w:r>
          </w:p>
        </w:tc>
        <w:tc>
          <w:tcPr>
            <w:tcW w:w="308" w:type="dxa"/>
          </w:tcPr>
          <w:p w:rsidR="00B43C57" w:rsidRPr="00F5723F" w:rsidRDefault="00B43C57">
            <w:pPr>
              <w:pStyle w:val="Tabelltextsiffror"/>
              <w:jc w:val="center"/>
            </w:pPr>
            <w:r w:rsidRPr="00F5723F">
              <w:t>1</w:t>
            </w:r>
          </w:p>
        </w:tc>
        <w:tc>
          <w:tcPr>
            <w:tcW w:w="307" w:type="dxa"/>
          </w:tcPr>
          <w:p w:rsidR="00B43C57" w:rsidRPr="00F5723F" w:rsidRDefault="00B43C57">
            <w:pPr>
              <w:pStyle w:val="Tabelltextsiffror"/>
              <w:jc w:val="center"/>
            </w:pPr>
            <w:r w:rsidRPr="00F5723F">
              <w:t>0</w:t>
            </w:r>
          </w:p>
        </w:tc>
        <w:tc>
          <w:tcPr>
            <w:tcW w:w="309" w:type="dxa"/>
          </w:tcPr>
          <w:p w:rsidR="00B43C57" w:rsidRPr="00F5723F" w:rsidRDefault="00B43C57">
            <w:pPr>
              <w:pStyle w:val="Tabelltextsiffror"/>
              <w:jc w:val="center"/>
            </w:pPr>
            <w:r w:rsidRPr="00F5723F">
              <w:t>0</w:t>
            </w:r>
          </w:p>
        </w:tc>
        <w:tc>
          <w:tcPr>
            <w:tcW w:w="308" w:type="dxa"/>
          </w:tcPr>
          <w:p w:rsidR="00B43C57" w:rsidRPr="00F5723F" w:rsidRDefault="00B43C57">
            <w:pPr>
              <w:pStyle w:val="Tabelltextsiffror"/>
              <w:jc w:val="center"/>
            </w:pPr>
            <w:r w:rsidRPr="00F5723F">
              <w:t>3</w:t>
            </w:r>
          </w:p>
        </w:tc>
        <w:tc>
          <w:tcPr>
            <w:tcW w:w="434" w:type="dxa"/>
          </w:tcPr>
          <w:p w:rsidR="00B43C57" w:rsidRPr="00F5723F" w:rsidRDefault="00B43C57">
            <w:pPr>
              <w:pStyle w:val="Tabelltextsiffror"/>
              <w:jc w:val="center"/>
            </w:pPr>
            <w:r w:rsidRPr="00F5723F">
              <w:t>3</w:t>
            </w: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r w:rsidRPr="00F5723F">
              <w:t>---</w:t>
            </w:r>
          </w:p>
        </w:tc>
        <w:tc>
          <w:tcPr>
            <w:tcW w:w="431" w:type="dxa"/>
          </w:tcPr>
          <w:p w:rsidR="00B43C57" w:rsidRPr="00F5723F" w:rsidRDefault="00B43C57">
            <w:pPr>
              <w:pStyle w:val="Tabelltextsiffror"/>
              <w:jc w:val="center"/>
            </w:pPr>
            <w:r w:rsidRPr="00F5723F">
              <w:t>---</w:t>
            </w:r>
          </w:p>
        </w:tc>
        <w:tc>
          <w:tcPr>
            <w:tcW w:w="431" w:type="dxa"/>
          </w:tcPr>
          <w:p w:rsidR="00B43C57" w:rsidRPr="00F5723F" w:rsidRDefault="00B43C57">
            <w:pPr>
              <w:pStyle w:val="Tabelltextsiffror"/>
              <w:jc w:val="center"/>
            </w:pPr>
            <w:r w:rsidRPr="00F5723F">
              <w:t>6</w:t>
            </w:r>
          </w:p>
        </w:tc>
        <w:tc>
          <w:tcPr>
            <w:tcW w:w="431" w:type="dxa"/>
          </w:tcPr>
          <w:p w:rsidR="00B43C57" w:rsidRPr="00F5723F" w:rsidRDefault="00B43C57">
            <w:pPr>
              <w:pStyle w:val="Tabelltextsiffror"/>
              <w:jc w:val="center"/>
            </w:pPr>
            <w:r w:rsidRPr="00F5723F">
              <w:t>---</w:t>
            </w:r>
          </w:p>
        </w:tc>
        <w:tc>
          <w:tcPr>
            <w:tcW w:w="431" w:type="dxa"/>
          </w:tcPr>
          <w:p w:rsidR="00B43C57" w:rsidRPr="00F5723F" w:rsidRDefault="00B43C57">
            <w:pPr>
              <w:pStyle w:val="Tabelltextsiffror"/>
              <w:jc w:val="center"/>
            </w:pPr>
            <w:r w:rsidRPr="00F5723F">
              <w:t>1</w:t>
            </w:r>
          </w:p>
        </w:tc>
        <w:tc>
          <w:tcPr>
            <w:tcW w:w="431" w:type="dxa"/>
          </w:tcPr>
          <w:p w:rsidR="00B43C57" w:rsidRPr="00F5723F" w:rsidRDefault="00B43C57">
            <w:pPr>
              <w:pStyle w:val="Tabelltextsiffror"/>
              <w:jc w:val="center"/>
            </w:pPr>
            <w:r w:rsidRPr="00F5723F">
              <w:t>7</w:t>
            </w:r>
          </w:p>
        </w:tc>
        <w:tc>
          <w:tcPr>
            <w:tcW w:w="431" w:type="dxa"/>
          </w:tcPr>
          <w:p w:rsidR="00B43C57" w:rsidRPr="00F5723F" w:rsidRDefault="00B43C57">
            <w:pPr>
              <w:pStyle w:val="Tabelltextsiffror"/>
              <w:jc w:val="center"/>
            </w:pPr>
            <w:r w:rsidRPr="00F5723F">
              <w:t>---</w:t>
            </w:r>
          </w:p>
        </w:tc>
        <w:tc>
          <w:tcPr>
            <w:tcW w:w="437" w:type="dxa"/>
          </w:tcPr>
          <w:p w:rsidR="00B43C57" w:rsidRPr="00F5723F" w:rsidRDefault="00B43C57">
            <w:pPr>
              <w:pStyle w:val="Tabelltextsiffror"/>
              <w:jc w:val="center"/>
            </w:pPr>
            <w:r w:rsidRPr="00F5723F">
              <w:t>1</w:t>
            </w: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rPr>
                <w:caps/>
              </w:rPr>
            </w:pPr>
            <w:r w:rsidRPr="00F5723F">
              <w:rPr>
                <w:caps/>
              </w:rPr>
              <w:t>3</w:t>
            </w:r>
          </w:p>
        </w:tc>
        <w:tc>
          <w:tcPr>
            <w:tcW w:w="308" w:type="dxa"/>
          </w:tcPr>
          <w:p w:rsidR="00B43C57" w:rsidRPr="00F5723F" w:rsidRDefault="00B43C57">
            <w:pPr>
              <w:pStyle w:val="Tabelltextsiffror"/>
              <w:jc w:val="center"/>
            </w:pPr>
            <w:r w:rsidRPr="00F5723F">
              <w:t>1</w:t>
            </w:r>
          </w:p>
        </w:tc>
        <w:tc>
          <w:tcPr>
            <w:tcW w:w="309" w:type="dxa"/>
          </w:tcPr>
          <w:p w:rsidR="00B43C57" w:rsidRPr="00F5723F" w:rsidRDefault="00B43C57">
            <w:pPr>
              <w:pStyle w:val="Tabelltextsiffror"/>
              <w:jc w:val="center"/>
            </w:pPr>
            <w:r w:rsidRPr="00F5723F">
              <w:t>5</w:t>
            </w:r>
          </w:p>
        </w:tc>
        <w:tc>
          <w:tcPr>
            <w:tcW w:w="308" w:type="dxa"/>
          </w:tcPr>
          <w:p w:rsidR="00B43C57" w:rsidRPr="00F5723F" w:rsidRDefault="00B43C57">
            <w:pPr>
              <w:pStyle w:val="Tabelltextsiffror"/>
              <w:jc w:val="center"/>
            </w:pPr>
            <w:r w:rsidRPr="00F5723F">
              <w:t>2</w:t>
            </w:r>
          </w:p>
        </w:tc>
        <w:tc>
          <w:tcPr>
            <w:tcW w:w="309" w:type="dxa"/>
          </w:tcPr>
          <w:p w:rsidR="00B43C57" w:rsidRPr="00F5723F" w:rsidRDefault="00B43C57">
            <w:pPr>
              <w:pStyle w:val="Tabelltextsiffror"/>
              <w:jc w:val="center"/>
            </w:pPr>
            <w:r w:rsidRPr="00F5723F">
              <w:t>2</w:t>
            </w:r>
          </w:p>
        </w:tc>
        <w:tc>
          <w:tcPr>
            <w:tcW w:w="308" w:type="dxa"/>
          </w:tcPr>
          <w:p w:rsidR="00B43C57" w:rsidRPr="00F5723F" w:rsidRDefault="00B43C57">
            <w:pPr>
              <w:pStyle w:val="Tabelltextsiffror"/>
              <w:jc w:val="center"/>
            </w:pPr>
            <w:r w:rsidRPr="00F5723F">
              <w:t>0</w:t>
            </w:r>
          </w:p>
        </w:tc>
        <w:tc>
          <w:tcPr>
            <w:tcW w:w="458" w:type="dxa"/>
          </w:tcPr>
          <w:p w:rsidR="00B43C57" w:rsidRPr="00F5723F" w:rsidRDefault="00B43C57">
            <w:pPr>
              <w:pStyle w:val="Tabelltextsiffror"/>
              <w:jc w:val="center"/>
            </w:pPr>
            <w:r w:rsidRPr="00F5723F">
              <w:t>0</w:t>
            </w:r>
          </w:p>
        </w:tc>
        <w:tc>
          <w:tcPr>
            <w:tcW w:w="457" w:type="dxa"/>
          </w:tcPr>
          <w:p w:rsidR="00B43C57" w:rsidRPr="00F5723F" w:rsidRDefault="00B43C57">
            <w:pPr>
              <w:pStyle w:val="Tabelltextsiffror"/>
              <w:jc w:val="center"/>
            </w:pPr>
            <w:r w:rsidRPr="00F5723F">
              <w:t>1</w:t>
            </w:r>
          </w:p>
        </w:tc>
      </w:tr>
      <w:tr w:rsidR="00000000" w:rsidRPr="00F5723F">
        <w:tblPrEx>
          <w:tblCellMar>
            <w:top w:w="0" w:type="dxa"/>
            <w:bottom w:w="0" w:type="dxa"/>
          </w:tblCellMar>
        </w:tblPrEx>
        <w:tc>
          <w:tcPr>
            <w:tcW w:w="271" w:type="dxa"/>
          </w:tcPr>
          <w:p w:rsidR="00B43C57" w:rsidRPr="00F5723F" w:rsidRDefault="00B43C57">
            <w:pPr>
              <w:pStyle w:val="Tabelltext"/>
            </w:pPr>
          </w:p>
        </w:tc>
        <w:tc>
          <w:tcPr>
            <w:tcW w:w="2840" w:type="dxa"/>
          </w:tcPr>
          <w:p w:rsidR="00B43C57" w:rsidRPr="00F5723F" w:rsidRDefault="00B43C57">
            <w:pPr>
              <w:pStyle w:val="Tabelltext"/>
              <w:ind w:left="148" w:hanging="148"/>
            </w:pPr>
          </w:p>
        </w:tc>
        <w:tc>
          <w:tcPr>
            <w:tcW w:w="456"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7"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34"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7"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58" w:type="dxa"/>
          </w:tcPr>
          <w:p w:rsidR="00B43C57" w:rsidRPr="00F5723F" w:rsidRDefault="00B43C57">
            <w:pPr>
              <w:pStyle w:val="Tabelltextsiffror"/>
              <w:jc w:val="center"/>
            </w:pPr>
          </w:p>
        </w:tc>
        <w:tc>
          <w:tcPr>
            <w:tcW w:w="457" w:type="dxa"/>
          </w:tcPr>
          <w:p w:rsidR="00B43C57" w:rsidRPr="00F5723F" w:rsidRDefault="00B43C57">
            <w:pPr>
              <w:pStyle w:val="Tabelltextsiffror"/>
              <w:jc w:val="center"/>
            </w:pPr>
          </w:p>
        </w:tc>
      </w:tr>
      <w:tr w:rsidR="00000000" w:rsidRPr="00F5723F">
        <w:tblPrEx>
          <w:tblCellMar>
            <w:top w:w="0" w:type="dxa"/>
            <w:bottom w:w="0" w:type="dxa"/>
          </w:tblCellMar>
        </w:tblPrEx>
        <w:tc>
          <w:tcPr>
            <w:tcW w:w="271" w:type="dxa"/>
            <w:shd w:val="pct5" w:color="auto" w:fill="auto"/>
          </w:tcPr>
          <w:p w:rsidR="00B43C57" w:rsidRPr="00F5723F" w:rsidRDefault="00B43C57">
            <w:pPr>
              <w:pStyle w:val="Tabelltext"/>
            </w:pPr>
            <w:r w:rsidRPr="00F5723F">
              <w:t>8</w:t>
            </w:r>
          </w:p>
        </w:tc>
        <w:tc>
          <w:tcPr>
            <w:tcW w:w="2840" w:type="dxa"/>
            <w:shd w:val="pct5" w:color="auto" w:fill="auto"/>
          </w:tcPr>
          <w:p w:rsidR="00B43C57" w:rsidRPr="00F5723F" w:rsidRDefault="00B43C57">
            <w:pPr>
              <w:pStyle w:val="Tabelltext"/>
              <w:ind w:left="148" w:hanging="148"/>
            </w:pPr>
            <w:r w:rsidRPr="00F5723F">
              <w:t>Ledamöter med något landstingsko</w:t>
            </w:r>
            <w:r w:rsidRPr="00F5723F">
              <w:t>m</w:t>
            </w:r>
            <w:r w:rsidRPr="00F5723F">
              <w:t>munalt/regionalt uppdrag (något up</w:t>
            </w:r>
            <w:r w:rsidRPr="00F5723F">
              <w:t>p</w:t>
            </w:r>
            <w:r w:rsidRPr="00F5723F">
              <w:t>drag enligt 5–7)</w:t>
            </w:r>
          </w:p>
        </w:tc>
        <w:tc>
          <w:tcPr>
            <w:tcW w:w="456" w:type="dxa"/>
            <w:shd w:val="pct5" w:color="auto" w:fill="auto"/>
          </w:tcPr>
          <w:p w:rsidR="00B43C57" w:rsidRPr="00F5723F" w:rsidRDefault="00B43C57">
            <w:pPr>
              <w:pStyle w:val="Tabelltextsiffror"/>
              <w:jc w:val="center"/>
            </w:pPr>
            <w:r w:rsidRPr="00F5723F">
              <w:t>10</w:t>
            </w:r>
          </w:p>
        </w:tc>
        <w:tc>
          <w:tcPr>
            <w:tcW w:w="308" w:type="dxa"/>
            <w:shd w:val="pct5" w:color="auto" w:fill="auto"/>
          </w:tcPr>
          <w:p w:rsidR="00B43C57" w:rsidRPr="00F5723F" w:rsidRDefault="00B43C57">
            <w:pPr>
              <w:pStyle w:val="Tabelltextsiffror"/>
              <w:jc w:val="center"/>
            </w:pPr>
            <w:r w:rsidRPr="00F5723F">
              <w:t>5</w:t>
            </w:r>
          </w:p>
        </w:tc>
        <w:tc>
          <w:tcPr>
            <w:tcW w:w="307" w:type="dxa"/>
            <w:shd w:val="pct5" w:color="auto" w:fill="auto"/>
          </w:tcPr>
          <w:p w:rsidR="00B43C57" w:rsidRPr="00F5723F" w:rsidRDefault="00B43C57">
            <w:pPr>
              <w:pStyle w:val="Tabelltextsiffror"/>
              <w:jc w:val="center"/>
            </w:pPr>
            <w:r w:rsidRPr="00F5723F">
              <w:t>14</w:t>
            </w:r>
          </w:p>
        </w:tc>
        <w:tc>
          <w:tcPr>
            <w:tcW w:w="309" w:type="dxa"/>
            <w:shd w:val="pct5" w:color="auto" w:fill="auto"/>
          </w:tcPr>
          <w:p w:rsidR="00B43C57" w:rsidRPr="00F5723F" w:rsidRDefault="00B43C57">
            <w:pPr>
              <w:pStyle w:val="Tabelltextsiffror"/>
              <w:jc w:val="center"/>
            </w:pPr>
            <w:r w:rsidRPr="00F5723F">
              <w:t>0</w:t>
            </w:r>
          </w:p>
        </w:tc>
        <w:tc>
          <w:tcPr>
            <w:tcW w:w="308" w:type="dxa"/>
            <w:shd w:val="pct5" w:color="auto" w:fill="auto"/>
          </w:tcPr>
          <w:p w:rsidR="00B43C57" w:rsidRPr="00F5723F" w:rsidRDefault="00B43C57">
            <w:pPr>
              <w:pStyle w:val="Tabelltextsiffror"/>
              <w:jc w:val="center"/>
            </w:pPr>
            <w:r w:rsidRPr="00F5723F">
              <w:t>12</w:t>
            </w:r>
          </w:p>
        </w:tc>
        <w:tc>
          <w:tcPr>
            <w:tcW w:w="434" w:type="dxa"/>
            <w:shd w:val="pct5" w:color="auto" w:fill="auto"/>
          </w:tcPr>
          <w:p w:rsidR="00B43C57" w:rsidRPr="00F5723F" w:rsidRDefault="00B43C57">
            <w:pPr>
              <w:pStyle w:val="Tabelltextsiffror"/>
              <w:jc w:val="center"/>
            </w:pPr>
            <w:r w:rsidRPr="00F5723F">
              <w:t>9</w:t>
            </w:r>
          </w:p>
        </w:tc>
        <w:tc>
          <w:tcPr>
            <w:tcW w:w="192" w:type="dxa"/>
            <w:shd w:val="pct5" w:color="auto" w:fill="auto"/>
          </w:tcPr>
          <w:p w:rsidR="00B43C57" w:rsidRPr="00F5723F" w:rsidRDefault="00B43C57">
            <w:pPr>
              <w:pStyle w:val="Tabelltextsiffror"/>
              <w:jc w:val="center"/>
            </w:pPr>
          </w:p>
        </w:tc>
        <w:tc>
          <w:tcPr>
            <w:tcW w:w="449" w:type="dxa"/>
            <w:shd w:val="pct5" w:color="auto" w:fill="auto"/>
          </w:tcPr>
          <w:p w:rsidR="00B43C57" w:rsidRPr="00F5723F" w:rsidRDefault="00B43C57">
            <w:pPr>
              <w:pStyle w:val="Tabelltextsiffror"/>
              <w:jc w:val="center"/>
            </w:pPr>
            <w:r w:rsidRPr="00F5723F">
              <w:t>5</w:t>
            </w:r>
          </w:p>
        </w:tc>
        <w:tc>
          <w:tcPr>
            <w:tcW w:w="431" w:type="dxa"/>
            <w:shd w:val="pct5" w:color="auto" w:fill="auto"/>
          </w:tcPr>
          <w:p w:rsidR="00B43C57" w:rsidRPr="00F5723F" w:rsidRDefault="00B43C57">
            <w:pPr>
              <w:pStyle w:val="Tabelltextsiffror"/>
              <w:jc w:val="center"/>
            </w:pPr>
            <w:r w:rsidRPr="00F5723F">
              <w:t>2</w:t>
            </w:r>
          </w:p>
        </w:tc>
        <w:tc>
          <w:tcPr>
            <w:tcW w:w="431" w:type="dxa"/>
            <w:shd w:val="pct5" w:color="auto" w:fill="auto"/>
          </w:tcPr>
          <w:p w:rsidR="00B43C57" w:rsidRPr="00F5723F" w:rsidRDefault="00B43C57">
            <w:pPr>
              <w:pStyle w:val="Tabelltextsiffror"/>
              <w:jc w:val="center"/>
            </w:pPr>
            <w:r w:rsidRPr="00F5723F">
              <w:t>17</w:t>
            </w:r>
          </w:p>
        </w:tc>
        <w:tc>
          <w:tcPr>
            <w:tcW w:w="431" w:type="dxa"/>
            <w:shd w:val="pct5" w:color="auto" w:fill="auto"/>
          </w:tcPr>
          <w:p w:rsidR="00B43C57" w:rsidRPr="00F5723F" w:rsidRDefault="00B43C57">
            <w:pPr>
              <w:pStyle w:val="Tabelltextsiffror"/>
              <w:jc w:val="center"/>
            </w:pPr>
            <w:r w:rsidRPr="00F5723F">
              <w:t>---</w:t>
            </w:r>
          </w:p>
        </w:tc>
        <w:tc>
          <w:tcPr>
            <w:tcW w:w="431" w:type="dxa"/>
            <w:shd w:val="pct5" w:color="auto" w:fill="auto"/>
          </w:tcPr>
          <w:p w:rsidR="00B43C57" w:rsidRPr="00F5723F" w:rsidRDefault="00B43C57">
            <w:pPr>
              <w:pStyle w:val="Tabelltextsiffror"/>
              <w:jc w:val="center"/>
            </w:pPr>
            <w:r w:rsidRPr="00F5723F">
              <w:t>7</w:t>
            </w:r>
          </w:p>
        </w:tc>
        <w:tc>
          <w:tcPr>
            <w:tcW w:w="431" w:type="dxa"/>
            <w:shd w:val="pct5" w:color="auto" w:fill="auto"/>
          </w:tcPr>
          <w:p w:rsidR="00B43C57" w:rsidRPr="00F5723F" w:rsidRDefault="00B43C57">
            <w:pPr>
              <w:pStyle w:val="Tabelltextsiffror"/>
              <w:jc w:val="center"/>
            </w:pPr>
            <w:r w:rsidRPr="00F5723F">
              <w:t>17</w:t>
            </w:r>
          </w:p>
        </w:tc>
        <w:tc>
          <w:tcPr>
            <w:tcW w:w="431" w:type="dxa"/>
            <w:shd w:val="pct5" w:color="auto" w:fill="auto"/>
          </w:tcPr>
          <w:p w:rsidR="00B43C57" w:rsidRPr="00F5723F" w:rsidRDefault="00B43C57">
            <w:pPr>
              <w:pStyle w:val="Tabelltextsiffror"/>
              <w:jc w:val="center"/>
            </w:pPr>
            <w:r w:rsidRPr="00F5723F">
              <w:t>---</w:t>
            </w:r>
          </w:p>
        </w:tc>
        <w:tc>
          <w:tcPr>
            <w:tcW w:w="437" w:type="dxa"/>
            <w:shd w:val="pct5" w:color="auto" w:fill="auto"/>
          </w:tcPr>
          <w:p w:rsidR="00B43C57" w:rsidRPr="00F5723F" w:rsidRDefault="00B43C57">
            <w:pPr>
              <w:pStyle w:val="Tabelltextsiffror"/>
              <w:jc w:val="center"/>
            </w:pPr>
            <w:r w:rsidRPr="00F5723F">
              <w:t>6</w:t>
            </w:r>
          </w:p>
        </w:tc>
        <w:tc>
          <w:tcPr>
            <w:tcW w:w="192" w:type="dxa"/>
            <w:shd w:val="pct5" w:color="auto" w:fill="auto"/>
          </w:tcPr>
          <w:p w:rsidR="00B43C57" w:rsidRPr="00F5723F" w:rsidRDefault="00B43C57">
            <w:pPr>
              <w:pStyle w:val="Tabelltextsiffror"/>
              <w:jc w:val="center"/>
            </w:pPr>
          </w:p>
        </w:tc>
        <w:tc>
          <w:tcPr>
            <w:tcW w:w="304" w:type="dxa"/>
            <w:shd w:val="pct5" w:color="auto" w:fill="auto"/>
          </w:tcPr>
          <w:p w:rsidR="00B43C57" w:rsidRPr="00F5723F" w:rsidRDefault="00B43C57">
            <w:pPr>
              <w:pStyle w:val="Tabelltextsiffror"/>
              <w:jc w:val="center"/>
            </w:pPr>
            <w:r w:rsidRPr="00F5723F">
              <w:t>3</w:t>
            </w:r>
          </w:p>
        </w:tc>
        <w:tc>
          <w:tcPr>
            <w:tcW w:w="308" w:type="dxa"/>
            <w:shd w:val="pct5" w:color="auto" w:fill="auto"/>
          </w:tcPr>
          <w:p w:rsidR="00B43C57" w:rsidRPr="00F5723F" w:rsidRDefault="00B43C57">
            <w:pPr>
              <w:pStyle w:val="Tabelltextsiffror"/>
              <w:jc w:val="center"/>
            </w:pPr>
            <w:r w:rsidRPr="00F5723F">
              <w:t>1</w:t>
            </w:r>
          </w:p>
        </w:tc>
        <w:tc>
          <w:tcPr>
            <w:tcW w:w="309" w:type="dxa"/>
            <w:shd w:val="pct5" w:color="auto" w:fill="auto"/>
          </w:tcPr>
          <w:p w:rsidR="00B43C57" w:rsidRPr="00F5723F" w:rsidRDefault="00B43C57">
            <w:pPr>
              <w:pStyle w:val="Tabelltextsiffror"/>
              <w:jc w:val="center"/>
            </w:pPr>
            <w:r w:rsidRPr="00F5723F">
              <w:t>5</w:t>
            </w:r>
          </w:p>
        </w:tc>
        <w:tc>
          <w:tcPr>
            <w:tcW w:w="308" w:type="dxa"/>
            <w:shd w:val="pct5" w:color="auto" w:fill="auto"/>
          </w:tcPr>
          <w:p w:rsidR="00B43C57" w:rsidRPr="00F5723F" w:rsidRDefault="00B43C57">
            <w:pPr>
              <w:pStyle w:val="Tabelltextsiffror"/>
              <w:jc w:val="center"/>
            </w:pPr>
            <w:r w:rsidRPr="00F5723F">
              <w:t>4</w:t>
            </w:r>
          </w:p>
        </w:tc>
        <w:tc>
          <w:tcPr>
            <w:tcW w:w="309" w:type="dxa"/>
            <w:shd w:val="pct5" w:color="auto" w:fill="auto"/>
          </w:tcPr>
          <w:p w:rsidR="00B43C57" w:rsidRPr="00F5723F" w:rsidRDefault="00B43C57">
            <w:pPr>
              <w:pStyle w:val="Tabelltextsiffror"/>
              <w:jc w:val="center"/>
            </w:pPr>
            <w:r w:rsidRPr="00F5723F">
              <w:t>9</w:t>
            </w:r>
          </w:p>
        </w:tc>
        <w:tc>
          <w:tcPr>
            <w:tcW w:w="308" w:type="dxa"/>
            <w:shd w:val="pct5" w:color="auto" w:fill="auto"/>
          </w:tcPr>
          <w:p w:rsidR="00B43C57" w:rsidRPr="00F5723F" w:rsidRDefault="00B43C57">
            <w:pPr>
              <w:pStyle w:val="Tabelltextsiffror"/>
              <w:jc w:val="center"/>
            </w:pPr>
            <w:r w:rsidRPr="00F5723F">
              <w:t>3</w:t>
            </w:r>
          </w:p>
        </w:tc>
        <w:tc>
          <w:tcPr>
            <w:tcW w:w="458" w:type="dxa"/>
            <w:shd w:val="pct5" w:color="auto" w:fill="auto"/>
          </w:tcPr>
          <w:p w:rsidR="00B43C57" w:rsidRPr="00F5723F" w:rsidRDefault="00B43C57">
            <w:pPr>
              <w:pStyle w:val="Tabelltextsiffror"/>
              <w:jc w:val="center"/>
            </w:pPr>
            <w:r w:rsidRPr="00F5723F">
              <w:t>0</w:t>
            </w:r>
          </w:p>
        </w:tc>
        <w:tc>
          <w:tcPr>
            <w:tcW w:w="457" w:type="dxa"/>
            <w:shd w:val="pct5" w:color="auto" w:fill="auto"/>
          </w:tcPr>
          <w:p w:rsidR="00B43C57" w:rsidRPr="00F5723F" w:rsidRDefault="00B43C57">
            <w:pPr>
              <w:pStyle w:val="Tabelltextsiffror"/>
              <w:jc w:val="center"/>
            </w:pPr>
            <w:r w:rsidRPr="00F5723F">
              <w:t>3</w:t>
            </w:r>
          </w:p>
        </w:tc>
      </w:tr>
      <w:tr w:rsidR="00000000" w:rsidRPr="00F5723F">
        <w:tblPrEx>
          <w:tblCellMar>
            <w:top w:w="0" w:type="dxa"/>
            <w:bottom w:w="0" w:type="dxa"/>
          </w:tblCellMar>
        </w:tblPrEx>
        <w:tc>
          <w:tcPr>
            <w:tcW w:w="271" w:type="dxa"/>
          </w:tcPr>
          <w:p w:rsidR="00B43C57" w:rsidRPr="00F5723F" w:rsidRDefault="00B43C57">
            <w:pPr>
              <w:pStyle w:val="Tabelltext"/>
            </w:pPr>
          </w:p>
        </w:tc>
        <w:tc>
          <w:tcPr>
            <w:tcW w:w="2840" w:type="dxa"/>
          </w:tcPr>
          <w:p w:rsidR="00B43C57" w:rsidRPr="00F5723F" w:rsidRDefault="00B43C57">
            <w:pPr>
              <w:pStyle w:val="Tabelltext"/>
              <w:ind w:left="148" w:hanging="148"/>
            </w:pPr>
          </w:p>
        </w:tc>
        <w:tc>
          <w:tcPr>
            <w:tcW w:w="456"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7"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34"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449"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1" w:type="dxa"/>
          </w:tcPr>
          <w:p w:rsidR="00B43C57" w:rsidRPr="00F5723F" w:rsidRDefault="00B43C57">
            <w:pPr>
              <w:pStyle w:val="Tabelltextsiffror"/>
              <w:jc w:val="center"/>
            </w:pPr>
          </w:p>
        </w:tc>
        <w:tc>
          <w:tcPr>
            <w:tcW w:w="437" w:type="dxa"/>
          </w:tcPr>
          <w:p w:rsidR="00B43C57" w:rsidRPr="00F5723F" w:rsidRDefault="00B43C57">
            <w:pPr>
              <w:pStyle w:val="Tabelltextsiffror"/>
              <w:jc w:val="center"/>
            </w:pPr>
          </w:p>
        </w:tc>
        <w:tc>
          <w:tcPr>
            <w:tcW w:w="192" w:type="dxa"/>
          </w:tcPr>
          <w:p w:rsidR="00B43C57" w:rsidRPr="00F5723F" w:rsidRDefault="00B43C57">
            <w:pPr>
              <w:pStyle w:val="Tabelltextsiffror"/>
              <w:jc w:val="center"/>
            </w:pPr>
          </w:p>
        </w:tc>
        <w:tc>
          <w:tcPr>
            <w:tcW w:w="304"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309" w:type="dxa"/>
          </w:tcPr>
          <w:p w:rsidR="00B43C57" w:rsidRPr="00F5723F" w:rsidRDefault="00B43C57">
            <w:pPr>
              <w:pStyle w:val="Tabelltextsiffror"/>
              <w:jc w:val="center"/>
            </w:pPr>
          </w:p>
        </w:tc>
        <w:tc>
          <w:tcPr>
            <w:tcW w:w="308" w:type="dxa"/>
          </w:tcPr>
          <w:p w:rsidR="00B43C57" w:rsidRPr="00F5723F" w:rsidRDefault="00B43C57">
            <w:pPr>
              <w:pStyle w:val="Tabelltextsiffror"/>
              <w:jc w:val="center"/>
            </w:pPr>
          </w:p>
        </w:tc>
        <w:tc>
          <w:tcPr>
            <w:tcW w:w="458" w:type="dxa"/>
          </w:tcPr>
          <w:p w:rsidR="00B43C57" w:rsidRPr="00F5723F" w:rsidRDefault="00B43C57">
            <w:pPr>
              <w:pStyle w:val="Tabelltextsiffror"/>
              <w:jc w:val="center"/>
            </w:pPr>
          </w:p>
        </w:tc>
        <w:tc>
          <w:tcPr>
            <w:tcW w:w="457" w:type="dxa"/>
          </w:tcPr>
          <w:p w:rsidR="00B43C57" w:rsidRPr="00F5723F" w:rsidRDefault="00B43C57">
            <w:pPr>
              <w:pStyle w:val="Tabelltextsiffror"/>
              <w:jc w:val="center"/>
            </w:pPr>
          </w:p>
        </w:tc>
      </w:tr>
      <w:tr w:rsidR="00000000" w:rsidRPr="00F5723F">
        <w:tblPrEx>
          <w:tblCellMar>
            <w:top w:w="0" w:type="dxa"/>
            <w:bottom w:w="0" w:type="dxa"/>
          </w:tblCellMar>
        </w:tblPrEx>
        <w:tc>
          <w:tcPr>
            <w:tcW w:w="271" w:type="dxa"/>
            <w:tcBorders>
              <w:bottom w:val="single" w:sz="4" w:space="0" w:color="auto"/>
            </w:tcBorders>
            <w:shd w:val="pct10" w:color="auto" w:fill="auto"/>
          </w:tcPr>
          <w:p w:rsidR="00B43C57" w:rsidRPr="00F5723F" w:rsidRDefault="00B43C57">
            <w:pPr>
              <w:pStyle w:val="Tabelltext"/>
            </w:pPr>
            <w:r w:rsidRPr="00F5723F">
              <w:t>9</w:t>
            </w:r>
          </w:p>
        </w:tc>
        <w:tc>
          <w:tcPr>
            <w:tcW w:w="2840" w:type="dxa"/>
            <w:tcBorders>
              <w:bottom w:val="single" w:sz="4" w:space="0" w:color="auto"/>
            </w:tcBorders>
            <w:shd w:val="pct10" w:color="auto" w:fill="auto"/>
          </w:tcPr>
          <w:p w:rsidR="00B43C57" w:rsidRPr="00F5723F" w:rsidRDefault="00B43C57">
            <w:pPr>
              <w:pStyle w:val="Tabelltext"/>
              <w:ind w:left="148" w:hanging="148"/>
            </w:pPr>
            <w:r w:rsidRPr="00F5723F">
              <w:t>Ledamöter med något uppdrag på ko</w:t>
            </w:r>
            <w:r w:rsidRPr="00F5723F">
              <w:t>m</w:t>
            </w:r>
            <w:r w:rsidRPr="00F5723F">
              <w:t>munal eller landstingskomm</w:t>
            </w:r>
            <w:r w:rsidRPr="00F5723F">
              <w:t>u</w:t>
            </w:r>
            <w:r w:rsidRPr="00F5723F">
              <w:t>nal/regional nivå (något up</w:t>
            </w:r>
            <w:r w:rsidRPr="00F5723F">
              <w:t>p</w:t>
            </w:r>
            <w:r w:rsidRPr="00F5723F">
              <w:t>drag enligt 1–3, 5–7)</w:t>
            </w:r>
          </w:p>
        </w:tc>
        <w:tc>
          <w:tcPr>
            <w:tcW w:w="456" w:type="dxa"/>
            <w:tcBorders>
              <w:bottom w:val="single" w:sz="4" w:space="0" w:color="auto"/>
            </w:tcBorders>
            <w:shd w:val="pct10" w:color="auto" w:fill="auto"/>
          </w:tcPr>
          <w:p w:rsidR="00B43C57" w:rsidRPr="00F5723F" w:rsidRDefault="00B43C57">
            <w:pPr>
              <w:pStyle w:val="Tabelltextsiffror"/>
              <w:jc w:val="center"/>
            </w:pPr>
            <w:r w:rsidRPr="00F5723F">
              <w:t>25</w:t>
            </w:r>
          </w:p>
        </w:tc>
        <w:tc>
          <w:tcPr>
            <w:tcW w:w="308" w:type="dxa"/>
            <w:tcBorders>
              <w:bottom w:val="single" w:sz="4" w:space="0" w:color="auto"/>
            </w:tcBorders>
            <w:shd w:val="pct10" w:color="auto" w:fill="auto"/>
          </w:tcPr>
          <w:p w:rsidR="00B43C57" w:rsidRPr="00F5723F" w:rsidRDefault="00B43C57">
            <w:pPr>
              <w:pStyle w:val="Tabelltextsiffror"/>
              <w:jc w:val="center"/>
            </w:pPr>
            <w:r w:rsidRPr="00F5723F">
              <w:t>40</w:t>
            </w:r>
          </w:p>
        </w:tc>
        <w:tc>
          <w:tcPr>
            <w:tcW w:w="307" w:type="dxa"/>
            <w:tcBorders>
              <w:bottom w:val="single" w:sz="4" w:space="0" w:color="auto"/>
            </w:tcBorders>
            <w:shd w:val="pct10" w:color="auto" w:fill="auto"/>
          </w:tcPr>
          <w:p w:rsidR="00B43C57" w:rsidRPr="00F5723F" w:rsidRDefault="00B43C57">
            <w:pPr>
              <w:pStyle w:val="Tabelltextsiffror"/>
              <w:jc w:val="center"/>
            </w:pPr>
            <w:r w:rsidRPr="00F5723F">
              <w:t>30</w:t>
            </w:r>
          </w:p>
        </w:tc>
        <w:tc>
          <w:tcPr>
            <w:tcW w:w="309" w:type="dxa"/>
            <w:tcBorders>
              <w:bottom w:val="single" w:sz="4" w:space="0" w:color="auto"/>
            </w:tcBorders>
            <w:shd w:val="pct10" w:color="auto" w:fill="auto"/>
          </w:tcPr>
          <w:p w:rsidR="00B43C57" w:rsidRPr="00F5723F" w:rsidRDefault="00B43C57">
            <w:pPr>
              <w:pStyle w:val="Tabelltextsiffror"/>
              <w:jc w:val="center"/>
            </w:pPr>
            <w:r w:rsidRPr="00F5723F">
              <w:t>5</w:t>
            </w:r>
          </w:p>
        </w:tc>
        <w:tc>
          <w:tcPr>
            <w:tcW w:w="308" w:type="dxa"/>
            <w:tcBorders>
              <w:bottom w:val="single" w:sz="4" w:space="0" w:color="auto"/>
            </w:tcBorders>
            <w:shd w:val="pct10" w:color="auto" w:fill="auto"/>
          </w:tcPr>
          <w:p w:rsidR="00B43C57" w:rsidRPr="00F5723F" w:rsidRDefault="00B43C57">
            <w:pPr>
              <w:pStyle w:val="Tabelltextsiffror"/>
              <w:jc w:val="center"/>
            </w:pPr>
            <w:r w:rsidRPr="00F5723F">
              <w:t>28</w:t>
            </w:r>
          </w:p>
        </w:tc>
        <w:tc>
          <w:tcPr>
            <w:tcW w:w="434" w:type="dxa"/>
            <w:tcBorders>
              <w:bottom w:val="single" w:sz="4" w:space="0" w:color="auto"/>
            </w:tcBorders>
            <w:shd w:val="pct10" w:color="auto" w:fill="auto"/>
          </w:tcPr>
          <w:p w:rsidR="00B43C57" w:rsidRPr="00F5723F" w:rsidRDefault="00B43C57">
            <w:pPr>
              <w:pStyle w:val="Tabelltextsiffror"/>
              <w:jc w:val="center"/>
            </w:pPr>
            <w:r w:rsidRPr="00F5723F">
              <w:t>33</w:t>
            </w:r>
          </w:p>
        </w:tc>
        <w:tc>
          <w:tcPr>
            <w:tcW w:w="192" w:type="dxa"/>
            <w:tcBorders>
              <w:bottom w:val="single" w:sz="4" w:space="0" w:color="auto"/>
            </w:tcBorders>
            <w:shd w:val="pct10" w:color="auto" w:fill="auto"/>
          </w:tcPr>
          <w:p w:rsidR="00B43C57" w:rsidRPr="00F5723F" w:rsidRDefault="00B43C57">
            <w:pPr>
              <w:pStyle w:val="Tabelltextsiffror"/>
              <w:jc w:val="center"/>
            </w:pPr>
          </w:p>
        </w:tc>
        <w:tc>
          <w:tcPr>
            <w:tcW w:w="449" w:type="dxa"/>
            <w:tcBorders>
              <w:bottom w:val="single" w:sz="4" w:space="0" w:color="auto"/>
            </w:tcBorders>
            <w:shd w:val="pct10" w:color="auto" w:fill="auto"/>
          </w:tcPr>
          <w:p w:rsidR="00B43C57" w:rsidRPr="00F5723F" w:rsidRDefault="00B43C57">
            <w:pPr>
              <w:pStyle w:val="Tabelltextsiffror"/>
              <w:jc w:val="center"/>
            </w:pPr>
            <w:r w:rsidRPr="00F5723F">
              <w:t>47</w:t>
            </w:r>
          </w:p>
        </w:tc>
        <w:tc>
          <w:tcPr>
            <w:tcW w:w="431" w:type="dxa"/>
            <w:tcBorders>
              <w:bottom w:val="single" w:sz="4" w:space="0" w:color="auto"/>
            </w:tcBorders>
            <w:shd w:val="pct10" w:color="auto" w:fill="auto"/>
          </w:tcPr>
          <w:p w:rsidR="00B43C57" w:rsidRPr="00F5723F" w:rsidRDefault="00B43C57">
            <w:pPr>
              <w:pStyle w:val="Tabelltextsiffror"/>
              <w:jc w:val="center"/>
            </w:pPr>
            <w:r w:rsidRPr="00F5723F">
              <w:t>37</w:t>
            </w:r>
          </w:p>
        </w:tc>
        <w:tc>
          <w:tcPr>
            <w:tcW w:w="431" w:type="dxa"/>
            <w:tcBorders>
              <w:bottom w:val="single" w:sz="4" w:space="0" w:color="auto"/>
            </w:tcBorders>
            <w:shd w:val="pct10" w:color="auto" w:fill="auto"/>
          </w:tcPr>
          <w:p w:rsidR="00B43C57" w:rsidRPr="00F5723F" w:rsidRDefault="00B43C57">
            <w:pPr>
              <w:pStyle w:val="Tabelltextsiffror"/>
              <w:jc w:val="center"/>
            </w:pPr>
            <w:r w:rsidRPr="00F5723F">
              <w:t>56</w:t>
            </w:r>
          </w:p>
        </w:tc>
        <w:tc>
          <w:tcPr>
            <w:tcW w:w="431" w:type="dxa"/>
            <w:tcBorders>
              <w:bottom w:val="single" w:sz="4" w:space="0" w:color="auto"/>
            </w:tcBorders>
            <w:shd w:val="pct10" w:color="auto" w:fill="auto"/>
          </w:tcPr>
          <w:p w:rsidR="00B43C57" w:rsidRPr="00F5723F" w:rsidRDefault="00B43C57">
            <w:pPr>
              <w:pStyle w:val="Tabelltextsiffror"/>
              <w:jc w:val="center"/>
            </w:pPr>
            <w:r w:rsidRPr="00F5723F">
              <w:t>18</w:t>
            </w:r>
          </w:p>
        </w:tc>
        <w:tc>
          <w:tcPr>
            <w:tcW w:w="431" w:type="dxa"/>
            <w:tcBorders>
              <w:bottom w:val="single" w:sz="4" w:space="0" w:color="auto"/>
            </w:tcBorders>
            <w:shd w:val="pct10" w:color="auto" w:fill="auto"/>
          </w:tcPr>
          <w:p w:rsidR="00B43C57" w:rsidRPr="00F5723F" w:rsidRDefault="00B43C57">
            <w:pPr>
              <w:pStyle w:val="Tabelltextsiffror"/>
              <w:jc w:val="center"/>
            </w:pPr>
            <w:r w:rsidRPr="00F5723F">
              <w:t>40</w:t>
            </w:r>
          </w:p>
        </w:tc>
        <w:tc>
          <w:tcPr>
            <w:tcW w:w="431" w:type="dxa"/>
            <w:tcBorders>
              <w:bottom w:val="single" w:sz="4" w:space="0" w:color="auto"/>
            </w:tcBorders>
            <w:shd w:val="pct10" w:color="auto" w:fill="auto"/>
          </w:tcPr>
          <w:p w:rsidR="00B43C57" w:rsidRPr="00F5723F" w:rsidRDefault="00B43C57">
            <w:pPr>
              <w:pStyle w:val="Tabelltextsiffror"/>
              <w:jc w:val="center"/>
            </w:pPr>
            <w:r w:rsidRPr="00F5723F">
              <w:t>48</w:t>
            </w:r>
          </w:p>
        </w:tc>
        <w:tc>
          <w:tcPr>
            <w:tcW w:w="431" w:type="dxa"/>
            <w:tcBorders>
              <w:bottom w:val="single" w:sz="4" w:space="0" w:color="auto"/>
            </w:tcBorders>
            <w:shd w:val="pct10" w:color="auto" w:fill="auto"/>
          </w:tcPr>
          <w:p w:rsidR="00B43C57" w:rsidRPr="00F5723F" w:rsidRDefault="00B43C57">
            <w:pPr>
              <w:pStyle w:val="Tabelltextsiffror"/>
              <w:jc w:val="center"/>
            </w:pPr>
            <w:r w:rsidRPr="00F5723F">
              <w:t>6</w:t>
            </w:r>
          </w:p>
        </w:tc>
        <w:tc>
          <w:tcPr>
            <w:tcW w:w="437" w:type="dxa"/>
            <w:tcBorders>
              <w:bottom w:val="single" w:sz="4" w:space="0" w:color="auto"/>
            </w:tcBorders>
            <w:shd w:val="pct10" w:color="auto" w:fill="auto"/>
          </w:tcPr>
          <w:p w:rsidR="00B43C57" w:rsidRPr="00F5723F" w:rsidRDefault="00B43C57">
            <w:pPr>
              <w:pStyle w:val="Tabelltextsiffror"/>
              <w:jc w:val="center"/>
            </w:pPr>
            <w:r w:rsidRPr="00F5723F">
              <w:t>39</w:t>
            </w:r>
          </w:p>
        </w:tc>
        <w:tc>
          <w:tcPr>
            <w:tcW w:w="192" w:type="dxa"/>
            <w:tcBorders>
              <w:bottom w:val="single" w:sz="4" w:space="0" w:color="auto"/>
            </w:tcBorders>
            <w:shd w:val="pct10" w:color="auto" w:fill="auto"/>
          </w:tcPr>
          <w:p w:rsidR="00B43C57" w:rsidRPr="00F5723F" w:rsidRDefault="00B43C57">
            <w:pPr>
              <w:pStyle w:val="Tabelltextsiffror"/>
              <w:jc w:val="center"/>
            </w:pPr>
          </w:p>
        </w:tc>
        <w:tc>
          <w:tcPr>
            <w:tcW w:w="304" w:type="dxa"/>
            <w:tcBorders>
              <w:bottom w:val="single" w:sz="4" w:space="0" w:color="auto"/>
            </w:tcBorders>
            <w:shd w:val="pct10" w:color="auto" w:fill="auto"/>
          </w:tcPr>
          <w:p w:rsidR="00B43C57" w:rsidRPr="00F5723F" w:rsidRDefault="00B43C57">
            <w:pPr>
              <w:pStyle w:val="Tabelltextsiffror"/>
              <w:jc w:val="center"/>
            </w:pPr>
            <w:r w:rsidRPr="00F5723F">
              <w:t>33</w:t>
            </w:r>
          </w:p>
        </w:tc>
        <w:tc>
          <w:tcPr>
            <w:tcW w:w="308" w:type="dxa"/>
            <w:tcBorders>
              <w:bottom w:val="single" w:sz="4" w:space="0" w:color="auto"/>
            </w:tcBorders>
            <w:shd w:val="pct10" w:color="auto" w:fill="auto"/>
          </w:tcPr>
          <w:p w:rsidR="00B43C57" w:rsidRPr="00F5723F" w:rsidRDefault="00B43C57">
            <w:pPr>
              <w:pStyle w:val="Tabelltextsiffror"/>
              <w:jc w:val="center"/>
            </w:pPr>
            <w:r w:rsidRPr="00F5723F">
              <w:t>33</w:t>
            </w:r>
          </w:p>
        </w:tc>
        <w:tc>
          <w:tcPr>
            <w:tcW w:w="309" w:type="dxa"/>
            <w:tcBorders>
              <w:bottom w:val="single" w:sz="4" w:space="0" w:color="auto"/>
            </w:tcBorders>
            <w:shd w:val="pct10" w:color="auto" w:fill="auto"/>
          </w:tcPr>
          <w:p w:rsidR="00B43C57" w:rsidRPr="00F5723F" w:rsidRDefault="00B43C57">
            <w:pPr>
              <w:pStyle w:val="Tabelltextsiffror"/>
              <w:jc w:val="center"/>
            </w:pPr>
            <w:r w:rsidRPr="00F5723F">
              <w:t>41</w:t>
            </w:r>
          </w:p>
        </w:tc>
        <w:tc>
          <w:tcPr>
            <w:tcW w:w="308" w:type="dxa"/>
            <w:tcBorders>
              <w:bottom w:val="single" w:sz="4" w:space="0" w:color="auto"/>
            </w:tcBorders>
            <w:shd w:val="pct10" w:color="auto" w:fill="auto"/>
          </w:tcPr>
          <w:p w:rsidR="00B43C57" w:rsidRPr="00F5723F" w:rsidRDefault="00B43C57">
            <w:pPr>
              <w:pStyle w:val="Tabelltextsiffror"/>
              <w:jc w:val="center"/>
            </w:pPr>
            <w:r w:rsidRPr="00F5723F">
              <w:t>27</w:t>
            </w:r>
          </w:p>
        </w:tc>
        <w:tc>
          <w:tcPr>
            <w:tcW w:w="309" w:type="dxa"/>
            <w:tcBorders>
              <w:bottom w:val="single" w:sz="4" w:space="0" w:color="auto"/>
            </w:tcBorders>
            <w:shd w:val="pct10" w:color="auto" w:fill="auto"/>
          </w:tcPr>
          <w:p w:rsidR="00B43C57" w:rsidRPr="00F5723F" w:rsidRDefault="00B43C57">
            <w:pPr>
              <w:pStyle w:val="Tabelltextsiffror"/>
              <w:jc w:val="center"/>
            </w:pPr>
            <w:r w:rsidRPr="00F5723F">
              <w:t>36</w:t>
            </w:r>
          </w:p>
        </w:tc>
        <w:tc>
          <w:tcPr>
            <w:tcW w:w="308" w:type="dxa"/>
            <w:tcBorders>
              <w:bottom w:val="single" w:sz="4" w:space="0" w:color="auto"/>
            </w:tcBorders>
            <w:shd w:val="pct10" w:color="auto" w:fill="auto"/>
          </w:tcPr>
          <w:p w:rsidR="00B43C57" w:rsidRPr="00F5723F" w:rsidRDefault="00B43C57">
            <w:pPr>
              <w:pStyle w:val="Tabelltextsiffror"/>
              <w:jc w:val="center"/>
            </w:pPr>
            <w:r w:rsidRPr="00F5723F">
              <w:t>24</w:t>
            </w:r>
          </w:p>
        </w:tc>
        <w:tc>
          <w:tcPr>
            <w:tcW w:w="458" w:type="dxa"/>
            <w:tcBorders>
              <w:bottom w:val="single" w:sz="4" w:space="0" w:color="auto"/>
            </w:tcBorders>
            <w:shd w:val="pct10" w:color="auto" w:fill="auto"/>
          </w:tcPr>
          <w:p w:rsidR="00B43C57" w:rsidRPr="00F5723F" w:rsidRDefault="00B43C57">
            <w:pPr>
              <w:pStyle w:val="Tabelltextsiffror"/>
              <w:jc w:val="center"/>
            </w:pPr>
            <w:r w:rsidRPr="00F5723F">
              <w:t>24</w:t>
            </w:r>
          </w:p>
        </w:tc>
        <w:tc>
          <w:tcPr>
            <w:tcW w:w="457" w:type="dxa"/>
            <w:tcBorders>
              <w:bottom w:val="single" w:sz="4" w:space="0" w:color="auto"/>
            </w:tcBorders>
            <w:shd w:val="pct10" w:color="auto" w:fill="auto"/>
          </w:tcPr>
          <w:p w:rsidR="00B43C57" w:rsidRPr="00F5723F" w:rsidRDefault="00B43C57">
            <w:pPr>
              <w:pStyle w:val="Tabelltextsiffror"/>
              <w:jc w:val="center"/>
            </w:pPr>
            <w:r w:rsidRPr="00F5723F">
              <w:t>32</w:t>
            </w:r>
          </w:p>
        </w:tc>
      </w:tr>
    </w:tbl>
    <w:p w:rsidR="00B43C57" w:rsidRPr="00F5723F" w:rsidRDefault="00B43C57">
      <w:pPr>
        <w:pStyle w:val="Tabellfrklaring"/>
        <w:rPr>
          <w:szCs w:val="14"/>
        </w:rPr>
      </w:pPr>
      <w:r w:rsidRPr="00F5723F">
        <w:rPr>
          <w:b/>
        </w:rPr>
        <w:t>Kommentar:</w:t>
      </w:r>
      <w:r w:rsidRPr="00F5723F">
        <w:t xml:space="preserve"> Med ”riksdagsledamöter” menas ordinarie riksdagsledamöter (utom statsråd), statsrådsersättare och ersättare för talman. Uppgift saknas markeras i tabellen med ”u.s.”. Källa: SOU 1987:26, s. 13–15. För år 1999 samma</w:t>
      </w:r>
      <w:r w:rsidRPr="00F5723F">
        <w:t>n</w:t>
      </w:r>
      <w:r w:rsidRPr="00F5723F">
        <w:t xml:space="preserve">ställde riksdagens utredningstjänst ett material för Riksdagskommittén 2001. För år 2004 har riksdagens utredningstjänst sammanställt material från Rixlex, publikationerna ”Fakta om folkvalda” och ”Sveriges statskalender </w:t>
      </w:r>
      <w:smartTag w:uri="urn:schemas-microsoft-com:office:smarttags" w:element="metricconverter">
        <w:smartTagPr>
          <w:attr w:name="ProductID" w:val="2003”"/>
        </w:smartTagPr>
        <w:r w:rsidRPr="00F5723F">
          <w:t>2003”</w:t>
        </w:r>
      </w:smartTag>
      <w:r w:rsidRPr="00F5723F">
        <w:t xml:space="preserve"> samt från webbsidor på Internet (myndigheter, komm</w:t>
      </w:r>
      <w:r w:rsidRPr="00F5723F">
        <w:t>u</w:t>
      </w:r>
      <w:r w:rsidRPr="00F5723F">
        <w:t>ner, länsstyrelser</w:t>
      </w:r>
      <w:r w:rsidRPr="00F5723F">
        <w:t xml:space="preserve"> etc.</w:t>
      </w:r>
      <w:r w:rsidRPr="00F5723F">
        <w:rPr>
          <w:szCs w:val="14"/>
        </w:rPr>
        <w:t>)</w:t>
      </w:r>
      <w:r w:rsidRPr="00F5723F">
        <w:rPr>
          <w:szCs w:val="14"/>
        </w:rPr>
        <w:t>.</w:t>
      </w:r>
    </w:p>
    <w:p w:rsidR="00B43C57" w:rsidRPr="00F5723F" w:rsidRDefault="00B43C57">
      <w:pPr>
        <w:pStyle w:val="Normaltindrag"/>
        <w:sectPr w:rsidR="00000000" w:rsidRPr="00F5723F">
          <w:headerReference w:type="even" r:id="rId95"/>
          <w:headerReference w:type="default" r:id="rId96"/>
          <w:footerReference w:type="even" r:id="rId97"/>
          <w:footerReference w:type="default" r:id="rId98"/>
          <w:headerReference w:type="first" r:id="rId99"/>
          <w:footerReference w:type="first" r:id="rId100"/>
          <w:pgSz w:w="16840" w:h="11907" w:orient="landscape"/>
          <w:pgMar w:top="2409" w:right="1020" w:bottom="2409" w:left="4422" w:header="720" w:footer="720" w:gutter="0"/>
          <w:cols w:space="708"/>
          <w:titlePg/>
          <w:docGrid w:linePitch="360"/>
        </w:sectPr>
      </w:pPr>
    </w:p>
    <w:p w:rsidR="00B43C57" w:rsidRPr="00F5723F" w:rsidRDefault="00B43C57">
      <w:r w:rsidRPr="00F5723F">
        <w:t>Andelen ledamöter med någon typ av kommunalt uppdrag är ungefär de</w:t>
      </w:r>
      <w:r w:rsidRPr="00F5723F">
        <w:t>n</w:t>
      </w:r>
      <w:r w:rsidRPr="00F5723F">
        <w:t>samma, om än något högre 1999 (39 procent) jämfört med 2004 (32 procent). Ungefär var tredje ledamot har något sådant kommunalt up</w:t>
      </w:r>
      <w:r w:rsidRPr="00F5723F">
        <w:t>p</w:t>
      </w:r>
      <w:r w:rsidRPr="00F5723F">
        <w:t>drag, vilket är i nivå också med 1983 års undersökning (33 procent). Högst andel ledamöter med komm</w:t>
      </w:r>
      <w:r w:rsidRPr="00F5723F">
        <w:t>u</w:t>
      </w:r>
      <w:r w:rsidRPr="00F5723F">
        <w:t>nala uppdrag återfinns både 1999 och 2004 inom Centerpartiet. Lägst är andelen inom Kristdemokraterna (endast 2004) och inom Miljöpart</w:t>
      </w:r>
      <w:r w:rsidRPr="00F5723F">
        <w:t>i</w:t>
      </w:r>
      <w:r w:rsidRPr="00F5723F">
        <w:t xml:space="preserve">et och Folkpartiet (både 1999 och 2004). </w:t>
      </w:r>
    </w:p>
    <w:p w:rsidR="00B43C57" w:rsidRPr="00F5723F" w:rsidRDefault="00B43C57">
      <w:pPr>
        <w:pStyle w:val="Normaltindrag"/>
      </w:pPr>
      <w:r w:rsidRPr="00F5723F">
        <w:t>Sedan 1983 är det få ledamöter som samtidigt med riksdagsuppdraget har en l</w:t>
      </w:r>
      <w:r w:rsidRPr="00F5723F">
        <w:t>e</w:t>
      </w:r>
      <w:r w:rsidRPr="00F5723F">
        <w:t>dande befattning på kommunal eller landstingskommunal nivå. Rik</w:t>
      </w:r>
      <w:r w:rsidRPr="00F5723F">
        <w:t>s</w:t>
      </w:r>
      <w:r w:rsidRPr="00F5723F">
        <w:t>dagsuppdraget synes således vara enklare att kombinera med att vara fullmä</w:t>
      </w:r>
      <w:r w:rsidRPr="00F5723F">
        <w:t>k</w:t>
      </w:r>
      <w:r w:rsidRPr="00F5723F">
        <w:t>tigeledamot än att vara ledande företrädare i kommun eller land</w:t>
      </w:r>
      <w:r w:rsidRPr="00F5723F">
        <w:t>s</w:t>
      </w:r>
      <w:r w:rsidRPr="00F5723F">
        <w:t xml:space="preserve">ting. </w:t>
      </w:r>
    </w:p>
    <w:p w:rsidR="00B43C57" w:rsidRPr="00F5723F" w:rsidRDefault="00B43C57">
      <w:pPr>
        <w:pStyle w:val="Rubrik3"/>
        <w:rPr>
          <w:noProof w:val="0"/>
        </w:rPr>
      </w:pPr>
      <w:bookmarkStart w:id="254" w:name="_Toc98075745"/>
      <w:bookmarkStart w:id="255" w:name="_Toc121738975"/>
      <w:bookmarkStart w:id="256" w:name="_Toc124697858"/>
      <w:r w:rsidRPr="00F5723F">
        <w:rPr>
          <w:noProof w:val="0"/>
        </w:rPr>
        <w:t>Uppdrag i statliga organ</w:t>
      </w:r>
      <w:bookmarkEnd w:id="254"/>
      <w:bookmarkEnd w:id="255"/>
      <w:bookmarkEnd w:id="256"/>
    </w:p>
    <w:p w:rsidR="00B43C57" w:rsidRPr="00F5723F" w:rsidRDefault="00B43C57">
      <w:r w:rsidRPr="00F5723F">
        <w:t>Folkvalda företrädare fullgör även andra uppdrag på lokal och nationell nivå. På n</w:t>
      </w:r>
      <w:r w:rsidRPr="00F5723F">
        <w:t>a</w:t>
      </w:r>
      <w:r w:rsidRPr="00F5723F">
        <w:t>tionell nivå är det inte ovanligt att ledamöter till exempel deltar i ko</w:t>
      </w:r>
      <w:r w:rsidRPr="00F5723F">
        <w:t>m</w:t>
      </w:r>
      <w:r w:rsidRPr="00F5723F">
        <w:t>mittéväsendet eller som led</w:t>
      </w:r>
      <w:r w:rsidRPr="00F5723F">
        <w:t>a</w:t>
      </w:r>
      <w:r w:rsidRPr="00F5723F">
        <w:t>möter i styrelser till statliga myndigheter och motsvarande organ. Tabell 7 visar i vilken utsträckning ledamöter deltar i sådana up</w:t>
      </w:r>
      <w:r w:rsidRPr="00F5723F">
        <w:t>p</w:t>
      </w:r>
      <w:r w:rsidRPr="00F5723F">
        <w:t xml:space="preserve">drag. </w:t>
      </w:r>
    </w:p>
    <w:p w:rsidR="00B43C57" w:rsidRPr="00F5723F" w:rsidRDefault="00B43C57">
      <w:pPr>
        <w:pStyle w:val="Normaltindrag"/>
      </w:pPr>
    </w:p>
    <w:p w:rsidR="00B43C57" w:rsidRPr="00F5723F" w:rsidRDefault="00B43C57">
      <w:pPr>
        <w:ind w:left="855" w:hanging="855"/>
        <w:rPr>
          <w:rFonts w:ascii="Arial" w:hAnsi="Arial" w:cs="Arial"/>
          <w:sz w:val="16"/>
          <w:szCs w:val="16"/>
        </w:rPr>
      </w:pPr>
      <w:r w:rsidRPr="00F5723F">
        <w:rPr>
          <w:rStyle w:val="TabellrubrikChar"/>
        </w:rPr>
        <w:t>Tabell 7 Riksdagsledamöternas andra politiska uppdrag 1999 och 2004 (</w:t>
      </w:r>
      <w:r w:rsidRPr="00F5723F">
        <w:rPr>
          <w:rStyle w:val="TabellrubrikChar"/>
        </w:rPr>
        <w:t>pr</w:t>
      </w:r>
      <w:r w:rsidRPr="00F5723F">
        <w:rPr>
          <w:rStyle w:val="TabellrubrikChar"/>
        </w:rPr>
        <w:t>o</w:t>
      </w:r>
      <w:r w:rsidRPr="00F5723F">
        <w:rPr>
          <w:rStyle w:val="TabellrubrikChar"/>
        </w:rPr>
        <w:t>cent</w:t>
      </w:r>
      <w:r w:rsidRPr="00F5723F">
        <w:rPr>
          <w:rFonts w:ascii="Arial" w:hAnsi="Arial" w:cs="Arial"/>
          <w:sz w:val="16"/>
          <w:szCs w:val="16"/>
        </w:rPr>
        <w:t>)</w:t>
      </w:r>
    </w:p>
    <w:tbl>
      <w:tblPr>
        <w:tblW w:w="0" w:type="auto"/>
        <w:tblLayout w:type="fixed"/>
        <w:tblCellMar>
          <w:left w:w="56" w:type="dxa"/>
          <w:right w:w="56" w:type="dxa"/>
        </w:tblCellMar>
        <w:tblLook w:val="0000" w:firstRow="0" w:lastRow="0" w:firstColumn="0" w:lastColumn="0" w:noHBand="0" w:noVBand="0"/>
      </w:tblPr>
      <w:tblGrid>
        <w:gridCol w:w="1474"/>
        <w:gridCol w:w="285"/>
        <w:gridCol w:w="285"/>
        <w:gridCol w:w="284"/>
        <w:gridCol w:w="283"/>
        <w:gridCol w:w="283"/>
        <w:gridCol w:w="290"/>
        <w:gridCol w:w="380"/>
        <w:gridCol w:w="380"/>
        <w:gridCol w:w="132"/>
        <w:gridCol w:w="343"/>
        <w:gridCol w:w="380"/>
        <w:gridCol w:w="284"/>
        <w:gridCol w:w="283"/>
        <w:gridCol w:w="284"/>
        <w:gridCol w:w="313"/>
        <w:gridCol w:w="356"/>
        <w:gridCol w:w="380"/>
      </w:tblGrid>
      <w:tr w:rsidR="00000000" w:rsidRPr="00F5723F">
        <w:tblPrEx>
          <w:tblCellMar>
            <w:top w:w="0" w:type="dxa"/>
            <w:bottom w:w="0" w:type="dxa"/>
          </w:tblCellMar>
        </w:tblPrEx>
        <w:tc>
          <w:tcPr>
            <w:tcW w:w="1474" w:type="dxa"/>
            <w:tcBorders>
              <w:top w:val="single" w:sz="4" w:space="0" w:color="auto"/>
            </w:tcBorders>
          </w:tcPr>
          <w:p w:rsidR="00B43C57" w:rsidRPr="00F5723F" w:rsidRDefault="00B43C57">
            <w:pPr>
              <w:pStyle w:val="Tabelltext"/>
              <w:ind w:left="190" w:hanging="190"/>
            </w:pPr>
          </w:p>
        </w:tc>
        <w:tc>
          <w:tcPr>
            <w:tcW w:w="2470" w:type="dxa"/>
            <w:gridSpan w:val="8"/>
            <w:tcBorders>
              <w:top w:val="single" w:sz="4" w:space="0" w:color="auto"/>
              <w:bottom w:val="single" w:sz="4" w:space="0" w:color="auto"/>
            </w:tcBorders>
          </w:tcPr>
          <w:p w:rsidR="00B43C57" w:rsidRPr="00F5723F" w:rsidRDefault="00B43C57">
            <w:pPr>
              <w:pStyle w:val="Tabelltext"/>
            </w:pPr>
            <w:r w:rsidRPr="00F5723F">
              <w:t>1999</w:t>
            </w:r>
          </w:p>
        </w:tc>
        <w:tc>
          <w:tcPr>
            <w:tcW w:w="132" w:type="dxa"/>
            <w:tcBorders>
              <w:top w:val="single" w:sz="4" w:space="0" w:color="auto"/>
            </w:tcBorders>
          </w:tcPr>
          <w:p w:rsidR="00B43C57" w:rsidRPr="00F5723F" w:rsidRDefault="00B43C57">
            <w:pPr>
              <w:pStyle w:val="Tabelltext"/>
            </w:pPr>
          </w:p>
        </w:tc>
        <w:tc>
          <w:tcPr>
            <w:tcW w:w="2623" w:type="dxa"/>
            <w:gridSpan w:val="8"/>
            <w:tcBorders>
              <w:top w:val="single" w:sz="4" w:space="0" w:color="auto"/>
              <w:bottom w:val="single" w:sz="4" w:space="0" w:color="auto"/>
            </w:tcBorders>
          </w:tcPr>
          <w:p w:rsidR="00B43C57" w:rsidRPr="00F5723F" w:rsidRDefault="00B43C57">
            <w:pPr>
              <w:pStyle w:val="Tabelltext"/>
            </w:pPr>
            <w:r w:rsidRPr="00F5723F">
              <w:t>2004</w:t>
            </w:r>
          </w:p>
        </w:tc>
      </w:tr>
      <w:tr w:rsidR="00000000" w:rsidRPr="00F5723F">
        <w:tblPrEx>
          <w:tblCellMar>
            <w:top w:w="0" w:type="dxa"/>
            <w:bottom w:w="0" w:type="dxa"/>
          </w:tblCellMar>
        </w:tblPrEx>
        <w:tc>
          <w:tcPr>
            <w:tcW w:w="1474" w:type="dxa"/>
            <w:tcBorders>
              <w:bottom w:val="single" w:sz="4" w:space="0" w:color="auto"/>
            </w:tcBorders>
          </w:tcPr>
          <w:p w:rsidR="00B43C57" w:rsidRPr="00F5723F" w:rsidRDefault="00B43C57">
            <w:pPr>
              <w:pStyle w:val="Tabelltext"/>
              <w:ind w:left="190" w:hanging="190"/>
              <w:jc w:val="center"/>
              <w:rPr>
                <w:sz w:val="18"/>
              </w:rPr>
            </w:pPr>
          </w:p>
        </w:tc>
        <w:tc>
          <w:tcPr>
            <w:tcW w:w="285"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v</w:t>
            </w:r>
          </w:p>
        </w:tc>
        <w:tc>
          <w:tcPr>
            <w:tcW w:w="285"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s</w:t>
            </w:r>
          </w:p>
        </w:tc>
        <w:tc>
          <w:tcPr>
            <w:tcW w:w="284"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c</w:t>
            </w:r>
          </w:p>
        </w:tc>
        <w:tc>
          <w:tcPr>
            <w:tcW w:w="283"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fp</w:t>
            </w:r>
          </w:p>
        </w:tc>
        <w:tc>
          <w:tcPr>
            <w:tcW w:w="283"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m</w:t>
            </w:r>
          </w:p>
        </w:tc>
        <w:tc>
          <w:tcPr>
            <w:tcW w:w="290"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kd</w:t>
            </w:r>
          </w:p>
        </w:tc>
        <w:tc>
          <w:tcPr>
            <w:tcW w:w="380"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mp</w:t>
            </w:r>
          </w:p>
        </w:tc>
        <w:tc>
          <w:tcPr>
            <w:tcW w:w="380"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alla</w:t>
            </w:r>
          </w:p>
        </w:tc>
        <w:tc>
          <w:tcPr>
            <w:tcW w:w="132" w:type="dxa"/>
            <w:tcBorders>
              <w:bottom w:val="single" w:sz="4" w:space="0" w:color="auto"/>
            </w:tcBorders>
          </w:tcPr>
          <w:p w:rsidR="00B43C57" w:rsidRPr="00F5723F" w:rsidRDefault="00B43C57">
            <w:pPr>
              <w:pStyle w:val="Tabelltextsiffror"/>
              <w:jc w:val="center"/>
              <w:rPr>
                <w:szCs w:val="16"/>
              </w:rPr>
            </w:pPr>
          </w:p>
        </w:tc>
        <w:tc>
          <w:tcPr>
            <w:tcW w:w="343"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v</w:t>
            </w:r>
          </w:p>
        </w:tc>
        <w:tc>
          <w:tcPr>
            <w:tcW w:w="380"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s</w:t>
            </w:r>
          </w:p>
        </w:tc>
        <w:tc>
          <w:tcPr>
            <w:tcW w:w="284"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c</w:t>
            </w:r>
          </w:p>
        </w:tc>
        <w:tc>
          <w:tcPr>
            <w:tcW w:w="283"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fp</w:t>
            </w:r>
          </w:p>
        </w:tc>
        <w:tc>
          <w:tcPr>
            <w:tcW w:w="284"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m</w:t>
            </w:r>
          </w:p>
        </w:tc>
        <w:tc>
          <w:tcPr>
            <w:tcW w:w="313"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kd</w:t>
            </w:r>
          </w:p>
        </w:tc>
        <w:tc>
          <w:tcPr>
            <w:tcW w:w="356"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mp</w:t>
            </w:r>
          </w:p>
        </w:tc>
        <w:tc>
          <w:tcPr>
            <w:tcW w:w="380" w:type="dxa"/>
            <w:tcBorders>
              <w:top w:val="single" w:sz="4" w:space="0" w:color="auto"/>
              <w:bottom w:val="single" w:sz="4" w:space="0" w:color="auto"/>
            </w:tcBorders>
          </w:tcPr>
          <w:p w:rsidR="00B43C57" w:rsidRPr="00F5723F" w:rsidRDefault="00B43C57">
            <w:pPr>
              <w:pStyle w:val="Tabelltextsiffror"/>
              <w:jc w:val="center"/>
              <w:rPr>
                <w:szCs w:val="16"/>
              </w:rPr>
            </w:pPr>
            <w:r w:rsidRPr="00F5723F">
              <w:rPr>
                <w:szCs w:val="16"/>
              </w:rPr>
              <w:t>alla</w:t>
            </w:r>
          </w:p>
        </w:tc>
      </w:tr>
      <w:tr w:rsidR="00000000" w:rsidRPr="00F5723F">
        <w:tblPrEx>
          <w:tblCellMar>
            <w:top w:w="0" w:type="dxa"/>
            <w:bottom w:w="0" w:type="dxa"/>
          </w:tblCellMar>
        </w:tblPrEx>
        <w:tc>
          <w:tcPr>
            <w:tcW w:w="1474" w:type="dxa"/>
            <w:tcBorders>
              <w:top w:val="single" w:sz="4" w:space="0" w:color="auto"/>
            </w:tcBorders>
          </w:tcPr>
          <w:p w:rsidR="00B43C57" w:rsidRPr="00F5723F" w:rsidRDefault="00B43C57">
            <w:pPr>
              <w:pStyle w:val="Tabelltext"/>
              <w:ind w:left="190" w:hanging="190"/>
            </w:pPr>
          </w:p>
        </w:tc>
        <w:tc>
          <w:tcPr>
            <w:tcW w:w="285" w:type="dxa"/>
            <w:tcBorders>
              <w:top w:val="single" w:sz="4" w:space="0" w:color="auto"/>
            </w:tcBorders>
          </w:tcPr>
          <w:p w:rsidR="00B43C57" w:rsidRPr="00F5723F" w:rsidRDefault="00B43C57">
            <w:pPr>
              <w:pStyle w:val="Tabelltextsiffror"/>
              <w:rPr>
                <w:szCs w:val="16"/>
              </w:rPr>
            </w:pPr>
          </w:p>
        </w:tc>
        <w:tc>
          <w:tcPr>
            <w:tcW w:w="285" w:type="dxa"/>
            <w:tcBorders>
              <w:top w:val="single" w:sz="4" w:space="0" w:color="auto"/>
            </w:tcBorders>
          </w:tcPr>
          <w:p w:rsidR="00B43C57" w:rsidRPr="00F5723F" w:rsidRDefault="00B43C57">
            <w:pPr>
              <w:pStyle w:val="Tabelltextsiffror"/>
              <w:rPr>
                <w:szCs w:val="16"/>
              </w:rPr>
            </w:pPr>
          </w:p>
        </w:tc>
        <w:tc>
          <w:tcPr>
            <w:tcW w:w="284" w:type="dxa"/>
            <w:tcBorders>
              <w:top w:val="single" w:sz="4" w:space="0" w:color="auto"/>
            </w:tcBorders>
          </w:tcPr>
          <w:p w:rsidR="00B43C57" w:rsidRPr="00F5723F" w:rsidRDefault="00B43C57">
            <w:pPr>
              <w:pStyle w:val="Tabelltextsiffror"/>
              <w:rPr>
                <w:szCs w:val="16"/>
              </w:rPr>
            </w:pPr>
          </w:p>
        </w:tc>
        <w:tc>
          <w:tcPr>
            <w:tcW w:w="283" w:type="dxa"/>
            <w:tcBorders>
              <w:top w:val="single" w:sz="4" w:space="0" w:color="auto"/>
            </w:tcBorders>
          </w:tcPr>
          <w:p w:rsidR="00B43C57" w:rsidRPr="00F5723F" w:rsidRDefault="00B43C57">
            <w:pPr>
              <w:pStyle w:val="Tabelltextsiffror"/>
              <w:rPr>
                <w:szCs w:val="16"/>
              </w:rPr>
            </w:pPr>
          </w:p>
        </w:tc>
        <w:tc>
          <w:tcPr>
            <w:tcW w:w="283" w:type="dxa"/>
            <w:tcBorders>
              <w:top w:val="single" w:sz="4" w:space="0" w:color="auto"/>
            </w:tcBorders>
          </w:tcPr>
          <w:p w:rsidR="00B43C57" w:rsidRPr="00F5723F" w:rsidRDefault="00B43C57">
            <w:pPr>
              <w:pStyle w:val="Tabelltextsiffror"/>
              <w:rPr>
                <w:szCs w:val="16"/>
              </w:rPr>
            </w:pPr>
          </w:p>
        </w:tc>
        <w:tc>
          <w:tcPr>
            <w:tcW w:w="290" w:type="dxa"/>
            <w:tcBorders>
              <w:top w:val="single" w:sz="4" w:space="0" w:color="auto"/>
            </w:tcBorders>
          </w:tcPr>
          <w:p w:rsidR="00B43C57" w:rsidRPr="00F5723F" w:rsidRDefault="00B43C57">
            <w:pPr>
              <w:pStyle w:val="Tabelltextsiffror"/>
              <w:rPr>
                <w:szCs w:val="16"/>
              </w:rPr>
            </w:pPr>
          </w:p>
        </w:tc>
        <w:tc>
          <w:tcPr>
            <w:tcW w:w="380" w:type="dxa"/>
            <w:tcBorders>
              <w:top w:val="single" w:sz="4" w:space="0" w:color="auto"/>
            </w:tcBorders>
          </w:tcPr>
          <w:p w:rsidR="00B43C57" w:rsidRPr="00F5723F" w:rsidRDefault="00B43C57">
            <w:pPr>
              <w:pStyle w:val="Tabelltextsiffror"/>
              <w:rPr>
                <w:szCs w:val="16"/>
              </w:rPr>
            </w:pPr>
          </w:p>
        </w:tc>
        <w:tc>
          <w:tcPr>
            <w:tcW w:w="380" w:type="dxa"/>
            <w:tcBorders>
              <w:top w:val="single" w:sz="4" w:space="0" w:color="auto"/>
            </w:tcBorders>
          </w:tcPr>
          <w:p w:rsidR="00B43C57" w:rsidRPr="00F5723F" w:rsidRDefault="00B43C57">
            <w:pPr>
              <w:pStyle w:val="Tabelltextsiffror"/>
              <w:rPr>
                <w:szCs w:val="16"/>
              </w:rPr>
            </w:pPr>
          </w:p>
        </w:tc>
        <w:tc>
          <w:tcPr>
            <w:tcW w:w="132" w:type="dxa"/>
            <w:tcBorders>
              <w:top w:val="single" w:sz="4" w:space="0" w:color="auto"/>
            </w:tcBorders>
          </w:tcPr>
          <w:p w:rsidR="00B43C57" w:rsidRPr="00F5723F" w:rsidRDefault="00B43C57">
            <w:pPr>
              <w:pStyle w:val="Tabelltextsiffror"/>
              <w:rPr>
                <w:szCs w:val="16"/>
              </w:rPr>
            </w:pPr>
          </w:p>
        </w:tc>
        <w:tc>
          <w:tcPr>
            <w:tcW w:w="343" w:type="dxa"/>
            <w:tcBorders>
              <w:top w:val="single" w:sz="4" w:space="0" w:color="auto"/>
            </w:tcBorders>
          </w:tcPr>
          <w:p w:rsidR="00B43C57" w:rsidRPr="00F5723F" w:rsidRDefault="00B43C57">
            <w:pPr>
              <w:pStyle w:val="Tabelltextsiffror"/>
              <w:rPr>
                <w:szCs w:val="16"/>
              </w:rPr>
            </w:pPr>
          </w:p>
        </w:tc>
        <w:tc>
          <w:tcPr>
            <w:tcW w:w="380" w:type="dxa"/>
            <w:tcBorders>
              <w:top w:val="single" w:sz="4" w:space="0" w:color="auto"/>
            </w:tcBorders>
          </w:tcPr>
          <w:p w:rsidR="00B43C57" w:rsidRPr="00F5723F" w:rsidRDefault="00B43C57">
            <w:pPr>
              <w:pStyle w:val="Tabelltextsiffror"/>
              <w:rPr>
                <w:szCs w:val="16"/>
              </w:rPr>
            </w:pPr>
          </w:p>
        </w:tc>
        <w:tc>
          <w:tcPr>
            <w:tcW w:w="284" w:type="dxa"/>
            <w:tcBorders>
              <w:top w:val="single" w:sz="4" w:space="0" w:color="auto"/>
            </w:tcBorders>
          </w:tcPr>
          <w:p w:rsidR="00B43C57" w:rsidRPr="00F5723F" w:rsidRDefault="00B43C57">
            <w:pPr>
              <w:pStyle w:val="Tabelltextsiffror"/>
              <w:rPr>
                <w:szCs w:val="16"/>
              </w:rPr>
            </w:pPr>
          </w:p>
        </w:tc>
        <w:tc>
          <w:tcPr>
            <w:tcW w:w="283" w:type="dxa"/>
            <w:tcBorders>
              <w:top w:val="single" w:sz="4" w:space="0" w:color="auto"/>
            </w:tcBorders>
          </w:tcPr>
          <w:p w:rsidR="00B43C57" w:rsidRPr="00F5723F" w:rsidRDefault="00B43C57">
            <w:pPr>
              <w:pStyle w:val="Tabelltextsiffror"/>
              <w:rPr>
                <w:szCs w:val="16"/>
              </w:rPr>
            </w:pPr>
          </w:p>
        </w:tc>
        <w:tc>
          <w:tcPr>
            <w:tcW w:w="284" w:type="dxa"/>
            <w:tcBorders>
              <w:top w:val="single" w:sz="4" w:space="0" w:color="auto"/>
            </w:tcBorders>
          </w:tcPr>
          <w:p w:rsidR="00B43C57" w:rsidRPr="00F5723F" w:rsidRDefault="00B43C57">
            <w:pPr>
              <w:pStyle w:val="Tabelltextsiffror"/>
              <w:rPr>
                <w:szCs w:val="16"/>
              </w:rPr>
            </w:pPr>
          </w:p>
        </w:tc>
        <w:tc>
          <w:tcPr>
            <w:tcW w:w="313" w:type="dxa"/>
            <w:tcBorders>
              <w:top w:val="single" w:sz="4" w:space="0" w:color="auto"/>
            </w:tcBorders>
          </w:tcPr>
          <w:p w:rsidR="00B43C57" w:rsidRPr="00F5723F" w:rsidRDefault="00B43C57">
            <w:pPr>
              <w:pStyle w:val="Tabelltextsiffror"/>
              <w:rPr>
                <w:szCs w:val="16"/>
              </w:rPr>
            </w:pPr>
          </w:p>
        </w:tc>
        <w:tc>
          <w:tcPr>
            <w:tcW w:w="356" w:type="dxa"/>
            <w:tcBorders>
              <w:top w:val="single" w:sz="4" w:space="0" w:color="auto"/>
            </w:tcBorders>
          </w:tcPr>
          <w:p w:rsidR="00B43C57" w:rsidRPr="00F5723F" w:rsidRDefault="00B43C57">
            <w:pPr>
              <w:pStyle w:val="Tabelltextsiffror"/>
              <w:rPr>
                <w:szCs w:val="16"/>
              </w:rPr>
            </w:pPr>
          </w:p>
        </w:tc>
        <w:tc>
          <w:tcPr>
            <w:tcW w:w="380" w:type="dxa"/>
            <w:tcBorders>
              <w:top w:val="single" w:sz="4" w:space="0" w:color="auto"/>
            </w:tcBorders>
          </w:tcPr>
          <w:p w:rsidR="00B43C57" w:rsidRPr="00F5723F" w:rsidRDefault="00B43C57">
            <w:pPr>
              <w:pStyle w:val="Tabelltextsiffror"/>
              <w:rPr>
                <w:szCs w:val="16"/>
              </w:rPr>
            </w:pPr>
          </w:p>
        </w:tc>
      </w:tr>
      <w:tr w:rsidR="00000000" w:rsidRPr="00F5723F">
        <w:tblPrEx>
          <w:tblCellMar>
            <w:top w:w="0" w:type="dxa"/>
            <w:bottom w:w="0" w:type="dxa"/>
          </w:tblCellMar>
        </w:tblPrEx>
        <w:tc>
          <w:tcPr>
            <w:tcW w:w="1474" w:type="dxa"/>
          </w:tcPr>
          <w:p w:rsidR="00B43C57" w:rsidRPr="00F5723F" w:rsidRDefault="00B43C57">
            <w:pPr>
              <w:pStyle w:val="Tabelltext"/>
              <w:ind w:left="190" w:hanging="190"/>
            </w:pPr>
            <w:r w:rsidRPr="00F5723F">
              <w:t>Ledamöter med kommittéup</w:t>
            </w:r>
            <w:r w:rsidRPr="00F5723F">
              <w:t>p</w:t>
            </w:r>
            <w:r w:rsidRPr="00F5723F">
              <w:t>drag</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30</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36</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61</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41</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20</w:t>
            </w:r>
          </w:p>
        </w:tc>
        <w:tc>
          <w:tcPr>
            <w:tcW w:w="29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26</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50</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32</w:t>
            </w:r>
          </w:p>
        </w:tc>
        <w:tc>
          <w:tcPr>
            <w:tcW w:w="132" w:type="dxa"/>
          </w:tcPr>
          <w:p w:rsidR="00B43C57" w:rsidRPr="00F5723F" w:rsidRDefault="00B43C57">
            <w:pPr>
              <w:pStyle w:val="Tabelltextsiffror"/>
              <w:jc w:val="center"/>
              <w:rPr>
                <w:szCs w:val="16"/>
              </w:rPr>
            </w:pPr>
          </w:p>
        </w:tc>
        <w:tc>
          <w:tcPr>
            <w:tcW w:w="34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33</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37</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41</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24</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33</w:t>
            </w:r>
          </w:p>
        </w:tc>
        <w:tc>
          <w:tcPr>
            <w:tcW w:w="31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27</w:t>
            </w:r>
          </w:p>
        </w:tc>
        <w:tc>
          <w:tcPr>
            <w:tcW w:w="356"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24</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33</w:t>
            </w:r>
          </w:p>
        </w:tc>
      </w:tr>
      <w:tr w:rsidR="00000000" w:rsidRPr="00F5723F">
        <w:tblPrEx>
          <w:tblCellMar>
            <w:top w:w="0" w:type="dxa"/>
            <w:bottom w:w="0" w:type="dxa"/>
          </w:tblCellMar>
        </w:tblPrEx>
        <w:tc>
          <w:tcPr>
            <w:tcW w:w="1474" w:type="dxa"/>
          </w:tcPr>
          <w:p w:rsidR="00B43C57" w:rsidRPr="00F5723F" w:rsidRDefault="00B43C57">
            <w:pPr>
              <w:pStyle w:val="Tabelltext"/>
              <w:ind w:left="190" w:hanging="190"/>
            </w:pPr>
            <w:r w:rsidRPr="00F5723F">
              <w:t>Ledamöter med uppdrag i styre</w:t>
            </w:r>
            <w:r w:rsidRPr="00F5723F">
              <w:t>l</w:t>
            </w:r>
            <w:r w:rsidRPr="00F5723F">
              <w:t>se i statliga organ</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19</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55</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56</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59</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40</w:t>
            </w:r>
          </w:p>
        </w:tc>
        <w:tc>
          <w:tcPr>
            <w:tcW w:w="29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38</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19</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44</w:t>
            </w:r>
          </w:p>
        </w:tc>
        <w:tc>
          <w:tcPr>
            <w:tcW w:w="132" w:type="dxa"/>
          </w:tcPr>
          <w:p w:rsidR="00B43C57" w:rsidRPr="00F5723F" w:rsidRDefault="00B43C57">
            <w:pPr>
              <w:pStyle w:val="Tabelltextsiffror"/>
              <w:jc w:val="center"/>
              <w:rPr>
                <w:szCs w:val="16"/>
              </w:rPr>
            </w:pPr>
          </w:p>
        </w:tc>
        <w:tc>
          <w:tcPr>
            <w:tcW w:w="34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33</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54</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32</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20</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51</w:t>
            </w:r>
          </w:p>
        </w:tc>
        <w:tc>
          <w:tcPr>
            <w:tcW w:w="31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36</w:t>
            </w:r>
          </w:p>
        </w:tc>
        <w:tc>
          <w:tcPr>
            <w:tcW w:w="356"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24</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43</w:t>
            </w:r>
          </w:p>
        </w:tc>
      </w:tr>
      <w:tr w:rsidR="00000000" w:rsidRPr="00F5723F">
        <w:tblPrEx>
          <w:tblCellMar>
            <w:top w:w="0" w:type="dxa"/>
            <w:bottom w:w="0" w:type="dxa"/>
          </w:tblCellMar>
        </w:tblPrEx>
        <w:tc>
          <w:tcPr>
            <w:tcW w:w="1474" w:type="dxa"/>
          </w:tcPr>
          <w:p w:rsidR="00B43C57" w:rsidRPr="00F5723F" w:rsidRDefault="00B43C57">
            <w:pPr>
              <w:pStyle w:val="Tabelltext"/>
              <w:ind w:left="190" w:hanging="190"/>
            </w:pPr>
            <w:r w:rsidRPr="00F5723F">
              <w:t>Ledamöter med länsstyrelseup</w:t>
            </w:r>
            <w:r w:rsidRPr="00F5723F">
              <w:t>p</w:t>
            </w:r>
            <w:r w:rsidRPr="00F5723F">
              <w:t>drag</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16</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8</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11</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12</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10</w:t>
            </w:r>
          </w:p>
        </w:tc>
        <w:tc>
          <w:tcPr>
            <w:tcW w:w="29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10</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9</w:t>
            </w:r>
          </w:p>
        </w:tc>
        <w:tc>
          <w:tcPr>
            <w:tcW w:w="132" w:type="dxa"/>
          </w:tcPr>
          <w:p w:rsidR="00B43C57" w:rsidRPr="00F5723F" w:rsidRDefault="00B43C57">
            <w:pPr>
              <w:pStyle w:val="Tabelltextsiffror"/>
              <w:jc w:val="center"/>
              <w:rPr>
                <w:szCs w:val="16"/>
              </w:rPr>
            </w:pPr>
          </w:p>
        </w:tc>
        <w:tc>
          <w:tcPr>
            <w:tcW w:w="34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0</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9</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9</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10</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13</w:t>
            </w:r>
          </w:p>
        </w:tc>
        <w:tc>
          <w:tcPr>
            <w:tcW w:w="31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12</w:t>
            </w:r>
          </w:p>
        </w:tc>
        <w:tc>
          <w:tcPr>
            <w:tcW w:w="356"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6</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9</w:t>
            </w:r>
          </w:p>
        </w:tc>
      </w:tr>
      <w:tr w:rsidR="00000000" w:rsidRPr="00F5723F">
        <w:tblPrEx>
          <w:tblCellMar>
            <w:top w:w="0" w:type="dxa"/>
            <w:bottom w:w="0" w:type="dxa"/>
          </w:tblCellMar>
        </w:tblPrEx>
        <w:tc>
          <w:tcPr>
            <w:tcW w:w="1474" w:type="dxa"/>
          </w:tcPr>
          <w:p w:rsidR="00B43C57" w:rsidRPr="00F5723F" w:rsidRDefault="00B43C57">
            <w:pPr>
              <w:pStyle w:val="Tabelltext"/>
              <w:ind w:left="190" w:hanging="190"/>
            </w:pPr>
            <w:r w:rsidRPr="00F5723F">
              <w:t>Ledamöter av statlig län</w:t>
            </w:r>
            <w:r w:rsidRPr="00F5723F">
              <w:t>s</w:t>
            </w:r>
            <w:r w:rsidRPr="00F5723F">
              <w:t>nämnd</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14</w:t>
            </w:r>
          </w:p>
        </w:tc>
        <w:tc>
          <w:tcPr>
            <w:tcW w:w="285"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21</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6</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11</w:t>
            </w:r>
          </w:p>
        </w:tc>
        <w:tc>
          <w:tcPr>
            <w:tcW w:w="29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7</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13</w:t>
            </w:r>
          </w:p>
        </w:tc>
        <w:tc>
          <w:tcPr>
            <w:tcW w:w="132" w:type="dxa"/>
          </w:tcPr>
          <w:p w:rsidR="00B43C57" w:rsidRPr="00F5723F" w:rsidRDefault="00B43C57">
            <w:pPr>
              <w:pStyle w:val="Tabelltextsiffror"/>
              <w:jc w:val="center"/>
              <w:rPr>
                <w:szCs w:val="16"/>
              </w:rPr>
            </w:pPr>
          </w:p>
        </w:tc>
        <w:tc>
          <w:tcPr>
            <w:tcW w:w="34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3</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9</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w:t>
            </w:r>
          </w:p>
        </w:tc>
        <w:tc>
          <w:tcPr>
            <w:tcW w:w="28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w:t>
            </w:r>
          </w:p>
        </w:tc>
        <w:tc>
          <w:tcPr>
            <w:tcW w:w="284"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2</w:t>
            </w:r>
          </w:p>
        </w:tc>
        <w:tc>
          <w:tcPr>
            <w:tcW w:w="313"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6</w:t>
            </w:r>
          </w:p>
        </w:tc>
        <w:tc>
          <w:tcPr>
            <w:tcW w:w="356"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0</w:t>
            </w:r>
          </w:p>
        </w:tc>
        <w:tc>
          <w:tcPr>
            <w:tcW w:w="380" w:type="dxa"/>
          </w:tcPr>
          <w:p w:rsidR="00B43C57" w:rsidRPr="00F5723F" w:rsidRDefault="00B43C57">
            <w:pPr>
              <w:pStyle w:val="Tabelltextsiffror"/>
              <w:jc w:val="center"/>
              <w:rPr>
                <w:szCs w:val="16"/>
              </w:rPr>
            </w:pPr>
          </w:p>
          <w:p w:rsidR="00B43C57" w:rsidRPr="00F5723F" w:rsidRDefault="00B43C57">
            <w:pPr>
              <w:pStyle w:val="Tabelltextsiffror"/>
              <w:jc w:val="center"/>
              <w:rPr>
                <w:szCs w:val="16"/>
              </w:rPr>
            </w:pPr>
            <w:r w:rsidRPr="00F5723F">
              <w:rPr>
                <w:szCs w:val="16"/>
              </w:rPr>
              <w:t>5</w:t>
            </w:r>
          </w:p>
        </w:tc>
      </w:tr>
      <w:tr w:rsidR="00000000" w:rsidRPr="00F5723F">
        <w:tblPrEx>
          <w:tblCellMar>
            <w:top w:w="0" w:type="dxa"/>
            <w:bottom w:w="0" w:type="dxa"/>
          </w:tblCellMar>
        </w:tblPrEx>
        <w:tc>
          <w:tcPr>
            <w:tcW w:w="1474" w:type="dxa"/>
            <w:tcBorders>
              <w:bottom w:val="single" w:sz="4" w:space="0" w:color="auto"/>
            </w:tcBorders>
          </w:tcPr>
          <w:p w:rsidR="00B43C57" w:rsidRPr="00F5723F" w:rsidRDefault="00B43C57">
            <w:pPr>
              <w:pStyle w:val="Tabelltext"/>
              <w:ind w:left="190" w:hanging="190"/>
            </w:pPr>
          </w:p>
        </w:tc>
        <w:tc>
          <w:tcPr>
            <w:tcW w:w="285" w:type="dxa"/>
            <w:tcBorders>
              <w:bottom w:val="single" w:sz="4" w:space="0" w:color="auto"/>
            </w:tcBorders>
          </w:tcPr>
          <w:p w:rsidR="00B43C57" w:rsidRPr="00F5723F" w:rsidRDefault="00B43C57">
            <w:pPr>
              <w:pStyle w:val="Tabelltextsiffror"/>
              <w:rPr>
                <w:szCs w:val="16"/>
              </w:rPr>
            </w:pPr>
          </w:p>
        </w:tc>
        <w:tc>
          <w:tcPr>
            <w:tcW w:w="285" w:type="dxa"/>
            <w:tcBorders>
              <w:bottom w:val="single" w:sz="4" w:space="0" w:color="auto"/>
            </w:tcBorders>
          </w:tcPr>
          <w:p w:rsidR="00B43C57" w:rsidRPr="00F5723F" w:rsidRDefault="00B43C57">
            <w:pPr>
              <w:pStyle w:val="Tabelltextsiffror"/>
              <w:rPr>
                <w:szCs w:val="16"/>
              </w:rPr>
            </w:pPr>
          </w:p>
        </w:tc>
        <w:tc>
          <w:tcPr>
            <w:tcW w:w="284" w:type="dxa"/>
            <w:tcBorders>
              <w:bottom w:val="single" w:sz="4" w:space="0" w:color="auto"/>
            </w:tcBorders>
          </w:tcPr>
          <w:p w:rsidR="00B43C57" w:rsidRPr="00F5723F" w:rsidRDefault="00B43C57">
            <w:pPr>
              <w:pStyle w:val="Tabelltextsiffror"/>
              <w:rPr>
                <w:szCs w:val="16"/>
              </w:rPr>
            </w:pPr>
          </w:p>
        </w:tc>
        <w:tc>
          <w:tcPr>
            <w:tcW w:w="283" w:type="dxa"/>
            <w:tcBorders>
              <w:bottom w:val="single" w:sz="4" w:space="0" w:color="auto"/>
            </w:tcBorders>
          </w:tcPr>
          <w:p w:rsidR="00B43C57" w:rsidRPr="00F5723F" w:rsidRDefault="00B43C57">
            <w:pPr>
              <w:pStyle w:val="Tabelltextsiffror"/>
              <w:rPr>
                <w:szCs w:val="16"/>
              </w:rPr>
            </w:pPr>
          </w:p>
        </w:tc>
        <w:tc>
          <w:tcPr>
            <w:tcW w:w="283" w:type="dxa"/>
            <w:tcBorders>
              <w:bottom w:val="single" w:sz="4" w:space="0" w:color="auto"/>
            </w:tcBorders>
          </w:tcPr>
          <w:p w:rsidR="00B43C57" w:rsidRPr="00F5723F" w:rsidRDefault="00B43C57">
            <w:pPr>
              <w:pStyle w:val="Tabelltextsiffror"/>
              <w:rPr>
                <w:szCs w:val="16"/>
              </w:rPr>
            </w:pPr>
          </w:p>
        </w:tc>
        <w:tc>
          <w:tcPr>
            <w:tcW w:w="290" w:type="dxa"/>
            <w:tcBorders>
              <w:bottom w:val="single" w:sz="4" w:space="0" w:color="auto"/>
            </w:tcBorders>
          </w:tcPr>
          <w:p w:rsidR="00B43C57" w:rsidRPr="00F5723F" w:rsidRDefault="00B43C57">
            <w:pPr>
              <w:pStyle w:val="Tabelltextsiffror"/>
              <w:rPr>
                <w:szCs w:val="16"/>
              </w:rPr>
            </w:pPr>
          </w:p>
        </w:tc>
        <w:tc>
          <w:tcPr>
            <w:tcW w:w="380" w:type="dxa"/>
            <w:tcBorders>
              <w:bottom w:val="single" w:sz="4" w:space="0" w:color="auto"/>
            </w:tcBorders>
          </w:tcPr>
          <w:p w:rsidR="00B43C57" w:rsidRPr="00F5723F" w:rsidRDefault="00B43C57">
            <w:pPr>
              <w:pStyle w:val="Tabelltextsiffror"/>
              <w:rPr>
                <w:szCs w:val="16"/>
              </w:rPr>
            </w:pPr>
          </w:p>
        </w:tc>
        <w:tc>
          <w:tcPr>
            <w:tcW w:w="380" w:type="dxa"/>
            <w:tcBorders>
              <w:bottom w:val="single" w:sz="4" w:space="0" w:color="auto"/>
            </w:tcBorders>
          </w:tcPr>
          <w:p w:rsidR="00B43C57" w:rsidRPr="00F5723F" w:rsidRDefault="00B43C57">
            <w:pPr>
              <w:pStyle w:val="Tabelltextsiffror"/>
              <w:rPr>
                <w:szCs w:val="16"/>
              </w:rPr>
            </w:pPr>
          </w:p>
        </w:tc>
        <w:tc>
          <w:tcPr>
            <w:tcW w:w="132" w:type="dxa"/>
            <w:tcBorders>
              <w:bottom w:val="single" w:sz="4" w:space="0" w:color="auto"/>
            </w:tcBorders>
          </w:tcPr>
          <w:p w:rsidR="00B43C57" w:rsidRPr="00F5723F" w:rsidRDefault="00B43C57">
            <w:pPr>
              <w:pStyle w:val="Tabelltextsiffror"/>
              <w:rPr>
                <w:szCs w:val="16"/>
              </w:rPr>
            </w:pPr>
          </w:p>
        </w:tc>
        <w:tc>
          <w:tcPr>
            <w:tcW w:w="343" w:type="dxa"/>
            <w:tcBorders>
              <w:bottom w:val="single" w:sz="4" w:space="0" w:color="auto"/>
            </w:tcBorders>
          </w:tcPr>
          <w:p w:rsidR="00B43C57" w:rsidRPr="00F5723F" w:rsidRDefault="00B43C57">
            <w:pPr>
              <w:pStyle w:val="Tabelltextsiffror"/>
              <w:rPr>
                <w:szCs w:val="16"/>
              </w:rPr>
            </w:pPr>
          </w:p>
        </w:tc>
        <w:tc>
          <w:tcPr>
            <w:tcW w:w="380" w:type="dxa"/>
            <w:tcBorders>
              <w:bottom w:val="single" w:sz="4" w:space="0" w:color="auto"/>
            </w:tcBorders>
          </w:tcPr>
          <w:p w:rsidR="00B43C57" w:rsidRPr="00F5723F" w:rsidRDefault="00B43C57">
            <w:pPr>
              <w:pStyle w:val="Tabelltextsiffror"/>
              <w:rPr>
                <w:szCs w:val="16"/>
              </w:rPr>
            </w:pPr>
          </w:p>
        </w:tc>
        <w:tc>
          <w:tcPr>
            <w:tcW w:w="284" w:type="dxa"/>
            <w:tcBorders>
              <w:bottom w:val="single" w:sz="4" w:space="0" w:color="auto"/>
            </w:tcBorders>
          </w:tcPr>
          <w:p w:rsidR="00B43C57" w:rsidRPr="00F5723F" w:rsidRDefault="00B43C57">
            <w:pPr>
              <w:pStyle w:val="Tabelltextsiffror"/>
              <w:rPr>
                <w:szCs w:val="16"/>
              </w:rPr>
            </w:pPr>
          </w:p>
        </w:tc>
        <w:tc>
          <w:tcPr>
            <w:tcW w:w="283" w:type="dxa"/>
            <w:tcBorders>
              <w:bottom w:val="single" w:sz="4" w:space="0" w:color="auto"/>
            </w:tcBorders>
          </w:tcPr>
          <w:p w:rsidR="00B43C57" w:rsidRPr="00F5723F" w:rsidRDefault="00B43C57">
            <w:pPr>
              <w:pStyle w:val="Tabelltextsiffror"/>
              <w:rPr>
                <w:szCs w:val="16"/>
              </w:rPr>
            </w:pPr>
          </w:p>
        </w:tc>
        <w:tc>
          <w:tcPr>
            <w:tcW w:w="284" w:type="dxa"/>
            <w:tcBorders>
              <w:bottom w:val="single" w:sz="4" w:space="0" w:color="auto"/>
            </w:tcBorders>
          </w:tcPr>
          <w:p w:rsidR="00B43C57" w:rsidRPr="00F5723F" w:rsidRDefault="00B43C57">
            <w:pPr>
              <w:pStyle w:val="Tabelltextsiffror"/>
              <w:rPr>
                <w:szCs w:val="16"/>
              </w:rPr>
            </w:pPr>
          </w:p>
        </w:tc>
        <w:tc>
          <w:tcPr>
            <w:tcW w:w="313" w:type="dxa"/>
            <w:tcBorders>
              <w:bottom w:val="single" w:sz="4" w:space="0" w:color="auto"/>
            </w:tcBorders>
          </w:tcPr>
          <w:p w:rsidR="00B43C57" w:rsidRPr="00F5723F" w:rsidRDefault="00B43C57">
            <w:pPr>
              <w:pStyle w:val="Tabelltextsiffror"/>
              <w:rPr>
                <w:szCs w:val="16"/>
              </w:rPr>
            </w:pPr>
          </w:p>
        </w:tc>
        <w:tc>
          <w:tcPr>
            <w:tcW w:w="356" w:type="dxa"/>
            <w:tcBorders>
              <w:bottom w:val="single" w:sz="4" w:space="0" w:color="auto"/>
            </w:tcBorders>
          </w:tcPr>
          <w:p w:rsidR="00B43C57" w:rsidRPr="00F5723F" w:rsidRDefault="00B43C57">
            <w:pPr>
              <w:pStyle w:val="Tabelltextsiffror"/>
              <w:rPr>
                <w:szCs w:val="16"/>
              </w:rPr>
            </w:pPr>
          </w:p>
        </w:tc>
        <w:tc>
          <w:tcPr>
            <w:tcW w:w="380" w:type="dxa"/>
            <w:tcBorders>
              <w:bottom w:val="single" w:sz="4" w:space="0" w:color="auto"/>
            </w:tcBorders>
          </w:tcPr>
          <w:p w:rsidR="00B43C57" w:rsidRPr="00F5723F" w:rsidRDefault="00B43C57">
            <w:pPr>
              <w:pStyle w:val="Tabelltextsiffror"/>
              <w:rPr>
                <w:szCs w:val="16"/>
              </w:rPr>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Med ”ledamöter av statlig länsnämnd” avses ledamotskap i skogsvårdsstyre</w:t>
      </w:r>
      <w:r w:rsidRPr="00F5723F">
        <w:rPr>
          <w:rFonts w:ascii="Arial" w:hAnsi="Arial" w:cs="Arial"/>
          <w:sz w:val="16"/>
          <w:szCs w:val="16"/>
        </w:rPr>
        <w:t>l</w:t>
      </w:r>
      <w:r w:rsidRPr="00F5723F">
        <w:rPr>
          <w:rFonts w:ascii="Arial" w:hAnsi="Arial" w:cs="Arial"/>
          <w:sz w:val="16"/>
          <w:szCs w:val="16"/>
        </w:rPr>
        <w:t>ser, länsarbetsnämnder, försäkringskassor och polisstyrelser i respe</w:t>
      </w:r>
      <w:r w:rsidRPr="00F5723F">
        <w:rPr>
          <w:rFonts w:ascii="Arial" w:hAnsi="Arial" w:cs="Arial"/>
          <w:sz w:val="16"/>
          <w:szCs w:val="16"/>
        </w:rPr>
        <w:t>k</w:t>
      </w:r>
      <w:r w:rsidRPr="00F5723F">
        <w:rPr>
          <w:rFonts w:ascii="Arial" w:hAnsi="Arial" w:cs="Arial"/>
          <w:sz w:val="16"/>
          <w:szCs w:val="16"/>
        </w:rPr>
        <w:t>tive län. Uppgift saknas markeras i tabellen med ”u.s.”. Källa: För år 1999 sammanställde riksdagens utredning</w:t>
      </w:r>
      <w:r w:rsidRPr="00F5723F">
        <w:rPr>
          <w:rFonts w:ascii="Arial" w:hAnsi="Arial" w:cs="Arial"/>
          <w:sz w:val="16"/>
          <w:szCs w:val="16"/>
        </w:rPr>
        <w:t>s</w:t>
      </w:r>
      <w:r w:rsidRPr="00F5723F">
        <w:rPr>
          <w:rFonts w:ascii="Arial" w:hAnsi="Arial" w:cs="Arial"/>
          <w:sz w:val="16"/>
          <w:szCs w:val="16"/>
        </w:rPr>
        <w:t>tjänst ett material för Riksdagskommittén 2001. För år 2004 har riksdagens utredningstjänst sammanställt material från Rixlex, publikationerna ”Fakta om folkvalda” och ”Sveriges stat</w:t>
      </w:r>
      <w:r w:rsidRPr="00F5723F">
        <w:rPr>
          <w:rFonts w:ascii="Arial" w:hAnsi="Arial" w:cs="Arial"/>
          <w:sz w:val="16"/>
          <w:szCs w:val="16"/>
        </w:rPr>
        <w:t>s</w:t>
      </w:r>
      <w:r w:rsidRPr="00F5723F">
        <w:rPr>
          <w:rFonts w:ascii="Arial" w:hAnsi="Arial" w:cs="Arial"/>
          <w:sz w:val="16"/>
          <w:szCs w:val="16"/>
        </w:rPr>
        <w:t xml:space="preserve">kalender </w:t>
      </w:r>
      <w:smartTag w:uri="urn:schemas-microsoft-com:office:smarttags" w:element="metricconverter">
        <w:smartTagPr>
          <w:attr w:name="ProductID" w:val="2003”"/>
        </w:smartTagPr>
        <w:r w:rsidRPr="00F5723F">
          <w:rPr>
            <w:rFonts w:ascii="Arial" w:hAnsi="Arial" w:cs="Arial"/>
            <w:sz w:val="16"/>
            <w:szCs w:val="16"/>
          </w:rPr>
          <w:t>2003”</w:t>
        </w:r>
      </w:smartTag>
      <w:r w:rsidRPr="00F5723F">
        <w:rPr>
          <w:rFonts w:ascii="Arial" w:hAnsi="Arial" w:cs="Arial"/>
          <w:sz w:val="16"/>
          <w:szCs w:val="16"/>
        </w:rPr>
        <w:t xml:space="preserve"> samt från webbsidor på Internet (myndigheter, ko</w:t>
      </w:r>
      <w:r w:rsidRPr="00F5723F">
        <w:rPr>
          <w:rFonts w:ascii="Arial" w:hAnsi="Arial" w:cs="Arial"/>
          <w:sz w:val="16"/>
          <w:szCs w:val="16"/>
        </w:rPr>
        <w:t>m</w:t>
      </w:r>
      <w:r w:rsidRPr="00F5723F">
        <w:rPr>
          <w:rFonts w:ascii="Arial" w:hAnsi="Arial" w:cs="Arial"/>
          <w:sz w:val="16"/>
          <w:szCs w:val="16"/>
        </w:rPr>
        <w:t>muner, läns</w:t>
      </w:r>
      <w:r w:rsidRPr="00F5723F">
        <w:rPr>
          <w:rFonts w:ascii="Arial" w:hAnsi="Arial" w:cs="Arial"/>
          <w:sz w:val="16"/>
          <w:szCs w:val="16"/>
        </w:rPr>
        <w:t xml:space="preserve">styrelser etc.). </w:t>
      </w:r>
    </w:p>
    <w:p w:rsidR="00B43C57" w:rsidRPr="00F5723F" w:rsidRDefault="00B43C57">
      <w:pPr>
        <w:pStyle w:val="Normaltindrag"/>
      </w:pPr>
    </w:p>
    <w:p w:rsidR="00B43C57" w:rsidRPr="00F5723F" w:rsidRDefault="00B43C57">
      <w:r w:rsidRPr="00F5723F">
        <w:t>Andelen ledamöter som deltar i kommittéväsendet har inte förändrats över huvud taget sedan 1983. Då som nu (1999 och 2004) är det ungefär en tredjedel av ledam</w:t>
      </w:r>
      <w:r w:rsidRPr="00F5723F">
        <w:t>ö</w:t>
      </w:r>
      <w:r w:rsidRPr="00F5723F">
        <w:t>terna som är engagerade i det statliga utredning</w:t>
      </w:r>
      <w:r w:rsidRPr="00F5723F">
        <w:t>s</w:t>
      </w:r>
      <w:r w:rsidRPr="00F5723F">
        <w:t>väsendet. Än vanligare är det att ledamöter deltar som ledamot i styrelser för statliga organ: över 40 procent av led</w:t>
      </w:r>
      <w:r w:rsidRPr="00F5723F">
        <w:t>a</w:t>
      </w:r>
      <w:r w:rsidRPr="00F5723F">
        <w:t>möterna har sådana up</w:t>
      </w:r>
      <w:r w:rsidRPr="00F5723F">
        <w:t>p</w:t>
      </w:r>
      <w:r w:rsidRPr="00F5723F">
        <w:t>drag (44 procent år 1999 och 43 procent år 2004). Ungefär var tionde riksdagsledamot utses samtidigt på lokal nivå av r</w:t>
      </w:r>
      <w:r w:rsidRPr="00F5723F">
        <w:t>e</w:t>
      </w:r>
      <w:r w:rsidRPr="00F5723F">
        <w:t xml:space="preserve">spektive landsting att delta i länsstyrelsernas styrelser. </w:t>
      </w:r>
    </w:p>
    <w:p w:rsidR="00B43C57" w:rsidRPr="00F5723F" w:rsidRDefault="00B43C57">
      <w:pPr>
        <w:pStyle w:val="Normaltindrag"/>
      </w:pPr>
      <w:r w:rsidRPr="00F5723F">
        <w:t>Förändringarna är således små sett över en längre tidsperiod (1983–2004) när det gäller omfattningen av ledamöternas politiska uppdrag utanför</w:t>
      </w:r>
      <w:r w:rsidRPr="00F5723F">
        <w:t xml:space="preserve"> riksd</w:t>
      </w:r>
      <w:r w:rsidRPr="00F5723F">
        <w:t>a</w:t>
      </w:r>
      <w:r w:rsidRPr="00F5723F">
        <w:t>gen. Under den senaste femårsperioden är stabiliteten iög</w:t>
      </w:r>
      <w:r w:rsidRPr="00F5723F">
        <w:t>o</w:t>
      </w:r>
      <w:r w:rsidRPr="00F5723F">
        <w:t>nenfallande. Desto större skillnader kunde i stället up</w:t>
      </w:r>
      <w:r w:rsidRPr="00F5723F">
        <w:t>p</w:t>
      </w:r>
      <w:r w:rsidRPr="00F5723F">
        <w:t>mätas mellan 1969 och 1983.</w:t>
      </w:r>
    </w:p>
    <w:p w:rsidR="00B43C57" w:rsidRPr="00F5723F" w:rsidRDefault="00B43C57">
      <w:pPr>
        <w:pStyle w:val="Normaltindrag"/>
      </w:pPr>
      <w:r w:rsidRPr="00F5723F">
        <w:t>En slutsats som man skulle kunna dra, och som redan påtalades i Riksdagskommi</w:t>
      </w:r>
      <w:r w:rsidRPr="00F5723F">
        <w:t>t</w:t>
      </w:r>
      <w:r w:rsidRPr="00F5723F">
        <w:t>téns betänkande från 2001, är att det egentliga riksdagsarb</w:t>
      </w:r>
      <w:r w:rsidRPr="00F5723F">
        <w:t>e</w:t>
      </w:r>
      <w:r w:rsidRPr="00F5723F">
        <w:t>tet inte tycks ha blivit så arbets- och tidskrävande att det utesluter möjligheten att inneha uppdrag av andra slag inom den offentliga sfären. Riksdagskommittén skrev också: ”Det finns också anle</w:t>
      </w:r>
      <w:r w:rsidRPr="00F5723F">
        <w:t>d</w:t>
      </w:r>
      <w:r w:rsidRPr="00F5723F">
        <w:t>ning att tro att många, kanske de flesta, riksdagsledamöter betraktar sådana uppdrag som så värdefulla för fullgöra</w:t>
      </w:r>
      <w:r w:rsidRPr="00F5723F">
        <w:t>n</w:t>
      </w:r>
      <w:r w:rsidRPr="00F5723F">
        <w:t>det av riksdagsledamotskapet att man gärna tar på sig det ytterligare ansvar som det inn</w:t>
      </w:r>
      <w:r w:rsidRPr="00F5723F">
        <w:t>e</w:t>
      </w:r>
      <w:r w:rsidRPr="00F5723F">
        <w:t xml:space="preserve">bär att sitta med i olika statliga och kommunala </w:t>
      </w:r>
      <w:r w:rsidRPr="00F5723F">
        <w:t>organ.”</w:t>
      </w:r>
      <w:r w:rsidRPr="00F5723F">
        <w:rPr>
          <w:rStyle w:val="Fotnotsreferens"/>
        </w:rPr>
        <w:footnoteReference w:id="121"/>
      </w:r>
      <w:bookmarkStart w:id="257" w:name="_Toc98075746"/>
    </w:p>
    <w:p w:rsidR="00B43C57" w:rsidRPr="00F5723F" w:rsidRDefault="00B43C57">
      <w:pPr>
        <w:pStyle w:val="Rubrik2"/>
      </w:pPr>
      <w:bookmarkStart w:id="258" w:name="_Toc121738976"/>
      <w:bookmarkStart w:id="259" w:name="_Toc124697859"/>
      <w:r w:rsidRPr="00F5723F">
        <w:t>Deltagande i det regionala och lokala partiarbetet</w:t>
      </w:r>
      <w:bookmarkEnd w:id="257"/>
      <w:bookmarkEnd w:id="258"/>
      <w:bookmarkEnd w:id="259"/>
    </w:p>
    <w:p w:rsidR="00B43C57" w:rsidRPr="00F5723F" w:rsidRDefault="00B43C57">
      <w:r w:rsidRPr="00F5723F">
        <w:t>Deltagandet i det regionala och lokala partiarbetet på hemmaplan utgör en naturlig del av uppdraget som riksdagsledamot. Den brittiske parlamentsl</w:t>
      </w:r>
      <w:r w:rsidRPr="00F5723F">
        <w:t>e</w:t>
      </w:r>
      <w:r w:rsidRPr="00F5723F">
        <w:t>damoten Benjamin Disraeli ma</w:t>
      </w:r>
      <w:r w:rsidRPr="00F5723F">
        <w:t>r</w:t>
      </w:r>
      <w:r w:rsidRPr="00F5723F">
        <w:t>kerade redan i mitten av 1800-talet den stora betydelse valkretsen har för det parlamentariska uppdr</w:t>
      </w:r>
      <w:r w:rsidRPr="00F5723F">
        <w:t>a</w:t>
      </w:r>
      <w:r w:rsidRPr="00F5723F">
        <w:t xml:space="preserve">get: </w:t>
      </w:r>
      <w:r w:rsidRPr="00F5723F">
        <w:rPr>
          <w:i/>
        </w:rPr>
        <w:t xml:space="preserve">”The country is nothing; it is the constituency you have to deal with” </w:t>
      </w:r>
      <w:r w:rsidRPr="00F5723F">
        <w:t>(1844:83).</w:t>
      </w:r>
      <w:r w:rsidRPr="00F5723F">
        <w:rPr>
          <w:rStyle w:val="Fotnotsreferens"/>
        </w:rPr>
        <w:footnoteReference w:id="122"/>
      </w:r>
      <w:r w:rsidRPr="00F5723F">
        <w:t xml:space="preserve"> Uttalandet står sig fortfarande; i den representativa d</w:t>
      </w:r>
      <w:r w:rsidRPr="00F5723F">
        <w:t>e</w:t>
      </w:r>
      <w:r w:rsidRPr="00F5723F">
        <w:t>mokratin intar valkretsen en central ställning.</w:t>
      </w:r>
      <w:r w:rsidRPr="00F5723F">
        <w:rPr>
          <w:rStyle w:val="Fotnotsreferens"/>
        </w:rPr>
        <w:footnoteReference w:id="123"/>
      </w:r>
      <w:r w:rsidRPr="00F5723F">
        <w:t xml:space="preserve"> Det handlar för ledamoten både om att förankra riksdagsarbetet på hemmaplan och om att informera sig om de eventuella problem som finns i va</w:t>
      </w:r>
      <w:r w:rsidRPr="00F5723F">
        <w:t>l</w:t>
      </w:r>
      <w:r w:rsidRPr="00F5723F">
        <w:t>kretsen.</w:t>
      </w:r>
    </w:p>
    <w:p w:rsidR="00B43C57" w:rsidRPr="00F5723F" w:rsidRDefault="00B43C57">
      <w:pPr>
        <w:pStyle w:val="Normaltindrag"/>
        <w:rPr>
          <w:snapToGrid w:val="0"/>
        </w:rPr>
      </w:pPr>
      <w:r w:rsidRPr="00F5723F">
        <w:rPr>
          <w:snapToGrid w:val="0"/>
        </w:rPr>
        <w:t>I Sverige har till exempel valkretsen haft en statsrättsligt stark ställning. Genom valkretsarna tryggas den lokala och regionala representationen i riksdagen.</w:t>
      </w:r>
      <w:r w:rsidRPr="00F5723F">
        <w:rPr>
          <w:rStyle w:val="Fotnotsreferens"/>
        </w:rPr>
        <w:footnoteReference w:id="124"/>
      </w:r>
      <w:r w:rsidRPr="00F5723F">
        <w:rPr>
          <w:snapToGrid w:val="0"/>
        </w:rPr>
        <w:t xml:space="preserve"> Nom</w:t>
      </w:r>
      <w:r w:rsidRPr="00F5723F">
        <w:rPr>
          <w:snapToGrid w:val="0"/>
        </w:rPr>
        <w:t>i</w:t>
      </w:r>
      <w:r w:rsidRPr="00F5723F">
        <w:rPr>
          <w:snapToGrid w:val="0"/>
        </w:rPr>
        <w:t>neringen av kandidater till riksdagen ligger till exempel på de regionala partiorganis</w:t>
      </w:r>
      <w:r w:rsidRPr="00F5723F">
        <w:rPr>
          <w:snapToGrid w:val="0"/>
        </w:rPr>
        <w:t>a</w:t>
      </w:r>
      <w:r w:rsidRPr="00F5723F">
        <w:rPr>
          <w:snapToGrid w:val="0"/>
        </w:rPr>
        <w:t>tionernas ansvar; från centralt håll finns inga formella möjligheter att påverka nomin</w:t>
      </w:r>
      <w:r w:rsidRPr="00F5723F">
        <w:rPr>
          <w:snapToGrid w:val="0"/>
        </w:rPr>
        <w:t>e</w:t>
      </w:r>
      <w:r w:rsidRPr="00F5723F">
        <w:rPr>
          <w:snapToGrid w:val="0"/>
        </w:rPr>
        <w:t>ringsprocessen.</w:t>
      </w:r>
      <w:r w:rsidRPr="00F5723F">
        <w:rPr>
          <w:rStyle w:val="Fotnotsreferens"/>
        </w:rPr>
        <w:footnoteReference w:id="125"/>
      </w:r>
      <w:r w:rsidRPr="00F5723F">
        <w:rPr>
          <w:snapToGrid w:val="0"/>
        </w:rPr>
        <w:t xml:space="preserve"> Att valkretsarna har en framskjuten plats i det politiska livet man</w:t>
      </w:r>
      <w:r w:rsidRPr="00F5723F">
        <w:rPr>
          <w:snapToGrid w:val="0"/>
        </w:rPr>
        <w:t>i</w:t>
      </w:r>
      <w:r w:rsidRPr="00F5723F">
        <w:rPr>
          <w:snapToGrid w:val="0"/>
        </w:rPr>
        <w:t>festeras inte minst av ledamöternas placering i riksdagens kammare. En annan indik</w:t>
      </w:r>
      <w:r w:rsidRPr="00F5723F">
        <w:rPr>
          <w:snapToGrid w:val="0"/>
        </w:rPr>
        <w:t>a</w:t>
      </w:r>
      <w:r w:rsidRPr="00F5723F">
        <w:rPr>
          <w:snapToGrid w:val="0"/>
        </w:rPr>
        <w:t>tor på detta är förekomsten av ledamöter som är fortsatt aktiva i lokala politiska fö</w:t>
      </w:r>
      <w:r w:rsidRPr="00F5723F">
        <w:rPr>
          <w:snapToGrid w:val="0"/>
        </w:rPr>
        <w:t>r</w:t>
      </w:r>
      <w:r w:rsidRPr="00F5723F">
        <w:rPr>
          <w:snapToGrid w:val="0"/>
        </w:rPr>
        <w:t>samlingar i sin he</w:t>
      </w:r>
      <w:r w:rsidRPr="00F5723F">
        <w:rPr>
          <w:snapToGrid w:val="0"/>
        </w:rPr>
        <w:t>m</w:t>
      </w:r>
      <w:r w:rsidRPr="00F5723F">
        <w:rPr>
          <w:snapToGrid w:val="0"/>
        </w:rPr>
        <w:t>kommun eller i landstinget. Att enskilda riksdagsledamöter har uppdrag för det egna partiet på lokal eller regional nivå är också tämligen vanligt, som vi såg av föregående a</w:t>
      </w:r>
      <w:r w:rsidRPr="00F5723F">
        <w:rPr>
          <w:snapToGrid w:val="0"/>
        </w:rPr>
        <w:t>v</w:t>
      </w:r>
      <w:r w:rsidRPr="00F5723F">
        <w:rPr>
          <w:snapToGrid w:val="0"/>
        </w:rPr>
        <w:t>snitt.</w:t>
      </w:r>
      <w:r w:rsidRPr="00F5723F">
        <w:rPr>
          <w:rStyle w:val="Fotnotsreferens"/>
        </w:rPr>
        <w:footnoteReference w:id="126"/>
      </w:r>
      <w:r w:rsidRPr="00F5723F">
        <w:rPr>
          <w:snapToGrid w:val="0"/>
        </w:rPr>
        <w:t xml:space="preserve"> </w:t>
      </w:r>
    </w:p>
    <w:p w:rsidR="00B43C57" w:rsidRPr="00F5723F" w:rsidRDefault="00B43C57">
      <w:pPr>
        <w:pStyle w:val="Normaltindrag"/>
      </w:pPr>
      <w:r w:rsidRPr="00F5723F">
        <w:rPr>
          <w:snapToGrid w:val="0"/>
        </w:rPr>
        <w:t>I det här avsnittet skall vi närmare analysera ledamöternas uppfattningar om sitt eget deltagande i part</w:t>
      </w:r>
      <w:r w:rsidRPr="00F5723F">
        <w:rPr>
          <w:snapToGrid w:val="0"/>
        </w:rPr>
        <w:t>i</w:t>
      </w:r>
      <w:r w:rsidRPr="00F5723F">
        <w:rPr>
          <w:snapToGrid w:val="0"/>
        </w:rPr>
        <w:t xml:space="preserve">arbetet på lokal och regional nivå. Vi skall analysera både hur omfattande det </w:t>
      </w:r>
      <w:r w:rsidRPr="00F5723F">
        <w:rPr>
          <w:i/>
          <w:snapToGrid w:val="0"/>
        </w:rPr>
        <w:t>faktiskt</w:t>
      </w:r>
      <w:r w:rsidRPr="00F5723F">
        <w:rPr>
          <w:snapToGrid w:val="0"/>
        </w:rPr>
        <w:t xml:space="preserve"> är och hur omfatta</w:t>
      </w:r>
      <w:r w:rsidRPr="00F5723F">
        <w:rPr>
          <w:snapToGrid w:val="0"/>
        </w:rPr>
        <w:t>n</w:t>
      </w:r>
      <w:r w:rsidRPr="00F5723F">
        <w:rPr>
          <w:snapToGrid w:val="0"/>
        </w:rPr>
        <w:t xml:space="preserve">de ledamöterna </w:t>
      </w:r>
      <w:r w:rsidRPr="00F5723F">
        <w:rPr>
          <w:i/>
          <w:snapToGrid w:val="0"/>
        </w:rPr>
        <w:t>önskar</w:t>
      </w:r>
      <w:r w:rsidRPr="00F5723F">
        <w:rPr>
          <w:snapToGrid w:val="0"/>
        </w:rPr>
        <w:t xml:space="preserve"> att det skulle vara. </w:t>
      </w:r>
      <w:r w:rsidRPr="00F5723F">
        <w:t>I Riksdagskommitténs undersökning ingick två frågor om led</w:t>
      </w:r>
      <w:r w:rsidRPr="00F5723F">
        <w:t>a</w:t>
      </w:r>
      <w:r w:rsidRPr="00F5723F">
        <w:t xml:space="preserve">möternas deltagande i det regionala och lokala partiarbetet. Ledamöterna fick först uppge hur ofta de </w:t>
      </w:r>
      <w:r w:rsidRPr="00F5723F">
        <w:rPr>
          <w:i/>
        </w:rPr>
        <w:t>fa</w:t>
      </w:r>
      <w:r w:rsidRPr="00F5723F">
        <w:rPr>
          <w:i/>
        </w:rPr>
        <w:t>k</w:t>
      </w:r>
      <w:r w:rsidRPr="00F5723F">
        <w:rPr>
          <w:i/>
        </w:rPr>
        <w:t>tiskt</w:t>
      </w:r>
      <w:r w:rsidRPr="00F5723F">
        <w:t xml:space="preserve"> deltar i möten på lokal och regional nivå, men fick också svara på hur de </w:t>
      </w:r>
      <w:r w:rsidRPr="00F5723F">
        <w:rPr>
          <w:i/>
        </w:rPr>
        <w:t>normativt</w:t>
      </w:r>
      <w:r w:rsidRPr="00F5723F">
        <w:t xml:space="preserve"> såg på sitt deltagande och om deltagandet kunde anses vara </w:t>
      </w:r>
      <w:r w:rsidRPr="00F5723F">
        <w:rPr>
          <w:i/>
        </w:rPr>
        <w:t>til</w:t>
      </w:r>
      <w:r w:rsidRPr="00F5723F">
        <w:rPr>
          <w:i/>
        </w:rPr>
        <w:t>l</w:t>
      </w:r>
      <w:r w:rsidRPr="00F5723F">
        <w:rPr>
          <w:i/>
        </w:rPr>
        <w:t>räckligt</w:t>
      </w:r>
      <w:r w:rsidRPr="00F5723F">
        <w:t xml:space="preserve"> eller inte. </w:t>
      </w:r>
    </w:p>
    <w:p w:rsidR="00B43C57" w:rsidRPr="00F5723F" w:rsidRDefault="00B43C57">
      <w:pPr>
        <w:pStyle w:val="Normaltindrag"/>
      </w:pPr>
      <w:r w:rsidRPr="00F5723F">
        <w:t>Ledamöterna ombads för</w:t>
      </w:r>
      <w:r w:rsidRPr="00F5723F">
        <w:t xml:space="preserve">st att besvara en fråga med följande formulering: </w:t>
      </w:r>
      <w:r w:rsidRPr="00F5723F">
        <w:t>”I vilken omfatt</w:t>
      </w:r>
      <w:r w:rsidRPr="00F5723F">
        <w:t>ning deltar Du i sammanträden/</w:t>
      </w:r>
      <w:r w:rsidRPr="00F5723F">
        <w:t>möten anordnade av valkret</w:t>
      </w:r>
      <w:r w:rsidRPr="00F5723F">
        <w:t>s</w:t>
      </w:r>
      <w:r w:rsidRPr="00F5723F">
        <w:t>organisationen eller lokala partiorganisationer i Din valkrets? Markera i vilken omfattning Du fa</w:t>
      </w:r>
      <w:r w:rsidRPr="00F5723F">
        <w:t>k</w:t>
      </w:r>
      <w:r w:rsidRPr="00F5723F">
        <w:t>tiskt deltar.”</w:t>
      </w:r>
      <w:r w:rsidRPr="00F5723F">
        <w:t xml:space="preserve"> Ledamöterna ombads uppge sitt deltagande i möten med valkretsorgan</w:t>
      </w:r>
      <w:r w:rsidRPr="00F5723F">
        <w:t>i</w:t>
      </w:r>
      <w:r w:rsidRPr="00F5723F">
        <w:t>sationen, partiorganisationen på hemorten och annan lokal partiorganisation. Svarsa</w:t>
      </w:r>
      <w:r w:rsidRPr="00F5723F">
        <w:t>l</w:t>
      </w:r>
      <w:r w:rsidRPr="00F5723F">
        <w:t>ternativen var fem till antalet: ”varje tillfälle”, ”nästan varje tillfälle”, ”ibland”, ”sä</w:t>
      </w:r>
      <w:r w:rsidRPr="00F5723F">
        <w:t>l</w:t>
      </w:r>
      <w:r w:rsidRPr="00F5723F">
        <w:t>lan” och ”aldrig”. I anal</w:t>
      </w:r>
      <w:r w:rsidRPr="00F5723F">
        <w:t>y</w:t>
      </w:r>
      <w:r w:rsidRPr="00F5723F">
        <w:t>serna h</w:t>
      </w:r>
      <w:r w:rsidRPr="00F5723F">
        <w:t>ar dessa svarsalternativ reducerats till tre: ”deltar regelmässigt” (som omfa</w:t>
      </w:r>
      <w:r w:rsidRPr="00F5723F">
        <w:t>t</w:t>
      </w:r>
      <w:r w:rsidRPr="00F5723F">
        <w:t>tar både ”varje tillfälle” och ”nästan varje tillfälle”), ”deltar ibland” och ”de</w:t>
      </w:r>
      <w:r w:rsidRPr="00F5723F">
        <w:t>l</w:t>
      </w:r>
      <w:r w:rsidRPr="00F5723F">
        <w:t xml:space="preserve">tar sällan/aldrig”. </w:t>
      </w:r>
    </w:p>
    <w:p w:rsidR="00B43C57" w:rsidRPr="00F5723F" w:rsidRDefault="00B43C57">
      <w:pPr>
        <w:pStyle w:val="Normaltindrag"/>
      </w:pPr>
      <w:r w:rsidRPr="00F5723F">
        <w:t>Vidare ombads ledamöterna besvara en fråga om de ansåg sitt deltagande vara til</w:t>
      </w:r>
      <w:r w:rsidRPr="00F5723F">
        <w:t>l</w:t>
      </w:r>
      <w:r w:rsidRPr="00F5723F">
        <w:t xml:space="preserve">räckligt eller inte. Den fråga som utnyttjades löd: </w:t>
      </w:r>
      <w:r w:rsidRPr="00F5723F">
        <w:t>”Enligt Din mening, är Ditt delt</w:t>
      </w:r>
      <w:r w:rsidRPr="00F5723F">
        <w:t>a</w:t>
      </w:r>
      <w:r w:rsidRPr="00F5723F">
        <w:t>gande i sammanträden/möten anordnade av valkretsorganisationen eller lokala part</w:t>
      </w:r>
      <w:r w:rsidRPr="00F5723F">
        <w:t>i</w:t>
      </w:r>
      <w:r w:rsidRPr="00F5723F">
        <w:t>organisationer i Din valkrets tillräc</w:t>
      </w:r>
      <w:r w:rsidRPr="00F5723F">
        <w:t>k</w:t>
      </w:r>
      <w:r w:rsidRPr="00F5723F">
        <w:t>ligt eller önskar Du delta i större eller mindre utsträckning?”</w:t>
      </w:r>
      <w:r w:rsidRPr="00F5723F">
        <w:t xml:space="preserve"> Uppfattningen om graden av til</w:t>
      </w:r>
      <w:r w:rsidRPr="00F5723F">
        <w:t>l</w:t>
      </w:r>
      <w:r w:rsidRPr="00F5723F">
        <w:t>fredsställelse över den egna närvaron i samma organisationer som i föregåe</w:t>
      </w:r>
      <w:r w:rsidRPr="00F5723F">
        <w:t>n</w:t>
      </w:r>
      <w:r w:rsidRPr="00F5723F">
        <w:t>de fråga efterfrågades. Svarsalternativen på frågan var: ”mycket större”, ”n</w:t>
      </w:r>
      <w:r w:rsidRPr="00F5723F">
        <w:t>å</w:t>
      </w:r>
      <w:r w:rsidRPr="00F5723F">
        <w:t>got större”, ”varken/eller”, ”något mindre” och ”mycket mind</w:t>
      </w:r>
      <w:r w:rsidRPr="00F5723F">
        <w:t>re”. Vid anal</w:t>
      </w:r>
      <w:r w:rsidRPr="00F5723F">
        <w:t>y</w:t>
      </w:r>
      <w:r w:rsidRPr="00F5723F">
        <w:t>sen av frågesvaren har svarskategorierna mycket och något större slagits samman till ”önskar delta mer” m</w:t>
      </w:r>
      <w:r w:rsidRPr="00F5723F">
        <w:t>e</w:t>
      </w:r>
      <w:r w:rsidRPr="00F5723F">
        <w:t>dan varken/eller-alternativet tolkas som att ledamoten anser sig ”delta(r) lagom mycket”. Svarskategorierna ”något mindre” och ”mycket mindre” slås i analysen samman till ”önskar delta min</w:t>
      </w:r>
      <w:r w:rsidRPr="00F5723F">
        <w:t>d</w:t>
      </w:r>
      <w:r w:rsidRPr="00F5723F">
        <w:t xml:space="preserve">re”. </w:t>
      </w:r>
    </w:p>
    <w:p w:rsidR="00B43C57" w:rsidRPr="00F5723F" w:rsidRDefault="00B43C57">
      <w:pPr>
        <w:pStyle w:val="Normaltindrag"/>
      </w:pPr>
      <w:r w:rsidRPr="00F5723F">
        <w:t>Det främsta syftet med redovisningen i det följande har inte varit att jämf</w:t>
      </w:r>
      <w:r w:rsidRPr="00F5723F">
        <w:t>ö</w:t>
      </w:r>
      <w:r w:rsidRPr="00F5723F">
        <w:t>ra med 1985. I det följande koncentreras därför i stället på 2004 års r</w:t>
      </w:r>
      <w:r w:rsidRPr="00F5723F">
        <w:t>e</w:t>
      </w:r>
      <w:r w:rsidRPr="00F5723F">
        <w:t>sultat (tabellerna 8–10). Möjligheterna att göra jämförelser med tidigare undersö</w:t>
      </w:r>
      <w:r w:rsidRPr="00F5723F">
        <w:t>k</w:t>
      </w:r>
      <w:r w:rsidRPr="00F5723F">
        <w:t>ning är delvis begränsade, till följd av att svarsalternativen varit något olika utformade i de båda undersöknin</w:t>
      </w:r>
      <w:r w:rsidRPr="00F5723F">
        <w:t>g</w:t>
      </w:r>
      <w:r w:rsidRPr="00F5723F">
        <w:t>arna. Redovisningen av resultaten från 1985 års undersökning innefattar des</w:t>
      </w:r>
      <w:r w:rsidRPr="00F5723F">
        <w:t>s</w:t>
      </w:r>
      <w:r w:rsidRPr="00F5723F">
        <w:t>utom ”inget svar”.</w:t>
      </w:r>
    </w:p>
    <w:p w:rsidR="00B43C57" w:rsidRPr="00F5723F" w:rsidRDefault="00B43C57">
      <w:pPr>
        <w:pStyle w:val="Tabellrubrik"/>
        <w:spacing w:before="0"/>
      </w:pPr>
      <w:r w:rsidRPr="00F5723F">
        <w:br w:type="page"/>
      </w:r>
      <w:r w:rsidRPr="00F5723F">
        <w:t>Tabell 8</w:t>
      </w:r>
      <w:r w:rsidRPr="00F5723F">
        <w:tab/>
        <w:t>Deltagande i sammanträden/möten med valkretsorga</w:t>
      </w:r>
      <w:r w:rsidRPr="00F5723F">
        <w:t>-</w:t>
      </w:r>
      <w:r w:rsidRPr="00F5723F">
        <w:t>nisationen/regionala partiorganisationen (pr</w:t>
      </w:r>
      <w:r w:rsidRPr="00F5723F">
        <w:t>o</w:t>
      </w:r>
      <w:r w:rsidRPr="00F5723F">
        <w:t>cent)</w:t>
      </w:r>
    </w:p>
    <w:tbl>
      <w:tblPr>
        <w:tblW w:w="5552" w:type="dxa"/>
        <w:tblInd w:w="-38" w:type="dxa"/>
        <w:tblLayout w:type="fixed"/>
        <w:tblCellMar>
          <w:left w:w="70" w:type="dxa"/>
          <w:right w:w="70" w:type="dxa"/>
        </w:tblCellMar>
        <w:tblLook w:val="01E0" w:firstRow="1" w:lastRow="1" w:firstColumn="1" w:lastColumn="1" w:noHBand="0" w:noVBand="0"/>
      </w:tblPr>
      <w:tblGrid>
        <w:gridCol w:w="1751"/>
        <w:gridCol w:w="416"/>
        <w:gridCol w:w="416"/>
        <w:gridCol w:w="416"/>
        <w:gridCol w:w="417"/>
        <w:gridCol w:w="416"/>
        <w:gridCol w:w="416"/>
        <w:gridCol w:w="416"/>
        <w:gridCol w:w="280"/>
        <w:gridCol w:w="608"/>
      </w:tblGrid>
      <w:tr w:rsidR="00000000" w:rsidRPr="00F5723F">
        <w:tblPrEx>
          <w:tblCellMar>
            <w:top w:w="0" w:type="dxa"/>
            <w:bottom w:w="0" w:type="dxa"/>
          </w:tblCellMar>
        </w:tblPrEx>
        <w:tc>
          <w:tcPr>
            <w:tcW w:w="1751" w:type="dxa"/>
            <w:tcBorders>
              <w:top w:val="single" w:sz="4" w:space="0" w:color="auto"/>
              <w:bottom w:val="single" w:sz="4" w:space="0" w:color="auto"/>
            </w:tcBorders>
          </w:tcPr>
          <w:p w:rsidR="00B43C57" w:rsidRPr="00F5723F" w:rsidRDefault="00B43C57">
            <w:pPr>
              <w:pStyle w:val="Tabelltextsiffror"/>
              <w:jc w:val="center"/>
            </w:pPr>
          </w:p>
        </w:tc>
        <w:tc>
          <w:tcPr>
            <w:tcW w:w="416"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416"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416"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417"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416"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416"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416"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280" w:type="dxa"/>
            <w:tcBorders>
              <w:top w:val="single" w:sz="4" w:space="0" w:color="auto"/>
              <w:bottom w:val="single" w:sz="4" w:space="0" w:color="auto"/>
            </w:tcBorders>
          </w:tcPr>
          <w:p w:rsidR="00B43C57" w:rsidRPr="00F5723F" w:rsidRDefault="00B43C57">
            <w:pPr>
              <w:pStyle w:val="Tabelltextsiffror"/>
              <w:jc w:val="center"/>
            </w:pPr>
          </w:p>
        </w:tc>
        <w:tc>
          <w:tcPr>
            <w:tcW w:w="608" w:type="dxa"/>
            <w:tcBorders>
              <w:top w:val="single" w:sz="4" w:space="0" w:color="auto"/>
              <w:bottom w:val="single" w:sz="4" w:space="0" w:color="auto"/>
            </w:tcBorders>
          </w:tcPr>
          <w:p w:rsidR="00B43C57" w:rsidRPr="00F5723F" w:rsidRDefault="00B43C57">
            <w:pPr>
              <w:pStyle w:val="Tabelltextsiffror"/>
              <w:jc w:val="center"/>
            </w:pPr>
            <w:r w:rsidRPr="00F5723F">
              <w:t>alla</w:t>
            </w:r>
          </w:p>
        </w:tc>
      </w:tr>
      <w:tr w:rsidR="00000000" w:rsidRPr="00F5723F">
        <w:tblPrEx>
          <w:tblCellMar>
            <w:top w:w="0" w:type="dxa"/>
            <w:bottom w:w="0" w:type="dxa"/>
          </w:tblCellMar>
        </w:tblPrEx>
        <w:tc>
          <w:tcPr>
            <w:tcW w:w="1751" w:type="dxa"/>
            <w:tcBorders>
              <w:top w:val="single" w:sz="4" w:space="0" w:color="auto"/>
            </w:tcBorders>
          </w:tcPr>
          <w:p w:rsidR="00B43C57" w:rsidRPr="00F5723F" w:rsidRDefault="00B43C57">
            <w:pPr>
              <w:pStyle w:val="Tabelltext"/>
            </w:pPr>
          </w:p>
        </w:tc>
        <w:tc>
          <w:tcPr>
            <w:tcW w:w="416" w:type="dxa"/>
            <w:tcBorders>
              <w:top w:val="single" w:sz="4" w:space="0" w:color="auto"/>
            </w:tcBorders>
          </w:tcPr>
          <w:p w:rsidR="00B43C57" w:rsidRPr="00F5723F" w:rsidRDefault="00B43C57">
            <w:pPr>
              <w:rPr>
                <w:sz w:val="20"/>
              </w:rPr>
            </w:pPr>
          </w:p>
        </w:tc>
        <w:tc>
          <w:tcPr>
            <w:tcW w:w="416" w:type="dxa"/>
            <w:tcBorders>
              <w:top w:val="single" w:sz="4" w:space="0" w:color="auto"/>
            </w:tcBorders>
          </w:tcPr>
          <w:p w:rsidR="00B43C57" w:rsidRPr="00F5723F" w:rsidRDefault="00B43C57">
            <w:pPr>
              <w:rPr>
                <w:sz w:val="20"/>
              </w:rPr>
            </w:pPr>
          </w:p>
        </w:tc>
        <w:tc>
          <w:tcPr>
            <w:tcW w:w="416" w:type="dxa"/>
            <w:tcBorders>
              <w:top w:val="single" w:sz="4" w:space="0" w:color="auto"/>
            </w:tcBorders>
          </w:tcPr>
          <w:p w:rsidR="00B43C57" w:rsidRPr="00F5723F" w:rsidRDefault="00B43C57">
            <w:pPr>
              <w:rPr>
                <w:sz w:val="20"/>
              </w:rPr>
            </w:pPr>
          </w:p>
        </w:tc>
        <w:tc>
          <w:tcPr>
            <w:tcW w:w="417" w:type="dxa"/>
            <w:tcBorders>
              <w:top w:val="single" w:sz="4" w:space="0" w:color="auto"/>
            </w:tcBorders>
          </w:tcPr>
          <w:p w:rsidR="00B43C57" w:rsidRPr="00F5723F" w:rsidRDefault="00B43C57">
            <w:pPr>
              <w:rPr>
                <w:sz w:val="20"/>
              </w:rPr>
            </w:pPr>
          </w:p>
        </w:tc>
        <w:tc>
          <w:tcPr>
            <w:tcW w:w="416" w:type="dxa"/>
            <w:tcBorders>
              <w:top w:val="single" w:sz="4" w:space="0" w:color="auto"/>
            </w:tcBorders>
          </w:tcPr>
          <w:p w:rsidR="00B43C57" w:rsidRPr="00F5723F" w:rsidRDefault="00B43C57">
            <w:pPr>
              <w:rPr>
                <w:sz w:val="20"/>
              </w:rPr>
            </w:pPr>
          </w:p>
        </w:tc>
        <w:tc>
          <w:tcPr>
            <w:tcW w:w="416" w:type="dxa"/>
            <w:tcBorders>
              <w:top w:val="single" w:sz="4" w:space="0" w:color="auto"/>
            </w:tcBorders>
          </w:tcPr>
          <w:p w:rsidR="00B43C57" w:rsidRPr="00F5723F" w:rsidRDefault="00B43C57">
            <w:pPr>
              <w:rPr>
                <w:sz w:val="20"/>
              </w:rPr>
            </w:pPr>
          </w:p>
        </w:tc>
        <w:tc>
          <w:tcPr>
            <w:tcW w:w="416" w:type="dxa"/>
            <w:tcBorders>
              <w:top w:val="single" w:sz="4" w:space="0" w:color="auto"/>
            </w:tcBorders>
          </w:tcPr>
          <w:p w:rsidR="00B43C57" w:rsidRPr="00F5723F" w:rsidRDefault="00B43C57">
            <w:pPr>
              <w:rPr>
                <w:sz w:val="20"/>
              </w:rPr>
            </w:pPr>
          </w:p>
        </w:tc>
        <w:tc>
          <w:tcPr>
            <w:tcW w:w="280" w:type="dxa"/>
            <w:tcBorders>
              <w:top w:val="single" w:sz="4" w:space="0" w:color="auto"/>
            </w:tcBorders>
          </w:tcPr>
          <w:p w:rsidR="00B43C57" w:rsidRPr="00F5723F" w:rsidRDefault="00B43C57">
            <w:pPr>
              <w:rPr>
                <w:sz w:val="20"/>
              </w:rPr>
            </w:pPr>
          </w:p>
        </w:tc>
        <w:tc>
          <w:tcPr>
            <w:tcW w:w="608" w:type="dxa"/>
            <w:tcBorders>
              <w:top w:val="single" w:sz="4" w:space="0" w:color="auto"/>
            </w:tcBorders>
          </w:tcPr>
          <w:p w:rsidR="00B43C57" w:rsidRPr="00F5723F" w:rsidRDefault="00B43C57">
            <w:pPr>
              <w:pStyle w:val="Tabelltextsiffror"/>
            </w:pPr>
          </w:p>
        </w:tc>
      </w:tr>
      <w:tr w:rsidR="00000000" w:rsidRPr="00F5723F">
        <w:tblPrEx>
          <w:tblCellMar>
            <w:top w:w="0" w:type="dxa"/>
            <w:bottom w:w="0" w:type="dxa"/>
          </w:tblCellMar>
        </w:tblPrEx>
        <w:tc>
          <w:tcPr>
            <w:tcW w:w="1751" w:type="dxa"/>
          </w:tcPr>
          <w:p w:rsidR="00B43C57" w:rsidRPr="00F5723F" w:rsidRDefault="00B43C57">
            <w:pPr>
              <w:pStyle w:val="Tabelltext"/>
            </w:pPr>
            <w:r w:rsidRPr="00F5723F">
              <w:t>Deltar regelmässigt</w:t>
            </w:r>
          </w:p>
        </w:tc>
        <w:tc>
          <w:tcPr>
            <w:tcW w:w="416" w:type="dxa"/>
          </w:tcPr>
          <w:p w:rsidR="00B43C57" w:rsidRPr="00F5723F" w:rsidRDefault="00B43C57">
            <w:pPr>
              <w:pStyle w:val="Tabelltextsiffror"/>
              <w:jc w:val="center"/>
            </w:pPr>
            <w:r w:rsidRPr="00F5723F">
              <w:t>56</w:t>
            </w:r>
          </w:p>
        </w:tc>
        <w:tc>
          <w:tcPr>
            <w:tcW w:w="416" w:type="dxa"/>
          </w:tcPr>
          <w:p w:rsidR="00B43C57" w:rsidRPr="00F5723F" w:rsidRDefault="00B43C57">
            <w:pPr>
              <w:pStyle w:val="Tabelltextsiffror"/>
              <w:jc w:val="center"/>
            </w:pPr>
            <w:r w:rsidRPr="00F5723F">
              <w:t>76</w:t>
            </w:r>
          </w:p>
        </w:tc>
        <w:tc>
          <w:tcPr>
            <w:tcW w:w="416" w:type="dxa"/>
          </w:tcPr>
          <w:p w:rsidR="00B43C57" w:rsidRPr="00F5723F" w:rsidRDefault="00B43C57">
            <w:pPr>
              <w:pStyle w:val="Tabelltextsiffror"/>
              <w:jc w:val="center"/>
            </w:pPr>
            <w:r w:rsidRPr="00F5723F">
              <w:t>87</w:t>
            </w:r>
          </w:p>
        </w:tc>
        <w:tc>
          <w:tcPr>
            <w:tcW w:w="417" w:type="dxa"/>
          </w:tcPr>
          <w:p w:rsidR="00B43C57" w:rsidRPr="00F5723F" w:rsidRDefault="00B43C57">
            <w:pPr>
              <w:pStyle w:val="Tabelltextsiffror"/>
              <w:jc w:val="center"/>
            </w:pPr>
            <w:r w:rsidRPr="00F5723F">
              <w:t>62</w:t>
            </w:r>
          </w:p>
        </w:tc>
        <w:tc>
          <w:tcPr>
            <w:tcW w:w="416" w:type="dxa"/>
          </w:tcPr>
          <w:p w:rsidR="00B43C57" w:rsidRPr="00F5723F" w:rsidRDefault="00B43C57">
            <w:pPr>
              <w:pStyle w:val="Tabelltextsiffror"/>
              <w:jc w:val="center"/>
            </w:pPr>
            <w:r w:rsidRPr="00F5723F">
              <w:t>59</w:t>
            </w:r>
          </w:p>
        </w:tc>
        <w:tc>
          <w:tcPr>
            <w:tcW w:w="416" w:type="dxa"/>
          </w:tcPr>
          <w:p w:rsidR="00B43C57" w:rsidRPr="00F5723F" w:rsidRDefault="00B43C57">
            <w:pPr>
              <w:pStyle w:val="Tabelltextsiffror"/>
              <w:jc w:val="center"/>
            </w:pPr>
            <w:r w:rsidRPr="00F5723F">
              <w:t>71</w:t>
            </w:r>
          </w:p>
        </w:tc>
        <w:tc>
          <w:tcPr>
            <w:tcW w:w="416" w:type="dxa"/>
          </w:tcPr>
          <w:p w:rsidR="00B43C57" w:rsidRPr="00F5723F" w:rsidRDefault="00B43C57">
            <w:pPr>
              <w:pStyle w:val="Tabelltextsiffror"/>
              <w:jc w:val="center"/>
            </w:pPr>
            <w:r w:rsidRPr="00F5723F">
              <w:t>56</w:t>
            </w:r>
          </w:p>
        </w:tc>
        <w:tc>
          <w:tcPr>
            <w:tcW w:w="280" w:type="dxa"/>
          </w:tcPr>
          <w:p w:rsidR="00B43C57" w:rsidRPr="00F5723F" w:rsidRDefault="00B43C57">
            <w:pPr>
              <w:pStyle w:val="Tabelltextsiffror"/>
              <w:jc w:val="center"/>
            </w:pPr>
          </w:p>
        </w:tc>
        <w:tc>
          <w:tcPr>
            <w:tcW w:w="608" w:type="dxa"/>
          </w:tcPr>
          <w:p w:rsidR="00B43C57" w:rsidRPr="00F5723F" w:rsidRDefault="00B43C57">
            <w:pPr>
              <w:pStyle w:val="Tabelltextsiffror"/>
              <w:jc w:val="center"/>
            </w:pPr>
            <w:r w:rsidRPr="00F5723F">
              <w:t>70</w:t>
            </w:r>
          </w:p>
        </w:tc>
      </w:tr>
      <w:tr w:rsidR="00000000" w:rsidRPr="00F5723F">
        <w:tblPrEx>
          <w:tblCellMar>
            <w:top w:w="0" w:type="dxa"/>
            <w:bottom w:w="0" w:type="dxa"/>
          </w:tblCellMar>
        </w:tblPrEx>
        <w:tc>
          <w:tcPr>
            <w:tcW w:w="1751" w:type="dxa"/>
          </w:tcPr>
          <w:p w:rsidR="00B43C57" w:rsidRPr="00F5723F" w:rsidRDefault="00B43C57">
            <w:pPr>
              <w:pStyle w:val="Tabelltext"/>
            </w:pPr>
            <w:r w:rsidRPr="00F5723F">
              <w:t>Deltar ibland</w:t>
            </w:r>
          </w:p>
        </w:tc>
        <w:tc>
          <w:tcPr>
            <w:tcW w:w="416" w:type="dxa"/>
          </w:tcPr>
          <w:p w:rsidR="00B43C57" w:rsidRPr="00F5723F" w:rsidRDefault="00B43C57">
            <w:pPr>
              <w:pStyle w:val="Tabelltextsiffror"/>
              <w:jc w:val="center"/>
            </w:pPr>
            <w:r w:rsidRPr="00F5723F">
              <w:t>30</w:t>
            </w:r>
          </w:p>
        </w:tc>
        <w:tc>
          <w:tcPr>
            <w:tcW w:w="416" w:type="dxa"/>
          </w:tcPr>
          <w:p w:rsidR="00B43C57" w:rsidRPr="00F5723F" w:rsidRDefault="00B43C57">
            <w:pPr>
              <w:pStyle w:val="Tabelltextsiffror"/>
              <w:jc w:val="center"/>
            </w:pPr>
            <w:r w:rsidRPr="00F5723F">
              <w:t>20</w:t>
            </w:r>
          </w:p>
        </w:tc>
        <w:tc>
          <w:tcPr>
            <w:tcW w:w="416" w:type="dxa"/>
          </w:tcPr>
          <w:p w:rsidR="00B43C57" w:rsidRPr="00F5723F" w:rsidRDefault="00B43C57">
            <w:pPr>
              <w:pStyle w:val="Tabelltextsiffror"/>
              <w:jc w:val="center"/>
            </w:pPr>
            <w:r w:rsidRPr="00F5723F">
              <w:t>13</w:t>
            </w:r>
          </w:p>
        </w:tc>
        <w:tc>
          <w:tcPr>
            <w:tcW w:w="417" w:type="dxa"/>
          </w:tcPr>
          <w:p w:rsidR="00B43C57" w:rsidRPr="00F5723F" w:rsidRDefault="00B43C57">
            <w:pPr>
              <w:pStyle w:val="Tabelltextsiffror"/>
              <w:jc w:val="center"/>
            </w:pPr>
            <w:r w:rsidRPr="00F5723F">
              <w:t>38</w:t>
            </w:r>
          </w:p>
        </w:tc>
        <w:tc>
          <w:tcPr>
            <w:tcW w:w="416" w:type="dxa"/>
          </w:tcPr>
          <w:p w:rsidR="00B43C57" w:rsidRPr="00F5723F" w:rsidRDefault="00B43C57">
            <w:pPr>
              <w:pStyle w:val="Tabelltextsiffror"/>
              <w:jc w:val="center"/>
            </w:pPr>
            <w:r w:rsidRPr="00F5723F">
              <w:t>32</w:t>
            </w:r>
          </w:p>
        </w:tc>
        <w:tc>
          <w:tcPr>
            <w:tcW w:w="416" w:type="dxa"/>
          </w:tcPr>
          <w:p w:rsidR="00B43C57" w:rsidRPr="00F5723F" w:rsidRDefault="00B43C57">
            <w:pPr>
              <w:pStyle w:val="Tabelltextsiffror"/>
              <w:jc w:val="center"/>
            </w:pPr>
            <w:r w:rsidRPr="00F5723F">
              <w:t>29</w:t>
            </w:r>
          </w:p>
        </w:tc>
        <w:tc>
          <w:tcPr>
            <w:tcW w:w="416" w:type="dxa"/>
          </w:tcPr>
          <w:p w:rsidR="00B43C57" w:rsidRPr="00F5723F" w:rsidRDefault="00B43C57">
            <w:pPr>
              <w:pStyle w:val="Tabelltextsiffror"/>
              <w:jc w:val="center"/>
            </w:pPr>
            <w:r w:rsidRPr="00F5723F">
              <w:t>33</w:t>
            </w:r>
          </w:p>
        </w:tc>
        <w:tc>
          <w:tcPr>
            <w:tcW w:w="280" w:type="dxa"/>
          </w:tcPr>
          <w:p w:rsidR="00B43C57" w:rsidRPr="00F5723F" w:rsidRDefault="00B43C57">
            <w:pPr>
              <w:pStyle w:val="Tabelltextsiffror"/>
              <w:jc w:val="center"/>
            </w:pPr>
          </w:p>
        </w:tc>
        <w:tc>
          <w:tcPr>
            <w:tcW w:w="608" w:type="dxa"/>
          </w:tcPr>
          <w:p w:rsidR="00B43C57" w:rsidRPr="00F5723F" w:rsidRDefault="00B43C57">
            <w:pPr>
              <w:pStyle w:val="Tabelltextsiffror"/>
              <w:jc w:val="center"/>
            </w:pPr>
            <w:r w:rsidRPr="00F5723F">
              <w:t>25</w:t>
            </w:r>
          </w:p>
        </w:tc>
      </w:tr>
      <w:tr w:rsidR="00000000" w:rsidRPr="00F5723F">
        <w:tblPrEx>
          <w:tblCellMar>
            <w:top w:w="0" w:type="dxa"/>
            <w:bottom w:w="0" w:type="dxa"/>
          </w:tblCellMar>
        </w:tblPrEx>
        <w:tc>
          <w:tcPr>
            <w:tcW w:w="1751" w:type="dxa"/>
          </w:tcPr>
          <w:p w:rsidR="00B43C57" w:rsidRPr="00F5723F" w:rsidRDefault="00B43C57">
            <w:pPr>
              <w:pStyle w:val="Tabelltext"/>
            </w:pPr>
            <w:r w:rsidRPr="00F5723F">
              <w:t>Deltar sällan/aldrig</w:t>
            </w:r>
          </w:p>
        </w:tc>
        <w:tc>
          <w:tcPr>
            <w:tcW w:w="416" w:type="dxa"/>
          </w:tcPr>
          <w:p w:rsidR="00B43C57" w:rsidRPr="00F5723F" w:rsidRDefault="00B43C57">
            <w:pPr>
              <w:pStyle w:val="Tabelltextsiffror"/>
              <w:jc w:val="center"/>
            </w:pPr>
            <w:r w:rsidRPr="00F5723F">
              <w:t>14</w:t>
            </w:r>
          </w:p>
        </w:tc>
        <w:tc>
          <w:tcPr>
            <w:tcW w:w="416" w:type="dxa"/>
          </w:tcPr>
          <w:p w:rsidR="00B43C57" w:rsidRPr="00F5723F" w:rsidRDefault="00B43C57">
            <w:pPr>
              <w:pStyle w:val="Tabelltextsiffror"/>
              <w:jc w:val="center"/>
            </w:pPr>
            <w:r w:rsidRPr="00F5723F">
              <w:t>4</w:t>
            </w:r>
          </w:p>
        </w:tc>
        <w:tc>
          <w:tcPr>
            <w:tcW w:w="416" w:type="dxa"/>
          </w:tcPr>
          <w:p w:rsidR="00B43C57" w:rsidRPr="00F5723F" w:rsidRDefault="00B43C57">
            <w:pPr>
              <w:pStyle w:val="Tabelltextsiffror"/>
              <w:jc w:val="center"/>
            </w:pPr>
            <w:r w:rsidRPr="00F5723F">
              <w:t>0</w:t>
            </w:r>
          </w:p>
        </w:tc>
        <w:tc>
          <w:tcPr>
            <w:tcW w:w="417" w:type="dxa"/>
          </w:tcPr>
          <w:p w:rsidR="00B43C57" w:rsidRPr="00F5723F" w:rsidRDefault="00B43C57">
            <w:pPr>
              <w:pStyle w:val="Tabelltextsiffror"/>
              <w:jc w:val="center"/>
            </w:pPr>
            <w:r w:rsidRPr="00F5723F">
              <w:t>0</w:t>
            </w:r>
          </w:p>
        </w:tc>
        <w:tc>
          <w:tcPr>
            <w:tcW w:w="416" w:type="dxa"/>
          </w:tcPr>
          <w:p w:rsidR="00B43C57" w:rsidRPr="00F5723F" w:rsidRDefault="00B43C57">
            <w:pPr>
              <w:pStyle w:val="Tabelltextsiffror"/>
              <w:jc w:val="center"/>
            </w:pPr>
            <w:r w:rsidRPr="00F5723F">
              <w:t>9</w:t>
            </w:r>
          </w:p>
        </w:tc>
        <w:tc>
          <w:tcPr>
            <w:tcW w:w="416" w:type="dxa"/>
          </w:tcPr>
          <w:p w:rsidR="00B43C57" w:rsidRPr="00F5723F" w:rsidRDefault="00B43C57">
            <w:pPr>
              <w:pStyle w:val="Tabelltextsiffror"/>
              <w:jc w:val="center"/>
            </w:pPr>
            <w:r w:rsidRPr="00F5723F">
              <w:t>0</w:t>
            </w:r>
          </w:p>
        </w:tc>
        <w:tc>
          <w:tcPr>
            <w:tcW w:w="416" w:type="dxa"/>
          </w:tcPr>
          <w:p w:rsidR="00B43C57" w:rsidRPr="00F5723F" w:rsidRDefault="00B43C57">
            <w:pPr>
              <w:pStyle w:val="Tabelltextsiffror"/>
              <w:jc w:val="center"/>
            </w:pPr>
            <w:r w:rsidRPr="00F5723F">
              <w:t>11</w:t>
            </w:r>
          </w:p>
        </w:tc>
        <w:tc>
          <w:tcPr>
            <w:tcW w:w="280" w:type="dxa"/>
          </w:tcPr>
          <w:p w:rsidR="00B43C57" w:rsidRPr="00F5723F" w:rsidRDefault="00B43C57">
            <w:pPr>
              <w:pStyle w:val="Tabelltextsiffror"/>
              <w:jc w:val="center"/>
            </w:pPr>
          </w:p>
        </w:tc>
        <w:tc>
          <w:tcPr>
            <w:tcW w:w="608" w:type="dxa"/>
          </w:tcPr>
          <w:p w:rsidR="00B43C57" w:rsidRPr="00F5723F" w:rsidRDefault="00B43C57">
            <w:pPr>
              <w:pStyle w:val="Tabelltextsiffror"/>
              <w:jc w:val="center"/>
            </w:pPr>
            <w:r w:rsidRPr="00F5723F">
              <w:t>5</w:t>
            </w:r>
          </w:p>
        </w:tc>
      </w:tr>
      <w:tr w:rsidR="00000000" w:rsidRPr="00F5723F">
        <w:tblPrEx>
          <w:tblCellMar>
            <w:top w:w="0" w:type="dxa"/>
            <w:bottom w:w="0" w:type="dxa"/>
          </w:tblCellMar>
        </w:tblPrEx>
        <w:tc>
          <w:tcPr>
            <w:tcW w:w="1751" w:type="dxa"/>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7"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280" w:type="dxa"/>
            <w:tcBorders>
              <w:bottom w:val="single" w:sz="4" w:space="0" w:color="auto"/>
            </w:tcBorders>
          </w:tcPr>
          <w:p w:rsidR="00B43C57" w:rsidRPr="00F5723F" w:rsidRDefault="00B43C57">
            <w:pPr>
              <w:pStyle w:val="Tabelltextsiffror"/>
              <w:jc w:val="center"/>
            </w:pPr>
          </w:p>
        </w:tc>
        <w:tc>
          <w:tcPr>
            <w:tcW w:w="608"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1751" w:type="dxa"/>
          </w:tcPr>
          <w:p w:rsidR="00B43C57" w:rsidRPr="00F5723F" w:rsidRDefault="00B43C57">
            <w:pPr>
              <w:pStyle w:val="Tabelltext"/>
            </w:pPr>
            <w:r w:rsidRPr="00F5723F">
              <w:t>Summa procent (n=268)</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7"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280" w:type="dxa"/>
            <w:tcBorders>
              <w:top w:val="single" w:sz="4" w:space="0" w:color="auto"/>
            </w:tcBorders>
          </w:tcPr>
          <w:p w:rsidR="00B43C57" w:rsidRPr="00F5723F" w:rsidRDefault="00B43C57">
            <w:pPr>
              <w:pStyle w:val="Tabelltextsiffror"/>
              <w:jc w:val="center"/>
            </w:pPr>
          </w:p>
        </w:tc>
        <w:tc>
          <w:tcPr>
            <w:tcW w:w="608" w:type="dxa"/>
            <w:tcBorders>
              <w:top w:val="single" w:sz="4" w:space="0" w:color="auto"/>
            </w:tcBorders>
          </w:tcPr>
          <w:p w:rsidR="00B43C57" w:rsidRPr="00F5723F" w:rsidRDefault="00B43C57">
            <w:pPr>
              <w:pStyle w:val="Tabelltextsiffror"/>
              <w:jc w:val="center"/>
            </w:pPr>
            <w:r w:rsidRPr="00F5723F">
              <w:t>100</w:t>
            </w:r>
          </w:p>
        </w:tc>
      </w:tr>
      <w:tr w:rsidR="00000000" w:rsidRPr="00F5723F">
        <w:tblPrEx>
          <w:tblCellMar>
            <w:top w:w="0" w:type="dxa"/>
            <w:bottom w:w="0" w:type="dxa"/>
          </w:tblCellMar>
        </w:tblPrEx>
        <w:tc>
          <w:tcPr>
            <w:tcW w:w="1751" w:type="dxa"/>
          </w:tcPr>
          <w:p w:rsidR="00B43C57" w:rsidRPr="00F5723F" w:rsidRDefault="00B43C57">
            <w:pPr>
              <w:pStyle w:val="Tabelltext"/>
            </w:pPr>
          </w:p>
        </w:tc>
        <w:tc>
          <w:tcPr>
            <w:tcW w:w="416" w:type="dxa"/>
          </w:tcPr>
          <w:p w:rsidR="00B43C57" w:rsidRPr="00F5723F" w:rsidRDefault="00B43C57">
            <w:pPr>
              <w:pStyle w:val="Tabelltextsiffror"/>
              <w:jc w:val="center"/>
            </w:pPr>
          </w:p>
        </w:tc>
        <w:tc>
          <w:tcPr>
            <w:tcW w:w="416" w:type="dxa"/>
          </w:tcPr>
          <w:p w:rsidR="00B43C57" w:rsidRPr="00F5723F" w:rsidRDefault="00B43C57">
            <w:pPr>
              <w:pStyle w:val="Tabelltextsiffror"/>
              <w:jc w:val="center"/>
            </w:pPr>
          </w:p>
        </w:tc>
        <w:tc>
          <w:tcPr>
            <w:tcW w:w="416" w:type="dxa"/>
          </w:tcPr>
          <w:p w:rsidR="00B43C57" w:rsidRPr="00F5723F" w:rsidRDefault="00B43C57">
            <w:pPr>
              <w:pStyle w:val="Tabelltextsiffror"/>
              <w:jc w:val="center"/>
            </w:pPr>
          </w:p>
        </w:tc>
        <w:tc>
          <w:tcPr>
            <w:tcW w:w="417" w:type="dxa"/>
          </w:tcPr>
          <w:p w:rsidR="00B43C57" w:rsidRPr="00F5723F" w:rsidRDefault="00B43C57">
            <w:pPr>
              <w:pStyle w:val="Tabelltextsiffror"/>
              <w:jc w:val="center"/>
            </w:pPr>
          </w:p>
        </w:tc>
        <w:tc>
          <w:tcPr>
            <w:tcW w:w="416" w:type="dxa"/>
          </w:tcPr>
          <w:p w:rsidR="00B43C57" w:rsidRPr="00F5723F" w:rsidRDefault="00B43C57">
            <w:pPr>
              <w:pStyle w:val="Tabelltextsiffror"/>
              <w:jc w:val="center"/>
            </w:pPr>
          </w:p>
        </w:tc>
        <w:tc>
          <w:tcPr>
            <w:tcW w:w="416" w:type="dxa"/>
          </w:tcPr>
          <w:p w:rsidR="00B43C57" w:rsidRPr="00F5723F" w:rsidRDefault="00B43C57">
            <w:pPr>
              <w:pStyle w:val="Tabelltextsiffror"/>
              <w:jc w:val="center"/>
            </w:pPr>
          </w:p>
        </w:tc>
        <w:tc>
          <w:tcPr>
            <w:tcW w:w="416" w:type="dxa"/>
          </w:tcPr>
          <w:p w:rsidR="00B43C57" w:rsidRPr="00F5723F" w:rsidRDefault="00B43C57">
            <w:pPr>
              <w:pStyle w:val="Tabelltextsiffror"/>
              <w:jc w:val="center"/>
            </w:pPr>
          </w:p>
        </w:tc>
        <w:tc>
          <w:tcPr>
            <w:tcW w:w="280" w:type="dxa"/>
          </w:tcPr>
          <w:p w:rsidR="00B43C57" w:rsidRPr="00F5723F" w:rsidRDefault="00B43C57">
            <w:pPr>
              <w:pStyle w:val="Tabelltextsiffror"/>
              <w:jc w:val="center"/>
            </w:pPr>
          </w:p>
        </w:tc>
        <w:tc>
          <w:tcPr>
            <w:tcW w:w="608" w:type="dxa"/>
          </w:tcPr>
          <w:p w:rsidR="00B43C57" w:rsidRPr="00F5723F" w:rsidRDefault="00B43C57">
            <w:pPr>
              <w:pStyle w:val="Tabelltextsiffror"/>
              <w:jc w:val="center"/>
            </w:pPr>
          </w:p>
        </w:tc>
      </w:tr>
      <w:tr w:rsidR="00000000" w:rsidRPr="00F5723F">
        <w:tblPrEx>
          <w:tblCellMar>
            <w:top w:w="0" w:type="dxa"/>
            <w:bottom w:w="0" w:type="dxa"/>
          </w:tblCellMar>
        </w:tblPrEx>
        <w:tc>
          <w:tcPr>
            <w:tcW w:w="1751" w:type="dxa"/>
          </w:tcPr>
          <w:p w:rsidR="00B43C57" w:rsidRPr="00F5723F" w:rsidRDefault="00B43C57">
            <w:pPr>
              <w:pStyle w:val="Tabelltext"/>
            </w:pPr>
            <w:r w:rsidRPr="00F5723F">
              <w:t>Önskar delta mer</w:t>
            </w:r>
          </w:p>
        </w:tc>
        <w:tc>
          <w:tcPr>
            <w:tcW w:w="416" w:type="dxa"/>
          </w:tcPr>
          <w:p w:rsidR="00B43C57" w:rsidRPr="00F5723F" w:rsidRDefault="00B43C57">
            <w:pPr>
              <w:pStyle w:val="Tabelltextsiffror"/>
              <w:jc w:val="center"/>
            </w:pPr>
            <w:r w:rsidRPr="00F5723F">
              <w:t>52</w:t>
            </w:r>
          </w:p>
        </w:tc>
        <w:tc>
          <w:tcPr>
            <w:tcW w:w="416" w:type="dxa"/>
          </w:tcPr>
          <w:p w:rsidR="00B43C57" w:rsidRPr="00F5723F" w:rsidRDefault="00B43C57">
            <w:pPr>
              <w:pStyle w:val="Tabelltextsiffror"/>
              <w:jc w:val="center"/>
            </w:pPr>
            <w:r w:rsidRPr="00F5723F">
              <w:t>30</w:t>
            </w:r>
          </w:p>
        </w:tc>
        <w:tc>
          <w:tcPr>
            <w:tcW w:w="416" w:type="dxa"/>
          </w:tcPr>
          <w:p w:rsidR="00B43C57" w:rsidRPr="00F5723F" w:rsidRDefault="00B43C57">
            <w:pPr>
              <w:pStyle w:val="Tabelltextsiffror"/>
              <w:jc w:val="center"/>
            </w:pPr>
            <w:r w:rsidRPr="00F5723F">
              <w:t>40</w:t>
            </w:r>
          </w:p>
        </w:tc>
        <w:tc>
          <w:tcPr>
            <w:tcW w:w="417" w:type="dxa"/>
          </w:tcPr>
          <w:p w:rsidR="00B43C57" w:rsidRPr="00F5723F" w:rsidRDefault="00B43C57">
            <w:pPr>
              <w:pStyle w:val="Tabelltextsiffror"/>
              <w:jc w:val="center"/>
            </w:pPr>
            <w:r w:rsidRPr="00F5723F">
              <w:t>50</w:t>
            </w:r>
          </w:p>
        </w:tc>
        <w:tc>
          <w:tcPr>
            <w:tcW w:w="416" w:type="dxa"/>
          </w:tcPr>
          <w:p w:rsidR="00B43C57" w:rsidRPr="00F5723F" w:rsidRDefault="00B43C57">
            <w:pPr>
              <w:pStyle w:val="Tabelltextsiffror"/>
              <w:jc w:val="center"/>
            </w:pPr>
            <w:r w:rsidRPr="00F5723F">
              <w:t>47</w:t>
            </w:r>
          </w:p>
        </w:tc>
        <w:tc>
          <w:tcPr>
            <w:tcW w:w="416" w:type="dxa"/>
          </w:tcPr>
          <w:p w:rsidR="00B43C57" w:rsidRPr="00F5723F" w:rsidRDefault="00B43C57">
            <w:pPr>
              <w:pStyle w:val="Tabelltextsiffror"/>
              <w:jc w:val="center"/>
            </w:pPr>
            <w:r w:rsidRPr="00F5723F">
              <w:t>62</w:t>
            </w:r>
          </w:p>
        </w:tc>
        <w:tc>
          <w:tcPr>
            <w:tcW w:w="416" w:type="dxa"/>
          </w:tcPr>
          <w:p w:rsidR="00B43C57" w:rsidRPr="00F5723F" w:rsidRDefault="00B43C57">
            <w:pPr>
              <w:pStyle w:val="Tabelltextsiffror"/>
              <w:jc w:val="center"/>
            </w:pPr>
            <w:r w:rsidRPr="00F5723F">
              <w:t>89</w:t>
            </w:r>
          </w:p>
        </w:tc>
        <w:tc>
          <w:tcPr>
            <w:tcW w:w="280" w:type="dxa"/>
          </w:tcPr>
          <w:p w:rsidR="00B43C57" w:rsidRPr="00F5723F" w:rsidRDefault="00B43C57">
            <w:pPr>
              <w:pStyle w:val="Tabelltextsiffror"/>
              <w:jc w:val="center"/>
            </w:pPr>
          </w:p>
        </w:tc>
        <w:tc>
          <w:tcPr>
            <w:tcW w:w="608" w:type="dxa"/>
          </w:tcPr>
          <w:p w:rsidR="00B43C57" w:rsidRPr="00F5723F" w:rsidRDefault="00B43C57">
            <w:pPr>
              <w:pStyle w:val="Tabelltextsiffror"/>
              <w:jc w:val="center"/>
            </w:pPr>
            <w:r w:rsidRPr="00F5723F">
              <w:t>42</w:t>
            </w:r>
          </w:p>
        </w:tc>
      </w:tr>
      <w:tr w:rsidR="00000000" w:rsidRPr="00F5723F">
        <w:tblPrEx>
          <w:tblCellMar>
            <w:top w:w="0" w:type="dxa"/>
            <w:bottom w:w="0" w:type="dxa"/>
          </w:tblCellMar>
        </w:tblPrEx>
        <w:tc>
          <w:tcPr>
            <w:tcW w:w="1751" w:type="dxa"/>
          </w:tcPr>
          <w:p w:rsidR="00B43C57" w:rsidRPr="00F5723F" w:rsidRDefault="00B43C57">
            <w:pPr>
              <w:pStyle w:val="Tabelltext"/>
            </w:pPr>
            <w:r w:rsidRPr="00F5723F">
              <w:t>Deltar lagom mycket</w:t>
            </w:r>
          </w:p>
        </w:tc>
        <w:tc>
          <w:tcPr>
            <w:tcW w:w="416" w:type="dxa"/>
          </w:tcPr>
          <w:p w:rsidR="00B43C57" w:rsidRPr="00F5723F" w:rsidRDefault="00B43C57">
            <w:pPr>
              <w:pStyle w:val="Tabelltextsiffror"/>
              <w:jc w:val="center"/>
            </w:pPr>
            <w:r w:rsidRPr="00F5723F">
              <w:t>48</w:t>
            </w:r>
          </w:p>
        </w:tc>
        <w:tc>
          <w:tcPr>
            <w:tcW w:w="416" w:type="dxa"/>
          </w:tcPr>
          <w:p w:rsidR="00B43C57" w:rsidRPr="00F5723F" w:rsidRDefault="00B43C57">
            <w:pPr>
              <w:pStyle w:val="Tabelltextsiffror"/>
              <w:jc w:val="center"/>
            </w:pPr>
            <w:r w:rsidRPr="00F5723F">
              <w:t>67</w:t>
            </w:r>
          </w:p>
        </w:tc>
        <w:tc>
          <w:tcPr>
            <w:tcW w:w="416" w:type="dxa"/>
          </w:tcPr>
          <w:p w:rsidR="00B43C57" w:rsidRPr="00F5723F" w:rsidRDefault="00B43C57">
            <w:pPr>
              <w:pStyle w:val="Tabelltextsiffror"/>
              <w:jc w:val="center"/>
            </w:pPr>
            <w:r w:rsidRPr="00F5723F">
              <w:t>53</w:t>
            </w:r>
          </w:p>
        </w:tc>
        <w:tc>
          <w:tcPr>
            <w:tcW w:w="417" w:type="dxa"/>
          </w:tcPr>
          <w:p w:rsidR="00B43C57" w:rsidRPr="00F5723F" w:rsidRDefault="00B43C57">
            <w:pPr>
              <w:pStyle w:val="Tabelltextsiffror"/>
              <w:jc w:val="center"/>
            </w:pPr>
            <w:r w:rsidRPr="00F5723F">
              <w:t>50</w:t>
            </w:r>
          </w:p>
        </w:tc>
        <w:tc>
          <w:tcPr>
            <w:tcW w:w="416" w:type="dxa"/>
          </w:tcPr>
          <w:p w:rsidR="00B43C57" w:rsidRPr="00F5723F" w:rsidRDefault="00B43C57">
            <w:pPr>
              <w:pStyle w:val="Tabelltextsiffror"/>
              <w:jc w:val="center"/>
            </w:pPr>
            <w:r w:rsidRPr="00F5723F">
              <w:t>50</w:t>
            </w:r>
          </w:p>
        </w:tc>
        <w:tc>
          <w:tcPr>
            <w:tcW w:w="416" w:type="dxa"/>
          </w:tcPr>
          <w:p w:rsidR="00B43C57" w:rsidRPr="00F5723F" w:rsidRDefault="00B43C57">
            <w:pPr>
              <w:pStyle w:val="Tabelltextsiffror"/>
              <w:jc w:val="center"/>
            </w:pPr>
            <w:r w:rsidRPr="00F5723F">
              <w:t>38</w:t>
            </w:r>
          </w:p>
        </w:tc>
        <w:tc>
          <w:tcPr>
            <w:tcW w:w="416" w:type="dxa"/>
          </w:tcPr>
          <w:p w:rsidR="00B43C57" w:rsidRPr="00F5723F" w:rsidRDefault="00B43C57">
            <w:pPr>
              <w:pStyle w:val="Tabelltextsiffror"/>
              <w:jc w:val="center"/>
            </w:pPr>
            <w:r w:rsidRPr="00F5723F">
              <w:t>11</w:t>
            </w:r>
          </w:p>
        </w:tc>
        <w:tc>
          <w:tcPr>
            <w:tcW w:w="280" w:type="dxa"/>
          </w:tcPr>
          <w:p w:rsidR="00B43C57" w:rsidRPr="00F5723F" w:rsidRDefault="00B43C57">
            <w:pPr>
              <w:pStyle w:val="Tabelltextsiffror"/>
              <w:jc w:val="center"/>
            </w:pPr>
          </w:p>
        </w:tc>
        <w:tc>
          <w:tcPr>
            <w:tcW w:w="608" w:type="dxa"/>
          </w:tcPr>
          <w:p w:rsidR="00B43C57" w:rsidRPr="00F5723F" w:rsidRDefault="00B43C57">
            <w:pPr>
              <w:pStyle w:val="Tabelltextsiffror"/>
              <w:jc w:val="center"/>
            </w:pPr>
            <w:r w:rsidRPr="00F5723F">
              <w:t>56</w:t>
            </w:r>
          </w:p>
        </w:tc>
      </w:tr>
      <w:tr w:rsidR="00000000" w:rsidRPr="00F5723F">
        <w:tblPrEx>
          <w:tblCellMar>
            <w:top w:w="0" w:type="dxa"/>
            <w:bottom w:w="0" w:type="dxa"/>
          </w:tblCellMar>
        </w:tblPrEx>
        <w:tc>
          <w:tcPr>
            <w:tcW w:w="1751" w:type="dxa"/>
          </w:tcPr>
          <w:p w:rsidR="00B43C57" w:rsidRPr="00F5723F" w:rsidRDefault="00B43C57">
            <w:pPr>
              <w:pStyle w:val="Tabelltext"/>
            </w:pPr>
            <w:r w:rsidRPr="00F5723F">
              <w:t>Önskar delta mindre ofta</w:t>
            </w:r>
          </w:p>
        </w:tc>
        <w:tc>
          <w:tcPr>
            <w:tcW w:w="416" w:type="dxa"/>
          </w:tcPr>
          <w:p w:rsidR="00B43C57" w:rsidRPr="00F5723F" w:rsidRDefault="00B43C57">
            <w:pPr>
              <w:pStyle w:val="Tabelltextsiffror"/>
              <w:jc w:val="center"/>
            </w:pPr>
            <w:r w:rsidRPr="00F5723F">
              <w:t>0</w:t>
            </w:r>
          </w:p>
        </w:tc>
        <w:tc>
          <w:tcPr>
            <w:tcW w:w="416" w:type="dxa"/>
          </w:tcPr>
          <w:p w:rsidR="00B43C57" w:rsidRPr="00F5723F" w:rsidRDefault="00B43C57">
            <w:pPr>
              <w:pStyle w:val="Tabelltextsiffror"/>
              <w:jc w:val="center"/>
            </w:pPr>
            <w:r w:rsidRPr="00F5723F">
              <w:t>3</w:t>
            </w:r>
          </w:p>
        </w:tc>
        <w:tc>
          <w:tcPr>
            <w:tcW w:w="416" w:type="dxa"/>
          </w:tcPr>
          <w:p w:rsidR="00B43C57" w:rsidRPr="00F5723F" w:rsidRDefault="00B43C57">
            <w:pPr>
              <w:pStyle w:val="Tabelltextsiffror"/>
              <w:jc w:val="center"/>
            </w:pPr>
            <w:r w:rsidRPr="00F5723F">
              <w:t>7</w:t>
            </w:r>
          </w:p>
        </w:tc>
        <w:tc>
          <w:tcPr>
            <w:tcW w:w="417" w:type="dxa"/>
          </w:tcPr>
          <w:p w:rsidR="00B43C57" w:rsidRPr="00F5723F" w:rsidRDefault="00B43C57">
            <w:pPr>
              <w:pStyle w:val="Tabelltextsiffror"/>
              <w:jc w:val="center"/>
            </w:pPr>
            <w:r w:rsidRPr="00F5723F">
              <w:t>0</w:t>
            </w:r>
          </w:p>
        </w:tc>
        <w:tc>
          <w:tcPr>
            <w:tcW w:w="416" w:type="dxa"/>
          </w:tcPr>
          <w:p w:rsidR="00B43C57" w:rsidRPr="00F5723F" w:rsidRDefault="00B43C57">
            <w:pPr>
              <w:pStyle w:val="Tabelltextsiffror"/>
              <w:jc w:val="center"/>
            </w:pPr>
            <w:r w:rsidRPr="00F5723F">
              <w:t>3</w:t>
            </w:r>
          </w:p>
        </w:tc>
        <w:tc>
          <w:tcPr>
            <w:tcW w:w="416" w:type="dxa"/>
          </w:tcPr>
          <w:p w:rsidR="00B43C57" w:rsidRPr="00F5723F" w:rsidRDefault="00B43C57">
            <w:pPr>
              <w:pStyle w:val="Tabelltextsiffror"/>
              <w:jc w:val="center"/>
            </w:pPr>
            <w:r w:rsidRPr="00F5723F">
              <w:t>0</w:t>
            </w:r>
          </w:p>
        </w:tc>
        <w:tc>
          <w:tcPr>
            <w:tcW w:w="416" w:type="dxa"/>
          </w:tcPr>
          <w:p w:rsidR="00B43C57" w:rsidRPr="00F5723F" w:rsidRDefault="00B43C57">
            <w:pPr>
              <w:pStyle w:val="Tabelltextsiffror"/>
              <w:jc w:val="center"/>
            </w:pPr>
            <w:r w:rsidRPr="00F5723F">
              <w:t>0</w:t>
            </w:r>
          </w:p>
        </w:tc>
        <w:tc>
          <w:tcPr>
            <w:tcW w:w="280" w:type="dxa"/>
          </w:tcPr>
          <w:p w:rsidR="00B43C57" w:rsidRPr="00F5723F" w:rsidRDefault="00B43C57">
            <w:pPr>
              <w:pStyle w:val="Tabelltextsiffror"/>
              <w:jc w:val="center"/>
            </w:pPr>
          </w:p>
        </w:tc>
        <w:tc>
          <w:tcPr>
            <w:tcW w:w="608" w:type="dxa"/>
          </w:tcPr>
          <w:p w:rsidR="00B43C57" w:rsidRPr="00F5723F" w:rsidRDefault="00B43C57">
            <w:pPr>
              <w:pStyle w:val="Tabelltextsiffror"/>
              <w:jc w:val="center"/>
            </w:pPr>
            <w:r w:rsidRPr="00F5723F">
              <w:t>2</w:t>
            </w:r>
          </w:p>
        </w:tc>
      </w:tr>
      <w:tr w:rsidR="00000000" w:rsidRPr="00F5723F">
        <w:tblPrEx>
          <w:tblCellMar>
            <w:top w:w="0" w:type="dxa"/>
            <w:bottom w:w="0" w:type="dxa"/>
          </w:tblCellMar>
        </w:tblPrEx>
        <w:tc>
          <w:tcPr>
            <w:tcW w:w="1751" w:type="dxa"/>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7"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416" w:type="dxa"/>
            <w:tcBorders>
              <w:bottom w:val="single" w:sz="4" w:space="0" w:color="auto"/>
            </w:tcBorders>
          </w:tcPr>
          <w:p w:rsidR="00B43C57" w:rsidRPr="00F5723F" w:rsidRDefault="00B43C57">
            <w:pPr>
              <w:pStyle w:val="Tabelltextsiffror"/>
              <w:jc w:val="center"/>
            </w:pPr>
          </w:p>
        </w:tc>
        <w:tc>
          <w:tcPr>
            <w:tcW w:w="280" w:type="dxa"/>
            <w:tcBorders>
              <w:bottom w:val="single" w:sz="4" w:space="0" w:color="auto"/>
            </w:tcBorders>
          </w:tcPr>
          <w:p w:rsidR="00B43C57" w:rsidRPr="00F5723F" w:rsidRDefault="00B43C57">
            <w:pPr>
              <w:pStyle w:val="Tabelltextsiffror"/>
              <w:jc w:val="center"/>
            </w:pPr>
          </w:p>
        </w:tc>
        <w:tc>
          <w:tcPr>
            <w:tcW w:w="608"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1751" w:type="dxa"/>
          </w:tcPr>
          <w:p w:rsidR="00B43C57" w:rsidRPr="00F5723F" w:rsidRDefault="00B43C57">
            <w:pPr>
              <w:pStyle w:val="Tabelltext"/>
            </w:pPr>
            <w:r w:rsidRPr="00F5723F">
              <w:t>Summa procent (n=266)</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7"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416" w:type="dxa"/>
            <w:tcBorders>
              <w:top w:val="single" w:sz="4" w:space="0" w:color="auto"/>
            </w:tcBorders>
          </w:tcPr>
          <w:p w:rsidR="00B43C57" w:rsidRPr="00F5723F" w:rsidRDefault="00B43C57">
            <w:pPr>
              <w:pStyle w:val="Tabelltextsiffror"/>
              <w:jc w:val="center"/>
            </w:pPr>
            <w:r w:rsidRPr="00F5723F">
              <w:t>100</w:t>
            </w:r>
          </w:p>
        </w:tc>
        <w:tc>
          <w:tcPr>
            <w:tcW w:w="280" w:type="dxa"/>
            <w:tcBorders>
              <w:top w:val="single" w:sz="4" w:space="0" w:color="auto"/>
            </w:tcBorders>
          </w:tcPr>
          <w:p w:rsidR="00B43C57" w:rsidRPr="00F5723F" w:rsidRDefault="00B43C57">
            <w:pPr>
              <w:pStyle w:val="Tabelltextsiffror"/>
              <w:jc w:val="center"/>
            </w:pPr>
          </w:p>
        </w:tc>
        <w:tc>
          <w:tcPr>
            <w:tcW w:w="608" w:type="dxa"/>
            <w:tcBorders>
              <w:top w:val="single" w:sz="4" w:space="0" w:color="auto"/>
            </w:tcBorders>
          </w:tcPr>
          <w:p w:rsidR="00B43C57" w:rsidRPr="00F5723F" w:rsidRDefault="00B43C57">
            <w:pPr>
              <w:pStyle w:val="Tabelltextsiffror"/>
              <w:jc w:val="center"/>
            </w:pPr>
            <w:r w:rsidRPr="00F5723F">
              <w:t>100</w:t>
            </w:r>
          </w:p>
        </w:tc>
      </w:tr>
      <w:tr w:rsidR="00000000" w:rsidRPr="00F5723F">
        <w:tblPrEx>
          <w:tblCellMar>
            <w:top w:w="0" w:type="dxa"/>
            <w:bottom w:w="0" w:type="dxa"/>
          </w:tblCellMar>
        </w:tblPrEx>
        <w:tc>
          <w:tcPr>
            <w:tcW w:w="1751" w:type="dxa"/>
            <w:tcBorders>
              <w:bottom w:val="single" w:sz="4" w:space="0" w:color="auto"/>
            </w:tcBorders>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
            </w:pPr>
          </w:p>
        </w:tc>
        <w:tc>
          <w:tcPr>
            <w:tcW w:w="417" w:type="dxa"/>
            <w:tcBorders>
              <w:bottom w:val="single" w:sz="4" w:space="0" w:color="auto"/>
            </w:tcBorders>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
            </w:pPr>
          </w:p>
        </w:tc>
        <w:tc>
          <w:tcPr>
            <w:tcW w:w="416" w:type="dxa"/>
            <w:tcBorders>
              <w:bottom w:val="single" w:sz="4" w:space="0" w:color="auto"/>
            </w:tcBorders>
          </w:tcPr>
          <w:p w:rsidR="00B43C57" w:rsidRPr="00F5723F" w:rsidRDefault="00B43C57">
            <w:pPr>
              <w:pStyle w:val="Tabelltext"/>
            </w:pPr>
          </w:p>
        </w:tc>
        <w:tc>
          <w:tcPr>
            <w:tcW w:w="280" w:type="dxa"/>
            <w:tcBorders>
              <w:bottom w:val="single" w:sz="4" w:space="0" w:color="auto"/>
            </w:tcBorders>
          </w:tcPr>
          <w:p w:rsidR="00B43C57" w:rsidRPr="00F5723F" w:rsidRDefault="00B43C57">
            <w:pPr>
              <w:pStyle w:val="Tabelltext"/>
            </w:pPr>
          </w:p>
        </w:tc>
        <w:tc>
          <w:tcPr>
            <w:tcW w:w="608" w:type="dxa"/>
            <w:tcBorders>
              <w:bottom w:val="single" w:sz="4" w:space="0" w:color="auto"/>
            </w:tcBorders>
          </w:tcPr>
          <w:p w:rsidR="00B43C57" w:rsidRPr="00F5723F" w:rsidRDefault="00B43C57">
            <w:pPr>
              <w:pStyle w:val="Tabelltext"/>
            </w:pPr>
          </w:p>
        </w:tc>
      </w:tr>
    </w:tbl>
    <w:p w:rsidR="00B43C57" w:rsidRPr="00F5723F" w:rsidRDefault="00B43C57">
      <w:pPr>
        <w:pStyle w:val="Tabellrubrik"/>
        <w:spacing w:before="0"/>
      </w:pPr>
    </w:p>
    <w:p w:rsidR="00B43C57" w:rsidRPr="00F5723F" w:rsidRDefault="00B43C57">
      <w:pPr>
        <w:pStyle w:val="Tabellrubrik"/>
      </w:pPr>
      <w:r w:rsidRPr="00F5723F">
        <w:t>Tabell 9</w:t>
      </w:r>
      <w:r w:rsidRPr="00F5723F">
        <w:tab/>
        <w:t xml:space="preserve">Deltagande i sammanträden/möten med den lokala </w:t>
      </w:r>
      <w:r w:rsidRPr="00F5723F">
        <w:br/>
      </w:r>
      <w:r w:rsidRPr="00F5723F">
        <w:t>partiorgan</w:t>
      </w:r>
      <w:r w:rsidRPr="00F5723F">
        <w:t>i</w:t>
      </w:r>
      <w:r w:rsidRPr="00F5723F">
        <w:t>sationen på hemorten (procent)</w:t>
      </w:r>
    </w:p>
    <w:tbl>
      <w:tblPr>
        <w:tblW w:w="0" w:type="auto"/>
        <w:tblInd w:w="-38" w:type="dxa"/>
        <w:tblLayout w:type="fixed"/>
        <w:tblCellMar>
          <w:left w:w="70" w:type="dxa"/>
          <w:right w:w="70" w:type="dxa"/>
        </w:tblCellMar>
        <w:tblLook w:val="01E0" w:firstRow="1" w:lastRow="1" w:firstColumn="1" w:lastColumn="1" w:noHBand="0" w:noVBand="0"/>
      </w:tblPr>
      <w:tblGrid>
        <w:gridCol w:w="1809"/>
        <w:gridCol w:w="426"/>
        <w:gridCol w:w="425"/>
        <w:gridCol w:w="425"/>
        <w:gridCol w:w="425"/>
        <w:gridCol w:w="426"/>
        <w:gridCol w:w="425"/>
        <w:gridCol w:w="425"/>
        <w:gridCol w:w="160"/>
        <w:gridCol w:w="624"/>
      </w:tblGrid>
      <w:tr w:rsidR="00000000" w:rsidRPr="00F5723F">
        <w:tblPrEx>
          <w:tblCellMar>
            <w:top w:w="0" w:type="dxa"/>
            <w:bottom w:w="0" w:type="dxa"/>
          </w:tblCellMar>
        </w:tblPrEx>
        <w:tc>
          <w:tcPr>
            <w:tcW w:w="1809" w:type="dxa"/>
            <w:tcBorders>
              <w:top w:val="single" w:sz="4" w:space="0" w:color="auto"/>
              <w:bottom w:val="single" w:sz="4" w:space="0" w:color="auto"/>
            </w:tcBorders>
          </w:tcPr>
          <w:p w:rsidR="00B43C57" w:rsidRPr="00F5723F" w:rsidRDefault="00B43C57">
            <w:pPr>
              <w:pStyle w:val="Tabelltextsiffror"/>
              <w:jc w:val="center"/>
            </w:pPr>
          </w:p>
        </w:tc>
        <w:tc>
          <w:tcPr>
            <w:tcW w:w="426"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426"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160" w:type="dxa"/>
            <w:tcBorders>
              <w:top w:val="single" w:sz="4" w:space="0" w:color="auto"/>
              <w:bottom w:val="single" w:sz="4" w:space="0" w:color="auto"/>
            </w:tcBorders>
          </w:tcPr>
          <w:p w:rsidR="00B43C57" w:rsidRPr="00F5723F" w:rsidRDefault="00B43C57">
            <w:pPr>
              <w:pStyle w:val="Tabelltextsiffror"/>
              <w:jc w:val="center"/>
            </w:pPr>
          </w:p>
        </w:tc>
        <w:tc>
          <w:tcPr>
            <w:tcW w:w="624" w:type="dxa"/>
            <w:tcBorders>
              <w:top w:val="single" w:sz="4" w:space="0" w:color="auto"/>
              <w:bottom w:val="single" w:sz="4" w:space="0" w:color="auto"/>
            </w:tcBorders>
          </w:tcPr>
          <w:p w:rsidR="00B43C57" w:rsidRPr="00F5723F" w:rsidRDefault="00B43C57">
            <w:pPr>
              <w:pStyle w:val="Tabelltextsiffror"/>
              <w:jc w:val="center"/>
            </w:pPr>
            <w:r w:rsidRPr="00F5723F">
              <w:t>alla</w:t>
            </w:r>
          </w:p>
        </w:tc>
      </w:tr>
      <w:tr w:rsidR="00000000" w:rsidRPr="00F5723F">
        <w:tblPrEx>
          <w:tblCellMar>
            <w:top w:w="0" w:type="dxa"/>
            <w:bottom w:w="0" w:type="dxa"/>
          </w:tblCellMar>
        </w:tblPrEx>
        <w:tc>
          <w:tcPr>
            <w:tcW w:w="1809" w:type="dxa"/>
            <w:tcBorders>
              <w:top w:val="single" w:sz="4" w:space="0" w:color="auto"/>
            </w:tcBorders>
          </w:tcPr>
          <w:p w:rsidR="00B43C57" w:rsidRPr="00F5723F" w:rsidRDefault="00B43C57">
            <w:pPr>
              <w:pStyle w:val="Tabelltext"/>
            </w:pPr>
          </w:p>
        </w:tc>
        <w:tc>
          <w:tcPr>
            <w:tcW w:w="426"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6"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160" w:type="dxa"/>
            <w:tcBorders>
              <w:top w:val="single" w:sz="4" w:space="0" w:color="auto"/>
            </w:tcBorders>
          </w:tcPr>
          <w:p w:rsidR="00B43C57" w:rsidRPr="00F5723F" w:rsidRDefault="00B43C57">
            <w:pPr>
              <w:pStyle w:val="Tabelltextsiffror"/>
            </w:pPr>
          </w:p>
        </w:tc>
        <w:tc>
          <w:tcPr>
            <w:tcW w:w="624" w:type="dxa"/>
            <w:tcBorders>
              <w:top w:val="single" w:sz="4" w:space="0" w:color="auto"/>
            </w:tcBorders>
          </w:tcPr>
          <w:p w:rsidR="00B43C57" w:rsidRPr="00F5723F" w:rsidRDefault="00B43C57">
            <w:pPr>
              <w:pStyle w:val="Tabelltextsiffro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regelmässigt</w:t>
            </w:r>
          </w:p>
        </w:tc>
        <w:tc>
          <w:tcPr>
            <w:tcW w:w="426" w:type="dxa"/>
          </w:tcPr>
          <w:p w:rsidR="00B43C57" w:rsidRPr="00F5723F" w:rsidRDefault="00B43C57">
            <w:pPr>
              <w:pStyle w:val="Tabelltextsiffror"/>
              <w:jc w:val="center"/>
            </w:pPr>
            <w:r w:rsidRPr="00F5723F">
              <w:t>61</w:t>
            </w:r>
          </w:p>
        </w:tc>
        <w:tc>
          <w:tcPr>
            <w:tcW w:w="425" w:type="dxa"/>
          </w:tcPr>
          <w:p w:rsidR="00B43C57" w:rsidRPr="00F5723F" w:rsidRDefault="00B43C57">
            <w:pPr>
              <w:pStyle w:val="Tabelltextsiffror"/>
              <w:jc w:val="center"/>
            </w:pPr>
            <w:r w:rsidRPr="00F5723F">
              <w:t>75</w:t>
            </w:r>
          </w:p>
        </w:tc>
        <w:tc>
          <w:tcPr>
            <w:tcW w:w="425" w:type="dxa"/>
          </w:tcPr>
          <w:p w:rsidR="00B43C57" w:rsidRPr="00F5723F" w:rsidRDefault="00B43C57">
            <w:pPr>
              <w:pStyle w:val="Tabelltextsiffror"/>
              <w:jc w:val="center"/>
            </w:pPr>
            <w:r w:rsidRPr="00F5723F">
              <w:t>69</w:t>
            </w:r>
          </w:p>
        </w:tc>
        <w:tc>
          <w:tcPr>
            <w:tcW w:w="425" w:type="dxa"/>
          </w:tcPr>
          <w:p w:rsidR="00B43C57" w:rsidRPr="00F5723F" w:rsidRDefault="00B43C57">
            <w:pPr>
              <w:pStyle w:val="Tabelltextsiffror"/>
              <w:jc w:val="center"/>
            </w:pPr>
            <w:r w:rsidRPr="00F5723F">
              <w:t>47</w:t>
            </w:r>
          </w:p>
        </w:tc>
        <w:tc>
          <w:tcPr>
            <w:tcW w:w="426" w:type="dxa"/>
          </w:tcPr>
          <w:p w:rsidR="00B43C57" w:rsidRPr="00F5723F" w:rsidRDefault="00B43C57">
            <w:pPr>
              <w:pStyle w:val="Tabelltextsiffror"/>
              <w:jc w:val="center"/>
            </w:pPr>
            <w:r w:rsidRPr="00F5723F">
              <w:t>52</w:t>
            </w:r>
          </w:p>
        </w:tc>
        <w:tc>
          <w:tcPr>
            <w:tcW w:w="425" w:type="dxa"/>
          </w:tcPr>
          <w:p w:rsidR="00B43C57" w:rsidRPr="00F5723F" w:rsidRDefault="00B43C57">
            <w:pPr>
              <w:pStyle w:val="Tabelltextsiffror"/>
              <w:jc w:val="center"/>
            </w:pPr>
            <w:r w:rsidRPr="00F5723F">
              <w:t>50</w:t>
            </w:r>
          </w:p>
        </w:tc>
        <w:tc>
          <w:tcPr>
            <w:tcW w:w="425" w:type="dxa"/>
          </w:tcPr>
          <w:p w:rsidR="00B43C57" w:rsidRPr="00F5723F" w:rsidRDefault="00B43C57">
            <w:pPr>
              <w:pStyle w:val="Tabelltextsiffror"/>
              <w:jc w:val="center"/>
            </w:pPr>
            <w:r w:rsidRPr="00F5723F">
              <w:t>44</w:t>
            </w:r>
          </w:p>
        </w:tc>
        <w:tc>
          <w:tcPr>
            <w:tcW w:w="160"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62</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ibland</w:t>
            </w:r>
          </w:p>
        </w:tc>
        <w:tc>
          <w:tcPr>
            <w:tcW w:w="426" w:type="dxa"/>
          </w:tcPr>
          <w:p w:rsidR="00B43C57" w:rsidRPr="00F5723F" w:rsidRDefault="00B43C57">
            <w:pPr>
              <w:pStyle w:val="Tabelltextsiffror"/>
              <w:jc w:val="center"/>
            </w:pPr>
            <w:r w:rsidRPr="00F5723F">
              <w:t>30</w:t>
            </w:r>
          </w:p>
        </w:tc>
        <w:tc>
          <w:tcPr>
            <w:tcW w:w="425" w:type="dxa"/>
          </w:tcPr>
          <w:p w:rsidR="00B43C57" w:rsidRPr="00F5723F" w:rsidRDefault="00B43C57">
            <w:pPr>
              <w:pStyle w:val="Tabelltextsiffror"/>
              <w:jc w:val="center"/>
            </w:pPr>
            <w:r w:rsidRPr="00F5723F">
              <w:t>22</w:t>
            </w:r>
          </w:p>
        </w:tc>
        <w:tc>
          <w:tcPr>
            <w:tcW w:w="425" w:type="dxa"/>
          </w:tcPr>
          <w:p w:rsidR="00B43C57" w:rsidRPr="00F5723F" w:rsidRDefault="00B43C57">
            <w:pPr>
              <w:pStyle w:val="Tabelltextsiffror"/>
              <w:jc w:val="center"/>
            </w:pPr>
            <w:r w:rsidRPr="00F5723F">
              <w:t>19</w:t>
            </w:r>
          </w:p>
        </w:tc>
        <w:tc>
          <w:tcPr>
            <w:tcW w:w="425" w:type="dxa"/>
          </w:tcPr>
          <w:p w:rsidR="00B43C57" w:rsidRPr="00F5723F" w:rsidRDefault="00B43C57">
            <w:pPr>
              <w:pStyle w:val="Tabelltextsiffror"/>
              <w:jc w:val="center"/>
            </w:pPr>
            <w:r w:rsidRPr="00F5723F">
              <w:t>47</w:t>
            </w:r>
          </w:p>
        </w:tc>
        <w:tc>
          <w:tcPr>
            <w:tcW w:w="426" w:type="dxa"/>
          </w:tcPr>
          <w:p w:rsidR="00B43C57" w:rsidRPr="00F5723F" w:rsidRDefault="00B43C57">
            <w:pPr>
              <w:pStyle w:val="Tabelltextsiffror"/>
              <w:jc w:val="center"/>
            </w:pPr>
            <w:r w:rsidRPr="00F5723F">
              <w:t>42</w:t>
            </w:r>
          </w:p>
        </w:tc>
        <w:tc>
          <w:tcPr>
            <w:tcW w:w="425" w:type="dxa"/>
          </w:tcPr>
          <w:p w:rsidR="00B43C57" w:rsidRPr="00F5723F" w:rsidRDefault="00B43C57">
            <w:pPr>
              <w:pStyle w:val="Tabelltextsiffror"/>
              <w:jc w:val="center"/>
            </w:pPr>
            <w:r w:rsidRPr="00F5723F">
              <w:t>46</w:t>
            </w:r>
          </w:p>
        </w:tc>
        <w:tc>
          <w:tcPr>
            <w:tcW w:w="425" w:type="dxa"/>
          </w:tcPr>
          <w:p w:rsidR="00B43C57" w:rsidRPr="00F5723F" w:rsidRDefault="00B43C57">
            <w:pPr>
              <w:pStyle w:val="Tabelltextsiffror"/>
              <w:jc w:val="center"/>
            </w:pPr>
            <w:r w:rsidRPr="00F5723F">
              <w:t>33</w:t>
            </w:r>
          </w:p>
        </w:tc>
        <w:tc>
          <w:tcPr>
            <w:tcW w:w="160"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32</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sällan/aldrig</w:t>
            </w:r>
          </w:p>
        </w:tc>
        <w:tc>
          <w:tcPr>
            <w:tcW w:w="426" w:type="dxa"/>
          </w:tcPr>
          <w:p w:rsidR="00B43C57" w:rsidRPr="00F5723F" w:rsidRDefault="00B43C57">
            <w:pPr>
              <w:pStyle w:val="Tabelltextsiffror"/>
              <w:jc w:val="center"/>
            </w:pPr>
            <w:r w:rsidRPr="00F5723F">
              <w:t>9</w:t>
            </w:r>
          </w:p>
        </w:tc>
        <w:tc>
          <w:tcPr>
            <w:tcW w:w="425" w:type="dxa"/>
          </w:tcPr>
          <w:p w:rsidR="00B43C57" w:rsidRPr="00F5723F" w:rsidRDefault="00B43C57">
            <w:pPr>
              <w:pStyle w:val="Tabelltextsiffror"/>
              <w:jc w:val="center"/>
            </w:pPr>
            <w:r w:rsidRPr="00F5723F">
              <w:t>3</w:t>
            </w:r>
          </w:p>
        </w:tc>
        <w:tc>
          <w:tcPr>
            <w:tcW w:w="425" w:type="dxa"/>
          </w:tcPr>
          <w:p w:rsidR="00B43C57" w:rsidRPr="00F5723F" w:rsidRDefault="00B43C57">
            <w:pPr>
              <w:pStyle w:val="Tabelltextsiffror"/>
              <w:jc w:val="center"/>
            </w:pPr>
            <w:r w:rsidRPr="00F5723F">
              <w:t>12</w:t>
            </w:r>
          </w:p>
        </w:tc>
        <w:tc>
          <w:tcPr>
            <w:tcW w:w="425" w:type="dxa"/>
          </w:tcPr>
          <w:p w:rsidR="00B43C57" w:rsidRPr="00F5723F" w:rsidRDefault="00B43C57">
            <w:pPr>
              <w:pStyle w:val="Tabelltextsiffror"/>
              <w:jc w:val="center"/>
            </w:pPr>
            <w:r w:rsidRPr="00F5723F">
              <w:t>6</w:t>
            </w:r>
          </w:p>
        </w:tc>
        <w:tc>
          <w:tcPr>
            <w:tcW w:w="426" w:type="dxa"/>
          </w:tcPr>
          <w:p w:rsidR="00B43C57" w:rsidRPr="00F5723F" w:rsidRDefault="00B43C57">
            <w:pPr>
              <w:pStyle w:val="Tabelltextsiffror"/>
              <w:jc w:val="center"/>
            </w:pPr>
            <w:r w:rsidRPr="00F5723F">
              <w:t>6</w:t>
            </w:r>
          </w:p>
        </w:tc>
        <w:tc>
          <w:tcPr>
            <w:tcW w:w="425" w:type="dxa"/>
          </w:tcPr>
          <w:p w:rsidR="00B43C57" w:rsidRPr="00F5723F" w:rsidRDefault="00B43C57">
            <w:pPr>
              <w:pStyle w:val="Tabelltextsiffror"/>
              <w:jc w:val="center"/>
            </w:pPr>
            <w:r w:rsidRPr="00F5723F">
              <w:t>4</w:t>
            </w:r>
          </w:p>
        </w:tc>
        <w:tc>
          <w:tcPr>
            <w:tcW w:w="425" w:type="dxa"/>
          </w:tcPr>
          <w:p w:rsidR="00B43C57" w:rsidRPr="00F5723F" w:rsidRDefault="00B43C57">
            <w:pPr>
              <w:pStyle w:val="Tabelltextsiffror"/>
              <w:jc w:val="center"/>
            </w:pPr>
            <w:r w:rsidRPr="00F5723F">
              <w:t>23</w:t>
            </w:r>
          </w:p>
        </w:tc>
        <w:tc>
          <w:tcPr>
            <w:tcW w:w="160"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6</w:t>
            </w:r>
          </w:p>
        </w:tc>
      </w:tr>
      <w:tr w:rsidR="00000000" w:rsidRPr="00F5723F">
        <w:tblPrEx>
          <w:tblCellMar>
            <w:top w:w="0" w:type="dxa"/>
            <w:bottom w:w="0" w:type="dxa"/>
          </w:tblCellMar>
        </w:tblPrEx>
        <w:tc>
          <w:tcPr>
            <w:tcW w:w="1809" w:type="dxa"/>
          </w:tcPr>
          <w:p w:rsidR="00B43C57" w:rsidRPr="00F5723F" w:rsidRDefault="00B43C57">
            <w:pPr>
              <w:pStyle w:val="Tabelltext"/>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160" w:type="dxa"/>
            <w:tcBorders>
              <w:bottom w:val="single" w:sz="4" w:space="0" w:color="auto"/>
            </w:tcBorders>
          </w:tcPr>
          <w:p w:rsidR="00B43C57" w:rsidRPr="00F5723F" w:rsidRDefault="00B43C57">
            <w:pPr>
              <w:pStyle w:val="Tabelltextsiffror"/>
              <w:jc w:val="center"/>
            </w:pPr>
          </w:p>
        </w:tc>
        <w:tc>
          <w:tcPr>
            <w:tcW w:w="624"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Summa procent (n=267)</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160" w:type="dxa"/>
            <w:tcBorders>
              <w:top w:val="single" w:sz="4" w:space="0" w:color="auto"/>
            </w:tcBorders>
          </w:tcPr>
          <w:p w:rsidR="00B43C57" w:rsidRPr="00F5723F" w:rsidRDefault="00B43C57">
            <w:pPr>
              <w:pStyle w:val="Tabelltextsiffror"/>
              <w:jc w:val="center"/>
            </w:pPr>
          </w:p>
        </w:tc>
        <w:tc>
          <w:tcPr>
            <w:tcW w:w="624" w:type="dxa"/>
            <w:tcBorders>
              <w:top w:val="single" w:sz="4" w:space="0" w:color="auto"/>
            </w:tcBorders>
          </w:tcPr>
          <w:p w:rsidR="00B43C57" w:rsidRPr="00F5723F" w:rsidRDefault="00B43C57">
            <w:pPr>
              <w:pStyle w:val="Tabelltextsiffror"/>
              <w:jc w:val="center"/>
            </w:pPr>
            <w:r w:rsidRPr="00F5723F">
              <w:t>100</w:t>
            </w:r>
          </w:p>
        </w:tc>
      </w:tr>
      <w:tr w:rsidR="00000000" w:rsidRPr="00F5723F">
        <w:tblPrEx>
          <w:tblCellMar>
            <w:top w:w="0" w:type="dxa"/>
            <w:bottom w:w="0" w:type="dxa"/>
          </w:tblCellMar>
        </w:tblPrEx>
        <w:tc>
          <w:tcPr>
            <w:tcW w:w="1809" w:type="dxa"/>
          </w:tcPr>
          <w:p w:rsidR="00B43C57" w:rsidRPr="00F5723F" w:rsidRDefault="00B43C57">
            <w:pPr>
              <w:pStyle w:val="Tabelltext"/>
            </w:pPr>
          </w:p>
        </w:tc>
        <w:tc>
          <w:tcPr>
            <w:tcW w:w="426"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6"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160"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Önskar delta mer</w:t>
            </w:r>
          </w:p>
        </w:tc>
        <w:tc>
          <w:tcPr>
            <w:tcW w:w="426" w:type="dxa"/>
          </w:tcPr>
          <w:p w:rsidR="00B43C57" w:rsidRPr="00F5723F" w:rsidRDefault="00B43C57">
            <w:pPr>
              <w:pStyle w:val="Tabelltextsiffror"/>
              <w:jc w:val="center"/>
            </w:pPr>
            <w:r w:rsidRPr="00F5723F">
              <w:t>52</w:t>
            </w:r>
          </w:p>
        </w:tc>
        <w:tc>
          <w:tcPr>
            <w:tcW w:w="425" w:type="dxa"/>
          </w:tcPr>
          <w:p w:rsidR="00B43C57" w:rsidRPr="00F5723F" w:rsidRDefault="00B43C57">
            <w:pPr>
              <w:pStyle w:val="Tabelltextsiffror"/>
              <w:jc w:val="center"/>
            </w:pPr>
            <w:r w:rsidRPr="00F5723F">
              <w:t>47</w:t>
            </w:r>
          </w:p>
        </w:tc>
        <w:tc>
          <w:tcPr>
            <w:tcW w:w="425" w:type="dxa"/>
          </w:tcPr>
          <w:p w:rsidR="00B43C57" w:rsidRPr="00F5723F" w:rsidRDefault="00B43C57">
            <w:pPr>
              <w:pStyle w:val="Tabelltextsiffror"/>
              <w:jc w:val="center"/>
            </w:pPr>
            <w:r w:rsidRPr="00F5723F">
              <w:t>38</w:t>
            </w:r>
          </w:p>
        </w:tc>
        <w:tc>
          <w:tcPr>
            <w:tcW w:w="425" w:type="dxa"/>
          </w:tcPr>
          <w:p w:rsidR="00B43C57" w:rsidRPr="00F5723F" w:rsidRDefault="00B43C57">
            <w:pPr>
              <w:pStyle w:val="Tabelltextsiffror"/>
              <w:jc w:val="center"/>
            </w:pPr>
            <w:r w:rsidRPr="00F5723F">
              <w:t>56</w:t>
            </w:r>
          </w:p>
        </w:tc>
        <w:tc>
          <w:tcPr>
            <w:tcW w:w="426" w:type="dxa"/>
          </w:tcPr>
          <w:p w:rsidR="00B43C57" w:rsidRPr="00F5723F" w:rsidRDefault="00B43C57">
            <w:pPr>
              <w:pStyle w:val="Tabelltextsiffror"/>
              <w:jc w:val="center"/>
            </w:pPr>
            <w:r w:rsidRPr="00F5723F">
              <w:t>44</w:t>
            </w:r>
          </w:p>
        </w:tc>
        <w:tc>
          <w:tcPr>
            <w:tcW w:w="425" w:type="dxa"/>
          </w:tcPr>
          <w:p w:rsidR="00B43C57" w:rsidRPr="00F5723F" w:rsidRDefault="00B43C57">
            <w:pPr>
              <w:pStyle w:val="Tabelltextsiffror"/>
              <w:jc w:val="center"/>
            </w:pPr>
            <w:r w:rsidRPr="00F5723F">
              <w:t>46</w:t>
            </w:r>
          </w:p>
        </w:tc>
        <w:tc>
          <w:tcPr>
            <w:tcW w:w="425" w:type="dxa"/>
          </w:tcPr>
          <w:p w:rsidR="00B43C57" w:rsidRPr="00F5723F" w:rsidRDefault="00B43C57">
            <w:pPr>
              <w:pStyle w:val="Tabelltextsiffror"/>
              <w:jc w:val="center"/>
            </w:pPr>
            <w:r w:rsidRPr="00F5723F">
              <w:t>67</w:t>
            </w:r>
          </w:p>
        </w:tc>
        <w:tc>
          <w:tcPr>
            <w:tcW w:w="160"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47</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lagom mycket</w:t>
            </w:r>
          </w:p>
        </w:tc>
        <w:tc>
          <w:tcPr>
            <w:tcW w:w="426" w:type="dxa"/>
          </w:tcPr>
          <w:p w:rsidR="00B43C57" w:rsidRPr="00F5723F" w:rsidRDefault="00B43C57">
            <w:pPr>
              <w:pStyle w:val="Tabelltextsiffror"/>
              <w:jc w:val="center"/>
            </w:pPr>
            <w:r w:rsidRPr="00F5723F">
              <w:t>48</w:t>
            </w:r>
          </w:p>
        </w:tc>
        <w:tc>
          <w:tcPr>
            <w:tcW w:w="425" w:type="dxa"/>
          </w:tcPr>
          <w:p w:rsidR="00B43C57" w:rsidRPr="00F5723F" w:rsidRDefault="00B43C57">
            <w:pPr>
              <w:pStyle w:val="Tabelltextsiffror"/>
              <w:jc w:val="center"/>
            </w:pPr>
            <w:r w:rsidRPr="00F5723F">
              <w:t>50</w:t>
            </w:r>
          </w:p>
        </w:tc>
        <w:tc>
          <w:tcPr>
            <w:tcW w:w="425" w:type="dxa"/>
          </w:tcPr>
          <w:p w:rsidR="00B43C57" w:rsidRPr="00F5723F" w:rsidRDefault="00B43C57">
            <w:pPr>
              <w:pStyle w:val="Tabelltextsiffror"/>
              <w:jc w:val="center"/>
            </w:pPr>
            <w:r w:rsidRPr="00F5723F">
              <w:t>62</w:t>
            </w:r>
          </w:p>
        </w:tc>
        <w:tc>
          <w:tcPr>
            <w:tcW w:w="425" w:type="dxa"/>
          </w:tcPr>
          <w:p w:rsidR="00B43C57" w:rsidRPr="00F5723F" w:rsidRDefault="00B43C57">
            <w:pPr>
              <w:pStyle w:val="Tabelltextsiffror"/>
              <w:jc w:val="center"/>
            </w:pPr>
            <w:r w:rsidRPr="00F5723F">
              <w:t>38</w:t>
            </w:r>
          </w:p>
        </w:tc>
        <w:tc>
          <w:tcPr>
            <w:tcW w:w="426" w:type="dxa"/>
          </w:tcPr>
          <w:p w:rsidR="00B43C57" w:rsidRPr="00F5723F" w:rsidRDefault="00B43C57">
            <w:pPr>
              <w:pStyle w:val="Tabelltextsiffror"/>
              <w:jc w:val="center"/>
            </w:pPr>
            <w:r w:rsidRPr="00F5723F">
              <w:t>56</w:t>
            </w:r>
          </w:p>
        </w:tc>
        <w:tc>
          <w:tcPr>
            <w:tcW w:w="425" w:type="dxa"/>
          </w:tcPr>
          <w:p w:rsidR="00B43C57" w:rsidRPr="00F5723F" w:rsidRDefault="00B43C57">
            <w:pPr>
              <w:pStyle w:val="Tabelltextsiffror"/>
              <w:jc w:val="center"/>
            </w:pPr>
            <w:r w:rsidRPr="00F5723F">
              <w:t>54</w:t>
            </w:r>
          </w:p>
        </w:tc>
        <w:tc>
          <w:tcPr>
            <w:tcW w:w="425" w:type="dxa"/>
          </w:tcPr>
          <w:p w:rsidR="00B43C57" w:rsidRPr="00F5723F" w:rsidRDefault="00B43C57">
            <w:pPr>
              <w:pStyle w:val="Tabelltextsiffror"/>
              <w:jc w:val="center"/>
            </w:pPr>
            <w:r w:rsidRPr="00F5723F">
              <w:t>33</w:t>
            </w:r>
          </w:p>
        </w:tc>
        <w:tc>
          <w:tcPr>
            <w:tcW w:w="160"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51</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Önskar delta mindre ofta</w:t>
            </w:r>
          </w:p>
        </w:tc>
        <w:tc>
          <w:tcPr>
            <w:tcW w:w="426"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3</w:t>
            </w:r>
          </w:p>
        </w:tc>
        <w:tc>
          <w:tcPr>
            <w:tcW w:w="425"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6</w:t>
            </w:r>
          </w:p>
        </w:tc>
        <w:tc>
          <w:tcPr>
            <w:tcW w:w="426"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0</w:t>
            </w:r>
          </w:p>
        </w:tc>
        <w:tc>
          <w:tcPr>
            <w:tcW w:w="160"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2</w:t>
            </w:r>
          </w:p>
        </w:tc>
      </w:tr>
      <w:tr w:rsidR="00000000" w:rsidRPr="00F5723F">
        <w:tblPrEx>
          <w:tblCellMar>
            <w:top w:w="0" w:type="dxa"/>
            <w:bottom w:w="0" w:type="dxa"/>
          </w:tblCellMar>
        </w:tblPrEx>
        <w:tc>
          <w:tcPr>
            <w:tcW w:w="1809" w:type="dxa"/>
          </w:tcPr>
          <w:p w:rsidR="00B43C57" w:rsidRPr="00F5723F" w:rsidRDefault="00B43C57">
            <w:pPr>
              <w:pStyle w:val="Tabelltext"/>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160" w:type="dxa"/>
            <w:tcBorders>
              <w:bottom w:val="single" w:sz="4" w:space="0" w:color="auto"/>
            </w:tcBorders>
          </w:tcPr>
          <w:p w:rsidR="00B43C57" w:rsidRPr="00F5723F" w:rsidRDefault="00B43C57">
            <w:pPr>
              <w:pStyle w:val="Tabelltextsiffror"/>
              <w:jc w:val="center"/>
            </w:pPr>
          </w:p>
        </w:tc>
        <w:tc>
          <w:tcPr>
            <w:tcW w:w="624"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Summa procent (n=268)</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160" w:type="dxa"/>
            <w:tcBorders>
              <w:top w:val="single" w:sz="4" w:space="0" w:color="auto"/>
            </w:tcBorders>
          </w:tcPr>
          <w:p w:rsidR="00B43C57" w:rsidRPr="00F5723F" w:rsidRDefault="00B43C57">
            <w:pPr>
              <w:pStyle w:val="Tabelltextsiffror"/>
              <w:jc w:val="center"/>
            </w:pPr>
          </w:p>
        </w:tc>
        <w:tc>
          <w:tcPr>
            <w:tcW w:w="624" w:type="dxa"/>
            <w:tcBorders>
              <w:top w:val="single" w:sz="4" w:space="0" w:color="auto"/>
            </w:tcBorders>
          </w:tcPr>
          <w:p w:rsidR="00B43C57" w:rsidRPr="00F5723F" w:rsidRDefault="00B43C57">
            <w:pPr>
              <w:pStyle w:val="Tabelltextsiffror"/>
              <w:jc w:val="center"/>
            </w:pPr>
            <w:r w:rsidRPr="00F5723F">
              <w:t>100</w:t>
            </w:r>
          </w:p>
        </w:tc>
      </w:tr>
      <w:tr w:rsidR="00000000" w:rsidRPr="00F5723F">
        <w:tblPrEx>
          <w:tblCellMar>
            <w:top w:w="0" w:type="dxa"/>
            <w:bottom w:w="0" w:type="dxa"/>
          </w:tblCellMar>
        </w:tblPrEx>
        <w:tc>
          <w:tcPr>
            <w:tcW w:w="1809" w:type="dxa"/>
            <w:tcBorders>
              <w:bottom w:val="single" w:sz="4" w:space="0" w:color="auto"/>
            </w:tcBorders>
          </w:tcPr>
          <w:p w:rsidR="00B43C57" w:rsidRPr="00F5723F" w:rsidRDefault="00B43C57">
            <w:pPr>
              <w:pStyle w:val="Tabelltext"/>
            </w:pPr>
          </w:p>
        </w:tc>
        <w:tc>
          <w:tcPr>
            <w:tcW w:w="426"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6"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160" w:type="dxa"/>
            <w:tcBorders>
              <w:bottom w:val="single" w:sz="4" w:space="0" w:color="auto"/>
            </w:tcBorders>
          </w:tcPr>
          <w:p w:rsidR="00B43C57" w:rsidRPr="00F5723F" w:rsidRDefault="00B43C57">
            <w:pPr>
              <w:pStyle w:val="Tabelltextsiffror"/>
            </w:pPr>
          </w:p>
        </w:tc>
        <w:tc>
          <w:tcPr>
            <w:tcW w:w="624" w:type="dxa"/>
            <w:tcBorders>
              <w:bottom w:val="single" w:sz="4" w:space="0" w:color="auto"/>
            </w:tcBorders>
          </w:tcPr>
          <w:p w:rsidR="00B43C57" w:rsidRPr="00F5723F" w:rsidRDefault="00B43C57">
            <w:pPr>
              <w:pStyle w:val="Tabelltextsiffror"/>
            </w:pPr>
          </w:p>
        </w:tc>
      </w:tr>
    </w:tbl>
    <w:p w:rsidR="00B43C57" w:rsidRPr="00F5723F" w:rsidRDefault="00B43C57">
      <w:pPr>
        <w:pStyle w:val="Tabellrubrik"/>
        <w:spacing w:before="0"/>
      </w:pPr>
    </w:p>
    <w:p w:rsidR="00B43C57" w:rsidRPr="00F5723F" w:rsidRDefault="00B43C57">
      <w:pPr>
        <w:pStyle w:val="Tabellrubrik"/>
        <w:spacing w:before="0"/>
      </w:pPr>
    </w:p>
    <w:p w:rsidR="00B43C57" w:rsidRPr="00F5723F" w:rsidRDefault="00B43C57">
      <w:pPr>
        <w:pStyle w:val="Tabellrubrik"/>
        <w:spacing w:before="0"/>
      </w:pPr>
      <w:r w:rsidRPr="00F5723F">
        <w:t xml:space="preserve">Tabell 10 </w:t>
      </w:r>
      <w:r w:rsidRPr="00F5723F">
        <w:t>Deltagande i sammanträden/möt</w:t>
      </w:r>
      <w:r w:rsidRPr="00F5723F">
        <w:t>en med lokal parti-</w:t>
      </w:r>
      <w:r w:rsidRPr="00F5723F">
        <w:br/>
        <w:t xml:space="preserve">organisation </w:t>
      </w:r>
      <w:r w:rsidRPr="00F5723F">
        <w:t>utanför he</w:t>
      </w:r>
      <w:r w:rsidRPr="00F5723F">
        <w:t>m</w:t>
      </w:r>
      <w:r w:rsidRPr="00F5723F">
        <w:t>orten (procent)</w:t>
      </w:r>
    </w:p>
    <w:tbl>
      <w:tblPr>
        <w:tblW w:w="0" w:type="auto"/>
        <w:tblInd w:w="-38" w:type="dxa"/>
        <w:tblLayout w:type="fixed"/>
        <w:tblCellMar>
          <w:left w:w="70" w:type="dxa"/>
          <w:right w:w="70" w:type="dxa"/>
        </w:tblCellMar>
        <w:tblLook w:val="01E0" w:firstRow="1" w:lastRow="1" w:firstColumn="1" w:lastColumn="1" w:noHBand="0" w:noVBand="0"/>
      </w:tblPr>
      <w:tblGrid>
        <w:gridCol w:w="1809"/>
        <w:gridCol w:w="426"/>
        <w:gridCol w:w="425"/>
        <w:gridCol w:w="425"/>
        <w:gridCol w:w="425"/>
        <w:gridCol w:w="426"/>
        <w:gridCol w:w="425"/>
        <w:gridCol w:w="425"/>
        <w:gridCol w:w="160"/>
        <w:gridCol w:w="624"/>
      </w:tblGrid>
      <w:tr w:rsidR="00000000" w:rsidRPr="00F5723F">
        <w:tblPrEx>
          <w:tblCellMar>
            <w:top w:w="0" w:type="dxa"/>
            <w:bottom w:w="0" w:type="dxa"/>
          </w:tblCellMar>
        </w:tblPrEx>
        <w:tc>
          <w:tcPr>
            <w:tcW w:w="1809" w:type="dxa"/>
            <w:tcBorders>
              <w:top w:val="single" w:sz="4" w:space="0" w:color="auto"/>
              <w:bottom w:val="single" w:sz="4" w:space="0" w:color="auto"/>
            </w:tcBorders>
          </w:tcPr>
          <w:p w:rsidR="00B43C57" w:rsidRPr="00F5723F" w:rsidRDefault="00B43C57">
            <w:pPr>
              <w:pStyle w:val="Tabelltext"/>
              <w:jc w:val="center"/>
            </w:pPr>
          </w:p>
        </w:tc>
        <w:tc>
          <w:tcPr>
            <w:tcW w:w="426"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426"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425"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159" w:type="dxa"/>
            <w:tcBorders>
              <w:top w:val="single" w:sz="4" w:space="0" w:color="auto"/>
              <w:bottom w:val="single" w:sz="4" w:space="0" w:color="auto"/>
            </w:tcBorders>
          </w:tcPr>
          <w:p w:rsidR="00B43C57" w:rsidRPr="00F5723F" w:rsidRDefault="00B43C57">
            <w:pPr>
              <w:pStyle w:val="Tabelltextsiffror"/>
              <w:jc w:val="center"/>
            </w:pPr>
          </w:p>
        </w:tc>
        <w:tc>
          <w:tcPr>
            <w:tcW w:w="624" w:type="dxa"/>
            <w:tcBorders>
              <w:top w:val="single" w:sz="4" w:space="0" w:color="auto"/>
              <w:bottom w:val="single" w:sz="4" w:space="0" w:color="auto"/>
            </w:tcBorders>
          </w:tcPr>
          <w:p w:rsidR="00B43C57" w:rsidRPr="00F5723F" w:rsidRDefault="00B43C57">
            <w:pPr>
              <w:pStyle w:val="Tabelltextsiffror"/>
              <w:jc w:val="center"/>
            </w:pPr>
            <w:r w:rsidRPr="00F5723F">
              <w:t>alla</w:t>
            </w:r>
          </w:p>
        </w:tc>
      </w:tr>
      <w:tr w:rsidR="00000000" w:rsidRPr="00F5723F">
        <w:tblPrEx>
          <w:tblCellMar>
            <w:top w:w="0" w:type="dxa"/>
            <w:bottom w:w="0" w:type="dxa"/>
          </w:tblCellMar>
        </w:tblPrEx>
        <w:tc>
          <w:tcPr>
            <w:tcW w:w="1809" w:type="dxa"/>
            <w:tcBorders>
              <w:top w:val="single" w:sz="4" w:space="0" w:color="auto"/>
            </w:tcBorders>
          </w:tcPr>
          <w:p w:rsidR="00B43C57" w:rsidRPr="00F5723F" w:rsidRDefault="00B43C57">
            <w:pPr>
              <w:pStyle w:val="Tabelltext"/>
            </w:pPr>
          </w:p>
        </w:tc>
        <w:tc>
          <w:tcPr>
            <w:tcW w:w="426"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6"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425" w:type="dxa"/>
            <w:tcBorders>
              <w:top w:val="single" w:sz="4" w:space="0" w:color="auto"/>
            </w:tcBorders>
          </w:tcPr>
          <w:p w:rsidR="00B43C57" w:rsidRPr="00F5723F" w:rsidRDefault="00B43C57">
            <w:pPr>
              <w:pStyle w:val="Tabelltextsiffror"/>
            </w:pPr>
          </w:p>
        </w:tc>
        <w:tc>
          <w:tcPr>
            <w:tcW w:w="159" w:type="dxa"/>
            <w:tcBorders>
              <w:top w:val="single" w:sz="4" w:space="0" w:color="auto"/>
            </w:tcBorders>
          </w:tcPr>
          <w:p w:rsidR="00B43C57" w:rsidRPr="00F5723F" w:rsidRDefault="00B43C57">
            <w:pPr>
              <w:pStyle w:val="Tabelltextsiffror"/>
            </w:pPr>
          </w:p>
        </w:tc>
        <w:tc>
          <w:tcPr>
            <w:tcW w:w="624" w:type="dxa"/>
            <w:tcBorders>
              <w:top w:val="single" w:sz="4" w:space="0" w:color="auto"/>
            </w:tcBorders>
          </w:tcPr>
          <w:p w:rsidR="00B43C57" w:rsidRPr="00F5723F" w:rsidRDefault="00B43C57">
            <w:pPr>
              <w:pStyle w:val="Tabelltextsiffro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regelmässigt</w:t>
            </w:r>
          </w:p>
        </w:tc>
        <w:tc>
          <w:tcPr>
            <w:tcW w:w="426"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26</w:t>
            </w:r>
          </w:p>
        </w:tc>
        <w:tc>
          <w:tcPr>
            <w:tcW w:w="425" w:type="dxa"/>
          </w:tcPr>
          <w:p w:rsidR="00B43C57" w:rsidRPr="00F5723F" w:rsidRDefault="00B43C57">
            <w:pPr>
              <w:pStyle w:val="Tabelltextsiffror"/>
              <w:jc w:val="center"/>
            </w:pPr>
            <w:r w:rsidRPr="00F5723F">
              <w:t>31</w:t>
            </w:r>
          </w:p>
        </w:tc>
        <w:tc>
          <w:tcPr>
            <w:tcW w:w="425" w:type="dxa"/>
          </w:tcPr>
          <w:p w:rsidR="00B43C57" w:rsidRPr="00F5723F" w:rsidRDefault="00B43C57">
            <w:pPr>
              <w:pStyle w:val="Tabelltextsiffror"/>
              <w:jc w:val="center"/>
            </w:pPr>
            <w:r w:rsidRPr="00F5723F">
              <w:t>20</w:t>
            </w:r>
          </w:p>
        </w:tc>
        <w:tc>
          <w:tcPr>
            <w:tcW w:w="426" w:type="dxa"/>
          </w:tcPr>
          <w:p w:rsidR="00B43C57" w:rsidRPr="00F5723F" w:rsidRDefault="00B43C57">
            <w:pPr>
              <w:pStyle w:val="Tabelltextsiffror"/>
              <w:jc w:val="center"/>
            </w:pPr>
            <w:r w:rsidRPr="00F5723F">
              <w:t>24</w:t>
            </w:r>
          </w:p>
        </w:tc>
        <w:tc>
          <w:tcPr>
            <w:tcW w:w="425" w:type="dxa"/>
          </w:tcPr>
          <w:p w:rsidR="00B43C57" w:rsidRPr="00F5723F" w:rsidRDefault="00B43C57">
            <w:pPr>
              <w:pStyle w:val="Tabelltextsiffror"/>
              <w:jc w:val="center"/>
            </w:pPr>
            <w:r w:rsidRPr="00F5723F">
              <w:t>24</w:t>
            </w:r>
          </w:p>
        </w:tc>
        <w:tc>
          <w:tcPr>
            <w:tcW w:w="425" w:type="dxa"/>
          </w:tcPr>
          <w:p w:rsidR="00B43C57" w:rsidRPr="00F5723F" w:rsidRDefault="00B43C57">
            <w:pPr>
              <w:pStyle w:val="Tabelltextsiffror"/>
              <w:jc w:val="center"/>
            </w:pPr>
            <w:r w:rsidRPr="00F5723F">
              <w:t>11</w:t>
            </w:r>
          </w:p>
        </w:tc>
        <w:tc>
          <w:tcPr>
            <w:tcW w:w="159"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24</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ibland</w:t>
            </w:r>
          </w:p>
        </w:tc>
        <w:tc>
          <w:tcPr>
            <w:tcW w:w="426" w:type="dxa"/>
          </w:tcPr>
          <w:p w:rsidR="00B43C57" w:rsidRPr="00F5723F" w:rsidRDefault="00B43C57">
            <w:pPr>
              <w:pStyle w:val="Tabelltextsiffror"/>
              <w:jc w:val="center"/>
            </w:pPr>
            <w:r w:rsidRPr="00F5723F">
              <w:t>74</w:t>
            </w:r>
          </w:p>
        </w:tc>
        <w:tc>
          <w:tcPr>
            <w:tcW w:w="425" w:type="dxa"/>
          </w:tcPr>
          <w:p w:rsidR="00B43C57" w:rsidRPr="00F5723F" w:rsidRDefault="00B43C57">
            <w:pPr>
              <w:pStyle w:val="Tabelltextsiffror"/>
              <w:jc w:val="center"/>
            </w:pPr>
            <w:r w:rsidRPr="00F5723F">
              <w:t>56</w:t>
            </w:r>
          </w:p>
        </w:tc>
        <w:tc>
          <w:tcPr>
            <w:tcW w:w="425" w:type="dxa"/>
          </w:tcPr>
          <w:p w:rsidR="00B43C57" w:rsidRPr="00F5723F" w:rsidRDefault="00B43C57">
            <w:pPr>
              <w:pStyle w:val="Tabelltextsiffror"/>
              <w:jc w:val="center"/>
            </w:pPr>
            <w:r w:rsidRPr="00F5723F">
              <w:t>44</w:t>
            </w:r>
          </w:p>
        </w:tc>
        <w:tc>
          <w:tcPr>
            <w:tcW w:w="425" w:type="dxa"/>
          </w:tcPr>
          <w:p w:rsidR="00B43C57" w:rsidRPr="00F5723F" w:rsidRDefault="00B43C57">
            <w:pPr>
              <w:pStyle w:val="Tabelltextsiffror"/>
              <w:jc w:val="center"/>
            </w:pPr>
            <w:r w:rsidRPr="00F5723F">
              <w:t>60</w:t>
            </w:r>
          </w:p>
        </w:tc>
        <w:tc>
          <w:tcPr>
            <w:tcW w:w="426" w:type="dxa"/>
          </w:tcPr>
          <w:p w:rsidR="00B43C57" w:rsidRPr="00F5723F" w:rsidRDefault="00B43C57">
            <w:pPr>
              <w:pStyle w:val="Tabelltextsiffror"/>
              <w:jc w:val="center"/>
            </w:pPr>
            <w:r w:rsidRPr="00F5723F">
              <w:t>61</w:t>
            </w:r>
          </w:p>
        </w:tc>
        <w:tc>
          <w:tcPr>
            <w:tcW w:w="425" w:type="dxa"/>
          </w:tcPr>
          <w:p w:rsidR="00B43C57" w:rsidRPr="00F5723F" w:rsidRDefault="00B43C57">
            <w:pPr>
              <w:pStyle w:val="Tabelltextsiffror"/>
              <w:jc w:val="center"/>
            </w:pPr>
            <w:r w:rsidRPr="00F5723F">
              <w:t>62</w:t>
            </w:r>
          </w:p>
        </w:tc>
        <w:tc>
          <w:tcPr>
            <w:tcW w:w="425" w:type="dxa"/>
          </w:tcPr>
          <w:p w:rsidR="00B43C57" w:rsidRPr="00F5723F" w:rsidRDefault="00B43C57">
            <w:pPr>
              <w:pStyle w:val="Tabelltextsiffror"/>
              <w:jc w:val="center"/>
            </w:pPr>
            <w:r w:rsidRPr="00F5723F">
              <w:t>56</w:t>
            </w:r>
          </w:p>
        </w:tc>
        <w:tc>
          <w:tcPr>
            <w:tcW w:w="159"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58</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sällan/aldrig</w:t>
            </w:r>
          </w:p>
        </w:tc>
        <w:tc>
          <w:tcPr>
            <w:tcW w:w="426" w:type="dxa"/>
          </w:tcPr>
          <w:p w:rsidR="00B43C57" w:rsidRPr="00F5723F" w:rsidRDefault="00B43C57">
            <w:pPr>
              <w:pStyle w:val="Tabelltextsiffror"/>
              <w:jc w:val="center"/>
            </w:pPr>
            <w:r w:rsidRPr="00F5723F">
              <w:t>26</w:t>
            </w:r>
          </w:p>
        </w:tc>
        <w:tc>
          <w:tcPr>
            <w:tcW w:w="425" w:type="dxa"/>
          </w:tcPr>
          <w:p w:rsidR="00B43C57" w:rsidRPr="00F5723F" w:rsidRDefault="00B43C57">
            <w:pPr>
              <w:pStyle w:val="Tabelltextsiffror"/>
              <w:jc w:val="center"/>
            </w:pPr>
            <w:r w:rsidRPr="00F5723F">
              <w:t>18</w:t>
            </w:r>
          </w:p>
        </w:tc>
        <w:tc>
          <w:tcPr>
            <w:tcW w:w="425" w:type="dxa"/>
          </w:tcPr>
          <w:p w:rsidR="00B43C57" w:rsidRPr="00F5723F" w:rsidRDefault="00B43C57">
            <w:pPr>
              <w:pStyle w:val="Tabelltextsiffror"/>
              <w:jc w:val="center"/>
            </w:pPr>
            <w:r w:rsidRPr="00F5723F">
              <w:t>25</w:t>
            </w:r>
          </w:p>
        </w:tc>
        <w:tc>
          <w:tcPr>
            <w:tcW w:w="425" w:type="dxa"/>
          </w:tcPr>
          <w:p w:rsidR="00B43C57" w:rsidRPr="00F5723F" w:rsidRDefault="00B43C57">
            <w:pPr>
              <w:pStyle w:val="Tabelltextsiffror"/>
              <w:jc w:val="center"/>
            </w:pPr>
            <w:r w:rsidRPr="00F5723F">
              <w:t>20</w:t>
            </w:r>
          </w:p>
        </w:tc>
        <w:tc>
          <w:tcPr>
            <w:tcW w:w="426" w:type="dxa"/>
          </w:tcPr>
          <w:p w:rsidR="00B43C57" w:rsidRPr="00F5723F" w:rsidRDefault="00B43C57">
            <w:pPr>
              <w:pStyle w:val="Tabelltextsiffror"/>
              <w:jc w:val="center"/>
            </w:pPr>
            <w:r w:rsidRPr="00F5723F">
              <w:t>15</w:t>
            </w:r>
          </w:p>
        </w:tc>
        <w:tc>
          <w:tcPr>
            <w:tcW w:w="425" w:type="dxa"/>
          </w:tcPr>
          <w:p w:rsidR="00B43C57" w:rsidRPr="00F5723F" w:rsidRDefault="00B43C57">
            <w:pPr>
              <w:pStyle w:val="Tabelltextsiffror"/>
              <w:jc w:val="center"/>
            </w:pPr>
            <w:r w:rsidRPr="00F5723F">
              <w:t>14</w:t>
            </w:r>
          </w:p>
        </w:tc>
        <w:tc>
          <w:tcPr>
            <w:tcW w:w="425" w:type="dxa"/>
          </w:tcPr>
          <w:p w:rsidR="00B43C57" w:rsidRPr="00F5723F" w:rsidRDefault="00B43C57">
            <w:pPr>
              <w:pStyle w:val="Tabelltextsiffror"/>
              <w:jc w:val="center"/>
            </w:pPr>
            <w:r w:rsidRPr="00F5723F">
              <w:t>33</w:t>
            </w:r>
          </w:p>
        </w:tc>
        <w:tc>
          <w:tcPr>
            <w:tcW w:w="159"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18</w:t>
            </w:r>
          </w:p>
        </w:tc>
      </w:tr>
      <w:tr w:rsidR="00000000" w:rsidRPr="00F5723F">
        <w:tblPrEx>
          <w:tblCellMar>
            <w:top w:w="0" w:type="dxa"/>
            <w:bottom w:w="0" w:type="dxa"/>
          </w:tblCellMar>
        </w:tblPrEx>
        <w:tc>
          <w:tcPr>
            <w:tcW w:w="1809" w:type="dxa"/>
          </w:tcPr>
          <w:p w:rsidR="00B43C57" w:rsidRPr="00F5723F" w:rsidRDefault="00B43C57">
            <w:pPr>
              <w:pStyle w:val="Tabelltext"/>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159" w:type="dxa"/>
            <w:tcBorders>
              <w:bottom w:val="single" w:sz="4" w:space="0" w:color="auto"/>
            </w:tcBorders>
          </w:tcPr>
          <w:p w:rsidR="00B43C57" w:rsidRPr="00F5723F" w:rsidRDefault="00B43C57">
            <w:pPr>
              <w:pStyle w:val="Tabelltextsiffror"/>
              <w:jc w:val="center"/>
            </w:pPr>
          </w:p>
        </w:tc>
        <w:tc>
          <w:tcPr>
            <w:tcW w:w="624"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Summa procent (n=257)</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159" w:type="dxa"/>
            <w:tcBorders>
              <w:top w:val="single" w:sz="4" w:space="0" w:color="auto"/>
            </w:tcBorders>
          </w:tcPr>
          <w:p w:rsidR="00B43C57" w:rsidRPr="00F5723F" w:rsidRDefault="00B43C57">
            <w:pPr>
              <w:pStyle w:val="Tabelltextsiffror"/>
              <w:jc w:val="center"/>
            </w:pPr>
          </w:p>
        </w:tc>
        <w:tc>
          <w:tcPr>
            <w:tcW w:w="624" w:type="dxa"/>
            <w:tcBorders>
              <w:top w:val="single" w:sz="4" w:space="0" w:color="auto"/>
            </w:tcBorders>
          </w:tcPr>
          <w:p w:rsidR="00B43C57" w:rsidRPr="00F5723F" w:rsidRDefault="00B43C57">
            <w:pPr>
              <w:pStyle w:val="Tabelltextsiffror"/>
              <w:jc w:val="center"/>
            </w:pPr>
            <w:r w:rsidRPr="00F5723F">
              <w:t>100</w:t>
            </w:r>
          </w:p>
        </w:tc>
      </w:tr>
      <w:tr w:rsidR="00000000" w:rsidRPr="00F5723F">
        <w:tblPrEx>
          <w:tblCellMar>
            <w:top w:w="0" w:type="dxa"/>
            <w:bottom w:w="0" w:type="dxa"/>
          </w:tblCellMar>
        </w:tblPrEx>
        <w:tc>
          <w:tcPr>
            <w:tcW w:w="1809" w:type="dxa"/>
          </w:tcPr>
          <w:p w:rsidR="00B43C57" w:rsidRPr="00F5723F" w:rsidRDefault="00B43C57">
            <w:pPr>
              <w:pStyle w:val="Tabelltext"/>
            </w:pPr>
          </w:p>
        </w:tc>
        <w:tc>
          <w:tcPr>
            <w:tcW w:w="426"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6"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425" w:type="dxa"/>
          </w:tcPr>
          <w:p w:rsidR="00B43C57" w:rsidRPr="00F5723F" w:rsidRDefault="00B43C57">
            <w:pPr>
              <w:pStyle w:val="Tabelltextsiffror"/>
              <w:jc w:val="center"/>
            </w:pPr>
          </w:p>
        </w:tc>
        <w:tc>
          <w:tcPr>
            <w:tcW w:w="159"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Önskar delta mer</w:t>
            </w:r>
          </w:p>
        </w:tc>
        <w:tc>
          <w:tcPr>
            <w:tcW w:w="426" w:type="dxa"/>
          </w:tcPr>
          <w:p w:rsidR="00B43C57" w:rsidRPr="00F5723F" w:rsidRDefault="00B43C57">
            <w:pPr>
              <w:pStyle w:val="Tabelltextsiffror"/>
              <w:jc w:val="center"/>
            </w:pPr>
            <w:r w:rsidRPr="00F5723F">
              <w:t>50</w:t>
            </w:r>
          </w:p>
        </w:tc>
        <w:tc>
          <w:tcPr>
            <w:tcW w:w="425" w:type="dxa"/>
          </w:tcPr>
          <w:p w:rsidR="00B43C57" w:rsidRPr="00F5723F" w:rsidRDefault="00B43C57">
            <w:pPr>
              <w:pStyle w:val="Tabelltextsiffror"/>
              <w:jc w:val="center"/>
            </w:pPr>
            <w:r w:rsidRPr="00F5723F">
              <w:t>38</w:t>
            </w:r>
          </w:p>
        </w:tc>
        <w:tc>
          <w:tcPr>
            <w:tcW w:w="425" w:type="dxa"/>
          </w:tcPr>
          <w:p w:rsidR="00B43C57" w:rsidRPr="00F5723F" w:rsidRDefault="00B43C57">
            <w:pPr>
              <w:pStyle w:val="Tabelltextsiffror"/>
              <w:jc w:val="center"/>
            </w:pPr>
            <w:r w:rsidRPr="00F5723F">
              <w:t>38</w:t>
            </w:r>
          </w:p>
        </w:tc>
        <w:tc>
          <w:tcPr>
            <w:tcW w:w="425" w:type="dxa"/>
          </w:tcPr>
          <w:p w:rsidR="00B43C57" w:rsidRPr="00F5723F" w:rsidRDefault="00B43C57">
            <w:pPr>
              <w:pStyle w:val="Tabelltextsiffror"/>
              <w:jc w:val="center"/>
            </w:pPr>
            <w:r w:rsidRPr="00F5723F">
              <w:t>37</w:t>
            </w:r>
          </w:p>
        </w:tc>
        <w:tc>
          <w:tcPr>
            <w:tcW w:w="426" w:type="dxa"/>
          </w:tcPr>
          <w:p w:rsidR="00B43C57" w:rsidRPr="00F5723F" w:rsidRDefault="00B43C57">
            <w:pPr>
              <w:pStyle w:val="Tabelltextsiffror"/>
              <w:jc w:val="center"/>
            </w:pPr>
            <w:r w:rsidRPr="00F5723F">
              <w:t>46</w:t>
            </w:r>
          </w:p>
        </w:tc>
        <w:tc>
          <w:tcPr>
            <w:tcW w:w="425" w:type="dxa"/>
          </w:tcPr>
          <w:p w:rsidR="00B43C57" w:rsidRPr="00F5723F" w:rsidRDefault="00B43C57">
            <w:pPr>
              <w:pStyle w:val="Tabelltextsiffror"/>
              <w:jc w:val="center"/>
            </w:pPr>
            <w:r w:rsidRPr="00F5723F">
              <w:t>33</w:t>
            </w:r>
          </w:p>
        </w:tc>
        <w:tc>
          <w:tcPr>
            <w:tcW w:w="425" w:type="dxa"/>
          </w:tcPr>
          <w:p w:rsidR="00B43C57" w:rsidRPr="00F5723F" w:rsidRDefault="00B43C57">
            <w:pPr>
              <w:pStyle w:val="Tabelltextsiffror"/>
              <w:jc w:val="center"/>
            </w:pPr>
            <w:r w:rsidRPr="00F5723F">
              <w:t>56</w:t>
            </w:r>
          </w:p>
        </w:tc>
        <w:tc>
          <w:tcPr>
            <w:tcW w:w="159"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39</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Deltar lagom mycket</w:t>
            </w:r>
          </w:p>
        </w:tc>
        <w:tc>
          <w:tcPr>
            <w:tcW w:w="426" w:type="dxa"/>
          </w:tcPr>
          <w:p w:rsidR="00B43C57" w:rsidRPr="00F5723F" w:rsidRDefault="00B43C57">
            <w:pPr>
              <w:pStyle w:val="Tabelltextsiffror"/>
              <w:jc w:val="center"/>
            </w:pPr>
            <w:r w:rsidRPr="00F5723F">
              <w:t>50</w:t>
            </w:r>
          </w:p>
        </w:tc>
        <w:tc>
          <w:tcPr>
            <w:tcW w:w="425" w:type="dxa"/>
          </w:tcPr>
          <w:p w:rsidR="00B43C57" w:rsidRPr="00F5723F" w:rsidRDefault="00B43C57">
            <w:pPr>
              <w:pStyle w:val="Tabelltextsiffror"/>
              <w:jc w:val="center"/>
            </w:pPr>
            <w:r w:rsidRPr="00F5723F">
              <w:t>60</w:t>
            </w:r>
          </w:p>
        </w:tc>
        <w:tc>
          <w:tcPr>
            <w:tcW w:w="425" w:type="dxa"/>
          </w:tcPr>
          <w:p w:rsidR="00B43C57" w:rsidRPr="00F5723F" w:rsidRDefault="00B43C57">
            <w:pPr>
              <w:pStyle w:val="Tabelltextsiffror"/>
              <w:jc w:val="center"/>
            </w:pPr>
            <w:r w:rsidRPr="00F5723F">
              <w:t>62</w:t>
            </w:r>
          </w:p>
        </w:tc>
        <w:tc>
          <w:tcPr>
            <w:tcW w:w="425" w:type="dxa"/>
          </w:tcPr>
          <w:p w:rsidR="00B43C57" w:rsidRPr="00F5723F" w:rsidRDefault="00B43C57">
            <w:pPr>
              <w:pStyle w:val="Tabelltextsiffror"/>
              <w:jc w:val="center"/>
            </w:pPr>
            <w:r w:rsidRPr="00F5723F">
              <w:t>59</w:t>
            </w:r>
          </w:p>
        </w:tc>
        <w:tc>
          <w:tcPr>
            <w:tcW w:w="426" w:type="dxa"/>
          </w:tcPr>
          <w:p w:rsidR="00B43C57" w:rsidRPr="00F5723F" w:rsidRDefault="00B43C57">
            <w:pPr>
              <w:pStyle w:val="Tabelltextsiffror"/>
              <w:jc w:val="center"/>
            </w:pPr>
            <w:r w:rsidRPr="00F5723F">
              <w:t>54</w:t>
            </w:r>
          </w:p>
        </w:tc>
        <w:tc>
          <w:tcPr>
            <w:tcW w:w="425" w:type="dxa"/>
          </w:tcPr>
          <w:p w:rsidR="00B43C57" w:rsidRPr="00F5723F" w:rsidRDefault="00B43C57">
            <w:pPr>
              <w:pStyle w:val="Tabelltextsiffror"/>
              <w:jc w:val="center"/>
            </w:pPr>
            <w:r w:rsidRPr="00F5723F">
              <w:t>67</w:t>
            </w:r>
          </w:p>
        </w:tc>
        <w:tc>
          <w:tcPr>
            <w:tcW w:w="425" w:type="dxa"/>
          </w:tcPr>
          <w:p w:rsidR="00B43C57" w:rsidRPr="00F5723F" w:rsidRDefault="00B43C57">
            <w:pPr>
              <w:pStyle w:val="Tabelltextsiffror"/>
              <w:jc w:val="center"/>
            </w:pPr>
            <w:r w:rsidRPr="00F5723F">
              <w:t>44</w:t>
            </w:r>
          </w:p>
        </w:tc>
        <w:tc>
          <w:tcPr>
            <w:tcW w:w="159"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60</w:t>
            </w:r>
          </w:p>
        </w:tc>
      </w:tr>
      <w:tr w:rsidR="00000000" w:rsidRPr="00F5723F">
        <w:tblPrEx>
          <w:tblCellMar>
            <w:top w:w="0" w:type="dxa"/>
            <w:bottom w:w="0" w:type="dxa"/>
          </w:tblCellMar>
        </w:tblPrEx>
        <w:tc>
          <w:tcPr>
            <w:tcW w:w="1809" w:type="dxa"/>
          </w:tcPr>
          <w:p w:rsidR="00B43C57" w:rsidRPr="00F5723F" w:rsidRDefault="00B43C57">
            <w:pPr>
              <w:pStyle w:val="Tabelltext"/>
            </w:pPr>
            <w:r w:rsidRPr="00F5723F">
              <w:t>Önskar delta mindre ofta</w:t>
            </w:r>
          </w:p>
        </w:tc>
        <w:tc>
          <w:tcPr>
            <w:tcW w:w="426"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2</w:t>
            </w:r>
          </w:p>
        </w:tc>
        <w:tc>
          <w:tcPr>
            <w:tcW w:w="425"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4</w:t>
            </w:r>
          </w:p>
        </w:tc>
        <w:tc>
          <w:tcPr>
            <w:tcW w:w="426"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0</w:t>
            </w:r>
          </w:p>
        </w:tc>
        <w:tc>
          <w:tcPr>
            <w:tcW w:w="425" w:type="dxa"/>
          </w:tcPr>
          <w:p w:rsidR="00B43C57" w:rsidRPr="00F5723F" w:rsidRDefault="00B43C57">
            <w:pPr>
              <w:pStyle w:val="Tabelltextsiffror"/>
              <w:jc w:val="center"/>
            </w:pPr>
            <w:r w:rsidRPr="00F5723F">
              <w:t>0</w:t>
            </w:r>
          </w:p>
        </w:tc>
        <w:tc>
          <w:tcPr>
            <w:tcW w:w="159" w:type="dxa"/>
          </w:tcPr>
          <w:p w:rsidR="00B43C57" w:rsidRPr="00F5723F" w:rsidRDefault="00B43C57">
            <w:pPr>
              <w:pStyle w:val="Tabelltextsiffror"/>
              <w:jc w:val="center"/>
            </w:pPr>
          </w:p>
        </w:tc>
        <w:tc>
          <w:tcPr>
            <w:tcW w:w="624" w:type="dxa"/>
          </w:tcPr>
          <w:p w:rsidR="00B43C57" w:rsidRPr="00F5723F" w:rsidRDefault="00B43C57">
            <w:pPr>
              <w:pStyle w:val="Tabelltextsiffror"/>
              <w:jc w:val="center"/>
            </w:pPr>
            <w:r w:rsidRPr="00F5723F">
              <w:t>1</w:t>
            </w:r>
          </w:p>
        </w:tc>
      </w:tr>
      <w:tr w:rsidR="00000000" w:rsidRPr="00F5723F">
        <w:tblPrEx>
          <w:tblCellMar>
            <w:top w:w="0" w:type="dxa"/>
            <w:bottom w:w="0" w:type="dxa"/>
          </w:tblCellMar>
        </w:tblPrEx>
        <w:tc>
          <w:tcPr>
            <w:tcW w:w="1809" w:type="dxa"/>
          </w:tcPr>
          <w:p w:rsidR="00B43C57" w:rsidRPr="00F5723F" w:rsidRDefault="00B43C57">
            <w:pPr>
              <w:pStyle w:val="Tabelltext"/>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6"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425" w:type="dxa"/>
            <w:tcBorders>
              <w:bottom w:val="single" w:sz="4" w:space="0" w:color="auto"/>
            </w:tcBorders>
          </w:tcPr>
          <w:p w:rsidR="00B43C57" w:rsidRPr="00F5723F" w:rsidRDefault="00B43C57">
            <w:pPr>
              <w:pStyle w:val="Tabelltextsiffror"/>
              <w:jc w:val="center"/>
            </w:pPr>
          </w:p>
        </w:tc>
        <w:tc>
          <w:tcPr>
            <w:tcW w:w="159" w:type="dxa"/>
            <w:tcBorders>
              <w:bottom w:val="single" w:sz="4" w:space="0" w:color="auto"/>
            </w:tcBorders>
          </w:tcPr>
          <w:p w:rsidR="00B43C57" w:rsidRPr="00F5723F" w:rsidRDefault="00B43C57">
            <w:pPr>
              <w:pStyle w:val="Tabelltextsiffror"/>
              <w:jc w:val="center"/>
            </w:pPr>
          </w:p>
        </w:tc>
        <w:tc>
          <w:tcPr>
            <w:tcW w:w="624"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1809" w:type="dxa"/>
          </w:tcPr>
          <w:p w:rsidR="00B43C57" w:rsidRPr="00F5723F" w:rsidRDefault="00B43C57">
            <w:pPr>
              <w:pStyle w:val="Tabelltext"/>
            </w:pPr>
            <w:r w:rsidRPr="00F5723F">
              <w:t>Summa procent (n=257)</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6"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425" w:type="dxa"/>
            <w:tcBorders>
              <w:top w:val="single" w:sz="4" w:space="0" w:color="auto"/>
            </w:tcBorders>
          </w:tcPr>
          <w:p w:rsidR="00B43C57" w:rsidRPr="00F5723F" w:rsidRDefault="00B43C57">
            <w:pPr>
              <w:pStyle w:val="Tabelltextsiffror"/>
              <w:jc w:val="center"/>
            </w:pPr>
            <w:r w:rsidRPr="00F5723F">
              <w:t>100</w:t>
            </w:r>
          </w:p>
        </w:tc>
        <w:tc>
          <w:tcPr>
            <w:tcW w:w="159" w:type="dxa"/>
            <w:tcBorders>
              <w:top w:val="single" w:sz="4" w:space="0" w:color="auto"/>
            </w:tcBorders>
          </w:tcPr>
          <w:p w:rsidR="00B43C57" w:rsidRPr="00F5723F" w:rsidRDefault="00B43C57">
            <w:pPr>
              <w:pStyle w:val="Tabelltextsiffror"/>
              <w:jc w:val="center"/>
            </w:pPr>
          </w:p>
        </w:tc>
        <w:tc>
          <w:tcPr>
            <w:tcW w:w="624" w:type="dxa"/>
            <w:tcBorders>
              <w:top w:val="single" w:sz="4" w:space="0" w:color="auto"/>
            </w:tcBorders>
          </w:tcPr>
          <w:p w:rsidR="00B43C57" w:rsidRPr="00F5723F" w:rsidRDefault="00B43C57">
            <w:pPr>
              <w:pStyle w:val="Tabelltextsiffror"/>
              <w:jc w:val="center"/>
            </w:pPr>
            <w:r w:rsidRPr="00F5723F">
              <w:t>100</w:t>
            </w:r>
          </w:p>
        </w:tc>
      </w:tr>
      <w:tr w:rsidR="00000000" w:rsidRPr="00F5723F">
        <w:tblPrEx>
          <w:tblCellMar>
            <w:top w:w="0" w:type="dxa"/>
            <w:bottom w:w="0" w:type="dxa"/>
          </w:tblCellMar>
        </w:tblPrEx>
        <w:tc>
          <w:tcPr>
            <w:tcW w:w="1809" w:type="dxa"/>
            <w:tcBorders>
              <w:bottom w:val="single" w:sz="4" w:space="0" w:color="auto"/>
            </w:tcBorders>
          </w:tcPr>
          <w:p w:rsidR="00B43C57" w:rsidRPr="00F5723F" w:rsidRDefault="00B43C57">
            <w:pPr>
              <w:pStyle w:val="Tabelltext"/>
            </w:pPr>
          </w:p>
        </w:tc>
        <w:tc>
          <w:tcPr>
            <w:tcW w:w="426"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6"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425" w:type="dxa"/>
            <w:tcBorders>
              <w:bottom w:val="single" w:sz="4" w:space="0" w:color="auto"/>
            </w:tcBorders>
          </w:tcPr>
          <w:p w:rsidR="00B43C57" w:rsidRPr="00F5723F" w:rsidRDefault="00B43C57">
            <w:pPr>
              <w:pStyle w:val="Tabelltextsiffror"/>
            </w:pPr>
          </w:p>
        </w:tc>
        <w:tc>
          <w:tcPr>
            <w:tcW w:w="159" w:type="dxa"/>
            <w:tcBorders>
              <w:bottom w:val="single" w:sz="4" w:space="0" w:color="auto"/>
            </w:tcBorders>
          </w:tcPr>
          <w:p w:rsidR="00B43C57" w:rsidRPr="00F5723F" w:rsidRDefault="00B43C57">
            <w:pPr>
              <w:pStyle w:val="Tabelltextsiffror"/>
            </w:pPr>
          </w:p>
        </w:tc>
        <w:tc>
          <w:tcPr>
            <w:tcW w:w="624" w:type="dxa"/>
            <w:tcBorders>
              <w:bottom w:val="single" w:sz="4" w:space="0" w:color="auto"/>
            </w:tcBorders>
          </w:tcPr>
          <w:p w:rsidR="00B43C57" w:rsidRPr="00F5723F" w:rsidRDefault="00B43C57">
            <w:pPr>
              <w:pStyle w:val="Tabelltextsiffror"/>
            </w:pPr>
          </w:p>
        </w:tc>
      </w:tr>
    </w:tbl>
    <w:p w:rsidR="00B43C57" w:rsidRPr="00F5723F" w:rsidRDefault="00B43C57"/>
    <w:p w:rsidR="00B43C57" w:rsidRPr="00F5723F" w:rsidRDefault="00B43C57">
      <w:r w:rsidRPr="00F5723F">
        <w:t>Ledamöter tycks fästa stor vikt vid deltagandet i det regionala och lokala partiarbetet. Högst är deltagandet i regionala möten och sammanträden. Hela 70 procent av led</w:t>
      </w:r>
      <w:r w:rsidRPr="00F5723F">
        <w:t>a</w:t>
      </w:r>
      <w:r w:rsidRPr="00F5723F">
        <w:t>möterna deltar regelmässigt i sammanträden och möten med valkretsorganisationen och den regionala partiorganisationen. Något lägre är deltagandet i det lokala partia</w:t>
      </w:r>
      <w:r w:rsidRPr="00F5723F">
        <w:t>r</w:t>
      </w:r>
      <w:r w:rsidRPr="00F5723F">
        <w:t>betet på hemorten. Av ledamöterna är det 62 procent som regelmässigt deltar i sa</w:t>
      </w:r>
      <w:r w:rsidRPr="00F5723F">
        <w:t>m</w:t>
      </w:r>
      <w:r w:rsidRPr="00F5723F">
        <w:t>manträden och m</w:t>
      </w:r>
      <w:r w:rsidRPr="00F5723F">
        <w:t>ö</w:t>
      </w:r>
      <w:r w:rsidRPr="00F5723F">
        <w:t>ten på denna nivå i partiet. Majoriteten av ledamöterna anser att detta deltagande är lagom, men ett betydande antal önskar att det egna deltagandet kunde vara högre. Mer begränsat deltar ledamöter i möten och sammanträden i andra lokala partiorgan</w:t>
      </w:r>
      <w:r w:rsidRPr="00F5723F">
        <w:t>isationer än de på hemorten. Huvuddelen angav att de deltar ibland, och hela 60 procent ansåg sitt deltagande fullt rimligt. Omkring 40 procent av de svarande önskar öka sitt deltagande. Det högsta deltagandet, på samtliga nivåer, ra</w:t>
      </w:r>
      <w:r w:rsidRPr="00F5723F">
        <w:t>p</w:t>
      </w:r>
      <w:r w:rsidRPr="00F5723F">
        <w:t>porteras för Centerp</w:t>
      </w:r>
      <w:bookmarkStart w:id="260" w:name="_Toc98075747"/>
      <w:r w:rsidRPr="00F5723F">
        <w:t xml:space="preserve">artiet och Socialdemokraterna. </w:t>
      </w:r>
    </w:p>
    <w:p w:rsidR="00B43C57" w:rsidRPr="00F5723F" w:rsidRDefault="00B43C57">
      <w:pPr>
        <w:pStyle w:val="Rubrik2"/>
      </w:pPr>
      <w:bookmarkStart w:id="261" w:name="_Toc121738977"/>
      <w:bookmarkStart w:id="262" w:name="_Toc124697860"/>
      <w:r w:rsidRPr="00F5723F">
        <w:t>Ledamöternas uppfattningar om arbetssituationen</w:t>
      </w:r>
      <w:bookmarkEnd w:id="260"/>
      <w:bookmarkEnd w:id="261"/>
      <w:bookmarkEnd w:id="262"/>
    </w:p>
    <w:p w:rsidR="00B43C57" w:rsidRPr="00F5723F" w:rsidRDefault="00B43C57">
      <w:r w:rsidRPr="00F5723F">
        <w:t>Den genomförda dagboksstudien visar, tillsammans med tidigare undersö</w:t>
      </w:r>
      <w:r w:rsidRPr="00F5723F">
        <w:t>k</w:t>
      </w:r>
      <w:r w:rsidRPr="00F5723F">
        <w:t>ningar, hur ledamöternas arbetssituation ser ut och har förändrats över tid. Den säger dock inge</w:t>
      </w:r>
      <w:r w:rsidRPr="00F5723F">
        <w:t>n</w:t>
      </w:r>
      <w:r w:rsidRPr="00F5723F">
        <w:t xml:space="preserve">ting om hur ledamöterna </w:t>
      </w:r>
      <w:r w:rsidRPr="00F5723F">
        <w:rPr>
          <w:i/>
        </w:rPr>
        <w:t>upplever</w:t>
      </w:r>
      <w:r w:rsidRPr="00F5723F">
        <w:t xml:space="preserve"> sin arbetssituation. Tidigare undersökningar 1974 och 1985 lät ledamöterna med egna ord ange vilka arbetsuppgifter de skulle vilja ägna sig mer åt och vilka uppgifter de ansåg tog för mycket tid i anspråk. Ledamöterna fick också möjlighet att ge förslag till förändringar av riksdagsarbetet. Riksdagskommittén har 2004 låtit upprepa denna undersökning. </w:t>
      </w:r>
    </w:p>
    <w:p w:rsidR="00B43C57" w:rsidRPr="00F5723F" w:rsidRDefault="00B43C57">
      <w:pPr>
        <w:pStyle w:val="Normaltindrag"/>
      </w:pPr>
      <w:r w:rsidRPr="00F5723F">
        <w:t>Huvudresultaten från 1985 v</w:t>
      </w:r>
      <w:r w:rsidRPr="00F5723F">
        <w:t>isade att biträdeshjälp till ledamöterna stod främst bland ön</w:t>
      </w:r>
      <w:r w:rsidRPr="00F5723F">
        <w:t>s</w:t>
      </w:r>
      <w:r w:rsidRPr="00F5723F">
        <w:t>kemålen om förändringar.</w:t>
      </w:r>
      <w:r w:rsidRPr="00F5723F">
        <w:rPr>
          <w:rStyle w:val="Fotnotsreferens"/>
        </w:rPr>
        <w:footnoteReference w:id="127"/>
      </w:r>
      <w:r w:rsidRPr="00F5723F">
        <w:t xml:space="preserve"> Ledamöterna efterfrågade också förändringar i planeringen av riksdagsarbetet. Såväl en jämnare arbetssitu</w:t>
      </w:r>
      <w:r w:rsidRPr="00F5723F">
        <w:t>a</w:t>
      </w:r>
      <w:r w:rsidRPr="00F5723F">
        <w:t>tion under året som en bättre planering av enskilda riksdag</w:t>
      </w:r>
      <w:r w:rsidRPr="00F5723F">
        <w:t>s</w:t>
      </w:r>
      <w:r w:rsidRPr="00F5723F">
        <w:t>veckor med tidig information om eventuella arbetsplenum och voteringar stod högt på ledam</w:t>
      </w:r>
      <w:r w:rsidRPr="00F5723F">
        <w:t>ö</w:t>
      </w:r>
      <w:r w:rsidRPr="00F5723F">
        <w:t xml:space="preserve">ternas önskelista om förändringar. </w:t>
      </w:r>
    </w:p>
    <w:p w:rsidR="00B43C57" w:rsidRPr="00F5723F" w:rsidRDefault="00B43C57">
      <w:pPr>
        <w:pStyle w:val="Normaltindrag"/>
      </w:pPr>
      <w:r w:rsidRPr="00F5723F">
        <w:t>Ledamöterna har blivit bönhörda på olika sätt. Flera reformer av riksdag</w:t>
      </w:r>
      <w:r w:rsidRPr="00F5723F">
        <w:t>s</w:t>
      </w:r>
      <w:r w:rsidRPr="00F5723F">
        <w:t>arbetet, såsom till exempel genomförandet av en ny budgetprocess och en ökad uppmärksa</w:t>
      </w:r>
      <w:r w:rsidRPr="00F5723F">
        <w:t>m</w:t>
      </w:r>
      <w:r w:rsidRPr="00F5723F">
        <w:t>het på arbetet med uppföljning och utvärdering, har bland annat syftat till att åsta</w:t>
      </w:r>
      <w:r w:rsidRPr="00F5723F">
        <w:t>d</w:t>
      </w:r>
      <w:r w:rsidRPr="00F5723F">
        <w:t>komma en jämnare arbetssitu</w:t>
      </w:r>
      <w:r w:rsidRPr="00F5723F">
        <w:t>a</w:t>
      </w:r>
      <w:r w:rsidRPr="00F5723F">
        <w:t>tion under riksdagsåret. Dessutom har en omfattande utbyggnad av antalet pol</w:t>
      </w:r>
      <w:r w:rsidRPr="00F5723F">
        <w:t>i</w:t>
      </w:r>
      <w:r w:rsidRPr="00F5723F">
        <w:t>tiska sekreterare ägt rum sedan undersökningen genomfördes 1985. Riksdagens voterin</w:t>
      </w:r>
      <w:r w:rsidRPr="00F5723F">
        <w:t>g</w:t>
      </w:r>
      <w:r w:rsidRPr="00F5723F">
        <w:t xml:space="preserve">ar äger numera rum vid fasta tidpunkter och schemaläggs långt i förväg. </w:t>
      </w:r>
    </w:p>
    <w:p w:rsidR="00B43C57" w:rsidRPr="00F5723F" w:rsidRDefault="00B43C57">
      <w:pPr>
        <w:pStyle w:val="Rubrik3"/>
        <w:rPr>
          <w:noProof w:val="0"/>
        </w:rPr>
      </w:pPr>
      <w:bookmarkStart w:id="263" w:name="_Toc98075748"/>
      <w:bookmarkStart w:id="264" w:name="_Toc121738978"/>
      <w:bookmarkStart w:id="265" w:name="_Toc124697861"/>
      <w:r w:rsidRPr="00F5723F">
        <w:rPr>
          <w:noProof w:val="0"/>
        </w:rPr>
        <w:t>Trivseln i arbetet som riksdagsledamot</w:t>
      </w:r>
      <w:bookmarkEnd w:id="263"/>
      <w:bookmarkEnd w:id="264"/>
      <w:bookmarkEnd w:id="265"/>
    </w:p>
    <w:p w:rsidR="00B43C57" w:rsidRPr="00F5723F" w:rsidRDefault="00B43C57">
      <w:r w:rsidRPr="00F5723F">
        <w:t>Ett enkelt sätt att undersöka hur riksdagsledamöterna upplever sin arbetssitu</w:t>
      </w:r>
      <w:r w:rsidRPr="00F5723F">
        <w:t>a</w:t>
      </w:r>
      <w:r w:rsidRPr="00F5723F">
        <w:t>tion är att fråga om trivseln med uppdraget som ledamot. Med hjälp av unde</w:t>
      </w:r>
      <w:r w:rsidRPr="00F5723F">
        <w:t>r</w:t>
      </w:r>
      <w:r w:rsidRPr="00F5723F">
        <w:t>sökningar genomförda vid statsvetenskapliga institutionen vid Göteborgs universitet kan vi undersöka hur trivseln med arbetet som riksdagsl</w:t>
      </w:r>
      <w:r w:rsidRPr="00F5723F">
        <w:t>e</w:t>
      </w:r>
      <w:r w:rsidRPr="00F5723F">
        <w:t>damot har utvecklats över tid sedan 1985.</w:t>
      </w:r>
      <w:r w:rsidRPr="00F5723F">
        <w:rPr>
          <w:rStyle w:val="Fotnotsreferens"/>
          <w:rFonts w:ascii="Garamond" w:hAnsi="Garamond"/>
        </w:rPr>
        <w:footnoteReference w:id="128"/>
      </w:r>
      <w:r w:rsidRPr="00F5723F">
        <w:t xml:space="preserve"> Den frågefo</w:t>
      </w:r>
      <w:r w:rsidRPr="00F5723F">
        <w:t>r</w:t>
      </w:r>
      <w:r w:rsidRPr="00F5723F">
        <w:t>mulering som har utnyttjats har vid fem olika tillfällen – 1985, 1988, 1994, 1996 och 2002 – haft samma lydelse: ”Hur bra trivs Du personligen med arbetet som riksdagsledamot?” Svarsalternativen har varit ”mycket bra”, ”ganska bra”, ”ganska dåligt” och ”mycket dåligt”. Resultaten av undersökningarna present</w:t>
      </w:r>
      <w:r w:rsidRPr="00F5723F">
        <w:t>e</w:t>
      </w:r>
      <w:r w:rsidRPr="00F5723F">
        <w:t>ras i tabell 11.</w:t>
      </w:r>
    </w:p>
    <w:p w:rsidR="00B43C57" w:rsidRPr="00F5723F" w:rsidRDefault="00B43C57">
      <w:pPr>
        <w:pStyle w:val="Normaltindrag"/>
      </w:pPr>
    </w:p>
    <w:p w:rsidR="00B43C57" w:rsidRPr="00F5723F" w:rsidRDefault="00B43C57">
      <w:pPr>
        <w:pStyle w:val="Tabellrubrik"/>
        <w:spacing w:before="125"/>
      </w:pPr>
      <w:r w:rsidRPr="00F5723F">
        <w:t>Tabell 11</w:t>
      </w:r>
      <w:r w:rsidRPr="00F5723F">
        <w:tab/>
        <w:t>Trivseln i arbetet som riksdagsledamot 1985–2002 (procent mycket bra)</w:t>
      </w:r>
    </w:p>
    <w:tbl>
      <w:tblPr>
        <w:tblW w:w="6663" w:type="dxa"/>
        <w:tblInd w:w="-38" w:type="dxa"/>
        <w:tblLayout w:type="fixed"/>
        <w:tblCellMar>
          <w:left w:w="70" w:type="dxa"/>
          <w:right w:w="70" w:type="dxa"/>
        </w:tblCellMar>
        <w:tblLook w:val="01E0" w:firstRow="1" w:lastRow="1" w:firstColumn="1" w:lastColumn="1" w:noHBand="0" w:noVBand="0"/>
      </w:tblPr>
      <w:tblGrid>
        <w:gridCol w:w="959"/>
        <w:gridCol w:w="669"/>
        <w:gridCol w:w="665"/>
        <w:gridCol w:w="760"/>
        <w:gridCol w:w="760"/>
        <w:gridCol w:w="760"/>
        <w:gridCol w:w="668"/>
        <w:gridCol w:w="757"/>
        <w:gridCol w:w="665"/>
      </w:tblGrid>
      <w:tr w:rsidR="00000000" w:rsidRPr="00F5723F">
        <w:tblPrEx>
          <w:tblCellMar>
            <w:top w:w="0" w:type="dxa"/>
            <w:bottom w:w="0" w:type="dxa"/>
          </w:tblCellMar>
        </w:tblPrEx>
        <w:tc>
          <w:tcPr>
            <w:tcW w:w="959" w:type="dxa"/>
            <w:tcBorders>
              <w:top w:val="single" w:sz="4" w:space="0" w:color="auto"/>
              <w:bottom w:val="single" w:sz="4" w:space="0" w:color="auto"/>
            </w:tcBorders>
          </w:tcPr>
          <w:p w:rsidR="00B43C57" w:rsidRPr="00F5723F" w:rsidRDefault="00B43C57">
            <w:pPr>
              <w:ind w:hanging="1"/>
              <w:rPr>
                <w:sz w:val="20"/>
              </w:rPr>
            </w:pPr>
          </w:p>
        </w:tc>
        <w:tc>
          <w:tcPr>
            <w:tcW w:w="669" w:type="dxa"/>
            <w:tcBorders>
              <w:top w:val="single" w:sz="4" w:space="0" w:color="auto"/>
              <w:bottom w:val="single" w:sz="4" w:space="0" w:color="auto"/>
            </w:tcBorders>
          </w:tcPr>
          <w:p w:rsidR="00B43C57" w:rsidRPr="00F5723F" w:rsidRDefault="00B43C57">
            <w:pPr>
              <w:pStyle w:val="Tabelltextsiffror"/>
              <w:jc w:val="center"/>
            </w:pPr>
            <w:r w:rsidRPr="00F5723F">
              <w:t>alla</w:t>
            </w:r>
          </w:p>
        </w:tc>
        <w:tc>
          <w:tcPr>
            <w:tcW w:w="665"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760"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760"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760"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668"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757"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665" w:type="dxa"/>
            <w:tcBorders>
              <w:top w:val="single" w:sz="4" w:space="0" w:color="auto"/>
              <w:bottom w:val="single" w:sz="4" w:space="0" w:color="auto"/>
            </w:tcBorders>
          </w:tcPr>
          <w:p w:rsidR="00B43C57" w:rsidRPr="00F5723F" w:rsidRDefault="00B43C57">
            <w:pPr>
              <w:pStyle w:val="Tabelltextsiffror"/>
              <w:jc w:val="center"/>
            </w:pPr>
            <w:r w:rsidRPr="00F5723F">
              <w:t>mp</w:t>
            </w:r>
          </w:p>
        </w:tc>
      </w:tr>
      <w:tr w:rsidR="00000000" w:rsidRPr="00F5723F">
        <w:tblPrEx>
          <w:tblCellMar>
            <w:top w:w="0" w:type="dxa"/>
            <w:bottom w:w="0" w:type="dxa"/>
          </w:tblCellMar>
        </w:tblPrEx>
        <w:tc>
          <w:tcPr>
            <w:tcW w:w="959" w:type="dxa"/>
          </w:tcPr>
          <w:p w:rsidR="00B43C57" w:rsidRPr="00F5723F" w:rsidRDefault="00B43C57">
            <w:pPr>
              <w:pStyle w:val="Tabelltext"/>
              <w:ind w:hanging="1"/>
            </w:pPr>
          </w:p>
        </w:tc>
        <w:tc>
          <w:tcPr>
            <w:tcW w:w="669" w:type="dxa"/>
          </w:tcPr>
          <w:p w:rsidR="00B43C57" w:rsidRPr="00F5723F" w:rsidRDefault="00B43C57">
            <w:pPr>
              <w:pStyle w:val="Tabelltextsiffror"/>
              <w:jc w:val="center"/>
            </w:pPr>
          </w:p>
        </w:tc>
        <w:tc>
          <w:tcPr>
            <w:tcW w:w="665" w:type="dxa"/>
          </w:tcPr>
          <w:p w:rsidR="00B43C57" w:rsidRPr="00F5723F" w:rsidRDefault="00B43C57">
            <w:pPr>
              <w:pStyle w:val="Tabelltextsiffror"/>
              <w:jc w:val="center"/>
            </w:pPr>
          </w:p>
        </w:tc>
        <w:tc>
          <w:tcPr>
            <w:tcW w:w="760" w:type="dxa"/>
          </w:tcPr>
          <w:p w:rsidR="00B43C57" w:rsidRPr="00F5723F" w:rsidRDefault="00B43C57">
            <w:pPr>
              <w:pStyle w:val="Tabelltextsiffror"/>
              <w:jc w:val="center"/>
            </w:pPr>
          </w:p>
        </w:tc>
        <w:tc>
          <w:tcPr>
            <w:tcW w:w="760" w:type="dxa"/>
          </w:tcPr>
          <w:p w:rsidR="00B43C57" w:rsidRPr="00F5723F" w:rsidRDefault="00B43C57">
            <w:pPr>
              <w:pStyle w:val="Tabelltextsiffror"/>
              <w:jc w:val="center"/>
            </w:pPr>
          </w:p>
        </w:tc>
        <w:tc>
          <w:tcPr>
            <w:tcW w:w="760" w:type="dxa"/>
          </w:tcPr>
          <w:p w:rsidR="00B43C57" w:rsidRPr="00F5723F" w:rsidRDefault="00B43C57">
            <w:pPr>
              <w:pStyle w:val="Tabelltextsiffror"/>
              <w:jc w:val="center"/>
            </w:pPr>
          </w:p>
        </w:tc>
        <w:tc>
          <w:tcPr>
            <w:tcW w:w="668" w:type="dxa"/>
          </w:tcPr>
          <w:p w:rsidR="00B43C57" w:rsidRPr="00F5723F" w:rsidRDefault="00B43C57">
            <w:pPr>
              <w:pStyle w:val="Tabelltextsiffror"/>
              <w:jc w:val="center"/>
            </w:pPr>
          </w:p>
        </w:tc>
        <w:tc>
          <w:tcPr>
            <w:tcW w:w="757" w:type="dxa"/>
          </w:tcPr>
          <w:p w:rsidR="00B43C57" w:rsidRPr="00F5723F" w:rsidRDefault="00B43C57">
            <w:pPr>
              <w:pStyle w:val="Tabelltextsiffror"/>
              <w:jc w:val="center"/>
            </w:pPr>
          </w:p>
        </w:tc>
        <w:tc>
          <w:tcPr>
            <w:tcW w:w="665" w:type="dxa"/>
          </w:tcPr>
          <w:p w:rsidR="00B43C57" w:rsidRPr="00F5723F" w:rsidRDefault="00B43C57">
            <w:pPr>
              <w:pStyle w:val="Tabelltextsiffror"/>
              <w:jc w:val="center"/>
            </w:pPr>
          </w:p>
        </w:tc>
      </w:tr>
      <w:tr w:rsidR="00000000" w:rsidRPr="00F5723F">
        <w:tblPrEx>
          <w:tblCellMar>
            <w:top w:w="0" w:type="dxa"/>
            <w:bottom w:w="0" w:type="dxa"/>
          </w:tblCellMar>
        </w:tblPrEx>
        <w:tc>
          <w:tcPr>
            <w:tcW w:w="959" w:type="dxa"/>
          </w:tcPr>
          <w:p w:rsidR="00B43C57" w:rsidRPr="00F5723F" w:rsidRDefault="00B43C57">
            <w:pPr>
              <w:pStyle w:val="Tabelltext"/>
              <w:ind w:hanging="1"/>
            </w:pPr>
            <w:r w:rsidRPr="00F5723F">
              <w:t>1985</w:t>
            </w:r>
          </w:p>
        </w:tc>
        <w:tc>
          <w:tcPr>
            <w:tcW w:w="669" w:type="dxa"/>
          </w:tcPr>
          <w:p w:rsidR="00B43C57" w:rsidRPr="00F5723F" w:rsidRDefault="00B43C57">
            <w:pPr>
              <w:pStyle w:val="Tabelltextsiffror"/>
              <w:jc w:val="center"/>
            </w:pPr>
            <w:r w:rsidRPr="00F5723F">
              <w:t>47</w:t>
            </w:r>
          </w:p>
        </w:tc>
        <w:tc>
          <w:tcPr>
            <w:tcW w:w="665" w:type="dxa"/>
          </w:tcPr>
          <w:p w:rsidR="00B43C57" w:rsidRPr="00F5723F" w:rsidRDefault="00B43C57">
            <w:pPr>
              <w:pStyle w:val="Tabelltextsiffror"/>
              <w:jc w:val="center"/>
            </w:pPr>
            <w:r w:rsidRPr="00F5723F">
              <w:t>10</w:t>
            </w:r>
          </w:p>
        </w:tc>
        <w:tc>
          <w:tcPr>
            <w:tcW w:w="760" w:type="dxa"/>
          </w:tcPr>
          <w:p w:rsidR="00B43C57" w:rsidRPr="00F5723F" w:rsidRDefault="00B43C57">
            <w:pPr>
              <w:pStyle w:val="Tabelltextsiffror"/>
              <w:jc w:val="center"/>
            </w:pPr>
            <w:r w:rsidRPr="00F5723F">
              <w:t>45</w:t>
            </w:r>
          </w:p>
        </w:tc>
        <w:tc>
          <w:tcPr>
            <w:tcW w:w="760" w:type="dxa"/>
          </w:tcPr>
          <w:p w:rsidR="00B43C57" w:rsidRPr="00F5723F" w:rsidRDefault="00B43C57">
            <w:pPr>
              <w:pStyle w:val="Tabelltextsiffror"/>
              <w:jc w:val="center"/>
            </w:pPr>
            <w:r w:rsidRPr="00F5723F">
              <w:t>54</w:t>
            </w:r>
          </w:p>
        </w:tc>
        <w:tc>
          <w:tcPr>
            <w:tcW w:w="760" w:type="dxa"/>
          </w:tcPr>
          <w:p w:rsidR="00B43C57" w:rsidRPr="00F5723F" w:rsidRDefault="00B43C57">
            <w:pPr>
              <w:pStyle w:val="Tabelltextsiffror"/>
              <w:jc w:val="center"/>
            </w:pPr>
            <w:r w:rsidRPr="00F5723F">
              <w:t>44</w:t>
            </w:r>
          </w:p>
        </w:tc>
        <w:tc>
          <w:tcPr>
            <w:tcW w:w="668" w:type="dxa"/>
          </w:tcPr>
          <w:p w:rsidR="00B43C57" w:rsidRPr="00F5723F" w:rsidRDefault="00B43C57">
            <w:pPr>
              <w:pStyle w:val="Tabelltextsiffror"/>
              <w:jc w:val="center"/>
            </w:pPr>
            <w:r w:rsidRPr="00F5723F">
              <w:t>61</w:t>
            </w:r>
          </w:p>
        </w:tc>
        <w:tc>
          <w:tcPr>
            <w:tcW w:w="757" w:type="dxa"/>
          </w:tcPr>
          <w:p w:rsidR="00B43C57" w:rsidRPr="00F5723F" w:rsidRDefault="00B43C57">
            <w:pPr>
              <w:pStyle w:val="Tabelltextsiffror"/>
              <w:jc w:val="center"/>
            </w:pPr>
            <w:r w:rsidRPr="00F5723F">
              <w:t>---</w:t>
            </w:r>
          </w:p>
        </w:tc>
        <w:tc>
          <w:tcPr>
            <w:tcW w:w="665" w:type="dxa"/>
          </w:tcPr>
          <w:p w:rsidR="00B43C57" w:rsidRPr="00F5723F" w:rsidRDefault="00B43C57">
            <w:pPr>
              <w:pStyle w:val="Tabelltextsiffror"/>
              <w:jc w:val="center"/>
            </w:pPr>
            <w:r w:rsidRPr="00F5723F">
              <w:t>---</w:t>
            </w:r>
          </w:p>
        </w:tc>
      </w:tr>
      <w:tr w:rsidR="00000000" w:rsidRPr="00F5723F">
        <w:tblPrEx>
          <w:tblCellMar>
            <w:top w:w="0" w:type="dxa"/>
            <w:bottom w:w="0" w:type="dxa"/>
          </w:tblCellMar>
        </w:tblPrEx>
        <w:tc>
          <w:tcPr>
            <w:tcW w:w="959" w:type="dxa"/>
          </w:tcPr>
          <w:p w:rsidR="00B43C57" w:rsidRPr="00F5723F" w:rsidRDefault="00B43C57">
            <w:pPr>
              <w:pStyle w:val="Tabelltext"/>
              <w:ind w:hanging="1"/>
            </w:pPr>
            <w:r w:rsidRPr="00F5723F">
              <w:t>1988</w:t>
            </w:r>
          </w:p>
        </w:tc>
        <w:tc>
          <w:tcPr>
            <w:tcW w:w="669" w:type="dxa"/>
          </w:tcPr>
          <w:p w:rsidR="00B43C57" w:rsidRPr="00F5723F" w:rsidRDefault="00B43C57">
            <w:pPr>
              <w:pStyle w:val="Tabelltextsiffror"/>
              <w:jc w:val="center"/>
            </w:pPr>
            <w:r w:rsidRPr="00F5723F">
              <w:t>43</w:t>
            </w:r>
          </w:p>
        </w:tc>
        <w:tc>
          <w:tcPr>
            <w:tcW w:w="665" w:type="dxa"/>
          </w:tcPr>
          <w:p w:rsidR="00B43C57" w:rsidRPr="00F5723F" w:rsidRDefault="00B43C57">
            <w:pPr>
              <w:pStyle w:val="Tabelltextsiffror"/>
              <w:jc w:val="center"/>
            </w:pPr>
            <w:r w:rsidRPr="00F5723F">
              <w:t>33</w:t>
            </w:r>
          </w:p>
        </w:tc>
        <w:tc>
          <w:tcPr>
            <w:tcW w:w="760" w:type="dxa"/>
          </w:tcPr>
          <w:p w:rsidR="00B43C57" w:rsidRPr="00F5723F" w:rsidRDefault="00B43C57">
            <w:pPr>
              <w:pStyle w:val="Tabelltextsiffror"/>
              <w:jc w:val="center"/>
            </w:pPr>
            <w:r w:rsidRPr="00F5723F">
              <w:t>40</w:t>
            </w:r>
          </w:p>
        </w:tc>
        <w:tc>
          <w:tcPr>
            <w:tcW w:w="760" w:type="dxa"/>
          </w:tcPr>
          <w:p w:rsidR="00B43C57" w:rsidRPr="00F5723F" w:rsidRDefault="00B43C57">
            <w:pPr>
              <w:pStyle w:val="Tabelltextsiffror"/>
              <w:jc w:val="center"/>
            </w:pPr>
            <w:r w:rsidRPr="00F5723F">
              <w:t>58</w:t>
            </w:r>
          </w:p>
        </w:tc>
        <w:tc>
          <w:tcPr>
            <w:tcW w:w="760" w:type="dxa"/>
          </w:tcPr>
          <w:p w:rsidR="00B43C57" w:rsidRPr="00F5723F" w:rsidRDefault="00B43C57">
            <w:pPr>
              <w:pStyle w:val="Tabelltextsiffror"/>
              <w:jc w:val="center"/>
            </w:pPr>
            <w:r w:rsidRPr="00F5723F">
              <w:t>44</w:t>
            </w:r>
          </w:p>
        </w:tc>
        <w:tc>
          <w:tcPr>
            <w:tcW w:w="668" w:type="dxa"/>
          </w:tcPr>
          <w:p w:rsidR="00B43C57" w:rsidRPr="00F5723F" w:rsidRDefault="00B43C57">
            <w:pPr>
              <w:pStyle w:val="Tabelltextsiffror"/>
              <w:jc w:val="center"/>
            </w:pPr>
            <w:r w:rsidRPr="00F5723F">
              <w:t>41</w:t>
            </w:r>
          </w:p>
        </w:tc>
        <w:tc>
          <w:tcPr>
            <w:tcW w:w="757" w:type="dxa"/>
          </w:tcPr>
          <w:p w:rsidR="00B43C57" w:rsidRPr="00F5723F" w:rsidRDefault="00B43C57">
            <w:pPr>
              <w:pStyle w:val="Tabelltextsiffror"/>
              <w:jc w:val="center"/>
            </w:pPr>
            <w:r w:rsidRPr="00F5723F">
              <w:t>---</w:t>
            </w:r>
          </w:p>
        </w:tc>
        <w:tc>
          <w:tcPr>
            <w:tcW w:w="665" w:type="dxa"/>
          </w:tcPr>
          <w:p w:rsidR="00B43C57" w:rsidRPr="00F5723F" w:rsidRDefault="00B43C57">
            <w:pPr>
              <w:pStyle w:val="Tabelltextsiffror"/>
              <w:jc w:val="center"/>
            </w:pPr>
            <w:r w:rsidRPr="00F5723F">
              <w:t>42</w:t>
            </w:r>
          </w:p>
        </w:tc>
      </w:tr>
      <w:tr w:rsidR="00000000" w:rsidRPr="00F5723F">
        <w:tblPrEx>
          <w:tblCellMar>
            <w:top w:w="0" w:type="dxa"/>
            <w:bottom w:w="0" w:type="dxa"/>
          </w:tblCellMar>
        </w:tblPrEx>
        <w:tc>
          <w:tcPr>
            <w:tcW w:w="959" w:type="dxa"/>
          </w:tcPr>
          <w:p w:rsidR="00B43C57" w:rsidRPr="00F5723F" w:rsidRDefault="00B43C57">
            <w:pPr>
              <w:pStyle w:val="Tabelltext"/>
              <w:ind w:hanging="1"/>
            </w:pPr>
            <w:r w:rsidRPr="00F5723F">
              <w:t>1994</w:t>
            </w:r>
          </w:p>
        </w:tc>
        <w:tc>
          <w:tcPr>
            <w:tcW w:w="669" w:type="dxa"/>
          </w:tcPr>
          <w:p w:rsidR="00B43C57" w:rsidRPr="00F5723F" w:rsidRDefault="00B43C57">
            <w:pPr>
              <w:pStyle w:val="Tabelltextsiffror"/>
              <w:jc w:val="center"/>
            </w:pPr>
            <w:r w:rsidRPr="00F5723F">
              <w:t>51</w:t>
            </w:r>
          </w:p>
        </w:tc>
        <w:tc>
          <w:tcPr>
            <w:tcW w:w="665" w:type="dxa"/>
          </w:tcPr>
          <w:p w:rsidR="00B43C57" w:rsidRPr="00F5723F" w:rsidRDefault="00B43C57">
            <w:pPr>
              <w:pStyle w:val="Tabelltextsiffror"/>
              <w:jc w:val="center"/>
            </w:pPr>
            <w:r w:rsidRPr="00F5723F">
              <w:t>19</w:t>
            </w:r>
          </w:p>
        </w:tc>
        <w:tc>
          <w:tcPr>
            <w:tcW w:w="760" w:type="dxa"/>
          </w:tcPr>
          <w:p w:rsidR="00B43C57" w:rsidRPr="00F5723F" w:rsidRDefault="00B43C57">
            <w:pPr>
              <w:pStyle w:val="Tabelltextsiffror"/>
              <w:jc w:val="center"/>
            </w:pPr>
            <w:r w:rsidRPr="00F5723F">
              <w:t>49</w:t>
            </w:r>
          </w:p>
        </w:tc>
        <w:tc>
          <w:tcPr>
            <w:tcW w:w="760" w:type="dxa"/>
          </w:tcPr>
          <w:p w:rsidR="00B43C57" w:rsidRPr="00F5723F" w:rsidRDefault="00B43C57">
            <w:pPr>
              <w:pStyle w:val="Tabelltextsiffror"/>
              <w:jc w:val="center"/>
            </w:pPr>
            <w:r w:rsidRPr="00F5723F">
              <w:t>67</w:t>
            </w:r>
          </w:p>
        </w:tc>
        <w:tc>
          <w:tcPr>
            <w:tcW w:w="760" w:type="dxa"/>
          </w:tcPr>
          <w:p w:rsidR="00B43C57" w:rsidRPr="00F5723F" w:rsidRDefault="00B43C57">
            <w:pPr>
              <w:pStyle w:val="Tabelltextsiffror"/>
              <w:jc w:val="center"/>
            </w:pPr>
            <w:r w:rsidRPr="00F5723F">
              <w:t>72</w:t>
            </w:r>
          </w:p>
        </w:tc>
        <w:tc>
          <w:tcPr>
            <w:tcW w:w="668" w:type="dxa"/>
          </w:tcPr>
          <w:p w:rsidR="00B43C57" w:rsidRPr="00F5723F" w:rsidRDefault="00B43C57">
            <w:pPr>
              <w:pStyle w:val="Tabelltextsiffror"/>
              <w:jc w:val="center"/>
            </w:pPr>
            <w:r w:rsidRPr="00F5723F">
              <w:t>53</w:t>
            </w:r>
          </w:p>
        </w:tc>
        <w:tc>
          <w:tcPr>
            <w:tcW w:w="757" w:type="dxa"/>
          </w:tcPr>
          <w:p w:rsidR="00B43C57" w:rsidRPr="00F5723F" w:rsidRDefault="00B43C57">
            <w:pPr>
              <w:pStyle w:val="Tabelltextsiffror"/>
              <w:jc w:val="center"/>
            </w:pPr>
            <w:r w:rsidRPr="00F5723F">
              <w:t>47</w:t>
            </w:r>
          </w:p>
        </w:tc>
        <w:tc>
          <w:tcPr>
            <w:tcW w:w="665" w:type="dxa"/>
          </w:tcPr>
          <w:p w:rsidR="00B43C57" w:rsidRPr="00F5723F" w:rsidRDefault="00B43C57">
            <w:pPr>
              <w:pStyle w:val="Tabelltextsiffror"/>
              <w:jc w:val="center"/>
            </w:pPr>
            <w:r w:rsidRPr="00F5723F">
              <w:t>44</w:t>
            </w:r>
          </w:p>
        </w:tc>
      </w:tr>
      <w:tr w:rsidR="00000000" w:rsidRPr="00F5723F">
        <w:tblPrEx>
          <w:tblCellMar>
            <w:top w:w="0" w:type="dxa"/>
            <w:bottom w:w="0" w:type="dxa"/>
          </w:tblCellMar>
        </w:tblPrEx>
        <w:tc>
          <w:tcPr>
            <w:tcW w:w="959" w:type="dxa"/>
          </w:tcPr>
          <w:p w:rsidR="00B43C57" w:rsidRPr="00F5723F" w:rsidRDefault="00B43C57">
            <w:pPr>
              <w:pStyle w:val="Tabelltext"/>
              <w:ind w:hanging="1"/>
            </w:pPr>
            <w:r w:rsidRPr="00F5723F">
              <w:t>1996</w:t>
            </w:r>
          </w:p>
        </w:tc>
        <w:tc>
          <w:tcPr>
            <w:tcW w:w="669" w:type="dxa"/>
          </w:tcPr>
          <w:p w:rsidR="00B43C57" w:rsidRPr="00F5723F" w:rsidRDefault="00B43C57">
            <w:pPr>
              <w:pStyle w:val="Tabelltextsiffror"/>
              <w:jc w:val="center"/>
            </w:pPr>
            <w:r w:rsidRPr="00F5723F">
              <w:t>51</w:t>
            </w:r>
          </w:p>
        </w:tc>
        <w:tc>
          <w:tcPr>
            <w:tcW w:w="665" w:type="dxa"/>
          </w:tcPr>
          <w:p w:rsidR="00B43C57" w:rsidRPr="00F5723F" w:rsidRDefault="00B43C57">
            <w:pPr>
              <w:pStyle w:val="Tabelltextsiffror"/>
              <w:jc w:val="center"/>
            </w:pPr>
            <w:r w:rsidRPr="00F5723F">
              <w:t>35</w:t>
            </w:r>
          </w:p>
        </w:tc>
        <w:tc>
          <w:tcPr>
            <w:tcW w:w="760" w:type="dxa"/>
          </w:tcPr>
          <w:p w:rsidR="00B43C57" w:rsidRPr="00F5723F" w:rsidRDefault="00B43C57">
            <w:pPr>
              <w:pStyle w:val="Tabelltextsiffror"/>
              <w:jc w:val="center"/>
            </w:pPr>
            <w:r w:rsidRPr="00F5723F">
              <w:t>50</w:t>
            </w:r>
          </w:p>
        </w:tc>
        <w:tc>
          <w:tcPr>
            <w:tcW w:w="760" w:type="dxa"/>
          </w:tcPr>
          <w:p w:rsidR="00B43C57" w:rsidRPr="00F5723F" w:rsidRDefault="00B43C57">
            <w:pPr>
              <w:pStyle w:val="Tabelltextsiffror"/>
              <w:jc w:val="center"/>
            </w:pPr>
            <w:r w:rsidRPr="00F5723F">
              <w:t>64</w:t>
            </w:r>
          </w:p>
        </w:tc>
        <w:tc>
          <w:tcPr>
            <w:tcW w:w="760" w:type="dxa"/>
          </w:tcPr>
          <w:p w:rsidR="00B43C57" w:rsidRPr="00F5723F" w:rsidRDefault="00B43C57">
            <w:pPr>
              <w:pStyle w:val="Tabelltextsiffror"/>
              <w:jc w:val="center"/>
            </w:pPr>
            <w:r w:rsidRPr="00F5723F">
              <w:t>56</w:t>
            </w:r>
          </w:p>
        </w:tc>
        <w:tc>
          <w:tcPr>
            <w:tcW w:w="668" w:type="dxa"/>
          </w:tcPr>
          <w:p w:rsidR="00B43C57" w:rsidRPr="00F5723F" w:rsidRDefault="00B43C57">
            <w:pPr>
              <w:pStyle w:val="Tabelltextsiffror"/>
              <w:jc w:val="center"/>
            </w:pPr>
            <w:r w:rsidRPr="00F5723F">
              <w:t>53</w:t>
            </w:r>
          </w:p>
        </w:tc>
        <w:tc>
          <w:tcPr>
            <w:tcW w:w="757" w:type="dxa"/>
          </w:tcPr>
          <w:p w:rsidR="00B43C57" w:rsidRPr="00F5723F" w:rsidRDefault="00B43C57">
            <w:pPr>
              <w:pStyle w:val="Tabelltextsiffror"/>
              <w:jc w:val="center"/>
            </w:pPr>
            <w:r w:rsidRPr="00F5723F">
              <w:t>43</w:t>
            </w:r>
          </w:p>
        </w:tc>
        <w:tc>
          <w:tcPr>
            <w:tcW w:w="665" w:type="dxa"/>
          </w:tcPr>
          <w:p w:rsidR="00B43C57" w:rsidRPr="00F5723F" w:rsidRDefault="00B43C57">
            <w:pPr>
              <w:pStyle w:val="Tabelltextsiffror"/>
              <w:jc w:val="center"/>
            </w:pPr>
            <w:r w:rsidRPr="00F5723F">
              <w:t>47</w:t>
            </w:r>
          </w:p>
        </w:tc>
      </w:tr>
      <w:tr w:rsidR="00000000" w:rsidRPr="00F5723F">
        <w:tblPrEx>
          <w:tblCellMar>
            <w:top w:w="0" w:type="dxa"/>
            <w:bottom w:w="0" w:type="dxa"/>
          </w:tblCellMar>
        </w:tblPrEx>
        <w:tc>
          <w:tcPr>
            <w:tcW w:w="959" w:type="dxa"/>
          </w:tcPr>
          <w:p w:rsidR="00B43C57" w:rsidRPr="00F5723F" w:rsidRDefault="00B43C57">
            <w:pPr>
              <w:pStyle w:val="Tabelltext"/>
              <w:ind w:hanging="1"/>
            </w:pPr>
            <w:r w:rsidRPr="00F5723F">
              <w:t>2002</w:t>
            </w:r>
          </w:p>
        </w:tc>
        <w:tc>
          <w:tcPr>
            <w:tcW w:w="669" w:type="dxa"/>
          </w:tcPr>
          <w:p w:rsidR="00B43C57" w:rsidRPr="00F5723F" w:rsidRDefault="00B43C57">
            <w:pPr>
              <w:pStyle w:val="Tabelltextsiffror"/>
              <w:jc w:val="center"/>
            </w:pPr>
            <w:r w:rsidRPr="00F5723F">
              <w:t>56</w:t>
            </w:r>
          </w:p>
        </w:tc>
        <w:tc>
          <w:tcPr>
            <w:tcW w:w="665" w:type="dxa"/>
          </w:tcPr>
          <w:p w:rsidR="00B43C57" w:rsidRPr="00F5723F" w:rsidRDefault="00B43C57">
            <w:pPr>
              <w:pStyle w:val="Tabelltextsiffror"/>
              <w:jc w:val="center"/>
            </w:pPr>
            <w:r w:rsidRPr="00F5723F">
              <w:t>46</w:t>
            </w:r>
          </w:p>
        </w:tc>
        <w:tc>
          <w:tcPr>
            <w:tcW w:w="760" w:type="dxa"/>
          </w:tcPr>
          <w:p w:rsidR="00B43C57" w:rsidRPr="00F5723F" w:rsidRDefault="00B43C57">
            <w:pPr>
              <w:pStyle w:val="Tabelltextsiffror"/>
              <w:jc w:val="center"/>
            </w:pPr>
            <w:r w:rsidRPr="00F5723F">
              <w:t>54</w:t>
            </w:r>
          </w:p>
        </w:tc>
        <w:tc>
          <w:tcPr>
            <w:tcW w:w="760" w:type="dxa"/>
          </w:tcPr>
          <w:p w:rsidR="00B43C57" w:rsidRPr="00F5723F" w:rsidRDefault="00B43C57">
            <w:pPr>
              <w:pStyle w:val="Tabelltextsiffror"/>
              <w:jc w:val="center"/>
            </w:pPr>
            <w:r w:rsidRPr="00F5723F">
              <w:t>71</w:t>
            </w:r>
          </w:p>
        </w:tc>
        <w:tc>
          <w:tcPr>
            <w:tcW w:w="760" w:type="dxa"/>
          </w:tcPr>
          <w:p w:rsidR="00B43C57" w:rsidRPr="00F5723F" w:rsidRDefault="00B43C57">
            <w:pPr>
              <w:pStyle w:val="Tabelltextsiffror"/>
              <w:jc w:val="center"/>
            </w:pPr>
            <w:r w:rsidRPr="00F5723F">
              <w:t>61</w:t>
            </w:r>
          </w:p>
        </w:tc>
        <w:tc>
          <w:tcPr>
            <w:tcW w:w="668" w:type="dxa"/>
          </w:tcPr>
          <w:p w:rsidR="00B43C57" w:rsidRPr="00F5723F" w:rsidRDefault="00B43C57">
            <w:pPr>
              <w:pStyle w:val="Tabelltextsiffror"/>
              <w:jc w:val="center"/>
            </w:pPr>
            <w:r w:rsidRPr="00F5723F">
              <w:t>53</w:t>
            </w:r>
          </w:p>
        </w:tc>
        <w:tc>
          <w:tcPr>
            <w:tcW w:w="757" w:type="dxa"/>
          </w:tcPr>
          <w:p w:rsidR="00B43C57" w:rsidRPr="00F5723F" w:rsidRDefault="00B43C57">
            <w:pPr>
              <w:pStyle w:val="Tabelltextsiffror"/>
              <w:jc w:val="center"/>
            </w:pPr>
            <w:r w:rsidRPr="00F5723F">
              <w:t>67</w:t>
            </w:r>
          </w:p>
        </w:tc>
        <w:tc>
          <w:tcPr>
            <w:tcW w:w="665" w:type="dxa"/>
          </w:tcPr>
          <w:p w:rsidR="00B43C57" w:rsidRPr="00F5723F" w:rsidRDefault="00B43C57">
            <w:pPr>
              <w:pStyle w:val="Tabelltextsiffror"/>
              <w:jc w:val="center"/>
            </w:pPr>
            <w:r w:rsidRPr="00F5723F">
              <w:t>42</w:t>
            </w:r>
          </w:p>
        </w:tc>
      </w:tr>
      <w:tr w:rsidR="00000000" w:rsidRPr="00F5723F">
        <w:tblPrEx>
          <w:tblCellMar>
            <w:top w:w="0" w:type="dxa"/>
            <w:bottom w:w="0" w:type="dxa"/>
          </w:tblCellMar>
        </w:tblPrEx>
        <w:tc>
          <w:tcPr>
            <w:tcW w:w="959" w:type="dxa"/>
            <w:tcBorders>
              <w:bottom w:val="single" w:sz="4" w:space="0" w:color="auto"/>
            </w:tcBorders>
          </w:tcPr>
          <w:p w:rsidR="00B43C57" w:rsidRPr="00F5723F" w:rsidRDefault="00B43C57">
            <w:pPr>
              <w:pStyle w:val="Tabelltext"/>
              <w:ind w:hanging="1"/>
            </w:pPr>
          </w:p>
        </w:tc>
        <w:tc>
          <w:tcPr>
            <w:tcW w:w="669" w:type="dxa"/>
            <w:tcBorders>
              <w:bottom w:val="single" w:sz="4" w:space="0" w:color="auto"/>
            </w:tcBorders>
            <w:vAlign w:val="bottom"/>
          </w:tcPr>
          <w:p w:rsidR="00B43C57" w:rsidRPr="00F5723F" w:rsidRDefault="00B43C57">
            <w:pPr>
              <w:pStyle w:val="Tabelltextsiffror"/>
              <w:jc w:val="center"/>
            </w:pPr>
          </w:p>
        </w:tc>
        <w:tc>
          <w:tcPr>
            <w:tcW w:w="665" w:type="dxa"/>
            <w:tcBorders>
              <w:bottom w:val="single" w:sz="4" w:space="0" w:color="auto"/>
            </w:tcBorders>
            <w:vAlign w:val="bottom"/>
          </w:tcPr>
          <w:p w:rsidR="00B43C57" w:rsidRPr="00F5723F" w:rsidRDefault="00B43C57">
            <w:pPr>
              <w:pStyle w:val="Tabelltextsiffror"/>
              <w:jc w:val="center"/>
            </w:pPr>
          </w:p>
        </w:tc>
        <w:tc>
          <w:tcPr>
            <w:tcW w:w="760" w:type="dxa"/>
            <w:tcBorders>
              <w:bottom w:val="single" w:sz="4" w:space="0" w:color="auto"/>
            </w:tcBorders>
            <w:vAlign w:val="bottom"/>
          </w:tcPr>
          <w:p w:rsidR="00B43C57" w:rsidRPr="00F5723F" w:rsidRDefault="00B43C57">
            <w:pPr>
              <w:pStyle w:val="Tabelltextsiffror"/>
              <w:jc w:val="center"/>
            </w:pPr>
          </w:p>
        </w:tc>
        <w:tc>
          <w:tcPr>
            <w:tcW w:w="760" w:type="dxa"/>
            <w:tcBorders>
              <w:bottom w:val="single" w:sz="4" w:space="0" w:color="auto"/>
            </w:tcBorders>
            <w:vAlign w:val="bottom"/>
          </w:tcPr>
          <w:p w:rsidR="00B43C57" w:rsidRPr="00F5723F" w:rsidRDefault="00B43C57">
            <w:pPr>
              <w:pStyle w:val="Tabelltextsiffror"/>
              <w:jc w:val="center"/>
            </w:pPr>
          </w:p>
        </w:tc>
        <w:tc>
          <w:tcPr>
            <w:tcW w:w="760" w:type="dxa"/>
            <w:tcBorders>
              <w:bottom w:val="single" w:sz="4" w:space="0" w:color="auto"/>
            </w:tcBorders>
            <w:vAlign w:val="bottom"/>
          </w:tcPr>
          <w:p w:rsidR="00B43C57" w:rsidRPr="00F5723F" w:rsidRDefault="00B43C57">
            <w:pPr>
              <w:pStyle w:val="Tabelltextsiffror"/>
              <w:jc w:val="center"/>
            </w:pPr>
          </w:p>
        </w:tc>
        <w:tc>
          <w:tcPr>
            <w:tcW w:w="668" w:type="dxa"/>
            <w:tcBorders>
              <w:bottom w:val="single" w:sz="4" w:space="0" w:color="auto"/>
            </w:tcBorders>
            <w:vAlign w:val="bottom"/>
          </w:tcPr>
          <w:p w:rsidR="00B43C57" w:rsidRPr="00F5723F" w:rsidRDefault="00B43C57">
            <w:pPr>
              <w:pStyle w:val="Tabelltextsiffror"/>
              <w:jc w:val="center"/>
            </w:pPr>
          </w:p>
        </w:tc>
        <w:tc>
          <w:tcPr>
            <w:tcW w:w="757" w:type="dxa"/>
            <w:tcBorders>
              <w:bottom w:val="single" w:sz="4" w:space="0" w:color="auto"/>
            </w:tcBorders>
          </w:tcPr>
          <w:p w:rsidR="00B43C57" w:rsidRPr="00F5723F" w:rsidRDefault="00B43C57">
            <w:pPr>
              <w:pStyle w:val="Tabelltextsiffror"/>
              <w:jc w:val="center"/>
            </w:pPr>
          </w:p>
        </w:tc>
        <w:tc>
          <w:tcPr>
            <w:tcW w:w="665" w:type="dxa"/>
            <w:tcBorders>
              <w:bottom w:val="single" w:sz="4" w:space="0" w:color="auto"/>
            </w:tcBorders>
          </w:tcPr>
          <w:p w:rsidR="00B43C57" w:rsidRPr="00F5723F" w:rsidRDefault="00B43C57">
            <w:pPr>
              <w:pStyle w:val="Tabelltextsiffror"/>
              <w:jc w:val="center"/>
            </w:pPr>
          </w:p>
        </w:tc>
      </w:tr>
      <w:tr w:rsidR="00000000" w:rsidRPr="00F5723F">
        <w:tblPrEx>
          <w:tblCellMar>
            <w:top w:w="0" w:type="dxa"/>
            <w:bottom w:w="0" w:type="dxa"/>
          </w:tblCellMar>
        </w:tblPrEx>
        <w:tc>
          <w:tcPr>
            <w:tcW w:w="959" w:type="dxa"/>
            <w:tcBorders>
              <w:top w:val="single" w:sz="4" w:space="0" w:color="auto"/>
              <w:bottom w:val="single" w:sz="4" w:space="0" w:color="auto"/>
            </w:tcBorders>
          </w:tcPr>
          <w:p w:rsidR="00B43C57" w:rsidRPr="00F5723F" w:rsidRDefault="00B43C57">
            <w:pPr>
              <w:pStyle w:val="Tabelltext"/>
              <w:ind w:hanging="1"/>
            </w:pPr>
            <w:r w:rsidRPr="00F5723F">
              <w:t xml:space="preserve">Förändring </w:t>
            </w:r>
          </w:p>
          <w:p w:rsidR="00B43C57" w:rsidRPr="00F5723F" w:rsidRDefault="00B43C57">
            <w:pPr>
              <w:pStyle w:val="Tabelltext"/>
              <w:ind w:hanging="1"/>
            </w:pPr>
            <w:r w:rsidRPr="00F5723F">
              <w:t>1985–2002</w:t>
            </w:r>
          </w:p>
        </w:tc>
        <w:tc>
          <w:tcPr>
            <w:tcW w:w="669" w:type="dxa"/>
            <w:tcBorders>
              <w:top w:val="single" w:sz="4" w:space="0" w:color="auto"/>
              <w:bottom w:val="single" w:sz="4" w:space="0" w:color="auto"/>
            </w:tcBorders>
            <w:vAlign w:val="bottom"/>
          </w:tcPr>
          <w:p w:rsidR="00B43C57" w:rsidRPr="00F5723F" w:rsidRDefault="00B43C57">
            <w:pPr>
              <w:pStyle w:val="Tabelltextsiffror"/>
              <w:jc w:val="center"/>
            </w:pPr>
            <w:r w:rsidRPr="00F5723F">
              <w:t>+9</w:t>
            </w:r>
          </w:p>
        </w:tc>
        <w:tc>
          <w:tcPr>
            <w:tcW w:w="665" w:type="dxa"/>
            <w:tcBorders>
              <w:top w:val="single" w:sz="4" w:space="0" w:color="auto"/>
              <w:bottom w:val="single" w:sz="4" w:space="0" w:color="auto"/>
            </w:tcBorders>
            <w:vAlign w:val="bottom"/>
          </w:tcPr>
          <w:p w:rsidR="00B43C57" w:rsidRPr="00F5723F" w:rsidRDefault="00B43C57">
            <w:pPr>
              <w:pStyle w:val="Tabelltextsiffror"/>
              <w:jc w:val="center"/>
            </w:pPr>
            <w:r w:rsidRPr="00F5723F">
              <w:t>+36</w:t>
            </w:r>
          </w:p>
        </w:tc>
        <w:tc>
          <w:tcPr>
            <w:tcW w:w="760" w:type="dxa"/>
            <w:tcBorders>
              <w:top w:val="single" w:sz="4" w:space="0" w:color="auto"/>
              <w:bottom w:val="single" w:sz="4" w:space="0" w:color="auto"/>
            </w:tcBorders>
            <w:vAlign w:val="bottom"/>
          </w:tcPr>
          <w:p w:rsidR="00B43C57" w:rsidRPr="00F5723F" w:rsidRDefault="00B43C57">
            <w:pPr>
              <w:pStyle w:val="Tabelltextsiffror"/>
              <w:jc w:val="center"/>
            </w:pPr>
            <w:r w:rsidRPr="00F5723F">
              <w:t>+9</w:t>
            </w:r>
          </w:p>
        </w:tc>
        <w:tc>
          <w:tcPr>
            <w:tcW w:w="760" w:type="dxa"/>
            <w:tcBorders>
              <w:top w:val="single" w:sz="4" w:space="0" w:color="auto"/>
              <w:bottom w:val="single" w:sz="4" w:space="0" w:color="auto"/>
            </w:tcBorders>
            <w:vAlign w:val="bottom"/>
          </w:tcPr>
          <w:p w:rsidR="00B43C57" w:rsidRPr="00F5723F" w:rsidRDefault="00B43C57">
            <w:pPr>
              <w:pStyle w:val="Tabelltextsiffror"/>
              <w:jc w:val="center"/>
            </w:pPr>
            <w:r w:rsidRPr="00F5723F">
              <w:t>+17</w:t>
            </w:r>
          </w:p>
        </w:tc>
        <w:tc>
          <w:tcPr>
            <w:tcW w:w="760" w:type="dxa"/>
            <w:tcBorders>
              <w:top w:val="single" w:sz="4" w:space="0" w:color="auto"/>
              <w:bottom w:val="single" w:sz="4" w:space="0" w:color="auto"/>
            </w:tcBorders>
            <w:vAlign w:val="bottom"/>
          </w:tcPr>
          <w:p w:rsidR="00B43C57" w:rsidRPr="00F5723F" w:rsidRDefault="00B43C57">
            <w:pPr>
              <w:pStyle w:val="Tabelltextsiffror"/>
              <w:jc w:val="center"/>
            </w:pPr>
            <w:r w:rsidRPr="00F5723F">
              <w:t>+17</w:t>
            </w:r>
          </w:p>
        </w:tc>
        <w:tc>
          <w:tcPr>
            <w:tcW w:w="668" w:type="dxa"/>
            <w:tcBorders>
              <w:top w:val="single" w:sz="4" w:space="0" w:color="auto"/>
              <w:bottom w:val="single" w:sz="4" w:space="0" w:color="auto"/>
            </w:tcBorders>
            <w:vAlign w:val="bottom"/>
          </w:tcPr>
          <w:p w:rsidR="00B43C57" w:rsidRPr="00F5723F" w:rsidRDefault="00B43C57">
            <w:pPr>
              <w:pStyle w:val="Tabelltextsiffror"/>
              <w:jc w:val="center"/>
            </w:pPr>
            <w:r w:rsidRPr="00F5723F">
              <w:t>−8</w:t>
            </w:r>
          </w:p>
        </w:tc>
        <w:tc>
          <w:tcPr>
            <w:tcW w:w="757" w:type="dxa"/>
            <w:tcBorders>
              <w:top w:val="single" w:sz="4" w:space="0" w:color="auto"/>
              <w:bottom w:val="single" w:sz="4" w:space="0" w:color="auto"/>
            </w:tcBorders>
          </w:tcPr>
          <w:p w:rsidR="00B43C57" w:rsidRPr="00F5723F" w:rsidRDefault="00B43C57">
            <w:pPr>
              <w:pStyle w:val="Tabelltextsiffror"/>
              <w:jc w:val="center"/>
            </w:pPr>
          </w:p>
          <w:p w:rsidR="00B43C57" w:rsidRPr="00F5723F" w:rsidRDefault="00B43C57">
            <w:pPr>
              <w:pStyle w:val="Tabelltextsiffror"/>
              <w:jc w:val="center"/>
            </w:pPr>
            <w:r w:rsidRPr="00F5723F">
              <w:t>---</w:t>
            </w:r>
          </w:p>
        </w:tc>
        <w:tc>
          <w:tcPr>
            <w:tcW w:w="665" w:type="dxa"/>
            <w:tcBorders>
              <w:top w:val="single" w:sz="4" w:space="0" w:color="auto"/>
              <w:bottom w:val="single" w:sz="4" w:space="0" w:color="auto"/>
            </w:tcBorders>
          </w:tcPr>
          <w:p w:rsidR="00B43C57" w:rsidRPr="00F5723F" w:rsidRDefault="00B43C57">
            <w:pPr>
              <w:pStyle w:val="Tabelltextsiffror"/>
              <w:jc w:val="center"/>
            </w:pPr>
          </w:p>
          <w:p w:rsidR="00B43C57" w:rsidRPr="00F5723F" w:rsidRDefault="00B43C57">
            <w:pPr>
              <w:pStyle w:val="Tabelltextsiffror"/>
              <w:jc w:val="center"/>
            </w:pPr>
            <w:r w:rsidRPr="00F5723F">
              <w:t>---</w:t>
            </w: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Källa:</w:t>
      </w:r>
      <w:r w:rsidRPr="00F5723F">
        <w:rPr>
          <w:rFonts w:ascii="Arial" w:hAnsi="Arial" w:cs="Arial"/>
          <w:sz w:val="16"/>
          <w:szCs w:val="16"/>
        </w:rPr>
        <w:t xml:space="preserve"> Riksd</w:t>
      </w:r>
      <w:r w:rsidRPr="00F5723F">
        <w:rPr>
          <w:rFonts w:ascii="Arial" w:hAnsi="Arial" w:cs="Arial"/>
          <w:sz w:val="16"/>
          <w:szCs w:val="16"/>
        </w:rPr>
        <w:t>agsundersökningarna 1985–2002 (s</w:t>
      </w:r>
      <w:r w:rsidRPr="00F5723F">
        <w:rPr>
          <w:rFonts w:ascii="Arial" w:hAnsi="Arial" w:cs="Arial"/>
          <w:sz w:val="16"/>
          <w:szCs w:val="16"/>
        </w:rPr>
        <w:t>tatsvetenskapliga institutionen, Göteborgs unive</w:t>
      </w:r>
      <w:r w:rsidRPr="00F5723F">
        <w:rPr>
          <w:rFonts w:ascii="Arial" w:hAnsi="Arial" w:cs="Arial"/>
          <w:sz w:val="16"/>
          <w:szCs w:val="16"/>
        </w:rPr>
        <w:t>r</w:t>
      </w:r>
      <w:r w:rsidRPr="00F5723F">
        <w:rPr>
          <w:rFonts w:ascii="Arial" w:hAnsi="Arial" w:cs="Arial"/>
          <w:sz w:val="16"/>
          <w:szCs w:val="16"/>
        </w:rPr>
        <w:t>sitet).</w:t>
      </w:r>
    </w:p>
    <w:p w:rsidR="00B43C57" w:rsidRPr="00F5723F" w:rsidRDefault="00B43C57"/>
    <w:p w:rsidR="00B43C57" w:rsidRPr="00F5723F" w:rsidRDefault="00B43C57">
      <w:r w:rsidRPr="00F5723F">
        <w:t>Andelen ledamöter som uttrycker trivsel med arbetet som riksdagsledamot har tydligt ökat mellan 1985 och 2002. Knappt hälften (47 procent) a</w:t>
      </w:r>
      <w:r w:rsidRPr="00F5723F">
        <w:t>v led</w:t>
      </w:r>
      <w:r w:rsidRPr="00F5723F">
        <w:t>a</w:t>
      </w:r>
      <w:r w:rsidRPr="00F5723F">
        <w:t>möterna ansåg sig trivas mycket bra med uppdraget som riksdagsledamot 1985. År 2002 var den andelen nio procentenh</w:t>
      </w:r>
      <w:r w:rsidRPr="00F5723F">
        <w:t>e</w:t>
      </w:r>
      <w:r w:rsidRPr="00F5723F">
        <w:t xml:space="preserve">ter högre (56 procent). </w:t>
      </w:r>
    </w:p>
    <w:p w:rsidR="00B43C57" w:rsidRPr="00F5723F" w:rsidRDefault="00B43C57">
      <w:pPr>
        <w:pStyle w:val="Normaltindrag"/>
      </w:pPr>
      <w:r w:rsidRPr="00F5723F">
        <w:t>Genomgående, för samtliga år, uppvisar Vänsterpartiets ledamöter den lägsta tri</w:t>
      </w:r>
      <w:r w:rsidRPr="00F5723F">
        <w:t>v</w:t>
      </w:r>
      <w:r w:rsidRPr="00F5723F">
        <w:t>selnivån medan Centerpartiets ledamöter är mest nöjda. Den enskilt största förän</w:t>
      </w:r>
      <w:r w:rsidRPr="00F5723F">
        <w:t>d</w:t>
      </w:r>
      <w:r w:rsidRPr="00F5723F">
        <w:t>ringen står Vänsterpartiet för. Andelen nöjda v-ledamöter har sedan mitten av 1980-talet ökat med 36 pr</w:t>
      </w:r>
      <w:r w:rsidRPr="00F5723F">
        <w:t>o</w:t>
      </w:r>
      <w:r w:rsidRPr="00F5723F">
        <w:t>centenheter, och efter 2002 års val var nära hälften (46 procent) av partigruppens ledamöter mycket nöjda med tri</w:t>
      </w:r>
      <w:r w:rsidRPr="00F5723F">
        <w:t>v</w:t>
      </w:r>
      <w:r w:rsidRPr="00F5723F">
        <w:t xml:space="preserve">seln i arbetet som riksdagsledamot. </w:t>
      </w:r>
    </w:p>
    <w:p w:rsidR="00B43C57" w:rsidRPr="00F5723F" w:rsidRDefault="00B43C57">
      <w:pPr>
        <w:pStyle w:val="Normaltindrag"/>
      </w:pPr>
      <w:r w:rsidRPr="00F5723F">
        <w:t>Unga ledamöter uttrycker en mindre grad av trivsel i arbetet som riksdag</w:t>
      </w:r>
      <w:r w:rsidRPr="00F5723F">
        <w:t>s</w:t>
      </w:r>
      <w:r w:rsidRPr="00F5723F">
        <w:t xml:space="preserve">ledamot än äldre ledamöter. </w:t>
      </w:r>
      <w:r w:rsidRPr="00F5723F">
        <w:t>Kvinnliga ledamöter trivs, enligt samma unde</w:t>
      </w:r>
      <w:r w:rsidRPr="00F5723F">
        <w:t>r</w:t>
      </w:r>
      <w:r w:rsidRPr="00F5723F">
        <w:t>sökningar, något mer än männen i riksdagen, även om skillnaderna minskat i senare års undersöknin</w:t>
      </w:r>
      <w:r w:rsidRPr="00F5723F">
        <w:t>g</w:t>
      </w:r>
      <w:r w:rsidRPr="00F5723F">
        <w:t>ar. Att kvinnliga ledamöter personligen trivs något bättre med arbetet som riksdagsl</w:t>
      </w:r>
      <w:r w:rsidRPr="00F5723F">
        <w:t>e</w:t>
      </w:r>
      <w:r w:rsidRPr="00F5723F">
        <w:t>damot än manliga ledamöter motsägs dock delvis av andra resultat. Statsvetarna Lena Wängnerud, Shirin Ahlbäck Öberg och Jörgen Hermansson visar att kvinnliga led</w:t>
      </w:r>
      <w:r w:rsidRPr="00F5723F">
        <w:t>a</w:t>
      </w:r>
      <w:r w:rsidRPr="00F5723F">
        <w:t>möter må vara mer nöjda med arbetet som ledamot men mer kritiska till riksd</w:t>
      </w:r>
      <w:r w:rsidRPr="00F5723F">
        <w:t>a</w:t>
      </w:r>
      <w:r w:rsidRPr="00F5723F">
        <w:t>gens olika arbets</w:t>
      </w:r>
      <w:r w:rsidRPr="00F5723F">
        <w:t>former när indikatorer som riksdagens och partigruppens arbetsformer, möjligheterna att påverka partigruppens ställningstaganden i de egna specialområd</w:t>
      </w:r>
      <w:r w:rsidRPr="00F5723F">
        <w:t>e</w:t>
      </w:r>
      <w:r w:rsidRPr="00F5723F">
        <w:t>na, bedömningen av förtroenderådets respektive de enskilda ledamöternas infl</w:t>
      </w:r>
      <w:r w:rsidRPr="00F5723F">
        <w:t>y</w:t>
      </w:r>
      <w:r w:rsidRPr="00F5723F">
        <w:t>tande i partigruppen samt bedömningen av partiledarnas, kammarkansliets samt gruppleda</w:t>
      </w:r>
      <w:r w:rsidRPr="00F5723F">
        <w:t>r</w:t>
      </w:r>
      <w:r w:rsidRPr="00F5723F">
        <w:t xml:space="preserve">nas inflytande över beslutsfattandet i riksdagen analyseras. Kritiken tycks dock </w:t>
      </w:r>
      <w:r w:rsidRPr="00F5723F">
        <w:t>snar</w:t>
      </w:r>
      <w:r w:rsidRPr="00F5723F">
        <w:t>a</w:t>
      </w:r>
      <w:r w:rsidRPr="00F5723F">
        <w:t xml:space="preserve">re </w:t>
      </w:r>
      <w:r w:rsidRPr="00F5723F">
        <w:t>rikta sig mot partierna än mot riksdagen som instit</w:t>
      </w:r>
      <w:r w:rsidRPr="00F5723F">
        <w:t>u</w:t>
      </w:r>
      <w:r w:rsidRPr="00F5723F">
        <w:t>tion.</w:t>
      </w:r>
      <w:r w:rsidRPr="00F5723F">
        <w:rPr>
          <w:rStyle w:val="Fotnotsreferens"/>
          <w:rFonts w:ascii="Garamond" w:hAnsi="Garamond"/>
        </w:rPr>
        <w:footnoteReference w:id="129"/>
      </w:r>
      <w:r w:rsidRPr="00F5723F">
        <w:t xml:space="preserve"> På </w:t>
      </w:r>
      <w:r w:rsidRPr="00F5723F">
        <w:t>motsvarande</w:t>
      </w:r>
      <w:r w:rsidRPr="00F5723F">
        <w:t xml:space="preserve"> sätt är det i Riksdagskommitténs öppna frågor om vad ledamöterna önskar ägna mer respe</w:t>
      </w:r>
      <w:r w:rsidRPr="00F5723F">
        <w:t>k</w:t>
      </w:r>
      <w:r w:rsidRPr="00F5723F">
        <w:t>tive mindre tid åt fler manliga än kvinnliga ledamöter som uppger att de är nö</w:t>
      </w:r>
      <w:r w:rsidRPr="00F5723F">
        <w:t>j</w:t>
      </w:r>
      <w:r w:rsidRPr="00F5723F">
        <w:t>da</w:t>
      </w:r>
      <w:r w:rsidRPr="00F5723F">
        <w:t xml:space="preserve"> (se nästa avsnitt, 6.2)</w:t>
      </w:r>
      <w:r w:rsidRPr="00F5723F">
        <w:t xml:space="preserve">. </w:t>
      </w:r>
    </w:p>
    <w:p w:rsidR="00B43C57" w:rsidRPr="00F5723F" w:rsidRDefault="00B43C57">
      <w:pPr>
        <w:pStyle w:val="Rubrik3"/>
        <w:rPr>
          <w:noProof w:val="0"/>
        </w:rPr>
      </w:pPr>
      <w:bookmarkStart w:id="266" w:name="_Toc98075749"/>
      <w:bookmarkStart w:id="267" w:name="_Toc121738979"/>
      <w:bookmarkStart w:id="268" w:name="_Toc124697862"/>
      <w:r w:rsidRPr="00F5723F">
        <w:rPr>
          <w:noProof w:val="0"/>
        </w:rPr>
        <w:t>Den egna arbetssituationen</w:t>
      </w:r>
      <w:bookmarkEnd w:id="266"/>
      <w:bookmarkEnd w:id="267"/>
      <w:bookmarkEnd w:id="268"/>
    </w:p>
    <w:p w:rsidR="00B43C57" w:rsidRPr="00F5723F" w:rsidRDefault="00B43C57">
      <w:r w:rsidRPr="00F5723F">
        <w:t>I undersökningen ställdes två frågor om vilka arbetsuppgifter som ledamöte</w:t>
      </w:r>
      <w:r w:rsidRPr="00F5723F">
        <w:t>r</w:t>
      </w:r>
      <w:r w:rsidRPr="00F5723F">
        <w:t xml:space="preserve">na önskar ägna mer respektive mindre tid åt. Frågorna löd: </w:t>
      </w:r>
      <w:r w:rsidRPr="00F5723F">
        <w:t>”Om Du ser till Dina arbetsuppgifter som rik</w:t>
      </w:r>
      <w:r w:rsidRPr="00F5723F">
        <w:t>s</w:t>
      </w:r>
      <w:r w:rsidRPr="00F5723F">
        <w:t>dagsledamot i dag, finns det några uppgifter som Du skulle vilja ha möjlighet att ägna mer tid åt?” och ”Finns det några uppgifter som Du anser tar för mycket tid i dag och som Du alltså sk</w:t>
      </w:r>
      <w:r w:rsidRPr="00F5723F">
        <w:t>ulle vilja ägna mindre tid åt?”</w:t>
      </w:r>
    </w:p>
    <w:p w:rsidR="00B43C57" w:rsidRPr="00F5723F" w:rsidRDefault="00B43C57">
      <w:pPr>
        <w:pStyle w:val="Normaltindrag"/>
      </w:pPr>
      <w:r w:rsidRPr="00F5723F">
        <w:t>Vi börjar med att analysera den förstnämnda frågan om vilka uppgifter ledamöte</w:t>
      </w:r>
      <w:r w:rsidRPr="00F5723F">
        <w:t>r</w:t>
      </w:r>
      <w:r w:rsidRPr="00F5723F">
        <w:t>na vill ägna mer tid åt. Analysen är tämligen enkel att föra tillbaka på den grundd</w:t>
      </w:r>
      <w:r w:rsidRPr="00F5723F">
        <w:t>o</w:t>
      </w:r>
      <w:r w:rsidRPr="00F5723F">
        <w:t>kumentation som insamlades genom dagboksstudien. Ledam</w:t>
      </w:r>
      <w:r w:rsidRPr="00F5723F">
        <w:t>ö</w:t>
      </w:r>
      <w:r w:rsidRPr="00F5723F">
        <w:t>terna har i sina öppna frågesvar angivit ungefär samma uppgifter som de tidigare i undersökningen uppgivit att de ägnat sig åt under arbetsveckan. Vi kan därför för den första frågan utgå från de fjorton uppgifter som fanns up</w:t>
      </w:r>
      <w:r w:rsidRPr="00F5723F">
        <w:t>p</w:t>
      </w:r>
      <w:r w:rsidRPr="00F5723F">
        <w:t>ställda i dagboksbladet.</w:t>
      </w:r>
      <w:r w:rsidRPr="00F5723F">
        <w:t xml:space="preserve"> </w:t>
      </w:r>
      <w:r w:rsidRPr="00F5723F">
        <w:t>Skillnaden är däremot stor jämfört med de svar som angivits på nästföljande fråga om vilka uppgifter ledamöte</w:t>
      </w:r>
      <w:r w:rsidRPr="00F5723F">
        <w:t>r</w:t>
      </w:r>
      <w:r w:rsidRPr="00F5723F">
        <w:t xml:space="preserve">na önskar </w:t>
      </w:r>
      <w:r w:rsidRPr="00F5723F">
        <w:t>ägna mindre tid åt.</w:t>
      </w:r>
    </w:p>
    <w:p w:rsidR="00B43C57" w:rsidRPr="00F5723F" w:rsidRDefault="00B43C57">
      <w:pPr>
        <w:pStyle w:val="Normaltindrag"/>
      </w:pPr>
      <w:r w:rsidRPr="00F5723F">
        <w:t>Ett inte helt oväsentligt antal ledamöter besvarar frågan på ett sätt som li</w:t>
      </w:r>
      <w:r w:rsidRPr="00F5723F">
        <w:t>g</w:t>
      </w:r>
      <w:r w:rsidRPr="00F5723F">
        <w:t>ger något utanför den teoretiska ramen. Det handlar om svar som innebär att ledamoten egentl</w:t>
      </w:r>
      <w:r w:rsidRPr="00F5723F">
        <w:t>i</w:t>
      </w:r>
      <w:r w:rsidRPr="00F5723F">
        <w:t>gen inte anser sig vilja ägna mer tid åt någon specifik up</w:t>
      </w:r>
      <w:r w:rsidRPr="00F5723F">
        <w:t>p</w:t>
      </w:r>
      <w:r w:rsidRPr="00F5723F">
        <w:t>gift utan anser sig vara nöjd med sin situation eller har hittat en balans i rik</w:t>
      </w:r>
      <w:r w:rsidRPr="00F5723F">
        <w:t>s</w:t>
      </w:r>
      <w:r w:rsidRPr="00F5723F">
        <w:t>dagsuppdraget: ”m</w:t>
      </w:r>
      <w:r w:rsidRPr="00F5723F">
        <w:t>an har ganska stor möjlighet att styra arbetet</w:t>
      </w:r>
      <w:r w:rsidRPr="00F5723F">
        <w:t>” och ”det är bra som det är” är två sådana svar.</w:t>
      </w:r>
      <w:r w:rsidRPr="00F5723F">
        <w:rPr>
          <w:rStyle w:val="Fotnotsreferens"/>
          <w:rFonts w:ascii="Garamond" w:hAnsi="Garamond"/>
        </w:rPr>
        <w:footnoteReference w:id="130"/>
      </w:r>
      <w:r w:rsidRPr="00F5723F">
        <w:t xml:space="preserve"> Andra svar som faller utanför den teoretiska ramen är sådana där led</w:t>
      </w:r>
      <w:r w:rsidRPr="00F5723F">
        <w:t>a</w:t>
      </w:r>
      <w:r w:rsidRPr="00F5723F">
        <w:t>moten har svarat att det alltid skulle kunna göras mer om mer tid fanns till förfogande.</w:t>
      </w:r>
      <w:r w:rsidRPr="00F5723F">
        <w:rPr>
          <w:rStyle w:val="Fotnotsreferens"/>
        </w:rPr>
        <w:footnoteReference w:id="131"/>
      </w:r>
      <w:r w:rsidRPr="00F5723F">
        <w:t xml:space="preserve"> En ledamot svarade att ”</w:t>
      </w:r>
      <w:r w:rsidRPr="00F5723F">
        <w:t xml:space="preserve">tiden </w:t>
      </w:r>
      <w:r w:rsidRPr="00F5723F">
        <w:t>[</w:t>
      </w:r>
      <w:r w:rsidRPr="00F5723F">
        <w:t>sällan</w:t>
      </w:r>
      <w:r w:rsidRPr="00F5723F">
        <w:t>]</w:t>
      </w:r>
      <w:r w:rsidRPr="00F5723F">
        <w:t xml:space="preserve"> räcker till allt som skall göras, nästan alltid känns det att man</w:t>
      </w:r>
      <w:r w:rsidRPr="00F5723F">
        <w:t xml:space="preserve"> skulle vilja ha mer tid”. Dessa båda ytte</w:t>
      </w:r>
      <w:r w:rsidRPr="00F5723F">
        <w:t>r</w:t>
      </w:r>
      <w:r w:rsidRPr="00F5723F">
        <w:t xml:space="preserve">lighetskategorier, totalt 21 svar, har inte medtagits i analyserna. </w:t>
      </w:r>
    </w:p>
    <w:p w:rsidR="00B43C57" w:rsidRPr="00F5723F" w:rsidRDefault="00B43C57">
      <w:pPr>
        <w:pStyle w:val="Normaltindrag"/>
      </w:pPr>
      <w:r w:rsidRPr="00F5723F">
        <w:t>Ledamöternas öppna svar om vilka uppgi</w:t>
      </w:r>
      <w:r w:rsidRPr="00F5723F">
        <w:t>f</w:t>
      </w:r>
      <w:r w:rsidRPr="00F5723F">
        <w:t>ter de önskar ägna mer tid åt har i tabell 12 rangordnats efter hur ofta de olika uppgifterna har nämnts av sam</w:t>
      </w:r>
      <w:r w:rsidRPr="00F5723F">
        <w:t>t</w:t>
      </w:r>
      <w:r w:rsidRPr="00F5723F">
        <w:t>liga nämnda uppgifter. Varje ledamots svar på den öppna frågan har kodats med upp till tre olika uppgifter. Totalt har 355 svar/uppgifter ang</w:t>
      </w:r>
      <w:r w:rsidRPr="00F5723F">
        <w:t>i</w:t>
      </w:r>
      <w:r w:rsidRPr="00F5723F">
        <w:t>vits av ledamöterna. Den procentuella fördelningen av uppgifterna på tretton olika kategorier har därefter b</w:t>
      </w:r>
      <w:r w:rsidRPr="00F5723F">
        <w:t>e</w:t>
      </w:r>
      <w:r w:rsidRPr="00F5723F">
        <w:t xml:space="preserve">räknats. </w:t>
      </w:r>
    </w:p>
    <w:p w:rsidR="00B43C57" w:rsidRPr="00F5723F" w:rsidRDefault="00B43C57">
      <w:pPr>
        <w:pStyle w:val="Normaltindrag"/>
      </w:pPr>
    </w:p>
    <w:p w:rsidR="00B43C57" w:rsidRPr="00F5723F" w:rsidRDefault="00B43C57">
      <w:pPr>
        <w:pStyle w:val="Tabellrubrik"/>
        <w:spacing w:before="0"/>
      </w:pPr>
      <w:r w:rsidRPr="00F5723F">
        <w:br w:type="page"/>
      </w:r>
      <w:r w:rsidRPr="00F5723F">
        <w:t>Tabell 12</w:t>
      </w:r>
      <w:r w:rsidRPr="00F5723F">
        <w:tab/>
        <w:t>Riksdagsledamöters önskan om att ägna mer tid åt olika uppgi</w:t>
      </w:r>
      <w:r w:rsidRPr="00F5723F">
        <w:t>f</w:t>
      </w:r>
      <w:r w:rsidRPr="00F5723F">
        <w:t>ter</w:t>
      </w:r>
    </w:p>
    <w:tbl>
      <w:tblPr>
        <w:tblW w:w="0" w:type="auto"/>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4250"/>
        <w:gridCol w:w="1191"/>
        <w:gridCol w:w="1191"/>
      </w:tblGrid>
      <w:tr w:rsidR="00000000" w:rsidRPr="00F5723F">
        <w:tblPrEx>
          <w:tblCellMar>
            <w:top w:w="0" w:type="dxa"/>
            <w:bottom w:w="0" w:type="dxa"/>
          </w:tblCellMar>
        </w:tblPrEx>
        <w:tc>
          <w:tcPr>
            <w:tcW w:w="4250" w:type="dxa"/>
            <w:tcBorders>
              <w:top w:val="single" w:sz="4" w:space="0" w:color="auto"/>
              <w:bottom w:val="single" w:sz="4" w:space="0" w:color="auto"/>
            </w:tcBorders>
          </w:tcPr>
          <w:p w:rsidR="00B43C57" w:rsidRPr="00F5723F" w:rsidRDefault="00B43C57">
            <w:pPr>
              <w:pStyle w:val="Tabelltext"/>
            </w:pPr>
          </w:p>
        </w:tc>
        <w:tc>
          <w:tcPr>
            <w:tcW w:w="1191" w:type="dxa"/>
            <w:tcBorders>
              <w:top w:val="single" w:sz="4" w:space="0" w:color="auto"/>
              <w:bottom w:val="single" w:sz="4" w:space="0" w:color="auto"/>
            </w:tcBorders>
          </w:tcPr>
          <w:p w:rsidR="00B43C57" w:rsidRPr="00F5723F" w:rsidRDefault="00B43C57">
            <w:pPr>
              <w:pStyle w:val="Tabelltextsiffror"/>
              <w:jc w:val="center"/>
            </w:pPr>
            <w:r w:rsidRPr="00F5723F">
              <w:t>Antal</w:t>
            </w:r>
          </w:p>
        </w:tc>
        <w:tc>
          <w:tcPr>
            <w:tcW w:w="1191" w:type="dxa"/>
            <w:tcBorders>
              <w:top w:val="single" w:sz="4" w:space="0" w:color="auto"/>
              <w:bottom w:val="single" w:sz="4" w:space="0" w:color="auto"/>
            </w:tcBorders>
          </w:tcPr>
          <w:p w:rsidR="00B43C57" w:rsidRPr="00F5723F" w:rsidRDefault="00B43C57">
            <w:pPr>
              <w:pStyle w:val="Tabelltextsiffror"/>
              <w:jc w:val="center"/>
            </w:pPr>
            <w:r w:rsidRPr="00F5723F">
              <w:t>Procent</w:t>
            </w:r>
          </w:p>
        </w:tc>
      </w:tr>
      <w:tr w:rsidR="00000000" w:rsidRPr="00F5723F">
        <w:tblPrEx>
          <w:tblCellMar>
            <w:top w:w="0" w:type="dxa"/>
            <w:bottom w:w="0" w:type="dxa"/>
          </w:tblCellMar>
        </w:tblPrEx>
        <w:tc>
          <w:tcPr>
            <w:tcW w:w="4250" w:type="dxa"/>
            <w:tcBorders>
              <w:top w:val="single" w:sz="4" w:space="0" w:color="auto"/>
              <w:left w:val="nil"/>
              <w:bottom w:val="nil"/>
              <w:right w:val="nil"/>
            </w:tcBorders>
          </w:tcPr>
          <w:p w:rsidR="00B43C57" w:rsidRPr="00F5723F" w:rsidRDefault="00B43C57">
            <w:pPr>
              <w:pStyle w:val="Tabelltext"/>
            </w:pPr>
          </w:p>
        </w:tc>
        <w:tc>
          <w:tcPr>
            <w:tcW w:w="1191" w:type="dxa"/>
            <w:tcBorders>
              <w:top w:val="single" w:sz="4" w:space="0" w:color="auto"/>
              <w:left w:val="nil"/>
              <w:bottom w:val="nil"/>
              <w:right w:val="nil"/>
            </w:tcBorders>
          </w:tcPr>
          <w:p w:rsidR="00B43C57" w:rsidRPr="00F5723F" w:rsidRDefault="00B43C57">
            <w:pPr>
              <w:pStyle w:val="Tabelltextsiffror"/>
            </w:pPr>
          </w:p>
        </w:tc>
        <w:tc>
          <w:tcPr>
            <w:tcW w:w="1191" w:type="dxa"/>
            <w:tcBorders>
              <w:top w:val="single" w:sz="4" w:space="0" w:color="auto"/>
              <w:left w:val="nil"/>
              <w:bottom w:val="nil"/>
              <w:right w:val="nil"/>
            </w:tcBorders>
          </w:tcPr>
          <w:p w:rsidR="00B43C57" w:rsidRPr="00F5723F" w:rsidRDefault="00B43C57">
            <w:pPr>
              <w:pStyle w:val="Tabelltextsiffror"/>
            </w:pPr>
          </w:p>
        </w:tc>
      </w:tr>
      <w:tr w:rsidR="00000000" w:rsidRPr="00F5723F">
        <w:tblPrEx>
          <w:tblCellMar>
            <w:top w:w="0" w:type="dxa"/>
            <w:bottom w:w="0" w:type="dxa"/>
          </w:tblCellMar>
        </w:tblPrEx>
        <w:tc>
          <w:tcPr>
            <w:tcW w:w="4250" w:type="dxa"/>
            <w:tcBorders>
              <w:top w:val="nil"/>
              <w:left w:val="nil"/>
              <w:bottom w:val="nil"/>
              <w:right w:val="nil"/>
            </w:tcBorders>
          </w:tcPr>
          <w:p w:rsidR="00B43C57" w:rsidRPr="00F5723F" w:rsidRDefault="00B43C57">
            <w:pPr>
              <w:pStyle w:val="Tabelltext"/>
            </w:pPr>
            <w:r w:rsidRPr="00F5723F">
              <w:t>Kontaktverksamhet/uppvaktningar</w:t>
            </w:r>
          </w:p>
        </w:tc>
        <w:tc>
          <w:tcPr>
            <w:tcW w:w="1191" w:type="dxa"/>
            <w:tcBorders>
              <w:top w:val="nil"/>
              <w:left w:val="nil"/>
              <w:bottom w:val="nil"/>
              <w:right w:val="nil"/>
            </w:tcBorders>
          </w:tcPr>
          <w:p w:rsidR="00B43C57" w:rsidRPr="00F5723F" w:rsidRDefault="00B43C57">
            <w:pPr>
              <w:pStyle w:val="Tabelltextsiffror"/>
              <w:tabs>
                <w:tab w:val="decimal" w:pos="611"/>
              </w:tabs>
              <w:jc w:val="left"/>
            </w:pPr>
            <w:r w:rsidRPr="00F5723F">
              <w:t>103</w:t>
            </w:r>
          </w:p>
        </w:tc>
        <w:tc>
          <w:tcPr>
            <w:tcW w:w="1191" w:type="dxa"/>
            <w:tcBorders>
              <w:top w:val="nil"/>
              <w:left w:val="nil"/>
              <w:bottom w:val="nil"/>
              <w:right w:val="nil"/>
            </w:tcBorders>
          </w:tcPr>
          <w:p w:rsidR="00B43C57" w:rsidRPr="00F5723F" w:rsidRDefault="00B43C57">
            <w:pPr>
              <w:pStyle w:val="Tabelltextsiffror"/>
              <w:tabs>
                <w:tab w:val="decimal" w:pos="611"/>
              </w:tabs>
              <w:jc w:val="left"/>
            </w:pPr>
            <w:r w:rsidRPr="00F5723F">
              <w:t>31</w:t>
            </w:r>
          </w:p>
        </w:tc>
      </w:tr>
      <w:tr w:rsidR="00000000" w:rsidRPr="00F5723F">
        <w:tblPrEx>
          <w:tblCellMar>
            <w:top w:w="0" w:type="dxa"/>
            <w:bottom w:w="0" w:type="dxa"/>
          </w:tblCellMar>
        </w:tblPrEx>
        <w:tc>
          <w:tcPr>
            <w:tcW w:w="4250" w:type="dxa"/>
            <w:tcBorders>
              <w:top w:val="nil"/>
              <w:left w:val="nil"/>
              <w:bottom w:val="nil"/>
              <w:right w:val="nil"/>
            </w:tcBorders>
          </w:tcPr>
          <w:p w:rsidR="00B43C57" w:rsidRPr="00F5723F" w:rsidRDefault="00B43C57">
            <w:pPr>
              <w:pStyle w:val="Tabelltext"/>
            </w:pPr>
            <w:r w:rsidRPr="00F5723F">
              <w:t>Allmänt inläsningsarbete, inklusive studieresor/besök</w:t>
            </w:r>
          </w:p>
        </w:tc>
        <w:tc>
          <w:tcPr>
            <w:tcW w:w="1191" w:type="dxa"/>
            <w:tcBorders>
              <w:top w:val="nil"/>
              <w:left w:val="nil"/>
              <w:bottom w:val="nil"/>
              <w:right w:val="nil"/>
            </w:tcBorders>
          </w:tcPr>
          <w:p w:rsidR="00B43C57" w:rsidRPr="00F5723F" w:rsidRDefault="00B43C57">
            <w:pPr>
              <w:pStyle w:val="Tabelltextsiffror"/>
              <w:tabs>
                <w:tab w:val="decimal" w:pos="611"/>
              </w:tabs>
              <w:jc w:val="left"/>
            </w:pPr>
            <w:r w:rsidRPr="00F5723F">
              <w:t>63</w:t>
            </w:r>
          </w:p>
        </w:tc>
        <w:tc>
          <w:tcPr>
            <w:tcW w:w="1191" w:type="dxa"/>
            <w:tcBorders>
              <w:top w:val="nil"/>
              <w:left w:val="nil"/>
              <w:bottom w:val="nil"/>
              <w:right w:val="nil"/>
            </w:tcBorders>
          </w:tcPr>
          <w:p w:rsidR="00B43C57" w:rsidRPr="00F5723F" w:rsidRDefault="00B43C57">
            <w:pPr>
              <w:pStyle w:val="Tabelltextsiffror"/>
              <w:tabs>
                <w:tab w:val="decimal" w:pos="611"/>
              </w:tabs>
              <w:jc w:val="left"/>
            </w:pPr>
            <w:r w:rsidRPr="00F5723F">
              <w:t>19</w:t>
            </w:r>
          </w:p>
        </w:tc>
      </w:tr>
      <w:tr w:rsidR="00000000" w:rsidRPr="00F5723F">
        <w:tblPrEx>
          <w:tblCellMar>
            <w:top w:w="0" w:type="dxa"/>
            <w:bottom w:w="0" w:type="dxa"/>
          </w:tblCellMar>
        </w:tblPrEx>
        <w:tc>
          <w:tcPr>
            <w:tcW w:w="4250" w:type="dxa"/>
            <w:tcBorders>
              <w:top w:val="nil"/>
            </w:tcBorders>
          </w:tcPr>
          <w:p w:rsidR="00B43C57" w:rsidRPr="00F5723F" w:rsidRDefault="00B43C57">
            <w:pPr>
              <w:pStyle w:val="Tabelltext"/>
            </w:pPr>
            <w:r w:rsidRPr="00F5723F">
              <w:t>Fördjupning och reflektion</w:t>
            </w:r>
          </w:p>
        </w:tc>
        <w:tc>
          <w:tcPr>
            <w:tcW w:w="1191" w:type="dxa"/>
            <w:tcBorders>
              <w:top w:val="nil"/>
            </w:tcBorders>
          </w:tcPr>
          <w:p w:rsidR="00B43C57" w:rsidRPr="00F5723F" w:rsidRDefault="00B43C57">
            <w:pPr>
              <w:pStyle w:val="Tabelltextsiffror"/>
              <w:tabs>
                <w:tab w:val="decimal" w:pos="611"/>
              </w:tabs>
              <w:jc w:val="left"/>
            </w:pPr>
            <w:r w:rsidRPr="00F5723F">
              <w:t>53</w:t>
            </w:r>
          </w:p>
        </w:tc>
        <w:tc>
          <w:tcPr>
            <w:tcW w:w="1191" w:type="dxa"/>
            <w:tcBorders>
              <w:top w:val="nil"/>
            </w:tcBorders>
          </w:tcPr>
          <w:p w:rsidR="00B43C57" w:rsidRPr="00F5723F" w:rsidRDefault="00B43C57">
            <w:pPr>
              <w:pStyle w:val="Tabelltextsiffror"/>
              <w:tabs>
                <w:tab w:val="decimal" w:pos="611"/>
              </w:tabs>
              <w:jc w:val="left"/>
            </w:pPr>
            <w:r w:rsidRPr="00F5723F">
              <w:t>16</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Offentliga framträdanden</w:t>
            </w:r>
          </w:p>
        </w:tc>
        <w:tc>
          <w:tcPr>
            <w:tcW w:w="1191" w:type="dxa"/>
          </w:tcPr>
          <w:p w:rsidR="00B43C57" w:rsidRPr="00F5723F" w:rsidRDefault="00B43C57">
            <w:pPr>
              <w:pStyle w:val="Tabelltextsiffror"/>
              <w:tabs>
                <w:tab w:val="decimal" w:pos="611"/>
              </w:tabs>
              <w:jc w:val="left"/>
            </w:pPr>
            <w:r w:rsidRPr="00F5723F">
              <w:t>39</w:t>
            </w:r>
          </w:p>
        </w:tc>
        <w:tc>
          <w:tcPr>
            <w:tcW w:w="1191" w:type="dxa"/>
          </w:tcPr>
          <w:p w:rsidR="00B43C57" w:rsidRPr="00F5723F" w:rsidRDefault="00B43C57">
            <w:pPr>
              <w:pStyle w:val="Tabelltextsiffror"/>
              <w:tabs>
                <w:tab w:val="decimal" w:pos="611"/>
              </w:tabs>
              <w:jc w:val="left"/>
            </w:pPr>
            <w:r w:rsidRPr="00F5723F">
              <w:t>12</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Arbete i valkretsen</w:t>
            </w:r>
          </w:p>
        </w:tc>
        <w:tc>
          <w:tcPr>
            <w:tcW w:w="1191" w:type="dxa"/>
          </w:tcPr>
          <w:p w:rsidR="00B43C57" w:rsidRPr="00F5723F" w:rsidRDefault="00B43C57">
            <w:pPr>
              <w:pStyle w:val="Tabelltextsiffror"/>
              <w:tabs>
                <w:tab w:val="decimal" w:pos="611"/>
              </w:tabs>
              <w:jc w:val="left"/>
            </w:pPr>
            <w:r w:rsidRPr="00F5723F">
              <w:t>30</w:t>
            </w:r>
          </w:p>
        </w:tc>
        <w:tc>
          <w:tcPr>
            <w:tcW w:w="1191" w:type="dxa"/>
          </w:tcPr>
          <w:p w:rsidR="00B43C57" w:rsidRPr="00F5723F" w:rsidRDefault="00B43C57">
            <w:pPr>
              <w:pStyle w:val="Tabelltextsiffror"/>
              <w:tabs>
                <w:tab w:val="decimal" w:pos="611"/>
              </w:tabs>
              <w:jc w:val="left"/>
            </w:pPr>
            <w:r w:rsidRPr="00F5723F">
              <w:t>9</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Internationellt arbete</w:t>
            </w:r>
          </w:p>
        </w:tc>
        <w:tc>
          <w:tcPr>
            <w:tcW w:w="1191" w:type="dxa"/>
          </w:tcPr>
          <w:p w:rsidR="00B43C57" w:rsidRPr="00F5723F" w:rsidRDefault="00B43C57">
            <w:pPr>
              <w:pStyle w:val="Tabelltextsiffror"/>
              <w:tabs>
                <w:tab w:val="decimal" w:pos="611"/>
              </w:tabs>
              <w:jc w:val="left"/>
            </w:pPr>
            <w:r w:rsidRPr="00F5723F">
              <w:t>22</w:t>
            </w:r>
          </w:p>
        </w:tc>
        <w:tc>
          <w:tcPr>
            <w:tcW w:w="1191" w:type="dxa"/>
          </w:tcPr>
          <w:p w:rsidR="00B43C57" w:rsidRPr="00F5723F" w:rsidRDefault="00B43C57">
            <w:pPr>
              <w:pStyle w:val="Tabelltextsiffror"/>
              <w:tabs>
                <w:tab w:val="decimal" w:pos="611"/>
              </w:tabs>
              <w:jc w:val="left"/>
            </w:pPr>
            <w:r w:rsidRPr="00F5723F">
              <w:t>7</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Partiarbete</w:t>
            </w:r>
          </w:p>
        </w:tc>
        <w:tc>
          <w:tcPr>
            <w:tcW w:w="1191" w:type="dxa"/>
          </w:tcPr>
          <w:p w:rsidR="00B43C57" w:rsidRPr="00F5723F" w:rsidRDefault="00B43C57">
            <w:pPr>
              <w:pStyle w:val="Tabelltextsiffror"/>
              <w:tabs>
                <w:tab w:val="decimal" w:pos="611"/>
              </w:tabs>
              <w:jc w:val="left"/>
            </w:pPr>
            <w:r w:rsidRPr="00F5723F">
              <w:t>9</w:t>
            </w:r>
          </w:p>
        </w:tc>
        <w:tc>
          <w:tcPr>
            <w:tcW w:w="1191" w:type="dxa"/>
          </w:tcPr>
          <w:p w:rsidR="00B43C57" w:rsidRPr="00F5723F" w:rsidRDefault="00B43C57">
            <w:pPr>
              <w:pStyle w:val="Tabelltextsiffror"/>
              <w:tabs>
                <w:tab w:val="decimal" w:pos="611"/>
              </w:tabs>
              <w:jc w:val="left"/>
            </w:pPr>
            <w:r w:rsidRPr="00F5723F">
              <w:t>3</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Kammardebatt, votering</w:t>
            </w:r>
          </w:p>
        </w:tc>
        <w:tc>
          <w:tcPr>
            <w:tcW w:w="1191" w:type="dxa"/>
          </w:tcPr>
          <w:p w:rsidR="00B43C57" w:rsidRPr="00F5723F" w:rsidRDefault="00B43C57">
            <w:pPr>
              <w:pStyle w:val="Tabelltextsiffror"/>
              <w:tabs>
                <w:tab w:val="decimal" w:pos="611"/>
              </w:tabs>
              <w:jc w:val="left"/>
            </w:pPr>
            <w:r w:rsidRPr="00F5723F">
              <w:t>3</w:t>
            </w:r>
          </w:p>
        </w:tc>
        <w:tc>
          <w:tcPr>
            <w:tcW w:w="1191" w:type="dxa"/>
          </w:tcPr>
          <w:p w:rsidR="00B43C57" w:rsidRPr="00F5723F" w:rsidRDefault="00B43C57">
            <w:pPr>
              <w:pStyle w:val="Tabelltextsiffror"/>
              <w:tabs>
                <w:tab w:val="decimal" w:pos="611"/>
              </w:tabs>
              <w:jc w:val="left"/>
            </w:pPr>
            <w:r w:rsidRPr="00F5723F">
              <w:t>1</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Utskottsarbete</w:t>
            </w:r>
          </w:p>
        </w:tc>
        <w:tc>
          <w:tcPr>
            <w:tcW w:w="1191" w:type="dxa"/>
          </w:tcPr>
          <w:p w:rsidR="00B43C57" w:rsidRPr="00F5723F" w:rsidRDefault="00B43C57">
            <w:pPr>
              <w:pStyle w:val="Tabelltextsiffror"/>
              <w:tabs>
                <w:tab w:val="decimal" w:pos="611"/>
              </w:tabs>
              <w:jc w:val="left"/>
            </w:pPr>
            <w:r w:rsidRPr="00F5723F">
              <w:t>3</w:t>
            </w:r>
          </w:p>
        </w:tc>
        <w:tc>
          <w:tcPr>
            <w:tcW w:w="1191" w:type="dxa"/>
          </w:tcPr>
          <w:p w:rsidR="00B43C57" w:rsidRPr="00F5723F" w:rsidRDefault="00B43C57">
            <w:pPr>
              <w:pStyle w:val="Tabelltextsiffror"/>
              <w:tabs>
                <w:tab w:val="decimal" w:pos="611"/>
              </w:tabs>
              <w:jc w:val="left"/>
            </w:pPr>
            <w:r w:rsidRPr="00F5723F">
              <w:t>1</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Aktiviteter med anknytning till riksdagsuppdraget</w:t>
            </w:r>
          </w:p>
        </w:tc>
        <w:tc>
          <w:tcPr>
            <w:tcW w:w="1191" w:type="dxa"/>
          </w:tcPr>
          <w:p w:rsidR="00B43C57" w:rsidRPr="00F5723F" w:rsidRDefault="00B43C57">
            <w:pPr>
              <w:pStyle w:val="Tabelltextsiffror"/>
              <w:tabs>
                <w:tab w:val="decimal" w:pos="611"/>
              </w:tabs>
              <w:jc w:val="left"/>
            </w:pPr>
            <w:r w:rsidRPr="00F5723F">
              <w:t>3</w:t>
            </w:r>
          </w:p>
        </w:tc>
        <w:tc>
          <w:tcPr>
            <w:tcW w:w="1191" w:type="dxa"/>
          </w:tcPr>
          <w:p w:rsidR="00B43C57" w:rsidRPr="00F5723F" w:rsidRDefault="00B43C57">
            <w:pPr>
              <w:pStyle w:val="Tabelltextsiffror"/>
              <w:tabs>
                <w:tab w:val="decimal" w:pos="611"/>
              </w:tabs>
              <w:jc w:val="left"/>
            </w:pPr>
            <w:r w:rsidRPr="00F5723F">
              <w:t>1</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Ledig/fri tid</w:t>
            </w:r>
          </w:p>
        </w:tc>
        <w:tc>
          <w:tcPr>
            <w:tcW w:w="1191" w:type="dxa"/>
          </w:tcPr>
          <w:p w:rsidR="00B43C57" w:rsidRPr="00F5723F" w:rsidRDefault="00B43C57">
            <w:pPr>
              <w:pStyle w:val="Tabelltextsiffror"/>
              <w:tabs>
                <w:tab w:val="decimal" w:pos="611"/>
              </w:tabs>
              <w:jc w:val="left"/>
            </w:pPr>
            <w:r w:rsidRPr="00F5723F">
              <w:t>3</w:t>
            </w:r>
          </w:p>
        </w:tc>
        <w:tc>
          <w:tcPr>
            <w:tcW w:w="1191" w:type="dxa"/>
          </w:tcPr>
          <w:p w:rsidR="00B43C57" w:rsidRPr="00F5723F" w:rsidRDefault="00B43C57">
            <w:pPr>
              <w:pStyle w:val="Tabelltextsiffror"/>
              <w:tabs>
                <w:tab w:val="decimal" w:pos="611"/>
              </w:tabs>
              <w:jc w:val="left"/>
            </w:pPr>
            <w:r w:rsidRPr="00F5723F">
              <w:t>1</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Riksdagsgruppsarbete</w:t>
            </w:r>
          </w:p>
        </w:tc>
        <w:tc>
          <w:tcPr>
            <w:tcW w:w="1191" w:type="dxa"/>
          </w:tcPr>
          <w:p w:rsidR="00B43C57" w:rsidRPr="00F5723F" w:rsidRDefault="00B43C57">
            <w:pPr>
              <w:pStyle w:val="Tabelltextsiffror"/>
              <w:tabs>
                <w:tab w:val="decimal" w:pos="611"/>
              </w:tabs>
              <w:jc w:val="left"/>
            </w:pPr>
            <w:r w:rsidRPr="00F5723F">
              <w:t>2</w:t>
            </w:r>
          </w:p>
        </w:tc>
        <w:tc>
          <w:tcPr>
            <w:tcW w:w="1191" w:type="dxa"/>
          </w:tcPr>
          <w:p w:rsidR="00B43C57" w:rsidRPr="00F5723F" w:rsidRDefault="00B43C57">
            <w:pPr>
              <w:pStyle w:val="Tabelltextsiffror"/>
              <w:tabs>
                <w:tab w:val="decimal" w:pos="611"/>
              </w:tabs>
              <w:jc w:val="left"/>
            </w:pPr>
            <w:r w:rsidRPr="00F5723F">
              <w:t>1</w:t>
            </w:r>
          </w:p>
        </w:tc>
      </w:tr>
      <w:tr w:rsidR="00000000" w:rsidRPr="00F5723F">
        <w:tblPrEx>
          <w:tblCellMar>
            <w:top w:w="0" w:type="dxa"/>
            <w:bottom w:w="0" w:type="dxa"/>
          </w:tblCellMar>
        </w:tblPrEx>
        <w:tc>
          <w:tcPr>
            <w:tcW w:w="4250" w:type="dxa"/>
          </w:tcPr>
          <w:p w:rsidR="00B43C57" w:rsidRPr="00F5723F" w:rsidRDefault="00B43C57">
            <w:pPr>
              <w:pStyle w:val="Tabelltext"/>
            </w:pPr>
            <w:r w:rsidRPr="00F5723F">
              <w:t>Statliga utredningar och styrelser</w:t>
            </w:r>
          </w:p>
        </w:tc>
        <w:tc>
          <w:tcPr>
            <w:tcW w:w="1191" w:type="dxa"/>
          </w:tcPr>
          <w:p w:rsidR="00B43C57" w:rsidRPr="00F5723F" w:rsidRDefault="00B43C57">
            <w:pPr>
              <w:pStyle w:val="Tabelltextsiffror"/>
              <w:tabs>
                <w:tab w:val="decimal" w:pos="611"/>
              </w:tabs>
              <w:jc w:val="left"/>
            </w:pPr>
            <w:r w:rsidRPr="00F5723F">
              <w:t>1</w:t>
            </w:r>
          </w:p>
        </w:tc>
        <w:tc>
          <w:tcPr>
            <w:tcW w:w="1191" w:type="dxa"/>
          </w:tcPr>
          <w:p w:rsidR="00B43C57" w:rsidRPr="00F5723F" w:rsidRDefault="00B43C57">
            <w:pPr>
              <w:pStyle w:val="Tabelltextsiffror"/>
              <w:tabs>
                <w:tab w:val="decimal" w:pos="611"/>
              </w:tabs>
              <w:jc w:val="left"/>
            </w:pPr>
            <w:r w:rsidRPr="00F5723F">
              <w:t>0</w:t>
            </w:r>
          </w:p>
        </w:tc>
      </w:tr>
      <w:tr w:rsidR="00000000" w:rsidRPr="00F5723F">
        <w:tblPrEx>
          <w:tblCellMar>
            <w:top w:w="0" w:type="dxa"/>
            <w:bottom w:w="0" w:type="dxa"/>
          </w:tblCellMar>
        </w:tblPrEx>
        <w:tc>
          <w:tcPr>
            <w:tcW w:w="4250" w:type="dxa"/>
            <w:tcBorders>
              <w:bottom w:val="nil"/>
            </w:tcBorders>
          </w:tcPr>
          <w:p w:rsidR="00B43C57" w:rsidRPr="00F5723F" w:rsidRDefault="00B43C57">
            <w:pPr>
              <w:pStyle w:val="Tabelltext"/>
              <w:rPr>
                <w:i/>
              </w:rPr>
            </w:pPr>
          </w:p>
        </w:tc>
        <w:tc>
          <w:tcPr>
            <w:tcW w:w="1191" w:type="dxa"/>
            <w:tcBorders>
              <w:bottom w:val="nil"/>
            </w:tcBorders>
          </w:tcPr>
          <w:p w:rsidR="00B43C57" w:rsidRPr="00F5723F" w:rsidRDefault="00B43C57">
            <w:pPr>
              <w:pStyle w:val="Tabelltextsiffror"/>
              <w:tabs>
                <w:tab w:val="decimal" w:pos="611"/>
              </w:tabs>
              <w:jc w:val="left"/>
              <w:rPr>
                <w:i/>
              </w:rPr>
            </w:pPr>
          </w:p>
        </w:tc>
        <w:tc>
          <w:tcPr>
            <w:tcW w:w="1191" w:type="dxa"/>
            <w:tcBorders>
              <w:bottom w:val="nil"/>
            </w:tcBorders>
          </w:tcPr>
          <w:p w:rsidR="00B43C57" w:rsidRPr="00F5723F" w:rsidRDefault="00B43C57">
            <w:pPr>
              <w:pStyle w:val="Tabelltextsiffror"/>
              <w:tabs>
                <w:tab w:val="decimal" w:pos="611"/>
              </w:tabs>
              <w:jc w:val="left"/>
              <w:rPr>
                <w:i/>
              </w:rPr>
            </w:pPr>
          </w:p>
        </w:tc>
      </w:tr>
      <w:tr w:rsidR="00000000" w:rsidRPr="00F5723F">
        <w:tblPrEx>
          <w:tblCellMar>
            <w:top w:w="0" w:type="dxa"/>
            <w:bottom w:w="0" w:type="dxa"/>
          </w:tblCellMar>
        </w:tblPrEx>
        <w:tc>
          <w:tcPr>
            <w:tcW w:w="4250" w:type="dxa"/>
            <w:tcBorders>
              <w:top w:val="nil"/>
              <w:bottom w:val="nil"/>
            </w:tcBorders>
          </w:tcPr>
          <w:p w:rsidR="00B43C57" w:rsidRPr="00F5723F" w:rsidRDefault="00B43C57">
            <w:pPr>
              <w:pStyle w:val="Tabelltext"/>
              <w:rPr>
                <w:i/>
              </w:rPr>
            </w:pPr>
            <w:r w:rsidRPr="00F5723F">
              <w:rPr>
                <w:i/>
              </w:rPr>
              <w:t>Totalt</w:t>
            </w:r>
          </w:p>
        </w:tc>
        <w:tc>
          <w:tcPr>
            <w:tcW w:w="1191" w:type="dxa"/>
            <w:tcBorders>
              <w:top w:val="nil"/>
              <w:bottom w:val="nil"/>
            </w:tcBorders>
          </w:tcPr>
          <w:p w:rsidR="00B43C57" w:rsidRPr="00F5723F" w:rsidRDefault="00B43C57">
            <w:pPr>
              <w:pStyle w:val="Tabelltextsiffror"/>
              <w:tabs>
                <w:tab w:val="decimal" w:pos="611"/>
              </w:tabs>
              <w:jc w:val="left"/>
              <w:rPr>
                <w:i/>
              </w:rPr>
            </w:pPr>
            <w:r w:rsidRPr="00F5723F">
              <w:rPr>
                <w:i/>
              </w:rPr>
              <w:t>334</w:t>
            </w:r>
          </w:p>
        </w:tc>
        <w:tc>
          <w:tcPr>
            <w:tcW w:w="1191" w:type="dxa"/>
            <w:tcBorders>
              <w:top w:val="nil"/>
              <w:bottom w:val="nil"/>
            </w:tcBorders>
          </w:tcPr>
          <w:p w:rsidR="00B43C57" w:rsidRPr="00F5723F" w:rsidRDefault="00B43C57">
            <w:pPr>
              <w:pStyle w:val="Tabelltextsiffror"/>
              <w:tabs>
                <w:tab w:val="decimal" w:pos="611"/>
              </w:tabs>
              <w:jc w:val="left"/>
              <w:rPr>
                <w:i/>
              </w:rPr>
            </w:pPr>
            <w:r w:rsidRPr="00F5723F">
              <w:rPr>
                <w:i/>
              </w:rPr>
              <w:t>100</w:t>
            </w:r>
          </w:p>
        </w:tc>
      </w:tr>
      <w:tr w:rsidR="00000000" w:rsidRPr="00F5723F">
        <w:tblPrEx>
          <w:tblCellMar>
            <w:top w:w="0" w:type="dxa"/>
            <w:bottom w:w="0" w:type="dxa"/>
          </w:tblCellMar>
        </w:tblPrEx>
        <w:tc>
          <w:tcPr>
            <w:tcW w:w="4250" w:type="dxa"/>
            <w:tcBorders>
              <w:top w:val="nil"/>
              <w:bottom w:val="single" w:sz="4" w:space="0" w:color="auto"/>
            </w:tcBorders>
          </w:tcPr>
          <w:p w:rsidR="00B43C57" w:rsidRPr="00F5723F" w:rsidRDefault="00B43C57">
            <w:pPr>
              <w:pStyle w:val="Tabelltext"/>
              <w:rPr>
                <w:i/>
              </w:rPr>
            </w:pPr>
          </w:p>
        </w:tc>
        <w:tc>
          <w:tcPr>
            <w:tcW w:w="1191" w:type="dxa"/>
            <w:tcBorders>
              <w:top w:val="nil"/>
              <w:bottom w:val="single" w:sz="4" w:space="0" w:color="auto"/>
            </w:tcBorders>
          </w:tcPr>
          <w:p w:rsidR="00B43C57" w:rsidRPr="00F5723F" w:rsidRDefault="00B43C57">
            <w:pPr>
              <w:pStyle w:val="Tabelltextsiffror"/>
              <w:tabs>
                <w:tab w:val="decimal" w:pos="611"/>
              </w:tabs>
              <w:jc w:val="left"/>
              <w:rPr>
                <w:i/>
              </w:rPr>
            </w:pPr>
          </w:p>
        </w:tc>
        <w:tc>
          <w:tcPr>
            <w:tcW w:w="1191" w:type="dxa"/>
            <w:tcBorders>
              <w:top w:val="nil"/>
              <w:bottom w:val="single" w:sz="4" w:space="0" w:color="auto"/>
            </w:tcBorders>
          </w:tcPr>
          <w:p w:rsidR="00B43C57" w:rsidRPr="00F5723F" w:rsidRDefault="00B43C57">
            <w:pPr>
              <w:pStyle w:val="Tabelltextsiffror"/>
              <w:tabs>
                <w:tab w:val="decimal" w:pos="611"/>
              </w:tabs>
              <w:jc w:val="left"/>
              <w:rPr>
                <w:i/>
              </w:rPr>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Källa:</w:t>
      </w:r>
      <w:r w:rsidRPr="00F5723F">
        <w:rPr>
          <w:rFonts w:ascii="Arial" w:hAnsi="Arial" w:cs="Arial"/>
          <w:sz w:val="16"/>
          <w:szCs w:val="16"/>
        </w:rPr>
        <w:t xml:space="preserve"> Riksdagskommitténs enkätundersökning 2004.</w:t>
      </w:r>
    </w:p>
    <w:p w:rsidR="00B43C57" w:rsidRPr="00F5723F" w:rsidRDefault="00B43C57"/>
    <w:p w:rsidR="00B43C57" w:rsidRPr="00F5723F" w:rsidRDefault="00B43C57">
      <w:r w:rsidRPr="00F5723F">
        <w:t xml:space="preserve">Mer tid önskar ledamöterna generellt sett för </w:t>
      </w:r>
      <w:r w:rsidRPr="00F5723F">
        <w:rPr>
          <w:i/>
        </w:rPr>
        <w:t>möten</w:t>
      </w:r>
      <w:r w:rsidRPr="00F5723F">
        <w:t xml:space="preserve"> och </w:t>
      </w:r>
      <w:r w:rsidRPr="00F5723F">
        <w:rPr>
          <w:i/>
        </w:rPr>
        <w:t>kontakter</w:t>
      </w:r>
      <w:r w:rsidRPr="00F5723F">
        <w:t xml:space="preserve"> med mä</w:t>
      </w:r>
      <w:r w:rsidRPr="00F5723F">
        <w:t>n</w:t>
      </w:r>
      <w:r w:rsidRPr="00F5723F">
        <w:t>niskor och väljare: ”att vara ute i landet hos medborgare/väljarna”, ”m</w:t>
      </w:r>
      <w:r w:rsidRPr="00F5723F">
        <w:t>er tid åt</w:t>
      </w:r>
      <w:r w:rsidRPr="00F5723F">
        <w:t xml:space="preserve"> </w:t>
      </w:r>
      <w:r w:rsidRPr="00F5723F">
        <w:t>direkta väljar</w:t>
      </w:r>
      <w:r w:rsidRPr="00F5723F">
        <w:t>ko</w:t>
      </w:r>
      <w:r w:rsidRPr="00F5723F">
        <w:t>n</w:t>
      </w:r>
      <w:r w:rsidRPr="00F5723F">
        <w:t>takter”, ”</w:t>
      </w:r>
      <w:r w:rsidRPr="00F5723F">
        <w:t>möte med medborgare i min va</w:t>
      </w:r>
      <w:r w:rsidRPr="00F5723F">
        <w:t>l</w:t>
      </w:r>
      <w:r w:rsidRPr="00F5723F">
        <w:t>krets</w:t>
      </w:r>
      <w:r w:rsidRPr="00F5723F">
        <w:t>” och ”möta människor” är mycket vanliga svar. Av samtliga svar utgör hela 31 procent svar inom kategorin kontaktver</w:t>
      </w:r>
      <w:r w:rsidRPr="00F5723F">
        <w:t>k</w:t>
      </w:r>
      <w:r w:rsidRPr="00F5723F">
        <w:t>samhet och uppvaktningar. Den stora kateg</w:t>
      </w:r>
      <w:r w:rsidRPr="00F5723F">
        <w:t>o</w:t>
      </w:r>
      <w:r w:rsidRPr="00F5723F">
        <w:t>rin under kontaktverksamhet är möten och kontakter med välj</w:t>
      </w:r>
      <w:r w:rsidRPr="00F5723F">
        <w:t>a</w:t>
      </w:r>
      <w:r w:rsidRPr="00F5723F">
        <w:t>re (44 av 103 svar) men här förekommer också önskemål om kontakter med intresseorganisationer, myndigheter, kommunal verksam</w:t>
      </w:r>
      <w:r w:rsidRPr="00F5723F">
        <w:t>het och a</w:t>
      </w:r>
      <w:r w:rsidRPr="00F5723F">
        <w:t>r</w:t>
      </w:r>
      <w:r w:rsidRPr="00F5723F">
        <w:t>betsplatser. Svar som ”t</w:t>
      </w:r>
      <w:r w:rsidRPr="00F5723F">
        <w:t>räffar med organisation</w:t>
      </w:r>
      <w:r w:rsidRPr="00F5723F">
        <w:t>er och intressegrupper på riksplanet” och ”</w:t>
      </w:r>
      <w:r w:rsidRPr="00F5723F">
        <w:t>kontakter med enskilda och organisationer</w:t>
      </w:r>
      <w:r w:rsidRPr="00F5723F">
        <w:t>” åte</w:t>
      </w:r>
      <w:r w:rsidRPr="00F5723F">
        <w:t>r</w:t>
      </w:r>
      <w:r w:rsidRPr="00F5723F">
        <w:t>kommer ofta.</w:t>
      </w:r>
    </w:p>
    <w:p w:rsidR="00B43C57" w:rsidRPr="00F5723F" w:rsidRDefault="00B43C57">
      <w:pPr>
        <w:pStyle w:val="Normaltindrag"/>
      </w:pPr>
      <w:r w:rsidRPr="00F5723F">
        <w:t xml:space="preserve">Också </w:t>
      </w:r>
      <w:r w:rsidRPr="00F5723F">
        <w:rPr>
          <w:i/>
        </w:rPr>
        <w:t>opinionsbildande</w:t>
      </w:r>
      <w:r w:rsidRPr="00F5723F">
        <w:t xml:space="preserve"> </w:t>
      </w:r>
      <w:r w:rsidRPr="00F5723F">
        <w:rPr>
          <w:i/>
        </w:rPr>
        <w:t>arbete</w:t>
      </w:r>
      <w:r w:rsidRPr="00F5723F">
        <w:t xml:space="preserve"> önskar ledamöter få mer utrymme för. De vill driva frågor och kunna ägna sig mer åt ”utåtriktade aktiviteter, studieb</w:t>
      </w:r>
      <w:r w:rsidRPr="00F5723F">
        <w:t>e</w:t>
      </w:r>
      <w:r w:rsidRPr="00F5723F">
        <w:t>sök, debattartiklar, synas mera på hemmaplan i länet”. Andra svar i denna kategori är ”</w:t>
      </w:r>
      <w:r w:rsidRPr="00F5723F">
        <w:t>skriva artiklar, arbeta opinionsbildande</w:t>
      </w:r>
      <w:r w:rsidRPr="00F5723F">
        <w:t>”, ”</w:t>
      </w:r>
      <w:r w:rsidRPr="00F5723F">
        <w:t>offentliga framträda</w:t>
      </w:r>
      <w:r w:rsidRPr="00F5723F">
        <w:t>n</w:t>
      </w:r>
      <w:r w:rsidRPr="00F5723F">
        <w:t>den</w:t>
      </w:r>
      <w:r w:rsidRPr="00F5723F">
        <w:t>” och ”</w:t>
      </w:r>
      <w:r w:rsidRPr="00F5723F">
        <w:t>utåtriktat arbete, resa runt, delta i medi</w:t>
      </w:r>
      <w:r w:rsidRPr="00F5723F">
        <w:t>e</w:t>
      </w:r>
      <w:r w:rsidRPr="00F5723F">
        <w:t xml:space="preserve">debatt, </w:t>
      </w:r>
      <w:r w:rsidRPr="00F5723F">
        <w:t>det vill säga</w:t>
      </w:r>
      <w:r w:rsidRPr="00F5723F">
        <w:t xml:space="preserve"> skriva arti</w:t>
      </w:r>
      <w:r w:rsidRPr="00F5723F">
        <w:t xml:space="preserve">klar, kunna medverka i radio/tv”. </w:t>
      </w:r>
    </w:p>
    <w:p w:rsidR="00B43C57" w:rsidRPr="00F5723F" w:rsidRDefault="00B43C57">
      <w:pPr>
        <w:pStyle w:val="Normaltindrag"/>
      </w:pPr>
      <w:r w:rsidRPr="00F5723F">
        <w:t xml:space="preserve">Ledamöter vill också ägna sig mer åt </w:t>
      </w:r>
      <w:r w:rsidRPr="00F5723F">
        <w:rPr>
          <w:i/>
        </w:rPr>
        <w:t>långsiktigt</w:t>
      </w:r>
      <w:r w:rsidRPr="00F5723F">
        <w:t xml:space="preserve"> </w:t>
      </w:r>
      <w:r w:rsidRPr="00F5723F">
        <w:rPr>
          <w:i/>
        </w:rPr>
        <w:t>arbete</w:t>
      </w:r>
      <w:r w:rsidRPr="00F5723F">
        <w:t>. Av de avgivna svaren är det 16 procent som handlar om att ledamöterna vill ägna sig mer åt fö</w:t>
      </w:r>
      <w:r w:rsidRPr="00F5723F">
        <w:t>r</w:t>
      </w:r>
      <w:r w:rsidRPr="00F5723F">
        <w:t>djupning och reflektion. Tre svar får illustrera denna kategori: ”l</w:t>
      </w:r>
      <w:r w:rsidRPr="00F5723F">
        <w:t>ångsiktiga perspektiv</w:t>
      </w:r>
      <w:r w:rsidRPr="00F5723F">
        <w:t xml:space="preserve"> </w:t>
      </w:r>
      <w:r w:rsidRPr="00F5723F">
        <w:t>och</w:t>
      </w:r>
      <w:r w:rsidRPr="00F5723F">
        <w:t xml:space="preserve"> </w:t>
      </w:r>
      <w:r w:rsidRPr="00F5723F">
        <w:t>fors</w:t>
      </w:r>
      <w:r w:rsidRPr="00F5723F">
        <w:t>k</w:t>
      </w:r>
      <w:r w:rsidRPr="00F5723F">
        <w:t>ningen</w:t>
      </w:r>
      <w:r w:rsidRPr="00F5723F">
        <w:t>”, ”j</w:t>
      </w:r>
      <w:r w:rsidRPr="00F5723F">
        <w:t>ag vill ägna mer tid åt kunskapsinhäm</w:t>
      </w:r>
      <w:r w:rsidRPr="00F5723F">
        <w:t>t</w:t>
      </w:r>
      <w:r w:rsidRPr="00F5723F">
        <w:t>ning, diskussion och reflektion samt att någon gång få tid att göra saker ordentligt utan at</w:t>
      </w:r>
      <w:r w:rsidRPr="00F5723F">
        <w:t>t hela livet är sönderhackat i</w:t>
      </w:r>
      <w:r w:rsidRPr="00F5723F">
        <w:t xml:space="preserve"> entimmesmöten</w:t>
      </w:r>
      <w:r w:rsidRPr="00F5723F">
        <w:t>” och ”</w:t>
      </w:r>
      <w:r w:rsidRPr="00F5723F">
        <w:t>fö</w:t>
      </w:r>
      <w:r w:rsidRPr="00F5723F">
        <w:t>r</w:t>
      </w:r>
      <w:r w:rsidRPr="00F5723F">
        <w:t xml:space="preserve">djupa </w:t>
      </w:r>
      <w:r w:rsidRPr="00F5723F">
        <w:t>mig i områden inom mitt utskott”.</w:t>
      </w:r>
    </w:p>
    <w:p w:rsidR="00B43C57" w:rsidRPr="00F5723F" w:rsidRDefault="00B43C57">
      <w:pPr>
        <w:pStyle w:val="Normaltindrag"/>
      </w:pPr>
      <w:r w:rsidRPr="00F5723F">
        <w:t xml:space="preserve">Ytterligare en stor kategori som tangerar både kontaktverksamhet </w:t>
      </w:r>
      <w:r w:rsidRPr="00F5723F">
        <w:t>och långsiktigt arbete är den som innehåller svar om allmänt inläsningsarbete, studieresor och besök. Svar som ”långsiktig framsyn – helhetsanalyser, ta del av utländska exempel/idéer” varvas med svar som ”inläsning, fördjupning och refle</w:t>
      </w:r>
      <w:r w:rsidRPr="00F5723F">
        <w:t>k</w:t>
      </w:r>
      <w:r w:rsidRPr="00F5723F">
        <w:t xml:space="preserve">tion”. </w:t>
      </w:r>
    </w:p>
    <w:p w:rsidR="00B43C57" w:rsidRPr="00F5723F" w:rsidRDefault="00B43C57">
      <w:pPr>
        <w:pStyle w:val="Normaltindrag"/>
      </w:pPr>
      <w:r w:rsidRPr="00F5723F">
        <w:t xml:space="preserve">En stor grupp svar handlar om det </w:t>
      </w:r>
      <w:r w:rsidRPr="00F5723F">
        <w:rPr>
          <w:i/>
        </w:rPr>
        <w:t>internationella arbetet</w:t>
      </w:r>
      <w:r w:rsidRPr="00F5723F">
        <w:t xml:space="preserve"> och om arbetet med EU-frågor. Dessa svar utgör i analysen en egen kategori men återko</w:t>
      </w:r>
      <w:r w:rsidRPr="00F5723F">
        <w:t>m</w:t>
      </w:r>
      <w:r w:rsidRPr="00F5723F">
        <w:t>mer också under andra kategor</w:t>
      </w:r>
      <w:r w:rsidRPr="00F5723F">
        <w:t>i</w:t>
      </w:r>
      <w:r w:rsidRPr="00F5723F">
        <w:t>er som kontaktverksamhet och långsiktigt arbete. Totalt är det 22</w:t>
      </w:r>
      <w:r w:rsidRPr="00F5723F">
        <w:t xml:space="preserve"> </w:t>
      </w:r>
      <w:r w:rsidRPr="00F5723F">
        <w:t>svar, eller 7 procent av samtliga svar, som specifikt nämner någon internationell aspekt av riksdagsarbetet. ”</w:t>
      </w:r>
      <w:r w:rsidRPr="00F5723F">
        <w:t>Inter</w:t>
      </w:r>
      <w:r w:rsidRPr="00F5723F">
        <w:t>nationella ko</w:t>
      </w:r>
      <w:r w:rsidRPr="00F5723F">
        <w:t>n</w:t>
      </w:r>
      <w:r w:rsidRPr="00F5723F">
        <w:t>takter”, ”att följa EU-frågorna” och ”</w:t>
      </w:r>
      <w:r w:rsidRPr="00F5723F">
        <w:t>EU-fr</w:t>
      </w:r>
      <w:r w:rsidRPr="00F5723F">
        <w:t>å</w:t>
      </w:r>
      <w:r w:rsidRPr="00F5723F">
        <w:t>gor och int</w:t>
      </w:r>
      <w:r w:rsidRPr="00F5723F">
        <w:t>ernationella</w:t>
      </w:r>
      <w:r w:rsidRPr="00F5723F">
        <w:t xml:space="preserve"> frågor över</w:t>
      </w:r>
      <w:r w:rsidRPr="00F5723F">
        <w:t xml:space="preserve"> </w:t>
      </w:r>
      <w:r w:rsidRPr="00F5723F">
        <w:t>huvud</w:t>
      </w:r>
      <w:r w:rsidRPr="00F5723F">
        <w:t xml:space="preserve"> </w:t>
      </w:r>
      <w:r w:rsidRPr="00F5723F">
        <w:t>t</w:t>
      </w:r>
      <w:r w:rsidRPr="00F5723F">
        <w:t>a</w:t>
      </w:r>
      <w:r w:rsidRPr="00F5723F">
        <w:t xml:space="preserve">get” är några exempel på svar som ledamöter har avgivit. </w:t>
      </w:r>
    </w:p>
    <w:p w:rsidR="00B43C57" w:rsidRPr="00F5723F" w:rsidRDefault="00B43C57">
      <w:pPr>
        <w:pStyle w:val="Normaltindrag"/>
      </w:pPr>
      <w:r w:rsidRPr="00F5723F">
        <w:t>Ledamöternas svar bildar ett in</w:t>
      </w:r>
      <w:r w:rsidRPr="00F5723F">
        <w:t>tressant mönster som nära anknyter till den stat</w:t>
      </w:r>
      <w:r w:rsidRPr="00F5723F">
        <w:t>s</w:t>
      </w:r>
      <w:r w:rsidRPr="00F5723F">
        <w:t>rättsliga uppgift som uppdraget innebär. Riksdagsledamöterna kan sägas ha tre h</w:t>
      </w:r>
      <w:r w:rsidRPr="00F5723F">
        <w:t>u</w:t>
      </w:r>
      <w:r w:rsidRPr="00F5723F">
        <w:t>vuduppgifter i en representativ demokrati: att representera sina väljare, att vara opin</w:t>
      </w:r>
      <w:r w:rsidRPr="00F5723F">
        <w:t>i</w:t>
      </w:r>
      <w:r w:rsidRPr="00F5723F">
        <w:t>onsbildare och att vara beslutsfattare. Statsvetarna Sören Holmberg och Peter Esaia</w:t>
      </w:r>
      <w:r w:rsidRPr="00F5723F">
        <w:t>s</w:t>
      </w:r>
      <w:r w:rsidRPr="00F5723F">
        <w:t>son ”utgår från att riksdagsledamöterna i en representativ demokrati har tre huvu</w:t>
      </w:r>
      <w:r w:rsidRPr="00F5723F">
        <w:t>d</w:t>
      </w:r>
      <w:r w:rsidRPr="00F5723F">
        <w:t>uppgifter – att representera sina väljare, att vara opinionsbildare i samhällsdebatten och att vara beslutsfattare”.</w:t>
      </w:r>
      <w:r w:rsidRPr="00F5723F">
        <w:rPr>
          <w:rStyle w:val="Fotnotsreferens"/>
        </w:rPr>
        <w:footnoteReference w:id="132"/>
      </w:r>
      <w:r w:rsidRPr="00F5723F">
        <w:t xml:space="preserve"> De tre uppgifter som ledamöterna, enligt 2004 års u</w:t>
      </w:r>
      <w:r w:rsidRPr="00F5723F">
        <w:t>n</w:t>
      </w:r>
      <w:r w:rsidRPr="00F5723F">
        <w:t>dersökning, i störst utsträckning sagt sig vilja ägna mer tid åt kan föras tillbaka till dessa grundläggande uppgifter som följer av rollen som riksdagsledamot. Ledamöte</w:t>
      </w:r>
      <w:r w:rsidRPr="00F5723F">
        <w:t>r</w:t>
      </w:r>
      <w:r w:rsidRPr="00F5723F">
        <w:t>na önskar ägna mer tid åt att hålla kontakter med det omgivande samhället och välja</w:t>
      </w:r>
      <w:r w:rsidRPr="00F5723F">
        <w:t>r</w:t>
      </w:r>
      <w:r w:rsidRPr="00F5723F">
        <w:t>na (</w:t>
      </w:r>
      <w:r w:rsidRPr="00F5723F">
        <w:rPr>
          <w:i/>
        </w:rPr>
        <w:t>representera sina väljare</w:t>
      </w:r>
      <w:r w:rsidRPr="00F5723F">
        <w:t>), arbeta med opinionsbil</w:t>
      </w:r>
      <w:r w:rsidRPr="00F5723F">
        <w:t>d</w:t>
      </w:r>
      <w:r w:rsidRPr="00F5723F">
        <w:t>ning (</w:t>
      </w:r>
      <w:r w:rsidRPr="00F5723F">
        <w:rPr>
          <w:i/>
        </w:rPr>
        <w:t>vara opinionsbildare</w:t>
      </w:r>
      <w:r w:rsidRPr="00F5723F">
        <w:t>) och fatta långsiktigt kloka beslut (</w:t>
      </w:r>
      <w:r w:rsidRPr="00F5723F">
        <w:rPr>
          <w:i/>
        </w:rPr>
        <w:t>vara beslutsfatt</w:t>
      </w:r>
      <w:r w:rsidRPr="00F5723F">
        <w:rPr>
          <w:i/>
        </w:rPr>
        <w:t>a</w:t>
      </w:r>
      <w:r w:rsidRPr="00F5723F">
        <w:rPr>
          <w:i/>
        </w:rPr>
        <w:t>re</w:t>
      </w:r>
      <w:r w:rsidRPr="00F5723F">
        <w:t>).</w:t>
      </w:r>
    </w:p>
    <w:p w:rsidR="00B43C57" w:rsidRPr="00F5723F" w:rsidRDefault="00B43C57">
      <w:pPr>
        <w:pStyle w:val="Normaltindrag"/>
      </w:pPr>
      <w:r w:rsidRPr="00F5723F">
        <w:t>De uppgifter som ledamöterna däremot önskar ägna mindre tid åt s</w:t>
      </w:r>
      <w:r w:rsidRPr="00F5723F">
        <w:t>kiljer sig väsen</w:t>
      </w:r>
      <w:r w:rsidRPr="00F5723F">
        <w:t>t</w:t>
      </w:r>
      <w:r w:rsidRPr="00F5723F">
        <w:t>ligen från dagboksstudiens fjorton olika arbetsuppgifter. Det är inte alls samma svar</w:t>
      </w:r>
      <w:r w:rsidRPr="00F5723F">
        <w:t>s</w:t>
      </w:r>
      <w:r w:rsidRPr="00F5723F">
        <w:t>kategorier som dyker upp i de öppna svaren på den frågan som på frågan närmast före.</w:t>
      </w:r>
      <w:r w:rsidRPr="00F5723F">
        <w:rPr>
          <w:rStyle w:val="Fotnotsreferens"/>
        </w:rPr>
        <w:footnoteReference w:id="133"/>
      </w:r>
      <w:r w:rsidRPr="00F5723F">
        <w:t xml:space="preserve"> Om vi, som i förra analysen, sorterar ut svar av karaktären att ledamöterna anser sig vara nöjda eller har funnit en bra balans i sitt arbete som riksdagsledamot samt svar om att ledamoten önskar fler timmar på dygnet så fördelar sig de olika up</w:t>
      </w:r>
      <w:r w:rsidRPr="00F5723F">
        <w:t>p</w:t>
      </w:r>
      <w:r w:rsidRPr="00F5723F">
        <w:t>gifterna enligt tabell 13.</w:t>
      </w:r>
      <w:r w:rsidRPr="00F5723F">
        <w:rPr>
          <w:rStyle w:val="Fotnotsreferens"/>
          <w:rFonts w:ascii="Garamond" w:hAnsi="Garamond"/>
        </w:rPr>
        <w:footnoteReference w:id="134"/>
      </w:r>
    </w:p>
    <w:p w:rsidR="00B43C57" w:rsidRPr="00F5723F" w:rsidRDefault="00B43C57">
      <w:pPr>
        <w:pStyle w:val="Tabellrubrik"/>
        <w:spacing w:before="0"/>
      </w:pPr>
    </w:p>
    <w:p w:rsidR="00B43C57" w:rsidRPr="00F5723F" w:rsidRDefault="00B43C57">
      <w:pPr>
        <w:pStyle w:val="Tabellrubrik"/>
        <w:spacing w:before="0"/>
      </w:pPr>
    </w:p>
    <w:p w:rsidR="00B43C57" w:rsidRPr="00F5723F" w:rsidRDefault="00B43C57">
      <w:pPr>
        <w:pStyle w:val="Tabellrubrik"/>
        <w:spacing w:before="0"/>
      </w:pPr>
      <w:r w:rsidRPr="00F5723F">
        <w:t>Tabell 13</w:t>
      </w:r>
      <w:r w:rsidRPr="00F5723F">
        <w:t xml:space="preserve"> </w:t>
      </w:r>
      <w:r w:rsidRPr="00F5723F">
        <w:t xml:space="preserve"> Riksdagsledamöters önskan om att ägna mindre tid åt olika uppgifter</w:t>
      </w:r>
    </w:p>
    <w:tbl>
      <w:tblPr>
        <w:tblW w:w="6530"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3205"/>
        <w:gridCol w:w="1330"/>
        <w:gridCol w:w="1995"/>
      </w:tblGrid>
      <w:tr w:rsidR="00000000" w:rsidRPr="00F5723F">
        <w:tblPrEx>
          <w:tblCellMar>
            <w:top w:w="0" w:type="dxa"/>
            <w:bottom w:w="0" w:type="dxa"/>
          </w:tblCellMar>
        </w:tblPrEx>
        <w:tc>
          <w:tcPr>
            <w:tcW w:w="3205" w:type="dxa"/>
            <w:tcBorders>
              <w:top w:val="single" w:sz="4" w:space="0" w:color="auto"/>
              <w:bottom w:val="single" w:sz="4" w:space="0" w:color="auto"/>
            </w:tcBorders>
          </w:tcPr>
          <w:p w:rsidR="00B43C57" w:rsidRPr="00F5723F" w:rsidRDefault="00B43C57">
            <w:pPr>
              <w:pStyle w:val="Tabelltext"/>
            </w:pPr>
          </w:p>
        </w:tc>
        <w:tc>
          <w:tcPr>
            <w:tcW w:w="1330" w:type="dxa"/>
            <w:tcBorders>
              <w:top w:val="single" w:sz="4" w:space="0" w:color="auto"/>
              <w:bottom w:val="single" w:sz="4" w:space="0" w:color="auto"/>
            </w:tcBorders>
          </w:tcPr>
          <w:p w:rsidR="00B43C57" w:rsidRPr="00F5723F" w:rsidRDefault="00B43C57">
            <w:pPr>
              <w:pStyle w:val="Tabelltextsiffror"/>
              <w:jc w:val="center"/>
            </w:pPr>
            <w:r w:rsidRPr="00F5723F">
              <w:t>Antal</w:t>
            </w:r>
          </w:p>
        </w:tc>
        <w:tc>
          <w:tcPr>
            <w:tcW w:w="1995" w:type="dxa"/>
            <w:tcBorders>
              <w:top w:val="single" w:sz="4" w:space="0" w:color="auto"/>
              <w:bottom w:val="single" w:sz="4" w:space="0" w:color="auto"/>
            </w:tcBorders>
          </w:tcPr>
          <w:p w:rsidR="00B43C57" w:rsidRPr="00F5723F" w:rsidRDefault="00B43C57">
            <w:pPr>
              <w:pStyle w:val="Tabelltextsiffror"/>
              <w:jc w:val="center"/>
            </w:pPr>
            <w:r w:rsidRPr="00F5723F">
              <w:t>Procent</w:t>
            </w:r>
          </w:p>
        </w:tc>
      </w:tr>
      <w:tr w:rsidR="00000000" w:rsidRPr="00F5723F">
        <w:tblPrEx>
          <w:tblCellMar>
            <w:top w:w="0" w:type="dxa"/>
            <w:bottom w:w="0" w:type="dxa"/>
          </w:tblCellMar>
        </w:tblPrEx>
        <w:tc>
          <w:tcPr>
            <w:tcW w:w="3205" w:type="dxa"/>
            <w:tcBorders>
              <w:top w:val="single" w:sz="4" w:space="0" w:color="auto"/>
              <w:bottom w:val="nil"/>
            </w:tcBorders>
          </w:tcPr>
          <w:p w:rsidR="00B43C57" w:rsidRPr="00F5723F" w:rsidRDefault="00B43C57">
            <w:pPr>
              <w:pStyle w:val="Tabelltext"/>
            </w:pPr>
          </w:p>
        </w:tc>
        <w:tc>
          <w:tcPr>
            <w:tcW w:w="1330" w:type="dxa"/>
            <w:tcBorders>
              <w:top w:val="single" w:sz="4" w:space="0" w:color="auto"/>
              <w:bottom w:val="nil"/>
            </w:tcBorders>
          </w:tcPr>
          <w:p w:rsidR="00B43C57" w:rsidRPr="00F5723F" w:rsidRDefault="00B43C57">
            <w:pPr>
              <w:pStyle w:val="Tabelltextsiffror"/>
            </w:pPr>
          </w:p>
        </w:tc>
        <w:tc>
          <w:tcPr>
            <w:tcW w:w="1995" w:type="dxa"/>
            <w:tcBorders>
              <w:top w:val="single" w:sz="4" w:space="0" w:color="auto"/>
              <w:bottom w:val="nil"/>
            </w:tcBorders>
          </w:tcPr>
          <w:p w:rsidR="00B43C57" w:rsidRPr="00F5723F" w:rsidRDefault="00B43C57">
            <w:pPr>
              <w:pStyle w:val="Tabelltextsiffror"/>
            </w:pPr>
          </w:p>
        </w:tc>
      </w:tr>
      <w:tr w:rsidR="00000000" w:rsidRPr="00F5723F">
        <w:tblPrEx>
          <w:tblCellMar>
            <w:top w:w="0" w:type="dxa"/>
            <w:bottom w:w="0" w:type="dxa"/>
          </w:tblCellMar>
        </w:tblPrEx>
        <w:tc>
          <w:tcPr>
            <w:tcW w:w="3205" w:type="dxa"/>
            <w:tcBorders>
              <w:top w:val="nil"/>
            </w:tcBorders>
          </w:tcPr>
          <w:p w:rsidR="00B43C57" w:rsidRPr="00F5723F" w:rsidRDefault="00B43C57">
            <w:pPr>
              <w:pStyle w:val="Tabelltext"/>
            </w:pPr>
            <w:r w:rsidRPr="00F5723F">
              <w:t>Posthantering</w:t>
            </w:r>
          </w:p>
        </w:tc>
        <w:tc>
          <w:tcPr>
            <w:tcW w:w="1330" w:type="dxa"/>
            <w:tcBorders>
              <w:top w:val="nil"/>
            </w:tcBorders>
          </w:tcPr>
          <w:p w:rsidR="00B43C57" w:rsidRPr="00F5723F" w:rsidRDefault="00B43C57">
            <w:pPr>
              <w:pStyle w:val="Tabelltextsiffror"/>
              <w:tabs>
                <w:tab w:val="decimal" w:pos="690"/>
              </w:tabs>
              <w:jc w:val="left"/>
            </w:pPr>
            <w:r w:rsidRPr="00F5723F">
              <w:t>108</w:t>
            </w:r>
          </w:p>
        </w:tc>
        <w:tc>
          <w:tcPr>
            <w:tcW w:w="1995" w:type="dxa"/>
            <w:tcBorders>
              <w:top w:val="nil"/>
            </w:tcBorders>
          </w:tcPr>
          <w:p w:rsidR="00B43C57" w:rsidRPr="00F5723F" w:rsidRDefault="00B43C57">
            <w:pPr>
              <w:pStyle w:val="Tabelltextsiffror"/>
              <w:tabs>
                <w:tab w:val="decimal" w:pos="1070"/>
              </w:tabs>
              <w:jc w:val="left"/>
            </w:pPr>
            <w:r w:rsidRPr="00F5723F">
              <w:t>40</w:t>
            </w:r>
          </w:p>
        </w:tc>
      </w:tr>
      <w:tr w:rsidR="00000000" w:rsidRPr="00F5723F">
        <w:tblPrEx>
          <w:tblCellMar>
            <w:top w:w="0" w:type="dxa"/>
            <w:bottom w:w="0" w:type="dxa"/>
          </w:tblCellMar>
        </w:tblPrEx>
        <w:tc>
          <w:tcPr>
            <w:tcW w:w="3205" w:type="dxa"/>
          </w:tcPr>
          <w:p w:rsidR="00B43C57" w:rsidRPr="00F5723F" w:rsidRDefault="00B43C57">
            <w:pPr>
              <w:pStyle w:val="Tabelltext"/>
            </w:pPr>
            <w:r w:rsidRPr="00F5723F">
              <w:t>Administrativa uppgifter</w:t>
            </w:r>
          </w:p>
        </w:tc>
        <w:tc>
          <w:tcPr>
            <w:tcW w:w="1330" w:type="dxa"/>
          </w:tcPr>
          <w:p w:rsidR="00B43C57" w:rsidRPr="00F5723F" w:rsidRDefault="00B43C57">
            <w:pPr>
              <w:pStyle w:val="Tabelltextsiffror"/>
              <w:tabs>
                <w:tab w:val="decimal" w:pos="690"/>
              </w:tabs>
              <w:jc w:val="left"/>
            </w:pPr>
            <w:r w:rsidRPr="00F5723F">
              <w:t>55</w:t>
            </w:r>
          </w:p>
        </w:tc>
        <w:tc>
          <w:tcPr>
            <w:tcW w:w="1995" w:type="dxa"/>
          </w:tcPr>
          <w:p w:rsidR="00B43C57" w:rsidRPr="00F5723F" w:rsidRDefault="00B43C57">
            <w:pPr>
              <w:pStyle w:val="Tabelltextsiffror"/>
              <w:tabs>
                <w:tab w:val="decimal" w:pos="1070"/>
              </w:tabs>
              <w:jc w:val="left"/>
            </w:pPr>
            <w:r w:rsidRPr="00F5723F">
              <w:t>20</w:t>
            </w:r>
          </w:p>
        </w:tc>
      </w:tr>
      <w:tr w:rsidR="00000000" w:rsidRPr="00F5723F">
        <w:tblPrEx>
          <w:tblCellMar>
            <w:top w:w="0" w:type="dxa"/>
            <w:bottom w:w="0" w:type="dxa"/>
          </w:tblCellMar>
        </w:tblPrEx>
        <w:tc>
          <w:tcPr>
            <w:tcW w:w="3205" w:type="dxa"/>
          </w:tcPr>
          <w:p w:rsidR="00B43C57" w:rsidRPr="00F5723F" w:rsidRDefault="00B43C57">
            <w:pPr>
              <w:pStyle w:val="Tabelltext"/>
            </w:pPr>
            <w:r w:rsidRPr="00F5723F">
              <w:t>Sammanträden</w:t>
            </w:r>
          </w:p>
        </w:tc>
        <w:tc>
          <w:tcPr>
            <w:tcW w:w="1330" w:type="dxa"/>
          </w:tcPr>
          <w:p w:rsidR="00B43C57" w:rsidRPr="00F5723F" w:rsidRDefault="00B43C57">
            <w:pPr>
              <w:pStyle w:val="Tabelltextsiffror"/>
              <w:tabs>
                <w:tab w:val="decimal" w:pos="690"/>
              </w:tabs>
              <w:jc w:val="left"/>
            </w:pPr>
            <w:r w:rsidRPr="00F5723F">
              <w:t>37</w:t>
            </w:r>
          </w:p>
        </w:tc>
        <w:tc>
          <w:tcPr>
            <w:tcW w:w="1995" w:type="dxa"/>
          </w:tcPr>
          <w:p w:rsidR="00B43C57" w:rsidRPr="00F5723F" w:rsidRDefault="00B43C57">
            <w:pPr>
              <w:pStyle w:val="Tabelltextsiffror"/>
              <w:tabs>
                <w:tab w:val="decimal" w:pos="1070"/>
              </w:tabs>
              <w:jc w:val="left"/>
            </w:pPr>
            <w:r w:rsidRPr="00F5723F">
              <w:t>14</w:t>
            </w:r>
          </w:p>
        </w:tc>
      </w:tr>
      <w:tr w:rsidR="00000000" w:rsidRPr="00F5723F">
        <w:tblPrEx>
          <w:tblCellMar>
            <w:top w:w="0" w:type="dxa"/>
            <w:bottom w:w="0" w:type="dxa"/>
          </w:tblCellMar>
        </w:tblPrEx>
        <w:tc>
          <w:tcPr>
            <w:tcW w:w="3205" w:type="dxa"/>
          </w:tcPr>
          <w:p w:rsidR="00B43C57" w:rsidRPr="00F5723F" w:rsidRDefault="00B43C57">
            <w:pPr>
              <w:pStyle w:val="Tabelltext"/>
            </w:pPr>
            <w:r w:rsidRPr="00F5723F">
              <w:t>Motionshantering</w:t>
            </w:r>
          </w:p>
        </w:tc>
        <w:tc>
          <w:tcPr>
            <w:tcW w:w="1330" w:type="dxa"/>
          </w:tcPr>
          <w:p w:rsidR="00B43C57" w:rsidRPr="00F5723F" w:rsidRDefault="00B43C57">
            <w:pPr>
              <w:pStyle w:val="Tabelltextsiffror"/>
              <w:tabs>
                <w:tab w:val="decimal" w:pos="690"/>
              </w:tabs>
              <w:jc w:val="left"/>
            </w:pPr>
            <w:r w:rsidRPr="00F5723F">
              <w:t>20</w:t>
            </w:r>
          </w:p>
        </w:tc>
        <w:tc>
          <w:tcPr>
            <w:tcW w:w="1995" w:type="dxa"/>
          </w:tcPr>
          <w:p w:rsidR="00B43C57" w:rsidRPr="00F5723F" w:rsidRDefault="00B43C57">
            <w:pPr>
              <w:pStyle w:val="Tabelltextsiffror"/>
              <w:tabs>
                <w:tab w:val="decimal" w:pos="1070"/>
              </w:tabs>
              <w:jc w:val="left"/>
            </w:pPr>
            <w:r w:rsidRPr="00F5723F">
              <w:t>7</w:t>
            </w:r>
          </w:p>
        </w:tc>
      </w:tr>
      <w:tr w:rsidR="00000000" w:rsidRPr="00F5723F">
        <w:tblPrEx>
          <w:tblCellMar>
            <w:top w:w="0" w:type="dxa"/>
            <w:bottom w:w="0" w:type="dxa"/>
          </w:tblCellMar>
        </w:tblPrEx>
        <w:tc>
          <w:tcPr>
            <w:tcW w:w="3205" w:type="dxa"/>
          </w:tcPr>
          <w:p w:rsidR="00B43C57" w:rsidRPr="00F5723F" w:rsidRDefault="00B43C57">
            <w:pPr>
              <w:pStyle w:val="Tabelltext"/>
            </w:pPr>
            <w:r w:rsidRPr="00F5723F">
              <w:t>Inläsning, information</w:t>
            </w:r>
          </w:p>
        </w:tc>
        <w:tc>
          <w:tcPr>
            <w:tcW w:w="1330" w:type="dxa"/>
          </w:tcPr>
          <w:p w:rsidR="00B43C57" w:rsidRPr="00F5723F" w:rsidRDefault="00B43C57">
            <w:pPr>
              <w:pStyle w:val="Tabelltextsiffror"/>
              <w:tabs>
                <w:tab w:val="decimal" w:pos="690"/>
              </w:tabs>
              <w:jc w:val="left"/>
            </w:pPr>
            <w:r w:rsidRPr="00F5723F">
              <w:t>19</w:t>
            </w:r>
          </w:p>
        </w:tc>
        <w:tc>
          <w:tcPr>
            <w:tcW w:w="1995" w:type="dxa"/>
          </w:tcPr>
          <w:p w:rsidR="00B43C57" w:rsidRPr="00F5723F" w:rsidRDefault="00B43C57">
            <w:pPr>
              <w:pStyle w:val="Tabelltextsiffror"/>
              <w:tabs>
                <w:tab w:val="decimal" w:pos="1070"/>
              </w:tabs>
              <w:jc w:val="left"/>
            </w:pPr>
            <w:r w:rsidRPr="00F5723F">
              <w:t>7</w:t>
            </w:r>
          </w:p>
        </w:tc>
      </w:tr>
      <w:tr w:rsidR="00000000" w:rsidRPr="00F5723F">
        <w:tblPrEx>
          <w:tblCellMar>
            <w:top w:w="0" w:type="dxa"/>
            <w:bottom w:w="0" w:type="dxa"/>
          </w:tblCellMar>
        </w:tblPrEx>
        <w:tc>
          <w:tcPr>
            <w:tcW w:w="3205" w:type="dxa"/>
          </w:tcPr>
          <w:p w:rsidR="00B43C57" w:rsidRPr="00F5723F" w:rsidRDefault="00B43C57">
            <w:pPr>
              <w:pStyle w:val="Tabelltext"/>
            </w:pPr>
            <w:r w:rsidRPr="00F5723F">
              <w:t>Votering</w:t>
            </w:r>
          </w:p>
        </w:tc>
        <w:tc>
          <w:tcPr>
            <w:tcW w:w="1330" w:type="dxa"/>
          </w:tcPr>
          <w:p w:rsidR="00B43C57" w:rsidRPr="00F5723F" w:rsidRDefault="00B43C57">
            <w:pPr>
              <w:pStyle w:val="Tabelltextsiffror"/>
              <w:tabs>
                <w:tab w:val="decimal" w:pos="690"/>
              </w:tabs>
              <w:jc w:val="left"/>
            </w:pPr>
            <w:r w:rsidRPr="00F5723F">
              <w:t>15</w:t>
            </w:r>
          </w:p>
        </w:tc>
        <w:tc>
          <w:tcPr>
            <w:tcW w:w="1995" w:type="dxa"/>
          </w:tcPr>
          <w:p w:rsidR="00B43C57" w:rsidRPr="00F5723F" w:rsidRDefault="00B43C57">
            <w:pPr>
              <w:pStyle w:val="Tabelltextsiffror"/>
              <w:tabs>
                <w:tab w:val="decimal" w:pos="1070"/>
              </w:tabs>
              <w:jc w:val="left"/>
            </w:pPr>
            <w:r w:rsidRPr="00F5723F">
              <w:t>5</w:t>
            </w:r>
          </w:p>
        </w:tc>
      </w:tr>
      <w:tr w:rsidR="00000000" w:rsidRPr="00F5723F">
        <w:tblPrEx>
          <w:tblCellMar>
            <w:top w:w="0" w:type="dxa"/>
            <w:bottom w:w="0" w:type="dxa"/>
          </w:tblCellMar>
        </w:tblPrEx>
        <w:tc>
          <w:tcPr>
            <w:tcW w:w="3205" w:type="dxa"/>
          </w:tcPr>
          <w:p w:rsidR="00B43C57" w:rsidRPr="00F5723F" w:rsidRDefault="00B43C57">
            <w:pPr>
              <w:pStyle w:val="Tabelltext"/>
            </w:pPr>
            <w:r w:rsidRPr="00F5723F">
              <w:t>Rese-/biljettbokning</w:t>
            </w:r>
          </w:p>
        </w:tc>
        <w:tc>
          <w:tcPr>
            <w:tcW w:w="1330" w:type="dxa"/>
          </w:tcPr>
          <w:p w:rsidR="00B43C57" w:rsidRPr="00F5723F" w:rsidRDefault="00B43C57">
            <w:pPr>
              <w:pStyle w:val="Tabelltextsiffror"/>
              <w:tabs>
                <w:tab w:val="decimal" w:pos="690"/>
              </w:tabs>
              <w:jc w:val="left"/>
            </w:pPr>
            <w:r w:rsidRPr="00F5723F">
              <w:t>11</w:t>
            </w:r>
          </w:p>
        </w:tc>
        <w:tc>
          <w:tcPr>
            <w:tcW w:w="1995" w:type="dxa"/>
          </w:tcPr>
          <w:p w:rsidR="00B43C57" w:rsidRPr="00F5723F" w:rsidRDefault="00B43C57">
            <w:pPr>
              <w:pStyle w:val="Tabelltextsiffror"/>
              <w:tabs>
                <w:tab w:val="decimal" w:pos="1070"/>
              </w:tabs>
              <w:jc w:val="left"/>
            </w:pPr>
            <w:r w:rsidRPr="00F5723F">
              <w:t>4</w:t>
            </w:r>
          </w:p>
        </w:tc>
      </w:tr>
      <w:tr w:rsidR="00000000" w:rsidRPr="00F5723F">
        <w:tblPrEx>
          <w:tblCellMar>
            <w:top w:w="0" w:type="dxa"/>
            <w:bottom w:w="0" w:type="dxa"/>
          </w:tblCellMar>
        </w:tblPrEx>
        <w:tc>
          <w:tcPr>
            <w:tcW w:w="3205" w:type="dxa"/>
          </w:tcPr>
          <w:p w:rsidR="00B43C57" w:rsidRPr="00F5723F" w:rsidRDefault="00B43C57">
            <w:pPr>
              <w:pStyle w:val="Tabelltext"/>
            </w:pPr>
            <w:r w:rsidRPr="00F5723F">
              <w:t>Besvara enkäter</w:t>
            </w:r>
          </w:p>
        </w:tc>
        <w:tc>
          <w:tcPr>
            <w:tcW w:w="1330" w:type="dxa"/>
          </w:tcPr>
          <w:p w:rsidR="00B43C57" w:rsidRPr="00F5723F" w:rsidRDefault="00B43C57">
            <w:pPr>
              <w:pStyle w:val="Tabelltextsiffror"/>
              <w:tabs>
                <w:tab w:val="decimal" w:pos="690"/>
              </w:tabs>
              <w:jc w:val="left"/>
            </w:pPr>
            <w:r w:rsidRPr="00F5723F">
              <w:t>8</w:t>
            </w:r>
          </w:p>
        </w:tc>
        <w:tc>
          <w:tcPr>
            <w:tcW w:w="1995" w:type="dxa"/>
          </w:tcPr>
          <w:p w:rsidR="00B43C57" w:rsidRPr="00F5723F" w:rsidRDefault="00B43C57">
            <w:pPr>
              <w:pStyle w:val="Tabelltextsiffror"/>
              <w:tabs>
                <w:tab w:val="decimal" w:pos="1070"/>
              </w:tabs>
              <w:jc w:val="left"/>
            </w:pPr>
            <w:r w:rsidRPr="00F5723F">
              <w:t>3</w:t>
            </w:r>
          </w:p>
        </w:tc>
      </w:tr>
      <w:tr w:rsidR="00000000" w:rsidRPr="00F5723F">
        <w:tblPrEx>
          <w:tblCellMar>
            <w:top w:w="0" w:type="dxa"/>
            <w:bottom w:w="0" w:type="dxa"/>
          </w:tblCellMar>
        </w:tblPrEx>
        <w:tc>
          <w:tcPr>
            <w:tcW w:w="3205" w:type="dxa"/>
            <w:tcBorders>
              <w:bottom w:val="nil"/>
            </w:tcBorders>
          </w:tcPr>
          <w:p w:rsidR="00B43C57" w:rsidRPr="00F5723F" w:rsidRDefault="00B43C57">
            <w:pPr>
              <w:pStyle w:val="Tabelltext"/>
              <w:rPr>
                <w:i/>
              </w:rPr>
            </w:pPr>
          </w:p>
        </w:tc>
        <w:tc>
          <w:tcPr>
            <w:tcW w:w="1330" w:type="dxa"/>
            <w:tcBorders>
              <w:bottom w:val="nil"/>
            </w:tcBorders>
          </w:tcPr>
          <w:p w:rsidR="00B43C57" w:rsidRPr="00F5723F" w:rsidRDefault="00B43C57">
            <w:pPr>
              <w:pStyle w:val="Tabelltextsiffror"/>
              <w:tabs>
                <w:tab w:val="decimal" w:pos="690"/>
              </w:tabs>
              <w:jc w:val="left"/>
              <w:rPr>
                <w:i/>
              </w:rPr>
            </w:pPr>
          </w:p>
        </w:tc>
        <w:tc>
          <w:tcPr>
            <w:tcW w:w="1995" w:type="dxa"/>
            <w:tcBorders>
              <w:bottom w:val="nil"/>
            </w:tcBorders>
          </w:tcPr>
          <w:p w:rsidR="00B43C57" w:rsidRPr="00F5723F" w:rsidRDefault="00B43C57">
            <w:pPr>
              <w:pStyle w:val="Tabelltextsiffror"/>
              <w:tabs>
                <w:tab w:val="decimal" w:pos="1070"/>
              </w:tabs>
              <w:jc w:val="left"/>
              <w:rPr>
                <w:i/>
              </w:rPr>
            </w:pPr>
          </w:p>
        </w:tc>
      </w:tr>
      <w:tr w:rsidR="00000000" w:rsidRPr="00F5723F">
        <w:tblPrEx>
          <w:tblCellMar>
            <w:top w:w="0" w:type="dxa"/>
            <w:bottom w:w="0" w:type="dxa"/>
          </w:tblCellMar>
        </w:tblPrEx>
        <w:tc>
          <w:tcPr>
            <w:tcW w:w="3205" w:type="dxa"/>
            <w:tcBorders>
              <w:top w:val="nil"/>
              <w:bottom w:val="nil"/>
            </w:tcBorders>
          </w:tcPr>
          <w:p w:rsidR="00B43C57" w:rsidRPr="00F5723F" w:rsidRDefault="00B43C57">
            <w:pPr>
              <w:pStyle w:val="Tabelltext"/>
              <w:rPr>
                <w:i/>
              </w:rPr>
            </w:pPr>
            <w:r w:rsidRPr="00F5723F">
              <w:rPr>
                <w:i/>
              </w:rPr>
              <w:t>Totalt</w:t>
            </w:r>
          </w:p>
        </w:tc>
        <w:tc>
          <w:tcPr>
            <w:tcW w:w="1330" w:type="dxa"/>
            <w:tcBorders>
              <w:top w:val="nil"/>
              <w:bottom w:val="nil"/>
            </w:tcBorders>
          </w:tcPr>
          <w:p w:rsidR="00B43C57" w:rsidRPr="00F5723F" w:rsidRDefault="00B43C57">
            <w:pPr>
              <w:pStyle w:val="Tabelltextsiffror"/>
              <w:tabs>
                <w:tab w:val="decimal" w:pos="690"/>
              </w:tabs>
              <w:jc w:val="left"/>
              <w:rPr>
                <w:i/>
              </w:rPr>
            </w:pPr>
            <w:r w:rsidRPr="00F5723F">
              <w:rPr>
                <w:i/>
              </w:rPr>
              <w:t>297</w:t>
            </w:r>
          </w:p>
        </w:tc>
        <w:tc>
          <w:tcPr>
            <w:tcW w:w="1995" w:type="dxa"/>
            <w:tcBorders>
              <w:top w:val="nil"/>
              <w:bottom w:val="nil"/>
            </w:tcBorders>
          </w:tcPr>
          <w:p w:rsidR="00B43C57" w:rsidRPr="00F5723F" w:rsidRDefault="00B43C57">
            <w:pPr>
              <w:pStyle w:val="Tabelltextsiffror"/>
              <w:tabs>
                <w:tab w:val="decimal" w:pos="1070"/>
              </w:tabs>
              <w:jc w:val="left"/>
              <w:rPr>
                <w:i/>
              </w:rPr>
            </w:pPr>
            <w:r w:rsidRPr="00F5723F">
              <w:rPr>
                <w:i/>
              </w:rPr>
              <w:t>100</w:t>
            </w:r>
          </w:p>
        </w:tc>
      </w:tr>
      <w:tr w:rsidR="00000000" w:rsidRPr="00F5723F">
        <w:tblPrEx>
          <w:tblCellMar>
            <w:top w:w="0" w:type="dxa"/>
            <w:bottom w:w="0" w:type="dxa"/>
          </w:tblCellMar>
        </w:tblPrEx>
        <w:tc>
          <w:tcPr>
            <w:tcW w:w="3205" w:type="dxa"/>
            <w:tcBorders>
              <w:top w:val="nil"/>
              <w:bottom w:val="single" w:sz="4" w:space="0" w:color="auto"/>
            </w:tcBorders>
          </w:tcPr>
          <w:p w:rsidR="00B43C57" w:rsidRPr="00F5723F" w:rsidRDefault="00B43C57">
            <w:pPr>
              <w:pStyle w:val="Tabelltext"/>
              <w:rPr>
                <w:i/>
              </w:rPr>
            </w:pPr>
          </w:p>
        </w:tc>
        <w:tc>
          <w:tcPr>
            <w:tcW w:w="1330" w:type="dxa"/>
            <w:tcBorders>
              <w:top w:val="nil"/>
              <w:bottom w:val="single" w:sz="4" w:space="0" w:color="auto"/>
            </w:tcBorders>
          </w:tcPr>
          <w:p w:rsidR="00B43C57" w:rsidRPr="00F5723F" w:rsidRDefault="00B43C57">
            <w:pPr>
              <w:pStyle w:val="Tabelltextsiffror"/>
              <w:tabs>
                <w:tab w:val="decimal" w:pos="690"/>
              </w:tabs>
              <w:jc w:val="left"/>
              <w:rPr>
                <w:i/>
              </w:rPr>
            </w:pPr>
          </w:p>
        </w:tc>
        <w:tc>
          <w:tcPr>
            <w:tcW w:w="1995" w:type="dxa"/>
            <w:tcBorders>
              <w:top w:val="nil"/>
              <w:bottom w:val="single" w:sz="4" w:space="0" w:color="auto"/>
            </w:tcBorders>
          </w:tcPr>
          <w:p w:rsidR="00B43C57" w:rsidRPr="00F5723F" w:rsidRDefault="00B43C57">
            <w:pPr>
              <w:pStyle w:val="Tabelltextsiffror"/>
              <w:tabs>
                <w:tab w:val="decimal" w:pos="1070"/>
              </w:tabs>
              <w:jc w:val="left"/>
              <w:rPr>
                <w:i/>
              </w:rPr>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Källa:</w:t>
      </w:r>
      <w:r w:rsidRPr="00F5723F">
        <w:rPr>
          <w:rFonts w:ascii="Arial" w:hAnsi="Arial" w:cs="Arial"/>
          <w:sz w:val="16"/>
          <w:szCs w:val="16"/>
        </w:rPr>
        <w:t xml:space="preserve"> Riksdagskommitténs enkätundersökning 2004.</w:t>
      </w:r>
    </w:p>
    <w:p w:rsidR="00B43C57" w:rsidRPr="00F5723F" w:rsidRDefault="00B43C57">
      <w:pPr>
        <w:rPr>
          <w:rFonts w:ascii="Arial" w:hAnsi="Arial" w:cs="Arial"/>
          <w:sz w:val="16"/>
          <w:szCs w:val="16"/>
        </w:rPr>
      </w:pPr>
    </w:p>
    <w:p w:rsidR="00B43C57" w:rsidRPr="00F5723F" w:rsidRDefault="00B43C57">
      <w:r w:rsidRPr="00F5723F">
        <w:t>En enkel sammanfattning av resultaten visar att ledamöterna inte vill vara bundna till sitt kontor. Man skulle bildligt kunna säga att ledam</w:t>
      </w:r>
      <w:r w:rsidRPr="00F5723F">
        <w:t>ö</w:t>
      </w:r>
      <w:r w:rsidRPr="00F5723F">
        <w:t>terna, av svaren att döma, önskar minimera tiden vid skrivbordet, åtmi</w:t>
      </w:r>
      <w:r w:rsidRPr="00F5723F">
        <w:t>n</w:t>
      </w:r>
      <w:r w:rsidRPr="00F5723F">
        <w:t xml:space="preserve">stone i den del som behöver genomföras vid skrivbordet och inte kan förläggas till läsfåtöljen bredvid. </w:t>
      </w:r>
    </w:p>
    <w:p w:rsidR="00B43C57" w:rsidRPr="00F5723F" w:rsidRDefault="00B43C57">
      <w:pPr>
        <w:pStyle w:val="Normaltindrag"/>
      </w:pPr>
      <w:r w:rsidRPr="00F5723F">
        <w:t>Den uppgift som nämns flest gånger (108 gånger) av ledamöterna är pos</w:t>
      </w:r>
      <w:r w:rsidRPr="00F5723F">
        <w:t>t</w:t>
      </w:r>
      <w:r w:rsidRPr="00F5723F">
        <w:t>hantering, såväl vanlig post som elektronisk. Omfattningen av arbetet med denna önskar ledam</w:t>
      </w:r>
      <w:r w:rsidRPr="00F5723F">
        <w:t>ö</w:t>
      </w:r>
      <w:r w:rsidRPr="00F5723F">
        <w:t>terna märkbart minska. Svar som ”att sortera papper och gå igenom post”, ”e-posten och vanliga posten” är vanliga under denna kat</w:t>
      </w:r>
      <w:r w:rsidRPr="00F5723F">
        <w:t>e</w:t>
      </w:r>
      <w:r w:rsidRPr="00F5723F">
        <w:t>gori.</w:t>
      </w:r>
      <w:r w:rsidRPr="00F5723F">
        <w:rPr>
          <w:rStyle w:val="Fotnotsreferens"/>
        </w:rPr>
        <w:footnoteReference w:id="135"/>
      </w:r>
      <w:r w:rsidRPr="00F5723F">
        <w:t xml:space="preserve"> Posthanteringen får därmed utgöra en egen kategori i redovisningen även om den ligger nära kategorin ”adminis</w:t>
      </w:r>
      <w:r w:rsidRPr="00F5723F">
        <w:t>t</w:t>
      </w:r>
      <w:r w:rsidRPr="00F5723F">
        <w:t>rativa uppgifter”, vilken samlar totalt 55 svar. Till de administrativa uppgifterna hä</w:t>
      </w:r>
      <w:r w:rsidRPr="00F5723F">
        <w:t>n</w:t>
      </w:r>
      <w:r w:rsidRPr="00F5723F">
        <w:t>för ledamöter sådant som beställning av resor, bokning av möten och liknande. Bo</w:t>
      </w:r>
      <w:r w:rsidRPr="00F5723F">
        <w:t>k</w:t>
      </w:r>
      <w:r w:rsidRPr="00F5723F">
        <w:t>ning och kontakter med mötesarrangörer och andra praktiska aspekter av ledamotsk</w:t>
      </w:r>
      <w:r w:rsidRPr="00F5723F">
        <w:t>a</w:t>
      </w:r>
      <w:r w:rsidRPr="00F5723F">
        <w:t>pet hör också hit: ”det finns praktiska saker och sekreterarjobb”, eller ”beställa bilje</w:t>
      </w:r>
      <w:r w:rsidRPr="00F5723F">
        <w:t>t</w:t>
      </w:r>
      <w:r w:rsidRPr="00F5723F">
        <w:t>ter, hålla kontakt med mötesarrangörer, konferensarrangörer, be</w:t>
      </w:r>
      <w:r w:rsidRPr="00F5723F">
        <w:t>svara inbju</w:t>
      </w:r>
      <w:r w:rsidRPr="00F5723F">
        <w:t>d</w:t>
      </w:r>
      <w:r w:rsidRPr="00F5723F">
        <w:t>ningar och så vidare, det vill säga administr</w:t>
      </w:r>
      <w:r w:rsidRPr="00F5723F">
        <w:t>a</w:t>
      </w:r>
      <w:r w:rsidRPr="00F5723F">
        <w:t xml:space="preserve">tion”. </w:t>
      </w:r>
    </w:p>
    <w:p w:rsidR="00B43C57" w:rsidRPr="00F5723F" w:rsidRDefault="00B43C57">
      <w:pPr>
        <w:pStyle w:val="Normaltindrag"/>
      </w:pPr>
      <w:r w:rsidRPr="00F5723F">
        <w:t>Något som många ledamöter också önskar minska är sammanträdestiden. Svaren om sammanträdena handlar om att helt ta bort, minska och strukturera mötena. Led</w:t>
      </w:r>
      <w:r w:rsidRPr="00F5723F">
        <w:t>a</w:t>
      </w:r>
      <w:r w:rsidRPr="00F5723F">
        <w:t>möter talar om onödiga sammanträden, om långa sammanträden och om rutinmässiga och illa planerade eller ledda sammanträden: ”illa planerade sammanträden”, ”ruti</w:t>
      </w:r>
      <w:r w:rsidRPr="00F5723F">
        <w:t>n</w:t>
      </w:r>
      <w:r w:rsidRPr="00F5723F">
        <w:t>mässig ärendeberedning i utskott och kammare” och ”olika möten som är [ett] måste”.</w:t>
      </w:r>
    </w:p>
    <w:p w:rsidR="00B43C57" w:rsidRPr="00F5723F" w:rsidRDefault="00B43C57">
      <w:pPr>
        <w:pStyle w:val="Normaltindrag"/>
      </w:pPr>
      <w:r w:rsidRPr="00F5723F">
        <w:t>Även voteringarna, vilka i sig är en typ av (kammar-)sammanträden, är det vissa ledamöter som vill minska på.</w:t>
      </w:r>
      <w:r w:rsidRPr="00F5723F">
        <w:rPr>
          <w:rStyle w:val="Fotnotsreferens"/>
        </w:rPr>
        <w:footnoteReference w:id="136"/>
      </w:r>
      <w:r w:rsidRPr="00F5723F">
        <w:t xml:space="preserve"> Mest kraftfullt uttrycks det av en ma</w:t>
      </w:r>
      <w:r w:rsidRPr="00F5723F">
        <w:t>n</w:t>
      </w:r>
      <w:r w:rsidRPr="00F5723F">
        <w:t>lig moderat ledamot: ”voteringar – bortkastad, meningslös tid som förkortar våra liv”. Andra ledamöter menar att ”voteringarna är onödigt byråkratiska” eller att ”kammarbehan</w:t>
      </w:r>
      <w:r w:rsidRPr="00F5723F">
        <w:t>d</w:t>
      </w:r>
      <w:r w:rsidRPr="00F5723F">
        <w:t>ling och då särskilt vote</w:t>
      </w:r>
      <w:r w:rsidRPr="00F5723F">
        <w:t>r</w:t>
      </w:r>
      <w:r w:rsidRPr="00F5723F">
        <w:t>ingarna [som] har spritts ut på alltför många tillfällen”.</w:t>
      </w:r>
    </w:p>
    <w:p w:rsidR="00B43C57" w:rsidRPr="00F5723F" w:rsidRDefault="00B43C57">
      <w:pPr>
        <w:pStyle w:val="Normaltindrag"/>
      </w:pPr>
      <w:r w:rsidRPr="00F5723F">
        <w:t>En kategori skiljer ut sig från de övriga angivna uppgifterna. Om de nu diskuterade kategorierna, med undantag för voteringarna, närmast kan sammanfattas i ”sekretera</w:t>
      </w:r>
      <w:r w:rsidRPr="00F5723F">
        <w:t>r</w:t>
      </w:r>
      <w:r w:rsidRPr="00F5723F">
        <w:t>uppgifter” ligger både voteringarna och motionshante</w:t>
      </w:r>
      <w:r w:rsidRPr="00F5723F">
        <w:t>r</w:t>
      </w:r>
      <w:r w:rsidRPr="00F5723F">
        <w:t>ingen närmare det egentliga riksdagsuppdraget. Motionshanteringen är det 20 ledamöter som nämner att de vill ägna mindre tid åt. Ingen annan egentlig riksdagsuppgift än voteringar och motion</w:t>
      </w:r>
      <w:r w:rsidRPr="00F5723F">
        <w:t>s</w:t>
      </w:r>
      <w:r w:rsidRPr="00F5723F">
        <w:t>hantering uppmärksammas i samma u</w:t>
      </w:r>
      <w:r w:rsidRPr="00F5723F">
        <w:t>t</w:t>
      </w:r>
      <w:r w:rsidRPr="00F5723F">
        <w:t xml:space="preserve">sträckning i enkäten. </w:t>
      </w:r>
    </w:p>
    <w:p w:rsidR="00B43C57" w:rsidRPr="00F5723F" w:rsidRDefault="00B43C57">
      <w:pPr>
        <w:pStyle w:val="Rubrik3"/>
        <w:rPr>
          <w:noProof w:val="0"/>
        </w:rPr>
      </w:pPr>
      <w:bookmarkStart w:id="269" w:name="_Toc98075750"/>
      <w:bookmarkStart w:id="270" w:name="_Toc121738980"/>
      <w:bookmarkStart w:id="271" w:name="_Toc124697863"/>
      <w:r w:rsidRPr="00F5723F">
        <w:rPr>
          <w:noProof w:val="0"/>
        </w:rPr>
        <w:t>Förslag till förändringar</w:t>
      </w:r>
      <w:bookmarkEnd w:id="269"/>
      <w:bookmarkEnd w:id="270"/>
      <w:bookmarkEnd w:id="271"/>
    </w:p>
    <w:p w:rsidR="00B43C57" w:rsidRPr="00F5723F" w:rsidRDefault="00B43C57">
      <w:r w:rsidRPr="00F5723F">
        <w:t>Ledamöterna har också fått möjlighet att ge förslag till förändringar av riksdagsarb</w:t>
      </w:r>
      <w:r w:rsidRPr="00F5723F">
        <w:t>e</w:t>
      </w:r>
      <w:r w:rsidRPr="00F5723F">
        <w:t xml:space="preserve">tet. Frågan som ledamöterna fick besvara löd: </w:t>
      </w:r>
      <w:r w:rsidRPr="00F5723F">
        <w:t>”Har Du några förslag på åtgärder som skulle kunna vidtas för att direkt påverka tidsåtgången i riksdagsarbetet?”</w:t>
      </w:r>
      <w:r w:rsidRPr="00F5723F">
        <w:t xml:space="preserve"> Totalt lä</w:t>
      </w:r>
      <w:r w:rsidRPr="00F5723F">
        <w:t>m</w:t>
      </w:r>
      <w:r w:rsidRPr="00F5723F">
        <w:t>nade ledamöterna 208 förslag på åtgärder som kan påverka tidsåtgången i riksdagsa</w:t>
      </w:r>
      <w:r w:rsidRPr="00F5723F">
        <w:t>r</w:t>
      </w:r>
      <w:r w:rsidRPr="00F5723F">
        <w:t>betet.</w:t>
      </w:r>
      <w:r w:rsidRPr="00F5723F">
        <w:rPr>
          <w:rStyle w:val="Fotnotsreferens"/>
          <w:rFonts w:ascii="Garamond" w:hAnsi="Garamond"/>
        </w:rPr>
        <w:footnoteReference w:id="137"/>
      </w:r>
      <w:r w:rsidRPr="00F5723F">
        <w:t xml:space="preserve"> </w:t>
      </w:r>
    </w:p>
    <w:p w:rsidR="00B43C57" w:rsidRPr="00F5723F" w:rsidRDefault="00B43C57">
      <w:pPr>
        <w:pStyle w:val="Normaltindrag"/>
      </w:pPr>
      <w:r w:rsidRPr="00F5723F">
        <w:t>Svaren har analyserats utifrån ett försök att avgöra var i organisationen kring led</w:t>
      </w:r>
      <w:r w:rsidRPr="00F5723F">
        <w:t>a</w:t>
      </w:r>
      <w:r w:rsidRPr="00F5723F">
        <w:t>möterna som lösningen och förslaget kan förläggas. Teoretiskt har förutsatts att led</w:t>
      </w:r>
      <w:r w:rsidRPr="00F5723F">
        <w:t>a</w:t>
      </w:r>
      <w:r w:rsidRPr="00F5723F">
        <w:t xml:space="preserve">möterna kan få hjälp att organisera sin verksamhet från i huvudsak tre håll som är utom räckhåll för </w:t>
      </w:r>
      <w:r w:rsidRPr="00F5723F">
        <w:rPr>
          <w:i/>
        </w:rPr>
        <w:t>riksdagsledamotens egna prioriteringar</w:t>
      </w:r>
      <w:r w:rsidRPr="00F5723F">
        <w:t xml:space="preserve">. </w:t>
      </w:r>
      <w:r w:rsidRPr="00F5723F">
        <w:rPr>
          <w:i/>
        </w:rPr>
        <w:t>Rik</w:t>
      </w:r>
      <w:r w:rsidRPr="00F5723F">
        <w:rPr>
          <w:i/>
        </w:rPr>
        <w:t>s</w:t>
      </w:r>
      <w:r w:rsidRPr="00F5723F">
        <w:rPr>
          <w:i/>
        </w:rPr>
        <w:t>dagsförvaltningen</w:t>
      </w:r>
      <w:r w:rsidRPr="00F5723F">
        <w:t xml:space="preserve"> kan bistå med administrativ hjälp av olika slag (till exempel våningsassistenter och IT-stöd). </w:t>
      </w:r>
      <w:r w:rsidRPr="00F5723F">
        <w:rPr>
          <w:i/>
        </w:rPr>
        <w:t>Partigruppskansliet</w:t>
      </w:r>
      <w:r w:rsidRPr="00F5723F">
        <w:t xml:space="preserve"> kan, såsom lö</w:t>
      </w:r>
      <w:r w:rsidRPr="00F5723F">
        <w:t>s</w:t>
      </w:r>
      <w:r w:rsidRPr="00F5723F">
        <w:t>ningen med dagens politiska sekreterare ser ut, bidra på olika sätt med stöd i ledamotens arbete. Likaså kan olika åtgärder och försla</w:t>
      </w:r>
      <w:r w:rsidRPr="00F5723F">
        <w:t xml:space="preserve">g till förändrade arbetsformer för </w:t>
      </w:r>
      <w:r w:rsidRPr="00F5723F">
        <w:rPr>
          <w:i/>
        </w:rPr>
        <w:t>utskotten</w:t>
      </w:r>
      <w:r w:rsidRPr="00F5723F">
        <w:t xml:space="preserve"> bidra till att ledamotens arbetssitu</w:t>
      </w:r>
      <w:r w:rsidRPr="00F5723F">
        <w:t>a</w:t>
      </w:r>
      <w:r w:rsidRPr="00F5723F">
        <w:t>tion fö</w:t>
      </w:r>
      <w:r w:rsidRPr="00F5723F">
        <w:t>r</w:t>
      </w:r>
      <w:r w:rsidRPr="00F5723F">
        <w:t>bättras. De förslag och åtgärder som listats av ledamöterna i enkätsvaren har därför k</w:t>
      </w:r>
      <w:r w:rsidRPr="00F5723F">
        <w:t>o</w:t>
      </w:r>
      <w:r w:rsidRPr="00F5723F">
        <w:t xml:space="preserve">dats utifrån om de hör hemma i </w:t>
      </w:r>
      <w:r w:rsidRPr="00F5723F">
        <w:rPr>
          <w:vertAlign w:val="superscript"/>
        </w:rPr>
        <w:t>1)</w:t>
      </w:r>
      <w:r w:rsidRPr="00F5723F">
        <w:t xml:space="preserve"> riksdagen, </w:t>
      </w:r>
      <w:r w:rsidRPr="00F5723F">
        <w:rPr>
          <w:vertAlign w:val="superscript"/>
        </w:rPr>
        <w:t>2)</w:t>
      </w:r>
      <w:r w:rsidRPr="00F5723F">
        <w:t xml:space="preserve"> utskotten, </w:t>
      </w:r>
      <w:r w:rsidRPr="00F5723F">
        <w:rPr>
          <w:vertAlign w:val="superscript"/>
        </w:rPr>
        <w:t>3)</w:t>
      </w:r>
      <w:r w:rsidRPr="00F5723F">
        <w:t xml:space="preserve"> partigruppen eller </w:t>
      </w:r>
      <w:r w:rsidRPr="00F5723F">
        <w:rPr>
          <w:vertAlign w:val="superscript"/>
        </w:rPr>
        <w:t>4)</w:t>
      </w:r>
      <w:r w:rsidRPr="00F5723F">
        <w:t xml:space="preserve"> ligger på den enskilda riksdagsledam</w:t>
      </w:r>
      <w:r w:rsidRPr="00F5723F">
        <w:t>o</w:t>
      </w:r>
      <w:r w:rsidRPr="00F5723F">
        <w:t xml:space="preserve">ten. </w:t>
      </w:r>
    </w:p>
    <w:p w:rsidR="00B43C57" w:rsidRPr="00F5723F" w:rsidRDefault="00B43C57">
      <w:pPr>
        <w:pStyle w:val="Tabellrubrik"/>
      </w:pPr>
      <w:r w:rsidRPr="00F5723F">
        <w:t>Tabell 14 Förslag till åtgärder</w:t>
      </w:r>
    </w:p>
    <w:tbl>
      <w:tblPr>
        <w:tblW w:w="0" w:type="auto"/>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3472"/>
        <w:gridCol w:w="1588"/>
        <w:gridCol w:w="1588"/>
      </w:tblGrid>
      <w:tr w:rsidR="00000000" w:rsidRPr="00F5723F">
        <w:tblPrEx>
          <w:tblCellMar>
            <w:top w:w="0" w:type="dxa"/>
            <w:bottom w:w="0" w:type="dxa"/>
          </w:tblCellMar>
        </w:tblPrEx>
        <w:tc>
          <w:tcPr>
            <w:tcW w:w="3472" w:type="dxa"/>
            <w:tcBorders>
              <w:top w:val="single" w:sz="4" w:space="0" w:color="auto"/>
              <w:bottom w:val="single" w:sz="4" w:space="0" w:color="auto"/>
            </w:tcBorders>
          </w:tcPr>
          <w:p w:rsidR="00B43C57" w:rsidRPr="00F5723F" w:rsidRDefault="00B43C57">
            <w:pPr>
              <w:pStyle w:val="Tabelltext"/>
            </w:pPr>
          </w:p>
        </w:tc>
        <w:tc>
          <w:tcPr>
            <w:tcW w:w="1588" w:type="dxa"/>
            <w:tcBorders>
              <w:top w:val="single" w:sz="4" w:space="0" w:color="auto"/>
              <w:bottom w:val="single" w:sz="4" w:space="0" w:color="auto"/>
            </w:tcBorders>
          </w:tcPr>
          <w:p w:rsidR="00B43C57" w:rsidRPr="00F5723F" w:rsidRDefault="00B43C57">
            <w:pPr>
              <w:pStyle w:val="Tabelltext"/>
              <w:jc w:val="center"/>
            </w:pPr>
            <w:r w:rsidRPr="00F5723F">
              <w:t>Antal</w:t>
            </w:r>
          </w:p>
        </w:tc>
        <w:tc>
          <w:tcPr>
            <w:tcW w:w="1588" w:type="dxa"/>
            <w:tcBorders>
              <w:top w:val="single" w:sz="4" w:space="0" w:color="auto"/>
              <w:bottom w:val="single" w:sz="4" w:space="0" w:color="auto"/>
            </w:tcBorders>
          </w:tcPr>
          <w:p w:rsidR="00B43C57" w:rsidRPr="00F5723F" w:rsidRDefault="00B43C57">
            <w:pPr>
              <w:pStyle w:val="Tabelltext"/>
              <w:jc w:val="center"/>
            </w:pPr>
            <w:r w:rsidRPr="00F5723F">
              <w:t>Procent</w:t>
            </w:r>
          </w:p>
        </w:tc>
      </w:tr>
      <w:tr w:rsidR="00000000" w:rsidRPr="00F5723F">
        <w:tblPrEx>
          <w:tblCellMar>
            <w:top w:w="0" w:type="dxa"/>
            <w:bottom w:w="0" w:type="dxa"/>
          </w:tblCellMar>
        </w:tblPrEx>
        <w:tc>
          <w:tcPr>
            <w:tcW w:w="3472" w:type="dxa"/>
            <w:tcBorders>
              <w:top w:val="single" w:sz="4" w:space="0" w:color="auto"/>
              <w:bottom w:val="nil"/>
            </w:tcBorders>
          </w:tcPr>
          <w:p w:rsidR="00B43C57" w:rsidRPr="00F5723F" w:rsidRDefault="00B43C57">
            <w:pPr>
              <w:pStyle w:val="Tabelltext"/>
            </w:pPr>
          </w:p>
        </w:tc>
        <w:tc>
          <w:tcPr>
            <w:tcW w:w="1588" w:type="dxa"/>
            <w:tcBorders>
              <w:top w:val="single" w:sz="4" w:space="0" w:color="auto"/>
              <w:bottom w:val="nil"/>
            </w:tcBorders>
          </w:tcPr>
          <w:p w:rsidR="00B43C57" w:rsidRPr="00F5723F" w:rsidRDefault="00B43C57">
            <w:pPr>
              <w:pStyle w:val="Tabelltext"/>
            </w:pPr>
          </w:p>
        </w:tc>
        <w:tc>
          <w:tcPr>
            <w:tcW w:w="1588" w:type="dxa"/>
            <w:tcBorders>
              <w:top w:val="single" w:sz="4" w:space="0" w:color="auto"/>
              <w:bottom w:val="nil"/>
            </w:tcBorders>
          </w:tcPr>
          <w:p w:rsidR="00B43C57" w:rsidRPr="00F5723F" w:rsidRDefault="00B43C57">
            <w:pPr>
              <w:pStyle w:val="Tabelltext"/>
            </w:pPr>
          </w:p>
        </w:tc>
      </w:tr>
      <w:tr w:rsidR="00000000" w:rsidRPr="00F5723F">
        <w:tblPrEx>
          <w:tblCellMar>
            <w:top w:w="0" w:type="dxa"/>
            <w:bottom w:w="0" w:type="dxa"/>
          </w:tblCellMar>
        </w:tblPrEx>
        <w:tc>
          <w:tcPr>
            <w:tcW w:w="3472" w:type="dxa"/>
          </w:tcPr>
          <w:p w:rsidR="00B43C57" w:rsidRPr="00F5723F" w:rsidRDefault="00B43C57">
            <w:pPr>
              <w:pStyle w:val="Tabelltext"/>
              <w:rPr>
                <w:b/>
              </w:rPr>
            </w:pPr>
            <w:r w:rsidRPr="00F5723F">
              <w:rPr>
                <w:b/>
              </w:rPr>
              <w:t>Riksdagen</w:t>
            </w:r>
          </w:p>
        </w:tc>
        <w:tc>
          <w:tcPr>
            <w:tcW w:w="1588" w:type="dxa"/>
          </w:tcPr>
          <w:p w:rsidR="00B43C57" w:rsidRPr="00F5723F" w:rsidRDefault="00B43C57">
            <w:pPr>
              <w:pStyle w:val="Tabelltext"/>
            </w:pPr>
          </w:p>
        </w:tc>
        <w:tc>
          <w:tcPr>
            <w:tcW w:w="1588" w:type="dxa"/>
          </w:tcPr>
          <w:p w:rsidR="00B43C57" w:rsidRPr="00F5723F" w:rsidRDefault="00B43C57">
            <w:pPr>
              <w:pStyle w:val="Tabelltext"/>
            </w:pPr>
          </w:p>
        </w:tc>
      </w:tr>
      <w:tr w:rsidR="00000000" w:rsidRPr="00F5723F">
        <w:tblPrEx>
          <w:tblCellMar>
            <w:top w:w="0" w:type="dxa"/>
            <w:bottom w:w="0" w:type="dxa"/>
          </w:tblCellMar>
        </w:tblPrEx>
        <w:tc>
          <w:tcPr>
            <w:tcW w:w="3472" w:type="dxa"/>
          </w:tcPr>
          <w:p w:rsidR="00B43C57" w:rsidRPr="00F5723F" w:rsidRDefault="00B43C57">
            <w:pPr>
              <w:pStyle w:val="Tabelltext"/>
            </w:pPr>
            <w:r w:rsidRPr="00F5723F">
              <w:t>IT, tekniska hjälpmedel</w:t>
            </w:r>
          </w:p>
        </w:tc>
        <w:tc>
          <w:tcPr>
            <w:tcW w:w="1588" w:type="dxa"/>
          </w:tcPr>
          <w:p w:rsidR="00B43C57" w:rsidRPr="00F5723F" w:rsidRDefault="00B43C57">
            <w:pPr>
              <w:pStyle w:val="Tabelltext"/>
              <w:tabs>
                <w:tab w:val="decimal" w:pos="803"/>
              </w:tabs>
            </w:pPr>
            <w:r w:rsidRPr="00F5723F">
              <w:t>49</w:t>
            </w:r>
          </w:p>
        </w:tc>
        <w:tc>
          <w:tcPr>
            <w:tcW w:w="1588" w:type="dxa"/>
          </w:tcPr>
          <w:p w:rsidR="00B43C57" w:rsidRPr="00F5723F" w:rsidRDefault="00B43C57">
            <w:pPr>
              <w:pStyle w:val="Tabelltext"/>
              <w:tabs>
                <w:tab w:val="decimal" w:pos="803"/>
              </w:tabs>
            </w:pPr>
            <w:r w:rsidRPr="00F5723F">
              <w:t>24</w:t>
            </w:r>
          </w:p>
        </w:tc>
      </w:tr>
      <w:tr w:rsidR="00000000" w:rsidRPr="00F5723F">
        <w:tblPrEx>
          <w:tblCellMar>
            <w:top w:w="0" w:type="dxa"/>
            <w:bottom w:w="0" w:type="dxa"/>
          </w:tblCellMar>
        </w:tblPrEx>
        <w:tc>
          <w:tcPr>
            <w:tcW w:w="3472" w:type="dxa"/>
          </w:tcPr>
          <w:p w:rsidR="00B43C57" w:rsidRPr="00F5723F" w:rsidRDefault="00B43C57">
            <w:pPr>
              <w:pStyle w:val="Tabelltext"/>
            </w:pPr>
            <w:r w:rsidRPr="00F5723F">
              <w:t>Voteringar/sammanträden</w:t>
            </w:r>
          </w:p>
        </w:tc>
        <w:tc>
          <w:tcPr>
            <w:tcW w:w="1588" w:type="dxa"/>
          </w:tcPr>
          <w:p w:rsidR="00B43C57" w:rsidRPr="00F5723F" w:rsidRDefault="00B43C57">
            <w:pPr>
              <w:pStyle w:val="Tabelltext"/>
              <w:tabs>
                <w:tab w:val="decimal" w:pos="803"/>
              </w:tabs>
            </w:pPr>
            <w:r w:rsidRPr="00F5723F">
              <w:t>27</w:t>
            </w:r>
          </w:p>
        </w:tc>
        <w:tc>
          <w:tcPr>
            <w:tcW w:w="1588" w:type="dxa"/>
          </w:tcPr>
          <w:p w:rsidR="00B43C57" w:rsidRPr="00F5723F" w:rsidRDefault="00B43C57">
            <w:pPr>
              <w:pStyle w:val="Tabelltext"/>
              <w:tabs>
                <w:tab w:val="decimal" w:pos="803"/>
              </w:tabs>
            </w:pPr>
            <w:r w:rsidRPr="00F5723F">
              <w:t>13</w:t>
            </w:r>
          </w:p>
        </w:tc>
      </w:tr>
      <w:tr w:rsidR="00000000" w:rsidRPr="00F5723F">
        <w:tblPrEx>
          <w:tblCellMar>
            <w:top w:w="0" w:type="dxa"/>
            <w:bottom w:w="0" w:type="dxa"/>
          </w:tblCellMar>
        </w:tblPrEx>
        <w:tc>
          <w:tcPr>
            <w:tcW w:w="3472" w:type="dxa"/>
          </w:tcPr>
          <w:p w:rsidR="00B43C57" w:rsidRPr="00F5723F" w:rsidRDefault="00B43C57">
            <w:pPr>
              <w:pStyle w:val="Tabelltext"/>
            </w:pPr>
            <w:r w:rsidRPr="00F5723F">
              <w:t>Arbetsplanering/rationalisering</w:t>
            </w:r>
          </w:p>
        </w:tc>
        <w:tc>
          <w:tcPr>
            <w:tcW w:w="1588" w:type="dxa"/>
          </w:tcPr>
          <w:p w:rsidR="00B43C57" w:rsidRPr="00F5723F" w:rsidRDefault="00B43C57">
            <w:pPr>
              <w:pStyle w:val="Tabelltext"/>
              <w:tabs>
                <w:tab w:val="decimal" w:pos="803"/>
              </w:tabs>
            </w:pPr>
            <w:r w:rsidRPr="00F5723F">
              <w:t>18</w:t>
            </w:r>
          </w:p>
        </w:tc>
        <w:tc>
          <w:tcPr>
            <w:tcW w:w="1588" w:type="dxa"/>
          </w:tcPr>
          <w:p w:rsidR="00B43C57" w:rsidRPr="00F5723F" w:rsidRDefault="00B43C57">
            <w:pPr>
              <w:pStyle w:val="Tabelltext"/>
              <w:tabs>
                <w:tab w:val="decimal" w:pos="803"/>
              </w:tabs>
            </w:pPr>
            <w:r w:rsidRPr="00F5723F">
              <w:t>9</w:t>
            </w:r>
          </w:p>
        </w:tc>
      </w:tr>
      <w:tr w:rsidR="00000000" w:rsidRPr="00F5723F">
        <w:tblPrEx>
          <w:tblCellMar>
            <w:top w:w="0" w:type="dxa"/>
            <w:bottom w:w="0" w:type="dxa"/>
          </w:tblCellMar>
        </w:tblPrEx>
        <w:tc>
          <w:tcPr>
            <w:tcW w:w="3472" w:type="dxa"/>
            <w:tcBorders>
              <w:top w:val="nil"/>
            </w:tcBorders>
          </w:tcPr>
          <w:p w:rsidR="00B43C57" w:rsidRPr="00F5723F" w:rsidRDefault="00B43C57">
            <w:pPr>
              <w:pStyle w:val="Tabelltext"/>
            </w:pPr>
          </w:p>
        </w:tc>
        <w:tc>
          <w:tcPr>
            <w:tcW w:w="1588" w:type="dxa"/>
            <w:tcBorders>
              <w:top w:val="nil"/>
            </w:tcBorders>
          </w:tcPr>
          <w:p w:rsidR="00B43C57" w:rsidRPr="00F5723F" w:rsidRDefault="00B43C57">
            <w:pPr>
              <w:pStyle w:val="Tabelltext"/>
              <w:tabs>
                <w:tab w:val="decimal" w:pos="803"/>
              </w:tabs>
            </w:pPr>
          </w:p>
        </w:tc>
        <w:tc>
          <w:tcPr>
            <w:tcW w:w="1588" w:type="dxa"/>
            <w:tcBorders>
              <w:top w:val="nil"/>
            </w:tcBorders>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Pr>
          <w:p w:rsidR="00B43C57" w:rsidRPr="00F5723F" w:rsidRDefault="00B43C57">
            <w:pPr>
              <w:pStyle w:val="Tabelltext"/>
              <w:rPr>
                <w:b/>
              </w:rPr>
            </w:pPr>
            <w:r w:rsidRPr="00F5723F">
              <w:rPr>
                <w:b/>
              </w:rPr>
              <w:t>Utskotten</w:t>
            </w:r>
          </w:p>
        </w:tc>
        <w:tc>
          <w:tcPr>
            <w:tcW w:w="1588" w:type="dxa"/>
          </w:tcPr>
          <w:p w:rsidR="00B43C57" w:rsidRPr="00F5723F" w:rsidRDefault="00B43C57">
            <w:pPr>
              <w:pStyle w:val="Tabelltext"/>
              <w:tabs>
                <w:tab w:val="decimal" w:pos="803"/>
              </w:tabs>
            </w:pPr>
          </w:p>
        </w:tc>
        <w:tc>
          <w:tcPr>
            <w:tcW w:w="1588" w:type="dxa"/>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Pr>
          <w:p w:rsidR="00B43C57" w:rsidRPr="00F5723F" w:rsidRDefault="00B43C57">
            <w:pPr>
              <w:pStyle w:val="Tabelltext"/>
            </w:pPr>
            <w:r w:rsidRPr="00F5723F">
              <w:t>Motionshanteringen</w:t>
            </w:r>
          </w:p>
        </w:tc>
        <w:tc>
          <w:tcPr>
            <w:tcW w:w="1588" w:type="dxa"/>
          </w:tcPr>
          <w:p w:rsidR="00B43C57" w:rsidRPr="00F5723F" w:rsidRDefault="00B43C57">
            <w:pPr>
              <w:pStyle w:val="Tabelltext"/>
              <w:tabs>
                <w:tab w:val="decimal" w:pos="803"/>
              </w:tabs>
            </w:pPr>
            <w:r w:rsidRPr="00F5723F">
              <w:t>29</w:t>
            </w:r>
          </w:p>
        </w:tc>
        <w:tc>
          <w:tcPr>
            <w:tcW w:w="1588" w:type="dxa"/>
          </w:tcPr>
          <w:p w:rsidR="00B43C57" w:rsidRPr="00F5723F" w:rsidRDefault="00B43C57">
            <w:pPr>
              <w:pStyle w:val="Tabelltext"/>
              <w:tabs>
                <w:tab w:val="decimal" w:pos="803"/>
              </w:tabs>
            </w:pPr>
            <w:r w:rsidRPr="00F5723F">
              <w:t>14</w:t>
            </w:r>
          </w:p>
        </w:tc>
      </w:tr>
      <w:tr w:rsidR="00000000" w:rsidRPr="00F5723F">
        <w:tblPrEx>
          <w:tblCellMar>
            <w:top w:w="0" w:type="dxa"/>
            <w:bottom w:w="0" w:type="dxa"/>
          </w:tblCellMar>
        </w:tblPrEx>
        <w:tc>
          <w:tcPr>
            <w:tcW w:w="3472" w:type="dxa"/>
          </w:tcPr>
          <w:p w:rsidR="00B43C57" w:rsidRPr="00F5723F" w:rsidRDefault="00B43C57">
            <w:pPr>
              <w:pStyle w:val="Tabelltext"/>
            </w:pPr>
          </w:p>
        </w:tc>
        <w:tc>
          <w:tcPr>
            <w:tcW w:w="1588" w:type="dxa"/>
          </w:tcPr>
          <w:p w:rsidR="00B43C57" w:rsidRPr="00F5723F" w:rsidRDefault="00B43C57">
            <w:pPr>
              <w:pStyle w:val="Tabelltext"/>
              <w:tabs>
                <w:tab w:val="decimal" w:pos="803"/>
              </w:tabs>
            </w:pPr>
          </w:p>
        </w:tc>
        <w:tc>
          <w:tcPr>
            <w:tcW w:w="1588" w:type="dxa"/>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Borders>
              <w:top w:val="nil"/>
            </w:tcBorders>
          </w:tcPr>
          <w:p w:rsidR="00B43C57" w:rsidRPr="00F5723F" w:rsidRDefault="00B43C57">
            <w:pPr>
              <w:pStyle w:val="Tabelltext"/>
              <w:rPr>
                <w:b/>
              </w:rPr>
            </w:pPr>
            <w:r w:rsidRPr="00F5723F">
              <w:rPr>
                <w:b/>
              </w:rPr>
              <w:t>Partigruppen</w:t>
            </w:r>
          </w:p>
        </w:tc>
        <w:tc>
          <w:tcPr>
            <w:tcW w:w="1588" w:type="dxa"/>
            <w:tcBorders>
              <w:top w:val="nil"/>
            </w:tcBorders>
          </w:tcPr>
          <w:p w:rsidR="00B43C57" w:rsidRPr="00F5723F" w:rsidRDefault="00B43C57">
            <w:pPr>
              <w:pStyle w:val="Tabelltext"/>
              <w:tabs>
                <w:tab w:val="decimal" w:pos="803"/>
              </w:tabs>
            </w:pPr>
          </w:p>
        </w:tc>
        <w:tc>
          <w:tcPr>
            <w:tcW w:w="1588" w:type="dxa"/>
            <w:tcBorders>
              <w:top w:val="nil"/>
            </w:tcBorders>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Borders>
              <w:top w:val="nil"/>
            </w:tcBorders>
          </w:tcPr>
          <w:p w:rsidR="00B43C57" w:rsidRPr="00F5723F" w:rsidRDefault="00B43C57">
            <w:pPr>
              <w:pStyle w:val="Tabelltext"/>
            </w:pPr>
            <w:r w:rsidRPr="00F5723F">
              <w:t>Politiska sekreterare</w:t>
            </w:r>
          </w:p>
        </w:tc>
        <w:tc>
          <w:tcPr>
            <w:tcW w:w="1588" w:type="dxa"/>
            <w:tcBorders>
              <w:top w:val="nil"/>
            </w:tcBorders>
          </w:tcPr>
          <w:p w:rsidR="00B43C57" w:rsidRPr="00F5723F" w:rsidRDefault="00B43C57">
            <w:pPr>
              <w:pStyle w:val="Tabelltext"/>
              <w:tabs>
                <w:tab w:val="decimal" w:pos="803"/>
              </w:tabs>
            </w:pPr>
            <w:r w:rsidRPr="00F5723F">
              <w:t>70</w:t>
            </w:r>
          </w:p>
        </w:tc>
        <w:tc>
          <w:tcPr>
            <w:tcW w:w="1588" w:type="dxa"/>
            <w:tcBorders>
              <w:top w:val="nil"/>
            </w:tcBorders>
          </w:tcPr>
          <w:p w:rsidR="00B43C57" w:rsidRPr="00F5723F" w:rsidRDefault="00B43C57">
            <w:pPr>
              <w:pStyle w:val="Tabelltext"/>
              <w:tabs>
                <w:tab w:val="decimal" w:pos="803"/>
              </w:tabs>
            </w:pPr>
            <w:r w:rsidRPr="00F5723F">
              <w:t>34</w:t>
            </w:r>
          </w:p>
        </w:tc>
      </w:tr>
      <w:tr w:rsidR="00000000" w:rsidRPr="00F5723F">
        <w:tblPrEx>
          <w:tblCellMar>
            <w:top w:w="0" w:type="dxa"/>
            <w:bottom w:w="0" w:type="dxa"/>
          </w:tblCellMar>
        </w:tblPrEx>
        <w:tc>
          <w:tcPr>
            <w:tcW w:w="3472" w:type="dxa"/>
          </w:tcPr>
          <w:p w:rsidR="00B43C57" w:rsidRPr="00F5723F" w:rsidRDefault="00B43C57">
            <w:pPr>
              <w:pStyle w:val="Tabelltext"/>
            </w:pPr>
          </w:p>
        </w:tc>
        <w:tc>
          <w:tcPr>
            <w:tcW w:w="1588" w:type="dxa"/>
          </w:tcPr>
          <w:p w:rsidR="00B43C57" w:rsidRPr="00F5723F" w:rsidRDefault="00B43C57">
            <w:pPr>
              <w:pStyle w:val="Tabelltext"/>
              <w:tabs>
                <w:tab w:val="decimal" w:pos="803"/>
              </w:tabs>
            </w:pPr>
          </w:p>
        </w:tc>
        <w:tc>
          <w:tcPr>
            <w:tcW w:w="1588" w:type="dxa"/>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Pr>
          <w:p w:rsidR="00B43C57" w:rsidRPr="00F5723F" w:rsidRDefault="00B43C57">
            <w:pPr>
              <w:pStyle w:val="Tabelltext"/>
              <w:rPr>
                <w:b/>
              </w:rPr>
            </w:pPr>
            <w:r w:rsidRPr="00F5723F">
              <w:rPr>
                <w:b/>
              </w:rPr>
              <w:t>Enskilda riksdagsledamoten</w:t>
            </w:r>
          </w:p>
        </w:tc>
        <w:tc>
          <w:tcPr>
            <w:tcW w:w="1588" w:type="dxa"/>
          </w:tcPr>
          <w:p w:rsidR="00B43C57" w:rsidRPr="00F5723F" w:rsidRDefault="00B43C57">
            <w:pPr>
              <w:pStyle w:val="Tabelltext"/>
              <w:tabs>
                <w:tab w:val="decimal" w:pos="803"/>
              </w:tabs>
            </w:pPr>
          </w:p>
        </w:tc>
        <w:tc>
          <w:tcPr>
            <w:tcW w:w="1588" w:type="dxa"/>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Pr>
          <w:p w:rsidR="00B43C57" w:rsidRPr="00F5723F" w:rsidRDefault="00B43C57">
            <w:pPr>
              <w:pStyle w:val="Tabelltext"/>
            </w:pPr>
            <w:r w:rsidRPr="00F5723F">
              <w:t>Egna prioriteringar</w:t>
            </w:r>
          </w:p>
        </w:tc>
        <w:tc>
          <w:tcPr>
            <w:tcW w:w="1588" w:type="dxa"/>
          </w:tcPr>
          <w:p w:rsidR="00B43C57" w:rsidRPr="00F5723F" w:rsidRDefault="00B43C57">
            <w:pPr>
              <w:pStyle w:val="Tabelltext"/>
              <w:tabs>
                <w:tab w:val="decimal" w:pos="803"/>
              </w:tabs>
            </w:pPr>
            <w:r w:rsidRPr="00F5723F">
              <w:t>7</w:t>
            </w:r>
          </w:p>
        </w:tc>
        <w:tc>
          <w:tcPr>
            <w:tcW w:w="1588" w:type="dxa"/>
          </w:tcPr>
          <w:p w:rsidR="00B43C57" w:rsidRPr="00F5723F" w:rsidRDefault="00B43C57">
            <w:pPr>
              <w:pStyle w:val="Tabelltext"/>
              <w:tabs>
                <w:tab w:val="decimal" w:pos="803"/>
              </w:tabs>
            </w:pPr>
            <w:r w:rsidRPr="00F5723F">
              <w:t>3</w:t>
            </w:r>
          </w:p>
        </w:tc>
      </w:tr>
      <w:tr w:rsidR="00000000" w:rsidRPr="00F5723F">
        <w:tblPrEx>
          <w:tblCellMar>
            <w:top w:w="0" w:type="dxa"/>
            <w:bottom w:w="0" w:type="dxa"/>
          </w:tblCellMar>
        </w:tblPrEx>
        <w:tc>
          <w:tcPr>
            <w:tcW w:w="3472" w:type="dxa"/>
          </w:tcPr>
          <w:p w:rsidR="00B43C57" w:rsidRPr="00F5723F" w:rsidRDefault="00B43C57">
            <w:pPr>
              <w:pStyle w:val="Tabelltext"/>
            </w:pPr>
          </w:p>
        </w:tc>
        <w:tc>
          <w:tcPr>
            <w:tcW w:w="1588" w:type="dxa"/>
          </w:tcPr>
          <w:p w:rsidR="00B43C57" w:rsidRPr="00F5723F" w:rsidRDefault="00B43C57">
            <w:pPr>
              <w:pStyle w:val="Tabelltext"/>
              <w:tabs>
                <w:tab w:val="decimal" w:pos="803"/>
              </w:tabs>
            </w:pPr>
          </w:p>
        </w:tc>
        <w:tc>
          <w:tcPr>
            <w:tcW w:w="1588" w:type="dxa"/>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Pr>
          <w:p w:rsidR="00B43C57" w:rsidRPr="00F5723F" w:rsidRDefault="00B43C57">
            <w:pPr>
              <w:pStyle w:val="Tabelltext"/>
            </w:pPr>
            <w:r w:rsidRPr="00F5723F">
              <w:t>Övrigt</w:t>
            </w:r>
          </w:p>
        </w:tc>
        <w:tc>
          <w:tcPr>
            <w:tcW w:w="1588" w:type="dxa"/>
          </w:tcPr>
          <w:p w:rsidR="00B43C57" w:rsidRPr="00F5723F" w:rsidRDefault="00B43C57">
            <w:pPr>
              <w:pStyle w:val="Tabelltext"/>
              <w:tabs>
                <w:tab w:val="decimal" w:pos="803"/>
              </w:tabs>
            </w:pPr>
            <w:r w:rsidRPr="00F5723F">
              <w:t>8</w:t>
            </w:r>
          </w:p>
        </w:tc>
        <w:tc>
          <w:tcPr>
            <w:tcW w:w="1588" w:type="dxa"/>
          </w:tcPr>
          <w:p w:rsidR="00B43C57" w:rsidRPr="00F5723F" w:rsidRDefault="00B43C57">
            <w:pPr>
              <w:pStyle w:val="Tabelltext"/>
              <w:tabs>
                <w:tab w:val="decimal" w:pos="803"/>
              </w:tabs>
            </w:pPr>
            <w:r w:rsidRPr="00F5723F">
              <w:t>3</w:t>
            </w:r>
          </w:p>
        </w:tc>
      </w:tr>
      <w:tr w:rsidR="00000000" w:rsidRPr="00F5723F">
        <w:tblPrEx>
          <w:tblCellMar>
            <w:top w:w="0" w:type="dxa"/>
            <w:bottom w:w="0" w:type="dxa"/>
          </w:tblCellMar>
        </w:tblPrEx>
        <w:tc>
          <w:tcPr>
            <w:tcW w:w="3472" w:type="dxa"/>
            <w:tcBorders>
              <w:bottom w:val="nil"/>
            </w:tcBorders>
          </w:tcPr>
          <w:p w:rsidR="00B43C57" w:rsidRPr="00F5723F" w:rsidRDefault="00B43C57">
            <w:pPr>
              <w:pStyle w:val="Tabelltext"/>
            </w:pPr>
          </w:p>
        </w:tc>
        <w:tc>
          <w:tcPr>
            <w:tcW w:w="1588" w:type="dxa"/>
            <w:tcBorders>
              <w:bottom w:val="nil"/>
            </w:tcBorders>
          </w:tcPr>
          <w:p w:rsidR="00B43C57" w:rsidRPr="00F5723F" w:rsidRDefault="00B43C57">
            <w:pPr>
              <w:pStyle w:val="Tabelltext"/>
              <w:tabs>
                <w:tab w:val="decimal" w:pos="803"/>
              </w:tabs>
            </w:pPr>
          </w:p>
        </w:tc>
        <w:tc>
          <w:tcPr>
            <w:tcW w:w="1588" w:type="dxa"/>
            <w:tcBorders>
              <w:bottom w:val="nil"/>
            </w:tcBorders>
          </w:tcPr>
          <w:p w:rsidR="00B43C57" w:rsidRPr="00F5723F" w:rsidRDefault="00B43C57">
            <w:pPr>
              <w:pStyle w:val="Tabelltext"/>
              <w:tabs>
                <w:tab w:val="decimal" w:pos="803"/>
              </w:tabs>
            </w:pPr>
          </w:p>
        </w:tc>
      </w:tr>
      <w:tr w:rsidR="00000000" w:rsidRPr="00F5723F">
        <w:tblPrEx>
          <w:tblCellMar>
            <w:top w:w="0" w:type="dxa"/>
            <w:bottom w:w="0" w:type="dxa"/>
          </w:tblCellMar>
        </w:tblPrEx>
        <w:tc>
          <w:tcPr>
            <w:tcW w:w="3472" w:type="dxa"/>
            <w:tcBorders>
              <w:top w:val="nil"/>
              <w:bottom w:val="nil"/>
            </w:tcBorders>
          </w:tcPr>
          <w:p w:rsidR="00B43C57" w:rsidRPr="00F5723F" w:rsidRDefault="00B43C57">
            <w:pPr>
              <w:pStyle w:val="Tabelltext"/>
              <w:rPr>
                <w:i/>
              </w:rPr>
            </w:pPr>
            <w:r w:rsidRPr="00F5723F">
              <w:rPr>
                <w:i/>
              </w:rPr>
              <w:t>Totalt</w:t>
            </w:r>
          </w:p>
        </w:tc>
        <w:tc>
          <w:tcPr>
            <w:tcW w:w="1588" w:type="dxa"/>
            <w:tcBorders>
              <w:top w:val="nil"/>
              <w:bottom w:val="nil"/>
            </w:tcBorders>
          </w:tcPr>
          <w:p w:rsidR="00B43C57" w:rsidRPr="00F5723F" w:rsidRDefault="00B43C57">
            <w:pPr>
              <w:pStyle w:val="Tabelltext"/>
              <w:tabs>
                <w:tab w:val="decimal" w:pos="803"/>
              </w:tabs>
              <w:rPr>
                <w:i/>
              </w:rPr>
            </w:pPr>
            <w:r w:rsidRPr="00F5723F">
              <w:rPr>
                <w:i/>
              </w:rPr>
              <w:t>208</w:t>
            </w:r>
          </w:p>
        </w:tc>
        <w:tc>
          <w:tcPr>
            <w:tcW w:w="1588" w:type="dxa"/>
            <w:tcBorders>
              <w:top w:val="nil"/>
              <w:bottom w:val="nil"/>
            </w:tcBorders>
          </w:tcPr>
          <w:p w:rsidR="00B43C57" w:rsidRPr="00F5723F" w:rsidRDefault="00B43C57">
            <w:pPr>
              <w:pStyle w:val="Tabelltext"/>
              <w:tabs>
                <w:tab w:val="decimal" w:pos="803"/>
              </w:tabs>
              <w:rPr>
                <w:i/>
              </w:rPr>
            </w:pPr>
            <w:r w:rsidRPr="00F5723F">
              <w:rPr>
                <w:i/>
              </w:rPr>
              <w:t>100</w:t>
            </w:r>
          </w:p>
        </w:tc>
      </w:tr>
      <w:tr w:rsidR="00000000" w:rsidRPr="00F5723F">
        <w:tblPrEx>
          <w:tblCellMar>
            <w:top w:w="0" w:type="dxa"/>
            <w:bottom w:w="0" w:type="dxa"/>
          </w:tblCellMar>
        </w:tblPrEx>
        <w:tc>
          <w:tcPr>
            <w:tcW w:w="3472" w:type="dxa"/>
            <w:tcBorders>
              <w:top w:val="nil"/>
              <w:bottom w:val="single" w:sz="4" w:space="0" w:color="auto"/>
            </w:tcBorders>
          </w:tcPr>
          <w:p w:rsidR="00B43C57" w:rsidRPr="00F5723F" w:rsidRDefault="00B43C57">
            <w:pPr>
              <w:pStyle w:val="Tabelltext"/>
            </w:pPr>
          </w:p>
        </w:tc>
        <w:tc>
          <w:tcPr>
            <w:tcW w:w="1588" w:type="dxa"/>
            <w:tcBorders>
              <w:top w:val="nil"/>
              <w:bottom w:val="single" w:sz="4" w:space="0" w:color="auto"/>
            </w:tcBorders>
          </w:tcPr>
          <w:p w:rsidR="00B43C57" w:rsidRPr="00F5723F" w:rsidRDefault="00B43C57">
            <w:pPr>
              <w:pStyle w:val="Tabelltext"/>
              <w:tabs>
                <w:tab w:val="decimal" w:pos="803"/>
              </w:tabs>
            </w:pPr>
          </w:p>
        </w:tc>
        <w:tc>
          <w:tcPr>
            <w:tcW w:w="1588" w:type="dxa"/>
            <w:tcBorders>
              <w:top w:val="nil"/>
              <w:bottom w:val="single" w:sz="4" w:space="0" w:color="auto"/>
            </w:tcBorders>
          </w:tcPr>
          <w:p w:rsidR="00B43C57" w:rsidRPr="00F5723F" w:rsidRDefault="00B43C57">
            <w:pPr>
              <w:pStyle w:val="Tabelltext"/>
              <w:tabs>
                <w:tab w:val="decimal" w:pos="803"/>
              </w:tabs>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Källa:</w:t>
      </w:r>
      <w:r w:rsidRPr="00F5723F">
        <w:rPr>
          <w:rFonts w:ascii="Arial" w:hAnsi="Arial" w:cs="Arial"/>
          <w:sz w:val="16"/>
          <w:szCs w:val="16"/>
        </w:rPr>
        <w:t xml:space="preserve"> Riksdagskommitténs enkätundersökning 2004.</w:t>
      </w:r>
    </w:p>
    <w:p w:rsidR="00B43C57" w:rsidRPr="00F5723F" w:rsidRDefault="00B43C57"/>
    <w:p w:rsidR="00B43C57" w:rsidRPr="00F5723F" w:rsidRDefault="00B43C57">
      <w:r w:rsidRPr="00F5723F">
        <w:t>De åtgärder som föreslås ligger naturligen nära de svar som uppgivits på föregående fråga om vilka uppgifter som ledamöterna önskar ägna mindre tid åt. Den lösning som ledamöterna främst lyfter fram är politiska sekreterare. Vart tredje svar handlar om politiska sekreterare. Sett i ljuset av sv</w:t>
      </w:r>
      <w:r w:rsidRPr="00F5723F">
        <w:t>a</w:t>
      </w:r>
      <w:r w:rsidRPr="00F5723F">
        <w:t>ren på de uppgifter som ledamöterna önskar ägna mindre tid åt och vad som döljer sig bakom svaren från ledamöterna som tänkb</w:t>
      </w:r>
      <w:r w:rsidRPr="00F5723F">
        <w:t>a</w:t>
      </w:r>
      <w:r w:rsidRPr="00F5723F">
        <w:t>ra åtgärder för att minska tidsåtgången för olika arbetsuppgifter är det snarare trad</w:t>
      </w:r>
      <w:r w:rsidRPr="00F5723F">
        <w:t>i</w:t>
      </w:r>
      <w:r w:rsidRPr="00F5723F">
        <w:t>tionell sekreterarhjälp än ytterligare politiska handläggare som efterfrågas. Sv</w:t>
      </w:r>
      <w:r w:rsidRPr="00F5723F">
        <w:t>a</w:t>
      </w:r>
      <w:r w:rsidRPr="00F5723F">
        <w:t>ren som ledamöterna lämnat handlar främst om ”ö</w:t>
      </w:r>
      <w:r w:rsidRPr="00F5723F">
        <w:t>kad pers</w:t>
      </w:r>
      <w:r w:rsidRPr="00F5723F">
        <w:t>onlig</w:t>
      </w:r>
      <w:r w:rsidRPr="00F5723F">
        <w:t xml:space="preserve"> assistans, främst med praktiska saker</w:t>
      </w:r>
      <w:r w:rsidRPr="00F5723F">
        <w:t>”, ”</w:t>
      </w:r>
      <w:r w:rsidRPr="00F5723F">
        <w:t>u</w:t>
      </w:r>
      <w:r w:rsidRPr="00F5723F">
        <w:t>tvidgad sekretera</w:t>
      </w:r>
      <w:r w:rsidRPr="00F5723F">
        <w:t>r</w:t>
      </w:r>
      <w:r w:rsidRPr="00F5723F">
        <w:t>hjälp”, ”mer assistenthjälp”, ”</w:t>
      </w:r>
      <w:r w:rsidRPr="00F5723F">
        <w:t xml:space="preserve">mer hjälp att hålla reda på papper, inbjudningar, tider, hjälp med </w:t>
      </w:r>
      <w:r w:rsidRPr="00F5723F">
        <w:t>olika adress- och telefonregi</w:t>
      </w:r>
      <w:r w:rsidRPr="00F5723F">
        <w:t>s</w:t>
      </w:r>
      <w:r w:rsidRPr="00F5723F">
        <w:t>ter</w:t>
      </w:r>
      <w:r w:rsidRPr="00F5723F">
        <w:t>” och ”administrativt stöd”. Ett antal svar handlar dock om politiska han</w:t>
      </w:r>
      <w:r w:rsidRPr="00F5723F">
        <w:t>d</w:t>
      </w:r>
      <w:r w:rsidRPr="00F5723F">
        <w:t>läggare: ”h</w:t>
      </w:r>
      <w:r w:rsidRPr="00F5723F">
        <w:t>jälp med inläsning o</w:t>
      </w:r>
      <w:r w:rsidRPr="00F5723F">
        <w:t>ch analys av politiskt material” och ”h</w:t>
      </w:r>
      <w:r w:rsidRPr="00F5723F">
        <w:t>jälp med omvärldsbevakning, research, underlag, utkast, förberedelser</w:t>
      </w:r>
      <w:r w:rsidRPr="00F5723F">
        <w:t>” är exe</w:t>
      </w:r>
      <w:r w:rsidRPr="00F5723F">
        <w:t>m</w:t>
      </w:r>
      <w:r w:rsidRPr="00F5723F">
        <w:t xml:space="preserve">pel på detta. </w:t>
      </w:r>
    </w:p>
    <w:p w:rsidR="00B43C57" w:rsidRPr="00F5723F" w:rsidRDefault="00B43C57">
      <w:pPr>
        <w:pStyle w:val="Normaltindrag"/>
      </w:pPr>
      <w:r w:rsidRPr="00F5723F">
        <w:t>IT-stöd och tekniska hjälpmedel står också högt upp på önskelistan över tänkbara åtgärder när ledamöterna får tycka till. Tillsammans svarar dessa båda grupper för mer än hälften av de totalt 208 åtgärder som listats av led</w:t>
      </w:r>
      <w:r w:rsidRPr="00F5723F">
        <w:t>a</w:t>
      </w:r>
      <w:r w:rsidRPr="00F5723F">
        <w:t>möterna.</w:t>
      </w:r>
    </w:p>
    <w:p w:rsidR="00B43C57" w:rsidRPr="00F5723F" w:rsidRDefault="00B43C57">
      <w:pPr>
        <w:pStyle w:val="Normaltindrag"/>
      </w:pPr>
      <w:r w:rsidRPr="00F5723F">
        <w:t>När det gäller det egentliga riksdagsarbetet är det främst förändringar av voterin</w:t>
      </w:r>
      <w:r w:rsidRPr="00F5723F">
        <w:t>g</w:t>
      </w:r>
      <w:r w:rsidRPr="00F5723F">
        <w:t>arna och arbetet med motionerna som ledamöterna anser kan b</w:t>
      </w:r>
      <w:r w:rsidRPr="00F5723F">
        <w:t>i</w:t>
      </w:r>
      <w:r w:rsidRPr="00F5723F">
        <w:t>dra till att påverka tidsåtgången i riksdagsarbetet. En ledamot anser att många vote</w:t>
      </w:r>
      <w:r w:rsidRPr="00F5723F">
        <w:t>r</w:t>
      </w:r>
      <w:r w:rsidRPr="00F5723F">
        <w:t>ingar helt skulle kunna tas bort: ”ta bort onödiga</w:t>
      </w:r>
      <w:r w:rsidRPr="00F5723F">
        <w:t xml:space="preserve"> voteringar</w:t>
      </w:r>
      <w:r w:rsidRPr="00F5723F">
        <w:t>,</w:t>
      </w:r>
      <w:r w:rsidRPr="00F5723F">
        <w:t xml:space="preserve"> vilket skulle ge mycket färre voteringstil</w:t>
      </w:r>
      <w:r w:rsidRPr="00F5723F">
        <w:t>l</w:t>
      </w:r>
      <w:r w:rsidRPr="00F5723F">
        <w:t>fällen. Det borde gå att få fram ett system som innebär att man voterar endast på fr</w:t>
      </w:r>
      <w:r w:rsidRPr="00F5723F">
        <w:t>å</w:t>
      </w:r>
      <w:r w:rsidRPr="00F5723F">
        <w:t>gor som kan påverka majoriteten. Partierna tar ju ändå ställning genom reservationer</w:t>
      </w:r>
      <w:r w:rsidRPr="00F5723F">
        <w:t>.” Andra förslag till förändringar av voteringarna återfinns bland ledamot</w:t>
      </w:r>
      <w:r w:rsidRPr="00F5723F">
        <w:t>s</w:t>
      </w:r>
      <w:r w:rsidRPr="00F5723F">
        <w:t>svaren: ”</w:t>
      </w:r>
      <w:r w:rsidRPr="00F5723F">
        <w:t>e</w:t>
      </w:r>
      <w:r w:rsidRPr="00F5723F">
        <w:t>n vote</w:t>
      </w:r>
      <w:r w:rsidRPr="00F5723F">
        <w:t>ri</w:t>
      </w:r>
      <w:r w:rsidRPr="00F5723F">
        <w:t>ng per d</w:t>
      </w:r>
      <w:r w:rsidRPr="00F5723F">
        <w:t>ag skulle ge effektiv</w:t>
      </w:r>
      <w:r w:rsidRPr="00F5723F">
        <w:t>a</w:t>
      </w:r>
      <w:r w:rsidRPr="00F5723F">
        <w:t>re dagar”, ”k</w:t>
      </w:r>
      <w:r w:rsidRPr="00F5723F">
        <w:t>oncentrera voteri</w:t>
      </w:r>
      <w:r w:rsidRPr="00F5723F">
        <w:t>ngstillfällena till något färre” och ”v</w:t>
      </w:r>
      <w:r w:rsidRPr="00F5723F">
        <w:t>id voteringarna går de</w:t>
      </w:r>
      <w:r w:rsidRPr="00F5723F">
        <w:t>t</w:t>
      </w:r>
      <w:r w:rsidRPr="00F5723F">
        <w:t xml:space="preserve"> att spara tid genom att gå direkt på omrös</w:t>
      </w:r>
      <w:r w:rsidRPr="00F5723F">
        <w:t>t</w:t>
      </w:r>
      <w:r w:rsidRPr="00F5723F">
        <w:t>ning i</w:t>
      </w:r>
      <w:r w:rsidRPr="00F5723F">
        <w:t xml:space="preserve"> </w:t>
      </w:r>
      <w:r w:rsidRPr="00F5723F">
        <w:t xml:space="preserve">stället för att ställa sig upp två </w:t>
      </w:r>
      <w:r w:rsidRPr="00F5723F">
        <w:t>gånger</w:t>
      </w:r>
      <w:r w:rsidRPr="00F5723F">
        <w:t xml:space="preserve"> innan varje omröstning</w:t>
      </w:r>
      <w:r w:rsidRPr="00F5723F">
        <w:t xml:space="preserve">”. </w:t>
      </w:r>
    </w:p>
    <w:p w:rsidR="00B43C57" w:rsidRPr="00F5723F" w:rsidRDefault="00B43C57">
      <w:pPr>
        <w:pStyle w:val="Normaltindrag"/>
      </w:pPr>
      <w:r w:rsidRPr="00F5723F">
        <w:t>Motionshanteringen omnämns i flera svar. En ledamot anser att det bör övervägas ”</w:t>
      </w:r>
      <w:r w:rsidRPr="00F5723F">
        <w:t>om motionsinstitutet kan förändras för att rationalisera utsko</w:t>
      </w:r>
      <w:r w:rsidRPr="00F5723F">
        <w:t>t</w:t>
      </w:r>
      <w:r w:rsidRPr="00F5723F">
        <w:t xml:space="preserve">tens arbete och skapa </w:t>
      </w:r>
      <w:r w:rsidRPr="00F5723F">
        <w:t>mer tid i kammaren för annat”. Förslag finns också om att begränsa motionsrätten; en ledamot vill allmänt ”begränsa motionsrätten” medan en annan föreslår en begrän</w:t>
      </w:r>
      <w:r w:rsidRPr="00F5723F">
        <w:t>s</w:t>
      </w:r>
      <w:r w:rsidRPr="00F5723F">
        <w:t>ning av den enskilda ledamotens motionsrätt (”</w:t>
      </w:r>
      <w:r w:rsidRPr="00F5723F">
        <w:t>mi</w:t>
      </w:r>
      <w:r w:rsidRPr="00F5723F">
        <w:t>nska den enskilda motionsrä</w:t>
      </w:r>
      <w:r w:rsidRPr="00F5723F">
        <w:t>t</w:t>
      </w:r>
      <w:r w:rsidRPr="00F5723F">
        <w:t>ten”). En ledamot vill ”t</w:t>
      </w:r>
      <w:r w:rsidRPr="00F5723F">
        <w:t>a bort allmänna motionstiden, gör som i kommunerna</w:t>
      </w:r>
      <w:r w:rsidRPr="00F5723F">
        <w:t>:</w:t>
      </w:r>
      <w:r w:rsidRPr="00F5723F">
        <w:t xml:space="preserve"> tillåt moti</w:t>
      </w:r>
      <w:r w:rsidRPr="00F5723F">
        <w:t>o</w:t>
      </w:r>
      <w:r w:rsidRPr="00F5723F">
        <w:t>nera</w:t>
      </w:r>
      <w:r w:rsidRPr="00F5723F">
        <w:t>n</w:t>
      </w:r>
      <w:r w:rsidRPr="00F5723F">
        <w:t>de året om;</w:t>
      </w:r>
      <w:r w:rsidRPr="00F5723F">
        <w:t xml:space="preserve"> jag tror att hysterin att skriva så många motioner som möjligt skulle upphöra. D</w:t>
      </w:r>
      <w:r w:rsidRPr="00F5723F">
        <w:t>et skulle dessutom sk</w:t>
      </w:r>
      <w:r w:rsidRPr="00F5723F">
        <w:t>r</w:t>
      </w:r>
      <w:r w:rsidRPr="00F5723F">
        <w:t>i</w:t>
      </w:r>
      <w:r w:rsidRPr="00F5723F">
        <w:t xml:space="preserve">vas motioner som är aktuella.” </w:t>
      </w:r>
    </w:p>
    <w:p w:rsidR="00B43C57" w:rsidRPr="00F5723F" w:rsidRDefault="00B43C57">
      <w:pPr>
        <w:pStyle w:val="Normaltindrag"/>
      </w:pPr>
      <w:r w:rsidRPr="00F5723F">
        <w:t>Vidare anges bättre arbetsplanering och rationalisering av riksdagsarbetet i ungefär 10 procent av svaren (”e</w:t>
      </w:r>
      <w:r w:rsidRPr="00F5723F">
        <w:t>ffekti</w:t>
      </w:r>
      <w:r w:rsidRPr="00F5723F">
        <w:t>visering av arbetet i riksd</w:t>
      </w:r>
      <w:r w:rsidRPr="00F5723F">
        <w:t>a</w:t>
      </w:r>
      <w:r w:rsidRPr="00F5723F">
        <w:t>gen”). I ett svar ifrågasätts om inte ”</w:t>
      </w:r>
      <w:r w:rsidRPr="00F5723F">
        <w:t>riksdagsarbetet behöver ses över allmänt. Har vi egentligen definierat up</w:t>
      </w:r>
      <w:r w:rsidRPr="00F5723F">
        <w:t>p</w:t>
      </w:r>
      <w:r w:rsidRPr="00F5723F">
        <w:t>giften för riksdagen och dess ledamöter? Borde det inte vara mer av långsiktigt tä</w:t>
      </w:r>
      <w:r w:rsidRPr="00F5723F">
        <w:t>n</w:t>
      </w:r>
      <w:r w:rsidRPr="00F5723F">
        <w:t>kande och formulerande av framtidsfrågor och förändringsarbete? Också mer av me</w:t>
      </w:r>
      <w:r w:rsidRPr="00F5723F">
        <w:t>d</w:t>
      </w:r>
      <w:r w:rsidRPr="00F5723F">
        <w:t>bo</w:t>
      </w:r>
      <w:r w:rsidRPr="00F5723F">
        <w:t>r</w:t>
      </w:r>
      <w:r w:rsidRPr="00F5723F">
        <w:t>garkon</w:t>
      </w:r>
      <w:r w:rsidRPr="00F5723F">
        <w:t>takter?” Andra svar handlar om att effektivisera kammarens arbete: ”</w:t>
      </w:r>
      <w:r w:rsidRPr="00F5723F">
        <w:t>en planering av kammarens tid som me</w:t>
      </w:r>
      <w:r w:rsidRPr="00F5723F">
        <w:t>d</w:t>
      </w:r>
      <w:r w:rsidRPr="00F5723F">
        <w:t>förde fler plenifria</w:t>
      </w:r>
      <w:r w:rsidRPr="00F5723F">
        <w:t xml:space="preserve"> </w:t>
      </w:r>
      <w:r w:rsidRPr="00F5723F">
        <w:t>da</w:t>
      </w:r>
      <w:r w:rsidRPr="00F5723F">
        <w:t>gar, inte nödv</w:t>
      </w:r>
      <w:r w:rsidRPr="00F5723F">
        <w:t>ändigtvis i form av hela</w:t>
      </w:r>
      <w:r w:rsidRPr="00F5723F">
        <w:t xml:space="preserve"> </w:t>
      </w:r>
      <w:r w:rsidRPr="00F5723F">
        <w:t>veckor</w:t>
      </w:r>
      <w:r w:rsidRPr="00F5723F">
        <w:t>”. En led</w:t>
      </w:r>
      <w:r w:rsidRPr="00F5723F">
        <w:t>a</w:t>
      </w:r>
      <w:r w:rsidRPr="00F5723F">
        <w:t>mot önskar</w:t>
      </w:r>
      <w:r w:rsidRPr="00F5723F">
        <w:t xml:space="preserve"> förändringar i budgetprocessen: ”s</w:t>
      </w:r>
      <w:r w:rsidRPr="00F5723F">
        <w:t>trukturera arbetet med budgeten så att utskotten in</w:t>
      </w:r>
      <w:r w:rsidRPr="00F5723F">
        <w:t xml:space="preserve">te hanterar detta i två rundor”. </w:t>
      </w:r>
    </w:p>
    <w:p w:rsidR="00B43C57" w:rsidRPr="00F5723F" w:rsidRDefault="00B43C57">
      <w:pPr>
        <w:pStyle w:val="Normaltindrag"/>
      </w:pPr>
      <w:r w:rsidRPr="00F5723F">
        <w:t>Svaren skiljer sig inte nämnvärt från den undersökning som genomfördes 1985. Även då gjordes tolkningen att ledamöterna önskade biträdes- och sekreterarhjälp framför handläggarhjälp: ”Nästan alla de som lämnat förslag till förändringar i rik</w:t>
      </w:r>
      <w:r w:rsidRPr="00F5723F">
        <w:t>s</w:t>
      </w:r>
      <w:r w:rsidRPr="00F5723F">
        <w:t>dagsarbetet önskar en förbättring av sekret</w:t>
      </w:r>
      <w:r w:rsidRPr="00F5723F">
        <w:t>e</w:t>
      </w:r>
      <w:r w:rsidRPr="00F5723F">
        <w:t>rar/birädesresurserna. Önskemålen avser såväl ökad hjälp med utskrifter som kanslihjälp för sorterande av post, besvarande av brev, kontakt med de pers</w:t>
      </w:r>
      <w:r w:rsidRPr="00F5723F">
        <w:t>o</w:t>
      </w:r>
      <w:r w:rsidRPr="00F5723F">
        <w:t>ner som söker ledamöterna etc. I några fall önskar man politiska sekreterare av den typ som landstingsråd och kommuna</w:t>
      </w:r>
      <w:r w:rsidRPr="00F5723F">
        <w:t>l</w:t>
      </w:r>
      <w:r w:rsidRPr="00F5723F">
        <w:t>råd har.”</w:t>
      </w:r>
      <w:r w:rsidRPr="00F5723F">
        <w:rPr>
          <w:rStyle w:val="Fotnotsreferens"/>
        </w:rPr>
        <w:footnoteReference w:id="138"/>
      </w:r>
      <w:r w:rsidRPr="00F5723F">
        <w:t xml:space="preserve"> </w:t>
      </w:r>
    </w:p>
    <w:p w:rsidR="00B43C57" w:rsidRPr="00F5723F" w:rsidRDefault="00B43C57">
      <w:pPr>
        <w:pStyle w:val="Normaltindrag"/>
      </w:pPr>
      <w:r w:rsidRPr="00F5723F">
        <w:t>Sedan undersökningen genomfördes 1985 har en mycket omfattande u</w:t>
      </w:r>
      <w:r w:rsidRPr="00F5723F">
        <w:t>t</w:t>
      </w:r>
      <w:r w:rsidRPr="00F5723F">
        <w:t>byggnad av antalet politiska sekreterare skett, och svaren torde nu kunna tolkas som att ledam</w:t>
      </w:r>
      <w:r w:rsidRPr="00F5723F">
        <w:t>ö</w:t>
      </w:r>
      <w:r w:rsidRPr="00F5723F">
        <w:t>terna hellre vill ha traditionell sekreterarhjälp för adm</w:t>
      </w:r>
      <w:r w:rsidRPr="00F5723F">
        <w:t>i</w:t>
      </w:r>
      <w:r w:rsidRPr="00F5723F">
        <w:t>nistrativa uppgifter, hjälp med posthantering med mera. En tydlig skillnad mellan undersökningarna 1985 och 2004 är att ledamöterna i den senare lä</w:t>
      </w:r>
      <w:r w:rsidRPr="00F5723F">
        <w:t>g</w:t>
      </w:r>
      <w:r w:rsidRPr="00F5723F">
        <w:t>ger stor vikt vid IT-lösningar. 1985 kunde man endast ana datoriseringens stora inverkan på den kommande utvecklingen. De iaktt</w:t>
      </w:r>
      <w:r w:rsidRPr="00F5723F">
        <w:t>a</w:t>
      </w:r>
      <w:r w:rsidRPr="00F5723F">
        <w:t>gelser som då gjo</w:t>
      </w:r>
      <w:r w:rsidRPr="00F5723F">
        <w:t>r</w:t>
      </w:r>
      <w:r w:rsidRPr="00F5723F">
        <w:t>des om den kommande datoriseringens möjligheter kan förtjäna att</w:t>
      </w:r>
      <w:r w:rsidRPr="00F5723F">
        <w:t xml:space="preserve"> återges i sin helhet: ”Några ledamöter föreslår ett datoriserat informationssystem för riksdagstrycket. Det skulle bli lättare för ledamöterna att söka relevant info</w:t>
      </w:r>
      <w:r w:rsidRPr="00F5723F">
        <w:t>r</w:t>
      </w:r>
      <w:r w:rsidRPr="00F5723F">
        <w:t>mation i trycket. Med ett sådant system skulle också, menar man, dubbelarb</w:t>
      </w:r>
      <w:r w:rsidRPr="00F5723F">
        <w:t>e</w:t>
      </w:r>
      <w:r w:rsidRPr="00F5723F">
        <w:t>tet med utskrift av handlingar minska. Inskriven text skulle kunna flyttas från en handling till en annan, korrigeringar och förändringar läggas in, utan att ny utskriftsomgång fordr</w:t>
      </w:r>
      <w:r w:rsidRPr="00F5723F">
        <w:t>a</w:t>
      </w:r>
      <w:r w:rsidRPr="00F5723F">
        <w:t>des.”</w:t>
      </w:r>
      <w:r w:rsidRPr="00F5723F">
        <w:rPr>
          <w:rStyle w:val="Fotnotsreferens"/>
        </w:rPr>
        <w:footnoteReference w:id="139"/>
      </w:r>
    </w:p>
    <w:p w:rsidR="00B43C57" w:rsidRPr="00F5723F" w:rsidRDefault="00B43C57">
      <w:pPr>
        <w:pStyle w:val="Rubrik2"/>
      </w:pPr>
      <w:bookmarkStart w:id="272" w:name="_Toc98075751"/>
      <w:bookmarkStart w:id="273" w:name="_Toc121738981"/>
      <w:bookmarkStart w:id="274" w:name="_Toc124697864"/>
      <w:r w:rsidRPr="00F5723F">
        <w:t>Sammanfattning</w:t>
      </w:r>
      <w:bookmarkEnd w:id="272"/>
      <w:bookmarkEnd w:id="273"/>
      <w:bookmarkEnd w:id="274"/>
    </w:p>
    <w:p w:rsidR="00B43C57" w:rsidRPr="00F5723F" w:rsidRDefault="00B43C57">
      <w:pPr>
        <w:pStyle w:val="Rubrik3"/>
        <w:rPr>
          <w:noProof w:val="0"/>
        </w:rPr>
      </w:pPr>
      <w:bookmarkStart w:id="275" w:name="_Toc121738982"/>
      <w:bookmarkStart w:id="276" w:name="_Toc124697865"/>
      <w:r w:rsidRPr="00F5723F">
        <w:rPr>
          <w:noProof w:val="0"/>
        </w:rPr>
        <w:t>Undersökningen</w:t>
      </w:r>
      <w:bookmarkEnd w:id="275"/>
      <w:bookmarkEnd w:id="276"/>
    </w:p>
    <w:p w:rsidR="00B43C57" w:rsidRPr="00F5723F" w:rsidRDefault="00B43C57">
      <w:r w:rsidRPr="00F5723F">
        <w:t>Riksdagskommittén lät våren 2004 genomföra en undersökning med samtliga rik</w:t>
      </w:r>
      <w:r w:rsidRPr="00F5723F">
        <w:t>s</w:t>
      </w:r>
      <w:r w:rsidRPr="00F5723F">
        <w:t>dagsledamöter om riksdagsarbetet och riksdagens arbetsformer. Unde</w:t>
      </w:r>
      <w:r w:rsidRPr="00F5723F">
        <w:t>r</w:t>
      </w:r>
      <w:r w:rsidRPr="00F5723F">
        <w:t xml:space="preserve">sökningen genomfördes som en brevenkät och bestod av två delar. Dels genomfördes en s.k. </w:t>
      </w:r>
      <w:r w:rsidRPr="00F5723F">
        <w:rPr>
          <w:i/>
        </w:rPr>
        <w:t>tidsbudgetst</w:t>
      </w:r>
      <w:r w:rsidRPr="00F5723F">
        <w:rPr>
          <w:i/>
        </w:rPr>
        <w:t>u</w:t>
      </w:r>
      <w:r w:rsidRPr="00F5723F">
        <w:rPr>
          <w:i/>
        </w:rPr>
        <w:t>die</w:t>
      </w:r>
      <w:r w:rsidRPr="00F5723F">
        <w:t xml:space="preserve"> där ledamöterna så exakt som möjligt, i dagboksform, fick föra in i vilken utsträckning och vid vilken tidpunkt som de ägnat sig åt olika arbetsuppgifter med anknytning till deras politiska verksamhet, dels genomfördes en mindre </w:t>
      </w:r>
      <w:r w:rsidRPr="00F5723F">
        <w:rPr>
          <w:i/>
        </w:rPr>
        <w:t>enkätu</w:t>
      </w:r>
      <w:r w:rsidRPr="00F5723F">
        <w:rPr>
          <w:i/>
        </w:rPr>
        <w:t>n</w:t>
      </w:r>
      <w:r w:rsidRPr="00F5723F">
        <w:rPr>
          <w:i/>
        </w:rPr>
        <w:t>dersökning</w:t>
      </w:r>
      <w:r w:rsidRPr="00F5723F">
        <w:t xml:space="preserve"> med ledamöterna om riksdagsarbetet och riksdagens arbetsformer. Rik</w:t>
      </w:r>
      <w:r w:rsidRPr="00F5723F">
        <w:t>s</w:t>
      </w:r>
      <w:r w:rsidRPr="00F5723F">
        <w:t>dagskommitténs tidsbudg</w:t>
      </w:r>
      <w:r w:rsidRPr="00F5723F">
        <w:t>etstudie med ledamöterna var den fjärde i ordningen. Tidig</w:t>
      </w:r>
      <w:r w:rsidRPr="00F5723F">
        <w:t>a</w:t>
      </w:r>
      <w:r w:rsidRPr="00F5723F">
        <w:t>re undersökningar har genomförts med motsvarande upplägg 1974, 1977 och 1985, vilket möjliggör tidsjämförande analyser för en trettioårsp</w:t>
      </w:r>
      <w:r w:rsidRPr="00F5723F">
        <w:t>e</w:t>
      </w:r>
      <w:r w:rsidRPr="00F5723F">
        <w:t xml:space="preserve">riod. </w:t>
      </w:r>
    </w:p>
    <w:p w:rsidR="00B43C57" w:rsidRPr="00F5723F" w:rsidRDefault="00B43C57">
      <w:pPr>
        <w:pStyle w:val="Rubrik3"/>
        <w:rPr>
          <w:noProof w:val="0"/>
        </w:rPr>
      </w:pPr>
      <w:bookmarkStart w:id="277" w:name="_Toc121738983"/>
      <w:bookmarkStart w:id="278" w:name="_Toc124697866"/>
      <w:r w:rsidRPr="00F5723F">
        <w:rPr>
          <w:noProof w:val="0"/>
        </w:rPr>
        <w:t>Stabil arbetssituation mellan 1974 och 2004</w:t>
      </w:r>
      <w:bookmarkEnd w:id="277"/>
      <w:bookmarkEnd w:id="278"/>
    </w:p>
    <w:p w:rsidR="00B43C57" w:rsidRPr="00F5723F" w:rsidRDefault="00B43C57">
      <w:r w:rsidRPr="00F5723F">
        <w:t>Resultatet av tidsbudgetstudien visar att några större förändringar i riksdagsledam</w:t>
      </w:r>
      <w:r w:rsidRPr="00F5723F">
        <w:t>ö</w:t>
      </w:r>
      <w:r w:rsidRPr="00F5723F">
        <w:t>ternas totala arbetssituation inte har inträffat under den trettioårsperiod som kan öve</w:t>
      </w:r>
      <w:r w:rsidRPr="00F5723F">
        <w:t>r</w:t>
      </w:r>
      <w:r w:rsidRPr="00F5723F">
        <w:t>blickas. Arbetstiden är fortfarande mycket omfattande och up</w:t>
      </w:r>
      <w:r w:rsidRPr="00F5723F">
        <w:t>p</w:t>
      </w:r>
      <w:r w:rsidRPr="00F5723F">
        <w:t xml:space="preserve">går till i genomsnitt 53 timmar. </w:t>
      </w:r>
    </w:p>
    <w:p w:rsidR="00B43C57" w:rsidRPr="00F5723F" w:rsidRDefault="00B43C57">
      <w:pPr>
        <w:pStyle w:val="Normaltindrag"/>
      </w:pPr>
      <w:r w:rsidRPr="00F5723F">
        <w:t>Några uppgifter har ökat kraftigt i tidsomfattning för ledamöterna. Det gäller ko</w:t>
      </w:r>
      <w:r w:rsidRPr="00F5723F">
        <w:t>n</w:t>
      </w:r>
      <w:r w:rsidRPr="00F5723F">
        <w:t>taktverksamhet och uppvaktningar i form av sammanträffa</w:t>
      </w:r>
      <w:r w:rsidRPr="00F5723F">
        <w:t>n</w:t>
      </w:r>
      <w:r w:rsidRPr="00F5723F">
        <w:t>den med grupper av olika slag och besök av enskilda. I den kategorin inräknas också besvarande av brev, och i 2004 års undersökning, även besvarande av e-post. En annan kategori som tar bety</w:t>
      </w:r>
      <w:r w:rsidRPr="00F5723F">
        <w:t>d</w:t>
      </w:r>
      <w:r w:rsidRPr="00F5723F">
        <w:t>ligt större tid i anspråk 2004 jämfört med 1974 är föredrag och mediemedverkan samt det allmänna inläsnings- och studiearbetet. Ytterligare uppgifter som ökat i omfattning är deltagande i kammardebatten, utskottsarbetet, riksdagsgruppsarbetet och partiarb</w:t>
      </w:r>
      <w:r w:rsidRPr="00F5723F">
        <w:t>e</w:t>
      </w:r>
      <w:r w:rsidRPr="00F5723F">
        <w:t>tet i öv</w:t>
      </w:r>
      <w:r w:rsidRPr="00F5723F">
        <w:t>rigt. Att följa kammardebatten och arbeta med kommunala uppdrag har dä</w:t>
      </w:r>
      <w:r w:rsidRPr="00F5723F">
        <w:t>r</w:t>
      </w:r>
      <w:r w:rsidRPr="00F5723F">
        <w:t>emot blivit en allt mindre tidskrävande uppgift för riksdagsledamöterna. Också tiden som ledamöterna lägger ned på deltagandet i statliga utredningar och styrelser samt i organisationer av olika slag har min</w:t>
      </w:r>
      <w:r w:rsidRPr="00F5723F">
        <w:t>s</w:t>
      </w:r>
      <w:r w:rsidRPr="00F5723F">
        <w:t xml:space="preserve">kat. </w:t>
      </w:r>
    </w:p>
    <w:p w:rsidR="00B43C57" w:rsidRPr="00F5723F" w:rsidRDefault="00B43C57">
      <w:pPr>
        <w:pStyle w:val="Rubrik3"/>
        <w:rPr>
          <w:noProof w:val="0"/>
        </w:rPr>
      </w:pPr>
      <w:bookmarkStart w:id="279" w:name="_Toc121738984"/>
      <w:bookmarkStart w:id="280" w:name="_Toc124697867"/>
      <w:r w:rsidRPr="00F5723F">
        <w:rPr>
          <w:noProof w:val="0"/>
        </w:rPr>
        <w:t>Stora partiskillnader men små skillnader mellan kvinnor och män</w:t>
      </w:r>
      <w:bookmarkEnd w:id="279"/>
      <w:bookmarkEnd w:id="280"/>
    </w:p>
    <w:p w:rsidR="00B43C57" w:rsidRPr="00F5723F" w:rsidRDefault="00B43C57">
      <w:r w:rsidRPr="00F5723F">
        <w:t>Materialet utvisar tydliga skillnader mellan partierna. Den genomsnittliga arbetstiden är lägst för riksdagens tre största partier (s, m och fp). Ledamöte</w:t>
      </w:r>
      <w:r w:rsidRPr="00F5723F">
        <w:t>r</w:t>
      </w:r>
      <w:r w:rsidRPr="00F5723F">
        <w:t>na i Vänsterpartiet och Miljöpartiet är de som uppger den högsta genomsnit</w:t>
      </w:r>
      <w:r w:rsidRPr="00F5723F">
        <w:t>t</w:t>
      </w:r>
      <w:r w:rsidRPr="00F5723F">
        <w:t>liga tiden för arbetsuppgifter med anknytning till riksdagsuppdraget (60 r</w:t>
      </w:r>
      <w:r w:rsidRPr="00F5723F">
        <w:t>e</w:t>
      </w:r>
      <w:r w:rsidRPr="00F5723F">
        <w:t xml:space="preserve">spektive 59 timmar). Skillnaderna mellan kvinnor och män är dock liten; riksdagsmännen uppger sig arbeta i genomsnitt en timme mer per vecka än riksdagskvinnorna. </w:t>
      </w:r>
    </w:p>
    <w:p w:rsidR="00B43C57" w:rsidRPr="00F5723F" w:rsidRDefault="00B43C57">
      <w:pPr>
        <w:pStyle w:val="Normaltindrag"/>
      </w:pPr>
      <w:r w:rsidRPr="00F5723F">
        <w:t>Majoriteten av ledamöterna, eller hela 59 procent, uppger sig minst en gång i vec</w:t>
      </w:r>
      <w:r w:rsidRPr="00F5723F">
        <w:t>k</w:t>
      </w:r>
      <w:r w:rsidRPr="00F5723F">
        <w:t>an arbeta sena kvällar eller tidiga morgnar. Ytterligare 22 pr</w:t>
      </w:r>
      <w:r w:rsidRPr="00F5723F">
        <w:t>o</w:t>
      </w:r>
      <w:r w:rsidRPr="00F5723F">
        <w:t>cent gör det minst en eller ett par gånger i månaden. Totalt är det således 81 pr</w:t>
      </w:r>
      <w:r w:rsidRPr="00F5723F">
        <w:t>o</w:t>
      </w:r>
      <w:r w:rsidRPr="00F5723F">
        <w:t>cent av ledamöterna som ofta arbetar på tider tid</w:t>
      </w:r>
      <w:r w:rsidRPr="00F5723F">
        <w:t>i</w:t>
      </w:r>
      <w:r w:rsidRPr="00F5723F">
        <w:t xml:space="preserve">gare än klockan 08.00 och senare än klockan 22.00. Bland männen är andelen betydligt högre än bland kvinnorna: 88 procent jämfört med 71 procent. </w:t>
      </w:r>
    </w:p>
    <w:p w:rsidR="00B43C57" w:rsidRPr="00F5723F" w:rsidRDefault="00B43C57">
      <w:pPr>
        <w:pStyle w:val="Normaltindrag"/>
      </w:pPr>
      <w:r w:rsidRPr="00F5723F">
        <w:t>Lägst andel ledamöter som återkommande arbetar på andra tider än mellan klockan 08.00 och 22.00 har riksdagens största partier – Socialdem</w:t>
      </w:r>
      <w:r w:rsidRPr="00F5723F">
        <w:t>o</w:t>
      </w:r>
      <w:r w:rsidRPr="00F5723F">
        <w:t>kraterna (73 procent) och Moderaterna (79 procent). Miljöpartiet (89 procent) och Centerpartiet (100 procent), tillika de minsta part</w:t>
      </w:r>
      <w:r w:rsidRPr="00F5723F">
        <w:t>i</w:t>
      </w:r>
      <w:r w:rsidRPr="00F5723F">
        <w:t>erna, har den högsta andelen ledamöter som minst en eller ett par gånger i månaden arbetar utanför samma tidsintervall. För kristdemokrater och fol</w:t>
      </w:r>
      <w:r w:rsidRPr="00F5723F">
        <w:t>k</w:t>
      </w:r>
      <w:r w:rsidRPr="00F5723F">
        <w:t>partister är and</w:t>
      </w:r>
      <w:r w:rsidRPr="00F5723F">
        <w:t>e</w:t>
      </w:r>
      <w:r w:rsidRPr="00F5723F">
        <w:t xml:space="preserve">len 84 procent och för vänsterpartister 83 procent. </w:t>
      </w:r>
    </w:p>
    <w:p w:rsidR="00B43C57" w:rsidRPr="00F5723F" w:rsidRDefault="00B43C57">
      <w:pPr>
        <w:pStyle w:val="Rubrik3"/>
        <w:rPr>
          <w:noProof w:val="0"/>
        </w:rPr>
      </w:pPr>
      <w:bookmarkStart w:id="281" w:name="_Toc121738985"/>
      <w:bookmarkStart w:id="282" w:name="_Toc124697868"/>
      <w:r w:rsidRPr="00F5723F">
        <w:rPr>
          <w:noProof w:val="0"/>
        </w:rPr>
        <w:t>Färre kommunpolitiskt aktiva</w:t>
      </w:r>
      <w:bookmarkEnd w:id="281"/>
      <w:bookmarkEnd w:id="282"/>
    </w:p>
    <w:p w:rsidR="00B43C57" w:rsidRPr="00F5723F" w:rsidRDefault="00B43C57">
      <w:r w:rsidRPr="00F5723F">
        <w:t>Fortfarande har en majoritet av ledamöterna varit kommunpolitiskt aktiva före invalet i riksdagen. Andelen ledamöter som efter invalet är fortsatt aktiva i kommun- eller landstingspolitiken har dock minskat kraftigt sedan tvåkammartiden. Andelen ledam</w:t>
      </w:r>
      <w:r w:rsidRPr="00F5723F">
        <w:t>ö</w:t>
      </w:r>
      <w:r w:rsidRPr="00F5723F">
        <w:t>ter med kommunala eller landsting</w:t>
      </w:r>
      <w:r w:rsidRPr="00F5723F">
        <w:t>s</w:t>
      </w:r>
      <w:r w:rsidRPr="00F5723F">
        <w:t>kommunala uppdrag minskade markant mellan 1969 och 1983. Därefter har utvecklingen varit relativt oförändrad. Ungefär var tredje ledamot (32 pr</w:t>
      </w:r>
      <w:r w:rsidRPr="00F5723F">
        <w:t>o</w:t>
      </w:r>
      <w:r w:rsidRPr="00F5723F">
        <w:t>cent) har någon typ av kommunalt uppdrag. Högst andel ledamöter med kommunala uppdrag återfinns inom Centerpartiet. Lägst är andelen inom Kris</w:t>
      </w:r>
      <w:r w:rsidRPr="00F5723F">
        <w:t>t</w:t>
      </w:r>
      <w:r w:rsidRPr="00F5723F">
        <w:t>demokraterna, Mi</w:t>
      </w:r>
      <w:r w:rsidRPr="00F5723F">
        <w:t>l</w:t>
      </w:r>
      <w:r w:rsidRPr="00F5723F">
        <w:t>jöpartiet och Folkpartiet. Sedan 1983 är det samtidigt mycket få ledamöter som samtidigt med riksdagsuppdraget har en ledande befattning på ko</w:t>
      </w:r>
      <w:r w:rsidRPr="00F5723F">
        <w:t>m</w:t>
      </w:r>
      <w:r w:rsidRPr="00F5723F">
        <w:t>munal eller landstingskommunal</w:t>
      </w:r>
      <w:r w:rsidRPr="00F5723F">
        <w:t xml:space="preserve"> nivå. Riksdagsuppdraget synes således vara enklare att kombinera med att vara fullmäktigeledamot än att vara ledande företrädare i ko</w:t>
      </w:r>
      <w:r w:rsidRPr="00F5723F">
        <w:t>m</w:t>
      </w:r>
      <w:r w:rsidRPr="00F5723F">
        <w:t xml:space="preserve">mun eller landsting. </w:t>
      </w:r>
    </w:p>
    <w:p w:rsidR="00B43C57" w:rsidRPr="00F5723F" w:rsidRDefault="00B43C57">
      <w:pPr>
        <w:pStyle w:val="Rubrik3"/>
        <w:rPr>
          <w:noProof w:val="0"/>
        </w:rPr>
      </w:pPr>
      <w:bookmarkStart w:id="283" w:name="_Toc121738986"/>
      <w:bookmarkStart w:id="284" w:name="_Toc124697869"/>
      <w:r w:rsidRPr="00F5723F">
        <w:rPr>
          <w:noProof w:val="0"/>
        </w:rPr>
        <w:t>Riksdagsledamöter trivs med arbetet som riksdagsledamot</w:t>
      </w:r>
      <w:bookmarkEnd w:id="283"/>
      <w:bookmarkEnd w:id="284"/>
    </w:p>
    <w:p w:rsidR="00B43C57" w:rsidRPr="00F5723F" w:rsidRDefault="00B43C57">
      <w:r w:rsidRPr="00F5723F">
        <w:t>Ledamöterna i riksdagen är nöjda med arbetet som riksdagsledamot.</w:t>
      </w:r>
      <w:r w:rsidRPr="00F5723F">
        <w:t xml:space="preserve"> Andelen ledam</w:t>
      </w:r>
      <w:r w:rsidRPr="00F5723F">
        <w:t>ö</w:t>
      </w:r>
      <w:r w:rsidRPr="00F5723F">
        <w:t>ter som uttrycker trivsel har tydligt ökat mellan 1985 och 2002. Knappt hälften (47 procent) av ledamöterna ansåg sig trivas mycket bra med uppdraget som riksdagsl</w:t>
      </w:r>
      <w:r w:rsidRPr="00F5723F">
        <w:t>e</w:t>
      </w:r>
      <w:r w:rsidRPr="00F5723F">
        <w:t>damot 1985. År 2002 var den andelen 9 procente</w:t>
      </w:r>
      <w:r w:rsidRPr="00F5723F">
        <w:t>n</w:t>
      </w:r>
      <w:r w:rsidRPr="00F5723F">
        <w:t>heter högre (56 procent). Unga ledamöter uttrycker en mindre grad av trivsel i arbetet som riksdagsledamot än äldre ledam</w:t>
      </w:r>
      <w:r w:rsidRPr="00F5723F">
        <w:t>ö</w:t>
      </w:r>
      <w:r w:rsidRPr="00F5723F">
        <w:t xml:space="preserve">ter. </w:t>
      </w:r>
      <w:r w:rsidRPr="00F5723F">
        <w:t>Kvinnliga ledamöter trivs, enligt samma undersökningar, något mer än männen i riksdagen, även om skillnaderna minskat i senare års unde</w:t>
      </w:r>
      <w:r w:rsidRPr="00F5723F">
        <w:t>r</w:t>
      </w:r>
      <w:r w:rsidRPr="00F5723F">
        <w:t>sökningar.</w:t>
      </w:r>
    </w:p>
    <w:p w:rsidR="00B43C57" w:rsidRPr="00F5723F" w:rsidRDefault="00B43C57">
      <w:pPr>
        <w:pStyle w:val="Normaltindrag"/>
      </w:pPr>
      <w:r w:rsidRPr="00F5723F">
        <w:t xml:space="preserve">Ledamöter i </w:t>
      </w:r>
      <w:r w:rsidRPr="00F5723F">
        <w:t>Vänsterpartiet är minst nöjda med arbetet som riksdagsled</w:t>
      </w:r>
      <w:r w:rsidRPr="00F5723F">
        <w:t>a</w:t>
      </w:r>
      <w:r w:rsidRPr="00F5723F">
        <w:t>mot medan Centerpartiets ledamöter är mest nöjda. Den enskilt största fö</w:t>
      </w:r>
      <w:r w:rsidRPr="00F5723F">
        <w:t>r</w:t>
      </w:r>
      <w:r w:rsidRPr="00F5723F">
        <w:t>ändringen från mitten av 1980-talet står Vänsterpartiet för. Andelen nöjda v-ledamöter har ökat med 36 procentenheter och uppgår nu till 46 pr</w:t>
      </w:r>
      <w:r w:rsidRPr="00F5723F">
        <w:t>o</w:t>
      </w:r>
      <w:r w:rsidRPr="00F5723F">
        <w:t xml:space="preserve">cent. </w:t>
      </w:r>
    </w:p>
    <w:p w:rsidR="00B43C57" w:rsidRPr="00F5723F" w:rsidRDefault="00B43C57">
      <w:pPr>
        <w:pStyle w:val="Rubrik3"/>
        <w:rPr>
          <w:noProof w:val="0"/>
        </w:rPr>
      </w:pPr>
      <w:bookmarkStart w:id="285" w:name="_Toc121738987"/>
      <w:bookmarkStart w:id="286" w:name="_Toc124697870"/>
      <w:r w:rsidRPr="00F5723F">
        <w:rPr>
          <w:noProof w:val="0"/>
        </w:rPr>
        <w:t>Mer tid åt kontakter med valkretsen och väljarna</w:t>
      </w:r>
      <w:bookmarkEnd w:id="285"/>
      <w:bookmarkEnd w:id="286"/>
    </w:p>
    <w:p w:rsidR="00B43C57" w:rsidRPr="00F5723F" w:rsidRDefault="00B43C57">
      <w:r w:rsidRPr="00F5723F">
        <w:t>Ledamöter vill öka möjligheterna att få tid för möten och kontakter med människor, såväl enskilda väljare som organisationer, särskilt i valkretsen. Dessutom vill ledam</w:t>
      </w:r>
      <w:r w:rsidRPr="00F5723F">
        <w:t>ö</w:t>
      </w:r>
      <w:r w:rsidRPr="00F5723F">
        <w:t>terna ägna mer tid åt opinionsbildande arbete och långsiktigt arbete. Det internatione</w:t>
      </w:r>
      <w:r w:rsidRPr="00F5723F">
        <w:t>l</w:t>
      </w:r>
      <w:r w:rsidRPr="00F5723F">
        <w:t>la arbetet, såväl inom som utom Europ</w:t>
      </w:r>
      <w:r w:rsidRPr="00F5723F">
        <w:t>e</w:t>
      </w:r>
      <w:r w:rsidRPr="00F5723F">
        <w:t>iska unionen, framstår också som en uppgift ledamöter gen</w:t>
      </w:r>
      <w:r w:rsidRPr="00F5723F">
        <w:t>e</w:t>
      </w:r>
      <w:r w:rsidRPr="00F5723F">
        <w:t xml:space="preserve">rellt sett önskar ägna mer tid åt. </w:t>
      </w:r>
    </w:p>
    <w:p w:rsidR="00B43C57" w:rsidRPr="00F5723F" w:rsidRDefault="00B43C57">
      <w:pPr>
        <w:pStyle w:val="Normaltindrag"/>
      </w:pPr>
      <w:r w:rsidRPr="00F5723F">
        <w:t>Sammanfattningsvis önskar ledamöterna ägna mer tid åt de statsrättsligt definier</w:t>
      </w:r>
      <w:r w:rsidRPr="00F5723F">
        <w:t>a</w:t>
      </w:r>
      <w:r w:rsidRPr="00F5723F">
        <w:t>de uppgifter som utgör riksdagens mest centrala: att hålla kontakter med det omg</w:t>
      </w:r>
      <w:r w:rsidRPr="00F5723F">
        <w:t>i</w:t>
      </w:r>
      <w:r w:rsidRPr="00F5723F">
        <w:t>vande samhället och väljarna (</w:t>
      </w:r>
      <w:r w:rsidRPr="00F5723F">
        <w:rPr>
          <w:i/>
        </w:rPr>
        <w:t>representera sina väljare</w:t>
      </w:r>
      <w:r w:rsidRPr="00F5723F">
        <w:t>), arbeta med opinionsbildning (</w:t>
      </w:r>
      <w:r w:rsidRPr="00F5723F">
        <w:rPr>
          <w:i/>
        </w:rPr>
        <w:t>vara opinionsbildare</w:t>
      </w:r>
      <w:r w:rsidRPr="00F5723F">
        <w:t>) och fatta långsiktigt kloka beslut (</w:t>
      </w:r>
      <w:r w:rsidRPr="00F5723F">
        <w:rPr>
          <w:i/>
        </w:rPr>
        <w:t>vara beslutsfatt</w:t>
      </w:r>
      <w:r w:rsidRPr="00F5723F">
        <w:rPr>
          <w:i/>
        </w:rPr>
        <w:t>a</w:t>
      </w:r>
      <w:r w:rsidRPr="00F5723F">
        <w:rPr>
          <w:i/>
        </w:rPr>
        <w:t>re</w:t>
      </w:r>
      <w:r w:rsidRPr="00F5723F">
        <w:t>).</w:t>
      </w:r>
    </w:p>
    <w:p w:rsidR="00B43C57" w:rsidRPr="00F5723F" w:rsidRDefault="00B43C57">
      <w:pPr>
        <w:pStyle w:val="Rubrik3"/>
        <w:rPr>
          <w:noProof w:val="0"/>
        </w:rPr>
      </w:pPr>
      <w:bookmarkStart w:id="287" w:name="_Toc121738988"/>
      <w:bookmarkStart w:id="288" w:name="_Toc124697871"/>
      <w:r w:rsidRPr="00F5723F">
        <w:rPr>
          <w:noProof w:val="0"/>
        </w:rPr>
        <w:t>Mindre tid åt kontorsgöromål, administration och sammanträden</w:t>
      </w:r>
      <w:bookmarkEnd w:id="287"/>
      <w:bookmarkEnd w:id="288"/>
    </w:p>
    <w:p w:rsidR="00B43C57" w:rsidRPr="00F5723F" w:rsidRDefault="00B43C57">
      <w:r w:rsidRPr="00F5723F">
        <w:t>Ett antal uppgifter står på listan över vilka uppgifter ledamöter skulle vilja ägna min</w:t>
      </w:r>
      <w:r w:rsidRPr="00F5723F">
        <w:t>d</w:t>
      </w:r>
      <w:r w:rsidRPr="00F5723F">
        <w:t>re tid åt. Ledamöter önskar generellt sett minska omfat</w:t>
      </w:r>
      <w:r w:rsidRPr="00F5723F">
        <w:t>t</w:t>
      </w:r>
      <w:r w:rsidRPr="00F5723F">
        <w:t>ningen av tid som behöver läggas ned på kontorsgöromål, administration och samma</w:t>
      </w:r>
      <w:r w:rsidRPr="00F5723F">
        <w:t>n</w:t>
      </w:r>
      <w:r w:rsidRPr="00F5723F">
        <w:t>träden. När det gäller sammanträden hänvisar ledamöter till onödiga, långa och illa förberedda sammantr</w:t>
      </w:r>
      <w:r w:rsidRPr="00F5723F">
        <w:t>ä</w:t>
      </w:r>
      <w:r w:rsidRPr="00F5723F">
        <w:t>den och inkluderar även voteringarna i riksd</w:t>
      </w:r>
      <w:r w:rsidRPr="00F5723F">
        <w:t>a</w:t>
      </w:r>
      <w:r w:rsidRPr="00F5723F">
        <w:t>gens kammare. Beställning av resor, bokning av möten och andra praktiska aspekter av ledamotskapet – administration och byråkrati – tillhör de uppgifter ledamöte</w:t>
      </w:r>
      <w:r w:rsidRPr="00F5723F">
        <w:t>r</w:t>
      </w:r>
      <w:r w:rsidRPr="00F5723F">
        <w:t>na önskar ägna mindre tid åt. Som en alldeles egen kategori und</w:t>
      </w:r>
      <w:r w:rsidRPr="00F5723F">
        <w:t>er administration är det naturligt att nämna posthante</w:t>
      </w:r>
      <w:r w:rsidRPr="00F5723F">
        <w:t>r</w:t>
      </w:r>
      <w:r w:rsidRPr="00F5723F">
        <w:t>ingen. Den – såväl den brevledes som den e-postmässiga – vållar för ledamöterna omfattande arb</w:t>
      </w:r>
      <w:r w:rsidRPr="00F5723F">
        <w:t>e</w:t>
      </w:r>
      <w:r w:rsidRPr="00F5723F">
        <w:t>te, tid som led</w:t>
      </w:r>
      <w:r w:rsidRPr="00F5723F">
        <w:t>a</w:t>
      </w:r>
      <w:r w:rsidRPr="00F5723F">
        <w:t>möterna hellre sk</w:t>
      </w:r>
      <w:r w:rsidRPr="00F5723F">
        <w:t>ulle vilja ägna åt annat.</w:t>
      </w:r>
    </w:p>
    <w:p w:rsidR="00B43C57" w:rsidRPr="00F5723F" w:rsidRDefault="00B43C57">
      <w:pPr>
        <w:pStyle w:val="Rubrik3"/>
        <w:rPr>
          <w:noProof w:val="0"/>
        </w:rPr>
      </w:pPr>
      <w:bookmarkStart w:id="289" w:name="_Toc121738989"/>
      <w:bookmarkStart w:id="290" w:name="_Toc124697872"/>
      <w:r w:rsidRPr="00F5723F">
        <w:rPr>
          <w:noProof w:val="0"/>
        </w:rPr>
        <w:t>Riksdagsledamöternas önskelista</w:t>
      </w:r>
      <w:bookmarkEnd w:id="289"/>
      <w:bookmarkEnd w:id="290"/>
    </w:p>
    <w:p w:rsidR="00B43C57" w:rsidRPr="00F5723F" w:rsidRDefault="00B43C57">
      <w:r w:rsidRPr="00F5723F">
        <w:t>För att komma till rätta med sin arbetssituation och för att minska tidsåtgån</w:t>
      </w:r>
      <w:r w:rsidRPr="00F5723F">
        <w:t>g</w:t>
      </w:r>
      <w:r w:rsidRPr="00F5723F">
        <w:t>en för olika arbetsuppgifter anger ledamöterna huvudsakligen fyra åtgärdsförslag. Ledam</w:t>
      </w:r>
      <w:r w:rsidRPr="00F5723F">
        <w:t>ö</w:t>
      </w:r>
      <w:r w:rsidRPr="00F5723F">
        <w:t>terna föreslår dels ökade resurser för a</w:t>
      </w:r>
      <w:r w:rsidRPr="00F5723F">
        <w:t>ssistenter och sekreterarhjälp, dels ökade resu</w:t>
      </w:r>
      <w:r w:rsidRPr="00F5723F">
        <w:t>r</w:t>
      </w:r>
      <w:r w:rsidRPr="00F5723F">
        <w:t>ser för teknisk hjälp och för en IT-utbyggnad. I övrigt föreslås en förbättrad arbetspl</w:t>
      </w:r>
      <w:r w:rsidRPr="00F5723F">
        <w:t>a</w:t>
      </w:r>
      <w:r w:rsidRPr="00F5723F">
        <w:t>nering, rationalisering och effektivisering av främst riksdagens kammararbete, vote</w:t>
      </w:r>
      <w:r w:rsidRPr="00F5723F">
        <w:t>r</w:t>
      </w:r>
      <w:r w:rsidRPr="00F5723F">
        <w:t>ingar och utskottens arbete med m</w:t>
      </w:r>
      <w:r w:rsidRPr="00F5723F">
        <w:t>o</w:t>
      </w:r>
      <w:bookmarkStart w:id="291" w:name="_Toc98075752"/>
      <w:r w:rsidRPr="00F5723F">
        <w:t xml:space="preserve">tionsberedningen. </w:t>
      </w:r>
    </w:p>
    <w:p w:rsidR="00B43C57" w:rsidRPr="00F5723F" w:rsidRDefault="00B43C57">
      <w:pPr>
        <w:pStyle w:val="Rubrik2"/>
        <w:spacing w:before="0"/>
      </w:pPr>
      <w:r w:rsidRPr="00F5723F">
        <w:br w:type="page"/>
      </w:r>
      <w:bookmarkStart w:id="292" w:name="_Toc121738990"/>
      <w:bookmarkStart w:id="293" w:name="_Toc124697873"/>
      <w:r w:rsidRPr="00F5723F">
        <w:t>Referenser</w:t>
      </w:r>
      <w:bookmarkEnd w:id="291"/>
      <w:bookmarkEnd w:id="292"/>
      <w:bookmarkEnd w:id="293"/>
    </w:p>
    <w:p w:rsidR="00B43C57" w:rsidRPr="00F5723F" w:rsidRDefault="00B43C57">
      <w:pPr>
        <w:spacing w:line="240" w:lineRule="auto"/>
        <w:ind w:left="284" w:hanging="284"/>
        <w:rPr>
          <w:szCs w:val="19"/>
        </w:rPr>
      </w:pPr>
      <w:r w:rsidRPr="00F5723F">
        <w:rPr>
          <w:szCs w:val="19"/>
        </w:rPr>
        <w:t xml:space="preserve">Arbetsformsutredningen (1976) </w:t>
      </w:r>
      <w:r w:rsidRPr="00F5723F">
        <w:rPr>
          <w:i/>
          <w:szCs w:val="19"/>
        </w:rPr>
        <w:t>Riksdagsarbetets planering,</w:t>
      </w:r>
      <w:r w:rsidRPr="00F5723F">
        <w:rPr>
          <w:szCs w:val="19"/>
        </w:rPr>
        <w:t xml:space="preserve"> förs. 1975/76:15, Stoc</w:t>
      </w:r>
      <w:r w:rsidRPr="00F5723F">
        <w:rPr>
          <w:szCs w:val="19"/>
        </w:rPr>
        <w:t>k</w:t>
      </w:r>
      <w:r w:rsidRPr="00F5723F">
        <w:rPr>
          <w:szCs w:val="19"/>
        </w:rPr>
        <w:t>holm: Sveriges riksdag.</w:t>
      </w:r>
    </w:p>
    <w:p w:rsidR="00B43C57" w:rsidRPr="00F5723F" w:rsidRDefault="00B43C57">
      <w:pPr>
        <w:spacing w:line="240" w:lineRule="auto"/>
        <w:ind w:left="284" w:hanging="284"/>
        <w:rPr>
          <w:szCs w:val="19"/>
        </w:rPr>
      </w:pPr>
      <w:r w:rsidRPr="00F5723F">
        <w:rPr>
          <w:szCs w:val="19"/>
        </w:rPr>
        <w:t xml:space="preserve">Arbetsformsutredningen (1979) </w:t>
      </w:r>
      <w:r w:rsidRPr="00F5723F">
        <w:rPr>
          <w:i/>
          <w:szCs w:val="19"/>
        </w:rPr>
        <w:t>Arbetsformsutredningens slu</w:t>
      </w:r>
      <w:r w:rsidRPr="00F5723F">
        <w:rPr>
          <w:i/>
          <w:szCs w:val="19"/>
        </w:rPr>
        <w:t>t</w:t>
      </w:r>
      <w:r w:rsidRPr="00F5723F">
        <w:rPr>
          <w:i/>
          <w:szCs w:val="19"/>
        </w:rPr>
        <w:t xml:space="preserve">rapport, </w:t>
      </w:r>
      <w:r w:rsidRPr="00F5723F">
        <w:rPr>
          <w:szCs w:val="19"/>
        </w:rPr>
        <w:t>f</w:t>
      </w:r>
      <w:r w:rsidRPr="00F5723F">
        <w:rPr>
          <w:szCs w:val="19"/>
        </w:rPr>
        <w:t>örs. 1978/79:15, Stoc</w:t>
      </w:r>
      <w:r w:rsidRPr="00F5723F">
        <w:rPr>
          <w:szCs w:val="19"/>
        </w:rPr>
        <w:t>k</w:t>
      </w:r>
      <w:r w:rsidRPr="00F5723F">
        <w:rPr>
          <w:szCs w:val="19"/>
        </w:rPr>
        <w:t>holm: Sveriges riksdag.</w:t>
      </w:r>
    </w:p>
    <w:p w:rsidR="00B43C57" w:rsidRPr="00F5723F" w:rsidRDefault="00B43C57">
      <w:pPr>
        <w:spacing w:line="240" w:lineRule="auto"/>
        <w:ind w:left="284" w:hanging="284"/>
        <w:rPr>
          <w:rFonts w:cs="Sabon"/>
          <w:szCs w:val="19"/>
        </w:rPr>
      </w:pPr>
      <w:r w:rsidRPr="00F5723F">
        <w:rPr>
          <w:rFonts w:cs="Sabon"/>
          <w:szCs w:val="19"/>
        </w:rPr>
        <w:t xml:space="preserve">Back, P-E. &amp; Berglund, S. (1978) </w:t>
      </w:r>
      <w:r w:rsidRPr="00F5723F">
        <w:rPr>
          <w:rFonts w:cs="Sabon"/>
          <w:i/>
          <w:iCs/>
          <w:szCs w:val="19"/>
        </w:rPr>
        <w:t>Det svenska partiväsendet</w:t>
      </w:r>
      <w:r w:rsidRPr="00F5723F">
        <w:rPr>
          <w:rFonts w:cs="Sabon"/>
          <w:szCs w:val="19"/>
        </w:rPr>
        <w:t>, Stockholm: AWE/Geber.</w:t>
      </w:r>
    </w:p>
    <w:p w:rsidR="00B43C57" w:rsidRPr="00F5723F" w:rsidRDefault="00B43C57">
      <w:pPr>
        <w:spacing w:line="240" w:lineRule="auto"/>
        <w:ind w:left="284" w:hanging="284"/>
        <w:rPr>
          <w:szCs w:val="19"/>
        </w:rPr>
      </w:pPr>
      <w:r w:rsidRPr="00F5723F">
        <w:rPr>
          <w:szCs w:val="19"/>
        </w:rPr>
        <w:t xml:space="preserve">Barrling Hermansson, K. (2004) </w:t>
      </w:r>
      <w:r w:rsidRPr="00F5723F">
        <w:rPr>
          <w:i/>
          <w:color w:val="000000"/>
          <w:szCs w:val="19"/>
        </w:rPr>
        <w:t>Partikulturer: kollektiva självbilder och normer i Sveriges riksdag</w:t>
      </w:r>
      <w:r w:rsidRPr="00F5723F">
        <w:rPr>
          <w:color w:val="000000"/>
          <w:szCs w:val="19"/>
        </w:rPr>
        <w:t>, Uppsala: Acta Universit</w:t>
      </w:r>
      <w:r w:rsidRPr="00F5723F">
        <w:rPr>
          <w:color w:val="000000"/>
          <w:szCs w:val="19"/>
        </w:rPr>
        <w:t>a</w:t>
      </w:r>
      <w:r w:rsidRPr="00F5723F">
        <w:rPr>
          <w:color w:val="000000"/>
          <w:szCs w:val="19"/>
        </w:rPr>
        <w:t>tis Upsaliensis.</w:t>
      </w:r>
    </w:p>
    <w:p w:rsidR="00B43C57" w:rsidRPr="00F5723F" w:rsidRDefault="00B43C57">
      <w:pPr>
        <w:spacing w:line="240" w:lineRule="auto"/>
        <w:ind w:left="284" w:hanging="284"/>
        <w:rPr>
          <w:szCs w:val="19"/>
        </w:rPr>
      </w:pPr>
      <w:r w:rsidRPr="00F5723F">
        <w:rPr>
          <w:szCs w:val="19"/>
        </w:rPr>
        <w:t xml:space="preserve">Brothén, M. (2002) </w:t>
      </w:r>
      <w:r w:rsidRPr="00F5723F">
        <w:rPr>
          <w:i/>
          <w:szCs w:val="19"/>
        </w:rPr>
        <w:t>I kontakt med omvärlden. Riksdagsledamöterna och internation</w:t>
      </w:r>
      <w:r w:rsidRPr="00F5723F">
        <w:rPr>
          <w:i/>
          <w:szCs w:val="19"/>
        </w:rPr>
        <w:t>a</w:t>
      </w:r>
      <w:r w:rsidRPr="00F5723F">
        <w:rPr>
          <w:i/>
          <w:szCs w:val="19"/>
        </w:rPr>
        <w:t>liseringen</w:t>
      </w:r>
      <w:r w:rsidRPr="00F5723F">
        <w:rPr>
          <w:szCs w:val="19"/>
        </w:rPr>
        <w:t xml:space="preserve">, Stockholm: SNS Förlag. </w:t>
      </w:r>
    </w:p>
    <w:p w:rsidR="00B43C57" w:rsidRPr="00F5723F" w:rsidRDefault="00B43C57">
      <w:pPr>
        <w:spacing w:line="240" w:lineRule="auto"/>
        <w:ind w:left="284" w:hanging="284"/>
        <w:rPr>
          <w:rFonts w:cs="Sabon"/>
          <w:szCs w:val="19"/>
        </w:rPr>
      </w:pPr>
      <w:r w:rsidRPr="00F5723F">
        <w:rPr>
          <w:rFonts w:cs="Sabon"/>
          <w:szCs w:val="19"/>
        </w:rPr>
        <w:t>Brändström, D. (1972)</w:t>
      </w:r>
      <w:r w:rsidRPr="00F5723F">
        <w:rPr>
          <w:rFonts w:cs="Sabon"/>
          <w:i/>
          <w:iCs/>
          <w:szCs w:val="19"/>
        </w:rPr>
        <w:t xml:space="preserve"> </w:t>
      </w:r>
      <w:r w:rsidRPr="00F5723F">
        <w:rPr>
          <w:rFonts w:cs="Sabon"/>
          <w:szCs w:val="19"/>
        </w:rPr>
        <w:t>”Nomineringsförfarandet vid riksdagsval. En studie av partie</w:t>
      </w:r>
      <w:r w:rsidRPr="00F5723F">
        <w:rPr>
          <w:rFonts w:cs="Sabon"/>
          <w:szCs w:val="19"/>
        </w:rPr>
        <w:t>r</w:t>
      </w:r>
      <w:r w:rsidRPr="00F5723F">
        <w:rPr>
          <w:rFonts w:cs="Sabon"/>
          <w:szCs w:val="19"/>
        </w:rPr>
        <w:t>nas kandidatnomineringar inför 1970 års riksdagsval”, i S</w:t>
      </w:r>
      <w:r w:rsidRPr="00F5723F">
        <w:rPr>
          <w:rFonts w:cs="Sabon"/>
          <w:i/>
          <w:iCs/>
          <w:szCs w:val="19"/>
        </w:rPr>
        <w:t>OU 1972:17, Nomin</w:t>
      </w:r>
      <w:r w:rsidRPr="00F5723F">
        <w:rPr>
          <w:rFonts w:cs="Sabon"/>
          <w:i/>
          <w:iCs/>
          <w:szCs w:val="19"/>
        </w:rPr>
        <w:t>e</w:t>
      </w:r>
      <w:r w:rsidRPr="00F5723F">
        <w:rPr>
          <w:rFonts w:cs="Sabon"/>
          <w:i/>
          <w:iCs/>
          <w:szCs w:val="19"/>
        </w:rPr>
        <w:t>ringsförfarande vid riksdagsval. Riksdagen i pressen,</w:t>
      </w:r>
      <w:r w:rsidRPr="00F5723F">
        <w:rPr>
          <w:rFonts w:cs="Sabon"/>
          <w:szCs w:val="19"/>
        </w:rPr>
        <w:t xml:space="preserve"> Stockholm: Allmänna Fö</w:t>
      </w:r>
      <w:r w:rsidRPr="00F5723F">
        <w:rPr>
          <w:rFonts w:cs="Sabon"/>
          <w:szCs w:val="19"/>
        </w:rPr>
        <w:t>r</w:t>
      </w:r>
      <w:r w:rsidRPr="00F5723F">
        <w:rPr>
          <w:rFonts w:cs="Sabon"/>
          <w:szCs w:val="19"/>
        </w:rPr>
        <w:t xml:space="preserve">laget. </w:t>
      </w:r>
    </w:p>
    <w:p w:rsidR="00B43C57" w:rsidRPr="00F5723F" w:rsidRDefault="00B43C57">
      <w:pPr>
        <w:spacing w:line="240" w:lineRule="auto"/>
        <w:ind w:left="284" w:hanging="284"/>
        <w:rPr>
          <w:snapToGrid w:val="0"/>
          <w:color w:val="000000"/>
          <w:szCs w:val="19"/>
        </w:rPr>
      </w:pPr>
      <w:r w:rsidRPr="00F5723F">
        <w:rPr>
          <w:snapToGrid w:val="0"/>
          <w:color w:val="000000"/>
          <w:szCs w:val="19"/>
        </w:rPr>
        <w:t>Bäck &amp; Öhrvall</w:t>
      </w:r>
      <w:r w:rsidRPr="00F5723F">
        <w:rPr>
          <w:snapToGrid w:val="0"/>
          <w:color w:val="000000"/>
          <w:szCs w:val="19"/>
        </w:rPr>
        <w:t xml:space="preserve"> (2004) </w:t>
      </w:r>
      <w:r w:rsidRPr="00F5723F">
        <w:rPr>
          <w:i/>
          <w:snapToGrid w:val="0"/>
          <w:color w:val="000000"/>
          <w:szCs w:val="19"/>
        </w:rPr>
        <w:t>Det nya seklets förtroendevalda. Om politikerantal och repr</w:t>
      </w:r>
      <w:r w:rsidRPr="00F5723F">
        <w:rPr>
          <w:i/>
          <w:snapToGrid w:val="0"/>
          <w:color w:val="000000"/>
          <w:szCs w:val="19"/>
        </w:rPr>
        <w:t>e</w:t>
      </w:r>
      <w:r w:rsidRPr="00F5723F">
        <w:rPr>
          <w:i/>
          <w:snapToGrid w:val="0"/>
          <w:color w:val="000000"/>
          <w:szCs w:val="19"/>
        </w:rPr>
        <w:t>sentativitet i kommuner och landsting 2003</w:t>
      </w:r>
      <w:r w:rsidRPr="00F5723F">
        <w:rPr>
          <w:snapToGrid w:val="0"/>
          <w:color w:val="000000"/>
          <w:szCs w:val="19"/>
        </w:rPr>
        <w:t>, Stockholm: Justitiedepartementet, Svenska Kommunförbundet och Landstingsförbu</w:t>
      </w:r>
      <w:r w:rsidRPr="00F5723F">
        <w:rPr>
          <w:snapToGrid w:val="0"/>
          <w:color w:val="000000"/>
          <w:szCs w:val="19"/>
        </w:rPr>
        <w:t>n</w:t>
      </w:r>
      <w:r w:rsidRPr="00F5723F">
        <w:rPr>
          <w:snapToGrid w:val="0"/>
          <w:color w:val="000000"/>
          <w:szCs w:val="19"/>
        </w:rPr>
        <w:t>det.</w:t>
      </w:r>
    </w:p>
    <w:p w:rsidR="00B43C57" w:rsidRPr="00F5723F" w:rsidRDefault="00B43C57">
      <w:pPr>
        <w:spacing w:line="240" w:lineRule="auto"/>
        <w:ind w:left="284" w:hanging="284"/>
        <w:rPr>
          <w:szCs w:val="19"/>
        </w:rPr>
      </w:pPr>
      <w:r w:rsidRPr="00F5723F">
        <w:rPr>
          <w:szCs w:val="19"/>
        </w:rPr>
        <w:t xml:space="preserve">Christoffersson, U. (1986) ”Riksdagsledamöternas arbetsvecka”, i </w:t>
      </w:r>
      <w:r w:rsidRPr="00F5723F">
        <w:rPr>
          <w:i/>
          <w:szCs w:val="19"/>
        </w:rPr>
        <w:t>SOU 1986:27 Folkets främsta företrädare. Tre undersökningar av riksdagsl</w:t>
      </w:r>
      <w:r w:rsidRPr="00F5723F">
        <w:rPr>
          <w:i/>
          <w:szCs w:val="19"/>
        </w:rPr>
        <w:t>e</w:t>
      </w:r>
      <w:r w:rsidRPr="00F5723F">
        <w:rPr>
          <w:i/>
          <w:szCs w:val="19"/>
        </w:rPr>
        <w:t>damöternas arbete i och utanför riksdagen,</w:t>
      </w:r>
      <w:r w:rsidRPr="00F5723F">
        <w:rPr>
          <w:szCs w:val="19"/>
        </w:rPr>
        <w:t xml:space="preserve"> Stockholm: Folkstyrels</w:t>
      </w:r>
      <w:r w:rsidRPr="00F5723F">
        <w:rPr>
          <w:szCs w:val="19"/>
        </w:rPr>
        <w:t>e</w:t>
      </w:r>
      <w:r w:rsidRPr="00F5723F">
        <w:rPr>
          <w:szCs w:val="19"/>
        </w:rPr>
        <w:t xml:space="preserve">kommittén. </w:t>
      </w:r>
    </w:p>
    <w:p w:rsidR="00B43C57" w:rsidRPr="00F5723F" w:rsidRDefault="00B43C57">
      <w:pPr>
        <w:spacing w:line="240" w:lineRule="auto"/>
        <w:ind w:left="284" w:hanging="284"/>
        <w:rPr>
          <w:rFonts w:cs="Sabon"/>
          <w:szCs w:val="19"/>
        </w:rPr>
      </w:pPr>
      <w:r w:rsidRPr="00F5723F">
        <w:rPr>
          <w:rFonts w:cs="Sabon"/>
          <w:szCs w:val="19"/>
        </w:rPr>
        <w:t xml:space="preserve">Dahl, R. (1989) </w:t>
      </w:r>
      <w:r w:rsidRPr="00F5723F">
        <w:rPr>
          <w:rFonts w:cs="Sabon"/>
          <w:i/>
          <w:iCs/>
          <w:szCs w:val="19"/>
        </w:rPr>
        <w:t>Democracy and Its Critics</w:t>
      </w:r>
      <w:r w:rsidRPr="00F5723F">
        <w:rPr>
          <w:rFonts w:cs="Sabon"/>
          <w:szCs w:val="19"/>
        </w:rPr>
        <w:t xml:space="preserve">, </w:t>
      </w:r>
      <w:smartTag w:uri="urn:schemas-microsoft-com:office:smarttags" w:element="City">
        <w:r w:rsidRPr="00F5723F">
          <w:rPr>
            <w:rFonts w:cs="Sabon"/>
            <w:szCs w:val="19"/>
          </w:rPr>
          <w:t>New Haven</w:t>
        </w:r>
      </w:smartTag>
      <w:r w:rsidRPr="00F5723F">
        <w:rPr>
          <w:rFonts w:cs="Sabon"/>
          <w:szCs w:val="19"/>
        </w:rPr>
        <w:t xml:space="preserve">: </w:t>
      </w:r>
      <w:smartTag w:uri="urn:schemas-microsoft-com:office:smarttags" w:element="place">
        <w:smartTag w:uri="urn:schemas-microsoft-com:office:smarttags" w:element="PlaceName">
          <w:r w:rsidRPr="00F5723F">
            <w:rPr>
              <w:rFonts w:cs="Sabon"/>
              <w:szCs w:val="19"/>
            </w:rPr>
            <w:t>Yale</w:t>
          </w:r>
        </w:smartTag>
        <w:r w:rsidRPr="00F5723F">
          <w:rPr>
            <w:rFonts w:cs="Sabon"/>
            <w:szCs w:val="19"/>
          </w:rPr>
          <w:t xml:space="preserve"> </w:t>
        </w:r>
        <w:smartTag w:uri="urn:schemas-microsoft-com:office:smarttags" w:element="PlaceType">
          <w:r w:rsidRPr="00F5723F">
            <w:rPr>
              <w:rFonts w:cs="Sabon"/>
              <w:szCs w:val="19"/>
            </w:rPr>
            <w:t>University</w:t>
          </w:r>
        </w:smartTag>
      </w:smartTag>
      <w:r w:rsidRPr="00F5723F">
        <w:rPr>
          <w:rFonts w:cs="Sabon"/>
          <w:szCs w:val="19"/>
        </w:rPr>
        <w:t xml:space="preserve"> Press. </w:t>
      </w:r>
    </w:p>
    <w:p w:rsidR="00B43C57" w:rsidRPr="00F5723F" w:rsidRDefault="00B43C57">
      <w:pPr>
        <w:spacing w:line="240" w:lineRule="auto"/>
        <w:ind w:left="284" w:hanging="284"/>
        <w:rPr>
          <w:rFonts w:cs="Sabon"/>
          <w:szCs w:val="19"/>
        </w:rPr>
      </w:pPr>
      <w:r w:rsidRPr="00F5723F">
        <w:rPr>
          <w:rFonts w:cs="Sabon"/>
          <w:szCs w:val="19"/>
        </w:rPr>
        <w:t xml:space="preserve">Damgaard, E. (1977) </w:t>
      </w:r>
      <w:r w:rsidRPr="00F5723F">
        <w:rPr>
          <w:rFonts w:cs="Sabon"/>
          <w:i/>
          <w:iCs/>
          <w:szCs w:val="19"/>
        </w:rPr>
        <w:t>Folketinget under forandring. Aspekter af Folketingets udvikling, virkemåde og stilling i det politiske system,</w:t>
      </w:r>
      <w:r w:rsidRPr="00F5723F">
        <w:rPr>
          <w:rFonts w:cs="Sabon"/>
          <w:szCs w:val="19"/>
        </w:rPr>
        <w:t xml:space="preserve"> Köpenhamn: Samfundsviden</w:t>
      </w:r>
      <w:r w:rsidRPr="00F5723F">
        <w:rPr>
          <w:rFonts w:cs="Sabon"/>
          <w:szCs w:val="19"/>
        </w:rPr>
        <w:t>s</w:t>
      </w:r>
      <w:r w:rsidRPr="00F5723F">
        <w:rPr>
          <w:rFonts w:cs="Sabon"/>
          <w:szCs w:val="19"/>
        </w:rPr>
        <w:t xml:space="preserve">kabeligt forl. </w:t>
      </w:r>
    </w:p>
    <w:p w:rsidR="00B43C57" w:rsidRPr="00F5723F" w:rsidRDefault="00B43C57">
      <w:pPr>
        <w:spacing w:line="240" w:lineRule="auto"/>
        <w:ind w:left="284" w:hanging="284"/>
        <w:rPr>
          <w:szCs w:val="19"/>
        </w:rPr>
      </w:pPr>
      <w:r w:rsidRPr="00F5723F">
        <w:rPr>
          <w:szCs w:val="19"/>
        </w:rPr>
        <w:t xml:space="preserve">Damgaard, E. (1979) </w:t>
      </w:r>
      <w:r w:rsidRPr="00F5723F">
        <w:rPr>
          <w:i/>
          <w:szCs w:val="19"/>
        </w:rPr>
        <w:t>Folketingsmedlemmer på arbejde</w:t>
      </w:r>
      <w:r w:rsidRPr="00F5723F">
        <w:rPr>
          <w:szCs w:val="19"/>
        </w:rPr>
        <w:t>, Århus: Publica.</w:t>
      </w:r>
    </w:p>
    <w:p w:rsidR="00B43C57" w:rsidRPr="00F5723F" w:rsidRDefault="00B43C57">
      <w:pPr>
        <w:spacing w:line="240" w:lineRule="auto"/>
        <w:ind w:left="284" w:hanging="284"/>
        <w:rPr>
          <w:rFonts w:cs="Sabon"/>
          <w:szCs w:val="19"/>
        </w:rPr>
      </w:pPr>
      <w:r w:rsidRPr="00F5723F">
        <w:rPr>
          <w:rFonts w:cs="Sabon"/>
          <w:szCs w:val="19"/>
        </w:rPr>
        <w:t xml:space="preserve">Disraeli, B. (1844) </w:t>
      </w:r>
      <w:r w:rsidRPr="00F5723F">
        <w:rPr>
          <w:rFonts w:cs="Sabon"/>
          <w:i/>
          <w:iCs/>
          <w:szCs w:val="19"/>
        </w:rPr>
        <w:t>Coningsby – or the New Generation</w:t>
      </w:r>
      <w:r w:rsidRPr="00F5723F">
        <w:rPr>
          <w:rFonts w:cs="Sabon"/>
          <w:szCs w:val="19"/>
        </w:rPr>
        <w:t>, Leipzig.</w:t>
      </w:r>
    </w:p>
    <w:p w:rsidR="00B43C57" w:rsidRPr="00F5723F" w:rsidRDefault="00B43C57">
      <w:pPr>
        <w:spacing w:line="240" w:lineRule="auto"/>
        <w:ind w:left="284" w:hanging="284"/>
        <w:rPr>
          <w:rFonts w:cs="Sabon"/>
          <w:szCs w:val="19"/>
        </w:rPr>
      </w:pPr>
      <w:r w:rsidRPr="00F5723F">
        <w:rPr>
          <w:szCs w:val="19"/>
        </w:rPr>
        <w:t xml:space="preserve">Esaiasson, P. &amp; Heidar, K., (red.) </w:t>
      </w:r>
      <w:r w:rsidRPr="00F5723F">
        <w:rPr>
          <w:i/>
          <w:iCs/>
          <w:szCs w:val="19"/>
        </w:rPr>
        <w:t xml:space="preserve">Beyond </w:t>
      </w:r>
      <w:smartTag w:uri="urn:schemas-microsoft-com:office:smarttags" w:element="City">
        <w:smartTag w:uri="urn:schemas-microsoft-com:office:smarttags" w:element="place">
          <w:r w:rsidRPr="00F5723F">
            <w:rPr>
              <w:i/>
              <w:iCs/>
              <w:szCs w:val="19"/>
            </w:rPr>
            <w:t>Westminster</w:t>
          </w:r>
        </w:smartTag>
      </w:smartTag>
      <w:r w:rsidRPr="00F5723F">
        <w:rPr>
          <w:i/>
          <w:iCs/>
          <w:szCs w:val="19"/>
        </w:rPr>
        <w:t xml:space="preserve"> and Congress. The Nordic Experience, </w:t>
      </w:r>
      <w:smartTag w:uri="urn:schemas-microsoft-com:office:smarttags" w:element="State">
        <w:r w:rsidRPr="00F5723F">
          <w:rPr>
            <w:szCs w:val="19"/>
          </w:rPr>
          <w:t>Ohio</w:t>
        </w:r>
      </w:smartTag>
      <w:r w:rsidRPr="00F5723F">
        <w:rPr>
          <w:szCs w:val="19"/>
        </w:rPr>
        <w:t xml:space="preserve">: </w:t>
      </w:r>
      <w:smartTag w:uri="urn:schemas-microsoft-com:office:smarttags" w:element="place">
        <w:smartTag w:uri="urn:schemas-microsoft-com:office:smarttags" w:element="PlaceName">
          <w:r w:rsidRPr="00F5723F">
            <w:rPr>
              <w:szCs w:val="19"/>
            </w:rPr>
            <w:t>Ohio</w:t>
          </w:r>
        </w:smartTag>
        <w:r w:rsidRPr="00F5723F">
          <w:rPr>
            <w:szCs w:val="19"/>
          </w:rPr>
          <w:t xml:space="preserve"> </w:t>
        </w:r>
        <w:smartTag w:uri="urn:schemas-microsoft-com:office:smarttags" w:element="PlaceType">
          <w:r w:rsidRPr="00F5723F">
            <w:rPr>
              <w:szCs w:val="19"/>
            </w:rPr>
            <w:t>State</w:t>
          </w:r>
        </w:smartTag>
        <w:r w:rsidRPr="00F5723F">
          <w:rPr>
            <w:szCs w:val="19"/>
          </w:rPr>
          <w:t xml:space="preserve"> </w:t>
        </w:r>
        <w:smartTag w:uri="urn:schemas-microsoft-com:office:smarttags" w:element="PlaceType">
          <w:r w:rsidRPr="00F5723F">
            <w:rPr>
              <w:szCs w:val="19"/>
            </w:rPr>
            <w:t>Unive</w:t>
          </w:r>
          <w:r w:rsidRPr="00F5723F">
            <w:rPr>
              <w:szCs w:val="19"/>
            </w:rPr>
            <w:t>r</w:t>
          </w:r>
          <w:r w:rsidRPr="00F5723F">
            <w:rPr>
              <w:szCs w:val="19"/>
            </w:rPr>
            <w:t>sity</w:t>
          </w:r>
        </w:smartTag>
      </w:smartTag>
      <w:r w:rsidRPr="00F5723F">
        <w:rPr>
          <w:szCs w:val="19"/>
        </w:rPr>
        <w:t xml:space="preserve"> Press.</w:t>
      </w:r>
    </w:p>
    <w:p w:rsidR="00B43C57" w:rsidRPr="00F5723F" w:rsidRDefault="00B43C57">
      <w:pPr>
        <w:spacing w:line="240" w:lineRule="auto"/>
        <w:ind w:left="284" w:hanging="284"/>
        <w:rPr>
          <w:rFonts w:cs="Sabon"/>
          <w:szCs w:val="19"/>
        </w:rPr>
      </w:pPr>
      <w:r w:rsidRPr="00F5723F">
        <w:rPr>
          <w:rFonts w:cs="Sabon"/>
          <w:szCs w:val="19"/>
        </w:rPr>
        <w:t xml:space="preserve">Esaiasson, P. &amp; Holmberg, S. (1996) </w:t>
      </w:r>
      <w:r w:rsidRPr="00F5723F">
        <w:rPr>
          <w:rFonts w:cs="Sabon"/>
          <w:i/>
          <w:iCs/>
          <w:szCs w:val="19"/>
        </w:rPr>
        <w:t>Representation from Above. Members of Pa</w:t>
      </w:r>
      <w:r w:rsidRPr="00F5723F">
        <w:rPr>
          <w:rFonts w:cs="Sabon"/>
          <w:i/>
          <w:iCs/>
          <w:szCs w:val="19"/>
        </w:rPr>
        <w:t>r</w:t>
      </w:r>
      <w:r w:rsidRPr="00F5723F">
        <w:rPr>
          <w:rFonts w:cs="Sabon"/>
          <w:i/>
          <w:iCs/>
          <w:szCs w:val="19"/>
        </w:rPr>
        <w:t xml:space="preserve">liament and Representative Democracy in </w:t>
      </w:r>
      <w:smartTag w:uri="urn:schemas-microsoft-com:office:smarttags" w:element="country-region">
        <w:r w:rsidRPr="00F5723F">
          <w:rPr>
            <w:rFonts w:cs="Sabon"/>
            <w:i/>
            <w:iCs/>
            <w:szCs w:val="19"/>
          </w:rPr>
          <w:t>Sweden</w:t>
        </w:r>
      </w:smartTag>
      <w:r w:rsidRPr="00F5723F">
        <w:rPr>
          <w:rFonts w:cs="Sabon"/>
          <w:i/>
          <w:iCs/>
          <w:szCs w:val="19"/>
        </w:rPr>
        <w:t xml:space="preserve">, </w:t>
      </w:r>
      <w:r w:rsidRPr="00F5723F">
        <w:rPr>
          <w:rFonts w:cs="Sabon"/>
          <w:szCs w:val="19"/>
        </w:rPr>
        <w:t xml:space="preserve">Aldershot: </w:t>
      </w:r>
      <w:smartTag w:uri="urn:schemas-microsoft-com:office:smarttags" w:element="City">
        <w:smartTag w:uri="urn:schemas-microsoft-com:office:smarttags" w:element="place">
          <w:r w:rsidRPr="00F5723F">
            <w:rPr>
              <w:rFonts w:cs="Sabon"/>
              <w:szCs w:val="19"/>
            </w:rPr>
            <w:t>Dar</w:t>
          </w:r>
          <w:r w:rsidRPr="00F5723F">
            <w:rPr>
              <w:rFonts w:cs="Sabon"/>
              <w:szCs w:val="19"/>
            </w:rPr>
            <w:t>t</w:t>
          </w:r>
          <w:r w:rsidRPr="00F5723F">
            <w:rPr>
              <w:rFonts w:cs="Sabon"/>
              <w:szCs w:val="19"/>
            </w:rPr>
            <w:t>mouth</w:t>
          </w:r>
        </w:smartTag>
      </w:smartTag>
      <w:r w:rsidRPr="00F5723F">
        <w:rPr>
          <w:rFonts w:cs="Sabon"/>
          <w:szCs w:val="19"/>
        </w:rPr>
        <w:t>.</w:t>
      </w:r>
    </w:p>
    <w:p w:rsidR="00B43C57" w:rsidRPr="00F5723F" w:rsidRDefault="00B43C57">
      <w:pPr>
        <w:spacing w:line="240" w:lineRule="auto"/>
        <w:ind w:left="284" w:hanging="284"/>
        <w:rPr>
          <w:rFonts w:cs="Sabon"/>
          <w:szCs w:val="19"/>
        </w:rPr>
      </w:pPr>
      <w:r w:rsidRPr="00F5723F">
        <w:rPr>
          <w:i/>
          <w:szCs w:val="19"/>
        </w:rPr>
        <w:t>Fakta om folkvalda. Riksdagen 2002–2006</w:t>
      </w:r>
      <w:r w:rsidRPr="00F5723F">
        <w:rPr>
          <w:szCs w:val="19"/>
        </w:rPr>
        <w:t>, Stockholm: Sveriges riksdag.</w:t>
      </w:r>
    </w:p>
    <w:p w:rsidR="00B43C57" w:rsidRPr="00F5723F" w:rsidRDefault="00B43C57">
      <w:pPr>
        <w:spacing w:line="240" w:lineRule="auto"/>
        <w:ind w:left="284" w:hanging="284"/>
        <w:rPr>
          <w:szCs w:val="19"/>
        </w:rPr>
      </w:pPr>
      <w:r w:rsidRPr="00F5723F">
        <w:rPr>
          <w:szCs w:val="19"/>
        </w:rPr>
        <w:t xml:space="preserve">Freidenvall, L. (2005) </w:t>
      </w:r>
      <w:r w:rsidRPr="00F5723F">
        <w:rPr>
          <w:i/>
          <w:szCs w:val="19"/>
        </w:rPr>
        <w:t>Riksdagen ur ett genusperspektiv – en forskningsöversikt</w:t>
      </w:r>
      <w:r w:rsidRPr="00F5723F">
        <w:rPr>
          <w:szCs w:val="19"/>
        </w:rPr>
        <w:t>, Stockholm: Statsvetenskapliga institutionen, Stockholms unive</w:t>
      </w:r>
      <w:r w:rsidRPr="00F5723F">
        <w:rPr>
          <w:szCs w:val="19"/>
        </w:rPr>
        <w:t>r</w:t>
      </w:r>
      <w:r w:rsidRPr="00F5723F">
        <w:rPr>
          <w:szCs w:val="19"/>
        </w:rPr>
        <w:t xml:space="preserve">sitet. </w:t>
      </w:r>
    </w:p>
    <w:p w:rsidR="00B43C57" w:rsidRPr="00F5723F" w:rsidRDefault="00B43C57">
      <w:pPr>
        <w:spacing w:line="240" w:lineRule="auto"/>
        <w:ind w:left="284" w:hanging="284"/>
        <w:rPr>
          <w:rFonts w:cs="Sabon"/>
          <w:szCs w:val="19"/>
        </w:rPr>
      </w:pPr>
      <w:r w:rsidRPr="00F5723F">
        <w:rPr>
          <w:rFonts w:cs="Sabon"/>
          <w:szCs w:val="19"/>
        </w:rPr>
        <w:t xml:space="preserve">Gahrton, P. (1983) </w:t>
      </w:r>
      <w:r w:rsidRPr="00F5723F">
        <w:rPr>
          <w:rFonts w:cs="Sabon"/>
          <w:i/>
          <w:iCs/>
          <w:szCs w:val="19"/>
        </w:rPr>
        <w:t>Riksdagen inifrån. En studie av parlamentarisk han</w:t>
      </w:r>
      <w:r w:rsidRPr="00F5723F">
        <w:rPr>
          <w:rFonts w:cs="Sabon"/>
          <w:i/>
          <w:iCs/>
          <w:szCs w:val="19"/>
        </w:rPr>
        <w:t>d</w:t>
      </w:r>
      <w:r w:rsidRPr="00F5723F">
        <w:rPr>
          <w:rFonts w:cs="Sabon"/>
          <w:i/>
          <w:iCs/>
          <w:szCs w:val="19"/>
        </w:rPr>
        <w:t xml:space="preserve">fallenhet inför ett samhälle i kris, </w:t>
      </w:r>
      <w:r w:rsidRPr="00F5723F">
        <w:rPr>
          <w:rFonts w:cs="Sabon"/>
          <w:szCs w:val="19"/>
        </w:rPr>
        <w:t>Stoc</w:t>
      </w:r>
      <w:r w:rsidRPr="00F5723F">
        <w:rPr>
          <w:rFonts w:cs="Sabon"/>
          <w:szCs w:val="19"/>
        </w:rPr>
        <w:t>k</w:t>
      </w:r>
      <w:r w:rsidRPr="00F5723F">
        <w:rPr>
          <w:rFonts w:cs="Sabon"/>
          <w:szCs w:val="19"/>
        </w:rPr>
        <w:t>holm: Prisma.</w:t>
      </w:r>
    </w:p>
    <w:p w:rsidR="00B43C57" w:rsidRPr="00F5723F" w:rsidRDefault="00B43C57">
      <w:pPr>
        <w:spacing w:line="240" w:lineRule="auto"/>
        <w:ind w:left="284" w:hanging="284"/>
        <w:rPr>
          <w:rFonts w:cs="Sabon"/>
          <w:szCs w:val="19"/>
        </w:rPr>
      </w:pPr>
      <w:r w:rsidRPr="00F5723F">
        <w:rPr>
          <w:rFonts w:cs="Sabon"/>
          <w:szCs w:val="19"/>
        </w:rPr>
        <w:t xml:space="preserve">Giddens, A. (2000) </w:t>
      </w:r>
      <w:r w:rsidRPr="00F5723F">
        <w:rPr>
          <w:rFonts w:cs="Sabon"/>
          <w:i/>
          <w:iCs/>
          <w:szCs w:val="19"/>
        </w:rPr>
        <w:t>Runaway World: How Globalization is Reshaping our Lives,</w:t>
      </w:r>
      <w:r w:rsidRPr="00F5723F">
        <w:rPr>
          <w:rFonts w:cs="Sabon"/>
          <w:szCs w:val="19"/>
        </w:rPr>
        <w:t xml:space="preserve"> </w:t>
      </w:r>
      <w:smartTag w:uri="urn:schemas-microsoft-com:office:smarttags" w:element="State">
        <w:smartTag w:uri="urn:schemas-microsoft-com:office:smarttags" w:element="place">
          <w:r w:rsidRPr="00F5723F">
            <w:rPr>
              <w:rFonts w:cs="Sabon"/>
              <w:szCs w:val="19"/>
            </w:rPr>
            <w:t>New York</w:t>
          </w:r>
        </w:smartTag>
      </w:smartTag>
      <w:r w:rsidRPr="00F5723F">
        <w:rPr>
          <w:rFonts w:cs="Sabon"/>
          <w:szCs w:val="19"/>
        </w:rPr>
        <w:t>: Routledge.</w:t>
      </w:r>
    </w:p>
    <w:p w:rsidR="00B43C57" w:rsidRPr="00F5723F" w:rsidRDefault="00B43C57">
      <w:pPr>
        <w:spacing w:line="240" w:lineRule="auto"/>
        <w:ind w:left="284" w:hanging="284"/>
        <w:rPr>
          <w:rFonts w:cs="Sabon"/>
          <w:szCs w:val="19"/>
        </w:rPr>
      </w:pPr>
      <w:r w:rsidRPr="00F5723F">
        <w:rPr>
          <w:rFonts w:cs="Sabon"/>
          <w:szCs w:val="19"/>
        </w:rPr>
        <w:t xml:space="preserve">Gustafsson, L. (red.) </w:t>
      </w:r>
      <w:r w:rsidRPr="00F5723F">
        <w:rPr>
          <w:rFonts w:cs="Sabon"/>
          <w:i/>
          <w:iCs/>
          <w:szCs w:val="19"/>
        </w:rPr>
        <w:t xml:space="preserve">Riksdagsutskotten inifrån. Tretton ledamöters hågkomster, </w:t>
      </w:r>
      <w:r w:rsidRPr="00F5723F">
        <w:rPr>
          <w:rFonts w:cs="Sabon"/>
          <w:szCs w:val="19"/>
        </w:rPr>
        <w:t xml:space="preserve">Stockholm och Hedemora: Riksbankens Jubileumsfond och Gidlunds Förlag. </w:t>
      </w:r>
    </w:p>
    <w:p w:rsidR="00B43C57" w:rsidRPr="00F5723F" w:rsidRDefault="00B43C57">
      <w:pPr>
        <w:spacing w:line="240" w:lineRule="auto"/>
        <w:ind w:left="284" w:hanging="284"/>
        <w:rPr>
          <w:szCs w:val="19"/>
        </w:rPr>
      </w:pPr>
      <w:r w:rsidRPr="00F5723F">
        <w:rPr>
          <w:szCs w:val="19"/>
        </w:rPr>
        <w:t xml:space="preserve">Göransson, A. (kommande) </w:t>
      </w:r>
      <w:r w:rsidRPr="00F5723F">
        <w:rPr>
          <w:i/>
          <w:szCs w:val="19"/>
        </w:rPr>
        <w:t>Maktens kön,</w:t>
      </w:r>
      <w:r w:rsidRPr="00F5723F">
        <w:rPr>
          <w:szCs w:val="19"/>
        </w:rPr>
        <w:t xml:space="preserve"> Göteborg: Göteborgs universitet och fors</w:t>
      </w:r>
      <w:r w:rsidRPr="00F5723F">
        <w:rPr>
          <w:szCs w:val="19"/>
        </w:rPr>
        <w:t>k</w:t>
      </w:r>
      <w:r w:rsidRPr="00F5723F">
        <w:rPr>
          <w:szCs w:val="19"/>
        </w:rPr>
        <w:t>ningsprojektet ”Kön och eliternas sociala reproduktion i ett komparativt perspe</w:t>
      </w:r>
      <w:r w:rsidRPr="00F5723F">
        <w:rPr>
          <w:szCs w:val="19"/>
        </w:rPr>
        <w:t>k</w:t>
      </w:r>
      <w:r w:rsidRPr="00F5723F">
        <w:rPr>
          <w:szCs w:val="19"/>
        </w:rPr>
        <w:t>tiv”.</w:t>
      </w:r>
    </w:p>
    <w:p w:rsidR="00B43C57" w:rsidRPr="00F5723F" w:rsidRDefault="00B43C57">
      <w:pPr>
        <w:spacing w:line="240" w:lineRule="auto"/>
        <w:ind w:left="284" w:hanging="284"/>
        <w:rPr>
          <w:szCs w:val="19"/>
        </w:rPr>
      </w:pPr>
      <w:r w:rsidRPr="00F5723F">
        <w:rPr>
          <w:szCs w:val="19"/>
        </w:rPr>
        <w:t xml:space="preserve">Hagevi, M. (1998) </w:t>
      </w:r>
      <w:r w:rsidRPr="00F5723F">
        <w:rPr>
          <w:i/>
          <w:iCs/>
          <w:szCs w:val="19"/>
        </w:rPr>
        <w:t>Bakom riksdagens fasad</w:t>
      </w:r>
      <w:r w:rsidRPr="00F5723F">
        <w:rPr>
          <w:szCs w:val="19"/>
        </w:rPr>
        <w:t>, Göteborg: Akademiförlaget Cor</w:t>
      </w:r>
      <w:r w:rsidRPr="00F5723F">
        <w:rPr>
          <w:szCs w:val="19"/>
        </w:rPr>
        <w:t>o</w:t>
      </w:r>
      <w:r w:rsidRPr="00F5723F">
        <w:rPr>
          <w:szCs w:val="19"/>
        </w:rPr>
        <w:t>na.</w:t>
      </w:r>
    </w:p>
    <w:p w:rsidR="00B43C57" w:rsidRPr="00F5723F" w:rsidRDefault="00B43C57">
      <w:pPr>
        <w:spacing w:line="240" w:lineRule="auto"/>
        <w:ind w:left="284" w:hanging="284"/>
        <w:rPr>
          <w:rFonts w:cs="Sabon"/>
          <w:szCs w:val="19"/>
        </w:rPr>
      </w:pPr>
      <w:r w:rsidRPr="00F5723F">
        <w:rPr>
          <w:rFonts w:cs="Sabon"/>
          <w:szCs w:val="19"/>
        </w:rPr>
        <w:t xml:space="preserve">Held, D. (1995) </w:t>
      </w:r>
      <w:r w:rsidRPr="00F5723F">
        <w:rPr>
          <w:rFonts w:cs="Sabon"/>
          <w:i/>
          <w:iCs/>
          <w:szCs w:val="19"/>
        </w:rPr>
        <w:t xml:space="preserve">Democracy and the Global Order. From the </w:t>
      </w:r>
      <w:smartTag w:uri="urn:schemas-microsoft-com:office:smarttags" w:element="PlaceName">
        <w:r w:rsidRPr="00F5723F">
          <w:rPr>
            <w:rFonts w:cs="Sabon"/>
            <w:i/>
            <w:iCs/>
            <w:szCs w:val="19"/>
          </w:rPr>
          <w:t>Modern</w:t>
        </w:r>
      </w:smartTag>
      <w:r w:rsidRPr="00F5723F">
        <w:rPr>
          <w:rFonts w:cs="Sabon"/>
          <w:i/>
          <w:iCs/>
          <w:szCs w:val="19"/>
        </w:rPr>
        <w:t xml:space="preserve"> </w:t>
      </w:r>
      <w:smartTag w:uri="urn:schemas-microsoft-com:office:smarttags" w:element="PlaceType">
        <w:r w:rsidRPr="00F5723F">
          <w:rPr>
            <w:rFonts w:cs="Sabon"/>
            <w:i/>
            <w:iCs/>
            <w:szCs w:val="19"/>
          </w:rPr>
          <w:t>State</w:t>
        </w:r>
      </w:smartTag>
      <w:r w:rsidRPr="00F5723F">
        <w:rPr>
          <w:rFonts w:cs="Sabon"/>
          <w:i/>
          <w:iCs/>
          <w:szCs w:val="19"/>
        </w:rPr>
        <w:t xml:space="preserve"> to Cosm</w:t>
      </w:r>
      <w:r w:rsidRPr="00F5723F">
        <w:rPr>
          <w:rFonts w:cs="Sabon"/>
          <w:i/>
          <w:iCs/>
          <w:szCs w:val="19"/>
        </w:rPr>
        <w:t>o</w:t>
      </w:r>
      <w:r w:rsidRPr="00F5723F">
        <w:rPr>
          <w:rFonts w:cs="Sabon"/>
          <w:i/>
          <w:iCs/>
          <w:szCs w:val="19"/>
        </w:rPr>
        <w:t>politan Governance,</w:t>
      </w:r>
      <w:r w:rsidRPr="00F5723F">
        <w:rPr>
          <w:rFonts w:cs="Sabon"/>
          <w:szCs w:val="19"/>
        </w:rPr>
        <w:t xml:space="preserve"> </w:t>
      </w:r>
      <w:smartTag w:uri="urn:schemas-microsoft-com:office:smarttags" w:element="City">
        <w:smartTag w:uri="urn:schemas-microsoft-com:office:smarttags" w:element="place">
          <w:r w:rsidRPr="00F5723F">
            <w:rPr>
              <w:rFonts w:cs="Sabon"/>
              <w:szCs w:val="19"/>
            </w:rPr>
            <w:t>Ca</w:t>
          </w:r>
          <w:r w:rsidRPr="00F5723F">
            <w:rPr>
              <w:rFonts w:cs="Sabon"/>
              <w:szCs w:val="19"/>
            </w:rPr>
            <w:t>m</w:t>
          </w:r>
          <w:r w:rsidRPr="00F5723F">
            <w:rPr>
              <w:rFonts w:cs="Sabon"/>
              <w:szCs w:val="19"/>
            </w:rPr>
            <w:t>bridge</w:t>
          </w:r>
        </w:smartTag>
      </w:smartTag>
      <w:r w:rsidRPr="00F5723F">
        <w:rPr>
          <w:rFonts w:cs="Sabon"/>
          <w:szCs w:val="19"/>
        </w:rPr>
        <w:t xml:space="preserve">: Polity Press. </w:t>
      </w:r>
    </w:p>
    <w:p w:rsidR="00B43C57" w:rsidRPr="00F5723F" w:rsidRDefault="00B43C57">
      <w:pPr>
        <w:spacing w:line="240" w:lineRule="auto"/>
        <w:ind w:left="284" w:hanging="284"/>
        <w:rPr>
          <w:rFonts w:cs="Sabon"/>
          <w:szCs w:val="19"/>
        </w:rPr>
      </w:pPr>
      <w:r w:rsidRPr="00F5723F">
        <w:rPr>
          <w:szCs w:val="19"/>
        </w:rPr>
        <w:t xml:space="preserve">Holmberg, S. &amp; Esaiasson, P. (1988) </w:t>
      </w:r>
      <w:r w:rsidRPr="00F5723F">
        <w:rPr>
          <w:i/>
          <w:szCs w:val="19"/>
        </w:rPr>
        <w:t>De folkvalda. En bok om riksdagsled</w:t>
      </w:r>
      <w:r w:rsidRPr="00F5723F">
        <w:rPr>
          <w:i/>
          <w:szCs w:val="19"/>
        </w:rPr>
        <w:t>a</w:t>
      </w:r>
      <w:r w:rsidRPr="00F5723F">
        <w:rPr>
          <w:i/>
          <w:szCs w:val="19"/>
        </w:rPr>
        <w:t>möterna och den representativa demokratin i Sverige</w:t>
      </w:r>
      <w:r w:rsidRPr="00F5723F">
        <w:rPr>
          <w:szCs w:val="19"/>
        </w:rPr>
        <w:t>, Stockholm: Bonn</w:t>
      </w:r>
      <w:r w:rsidRPr="00F5723F">
        <w:rPr>
          <w:szCs w:val="19"/>
        </w:rPr>
        <w:t>i</w:t>
      </w:r>
      <w:r w:rsidRPr="00F5723F">
        <w:rPr>
          <w:szCs w:val="19"/>
        </w:rPr>
        <w:t>ers.</w:t>
      </w:r>
    </w:p>
    <w:p w:rsidR="00B43C57" w:rsidRPr="00F5723F" w:rsidRDefault="00B43C57">
      <w:pPr>
        <w:spacing w:line="240" w:lineRule="auto"/>
        <w:ind w:left="284" w:hanging="284"/>
        <w:rPr>
          <w:szCs w:val="19"/>
        </w:rPr>
      </w:pPr>
      <w:r w:rsidRPr="00F5723F">
        <w:rPr>
          <w:rFonts w:cs="Sabon"/>
          <w:szCs w:val="19"/>
        </w:rPr>
        <w:t xml:space="preserve">Holmberg, S. &amp; Möller, T. (red.) </w:t>
      </w:r>
      <w:r w:rsidRPr="00F5723F">
        <w:rPr>
          <w:rFonts w:cs="Sabon"/>
          <w:i/>
          <w:iCs/>
          <w:szCs w:val="19"/>
        </w:rPr>
        <w:t>Premiär för personval, SOU 1999:92</w:t>
      </w:r>
      <w:r w:rsidRPr="00F5723F">
        <w:rPr>
          <w:rFonts w:cs="Sabon"/>
          <w:szCs w:val="19"/>
        </w:rPr>
        <w:t>, Stockholm: Rådet för u</w:t>
      </w:r>
      <w:r w:rsidRPr="00F5723F">
        <w:rPr>
          <w:rFonts w:cs="Sabon"/>
          <w:szCs w:val="19"/>
        </w:rPr>
        <w:t>t</w:t>
      </w:r>
      <w:r w:rsidRPr="00F5723F">
        <w:rPr>
          <w:rFonts w:cs="Sabon"/>
          <w:szCs w:val="19"/>
        </w:rPr>
        <w:t>värdering av 1998 års val (Justitiedepartementet).</w:t>
      </w:r>
    </w:p>
    <w:p w:rsidR="00B43C57" w:rsidRPr="00F5723F" w:rsidRDefault="00B43C57">
      <w:pPr>
        <w:spacing w:line="240" w:lineRule="auto"/>
        <w:ind w:left="284" w:hanging="284"/>
        <w:rPr>
          <w:rFonts w:cs="Sabon"/>
          <w:szCs w:val="19"/>
        </w:rPr>
      </w:pPr>
      <w:r w:rsidRPr="00F5723F">
        <w:rPr>
          <w:szCs w:val="19"/>
        </w:rPr>
        <w:t xml:space="preserve">Holmberg, S. (1974) </w:t>
      </w:r>
      <w:r w:rsidRPr="00F5723F">
        <w:rPr>
          <w:i/>
          <w:szCs w:val="19"/>
        </w:rPr>
        <w:t>Riksdagen representerar svenska folket. Empiriska studier i representativ demokrati,</w:t>
      </w:r>
      <w:r w:rsidRPr="00F5723F">
        <w:rPr>
          <w:szCs w:val="19"/>
        </w:rPr>
        <w:t xml:space="preserve"> Lund: Studentlitter</w:t>
      </w:r>
      <w:r w:rsidRPr="00F5723F">
        <w:rPr>
          <w:szCs w:val="19"/>
        </w:rPr>
        <w:t>a</w:t>
      </w:r>
      <w:r w:rsidRPr="00F5723F">
        <w:rPr>
          <w:szCs w:val="19"/>
        </w:rPr>
        <w:t>tur.</w:t>
      </w:r>
    </w:p>
    <w:p w:rsidR="00B43C57" w:rsidRPr="00F5723F" w:rsidRDefault="00B43C57">
      <w:pPr>
        <w:spacing w:line="240" w:lineRule="auto"/>
        <w:ind w:left="284" w:hanging="284"/>
        <w:rPr>
          <w:szCs w:val="19"/>
        </w:rPr>
      </w:pPr>
      <w:r w:rsidRPr="00F5723F">
        <w:rPr>
          <w:szCs w:val="19"/>
        </w:rPr>
        <w:t xml:space="preserve">Isberg, M. (1986) </w:t>
      </w:r>
      <w:r w:rsidRPr="00F5723F">
        <w:rPr>
          <w:i/>
          <w:szCs w:val="19"/>
        </w:rPr>
        <w:t>Riksdagsarbetets variationer</w:t>
      </w:r>
      <w:r w:rsidRPr="00F5723F">
        <w:rPr>
          <w:szCs w:val="19"/>
        </w:rPr>
        <w:t>, PM 56, 1986-05-07, Stoc</w:t>
      </w:r>
      <w:r w:rsidRPr="00F5723F">
        <w:rPr>
          <w:szCs w:val="19"/>
        </w:rPr>
        <w:t>k</w:t>
      </w:r>
      <w:r w:rsidRPr="00F5723F">
        <w:rPr>
          <w:szCs w:val="19"/>
        </w:rPr>
        <w:t>holm: Folkstyrels</w:t>
      </w:r>
      <w:r w:rsidRPr="00F5723F">
        <w:rPr>
          <w:szCs w:val="19"/>
        </w:rPr>
        <w:t>e</w:t>
      </w:r>
      <w:r w:rsidRPr="00F5723F">
        <w:rPr>
          <w:szCs w:val="19"/>
        </w:rPr>
        <w:t xml:space="preserve">kommittén. </w:t>
      </w:r>
    </w:p>
    <w:p w:rsidR="00B43C57" w:rsidRPr="00F5723F" w:rsidRDefault="00B43C57">
      <w:pPr>
        <w:spacing w:line="240" w:lineRule="auto"/>
        <w:ind w:left="284" w:hanging="284"/>
        <w:rPr>
          <w:szCs w:val="19"/>
        </w:rPr>
      </w:pPr>
      <w:r w:rsidRPr="00F5723F">
        <w:rPr>
          <w:szCs w:val="19"/>
        </w:rPr>
        <w:t>Jensen, T. K. (1993)</w:t>
      </w:r>
      <w:r w:rsidRPr="00F5723F">
        <w:rPr>
          <w:color w:val="000000"/>
          <w:szCs w:val="19"/>
        </w:rPr>
        <w:t xml:space="preserve"> </w:t>
      </w:r>
      <w:r w:rsidRPr="00F5723F">
        <w:rPr>
          <w:i/>
          <w:color w:val="000000"/>
          <w:szCs w:val="19"/>
        </w:rPr>
        <w:t xml:space="preserve">Politik i praxis. Aspekter af danske folketingsmedlemmers politiske kultur og livsverden, </w:t>
      </w:r>
      <w:r w:rsidRPr="00F5723F">
        <w:rPr>
          <w:color w:val="000000"/>
          <w:szCs w:val="19"/>
        </w:rPr>
        <w:t>Köpenhamn: Samfundslitteratur.</w:t>
      </w:r>
    </w:p>
    <w:p w:rsidR="00B43C57" w:rsidRPr="00F5723F" w:rsidRDefault="00B43C57">
      <w:pPr>
        <w:spacing w:line="240" w:lineRule="auto"/>
        <w:ind w:left="284" w:hanging="284"/>
        <w:rPr>
          <w:rFonts w:cs="Sabon"/>
          <w:szCs w:val="19"/>
        </w:rPr>
      </w:pPr>
      <w:r w:rsidRPr="00F5723F">
        <w:rPr>
          <w:rFonts w:cs="Sabon"/>
          <w:szCs w:val="19"/>
        </w:rPr>
        <w:t xml:space="preserve">Jerneck, M. (1987) ”Den internationaliserade riksdagen”, i Stenelo, L-G. (red.) </w:t>
      </w:r>
      <w:r w:rsidRPr="00F5723F">
        <w:rPr>
          <w:rFonts w:cs="Sabon"/>
          <w:i/>
          <w:iCs/>
          <w:szCs w:val="19"/>
        </w:rPr>
        <w:t>Stat</w:t>
      </w:r>
      <w:r w:rsidRPr="00F5723F">
        <w:rPr>
          <w:rFonts w:cs="Sabon"/>
          <w:i/>
          <w:iCs/>
          <w:szCs w:val="19"/>
        </w:rPr>
        <w:t>s</w:t>
      </w:r>
      <w:r w:rsidRPr="00F5723F">
        <w:rPr>
          <w:rFonts w:cs="Sabon"/>
          <w:i/>
          <w:iCs/>
          <w:szCs w:val="19"/>
        </w:rPr>
        <w:t>vetenskapens mångfald. Festskrift till Nils Stjernquist,</w:t>
      </w:r>
      <w:r w:rsidRPr="00F5723F">
        <w:rPr>
          <w:rFonts w:cs="Sabon"/>
          <w:szCs w:val="19"/>
        </w:rPr>
        <w:t xml:space="preserve"> Lund: Lund University Press.</w:t>
      </w:r>
    </w:p>
    <w:p w:rsidR="00B43C57" w:rsidRPr="00F5723F" w:rsidRDefault="00B43C57">
      <w:pPr>
        <w:spacing w:line="240" w:lineRule="auto"/>
        <w:ind w:left="284" w:hanging="284"/>
        <w:rPr>
          <w:rFonts w:cs="Sabon"/>
          <w:szCs w:val="19"/>
        </w:rPr>
      </w:pPr>
      <w:r w:rsidRPr="00F5723F">
        <w:rPr>
          <w:rFonts w:cs="Sabon"/>
          <w:szCs w:val="19"/>
        </w:rPr>
        <w:t>Jerneck, M. (1990) ”Internationalisering och svensk partidiplomati”, kapitel 5, i Han</w:t>
      </w:r>
      <w:r w:rsidRPr="00F5723F">
        <w:rPr>
          <w:rFonts w:cs="Sabon"/>
          <w:szCs w:val="19"/>
        </w:rPr>
        <w:t>s</w:t>
      </w:r>
      <w:r w:rsidRPr="00F5723F">
        <w:rPr>
          <w:rFonts w:cs="Sabon"/>
          <w:szCs w:val="19"/>
        </w:rPr>
        <w:t xml:space="preserve">son, G. &amp; Stenelo, L-G. (red.) </w:t>
      </w:r>
      <w:r w:rsidRPr="00F5723F">
        <w:rPr>
          <w:rFonts w:cs="Sabon"/>
          <w:i/>
          <w:iCs/>
          <w:szCs w:val="19"/>
        </w:rPr>
        <w:t>Makt och internationalisering,</w:t>
      </w:r>
      <w:r w:rsidRPr="00F5723F">
        <w:rPr>
          <w:rFonts w:cs="Sabon"/>
          <w:szCs w:val="19"/>
        </w:rPr>
        <w:t xml:space="preserve"> Stockholm: Carl</w:t>
      </w:r>
      <w:r w:rsidRPr="00F5723F">
        <w:rPr>
          <w:rFonts w:cs="Sabon"/>
          <w:szCs w:val="19"/>
        </w:rPr>
        <w:t>s</w:t>
      </w:r>
      <w:r w:rsidRPr="00F5723F">
        <w:rPr>
          <w:rFonts w:cs="Sabon"/>
          <w:szCs w:val="19"/>
        </w:rPr>
        <w:t>sons.</w:t>
      </w:r>
    </w:p>
    <w:p w:rsidR="00B43C57" w:rsidRPr="00F5723F" w:rsidRDefault="00B43C57">
      <w:pPr>
        <w:spacing w:line="240" w:lineRule="auto"/>
        <w:ind w:left="284" w:hanging="284"/>
        <w:rPr>
          <w:rFonts w:cs="Sabon"/>
          <w:szCs w:val="19"/>
        </w:rPr>
      </w:pPr>
      <w:r w:rsidRPr="00F5723F">
        <w:rPr>
          <w:rFonts w:cs="Sabon"/>
          <w:szCs w:val="19"/>
        </w:rPr>
        <w:t xml:space="preserve">Jerneck, M. (1994) ”Demokrati och internationalisering”, i Sannerstedt, A. &amp; Jerneck, M. (red.) </w:t>
      </w:r>
      <w:r w:rsidRPr="00F5723F">
        <w:rPr>
          <w:rFonts w:cs="Sabon"/>
          <w:i/>
          <w:iCs/>
          <w:szCs w:val="19"/>
        </w:rPr>
        <w:t>Den moderna demo</w:t>
      </w:r>
      <w:r w:rsidRPr="00F5723F">
        <w:rPr>
          <w:rFonts w:cs="Sabon"/>
          <w:i/>
          <w:iCs/>
          <w:szCs w:val="19"/>
        </w:rPr>
        <w:t>kratins problem</w:t>
      </w:r>
      <w:r w:rsidRPr="00F5723F">
        <w:rPr>
          <w:rFonts w:cs="Sabon"/>
          <w:szCs w:val="19"/>
        </w:rPr>
        <w:t xml:space="preserve">, </w:t>
      </w:r>
      <w:smartTag w:uri="urn:schemas-microsoft-com:office:smarttags" w:element="City">
        <w:smartTag w:uri="urn:schemas-microsoft-com:office:smarttags" w:element="place">
          <w:r w:rsidRPr="00F5723F">
            <w:rPr>
              <w:rFonts w:cs="Sabon"/>
              <w:szCs w:val="19"/>
            </w:rPr>
            <w:t>Lund</w:t>
          </w:r>
        </w:smartTag>
      </w:smartTag>
      <w:r w:rsidRPr="00F5723F">
        <w:rPr>
          <w:rFonts w:cs="Sabon"/>
          <w:szCs w:val="19"/>
        </w:rPr>
        <w:t>: Studentli</w:t>
      </w:r>
      <w:r w:rsidRPr="00F5723F">
        <w:rPr>
          <w:rFonts w:cs="Sabon"/>
          <w:szCs w:val="19"/>
        </w:rPr>
        <w:t>t</w:t>
      </w:r>
      <w:r w:rsidRPr="00F5723F">
        <w:rPr>
          <w:rFonts w:cs="Sabon"/>
          <w:szCs w:val="19"/>
        </w:rPr>
        <w:t>teratur.</w:t>
      </w:r>
    </w:p>
    <w:p w:rsidR="00B43C57" w:rsidRPr="00F5723F" w:rsidRDefault="00B43C57">
      <w:pPr>
        <w:spacing w:line="240" w:lineRule="auto"/>
        <w:ind w:left="284" w:hanging="284"/>
        <w:rPr>
          <w:rFonts w:cs="Sabon"/>
          <w:szCs w:val="19"/>
        </w:rPr>
      </w:pPr>
      <w:r w:rsidRPr="00F5723F">
        <w:rPr>
          <w:rFonts w:cs="Sabon"/>
          <w:szCs w:val="19"/>
        </w:rPr>
        <w:t xml:space="preserve">Jewell, M. E. (1985) ”Legislators and Constituents in the Representative Process”, i Loewenberg, G. Patterson, S. C. &amp; Jewell, M. E. (1985) </w:t>
      </w:r>
      <w:r w:rsidRPr="00F5723F">
        <w:rPr>
          <w:rFonts w:cs="Sabon"/>
          <w:i/>
          <w:iCs/>
          <w:szCs w:val="19"/>
        </w:rPr>
        <w:t>Handbook of Legislative Research,</w:t>
      </w:r>
      <w:r w:rsidRPr="00F5723F">
        <w:rPr>
          <w:rFonts w:cs="Sabon"/>
          <w:szCs w:val="19"/>
        </w:rPr>
        <w:t xml:space="preserve"> </w:t>
      </w:r>
      <w:smartTag w:uri="urn:schemas-microsoft-com:office:smarttags" w:element="City">
        <w:r w:rsidRPr="00F5723F">
          <w:rPr>
            <w:rFonts w:cs="Sabon"/>
            <w:szCs w:val="19"/>
          </w:rPr>
          <w:t>Cambridge</w:t>
        </w:r>
      </w:smartTag>
      <w:r w:rsidRPr="00F5723F">
        <w:rPr>
          <w:rFonts w:cs="Sabon"/>
          <w:szCs w:val="19"/>
        </w:rPr>
        <w:t xml:space="preserve">: </w:t>
      </w:r>
      <w:smartTag w:uri="urn:schemas-microsoft-com:office:smarttags" w:element="State">
        <w:r w:rsidRPr="00F5723F">
          <w:rPr>
            <w:rFonts w:cs="Sabon"/>
            <w:szCs w:val="19"/>
          </w:rPr>
          <w:t>Massachusetts</w:t>
        </w:r>
      </w:smartTag>
      <w:r w:rsidRPr="00F5723F">
        <w:rPr>
          <w:rFonts w:cs="Sabon"/>
          <w:szCs w:val="19"/>
        </w:rPr>
        <w:t xml:space="preserve"> och </w:t>
      </w:r>
      <w:smartTag w:uri="urn:schemas-microsoft-com:office:smarttags" w:element="City">
        <w:smartTag w:uri="urn:schemas-microsoft-com:office:smarttags" w:element="place">
          <w:r w:rsidRPr="00F5723F">
            <w:rPr>
              <w:rFonts w:cs="Sabon"/>
              <w:szCs w:val="19"/>
            </w:rPr>
            <w:t>London</w:t>
          </w:r>
        </w:smartTag>
      </w:smartTag>
      <w:r w:rsidRPr="00F5723F">
        <w:rPr>
          <w:rFonts w:cs="Sabon"/>
          <w:szCs w:val="19"/>
        </w:rPr>
        <w:t>: Harvard Unive</w:t>
      </w:r>
      <w:r w:rsidRPr="00F5723F">
        <w:rPr>
          <w:rFonts w:cs="Sabon"/>
          <w:szCs w:val="19"/>
        </w:rPr>
        <w:t>r</w:t>
      </w:r>
      <w:r w:rsidRPr="00F5723F">
        <w:rPr>
          <w:rFonts w:cs="Sabon"/>
          <w:szCs w:val="19"/>
        </w:rPr>
        <w:t>sity Press.</w:t>
      </w:r>
    </w:p>
    <w:p w:rsidR="00B43C57" w:rsidRPr="00F5723F" w:rsidRDefault="00B43C57">
      <w:pPr>
        <w:spacing w:line="240" w:lineRule="auto"/>
        <w:ind w:left="284" w:hanging="284"/>
        <w:rPr>
          <w:rFonts w:cs="Sabon"/>
          <w:szCs w:val="19"/>
        </w:rPr>
      </w:pPr>
      <w:r w:rsidRPr="00F5723F">
        <w:rPr>
          <w:rFonts w:cs="Sabon"/>
          <w:szCs w:val="19"/>
        </w:rPr>
        <w:t xml:space="preserve">Johansson, F. (1995) </w:t>
      </w:r>
      <w:r w:rsidRPr="00F5723F">
        <w:rPr>
          <w:rFonts w:cs="Sabon"/>
          <w:i/>
          <w:iCs/>
          <w:szCs w:val="19"/>
        </w:rPr>
        <w:t>Riksdagen och massmedia,</w:t>
      </w:r>
      <w:r w:rsidRPr="00F5723F">
        <w:rPr>
          <w:rFonts w:cs="Sabon"/>
          <w:szCs w:val="19"/>
        </w:rPr>
        <w:t xml:space="preserve"> Göteborg: Statsvetenskapliga instit</w:t>
      </w:r>
      <w:r w:rsidRPr="00F5723F">
        <w:rPr>
          <w:rFonts w:cs="Sabon"/>
          <w:szCs w:val="19"/>
        </w:rPr>
        <w:t>u</w:t>
      </w:r>
      <w:r w:rsidRPr="00F5723F">
        <w:rPr>
          <w:rFonts w:cs="Sabon"/>
          <w:szCs w:val="19"/>
        </w:rPr>
        <w:t xml:space="preserve">tionen. </w:t>
      </w:r>
    </w:p>
    <w:p w:rsidR="00B43C57" w:rsidRPr="00F5723F" w:rsidRDefault="00B43C57">
      <w:pPr>
        <w:spacing w:line="240" w:lineRule="auto"/>
        <w:ind w:left="284" w:hanging="284"/>
        <w:rPr>
          <w:rFonts w:cs="Sabon"/>
          <w:szCs w:val="19"/>
        </w:rPr>
      </w:pPr>
      <w:r w:rsidRPr="00F5723F">
        <w:rPr>
          <w:rFonts w:cs="Sabon"/>
          <w:szCs w:val="19"/>
        </w:rPr>
        <w:t xml:space="preserve">Larsson, T. (1986) ”Att vara riksdagsledamot”, i </w:t>
      </w:r>
      <w:r w:rsidRPr="00F5723F">
        <w:rPr>
          <w:rFonts w:cs="Sabon"/>
          <w:i/>
          <w:iCs/>
          <w:szCs w:val="19"/>
        </w:rPr>
        <w:t>Folkets främsta företr</w:t>
      </w:r>
      <w:r w:rsidRPr="00F5723F">
        <w:rPr>
          <w:rFonts w:cs="Sabon"/>
          <w:i/>
          <w:iCs/>
          <w:szCs w:val="19"/>
        </w:rPr>
        <w:t>ä</w:t>
      </w:r>
      <w:r w:rsidRPr="00F5723F">
        <w:rPr>
          <w:rFonts w:cs="Sabon"/>
          <w:i/>
          <w:iCs/>
          <w:szCs w:val="19"/>
        </w:rPr>
        <w:t>dare. Tre undersökningar av riksdagsledamöternas arbete i och utanför riksdagen, SOU 1986:27,</w:t>
      </w:r>
      <w:r w:rsidRPr="00F5723F">
        <w:rPr>
          <w:rFonts w:cs="Sabon"/>
          <w:szCs w:val="19"/>
        </w:rPr>
        <w:t xml:space="preserve"> Stockholm: Justitiedepartementet.</w:t>
      </w:r>
    </w:p>
    <w:p w:rsidR="00B43C57" w:rsidRPr="00F5723F" w:rsidRDefault="00B43C57">
      <w:pPr>
        <w:spacing w:line="240" w:lineRule="auto"/>
        <w:ind w:left="284" w:hanging="284"/>
        <w:rPr>
          <w:szCs w:val="19"/>
        </w:rPr>
      </w:pPr>
      <w:r w:rsidRPr="00F5723F">
        <w:rPr>
          <w:szCs w:val="19"/>
        </w:rPr>
        <w:t xml:space="preserve">Nielsen, P. (2004) </w:t>
      </w:r>
      <w:r w:rsidRPr="00F5723F">
        <w:rPr>
          <w:i/>
          <w:szCs w:val="19"/>
        </w:rPr>
        <w:t>Utskottsundersökning 2004,</w:t>
      </w:r>
      <w:r w:rsidRPr="00F5723F">
        <w:rPr>
          <w:szCs w:val="19"/>
        </w:rPr>
        <w:t xml:space="preserve"> Stockholm: Riksdagskommi</w:t>
      </w:r>
      <w:r w:rsidRPr="00F5723F">
        <w:rPr>
          <w:szCs w:val="19"/>
        </w:rPr>
        <w:t>t</w:t>
      </w:r>
      <w:r w:rsidRPr="00F5723F">
        <w:rPr>
          <w:szCs w:val="19"/>
        </w:rPr>
        <w:t xml:space="preserve">tén. </w:t>
      </w:r>
    </w:p>
    <w:p w:rsidR="00B43C57" w:rsidRPr="00F5723F" w:rsidRDefault="00B43C57">
      <w:pPr>
        <w:spacing w:line="240" w:lineRule="auto"/>
        <w:ind w:left="284" w:hanging="284"/>
        <w:rPr>
          <w:szCs w:val="19"/>
        </w:rPr>
      </w:pPr>
      <w:r w:rsidRPr="00F5723F">
        <w:rPr>
          <w:szCs w:val="19"/>
        </w:rPr>
        <w:t xml:space="preserve">Oskarson, M. &amp; Wängnerud, L. (1995) </w:t>
      </w:r>
      <w:r w:rsidRPr="00F5723F">
        <w:rPr>
          <w:i/>
          <w:szCs w:val="19"/>
        </w:rPr>
        <w:t>Kvinnor som väljare och valda</w:t>
      </w:r>
      <w:r w:rsidRPr="00F5723F">
        <w:rPr>
          <w:szCs w:val="19"/>
        </w:rPr>
        <w:t>, Lund: St</w:t>
      </w:r>
      <w:r w:rsidRPr="00F5723F">
        <w:rPr>
          <w:szCs w:val="19"/>
        </w:rPr>
        <w:t>u</w:t>
      </w:r>
      <w:r w:rsidRPr="00F5723F">
        <w:rPr>
          <w:szCs w:val="19"/>
        </w:rPr>
        <w:t>dentlitter</w:t>
      </w:r>
      <w:r w:rsidRPr="00F5723F">
        <w:rPr>
          <w:szCs w:val="19"/>
        </w:rPr>
        <w:t>a</w:t>
      </w:r>
      <w:r w:rsidRPr="00F5723F">
        <w:rPr>
          <w:szCs w:val="19"/>
        </w:rPr>
        <w:t>tur.</w:t>
      </w:r>
    </w:p>
    <w:p w:rsidR="00B43C57" w:rsidRPr="00F5723F" w:rsidRDefault="00B43C57">
      <w:pPr>
        <w:spacing w:line="240" w:lineRule="auto"/>
        <w:ind w:left="284" w:hanging="284"/>
        <w:rPr>
          <w:rFonts w:cs="Sabon"/>
          <w:szCs w:val="19"/>
        </w:rPr>
      </w:pPr>
      <w:r w:rsidRPr="00F5723F">
        <w:rPr>
          <w:rFonts w:cs="Sabon"/>
          <w:szCs w:val="19"/>
        </w:rPr>
        <w:t xml:space="preserve">Petersson, O. (2000) </w:t>
      </w:r>
      <w:r w:rsidRPr="00F5723F">
        <w:rPr>
          <w:rFonts w:cs="Sabon"/>
          <w:i/>
          <w:iCs/>
          <w:szCs w:val="19"/>
        </w:rPr>
        <w:t>Svensk politik</w:t>
      </w:r>
      <w:r w:rsidRPr="00F5723F">
        <w:rPr>
          <w:rFonts w:cs="Sabon"/>
          <w:szCs w:val="19"/>
        </w:rPr>
        <w:t>, Stockholm: Norstedts juridik.</w:t>
      </w:r>
    </w:p>
    <w:p w:rsidR="00B43C57" w:rsidRPr="00F5723F" w:rsidRDefault="00B43C57">
      <w:pPr>
        <w:spacing w:line="240" w:lineRule="auto"/>
        <w:ind w:left="284" w:hanging="284"/>
        <w:rPr>
          <w:rFonts w:cs="Sabon"/>
          <w:bCs/>
          <w:szCs w:val="19"/>
        </w:rPr>
      </w:pPr>
      <w:r w:rsidRPr="00F5723F">
        <w:rPr>
          <w:rFonts w:cs="Sabon"/>
          <w:szCs w:val="19"/>
        </w:rPr>
        <w:t xml:space="preserve">Riksdagskommittén (2001) </w:t>
      </w:r>
      <w:r w:rsidRPr="00F5723F">
        <w:rPr>
          <w:rFonts w:cs="Sabon"/>
          <w:i/>
          <w:iCs/>
          <w:szCs w:val="19"/>
        </w:rPr>
        <w:t>Riksdagen inför 2000-talet, Riksdagskommi</w:t>
      </w:r>
      <w:r w:rsidRPr="00F5723F">
        <w:rPr>
          <w:rFonts w:cs="Sabon"/>
          <w:i/>
          <w:iCs/>
          <w:szCs w:val="19"/>
        </w:rPr>
        <w:t>t</w:t>
      </w:r>
      <w:r w:rsidRPr="00F5723F">
        <w:rPr>
          <w:rFonts w:cs="Sabon"/>
          <w:i/>
          <w:iCs/>
          <w:szCs w:val="19"/>
        </w:rPr>
        <w:t>téns förslag till riksdagen 2000/01:RS1</w:t>
      </w:r>
      <w:r w:rsidRPr="00F5723F">
        <w:rPr>
          <w:rFonts w:cs="Sabon"/>
          <w:szCs w:val="19"/>
        </w:rPr>
        <w:t>, Stockholm: Sveriges riksdag.</w:t>
      </w:r>
    </w:p>
    <w:p w:rsidR="00B43C57" w:rsidRPr="00F5723F" w:rsidRDefault="00B43C57">
      <w:pPr>
        <w:spacing w:line="240" w:lineRule="auto"/>
        <w:ind w:left="284" w:hanging="284"/>
        <w:rPr>
          <w:rFonts w:cs="Sabon"/>
          <w:szCs w:val="19"/>
        </w:rPr>
      </w:pPr>
      <w:r w:rsidRPr="00F5723F">
        <w:rPr>
          <w:rFonts w:cs="Sabon"/>
          <w:szCs w:val="19"/>
        </w:rPr>
        <w:t xml:space="preserve">Roth, P-A. (1996) </w:t>
      </w:r>
      <w:r w:rsidRPr="00F5723F">
        <w:rPr>
          <w:rFonts w:cs="Sabon"/>
          <w:i/>
          <w:iCs/>
          <w:szCs w:val="19"/>
        </w:rPr>
        <w:t>Riket, valkretsen och hemkommunen. Lokal och regional represe</w:t>
      </w:r>
      <w:r w:rsidRPr="00F5723F">
        <w:rPr>
          <w:rFonts w:cs="Sabon"/>
          <w:i/>
          <w:iCs/>
          <w:szCs w:val="19"/>
        </w:rPr>
        <w:t>n</w:t>
      </w:r>
      <w:r w:rsidRPr="00F5723F">
        <w:rPr>
          <w:rFonts w:cs="Sabon"/>
          <w:i/>
          <w:iCs/>
          <w:szCs w:val="19"/>
        </w:rPr>
        <w:t>tation i den svenska riksdagens andra kammare 1969</w:t>
      </w:r>
      <w:r w:rsidRPr="00F5723F">
        <w:rPr>
          <w:rFonts w:cs="Sabon"/>
          <w:szCs w:val="19"/>
        </w:rPr>
        <w:t>, Göteborg: Statsvetenska</w:t>
      </w:r>
      <w:r w:rsidRPr="00F5723F">
        <w:rPr>
          <w:rFonts w:cs="Sabon"/>
          <w:szCs w:val="19"/>
        </w:rPr>
        <w:t>p</w:t>
      </w:r>
      <w:r w:rsidRPr="00F5723F">
        <w:rPr>
          <w:rFonts w:cs="Sabon"/>
          <w:szCs w:val="19"/>
        </w:rPr>
        <w:t>liga institutionen.</w:t>
      </w:r>
    </w:p>
    <w:p w:rsidR="00B43C57" w:rsidRPr="00F5723F" w:rsidRDefault="00B43C57">
      <w:pPr>
        <w:spacing w:line="240" w:lineRule="auto"/>
        <w:ind w:left="284" w:hanging="284"/>
        <w:rPr>
          <w:rFonts w:cs="Sabon"/>
          <w:szCs w:val="19"/>
        </w:rPr>
      </w:pPr>
      <w:r w:rsidRPr="00F5723F">
        <w:rPr>
          <w:rFonts w:cs="Sabon"/>
          <w:szCs w:val="19"/>
        </w:rPr>
        <w:t xml:space="preserve">Sköld, L. (1958) </w:t>
      </w:r>
      <w:r w:rsidRPr="00F5723F">
        <w:rPr>
          <w:rFonts w:cs="Sabon"/>
          <w:i/>
          <w:iCs/>
          <w:szCs w:val="19"/>
        </w:rPr>
        <w:t>Kandidatnominering vid andrakammarval</w:t>
      </w:r>
      <w:r w:rsidRPr="00F5723F">
        <w:rPr>
          <w:rFonts w:cs="Sabon"/>
          <w:szCs w:val="19"/>
        </w:rPr>
        <w:t xml:space="preserve">, </w:t>
      </w:r>
      <w:r w:rsidRPr="00F5723F">
        <w:rPr>
          <w:rFonts w:cs="Sabon"/>
          <w:i/>
          <w:iCs/>
          <w:szCs w:val="19"/>
        </w:rPr>
        <w:t>SOU 1958:6</w:t>
      </w:r>
      <w:r w:rsidRPr="00F5723F">
        <w:rPr>
          <w:rFonts w:cs="Sabon"/>
          <w:szCs w:val="19"/>
        </w:rPr>
        <w:t>, Stoc</w:t>
      </w:r>
      <w:r w:rsidRPr="00F5723F">
        <w:rPr>
          <w:rFonts w:cs="Sabon"/>
          <w:szCs w:val="19"/>
        </w:rPr>
        <w:t>k</w:t>
      </w:r>
      <w:r w:rsidRPr="00F5723F">
        <w:rPr>
          <w:rFonts w:cs="Sabon"/>
          <w:szCs w:val="19"/>
        </w:rPr>
        <w:t xml:space="preserve">holm: Författningsutredningen, Statens offentliga utredningar. </w:t>
      </w:r>
    </w:p>
    <w:p w:rsidR="00B43C57" w:rsidRPr="00F5723F" w:rsidRDefault="00B43C57">
      <w:pPr>
        <w:spacing w:line="240" w:lineRule="auto"/>
        <w:ind w:left="284" w:hanging="284"/>
        <w:rPr>
          <w:rFonts w:cs="Sabon"/>
          <w:szCs w:val="19"/>
        </w:rPr>
      </w:pPr>
      <w:r w:rsidRPr="00F5723F">
        <w:rPr>
          <w:szCs w:val="19"/>
        </w:rPr>
        <w:t xml:space="preserve">SOU 1963:17, </w:t>
      </w:r>
      <w:r w:rsidRPr="00F5723F">
        <w:rPr>
          <w:i/>
          <w:iCs/>
          <w:szCs w:val="19"/>
        </w:rPr>
        <w:t>Författningsutredningen: Sveriges statsskick, del 2 Motiv</w:t>
      </w:r>
      <w:r w:rsidRPr="00F5723F">
        <w:rPr>
          <w:szCs w:val="19"/>
        </w:rPr>
        <w:t>, Stockholm: Statens offentliga utredningar.</w:t>
      </w:r>
    </w:p>
    <w:p w:rsidR="00B43C57" w:rsidRPr="00F5723F" w:rsidRDefault="00B43C57">
      <w:pPr>
        <w:spacing w:line="240" w:lineRule="auto"/>
        <w:ind w:left="284" w:hanging="284"/>
        <w:rPr>
          <w:rFonts w:cs="Sabon"/>
          <w:szCs w:val="19"/>
        </w:rPr>
      </w:pPr>
      <w:r w:rsidRPr="00F5723F">
        <w:rPr>
          <w:rFonts w:cs="Sabon"/>
          <w:szCs w:val="19"/>
        </w:rPr>
        <w:t xml:space="preserve">SOU 1965:54, </w:t>
      </w:r>
      <w:r w:rsidRPr="00F5723F">
        <w:rPr>
          <w:rFonts w:cs="Sabon"/>
          <w:i/>
          <w:iCs/>
          <w:szCs w:val="19"/>
        </w:rPr>
        <w:t>Länsdemokratiutredningen. Författningsfrågan och det ko</w:t>
      </w:r>
      <w:r w:rsidRPr="00F5723F">
        <w:rPr>
          <w:rFonts w:cs="Sabon"/>
          <w:i/>
          <w:iCs/>
          <w:szCs w:val="19"/>
        </w:rPr>
        <w:t>m</w:t>
      </w:r>
      <w:r w:rsidRPr="00F5723F">
        <w:rPr>
          <w:rFonts w:cs="Sabon"/>
          <w:i/>
          <w:iCs/>
          <w:szCs w:val="19"/>
        </w:rPr>
        <w:t xml:space="preserve">munala sambandet, </w:t>
      </w:r>
      <w:r w:rsidRPr="00F5723F">
        <w:rPr>
          <w:rFonts w:cs="Sabon"/>
          <w:szCs w:val="19"/>
        </w:rPr>
        <w:t>Stockholm: Statens offentliga utredningar.</w:t>
      </w:r>
      <w:r w:rsidRPr="00F5723F">
        <w:rPr>
          <w:rFonts w:cs="Sabon"/>
          <w:bCs/>
          <w:vanish/>
          <w:szCs w:val="19"/>
        </w:rPr>
        <w:t xml:space="preserve"> [</w:t>
      </w:r>
    </w:p>
    <w:p w:rsidR="00B43C57" w:rsidRPr="00F5723F" w:rsidRDefault="00B43C57">
      <w:pPr>
        <w:spacing w:line="240" w:lineRule="auto"/>
        <w:ind w:left="284" w:hanging="284"/>
        <w:rPr>
          <w:rFonts w:cs="Sabon"/>
          <w:i/>
          <w:iCs/>
          <w:szCs w:val="19"/>
        </w:rPr>
      </w:pPr>
      <w:r w:rsidRPr="00F5723F">
        <w:rPr>
          <w:rFonts w:cs="Sabon"/>
          <w:szCs w:val="19"/>
        </w:rPr>
        <w:t xml:space="preserve">SOU 1970:17, </w:t>
      </w:r>
      <w:r w:rsidRPr="00F5723F">
        <w:rPr>
          <w:rFonts w:cs="Sabon"/>
          <w:i/>
          <w:iCs/>
          <w:szCs w:val="19"/>
        </w:rPr>
        <w:t xml:space="preserve">Grundlagberedningen: Ersättare för riksdagsledamöter, </w:t>
      </w:r>
      <w:r w:rsidRPr="00F5723F">
        <w:rPr>
          <w:rFonts w:cs="Sabon"/>
          <w:szCs w:val="19"/>
        </w:rPr>
        <w:t>Stockholm: Statens offentliga utredningar.</w:t>
      </w:r>
    </w:p>
    <w:p w:rsidR="00B43C57" w:rsidRPr="00F5723F" w:rsidRDefault="00B43C57">
      <w:pPr>
        <w:spacing w:line="240" w:lineRule="auto"/>
        <w:ind w:left="284" w:hanging="284"/>
        <w:rPr>
          <w:rFonts w:cs="Sabon"/>
          <w:szCs w:val="19"/>
        </w:rPr>
      </w:pPr>
      <w:r w:rsidRPr="00F5723F">
        <w:rPr>
          <w:rFonts w:cs="Sabon"/>
          <w:szCs w:val="19"/>
        </w:rPr>
        <w:t xml:space="preserve">SOU 1986:27, </w:t>
      </w:r>
      <w:r w:rsidRPr="00F5723F">
        <w:rPr>
          <w:rFonts w:cs="Sabon"/>
          <w:i/>
          <w:iCs/>
          <w:szCs w:val="19"/>
        </w:rPr>
        <w:t>Folkets främsta företrädare. Tre undersökningar av riksdagsledam</w:t>
      </w:r>
      <w:r w:rsidRPr="00F5723F">
        <w:rPr>
          <w:rFonts w:cs="Sabon"/>
          <w:i/>
          <w:iCs/>
          <w:szCs w:val="19"/>
        </w:rPr>
        <w:t>ö</w:t>
      </w:r>
      <w:r w:rsidRPr="00F5723F">
        <w:rPr>
          <w:rFonts w:cs="Sabon"/>
          <w:i/>
          <w:iCs/>
          <w:szCs w:val="19"/>
        </w:rPr>
        <w:t xml:space="preserve">ternas arbete i och utanför riksdagen, </w:t>
      </w:r>
      <w:r w:rsidRPr="00F5723F">
        <w:rPr>
          <w:rFonts w:cs="Sabon"/>
          <w:szCs w:val="19"/>
        </w:rPr>
        <w:t>Stockholm: Justitiedeparteme</w:t>
      </w:r>
      <w:r w:rsidRPr="00F5723F">
        <w:rPr>
          <w:rFonts w:cs="Sabon"/>
          <w:szCs w:val="19"/>
        </w:rPr>
        <w:t>n</w:t>
      </w:r>
      <w:r w:rsidRPr="00F5723F">
        <w:rPr>
          <w:rFonts w:cs="Sabon"/>
          <w:szCs w:val="19"/>
        </w:rPr>
        <w:t>tet.</w:t>
      </w:r>
    </w:p>
    <w:p w:rsidR="00B43C57" w:rsidRPr="00F5723F" w:rsidRDefault="00B43C57">
      <w:pPr>
        <w:spacing w:line="240" w:lineRule="auto"/>
        <w:ind w:left="284" w:hanging="284"/>
        <w:rPr>
          <w:rFonts w:cs="Sabon"/>
          <w:szCs w:val="19"/>
        </w:rPr>
      </w:pPr>
      <w:r w:rsidRPr="00F5723F">
        <w:rPr>
          <w:rFonts w:cs="Sabon"/>
          <w:szCs w:val="19"/>
        </w:rPr>
        <w:t xml:space="preserve">SOU 1996:66, </w:t>
      </w:r>
      <w:r w:rsidRPr="00F5723F">
        <w:rPr>
          <w:rFonts w:cs="Sabon"/>
          <w:i/>
          <w:iCs/>
          <w:szCs w:val="19"/>
        </w:rPr>
        <w:t>Utvärderat personval</w:t>
      </w:r>
      <w:r w:rsidRPr="00F5723F">
        <w:rPr>
          <w:rFonts w:cs="Sabon"/>
          <w:szCs w:val="19"/>
        </w:rPr>
        <w:t>, betänkande av Nomineringsrätts- och valkret</w:t>
      </w:r>
      <w:r w:rsidRPr="00F5723F">
        <w:rPr>
          <w:rFonts w:cs="Sabon"/>
          <w:szCs w:val="19"/>
        </w:rPr>
        <w:t>s</w:t>
      </w:r>
      <w:r w:rsidRPr="00F5723F">
        <w:rPr>
          <w:rFonts w:cs="Sabon"/>
          <w:szCs w:val="19"/>
        </w:rPr>
        <w:t>kommittén, Stockholm: Fritzes.</w:t>
      </w:r>
    </w:p>
    <w:p w:rsidR="00B43C57" w:rsidRPr="00F5723F" w:rsidRDefault="00B43C57">
      <w:pPr>
        <w:spacing w:line="240" w:lineRule="auto"/>
        <w:ind w:left="284" w:hanging="284"/>
        <w:rPr>
          <w:szCs w:val="19"/>
        </w:rPr>
      </w:pPr>
      <w:r w:rsidRPr="00F5723F">
        <w:rPr>
          <w:szCs w:val="19"/>
        </w:rPr>
        <w:t xml:space="preserve">SOU 1999:126, </w:t>
      </w:r>
      <w:r w:rsidRPr="00F5723F">
        <w:rPr>
          <w:i/>
          <w:szCs w:val="19"/>
        </w:rPr>
        <w:t>Politikens medalisering, demokratiutredningen forskarvolym, Stoc</w:t>
      </w:r>
      <w:r w:rsidRPr="00F5723F">
        <w:rPr>
          <w:i/>
          <w:szCs w:val="19"/>
        </w:rPr>
        <w:t>k</w:t>
      </w:r>
      <w:r w:rsidRPr="00F5723F">
        <w:rPr>
          <w:i/>
          <w:szCs w:val="19"/>
        </w:rPr>
        <w:t>holm: Fakta info direkt</w:t>
      </w:r>
      <w:r w:rsidRPr="00F5723F">
        <w:rPr>
          <w:szCs w:val="19"/>
        </w:rPr>
        <w:t>.</w:t>
      </w:r>
    </w:p>
    <w:p w:rsidR="00B43C57" w:rsidRPr="00F5723F" w:rsidRDefault="00B43C57">
      <w:pPr>
        <w:spacing w:line="240" w:lineRule="auto"/>
        <w:ind w:left="284" w:hanging="284"/>
        <w:rPr>
          <w:color w:val="000000"/>
          <w:szCs w:val="19"/>
        </w:rPr>
      </w:pPr>
      <w:r w:rsidRPr="00F5723F">
        <w:rPr>
          <w:color w:val="000000"/>
          <w:szCs w:val="19"/>
        </w:rPr>
        <w:t xml:space="preserve">Stjernquist, N. (1991) </w:t>
      </w:r>
      <w:r w:rsidRPr="00F5723F">
        <w:rPr>
          <w:i/>
          <w:color w:val="000000"/>
          <w:szCs w:val="19"/>
        </w:rPr>
        <w:t>Riksdagen inifrån. Tolv riksdagsledamöters hågkomster, erf</w:t>
      </w:r>
      <w:r w:rsidRPr="00F5723F">
        <w:rPr>
          <w:i/>
          <w:color w:val="000000"/>
          <w:szCs w:val="19"/>
        </w:rPr>
        <w:t>a</w:t>
      </w:r>
      <w:r w:rsidRPr="00F5723F">
        <w:rPr>
          <w:i/>
          <w:color w:val="000000"/>
          <w:szCs w:val="19"/>
        </w:rPr>
        <w:t xml:space="preserve">renheter och lärdomar, </w:t>
      </w:r>
      <w:r w:rsidRPr="00F5723F">
        <w:rPr>
          <w:color w:val="000000"/>
          <w:szCs w:val="19"/>
        </w:rPr>
        <w:t>Stockholm: Riksbankens jubileumsfond i samarbete med Gidlund.</w:t>
      </w:r>
    </w:p>
    <w:p w:rsidR="00B43C57" w:rsidRPr="00F5723F" w:rsidRDefault="00B43C57">
      <w:pPr>
        <w:spacing w:line="240" w:lineRule="auto"/>
        <w:ind w:left="284" w:hanging="284"/>
        <w:rPr>
          <w:szCs w:val="19"/>
        </w:rPr>
      </w:pPr>
      <w:r w:rsidRPr="00F5723F">
        <w:rPr>
          <w:i/>
          <w:szCs w:val="19"/>
        </w:rPr>
        <w:t>Sveriges statskalender 2003</w:t>
      </w:r>
      <w:r w:rsidRPr="00F5723F">
        <w:rPr>
          <w:szCs w:val="19"/>
        </w:rPr>
        <w:t>, 191:e årgången, Stockholm: Fritzes.</w:t>
      </w:r>
    </w:p>
    <w:p w:rsidR="00B43C57" w:rsidRPr="00F5723F" w:rsidRDefault="00B43C57">
      <w:pPr>
        <w:spacing w:line="240" w:lineRule="auto"/>
        <w:ind w:left="284" w:hanging="284"/>
        <w:rPr>
          <w:szCs w:val="19"/>
        </w:rPr>
      </w:pPr>
      <w:r w:rsidRPr="00F5723F">
        <w:rPr>
          <w:szCs w:val="19"/>
        </w:rPr>
        <w:t xml:space="preserve">Särlvik, B. (1969) </w:t>
      </w:r>
      <w:r w:rsidRPr="00F5723F">
        <w:rPr>
          <w:i/>
          <w:iCs/>
          <w:szCs w:val="19"/>
        </w:rPr>
        <w:t xml:space="preserve">Representationsundersökningens forskningsprogram. Relationer mellan väljare och valda på rikspolitisk nivå, </w:t>
      </w:r>
      <w:r w:rsidRPr="00F5723F">
        <w:rPr>
          <w:szCs w:val="19"/>
        </w:rPr>
        <w:t>stencil, Göteborg: Statsvetenskapl</w:t>
      </w:r>
      <w:r w:rsidRPr="00F5723F">
        <w:rPr>
          <w:szCs w:val="19"/>
        </w:rPr>
        <w:t>i</w:t>
      </w:r>
      <w:r w:rsidRPr="00F5723F">
        <w:rPr>
          <w:szCs w:val="19"/>
        </w:rPr>
        <w:t>ga institutionen.</w:t>
      </w:r>
    </w:p>
    <w:p w:rsidR="00B43C57" w:rsidRPr="00F5723F" w:rsidRDefault="00B43C57">
      <w:pPr>
        <w:spacing w:line="240" w:lineRule="auto"/>
        <w:ind w:left="284" w:hanging="284"/>
        <w:rPr>
          <w:rFonts w:cs="Sabon"/>
          <w:szCs w:val="19"/>
        </w:rPr>
      </w:pPr>
      <w:r w:rsidRPr="00F5723F">
        <w:rPr>
          <w:rFonts w:cs="Sabon"/>
          <w:szCs w:val="19"/>
        </w:rPr>
        <w:t xml:space="preserve">Wängnerud, L. (1998) </w:t>
      </w:r>
      <w:r w:rsidRPr="00F5723F">
        <w:rPr>
          <w:rFonts w:cs="Sabon"/>
          <w:i/>
          <w:iCs/>
          <w:szCs w:val="19"/>
        </w:rPr>
        <w:t>Politikens andra sida. Om kvinnorepresentation i Sveriges riksdag,</w:t>
      </w:r>
      <w:r w:rsidRPr="00F5723F">
        <w:rPr>
          <w:rFonts w:cs="Sabon"/>
          <w:szCs w:val="19"/>
        </w:rPr>
        <w:t xml:space="preserve"> Göteborg: Statsvetenskapliga inst</w:t>
      </w:r>
      <w:r w:rsidRPr="00F5723F">
        <w:rPr>
          <w:rFonts w:cs="Sabon"/>
          <w:szCs w:val="19"/>
        </w:rPr>
        <w:t>i</w:t>
      </w:r>
      <w:r w:rsidRPr="00F5723F">
        <w:rPr>
          <w:rFonts w:cs="Sabon"/>
          <w:szCs w:val="19"/>
        </w:rPr>
        <w:t>tutionen.</w:t>
      </w:r>
    </w:p>
    <w:p w:rsidR="00B43C57" w:rsidRPr="00F5723F" w:rsidRDefault="00B43C57">
      <w:pPr>
        <w:spacing w:line="240" w:lineRule="auto"/>
        <w:ind w:left="284" w:hanging="284"/>
        <w:rPr>
          <w:szCs w:val="19"/>
        </w:rPr>
      </w:pPr>
      <w:r w:rsidRPr="00F5723F">
        <w:rPr>
          <w:szCs w:val="19"/>
        </w:rPr>
        <w:t xml:space="preserve">Wängnerud, L. (kommande) </w:t>
      </w:r>
      <w:r w:rsidRPr="00F5723F">
        <w:rPr>
          <w:i/>
          <w:szCs w:val="19"/>
        </w:rPr>
        <w:t>Att representera folket: yrkesbana eller sidospår i karr</w:t>
      </w:r>
      <w:r w:rsidRPr="00F5723F">
        <w:rPr>
          <w:i/>
          <w:szCs w:val="19"/>
        </w:rPr>
        <w:t>i</w:t>
      </w:r>
      <w:r w:rsidRPr="00F5723F">
        <w:rPr>
          <w:i/>
          <w:szCs w:val="19"/>
        </w:rPr>
        <w:t>ären?,</w:t>
      </w:r>
      <w:r w:rsidRPr="00F5723F">
        <w:rPr>
          <w:szCs w:val="19"/>
        </w:rPr>
        <w:t xml:space="preserve"> Uppsala och Göteborg: Statsvetenskapliga institutionerna och forskning</w:t>
      </w:r>
      <w:r w:rsidRPr="00F5723F">
        <w:rPr>
          <w:szCs w:val="19"/>
        </w:rPr>
        <w:t>s</w:t>
      </w:r>
      <w:r w:rsidRPr="00F5723F">
        <w:rPr>
          <w:szCs w:val="19"/>
        </w:rPr>
        <w:t>projektet ”Att representera folket: yrkesbana eller sidospår i karri</w:t>
      </w:r>
      <w:r w:rsidRPr="00F5723F">
        <w:rPr>
          <w:szCs w:val="19"/>
        </w:rPr>
        <w:t>ä</w:t>
      </w:r>
      <w:r w:rsidRPr="00F5723F">
        <w:rPr>
          <w:szCs w:val="19"/>
        </w:rPr>
        <w:t>ren?”</w:t>
      </w:r>
      <w:r w:rsidRPr="00F5723F">
        <w:rPr>
          <w:szCs w:val="19"/>
        </w:rPr>
        <w:t xml:space="preserve"> </w:t>
      </w:r>
    </w:p>
    <w:p w:rsidR="00B43C57" w:rsidRPr="00F5723F" w:rsidRDefault="00B43C57">
      <w:pPr>
        <w:pStyle w:val="Normaltindrag"/>
      </w:pPr>
    </w:p>
    <w:p w:rsidR="00B43C57" w:rsidRPr="00F5723F" w:rsidRDefault="00B43C57">
      <w:pPr>
        <w:pStyle w:val="Normaltindrag"/>
      </w:pPr>
    </w:p>
    <w:p w:rsidR="00B43C57" w:rsidRPr="00F5723F" w:rsidRDefault="00B43C57">
      <w:pPr>
        <w:spacing w:line="240" w:lineRule="auto"/>
        <w:rPr>
          <w:szCs w:val="19"/>
        </w:rPr>
      </w:pPr>
    </w:p>
    <w:p w:rsidR="00B43C57" w:rsidRPr="00F5723F" w:rsidRDefault="00B43C57">
      <w:pPr>
        <w:pStyle w:val="Rubrik3"/>
        <w:spacing w:before="0"/>
        <w:ind w:right="-412"/>
        <w:rPr>
          <w:noProof w:val="0"/>
          <w:spacing w:val="-4"/>
          <w:szCs w:val="21"/>
        </w:rPr>
      </w:pPr>
      <w:bookmarkStart w:id="294" w:name="_Toc98075753"/>
      <w:bookmarkStart w:id="295" w:name="_Toc124697874"/>
      <w:r w:rsidRPr="00F5723F">
        <w:rPr>
          <w:noProof w:val="0"/>
          <w:spacing w:val="-4"/>
          <w:szCs w:val="21"/>
        </w:rPr>
        <w:t>Appendix: Riksdagskommitténs dagboksstudie och enkätundersökning 2004</w:t>
      </w:r>
      <w:bookmarkEnd w:id="294"/>
      <w:r w:rsidRPr="00F5723F">
        <w:rPr>
          <w:noProof w:val="0"/>
          <w:spacing w:val="-4"/>
          <w:szCs w:val="21"/>
        </w:rPr>
        <w:t>.</w:t>
      </w:r>
      <w:bookmarkEnd w:id="295"/>
    </w:p>
    <w:p w:rsidR="00B43C57" w:rsidRPr="00F5723F" w:rsidRDefault="00F5723F">
      <w:r w:rsidRPr="00F5723F">
        <w:rPr>
          <w:noProof/>
        </w:rPr>
        <w:drawing>
          <wp:inline distT="0" distB="0" distL="0" distR="0">
            <wp:extent cx="4180205" cy="586168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180205" cy="5861685"/>
                    </a:xfrm>
                    <a:prstGeom prst="rect">
                      <a:avLst/>
                    </a:prstGeom>
                    <a:noFill/>
                    <a:ln>
                      <a:noFill/>
                    </a:ln>
                  </pic:spPr>
                </pic:pic>
              </a:graphicData>
            </a:graphic>
          </wp:inline>
        </w:drawing>
      </w:r>
    </w:p>
    <w:p w:rsidR="00B43C57" w:rsidRPr="00F5723F" w:rsidRDefault="00B43C57">
      <w:pPr>
        <w:ind w:left="-190"/>
      </w:pPr>
      <w:r w:rsidRPr="00F5723F">
        <w:br w:type="page"/>
      </w:r>
      <w:r w:rsidR="00F5723F" w:rsidRPr="00F5723F">
        <w:rPr>
          <w:noProof/>
        </w:rPr>
        <w:drawing>
          <wp:inline distT="0" distB="0" distL="0" distR="0">
            <wp:extent cx="4174490" cy="58781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74490" cy="5878195"/>
                    </a:xfrm>
                    <a:prstGeom prst="rect">
                      <a:avLst/>
                    </a:prstGeom>
                    <a:noFill/>
                    <a:ln>
                      <a:noFill/>
                    </a:ln>
                  </pic:spPr>
                </pic:pic>
              </a:graphicData>
            </a:graphic>
          </wp:inline>
        </w:drawing>
      </w:r>
    </w:p>
    <w:p w:rsidR="00B43C57" w:rsidRPr="00F5723F" w:rsidRDefault="00B43C57">
      <w:pPr>
        <w:ind w:left="-190"/>
      </w:pPr>
    </w:p>
    <w:p w:rsidR="00B43C57" w:rsidRPr="00F5723F" w:rsidRDefault="00B43C57">
      <w:pPr>
        <w:pStyle w:val="Normaltindrag"/>
      </w:pPr>
      <w:r w:rsidRPr="00F5723F">
        <w:br w:type="page"/>
      </w:r>
      <w:r w:rsidR="00F5723F" w:rsidRPr="00F5723F">
        <w:rPr>
          <w:noProof/>
        </w:rPr>
        <w:drawing>
          <wp:inline distT="0" distB="0" distL="0" distR="0">
            <wp:extent cx="4180205" cy="626491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180205" cy="6264910"/>
                    </a:xfrm>
                    <a:prstGeom prst="rect">
                      <a:avLst/>
                    </a:prstGeom>
                    <a:noFill/>
                    <a:ln>
                      <a:noFill/>
                    </a:ln>
                  </pic:spPr>
                </pic:pic>
              </a:graphicData>
            </a:graphic>
          </wp:inline>
        </w:drawing>
      </w:r>
    </w:p>
    <w:p w:rsidR="00B43C57" w:rsidRPr="00F5723F" w:rsidRDefault="00B43C57">
      <w:pPr>
        <w:ind w:left="-190"/>
      </w:pPr>
      <w:r w:rsidRPr="00F5723F">
        <w:br w:type="page"/>
      </w:r>
      <w:r w:rsidR="00F5723F" w:rsidRPr="00F5723F">
        <w:rPr>
          <w:noProof/>
        </w:rPr>
        <w:drawing>
          <wp:inline distT="0" distB="0" distL="0" distR="0">
            <wp:extent cx="4174490" cy="57257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174490" cy="5725795"/>
                    </a:xfrm>
                    <a:prstGeom prst="rect">
                      <a:avLst/>
                    </a:prstGeom>
                    <a:noFill/>
                    <a:ln>
                      <a:noFill/>
                    </a:ln>
                  </pic:spPr>
                </pic:pic>
              </a:graphicData>
            </a:graphic>
          </wp:inline>
        </w:drawing>
      </w:r>
    </w:p>
    <w:p w:rsidR="00B43C57" w:rsidRPr="00F5723F" w:rsidRDefault="00B43C57">
      <w:pPr>
        <w:pStyle w:val="Normaltindrag"/>
      </w:pPr>
      <w:r w:rsidRPr="00F5723F">
        <w:br w:type="page"/>
      </w:r>
      <w:r w:rsidR="00F5723F" w:rsidRPr="00F5723F">
        <w:rPr>
          <w:noProof/>
        </w:rPr>
        <w:drawing>
          <wp:inline distT="0" distB="0" distL="0" distR="0">
            <wp:extent cx="4180205" cy="197548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80205" cy="1975485"/>
                    </a:xfrm>
                    <a:prstGeom prst="rect">
                      <a:avLst/>
                    </a:prstGeom>
                    <a:noFill/>
                    <a:ln>
                      <a:noFill/>
                    </a:ln>
                  </pic:spPr>
                </pic:pic>
              </a:graphicData>
            </a:graphic>
          </wp:inline>
        </w:drawing>
      </w:r>
    </w:p>
    <w:p w:rsidR="00B43C57" w:rsidRPr="00F5723F" w:rsidRDefault="00B43C57">
      <w:bookmarkStart w:id="296" w:name="Start"/>
      <w:bookmarkEnd w:id="296"/>
    </w:p>
    <w:p w:rsidR="00B43C57" w:rsidRPr="00F5723F" w:rsidRDefault="00B43C57">
      <w:bookmarkStart w:id="297" w:name="_Toc118691687"/>
      <w:bookmarkStart w:id="298" w:name="_Toc121738991"/>
    </w:p>
    <w:p w:rsidR="00B43C57" w:rsidRPr="00F5723F" w:rsidRDefault="00B43C57">
      <w:pPr>
        <w:sectPr w:rsidR="00000000" w:rsidRPr="00F5723F">
          <w:headerReference w:type="even" r:id="rId106"/>
          <w:headerReference w:type="default" r:id="rId107"/>
          <w:footerReference w:type="even" r:id="rId108"/>
          <w:footerReference w:type="default" r:id="rId109"/>
          <w:headerReference w:type="first" r:id="rId110"/>
          <w:footerReference w:type="first" r:id="rId111"/>
          <w:pgSz w:w="11906" w:h="16838" w:code="9"/>
          <w:pgMar w:top="907" w:right="4021" w:bottom="4507" w:left="1304" w:header="340" w:footer="227" w:gutter="0"/>
          <w:cols w:space="720"/>
          <w:titlePg/>
          <w:docGrid w:linePitch="258"/>
        </w:sectPr>
      </w:pPr>
    </w:p>
    <w:p w:rsidR="00B43C57" w:rsidRPr="00F5723F" w:rsidRDefault="00B43C57">
      <w:pPr>
        <w:pStyle w:val="Rubrik1"/>
        <w:jc w:val="center"/>
        <w:rPr>
          <w:b/>
          <w:noProof w:val="0"/>
        </w:rPr>
      </w:pPr>
      <w:bookmarkStart w:id="299" w:name="_Toc124697875"/>
      <w:r w:rsidRPr="00F5723F">
        <w:rPr>
          <w:b/>
          <w:noProof w:val="0"/>
        </w:rPr>
        <w:t xml:space="preserve">Rapport </w:t>
      </w:r>
      <w:r w:rsidRPr="00F5723F">
        <w:rPr>
          <w:b/>
          <w:noProof w:val="0"/>
        </w:rPr>
        <w:t>5</w:t>
      </w:r>
      <w:bookmarkEnd w:id="299"/>
    </w:p>
    <w:p w:rsidR="00B43C57" w:rsidRPr="00F5723F" w:rsidRDefault="00B43C57">
      <w:pPr>
        <w:pStyle w:val="Rubrik1"/>
        <w:jc w:val="center"/>
        <w:rPr>
          <w:noProof w:val="0"/>
        </w:rPr>
      </w:pPr>
      <w:bookmarkStart w:id="300" w:name="_Toc124697876"/>
      <w:r w:rsidRPr="00F5723F">
        <w:rPr>
          <w:noProof w:val="0"/>
        </w:rPr>
        <w:t>Mellanvalsdemokrati</w:t>
      </w:r>
      <w:bookmarkEnd w:id="300"/>
    </w:p>
    <w:p w:rsidR="00B43C57" w:rsidRPr="00F5723F" w:rsidRDefault="00B43C57">
      <w:pPr>
        <w:jc w:val="center"/>
        <w:rPr>
          <w:b/>
        </w:rPr>
      </w:pPr>
      <w:r w:rsidRPr="00F5723F">
        <w:rPr>
          <w:b/>
        </w:rPr>
        <w:t>Martin Brothén och Mikael Gilljam</w:t>
      </w:r>
    </w:p>
    <w:p w:rsidR="00B43C57" w:rsidRPr="00F5723F" w:rsidRDefault="00B43C57">
      <w:pPr>
        <w:pStyle w:val="Normaltindrag"/>
      </w:pPr>
    </w:p>
    <w:p w:rsidR="00B43C57" w:rsidRPr="00F5723F" w:rsidRDefault="00B43C57">
      <w:pPr>
        <w:pStyle w:val="Normaltindrag"/>
      </w:pPr>
    </w:p>
    <w:p w:rsidR="00B43C57" w:rsidRPr="00F5723F" w:rsidRDefault="00B43C57"/>
    <w:p w:rsidR="00B43C57" w:rsidRPr="00F5723F" w:rsidRDefault="00B43C57">
      <w:pPr>
        <w:pStyle w:val="Normaltindrag"/>
      </w:pPr>
    </w:p>
    <w:p w:rsidR="00B43C57" w:rsidRPr="00F5723F" w:rsidRDefault="00B43C57">
      <w:r w:rsidRPr="00F5723F">
        <w:t>I en representativ demokrati är det medborgarnas viktigaste uppgift att i r</w:t>
      </w:r>
      <w:r w:rsidRPr="00F5723F">
        <w:t>e</w:t>
      </w:r>
      <w:r w:rsidRPr="00F5723F">
        <w:t>gelbu</w:t>
      </w:r>
      <w:r w:rsidRPr="00F5723F">
        <w:t>n</w:t>
      </w:r>
      <w:r w:rsidRPr="00F5723F">
        <w:t>det åter</w:t>
      </w:r>
      <w:r w:rsidRPr="00F5723F">
        <w:softHyphen/>
      </w:r>
      <w:r w:rsidRPr="00F5723F">
        <w:softHyphen/>
      </w:r>
      <w:r w:rsidRPr="00F5723F">
        <w:softHyphen/>
        <w:t>kommande val rösta fram partier och politiker. Mellan valen är det sedan de folkvalda representanterna som sköter det politiska beslutsfa</w:t>
      </w:r>
      <w:r w:rsidRPr="00F5723F">
        <w:t>t</w:t>
      </w:r>
      <w:r w:rsidRPr="00F5723F">
        <w:t>tandet. Men en representativ de</w:t>
      </w:r>
      <w:r w:rsidRPr="00F5723F">
        <w:softHyphen/>
        <w:t>mo</w:t>
      </w:r>
      <w:r w:rsidRPr="00F5723F">
        <w:softHyphen/>
      </w:r>
      <w:r w:rsidRPr="00F5723F">
        <w:softHyphen/>
      </w:r>
      <w:r w:rsidRPr="00F5723F">
        <w:softHyphen/>
        <w:t>krati utesluter naturligtvis inte att de valda representanterna kommunicerar med medbo</w:t>
      </w:r>
      <w:r w:rsidRPr="00F5723F">
        <w:t>r</w:t>
      </w:r>
      <w:r w:rsidRPr="00F5723F">
        <w:t>garna även mellan valen och att representanterna då är lyhörda och till och med låter sig påverkas. Ett i h</w:t>
      </w:r>
      <w:r w:rsidRPr="00F5723F">
        <w:t>u</w:t>
      </w:r>
      <w:r w:rsidRPr="00F5723F">
        <w:t>vudsak representativt politiskt system kan dessutom rym</w:t>
      </w:r>
      <w:r w:rsidRPr="00F5723F">
        <w:softHyphen/>
        <w:t>ma inslag av direkt folkligt inflytande genom folkinitiativ och folk</w:t>
      </w:r>
      <w:r w:rsidRPr="00F5723F">
        <w:t>omrös</w:t>
      </w:r>
      <w:r w:rsidRPr="00F5723F">
        <w:t>t</w:t>
      </w:r>
      <w:r w:rsidRPr="00F5723F">
        <w:t>ningar.</w:t>
      </w:r>
    </w:p>
    <w:p w:rsidR="00B43C57" w:rsidRPr="00F5723F" w:rsidRDefault="00B43C57">
      <w:pPr>
        <w:pStyle w:val="Normaltindrag"/>
      </w:pPr>
      <w:r w:rsidRPr="00F5723F">
        <w:t>Den som blickar ut över det dryga åttiotal länder som idag brukar klassif</w:t>
      </w:r>
      <w:r w:rsidRPr="00F5723F">
        <w:t>i</w:t>
      </w:r>
      <w:r w:rsidRPr="00F5723F">
        <w:t>ceras som demokratier (Warren 2002; Holmberg 2003) mö</w:t>
      </w:r>
      <w:r w:rsidRPr="00F5723F">
        <w:softHyphen/>
        <w:t>ts av en betydande variationsrikedom. Det är visserligen genomgående fråga om repre</w:t>
      </w:r>
      <w:r w:rsidRPr="00F5723F">
        <w:softHyphen/>
        <w:t>sen</w:t>
      </w:r>
      <w:r w:rsidRPr="00F5723F">
        <w:softHyphen/>
      </w:r>
      <w:r w:rsidRPr="00F5723F">
        <w:softHyphen/>
      </w:r>
      <w:r w:rsidRPr="00F5723F">
        <w:softHyphen/>
      </w:r>
      <w:r w:rsidRPr="00F5723F">
        <w:softHyphen/>
      </w:r>
      <w:r w:rsidRPr="00F5723F">
        <w:softHyphen/>
        <w:t>ta</w:t>
      </w:r>
      <w:r w:rsidRPr="00F5723F">
        <w:softHyphen/>
        <w:t>tiva system där medborgarna i fria val utser sina representanter. Men när det gäl</w:t>
      </w:r>
      <w:r w:rsidRPr="00F5723F">
        <w:softHyphen/>
        <w:t>ler vad som väljs – presidenter, parlamentariker, domare – hur de väljs – valsys</w:t>
      </w:r>
      <w:r w:rsidRPr="00F5723F">
        <w:softHyphen/>
      </w:r>
      <w:r w:rsidRPr="00F5723F">
        <w:softHyphen/>
        <w:t>te</w:t>
      </w:r>
      <w:r w:rsidRPr="00F5723F">
        <w:softHyphen/>
        <w:t>mets ut</w:t>
      </w:r>
      <w:r w:rsidRPr="00F5723F">
        <w:softHyphen/>
        <w:t>form</w:t>
      </w:r>
      <w:r w:rsidRPr="00F5723F">
        <w:softHyphen/>
      </w:r>
      <w:r w:rsidRPr="00F5723F">
        <w:softHyphen/>
        <w:t>ning – och under vilka omständigh</w:t>
      </w:r>
      <w:r w:rsidRPr="00F5723F">
        <w:t>e</w:t>
      </w:r>
      <w:r w:rsidRPr="00F5723F">
        <w:t>ter de väljs – val</w:t>
      </w:r>
      <w:r w:rsidRPr="00F5723F">
        <w:softHyphen/>
        <w:t>kam</w:t>
      </w:r>
      <w:r w:rsidRPr="00F5723F">
        <w:softHyphen/>
        <w:t>pan</w:t>
      </w:r>
      <w:r w:rsidRPr="00F5723F">
        <w:softHyphen/>
      </w:r>
      <w:r w:rsidRPr="00F5723F">
        <w:softHyphen/>
        <w:t>jernas form och in</w:t>
      </w:r>
      <w:r w:rsidRPr="00F5723F">
        <w:softHyphen/>
        <w:t>ne</w:t>
      </w:r>
      <w:r w:rsidRPr="00F5723F">
        <w:softHyphen/>
        <w:t>håll – finner vi stora variationer. Kunskaperna och fors</w:t>
      </w:r>
      <w:r w:rsidRPr="00F5723F">
        <w:t>k</w:t>
      </w:r>
      <w:r w:rsidRPr="00F5723F">
        <w:t>ningen kring representativ de</w:t>
      </w:r>
      <w:r w:rsidRPr="00F5723F">
        <w:softHyphen/>
        <w:t>mo</w:t>
      </w:r>
      <w:r w:rsidRPr="00F5723F">
        <w:softHyphen/>
        <w:t>krati h</w:t>
      </w:r>
      <w:r w:rsidRPr="00F5723F">
        <w:t>ar samtidigt en kraftig slag</w:t>
      </w:r>
      <w:r w:rsidRPr="00F5723F">
        <w:softHyphen/>
        <w:t>sida mot just dessa demokratins högtidsdagar i form av val och valrörelser. Och kon</w:t>
      </w:r>
      <w:r w:rsidRPr="00F5723F">
        <w:t>s</w:t>
      </w:r>
      <w:r w:rsidRPr="00F5723F">
        <w:t>tigt vore det väl annars: Det är vid de rege</w:t>
      </w:r>
      <w:r w:rsidRPr="00F5723F">
        <w:t>l</w:t>
      </w:r>
      <w:r w:rsidRPr="00F5723F">
        <w:t>bundet åter</w:t>
      </w:r>
      <w:r w:rsidRPr="00F5723F">
        <w:softHyphen/>
      </w:r>
      <w:r w:rsidRPr="00F5723F">
        <w:softHyphen/>
        <w:t>kom</w:t>
      </w:r>
      <w:r w:rsidRPr="00F5723F">
        <w:softHyphen/>
        <w:t>man</w:t>
      </w:r>
      <w:r w:rsidRPr="00F5723F">
        <w:softHyphen/>
        <w:t>de valen som demokratin i betydel</w:t>
      </w:r>
      <w:r w:rsidRPr="00F5723F">
        <w:softHyphen/>
      </w:r>
      <w:r w:rsidRPr="00F5723F">
        <w:softHyphen/>
        <w:t>sen folkstyre och folkviljans för</w:t>
      </w:r>
      <w:r w:rsidRPr="00F5723F">
        <w:softHyphen/>
        <w:t>verk</w:t>
      </w:r>
      <w:r w:rsidRPr="00F5723F">
        <w:softHyphen/>
        <w:t>li</w:t>
      </w:r>
      <w:r w:rsidRPr="00F5723F">
        <w:softHyphen/>
        <w:t>gan</w:t>
      </w:r>
      <w:r w:rsidRPr="00F5723F">
        <w:softHyphen/>
      </w:r>
      <w:r w:rsidRPr="00F5723F">
        <w:softHyphen/>
      </w:r>
      <w:r w:rsidRPr="00F5723F">
        <w:softHyphen/>
        <w:t>de skall mater</w:t>
      </w:r>
      <w:r w:rsidRPr="00F5723F">
        <w:t>i</w:t>
      </w:r>
      <w:r w:rsidRPr="00F5723F">
        <w:t>aliseras genom tillba</w:t>
      </w:r>
      <w:r w:rsidRPr="00F5723F">
        <w:softHyphen/>
        <w:t>ka</w:t>
      </w:r>
      <w:r w:rsidRPr="00F5723F">
        <w:softHyphen/>
        <w:t>blick</w:t>
      </w:r>
      <w:r w:rsidRPr="00F5723F">
        <w:softHyphen/>
        <w:t>an</w:t>
      </w:r>
      <w:r w:rsidRPr="00F5723F">
        <w:softHyphen/>
        <w:t>de ansvarsutkrävan</w:t>
      </w:r>
      <w:r w:rsidRPr="00F5723F">
        <w:softHyphen/>
        <w:t>de och framåt</w:t>
      </w:r>
      <w:r w:rsidRPr="00F5723F">
        <w:softHyphen/>
        <w:t>blick</w:t>
      </w:r>
      <w:r w:rsidRPr="00F5723F">
        <w:softHyphen/>
        <w:t>an</w:t>
      </w:r>
      <w:r w:rsidRPr="00F5723F">
        <w:softHyphen/>
        <w:t>de mandatgi</w:t>
      </w:r>
      <w:r w:rsidRPr="00F5723F">
        <w:softHyphen/>
      </w:r>
      <w:r w:rsidRPr="00F5723F">
        <w:softHyphen/>
        <w:t>vande från väljarna.</w:t>
      </w:r>
      <w:r w:rsidRPr="00F5723F">
        <w:rPr>
          <w:rStyle w:val="Fotnotsreferens"/>
        </w:rPr>
        <w:footnoteReference w:id="140"/>
      </w:r>
      <w:r w:rsidRPr="00F5723F">
        <w:t xml:space="preserve"> </w:t>
      </w:r>
    </w:p>
    <w:p w:rsidR="00B43C57" w:rsidRPr="00F5723F" w:rsidRDefault="00B43C57">
      <w:pPr>
        <w:pStyle w:val="Normaltindrag"/>
      </w:pPr>
      <w:r w:rsidRPr="00F5723F">
        <w:t>Men precis som i många andra sammanhang finns det också någonting mindre flärdfullt och betydligt min</w:t>
      </w:r>
      <w:r w:rsidRPr="00F5723F">
        <w:t>d</w:t>
      </w:r>
      <w:r w:rsidRPr="00F5723F">
        <w:t>re uppmärksammat som skulle kunna kallas för den representativa de</w:t>
      </w:r>
      <w:r w:rsidRPr="00F5723F">
        <w:softHyphen/>
        <w:t>mokratins vardag, eller – kort och gott – me</w:t>
      </w:r>
      <w:r w:rsidRPr="00F5723F">
        <w:t>l</w:t>
      </w:r>
      <w:r w:rsidRPr="00F5723F">
        <w:t>lanvalsdemokrati. Under mellanvalsperio</w:t>
      </w:r>
      <w:r w:rsidRPr="00F5723F">
        <w:softHyphen/>
      </w:r>
      <w:r w:rsidRPr="00F5723F">
        <w:softHyphen/>
      </w:r>
      <w:r w:rsidRPr="00F5723F">
        <w:softHyphen/>
        <w:t>der</w:t>
      </w:r>
      <w:r w:rsidRPr="00F5723F">
        <w:softHyphen/>
      </w:r>
      <w:r w:rsidRPr="00F5723F">
        <w:softHyphen/>
        <w:t>na ägnar sig de valda represe</w:t>
      </w:r>
      <w:r w:rsidRPr="00F5723F">
        <w:t>n</w:t>
      </w:r>
      <w:r w:rsidRPr="00F5723F">
        <w:t>tanterna i huvudsak åt parlame</w:t>
      </w:r>
      <w:r w:rsidRPr="00F5723F">
        <w:t>n</w:t>
      </w:r>
      <w:r w:rsidRPr="00F5723F">
        <w:t>tariskt arbete och po</w:t>
      </w:r>
      <w:r w:rsidRPr="00F5723F">
        <w:softHyphen/>
        <w:t>li</w:t>
      </w:r>
      <w:r w:rsidRPr="00F5723F">
        <w:softHyphen/>
        <w:t>tiskt be</w:t>
      </w:r>
      <w:r w:rsidRPr="00F5723F">
        <w:softHyphen/>
        <w:t>slutsfattande medan medborgarna har fullt upp med andra samhällsnyttiga aktiviteter. Men det finns, som sagt, relationer mellan medborgare och representanter även mellan valen, och det är den typen av ”vardags</w:t>
      </w:r>
      <w:r w:rsidRPr="00F5723F">
        <w:softHyphen/>
        <w:t>re</w:t>
      </w:r>
      <w:r w:rsidRPr="00F5723F">
        <w:softHyphen/>
        <w:t>la</w:t>
      </w:r>
      <w:r w:rsidRPr="00F5723F">
        <w:softHyphen/>
        <w:t>tio</w:t>
      </w:r>
      <w:r w:rsidRPr="00F5723F">
        <w:softHyphen/>
        <w:t>ner” som vi i det här kapitlet vill f</w:t>
      </w:r>
      <w:r w:rsidRPr="00F5723F">
        <w:t>örsöka fånga in med begreppet mellanvalsdemokrati.</w:t>
      </w:r>
    </w:p>
    <w:p w:rsidR="00B43C57" w:rsidRPr="00F5723F" w:rsidRDefault="00B43C57">
      <w:pPr>
        <w:pStyle w:val="Normaltindrag"/>
      </w:pPr>
      <w:r w:rsidRPr="00F5723F">
        <w:t>Kapitlet innehåller tre avsnitt – ett begreppsutvecklande, ett empiriskt och ett framå</w:t>
      </w:r>
      <w:r w:rsidRPr="00F5723F">
        <w:t>t</w:t>
      </w:r>
      <w:r w:rsidRPr="00F5723F">
        <w:t>blickande och nor</w:t>
      </w:r>
      <w:r w:rsidRPr="00F5723F">
        <w:softHyphen/>
        <w:t>ma</w:t>
      </w:r>
      <w:r w:rsidRPr="00F5723F">
        <w:softHyphen/>
        <w:t>tivt. I det första avsnittet funderar vi över vad som rimligen skall ingå i begreppet mellanvals</w:t>
      </w:r>
      <w:r w:rsidRPr="00F5723F">
        <w:softHyphen/>
      </w:r>
      <w:r w:rsidRPr="00F5723F">
        <w:softHyphen/>
        <w:t>demokra</w:t>
      </w:r>
      <w:r w:rsidRPr="00F5723F">
        <w:softHyphen/>
        <w:t>ti och vilka precis</w:t>
      </w:r>
      <w:r w:rsidRPr="00F5723F">
        <w:t>e</w:t>
      </w:r>
      <w:r w:rsidRPr="00F5723F">
        <w:t>ringar och distinktioner som kan hjälpa oss på vägen fram mot en fruktbar empirisk studie. I avsnitt två tar vi steget ut i verkligheten och försöker säga någonting om reellt existeran</w:t>
      </w:r>
      <w:r w:rsidRPr="00F5723F">
        <w:softHyphen/>
      </w:r>
      <w:r w:rsidRPr="00F5723F">
        <w:softHyphen/>
        <w:t>de me</w:t>
      </w:r>
      <w:r w:rsidRPr="00F5723F">
        <w:t>l</w:t>
      </w:r>
      <w:r w:rsidRPr="00F5723F">
        <w:t>lanvalsdemokratier med fokus på Sverige och den svenska riksdagen. Kapitlet avslutas med några förslag och en dos önsketänkande kring vilken typ av empi</w:t>
      </w:r>
      <w:r w:rsidRPr="00F5723F">
        <w:softHyphen/>
        <w:t xml:space="preserve">risk forskning som </w:t>
      </w:r>
      <w:r w:rsidRPr="00F5723F">
        <w:t>skulle behövas för att genom</w:t>
      </w:r>
      <w:r w:rsidRPr="00F5723F">
        <w:softHyphen/>
        <w:t>föra en mer grund</w:t>
      </w:r>
      <w:r w:rsidRPr="00F5723F">
        <w:softHyphen/>
        <w:t>läggande kartlägg</w:t>
      </w:r>
      <w:r w:rsidRPr="00F5723F">
        <w:softHyphen/>
        <w:t>ning av fenomenet mellanval</w:t>
      </w:r>
      <w:r w:rsidRPr="00F5723F">
        <w:t>s</w:t>
      </w:r>
      <w:r w:rsidRPr="00F5723F">
        <w:t>dem</w:t>
      </w:r>
      <w:r w:rsidRPr="00F5723F">
        <w:t>o</w:t>
      </w:r>
      <w:r w:rsidRPr="00F5723F">
        <w:t>krati.</w:t>
      </w:r>
    </w:p>
    <w:p w:rsidR="00B43C57" w:rsidRPr="00F5723F" w:rsidRDefault="00B43C57">
      <w:pPr>
        <w:pStyle w:val="Rubrik2"/>
      </w:pPr>
      <w:bookmarkStart w:id="301" w:name="_Toc124697877"/>
      <w:r w:rsidRPr="00F5723F">
        <w:t>Begreppsbestämning</w:t>
      </w:r>
      <w:bookmarkEnd w:id="301"/>
    </w:p>
    <w:p w:rsidR="00B43C57" w:rsidRPr="00F5723F" w:rsidRDefault="00B43C57">
      <w:r w:rsidRPr="00F5723F">
        <w:t>Mellanvalsdemokrati definieras här som kontakter och informationsöverf</w:t>
      </w:r>
      <w:r w:rsidRPr="00F5723F">
        <w:t>ö</w:t>
      </w:r>
      <w:r w:rsidRPr="00F5723F">
        <w:t>ring mel</w:t>
      </w:r>
      <w:r w:rsidRPr="00F5723F">
        <w:softHyphen/>
      </w:r>
      <w:r w:rsidRPr="00F5723F">
        <w:softHyphen/>
        <w:t>lan med</w:t>
      </w:r>
      <w:r w:rsidRPr="00F5723F">
        <w:softHyphen/>
        <w:t>bor</w:t>
      </w:r>
      <w:r w:rsidRPr="00F5723F">
        <w:softHyphen/>
        <w:t>ga</w:t>
      </w:r>
      <w:r w:rsidRPr="00F5723F">
        <w:softHyphen/>
      </w:r>
      <w:r w:rsidRPr="00F5723F">
        <w:softHyphen/>
        <w:t>re och repr</w:t>
      </w:r>
      <w:r w:rsidRPr="00F5723F">
        <w:t>e</w:t>
      </w:r>
      <w:r w:rsidRPr="00F5723F">
        <w:t>sentanter som innebär att medborgarna eller grupper av medborga</w:t>
      </w:r>
      <w:r w:rsidRPr="00F5723F">
        <w:softHyphen/>
      </w:r>
      <w:r w:rsidRPr="00F5723F">
        <w:softHyphen/>
        <w:t>re har möjlighet att påverka politiken på andra sätt än genom att rösta fram politiska re</w:t>
      </w:r>
      <w:r w:rsidRPr="00F5723F">
        <w:softHyphen/>
      </w:r>
      <w:r w:rsidRPr="00F5723F">
        <w:softHyphen/>
        <w:t>presentanter i val. Ett rimligt antagande är att det stora flertalet av dessa kontakter äger rum under mellanvalsperioderna och inte under de intensiva valr</w:t>
      </w:r>
      <w:r w:rsidRPr="00F5723F">
        <w:t>ö</w:t>
      </w:r>
      <w:r w:rsidRPr="00F5723F">
        <w:t>relseveck</w:t>
      </w:r>
      <w:r w:rsidRPr="00F5723F">
        <w:softHyphen/>
      </w:r>
      <w:r w:rsidRPr="00F5723F">
        <w:softHyphen/>
        <w:t>orna – dels därför att en valrörelse normalt omspänner några få veckor medan en mel</w:t>
      </w:r>
      <w:r w:rsidRPr="00F5723F">
        <w:softHyphen/>
      </w:r>
      <w:r w:rsidRPr="00F5723F">
        <w:softHyphen/>
        <w:t>lanvals</w:t>
      </w:r>
      <w:r w:rsidRPr="00F5723F">
        <w:softHyphen/>
        <w:t>pe</w:t>
      </w:r>
      <w:r w:rsidRPr="00F5723F">
        <w:softHyphen/>
        <w:t>riod sträcker sig över flera år, men dels, och framfö</w:t>
      </w:r>
      <w:r w:rsidRPr="00F5723F">
        <w:t>rallt, därför att en val</w:t>
      </w:r>
      <w:r w:rsidRPr="00F5723F">
        <w:softHyphen/>
        <w:t>rö</w:t>
      </w:r>
      <w:r w:rsidRPr="00F5723F">
        <w:softHyphen/>
      </w:r>
      <w:r w:rsidRPr="00F5723F">
        <w:softHyphen/>
        <w:t>relse i allt väsentligt handlar om kontakter och informationsöverföring mellan pre</w:t>
      </w:r>
      <w:r w:rsidRPr="00F5723F">
        <w:softHyphen/>
        <w:t>sum</w:t>
      </w:r>
      <w:r w:rsidRPr="00F5723F">
        <w:softHyphen/>
      </w:r>
      <w:r w:rsidRPr="00F5723F">
        <w:softHyphen/>
      </w:r>
      <w:r w:rsidRPr="00F5723F">
        <w:softHyphen/>
        <w:t>tiva re</w:t>
      </w:r>
      <w:r w:rsidRPr="00F5723F">
        <w:softHyphen/>
        <w:t>pre</w:t>
      </w:r>
      <w:r w:rsidRPr="00F5723F">
        <w:softHyphen/>
        <w:t>sen</w:t>
      </w:r>
      <w:r w:rsidRPr="00F5723F">
        <w:softHyphen/>
        <w:t>tanter och medborgare som syftar till medborgerligt inflytan</w:t>
      </w:r>
      <w:r w:rsidRPr="00F5723F">
        <w:softHyphen/>
        <w:t>de över po</w:t>
      </w:r>
      <w:r w:rsidRPr="00F5723F">
        <w:softHyphen/>
        <w:t>li</w:t>
      </w:r>
      <w:r w:rsidRPr="00F5723F">
        <w:softHyphen/>
      </w:r>
      <w:r w:rsidRPr="00F5723F">
        <w:softHyphen/>
        <w:t>tiken genom just val av representanter. Distinkti</w:t>
      </w:r>
      <w:r w:rsidRPr="00F5723F">
        <w:t>o</w:t>
      </w:r>
      <w:r w:rsidRPr="00F5723F">
        <w:t>nen mellan valdemo</w:t>
      </w:r>
      <w:r w:rsidRPr="00F5723F">
        <w:softHyphen/>
        <w:t>krati och mel</w:t>
      </w:r>
      <w:r w:rsidRPr="00F5723F">
        <w:softHyphen/>
        <w:t>lanvals</w:t>
      </w:r>
      <w:r w:rsidRPr="00F5723F">
        <w:softHyphen/>
      </w:r>
      <w:r w:rsidRPr="00F5723F">
        <w:softHyphen/>
        <w:t>de</w:t>
      </w:r>
      <w:r w:rsidRPr="00F5723F">
        <w:softHyphen/>
        <w:t>mokrati görs med andra ord inte utifrån tidsaspekten (valr</w:t>
      </w:r>
      <w:r w:rsidRPr="00F5723F">
        <w:t>ö</w:t>
      </w:r>
      <w:r w:rsidRPr="00F5723F">
        <w:t>relse kontra mellanvals</w:t>
      </w:r>
      <w:r w:rsidRPr="00F5723F">
        <w:softHyphen/>
      </w:r>
      <w:r w:rsidRPr="00F5723F">
        <w:softHyphen/>
        <w:t>pe</w:t>
      </w:r>
      <w:r w:rsidRPr="00F5723F">
        <w:softHyphen/>
        <w:t>ri</w:t>
      </w:r>
      <w:r w:rsidRPr="00F5723F">
        <w:softHyphen/>
        <w:t>od) utan utifrån syftet med kontakterna (val av representanter kontra andra typer av inflytande och påverkan</w:t>
      </w:r>
      <w:r w:rsidRPr="00F5723F">
        <w:t>s</w:t>
      </w:r>
      <w:r w:rsidRPr="00F5723F">
        <w:t>försök).</w:t>
      </w:r>
      <w:r w:rsidRPr="00F5723F">
        <w:rPr>
          <w:rStyle w:val="Fotnotsreferens"/>
        </w:rPr>
        <w:footnoteReference w:id="141"/>
      </w:r>
    </w:p>
    <w:p w:rsidR="00B43C57" w:rsidRPr="00F5723F" w:rsidRDefault="00B43C57">
      <w:pPr>
        <w:pStyle w:val="Normaltindrag"/>
      </w:pPr>
      <w:r w:rsidRPr="00F5723F">
        <w:t>Begreppet mellanvalsdemokrati kan ges ytterligare precision om vi tänker oss en dimension eller skala som går från en valdemokrati helt utan mella</w:t>
      </w:r>
      <w:r w:rsidRPr="00F5723F">
        <w:t>n</w:t>
      </w:r>
      <w:r w:rsidRPr="00F5723F">
        <w:t>valskontakter till en fullständig mel</w:t>
      </w:r>
      <w:r w:rsidRPr="00F5723F">
        <w:softHyphen/>
        <w:t>lan</w:t>
      </w:r>
      <w:r w:rsidRPr="00F5723F">
        <w:softHyphen/>
        <w:t>valsdemokrati. Joseph Schumpeters (1942/1992) välkända konkurrens</w:t>
      </w:r>
      <w:r w:rsidRPr="00F5723F">
        <w:softHyphen/>
        <w:t>demo</w:t>
      </w:r>
      <w:r w:rsidRPr="00F5723F">
        <w:softHyphen/>
        <w:t>kra</w:t>
      </w:r>
      <w:r w:rsidRPr="00F5723F">
        <w:softHyphen/>
        <w:t>ti, där den enda kontakten mellan medborgare och representanter består i att väljarna i val ut</w:t>
      </w:r>
      <w:r w:rsidRPr="00F5723F">
        <w:softHyphen/>
        <w:t>krä</w:t>
      </w:r>
      <w:r w:rsidRPr="00F5723F">
        <w:softHyphen/>
        <w:t>ver ansvar för den förda politiken, är ett exempel på ett politiskt system helt utan mel</w:t>
      </w:r>
      <w:r w:rsidRPr="00F5723F">
        <w:softHyphen/>
        <w:t>lanvalsdemokrati. Ett annat exempel på en renodlad valdemokrati är ett sy</w:t>
      </w:r>
      <w:r w:rsidRPr="00F5723F">
        <w:softHyphen/>
        <w:t>stem helt utan mella</w:t>
      </w:r>
      <w:r w:rsidRPr="00F5723F">
        <w:t>n</w:t>
      </w:r>
      <w:r w:rsidRPr="00F5723F">
        <w:t>valskontakter men som istället för ansvarsutkrävande i efterhand bygger på framåtblickande röstning och mandatg</w:t>
      </w:r>
      <w:r w:rsidRPr="00F5723F">
        <w:t>ivande (se till exempel Manin 1999). Valdemokratins motsats skulle då vara en direkt</w:t>
      </w:r>
      <w:r w:rsidRPr="00F5723F">
        <w:softHyphen/>
        <w:t>de</w:t>
      </w:r>
      <w:r w:rsidRPr="00F5723F">
        <w:softHyphen/>
        <w:t>mo</w:t>
      </w:r>
      <w:r w:rsidRPr="00F5723F">
        <w:softHyphen/>
        <w:t>kra</w:t>
      </w:r>
      <w:r w:rsidRPr="00F5723F">
        <w:softHyphen/>
        <w:t>ti utan representan</w:t>
      </w:r>
      <w:r w:rsidRPr="00F5723F">
        <w:softHyphen/>
        <w:t>ter där alla pol</w:t>
      </w:r>
      <w:r w:rsidRPr="00F5723F">
        <w:t>i</w:t>
      </w:r>
      <w:r w:rsidRPr="00F5723F">
        <w:t>tiska beslut fattas i folk</w:t>
      </w:r>
      <w:r w:rsidRPr="00F5723F">
        <w:softHyphen/>
        <w:t>om</w:t>
      </w:r>
      <w:r w:rsidRPr="00F5723F">
        <w:softHyphen/>
        <w:t>röst</w:t>
      </w:r>
      <w:r w:rsidRPr="00F5723F">
        <w:softHyphen/>
        <w:t>ningar, alter</w:t>
      </w:r>
      <w:r w:rsidRPr="00F5723F">
        <w:softHyphen/>
        <w:t>na</w:t>
      </w:r>
      <w:r w:rsidRPr="00F5723F">
        <w:softHyphen/>
        <w:t>tivt ett system med re</w:t>
      </w:r>
      <w:r w:rsidRPr="00F5723F">
        <w:softHyphen/>
      </w:r>
      <w:r w:rsidRPr="00F5723F">
        <w:softHyphen/>
      </w:r>
      <w:r w:rsidRPr="00F5723F">
        <w:softHyphen/>
        <w:t>presentanter som lottats fram och som har bun</w:t>
      </w:r>
      <w:r w:rsidRPr="00F5723F">
        <w:t>d</w:t>
      </w:r>
      <w:r w:rsidRPr="00F5723F">
        <w:t>na, imperativa mandat som med</w:t>
      </w:r>
      <w:r w:rsidRPr="00F5723F">
        <w:softHyphen/>
        <w:t>bor</w:t>
      </w:r>
      <w:r w:rsidRPr="00F5723F">
        <w:softHyphen/>
        <w:t>garna när som helst kan åte</w:t>
      </w:r>
      <w:r w:rsidRPr="00F5723F">
        <w:t>r</w:t>
      </w:r>
      <w:r w:rsidRPr="00F5723F">
        <w:t>kalla.</w:t>
      </w:r>
      <w:r w:rsidRPr="00F5723F">
        <w:rPr>
          <w:rStyle w:val="Fotnotsreferens"/>
          <w:bCs/>
          <w:sz w:val="24"/>
        </w:rPr>
        <w:footnoteReference w:id="142"/>
      </w:r>
    </w:p>
    <w:p w:rsidR="00B43C57" w:rsidRPr="00F5723F" w:rsidRDefault="00B43C57">
      <w:pPr>
        <w:pStyle w:val="Normaltindrag"/>
      </w:pPr>
      <w:r w:rsidRPr="00F5723F">
        <w:t>Det som intresserar oss i det här kapitlet är dock inte avsaknad av mella</w:t>
      </w:r>
      <w:r w:rsidRPr="00F5723F">
        <w:t>n</w:t>
      </w:r>
      <w:r w:rsidRPr="00F5723F">
        <w:t>valsdemokrati, som i en val- eller konkurrensdemokrati, eller en fullständig direkt</w:t>
      </w:r>
      <w:r w:rsidRPr="00F5723F">
        <w:softHyphen/>
        <w:t>de</w:t>
      </w:r>
      <w:r w:rsidRPr="00F5723F">
        <w:softHyphen/>
        <w:t>mo</w:t>
      </w:r>
      <w:r w:rsidRPr="00F5723F">
        <w:softHyphen/>
        <w:t>krati där medborgarna har total kontroll över besluts</w:t>
      </w:r>
      <w:r w:rsidRPr="00F5723F">
        <w:softHyphen/>
        <w:t>fat</w:t>
      </w:r>
      <w:r w:rsidRPr="00F5723F">
        <w:softHyphen/>
        <w:t>tan</w:t>
      </w:r>
      <w:r w:rsidRPr="00F5723F">
        <w:softHyphen/>
        <w:t>det. Istället tänk</w:t>
      </w:r>
      <w:r w:rsidRPr="00F5723F">
        <w:softHyphen/>
        <w:t>er vi up</w:t>
      </w:r>
      <w:r w:rsidRPr="00F5723F">
        <w:softHyphen/>
        <w:t>pe</w:t>
      </w:r>
      <w:r w:rsidRPr="00F5723F">
        <w:softHyphen/>
        <w:t>hålla oss vid de blandformer som innehåller både me</w:t>
      </w:r>
      <w:r w:rsidRPr="00F5723F">
        <w:t>d</w:t>
      </w:r>
      <w:r w:rsidRPr="00F5723F">
        <w:t>borgerligt inflytande genom val av representanter och medborgerligt inflyta</w:t>
      </w:r>
      <w:r w:rsidRPr="00F5723F">
        <w:t>n</w:t>
      </w:r>
      <w:r w:rsidRPr="00F5723F">
        <w:t>de genom andra former av kontakter och påver</w:t>
      </w:r>
      <w:r w:rsidRPr="00F5723F">
        <w:softHyphen/>
      </w:r>
      <w:r w:rsidRPr="00F5723F">
        <w:softHyphen/>
        <w:t>kan. För att komma vidare i diskussionen om hur dessa blandformer kan se ut och fung</w:t>
      </w:r>
      <w:r w:rsidRPr="00F5723F">
        <w:softHyphen/>
        <w:t>era mellan valen behöver vi närma oss svaret på åt</w:t>
      </w:r>
      <w:r w:rsidRPr="00F5723F">
        <w:softHyphen/>
        <w:t>minstone föl</w:t>
      </w:r>
      <w:r w:rsidRPr="00F5723F">
        <w:softHyphen/>
        <w:t>jan</w:t>
      </w:r>
      <w:r w:rsidRPr="00F5723F">
        <w:softHyphen/>
        <w:t>d</w:t>
      </w:r>
      <w:r w:rsidRPr="00F5723F">
        <w:t>e fem frågor: 1) Mella</w:t>
      </w:r>
      <w:r w:rsidRPr="00F5723F">
        <w:t>n</w:t>
      </w:r>
      <w:r w:rsidRPr="00F5723F">
        <w:t>valsdemokrati ovanifrån eller underifrån? 2) Vem har kon</w:t>
      </w:r>
      <w:r w:rsidRPr="00F5723F">
        <w:softHyphen/>
        <w:t>takt med vem? 3) Kontakter före eller efter beslut? 4) Direkta eller indirekta kontakter? 5) Vad handlar ko</w:t>
      </w:r>
      <w:r w:rsidRPr="00F5723F">
        <w:t>n</w:t>
      </w:r>
      <w:r w:rsidRPr="00F5723F">
        <w:t>takter</w:t>
      </w:r>
      <w:r w:rsidRPr="00F5723F">
        <w:softHyphen/>
        <w:t>na om?</w:t>
      </w:r>
    </w:p>
    <w:p w:rsidR="00B43C57" w:rsidRPr="00F5723F" w:rsidRDefault="00B43C57">
      <w:pPr>
        <w:pStyle w:val="Rubrik3"/>
        <w:rPr>
          <w:noProof w:val="0"/>
        </w:rPr>
      </w:pPr>
      <w:bookmarkStart w:id="302" w:name="_Toc124697878"/>
      <w:r w:rsidRPr="00F5723F">
        <w:rPr>
          <w:noProof w:val="0"/>
        </w:rPr>
        <w:t>Mellanvalsdemokrati ovanifrån eller underifrån?</w:t>
      </w:r>
      <w:bookmarkEnd w:id="302"/>
    </w:p>
    <w:p w:rsidR="00B43C57" w:rsidRPr="00F5723F" w:rsidRDefault="00B43C57">
      <w:r w:rsidRPr="00F5723F">
        <w:t>Mellanvalsdemokratin kan betraktas både ovanifrån och underifrån. I ett ovanifrånperspek</w:t>
      </w:r>
      <w:r w:rsidRPr="00F5723F">
        <w:softHyphen/>
        <w:t>tiv handlar mella</w:t>
      </w:r>
      <w:r w:rsidRPr="00F5723F">
        <w:t>n</w:t>
      </w:r>
      <w:r w:rsidRPr="00F5723F">
        <w:t>valsdemokrati om hur representanterna tänker och agerar när det gäller information och på</w:t>
      </w:r>
      <w:r w:rsidRPr="00F5723F">
        <w:softHyphen/>
        <w:t>tryck</w:t>
      </w:r>
      <w:r w:rsidRPr="00F5723F">
        <w:softHyphen/>
        <w:t>ning</w:t>
      </w:r>
      <w:r w:rsidRPr="00F5723F">
        <w:softHyphen/>
        <w:t>ar från medbo</w:t>
      </w:r>
      <w:r w:rsidRPr="00F5723F">
        <w:t>r</w:t>
      </w:r>
      <w:r w:rsidRPr="00F5723F">
        <w:t>gare, medan mellanvalsdemokrati i ett underifrånperspektiv fokuserar på medborgerligt deltagande med syfte att på</w:t>
      </w:r>
      <w:r w:rsidRPr="00F5723F">
        <w:softHyphen/>
        <w:t>ver</w:t>
      </w:r>
      <w:r w:rsidRPr="00F5723F">
        <w:softHyphen/>
        <w:t>ka po</w:t>
      </w:r>
      <w:r w:rsidRPr="00F5723F">
        <w:softHyphen/>
        <w:t>li</w:t>
      </w:r>
      <w:r w:rsidRPr="00F5723F">
        <w:softHyphen/>
        <w:t>tiken. Eftersom mel</w:t>
      </w:r>
      <w:r w:rsidRPr="00F5723F">
        <w:softHyphen/>
        <w:t>lan</w:t>
      </w:r>
      <w:r w:rsidRPr="00F5723F">
        <w:softHyphen/>
        <w:t>vals</w:t>
      </w:r>
      <w:r w:rsidRPr="00F5723F">
        <w:softHyphen/>
        <w:t>demokrati handlar om kontakter och informa</w:t>
      </w:r>
      <w:r w:rsidRPr="00F5723F">
        <w:softHyphen/>
        <w:t xml:space="preserve">tionsöverföring </w:t>
      </w:r>
      <w:r w:rsidRPr="00F5723F">
        <w:rPr>
          <w:i/>
          <w:iCs/>
        </w:rPr>
        <w:t>mellan</w:t>
      </w:r>
      <w:r w:rsidRPr="00F5723F">
        <w:t xml:space="preserve"> med</w:t>
      </w:r>
      <w:r w:rsidRPr="00F5723F">
        <w:softHyphen/>
        <w:t>borg</w:t>
      </w:r>
      <w:r w:rsidRPr="00F5723F">
        <w:t>a</w:t>
      </w:r>
      <w:r w:rsidRPr="00F5723F">
        <w:t>re och representanter är det i stor utsträckning samma re</w:t>
      </w:r>
      <w:r w:rsidRPr="00F5723F">
        <w:softHyphen/>
        <w:t>la</w:t>
      </w:r>
      <w:r w:rsidRPr="00F5723F">
        <w:softHyphen/>
        <w:t>tio</w:t>
      </w:r>
      <w:r w:rsidRPr="00F5723F">
        <w:softHyphen/>
        <w:t>ner och fenomen som står i fokus oavsett perspektiv. Men begreppet mellanvals</w:t>
      </w:r>
      <w:r w:rsidRPr="00F5723F">
        <w:softHyphen/>
        <w:t>de</w:t>
      </w:r>
      <w:r w:rsidRPr="00F5723F">
        <w:softHyphen/>
        <w:t>m</w:t>
      </w:r>
      <w:r w:rsidRPr="00F5723F">
        <w:t>o</w:t>
      </w:r>
      <w:r w:rsidRPr="00F5723F">
        <w:softHyphen/>
        <w:t>krati, som det här definieras, är samtidigt inte helt ”symme</w:t>
      </w:r>
      <w:r w:rsidRPr="00F5723F">
        <w:t>t</w:t>
      </w:r>
      <w:r w:rsidRPr="00F5723F">
        <w:t>riskt” eftersom det även in</w:t>
      </w:r>
      <w:r w:rsidRPr="00F5723F">
        <w:softHyphen/>
      </w:r>
      <w:r w:rsidRPr="00F5723F">
        <w:softHyphen/>
        <w:t>klu</w:t>
      </w:r>
      <w:r w:rsidRPr="00F5723F">
        <w:softHyphen/>
        <w:t>de</w:t>
      </w:r>
      <w:r w:rsidRPr="00F5723F">
        <w:softHyphen/>
        <w:t>rar ko</w:t>
      </w:r>
      <w:r w:rsidRPr="00F5723F">
        <w:t>n</w:t>
      </w:r>
      <w:r w:rsidRPr="00F5723F">
        <w:t>taktförsök och informationsinhämtning som inte når fram till eller upp</w:t>
      </w:r>
      <w:r w:rsidRPr="00F5723F">
        <w:softHyphen/>
        <w:t>märk</w:t>
      </w:r>
      <w:r w:rsidRPr="00F5723F">
        <w:softHyphen/>
      </w:r>
      <w:r w:rsidRPr="00F5723F">
        <w:softHyphen/>
        <w:t>sammas av motparten; med det förs</w:t>
      </w:r>
      <w:r w:rsidRPr="00F5723F">
        <w:t>t</w:t>
      </w:r>
      <w:r w:rsidRPr="00F5723F">
        <w:t>nämnda åsyftas med</w:t>
      </w:r>
      <w:r w:rsidRPr="00F5723F">
        <w:softHyphen/>
        <w:t>bor</w:t>
      </w:r>
      <w:r w:rsidRPr="00F5723F">
        <w:softHyphen/>
        <w:t>gerliga påverkans</w:t>
      </w:r>
      <w:r w:rsidRPr="00F5723F">
        <w:softHyphen/>
        <w:t>för</w:t>
      </w:r>
      <w:r w:rsidRPr="00F5723F">
        <w:softHyphen/>
        <w:t>sök som inte når fram till berörda representanter, medan politiska represen</w:t>
      </w:r>
      <w:r w:rsidRPr="00F5723F">
        <w:softHyphen/>
        <w:t>tan</w:t>
      </w:r>
      <w:r w:rsidRPr="00F5723F">
        <w:softHyphen/>
        <w:t>ters in</w:t>
      </w:r>
      <w:r w:rsidRPr="00F5723F">
        <w:softHyphen/>
        <w:t>for</w:t>
      </w:r>
      <w:r w:rsidRPr="00F5723F">
        <w:softHyphen/>
        <w:t>ma</w:t>
      </w:r>
      <w:r w:rsidRPr="00F5723F">
        <w:softHyphen/>
      </w:r>
      <w:r w:rsidRPr="00F5723F">
        <w:softHyphen/>
      </w:r>
      <w:r w:rsidRPr="00F5723F">
        <w:softHyphen/>
        <w:t>tionsinhämtning om medbo</w:t>
      </w:r>
      <w:r w:rsidRPr="00F5723F">
        <w:t>r</w:t>
      </w:r>
      <w:r w:rsidRPr="00F5723F">
        <w:t>garopinioner via opinionsunder</w:t>
      </w:r>
      <w:r w:rsidRPr="00F5723F">
        <w:softHyphen/>
        <w:t>sök</w:t>
      </w:r>
      <w:r w:rsidRPr="00F5723F">
        <w:softHyphen/>
        <w:t>ning</w:t>
      </w:r>
      <w:r w:rsidRPr="00F5723F">
        <w:softHyphen/>
        <w:t>ar är ett exempel på det sistnämnda. En empirisk studie med anspråk på en någotsånär ful</w:t>
      </w:r>
      <w:r w:rsidRPr="00F5723F">
        <w:t>lgod kartlägg</w:t>
      </w:r>
      <w:r w:rsidRPr="00F5723F">
        <w:softHyphen/>
        <w:t>ning av hur en mellanvalsd</w:t>
      </w:r>
      <w:r w:rsidRPr="00F5723F">
        <w:t>e</w:t>
      </w:r>
      <w:r w:rsidRPr="00F5723F">
        <w:t>mokrati fungerar gör därför klokt i att studera fenomenet både ovanifrån och un</w:t>
      </w:r>
      <w:r w:rsidRPr="00F5723F">
        <w:softHyphen/>
        <w:t>derifrån. I vår empiriska redovisning har vi dock avgrän</w:t>
      </w:r>
      <w:r w:rsidRPr="00F5723F">
        <w:softHyphen/>
        <w:t>sat oss till en studie ovan</w:t>
      </w:r>
      <w:r w:rsidRPr="00F5723F">
        <w:softHyphen/>
      </w:r>
      <w:r w:rsidRPr="00F5723F">
        <w:softHyphen/>
        <w:t>ifrån och med fokus på Sveriges rik</w:t>
      </w:r>
      <w:r w:rsidRPr="00F5723F">
        <w:t>s</w:t>
      </w:r>
      <w:r w:rsidRPr="00F5723F">
        <w:t>dagsledamöter.</w:t>
      </w:r>
    </w:p>
    <w:p w:rsidR="00B43C57" w:rsidRPr="00F5723F" w:rsidRDefault="00B43C57">
      <w:pPr>
        <w:pStyle w:val="Rubrik3"/>
        <w:rPr>
          <w:noProof w:val="0"/>
        </w:rPr>
      </w:pPr>
      <w:bookmarkStart w:id="303" w:name="_Toc124697879"/>
      <w:r w:rsidRPr="00F5723F">
        <w:rPr>
          <w:noProof w:val="0"/>
        </w:rPr>
        <w:t>Vem har kontakt med vem?</w:t>
      </w:r>
      <w:bookmarkEnd w:id="303"/>
    </w:p>
    <w:p w:rsidR="00B43C57" w:rsidRPr="00F5723F" w:rsidRDefault="00B43C57">
      <w:r w:rsidRPr="00F5723F">
        <w:t>Så här långt har vi talat om mellanvalsdemokrati i termer av kontakter och inform</w:t>
      </w:r>
      <w:r w:rsidRPr="00F5723F">
        <w:t>a</w:t>
      </w:r>
      <w:r w:rsidRPr="00F5723F">
        <w:t>tions</w:t>
      </w:r>
      <w:r w:rsidRPr="00F5723F">
        <w:softHyphen/>
      </w:r>
      <w:r w:rsidRPr="00F5723F">
        <w:softHyphen/>
        <w:t>överföring mellan medborgare och representanter i obestämd form. Men för att precisera begreppet mellanvalsdemokrati ytterligare beh</w:t>
      </w:r>
      <w:r w:rsidRPr="00F5723F">
        <w:t>ö</w:t>
      </w:r>
      <w:r w:rsidRPr="00F5723F">
        <w:t>ver vi även säga någo</w:t>
      </w:r>
      <w:r w:rsidRPr="00F5723F">
        <w:t>n</w:t>
      </w:r>
      <w:r w:rsidRPr="00F5723F">
        <w:t>ting om vilka medborgare som kommer i kontakt med och försöker påverka vilka representanter och vilka representanter som ko</w:t>
      </w:r>
      <w:r w:rsidRPr="00F5723F">
        <w:t>m</w:t>
      </w:r>
      <w:r w:rsidRPr="00F5723F">
        <w:t>mer i kontakt med och eventuellt inhämtar inform</w:t>
      </w:r>
      <w:r w:rsidRPr="00F5723F">
        <w:t>a</w:t>
      </w:r>
      <w:r w:rsidRPr="00F5723F">
        <w:t>tion från och låter sig påverkas av vilka medborg</w:t>
      </w:r>
      <w:r w:rsidRPr="00F5723F">
        <w:t>a</w:t>
      </w:r>
      <w:r w:rsidRPr="00F5723F">
        <w:t>re.</w:t>
      </w:r>
    </w:p>
    <w:p w:rsidR="00B43C57" w:rsidRPr="00F5723F" w:rsidRDefault="00B43C57">
      <w:pPr>
        <w:pStyle w:val="Normaltindrag"/>
      </w:pPr>
      <w:r w:rsidRPr="00F5723F">
        <w:t>När det gäller medborgarnas försök att påverka politikens utformning me</w:t>
      </w:r>
      <w:r w:rsidRPr="00F5723F">
        <w:t>l</w:t>
      </w:r>
      <w:r w:rsidRPr="00F5723F">
        <w:t>lan valen hand</w:t>
      </w:r>
      <w:r w:rsidRPr="00F5723F">
        <w:softHyphen/>
        <w:t>lar det om olika former av medborgerligt politiskt deltagande som till exempel partiaktiviteter, namninsamlingar, uppvaktningar, aktioner och demonstrationer. Vi är med andra ord inne på den politiska deltagand</w:t>
      </w:r>
      <w:r w:rsidRPr="00F5723F">
        <w:t>e</w:t>
      </w:r>
      <w:r w:rsidRPr="00F5723F">
        <w:t xml:space="preserve">forskningens domäner och vi hänvisar här i första hand till antologin </w:t>
      </w:r>
      <w:r w:rsidRPr="00F5723F">
        <w:rPr>
          <w:i/>
          <w:iCs/>
        </w:rPr>
        <w:t>Delt</w:t>
      </w:r>
      <w:r w:rsidRPr="00F5723F">
        <w:rPr>
          <w:i/>
          <w:iCs/>
        </w:rPr>
        <w:t>a</w:t>
      </w:r>
      <w:r w:rsidRPr="00F5723F">
        <w:rPr>
          <w:i/>
          <w:iCs/>
        </w:rPr>
        <w:t>gandets mekanismer</w:t>
      </w:r>
      <w:r w:rsidRPr="00F5723F">
        <w:t xml:space="preserve"> (Esaiasson &amp; Westholm 2006) och där omnämnd litter</w:t>
      </w:r>
      <w:r w:rsidRPr="00F5723F">
        <w:t>a</w:t>
      </w:r>
      <w:r w:rsidRPr="00F5723F">
        <w:t>tur. Det vi här kan skicka med som en fråga till den politiska delt</w:t>
      </w:r>
      <w:r w:rsidRPr="00F5723F">
        <w:t>a</w:t>
      </w:r>
      <w:r w:rsidRPr="00F5723F">
        <w:t>gan</w:t>
      </w:r>
      <w:r w:rsidRPr="00F5723F">
        <w:softHyphen/>
        <w:t>deforskningen är i vilken utsträckning som den typen av studier bruk</w:t>
      </w:r>
      <w:r w:rsidRPr="00F5723F">
        <w:t>ar pr</w:t>
      </w:r>
      <w:r w:rsidRPr="00F5723F">
        <w:t>o</w:t>
      </w:r>
      <w:r w:rsidRPr="00F5723F">
        <w:t>blema</w:t>
      </w:r>
      <w:r w:rsidRPr="00F5723F">
        <w:softHyphen/>
      </w:r>
      <w:r w:rsidRPr="00F5723F">
        <w:softHyphen/>
      </w:r>
      <w:r w:rsidRPr="00F5723F">
        <w:softHyphen/>
        <w:t>tisera påverkansförsökens adressat: I en flernivådemokrati med diff</w:t>
      </w:r>
      <w:r w:rsidRPr="00F5723F">
        <w:t>e</w:t>
      </w:r>
      <w:r w:rsidRPr="00F5723F">
        <w:t>rentierad och otyd</w:t>
      </w:r>
      <w:r w:rsidRPr="00F5723F">
        <w:softHyphen/>
      </w:r>
      <w:r w:rsidRPr="00F5723F">
        <w:softHyphen/>
      </w:r>
      <w:r w:rsidRPr="00F5723F">
        <w:softHyphen/>
        <w:t>lig ansvarsfördelning kan det vara relevant att studera s</w:t>
      </w:r>
      <w:r w:rsidRPr="00F5723F">
        <w:t>å</w:t>
      </w:r>
      <w:r w:rsidRPr="00F5723F">
        <w:t>dant som i vilken utsträck</w:t>
      </w:r>
      <w:r w:rsidRPr="00F5723F">
        <w:softHyphen/>
        <w:t>ning medborgarna känner till vem som fattar de politiska beslut som påverkansför</w:t>
      </w:r>
      <w:r w:rsidRPr="00F5723F">
        <w:softHyphen/>
        <w:t>söken avser, huruvida påverkansförsöken tydligt riktas mot just dessa beslutsfatta</w:t>
      </w:r>
      <w:r w:rsidRPr="00F5723F">
        <w:softHyphen/>
        <w:t>re och i vil</w:t>
      </w:r>
      <w:r w:rsidRPr="00F5723F">
        <w:softHyphen/>
        <w:t>ken utsträckning påve</w:t>
      </w:r>
      <w:r w:rsidRPr="00F5723F">
        <w:t>r</w:t>
      </w:r>
      <w:r w:rsidRPr="00F5723F">
        <w:t>kansförs</w:t>
      </w:r>
      <w:r w:rsidRPr="00F5723F">
        <w:t>ö</w:t>
      </w:r>
      <w:r w:rsidRPr="00F5723F">
        <w:t>ken upplevs nå fram, och faktiskt också når fram, till rätt adressat.</w:t>
      </w:r>
    </w:p>
    <w:p w:rsidR="00B43C57" w:rsidRPr="00F5723F" w:rsidRDefault="00B43C57">
      <w:pPr>
        <w:pStyle w:val="Normaltindrag"/>
      </w:pPr>
      <w:r w:rsidRPr="00F5723F">
        <w:t>När det gäller frågan om de förtroendevaldas k</w:t>
      </w:r>
      <w:r w:rsidRPr="00F5723F">
        <w:t>ontakter, informationsi</w:t>
      </w:r>
      <w:r w:rsidRPr="00F5723F">
        <w:t>n</w:t>
      </w:r>
      <w:r w:rsidRPr="00F5723F">
        <w:t>hämtning och öp</w:t>
      </w:r>
      <w:r w:rsidRPr="00F5723F">
        <w:softHyphen/>
        <w:t>penhet för p</w:t>
      </w:r>
      <w:r w:rsidRPr="00F5723F">
        <w:t>å</w:t>
      </w:r>
      <w:r w:rsidRPr="00F5723F">
        <w:t xml:space="preserve">verkan mellan valen har vi valt att hantera den som två olika frågor: dels frågan om vilka medborgare som representanterna </w:t>
      </w:r>
      <w:r w:rsidRPr="00F5723F">
        <w:rPr>
          <w:i/>
          <w:iCs/>
        </w:rPr>
        <w:t>faktiskt</w:t>
      </w:r>
      <w:r w:rsidRPr="00F5723F">
        <w:t xml:space="preserve"> kommer i kontakt och samt</w:t>
      </w:r>
      <w:r w:rsidRPr="00F5723F">
        <w:t>a</w:t>
      </w:r>
      <w:r w:rsidRPr="00F5723F">
        <w:t xml:space="preserve">lar med, dels frågan om vilka medborgare som representanterna anser att de i första hand </w:t>
      </w:r>
      <w:r w:rsidRPr="00F5723F">
        <w:rPr>
          <w:i/>
          <w:iCs/>
        </w:rPr>
        <w:t>bör</w:t>
      </w:r>
      <w:r w:rsidRPr="00F5723F">
        <w:t xml:space="preserve"> hålla kontakt och samtala med under mellanvalsperioderna. Svaret på den fö</w:t>
      </w:r>
      <w:r w:rsidRPr="00F5723F">
        <w:t>r</w:t>
      </w:r>
      <w:r w:rsidRPr="00F5723F">
        <w:t>sta frågan erhålls genom en kartläggning av kontaktmönstret mellan väljare och valda under mella</w:t>
      </w:r>
      <w:r w:rsidRPr="00F5723F">
        <w:t>n</w:t>
      </w:r>
      <w:r w:rsidRPr="00F5723F">
        <w:t>valsperioden. Svaret på den andra fr</w:t>
      </w:r>
      <w:r w:rsidRPr="00F5723F">
        <w:t>ågan säger förhoppningsvis någon</w:t>
      </w:r>
      <w:r w:rsidRPr="00F5723F">
        <w:softHyphen/>
        <w:t>ting om des</w:t>
      </w:r>
      <w:r w:rsidRPr="00F5723F">
        <w:softHyphen/>
        <w:t>sa kontakters eventuella effekter, om vi utgår från att representanterna främst låter sig påverkas av de medborgare som de anser att man bör hålla kontakt och samtala med mellan valen. Vilka medborgargrupper det här han</w:t>
      </w:r>
      <w:r w:rsidRPr="00F5723F">
        <w:t>d</w:t>
      </w:r>
      <w:r w:rsidRPr="00F5723F">
        <w:t>lar om kan hållas öppet för em</w:t>
      </w:r>
      <w:r w:rsidRPr="00F5723F">
        <w:softHyphen/>
        <w:t>pi</w:t>
      </w:r>
      <w:r w:rsidRPr="00F5723F">
        <w:softHyphen/>
        <w:t>risk prövning, men inkluderar rimligen s</w:t>
      </w:r>
      <w:r w:rsidRPr="00F5723F">
        <w:t>å</w:t>
      </w:r>
      <w:r w:rsidRPr="00F5723F">
        <w:t>dant som de egna parti</w:t>
      </w:r>
      <w:r w:rsidRPr="00F5723F">
        <w:softHyphen/>
        <w:t>medlem</w:t>
      </w:r>
      <w:r w:rsidRPr="00F5723F">
        <w:softHyphen/>
        <w:t>marna, medborgarna i den egna valkretsen, olika former av missnöjesyttring</w:t>
      </w:r>
      <w:r w:rsidRPr="00F5723F">
        <w:softHyphen/>
        <w:t>ar och särintressen samt, naturlig</w:t>
      </w:r>
      <w:r w:rsidRPr="00F5723F">
        <w:t>t</w:t>
      </w:r>
      <w:r w:rsidRPr="00F5723F">
        <w:t>vis, olika uttryck för hela folk</w:t>
      </w:r>
      <w:r w:rsidRPr="00F5723F">
        <w:t>ets vilja.</w:t>
      </w:r>
    </w:p>
    <w:p w:rsidR="00B43C57" w:rsidRPr="00F5723F" w:rsidRDefault="00B43C57">
      <w:pPr>
        <w:pStyle w:val="Rubrik3"/>
        <w:rPr>
          <w:noProof w:val="0"/>
        </w:rPr>
      </w:pPr>
      <w:bookmarkStart w:id="304" w:name="_Toc124697880"/>
      <w:r w:rsidRPr="00F5723F">
        <w:rPr>
          <w:noProof w:val="0"/>
        </w:rPr>
        <w:t>Kontakter före eller efter beslut?</w:t>
      </w:r>
      <w:bookmarkEnd w:id="304"/>
    </w:p>
    <w:p w:rsidR="00B43C57" w:rsidRPr="00F5723F" w:rsidRDefault="00B43C57">
      <w:r w:rsidRPr="00F5723F">
        <w:t>De olika aktiviteterna i en mellanvalsdemokrati kan också preciseras med avseende på när i beslutsprocessen kontakterna och informationsöverförin</w:t>
      </w:r>
      <w:r w:rsidRPr="00F5723F">
        <w:t>g</w:t>
      </w:r>
      <w:r w:rsidRPr="00F5723F">
        <w:t>en mellan medborga</w:t>
      </w:r>
      <w:r w:rsidRPr="00F5723F">
        <w:softHyphen/>
        <w:t>re och representanter äger rum. När det gäller mellanval</w:t>
      </w:r>
      <w:r w:rsidRPr="00F5723F">
        <w:t>s</w:t>
      </w:r>
      <w:r w:rsidRPr="00F5723F">
        <w:t>demokrati i ett underifrån</w:t>
      </w:r>
      <w:r w:rsidRPr="00F5723F">
        <w:softHyphen/>
        <w:t>perspektiv tänker vi nog i första hand på medborg</w:t>
      </w:r>
      <w:r w:rsidRPr="00F5723F">
        <w:t>a</w:t>
      </w:r>
      <w:r w:rsidRPr="00F5723F">
        <w:t>re som genom olika former av opi</w:t>
      </w:r>
      <w:r w:rsidRPr="00F5723F">
        <w:softHyphen/>
        <w:t>ni</w:t>
      </w:r>
      <w:r w:rsidRPr="00F5723F">
        <w:softHyphen/>
        <w:t>onsbildning – kontakter, demonstr</w:t>
      </w:r>
      <w:r w:rsidRPr="00F5723F">
        <w:t>a</w:t>
      </w:r>
      <w:r w:rsidRPr="00F5723F">
        <w:t>tioner, insändare med mera – försöker påverka be</w:t>
      </w:r>
      <w:r w:rsidRPr="00F5723F">
        <w:softHyphen/>
        <w:t>sluts</w:t>
      </w:r>
      <w:r w:rsidRPr="00F5723F">
        <w:softHyphen/>
        <w:t>fattarna inför ett politiskt avgörande. Men så enkelt är det naturligtvis inte, efter</w:t>
      </w:r>
      <w:r w:rsidRPr="00F5723F">
        <w:softHyphen/>
        <w:t>som medborgerligt politiskt deltagande även tar sig uttryck i olika former av protester mot redan fattade beslut. En av slutsatserna om det politis</w:t>
      </w:r>
      <w:r w:rsidRPr="00F5723F">
        <w:t>ka deltagandet som drogs i den nyligen avslutade danska makt</w:t>
      </w:r>
      <w:r w:rsidRPr="00F5723F">
        <w:softHyphen/>
        <w:t>ut</w:t>
      </w:r>
      <w:r w:rsidRPr="00F5723F">
        <w:softHyphen/>
        <w:t>redningen var att det har skett en förändring i just den riktningen – det vill säga ”från handlingar som riktar sig mot de politiska besluten, till handlingar som riktar sig mot deras praktiska genomf</w:t>
      </w:r>
      <w:r w:rsidRPr="00F5723F">
        <w:t>ö</w:t>
      </w:r>
      <w:r w:rsidRPr="00F5723F">
        <w:t>rande” (Tog</w:t>
      </w:r>
      <w:r w:rsidRPr="00F5723F">
        <w:t>e</w:t>
      </w:r>
      <w:r w:rsidRPr="00F5723F">
        <w:t>by m.fl. 2003:66).</w:t>
      </w:r>
    </w:p>
    <w:p w:rsidR="00B43C57" w:rsidRPr="00F5723F" w:rsidRDefault="00B43C57">
      <w:pPr>
        <w:pStyle w:val="Normaltindrag"/>
      </w:pPr>
      <w:r w:rsidRPr="00F5723F">
        <w:t>Samma precisering med avseende på tidpunkt i beslutsprocessen kan göras när det gäller kontakter och informationsinhämtning som initieras av de pol</w:t>
      </w:r>
      <w:r w:rsidRPr="00F5723F">
        <w:t>i</w:t>
      </w:r>
      <w:r w:rsidRPr="00F5723F">
        <w:t>tiska representanter</w:t>
      </w:r>
      <w:r w:rsidRPr="00F5723F">
        <w:softHyphen/>
        <w:t>na. Om kontakterna tas efter ett beslut handlar det uppe</w:t>
      </w:r>
      <w:r w:rsidRPr="00F5723F">
        <w:t>n</w:t>
      </w:r>
      <w:r w:rsidRPr="00F5723F">
        <w:t>barligen inte om informa</w:t>
      </w:r>
      <w:r w:rsidRPr="00F5723F">
        <w:softHyphen/>
        <w:t>tionsi</w:t>
      </w:r>
      <w:r w:rsidRPr="00F5723F">
        <w:t>n</w:t>
      </w:r>
      <w:r w:rsidRPr="00F5723F">
        <w:t>hämt</w:t>
      </w:r>
      <w:r w:rsidRPr="00F5723F">
        <w:softHyphen/>
        <w:t>ning eller om att ta intryck och låta sig påverkas utan enbart om att infor</w:t>
      </w:r>
      <w:r w:rsidRPr="00F5723F">
        <w:softHyphen/>
        <w:t>me</w:t>
      </w:r>
      <w:r w:rsidRPr="00F5723F">
        <w:softHyphen/>
        <w:t>ra medborgarna om vilket beslut som har fattats. Om kontakterna däremot sker före b</w:t>
      </w:r>
      <w:r w:rsidRPr="00F5723F">
        <w:t>e</w:t>
      </w:r>
      <w:r w:rsidRPr="00F5723F">
        <w:t>slut är det rimligt att tänka sig att ju tidigare i processen som kontakterna tas, desto mer sannolikt borde det vara att me</w:t>
      </w:r>
      <w:r w:rsidRPr="00F5723F">
        <w:t>d</w:t>
      </w:r>
      <w:r w:rsidRPr="00F5723F">
        <w:t>borgarnas information och önskemål kommer att finnas med på bordet när beslutet väl skall fattas.</w:t>
      </w:r>
    </w:p>
    <w:p w:rsidR="00B43C57" w:rsidRPr="00F5723F" w:rsidRDefault="00B43C57">
      <w:pPr>
        <w:pStyle w:val="Rubrik3"/>
        <w:rPr>
          <w:noProof w:val="0"/>
        </w:rPr>
      </w:pPr>
      <w:bookmarkStart w:id="305" w:name="_Toc124697881"/>
      <w:r w:rsidRPr="00F5723F">
        <w:rPr>
          <w:noProof w:val="0"/>
        </w:rPr>
        <w:t>Direkta el</w:t>
      </w:r>
      <w:r w:rsidRPr="00F5723F">
        <w:rPr>
          <w:noProof w:val="0"/>
        </w:rPr>
        <w:t>ler indirekta kontakter?</w:t>
      </w:r>
      <w:bookmarkEnd w:id="305"/>
    </w:p>
    <w:p w:rsidR="00B43C57" w:rsidRPr="00F5723F" w:rsidRDefault="00B43C57">
      <w:r w:rsidRPr="00F5723F">
        <w:t>En annan relevant distinktion när det gäller att kartlägga de olika aktiviteterna i en me</w:t>
      </w:r>
      <w:r w:rsidRPr="00F5723F">
        <w:t>l</w:t>
      </w:r>
      <w:r w:rsidRPr="00F5723F">
        <w:t>lanvalsdemokrati är den mellan di</w:t>
      </w:r>
      <w:r w:rsidRPr="00F5723F">
        <w:softHyphen/>
        <w:t>rekta och indirekta kontakter mellan medborgare och representanter. Handlar det om personliga m</w:t>
      </w:r>
      <w:r w:rsidRPr="00F5723F">
        <w:t>ö</w:t>
      </w:r>
      <w:r w:rsidRPr="00F5723F">
        <w:t>ten och samtal eller hand</w:t>
      </w:r>
      <w:r w:rsidRPr="00F5723F">
        <w:softHyphen/>
        <w:t>lar det framförallt om me</w:t>
      </w:r>
      <w:r w:rsidRPr="00F5723F">
        <w:softHyphen/>
        <w:t>diebilder och op</w:t>
      </w:r>
      <w:r w:rsidRPr="00F5723F">
        <w:t>i</w:t>
      </w:r>
      <w:r w:rsidRPr="00F5723F">
        <w:t xml:space="preserve">nionsmätningar? </w:t>
      </w:r>
    </w:p>
    <w:p w:rsidR="00B43C57" w:rsidRPr="00F5723F" w:rsidRDefault="00B43C57">
      <w:pPr>
        <w:pStyle w:val="Normaltindrag"/>
      </w:pPr>
      <w:r w:rsidRPr="00F5723F">
        <w:t>När det gäller medborgerligt politiskt deltagande är vissa typer av påve</w:t>
      </w:r>
      <w:r w:rsidRPr="00F5723F">
        <w:t>r</w:t>
      </w:r>
      <w:r w:rsidRPr="00F5723F">
        <w:t>kansförsök ofta enkla att klassificera som direkta eller indirekta. Till de dire</w:t>
      </w:r>
      <w:r w:rsidRPr="00F5723F">
        <w:t>k</w:t>
      </w:r>
      <w:r w:rsidRPr="00F5723F">
        <w:t>ta påverkan</w:t>
      </w:r>
      <w:r w:rsidRPr="00F5723F">
        <w:t>s</w:t>
      </w:r>
      <w:r w:rsidRPr="00F5723F">
        <w:t>försöken hör då sådant som telefonsamtal, uppvaktningar och partimöten, medan de indirekta försöken sker via massmedier i form av i</w:t>
      </w:r>
      <w:r w:rsidRPr="00F5723F">
        <w:t>n</w:t>
      </w:r>
      <w:r w:rsidRPr="00F5723F">
        <w:t>sändare, debattartiklar och annonser. Andra fo</w:t>
      </w:r>
      <w:r w:rsidRPr="00F5723F">
        <w:t>r</w:t>
      </w:r>
      <w:r w:rsidRPr="00F5723F">
        <w:t>mer av politiskt deltagande kan däremot vara svårare att klassificera eftersom de är direkta och indirekta på en och samma gång, eller ibland direkta och ibland indirekta. Hit hör till exempel olika former av demonstrationer och protestakt</w:t>
      </w:r>
      <w:r w:rsidRPr="00F5723F">
        <w:t>ioner som sker fra</w:t>
      </w:r>
      <w:r w:rsidRPr="00F5723F">
        <w:t>m</w:t>
      </w:r>
      <w:r w:rsidRPr="00F5723F">
        <w:t>för ögonen på representanterna och/eller som representa</w:t>
      </w:r>
      <w:r w:rsidRPr="00F5723F">
        <w:t>n</w:t>
      </w:r>
      <w:r w:rsidRPr="00F5723F">
        <w:t>terna får sig till livs via tv, r</w:t>
      </w:r>
      <w:r w:rsidRPr="00F5723F">
        <w:t>a</w:t>
      </w:r>
      <w:r w:rsidRPr="00F5723F">
        <w:t>dio och tidningar.</w:t>
      </w:r>
    </w:p>
    <w:p w:rsidR="00B43C57" w:rsidRPr="00F5723F" w:rsidRDefault="00B43C57">
      <w:pPr>
        <w:pStyle w:val="Normaltindrag"/>
      </w:pPr>
      <w:r w:rsidRPr="00F5723F">
        <w:t>Den kanske mest intressanta frågan i det här sammanhanget är dock hur representanterna väljer att agera när de</w:t>
      </w:r>
      <w:r w:rsidRPr="00F5723F">
        <w:t xml:space="preserve"> vill hämta in beslutsrelevant inform</w:t>
      </w:r>
      <w:r w:rsidRPr="00F5723F">
        <w:t>a</w:t>
      </w:r>
      <w:r w:rsidRPr="00F5723F">
        <w:t>tion från medborgarna respektive när de vill skaffa sig en bild av olika me</w:t>
      </w:r>
      <w:r w:rsidRPr="00F5723F">
        <w:t>d</w:t>
      </w:r>
      <w:r w:rsidRPr="00F5723F">
        <w:t>borgaropinioner eller av hela fo</w:t>
      </w:r>
      <w:r w:rsidRPr="00F5723F">
        <w:t>l</w:t>
      </w:r>
      <w:r w:rsidRPr="00F5723F">
        <w:t>kets vilja inför ett politiskt beslut. Även här finns det både direkta och indi</w:t>
      </w:r>
      <w:r w:rsidRPr="00F5723F">
        <w:softHyphen/>
        <w:t>rek</w:t>
      </w:r>
      <w:r w:rsidRPr="00F5723F">
        <w:softHyphen/>
        <w:t>ta möjlig</w:t>
      </w:r>
      <w:r w:rsidRPr="00F5723F">
        <w:softHyphen/>
        <w:t>heter, och ett rimligt antagande är att direkta kontakter är vanligare när det gäl</w:t>
      </w:r>
      <w:r w:rsidRPr="00F5723F">
        <w:softHyphen/>
        <w:t>ler avgränsade och ”närstående” medborgargrupper, medan behovet av indi</w:t>
      </w:r>
      <w:r w:rsidRPr="00F5723F">
        <w:softHyphen/>
        <w:t>rek</w:t>
      </w:r>
      <w:r w:rsidRPr="00F5723F">
        <w:softHyphen/>
        <w:t>ta kon</w:t>
      </w:r>
      <w:r w:rsidRPr="00F5723F">
        <w:softHyphen/>
        <w:t>tak</w:t>
      </w:r>
      <w:r w:rsidRPr="00F5723F">
        <w:softHyphen/>
        <w:t>ter växer med storl</w:t>
      </w:r>
      <w:r w:rsidRPr="00F5723F">
        <w:t>e</w:t>
      </w:r>
      <w:r w:rsidRPr="00F5723F">
        <w:t>ken på och avstå</w:t>
      </w:r>
      <w:r w:rsidRPr="00F5723F">
        <w:t>n</w:t>
      </w:r>
      <w:r w:rsidRPr="00F5723F">
        <w:t xml:space="preserve">det till den aktuella gruppen. </w:t>
      </w:r>
    </w:p>
    <w:p w:rsidR="00B43C57" w:rsidRPr="00F5723F" w:rsidRDefault="00B43C57">
      <w:pPr>
        <w:pStyle w:val="Rubrik3"/>
        <w:rPr>
          <w:noProof w:val="0"/>
        </w:rPr>
      </w:pPr>
      <w:bookmarkStart w:id="306" w:name="_Toc124697882"/>
      <w:r w:rsidRPr="00F5723F">
        <w:rPr>
          <w:noProof w:val="0"/>
        </w:rPr>
        <w:t>Vad handlar kontakterna om?</w:t>
      </w:r>
      <w:bookmarkEnd w:id="306"/>
    </w:p>
    <w:p w:rsidR="00B43C57" w:rsidRPr="00F5723F" w:rsidRDefault="00B43C57">
      <w:r w:rsidRPr="00F5723F">
        <w:t>Den viktigaste frågan vid preciseringen av begreppet mellanvalsdemokrati handlar rimli</w:t>
      </w:r>
      <w:r w:rsidRPr="00F5723F">
        <w:softHyphen/>
        <w:t>gen om innehållet i kontakterna mellan medborgare och repr</w:t>
      </w:r>
      <w:r w:rsidRPr="00F5723F">
        <w:t>e</w:t>
      </w:r>
      <w:r w:rsidRPr="00F5723F">
        <w:t>sentanter. Sett i ett und</w:t>
      </w:r>
      <w:r w:rsidRPr="00F5723F">
        <w:t>e</w:t>
      </w:r>
      <w:r w:rsidRPr="00F5723F">
        <w:t>rifrånperspektiv har de med</w:t>
      </w:r>
      <w:r w:rsidRPr="00F5723F">
        <w:softHyphen/>
      </w:r>
      <w:r w:rsidRPr="00F5723F">
        <w:softHyphen/>
        <w:t>bor</w:t>
      </w:r>
      <w:r w:rsidRPr="00F5723F">
        <w:softHyphen/>
      </w:r>
      <w:r w:rsidRPr="00F5723F">
        <w:softHyphen/>
      </w:r>
      <w:r w:rsidRPr="00F5723F">
        <w:softHyphen/>
        <w:t>gare som på olika sätt försöker påverka politikens ut</w:t>
      </w:r>
      <w:r w:rsidRPr="00F5723F">
        <w:softHyphen/>
        <w:t>form</w:t>
      </w:r>
      <w:r w:rsidRPr="00F5723F">
        <w:softHyphen/>
        <w:t>ning mellan valen två fullt förenliga strat</w:t>
      </w:r>
      <w:r w:rsidRPr="00F5723F">
        <w:t>e</w:t>
      </w:r>
      <w:r w:rsidRPr="00F5723F">
        <w:t>gier till sitt förfogande: att föra fram argument i sak</w:t>
      </w:r>
      <w:r w:rsidRPr="00F5723F">
        <w:softHyphen/>
        <w:t>frå</w:t>
      </w:r>
      <w:r w:rsidRPr="00F5723F">
        <w:softHyphen/>
        <w:t>gan som talar till fördel för ett visst beslut och att uppmärksamma representa</w:t>
      </w:r>
      <w:r w:rsidRPr="00F5723F">
        <w:t>n</w:t>
      </w:r>
      <w:r w:rsidRPr="00F5723F">
        <w:t>terna på vad som kan vara medborgarmajoritetens önskemål i frågan eller åtmin</w:t>
      </w:r>
      <w:r w:rsidRPr="00F5723F">
        <w:softHyphen/>
        <w:t>sto</w:t>
      </w:r>
      <w:r w:rsidRPr="00F5723F">
        <w:softHyphen/>
        <w:t>ne önske</w:t>
      </w:r>
      <w:r w:rsidRPr="00F5723F">
        <w:softHyphen/>
        <w:t>målet från majorit</w:t>
      </w:r>
      <w:r w:rsidRPr="00F5723F">
        <w:t>e</w:t>
      </w:r>
      <w:r w:rsidRPr="00F5723F">
        <w:t>ten bland dem som uppfattar sig som ”be</w:t>
      </w:r>
      <w:r w:rsidRPr="00F5723F">
        <w:t>rörda” av det aktuella beslu</w:t>
      </w:r>
      <w:r w:rsidRPr="00F5723F">
        <w:softHyphen/>
        <w:t>tet. Om det uppenbart handlar om ett m</w:t>
      </w:r>
      <w:r w:rsidRPr="00F5723F">
        <w:t>i</w:t>
      </w:r>
      <w:r w:rsidRPr="00F5723F">
        <w:t>noritetsintresse som vill någon</w:t>
      </w:r>
      <w:r w:rsidRPr="00F5723F">
        <w:softHyphen/>
        <w:t>ting annat än ma</w:t>
      </w:r>
      <w:r w:rsidRPr="00F5723F">
        <w:softHyphen/>
        <w:t>jo</w:t>
      </w:r>
      <w:r w:rsidRPr="00F5723F">
        <w:softHyphen/>
        <w:t>riteten borde det i första hand handla om påtryckningar med hjälp av sakargumentation. Om det däremot kan göras troligt att repr</w:t>
      </w:r>
      <w:r w:rsidRPr="00F5723F">
        <w:t>e</w:t>
      </w:r>
      <w:r w:rsidRPr="00F5723F">
        <w:t>sentanterna är på väg att gå emot någon form av folk</w:t>
      </w:r>
      <w:r w:rsidRPr="00F5723F">
        <w:softHyphen/>
        <w:t>lig opinion, och kanske i synnerhet om argumenten i sakfrågan redan har varit föremål för om</w:t>
      </w:r>
      <w:r w:rsidRPr="00F5723F">
        <w:softHyphen/>
        <w:t>fat</w:t>
      </w:r>
      <w:r w:rsidRPr="00F5723F">
        <w:softHyphen/>
        <w:t>tan</w:t>
      </w:r>
      <w:r w:rsidRPr="00F5723F">
        <w:softHyphen/>
        <w:t>de dis</w:t>
      </w:r>
      <w:r w:rsidRPr="00F5723F">
        <w:softHyphen/>
        <w:t>kussion och debatt, ligger förmodli</w:t>
      </w:r>
      <w:r w:rsidRPr="00F5723F">
        <w:softHyphen/>
        <w:t>gen påve</w:t>
      </w:r>
      <w:r w:rsidRPr="00F5723F">
        <w:t>r</w:t>
      </w:r>
      <w:r w:rsidRPr="00F5723F">
        <w:t>kan utifrån majo</w:t>
      </w:r>
      <w:r w:rsidRPr="00F5723F">
        <w:softHyphen/>
        <w:t>ritets</w:t>
      </w:r>
      <w:r w:rsidRPr="00F5723F">
        <w:softHyphen/>
        <w:t>argumentet närmare till hands.</w:t>
      </w:r>
    </w:p>
    <w:p w:rsidR="00B43C57" w:rsidRPr="00F5723F" w:rsidRDefault="00B43C57">
      <w:pPr>
        <w:pStyle w:val="Normaltindrag"/>
      </w:pPr>
      <w:r w:rsidRPr="00F5723F">
        <w:t>Nä</w:t>
      </w:r>
      <w:r w:rsidRPr="00F5723F">
        <w:t>r vi istället väljer att studera mellanvalsdemokratin i ett ovanifrånper</w:t>
      </w:r>
      <w:r w:rsidRPr="00F5723F">
        <w:t>s</w:t>
      </w:r>
      <w:r w:rsidRPr="00F5723F">
        <w:t>pektiv handlar den innehållsliga frågan om huruvida representanternas avsikt med medborgarkontakterna är att informera och påverka medbo</w:t>
      </w:r>
      <w:r w:rsidRPr="00F5723F">
        <w:t>r</w:t>
      </w:r>
      <w:r w:rsidRPr="00F5723F">
        <w:t>garna, om att låta sig informeras och påverkas av medbor</w:t>
      </w:r>
      <w:r w:rsidRPr="00F5723F">
        <w:softHyphen/>
        <w:t>garna, eller om bådadera.</w:t>
      </w:r>
      <w:r w:rsidRPr="00F5723F">
        <w:rPr>
          <w:rStyle w:val="Fotnotsreferens"/>
        </w:rPr>
        <w:footnoteReference w:id="143"/>
      </w:r>
      <w:r w:rsidRPr="00F5723F">
        <w:t xml:space="preserve"> I den utsträckning det handlar om att låta sig informeras och påverkas handlar det därefter om den ovan gjorda distinktionen mellan sakargumentation och m</w:t>
      </w:r>
      <w:r w:rsidRPr="00F5723F">
        <w:t>a</w:t>
      </w:r>
      <w:r w:rsidRPr="00F5723F">
        <w:t>joritetsargumentation, det vill säga om att lyssna till medborgarnas argume</w:t>
      </w:r>
      <w:r w:rsidRPr="00F5723F">
        <w:t>n</w:t>
      </w:r>
      <w:r w:rsidRPr="00F5723F">
        <w:t>tation i sak eller om att skaffa sig en uppfattning om det rådande opinionsl</w:t>
      </w:r>
      <w:r w:rsidRPr="00F5723F">
        <w:t>ä</w:t>
      </w:r>
      <w:r w:rsidRPr="00F5723F">
        <w:t>get. Den ”tiotusen</w:t>
      </w:r>
      <w:r w:rsidRPr="00F5723F">
        <w:softHyphen/>
        <w:t>kro</w:t>
      </w:r>
      <w:r w:rsidRPr="00F5723F">
        <w:softHyphen/>
        <w:t>nors</w:t>
      </w:r>
      <w:r w:rsidRPr="00F5723F">
        <w:softHyphen/>
        <w:t>fråga” som här gör sig påmind är vad det överh</w:t>
      </w:r>
      <w:r w:rsidRPr="00F5723F">
        <w:t>u</w:t>
      </w:r>
      <w:r w:rsidRPr="00F5723F">
        <w:t>vudtaget finns för motiv bakom de medborgarkontakter som de förtroend</w:t>
      </w:r>
      <w:r w:rsidRPr="00F5723F">
        <w:t>e</w:t>
      </w:r>
      <w:r w:rsidRPr="00F5723F">
        <w:t>valda själva tar initiativ till eller åtminstone har en po</w:t>
      </w:r>
      <w:r w:rsidRPr="00F5723F">
        <w:t>sitiv inställ</w:t>
      </w:r>
      <w:r w:rsidRPr="00F5723F">
        <w:softHyphen/>
        <w:t>ning till. I det sammanhanget är det svårt att bortse från det public-choice-inspirerade mot</w:t>
      </w:r>
      <w:r w:rsidRPr="00F5723F">
        <w:t>i</w:t>
      </w:r>
      <w:r w:rsidRPr="00F5723F">
        <w:t>vet att bli återvald i nästa val.</w:t>
      </w:r>
      <w:r w:rsidRPr="00F5723F">
        <w:rPr>
          <w:rStyle w:val="Fotnotsreferens"/>
        </w:rPr>
        <w:footnoteReference w:id="144"/>
      </w:r>
      <w:r w:rsidRPr="00F5723F">
        <w:t xml:space="preserve"> Men motivbilden kan förstås även rymma normer och värderingar som handlar om att de politiska besluten blir mer för</w:t>
      </w:r>
      <w:r w:rsidRPr="00F5723F">
        <w:softHyphen/>
        <w:t>nuftiga och mer demokr</w:t>
      </w:r>
      <w:r w:rsidRPr="00F5723F">
        <w:t>a</w:t>
      </w:r>
      <w:r w:rsidRPr="00F5723F">
        <w:t>tiska när medborgarinformation och medborgar</w:t>
      </w:r>
      <w:r w:rsidRPr="00F5723F">
        <w:softHyphen/>
        <w:t>opinioner vägs in i pr</w:t>
      </w:r>
      <w:r w:rsidRPr="00F5723F">
        <w:t>o</w:t>
      </w:r>
      <w:r w:rsidRPr="00F5723F">
        <w:t>cessen.</w:t>
      </w:r>
    </w:p>
    <w:p w:rsidR="00B43C57" w:rsidRPr="00F5723F" w:rsidRDefault="00B43C57">
      <w:pPr>
        <w:pStyle w:val="Rubrik2"/>
      </w:pPr>
      <w:bookmarkStart w:id="307" w:name="_Toc124697883"/>
      <w:r w:rsidRPr="00F5723F">
        <w:t>Riksdagsledamöterna i mellanvalsdemokratin</w:t>
      </w:r>
      <w:bookmarkEnd w:id="307"/>
    </w:p>
    <w:p w:rsidR="00B43C57" w:rsidRPr="00F5723F" w:rsidRDefault="00B43C57">
      <w:r w:rsidRPr="00F5723F">
        <w:t>Det har nu blivit dags att ta steget ut i verkligheten och försöka säga någo</w:t>
      </w:r>
      <w:r w:rsidRPr="00F5723F">
        <w:t>n</w:t>
      </w:r>
      <w:r w:rsidRPr="00F5723F">
        <w:t>ting om reellt existerande mella</w:t>
      </w:r>
      <w:r w:rsidRPr="00F5723F">
        <w:t>n</w:t>
      </w:r>
      <w:r w:rsidRPr="00F5723F">
        <w:t>valsdemokratier med fokus på Sverige och de svenska riksdagsledamöterna. Vi begränsar oss med andra ord till en fal</w:t>
      </w:r>
      <w:r w:rsidRPr="00F5723F">
        <w:t>l</w:t>
      </w:r>
      <w:r w:rsidRPr="00F5723F">
        <w:t>studie av nationell svensk mellanvalsdemokrati sedd i ett ovanifrånperspe</w:t>
      </w:r>
      <w:r w:rsidRPr="00F5723F">
        <w:t>k</w:t>
      </w:r>
      <w:r w:rsidRPr="00F5723F">
        <w:t>tiv.</w:t>
      </w:r>
      <w:r w:rsidRPr="00F5723F">
        <w:rPr>
          <w:rStyle w:val="Fotnotsreferens"/>
        </w:rPr>
        <w:footnoteReference w:id="145"/>
      </w:r>
      <w:r w:rsidRPr="00F5723F">
        <w:t xml:space="preserve"> Det empiriska materialet hämtas i första hand från en enkätundersö</w:t>
      </w:r>
      <w:r w:rsidRPr="00F5723F">
        <w:t>k</w:t>
      </w:r>
      <w:r w:rsidRPr="00F5723F">
        <w:t>ning med riksdagens ledamöter som Riksdagskommittén lät genomföra under första halvåret 2004. De riksdagsstudier som tidigare har geno</w:t>
      </w:r>
      <w:r w:rsidRPr="00F5723F">
        <w:t>m</w:t>
      </w:r>
      <w:r w:rsidRPr="00F5723F">
        <w:t>förts inom ramen för det svenska Valforskningsprogrammet innebär dock att vi även har möjlighet att göra jämförelser drygt 35 år bakåt i tiden.</w:t>
      </w:r>
      <w:r w:rsidRPr="00F5723F">
        <w:rPr>
          <w:rStyle w:val="Fotnotsreferens"/>
        </w:rPr>
        <w:footnoteReference w:id="146"/>
      </w:r>
    </w:p>
    <w:p w:rsidR="00B43C57" w:rsidRPr="00F5723F" w:rsidRDefault="00B43C57">
      <w:pPr>
        <w:pStyle w:val="Normaltindrag"/>
      </w:pPr>
      <w:r w:rsidRPr="00F5723F">
        <w:t>Vår studie av svensk mellanvalsdemokrati i ett ovanifrånperspektiv har t</w:t>
      </w:r>
      <w:r w:rsidRPr="00F5723F">
        <w:t>a</w:t>
      </w:r>
      <w:r w:rsidRPr="00F5723F">
        <w:t>git utgångspunkt i de två statsvetenskapliga subdisciplinerna parlament</w:t>
      </w:r>
      <w:r w:rsidRPr="00F5723F">
        <w:t>s</w:t>
      </w:r>
      <w:r w:rsidRPr="00F5723F">
        <w:t>forskning och representationsforskning (se till exempel Loewenberg m.fl., red. 1985, Bogdanor, red. 1985 och Searing 1994 respektive Eulau m.fl. 1959, Wahlke 1962, Miller &amp; Stokes 1963 och Converse &amp; Pierce 1986). I Sverige finns inte samma tydliga uppdelning mellan dessa båda subdiscipliner, men även här har vi profiterat på och inspirerats av de mest centrala verken på området (framför allt Holmberg 1974, Holmberg &amp; Esaiasson 1988, E</w:t>
      </w:r>
      <w:r w:rsidRPr="00F5723F">
        <w:t>saia</w:t>
      </w:r>
      <w:r w:rsidRPr="00F5723F">
        <w:t>s</w:t>
      </w:r>
      <w:r w:rsidRPr="00F5723F">
        <w:t xml:space="preserve">son &amp; Holmberg 1996 och Esaiasson &amp; Heidar, red. 2000). </w:t>
      </w:r>
    </w:p>
    <w:p w:rsidR="00B43C57" w:rsidRPr="00F5723F" w:rsidRDefault="00B43C57">
      <w:pPr>
        <w:pStyle w:val="Normaltindrag"/>
      </w:pPr>
      <w:r w:rsidRPr="00F5723F">
        <w:t xml:space="preserve">Med Richard Fennos banbrytande studie </w:t>
      </w:r>
      <w:r w:rsidRPr="00F5723F">
        <w:rPr>
          <w:i/>
        </w:rPr>
        <w:t>Home Style</w:t>
      </w:r>
      <w:r w:rsidRPr="00F5723F">
        <w:t xml:space="preserve"> (1978) vidgades pa</w:t>
      </w:r>
      <w:r w:rsidRPr="00F5723F">
        <w:t>r</w:t>
      </w:r>
      <w:r w:rsidRPr="00F5723F">
        <w:t>lamentsforskningens intresse för l</w:t>
      </w:r>
      <w:r w:rsidRPr="00F5723F">
        <w:t>e</w:t>
      </w:r>
      <w:r w:rsidRPr="00F5723F">
        <w:t>damöternas aktiviteter i parlamentet och i förhållande till andra centrala politiska aktörer till att också omfatta aktivit</w:t>
      </w:r>
      <w:r w:rsidRPr="00F5723F">
        <w:t>e</w:t>
      </w:r>
      <w:r w:rsidRPr="00F5723F">
        <w:t>terna i hemvalkretsen. Fennos st</w:t>
      </w:r>
      <w:r w:rsidRPr="00F5723F">
        <w:t>u</w:t>
      </w:r>
      <w:r w:rsidRPr="00F5723F">
        <w:t>die och dess efterföljare (till exempel Smith 2003) har i stor utsträckning valt att lägga fokus på vilka typer av aktiviteter som parlamentarikerna ägnar sig åt i valkretsen och vilka konsekvenser för ett eventuellt omval som dessa aktiviteter kan få. En studie av mellanvalsdem</w:t>
      </w:r>
      <w:r w:rsidRPr="00F5723F">
        <w:t>o</w:t>
      </w:r>
      <w:r w:rsidRPr="00F5723F">
        <w:t>krati i et</w:t>
      </w:r>
      <w:r w:rsidRPr="00F5723F">
        <w:t>t ovanifrånperspektiv innebär att även dessa aktiviteter i hemvalkre</w:t>
      </w:r>
      <w:r w:rsidRPr="00F5723F">
        <w:t>t</w:t>
      </w:r>
      <w:r w:rsidRPr="00F5723F">
        <w:t>sarna skall kartläggas, och i det sammanhanget har Home Style-perspektivet kommit väl till pass.</w:t>
      </w:r>
    </w:p>
    <w:p w:rsidR="00B43C57" w:rsidRPr="00F5723F" w:rsidRDefault="00B43C57">
      <w:pPr>
        <w:pStyle w:val="Normaltindrag"/>
      </w:pPr>
      <w:r w:rsidRPr="00F5723F">
        <w:t>Tre frågor kommer att vara styrande för den följande redovisningen. Den första frågan är hämtad från representationsforskningen och handlar om rik</w:t>
      </w:r>
      <w:r w:rsidRPr="00F5723F">
        <w:t>s</w:t>
      </w:r>
      <w:r w:rsidRPr="00F5723F">
        <w:t>dagsledamöternas syn på vad man som vald representant bör ägna sig åt under mellanvalsperioderna och vilka väljargrupper det är viktigt att representera. Fråga nummer två kommer från parlamentsforskningen och gäller riksdagsl</w:t>
      </w:r>
      <w:r w:rsidRPr="00F5723F">
        <w:t>e</w:t>
      </w:r>
      <w:r w:rsidRPr="00F5723F">
        <w:t>damöternas faktiska kontakter med olika väljargrupper och med andra politi</w:t>
      </w:r>
      <w:r w:rsidRPr="00F5723F">
        <w:t>s</w:t>
      </w:r>
      <w:r w:rsidRPr="00F5723F">
        <w:t>ka aktörer. Den tredje och sista frågan är inspirerad av Home Style-traditionen och fokuserar främst på riksdagsledamöternas kontakter med den egna va</w:t>
      </w:r>
      <w:r w:rsidRPr="00F5723F">
        <w:t>l</w:t>
      </w:r>
      <w:r w:rsidRPr="00F5723F">
        <w:t>kretsen. Till skillnad från Fenno med efterföljare är vi do</w:t>
      </w:r>
      <w:r w:rsidRPr="00F5723F">
        <w:t>ck mindre intresserade av fr</w:t>
      </w:r>
      <w:r w:rsidRPr="00F5723F">
        <w:t>e</w:t>
      </w:r>
      <w:r w:rsidRPr="00F5723F">
        <w:t>kvenserna av olika valkretsaktiviteter och mer intresserade av innehållet och informationsöverföringen inom ramen för dessa kontakter och vad riksdagsledamöterna anser vara viktigt i mötet med väljarna.</w:t>
      </w:r>
    </w:p>
    <w:p w:rsidR="00B43C57" w:rsidRPr="00F5723F" w:rsidRDefault="00B43C57">
      <w:pPr>
        <w:pStyle w:val="Rubrik2"/>
      </w:pPr>
      <w:bookmarkStart w:id="308" w:name="_Toc124697884"/>
      <w:r w:rsidRPr="00F5723F">
        <w:t>Den goda representationen</w:t>
      </w:r>
      <w:bookmarkEnd w:id="308"/>
    </w:p>
    <w:p w:rsidR="00B43C57" w:rsidRPr="00F5723F" w:rsidRDefault="00B43C57">
      <w:r w:rsidRPr="00F5723F">
        <w:t xml:space="preserve">Riksdagsledamöterna är medborgarnas politiska representanter. En första intressant fråga är därför </w:t>
      </w:r>
      <w:r w:rsidRPr="00F5723F">
        <w:rPr>
          <w:i/>
        </w:rPr>
        <w:t>vilka</w:t>
      </w:r>
      <w:r w:rsidRPr="00F5723F">
        <w:t xml:space="preserve"> me</w:t>
      </w:r>
      <w:r w:rsidRPr="00F5723F">
        <w:t>d</w:t>
      </w:r>
      <w:r w:rsidRPr="00F5723F">
        <w:t>borgare som ledamöterna anser att det är viktigt att representera. I Riksdagskommitténs enkätundersökning 2004 stäl</w:t>
      </w:r>
      <w:r w:rsidRPr="00F5723F">
        <w:t>l</w:t>
      </w:r>
      <w:r w:rsidRPr="00F5723F">
        <w:t>de vi följande fråga: ”Hur viktigt är det för dig att representera nedanstående väljargrupper i ditt arbete som riksdagsled</w:t>
      </w:r>
      <w:r w:rsidRPr="00F5723F">
        <w:t>a</w:t>
      </w:r>
      <w:r w:rsidRPr="00F5723F">
        <w:t>mot?” Ledamöterna fick därefter, i tur och ordning, ta ställning till a) ”väljare utanför din valkrets”, b) ”väljare i din valkrets”, c) ”det egna partiets väljare utanför din va</w:t>
      </w:r>
      <w:r w:rsidRPr="00F5723F">
        <w:t>l</w:t>
      </w:r>
      <w:r w:rsidRPr="00F5723F">
        <w:t xml:space="preserve">krets” och d) ”det egna partiets väljare i din valkrets”. För var och en av de fyra </w:t>
      </w:r>
      <w:r w:rsidRPr="00F5723F">
        <w:t>väljargrupperna fick ledamöterna välja mellan svarsa</w:t>
      </w:r>
      <w:r w:rsidRPr="00F5723F">
        <w:t>l</w:t>
      </w:r>
      <w:r w:rsidRPr="00F5723F">
        <w:t>ternativen ”mycket viktigt”, ”ganska viktigt”, ”varken/eller”, ”ganska oviktigt” och ”helt oviktigt”. Resultaten i tabell 1 visar andelen riksdagsledamöter som anser att det är ”mycket viktigt” att representera respektive grupp.</w:t>
      </w:r>
    </w:p>
    <w:p w:rsidR="00B43C57" w:rsidRPr="00F5723F" w:rsidRDefault="00B43C57"/>
    <w:p w:rsidR="00B43C57" w:rsidRPr="00F5723F" w:rsidRDefault="00B43C57">
      <w:pPr>
        <w:pStyle w:val="Tabellrubrik"/>
        <w:spacing w:before="0"/>
        <w:rPr>
          <w:szCs w:val="24"/>
        </w:rPr>
      </w:pPr>
      <w:r w:rsidRPr="00F5723F">
        <w:t>Tabell</w:t>
      </w:r>
      <w:r w:rsidRPr="00F5723F">
        <w:t xml:space="preserve"> </w:t>
      </w:r>
      <w:r w:rsidRPr="00F5723F">
        <w:t>1</w:t>
      </w:r>
      <w:r w:rsidRPr="00F5723F">
        <w:tab/>
        <w:t xml:space="preserve">Riksdagsledamöternas bedömningar av hur viktigt det är att representera olika väljargrupper 2004. </w:t>
      </w:r>
      <w:r w:rsidRPr="00F5723F">
        <w:rPr>
          <w:szCs w:val="24"/>
        </w:rPr>
        <w:t>Andel ledam</w:t>
      </w:r>
      <w:r w:rsidRPr="00F5723F">
        <w:rPr>
          <w:szCs w:val="24"/>
        </w:rPr>
        <w:t>ö</w:t>
      </w:r>
      <w:r w:rsidRPr="00F5723F">
        <w:rPr>
          <w:szCs w:val="24"/>
        </w:rPr>
        <w:t>ter som anser det är mycket viktigt att representera r</w:t>
      </w:r>
      <w:r w:rsidRPr="00F5723F">
        <w:rPr>
          <w:szCs w:val="24"/>
        </w:rPr>
        <w:t>e</w:t>
      </w:r>
      <w:r w:rsidRPr="00F5723F">
        <w:rPr>
          <w:szCs w:val="24"/>
        </w:rPr>
        <w:t>spektive grupp (procent).</w:t>
      </w:r>
    </w:p>
    <w:p w:rsidR="00B43C57" w:rsidRPr="00F5723F" w:rsidRDefault="00B43C57">
      <w:pPr>
        <w:pStyle w:val="Tabelltext"/>
      </w:pPr>
    </w:p>
    <w:tbl>
      <w:tblPr>
        <w:tblW w:w="5000" w:type="pct"/>
        <w:tblCellMar>
          <w:left w:w="70" w:type="dxa"/>
          <w:right w:w="70" w:type="dxa"/>
        </w:tblCellMar>
        <w:tblLook w:val="00AF" w:firstRow="1" w:lastRow="0" w:firstColumn="1" w:lastColumn="0" w:noHBand="0" w:noVBand="0"/>
      </w:tblPr>
      <w:tblGrid>
        <w:gridCol w:w="1645"/>
        <w:gridCol w:w="1436"/>
        <w:gridCol w:w="1436"/>
        <w:gridCol w:w="1436"/>
      </w:tblGrid>
      <w:tr w:rsidR="00000000" w:rsidRPr="00F5723F">
        <w:tblPrEx>
          <w:tblCellMar>
            <w:top w:w="0" w:type="dxa"/>
            <w:bottom w:w="0" w:type="dxa"/>
          </w:tblCellMar>
        </w:tblPrEx>
        <w:tc>
          <w:tcPr>
            <w:tcW w:w="1381" w:type="pct"/>
          </w:tcPr>
          <w:p w:rsidR="00B43C57" w:rsidRPr="00F5723F" w:rsidRDefault="00B43C57">
            <w:pPr>
              <w:pStyle w:val="Tabelltext"/>
              <w:rPr>
                <w:szCs w:val="16"/>
              </w:rPr>
            </w:pPr>
          </w:p>
        </w:tc>
        <w:tc>
          <w:tcPr>
            <w:tcW w:w="1206" w:type="pct"/>
            <w:tcBorders>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v</w:t>
            </w:r>
            <w:r w:rsidRPr="00F5723F">
              <w:rPr>
                <w:szCs w:val="16"/>
              </w:rPr>
              <w:t>äljare</w:t>
            </w:r>
          </w:p>
        </w:tc>
        <w:tc>
          <w:tcPr>
            <w:tcW w:w="1206" w:type="pct"/>
            <w:tcBorders>
              <w:bottom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 xml:space="preserve">det egna </w:t>
            </w:r>
          </w:p>
          <w:p w:rsidR="00B43C57" w:rsidRPr="00F5723F" w:rsidRDefault="00B43C57">
            <w:pPr>
              <w:pStyle w:val="Tabelltext"/>
              <w:jc w:val="center"/>
              <w:rPr>
                <w:szCs w:val="16"/>
              </w:rPr>
            </w:pPr>
            <w:r w:rsidRPr="00F5723F">
              <w:rPr>
                <w:szCs w:val="16"/>
              </w:rPr>
              <w:t>part</w:t>
            </w:r>
            <w:r w:rsidRPr="00F5723F">
              <w:rPr>
                <w:szCs w:val="16"/>
              </w:rPr>
              <w:t>i</w:t>
            </w:r>
            <w:r w:rsidRPr="00F5723F">
              <w:rPr>
                <w:szCs w:val="16"/>
              </w:rPr>
              <w:t>ets väljare</w:t>
            </w:r>
          </w:p>
        </w:tc>
        <w:tc>
          <w:tcPr>
            <w:tcW w:w="1206" w:type="pct"/>
          </w:tcPr>
          <w:p w:rsidR="00B43C57" w:rsidRPr="00F5723F" w:rsidRDefault="00B43C57">
            <w:pPr>
              <w:pStyle w:val="Tabelltext"/>
              <w:jc w:val="center"/>
              <w:rPr>
                <w:szCs w:val="16"/>
              </w:rPr>
            </w:pPr>
          </w:p>
          <w:p w:rsidR="00B43C57" w:rsidRPr="00F5723F" w:rsidRDefault="00B43C57">
            <w:pPr>
              <w:pStyle w:val="Tabelltext"/>
              <w:jc w:val="center"/>
              <w:rPr>
                <w:i/>
                <w:szCs w:val="16"/>
              </w:rPr>
            </w:pPr>
            <w:r w:rsidRPr="00F5723F">
              <w:rPr>
                <w:i/>
                <w:szCs w:val="16"/>
              </w:rPr>
              <w:t>effekt av det</w:t>
            </w:r>
          </w:p>
          <w:p w:rsidR="00B43C57" w:rsidRPr="00F5723F" w:rsidRDefault="00B43C57">
            <w:pPr>
              <w:pStyle w:val="Tabelltext"/>
              <w:jc w:val="center"/>
              <w:rPr>
                <w:szCs w:val="16"/>
              </w:rPr>
            </w:pPr>
            <w:r w:rsidRPr="00F5723F">
              <w:rPr>
                <w:i/>
                <w:szCs w:val="16"/>
              </w:rPr>
              <w:t>egna partiet</w:t>
            </w:r>
          </w:p>
        </w:tc>
      </w:tr>
      <w:tr w:rsidR="00000000" w:rsidRPr="00F5723F">
        <w:tblPrEx>
          <w:tblCellMar>
            <w:top w:w="0" w:type="dxa"/>
            <w:bottom w:w="0" w:type="dxa"/>
          </w:tblCellMar>
        </w:tblPrEx>
        <w:tc>
          <w:tcPr>
            <w:tcW w:w="1381" w:type="pct"/>
            <w:tcBorders>
              <w:right w:val="single" w:sz="4" w:space="0" w:color="auto"/>
            </w:tcBorders>
          </w:tcPr>
          <w:p w:rsidR="00B43C57" w:rsidRPr="00F5723F" w:rsidRDefault="00B43C57">
            <w:pPr>
              <w:pStyle w:val="Tabelltext"/>
              <w:jc w:val="right"/>
              <w:rPr>
                <w:szCs w:val="16"/>
              </w:rPr>
            </w:pPr>
          </w:p>
          <w:p w:rsidR="00B43C57" w:rsidRPr="00F5723F" w:rsidRDefault="00B43C57">
            <w:pPr>
              <w:pStyle w:val="Tabelltext"/>
              <w:jc w:val="right"/>
              <w:rPr>
                <w:szCs w:val="16"/>
              </w:rPr>
            </w:pPr>
            <w:r w:rsidRPr="00F5723F">
              <w:rPr>
                <w:szCs w:val="16"/>
              </w:rPr>
              <w:t>utanför</w:t>
            </w:r>
          </w:p>
          <w:p w:rsidR="00B43C57" w:rsidRPr="00F5723F" w:rsidRDefault="00B43C57">
            <w:pPr>
              <w:pStyle w:val="Tabelltext"/>
              <w:jc w:val="right"/>
              <w:rPr>
                <w:szCs w:val="16"/>
              </w:rPr>
            </w:pPr>
            <w:r w:rsidRPr="00F5723F">
              <w:rPr>
                <w:szCs w:val="16"/>
              </w:rPr>
              <w:t>valkretsen</w:t>
            </w:r>
          </w:p>
          <w:p w:rsidR="00B43C57" w:rsidRPr="00F5723F" w:rsidRDefault="00B43C57">
            <w:pPr>
              <w:pStyle w:val="Tabelltext"/>
              <w:jc w:val="right"/>
              <w:rPr>
                <w:szCs w:val="16"/>
              </w:rPr>
            </w:pPr>
          </w:p>
        </w:tc>
        <w:tc>
          <w:tcPr>
            <w:tcW w:w="1206"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22</w:t>
            </w:r>
          </w:p>
        </w:tc>
        <w:tc>
          <w:tcPr>
            <w:tcW w:w="1206"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50</w:t>
            </w:r>
          </w:p>
        </w:tc>
        <w:tc>
          <w:tcPr>
            <w:tcW w:w="1206" w:type="pct"/>
            <w:tcBorders>
              <w:left w:val="single" w:sz="4" w:space="0" w:color="auto"/>
            </w:tcBorders>
          </w:tcPr>
          <w:p w:rsidR="00B43C57" w:rsidRPr="00F5723F" w:rsidRDefault="00B43C57">
            <w:pPr>
              <w:pStyle w:val="Tabelltext"/>
              <w:jc w:val="center"/>
              <w:rPr>
                <w:i/>
                <w:szCs w:val="16"/>
              </w:rPr>
            </w:pPr>
          </w:p>
          <w:p w:rsidR="00B43C57" w:rsidRPr="00F5723F" w:rsidRDefault="00B43C57">
            <w:pPr>
              <w:pStyle w:val="Tabelltext"/>
              <w:jc w:val="center"/>
              <w:rPr>
                <w:i/>
                <w:szCs w:val="16"/>
              </w:rPr>
            </w:pPr>
            <w:r w:rsidRPr="00F5723F">
              <w:rPr>
                <w:i/>
                <w:szCs w:val="16"/>
              </w:rPr>
              <w:t>+28</w:t>
            </w:r>
          </w:p>
        </w:tc>
      </w:tr>
      <w:tr w:rsidR="00000000" w:rsidRPr="00F5723F">
        <w:tblPrEx>
          <w:tblCellMar>
            <w:top w:w="0" w:type="dxa"/>
            <w:bottom w:w="0" w:type="dxa"/>
          </w:tblCellMar>
        </w:tblPrEx>
        <w:tc>
          <w:tcPr>
            <w:tcW w:w="1381" w:type="pct"/>
            <w:tcBorders>
              <w:right w:val="single" w:sz="4" w:space="0" w:color="auto"/>
            </w:tcBorders>
          </w:tcPr>
          <w:p w:rsidR="00B43C57" w:rsidRPr="00F5723F" w:rsidRDefault="00B43C57">
            <w:pPr>
              <w:pStyle w:val="Tabelltext"/>
              <w:jc w:val="right"/>
              <w:rPr>
                <w:szCs w:val="16"/>
              </w:rPr>
            </w:pPr>
          </w:p>
          <w:p w:rsidR="00B43C57" w:rsidRPr="00F5723F" w:rsidRDefault="00B43C57">
            <w:pPr>
              <w:pStyle w:val="Tabelltext"/>
              <w:jc w:val="right"/>
              <w:rPr>
                <w:szCs w:val="16"/>
              </w:rPr>
            </w:pPr>
            <w:r w:rsidRPr="00F5723F">
              <w:rPr>
                <w:szCs w:val="16"/>
              </w:rPr>
              <w:t xml:space="preserve">i </w:t>
            </w:r>
          </w:p>
          <w:p w:rsidR="00B43C57" w:rsidRPr="00F5723F" w:rsidRDefault="00B43C57">
            <w:pPr>
              <w:pStyle w:val="Tabelltext"/>
              <w:jc w:val="right"/>
              <w:rPr>
                <w:szCs w:val="16"/>
              </w:rPr>
            </w:pPr>
            <w:r w:rsidRPr="00F5723F">
              <w:rPr>
                <w:szCs w:val="16"/>
              </w:rPr>
              <w:t>valkretsen</w:t>
            </w:r>
          </w:p>
          <w:p w:rsidR="00B43C57" w:rsidRPr="00F5723F" w:rsidRDefault="00B43C57">
            <w:pPr>
              <w:pStyle w:val="Tabelltext"/>
              <w:jc w:val="right"/>
              <w:rPr>
                <w:szCs w:val="16"/>
              </w:rPr>
            </w:pPr>
          </w:p>
        </w:tc>
        <w:tc>
          <w:tcPr>
            <w:tcW w:w="1206"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72</w:t>
            </w:r>
          </w:p>
        </w:tc>
        <w:tc>
          <w:tcPr>
            <w:tcW w:w="1206"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rPr>
                <w:szCs w:val="16"/>
              </w:rPr>
            </w:pPr>
          </w:p>
          <w:p w:rsidR="00B43C57" w:rsidRPr="00F5723F" w:rsidRDefault="00B43C57">
            <w:pPr>
              <w:pStyle w:val="Tabelltext"/>
              <w:jc w:val="center"/>
              <w:rPr>
                <w:szCs w:val="16"/>
              </w:rPr>
            </w:pPr>
            <w:r w:rsidRPr="00F5723F">
              <w:rPr>
                <w:szCs w:val="16"/>
              </w:rPr>
              <w:t>91</w:t>
            </w:r>
          </w:p>
        </w:tc>
        <w:tc>
          <w:tcPr>
            <w:tcW w:w="1206" w:type="pct"/>
            <w:tcBorders>
              <w:left w:val="single" w:sz="4" w:space="0" w:color="auto"/>
            </w:tcBorders>
          </w:tcPr>
          <w:p w:rsidR="00B43C57" w:rsidRPr="00F5723F" w:rsidRDefault="00B43C57">
            <w:pPr>
              <w:pStyle w:val="Tabelltext"/>
              <w:jc w:val="center"/>
              <w:rPr>
                <w:i/>
                <w:szCs w:val="16"/>
              </w:rPr>
            </w:pPr>
          </w:p>
          <w:p w:rsidR="00B43C57" w:rsidRPr="00F5723F" w:rsidRDefault="00B43C57">
            <w:pPr>
              <w:pStyle w:val="Tabelltext"/>
              <w:jc w:val="center"/>
              <w:rPr>
                <w:i/>
                <w:szCs w:val="16"/>
              </w:rPr>
            </w:pPr>
            <w:r w:rsidRPr="00F5723F">
              <w:rPr>
                <w:i/>
                <w:szCs w:val="16"/>
              </w:rPr>
              <w:t>+19</w:t>
            </w:r>
          </w:p>
        </w:tc>
      </w:tr>
      <w:tr w:rsidR="00000000" w:rsidRPr="00F5723F">
        <w:tblPrEx>
          <w:tblCellMar>
            <w:top w:w="0" w:type="dxa"/>
            <w:bottom w:w="0" w:type="dxa"/>
          </w:tblCellMar>
        </w:tblPrEx>
        <w:tc>
          <w:tcPr>
            <w:tcW w:w="1381" w:type="pct"/>
          </w:tcPr>
          <w:p w:rsidR="00B43C57" w:rsidRPr="00F5723F" w:rsidRDefault="00B43C57">
            <w:pPr>
              <w:pStyle w:val="Tabelltext"/>
              <w:jc w:val="right"/>
              <w:rPr>
                <w:i/>
                <w:szCs w:val="16"/>
              </w:rPr>
            </w:pPr>
          </w:p>
          <w:p w:rsidR="00B43C57" w:rsidRPr="00F5723F" w:rsidRDefault="00B43C57">
            <w:pPr>
              <w:pStyle w:val="Tabelltext"/>
              <w:jc w:val="right"/>
              <w:rPr>
                <w:i/>
                <w:szCs w:val="16"/>
              </w:rPr>
            </w:pPr>
            <w:r w:rsidRPr="00F5723F">
              <w:rPr>
                <w:i/>
                <w:szCs w:val="16"/>
              </w:rPr>
              <w:t>effekt av valkrets</w:t>
            </w:r>
          </w:p>
        </w:tc>
        <w:tc>
          <w:tcPr>
            <w:tcW w:w="1206" w:type="pct"/>
            <w:tcBorders>
              <w:top w:val="single" w:sz="4" w:space="0" w:color="auto"/>
            </w:tcBorders>
          </w:tcPr>
          <w:p w:rsidR="00B43C57" w:rsidRPr="00F5723F" w:rsidRDefault="00B43C57">
            <w:pPr>
              <w:pStyle w:val="Tabelltext"/>
              <w:jc w:val="center"/>
              <w:rPr>
                <w:i/>
                <w:szCs w:val="16"/>
              </w:rPr>
            </w:pPr>
          </w:p>
          <w:p w:rsidR="00B43C57" w:rsidRPr="00F5723F" w:rsidRDefault="00B43C57">
            <w:pPr>
              <w:pStyle w:val="Tabelltext"/>
              <w:jc w:val="center"/>
              <w:rPr>
                <w:i/>
                <w:szCs w:val="16"/>
              </w:rPr>
            </w:pPr>
            <w:r w:rsidRPr="00F5723F">
              <w:rPr>
                <w:i/>
                <w:szCs w:val="16"/>
              </w:rPr>
              <w:t>+50</w:t>
            </w:r>
          </w:p>
        </w:tc>
        <w:tc>
          <w:tcPr>
            <w:tcW w:w="1206" w:type="pct"/>
            <w:tcBorders>
              <w:top w:val="single" w:sz="4" w:space="0" w:color="auto"/>
            </w:tcBorders>
          </w:tcPr>
          <w:p w:rsidR="00B43C57" w:rsidRPr="00F5723F" w:rsidRDefault="00B43C57">
            <w:pPr>
              <w:pStyle w:val="Tabelltext"/>
              <w:jc w:val="center"/>
              <w:rPr>
                <w:i/>
                <w:szCs w:val="16"/>
              </w:rPr>
            </w:pPr>
          </w:p>
          <w:p w:rsidR="00B43C57" w:rsidRPr="00F5723F" w:rsidRDefault="00B43C57">
            <w:pPr>
              <w:pStyle w:val="Tabelltext"/>
              <w:jc w:val="center"/>
              <w:rPr>
                <w:i/>
                <w:szCs w:val="16"/>
              </w:rPr>
            </w:pPr>
            <w:r w:rsidRPr="00F5723F">
              <w:rPr>
                <w:i/>
                <w:szCs w:val="16"/>
              </w:rPr>
              <w:t>+41</w:t>
            </w:r>
          </w:p>
        </w:tc>
        <w:tc>
          <w:tcPr>
            <w:tcW w:w="1206" w:type="pct"/>
          </w:tcPr>
          <w:p w:rsidR="00B43C57" w:rsidRPr="00F5723F" w:rsidRDefault="00B43C57">
            <w:pPr>
              <w:pStyle w:val="Tabelltext"/>
              <w:jc w:val="center"/>
              <w:rPr>
                <w:i/>
                <w:szCs w:val="16"/>
              </w:rPr>
            </w:pPr>
          </w:p>
        </w:tc>
      </w:tr>
    </w:tbl>
    <w:p w:rsidR="00B43C57" w:rsidRPr="00F5723F" w:rsidRDefault="00B43C57">
      <w:pPr>
        <w:rPr>
          <w:rFonts w:ascii="Arial" w:hAnsi="Arial" w:cs="Arial"/>
          <w:b/>
          <w:sz w:val="16"/>
          <w:szCs w:val="16"/>
        </w:rPr>
      </w:pPr>
    </w:p>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Resultaten är hämtade från Riksdagskommitténs enkätundersökning med 2004 års riksdagsl</w:t>
      </w:r>
      <w:r w:rsidRPr="00F5723F">
        <w:rPr>
          <w:rFonts w:ascii="Arial" w:hAnsi="Arial" w:cs="Arial"/>
          <w:sz w:val="16"/>
          <w:szCs w:val="16"/>
        </w:rPr>
        <w:t>e</w:t>
      </w:r>
      <w:r w:rsidRPr="00F5723F">
        <w:rPr>
          <w:rFonts w:ascii="Arial" w:hAnsi="Arial" w:cs="Arial"/>
          <w:sz w:val="16"/>
          <w:szCs w:val="16"/>
        </w:rPr>
        <w:t>damöter.</w:t>
      </w:r>
    </w:p>
    <w:p w:rsidR="00B43C57" w:rsidRPr="00F5723F" w:rsidRDefault="00B43C57"/>
    <w:p w:rsidR="00B43C57" w:rsidRPr="00F5723F" w:rsidRDefault="00B43C57">
      <w:r w:rsidRPr="00F5723F">
        <w:t>Riksdagsledamöterna har en klar och tydlig rangordning av de fyra välja</w:t>
      </w:r>
      <w:r w:rsidRPr="00F5723F">
        <w:t>r</w:t>
      </w:r>
      <w:r w:rsidRPr="00F5723F">
        <w:t>grupperna. Den grupp som det är viktigast att representera är det egna partiets väljare i den egna valkretsen (hela 91 procent svarade mycket viktigt). Däre</w:t>
      </w:r>
      <w:r w:rsidRPr="00F5723F">
        <w:t>f</w:t>
      </w:r>
      <w:r w:rsidRPr="00F5723F">
        <w:t>ter följer, i tur och ordning, väljare i den egna valkretsen (72 procent), det egna partiets väljare utanför valkretsen (50 procent) och väljare utanför va</w:t>
      </w:r>
      <w:r w:rsidRPr="00F5723F">
        <w:t>l</w:t>
      </w:r>
      <w:r w:rsidRPr="00F5723F">
        <w:t>kretsen (22 procent). Rangordningen av de fyra välja</w:t>
      </w:r>
      <w:r w:rsidRPr="00F5723F">
        <w:t>r</w:t>
      </w:r>
      <w:r w:rsidRPr="00F5723F">
        <w:t>gruppernas viktighet är den samma inom samtliga partier utom Vänsterpartiet där det egna partiets väljare uta</w:t>
      </w:r>
      <w:r w:rsidRPr="00F5723F">
        <w:t>n</w:t>
      </w:r>
      <w:r w:rsidRPr="00F5723F">
        <w:t>för valkretsen (70 procent) anses v</w:t>
      </w:r>
      <w:r w:rsidRPr="00F5723F">
        <w:t>iktigare att representera än väljare i den egna valkretsen (50 procent).</w:t>
      </w:r>
    </w:p>
    <w:p w:rsidR="00B43C57" w:rsidRPr="00F5723F" w:rsidRDefault="00B43C57">
      <w:pPr>
        <w:pStyle w:val="Normaltindrag"/>
      </w:pPr>
      <w:r w:rsidRPr="00F5723F">
        <w:t>Valkretsens betydelse för vilka väljargrupper som är viktiga att represent</w:t>
      </w:r>
      <w:r w:rsidRPr="00F5723F">
        <w:t>e</w:t>
      </w:r>
      <w:r w:rsidRPr="00F5723F">
        <w:t>ra kan också utläsas av de effektmått som redovisas i tabell 1. Skillnaden mellan väljare i och utanför den egna valkretsen är 50 procentenheter för väljare i allmänhet (72–22 = +50) och 41 procentenheter (+41) för det egna partiets väljare. Effekten av om väljarna tillhör eller inte tillhör det egna pa</w:t>
      </w:r>
      <w:r w:rsidRPr="00F5723F">
        <w:t>r</w:t>
      </w:r>
      <w:r w:rsidRPr="00F5723F">
        <w:t>tiet är endast omkring hälften så stor: +28 för väljare utanför den egna va</w:t>
      </w:r>
      <w:r w:rsidRPr="00F5723F">
        <w:t>l</w:t>
      </w:r>
      <w:r w:rsidRPr="00F5723F">
        <w:t xml:space="preserve">kretsen och +19 för väljare i den egna valkretsen. Återigen återfinns samma mönster inom samtliga partier utom Vänsterpartiet där </w:t>
      </w:r>
      <w:r w:rsidRPr="00F5723F">
        <w:t>ledamöterna anser att det är viktigare att representera partiet (+35 och +37) än att representera va</w:t>
      </w:r>
      <w:r w:rsidRPr="00F5723F">
        <w:t>l</w:t>
      </w:r>
      <w:r w:rsidRPr="00F5723F">
        <w:t>kre</w:t>
      </w:r>
      <w:r w:rsidRPr="00F5723F">
        <w:t>t</w:t>
      </w:r>
      <w:r w:rsidRPr="00F5723F">
        <w:t>sen (+15 och +17).</w:t>
      </w:r>
    </w:p>
    <w:p w:rsidR="00B43C57" w:rsidRPr="00F5723F" w:rsidRDefault="00B43C57">
      <w:pPr>
        <w:pStyle w:val="Normaltindrag"/>
      </w:pPr>
      <w:r w:rsidRPr="00F5723F">
        <w:t>Sammanfattningsvis är alltså både valkretstillhörighet och partitillhörighet betydelsefulla faktorer när riksdagsledamöterna funderar över vilka välja</w:t>
      </w:r>
      <w:r w:rsidRPr="00F5723F">
        <w:t>r</w:t>
      </w:r>
      <w:r w:rsidRPr="00F5723F">
        <w:t>grupper som är viktiga att r</w:t>
      </w:r>
      <w:r w:rsidRPr="00F5723F">
        <w:t>e</w:t>
      </w:r>
      <w:r w:rsidRPr="00F5723F">
        <w:t>presentera. Men valkretsens väljare tycks så här långt vara klart viktigare än det egna pa</w:t>
      </w:r>
      <w:r w:rsidRPr="00F5723F">
        <w:t>r</w:t>
      </w:r>
      <w:r w:rsidRPr="00F5723F">
        <w:t>tiets väljare.</w:t>
      </w:r>
    </w:p>
    <w:p w:rsidR="00B43C57" w:rsidRPr="00F5723F" w:rsidRDefault="00B43C57">
      <w:pPr>
        <w:pStyle w:val="Rubrik3"/>
        <w:rPr>
          <w:noProof w:val="0"/>
        </w:rPr>
      </w:pPr>
      <w:bookmarkStart w:id="309" w:name="_Toc124697885"/>
      <w:r w:rsidRPr="00F5723F">
        <w:rPr>
          <w:noProof w:val="0"/>
        </w:rPr>
        <w:t>Riksdagsledamöternas representationsprinciper</w:t>
      </w:r>
      <w:bookmarkEnd w:id="309"/>
    </w:p>
    <w:p w:rsidR="00B43C57" w:rsidRPr="00F5723F" w:rsidRDefault="00B43C57">
      <w:r w:rsidRPr="00F5723F">
        <w:t>Inom parlamentsforskningen brukar de förtroendevaldas uppfattningar om vad som är god representation stud</w:t>
      </w:r>
      <w:r w:rsidRPr="00F5723F">
        <w:t>e</w:t>
      </w:r>
      <w:r w:rsidRPr="00F5723F">
        <w:t>ras med hjälp av begreppet represen</w:t>
      </w:r>
      <w:r w:rsidRPr="00F5723F">
        <w:softHyphen/>
        <w:t>tationsideologier (se till exempel Wahlke m.fl. 1962; Esaiasson &amp; Gilljam 1985; Holmberg &amp; Esaiasson 1988; Esaias</w:t>
      </w:r>
      <w:r w:rsidRPr="00F5723F">
        <w:softHyphen/>
        <w:t>son &amp; Holm</w:t>
      </w:r>
      <w:r w:rsidRPr="00F5723F">
        <w:softHyphen/>
        <w:t>berg 1996). En repr</w:t>
      </w:r>
      <w:r w:rsidRPr="00F5723F">
        <w:t>e</w:t>
      </w:r>
      <w:r w:rsidRPr="00F5723F">
        <w:t>sentationsideologi innehåller två huvud</w:t>
      </w:r>
      <w:r w:rsidRPr="00F5723F">
        <w:softHyphen/>
        <w:t>kom</w:t>
      </w:r>
      <w:r w:rsidRPr="00F5723F">
        <w:softHyphen/>
        <w:t>po</w:t>
      </w:r>
      <w:r w:rsidRPr="00F5723F">
        <w:softHyphen/>
        <w:t>nen</w:t>
      </w:r>
      <w:r w:rsidRPr="00F5723F">
        <w:softHyphen/>
      </w:r>
      <w:r w:rsidRPr="00F5723F">
        <w:softHyphen/>
        <w:t>ter: repre</w:t>
      </w:r>
      <w:r w:rsidRPr="00F5723F">
        <w:softHyphen/>
        <w:t>sen</w:t>
      </w:r>
      <w:r w:rsidRPr="00F5723F">
        <w:softHyphen/>
        <w:t>tationens i</w:t>
      </w:r>
      <w:r w:rsidRPr="00F5723F">
        <w:t>n</w:t>
      </w:r>
      <w:r w:rsidRPr="00F5723F">
        <w:t>riktning och representationens principer. Med representationens inriktning menas de grupper och intressen som de förtroendevalda anser att det är viktigt att repr</w:t>
      </w:r>
      <w:r w:rsidRPr="00F5723F">
        <w:t>e</w:t>
      </w:r>
      <w:r w:rsidRPr="00F5723F">
        <w:t>sentera; förutom det egna partiet och dess väljare kan det röra sig om sådant som den eg</w:t>
      </w:r>
      <w:r w:rsidRPr="00F5723F">
        <w:t>na regionen el</w:t>
      </w:r>
      <w:r w:rsidRPr="00F5723F">
        <w:softHyphen/>
      </w:r>
      <w:r w:rsidRPr="00F5723F">
        <w:softHyphen/>
        <w:t>ler valkretsen, om mer eller mindre organis</w:t>
      </w:r>
      <w:r w:rsidRPr="00F5723F">
        <w:t>e</w:t>
      </w:r>
      <w:r w:rsidRPr="00F5723F">
        <w:t>rade intressen som löntagare, företa</w:t>
      </w:r>
      <w:r w:rsidRPr="00F5723F">
        <w:softHyphen/>
        <w:t>ga</w:t>
      </w:r>
      <w:r w:rsidRPr="00F5723F">
        <w:softHyphen/>
        <w:t>re, jor</w:t>
      </w:r>
      <w:r w:rsidRPr="00F5723F">
        <w:t>d</w:t>
      </w:r>
      <w:r w:rsidRPr="00F5723F">
        <w:t>bru</w:t>
      </w:r>
      <w:r w:rsidRPr="00F5723F">
        <w:softHyphen/>
      </w:r>
      <w:r w:rsidRPr="00F5723F">
        <w:softHyphen/>
        <w:t>ka</w:t>
      </w:r>
      <w:r w:rsidRPr="00F5723F">
        <w:softHyphen/>
        <w:t>re, kvinnor och ungdomar, om enskilda väljare som tar per</w:t>
      </w:r>
      <w:r w:rsidRPr="00F5723F">
        <w:softHyphen/>
        <w:t>sonlig kontakt och försöker på</w:t>
      </w:r>
      <w:r w:rsidRPr="00F5723F">
        <w:softHyphen/>
        <w:t>ver</w:t>
      </w:r>
      <w:r w:rsidRPr="00F5723F">
        <w:softHyphen/>
        <w:t>ka samt om nationen som helhet. Med repre</w:t>
      </w:r>
      <w:r w:rsidRPr="00F5723F">
        <w:softHyphen/>
        <w:t>sen</w:t>
      </w:r>
      <w:r w:rsidRPr="00F5723F">
        <w:softHyphen/>
        <w:t>tationens prin</w:t>
      </w:r>
      <w:r w:rsidRPr="00F5723F">
        <w:softHyphen/>
        <w:t>ciper av</w:t>
      </w:r>
      <w:r w:rsidRPr="00F5723F">
        <w:softHyphen/>
        <w:t>ses synen på hur de förtroendevalda bör förhålla sig när de fattar sina beslut: Skall de i fö</w:t>
      </w:r>
      <w:r w:rsidRPr="00F5723F">
        <w:t>r</w:t>
      </w:r>
      <w:r w:rsidRPr="00F5723F">
        <w:t>sta hand följa parti</w:t>
      </w:r>
      <w:r w:rsidRPr="00F5723F">
        <w:softHyphen/>
        <w:t>lin</w:t>
      </w:r>
      <w:r w:rsidRPr="00F5723F">
        <w:softHyphen/>
      </w:r>
      <w:r w:rsidRPr="00F5723F">
        <w:softHyphen/>
        <w:t>jen (parti</w:t>
      </w:r>
      <w:r w:rsidRPr="00F5723F">
        <w:softHyphen/>
        <w:t>prin</w:t>
      </w:r>
      <w:r w:rsidRPr="00F5723F">
        <w:softHyphen/>
        <w:t>ci</w:t>
      </w:r>
      <w:r w:rsidRPr="00F5723F">
        <w:softHyphen/>
        <w:t>pen), skall de i första hand följa den egna kompas</w:t>
      </w:r>
      <w:r w:rsidRPr="00F5723F">
        <w:softHyphen/>
        <w:t>sen (individprincipen) el</w:t>
      </w:r>
      <w:r w:rsidRPr="00F5723F">
        <w:softHyphen/>
        <w:t>ler skall de fung</w:t>
      </w:r>
      <w:r w:rsidRPr="00F5723F">
        <w:t>era som en av väljarna bun</w:t>
      </w:r>
      <w:r w:rsidRPr="00F5723F">
        <w:softHyphen/>
        <w:t>den de</w:t>
      </w:r>
      <w:r w:rsidRPr="00F5723F">
        <w:softHyphen/>
        <w:t>le</w:t>
      </w:r>
      <w:r w:rsidRPr="00F5723F">
        <w:softHyphen/>
        <w:t>gat (väljarpri</w:t>
      </w:r>
      <w:r w:rsidRPr="00F5723F">
        <w:t>n</w:t>
      </w:r>
      <w:r w:rsidRPr="00F5723F">
        <w:t>cipen)?</w:t>
      </w:r>
    </w:p>
    <w:p w:rsidR="00B43C57" w:rsidRPr="00F5723F" w:rsidRDefault="00B43C57">
      <w:pPr>
        <w:pStyle w:val="Normaltindrag"/>
      </w:pPr>
      <w:r w:rsidRPr="00F5723F">
        <w:t xml:space="preserve">Vi börjar med </w:t>
      </w:r>
      <w:r w:rsidRPr="00F5723F">
        <w:rPr>
          <w:i/>
        </w:rPr>
        <w:t>representationens</w:t>
      </w:r>
      <w:r w:rsidRPr="00F5723F">
        <w:rPr>
          <w:i/>
        </w:rPr>
        <w:t xml:space="preserve"> inriktning</w:t>
      </w:r>
      <w:r w:rsidRPr="00F5723F">
        <w:t xml:space="preserve"> som i de sex svenska riksdag</w:t>
      </w:r>
      <w:r w:rsidRPr="00F5723F">
        <w:t>s</w:t>
      </w:r>
      <w:r w:rsidRPr="00F5723F">
        <w:t>undersökninga</w:t>
      </w:r>
      <w:r w:rsidRPr="00F5723F">
        <w:t>r</w:t>
      </w:r>
      <w:r w:rsidRPr="00F5723F">
        <w:t>na mellan 1985 och 2002 har studerats med hjälp av följande enkätfråga: ”Hur viktiga är följande uppgifter för dig personligen som rik</w:t>
      </w:r>
      <w:r w:rsidRPr="00F5723F">
        <w:t>s</w:t>
      </w:r>
      <w:r w:rsidRPr="00F5723F">
        <w:t>dagsledamot – mycket viktig, ganska viktig, ganska oviktig eller helt ovi</w:t>
      </w:r>
      <w:r w:rsidRPr="00F5723F">
        <w:t>k</w:t>
      </w:r>
      <w:r w:rsidRPr="00F5723F">
        <w:t>tig?” Ledamöterna fick här ta ställning till hur viktigt det är att föra fram ett tiotal olika representationsobjekts åsikter och intressen. I tabell 2 redovisas andelen ledamöter som vid olika tillfällen har svarat att det är myck</w:t>
      </w:r>
      <w:r w:rsidRPr="00F5723F">
        <w:t>et viktigt att representera respe</w:t>
      </w:r>
      <w:r w:rsidRPr="00F5723F">
        <w:t>k</w:t>
      </w:r>
      <w:r w:rsidRPr="00F5723F">
        <w:t>tive objekt.</w:t>
      </w:r>
    </w:p>
    <w:p w:rsidR="00B43C57" w:rsidRPr="00F5723F" w:rsidRDefault="00B43C57">
      <w:pPr>
        <w:pStyle w:val="Tabellrubrik"/>
        <w:ind w:left="760" w:hanging="760"/>
      </w:pPr>
      <w:r w:rsidRPr="00F5723F">
        <w:t xml:space="preserve">Tabell </w:t>
      </w:r>
      <w:r w:rsidRPr="00F5723F">
        <w:t>2 Riksdagsledamöternas bedömningar av hur viktigt det är att representera olika grupper och intressen 1985-2002. A</w:t>
      </w:r>
      <w:r w:rsidRPr="00F5723F">
        <w:t>n</w:t>
      </w:r>
      <w:r w:rsidRPr="00F5723F">
        <w:t>del ledamöter som anser att det är mycket viktigt att r</w:t>
      </w:r>
      <w:r w:rsidRPr="00F5723F">
        <w:t>e</w:t>
      </w:r>
      <w:r w:rsidRPr="00F5723F">
        <w:t>presentera respektive grupp/intresse (procent).</w:t>
      </w:r>
    </w:p>
    <w:tbl>
      <w:tblPr>
        <w:tblW w:w="4874" w:type="pct"/>
        <w:tblCellMar>
          <w:left w:w="70" w:type="dxa"/>
          <w:right w:w="70" w:type="dxa"/>
        </w:tblCellMar>
        <w:tblLook w:val="00AF" w:firstRow="1" w:lastRow="0" w:firstColumn="1" w:lastColumn="0" w:noHBand="0" w:noVBand="0"/>
      </w:tblPr>
      <w:tblGrid>
        <w:gridCol w:w="1620"/>
        <w:gridCol w:w="460"/>
        <w:gridCol w:w="460"/>
        <w:gridCol w:w="460"/>
        <w:gridCol w:w="460"/>
        <w:gridCol w:w="460"/>
        <w:gridCol w:w="460"/>
        <w:gridCol w:w="701"/>
        <w:gridCol w:w="722"/>
      </w:tblGrid>
      <w:tr w:rsidR="00000000" w:rsidRPr="00F5723F">
        <w:tblPrEx>
          <w:tblCellMar>
            <w:top w:w="0" w:type="dxa"/>
            <w:bottom w:w="0" w:type="dxa"/>
          </w:tblCellMar>
        </w:tblPrEx>
        <w:tc>
          <w:tcPr>
            <w:tcW w:w="1414" w:type="pct"/>
            <w:tcBorders>
              <w:top w:val="single" w:sz="4" w:space="0" w:color="auto"/>
            </w:tcBorders>
          </w:tcPr>
          <w:p w:rsidR="00B43C57" w:rsidRPr="00F5723F" w:rsidRDefault="00B43C57">
            <w:pPr>
              <w:pStyle w:val="Tabelltext"/>
            </w:pPr>
          </w:p>
        </w:tc>
        <w:tc>
          <w:tcPr>
            <w:tcW w:w="387" w:type="pct"/>
            <w:tcBorders>
              <w:top w:val="single" w:sz="4" w:space="0" w:color="auto"/>
            </w:tcBorders>
          </w:tcPr>
          <w:p w:rsidR="00B43C57" w:rsidRPr="00F5723F" w:rsidRDefault="00B43C57">
            <w:pPr>
              <w:pStyle w:val="Tabelltextsiffror"/>
              <w:tabs>
                <w:tab w:val="right" w:pos="320"/>
              </w:tabs>
              <w:jc w:val="left"/>
            </w:pPr>
            <w:r w:rsidRPr="00F5723F">
              <w:t>år</w:t>
            </w:r>
          </w:p>
        </w:tc>
        <w:tc>
          <w:tcPr>
            <w:tcW w:w="387" w:type="pct"/>
            <w:tcBorders>
              <w:top w:val="single" w:sz="4" w:space="0" w:color="auto"/>
            </w:tcBorders>
          </w:tcPr>
          <w:p w:rsidR="00B43C57" w:rsidRPr="00F5723F" w:rsidRDefault="00B43C57">
            <w:pPr>
              <w:pStyle w:val="Tabelltextsiffror"/>
            </w:pPr>
          </w:p>
        </w:tc>
        <w:tc>
          <w:tcPr>
            <w:tcW w:w="387" w:type="pct"/>
            <w:tcBorders>
              <w:top w:val="single" w:sz="4" w:space="0" w:color="auto"/>
            </w:tcBorders>
          </w:tcPr>
          <w:p w:rsidR="00B43C57" w:rsidRPr="00F5723F" w:rsidRDefault="00B43C57">
            <w:pPr>
              <w:pStyle w:val="Tabelltextsiffror"/>
            </w:pPr>
          </w:p>
        </w:tc>
        <w:tc>
          <w:tcPr>
            <w:tcW w:w="387" w:type="pct"/>
            <w:tcBorders>
              <w:top w:val="single" w:sz="4" w:space="0" w:color="auto"/>
            </w:tcBorders>
          </w:tcPr>
          <w:p w:rsidR="00B43C57" w:rsidRPr="00F5723F" w:rsidRDefault="00B43C57">
            <w:pPr>
              <w:pStyle w:val="Tabelltextsiffror"/>
            </w:pPr>
          </w:p>
        </w:tc>
        <w:tc>
          <w:tcPr>
            <w:tcW w:w="387" w:type="pct"/>
            <w:tcBorders>
              <w:top w:val="single" w:sz="4" w:space="0" w:color="auto"/>
            </w:tcBorders>
          </w:tcPr>
          <w:p w:rsidR="00B43C57" w:rsidRPr="00F5723F" w:rsidRDefault="00B43C57">
            <w:pPr>
              <w:pStyle w:val="Tabelltextsiffror"/>
            </w:pPr>
          </w:p>
        </w:tc>
        <w:tc>
          <w:tcPr>
            <w:tcW w:w="387" w:type="pct"/>
            <w:tcBorders>
              <w:top w:val="single" w:sz="4" w:space="0" w:color="auto"/>
            </w:tcBorders>
          </w:tcPr>
          <w:p w:rsidR="00B43C57" w:rsidRPr="00F5723F" w:rsidRDefault="00B43C57">
            <w:pPr>
              <w:pStyle w:val="Tabelltextsiffror"/>
            </w:pPr>
          </w:p>
        </w:tc>
        <w:tc>
          <w:tcPr>
            <w:tcW w:w="622" w:type="pct"/>
            <w:tcBorders>
              <w:top w:val="single" w:sz="4" w:space="0" w:color="auto"/>
            </w:tcBorders>
          </w:tcPr>
          <w:p w:rsidR="00B43C57" w:rsidRPr="00F5723F" w:rsidRDefault="00B43C57">
            <w:pPr>
              <w:pStyle w:val="Tabelltextsiffror"/>
              <w:jc w:val="center"/>
            </w:pPr>
            <w:r w:rsidRPr="00F5723F">
              <w:t>differens</w:t>
            </w:r>
          </w:p>
        </w:tc>
        <w:tc>
          <w:tcPr>
            <w:tcW w:w="640" w:type="pct"/>
            <w:tcBorders>
              <w:top w:val="single" w:sz="4" w:space="0" w:color="auto"/>
            </w:tcBorders>
          </w:tcPr>
          <w:p w:rsidR="00B43C57" w:rsidRPr="00F5723F" w:rsidRDefault="00B43C57">
            <w:pPr>
              <w:pStyle w:val="Tabelltextsiffror"/>
              <w:jc w:val="center"/>
            </w:pPr>
            <w:r w:rsidRPr="00F5723F">
              <w:t>differens</w:t>
            </w:r>
          </w:p>
        </w:tc>
      </w:tr>
      <w:tr w:rsidR="00000000" w:rsidRPr="00F5723F">
        <w:tblPrEx>
          <w:tblCellMar>
            <w:top w:w="0" w:type="dxa"/>
            <w:bottom w:w="0" w:type="dxa"/>
          </w:tblCellMar>
        </w:tblPrEx>
        <w:tc>
          <w:tcPr>
            <w:tcW w:w="1414" w:type="pct"/>
            <w:tcBorders>
              <w:bottom w:val="single" w:sz="4" w:space="0" w:color="auto"/>
            </w:tcBorders>
          </w:tcPr>
          <w:p w:rsidR="00B43C57" w:rsidRPr="00F5723F" w:rsidRDefault="00B43C57">
            <w:pPr>
              <w:pStyle w:val="Tabelltext"/>
              <w:rPr>
                <w:sz w:val="18"/>
                <w:szCs w:val="18"/>
              </w:rPr>
            </w:pPr>
          </w:p>
          <w:p w:rsidR="00B43C57" w:rsidRPr="00F5723F" w:rsidRDefault="00B43C57">
            <w:pPr>
              <w:pStyle w:val="Tabelltext"/>
            </w:pPr>
            <w:r w:rsidRPr="00F5723F">
              <w:rPr>
                <w:sz w:val="18"/>
                <w:szCs w:val="18"/>
              </w:rPr>
              <w:t>r</w:t>
            </w:r>
            <w:r w:rsidRPr="00F5723F">
              <w:rPr>
                <w:sz w:val="18"/>
                <w:szCs w:val="18"/>
              </w:rPr>
              <w:t>epresentationsobjekt</w:t>
            </w:r>
          </w:p>
        </w:tc>
        <w:tc>
          <w:tcPr>
            <w:tcW w:w="387" w:type="pct"/>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1985</w:t>
            </w:r>
          </w:p>
        </w:tc>
        <w:tc>
          <w:tcPr>
            <w:tcW w:w="387" w:type="pct"/>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1988</w:t>
            </w:r>
          </w:p>
        </w:tc>
        <w:tc>
          <w:tcPr>
            <w:tcW w:w="387" w:type="pct"/>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1994</w:t>
            </w:r>
          </w:p>
        </w:tc>
        <w:tc>
          <w:tcPr>
            <w:tcW w:w="387" w:type="pct"/>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1996</w:t>
            </w:r>
          </w:p>
        </w:tc>
        <w:tc>
          <w:tcPr>
            <w:tcW w:w="387" w:type="pct"/>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1998</w:t>
            </w:r>
          </w:p>
        </w:tc>
        <w:tc>
          <w:tcPr>
            <w:tcW w:w="387" w:type="pct"/>
            <w:tcBorders>
              <w:top w:val="single" w:sz="4" w:space="0" w:color="auto"/>
              <w:bottom w:val="single" w:sz="4" w:space="0" w:color="auto"/>
            </w:tcBorders>
          </w:tcPr>
          <w:p w:rsidR="00B43C57" w:rsidRPr="00F5723F" w:rsidRDefault="00B43C57">
            <w:pPr>
              <w:pStyle w:val="Tabelltextsiffror"/>
            </w:pPr>
          </w:p>
          <w:p w:rsidR="00B43C57" w:rsidRPr="00F5723F" w:rsidRDefault="00B43C57">
            <w:pPr>
              <w:pStyle w:val="Tabelltextsiffror"/>
            </w:pPr>
            <w:r w:rsidRPr="00F5723F">
              <w:t>2002</w:t>
            </w:r>
          </w:p>
        </w:tc>
        <w:tc>
          <w:tcPr>
            <w:tcW w:w="622" w:type="pct"/>
            <w:tcBorders>
              <w:bottom w:val="single" w:sz="4" w:space="0" w:color="auto"/>
            </w:tcBorders>
          </w:tcPr>
          <w:p w:rsidR="00B43C57" w:rsidRPr="00F5723F" w:rsidRDefault="00B43C57">
            <w:pPr>
              <w:pStyle w:val="Tabelltextsiffror"/>
              <w:jc w:val="center"/>
            </w:pPr>
            <w:r w:rsidRPr="00F5723F">
              <w:t>startår–</w:t>
            </w:r>
            <w:r w:rsidRPr="00F5723F">
              <w:t>2002</w:t>
            </w:r>
          </w:p>
        </w:tc>
        <w:tc>
          <w:tcPr>
            <w:tcW w:w="640" w:type="pct"/>
            <w:tcBorders>
              <w:bottom w:val="single" w:sz="4" w:space="0" w:color="auto"/>
            </w:tcBorders>
          </w:tcPr>
          <w:p w:rsidR="00B43C57" w:rsidRPr="00F5723F" w:rsidRDefault="00B43C57">
            <w:pPr>
              <w:pStyle w:val="Tabelltextsiffror"/>
              <w:jc w:val="center"/>
            </w:pPr>
            <w:r w:rsidRPr="00F5723F">
              <w:t>1994–</w:t>
            </w:r>
            <w:r w:rsidRPr="00F5723F">
              <w:t>2002</w:t>
            </w:r>
          </w:p>
        </w:tc>
      </w:tr>
      <w:tr w:rsidR="00000000" w:rsidRPr="00F5723F">
        <w:tblPrEx>
          <w:tblCellMar>
            <w:top w:w="0" w:type="dxa"/>
            <w:bottom w:w="0" w:type="dxa"/>
          </w:tblCellMar>
        </w:tblPrEx>
        <w:tc>
          <w:tcPr>
            <w:tcW w:w="1414" w:type="pct"/>
            <w:tcBorders>
              <w:top w:val="single" w:sz="4" w:space="0" w:color="auto"/>
            </w:tcBorders>
          </w:tcPr>
          <w:p w:rsidR="00B43C57" w:rsidRPr="00F5723F" w:rsidRDefault="00B43C57">
            <w:pPr>
              <w:pStyle w:val="Tabelltext"/>
              <w:rPr>
                <w:sz w:val="18"/>
                <w:szCs w:val="18"/>
              </w:rPr>
            </w:pPr>
          </w:p>
        </w:tc>
        <w:tc>
          <w:tcPr>
            <w:tcW w:w="387" w:type="pct"/>
            <w:tcBorders>
              <w:top w:val="single" w:sz="4" w:space="0" w:color="auto"/>
            </w:tcBorders>
          </w:tcPr>
          <w:p w:rsidR="00B43C57" w:rsidRPr="00F5723F" w:rsidRDefault="00B43C57">
            <w:pPr>
              <w:pStyle w:val="Tabelltextsiffror"/>
              <w:rPr>
                <w:sz w:val="18"/>
                <w:szCs w:val="18"/>
              </w:rPr>
            </w:pPr>
          </w:p>
        </w:tc>
        <w:tc>
          <w:tcPr>
            <w:tcW w:w="387" w:type="pct"/>
            <w:tcBorders>
              <w:top w:val="single" w:sz="4" w:space="0" w:color="auto"/>
            </w:tcBorders>
          </w:tcPr>
          <w:p w:rsidR="00B43C57" w:rsidRPr="00F5723F" w:rsidRDefault="00B43C57">
            <w:pPr>
              <w:pStyle w:val="Tabelltextsiffror"/>
              <w:rPr>
                <w:sz w:val="18"/>
                <w:szCs w:val="18"/>
              </w:rPr>
            </w:pPr>
          </w:p>
        </w:tc>
        <w:tc>
          <w:tcPr>
            <w:tcW w:w="387" w:type="pct"/>
            <w:tcBorders>
              <w:top w:val="single" w:sz="4" w:space="0" w:color="auto"/>
            </w:tcBorders>
          </w:tcPr>
          <w:p w:rsidR="00B43C57" w:rsidRPr="00F5723F" w:rsidRDefault="00B43C57">
            <w:pPr>
              <w:pStyle w:val="Tabelltextsiffror"/>
              <w:rPr>
                <w:sz w:val="18"/>
                <w:szCs w:val="18"/>
              </w:rPr>
            </w:pPr>
          </w:p>
        </w:tc>
        <w:tc>
          <w:tcPr>
            <w:tcW w:w="387" w:type="pct"/>
            <w:tcBorders>
              <w:top w:val="single" w:sz="4" w:space="0" w:color="auto"/>
            </w:tcBorders>
          </w:tcPr>
          <w:p w:rsidR="00B43C57" w:rsidRPr="00F5723F" w:rsidRDefault="00B43C57">
            <w:pPr>
              <w:pStyle w:val="Tabelltextsiffror"/>
              <w:rPr>
                <w:sz w:val="18"/>
                <w:szCs w:val="18"/>
              </w:rPr>
            </w:pPr>
          </w:p>
        </w:tc>
        <w:tc>
          <w:tcPr>
            <w:tcW w:w="387" w:type="pct"/>
            <w:tcBorders>
              <w:top w:val="single" w:sz="4" w:space="0" w:color="auto"/>
            </w:tcBorders>
          </w:tcPr>
          <w:p w:rsidR="00B43C57" w:rsidRPr="00F5723F" w:rsidRDefault="00B43C57">
            <w:pPr>
              <w:pStyle w:val="Tabelltextsiffror"/>
              <w:rPr>
                <w:sz w:val="18"/>
                <w:szCs w:val="18"/>
              </w:rPr>
            </w:pPr>
          </w:p>
        </w:tc>
        <w:tc>
          <w:tcPr>
            <w:tcW w:w="387" w:type="pct"/>
            <w:tcBorders>
              <w:top w:val="single" w:sz="4" w:space="0" w:color="auto"/>
            </w:tcBorders>
          </w:tcPr>
          <w:p w:rsidR="00B43C57" w:rsidRPr="00F5723F" w:rsidRDefault="00B43C57">
            <w:pPr>
              <w:pStyle w:val="Tabelltextsiffror"/>
              <w:rPr>
                <w:sz w:val="18"/>
                <w:szCs w:val="18"/>
              </w:rPr>
            </w:pPr>
          </w:p>
        </w:tc>
        <w:tc>
          <w:tcPr>
            <w:tcW w:w="622" w:type="pct"/>
            <w:tcBorders>
              <w:top w:val="single" w:sz="4" w:space="0" w:color="auto"/>
            </w:tcBorders>
          </w:tcPr>
          <w:p w:rsidR="00B43C57" w:rsidRPr="00F5723F" w:rsidRDefault="00B43C57">
            <w:pPr>
              <w:pStyle w:val="Tabelltextsiffror"/>
              <w:rPr>
                <w:sz w:val="18"/>
                <w:szCs w:val="18"/>
              </w:rPr>
            </w:pPr>
          </w:p>
        </w:tc>
        <w:tc>
          <w:tcPr>
            <w:tcW w:w="640" w:type="pct"/>
            <w:tcBorders>
              <w:top w:val="single" w:sz="4" w:space="0" w:color="auto"/>
            </w:tcBorders>
          </w:tcPr>
          <w:p w:rsidR="00B43C57" w:rsidRPr="00F5723F" w:rsidRDefault="00B43C57">
            <w:pPr>
              <w:pStyle w:val="Tabelltextsiffror"/>
              <w:rPr>
                <w:sz w:val="18"/>
                <w:szCs w:val="18"/>
              </w:rPr>
            </w:pP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partiets politik</w:t>
            </w:r>
          </w:p>
        </w:tc>
        <w:tc>
          <w:tcPr>
            <w:tcW w:w="387" w:type="pct"/>
          </w:tcPr>
          <w:p w:rsidR="00B43C57" w:rsidRPr="00F5723F" w:rsidRDefault="00B43C57">
            <w:pPr>
              <w:pStyle w:val="Tabelltextsiffror"/>
              <w:rPr>
                <w:snapToGrid w:val="0"/>
                <w:color w:val="000000"/>
              </w:rPr>
            </w:pPr>
            <w:r w:rsidRPr="00F5723F">
              <w:rPr>
                <w:snapToGrid w:val="0"/>
                <w:color w:val="000000"/>
              </w:rPr>
              <w:t>77</w:t>
            </w:r>
          </w:p>
        </w:tc>
        <w:tc>
          <w:tcPr>
            <w:tcW w:w="387" w:type="pct"/>
          </w:tcPr>
          <w:p w:rsidR="00B43C57" w:rsidRPr="00F5723F" w:rsidRDefault="00B43C57">
            <w:pPr>
              <w:pStyle w:val="Tabelltextsiffror"/>
              <w:rPr>
                <w:snapToGrid w:val="0"/>
                <w:color w:val="000000"/>
              </w:rPr>
            </w:pPr>
            <w:r w:rsidRPr="00F5723F">
              <w:rPr>
                <w:snapToGrid w:val="0"/>
                <w:color w:val="000000"/>
              </w:rPr>
              <w:t>76</w:t>
            </w:r>
          </w:p>
        </w:tc>
        <w:tc>
          <w:tcPr>
            <w:tcW w:w="387" w:type="pct"/>
          </w:tcPr>
          <w:p w:rsidR="00B43C57" w:rsidRPr="00F5723F" w:rsidRDefault="00B43C57">
            <w:pPr>
              <w:pStyle w:val="Tabelltextsiffror"/>
              <w:rPr>
                <w:snapToGrid w:val="0"/>
                <w:color w:val="000000"/>
              </w:rPr>
            </w:pPr>
            <w:r w:rsidRPr="00F5723F">
              <w:rPr>
                <w:snapToGrid w:val="0"/>
                <w:color w:val="000000"/>
              </w:rPr>
              <w:t>77</w:t>
            </w:r>
          </w:p>
        </w:tc>
        <w:tc>
          <w:tcPr>
            <w:tcW w:w="387" w:type="pct"/>
          </w:tcPr>
          <w:p w:rsidR="00B43C57" w:rsidRPr="00F5723F" w:rsidRDefault="00B43C57">
            <w:pPr>
              <w:pStyle w:val="Tabelltextsiffror"/>
              <w:rPr>
                <w:snapToGrid w:val="0"/>
                <w:color w:val="000000"/>
              </w:rPr>
            </w:pPr>
            <w:r w:rsidRPr="00F5723F">
              <w:rPr>
                <w:snapToGrid w:val="0"/>
                <w:color w:val="000000"/>
              </w:rPr>
              <w:t>71</w:t>
            </w:r>
          </w:p>
        </w:tc>
        <w:tc>
          <w:tcPr>
            <w:tcW w:w="387" w:type="pct"/>
          </w:tcPr>
          <w:p w:rsidR="00B43C57" w:rsidRPr="00F5723F" w:rsidRDefault="00B43C57">
            <w:pPr>
              <w:pStyle w:val="Tabelltextsiffror"/>
              <w:rPr>
                <w:snapToGrid w:val="0"/>
                <w:color w:val="000000"/>
              </w:rPr>
            </w:pPr>
            <w:r w:rsidRPr="00F5723F">
              <w:rPr>
                <w:snapToGrid w:val="0"/>
                <w:color w:val="000000"/>
              </w:rPr>
              <w:t>80</w:t>
            </w:r>
          </w:p>
        </w:tc>
        <w:tc>
          <w:tcPr>
            <w:tcW w:w="387" w:type="pct"/>
          </w:tcPr>
          <w:p w:rsidR="00B43C57" w:rsidRPr="00F5723F" w:rsidRDefault="00B43C57">
            <w:pPr>
              <w:pStyle w:val="Tabelltextsiffror"/>
              <w:rPr>
                <w:snapToGrid w:val="0"/>
                <w:color w:val="000000"/>
              </w:rPr>
            </w:pPr>
            <w:r w:rsidRPr="00F5723F">
              <w:rPr>
                <w:snapToGrid w:val="0"/>
                <w:color w:val="000000"/>
              </w:rPr>
              <w:t>71</w:t>
            </w:r>
          </w:p>
        </w:tc>
        <w:tc>
          <w:tcPr>
            <w:tcW w:w="622" w:type="pct"/>
            <w:vAlign w:val="bottom"/>
          </w:tcPr>
          <w:p w:rsidR="00B43C57" w:rsidRPr="00F5723F" w:rsidRDefault="00B43C57">
            <w:pPr>
              <w:pStyle w:val="Tabelltextsiffror"/>
              <w:tabs>
                <w:tab w:val="decimal" w:pos="405"/>
              </w:tabs>
              <w:jc w:val="left"/>
            </w:pPr>
            <w:r w:rsidRPr="00F5723F">
              <w:t>–</w:t>
            </w:r>
            <w:r w:rsidRPr="00F5723F">
              <w:t>6</w:t>
            </w:r>
          </w:p>
        </w:tc>
        <w:tc>
          <w:tcPr>
            <w:tcW w:w="640" w:type="pct"/>
            <w:vAlign w:val="bottom"/>
          </w:tcPr>
          <w:p w:rsidR="00B43C57" w:rsidRPr="00F5723F" w:rsidRDefault="00B43C57">
            <w:pPr>
              <w:pStyle w:val="Tabelltextsiffror"/>
              <w:tabs>
                <w:tab w:val="decimal" w:pos="405"/>
              </w:tabs>
              <w:jc w:val="left"/>
            </w:pPr>
            <w:r w:rsidRPr="00F5723F">
              <w:t>–</w:t>
            </w:r>
            <w:r w:rsidRPr="00F5723F">
              <w:t>6</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regionen/valkretsen</w:t>
            </w:r>
          </w:p>
        </w:tc>
        <w:tc>
          <w:tcPr>
            <w:tcW w:w="387" w:type="pct"/>
          </w:tcPr>
          <w:p w:rsidR="00B43C57" w:rsidRPr="00F5723F" w:rsidRDefault="00B43C57">
            <w:pPr>
              <w:pStyle w:val="Tabelltextsiffror"/>
              <w:rPr>
                <w:snapToGrid w:val="0"/>
                <w:color w:val="000000"/>
              </w:rPr>
            </w:pPr>
            <w:r w:rsidRPr="00F5723F">
              <w:rPr>
                <w:snapToGrid w:val="0"/>
                <w:color w:val="000000"/>
              </w:rPr>
              <w:t>44</w:t>
            </w:r>
          </w:p>
        </w:tc>
        <w:tc>
          <w:tcPr>
            <w:tcW w:w="387" w:type="pct"/>
          </w:tcPr>
          <w:p w:rsidR="00B43C57" w:rsidRPr="00F5723F" w:rsidRDefault="00B43C57">
            <w:pPr>
              <w:pStyle w:val="Tabelltextsiffror"/>
              <w:rPr>
                <w:snapToGrid w:val="0"/>
                <w:color w:val="000000"/>
              </w:rPr>
            </w:pPr>
            <w:r w:rsidRPr="00F5723F">
              <w:rPr>
                <w:snapToGrid w:val="0"/>
                <w:color w:val="000000"/>
              </w:rPr>
              <w:t>46</w:t>
            </w:r>
          </w:p>
        </w:tc>
        <w:tc>
          <w:tcPr>
            <w:tcW w:w="387" w:type="pct"/>
          </w:tcPr>
          <w:p w:rsidR="00B43C57" w:rsidRPr="00F5723F" w:rsidRDefault="00B43C57">
            <w:pPr>
              <w:pStyle w:val="Tabelltextsiffror"/>
              <w:rPr>
                <w:snapToGrid w:val="0"/>
                <w:color w:val="000000"/>
              </w:rPr>
            </w:pPr>
            <w:r w:rsidRPr="00F5723F">
              <w:rPr>
                <w:snapToGrid w:val="0"/>
                <w:color w:val="000000"/>
              </w:rPr>
              <w:t>39</w:t>
            </w:r>
          </w:p>
        </w:tc>
        <w:tc>
          <w:tcPr>
            <w:tcW w:w="387" w:type="pct"/>
          </w:tcPr>
          <w:p w:rsidR="00B43C57" w:rsidRPr="00F5723F" w:rsidRDefault="00B43C57">
            <w:pPr>
              <w:pStyle w:val="Tabelltextsiffror"/>
              <w:rPr>
                <w:snapToGrid w:val="0"/>
                <w:color w:val="000000"/>
              </w:rPr>
            </w:pPr>
            <w:r w:rsidRPr="00F5723F">
              <w:rPr>
                <w:snapToGrid w:val="0"/>
                <w:color w:val="000000"/>
              </w:rPr>
              <w:t>38</w:t>
            </w:r>
          </w:p>
        </w:tc>
        <w:tc>
          <w:tcPr>
            <w:tcW w:w="387" w:type="pct"/>
          </w:tcPr>
          <w:p w:rsidR="00B43C57" w:rsidRPr="00F5723F" w:rsidRDefault="00B43C57">
            <w:pPr>
              <w:pStyle w:val="Tabelltextsiffror"/>
              <w:rPr>
                <w:snapToGrid w:val="0"/>
                <w:color w:val="000000"/>
              </w:rPr>
            </w:pPr>
            <w:r w:rsidRPr="00F5723F">
              <w:rPr>
                <w:snapToGrid w:val="0"/>
                <w:color w:val="000000"/>
              </w:rPr>
              <w:t>46</w:t>
            </w:r>
          </w:p>
        </w:tc>
        <w:tc>
          <w:tcPr>
            <w:tcW w:w="387" w:type="pct"/>
          </w:tcPr>
          <w:p w:rsidR="00B43C57" w:rsidRPr="00F5723F" w:rsidRDefault="00B43C57">
            <w:pPr>
              <w:pStyle w:val="Tabelltextsiffror"/>
              <w:rPr>
                <w:snapToGrid w:val="0"/>
                <w:color w:val="000000"/>
              </w:rPr>
            </w:pPr>
            <w:r w:rsidRPr="00F5723F">
              <w:rPr>
                <w:snapToGrid w:val="0"/>
                <w:color w:val="000000"/>
              </w:rPr>
              <w:t>48</w:t>
            </w:r>
          </w:p>
        </w:tc>
        <w:tc>
          <w:tcPr>
            <w:tcW w:w="622" w:type="pct"/>
            <w:vAlign w:val="bottom"/>
          </w:tcPr>
          <w:p w:rsidR="00B43C57" w:rsidRPr="00F5723F" w:rsidRDefault="00B43C57">
            <w:pPr>
              <w:pStyle w:val="Tabelltextsiffror"/>
              <w:tabs>
                <w:tab w:val="decimal" w:pos="405"/>
              </w:tabs>
              <w:jc w:val="left"/>
            </w:pPr>
            <w:r w:rsidRPr="00F5723F">
              <w:t>+4</w:t>
            </w:r>
          </w:p>
        </w:tc>
        <w:tc>
          <w:tcPr>
            <w:tcW w:w="640" w:type="pct"/>
            <w:vAlign w:val="bottom"/>
          </w:tcPr>
          <w:p w:rsidR="00B43C57" w:rsidRPr="00F5723F" w:rsidRDefault="00B43C57">
            <w:pPr>
              <w:pStyle w:val="Tabelltextsiffror"/>
              <w:tabs>
                <w:tab w:val="decimal" w:pos="405"/>
              </w:tabs>
              <w:jc w:val="left"/>
            </w:pPr>
            <w:r w:rsidRPr="00F5723F">
              <w:t>+9</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personliga åsikter</w:t>
            </w:r>
          </w:p>
        </w:tc>
        <w:tc>
          <w:tcPr>
            <w:tcW w:w="387" w:type="pct"/>
          </w:tcPr>
          <w:p w:rsidR="00B43C57" w:rsidRPr="00F5723F" w:rsidRDefault="00B43C57">
            <w:pPr>
              <w:pStyle w:val="Tabelltextsiffror"/>
              <w:rPr>
                <w:snapToGrid w:val="0"/>
                <w:color w:val="000000"/>
              </w:rPr>
            </w:pPr>
            <w:r w:rsidRPr="00F5723F">
              <w:rPr>
                <w:snapToGrid w:val="0"/>
                <w:color w:val="000000"/>
              </w:rPr>
              <w:t>34</w:t>
            </w:r>
          </w:p>
        </w:tc>
        <w:tc>
          <w:tcPr>
            <w:tcW w:w="387" w:type="pct"/>
          </w:tcPr>
          <w:p w:rsidR="00B43C57" w:rsidRPr="00F5723F" w:rsidRDefault="00B43C57">
            <w:pPr>
              <w:pStyle w:val="Tabelltextsiffror"/>
              <w:rPr>
                <w:snapToGrid w:val="0"/>
                <w:color w:val="000000"/>
              </w:rPr>
            </w:pPr>
            <w:r w:rsidRPr="00F5723F">
              <w:rPr>
                <w:snapToGrid w:val="0"/>
                <w:color w:val="000000"/>
              </w:rPr>
              <w:t>30</w:t>
            </w:r>
          </w:p>
        </w:tc>
        <w:tc>
          <w:tcPr>
            <w:tcW w:w="387" w:type="pct"/>
          </w:tcPr>
          <w:p w:rsidR="00B43C57" w:rsidRPr="00F5723F" w:rsidRDefault="00B43C57">
            <w:pPr>
              <w:pStyle w:val="Tabelltextsiffror"/>
              <w:rPr>
                <w:snapToGrid w:val="0"/>
                <w:color w:val="000000"/>
              </w:rPr>
            </w:pPr>
            <w:r w:rsidRPr="00F5723F">
              <w:rPr>
                <w:snapToGrid w:val="0"/>
                <w:color w:val="000000"/>
              </w:rPr>
              <w:t>34</w:t>
            </w:r>
          </w:p>
        </w:tc>
        <w:tc>
          <w:tcPr>
            <w:tcW w:w="387" w:type="pct"/>
          </w:tcPr>
          <w:p w:rsidR="00B43C57" w:rsidRPr="00F5723F" w:rsidRDefault="00B43C57">
            <w:pPr>
              <w:pStyle w:val="Tabelltextsiffror"/>
              <w:rPr>
                <w:snapToGrid w:val="0"/>
                <w:color w:val="000000"/>
              </w:rPr>
            </w:pPr>
            <w:r w:rsidRPr="00F5723F">
              <w:rPr>
                <w:snapToGrid w:val="0"/>
                <w:color w:val="000000"/>
              </w:rPr>
              <w:t>44</w:t>
            </w:r>
          </w:p>
        </w:tc>
        <w:tc>
          <w:tcPr>
            <w:tcW w:w="387" w:type="pct"/>
          </w:tcPr>
          <w:p w:rsidR="00B43C57" w:rsidRPr="00F5723F" w:rsidRDefault="00B43C57">
            <w:pPr>
              <w:pStyle w:val="Tabelltextsiffror"/>
              <w:rPr>
                <w:snapToGrid w:val="0"/>
                <w:color w:val="000000"/>
              </w:rPr>
            </w:pPr>
            <w:r w:rsidRPr="00F5723F">
              <w:rPr>
                <w:snapToGrid w:val="0"/>
                <w:color w:val="000000"/>
              </w:rPr>
              <w:t>33</w:t>
            </w:r>
          </w:p>
        </w:tc>
        <w:tc>
          <w:tcPr>
            <w:tcW w:w="387" w:type="pct"/>
          </w:tcPr>
          <w:p w:rsidR="00B43C57" w:rsidRPr="00F5723F" w:rsidRDefault="00B43C57">
            <w:pPr>
              <w:pStyle w:val="Tabelltextsiffror"/>
              <w:rPr>
                <w:snapToGrid w:val="0"/>
                <w:color w:val="000000"/>
              </w:rPr>
            </w:pPr>
            <w:r w:rsidRPr="00F5723F">
              <w:rPr>
                <w:snapToGrid w:val="0"/>
                <w:color w:val="000000"/>
              </w:rPr>
              <w:t>36</w:t>
            </w:r>
          </w:p>
        </w:tc>
        <w:tc>
          <w:tcPr>
            <w:tcW w:w="622" w:type="pct"/>
            <w:vAlign w:val="bottom"/>
          </w:tcPr>
          <w:p w:rsidR="00B43C57" w:rsidRPr="00F5723F" w:rsidRDefault="00B43C57">
            <w:pPr>
              <w:pStyle w:val="Tabelltextsiffror"/>
              <w:tabs>
                <w:tab w:val="decimal" w:pos="405"/>
              </w:tabs>
              <w:jc w:val="left"/>
            </w:pPr>
            <w:r w:rsidRPr="00F5723F">
              <w:t>+2</w:t>
            </w:r>
          </w:p>
        </w:tc>
        <w:tc>
          <w:tcPr>
            <w:tcW w:w="640" w:type="pct"/>
            <w:vAlign w:val="bottom"/>
          </w:tcPr>
          <w:p w:rsidR="00B43C57" w:rsidRPr="00F5723F" w:rsidRDefault="00B43C57">
            <w:pPr>
              <w:pStyle w:val="Tabelltextsiffror"/>
              <w:tabs>
                <w:tab w:val="decimal" w:pos="405"/>
              </w:tabs>
              <w:jc w:val="left"/>
            </w:pPr>
            <w:r w:rsidRPr="00F5723F">
              <w:t>+2</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enskilda väljare</w:t>
            </w:r>
          </w:p>
        </w:tc>
        <w:tc>
          <w:tcPr>
            <w:tcW w:w="387" w:type="pct"/>
          </w:tcPr>
          <w:p w:rsidR="00B43C57" w:rsidRPr="00F5723F" w:rsidRDefault="00B43C57">
            <w:pPr>
              <w:pStyle w:val="Tabelltextsiffror"/>
              <w:rPr>
                <w:snapToGrid w:val="0"/>
                <w:color w:val="000000"/>
              </w:rPr>
            </w:pPr>
            <w:r w:rsidRPr="00F5723F">
              <w:rPr>
                <w:snapToGrid w:val="0"/>
                <w:color w:val="000000"/>
              </w:rPr>
              <w:t>49</w:t>
            </w:r>
          </w:p>
        </w:tc>
        <w:tc>
          <w:tcPr>
            <w:tcW w:w="387" w:type="pct"/>
          </w:tcPr>
          <w:p w:rsidR="00B43C57" w:rsidRPr="00F5723F" w:rsidRDefault="00B43C57">
            <w:pPr>
              <w:pStyle w:val="Tabelltextsiffror"/>
              <w:rPr>
                <w:snapToGrid w:val="0"/>
                <w:color w:val="000000"/>
              </w:rPr>
            </w:pPr>
            <w:r w:rsidRPr="00F5723F">
              <w:rPr>
                <w:snapToGrid w:val="0"/>
                <w:color w:val="000000"/>
              </w:rPr>
              <w:t>47</w:t>
            </w:r>
          </w:p>
        </w:tc>
        <w:tc>
          <w:tcPr>
            <w:tcW w:w="387" w:type="pct"/>
          </w:tcPr>
          <w:p w:rsidR="00B43C57" w:rsidRPr="00F5723F" w:rsidRDefault="00B43C57">
            <w:pPr>
              <w:pStyle w:val="Tabelltextsiffror"/>
              <w:rPr>
                <w:snapToGrid w:val="0"/>
                <w:color w:val="000000"/>
              </w:rPr>
            </w:pPr>
            <w:r w:rsidRPr="00F5723F">
              <w:rPr>
                <w:snapToGrid w:val="0"/>
                <w:color w:val="000000"/>
              </w:rPr>
              <w:t>30</w:t>
            </w:r>
          </w:p>
        </w:tc>
        <w:tc>
          <w:tcPr>
            <w:tcW w:w="387" w:type="pct"/>
          </w:tcPr>
          <w:p w:rsidR="00B43C57" w:rsidRPr="00F5723F" w:rsidRDefault="00B43C57">
            <w:pPr>
              <w:pStyle w:val="Tabelltextsiffror"/>
              <w:rPr>
                <w:snapToGrid w:val="0"/>
                <w:color w:val="000000"/>
              </w:rPr>
            </w:pPr>
            <w:r w:rsidRPr="00F5723F">
              <w:rPr>
                <w:snapToGrid w:val="0"/>
                <w:color w:val="000000"/>
              </w:rPr>
              <w:t>29</w:t>
            </w:r>
          </w:p>
        </w:tc>
        <w:tc>
          <w:tcPr>
            <w:tcW w:w="387" w:type="pct"/>
          </w:tcPr>
          <w:p w:rsidR="00B43C57" w:rsidRPr="00F5723F" w:rsidRDefault="00B43C57">
            <w:pPr>
              <w:pStyle w:val="Tabelltextsiffror"/>
              <w:rPr>
                <w:snapToGrid w:val="0"/>
                <w:color w:val="000000"/>
              </w:rPr>
            </w:pPr>
            <w:r w:rsidRPr="00F5723F">
              <w:rPr>
                <w:snapToGrid w:val="0"/>
                <w:color w:val="000000"/>
              </w:rPr>
              <w:t>35</w:t>
            </w:r>
          </w:p>
        </w:tc>
        <w:tc>
          <w:tcPr>
            <w:tcW w:w="387" w:type="pct"/>
          </w:tcPr>
          <w:p w:rsidR="00B43C57" w:rsidRPr="00F5723F" w:rsidRDefault="00B43C57">
            <w:pPr>
              <w:pStyle w:val="Tabelltextsiffror"/>
              <w:rPr>
                <w:snapToGrid w:val="0"/>
                <w:color w:val="000000"/>
              </w:rPr>
            </w:pPr>
            <w:r w:rsidRPr="00F5723F">
              <w:rPr>
                <w:snapToGrid w:val="0"/>
                <w:color w:val="000000"/>
              </w:rPr>
              <w:t>34</w:t>
            </w:r>
          </w:p>
        </w:tc>
        <w:tc>
          <w:tcPr>
            <w:tcW w:w="622" w:type="pct"/>
            <w:vAlign w:val="bottom"/>
          </w:tcPr>
          <w:p w:rsidR="00B43C57" w:rsidRPr="00F5723F" w:rsidRDefault="00B43C57">
            <w:pPr>
              <w:pStyle w:val="Tabelltextsiffror"/>
              <w:tabs>
                <w:tab w:val="decimal" w:pos="405"/>
              </w:tabs>
              <w:jc w:val="left"/>
            </w:pPr>
            <w:r w:rsidRPr="00F5723F">
              <w:t xml:space="preserve"> –</w:t>
            </w:r>
            <w:r w:rsidRPr="00F5723F">
              <w:t>15</w:t>
            </w:r>
          </w:p>
        </w:tc>
        <w:tc>
          <w:tcPr>
            <w:tcW w:w="640" w:type="pct"/>
            <w:vAlign w:val="bottom"/>
          </w:tcPr>
          <w:p w:rsidR="00B43C57" w:rsidRPr="00F5723F" w:rsidRDefault="00B43C57">
            <w:pPr>
              <w:pStyle w:val="Tabelltextsiffror"/>
              <w:tabs>
                <w:tab w:val="decimal" w:pos="405"/>
              </w:tabs>
              <w:jc w:val="left"/>
            </w:pPr>
            <w:r w:rsidRPr="00F5723F">
              <w:t>+4</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rPr>
                <w:sz w:val="18"/>
                <w:szCs w:val="18"/>
              </w:rPr>
            </w:pPr>
          </w:p>
        </w:tc>
        <w:tc>
          <w:tcPr>
            <w:tcW w:w="387" w:type="pct"/>
          </w:tcPr>
          <w:p w:rsidR="00B43C57" w:rsidRPr="00F5723F" w:rsidRDefault="00B43C57">
            <w:pPr>
              <w:pStyle w:val="Tabelltextsiffror"/>
              <w:rPr>
                <w:snapToGrid w:val="0"/>
                <w:color w:val="000000"/>
                <w:sz w:val="18"/>
                <w:szCs w:val="18"/>
              </w:rPr>
            </w:pPr>
          </w:p>
        </w:tc>
        <w:tc>
          <w:tcPr>
            <w:tcW w:w="387" w:type="pct"/>
          </w:tcPr>
          <w:p w:rsidR="00B43C57" w:rsidRPr="00F5723F" w:rsidRDefault="00B43C57">
            <w:pPr>
              <w:pStyle w:val="Tabelltextsiffror"/>
              <w:rPr>
                <w:snapToGrid w:val="0"/>
                <w:color w:val="000000"/>
                <w:sz w:val="18"/>
                <w:szCs w:val="18"/>
              </w:rPr>
            </w:pPr>
          </w:p>
        </w:tc>
        <w:tc>
          <w:tcPr>
            <w:tcW w:w="387" w:type="pct"/>
          </w:tcPr>
          <w:p w:rsidR="00B43C57" w:rsidRPr="00F5723F" w:rsidRDefault="00B43C57">
            <w:pPr>
              <w:pStyle w:val="Tabelltextsiffror"/>
              <w:rPr>
                <w:snapToGrid w:val="0"/>
                <w:color w:val="000000"/>
                <w:sz w:val="18"/>
                <w:szCs w:val="18"/>
              </w:rPr>
            </w:pPr>
          </w:p>
        </w:tc>
        <w:tc>
          <w:tcPr>
            <w:tcW w:w="387" w:type="pct"/>
          </w:tcPr>
          <w:p w:rsidR="00B43C57" w:rsidRPr="00F5723F" w:rsidRDefault="00B43C57">
            <w:pPr>
              <w:pStyle w:val="Tabelltextsiffror"/>
              <w:rPr>
                <w:snapToGrid w:val="0"/>
                <w:color w:val="000000"/>
                <w:sz w:val="18"/>
                <w:szCs w:val="18"/>
              </w:rPr>
            </w:pPr>
          </w:p>
        </w:tc>
        <w:tc>
          <w:tcPr>
            <w:tcW w:w="387" w:type="pct"/>
          </w:tcPr>
          <w:p w:rsidR="00B43C57" w:rsidRPr="00F5723F" w:rsidRDefault="00B43C57">
            <w:pPr>
              <w:pStyle w:val="Tabelltextsiffror"/>
              <w:rPr>
                <w:snapToGrid w:val="0"/>
                <w:color w:val="000000"/>
                <w:sz w:val="18"/>
                <w:szCs w:val="18"/>
              </w:rPr>
            </w:pPr>
          </w:p>
        </w:tc>
        <w:tc>
          <w:tcPr>
            <w:tcW w:w="387" w:type="pct"/>
          </w:tcPr>
          <w:p w:rsidR="00B43C57" w:rsidRPr="00F5723F" w:rsidRDefault="00B43C57">
            <w:pPr>
              <w:pStyle w:val="Tabelltextsiffror"/>
              <w:rPr>
                <w:snapToGrid w:val="0"/>
                <w:color w:val="000000"/>
                <w:sz w:val="18"/>
                <w:szCs w:val="18"/>
              </w:rPr>
            </w:pPr>
          </w:p>
        </w:tc>
        <w:tc>
          <w:tcPr>
            <w:tcW w:w="622" w:type="pct"/>
            <w:vAlign w:val="bottom"/>
          </w:tcPr>
          <w:p w:rsidR="00B43C57" w:rsidRPr="00F5723F" w:rsidRDefault="00B43C57">
            <w:pPr>
              <w:pStyle w:val="Tabelltextsiffror"/>
              <w:tabs>
                <w:tab w:val="decimal" w:pos="405"/>
              </w:tabs>
              <w:jc w:val="left"/>
              <w:rPr>
                <w:sz w:val="18"/>
                <w:szCs w:val="18"/>
              </w:rPr>
            </w:pPr>
          </w:p>
        </w:tc>
        <w:tc>
          <w:tcPr>
            <w:tcW w:w="640" w:type="pct"/>
            <w:vAlign w:val="bottom"/>
          </w:tcPr>
          <w:p w:rsidR="00B43C57" w:rsidRPr="00F5723F" w:rsidRDefault="00B43C57">
            <w:pPr>
              <w:pStyle w:val="Tabelltextsiffror"/>
              <w:tabs>
                <w:tab w:val="decimal" w:pos="405"/>
              </w:tabs>
              <w:jc w:val="left"/>
              <w:rPr>
                <w:sz w:val="18"/>
                <w:szCs w:val="18"/>
              </w:rPr>
            </w:pP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flyktingar/invandrare</w:t>
            </w:r>
          </w:p>
        </w:tc>
        <w:tc>
          <w:tcPr>
            <w:tcW w:w="387" w:type="pct"/>
          </w:tcPr>
          <w:p w:rsidR="00B43C57" w:rsidRPr="00F5723F" w:rsidRDefault="00B43C57">
            <w:pPr>
              <w:pStyle w:val="Tabelltextsiffror"/>
              <w:rPr>
                <w:snapToGrid w:val="0"/>
                <w:color w:val="000000"/>
              </w:rPr>
            </w:pPr>
            <w:r w:rsidRPr="00F5723F">
              <w:rPr>
                <w:snapToGrid w:val="0"/>
                <w:color w:val="000000"/>
              </w:rPr>
              <w:t>–</w:t>
            </w:r>
          </w:p>
        </w:tc>
        <w:tc>
          <w:tcPr>
            <w:tcW w:w="387" w:type="pct"/>
          </w:tcPr>
          <w:p w:rsidR="00B43C57" w:rsidRPr="00F5723F" w:rsidRDefault="00B43C57">
            <w:pPr>
              <w:pStyle w:val="Tabelltextsiffror"/>
              <w:rPr>
                <w:snapToGrid w:val="0"/>
                <w:color w:val="000000"/>
              </w:rPr>
            </w:pPr>
            <w:r w:rsidRPr="00F5723F">
              <w:rPr>
                <w:snapToGrid w:val="0"/>
                <w:color w:val="000000"/>
              </w:rPr>
              <w:t>–</w:t>
            </w:r>
          </w:p>
        </w:tc>
        <w:tc>
          <w:tcPr>
            <w:tcW w:w="387" w:type="pct"/>
          </w:tcPr>
          <w:p w:rsidR="00B43C57" w:rsidRPr="00F5723F" w:rsidRDefault="00B43C57">
            <w:pPr>
              <w:pStyle w:val="Tabelltextsiffror"/>
              <w:rPr>
                <w:snapToGrid w:val="0"/>
                <w:color w:val="000000"/>
              </w:rPr>
            </w:pPr>
            <w:r w:rsidRPr="00F5723F">
              <w:rPr>
                <w:snapToGrid w:val="0"/>
                <w:color w:val="000000"/>
              </w:rPr>
              <w:t>14</w:t>
            </w:r>
          </w:p>
        </w:tc>
        <w:tc>
          <w:tcPr>
            <w:tcW w:w="387" w:type="pct"/>
          </w:tcPr>
          <w:p w:rsidR="00B43C57" w:rsidRPr="00F5723F" w:rsidRDefault="00B43C57">
            <w:pPr>
              <w:pStyle w:val="Tabelltextsiffror"/>
              <w:rPr>
                <w:snapToGrid w:val="0"/>
                <w:color w:val="000000"/>
              </w:rPr>
            </w:pPr>
            <w:r w:rsidRPr="00F5723F">
              <w:rPr>
                <w:snapToGrid w:val="0"/>
                <w:color w:val="000000"/>
              </w:rPr>
              <w:t>15</w:t>
            </w:r>
          </w:p>
        </w:tc>
        <w:tc>
          <w:tcPr>
            <w:tcW w:w="387" w:type="pct"/>
          </w:tcPr>
          <w:p w:rsidR="00B43C57" w:rsidRPr="00F5723F" w:rsidRDefault="00B43C57">
            <w:pPr>
              <w:pStyle w:val="Tabelltextsiffror"/>
              <w:rPr>
                <w:snapToGrid w:val="0"/>
                <w:color w:val="000000"/>
              </w:rPr>
            </w:pPr>
            <w:r w:rsidRPr="00F5723F">
              <w:rPr>
                <w:snapToGrid w:val="0"/>
                <w:color w:val="000000"/>
              </w:rPr>
              <w:t>28</w:t>
            </w:r>
          </w:p>
        </w:tc>
        <w:tc>
          <w:tcPr>
            <w:tcW w:w="387" w:type="pct"/>
          </w:tcPr>
          <w:p w:rsidR="00B43C57" w:rsidRPr="00F5723F" w:rsidRDefault="00B43C57">
            <w:pPr>
              <w:pStyle w:val="Tabelltextsiffror"/>
              <w:rPr>
                <w:snapToGrid w:val="0"/>
                <w:color w:val="000000"/>
              </w:rPr>
            </w:pPr>
            <w:r w:rsidRPr="00F5723F">
              <w:rPr>
                <w:snapToGrid w:val="0"/>
                <w:color w:val="000000"/>
              </w:rPr>
              <w:t>30</w:t>
            </w:r>
          </w:p>
        </w:tc>
        <w:tc>
          <w:tcPr>
            <w:tcW w:w="622" w:type="pct"/>
            <w:vAlign w:val="bottom"/>
          </w:tcPr>
          <w:p w:rsidR="00B43C57" w:rsidRPr="00F5723F" w:rsidRDefault="00B43C57">
            <w:pPr>
              <w:pStyle w:val="Tabelltextsiffror"/>
              <w:tabs>
                <w:tab w:val="decimal" w:pos="405"/>
              </w:tabs>
              <w:jc w:val="left"/>
            </w:pPr>
            <w:r w:rsidRPr="00F5723F">
              <w:t>+16</w:t>
            </w:r>
          </w:p>
        </w:tc>
        <w:tc>
          <w:tcPr>
            <w:tcW w:w="640" w:type="pct"/>
            <w:vAlign w:val="bottom"/>
          </w:tcPr>
          <w:p w:rsidR="00B43C57" w:rsidRPr="00F5723F" w:rsidRDefault="00B43C57">
            <w:pPr>
              <w:pStyle w:val="Tabelltextsiffror"/>
              <w:tabs>
                <w:tab w:val="decimal" w:pos="405"/>
              </w:tabs>
              <w:jc w:val="left"/>
            </w:pPr>
            <w:r w:rsidRPr="00F5723F">
              <w:t>+16</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kvinnor</w:t>
            </w:r>
          </w:p>
        </w:tc>
        <w:tc>
          <w:tcPr>
            <w:tcW w:w="387" w:type="pct"/>
          </w:tcPr>
          <w:p w:rsidR="00B43C57" w:rsidRPr="00F5723F" w:rsidRDefault="00B43C57">
            <w:pPr>
              <w:pStyle w:val="Tabelltextsiffror"/>
              <w:rPr>
                <w:snapToGrid w:val="0"/>
                <w:color w:val="000000"/>
              </w:rPr>
            </w:pPr>
            <w:r w:rsidRPr="00F5723F">
              <w:rPr>
                <w:snapToGrid w:val="0"/>
                <w:color w:val="000000"/>
              </w:rPr>
              <w:t>24</w:t>
            </w:r>
          </w:p>
        </w:tc>
        <w:tc>
          <w:tcPr>
            <w:tcW w:w="387" w:type="pct"/>
          </w:tcPr>
          <w:p w:rsidR="00B43C57" w:rsidRPr="00F5723F" w:rsidRDefault="00B43C57">
            <w:pPr>
              <w:pStyle w:val="Tabelltextsiffror"/>
              <w:rPr>
                <w:snapToGrid w:val="0"/>
                <w:color w:val="000000"/>
              </w:rPr>
            </w:pPr>
            <w:r w:rsidRPr="00F5723F">
              <w:rPr>
                <w:snapToGrid w:val="0"/>
                <w:color w:val="000000"/>
              </w:rPr>
              <w:t>27</w:t>
            </w:r>
          </w:p>
        </w:tc>
        <w:tc>
          <w:tcPr>
            <w:tcW w:w="387" w:type="pct"/>
          </w:tcPr>
          <w:p w:rsidR="00B43C57" w:rsidRPr="00F5723F" w:rsidRDefault="00B43C57">
            <w:pPr>
              <w:pStyle w:val="Tabelltextsiffror"/>
              <w:rPr>
                <w:snapToGrid w:val="0"/>
                <w:color w:val="000000"/>
              </w:rPr>
            </w:pPr>
            <w:r w:rsidRPr="00F5723F">
              <w:rPr>
                <w:snapToGrid w:val="0"/>
                <w:color w:val="000000"/>
              </w:rPr>
              <w:t>26</w:t>
            </w:r>
          </w:p>
        </w:tc>
        <w:tc>
          <w:tcPr>
            <w:tcW w:w="387" w:type="pct"/>
          </w:tcPr>
          <w:p w:rsidR="00B43C57" w:rsidRPr="00F5723F" w:rsidRDefault="00B43C57">
            <w:pPr>
              <w:pStyle w:val="Tabelltextsiffror"/>
              <w:rPr>
                <w:snapToGrid w:val="0"/>
                <w:color w:val="000000"/>
              </w:rPr>
            </w:pPr>
            <w:r w:rsidRPr="00F5723F">
              <w:rPr>
                <w:snapToGrid w:val="0"/>
                <w:color w:val="000000"/>
              </w:rPr>
              <w:t>29</w:t>
            </w:r>
          </w:p>
        </w:tc>
        <w:tc>
          <w:tcPr>
            <w:tcW w:w="387" w:type="pct"/>
          </w:tcPr>
          <w:p w:rsidR="00B43C57" w:rsidRPr="00F5723F" w:rsidRDefault="00B43C57">
            <w:pPr>
              <w:pStyle w:val="Tabelltextsiffror"/>
              <w:rPr>
                <w:snapToGrid w:val="0"/>
                <w:color w:val="000000"/>
              </w:rPr>
            </w:pPr>
            <w:r w:rsidRPr="00F5723F">
              <w:rPr>
                <w:snapToGrid w:val="0"/>
                <w:color w:val="000000"/>
              </w:rPr>
              <w:t>31</w:t>
            </w:r>
          </w:p>
        </w:tc>
        <w:tc>
          <w:tcPr>
            <w:tcW w:w="387" w:type="pct"/>
          </w:tcPr>
          <w:p w:rsidR="00B43C57" w:rsidRPr="00F5723F" w:rsidRDefault="00B43C57">
            <w:pPr>
              <w:pStyle w:val="Tabelltextsiffror"/>
              <w:rPr>
                <w:snapToGrid w:val="0"/>
                <w:color w:val="000000"/>
              </w:rPr>
            </w:pPr>
            <w:r w:rsidRPr="00F5723F">
              <w:rPr>
                <w:snapToGrid w:val="0"/>
                <w:color w:val="000000"/>
              </w:rPr>
              <w:t>28</w:t>
            </w:r>
          </w:p>
        </w:tc>
        <w:tc>
          <w:tcPr>
            <w:tcW w:w="622" w:type="pct"/>
            <w:vAlign w:val="bottom"/>
          </w:tcPr>
          <w:p w:rsidR="00B43C57" w:rsidRPr="00F5723F" w:rsidRDefault="00B43C57">
            <w:pPr>
              <w:pStyle w:val="Tabelltextsiffror"/>
              <w:tabs>
                <w:tab w:val="decimal" w:pos="405"/>
              </w:tabs>
              <w:jc w:val="left"/>
            </w:pPr>
            <w:r w:rsidRPr="00F5723F">
              <w:t>+4</w:t>
            </w:r>
          </w:p>
        </w:tc>
        <w:tc>
          <w:tcPr>
            <w:tcW w:w="640" w:type="pct"/>
            <w:vAlign w:val="bottom"/>
          </w:tcPr>
          <w:p w:rsidR="00B43C57" w:rsidRPr="00F5723F" w:rsidRDefault="00B43C57">
            <w:pPr>
              <w:pStyle w:val="Tabelltextsiffror"/>
              <w:tabs>
                <w:tab w:val="decimal" w:pos="405"/>
              </w:tabs>
              <w:jc w:val="left"/>
            </w:pPr>
            <w:r w:rsidRPr="00F5723F">
              <w:t>+2</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löntagare</w:t>
            </w:r>
          </w:p>
        </w:tc>
        <w:tc>
          <w:tcPr>
            <w:tcW w:w="387" w:type="pct"/>
          </w:tcPr>
          <w:p w:rsidR="00B43C57" w:rsidRPr="00F5723F" w:rsidRDefault="00B43C57">
            <w:pPr>
              <w:pStyle w:val="Tabelltextsiffror"/>
              <w:rPr>
                <w:snapToGrid w:val="0"/>
                <w:color w:val="000000"/>
              </w:rPr>
            </w:pPr>
            <w:r w:rsidRPr="00F5723F">
              <w:rPr>
                <w:snapToGrid w:val="0"/>
                <w:color w:val="000000"/>
              </w:rPr>
              <w:t>29</w:t>
            </w:r>
          </w:p>
        </w:tc>
        <w:tc>
          <w:tcPr>
            <w:tcW w:w="387" w:type="pct"/>
          </w:tcPr>
          <w:p w:rsidR="00B43C57" w:rsidRPr="00F5723F" w:rsidRDefault="00B43C57">
            <w:pPr>
              <w:pStyle w:val="Tabelltextsiffror"/>
              <w:rPr>
                <w:snapToGrid w:val="0"/>
                <w:color w:val="000000"/>
              </w:rPr>
            </w:pPr>
            <w:r w:rsidRPr="00F5723F">
              <w:rPr>
                <w:snapToGrid w:val="0"/>
                <w:color w:val="000000"/>
              </w:rPr>
              <w:t>28</w:t>
            </w:r>
          </w:p>
        </w:tc>
        <w:tc>
          <w:tcPr>
            <w:tcW w:w="387" w:type="pct"/>
          </w:tcPr>
          <w:p w:rsidR="00B43C57" w:rsidRPr="00F5723F" w:rsidRDefault="00B43C57">
            <w:pPr>
              <w:pStyle w:val="Tabelltextsiffror"/>
              <w:rPr>
                <w:snapToGrid w:val="0"/>
                <w:color w:val="000000"/>
              </w:rPr>
            </w:pPr>
            <w:r w:rsidRPr="00F5723F">
              <w:rPr>
                <w:snapToGrid w:val="0"/>
                <w:color w:val="000000"/>
              </w:rPr>
              <w:t>17</w:t>
            </w:r>
          </w:p>
        </w:tc>
        <w:tc>
          <w:tcPr>
            <w:tcW w:w="387" w:type="pct"/>
          </w:tcPr>
          <w:p w:rsidR="00B43C57" w:rsidRPr="00F5723F" w:rsidRDefault="00B43C57">
            <w:pPr>
              <w:pStyle w:val="Tabelltextsiffror"/>
              <w:rPr>
                <w:snapToGrid w:val="0"/>
                <w:color w:val="000000"/>
              </w:rPr>
            </w:pPr>
            <w:r w:rsidRPr="00F5723F">
              <w:rPr>
                <w:snapToGrid w:val="0"/>
                <w:color w:val="000000"/>
              </w:rPr>
              <w:t>23</w:t>
            </w:r>
          </w:p>
        </w:tc>
        <w:tc>
          <w:tcPr>
            <w:tcW w:w="387" w:type="pct"/>
          </w:tcPr>
          <w:p w:rsidR="00B43C57" w:rsidRPr="00F5723F" w:rsidRDefault="00B43C57">
            <w:pPr>
              <w:pStyle w:val="Tabelltextsiffror"/>
              <w:rPr>
                <w:snapToGrid w:val="0"/>
                <w:color w:val="000000"/>
              </w:rPr>
            </w:pPr>
            <w:r w:rsidRPr="00F5723F">
              <w:rPr>
                <w:snapToGrid w:val="0"/>
                <w:color w:val="000000"/>
              </w:rPr>
              <w:t>25</w:t>
            </w:r>
          </w:p>
        </w:tc>
        <w:tc>
          <w:tcPr>
            <w:tcW w:w="387" w:type="pct"/>
          </w:tcPr>
          <w:p w:rsidR="00B43C57" w:rsidRPr="00F5723F" w:rsidRDefault="00B43C57">
            <w:pPr>
              <w:pStyle w:val="Tabelltextsiffror"/>
              <w:rPr>
                <w:snapToGrid w:val="0"/>
                <w:color w:val="000000"/>
              </w:rPr>
            </w:pPr>
            <w:r w:rsidRPr="00F5723F">
              <w:rPr>
                <w:snapToGrid w:val="0"/>
                <w:color w:val="000000"/>
              </w:rPr>
              <w:t>23</w:t>
            </w:r>
          </w:p>
        </w:tc>
        <w:tc>
          <w:tcPr>
            <w:tcW w:w="622" w:type="pct"/>
            <w:vAlign w:val="bottom"/>
          </w:tcPr>
          <w:p w:rsidR="00B43C57" w:rsidRPr="00F5723F" w:rsidRDefault="00B43C57">
            <w:pPr>
              <w:pStyle w:val="Tabelltextsiffror"/>
              <w:tabs>
                <w:tab w:val="decimal" w:pos="405"/>
              </w:tabs>
              <w:jc w:val="left"/>
            </w:pPr>
            <w:r w:rsidRPr="00F5723F">
              <w:t>–</w:t>
            </w:r>
            <w:r w:rsidRPr="00F5723F">
              <w:t>6</w:t>
            </w:r>
          </w:p>
        </w:tc>
        <w:tc>
          <w:tcPr>
            <w:tcW w:w="640" w:type="pct"/>
            <w:vAlign w:val="bottom"/>
          </w:tcPr>
          <w:p w:rsidR="00B43C57" w:rsidRPr="00F5723F" w:rsidRDefault="00B43C57">
            <w:pPr>
              <w:pStyle w:val="Tabelltextsiffror"/>
              <w:tabs>
                <w:tab w:val="decimal" w:pos="405"/>
              </w:tabs>
              <w:jc w:val="left"/>
            </w:pPr>
            <w:r w:rsidRPr="00F5723F">
              <w:t>+6</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unga</w:t>
            </w:r>
          </w:p>
        </w:tc>
        <w:tc>
          <w:tcPr>
            <w:tcW w:w="387" w:type="pct"/>
          </w:tcPr>
          <w:p w:rsidR="00B43C57" w:rsidRPr="00F5723F" w:rsidRDefault="00B43C57">
            <w:pPr>
              <w:pStyle w:val="Tabelltextsiffror"/>
              <w:rPr>
                <w:snapToGrid w:val="0"/>
                <w:color w:val="000000"/>
              </w:rPr>
            </w:pPr>
            <w:r w:rsidRPr="00F5723F">
              <w:rPr>
                <w:snapToGrid w:val="0"/>
                <w:color w:val="000000"/>
              </w:rPr>
              <w:t>20</w:t>
            </w:r>
          </w:p>
        </w:tc>
        <w:tc>
          <w:tcPr>
            <w:tcW w:w="387" w:type="pct"/>
          </w:tcPr>
          <w:p w:rsidR="00B43C57" w:rsidRPr="00F5723F" w:rsidRDefault="00B43C57">
            <w:pPr>
              <w:pStyle w:val="Tabelltextsiffror"/>
              <w:rPr>
                <w:snapToGrid w:val="0"/>
                <w:color w:val="000000"/>
              </w:rPr>
            </w:pPr>
            <w:r w:rsidRPr="00F5723F">
              <w:rPr>
                <w:snapToGrid w:val="0"/>
                <w:color w:val="000000"/>
              </w:rPr>
              <w:t>24</w:t>
            </w:r>
          </w:p>
        </w:tc>
        <w:tc>
          <w:tcPr>
            <w:tcW w:w="387" w:type="pct"/>
          </w:tcPr>
          <w:p w:rsidR="00B43C57" w:rsidRPr="00F5723F" w:rsidRDefault="00B43C57">
            <w:pPr>
              <w:pStyle w:val="Tabelltextsiffror"/>
              <w:rPr>
                <w:snapToGrid w:val="0"/>
                <w:color w:val="000000"/>
              </w:rPr>
            </w:pPr>
            <w:r w:rsidRPr="00F5723F">
              <w:rPr>
                <w:snapToGrid w:val="0"/>
                <w:color w:val="000000"/>
              </w:rPr>
              <w:t>16</w:t>
            </w:r>
          </w:p>
        </w:tc>
        <w:tc>
          <w:tcPr>
            <w:tcW w:w="387" w:type="pct"/>
          </w:tcPr>
          <w:p w:rsidR="00B43C57" w:rsidRPr="00F5723F" w:rsidRDefault="00B43C57">
            <w:pPr>
              <w:pStyle w:val="Tabelltextsiffror"/>
              <w:rPr>
                <w:snapToGrid w:val="0"/>
                <w:color w:val="000000"/>
              </w:rPr>
            </w:pPr>
            <w:r w:rsidRPr="00F5723F">
              <w:rPr>
                <w:snapToGrid w:val="0"/>
                <w:color w:val="000000"/>
              </w:rPr>
              <w:t>21</w:t>
            </w:r>
          </w:p>
        </w:tc>
        <w:tc>
          <w:tcPr>
            <w:tcW w:w="387" w:type="pct"/>
          </w:tcPr>
          <w:p w:rsidR="00B43C57" w:rsidRPr="00F5723F" w:rsidRDefault="00B43C57">
            <w:pPr>
              <w:pStyle w:val="Tabelltextsiffror"/>
              <w:rPr>
                <w:snapToGrid w:val="0"/>
                <w:color w:val="000000"/>
              </w:rPr>
            </w:pPr>
            <w:r w:rsidRPr="00F5723F">
              <w:rPr>
                <w:snapToGrid w:val="0"/>
                <w:color w:val="000000"/>
              </w:rPr>
              <w:t>25</w:t>
            </w:r>
          </w:p>
        </w:tc>
        <w:tc>
          <w:tcPr>
            <w:tcW w:w="387" w:type="pct"/>
          </w:tcPr>
          <w:p w:rsidR="00B43C57" w:rsidRPr="00F5723F" w:rsidRDefault="00B43C57">
            <w:pPr>
              <w:pStyle w:val="Tabelltextsiffror"/>
              <w:rPr>
                <w:snapToGrid w:val="0"/>
                <w:color w:val="000000"/>
              </w:rPr>
            </w:pPr>
            <w:r w:rsidRPr="00F5723F">
              <w:rPr>
                <w:snapToGrid w:val="0"/>
                <w:color w:val="000000"/>
              </w:rPr>
              <w:t>21</w:t>
            </w:r>
          </w:p>
        </w:tc>
        <w:tc>
          <w:tcPr>
            <w:tcW w:w="622" w:type="pct"/>
            <w:vAlign w:val="bottom"/>
          </w:tcPr>
          <w:p w:rsidR="00B43C57" w:rsidRPr="00F5723F" w:rsidRDefault="00B43C57">
            <w:pPr>
              <w:pStyle w:val="Tabelltextsiffror"/>
              <w:tabs>
                <w:tab w:val="decimal" w:pos="405"/>
              </w:tabs>
              <w:jc w:val="left"/>
            </w:pPr>
            <w:r w:rsidRPr="00F5723F">
              <w:t>+1</w:t>
            </w:r>
          </w:p>
        </w:tc>
        <w:tc>
          <w:tcPr>
            <w:tcW w:w="640" w:type="pct"/>
            <w:vAlign w:val="bottom"/>
          </w:tcPr>
          <w:p w:rsidR="00B43C57" w:rsidRPr="00F5723F" w:rsidRDefault="00B43C57">
            <w:pPr>
              <w:pStyle w:val="Tabelltextsiffror"/>
              <w:tabs>
                <w:tab w:val="decimal" w:pos="405"/>
              </w:tabs>
              <w:jc w:val="left"/>
            </w:pPr>
            <w:r w:rsidRPr="00F5723F">
              <w:t>+5</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företagare</w:t>
            </w:r>
          </w:p>
        </w:tc>
        <w:tc>
          <w:tcPr>
            <w:tcW w:w="387" w:type="pct"/>
          </w:tcPr>
          <w:p w:rsidR="00B43C57" w:rsidRPr="00F5723F" w:rsidRDefault="00B43C57">
            <w:pPr>
              <w:pStyle w:val="Tabelltextsiffror"/>
              <w:rPr>
                <w:snapToGrid w:val="0"/>
                <w:color w:val="000000"/>
              </w:rPr>
            </w:pPr>
            <w:r w:rsidRPr="00F5723F">
              <w:rPr>
                <w:snapToGrid w:val="0"/>
                <w:color w:val="000000"/>
              </w:rPr>
              <w:t>12</w:t>
            </w:r>
          </w:p>
        </w:tc>
        <w:tc>
          <w:tcPr>
            <w:tcW w:w="387" w:type="pct"/>
          </w:tcPr>
          <w:p w:rsidR="00B43C57" w:rsidRPr="00F5723F" w:rsidRDefault="00B43C57">
            <w:pPr>
              <w:pStyle w:val="Tabelltextsiffror"/>
              <w:rPr>
                <w:snapToGrid w:val="0"/>
                <w:color w:val="000000"/>
              </w:rPr>
            </w:pPr>
            <w:r w:rsidRPr="00F5723F">
              <w:rPr>
                <w:snapToGrid w:val="0"/>
                <w:color w:val="000000"/>
              </w:rPr>
              <w:t>9</w:t>
            </w:r>
          </w:p>
        </w:tc>
        <w:tc>
          <w:tcPr>
            <w:tcW w:w="387" w:type="pct"/>
          </w:tcPr>
          <w:p w:rsidR="00B43C57" w:rsidRPr="00F5723F" w:rsidRDefault="00B43C57">
            <w:pPr>
              <w:pStyle w:val="Tabelltextsiffror"/>
              <w:rPr>
                <w:snapToGrid w:val="0"/>
                <w:color w:val="000000"/>
              </w:rPr>
            </w:pPr>
            <w:r w:rsidRPr="00F5723F">
              <w:rPr>
                <w:snapToGrid w:val="0"/>
                <w:color w:val="000000"/>
              </w:rPr>
              <w:t>9</w:t>
            </w:r>
          </w:p>
        </w:tc>
        <w:tc>
          <w:tcPr>
            <w:tcW w:w="387" w:type="pct"/>
          </w:tcPr>
          <w:p w:rsidR="00B43C57" w:rsidRPr="00F5723F" w:rsidRDefault="00B43C57">
            <w:pPr>
              <w:pStyle w:val="Tabelltextsiffror"/>
              <w:rPr>
                <w:snapToGrid w:val="0"/>
                <w:color w:val="000000"/>
              </w:rPr>
            </w:pPr>
            <w:r w:rsidRPr="00F5723F">
              <w:rPr>
                <w:snapToGrid w:val="0"/>
                <w:color w:val="000000"/>
              </w:rPr>
              <w:t>16</w:t>
            </w:r>
          </w:p>
        </w:tc>
        <w:tc>
          <w:tcPr>
            <w:tcW w:w="387" w:type="pct"/>
          </w:tcPr>
          <w:p w:rsidR="00B43C57" w:rsidRPr="00F5723F" w:rsidRDefault="00B43C57">
            <w:pPr>
              <w:pStyle w:val="Tabelltextsiffror"/>
              <w:rPr>
                <w:snapToGrid w:val="0"/>
                <w:color w:val="000000"/>
              </w:rPr>
            </w:pPr>
            <w:r w:rsidRPr="00F5723F">
              <w:rPr>
                <w:snapToGrid w:val="0"/>
                <w:color w:val="000000"/>
              </w:rPr>
              <w:t>15</w:t>
            </w:r>
          </w:p>
        </w:tc>
        <w:tc>
          <w:tcPr>
            <w:tcW w:w="387" w:type="pct"/>
          </w:tcPr>
          <w:p w:rsidR="00B43C57" w:rsidRPr="00F5723F" w:rsidRDefault="00B43C57">
            <w:pPr>
              <w:pStyle w:val="Tabelltextsiffror"/>
              <w:rPr>
                <w:snapToGrid w:val="0"/>
                <w:color w:val="000000"/>
              </w:rPr>
            </w:pPr>
            <w:r w:rsidRPr="00F5723F">
              <w:rPr>
                <w:snapToGrid w:val="0"/>
                <w:color w:val="000000"/>
              </w:rPr>
              <w:t>16</w:t>
            </w:r>
          </w:p>
        </w:tc>
        <w:tc>
          <w:tcPr>
            <w:tcW w:w="622" w:type="pct"/>
            <w:vAlign w:val="bottom"/>
          </w:tcPr>
          <w:p w:rsidR="00B43C57" w:rsidRPr="00F5723F" w:rsidRDefault="00B43C57">
            <w:pPr>
              <w:pStyle w:val="Tabelltextsiffror"/>
              <w:tabs>
                <w:tab w:val="decimal" w:pos="405"/>
              </w:tabs>
              <w:jc w:val="left"/>
            </w:pPr>
            <w:r w:rsidRPr="00F5723F">
              <w:t>+4</w:t>
            </w:r>
          </w:p>
        </w:tc>
        <w:tc>
          <w:tcPr>
            <w:tcW w:w="640" w:type="pct"/>
            <w:vAlign w:val="bottom"/>
          </w:tcPr>
          <w:p w:rsidR="00B43C57" w:rsidRPr="00F5723F" w:rsidRDefault="00B43C57">
            <w:pPr>
              <w:pStyle w:val="Tabelltextsiffror"/>
              <w:tabs>
                <w:tab w:val="decimal" w:pos="405"/>
              </w:tabs>
              <w:jc w:val="left"/>
            </w:pPr>
            <w:r w:rsidRPr="00F5723F">
              <w:t>+7</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pensionärer</w:t>
            </w:r>
          </w:p>
        </w:tc>
        <w:tc>
          <w:tcPr>
            <w:tcW w:w="387" w:type="pct"/>
          </w:tcPr>
          <w:p w:rsidR="00B43C57" w:rsidRPr="00F5723F" w:rsidRDefault="00B43C57">
            <w:pPr>
              <w:pStyle w:val="Tabelltextsiffror"/>
              <w:rPr>
                <w:snapToGrid w:val="0"/>
                <w:color w:val="000000"/>
              </w:rPr>
            </w:pPr>
            <w:r w:rsidRPr="00F5723F">
              <w:rPr>
                <w:snapToGrid w:val="0"/>
                <w:color w:val="000000"/>
              </w:rPr>
              <w:t>–</w:t>
            </w:r>
          </w:p>
        </w:tc>
        <w:tc>
          <w:tcPr>
            <w:tcW w:w="387" w:type="pct"/>
          </w:tcPr>
          <w:p w:rsidR="00B43C57" w:rsidRPr="00F5723F" w:rsidRDefault="00B43C57">
            <w:pPr>
              <w:pStyle w:val="Tabelltextsiffror"/>
              <w:rPr>
                <w:snapToGrid w:val="0"/>
                <w:color w:val="000000"/>
              </w:rPr>
            </w:pPr>
            <w:r w:rsidRPr="00F5723F">
              <w:rPr>
                <w:snapToGrid w:val="0"/>
                <w:color w:val="000000"/>
              </w:rPr>
              <w:t>17</w:t>
            </w:r>
          </w:p>
        </w:tc>
        <w:tc>
          <w:tcPr>
            <w:tcW w:w="387" w:type="pct"/>
          </w:tcPr>
          <w:p w:rsidR="00B43C57" w:rsidRPr="00F5723F" w:rsidRDefault="00B43C57">
            <w:pPr>
              <w:pStyle w:val="Tabelltextsiffror"/>
              <w:rPr>
                <w:snapToGrid w:val="0"/>
                <w:color w:val="000000"/>
              </w:rPr>
            </w:pPr>
            <w:r w:rsidRPr="00F5723F">
              <w:rPr>
                <w:snapToGrid w:val="0"/>
                <w:color w:val="000000"/>
              </w:rPr>
              <w:t>9</w:t>
            </w:r>
          </w:p>
        </w:tc>
        <w:tc>
          <w:tcPr>
            <w:tcW w:w="387" w:type="pct"/>
          </w:tcPr>
          <w:p w:rsidR="00B43C57" w:rsidRPr="00F5723F" w:rsidRDefault="00B43C57">
            <w:pPr>
              <w:pStyle w:val="Tabelltextsiffror"/>
              <w:rPr>
                <w:snapToGrid w:val="0"/>
                <w:color w:val="000000"/>
              </w:rPr>
            </w:pPr>
            <w:r w:rsidRPr="00F5723F">
              <w:rPr>
                <w:snapToGrid w:val="0"/>
                <w:color w:val="000000"/>
              </w:rPr>
              <w:t>15</w:t>
            </w:r>
          </w:p>
        </w:tc>
        <w:tc>
          <w:tcPr>
            <w:tcW w:w="387" w:type="pct"/>
          </w:tcPr>
          <w:p w:rsidR="00B43C57" w:rsidRPr="00F5723F" w:rsidRDefault="00B43C57">
            <w:pPr>
              <w:pStyle w:val="Tabelltextsiffror"/>
              <w:rPr>
                <w:snapToGrid w:val="0"/>
                <w:color w:val="000000"/>
              </w:rPr>
            </w:pPr>
            <w:r w:rsidRPr="00F5723F">
              <w:rPr>
                <w:snapToGrid w:val="0"/>
                <w:color w:val="000000"/>
              </w:rPr>
              <w:t>18</w:t>
            </w:r>
          </w:p>
        </w:tc>
        <w:tc>
          <w:tcPr>
            <w:tcW w:w="387" w:type="pct"/>
          </w:tcPr>
          <w:p w:rsidR="00B43C57" w:rsidRPr="00F5723F" w:rsidRDefault="00B43C57">
            <w:pPr>
              <w:pStyle w:val="Tabelltextsiffror"/>
              <w:rPr>
                <w:snapToGrid w:val="0"/>
                <w:color w:val="000000"/>
              </w:rPr>
            </w:pPr>
            <w:r w:rsidRPr="00F5723F">
              <w:rPr>
                <w:snapToGrid w:val="0"/>
                <w:color w:val="000000"/>
              </w:rPr>
              <w:t>15</w:t>
            </w:r>
          </w:p>
        </w:tc>
        <w:tc>
          <w:tcPr>
            <w:tcW w:w="622" w:type="pct"/>
            <w:vAlign w:val="bottom"/>
          </w:tcPr>
          <w:p w:rsidR="00B43C57" w:rsidRPr="00F5723F" w:rsidRDefault="00B43C57">
            <w:pPr>
              <w:pStyle w:val="Tabelltextsiffror"/>
              <w:tabs>
                <w:tab w:val="decimal" w:pos="405"/>
              </w:tabs>
              <w:jc w:val="left"/>
            </w:pPr>
            <w:r w:rsidRPr="00F5723F">
              <w:t>–</w:t>
            </w:r>
            <w:r w:rsidRPr="00F5723F">
              <w:t>2</w:t>
            </w:r>
          </w:p>
        </w:tc>
        <w:tc>
          <w:tcPr>
            <w:tcW w:w="640" w:type="pct"/>
            <w:vAlign w:val="bottom"/>
          </w:tcPr>
          <w:p w:rsidR="00B43C57" w:rsidRPr="00F5723F" w:rsidRDefault="00B43C57">
            <w:pPr>
              <w:pStyle w:val="Tabelltextsiffror"/>
              <w:tabs>
                <w:tab w:val="decimal" w:pos="405"/>
              </w:tabs>
              <w:jc w:val="left"/>
            </w:pPr>
            <w:r w:rsidRPr="00F5723F">
              <w:t>+6</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jordbrukare</w:t>
            </w:r>
          </w:p>
        </w:tc>
        <w:tc>
          <w:tcPr>
            <w:tcW w:w="387" w:type="pct"/>
          </w:tcPr>
          <w:p w:rsidR="00B43C57" w:rsidRPr="00F5723F" w:rsidRDefault="00B43C57">
            <w:pPr>
              <w:pStyle w:val="Tabelltextsiffror"/>
              <w:rPr>
                <w:snapToGrid w:val="0"/>
                <w:color w:val="000000"/>
              </w:rPr>
            </w:pPr>
            <w:r w:rsidRPr="00F5723F">
              <w:rPr>
                <w:snapToGrid w:val="0"/>
                <w:color w:val="000000"/>
              </w:rPr>
              <w:t>8</w:t>
            </w:r>
          </w:p>
        </w:tc>
        <w:tc>
          <w:tcPr>
            <w:tcW w:w="387" w:type="pct"/>
          </w:tcPr>
          <w:p w:rsidR="00B43C57" w:rsidRPr="00F5723F" w:rsidRDefault="00B43C57">
            <w:pPr>
              <w:pStyle w:val="Tabelltextsiffror"/>
              <w:rPr>
                <w:snapToGrid w:val="0"/>
                <w:color w:val="000000"/>
              </w:rPr>
            </w:pPr>
            <w:r w:rsidRPr="00F5723F">
              <w:rPr>
                <w:snapToGrid w:val="0"/>
                <w:color w:val="000000"/>
              </w:rPr>
              <w:t>7</w:t>
            </w:r>
          </w:p>
        </w:tc>
        <w:tc>
          <w:tcPr>
            <w:tcW w:w="387" w:type="pct"/>
          </w:tcPr>
          <w:p w:rsidR="00B43C57" w:rsidRPr="00F5723F" w:rsidRDefault="00B43C57">
            <w:pPr>
              <w:pStyle w:val="Tabelltextsiffror"/>
              <w:rPr>
                <w:snapToGrid w:val="0"/>
                <w:color w:val="000000"/>
              </w:rPr>
            </w:pPr>
            <w:r w:rsidRPr="00F5723F">
              <w:rPr>
                <w:snapToGrid w:val="0"/>
                <w:color w:val="000000"/>
              </w:rPr>
              <w:t>6</w:t>
            </w:r>
          </w:p>
        </w:tc>
        <w:tc>
          <w:tcPr>
            <w:tcW w:w="387" w:type="pct"/>
          </w:tcPr>
          <w:p w:rsidR="00B43C57" w:rsidRPr="00F5723F" w:rsidRDefault="00B43C57">
            <w:pPr>
              <w:pStyle w:val="Tabelltextsiffror"/>
              <w:rPr>
                <w:snapToGrid w:val="0"/>
                <w:color w:val="000000"/>
              </w:rPr>
            </w:pPr>
            <w:r w:rsidRPr="00F5723F">
              <w:rPr>
                <w:snapToGrid w:val="0"/>
                <w:color w:val="000000"/>
              </w:rPr>
              <w:t>5</w:t>
            </w:r>
          </w:p>
        </w:tc>
        <w:tc>
          <w:tcPr>
            <w:tcW w:w="387" w:type="pct"/>
          </w:tcPr>
          <w:p w:rsidR="00B43C57" w:rsidRPr="00F5723F" w:rsidRDefault="00B43C57">
            <w:pPr>
              <w:pStyle w:val="Tabelltextsiffror"/>
              <w:rPr>
                <w:snapToGrid w:val="0"/>
                <w:color w:val="000000"/>
              </w:rPr>
            </w:pPr>
            <w:r w:rsidRPr="00F5723F">
              <w:rPr>
                <w:snapToGrid w:val="0"/>
                <w:color w:val="000000"/>
              </w:rPr>
              <w:t>9</w:t>
            </w:r>
          </w:p>
        </w:tc>
        <w:tc>
          <w:tcPr>
            <w:tcW w:w="387" w:type="pct"/>
          </w:tcPr>
          <w:p w:rsidR="00B43C57" w:rsidRPr="00F5723F" w:rsidRDefault="00B43C57">
            <w:pPr>
              <w:pStyle w:val="Tabelltextsiffror"/>
              <w:rPr>
                <w:snapToGrid w:val="0"/>
                <w:color w:val="000000"/>
              </w:rPr>
            </w:pPr>
            <w:r w:rsidRPr="00F5723F">
              <w:rPr>
                <w:snapToGrid w:val="0"/>
                <w:color w:val="000000"/>
              </w:rPr>
              <w:t>9</w:t>
            </w:r>
          </w:p>
        </w:tc>
        <w:tc>
          <w:tcPr>
            <w:tcW w:w="622" w:type="pct"/>
            <w:vAlign w:val="bottom"/>
          </w:tcPr>
          <w:p w:rsidR="00B43C57" w:rsidRPr="00F5723F" w:rsidRDefault="00B43C57">
            <w:pPr>
              <w:pStyle w:val="Tabelltextsiffror"/>
              <w:tabs>
                <w:tab w:val="decimal" w:pos="405"/>
              </w:tabs>
              <w:jc w:val="left"/>
            </w:pPr>
            <w:r w:rsidRPr="00F5723F">
              <w:t>+1</w:t>
            </w:r>
          </w:p>
        </w:tc>
        <w:tc>
          <w:tcPr>
            <w:tcW w:w="640" w:type="pct"/>
            <w:vAlign w:val="bottom"/>
          </w:tcPr>
          <w:p w:rsidR="00B43C57" w:rsidRPr="00F5723F" w:rsidRDefault="00B43C57">
            <w:pPr>
              <w:pStyle w:val="Tabelltextsiffror"/>
              <w:tabs>
                <w:tab w:val="decimal" w:pos="405"/>
              </w:tabs>
              <w:jc w:val="left"/>
            </w:pPr>
            <w:r w:rsidRPr="00F5723F">
              <w:t>+3</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kristna</w:t>
            </w:r>
          </w:p>
        </w:tc>
        <w:tc>
          <w:tcPr>
            <w:tcW w:w="387" w:type="pct"/>
          </w:tcPr>
          <w:p w:rsidR="00B43C57" w:rsidRPr="00F5723F" w:rsidRDefault="00B43C57">
            <w:pPr>
              <w:pStyle w:val="Tabelltextsiffror"/>
              <w:rPr>
                <w:snapToGrid w:val="0"/>
                <w:color w:val="000000"/>
              </w:rPr>
            </w:pPr>
            <w:r w:rsidRPr="00F5723F">
              <w:rPr>
                <w:snapToGrid w:val="0"/>
                <w:color w:val="000000"/>
              </w:rPr>
              <w:t>–</w:t>
            </w:r>
          </w:p>
        </w:tc>
        <w:tc>
          <w:tcPr>
            <w:tcW w:w="387" w:type="pct"/>
          </w:tcPr>
          <w:p w:rsidR="00B43C57" w:rsidRPr="00F5723F" w:rsidRDefault="00B43C57">
            <w:pPr>
              <w:pStyle w:val="Tabelltextsiffror"/>
              <w:rPr>
                <w:snapToGrid w:val="0"/>
                <w:color w:val="000000"/>
              </w:rPr>
            </w:pPr>
            <w:r w:rsidRPr="00F5723F">
              <w:rPr>
                <w:snapToGrid w:val="0"/>
                <w:color w:val="000000"/>
              </w:rPr>
              <w:t>–</w:t>
            </w:r>
          </w:p>
        </w:tc>
        <w:tc>
          <w:tcPr>
            <w:tcW w:w="387" w:type="pct"/>
          </w:tcPr>
          <w:p w:rsidR="00B43C57" w:rsidRPr="00F5723F" w:rsidRDefault="00B43C57">
            <w:pPr>
              <w:pStyle w:val="Tabelltextsiffror"/>
              <w:rPr>
                <w:snapToGrid w:val="0"/>
                <w:color w:val="000000"/>
              </w:rPr>
            </w:pPr>
            <w:r w:rsidRPr="00F5723F">
              <w:rPr>
                <w:snapToGrid w:val="0"/>
                <w:color w:val="000000"/>
              </w:rPr>
              <w:t>5</w:t>
            </w:r>
          </w:p>
        </w:tc>
        <w:tc>
          <w:tcPr>
            <w:tcW w:w="387" w:type="pct"/>
          </w:tcPr>
          <w:p w:rsidR="00B43C57" w:rsidRPr="00F5723F" w:rsidRDefault="00B43C57">
            <w:pPr>
              <w:pStyle w:val="Tabelltextsiffror"/>
              <w:rPr>
                <w:snapToGrid w:val="0"/>
                <w:color w:val="000000"/>
              </w:rPr>
            </w:pPr>
            <w:r w:rsidRPr="00F5723F">
              <w:rPr>
                <w:snapToGrid w:val="0"/>
                <w:color w:val="000000"/>
              </w:rPr>
              <w:t>5</w:t>
            </w:r>
          </w:p>
        </w:tc>
        <w:tc>
          <w:tcPr>
            <w:tcW w:w="387" w:type="pct"/>
          </w:tcPr>
          <w:p w:rsidR="00B43C57" w:rsidRPr="00F5723F" w:rsidRDefault="00B43C57">
            <w:pPr>
              <w:pStyle w:val="Tabelltextsiffror"/>
              <w:rPr>
                <w:snapToGrid w:val="0"/>
                <w:color w:val="000000"/>
              </w:rPr>
            </w:pPr>
            <w:r w:rsidRPr="00F5723F">
              <w:rPr>
                <w:snapToGrid w:val="0"/>
                <w:color w:val="000000"/>
              </w:rPr>
              <w:t>7</w:t>
            </w:r>
          </w:p>
        </w:tc>
        <w:tc>
          <w:tcPr>
            <w:tcW w:w="387" w:type="pct"/>
          </w:tcPr>
          <w:p w:rsidR="00B43C57" w:rsidRPr="00F5723F" w:rsidRDefault="00B43C57">
            <w:pPr>
              <w:pStyle w:val="Tabelltextsiffror"/>
              <w:rPr>
                <w:snapToGrid w:val="0"/>
                <w:color w:val="000000"/>
              </w:rPr>
            </w:pPr>
            <w:r w:rsidRPr="00F5723F">
              <w:rPr>
                <w:snapToGrid w:val="0"/>
                <w:color w:val="000000"/>
              </w:rPr>
              <w:t>5</w:t>
            </w:r>
          </w:p>
        </w:tc>
        <w:tc>
          <w:tcPr>
            <w:tcW w:w="622" w:type="pct"/>
            <w:vAlign w:val="bottom"/>
          </w:tcPr>
          <w:p w:rsidR="00B43C57" w:rsidRPr="00F5723F" w:rsidRDefault="00B43C57">
            <w:pPr>
              <w:pStyle w:val="Tabelltextsiffror"/>
              <w:tabs>
                <w:tab w:val="decimal" w:pos="405"/>
              </w:tabs>
              <w:jc w:val="left"/>
            </w:pPr>
            <w:r w:rsidRPr="00F5723F">
              <w:t>±</w:t>
            </w:r>
            <w:r w:rsidRPr="00F5723F">
              <w:t>0</w:t>
            </w:r>
          </w:p>
        </w:tc>
        <w:tc>
          <w:tcPr>
            <w:tcW w:w="640" w:type="pct"/>
            <w:vAlign w:val="bottom"/>
          </w:tcPr>
          <w:p w:rsidR="00B43C57" w:rsidRPr="00F5723F" w:rsidRDefault="00B43C57">
            <w:pPr>
              <w:pStyle w:val="Tabelltextsiffror"/>
              <w:tabs>
                <w:tab w:val="decimal" w:pos="405"/>
              </w:tabs>
              <w:jc w:val="left"/>
            </w:pPr>
            <w:r w:rsidRPr="00F5723F">
              <w:t>±</w:t>
            </w:r>
            <w:r w:rsidRPr="00F5723F">
              <w:t>0</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nykterister</w:t>
            </w:r>
          </w:p>
        </w:tc>
        <w:tc>
          <w:tcPr>
            <w:tcW w:w="387" w:type="pct"/>
          </w:tcPr>
          <w:p w:rsidR="00B43C57" w:rsidRPr="00F5723F" w:rsidRDefault="00B43C57">
            <w:pPr>
              <w:pStyle w:val="Tabelltextsiffror"/>
              <w:rPr>
                <w:snapToGrid w:val="0"/>
                <w:color w:val="000000"/>
              </w:rPr>
            </w:pPr>
            <w:r w:rsidRPr="00F5723F">
              <w:rPr>
                <w:snapToGrid w:val="0"/>
                <w:color w:val="000000"/>
              </w:rPr>
              <w:t>–</w:t>
            </w:r>
          </w:p>
        </w:tc>
        <w:tc>
          <w:tcPr>
            <w:tcW w:w="387" w:type="pct"/>
          </w:tcPr>
          <w:p w:rsidR="00B43C57" w:rsidRPr="00F5723F" w:rsidRDefault="00B43C57">
            <w:pPr>
              <w:pStyle w:val="Tabelltextsiffror"/>
              <w:rPr>
                <w:snapToGrid w:val="0"/>
                <w:color w:val="000000"/>
              </w:rPr>
            </w:pPr>
            <w:r w:rsidRPr="00F5723F">
              <w:rPr>
                <w:snapToGrid w:val="0"/>
                <w:color w:val="000000"/>
              </w:rPr>
              <w:t>–</w:t>
            </w:r>
          </w:p>
        </w:tc>
        <w:tc>
          <w:tcPr>
            <w:tcW w:w="387" w:type="pct"/>
          </w:tcPr>
          <w:p w:rsidR="00B43C57" w:rsidRPr="00F5723F" w:rsidRDefault="00B43C57">
            <w:pPr>
              <w:pStyle w:val="Tabelltextsiffror"/>
              <w:rPr>
                <w:snapToGrid w:val="0"/>
                <w:color w:val="000000"/>
              </w:rPr>
            </w:pPr>
            <w:r w:rsidRPr="00F5723F">
              <w:rPr>
                <w:snapToGrid w:val="0"/>
                <w:color w:val="000000"/>
              </w:rPr>
              <w:t>2</w:t>
            </w:r>
          </w:p>
        </w:tc>
        <w:tc>
          <w:tcPr>
            <w:tcW w:w="387" w:type="pct"/>
          </w:tcPr>
          <w:p w:rsidR="00B43C57" w:rsidRPr="00F5723F" w:rsidRDefault="00B43C57">
            <w:pPr>
              <w:pStyle w:val="Tabelltextsiffror"/>
              <w:rPr>
                <w:snapToGrid w:val="0"/>
                <w:color w:val="000000"/>
              </w:rPr>
            </w:pPr>
            <w:r w:rsidRPr="00F5723F">
              <w:rPr>
                <w:snapToGrid w:val="0"/>
                <w:color w:val="000000"/>
              </w:rPr>
              <w:t>4</w:t>
            </w:r>
          </w:p>
        </w:tc>
        <w:tc>
          <w:tcPr>
            <w:tcW w:w="387" w:type="pct"/>
          </w:tcPr>
          <w:p w:rsidR="00B43C57" w:rsidRPr="00F5723F" w:rsidRDefault="00B43C57">
            <w:pPr>
              <w:pStyle w:val="Tabelltextsiffror"/>
              <w:rPr>
                <w:snapToGrid w:val="0"/>
                <w:color w:val="000000"/>
              </w:rPr>
            </w:pPr>
            <w:r w:rsidRPr="00F5723F">
              <w:rPr>
                <w:snapToGrid w:val="0"/>
                <w:color w:val="000000"/>
              </w:rPr>
              <w:t>5</w:t>
            </w:r>
          </w:p>
        </w:tc>
        <w:tc>
          <w:tcPr>
            <w:tcW w:w="387" w:type="pct"/>
          </w:tcPr>
          <w:p w:rsidR="00B43C57" w:rsidRPr="00F5723F" w:rsidRDefault="00B43C57">
            <w:pPr>
              <w:pStyle w:val="Tabelltextsiffror"/>
              <w:rPr>
                <w:snapToGrid w:val="0"/>
                <w:color w:val="000000"/>
              </w:rPr>
            </w:pPr>
            <w:r w:rsidRPr="00F5723F">
              <w:rPr>
                <w:snapToGrid w:val="0"/>
                <w:color w:val="000000"/>
              </w:rPr>
              <w:t>4</w:t>
            </w:r>
          </w:p>
        </w:tc>
        <w:tc>
          <w:tcPr>
            <w:tcW w:w="622" w:type="pct"/>
            <w:vAlign w:val="bottom"/>
          </w:tcPr>
          <w:p w:rsidR="00B43C57" w:rsidRPr="00F5723F" w:rsidRDefault="00B43C57">
            <w:pPr>
              <w:pStyle w:val="Tabelltextsiffror"/>
              <w:tabs>
                <w:tab w:val="decimal" w:pos="405"/>
              </w:tabs>
              <w:jc w:val="left"/>
            </w:pPr>
            <w:r w:rsidRPr="00F5723F">
              <w:t>+2</w:t>
            </w:r>
          </w:p>
        </w:tc>
        <w:tc>
          <w:tcPr>
            <w:tcW w:w="640" w:type="pct"/>
            <w:vAlign w:val="bottom"/>
          </w:tcPr>
          <w:p w:rsidR="00B43C57" w:rsidRPr="00F5723F" w:rsidRDefault="00B43C57">
            <w:pPr>
              <w:pStyle w:val="Tabelltextsiffror"/>
              <w:tabs>
                <w:tab w:val="decimal" w:pos="405"/>
              </w:tabs>
              <w:jc w:val="left"/>
            </w:pPr>
            <w:r w:rsidRPr="00F5723F">
              <w:t>+2</w:t>
            </w:r>
          </w:p>
        </w:tc>
      </w:tr>
      <w:tr w:rsidR="00000000" w:rsidRPr="00F5723F">
        <w:tblPrEx>
          <w:tblCellMar>
            <w:top w:w="0" w:type="dxa"/>
            <w:bottom w:w="0" w:type="dxa"/>
          </w:tblCellMar>
        </w:tblPrEx>
        <w:tc>
          <w:tcPr>
            <w:tcW w:w="1414" w:type="pct"/>
          </w:tcPr>
          <w:p w:rsidR="00B43C57" w:rsidRPr="00F5723F" w:rsidRDefault="00B43C57">
            <w:pPr>
              <w:pStyle w:val="Tabelltext"/>
              <w:ind w:left="190" w:hanging="190"/>
            </w:pPr>
            <w:r w:rsidRPr="00F5723F">
              <w:rPr>
                <w:sz w:val="18"/>
                <w:szCs w:val="18"/>
              </w:rPr>
              <w:t>homo-/bisexuella och transpersoner</w:t>
            </w:r>
          </w:p>
        </w:tc>
        <w:tc>
          <w:tcPr>
            <w:tcW w:w="387" w:type="pct"/>
          </w:tcPr>
          <w:p w:rsidR="00B43C57" w:rsidRPr="00F5723F" w:rsidRDefault="00B43C57">
            <w:pPr>
              <w:pStyle w:val="Tabelltextsiffror"/>
              <w:rPr>
                <w:snapToGrid w:val="0"/>
              </w:rPr>
            </w:pPr>
          </w:p>
          <w:p w:rsidR="00B43C57" w:rsidRPr="00F5723F" w:rsidRDefault="00B43C57">
            <w:pPr>
              <w:pStyle w:val="Tabelltextsiffror"/>
              <w:rPr>
                <w:snapToGrid w:val="0"/>
              </w:rPr>
            </w:pPr>
            <w:r w:rsidRPr="00F5723F">
              <w:rPr>
                <w:snapToGrid w:val="0"/>
                <w:color w:val="000000"/>
              </w:rPr>
              <w:t>–</w:t>
            </w:r>
          </w:p>
        </w:tc>
        <w:tc>
          <w:tcPr>
            <w:tcW w:w="387" w:type="pct"/>
          </w:tcPr>
          <w:p w:rsidR="00B43C57" w:rsidRPr="00F5723F" w:rsidRDefault="00B43C57">
            <w:pPr>
              <w:pStyle w:val="Tabelltextsiffror"/>
              <w:rPr>
                <w:snapToGrid w:val="0"/>
              </w:rPr>
            </w:pPr>
          </w:p>
          <w:p w:rsidR="00B43C57" w:rsidRPr="00F5723F" w:rsidRDefault="00B43C57">
            <w:pPr>
              <w:pStyle w:val="Tabelltextsiffror"/>
              <w:rPr>
                <w:snapToGrid w:val="0"/>
              </w:rPr>
            </w:pPr>
            <w:r w:rsidRPr="00F5723F">
              <w:rPr>
                <w:snapToGrid w:val="0"/>
                <w:color w:val="000000"/>
              </w:rPr>
              <w:t>–</w:t>
            </w:r>
          </w:p>
        </w:tc>
        <w:tc>
          <w:tcPr>
            <w:tcW w:w="387" w:type="pct"/>
          </w:tcPr>
          <w:p w:rsidR="00B43C57" w:rsidRPr="00F5723F" w:rsidRDefault="00B43C57">
            <w:pPr>
              <w:pStyle w:val="Tabelltextsiffror"/>
              <w:rPr>
                <w:snapToGrid w:val="0"/>
              </w:rPr>
            </w:pPr>
          </w:p>
          <w:p w:rsidR="00B43C57" w:rsidRPr="00F5723F" w:rsidRDefault="00B43C57">
            <w:pPr>
              <w:pStyle w:val="Tabelltextsiffror"/>
              <w:rPr>
                <w:snapToGrid w:val="0"/>
              </w:rPr>
            </w:pPr>
            <w:r w:rsidRPr="00F5723F">
              <w:rPr>
                <w:snapToGrid w:val="0"/>
                <w:color w:val="000000"/>
              </w:rPr>
              <w:t>–</w:t>
            </w:r>
          </w:p>
        </w:tc>
        <w:tc>
          <w:tcPr>
            <w:tcW w:w="387" w:type="pct"/>
          </w:tcPr>
          <w:p w:rsidR="00B43C57" w:rsidRPr="00F5723F" w:rsidRDefault="00B43C57">
            <w:pPr>
              <w:pStyle w:val="Tabelltextsiffror"/>
              <w:rPr>
                <w:snapToGrid w:val="0"/>
              </w:rPr>
            </w:pPr>
          </w:p>
          <w:p w:rsidR="00B43C57" w:rsidRPr="00F5723F" w:rsidRDefault="00B43C57">
            <w:pPr>
              <w:pStyle w:val="Tabelltextsiffror"/>
              <w:rPr>
                <w:snapToGrid w:val="0"/>
              </w:rPr>
            </w:pPr>
            <w:r w:rsidRPr="00F5723F">
              <w:rPr>
                <w:snapToGrid w:val="0"/>
                <w:color w:val="000000"/>
              </w:rPr>
              <w:t>–</w:t>
            </w:r>
          </w:p>
        </w:tc>
        <w:tc>
          <w:tcPr>
            <w:tcW w:w="387" w:type="pct"/>
          </w:tcPr>
          <w:p w:rsidR="00B43C57" w:rsidRPr="00F5723F" w:rsidRDefault="00B43C57">
            <w:pPr>
              <w:pStyle w:val="Tabelltextsiffror"/>
              <w:rPr>
                <w:snapToGrid w:val="0"/>
              </w:rPr>
            </w:pPr>
          </w:p>
          <w:p w:rsidR="00B43C57" w:rsidRPr="00F5723F" w:rsidRDefault="00B43C57">
            <w:pPr>
              <w:pStyle w:val="Tabelltextsiffror"/>
              <w:rPr>
                <w:snapToGrid w:val="0"/>
              </w:rPr>
            </w:pPr>
            <w:r w:rsidRPr="00F5723F">
              <w:rPr>
                <w:snapToGrid w:val="0"/>
                <w:color w:val="000000"/>
              </w:rPr>
              <w:t>–</w:t>
            </w:r>
          </w:p>
        </w:tc>
        <w:tc>
          <w:tcPr>
            <w:tcW w:w="387" w:type="pct"/>
          </w:tcPr>
          <w:p w:rsidR="00B43C57" w:rsidRPr="00F5723F" w:rsidRDefault="00B43C57">
            <w:pPr>
              <w:pStyle w:val="Tabelltextsiffror"/>
              <w:rPr>
                <w:snapToGrid w:val="0"/>
              </w:rPr>
            </w:pPr>
          </w:p>
          <w:p w:rsidR="00B43C57" w:rsidRPr="00F5723F" w:rsidRDefault="00B43C57">
            <w:pPr>
              <w:pStyle w:val="Tabelltextsiffror"/>
              <w:rPr>
                <w:snapToGrid w:val="0"/>
              </w:rPr>
            </w:pPr>
            <w:r w:rsidRPr="00F5723F">
              <w:rPr>
                <w:snapToGrid w:val="0"/>
                <w:color w:val="000000"/>
              </w:rPr>
              <w:t>10</w:t>
            </w:r>
          </w:p>
        </w:tc>
        <w:tc>
          <w:tcPr>
            <w:tcW w:w="622" w:type="pct"/>
            <w:vAlign w:val="bottom"/>
          </w:tcPr>
          <w:p w:rsidR="00B43C57" w:rsidRPr="00F5723F" w:rsidRDefault="00B43C57">
            <w:pPr>
              <w:pStyle w:val="Tabelltextsiffror"/>
              <w:tabs>
                <w:tab w:val="decimal" w:pos="405"/>
              </w:tabs>
              <w:jc w:val="left"/>
            </w:pPr>
            <w:r w:rsidRPr="00F5723F">
              <w:t>–</w:t>
            </w:r>
          </w:p>
        </w:tc>
        <w:tc>
          <w:tcPr>
            <w:tcW w:w="640" w:type="pct"/>
          </w:tcPr>
          <w:p w:rsidR="00B43C57" w:rsidRPr="00F5723F" w:rsidRDefault="00B43C57">
            <w:pPr>
              <w:pStyle w:val="Tabelltextsiffror"/>
              <w:tabs>
                <w:tab w:val="decimal" w:pos="405"/>
              </w:tabs>
              <w:jc w:val="left"/>
            </w:pPr>
          </w:p>
          <w:p w:rsidR="00B43C57" w:rsidRPr="00F5723F" w:rsidRDefault="00B43C57">
            <w:pPr>
              <w:pStyle w:val="Tabelltextsiffror"/>
              <w:tabs>
                <w:tab w:val="decimal" w:pos="405"/>
              </w:tabs>
              <w:jc w:val="left"/>
            </w:pPr>
            <w:r w:rsidRPr="00F5723F">
              <w:t>–</w:t>
            </w:r>
          </w:p>
        </w:tc>
      </w:tr>
      <w:tr w:rsidR="00000000" w:rsidRPr="00F5723F">
        <w:tblPrEx>
          <w:tblCellMar>
            <w:top w:w="0" w:type="dxa"/>
            <w:bottom w:w="0" w:type="dxa"/>
          </w:tblCellMar>
        </w:tblPrEx>
        <w:tc>
          <w:tcPr>
            <w:tcW w:w="1414" w:type="pct"/>
            <w:tcBorders>
              <w:bottom w:val="single" w:sz="4" w:space="0" w:color="auto"/>
            </w:tcBorders>
          </w:tcPr>
          <w:p w:rsidR="00B43C57" w:rsidRPr="00F5723F" w:rsidRDefault="00B43C57">
            <w:pPr>
              <w:pStyle w:val="Tabelltext"/>
              <w:rPr>
                <w:sz w:val="20"/>
              </w:rPr>
            </w:pPr>
          </w:p>
        </w:tc>
        <w:tc>
          <w:tcPr>
            <w:tcW w:w="387" w:type="pct"/>
            <w:tcBorders>
              <w:bottom w:val="single" w:sz="4" w:space="0" w:color="auto"/>
            </w:tcBorders>
          </w:tcPr>
          <w:p w:rsidR="00B43C57" w:rsidRPr="00F5723F" w:rsidRDefault="00B43C57">
            <w:pPr>
              <w:pStyle w:val="Tabelltextsiffror"/>
              <w:rPr>
                <w:snapToGrid w:val="0"/>
                <w:color w:val="000000"/>
                <w:sz w:val="20"/>
              </w:rPr>
            </w:pPr>
          </w:p>
        </w:tc>
        <w:tc>
          <w:tcPr>
            <w:tcW w:w="387" w:type="pct"/>
            <w:tcBorders>
              <w:bottom w:val="single" w:sz="4" w:space="0" w:color="auto"/>
            </w:tcBorders>
          </w:tcPr>
          <w:p w:rsidR="00B43C57" w:rsidRPr="00F5723F" w:rsidRDefault="00B43C57">
            <w:pPr>
              <w:pStyle w:val="Tabelltextsiffror"/>
              <w:rPr>
                <w:snapToGrid w:val="0"/>
                <w:color w:val="000000"/>
                <w:sz w:val="20"/>
              </w:rPr>
            </w:pPr>
          </w:p>
        </w:tc>
        <w:tc>
          <w:tcPr>
            <w:tcW w:w="387" w:type="pct"/>
            <w:tcBorders>
              <w:bottom w:val="single" w:sz="4" w:space="0" w:color="auto"/>
            </w:tcBorders>
          </w:tcPr>
          <w:p w:rsidR="00B43C57" w:rsidRPr="00F5723F" w:rsidRDefault="00B43C57">
            <w:pPr>
              <w:pStyle w:val="Tabelltextsiffror"/>
              <w:rPr>
                <w:snapToGrid w:val="0"/>
                <w:color w:val="000000"/>
                <w:sz w:val="20"/>
              </w:rPr>
            </w:pPr>
          </w:p>
        </w:tc>
        <w:tc>
          <w:tcPr>
            <w:tcW w:w="387" w:type="pct"/>
            <w:tcBorders>
              <w:bottom w:val="single" w:sz="4" w:space="0" w:color="auto"/>
            </w:tcBorders>
          </w:tcPr>
          <w:p w:rsidR="00B43C57" w:rsidRPr="00F5723F" w:rsidRDefault="00B43C57">
            <w:pPr>
              <w:pStyle w:val="Tabelltextsiffror"/>
              <w:rPr>
                <w:snapToGrid w:val="0"/>
                <w:color w:val="000000"/>
                <w:sz w:val="20"/>
              </w:rPr>
            </w:pPr>
          </w:p>
        </w:tc>
        <w:tc>
          <w:tcPr>
            <w:tcW w:w="387" w:type="pct"/>
            <w:tcBorders>
              <w:bottom w:val="single" w:sz="4" w:space="0" w:color="auto"/>
            </w:tcBorders>
          </w:tcPr>
          <w:p w:rsidR="00B43C57" w:rsidRPr="00F5723F" w:rsidRDefault="00B43C57">
            <w:pPr>
              <w:pStyle w:val="Tabelltextsiffror"/>
              <w:rPr>
                <w:snapToGrid w:val="0"/>
                <w:color w:val="000000"/>
                <w:sz w:val="20"/>
              </w:rPr>
            </w:pPr>
          </w:p>
        </w:tc>
        <w:tc>
          <w:tcPr>
            <w:tcW w:w="387" w:type="pct"/>
            <w:tcBorders>
              <w:bottom w:val="single" w:sz="4" w:space="0" w:color="auto"/>
            </w:tcBorders>
          </w:tcPr>
          <w:p w:rsidR="00B43C57" w:rsidRPr="00F5723F" w:rsidRDefault="00B43C57">
            <w:pPr>
              <w:pStyle w:val="Tabelltextsiffror"/>
              <w:rPr>
                <w:snapToGrid w:val="0"/>
                <w:color w:val="000000"/>
                <w:sz w:val="20"/>
              </w:rPr>
            </w:pPr>
          </w:p>
        </w:tc>
        <w:tc>
          <w:tcPr>
            <w:tcW w:w="622" w:type="pct"/>
            <w:tcBorders>
              <w:bottom w:val="single" w:sz="4" w:space="0" w:color="auto"/>
            </w:tcBorders>
          </w:tcPr>
          <w:p w:rsidR="00B43C57" w:rsidRPr="00F5723F" w:rsidRDefault="00B43C57">
            <w:pPr>
              <w:pStyle w:val="Tabelltextsiffror"/>
              <w:rPr>
                <w:snapToGrid w:val="0"/>
                <w:color w:val="000000"/>
                <w:sz w:val="20"/>
              </w:rPr>
            </w:pPr>
          </w:p>
        </w:tc>
        <w:tc>
          <w:tcPr>
            <w:tcW w:w="640" w:type="pct"/>
            <w:tcBorders>
              <w:bottom w:val="single" w:sz="4" w:space="0" w:color="auto"/>
            </w:tcBorders>
          </w:tcPr>
          <w:p w:rsidR="00B43C57" w:rsidRPr="00F5723F" w:rsidRDefault="00B43C57">
            <w:pPr>
              <w:pStyle w:val="Tabelltextsiffror"/>
              <w:rPr>
                <w:snapToGrid w:val="0"/>
                <w:color w:val="000000"/>
                <w:sz w:val="20"/>
              </w:rPr>
            </w:pPr>
          </w:p>
        </w:tc>
      </w:tr>
    </w:tbl>
    <w:p w:rsidR="00B43C57" w:rsidRPr="00F5723F" w:rsidRDefault="00B43C57">
      <w:pPr>
        <w:spacing w:before="0" w:line="240" w:lineRule="auto"/>
        <w:rPr>
          <w:rFonts w:ascii="Arial" w:hAnsi="Arial" w:cs="Arial"/>
          <w:b/>
          <w:sz w:val="6"/>
          <w:szCs w:val="6"/>
        </w:rPr>
      </w:pPr>
    </w:p>
    <w:p w:rsidR="00B43C57" w:rsidRPr="00F5723F" w:rsidRDefault="00B43C57">
      <w:pPr>
        <w:spacing w:before="0" w:line="240" w:lineRule="auto"/>
        <w:rPr>
          <w:rFonts w:ascii="Arial" w:hAnsi="Arial" w:cs="Arial"/>
          <w:b/>
          <w:sz w:val="16"/>
          <w:szCs w:val="16"/>
        </w:rPr>
      </w:pPr>
      <w:r w:rsidRPr="00F5723F">
        <w:rPr>
          <w:rFonts w:ascii="Arial" w:hAnsi="Arial" w:cs="Arial"/>
          <w:b/>
          <w:sz w:val="16"/>
          <w:szCs w:val="16"/>
        </w:rPr>
        <w:t>Kommentar:</w:t>
      </w:r>
      <w:r w:rsidRPr="00F5723F">
        <w:rPr>
          <w:rFonts w:ascii="Arial" w:hAnsi="Arial" w:cs="Arial"/>
          <w:b/>
          <w:sz w:val="16"/>
          <w:szCs w:val="16"/>
        </w:rPr>
        <w:t xml:space="preserve"> </w:t>
      </w:r>
      <w:r w:rsidRPr="00F5723F">
        <w:rPr>
          <w:rFonts w:ascii="Arial" w:hAnsi="Arial" w:cs="Arial"/>
          <w:sz w:val="16"/>
          <w:szCs w:val="16"/>
        </w:rPr>
        <w:t xml:space="preserve">Riksdagsledamöterna fick ta ställning till följande uppgifter: </w:t>
      </w:r>
      <w:r w:rsidRPr="00F5723F">
        <w:rPr>
          <w:rFonts w:ascii="Arial" w:hAnsi="Arial" w:cs="Arial"/>
          <w:sz w:val="16"/>
          <w:szCs w:val="16"/>
        </w:rPr>
        <w:t>”</w:t>
      </w:r>
      <w:r w:rsidRPr="00F5723F">
        <w:rPr>
          <w:rFonts w:ascii="Arial" w:hAnsi="Arial" w:cs="Arial"/>
          <w:sz w:val="16"/>
          <w:szCs w:val="16"/>
        </w:rPr>
        <w:t>arbeta med pr</w:t>
      </w:r>
      <w:r w:rsidRPr="00F5723F">
        <w:rPr>
          <w:rFonts w:ascii="Arial" w:hAnsi="Arial" w:cs="Arial"/>
          <w:sz w:val="16"/>
          <w:szCs w:val="16"/>
        </w:rPr>
        <w:t>o</w:t>
      </w:r>
      <w:r w:rsidRPr="00F5723F">
        <w:rPr>
          <w:rFonts w:ascii="Arial" w:hAnsi="Arial" w:cs="Arial"/>
          <w:sz w:val="16"/>
          <w:szCs w:val="16"/>
        </w:rPr>
        <w:t>blem för enskilda väljare/människor som har vänt sig till dig</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de åsikter som du personligen anser viktiga</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ditt eget partis politik</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den egna regionens/valkretsens intressen/åsikter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de ungas intre</w:t>
      </w:r>
      <w:r w:rsidRPr="00F5723F">
        <w:rPr>
          <w:rFonts w:ascii="Arial" w:hAnsi="Arial" w:cs="Arial"/>
          <w:sz w:val="16"/>
          <w:szCs w:val="16"/>
        </w:rPr>
        <w:t>s</w:t>
      </w:r>
      <w:r w:rsidRPr="00F5723F">
        <w:rPr>
          <w:rFonts w:ascii="Arial" w:hAnsi="Arial" w:cs="Arial"/>
          <w:sz w:val="16"/>
          <w:szCs w:val="16"/>
        </w:rPr>
        <w:t>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pensionärernas intre</w:t>
      </w:r>
      <w:r w:rsidRPr="00F5723F">
        <w:rPr>
          <w:rFonts w:ascii="Arial" w:hAnsi="Arial" w:cs="Arial"/>
          <w:sz w:val="16"/>
          <w:szCs w:val="16"/>
        </w:rPr>
        <w:t>s</w:t>
      </w:r>
      <w:r w:rsidRPr="00F5723F">
        <w:rPr>
          <w:rFonts w:ascii="Arial" w:hAnsi="Arial" w:cs="Arial"/>
          <w:sz w:val="16"/>
          <w:szCs w:val="16"/>
        </w:rPr>
        <w:t>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löntagar</w:t>
      </w:r>
      <w:r w:rsidRPr="00F5723F">
        <w:rPr>
          <w:rFonts w:ascii="Arial" w:hAnsi="Arial" w:cs="Arial"/>
          <w:sz w:val="16"/>
          <w:szCs w:val="16"/>
        </w:rPr>
        <w:softHyphen/>
        <w:t>nas intressen/åsikter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företagarnas intressen/åsikter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kvinnornas intressen/åsikte</w:t>
      </w:r>
      <w:r w:rsidRPr="00F5723F">
        <w:rPr>
          <w:rFonts w:ascii="Arial" w:hAnsi="Arial" w:cs="Arial"/>
          <w:sz w:val="16"/>
          <w:szCs w:val="16"/>
        </w:rPr>
        <w:t>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jordbrukarnas intressen/åsikter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nykteriste</w:t>
      </w:r>
      <w:r w:rsidRPr="00F5723F">
        <w:rPr>
          <w:rFonts w:ascii="Arial" w:hAnsi="Arial" w:cs="Arial"/>
          <w:sz w:val="16"/>
          <w:szCs w:val="16"/>
        </w:rPr>
        <w:t>r</w:t>
      </w:r>
      <w:r w:rsidRPr="00F5723F">
        <w:rPr>
          <w:rFonts w:ascii="Arial" w:hAnsi="Arial" w:cs="Arial"/>
          <w:sz w:val="16"/>
          <w:szCs w:val="16"/>
        </w:rPr>
        <w:t>nas intre</w:t>
      </w:r>
      <w:r w:rsidRPr="00F5723F">
        <w:rPr>
          <w:rFonts w:ascii="Arial" w:hAnsi="Arial" w:cs="Arial"/>
          <w:sz w:val="16"/>
          <w:szCs w:val="16"/>
        </w:rPr>
        <w:t>s</w:t>
      </w:r>
      <w:r w:rsidRPr="00F5723F">
        <w:rPr>
          <w:rFonts w:ascii="Arial" w:hAnsi="Arial" w:cs="Arial"/>
          <w:sz w:val="16"/>
          <w:szCs w:val="16"/>
        </w:rPr>
        <w:t>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flyktingarnas/invandrarnas in</w:t>
      </w:r>
      <w:r w:rsidRPr="00F5723F">
        <w:rPr>
          <w:rFonts w:ascii="Arial" w:hAnsi="Arial" w:cs="Arial"/>
          <w:sz w:val="16"/>
          <w:szCs w:val="16"/>
        </w:rPr>
        <w:softHyphen/>
        <w:t>tres</w:t>
      </w:r>
      <w:r w:rsidRPr="00F5723F">
        <w:rPr>
          <w:rFonts w:ascii="Arial" w:hAnsi="Arial" w:cs="Arial"/>
          <w:sz w:val="16"/>
          <w:szCs w:val="16"/>
        </w:rPr>
        <w:softHyphen/>
        <w:t>sen/åsikter</w:t>
      </w:r>
      <w:r w:rsidRPr="00F5723F">
        <w:rPr>
          <w:rFonts w:ascii="Arial" w:hAnsi="Arial" w:cs="Arial"/>
          <w:sz w:val="16"/>
          <w:szCs w:val="16"/>
        </w:rPr>
        <w:t>”</w:t>
      </w:r>
      <w:r w:rsidRPr="00F5723F">
        <w:rPr>
          <w:rFonts w:ascii="Arial" w:hAnsi="Arial" w:cs="Arial"/>
          <w:sz w:val="16"/>
          <w:szCs w:val="16"/>
        </w:rPr>
        <w:t xml:space="preserve">, </w:t>
      </w:r>
      <w:r w:rsidRPr="00F5723F">
        <w:rPr>
          <w:rFonts w:ascii="Arial" w:hAnsi="Arial" w:cs="Arial"/>
          <w:sz w:val="16"/>
          <w:szCs w:val="16"/>
        </w:rPr>
        <w:t>”</w:t>
      </w:r>
      <w:r w:rsidRPr="00F5723F">
        <w:rPr>
          <w:rFonts w:ascii="Arial" w:hAnsi="Arial" w:cs="Arial"/>
          <w:sz w:val="16"/>
          <w:szCs w:val="16"/>
        </w:rPr>
        <w:t>föra fram de kristnas intressen/åsikter</w:t>
      </w:r>
      <w:r w:rsidRPr="00F5723F">
        <w:rPr>
          <w:rFonts w:ascii="Arial" w:hAnsi="Arial" w:cs="Arial"/>
          <w:sz w:val="16"/>
          <w:szCs w:val="16"/>
        </w:rPr>
        <w:t>”</w:t>
      </w:r>
      <w:r w:rsidRPr="00F5723F">
        <w:rPr>
          <w:rFonts w:ascii="Arial" w:hAnsi="Arial" w:cs="Arial"/>
          <w:sz w:val="16"/>
          <w:szCs w:val="16"/>
        </w:rPr>
        <w:t xml:space="preserve"> och </w:t>
      </w:r>
      <w:r w:rsidRPr="00F5723F">
        <w:rPr>
          <w:rFonts w:ascii="Arial" w:hAnsi="Arial" w:cs="Arial"/>
          <w:sz w:val="16"/>
          <w:szCs w:val="16"/>
        </w:rPr>
        <w:t>”</w:t>
      </w:r>
      <w:r w:rsidRPr="00F5723F">
        <w:rPr>
          <w:rFonts w:ascii="Arial" w:hAnsi="Arial" w:cs="Arial"/>
          <w:sz w:val="16"/>
          <w:szCs w:val="16"/>
        </w:rPr>
        <w:t>föra fram homo/bisexuellas och transpers</w:t>
      </w:r>
      <w:r w:rsidRPr="00F5723F">
        <w:rPr>
          <w:rFonts w:ascii="Arial" w:hAnsi="Arial" w:cs="Arial"/>
          <w:sz w:val="16"/>
          <w:szCs w:val="16"/>
        </w:rPr>
        <w:t>o</w:t>
      </w:r>
      <w:r w:rsidRPr="00F5723F">
        <w:rPr>
          <w:rFonts w:ascii="Arial" w:hAnsi="Arial" w:cs="Arial"/>
          <w:sz w:val="16"/>
          <w:szCs w:val="16"/>
        </w:rPr>
        <w:t>ners intressen/åsikter</w:t>
      </w:r>
      <w:r w:rsidRPr="00F5723F">
        <w:rPr>
          <w:rFonts w:ascii="Arial" w:hAnsi="Arial" w:cs="Arial"/>
          <w:sz w:val="16"/>
          <w:szCs w:val="16"/>
        </w:rPr>
        <w:t>”</w:t>
      </w:r>
      <w:r w:rsidRPr="00F5723F">
        <w:rPr>
          <w:rFonts w:ascii="Arial" w:hAnsi="Arial" w:cs="Arial"/>
          <w:sz w:val="16"/>
          <w:szCs w:val="16"/>
        </w:rPr>
        <w:t>. Ett streck i en kolumn innebär att representationsobjektet inte ingick i det årets undersökning. Resultaten är hämtade från Valforskningspr</w:t>
      </w:r>
      <w:r w:rsidRPr="00F5723F">
        <w:rPr>
          <w:rFonts w:ascii="Arial" w:hAnsi="Arial" w:cs="Arial"/>
          <w:sz w:val="16"/>
          <w:szCs w:val="16"/>
        </w:rPr>
        <w:t>o</w:t>
      </w:r>
      <w:r w:rsidRPr="00F5723F">
        <w:rPr>
          <w:rFonts w:ascii="Arial" w:hAnsi="Arial" w:cs="Arial"/>
          <w:sz w:val="16"/>
          <w:szCs w:val="16"/>
        </w:rPr>
        <w:t>grammets riksdag</w:t>
      </w:r>
      <w:r w:rsidRPr="00F5723F">
        <w:rPr>
          <w:rFonts w:ascii="Arial" w:hAnsi="Arial" w:cs="Arial"/>
          <w:sz w:val="16"/>
          <w:szCs w:val="16"/>
        </w:rPr>
        <w:t>s</w:t>
      </w:r>
      <w:r w:rsidRPr="00F5723F">
        <w:rPr>
          <w:rFonts w:ascii="Arial" w:hAnsi="Arial" w:cs="Arial"/>
          <w:sz w:val="16"/>
          <w:szCs w:val="16"/>
        </w:rPr>
        <w:t>undersökningar 1985–2002.</w:t>
      </w:r>
    </w:p>
    <w:p w:rsidR="00B43C57" w:rsidRPr="00F5723F" w:rsidRDefault="00B43C57"/>
    <w:p w:rsidR="00B43C57" w:rsidRPr="00F5723F" w:rsidRDefault="00B43C57">
      <w:r w:rsidRPr="00F5723F">
        <w:t xml:space="preserve">Med klar marginal är det nu </w:t>
      </w:r>
      <w:r w:rsidRPr="00F5723F">
        <w:t>partiets politik (71–80 procent mycket viktigt) och inte r</w:t>
      </w:r>
      <w:r w:rsidRPr="00F5723F">
        <w:t>e</w:t>
      </w:r>
      <w:r w:rsidRPr="00F5723F">
        <w:t>gionen/valkretsen (38–48 procent) som framstår som de svenska riksdagsledamöternas viktigaste representationsobjekt. Vid en ytlig betrakte</w:t>
      </w:r>
      <w:r w:rsidRPr="00F5723F">
        <w:t>l</w:t>
      </w:r>
      <w:r w:rsidRPr="00F5723F">
        <w:t>se tycks det alltså som om va</w:t>
      </w:r>
      <w:r w:rsidRPr="00F5723F">
        <w:t>l</w:t>
      </w:r>
      <w:r w:rsidRPr="00F5723F">
        <w:t>kretsen är viktigare än partiet i tabell 1, medan partiet är viktigare än valkretsen i tabell 2. En för riksdagsledamöterna mer hedrande förklaring till de till synes motstridiga resu</w:t>
      </w:r>
      <w:r w:rsidRPr="00F5723F">
        <w:t>l</w:t>
      </w:r>
      <w:r w:rsidRPr="00F5723F">
        <w:t>taten är emellertid att det handlar om frågor med inriktning på delvis olika objekt: i tabell 1 på p</w:t>
      </w:r>
      <w:r w:rsidRPr="00F5723F">
        <w:t xml:space="preserve">artiets och valkretsens </w:t>
      </w:r>
      <w:r w:rsidRPr="00F5723F">
        <w:rPr>
          <w:i/>
        </w:rPr>
        <w:t>väljare</w:t>
      </w:r>
      <w:r w:rsidRPr="00F5723F">
        <w:t xml:space="preserve"> och i tabell 2 på partiets </w:t>
      </w:r>
      <w:r w:rsidRPr="00F5723F">
        <w:rPr>
          <w:i/>
        </w:rPr>
        <w:t>politik</w:t>
      </w:r>
      <w:r w:rsidRPr="00F5723F">
        <w:t xml:space="preserve"> och valkretsens </w:t>
      </w:r>
      <w:r w:rsidRPr="00F5723F">
        <w:rPr>
          <w:i/>
        </w:rPr>
        <w:t>intre</w:t>
      </w:r>
      <w:r w:rsidRPr="00F5723F">
        <w:rPr>
          <w:i/>
        </w:rPr>
        <w:t>s</w:t>
      </w:r>
      <w:r w:rsidRPr="00F5723F">
        <w:rPr>
          <w:i/>
        </w:rPr>
        <w:t>sen och åsikter</w:t>
      </w:r>
      <w:r w:rsidRPr="00F5723F">
        <w:t>.</w:t>
      </w:r>
      <w:r w:rsidRPr="00F5723F">
        <w:rPr>
          <w:rStyle w:val="Fotnotsreferens"/>
          <w:szCs w:val="24"/>
        </w:rPr>
        <w:footnoteReference w:id="147"/>
      </w:r>
      <w:r w:rsidRPr="00F5723F">
        <w:t xml:space="preserve"> </w:t>
      </w:r>
    </w:p>
    <w:p w:rsidR="00B43C57" w:rsidRPr="00F5723F" w:rsidRDefault="00B43C57">
      <w:pPr>
        <w:pStyle w:val="Normaltindrag"/>
      </w:pPr>
      <w:r w:rsidRPr="00F5723F">
        <w:t>Riksdagsledamöternas bedömningar av vad som är viktiga represent</w:t>
      </w:r>
      <w:r w:rsidRPr="00F5723F">
        <w:t>a</w:t>
      </w:r>
      <w:r w:rsidRPr="00F5723F">
        <w:t>tionsobjekt är med två undantag påtagligt stabila över tid. En tydlig förän</w:t>
      </w:r>
      <w:r w:rsidRPr="00F5723F">
        <w:t>d</w:t>
      </w:r>
      <w:r w:rsidRPr="00F5723F">
        <w:t>ring i tabell 2 är att det enligt ledamöterna har blivit klart mindre viktigt att ”arbeta med problem för enskilda väljare/människor som har vänt sig till dig” – från nästan 50 procent u</w:t>
      </w:r>
      <w:r w:rsidRPr="00F5723F">
        <w:t>n</w:t>
      </w:r>
      <w:r w:rsidRPr="00F5723F">
        <w:t>der 1980-talet till endast drygt 30 procent i de senaste undersökningarna.</w:t>
      </w:r>
      <w:r w:rsidRPr="00F5723F">
        <w:rPr>
          <w:rStyle w:val="Fotnotsreferens"/>
        </w:rPr>
        <w:footnoteReference w:id="148"/>
      </w:r>
      <w:r w:rsidRPr="00F5723F">
        <w:t xml:space="preserve"> Samtidigt har det blivit betydligt viktig</w:t>
      </w:r>
      <w:r w:rsidRPr="00F5723F">
        <w:t>a</w:t>
      </w:r>
      <w:r w:rsidRPr="00F5723F">
        <w:t>re att föra fram flyktingarnas och invandrarnas åsikter och intressen (från 14 pr</w:t>
      </w:r>
      <w:r w:rsidRPr="00F5723F">
        <w:t>o</w:t>
      </w:r>
      <w:r w:rsidRPr="00F5723F">
        <w:t>cent 1994 till 30 procent 2002), vilket kanske inte är förvånande med tanke på den stora uppmärksamheten kring invandrar- och fly</w:t>
      </w:r>
      <w:r w:rsidRPr="00F5723F">
        <w:t>k</w:t>
      </w:r>
      <w:r w:rsidRPr="00F5723F">
        <w:t>tingfrågor under de senaste 10–15 åren. Den av samma skäl förväntade ökningen av andelen ledamöter som tycker det är viktigt att föra fram kvinnornas åsikter och i</w:t>
      </w:r>
      <w:r w:rsidRPr="00F5723F">
        <w:t>n</w:t>
      </w:r>
      <w:r w:rsidRPr="00F5723F">
        <w:t>tressen är däremot mer blygsam – från 24 procent 1985 till 28 procent 2002.</w:t>
      </w:r>
    </w:p>
    <w:p w:rsidR="00B43C57" w:rsidRPr="00F5723F" w:rsidRDefault="00B43C57">
      <w:pPr>
        <w:pStyle w:val="Normaltindrag"/>
      </w:pPr>
      <w:r w:rsidRPr="00F5723F">
        <w:t>Den andra kompone</w:t>
      </w:r>
      <w:r w:rsidRPr="00F5723F">
        <w:t xml:space="preserve">nten i riksdagsledamöternas representationsideologier är </w:t>
      </w:r>
      <w:r w:rsidRPr="00F5723F">
        <w:rPr>
          <w:i/>
        </w:rPr>
        <w:t>representationens principer</w:t>
      </w:r>
      <w:r w:rsidRPr="00F5723F">
        <w:t xml:space="preserve"> och frågan om ledamöterna i första hand bör följa partilinjen (parti</w:t>
      </w:r>
      <w:r w:rsidRPr="00F5723F">
        <w:softHyphen/>
        <w:t>prin</w:t>
      </w:r>
      <w:r w:rsidRPr="00F5723F">
        <w:softHyphen/>
        <w:t>ci</w:t>
      </w:r>
      <w:r w:rsidRPr="00F5723F">
        <w:softHyphen/>
        <w:t>pen), den egna kom</w:t>
      </w:r>
      <w:r w:rsidRPr="00F5723F">
        <w:softHyphen/>
        <w:t>pas</w:t>
      </w:r>
      <w:r w:rsidRPr="00F5723F">
        <w:softHyphen/>
        <w:t>sen (indivi</w:t>
      </w:r>
      <w:r w:rsidRPr="00F5723F">
        <w:t>d</w:t>
      </w:r>
      <w:r w:rsidRPr="00F5723F">
        <w:t>principen) el</w:t>
      </w:r>
      <w:r w:rsidRPr="00F5723F">
        <w:softHyphen/>
        <w:t>ler den egna valkretsens väljare (valkretsprincipen) vid omröstningarna i riksd</w:t>
      </w:r>
      <w:r w:rsidRPr="00F5723F">
        <w:t>a</w:t>
      </w:r>
      <w:r w:rsidRPr="00F5723F">
        <w:t>gen. Efter amer</w:t>
      </w:r>
      <w:r w:rsidRPr="00F5723F">
        <w:t>i</w:t>
      </w:r>
      <w:r w:rsidRPr="00F5723F">
        <w:t>kansk förebild (Eulau m.fl. 1959; Wahlke m.fl. 1962) ingår ett frågebatteri om representationens principer i de svenska riksdagsunde</w:t>
      </w:r>
      <w:r w:rsidRPr="00F5723F">
        <w:t>r</w:t>
      </w:r>
      <w:r w:rsidRPr="00F5723F">
        <w:t>sökningarna sedan starten i slutet av 1960-talet. Riksdagsledamöterna om</w:t>
      </w:r>
      <w:r w:rsidRPr="00F5723F">
        <w:t xml:space="preserve">beds där att ta ställning till följande tre frågor: 1) Hur </w:t>
      </w:r>
      <w:r w:rsidRPr="00F5723F">
        <w:rPr>
          <w:i/>
        </w:rPr>
        <w:t>bör</w:t>
      </w:r>
      <w:r w:rsidRPr="00F5723F">
        <w:t>, enligt din mening, en riksdagsledamot rösta om hans/hennes väljare i va</w:t>
      </w:r>
      <w:r w:rsidRPr="00F5723F">
        <w:t>l</w:t>
      </w:r>
      <w:r w:rsidRPr="00F5723F">
        <w:t xml:space="preserve">kretsen har en åsikt och hans/hennes parti intar en annan ståndpunkt? 2) Hur </w:t>
      </w:r>
      <w:r w:rsidRPr="00F5723F">
        <w:rPr>
          <w:i/>
        </w:rPr>
        <w:t>bör</w:t>
      </w:r>
      <w:r w:rsidRPr="00F5723F">
        <w:t>, enligt din mening, en rik</w:t>
      </w:r>
      <w:r w:rsidRPr="00F5723F">
        <w:t>s</w:t>
      </w:r>
      <w:r w:rsidRPr="00F5723F">
        <w:t xml:space="preserve">dagsledamot rösta om hans/hennes egen uppfattning i en fråga inte överensstämmer med de åsikter hans/hennes väljare i valkretsen har? 3) Hur </w:t>
      </w:r>
      <w:r w:rsidRPr="00F5723F">
        <w:rPr>
          <w:i/>
        </w:rPr>
        <w:t>bör</w:t>
      </w:r>
      <w:r w:rsidRPr="00F5723F">
        <w:t>, enligt din mening, en riksdagsledamot rösta om hans/hennes egen up</w:t>
      </w:r>
      <w:r w:rsidRPr="00F5723F">
        <w:t>p</w:t>
      </w:r>
      <w:r w:rsidRPr="00F5723F">
        <w:t>fattning i en fråga inte överensstämmer med partiets st</w:t>
      </w:r>
      <w:r w:rsidRPr="00F5723F">
        <w:t>åndpunkt? Ledamöte</w:t>
      </w:r>
      <w:r w:rsidRPr="00F5723F">
        <w:t>r</w:t>
      </w:r>
      <w:r w:rsidRPr="00F5723F">
        <w:t>nas inställning till dessa tre lojalitetskonflikter i 2002 års riksdagsundersö</w:t>
      </w:r>
      <w:r w:rsidRPr="00F5723F">
        <w:t>k</w:t>
      </w:r>
      <w:r w:rsidRPr="00F5723F">
        <w:t>ning redovisas i tabell 3.</w:t>
      </w:r>
    </w:p>
    <w:p w:rsidR="00B43C57" w:rsidRPr="00F5723F" w:rsidRDefault="00B43C57">
      <w:pPr>
        <w:pStyle w:val="Tabellrubrik"/>
        <w:spacing w:before="0"/>
      </w:pPr>
      <w:r w:rsidRPr="00F5723F">
        <w:br w:type="page"/>
        <w:t xml:space="preserve">Tabell </w:t>
      </w:r>
      <w:r w:rsidRPr="00F5723F">
        <w:t>3</w:t>
      </w:r>
      <w:r w:rsidRPr="00F5723F">
        <w:tab/>
        <w:t>Riksdagsledamöternas åsikter om tre lojalitetskonfli</w:t>
      </w:r>
      <w:r w:rsidRPr="00F5723F">
        <w:t>k</w:t>
      </w:r>
      <w:r w:rsidRPr="00F5723F">
        <w:t>ter 2002 (pr</w:t>
      </w:r>
      <w:r w:rsidRPr="00F5723F">
        <w:t>o</w:t>
      </w:r>
      <w:r w:rsidRPr="00F5723F">
        <w:t>cent).</w:t>
      </w:r>
    </w:p>
    <w:p w:rsidR="00B43C57" w:rsidRPr="00F5723F" w:rsidRDefault="00B43C57"/>
    <w:p w:rsidR="00B43C57" w:rsidRPr="00F5723F" w:rsidRDefault="00B43C57">
      <w:pPr>
        <w:spacing w:line="240" w:lineRule="auto"/>
        <w:rPr>
          <w:sz w:val="16"/>
          <w:szCs w:val="16"/>
        </w:rPr>
      </w:pPr>
      <w:r w:rsidRPr="00F5723F">
        <w:rPr>
          <w:sz w:val="16"/>
          <w:szCs w:val="16"/>
        </w:rPr>
        <w:t xml:space="preserve">”Hur </w:t>
      </w:r>
      <w:r w:rsidRPr="00F5723F">
        <w:rPr>
          <w:i/>
          <w:sz w:val="16"/>
          <w:szCs w:val="16"/>
        </w:rPr>
        <w:t>bör</w:t>
      </w:r>
      <w:r w:rsidRPr="00F5723F">
        <w:rPr>
          <w:sz w:val="16"/>
          <w:szCs w:val="16"/>
        </w:rPr>
        <w:t>, enligt din mening, en riksdagsledamot rösta om hans/hennes väljare i valkretsen har en åsikt och hans/hennes parti intar en annan stån</w:t>
      </w:r>
      <w:r w:rsidRPr="00F5723F">
        <w:rPr>
          <w:sz w:val="16"/>
          <w:szCs w:val="16"/>
        </w:rPr>
        <w:t>d</w:t>
      </w:r>
      <w:r w:rsidRPr="00F5723F">
        <w:rPr>
          <w:sz w:val="16"/>
          <w:szCs w:val="16"/>
        </w:rPr>
        <w:t>punkt?”</w:t>
      </w:r>
    </w:p>
    <w:p w:rsidR="00B43C57" w:rsidRPr="00F5723F" w:rsidRDefault="00B43C57">
      <w:pPr>
        <w:pStyle w:val="Normaltindrag"/>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041"/>
        <w:gridCol w:w="510"/>
        <w:gridCol w:w="510"/>
        <w:gridCol w:w="510"/>
        <w:gridCol w:w="510"/>
        <w:gridCol w:w="510"/>
        <w:gridCol w:w="510"/>
        <w:gridCol w:w="510"/>
        <w:gridCol w:w="510"/>
      </w:tblGrid>
      <w:tr w:rsidR="00000000" w:rsidRPr="00F5723F">
        <w:tc>
          <w:tcPr>
            <w:tcW w:w="2041" w:type="dxa"/>
            <w:tcBorders>
              <w:top w:val="single" w:sz="4" w:space="0" w:color="auto"/>
            </w:tcBorders>
          </w:tcPr>
          <w:p w:rsidR="00B43C57" w:rsidRPr="00F5723F" w:rsidRDefault="00B43C57">
            <w:pPr>
              <w:pStyle w:val="Tabelltextsiffror"/>
            </w:pPr>
          </w:p>
        </w:tc>
        <w:tc>
          <w:tcPr>
            <w:tcW w:w="3570" w:type="dxa"/>
            <w:gridSpan w:val="7"/>
            <w:tcBorders>
              <w:top w:val="single" w:sz="4" w:space="0" w:color="auto"/>
              <w:bottom w:val="single" w:sz="4" w:space="0" w:color="auto"/>
            </w:tcBorders>
          </w:tcPr>
          <w:p w:rsidR="00B43C57" w:rsidRPr="00F5723F" w:rsidRDefault="00B43C57">
            <w:pPr>
              <w:pStyle w:val="Tabelltextsiffror"/>
              <w:jc w:val="left"/>
            </w:pPr>
            <w:r w:rsidRPr="00F5723F">
              <w:t>riksdag</w:t>
            </w:r>
            <w:r w:rsidRPr="00F5723F">
              <w:t>s</w:t>
            </w:r>
            <w:r w:rsidRPr="00F5723F">
              <w:t>parti</w:t>
            </w:r>
          </w:p>
        </w:tc>
        <w:tc>
          <w:tcPr>
            <w:tcW w:w="510" w:type="dxa"/>
            <w:tcBorders>
              <w:top w:val="single" w:sz="4" w:space="0" w:color="auto"/>
            </w:tcBorders>
          </w:tcPr>
          <w:p w:rsidR="00B43C57" w:rsidRPr="00F5723F" w:rsidRDefault="00B43C57">
            <w:pPr>
              <w:pStyle w:val="Tabelltextsiffror"/>
            </w:pPr>
          </w:p>
        </w:tc>
      </w:tr>
      <w:tr w:rsidR="00000000" w:rsidRPr="00F5723F">
        <w:tc>
          <w:tcPr>
            <w:tcW w:w="2041" w:type="dxa"/>
            <w:tcBorders>
              <w:bottom w:val="single" w:sz="4" w:space="0" w:color="auto"/>
            </w:tcBorders>
          </w:tcPr>
          <w:p w:rsidR="00B43C57" w:rsidRPr="00F5723F" w:rsidRDefault="00B43C57">
            <w:pPr>
              <w:pStyle w:val="Tabelltextsiffror"/>
            </w:pP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510" w:type="dxa"/>
            <w:tcBorders>
              <w:bottom w:val="single" w:sz="4" w:space="0" w:color="auto"/>
            </w:tcBorders>
          </w:tcPr>
          <w:p w:rsidR="00B43C57" w:rsidRPr="00F5723F" w:rsidRDefault="00B43C57">
            <w:pPr>
              <w:pStyle w:val="Tabelltextsiffror"/>
              <w:jc w:val="center"/>
            </w:pPr>
            <w:r w:rsidRPr="00F5723F">
              <w:t>alla</w:t>
            </w:r>
          </w:p>
        </w:tc>
      </w:tr>
      <w:tr w:rsidR="00000000" w:rsidRPr="00F5723F">
        <w:tc>
          <w:tcPr>
            <w:tcW w:w="2041" w:type="dxa"/>
            <w:tcBorders>
              <w:top w:val="single" w:sz="4" w:space="0" w:color="auto"/>
            </w:tcBorders>
          </w:tcPr>
          <w:p w:rsidR="00B43C57" w:rsidRPr="00F5723F" w:rsidRDefault="00B43C57">
            <w:pPr>
              <w:pStyle w:val="Tabelltextsiffror"/>
              <w:ind w:left="95" w:hanging="95"/>
              <w:jc w:val="left"/>
            </w:pPr>
            <w:r w:rsidRPr="00F5723F">
              <w:t>på partiets stån</w:t>
            </w:r>
            <w:r w:rsidRPr="00F5723F">
              <w:t>d</w:t>
            </w:r>
            <w:r w:rsidRPr="00F5723F">
              <w:t>punkt</w:t>
            </w:r>
          </w:p>
        </w:tc>
        <w:tc>
          <w:tcPr>
            <w:tcW w:w="510" w:type="dxa"/>
            <w:tcBorders>
              <w:top w:val="single" w:sz="4" w:space="0" w:color="auto"/>
            </w:tcBorders>
          </w:tcPr>
          <w:p w:rsidR="00B43C57" w:rsidRPr="00F5723F" w:rsidRDefault="00B43C57">
            <w:pPr>
              <w:pStyle w:val="Tabelltextsiffror"/>
              <w:jc w:val="center"/>
            </w:pPr>
            <w:r w:rsidRPr="00F5723F">
              <w:t>62</w:t>
            </w:r>
          </w:p>
        </w:tc>
        <w:tc>
          <w:tcPr>
            <w:tcW w:w="510" w:type="dxa"/>
            <w:tcBorders>
              <w:top w:val="single" w:sz="4" w:space="0" w:color="auto"/>
            </w:tcBorders>
          </w:tcPr>
          <w:p w:rsidR="00B43C57" w:rsidRPr="00F5723F" w:rsidRDefault="00B43C57">
            <w:pPr>
              <w:pStyle w:val="Tabelltextsiffror"/>
              <w:jc w:val="center"/>
            </w:pPr>
            <w:r w:rsidRPr="00F5723F">
              <w:t>70</w:t>
            </w:r>
          </w:p>
        </w:tc>
        <w:tc>
          <w:tcPr>
            <w:tcW w:w="510" w:type="dxa"/>
            <w:tcBorders>
              <w:top w:val="single" w:sz="4" w:space="0" w:color="auto"/>
            </w:tcBorders>
          </w:tcPr>
          <w:p w:rsidR="00B43C57" w:rsidRPr="00F5723F" w:rsidRDefault="00B43C57">
            <w:pPr>
              <w:pStyle w:val="Tabelltextsiffror"/>
              <w:jc w:val="center"/>
            </w:pPr>
            <w:r w:rsidRPr="00F5723F">
              <w:t>29</w:t>
            </w:r>
          </w:p>
        </w:tc>
        <w:tc>
          <w:tcPr>
            <w:tcW w:w="510" w:type="dxa"/>
            <w:tcBorders>
              <w:top w:val="single" w:sz="4" w:space="0" w:color="auto"/>
            </w:tcBorders>
          </w:tcPr>
          <w:p w:rsidR="00B43C57" w:rsidRPr="00F5723F" w:rsidRDefault="00B43C57">
            <w:pPr>
              <w:pStyle w:val="Tabelltextsiffror"/>
              <w:jc w:val="center"/>
            </w:pPr>
            <w:r w:rsidRPr="00F5723F">
              <w:t>24</w:t>
            </w:r>
          </w:p>
        </w:tc>
        <w:tc>
          <w:tcPr>
            <w:tcW w:w="510" w:type="dxa"/>
            <w:tcBorders>
              <w:top w:val="single" w:sz="4" w:space="0" w:color="auto"/>
            </w:tcBorders>
          </w:tcPr>
          <w:p w:rsidR="00B43C57" w:rsidRPr="00F5723F" w:rsidRDefault="00B43C57">
            <w:pPr>
              <w:pStyle w:val="Tabelltextsiffror"/>
              <w:jc w:val="center"/>
            </w:pPr>
            <w:r w:rsidRPr="00F5723F">
              <w:t>37</w:t>
            </w:r>
          </w:p>
        </w:tc>
        <w:tc>
          <w:tcPr>
            <w:tcW w:w="510" w:type="dxa"/>
            <w:tcBorders>
              <w:top w:val="single" w:sz="4" w:space="0" w:color="auto"/>
            </w:tcBorders>
          </w:tcPr>
          <w:p w:rsidR="00B43C57" w:rsidRPr="00F5723F" w:rsidRDefault="00B43C57">
            <w:pPr>
              <w:pStyle w:val="Tabelltextsiffror"/>
              <w:jc w:val="center"/>
            </w:pPr>
            <w:r w:rsidRPr="00F5723F">
              <w:t>55</w:t>
            </w:r>
          </w:p>
        </w:tc>
        <w:tc>
          <w:tcPr>
            <w:tcW w:w="510" w:type="dxa"/>
            <w:tcBorders>
              <w:top w:val="single" w:sz="4" w:space="0" w:color="auto"/>
            </w:tcBorders>
          </w:tcPr>
          <w:p w:rsidR="00B43C57" w:rsidRPr="00F5723F" w:rsidRDefault="00B43C57">
            <w:pPr>
              <w:pStyle w:val="Tabelltextsiffror"/>
              <w:jc w:val="center"/>
            </w:pPr>
            <w:r w:rsidRPr="00F5723F">
              <w:t>46</w:t>
            </w:r>
          </w:p>
        </w:tc>
        <w:tc>
          <w:tcPr>
            <w:tcW w:w="510" w:type="dxa"/>
            <w:tcBorders>
              <w:top w:val="single" w:sz="4" w:space="0" w:color="auto"/>
            </w:tcBorders>
          </w:tcPr>
          <w:p w:rsidR="00B43C57" w:rsidRPr="00F5723F" w:rsidRDefault="00B43C57">
            <w:pPr>
              <w:pStyle w:val="Tabelltextsiffror"/>
              <w:jc w:val="center"/>
            </w:pPr>
            <w:r w:rsidRPr="00F5723F">
              <w:t>53</w:t>
            </w:r>
          </w:p>
        </w:tc>
      </w:tr>
      <w:tr w:rsidR="00000000" w:rsidRPr="00F5723F">
        <w:tc>
          <w:tcPr>
            <w:tcW w:w="2041" w:type="dxa"/>
          </w:tcPr>
          <w:p w:rsidR="00B43C57" w:rsidRPr="00F5723F" w:rsidRDefault="00B43C57">
            <w:pPr>
              <w:pStyle w:val="Tabelltextsiffror"/>
              <w:ind w:left="95" w:hanging="95"/>
              <w:jc w:val="left"/>
            </w:pPr>
            <w:r w:rsidRPr="00F5723F">
              <w:t>på väljarnas åsikt</w:t>
            </w:r>
          </w:p>
        </w:tc>
        <w:tc>
          <w:tcPr>
            <w:tcW w:w="510" w:type="dxa"/>
          </w:tcPr>
          <w:p w:rsidR="00B43C57" w:rsidRPr="00F5723F" w:rsidRDefault="00B43C57">
            <w:pPr>
              <w:pStyle w:val="Tabelltextsiffror"/>
              <w:jc w:val="center"/>
            </w:pPr>
            <w:r w:rsidRPr="00F5723F">
              <w:t>24</w:t>
            </w:r>
          </w:p>
        </w:tc>
        <w:tc>
          <w:tcPr>
            <w:tcW w:w="510" w:type="dxa"/>
          </w:tcPr>
          <w:p w:rsidR="00B43C57" w:rsidRPr="00F5723F" w:rsidRDefault="00B43C57">
            <w:pPr>
              <w:pStyle w:val="Tabelltextsiffror"/>
              <w:jc w:val="center"/>
            </w:pPr>
            <w:r w:rsidRPr="00F5723F">
              <w:t>15</w:t>
            </w:r>
          </w:p>
        </w:tc>
        <w:tc>
          <w:tcPr>
            <w:tcW w:w="510" w:type="dxa"/>
          </w:tcPr>
          <w:p w:rsidR="00B43C57" w:rsidRPr="00F5723F" w:rsidRDefault="00B43C57">
            <w:pPr>
              <w:pStyle w:val="Tabelltextsiffror"/>
              <w:jc w:val="center"/>
            </w:pPr>
            <w:r w:rsidRPr="00F5723F">
              <w:t>52</w:t>
            </w:r>
          </w:p>
        </w:tc>
        <w:tc>
          <w:tcPr>
            <w:tcW w:w="510" w:type="dxa"/>
          </w:tcPr>
          <w:p w:rsidR="00B43C57" w:rsidRPr="00F5723F" w:rsidRDefault="00B43C57">
            <w:pPr>
              <w:pStyle w:val="Tabelltextsiffror"/>
              <w:jc w:val="center"/>
            </w:pPr>
            <w:r w:rsidRPr="00F5723F">
              <w:t>50</w:t>
            </w:r>
          </w:p>
        </w:tc>
        <w:tc>
          <w:tcPr>
            <w:tcW w:w="510" w:type="dxa"/>
          </w:tcPr>
          <w:p w:rsidR="00B43C57" w:rsidRPr="00F5723F" w:rsidRDefault="00B43C57">
            <w:pPr>
              <w:pStyle w:val="Tabelltextsiffror"/>
              <w:jc w:val="center"/>
            </w:pPr>
            <w:r w:rsidRPr="00F5723F">
              <w:t>41</w:t>
            </w:r>
          </w:p>
        </w:tc>
        <w:tc>
          <w:tcPr>
            <w:tcW w:w="510" w:type="dxa"/>
          </w:tcPr>
          <w:p w:rsidR="00B43C57" w:rsidRPr="00F5723F" w:rsidRDefault="00B43C57">
            <w:pPr>
              <w:pStyle w:val="Tabelltextsiffror"/>
              <w:jc w:val="center"/>
            </w:pPr>
            <w:r w:rsidRPr="00F5723F">
              <w:t>36</w:t>
            </w:r>
          </w:p>
        </w:tc>
        <w:tc>
          <w:tcPr>
            <w:tcW w:w="510" w:type="dxa"/>
          </w:tcPr>
          <w:p w:rsidR="00B43C57" w:rsidRPr="00F5723F" w:rsidRDefault="00B43C57">
            <w:pPr>
              <w:pStyle w:val="Tabelltextsiffror"/>
              <w:jc w:val="center"/>
            </w:pPr>
            <w:r w:rsidRPr="00F5723F">
              <w:t>39</w:t>
            </w:r>
          </w:p>
        </w:tc>
        <w:tc>
          <w:tcPr>
            <w:tcW w:w="510" w:type="dxa"/>
          </w:tcPr>
          <w:p w:rsidR="00B43C57" w:rsidRPr="00F5723F" w:rsidRDefault="00B43C57">
            <w:pPr>
              <w:pStyle w:val="Tabelltextsiffror"/>
              <w:jc w:val="center"/>
            </w:pPr>
            <w:r w:rsidRPr="00F5723F">
              <w:t>30</w:t>
            </w:r>
          </w:p>
        </w:tc>
      </w:tr>
      <w:tr w:rsidR="00000000" w:rsidRPr="00F5723F">
        <w:tc>
          <w:tcPr>
            <w:tcW w:w="2041" w:type="dxa"/>
            <w:tcBorders>
              <w:bottom w:val="single" w:sz="4" w:space="0" w:color="auto"/>
            </w:tcBorders>
          </w:tcPr>
          <w:p w:rsidR="00B43C57" w:rsidRPr="00F5723F" w:rsidRDefault="00B43C57">
            <w:pPr>
              <w:pStyle w:val="Tabelltextsiffror"/>
              <w:ind w:left="95" w:hanging="95"/>
              <w:jc w:val="left"/>
            </w:pPr>
            <w:r w:rsidRPr="00F5723F">
              <w:t>vet ej/ambivalent svar/annat svar</w:t>
            </w:r>
          </w:p>
        </w:tc>
        <w:tc>
          <w:tcPr>
            <w:tcW w:w="510" w:type="dxa"/>
            <w:tcBorders>
              <w:bottom w:val="single" w:sz="4" w:space="0" w:color="auto"/>
            </w:tcBorders>
          </w:tcPr>
          <w:p w:rsidR="00B43C57" w:rsidRPr="00F5723F" w:rsidRDefault="00B43C57">
            <w:pPr>
              <w:pStyle w:val="Tabelltextsiffror"/>
              <w:jc w:val="center"/>
            </w:pPr>
            <w:r w:rsidRPr="00F5723F">
              <w:t>14</w:t>
            </w:r>
          </w:p>
        </w:tc>
        <w:tc>
          <w:tcPr>
            <w:tcW w:w="510" w:type="dxa"/>
            <w:tcBorders>
              <w:bottom w:val="single" w:sz="4" w:space="0" w:color="auto"/>
            </w:tcBorders>
          </w:tcPr>
          <w:p w:rsidR="00B43C57" w:rsidRPr="00F5723F" w:rsidRDefault="00B43C57">
            <w:pPr>
              <w:pStyle w:val="Tabelltextsiffror"/>
              <w:jc w:val="center"/>
            </w:pPr>
            <w:r w:rsidRPr="00F5723F">
              <w:t>15</w:t>
            </w:r>
          </w:p>
        </w:tc>
        <w:tc>
          <w:tcPr>
            <w:tcW w:w="510" w:type="dxa"/>
            <w:tcBorders>
              <w:bottom w:val="single" w:sz="4" w:space="0" w:color="auto"/>
            </w:tcBorders>
          </w:tcPr>
          <w:p w:rsidR="00B43C57" w:rsidRPr="00F5723F" w:rsidRDefault="00B43C57">
            <w:pPr>
              <w:pStyle w:val="Tabelltextsiffror"/>
              <w:jc w:val="center"/>
            </w:pPr>
            <w:r w:rsidRPr="00F5723F">
              <w:t>19</w:t>
            </w:r>
          </w:p>
        </w:tc>
        <w:tc>
          <w:tcPr>
            <w:tcW w:w="510" w:type="dxa"/>
            <w:tcBorders>
              <w:bottom w:val="single" w:sz="4" w:space="0" w:color="auto"/>
            </w:tcBorders>
          </w:tcPr>
          <w:p w:rsidR="00B43C57" w:rsidRPr="00F5723F" w:rsidRDefault="00B43C57">
            <w:pPr>
              <w:pStyle w:val="Tabelltextsiffror"/>
              <w:jc w:val="center"/>
            </w:pPr>
            <w:r w:rsidRPr="00F5723F">
              <w:t>26</w:t>
            </w:r>
          </w:p>
        </w:tc>
        <w:tc>
          <w:tcPr>
            <w:tcW w:w="510" w:type="dxa"/>
            <w:tcBorders>
              <w:bottom w:val="single" w:sz="4" w:space="0" w:color="auto"/>
            </w:tcBorders>
          </w:tcPr>
          <w:p w:rsidR="00B43C57" w:rsidRPr="00F5723F" w:rsidRDefault="00B43C57">
            <w:pPr>
              <w:pStyle w:val="Tabelltextsiffror"/>
              <w:jc w:val="center"/>
            </w:pPr>
            <w:r w:rsidRPr="00F5723F">
              <w:t>22</w:t>
            </w:r>
          </w:p>
        </w:tc>
        <w:tc>
          <w:tcPr>
            <w:tcW w:w="510" w:type="dxa"/>
            <w:tcBorders>
              <w:bottom w:val="single" w:sz="4" w:space="0" w:color="auto"/>
            </w:tcBorders>
          </w:tcPr>
          <w:p w:rsidR="00B43C57" w:rsidRPr="00F5723F" w:rsidRDefault="00B43C57">
            <w:pPr>
              <w:pStyle w:val="Tabelltextsiffror"/>
              <w:jc w:val="center"/>
            </w:pPr>
            <w:r w:rsidRPr="00F5723F">
              <w:t>9</w:t>
            </w:r>
          </w:p>
        </w:tc>
        <w:tc>
          <w:tcPr>
            <w:tcW w:w="510" w:type="dxa"/>
            <w:tcBorders>
              <w:bottom w:val="single" w:sz="4" w:space="0" w:color="auto"/>
            </w:tcBorders>
          </w:tcPr>
          <w:p w:rsidR="00B43C57" w:rsidRPr="00F5723F" w:rsidRDefault="00B43C57">
            <w:pPr>
              <w:pStyle w:val="Tabelltextsiffror"/>
              <w:jc w:val="center"/>
            </w:pPr>
            <w:r w:rsidRPr="00F5723F">
              <w:t>15</w:t>
            </w:r>
          </w:p>
        </w:tc>
        <w:tc>
          <w:tcPr>
            <w:tcW w:w="510" w:type="dxa"/>
            <w:tcBorders>
              <w:bottom w:val="single" w:sz="4" w:space="0" w:color="auto"/>
            </w:tcBorders>
          </w:tcPr>
          <w:p w:rsidR="00B43C57" w:rsidRPr="00F5723F" w:rsidRDefault="00B43C57">
            <w:pPr>
              <w:pStyle w:val="Tabelltextsiffror"/>
              <w:jc w:val="center"/>
            </w:pPr>
            <w:r w:rsidRPr="00F5723F">
              <w:t>17</w:t>
            </w:r>
          </w:p>
        </w:tc>
      </w:tr>
      <w:tr w:rsidR="00000000" w:rsidRPr="00F5723F">
        <w:tc>
          <w:tcPr>
            <w:tcW w:w="2041" w:type="dxa"/>
            <w:tcBorders>
              <w:top w:val="single" w:sz="4" w:space="0" w:color="auto"/>
            </w:tcBorders>
          </w:tcPr>
          <w:p w:rsidR="00B43C57" w:rsidRPr="00F5723F" w:rsidRDefault="00B43C57">
            <w:pPr>
              <w:pStyle w:val="Tabelltextsiffror"/>
              <w:jc w:val="left"/>
            </w:pPr>
            <w:r w:rsidRPr="00F5723F">
              <w:t>summa procent</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r>
      <w:tr w:rsidR="00000000" w:rsidRPr="00F5723F">
        <w:tc>
          <w:tcPr>
            <w:tcW w:w="2041" w:type="dxa"/>
          </w:tcPr>
          <w:p w:rsidR="00B43C57" w:rsidRPr="00F5723F" w:rsidRDefault="00B43C57">
            <w:pPr>
              <w:pStyle w:val="Tabelltextsiffror"/>
              <w:jc w:val="left"/>
            </w:pPr>
            <w:r w:rsidRPr="00F5723F">
              <w:t>antal pe</w:t>
            </w:r>
            <w:r w:rsidRPr="00F5723F">
              <w:t>r</w:t>
            </w:r>
            <w:r w:rsidRPr="00F5723F">
              <w:t>soner</w:t>
            </w:r>
          </w:p>
        </w:tc>
        <w:tc>
          <w:tcPr>
            <w:tcW w:w="510" w:type="dxa"/>
          </w:tcPr>
          <w:p w:rsidR="00B43C57" w:rsidRPr="00F5723F" w:rsidRDefault="00B43C57">
            <w:pPr>
              <w:pStyle w:val="Tabelltextsiffror"/>
              <w:jc w:val="center"/>
            </w:pPr>
            <w:r w:rsidRPr="00F5723F">
              <w:t>29</w:t>
            </w:r>
          </w:p>
        </w:tc>
        <w:tc>
          <w:tcPr>
            <w:tcW w:w="510" w:type="dxa"/>
          </w:tcPr>
          <w:p w:rsidR="00B43C57" w:rsidRPr="00F5723F" w:rsidRDefault="00B43C57">
            <w:pPr>
              <w:pStyle w:val="Tabelltextsiffror"/>
              <w:jc w:val="center"/>
            </w:pPr>
            <w:r w:rsidRPr="00F5723F">
              <w:t>134</w:t>
            </w:r>
          </w:p>
        </w:tc>
        <w:tc>
          <w:tcPr>
            <w:tcW w:w="510" w:type="dxa"/>
          </w:tcPr>
          <w:p w:rsidR="00B43C57" w:rsidRPr="00F5723F" w:rsidRDefault="00B43C57">
            <w:pPr>
              <w:pStyle w:val="Tabelltextsiffror"/>
              <w:jc w:val="center"/>
            </w:pPr>
            <w:r w:rsidRPr="00F5723F">
              <w:t>21</w:t>
            </w:r>
          </w:p>
        </w:tc>
        <w:tc>
          <w:tcPr>
            <w:tcW w:w="510" w:type="dxa"/>
          </w:tcPr>
          <w:p w:rsidR="00B43C57" w:rsidRPr="00F5723F" w:rsidRDefault="00B43C57">
            <w:pPr>
              <w:pStyle w:val="Tabelltextsiffror"/>
              <w:jc w:val="center"/>
            </w:pPr>
            <w:r w:rsidRPr="00F5723F">
              <w:t>46</w:t>
            </w:r>
          </w:p>
        </w:tc>
        <w:tc>
          <w:tcPr>
            <w:tcW w:w="510" w:type="dxa"/>
          </w:tcPr>
          <w:p w:rsidR="00B43C57" w:rsidRPr="00F5723F" w:rsidRDefault="00B43C57">
            <w:pPr>
              <w:pStyle w:val="Tabelltextsiffror"/>
              <w:jc w:val="center"/>
            </w:pPr>
            <w:r w:rsidRPr="00F5723F">
              <w:t>51</w:t>
            </w:r>
          </w:p>
        </w:tc>
        <w:tc>
          <w:tcPr>
            <w:tcW w:w="510" w:type="dxa"/>
          </w:tcPr>
          <w:p w:rsidR="00B43C57" w:rsidRPr="00F5723F" w:rsidRDefault="00B43C57">
            <w:pPr>
              <w:pStyle w:val="Tabelltextsiffror"/>
              <w:jc w:val="center"/>
            </w:pPr>
            <w:r w:rsidRPr="00F5723F">
              <w:t>33</w:t>
            </w:r>
          </w:p>
        </w:tc>
        <w:tc>
          <w:tcPr>
            <w:tcW w:w="510" w:type="dxa"/>
          </w:tcPr>
          <w:p w:rsidR="00B43C57" w:rsidRPr="00F5723F" w:rsidRDefault="00B43C57">
            <w:pPr>
              <w:pStyle w:val="Tabelltextsiffror"/>
              <w:jc w:val="center"/>
            </w:pPr>
            <w:r w:rsidRPr="00F5723F">
              <w:t>13</w:t>
            </w:r>
          </w:p>
        </w:tc>
        <w:tc>
          <w:tcPr>
            <w:tcW w:w="510" w:type="dxa"/>
          </w:tcPr>
          <w:p w:rsidR="00B43C57" w:rsidRPr="00F5723F" w:rsidRDefault="00B43C57">
            <w:pPr>
              <w:pStyle w:val="Tabelltextsiffror"/>
              <w:jc w:val="center"/>
            </w:pPr>
            <w:r w:rsidRPr="00F5723F">
              <w:t>327</w:t>
            </w:r>
          </w:p>
        </w:tc>
      </w:tr>
      <w:tr w:rsidR="00000000" w:rsidRPr="00F5723F">
        <w:tc>
          <w:tcPr>
            <w:tcW w:w="2041" w:type="dxa"/>
            <w:tcBorders>
              <w:bottom w:val="single" w:sz="4" w:space="0" w:color="auto"/>
            </w:tcBorders>
          </w:tcPr>
          <w:p w:rsidR="00B43C57" w:rsidRPr="00F5723F" w:rsidRDefault="00B43C57">
            <w:pPr>
              <w:pStyle w:val="Tabelltextsiffror"/>
              <w:jc w:val="left"/>
            </w:pPr>
            <w:r w:rsidRPr="00F5723F">
              <w:t>skillnad parti – väljare</w:t>
            </w:r>
          </w:p>
        </w:tc>
        <w:tc>
          <w:tcPr>
            <w:tcW w:w="510" w:type="dxa"/>
            <w:tcBorders>
              <w:bottom w:val="single" w:sz="4" w:space="0" w:color="auto"/>
            </w:tcBorders>
            <w:vAlign w:val="bottom"/>
          </w:tcPr>
          <w:p w:rsidR="00B43C57" w:rsidRPr="00F5723F" w:rsidRDefault="00B43C57">
            <w:pPr>
              <w:pStyle w:val="Tabelltextsiffror"/>
              <w:jc w:val="center"/>
            </w:pPr>
            <w:r w:rsidRPr="00F5723F">
              <w:t>+38</w:t>
            </w:r>
          </w:p>
        </w:tc>
        <w:tc>
          <w:tcPr>
            <w:tcW w:w="510" w:type="dxa"/>
            <w:tcBorders>
              <w:bottom w:val="single" w:sz="4" w:space="0" w:color="auto"/>
            </w:tcBorders>
            <w:vAlign w:val="bottom"/>
          </w:tcPr>
          <w:p w:rsidR="00B43C57" w:rsidRPr="00F5723F" w:rsidRDefault="00B43C57">
            <w:pPr>
              <w:pStyle w:val="Tabelltextsiffror"/>
              <w:jc w:val="center"/>
            </w:pPr>
            <w:r w:rsidRPr="00F5723F">
              <w:t>+55</w:t>
            </w:r>
          </w:p>
        </w:tc>
        <w:tc>
          <w:tcPr>
            <w:tcW w:w="510" w:type="dxa"/>
            <w:tcBorders>
              <w:bottom w:val="single" w:sz="4" w:space="0" w:color="auto"/>
            </w:tcBorders>
            <w:vAlign w:val="bottom"/>
          </w:tcPr>
          <w:p w:rsidR="00B43C57" w:rsidRPr="00F5723F" w:rsidRDefault="00B43C57">
            <w:pPr>
              <w:pStyle w:val="Tabelltextsiffror"/>
              <w:jc w:val="center"/>
            </w:pPr>
            <w:r w:rsidRPr="00F5723F">
              <w:t>–</w:t>
            </w:r>
            <w:r w:rsidRPr="00F5723F">
              <w:t>23</w:t>
            </w:r>
          </w:p>
        </w:tc>
        <w:tc>
          <w:tcPr>
            <w:tcW w:w="510" w:type="dxa"/>
            <w:tcBorders>
              <w:bottom w:val="single" w:sz="4" w:space="0" w:color="auto"/>
            </w:tcBorders>
            <w:vAlign w:val="bottom"/>
          </w:tcPr>
          <w:p w:rsidR="00B43C57" w:rsidRPr="00F5723F" w:rsidRDefault="00B43C57">
            <w:pPr>
              <w:pStyle w:val="Tabelltextsiffror"/>
              <w:jc w:val="center"/>
            </w:pPr>
            <w:r w:rsidRPr="00F5723F">
              <w:t>–</w:t>
            </w:r>
            <w:r w:rsidRPr="00F5723F">
              <w:t>26</w:t>
            </w:r>
          </w:p>
        </w:tc>
        <w:tc>
          <w:tcPr>
            <w:tcW w:w="510" w:type="dxa"/>
            <w:tcBorders>
              <w:bottom w:val="single" w:sz="4" w:space="0" w:color="auto"/>
            </w:tcBorders>
            <w:vAlign w:val="bottom"/>
          </w:tcPr>
          <w:p w:rsidR="00B43C57" w:rsidRPr="00F5723F" w:rsidRDefault="00B43C57">
            <w:pPr>
              <w:pStyle w:val="Tabelltextsiffror"/>
              <w:jc w:val="center"/>
            </w:pPr>
            <w:r w:rsidRPr="00F5723F">
              <w:t>–</w:t>
            </w:r>
            <w:r w:rsidRPr="00F5723F">
              <w:t>4</w:t>
            </w:r>
          </w:p>
        </w:tc>
        <w:tc>
          <w:tcPr>
            <w:tcW w:w="510" w:type="dxa"/>
            <w:tcBorders>
              <w:bottom w:val="single" w:sz="4" w:space="0" w:color="auto"/>
            </w:tcBorders>
            <w:vAlign w:val="bottom"/>
          </w:tcPr>
          <w:p w:rsidR="00B43C57" w:rsidRPr="00F5723F" w:rsidRDefault="00B43C57">
            <w:pPr>
              <w:pStyle w:val="Tabelltextsiffror"/>
              <w:jc w:val="center"/>
            </w:pPr>
            <w:r w:rsidRPr="00F5723F">
              <w:t>+19</w:t>
            </w:r>
          </w:p>
        </w:tc>
        <w:tc>
          <w:tcPr>
            <w:tcW w:w="510" w:type="dxa"/>
            <w:tcBorders>
              <w:bottom w:val="single" w:sz="4" w:space="0" w:color="auto"/>
            </w:tcBorders>
            <w:vAlign w:val="bottom"/>
          </w:tcPr>
          <w:p w:rsidR="00B43C57" w:rsidRPr="00F5723F" w:rsidRDefault="00B43C57">
            <w:pPr>
              <w:pStyle w:val="Tabelltextsiffror"/>
              <w:jc w:val="center"/>
            </w:pPr>
            <w:r w:rsidRPr="00F5723F">
              <w:t>+7</w:t>
            </w:r>
          </w:p>
        </w:tc>
        <w:tc>
          <w:tcPr>
            <w:tcW w:w="510" w:type="dxa"/>
            <w:tcBorders>
              <w:bottom w:val="single" w:sz="4" w:space="0" w:color="auto"/>
            </w:tcBorders>
            <w:vAlign w:val="bottom"/>
          </w:tcPr>
          <w:p w:rsidR="00B43C57" w:rsidRPr="00F5723F" w:rsidRDefault="00B43C57">
            <w:pPr>
              <w:pStyle w:val="Tabelltextsiffror"/>
              <w:jc w:val="center"/>
            </w:pPr>
            <w:r w:rsidRPr="00F5723F">
              <w:t>+23</w:t>
            </w:r>
          </w:p>
        </w:tc>
      </w:tr>
    </w:tbl>
    <w:p w:rsidR="00B43C57" w:rsidRPr="00F5723F" w:rsidRDefault="00B43C57"/>
    <w:p w:rsidR="00B43C57" w:rsidRPr="00F5723F" w:rsidRDefault="00B43C57">
      <w:pPr>
        <w:spacing w:line="240" w:lineRule="auto"/>
        <w:rPr>
          <w:sz w:val="16"/>
          <w:szCs w:val="16"/>
        </w:rPr>
      </w:pPr>
      <w:r w:rsidRPr="00F5723F">
        <w:rPr>
          <w:sz w:val="16"/>
          <w:szCs w:val="16"/>
        </w:rPr>
        <w:t xml:space="preserve">”Hur </w:t>
      </w:r>
      <w:r w:rsidRPr="00F5723F">
        <w:rPr>
          <w:i/>
          <w:sz w:val="16"/>
          <w:szCs w:val="16"/>
        </w:rPr>
        <w:t>bör</w:t>
      </w:r>
      <w:r w:rsidRPr="00F5723F">
        <w:rPr>
          <w:sz w:val="16"/>
          <w:szCs w:val="16"/>
        </w:rPr>
        <w:t>, enligt din mening, en rik</w:t>
      </w:r>
      <w:r w:rsidRPr="00F5723F">
        <w:rPr>
          <w:sz w:val="16"/>
          <w:szCs w:val="16"/>
        </w:rPr>
        <w:t>s</w:t>
      </w:r>
      <w:r w:rsidRPr="00F5723F">
        <w:rPr>
          <w:sz w:val="16"/>
          <w:szCs w:val="16"/>
        </w:rPr>
        <w:t>dagsledamot rösta om hans/hennes egen uppfattning i en fråga inte överensstämmer med de åsikter hans/hennes väljare i valkre</w:t>
      </w:r>
      <w:r w:rsidRPr="00F5723F">
        <w:rPr>
          <w:sz w:val="16"/>
          <w:szCs w:val="16"/>
        </w:rPr>
        <w:t>t</w:t>
      </w:r>
      <w:r w:rsidRPr="00F5723F">
        <w:rPr>
          <w:sz w:val="16"/>
          <w:szCs w:val="16"/>
        </w:rPr>
        <w:t xml:space="preserve">sen har?” </w:t>
      </w:r>
    </w:p>
    <w:p w:rsidR="00B43C57" w:rsidRPr="00F5723F" w:rsidRDefault="00B43C57">
      <w:pPr>
        <w:pStyle w:val="Normaltindrag"/>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041"/>
        <w:gridCol w:w="510"/>
        <w:gridCol w:w="510"/>
        <w:gridCol w:w="510"/>
        <w:gridCol w:w="510"/>
        <w:gridCol w:w="510"/>
        <w:gridCol w:w="510"/>
        <w:gridCol w:w="510"/>
        <w:gridCol w:w="510"/>
      </w:tblGrid>
      <w:tr w:rsidR="00000000" w:rsidRPr="00F5723F">
        <w:tc>
          <w:tcPr>
            <w:tcW w:w="2041" w:type="dxa"/>
            <w:tcBorders>
              <w:top w:val="single" w:sz="4" w:space="0" w:color="auto"/>
            </w:tcBorders>
          </w:tcPr>
          <w:p w:rsidR="00B43C57" w:rsidRPr="00F5723F" w:rsidRDefault="00B43C57">
            <w:pPr>
              <w:pStyle w:val="Tabelltextsiffror"/>
            </w:pPr>
          </w:p>
        </w:tc>
        <w:tc>
          <w:tcPr>
            <w:tcW w:w="3570" w:type="dxa"/>
            <w:gridSpan w:val="7"/>
            <w:tcBorders>
              <w:top w:val="single" w:sz="4" w:space="0" w:color="auto"/>
              <w:bottom w:val="single" w:sz="4" w:space="0" w:color="auto"/>
            </w:tcBorders>
          </w:tcPr>
          <w:p w:rsidR="00B43C57" w:rsidRPr="00F5723F" w:rsidRDefault="00B43C57">
            <w:pPr>
              <w:pStyle w:val="Tabelltextsiffror"/>
              <w:jc w:val="left"/>
            </w:pPr>
            <w:r w:rsidRPr="00F5723F">
              <w:t>r</w:t>
            </w:r>
            <w:r w:rsidRPr="00F5723F">
              <w:t>iksdag</w:t>
            </w:r>
            <w:r w:rsidRPr="00F5723F">
              <w:t>s</w:t>
            </w:r>
            <w:r w:rsidRPr="00F5723F">
              <w:t>parti</w:t>
            </w:r>
          </w:p>
        </w:tc>
        <w:tc>
          <w:tcPr>
            <w:tcW w:w="510" w:type="dxa"/>
            <w:tcBorders>
              <w:top w:val="single" w:sz="4" w:space="0" w:color="auto"/>
            </w:tcBorders>
          </w:tcPr>
          <w:p w:rsidR="00B43C57" w:rsidRPr="00F5723F" w:rsidRDefault="00B43C57">
            <w:pPr>
              <w:pStyle w:val="Tabelltextsiffror"/>
            </w:pPr>
          </w:p>
        </w:tc>
      </w:tr>
      <w:tr w:rsidR="00000000" w:rsidRPr="00F5723F">
        <w:tc>
          <w:tcPr>
            <w:tcW w:w="2041" w:type="dxa"/>
            <w:tcBorders>
              <w:bottom w:val="single" w:sz="4" w:space="0" w:color="auto"/>
            </w:tcBorders>
          </w:tcPr>
          <w:p w:rsidR="00B43C57" w:rsidRPr="00F5723F" w:rsidRDefault="00B43C57">
            <w:pPr>
              <w:pStyle w:val="Tabelltextsiffror"/>
            </w:pP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510" w:type="dxa"/>
            <w:tcBorders>
              <w:bottom w:val="single" w:sz="4" w:space="0" w:color="auto"/>
            </w:tcBorders>
          </w:tcPr>
          <w:p w:rsidR="00B43C57" w:rsidRPr="00F5723F" w:rsidRDefault="00B43C57">
            <w:pPr>
              <w:pStyle w:val="Tabelltextsiffror"/>
              <w:jc w:val="center"/>
            </w:pPr>
            <w:r w:rsidRPr="00F5723F">
              <w:t>alla</w:t>
            </w:r>
          </w:p>
        </w:tc>
      </w:tr>
      <w:tr w:rsidR="00000000" w:rsidRPr="00F5723F">
        <w:tc>
          <w:tcPr>
            <w:tcW w:w="2041" w:type="dxa"/>
            <w:tcBorders>
              <w:top w:val="single" w:sz="4" w:space="0" w:color="auto"/>
            </w:tcBorders>
          </w:tcPr>
          <w:p w:rsidR="00B43C57" w:rsidRPr="00F5723F" w:rsidRDefault="00B43C57">
            <w:pPr>
              <w:pStyle w:val="Tabelltextsiffror"/>
              <w:ind w:left="95" w:hanging="95"/>
              <w:jc w:val="left"/>
            </w:pPr>
            <w:r w:rsidRPr="00F5723F">
              <w:t>på egen uppfat</w:t>
            </w:r>
            <w:r w:rsidRPr="00F5723F">
              <w:t>t</w:t>
            </w:r>
            <w:r w:rsidRPr="00F5723F">
              <w:t>ning</w:t>
            </w:r>
          </w:p>
        </w:tc>
        <w:tc>
          <w:tcPr>
            <w:tcW w:w="510" w:type="dxa"/>
            <w:tcBorders>
              <w:top w:val="single" w:sz="4" w:space="0" w:color="auto"/>
            </w:tcBorders>
          </w:tcPr>
          <w:p w:rsidR="00B43C57" w:rsidRPr="00F5723F" w:rsidRDefault="00B43C57">
            <w:pPr>
              <w:pStyle w:val="Tabelltextsiffror"/>
              <w:jc w:val="center"/>
            </w:pPr>
            <w:r w:rsidRPr="00F5723F">
              <w:t>62</w:t>
            </w:r>
          </w:p>
        </w:tc>
        <w:tc>
          <w:tcPr>
            <w:tcW w:w="510" w:type="dxa"/>
            <w:tcBorders>
              <w:top w:val="single" w:sz="4" w:space="0" w:color="auto"/>
            </w:tcBorders>
          </w:tcPr>
          <w:p w:rsidR="00B43C57" w:rsidRPr="00F5723F" w:rsidRDefault="00B43C57">
            <w:pPr>
              <w:pStyle w:val="Tabelltextsiffror"/>
              <w:jc w:val="center"/>
            </w:pPr>
            <w:r w:rsidRPr="00F5723F">
              <w:t>67</w:t>
            </w:r>
          </w:p>
        </w:tc>
        <w:tc>
          <w:tcPr>
            <w:tcW w:w="510" w:type="dxa"/>
            <w:tcBorders>
              <w:top w:val="single" w:sz="4" w:space="0" w:color="auto"/>
            </w:tcBorders>
          </w:tcPr>
          <w:p w:rsidR="00B43C57" w:rsidRPr="00F5723F" w:rsidRDefault="00B43C57">
            <w:pPr>
              <w:pStyle w:val="Tabelltextsiffror"/>
              <w:jc w:val="center"/>
            </w:pPr>
            <w:r w:rsidRPr="00F5723F">
              <w:t>67</w:t>
            </w:r>
          </w:p>
        </w:tc>
        <w:tc>
          <w:tcPr>
            <w:tcW w:w="510" w:type="dxa"/>
            <w:tcBorders>
              <w:top w:val="single" w:sz="4" w:space="0" w:color="auto"/>
            </w:tcBorders>
          </w:tcPr>
          <w:p w:rsidR="00B43C57" w:rsidRPr="00F5723F" w:rsidRDefault="00B43C57">
            <w:pPr>
              <w:pStyle w:val="Tabelltextsiffror"/>
              <w:jc w:val="center"/>
            </w:pPr>
            <w:r w:rsidRPr="00F5723F">
              <w:t>85</w:t>
            </w:r>
          </w:p>
        </w:tc>
        <w:tc>
          <w:tcPr>
            <w:tcW w:w="510" w:type="dxa"/>
            <w:tcBorders>
              <w:top w:val="single" w:sz="4" w:space="0" w:color="auto"/>
            </w:tcBorders>
          </w:tcPr>
          <w:p w:rsidR="00B43C57" w:rsidRPr="00F5723F" w:rsidRDefault="00B43C57">
            <w:pPr>
              <w:pStyle w:val="Tabelltextsiffror"/>
              <w:jc w:val="center"/>
            </w:pPr>
            <w:r w:rsidRPr="00F5723F">
              <w:t>78</w:t>
            </w:r>
          </w:p>
        </w:tc>
        <w:tc>
          <w:tcPr>
            <w:tcW w:w="510" w:type="dxa"/>
            <w:tcBorders>
              <w:top w:val="single" w:sz="4" w:space="0" w:color="auto"/>
            </w:tcBorders>
          </w:tcPr>
          <w:p w:rsidR="00B43C57" w:rsidRPr="00F5723F" w:rsidRDefault="00B43C57">
            <w:pPr>
              <w:pStyle w:val="Tabelltextsiffror"/>
              <w:jc w:val="center"/>
            </w:pPr>
            <w:r w:rsidRPr="00F5723F">
              <w:t>79</w:t>
            </w:r>
          </w:p>
        </w:tc>
        <w:tc>
          <w:tcPr>
            <w:tcW w:w="510" w:type="dxa"/>
            <w:tcBorders>
              <w:top w:val="single" w:sz="4" w:space="0" w:color="auto"/>
            </w:tcBorders>
          </w:tcPr>
          <w:p w:rsidR="00B43C57" w:rsidRPr="00F5723F" w:rsidRDefault="00B43C57">
            <w:pPr>
              <w:pStyle w:val="Tabelltextsiffror"/>
              <w:jc w:val="center"/>
            </w:pPr>
            <w:r w:rsidRPr="00F5723F">
              <w:t>70</w:t>
            </w:r>
          </w:p>
        </w:tc>
        <w:tc>
          <w:tcPr>
            <w:tcW w:w="510" w:type="dxa"/>
            <w:tcBorders>
              <w:top w:val="single" w:sz="4" w:space="0" w:color="auto"/>
            </w:tcBorders>
          </w:tcPr>
          <w:p w:rsidR="00B43C57" w:rsidRPr="00F5723F" w:rsidRDefault="00B43C57">
            <w:pPr>
              <w:pStyle w:val="Tabelltextsiffror"/>
              <w:jc w:val="center"/>
            </w:pPr>
            <w:r w:rsidRPr="00F5723F">
              <w:t>72</w:t>
            </w:r>
          </w:p>
        </w:tc>
      </w:tr>
      <w:tr w:rsidR="00000000" w:rsidRPr="00F5723F">
        <w:tc>
          <w:tcPr>
            <w:tcW w:w="2041" w:type="dxa"/>
          </w:tcPr>
          <w:p w:rsidR="00B43C57" w:rsidRPr="00F5723F" w:rsidRDefault="00B43C57">
            <w:pPr>
              <w:pStyle w:val="Tabelltextsiffror"/>
              <w:ind w:left="95" w:hanging="95"/>
              <w:jc w:val="left"/>
            </w:pPr>
            <w:r w:rsidRPr="00F5723F">
              <w:t>på väljarnas åsikt</w:t>
            </w:r>
          </w:p>
        </w:tc>
        <w:tc>
          <w:tcPr>
            <w:tcW w:w="510" w:type="dxa"/>
          </w:tcPr>
          <w:p w:rsidR="00B43C57" w:rsidRPr="00F5723F" w:rsidRDefault="00B43C57">
            <w:pPr>
              <w:pStyle w:val="Tabelltextsiffror"/>
              <w:jc w:val="center"/>
            </w:pPr>
            <w:r w:rsidRPr="00F5723F">
              <w:t>24</w:t>
            </w:r>
          </w:p>
        </w:tc>
        <w:tc>
          <w:tcPr>
            <w:tcW w:w="510" w:type="dxa"/>
          </w:tcPr>
          <w:p w:rsidR="00B43C57" w:rsidRPr="00F5723F" w:rsidRDefault="00B43C57">
            <w:pPr>
              <w:pStyle w:val="Tabelltextsiffror"/>
              <w:jc w:val="center"/>
            </w:pPr>
            <w:r w:rsidRPr="00F5723F">
              <w:t>20</w:t>
            </w:r>
          </w:p>
        </w:tc>
        <w:tc>
          <w:tcPr>
            <w:tcW w:w="510" w:type="dxa"/>
          </w:tcPr>
          <w:p w:rsidR="00B43C57" w:rsidRPr="00F5723F" w:rsidRDefault="00B43C57">
            <w:pPr>
              <w:pStyle w:val="Tabelltextsiffror"/>
              <w:jc w:val="center"/>
            </w:pPr>
            <w:r w:rsidRPr="00F5723F">
              <w:t>9</w:t>
            </w:r>
          </w:p>
        </w:tc>
        <w:tc>
          <w:tcPr>
            <w:tcW w:w="510" w:type="dxa"/>
          </w:tcPr>
          <w:p w:rsidR="00B43C57" w:rsidRPr="00F5723F" w:rsidRDefault="00B43C57">
            <w:pPr>
              <w:pStyle w:val="Tabelltextsiffror"/>
              <w:jc w:val="center"/>
            </w:pPr>
            <w:r w:rsidRPr="00F5723F">
              <w:t>6</w:t>
            </w:r>
          </w:p>
        </w:tc>
        <w:tc>
          <w:tcPr>
            <w:tcW w:w="510" w:type="dxa"/>
          </w:tcPr>
          <w:p w:rsidR="00B43C57" w:rsidRPr="00F5723F" w:rsidRDefault="00B43C57">
            <w:pPr>
              <w:pStyle w:val="Tabelltextsiffror"/>
              <w:jc w:val="center"/>
            </w:pPr>
            <w:r w:rsidRPr="00F5723F">
              <w:t>16</w:t>
            </w:r>
          </w:p>
        </w:tc>
        <w:tc>
          <w:tcPr>
            <w:tcW w:w="510" w:type="dxa"/>
          </w:tcPr>
          <w:p w:rsidR="00B43C57" w:rsidRPr="00F5723F" w:rsidRDefault="00B43C57">
            <w:pPr>
              <w:pStyle w:val="Tabelltextsiffror"/>
              <w:jc w:val="center"/>
            </w:pPr>
            <w:r w:rsidRPr="00F5723F">
              <w:t>9</w:t>
            </w:r>
          </w:p>
        </w:tc>
        <w:tc>
          <w:tcPr>
            <w:tcW w:w="510" w:type="dxa"/>
          </w:tcPr>
          <w:p w:rsidR="00B43C57" w:rsidRPr="00F5723F" w:rsidRDefault="00B43C57">
            <w:pPr>
              <w:pStyle w:val="Tabelltextsiffror"/>
              <w:jc w:val="center"/>
            </w:pPr>
            <w:r w:rsidRPr="00F5723F">
              <w:t>15</w:t>
            </w:r>
          </w:p>
        </w:tc>
        <w:tc>
          <w:tcPr>
            <w:tcW w:w="510" w:type="dxa"/>
          </w:tcPr>
          <w:p w:rsidR="00B43C57" w:rsidRPr="00F5723F" w:rsidRDefault="00B43C57">
            <w:pPr>
              <w:pStyle w:val="Tabelltextsiffror"/>
              <w:jc w:val="center"/>
            </w:pPr>
            <w:r w:rsidRPr="00F5723F">
              <w:t>16</w:t>
            </w:r>
          </w:p>
        </w:tc>
      </w:tr>
      <w:tr w:rsidR="00000000" w:rsidRPr="00F5723F">
        <w:tc>
          <w:tcPr>
            <w:tcW w:w="2041" w:type="dxa"/>
            <w:tcBorders>
              <w:bottom w:val="single" w:sz="4" w:space="0" w:color="auto"/>
            </w:tcBorders>
          </w:tcPr>
          <w:p w:rsidR="00B43C57" w:rsidRPr="00F5723F" w:rsidRDefault="00B43C57">
            <w:pPr>
              <w:pStyle w:val="Tabelltextsiffror"/>
              <w:ind w:left="95" w:hanging="95"/>
              <w:jc w:val="left"/>
            </w:pPr>
            <w:r w:rsidRPr="00F5723F">
              <w:t>vet ej/ambivalent svar/annat svar</w:t>
            </w:r>
          </w:p>
        </w:tc>
        <w:tc>
          <w:tcPr>
            <w:tcW w:w="510" w:type="dxa"/>
            <w:tcBorders>
              <w:bottom w:val="single" w:sz="4" w:space="0" w:color="auto"/>
            </w:tcBorders>
          </w:tcPr>
          <w:p w:rsidR="00B43C57" w:rsidRPr="00F5723F" w:rsidRDefault="00B43C57">
            <w:pPr>
              <w:pStyle w:val="Tabelltextsiffror"/>
              <w:jc w:val="center"/>
            </w:pPr>
            <w:r w:rsidRPr="00F5723F">
              <w:t>14</w:t>
            </w:r>
          </w:p>
        </w:tc>
        <w:tc>
          <w:tcPr>
            <w:tcW w:w="510" w:type="dxa"/>
            <w:tcBorders>
              <w:bottom w:val="single" w:sz="4" w:space="0" w:color="auto"/>
            </w:tcBorders>
          </w:tcPr>
          <w:p w:rsidR="00B43C57" w:rsidRPr="00F5723F" w:rsidRDefault="00B43C57">
            <w:pPr>
              <w:pStyle w:val="Tabelltextsiffror"/>
              <w:jc w:val="center"/>
            </w:pPr>
            <w:r w:rsidRPr="00F5723F">
              <w:t>13</w:t>
            </w:r>
          </w:p>
        </w:tc>
        <w:tc>
          <w:tcPr>
            <w:tcW w:w="510" w:type="dxa"/>
            <w:tcBorders>
              <w:bottom w:val="single" w:sz="4" w:space="0" w:color="auto"/>
            </w:tcBorders>
          </w:tcPr>
          <w:p w:rsidR="00B43C57" w:rsidRPr="00F5723F" w:rsidRDefault="00B43C57">
            <w:pPr>
              <w:pStyle w:val="Tabelltextsiffror"/>
              <w:jc w:val="center"/>
            </w:pPr>
            <w:r w:rsidRPr="00F5723F">
              <w:t>24</w:t>
            </w:r>
          </w:p>
        </w:tc>
        <w:tc>
          <w:tcPr>
            <w:tcW w:w="510" w:type="dxa"/>
            <w:tcBorders>
              <w:bottom w:val="single" w:sz="4" w:space="0" w:color="auto"/>
            </w:tcBorders>
          </w:tcPr>
          <w:p w:rsidR="00B43C57" w:rsidRPr="00F5723F" w:rsidRDefault="00B43C57">
            <w:pPr>
              <w:pStyle w:val="Tabelltextsiffror"/>
              <w:jc w:val="center"/>
            </w:pPr>
            <w:r w:rsidRPr="00F5723F">
              <w:t>9</w:t>
            </w:r>
          </w:p>
        </w:tc>
        <w:tc>
          <w:tcPr>
            <w:tcW w:w="510" w:type="dxa"/>
            <w:tcBorders>
              <w:bottom w:val="single" w:sz="4" w:space="0" w:color="auto"/>
            </w:tcBorders>
          </w:tcPr>
          <w:p w:rsidR="00B43C57" w:rsidRPr="00F5723F" w:rsidRDefault="00B43C57">
            <w:pPr>
              <w:pStyle w:val="Tabelltextsiffror"/>
              <w:jc w:val="center"/>
            </w:pPr>
            <w:r w:rsidRPr="00F5723F">
              <w:t>6</w:t>
            </w:r>
          </w:p>
        </w:tc>
        <w:tc>
          <w:tcPr>
            <w:tcW w:w="510" w:type="dxa"/>
            <w:tcBorders>
              <w:bottom w:val="single" w:sz="4" w:space="0" w:color="auto"/>
            </w:tcBorders>
          </w:tcPr>
          <w:p w:rsidR="00B43C57" w:rsidRPr="00F5723F" w:rsidRDefault="00B43C57">
            <w:pPr>
              <w:pStyle w:val="Tabelltextsiffror"/>
              <w:jc w:val="center"/>
            </w:pPr>
            <w:r w:rsidRPr="00F5723F">
              <w:t>12</w:t>
            </w:r>
          </w:p>
        </w:tc>
        <w:tc>
          <w:tcPr>
            <w:tcW w:w="510" w:type="dxa"/>
            <w:tcBorders>
              <w:bottom w:val="single" w:sz="4" w:space="0" w:color="auto"/>
            </w:tcBorders>
          </w:tcPr>
          <w:p w:rsidR="00B43C57" w:rsidRPr="00F5723F" w:rsidRDefault="00B43C57">
            <w:pPr>
              <w:pStyle w:val="Tabelltextsiffror"/>
              <w:jc w:val="center"/>
            </w:pPr>
            <w:r w:rsidRPr="00F5723F">
              <w:t>15</w:t>
            </w:r>
          </w:p>
        </w:tc>
        <w:tc>
          <w:tcPr>
            <w:tcW w:w="510" w:type="dxa"/>
            <w:tcBorders>
              <w:bottom w:val="single" w:sz="4" w:space="0" w:color="auto"/>
            </w:tcBorders>
          </w:tcPr>
          <w:p w:rsidR="00B43C57" w:rsidRPr="00F5723F" w:rsidRDefault="00B43C57">
            <w:pPr>
              <w:pStyle w:val="Tabelltextsiffror"/>
              <w:jc w:val="center"/>
            </w:pPr>
            <w:r w:rsidRPr="00F5723F">
              <w:t>12</w:t>
            </w:r>
          </w:p>
        </w:tc>
      </w:tr>
      <w:tr w:rsidR="00000000" w:rsidRPr="00F5723F">
        <w:tc>
          <w:tcPr>
            <w:tcW w:w="2041" w:type="dxa"/>
            <w:tcBorders>
              <w:top w:val="single" w:sz="4" w:space="0" w:color="auto"/>
            </w:tcBorders>
          </w:tcPr>
          <w:p w:rsidR="00B43C57" w:rsidRPr="00F5723F" w:rsidRDefault="00B43C57">
            <w:pPr>
              <w:pStyle w:val="Tabelltextsiffror"/>
              <w:jc w:val="left"/>
            </w:pPr>
            <w:r w:rsidRPr="00F5723F">
              <w:t>summa procent</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r>
      <w:tr w:rsidR="00000000" w:rsidRPr="00F5723F">
        <w:tc>
          <w:tcPr>
            <w:tcW w:w="2041" w:type="dxa"/>
          </w:tcPr>
          <w:p w:rsidR="00B43C57" w:rsidRPr="00F5723F" w:rsidRDefault="00B43C57">
            <w:pPr>
              <w:pStyle w:val="Tabelltextsiffror"/>
              <w:jc w:val="left"/>
            </w:pPr>
            <w:r w:rsidRPr="00F5723F">
              <w:t>antal personer</w:t>
            </w:r>
          </w:p>
        </w:tc>
        <w:tc>
          <w:tcPr>
            <w:tcW w:w="510" w:type="dxa"/>
          </w:tcPr>
          <w:p w:rsidR="00B43C57" w:rsidRPr="00F5723F" w:rsidRDefault="00B43C57">
            <w:pPr>
              <w:pStyle w:val="Tabelltextsiffror"/>
              <w:jc w:val="center"/>
            </w:pPr>
            <w:r w:rsidRPr="00F5723F">
              <w:t>29</w:t>
            </w:r>
          </w:p>
        </w:tc>
        <w:tc>
          <w:tcPr>
            <w:tcW w:w="510" w:type="dxa"/>
          </w:tcPr>
          <w:p w:rsidR="00B43C57" w:rsidRPr="00F5723F" w:rsidRDefault="00B43C57">
            <w:pPr>
              <w:pStyle w:val="Tabelltextsiffror"/>
              <w:jc w:val="center"/>
            </w:pPr>
            <w:r w:rsidRPr="00F5723F">
              <w:t>134</w:t>
            </w:r>
          </w:p>
        </w:tc>
        <w:tc>
          <w:tcPr>
            <w:tcW w:w="510" w:type="dxa"/>
          </w:tcPr>
          <w:p w:rsidR="00B43C57" w:rsidRPr="00F5723F" w:rsidRDefault="00B43C57">
            <w:pPr>
              <w:pStyle w:val="Tabelltextsiffror"/>
              <w:jc w:val="center"/>
            </w:pPr>
            <w:r w:rsidRPr="00F5723F">
              <w:t>21</w:t>
            </w:r>
          </w:p>
        </w:tc>
        <w:tc>
          <w:tcPr>
            <w:tcW w:w="510" w:type="dxa"/>
          </w:tcPr>
          <w:p w:rsidR="00B43C57" w:rsidRPr="00F5723F" w:rsidRDefault="00B43C57">
            <w:pPr>
              <w:pStyle w:val="Tabelltextsiffror"/>
              <w:jc w:val="center"/>
            </w:pPr>
            <w:r w:rsidRPr="00F5723F">
              <w:t>46</w:t>
            </w:r>
          </w:p>
        </w:tc>
        <w:tc>
          <w:tcPr>
            <w:tcW w:w="510" w:type="dxa"/>
          </w:tcPr>
          <w:p w:rsidR="00B43C57" w:rsidRPr="00F5723F" w:rsidRDefault="00B43C57">
            <w:pPr>
              <w:pStyle w:val="Tabelltextsiffror"/>
              <w:jc w:val="center"/>
            </w:pPr>
            <w:r w:rsidRPr="00F5723F">
              <w:t>51</w:t>
            </w:r>
          </w:p>
        </w:tc>
        <w:tc>
          <w:tcPr>
            <w:tcW w:w="510" w:type="dxa"/>
          </w:tcPr>
          <w:p w:rsidR="00B43C57" w:rsidRPr="00F5723F" w:rsidRDefault="00B43C57">
            <w:pPr>
              <w:pStyle w:val="Tabelltextsiffror"/>
              <w:jc w:val="center"/>
            </w:pPr>
            <w:r w:rsidRPr="00F5723F">
              <w:t>33</w:t>
            </w:r>
          </w:p>
        </w:tc>
        <w:tc>
          <w:tcPr>
            <w:tcW w:w="510" w:type="dxa"/>
          </w:tcPr>
          <w:p w:rsidR="00B43C57" w:rsidRPr="00F5723F" w:rsidRDefault="00B43C57">
            <w:pPr>
              <w:pStyle w:val="Tabelltextsiffror"/>
              <w:jc w:val="center"/>
            </w:pPr>
            <w:r w:rsidRPr="00F5723F">
              <w:t>13</w:t>
            </w:r>
          </w:p>
        </w:tc>
        <w:tc>
          <w:tcPr>
            <w:tcW w:w="510" w:type="dxa"/>
          </w:tcPr>
          <w:p w:rsidR="00B43C57" w:rsidRPr="00F5723F" w:rsidRDefault="00B43C57">
            <w:pPr>
              <w:pStyle w:val="Tabelltextsiffror"/>
              <w:jc w:val="center"/>
            </w:pPr>
            <w:r w:rsidRPr="00F5723F">
              <w:t>327</w:t>
            </w:r>
          </w:p>
        </w:tc>
      </w:tr>
      <w:tr w:rsidR="00000000" w:rsidRPr="00F5723F">
        <w:tc>
          <w:tcPr>
            <w:tcW w:w="2041" w:type="dxa"/>
            <w:tcBorders>
              <w:bottom w:val="single" w:sz="4" w:space="0" w:color="auto"/>
            </w:tcBorders>
          </w:tcPr>
          <w:p w:rsidR="00B43C57" w:rsidRPr="00F5723F" w:rsidRDefault="00B43C57">
            <w:pPr>
              <w:pStyle w:val="Tabelltextsiffror"/>
              <w:jc w:val="left"/>
            </w:pPr>
            <w:r w:rsidRPr="00F5723F">
              <w:t>s</w:t>
            </w:r>
            <w:r w:rsidRPr="00F5723F">
              <w:t>killnad</w:t>
            </w:r>
            <w:r w:rsidRPr="00F5723F">
              <w:t xml:space="preserve"> egen – </w:t>
            </w:r>
            <w:r w:rsidRPr="00F5723F">
              <w:t>väljare</w:t>
            </w:r>
          </w:p>
        </w:tc>
        <w:tc>
          <w:tcPr>
            <w:tcW w:w="510" w:type="dxa"/>
            <w:tcBorders>
              <w:bottom w:val="single" w:sz="4" w:space="0" w:color="auto"/>
            </w:tcBorders>
            <w:vAlign w:val="bottom"/>
          </w:tcPr>
          <w:p w:rsidR="00B43C57" w:rsidRPr="00F5723F" w:rsidRDefault="00B43C57">
            <w:pPr>
              <w:pStyle w:val="Tabelltextsiffror"/>
              <w:jc w:val="center"/>
            </w:pPr>
            <w:r w:rsidRPr="00F5723F">
              <w:t>+38</w:t>
            </w:r>
          </w:p>
        </w:tc>
        <w:tc>
          <w:tcPr>
            <w:tcW w:w="510" w:type="dxa"/>
            <w:tcBorders>
              <w:bottom w:val="single" w:sz="4" w:space="0" w:color="auto"/>
            </w:tcBorders>
            <w:vAlign w:val="bottom"/>
          </w:tcPr>
          <w:p w:rsidR="00B43C57" w:rsidRPr="00F5723F" w:rsidRDefault="00B43C57">
            <w:pPr>
              <w:pStyle w:val="Tabelltextsiffror"/>
              <w:jc w:val="center"/>
            </w:pPr>
            <w:r w:rsidRPr="00F5723F">
              <w:t>+47</w:t>
            </w:r>
          </w:p>
        </w:tc>
        <w:tc>
          <w:tcPr>
            <w:tcW w:w="510" w:type="dxa"/>
            <w:tcBorders>
              <w:bottom w:val="single" w:sz="4" w:space="0" w:color="auto"/>
            </w:tcBorders>
            <w:vAlign w:val="bottom"/>
          </w:tcPr>
          <w:p w:rsidR="00B43C57" w:rsidRPr="00F5723F" w:rsidRDefault="00B43C57">
            <w:pPr>
              <w:pStyle w:val="Tabelltextsiffror"/>
              <w:jc w:val="center"/>
            </w:pPr>
            <w:r w:rsidRPr="00F5723F">
              <w:t>+58</w:t>
            </w:r>
          </w:p>
        </w:tc>
        <w:tc>
          <w:tcPr>
            <w:tcW w:w="510" w:type="dxa"/>
            <w:tcBorders>
              <w:bottom w:val="single" w:sz="4" w:space="0" w:color="auto"/>
            </w:tcBorders>
            <w:vAlign w:val="bottom"/>
          </w:tcPr>
          <w:p w:rsidR="00B43C57" w:rsidRPr="00F5723F" w:rsidRDefault="00B43C57">
            <w:pPr>
              <w:pStyle w:val="Tabelltextsiffror"/>
              <w:jc w:val="center"/>
            </w:pPr>
            <w:r w:rsidRPr="00F5723F">
              <w:t>+79</w:t>
            </w:r>
          </w:p>
        </w:tc>
        <w:tc>
          <w:tcPr>
            <w:tcW w:w="510" w:type="dxa"/>
            <w:tcBorders>
              <w:bottom w:val="single" w:sz="4" w:space="0" w:color="auto"/>
            </w:tcBorders>
            <w:vAlign w:val="bottom"/>
          </w:tcPr>
          <w:p w:rsidR="00B43C57" w:rsidRPr="00F5723F" w:rsidRDefault="00B43C57">
            <w:pPr>
              <w:pStyle w:val="Tabelltextsiffror"/>
              <w:jc w:val="center"/>
            </w:pPr>
            <w:r w:rsidRPr="00F5723F">
              <w:t>+62</w:t>
            </w:r>
          </w:p>
        </w:tc>
        <w:tc>
          <w:tcPr>
            <w:tcW w:w="510" w:type="dxa"/>
            <w:tcBorders>
              <w:bottom w:val="single" w:sz="4" w:space="0" w:color="auto"/>
            </w:tcBorders>
            <w:vAlign w:val="bottom"/>
          </w:tcPr>
          <w:p w:rsidR="00B43C57" w:rsidRPr="00F5723F" w:rsidRDefault="00B43C57">
            <w:pPr>
              <w:pStyle w:val="Tabelltextsiffror"/>
              <w:jc w:val="center"/>
            </w:pPr>
            <w:r w:rsidRPr="00F5723F">
              <w:t>+70</w:t>
            </w:r>
          </w:p>
        </w:tc>
        <w:tc>
          <w:tcPr>
            <w:tcW w:w="510" w:type="dxa"/>
            <w:tcBorders>
              <w:bottom w:val="single" w:sz="4" w:space="0" w:color="auto"/>
            </w:tcBorders>
            <w:vAlign w:val="bottom"/>
          </w:tcPr>
          <w:p w:rsidR="00B43C57" w:rsidRPr="00F5723F" w:rsidRDefault="00B43C57">
            <w:pPr>
              <w:pStyle w:val="Tabelltextsiffror"/>
              <w:jc w:val="center"/>
            </w:pPr>
            <w:r w:rsidRPr="00F5723F">
              <w:t>+55</w:t>
            </w:r>
          </w:p>
        </w:tc>
        <w:tc>
          <w:tcPr>
            <w:tcW w:w="510" w:type="dxa"/>
            <w:tcBorders>
              <w:bottom w:val="single" w:sz="4" w:space="0" w:color="auto"/>
            </w:tcBorders>
            <w:vAlign w:val="bottom"/>
          </w:tcPr>
          <w:p w:rsidR="00B43C57" w:rsidRPr="00F5723F" w:rsidRDefault="00B43C57">
            <w:pPr>
              <w:pStyle w:val="Tabelltextsiffror"/>
              <w:jc w:val="center"/>
            </w:pPr>
            <w:r w:rsidRPr="00F5723F">
              <w:t>+56</w:t>
            </w:r>
          </w:p>
        </w:tc>
      </w:tr>
    </w:tbl>
    <w:p w:rsidR="00B43C57" w:rsidRPr="00F5723F" w:rsidRDefault="00B43C57"/>
    <w:p w:rsidR="00B43C57" w:rsidRPr="00F5723F" w:rsidRDefault="00B43C57">
      <w:pPr>
        <w:spacing w:line="240" w:lineRule="auto"/>
        <w:rPr>
          <w:sz w:val="16"/>
          <w:szCs w:val="16"/>
        </w:rPr>
      </w:pPr>
      <w:r w:rsidRPr="00F5723F">
        <w:rPr>
          <w:sz w:val="16"/>
          <w:szCs w:val="16"/>
        </w:rPr>
        <w:t xml:space="preserve">”Hur </w:t>
      </w:r>
      <w:r w:rsidRPr="00F5723F">
        <w:rPr>
          <w:i/>
          <w:sz w:val="16"/>
          <w:szCs w:val="16"/>
        </w:rPr>
        <w:t>bör</w:t>
      </w:r>
      <w:r w:rsidRPr="00F5723F">
        <w:rPr>
          <w:sz w:val="16"/>
          <w:szCs w:val="16"/>
        </w:rPr>
        <w:t>, enligt d</w:t>
      </w:r>
      <w:r w:rsidRPr="00F5723F">
        <w:rPr>
          <w:sz w:val="16"/>
          <w:szCs w:val="16"/>
        </w:rPr>
        <w:t>in mening, en riksdagsledamot rösta om hans/hennes egen uppfattning i en fråga inte överensstämmer med part</w:t>
      </w:r>
      <w:r w:rsidRPr="00F5723F">
        <w:rPr>
          <w:sz w:val="16"/>
          <w:szCs w:val="16"/>
        </w:rPr>
        <w:t>i</w:t>
      </w:r>
      <w:r w:rsidRPr="00F5723F">
        <w:rPr>
          <w:sz w:val="16"/>
          <w:szCs w:val="16"/>
        </w:rPr>
        <w:t xml:space="preserve">ets ståndpunkt?” </w:t>
      </w:r>
    </w:p>
    <w:p w:rsidR="00B43C57" w:rsidRPr="00F5723F" w:rsidRDefault="00B43C57">
      <w:pPr>
        <w:pStyle w:val="Normaltindrag"/>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041"/>
        <w:gridCol w:w="510"/>
        <w:gridCol w:w="510"/>
        <w:gridCol w:w="510"/>
        <w:gridCol w:w="510"/>
        <w:gridCol w:w="510"/>
        <w:gridCol w:w="510"/>
        <w:gridCol w:w="510"/>
        <w:gridCol w:w="510"/>
      </w:tblGrid>
      <w:tr w:rsidR="00000000" w:rsidRPr="00F5723F">
        <w:tc>
          <w:tcPr>
            <w:tcW w:w="2041" w:type="dxa"/>
            <w:tcBorders>
              <w:top w:val="single" w:sz="4" w:space="0" w:color="auto"/>
            </w:tcBorders>
          </w:tcPr>
          <w:p w:rsidR="00B43C57" w:rsidRPr="00F5723F" w:rsidRDefault="00B43C57">
            <w:pPr>
              <w:pStyle w:val="Tabelltextsiffror"/>
            </w:pPr>
          </w:p>
        </w:tc>
        <w:tc>
          <w:tcPr>
            <w:tcW w:w="3570" w:type="dxa"/>
            <w:gridSpan w:val="7"/>
            <w:tcBorders>
              <w:top w:val="single" w:sz="4" w:space="0" w:color="auto"/>
              <w:bottom w:val="single" w:sz="4" w:space="0" w:color="auto"/>
            </w:tcBorders>
          </w:tcPr>
          <w:p w:rsidR="00B43C57" w:rsidRPr="00F5723F" w:rsidRDefault="00B43C57">
            <w:pPr>
              <w:pStyle w:val="Tabelltextsiffror"/>
              <w:jc w:val="left"/>
            </w:pPr>
            <w:r w:rsidRPr="00F5723F">
              <w:t>r</w:t>
            </w:r>
            <w:r w:rsidRPr="00F5723F">
              <w:t>iksdag</w:t>
            </w:r>
            <w:r w:rsidRPr="00F5723F">
              <w:t>s</w:t>
            </w:r>
            <w:r w:rsidRPr="00F5723F">
              <w:t>parti</w:t>
            </w:r>
          </w:p>
        </w:tc>
        <w:tc>
          <w:tcPr>
            <w:tcW w:w="510" w:type="dxa"/>
            <w:tcBorders>
              <w:top w:val="single" w:sz="4" w:space="0" w:color="auto"/>
            </w:tcBorders>
          </w:tcPr>
          <w:p w:rsidR="00B43C57" w:rsidRPr="00F5723F" w:rsidRDefault="00B43C57">
            <w:pPr>
              <w:pStyle w:val="Tabelltextsiffror"/>
            </w:pPr>
          </w:p>
        </w:tc>
      </w:tr>
      <w:tr w:rsidR="00000000" w:rsidRPr="00F5723F">
        <w:tc>
          <w:tcPr>
            <w:tcW w:w="2041" w:type="dxa"/>
            <w:tcBorders>
              <w:bottom w:val="single" w:sz="4" w:space="0" w:color="auto"/>
            </w:tcBorders>
          </w:tcPr>
          <w:p w:rsidR="00B43C57" w:rsidRPr="00F5723F" w:rsidRDefault="00B43C57">
            <w:pPr>
              <w:pStyle w:val="Tabelltextsiffror"/>
            </w:pP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v</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s</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c</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fp</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m</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kd</w:t>
            </w:r>
          </w:p>
        </w:tc>
        <w:tc>
          <w:tcPr>
            <w:tcW w:w="510" w:type="dxa"/>
            <w:tcBorders>
              <w:top w:val="single" w:sz="4" w:space="0" w:color="auto"/>
              <w:bottom w:val="single" w:sz="4" w:space="0" w:color="auto"/>
            </w:tcBorders>
          </w:tcPr>
          <w:p w:rsidR="00B43C57" w:rsidRPr="00F5723F" w:rsidRDefault="00B43C57">
            <w:pPr>
              <w:pStyle w:val="Tabelltextsiffror"/>
              <w:jc w:val="center"/>
            </w:pPr>
            <w:r w:rsidRPr="00F5723F">
              <w:t>mp</w:t>
            </w:r>
          </w:p>
        </w:tc>
        <w:tc>
          <w:tcPr>
            <w:tcW w:w="510" w:type="dxa"/>
            <w:tcBorders>
              <w:bottom w:val="single" w:sz="4" w:space="0" w:color="auto"/>
            </w:tcBorders>
          </w:tcPr>
          <w:p w:rsidR="00B43C57" w:rsidRPr="00F5723F" w:rsidRDefault="00B43C57">
            <w:pPr>
              <w:pStyle w:val="Tabelltextsiffror"/>
              <w:jc w:val="center"/>
            </w:pPr>
            <w:r w:rsidRPr="00F5723F">
              <w:t>alla</w:t>
            </w:r>
          </w:p>
        </w:tc>
      </w:tr>
      <w:tr w:rsidR="00000000" w:rsidRPr="00F5723F">
        <w:tc>
          <w:tcPr>
            <w:tcW w:w="2041" w:type="dxa"/>
            <w:tcBorders>
              <w:top w:val="single" w:sz="4" w:space="0" w:color="auto"/>
            </w:tcBorders>
          </w:tcPr>
          <w:p w:rsidR="00B43C57" w:rsidRPr="00F5723F" w:rsidRDefault="00B43C57">
            <w:pPr>
              <w:pStyle w:val="Tabelltextsiffror"/>
              <w:ind w:left="95" w:hanging="95"/>
              <w:jc w:val="left"/>
            </w:pPr>
            <w:r w:rsidRPr="00F5723F">
              <w:t>på egen uppfat</w:t>
            </w:r>
            <w:r w:rsidRPr="00F5723F">
              <w:t>t</w:t>
            </w:r>
            <w:r w:rsidRPr="00F5723F">
              <w:t>ning</w:t>
            </w:r>
          </w:p>
        </w:tc>
        <w:tc>
          <w:tcPr>
            <w:tcW w:w="510" w:type="dxa"/>
            <w:tcBorders>
              <w:top w:val="single" w:sz="4" w:space="0" w:color="auto"/>
            </w:tcBorders>
          </w:tcPr>
          <w:p w:rsidR="00B43C57" w:rsidRPr="00F5723F" w:rsidRDefault="00B43C57">
            <w:pPr>
              <w:pStyle w:val="Tabelltextsiffror"/>
              <w:jc w:val="center"/>
            </w:pPr>
            <w:r w:rsidRPr="00F5723F">
              <w:t>55</w:t>
            </w:r>
          </w:p>
        </w:tc>
        <w:tc>
          <w:tcPr>
            <w:tcW w:w="510" w:type="dxa"/>
            <w:tcBorders>
              <w:top w:val="single" w:sz="4" w:space="0" w:color="auto"/>
            </w:tcBorders>
          </w:tcPr>
          <w:p w:rsidR="00B43C57" w:rsidRPr="00F5723F" w:rsidRDefault="00B43C57">
            <w:pPr>
              <w:pStyle w:val="Tabelltextsiffror"/>
              <w:jc w:val="center"/>
            </w:pPr>
            <w:r w:rsidRPr="00F5723F">
              <w:t>18</w:t>
            </w:r>
          </w:p>
        </w:tc>
        <w:tc>
          <w:tcPr>
            <w:tcW w:w="510" w:type="dxa"/>
            <w:tcBorders>
              <w:top w:val="single" w:sz="4" w:space="0" w:color="auto"/>
            </w:tcBorders>
          </w:tcPr>
          <w:p w:rsidR="00B43C57" w:rsidRPr="00F5723F" w:rsidRDefault="00B43C57">
            <w:pPr>
              <w:pStyle w:val="Tabelltextsiffror"/>
              <w:jc w:val="center"/>
            </w:pPr>
            <w:r w:rsidRPr="00F5723F">
              <w:t>52</w:t>
            </w:r>
          </w:p>
        </w:tc>
        <w:tc>
          <w:tcPr>
            <w:tcW w:w="510" w:type="dxa"/>
            <w:tcBorders>
              <w:top w:val="single" w:sz="4" w:space="0" w:color="auto"/>
            </w:tcBorders>
          </w:tcPr>
          <w:p w:rsidR="00B43C57" w:rsidRPr="00F5723F" w:rsidRDefault="00B43C57">
            <w:pPr>
              <w:pStyle w:val="Tabelltextsiffror"/>
              <w:jc w:val="center"/>
            </w:pPr>
            <w:r w:rsidRPr="00F5723F">
              <w:t>87</w:t>
            </w:r>
          </w:p>
        </w:tc>
        <w:tc>
          <w:tcPr>
            <w:tcW w:w="510" w:type="dxa"/>
            <w:tcBorders>
              <w:top w:val="single" w:sz="4" w:space="0" w:color="auto"/>
            </w:tcBorders>
          </w:tcPr>
          <w:p w:rsidR="00B43C57" w:rsidRPr="00F5723F" w:rsidRDefault="00B43C57">
            <w:pPr>
              <w:pStyle w:val="Tabelltextsiffror"/>
              <w:jc w:val="center"/>
            </w:pPr>
            <w:r w:rsidRPr="00F5723F">
              <w:t>74</w:t>
            </w:r>
          </w:p>
        </w:tc>
        <w:tc>
          <w:tcPr>
            <w:tcW w:w="510" w:type="dxa"/>
            <w:tcBorders>
              <w:top w:val="single" w:sz="4" w:space="0" w:color="auto"/>
            </w:tcBorders>
          </w:tcPr>
          <w:p w:rsidR="00B43C57" w:rsidRPr="00F5723F" w:rsidRDefault="00B43C57">
            <w:pPr>
              <w:pStyle w:val="Tabelltextsiffror"/>
              <w:jc w:val="center"/>
            </w:pPr>
            <w:r w:rsidRPr="00F5723F">
              <w:t>67</w:t>
            </w:r>
          </w:p>
        </w:tc>
        <w:tc>
          <w:tcPr>
            <w:tcW w:w="510" w:type="dxa"/>
            <w:tcBorders>
              <w:top w:val="single" w:sz="4" w:space="0" w:color="auto"/>
            </w:tcBorders>
          </w:tcPr>
          <w:p w:rsidR="00B43C57" w:rsidRPr="00F5723F" w:rsidRDefault="00B43C57">
            <w:pPr>
              <w:pStyle w:val="Tabelltextsiffror"/>
              <w:jc w:val="center"/>
            </w:pPr>
            <w:r w:rsidRPr="00F5723F">
              <w:t>54</w:t>
            </w:r>
          </w:p>
        </w:tc>
        <w:tc>
          <w:tcPr>
            <w:tcW w:w="510" w:type="dxa"/>
            <w:tcBorders>
              <w:top w:val="single" w:sz="4" w:space="0" w:color="auto"/>
            </w:tcBorders>
          </w:tcPr>
          <w:p w:rsidR="00B43C57" w:rsidRPr="00F5723F" w:rsidRDefault="00B43C57">
            <w:pPr>
              <w:pStyle w:val="Tabelltextsiffror"/>
              <w:jc w:val="center"/>
            </w:pPr>
            <w:r w:rsidRPr="00F5723F">
              <w:t>48</w:t>
            </w:r>
          </w:p>
        </w:tc>
      </w:tr>
      <w:tr w:rsidR="00000000" w:rsidRPr="00F5723F">
        <w:tc>
          <w:tcPr>
            <w:tcW w:w="2041" w:type="dxa"/>
          </w:tcPr>
          <w:p w:rsidR="00B43C57" w:rsidRPr="00F5723F" w:rsidRDefault="00B43C57">
            <w:pPr>
              <w:pStyle w:val="Tabelltextsiffror"/>
              <w:ind w:left="95" w:hanging="95"/>
              <w:jc w:val="left"/>
            </w:pPr>
            <w:r w:rsidRPr="00F5723F">
              <w:t>på partiets stån</w:t>
            </w:r>
            <w:r w:rsidRPr="00F5723F">
              <w:t>d</w:t>
            </w:r>
            <w:r w:rsidRPr="00F5723F">
              <w:t>punkt</w:t>
            </w:r>
          </w:p>
        </w:tc>
        <w:tc>
          <w:tcPr>
            <w:tcW w:w="510" w:type="dxa"/>
          </w:tcPr>
          <w:p w:rsidR="00B43C57" w:rsidRPr="00F5723F" w:rsidRDefault="00B43C57">
            <w:pPr>
              <w:pStyle w:val="Tabelltextsiffror"/>
              <w:jc w:val="center"/>
            </w:pPr>
            <w:r w:rsidRPr="00F5723F">
              <w:t>31</w:t>
            </w:r>
          </w:p>
        </w:tc>
        <w:tc>
          <w:tcPr>
            <w:tcW w:w="510" w:type="dxa"/>
          </w:tcPr>
          <w:p w:rsidR="00B43C57" w:rsidRPr="00F5723F" w:rsidRDefault="00B43C57">
            <w:pPr>
              <w:pStyle w:val="Tabelltextsiffror"/>
              <w:jc w:val="center"/>
            </w:pPr>
            <w:r w:rsidRPr="00F5723F">
              <w:t>66</w:t>
            </w:r>
          </w:p>
        </w:tc>
        <w:tc>
          <w:tcPr>
            <w:tcW w:w="510" w:type="dxa"/>
          </w:tcPr>
          <w:p w:rsidR="00B43C57" w:rsidRPr="00F5723F" w:rsidRDefault="00B43C57">
            <w:pPr>
              <w:pStyle w:val="Tabelltextsiffror"/>
              <w:jc w:val="center"/>
            </w:pPr>
            <w:r w:rsidRPr="00F5723F">
              <w:t>24</w:t>
            </w:r>
          </w:p>
        </w:tc>
        <w:tc>
          <w:tcPr>
            <w:tcW w:w="510" w:type="dxa"/>
          </w:tcPr>
          <w:p w:rsidR="00B43C57" w:rsidRPr="00F5723F" w:rsidRDefault="00B43C57">
            <w:pPr>
              <w:pStyle w:val="Tabelltextsiffror"/>
              <w:jc w:val="center"/>
            </w:pPr>
            <w:r w:rsidRPr="00F5723F">
              <w:t>9</w:t>
            </w:r>
          </w:p>
        </w:tc>
        <w:tc>
          <w:tcPr>
            <w:tcW w:w="510" w:type="dxa"/>
          </w:tcPr>
          <w:p w:rsidR="00B43C57" w:rsidRPr="00F5723F" w:rsidRDefault="00B43C57">
            <w:pPr>
              <w:pStyle w:val="Tabelltextsiffror"/>
              <w:jc w:val="center"/>
            </w:pPr>
            <w:r w:rsidRPr="00F5723F">
              <w:t>10</w:t>
            </w:r>
          </w:p>
        </w:tc>
        <w:tc>
          <w:tcPr>
            <w:tcW w:w="510" w:type="dxa"/>
          </w:tcPr>
          <w:p w:rsidR="00B43C57" w:rsidRPr="00F5723F" w:rsidRDefault="00B43C57">
            <w:pPr>
              <w:pStyle w:val="Tabelltextsiffror"/>
              <w:jc w:val="center"/>
            </w:pPr>
            <w:r w:rsidRPr="00F5723F">
              <w:t>21</w:t>
            </w:r>
          </w:p>
        </w:tc>
        <w:tc>
          <w:tcPr>
            <w:tcW w:w="510" w:type="dxa"/>
          </w:tcPr>
          <w:p w:rsidR="00B43C57" w:rsidRPr="00F5723F" w:rsidRDefault="00B43C57">
            <w:pPr>
              <w:pStyle w:val="Tabelltextsiffror"/>
              <w:jc w:val="center"/>
            </w:pPr>
            <w:r w:rsidRPr="00F5723F">
              <w:t>31</w:t>
            </w:r>
          </w:p>
        </w:tc>
        <w:tc>
          <w:tcPr>
            <w:tcW w:w="510" w:type="dxa"/>
          </w:tcPr>
          <w:p w:rsidR="00B43C57" w:rsidRPr="00F5723F" w:rsidRDefault="00B43C57">
            <w:pPr>
              <w:pStyle w:val="Tabelltextsiffror"/>
              <w:jc w:val="center"/>
            </w:pPr>
            <w:r w:rsidRPr="00F5723F">
              <w:t>38</w:t>
            </w:r>
          </w:p>
        </w:tc>
      </w:tr>
      <w:tr w:rsidR="00000000" w:rsidRPr="00F5723F">
        <w:tc>
          <w:tcPr>
            <w:tcW w:w="2041" w:type="dxa"/>
            <w:tcBorders>
              <w:bottom w:val="single" w:sz="4" w:space="0" w:color="auto"/>
            </w:tcBorders>
          </w:tcPr>
          <w:p w:rsidR="00B43C57" w:rsidRPr="00F5723F" w:rsidRDefault="00B43C57">
            <w:pPr>
              <w:pStyle w:val="Tabelltextsiffror"/>
              <w:ind w:left="95" w:hanging="95"/>
              <w:jc w:val="left"/>
            </w:pPr>
            <w:r w:rsidRPr="00F5723F">
              <w:t>vet ej/ambivalent svar/annat svar</w:t>
            </w:r>
          </w:p>
        </w:tc>
        <w:tc>
          <w:tcPr>
            <w:tcW w:w="510" w:type="dxa"/>
            <w:tcBorders>
              <w:bottom w:val="single" w:sz="4" w:space="0" w:color="auto"/>
            </w:tcBorders>
          </w:tcPr>
          <w:p w:rsidR="00B43C57" w:rsidRPr="00F5723F" w:rsidRDefault="00B43C57">
            <w:pPr>
              <w:pStyle w:val="Tabelltextsiffror"/>
              <w:jc w:val="center"/>
            </w:pPr>
            <w:r w:rsidRPr="00F5723F">
              <w:t>14</w:t>
            </w:r>
          </w:p>
        </w:tc>
        <w:tc>
          <w:tcPr>
            <w:tcW w:w="510" w:type="dxa"/>
            <w:tcBorders>
              <w:bottom w:val="single" w:sz="4" w:space="0" w:color="auto"/>
            </w:tcBorders>
          </w:tcPr>
          <w:p w:rsidR="00B43C57" w:rsidRPr="00F5723F" w:rsidRDefault="00B43C57">
            <w:pPr>
              <w:pStyle w:val="Tabelltextsiffror"/>
              <w:jc w:val="center"/>
            </w:pPr>
            <w:r w:rsidRPr="00F5723F">
              <w:t>16</w:t>
            </w:r>
          </w:p>
        </w:tc>
        <w:tc>
          <w:tcPr>
            <w:tcW w:w="510" w:type="dxa"/>
            <w:tcBorders>
              <w:bottom w:val="single" w:sz="4" w:space="0" w:color="auto"/>
            </w:tcBorders>
          </w:tcPr>
          <w:p w:rsidR="00B43C57" w:rsidRPr="00F5723F" w:rsidRDefault="00B43C57">
            <w:pPr>
              <w:pStyle w:val="Tabelltextsiffror"/>
              <w:jc w:val="center"/>
            </w:pPr>
            <w:r w:rsidRPr="00F5723F">
              <w:t>24</w:t>
            </w:r>
          </w:p>
        </w:tc>
        <w:tc>
          <w:tcPr>
            <w:tcW w:w="510" w:type="dxa"/>
            <w:tcBorders>
              <w:bottom w:val="single" w:sz="4" w:space="0" w:color="auto"/>
            </w:tcBorders>
          </w:tcPr>
          <w:p w:rsidR="00B43C57" w:rsidRPr="00F5723F" w:rsidRDefault="00B43C57">
            <w:pPr>
              <w:pStyle w:val="Tabelltextsiffror"/>
              <w:jc w:val="center"/>
            </w:pPr>
            <w:r w:rsidRPr="00F5723F">
              <w:t>4</w:t>
            </w:r>
          </w:p>
        </w:tc>
        <w:tc>
          <w:tcPr>
            <w:tcW w:w="510" w:type="dxa"/>
            <w:tcBorders>
              <w:bottom w:val="single" w:sz="4" w:space="0" w:color="auto"/>
            </w:tcBorders>
          </w:tcPr>
          <w:p w:rsidR="00B43C57" w:rsidRPr="00F5723F" w:rsidRDefault="00B43C57">
            <w:pPr>
              <w:pStyle w:val="Tabelltextsiffror"/>
              <w:jc w:val="center"/>
            </w:pPr>
            <w:r w:rsidRPr="00F5723F">
              <w:t>16</w:t>
            </w:r>
          </w:p>
        </w:tc>
        <w:tc>
          <w:tcPr>
            <w:tcW w:w="510" w:type="dxa"/>
            <w:tcBorders>
              <w:bottom w:val="single" w:sz="4" w:space="0" w:color="auto"/>
            </w:tcBorders>
          </w:tcPr>
          <w:p w:rsidR="00B43C57" w:rsidRPr="00F5723F" w:rsidRDefault="00B43C57">
            <w:pPr>
              <w:pStyle w:val="Tabelltextsiffror"/>
              <w:jc w:val="center"/>
            </w:pPr>
            <w:r w:rsidRPr="00F5723F">
              <w:t>12</w:t>
            </w:r>
          </w:p>
        </w:tc>
        <w:tc>
          <w:tcPr>
            <w:tcW w:w="510" w:type="dxa"/>
            <w:tcBorders>
              <w:bottom w:val="single" w:sz="4" w:space="0" w:color="auto"/>
            </w:tcBorders>
          </w:tcPr>
          <w:p w:rsidR="00B43C57" w:rsidRPr="00F5723F" w:rsidRDefault="00B43C57">
            <w:pPr>
              <w:pStyle w:val="Tabelltextsiffror"/>
              <w:jc w:val="center"/>
            </w:pPr>
            <w:r w:rsidRPr="00F5723F">
              <w:t>15</w:t>
            </w:r>
          </w:p>
        </w:tc>
        <w:tc>
          <w:tcPr>
            <w:tcW w:w="510" w:type="dxa"/>
            <w:tcBorders>
              <w:bottom w:val="single" w:sz="4" w:space="0" w:color="auto"/>
            </w:tcBorders>
          </w:tcPr>
          <w:p w:rsidR="00B43C57" w:rsidRPr="00F5723F" w:rsidRDefault="00B43C57">
            <w:pPr>
              <w:pStyle w:val="Tabelltextsiffror"/>
              <w:jc w:val="center"/>
            </w:pPr>
            <w:r w:rsidRPr="00F5723F">
              <w:t>14</w:t>
            </w:r>
          </w:p>
        </w:tc>
      </w:tr>
      <w:tr w:rsidR="00000000" w:rsidRPr="00F5723F">
        <w:tc>
          <w:tcPr>
            <w:tcW w:w="2041" w:type="dxa"/>
            <w:tcBorders>
              <w:top w:val="single" w:sz="4" w:space="0" w:color="auto"/>
            </w:tcBorders>
          </w:tcPr>
          <w:p w:rsidR="00B43C57" w:rsidRPr="00F5723F" w:rsidRDefault="00B43C57">
            <w:pPr>
              <w:pStyle w:val="Tabelltextsiffror"/>
              <w:jc w:val="left"/>
            </w:pPr>
            <w:r w:rsidRPr="00F5723F">
              <w:t>summa procent</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c>
          <w:tcPr>
            <w:tcW w:w="510" w:type="dxa"/>
            <w:tcBorders>
              <w:top w:val="single" w:sz="4" w:space="0" w:color="auto"/>
            </w:tcBorders>
          </w:tcPr>
          <w:p w:rsidR="00B43C57" w:rsidRPr="00F5723F" w:rsidRDefault="00B43C57">
            <w:pPr>
              <w:pStyle w:val="Tabelltextsiffror"/>
              <w:jc w:val="center"/>
            </w:pPr>
            <w:r w:rsidRPr="00F5723F">
              <w:t>100</w:t>
            </w:r>
          </w:p>
        </w:tc>
      </w:tr>
      <w:tr w:rsidR="00000000" w:rsidRPr="00F5723F">
        <w:tc>
          <w:tcPr>
            <w:tcW w:w="2041" w:type="dxa"/>
          </w:tcPr>
          <w:p w:rsidR="00B43C57" w:rsidRPr="00F5723F" w:rsidRDefault="00B43C57">
            <w:pPr>
              <w:pStyle w:val="Tabelltextsiffror"/>
              <w:jc w:val="left"/>
            </w:pPr>
            <w:r w:rsidRPr="00F5723F">
              <w:t>antal personer</w:t>
            </w:r>
          </w:p>
        </w:tc>
        <w:tc>
          <w:tcPr>
            <w:tcW w:w="510" w:type="dxa"/>
          </w:tcPr>
          <w:p w:rsidR="00B43C57" w:rsidRPr="00F5723F" w:rsidRDefault="00B43C57">
            <w:pPr>
              <w:pStyle w:val="Tabelltextsiffror"/>
              <w:jc w:val="center"/>
            </w:pPr>
            <w:r w:rsidRPr="00F5723F">
              <w:t>29</w:t>
            </w:r>
          </w:p>
        </w:tc>
        <w:tc>
          <w:tcPr>
            <w:tcW w:w="510" w:type="dxa"/>
          </w:tcPr>
          <w:p w:rsidR="00B43C57" w:rsidRPr="00F5723F" w:rsidRDefault="00B43C57">
            <w:pPr>
              <w:pStyle w:val="Tabelltextsiffror"/>
              <w:jc w:val="center"/>
            </w:pPr>
            <w:r w:rsidRPr="00F5723F">
              <w:t>134</w:t>
            </w:r>
          </w:p>
        </w:tc>
        <w:tc>
          <w:tcPr>
            <w:tcW w:w="510" w:type="dxa"/>
          </w:tcPr>
          <w:p w:rsidR="00B43C57" w:rsidRPr="00F5723F" w:rsidRDefault="00B43C57">
            <w:pPr>
              <w:pStyle w:val="Tabelltextsiffror"/>
              <w:jc w:val="center"/>
            </w:pPr>
            <w:r w:rsidRPr="00F5723F">
              <w:t>21</w:t>
            </w:r>
          </w:p>
        </w:tc>
        <w:tc>
          <w:tcPr>
            <w:tcW w:w="510" w:type="dxa"/>
          </w:tcPr>
          <w:p w:rsidR="00B43C57" w:rsidRPr="00F5723F" w:rsidRDefault="00B43C57">
            <w:pPr>
              <w:pStyle w:val="Tabelltextsiffror"/>
              <w:jc w:val="center"/>
            </w:pPr>
            <w:r w:rsidRPr="00F5723F">
              <w:t>46</w:t>
            </w:r>
          </w:p>
        </w:tc>
        <w:tc>
          <w:tcPr>
            <w:tcW w:w="510" w:type="dxa"/>
          </w:tcPr>
          <w:p w:rsidR="00B43C57" w:rsidRPr="00F5723F" w:rsidRDefault="00B43C57">
            <w:pPr>
              <w:pStyle w:val="Tabelltextsiffror"/>
              <w:jc w:val="center"/>
            </w:pPr>
            <w:r w:rsidRPr="00F5723F">
              <w:t>51</w:t>
            </w:r>
          </w:p>
        </w:tc>
        <w:tc>
          <w:tcPr>
            <w:tcW w:w="510" w:type="dxa"/>
          </w:tcPr>
          <w:p w:rsidR="00B43C57" w:rsidRPr="00F5723F" w:rsidRDefault="00B43C57">
            <w:pPr>
              <w:pStyle w:val="Tabelltextsiffror"/>
              <w:jc w:val="center"/>
            </w:pPr>
            <w:r w:rsidRPr="00F5723F">
              <w:t>33</w:t>
            </w:r>
          </w:p>
        </w:tc>
        <w:tc>
          <w:tcPr>
            <w:tcW w:w="510" w:type="dxa"/>
          </w:tcPr>
          <w:p w:rsidR="00B43C57" w:rsidRPr="00F5723F" w:rsidRDefault="00B43C57">
            <w:pPr>
              <w:pStyle w:val="Tabelltextsiffror"/>
              <w:jc w:val="center"/>
            </w:pPr>
            <w:r w:rsidRPr="00F5723F">
              <w:t>13</w:t>
            </w:r>
          </w:p>
        </w:tc>
        <w:tc>
          <w:tcPr>
            <w:tcW w:w="510" w:type="dxa"/>
          </w:tcPr>
          <w:p w:rsidR="00B43C57" w:rsidRPr="00F5723F" w:rsidRDefault="00B43C57">
            <w:pPr>
              <w:pStyle w:val="Tabelltextsiffror"/>
              <w:jc w:val="center"/>
            </w:pPr>
            <w:r w:rsidRPr="00F5723F">
              <w:t>327</w:t>
            </w:r>
          </w:p>
        </w:tc>
      </w:tr>
      <w:tr w:rsidR="00000000" w:rsidRPr="00F5723F">
        <w:tc>
          <w:tcPr>
            <w:tcW w:w="2041" w:type="dxa"/>
            <w:tcBorders>
              <w:bottom w:val="single" w:sz="4" w:space="0" w:color="auto"/>
            </w:tcBorders>
          </w:tcPr>
          <w:p w:rsidR="00B43C57" w:rsidRPr="00F5723F" w:rsidRDefault="00B43C57">
            <w:pPr>
              <w:pStyle w:val="Tabelltextsiffror"/>
              <w:jc w:val="left"/>
            </w:pPr>
            <w:r w:rsidRPr="00F5723F">
              <w:t xml:space="preserve">skillnad egen – </w:t>
            </w:r>
            <w:r w:rsidRPr="00F5723F">
              <w:t>parti</w:t>
            </w:r>
          </w:p>
        </w:tc>
        <w:tc>
          <w:tcPr>
            <w:tcW w:w="510" w:type="dxa"/>
            <w:tcBorders>
              <w:bottom w:val="single" w:sz="4" w:space="0" w:color="auto"/>
            </w:tcBorders>
            <w:vAlign w:val="bottom"/>
          </w:tcPr>
          <w:p w:rsidR="00B43C57" w:rsidRPr="00F5723F" w:rsidRDefault="00B43C57">
            <w:pPr>
              <w:pStyle w:val="Tabelltextsiffror"/>
              <w:jc w:val="center"/>
            </w:pPr>
            <w:r w:rsidRPr="00F5723F">
              <w:t>+24</w:t>
            </w:r>
          </w:p>
        </w:tc>
        <w:tc>
          <w:tcPr>
            <w:tcW w:w="510" w:type="dxa"/>
            <w:tcBorders>
              <w:bottom w:val="single" w:sz="4" w:space="0" w:color="auto"/>
            </w:tcBorders>
            <w:vAlign w:val="bottom"/>
          </w:tcPr>
          <w:p w:rsidR="00B43C57" w:rsidRPr="00F5723F" w:rsidRDefault="00B43C57">
            <w:pPr>
              <w:pStyle w:val="Tabelltextsiffror"/>
              <w:jc w:val="center"/>
            </w:pPr>
            <w:r w:rsidRPr="00F5723F">
              <w:t>–</w:t>
            </w:r>
            <w:r w:rsidRPr="00F5723F">
              <w:t>48</w:t>
            </w:r>
          </w:p>
        </w:tc>
        <w:tc>
          <w:tcPr>
            <w:tcW w:w="510" w:type="dxa"/>
            <w:tcBorders>
              <w:bottom w:val="single" w:sz="4" w:space="0" w:color="auto"/>
            </w:tcBorders>
            <w:vAlign w:val="bottom"/>
          </w:tcPr>
          <w:p w:rsidR="00B43C57" w:rsidRPr="00F5723F" w:rsidRDefault="00B43C57">
            <w:pPr>
              <w:pStyle w:val="Tabelltextsiffror"/>
              <w:jc w:val="center"/>
            </w:pPr>
            <w:r w:rsidRPr="00F5723F">
              <w:t>+28</w:t>
            </w:r>
          </w:p>
        </w:tc>
        <w:tc>
          <w:tcPr>
            <w:tcW w:w="510" w:type="dxa"/>
            <w:tcBorders>
              <w:bottom w:val="single" w:sz="4" w:space="0" w:color="auto"/>
            </w:tcBorders>
            <w:vAlign w:val="bottom"/>
          </w:tcPr>
          <w:p w:rsidR="00B43C57" w:rsidRPr="00F5723F" w:rsidRDefault="00B43C57">
            <w:pPr>
              <w:pStyle w:val="Tabelltextsiffror"/>
              <w:jc w:val="center"/>
            </w:pPr>
            <w:r w:rsidRPr="00F5723F">
              <w:t>+78</w:t>
            </w:r>
          </w:p>
        </w:tc>
        <w:tc>
          <w:tcPr>
            <w:tcW w:w="510" w:type="dxa"/>
            <w:tcBorders>
              <w:bottom w:val="single" w:sz="4" w:space="0" w:color="auto"/>
            </w:tcBorders>
            <w:vAlign w:val="bottom"/>
          </w:tcPr>
          <w:p w:rsidR="00B43C57" w:rsidRPr="00F5723F" w:rsidRDefault="00B43C57">
            <w:pPr>
              <w:pStyle w:val="Tabelltextsiffror"/>
              <w:jc w:val="center"/>
            </w:pPr>
            <w:r w:rsidRPr="00F5723F">
              <w:t>+64</w:t>
            </w:r>
          </w:p>
        </w:tc>
        <w:tc>
          <w:tcPr>
            <w:tcW w:w="510" w:type="dxa"/>
            <w:tcBorders>
              <w:bottom w:val="single" w:sz="4" w:space="0" w:color="auto"/>
            </w:tcBorders>
            <w:vAlign w:val="bottom"/>
          </w:tcPr>
          <w:p w:rsidR="00B43C57" w:rsidRPr="00F5723F" w:rsidRDefault="00B43C57">
            <w:pPr>
              <w:pStyle w:val="Tabelltextsiffror"/>
              <w:jc w:val="center"/>
            </w:pPr>
            <w:r w:rsidRPr="00F5723F">
              <w:t>+46</w:t>
            </w:r>
          </w:p>
        </w:tc>
        <w:tc>
          <w:tcPr>
            <w:tcW w:w="510" w:type="dxa"/>
            <w:tcBorders>
              <w:bottom w:val="single" w:sz="4" w:space="0" w:color="auto"/>
            </w:tcBorders>
            <w:vAlign w:val="bottom"/>
          </w:tcPr>
          <w:p w:rsidR="00B43C57" w:rsidRPr="00F5723F" w:rsidRDefault="00B43C57">
            <w:pPr>
              <w:pStyle w:val="Tabelltextsiffror"/>
              <w:jc w:val="center"/>
            </w:pPr>
            <w:r w:rsidRPr="00F5723F">
              <w:t>+23</w:t>
            </w:r>
          </w:p>
        </w:tc>
        <w:tc>
          <w:tcPr>
            <w:tcW w:w="510" w:type="dxa"/>
            <w:tcBorders>
              <w:bottom w:val="single" w:sz="4" w:space="0" w:color="auto"/>
            </w:tcBorders>
            <w:vAlign w:val="bottom"/>
          </w:tcPr>
          <w:p w:rsidR="00B43C57" w:rsidRPr="00F5723F" w:rsidRDefault="00B43C57">
            <w:pPr>
              <w:pStyle w:val="Tabelltextsiffror"/>
              <w:jc w:val="center"/>
            </w:pPr>
            <w:r w:rsidRPr="00F5723F">
              <w:t>+10</w:t>
            </w:r>
          </w:p>
        </w:tc>
      </w:tr>
    </w:tbl>
    <w:p w:rsidR="00B43C57" w:rsidRPr="00F5723F" w:rsidRDefault="00B43C57"/>
    <w:p w:rsidR="00B43C57" w:rsidRPr="00F5723F" w:rsidRDefault="00B43C57">
      <w:pPr>
        <w:spacing w:line="240" w:lineRule="auto"/>
      </w:pPr>
      <w:r w:rsidRPr="00F5723F">
        <w:rPr>
          <w:rFonts w:ascii="Arial" w:hAnsi="Arial" w:cs="Arial"/>
          <w:b/>
          <w:sz w:val="16"/>
          <w:szCs w:val="16"/>
        </w:rPr>
        <w:t>Kommentar:</w:t>
      </w:r>
      <w:r w:rsidRPr="00F5723F">
        <w:rPr>
          <w:rFonts w:ascii="Arial" w:hAnsi="Arial" w:cs="Arial"/>
          <w:sz w:val="16"/>
          <w:szCs w:val="16"/>
        </w:rPr>
        <w:t xml:space="preserve"> Resultaten är hämtade från Valforskningsprogrammets riksdagsu</w:t>
      </w:r>
      <w:r w:rsidRPr="00F5723F">
        <w:rPr>
          <w:rFonts w:ascii="Arial" w:hAnsi="Arial" w:cs="Arial"/>
          <w:sz w:val="16"/>
          <w:szCs w:val="16"/>
        </w:rPr>
        <w:t>n</w:t>
      </w:r>
      <w:r w:rsidRPr="00F5723F">
        <w:rPr>
          <w:rFonts w:ascii="Arial" w:hAnsi="Arial" w:cs="Arial"/>
          <w:sz w:val="16"/>
          <w:szCs w:val="16"/>
        </w:rPr>
        <w:t>dersökning 2002. På frågan om konfli</w:t>
      </w:r>
      <w:r w:rsidRPr="00F5723F">
        <w:rPr>
          <w:rFonts w:ascii="Arial" w:hAnsi="Arial" w:cs="Arial"/>
          <w:sz w:val="16"/>
          <w:szCs w:val="16"/>
        </w:rPr>
        <w:t>k</w:t>
      </w:r>
      <w:r w:rsidRPr="00F5723F">
        <w:rPr>
          <w:rFonts w:ascii="Arial" w:hAnsi="Arial" w:cs="Arial"/>
          <w:sz w:val="16"/>
          <w:szCs w:val="16"/>
        </w:rPr>
        <w:t>ten mellan partiets ståndpunkt och väljarnas åsikt har de 19 ledamöter som svarade att de skulle rösta efter egen up</w:t>
      </w:r>
      <w:r w:rsidRPr="00F5723F">
        <w:rPr>
          <w:rFonts w:ascii="Arial" w:hAnsi="Arial" w:cs="Arial"/>
          <w:sz w:val="16"/>
          <w:szCs w:val="16"/>
        </w:rPr>
        <w:t>p</w:t>
      </w:r>
      <w:r w:rsidRPr="00F5723F">
        <w:rPr>
          <w:rFonts w:ascii="Arial" w:hAnsi="Arial" w:cs="Arial"/>
          <w:sz w:val="16"/>
          <w:szCs w:val="16"/>
        </w:rPr>
        <w:t>fattning klassificerats under ”annat svar”.</w:t>
      </w:r>
    </w:p>
    <w:p w:rsidR="00B43C57" w:rsidRPr="00F5723F" w:rsidRDefault="00B43C57">
      <w:pPr>
        <w:pStyle w:val="Normaltindrag"/>
      </w:pPr>
    </w:p>
    <w:p w:rsidR="00B43C57" w:rsidRPr="00F5723F" w:rsidRDefault="00B43C57">
      <w:r w:rsidRPr="00F5723F">
        <w:br w:type="page"/>
        <w:t>Den här gången är det varken partiets ståndpunkter eller väljarna i hemm</w:t>
      </w:r>
      <w:r w:rsidRPr="00F5723F">
        <w:t>a</w:t>
      </w:r>
      <w:r w:rsidRPr="00F5723F">
        <w:t>valkretsen som framstår som det viktigaste att representera. När de tre repr</w:t>
      </w:r>
      <w:r w:rsidRPr="00F5723F">
        <w:t>e</w:t>
      </w:r>
      <w:r w:rsidRPr="00F5723F">
        <w:t>sentationsprinciperna ställs mot varandra parvis är det istället riksdagsled</w:t>
      </w:r>
      <w:r w:rsidRPr="00F5723F">
        <w:t>a</w:t>
      </w:r>
      <w:r w:rsidRPr="00F5723F">
        <w:t>motens egen uppfattning som lyfts fram – både gentemot det egna partiets ståndpunkt (48 procent mot 38) och gentemot den egna valkretsens väljare (72 procent mot 16). I konflikten mellan det egna partiets stån</w:t>
      </w:r>
      <w:r w:rsidRPr="00F5723F">
        <w:t>d</w:t>
      </w:r>
      <w:r w:rsidRPr="00F5723F">
        <w:t>punkt och den egna valkretsens väljare sätter dock ledamöterna partiet främst (53 procent mot 30). Rangordningen med individprincipen före partipri</w:t>
      </w:r>
      <w:r w:rsidRPr="00F5723F">
        <w:t>ncipen och därnäst väljarprincipen återfinns med ett undantag bland samtliga partiers riksdagsl</w:t>
      </w:r>
      <w:r w:rsidRPr="00F5723F">
        <w:t>e</w:t>
      </w:r>
      <w:r w:rsidRPr="00F5723F">
        <w:t xml:space="preserve">damöter: Undantaget är de socialdemokratiska ledamöterna som klart och tydligt sätter partiprincipen framför individprincipen (66 procent mot 18). </w:t>
      </w:r>
    </w:p>
    <w:p w:rsidR="00B43C57" w:rsidRPr="00F5723F" w:rsidRDefault="00B43C57">
      <w:pPr>
        <w:pStyle w:val="Normaltindrag"/>
      </w:pPr>
      <w:r w:rsidRPr="00F5723F">
        <w:t>Riksdagsledamöternas prioritering av individprincipen 2002 är en viktig nyhet jämfört med tidigare års undersökningar. I tabell 4 redovisas riksdag</w:t>
      </w:r>
      <w:r w:rsidRPr="00F5723F">
        <w:t>s</w:t>
      </w:r>
      <w:r w:rsidRPr="00F5723F">
        <w:t>ledamöternas represent</w:t>
      </w:r>
      <w:r w:rsidRPr="00F5723F">
        <w:t>a</w:t>
      </w:r>
      <w:r w:rsidRPr="00F5723F">
        <w:t>tionsprinciper för åren 1985, 1988, 1998 och 2002. Tabellen visar andelen ledamöter som vid olika tillfällen har satt partiets ståndpunkt framför de båda andra möjligheterna (partiprincipen), den egna ståndpunkten framför de båda andra möjligheterna (individprincipen) respe</w:t>
      </w:r>
      <w:r w:rsidRPr="00F5723F">
        <w:t>k</w:t>
      </w:r>
      <w:r w:rsidRPr="00F5723F">
        <w:t>tive väljarna i den egna valkretsen framför de båda andra möjligheterna (vä</w:t>
      </w:r>
      <w:r w:rsidRPr="00F5723F">
        <w:t>l</w:t>
      </w:r>
      <w:r w:rsidRPr="00F5723F">
        <w:t>jarprincipen).</w:t>
      </w:r>
    </w:p>
    <w:p w:rsidR="00B43C57" w:rsidRPr="00F5723F" w:rsidRDefault="00B43C57"/>
    <w:p w:rsidR="00B43C57" w:rsidRPr="00F5723F" w:rsidRDefault="00B43C57">
      <w:pPr>
        <w:pStyle w:val="Tabellrubrik"/>
        <w:spacing w:before="0"/>
      </w:pPr>
      <w:r w:rsidRPr="00F5723F">
        <w:t>Tabell 4</w:t>
      </w:r>
      <w:r w:rsidRPr="00F5723F">
        <w:tab/>
        <w:t>Riksdagsledamöternas representationsprinciper 1985, 1998, 1998 och 2002. Bland samtliga ledamöter och efter part</w:t>
      </w:r>
      <w:r w:rsidRPr="00F5723F">
        <w:t>i</w:t>
      </w:r>
      <w:r w:rsidRPr="00F5723F">
        <w:t>tillh</w:t>
      </w:r>
      <w:r w:rsidRPr="00F5723F">
        <w:t>ö</w:t>
      </w:r>
      <w:r w:rsidRPr="00F5723F">
        <w:t>righet (procent).</w:t>
      </w:r>
    </w:p>
    <w:tbl>
      <w:tblPr>
        <w:tblW w:w="0" w:type="auto"/>
        <w:tblLayout w:type="fixed"/>
        <w:tblCellMar>
          <w:left w:w="70" w:type="dxa"/>
          <w:right w:w="70" w:type="dxa"/>
        </w:tblCellMar>
        <w:tblLook w:val="00AF" w:firstRow="1" w:lastRow="0" w:firstColumn="1" w:lastColumn="0" w:noHBand="0" w:noVBand="0"/>
      </w:tblPr>
      <w:tblGrid>
        <w:gridCol w:w="3005"/>
        <w:gridCol w:w="720"/>
        <w:gridCol w:w="720"/>
        <w:gridCol w:w="720"/>
        <w:gridCol w:w="900"/>
      </w:tblGrid>
      <w:tr w:rsidR="00000000" w:rsidRPr="00F5723F">
        <w:tblPrEx>
          <w:tblCellMar>
            <w:top w:w="0" w:type="dxa"/>
            <w:bottom w:w="0" w:type="dxa"/>
          </w:tblCellMar>
        </w:tblPrEx>
        <w:tc>
          <w:tcPr>
            <w:tcW w:w="3005" w:type="dxa"/>
            <w:tcBorders>
              <w:top w:val="single" w:sz="4" w:space="0" w:color="auto"/>
              <w:bottom w:val="single" w:sz="4" w:space="0" w:color="auto"/>
            </w:tcBorders>
          </w:tcPr>
          <w:p w:rsidR="00B43C57" w:rsidRPr="00F5723F" w:rsidRDefault="00B43C57">
            <w:pPr>
              <w:pStyle w:val="Tabelltext"/>
              <w:jc w:val="center"/>
              <w:rPr>
                <w:szCs w:val="16"/>
              </w:rPr>
            </w:pPr>
          </w:p>
        </w:tc>
        <w:tc>
          <w:tcPr>
            <w:tcW w:w="720" w:type="dxa"/>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1985</w:t>
            </w:r>
          </w:p>
        </w:tc>
        <w:tc>
          <w:tcPr>
            <w:tcW w:w="720" w:type="dxa"/>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1988</w:t>
            </w:r>
          </w:p>
        </w:tc>
        <w:tc>
          <w:tcPr>
            <w:tcW w:w="720" w:type="dxa"/>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1998</w:t>
            </w:r>
          </w:p>
        </w:tc>
        <w:tc>
          <w:tcPr>
            <w:tcW w:w="900" w:type="dxa"/>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2002</w:t>
            </w:r>
          </w:p>
        </w:tc>
      </w:tr>
      <w:tr w:rsidR="00000000" w:rsidRPr="00F5723F">
        <w:tblPrEx>
          <w:tblCellMar>
            <w:top w:w="0" w:type="dxa"/>
            <w:bottom w:w="0" w:type="dxa"/>
          </w:tblCellMar>
        </w:tblPrEx>
        <w:tc>
          <w:tcPr>
            <w:tcW w:w="3005" w:type="dxa"/>
            <w:tcBorders>
              <w:top w:val="single" w:sz="4" w:space="0" w:color="auto"/>
            </w:tcBorders>
          </w:tcPr>
          <w:p w:rsidR="00B43C57" w:rsidRPr="00F5723F" w:rsidRDefault="00B43C57">
            <w:pPr>
              <w:pStyle w:val="Tabelltext"/>
              <w:rPr>
                <w:szCs w:val="16"/>
              </w:rPr>
            </w:pPr>
          </w:p>
        </w:tc>
        <w:tc>
          <w:tcPr>
            <w:tcW w:w="720" w:type="dxa"/>
            <w:tcBorders>
              <w:top w:val="single" w:sz="4" w:space="0" w:color="auto"/>
            </w:tcBorders>
          </w:tcPr>
          <w:p w:rsidR="00B43C57" w:rsidRPr="00F5723F" w:rsidRDefault="00B43C57">
            <w:pPr>
              <w:pStyle w:val="Tabelltext"/>
              <w:rPr>
                <w:szCs w:val="16"/>
              </w:rPr>
            </w:pPr>
          </w:p>
        </w:tc>
        <w:tc>
          <w:tcPr>
            <w:tcW w:w="720" w:type="dxa"/>
            <w:tcBorders>
              <w:top w:val="single" w:sz="4" w:space="0" w:color="auto"/>
            </w:tcBorders>
          </w:tcPr>
          <w:p w:rsidR="00B43C57" w:rsidRPr="00F5723F" w:rsidRDefault="00B43C57">
            <w:pPr>
              <w:pStyle w:val="Tabelltext"/>
              <w:rPr>
                <w:szCs w:val="16"/>
              </w:rPr>
            </w:pPr>
          </w:p>
        </w:tc>
        <w:tc>
          <w:tcPr>
            <w:tcW w:w="720" w:type="dxa"/>
            <w:tcBorders>
              <w:top w:val="single" w:sz="4" w:space="0" w:color="auto"/>
            </w:tcBorders>
          </w:tcPr>
          <w:p w:rsidR="00B43C57" w:rsidRPr="00F5723F" w:rsidRDefault="00B43C57">
            <w:pPr>
              <w:pStyle w:val="Tabelltext"/>
              <w:rPr>
                <w:szCs w:val="16"/>
              </w:rPr>
            </w:pPr>
          </w:p>
        </w:tc>
        <w:tc>
          <w:tcPr>
            <w:tcW w:w="900" w:type="dxa"/>
            <w:tcBorders>
              <w:top w:val="single" w:sz="4" w:space="0" w:color="auto"/>
            </w:tcBorders>
          </w:tcPr>
          <w:p w:rsidR="00B43C57" w:rsidRPr="00F5723F" w:rsidRDefault="00B43C57">
            <w:pPr>
              <w:pStyle w:val="Tabelltext"/>
              <w:rPr>
                <w:szCs w:val="16"/>
              </w:rPr>
            </w:pPr>
          </w:p>
        </w:tc>
      </w:tr>
      <w:tr w:rsidR="00000000" w:rsidRPr="00F5723F">
        <w:tblPrEx>
          <w:tblCellMar>
            <w:top w:w="0" w:type="dxa"/>
            <w:bottom w:w="0" w:type="dxa"/>
          </w:tblCellMar>
        </w:tblPrEx>
        <w:tc>
          <w:tcPr>
            <w:tcW w:w="3005" w:type="dxa"/>
          </w:tcPr>
          <w:p w:rsidR="00B43C57" w:rsidRPr="00F5723F" w:rsidRDefault="00B43C57">
            <w:pPr>
              <w:pStyle w:val="Tabelltext"/>
              <w:rPr>
                <w:b/>
                <w:szCs w:val="16"/>
              </w:rPr>
            </w:pPr>
            <w:r w:rsidRPr="00F5723F">
              <w:rPr>
                <w:b/>
                <w:szCs w:val="16"/>
              </w:rPr>
              <w:t>partiprincipen</w:t>
            </w:r>
          </w:p>
        </w:tc>
        <w:tc>
          <w:tcPr>
            <w:tcW w:w="72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47</w:t>
            </w:r>
          </w:p>
        </w:tc>
        <w:tc>
          <w:tcPr>
            <w:tcW w:w="720" w:type="dxa"/>
            <w:vAlign w:val="bottom"/>
          </w:tcPr>
          <w:p w:rsidR="00B43C57" w:rsidRPr="00F5723F" w:rsidRDefault="00B43C57">
            <w:pPr>
              <w:pStyle w:val="Tabelltext"/>
              <w:tabs>
                <w:tab w:val="decimal" w:pos="415"/>
              </w:tabs>
              <w:rPr>
                <w:b/>
                <w:szCs w:val="16"/>
              </w:rPr>
            </w:pPr>
            <w:r w:rsidRPr="00F5723F">
              <w:rPr>
                <w:b/>
                <w:szCs w:val="16"/>
              </w:rPr>
              <w:t>44</w:t>
            </w:r>
          </w:p>
        </w:tc>
        <w:tc>
          <w:tcPr>
            <w:tcW w:w="72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42</w:t>
            </w:r>
          </w:p>
        </w:tc>
        <w:tc>
          <w:tcPr>
            <w:tcW w:w="90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36</w:t>
            </w:r>
          </w:p>
        </w:tc>
      </w:tr>
      <w:tr w:rsidR="00000000" w:rsidRPr="00F5723F">
        <w:tblPrEx>
          <w:tblCellMar>
            <w:top w:w="0" w:type="dxa"/>
            <w:bottom w:w="0" w:type="dxa"/>
          </w:tblCellMar>
        </w:tblPrEx>
        <w:tc>
          <w:tcPr>
            <w:tcW w:w="3005" w:type="dxa"/>
          </w:tcPr>
          <w:p w:rsidR="00B43C57" w:rsidRPr="00F5723F" w:rsidRDefault="00B43C57">
            <w:pPr>
              <w:pStyle w:val="Tabelltext"/>
              <w:ind w:firstLine="190"/>
              <w:rPr>
                <w:szCs w:val="16"/>
              </w:rPr>
            </w:pPr>
            <w:r w:rsidRPr="00F5723F">
              <w:rPr>
                <w:szCs w:val="16"/>
              </w:rPr>
              <w:t>partilinjen, egen åsikt, väljarnas åsikt</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26</w:t>
            </w:r>
          </w:p>
        </w:tc>
        <w:tc>
          <w:tcPr>
            <w:tcW w:w="720" w:type="dxa"/>
            <w:vAlign w:val="bottom"/>
          </w:tcPr>
          <w:p w:rsidR="00B43C57" w:rsidRPr="00F5723F" w:rsidRDefault="00B43C57">
            <w:pPr>
              <w:pStyle w:val="Tabelltext"/>
              <w:tabs>
                <w:tab w:val="decimal" w:pos="415"/>
              </w:tabs>
              <w:rPr>
                <w:szCs w:val="16"/>
              </w:rPr>
            </w:pPr>
            <w:r w:rsidRPr="00F5723F">
              <w:rPr>
                <w:szCs w:val="16"/>
              </w:rPr>
              <w:t>28</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26</w:t>
            </w:r>
          </w:p>
        </w:tc>
        <w:tc>
          <w:tcPr>
            <w:tcW w:w="90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28</w:t>
            </w:r>
          </w:p>
        </w:tc>
      </w:tr>
      <w:tr w:rsidR="00000000" w:rsidRPr="00F5723F">
        <w:tblPrEx>
          <w:tblCellMar>
            <w:top w:w="0" w:type="dxa"/>
            <w:bottom w:w="0" w:type="dxa"/>
          </w:tblCellMar>
        </w:tblPrEx>
        <w:tc>
          <w:tcPr>
            <w:tcW w:w="3005" w:type="dxa"/>
          </w:tcPr>
          <w:p w:rsidR="00B43C57" w:rsidRPr="00F5723F" w:rsidRDefault="00B43C57">
            <w:pPr>
              <w:pStyle w:val="Tabelltext"/>
              <w:ind w:firstLine="190"/>
              <w:rPr>
                <w:szCs w:val="16"/>
              </w:rPr>
            </w:pPr>
            <w:r w:rsidRPr="00F5723F">
              <w:rPr>
                <w:szCs w:val="16"/>
              </w:rPr>
              <w:t>partilinjen, välja</w:t>
            </w:r>
            <w:r w:rsidRPr="00F5723F">
              <w:rPr>
                <w:szCs w:val="16"/>
              </w:rPr>
              <w:t>r</w:t>
            </w:r>
            <w:r w:rsidRPr="00F5723F">
              <w:rPr>
                <w:szCs w:val="16"/>
              </w:rPr>
              <w:t>nas åsikt, egen åsikt</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21</w:t>
            </w:r>
          </w:p>
        </w:tc>
        <w:tc>
          <w:tcPr>
            <w:tcW w:w="720" w:type="dxa"/>
            <w:vAlign w:val="bottom"/>
          </w:tcPr>
          <w:p w:rsidR="00B43C57" w:rsidRPr="00F5723F" w:rsidRDefault="00B43C57">
            <w:pPr>
              <w:pStyle w:val="Tabelltext"/>
              <w:tabs>
                <w:tab w:val="decimal" w:pos="415"/>
              </w:tabs>
              <w:rPr>
                <w:szCs w:val="16"/>
              </w:rPr>
            </w:pPr>
            <w:r w:rsidRPr="00F5723F">
              <w:rPr>
                <w:szCs w:val="16"/>
              </w:rPr>
              <w:t>16</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16</w:t>
            </w:r>
          </w:p>
        </w:tc>
        <w:tc>
          <w:tcPr>
            <w:tcW w:w="90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8</w:t>
            </w:r>
          </w:p>
        </w:tc>
      </w:tr>
      <w:tr w:rsidR="00000000" w:rsidRPr="00F5723F">
        <w:tblPrEx>
          <w:tblCellMar>
            <w:top w:w="0" w:type="dxa"/>
            <w:bottom w:w="0" w:type="dxa"/>
          </w:tblCellMar>
        </w:tblPrEx>
        <w:tc>
          <w:tcPr>
            <w:tcW w:w="3005" w:type="dxa"/>
          </w:tcPr>
          <w:p w:rsidR="00B43C57" w:rsidRPr="00F5723F" w:rsidRDefault="00B43C57">
            <w:pPr>
              <w:pStyle w:val="Tabelltext"/>
              <w:rPr>
                <w:szCs w:val="16"/>
              </w:rPr>
            </w:pPr>
          </w:p>
        </w:tc>
        <w:tc>
          <w:tcPr>
            <w:tcW w:w="720" w:type="dxa"/>
          </w:tcPr>
          <w:p w:rsidR="00B43C57" w:rsidRPr="00F5723F" w:rsidRDefault="00B43C57">
            <w:pPr>
              <w:pStyle w:val="Tabelltext"/>
              <w:tabs>
                <w:tab w:val="decimal" w:pos="415"/>
              </w:tabs>
              <w:rPr>
                <w:snapToGrid w:val="0"/>
                <w:color w:val="000000"/>
                <w:szCs w:val="16"/>
              </w:rPr>
            </w:pPr>
          </w:p>
        </w:tc>
        <w:tc>
          <w:tcPr>
            <w:tcW w:w="720" w:type="dxa"/>
            <w:vAlign w:val="bottom"/>
          </w:tcPr>
          <w:p w:rsidR="00B43C57" w:rsidRPr="00F5723F" w:rsidRDefault="00B43C57">
            <w:pPr>
              <w:pStyle w:val="Tabelltext"/>
              <w:tabs>
                <w:tab w:val="decimal" w:pos="415"/>
              </w:tabs>
              <w:rPr>
                <w:szCs w:val="16"/>
              </w:rPr>
            </w:pPr>
          </w:p>
        </w:tc>
        <w:tc>
          <w:tcPr>
            <w:tcW w:w="720" w:type="dxa"/>
          </w:tcPr>
          <w:p w:rsidR="00B43C57" w:rsidRPr="00F5723F" w:rsidRDefault="00B43C57">
            <w:pPr>
              <w:pStyle w:val="Tabelltext"/>
              <w:tabs>
                <w:tab w:val="decimal" w:pos="415"/>
              </w:tabs>
              <w:rPr>
                <w:snapToGrid w:val="0"/>
                <w:color w:val="000000"/>
                <w:szCs w:val="16"/>
              </w:rPr>
            </w:pPr>
          </w:p>
        </w:tc>
        <w:tc>
          <w:tcPr>
            <w:tcW w:w="900" w:type="dxa"/>
          </w:tcPr>
          <w:p w:rsidR="00B43C57" w:rsidRPr="00F5723F" w:rsidRDefault="00B43C57">
            <w:pPr>
              <w:pStyle w:val="Tabelltext"/>
              <w:tabs>
                <w:tab w:val="decimal" w:pos="415"/>
              </w:tabs>
              <w:rPr>
                <w:snapToGrid w:val="0"/>
                <w:color w:val="000000"/>
                <w:szCs w:val="16"/>
              </w:rPr>
            </w:pPr>
          </w:p>
        </w:tc>
      </w:tr>
      <w:tr w:rsidR="00000000" w:rsidRPr="00F5723F">
        <w:tblPrEx>
          <w:tblCellMar>
            <w:top w:w="0" w:type="dxa"/>
            <w:bottom w:w="0" w:type="dxa"/>
          </w:tblCellMar>
        </w:tblPrEx>
        <w:tc>
          <w:tcPr>
            <w:tcW w:w="3005" w:type="dxa"/>
          </w:tcPr>
          <w:p w:rsidR="00B43C57" w:rsidRPr="00F5723F" w:rsidRDefault="00B43C57">
            <w:pPr>
              <w:pStyle w:val="Tabelltext"/>
              <w:rPr>
                <w:b/>
                <w:szCs w:val="16"/>
              </w:rPr>
            </w:pPr>
            <w:r w:rsidRPr="00F5723F">
              <w:rPr>
                <w:b/>
                <w:szCs w:val="16"/>
              </w:rPr>
              <w:t>individprincipen</w:t>
            </w:r>
          </w:p>
        </w:tc>
        <w:tc>
          <w:tcPr>
            <w:tcW w:w="72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32</w:t>
            </w:r>
          </w:p>
        </w:tc>
        <w:tc>
          <w:tcPr>
            <w:tcW w:w="720" w:type="dxa"/>
            <w:vAlign w:val="bottom"/>
          </w:tcPr>
          <w:p w:rsidR="00B43C57" w:rsidRPr="00F5723F" w:rsidRDefault="00B43C57">
            <w:pPr>
              <w:pStyle w:val="Tabelltext"/>
              <w:tabs>
                <w:tab w:val="decimal" w:pos="415"/>
              </w:tabs>
              <w:rPr>
                <w:b/>
                <w:szCs w:val="16"/>
              </w:rPr>
            </w:pPr>
            <w:r w:rsidRPr="00F5723F">
              <w:rPr>
                <w:b/>
                <w:szCs w:val="16"/>
              </w:rPr>
              <w:t>33</w:t>
            </w:r>
          </w:p>
        </w:tc>
        <w:tc>
          <w:tcPr>
            <w:tcW w:w="72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40</w:t>
            </w:r>
          </w:p>
        </w:tc>
        <w:tc>
          <w:tcPr>
            <w:tcW w:w="90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48</w:t>
            </w:r>
          </w:p>
        </w:tc>
      </w:tr>
      <w:tr w:rsidR="00000000" w:rsidRPr="00F5723F">
        <w:tblPrEx>
          <w:tblCellMar>
            <w:top w:w="0" w:type="dxa"/>
            <w:bottom w:w="0" w:type="dxa"/>
          </w:tblCellMar>
        </w:tblPrEx>
        <w:tc>
          <w:tcPr>
            <w:tcW w:w="3005" w:type="dxa"/>
          </w:tcPr>
          <w:p w:rsidR="00B43C57" w:rsidRPr="00F5723F" w:rsidRDefault="00B43C57">
            <w:pPr>
              <w:pStyle w:val="Tabelltext"/>
              <w:ind w:firstLine="190"/>
              <w:rPr>
                <w:szCs w:val="16"/>
              </w:rPr>
            </w:pPr>
            <w:r w:rsidRPr="00F5723F">
              <w:rPr>
                <w:szCs w:val="16"/>
              </w:rPr>
              <w:t>egen åsikt, part</w:t>
            </w:r>
            <w:r w:rsidRPr="00F5723F">
              <w:rPr>
                <w:szCs w:val="16"/>
              </w:rPr>
              <w:t>i</w:t>
            </w:r>
            <w:r w:rsidRPr="00F5723F">
              <w:rPr>
                <w:szCs w:val="16"/>
              </w:rPr>
              <w:t>linjen, väljarnas åsikt</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21</w:t>
            </w:r>
          </w:p>
        </w:tc>
        <w:tc>
          <w:tcPr>
            <w:tcW w:w="720" w:type="dxa"/>
            <w:vAlign w:val="bottom"/>
          </w:tcPr>
          <w:p w:rsidR="00B43C57" w:rsidRPr="00F5723F" w:rsidRDefault="00B43C57">
            <w:pPr>
              <w:pStyle w:val="Tabelltext"/>
              <w:tabs>
                <w:tab w:val="decimal" w:pos="415"/>
              </w:tabs>
              <w:rPr>
                <w:szCs w:val="16"/>
              </w:rPr>
            </w:pPr>
            <w:r w:rsidRPr="00F5723F">
              <w:rPr>
                <w:szCs w:val="16"/>
              </w:rPr>
              <w:t>20</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22</w:t>
            </w:r>
          </w:p>
        </w:tc>
        <w:tc>
          <w:tcPr>
            <w:tcW w:w="90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23</w:t>
            </w:r>
          </w:p>
        </w:tc>
      </w:tr>
      <w:tr w:rsidR="00000000" w:rsidRPr="00F5723F">
        <w:tblPrEx>
          <w:tblCellMar>
            <w:top w:w="0" w:type="dxa"/>
            <w:bottom w:w="0" w:type="dxa"/>
          </w:tblCellMar>
        </w:tblPrEx>
        <w:tc>
          <w:tcPr>
            <w:tcW w:w="3005" w:type="dxa"/>
          </w:tcPr>
          <w:p w:rsidR="00B43C57" w:rsidRPr="00F5723F" w:rsidRDefault="00B43C57">
            <w:pPr>
              <w:pStyle w:val="Tabelltext"/>
              <w:ind w:firstLine="190"/>
              <w:rPr>
                <w:szCs w:val="16"/>
              </w:rPr>
            </w:pPr>
            <w:r w:rsidRPr="00F5723F">
              <w:rPr>
                <w:szCs w:val="16"/>
              </w:rPr>
              <w:t>egen åsikt, väljarnas åsikt, partili</w:t>
            </w:r>
            <w:r w:rsidRPr="00F5723F">
              <w:rPr>
                <w:szCs w:val="16"/>
              </w:rPr>
              <w:t>n</w:t>
            </w:r>
            <w:r w:rsidRPr="00F5723F">
              <w:rPr>
                <w:szCs w:val="16"/>
              </w:rPr>
              <w:t>jen</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11</w:t>
            </w:r>
          </w:p>
        </w:tc>
        <w:tc>
          <w:tcPr>
            <w:tcW w:w="720" w:type="dxa"/>
            <w:vAlign w:val="bottom"/>
          </w:tcPr>
          <w:p w:rsidR="00B43C57" w:rsidRPr="00F5723F" w:rsidRDefault="00B43C57">
            <w:pPr>
              <w:pStyle w:val="Tabelltext"/>
              <w:tabs>
                <w:tab w:val="decimal" w:pos="415"/>
              </w:tabs>
              <w:rPr>
                <w:szCs w:val="16"/>
              </w:rPr>
            </w:pPr>
            <w:r w:rsidRPr="00F5723F">
              <w:rPr>
                <w:szCs w:val="16"/>
              </w:rPr>
              <w:t>13</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18</w:t>
            </w:r>
          </w:p>
        </w:tc>
        <w:tc>
          <w:tcPr>
            <w:tcW w:w="90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25</w:t>
            </w:r>
          </w:p>
        </w:tc>
      </w:tr>
      <w:tr w:rsidR="00000000" w:rsidRPr="00F5723F">
        <w:tblPrEx>
          <w:tblCellMar>
            <w:top w:w="0" w:type="dxa"/>
            <w:bottom w:w="0" w:type="dxa"/>
          </w:tblCellMar>
        </w:tblPrEx>
        <w:tc>
          <w:tcPr>
            <w:tcW w:w="3005" w:type="dxa"/>
          </w:tcPr>
          <w:p w:rsidR="00B43C57" w:rsidRPr="00F5723F" w:rsidRDefault="00B43C57">
            <w:pPr>
              <w:pStyle w:val="Tabelltext"/>
              <w:rPr>
                <w:szCs w:val="16"/>
              </w:rPr>
            </w:pPr>
          </w:p>
        </w:tc>
        <w:tc>
          <w:tcPr>
            <w:tcW w:w="720" w:type="dxa"/>
          </w:tcPr>
          <w:p w:rsidR="00B43C57" w:rsidRPr="00F5723F" w:rsidRDefault="00B43C57">
            <w:pPr>
              <w:pStyle w:val="Tabelltext"/>
              <w:tabs>
                <w:tab w:val="decimal" w:pos="415"/>
              </w:tabs>
              <w:rPr>
                <w:snapToGrid w:val="0"/>
                <w:color w:val="000000"/>
                <w:szCs w:val="16"/>
              </w:rPr>
            </w:pPr>
          </w:p>
        </w:tc>
        <w:tc>
          <w:tcPr>
            <w:tcW w:w="720" w:type="dxa"/>
            <w:vAlign w:val="bottom"/>
          </w:tcPr>
          <w:p w:rsidR="00B43C57" w:rsidRPr="00F5723F" w:rsidRDefault="00B43C57">
            <w:pPr>
              <w:pStyle w:val="Tabelltext"/>
              <w:tabs>
                <w:tab w:val="decimal" w:pos="415"/>
              </w:tabs>
              <w:rPr>
                <w:szCs w:val="16"/>
              </w:rPr>
            </w:pPr>
          </w:p>
        </w:tc>
        <w:tc>
          <w:tcPr>
            <w:tcW w:w="720" w:type="dxa"/>
          </w:tcPr>
          <w:p w:rsidR="00B43C57" w:rsidRPr="00F5723F" w:rsidRDefault="00B43C57">
            <w:pPr>
              <w:pStyle w:val="Tabelltext"/>
              <w:tabs>
                <w:tab w:val="decimal" w:pos="415"/>
              </w:tabs>
              <w:rPr>
                <w:snapToGrid w:val="0"/>
                <w:color w:val="000000"/>
                <w:szCs w:val="16"/>
              </w:rPr>
            </w:pPr>
          </w:p>
        </w:tc>
        <w:tc>
          <w:tcPr>
            <w:tcW w:w="900" w:type="dxa"/>
          </w:tcPr>
          <w:p w:rsidR="00B43C57" w:rsidRPr="00F5723F" w:rsidRDefault="00B43C57">
            <w:pPr>
              <w:pStyle w:val="Tabelltext"/>
              <w:tabs>
                <w:tab w:val="decimal" w:pos="415"/>
              </w:tabs>
              <w:rPr>
                <w:snapToGrid w:val="0"/>
                <w:color w:val="000000"/>
                <w:szCs w:val="16"/>
              </w:rPr>
            </w:pPr>
          </w:p>
        </w:tc>
      </w:tr>
      <w:tr w:rsidR="00000000" w:rsidRPr="00F5723F">
        <w:tblPrEx>
          <w:tblCellMar>
            <w:top w:w="0" w:type="dxa"/>
            <w:bottom w:w="0" w:type="dxa"/>
          </w:tblCellMar>
        </w:tblPrEx>
        <w:tc>
          <w:tcPr>
            <w:tcW w:w="3005" w:type="dxa"/>
          </w:tcPr>
          <w:p w:rsidR="00B43C57" w:rsidRPr="00F5723F" w:rsidRDefault="00B43C57">
            <w:pPr>
              <w:pStyle w:val="Tabelltext"/>
              <w:rPr>
                <w:b/>
                <w:szCs w:val="16"/>
              </w:rPr>
            </w:pPr>
            <w:r w:rsidRPr="00F5723F">
              <w:rPr>
                <w:b/>
                <w:szCs w:val="16"/>
              </w:rPr>
              <w:t>väljarprincipen</w:t>
            </w:r>
          </w:p>
        </w:tc>
        <w:tc>
          <w:tcPr>
            <w:tcW w:w="72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14</w:t>
            </w:r>
          </w:p>
        </w:tc>
        <w:tc>
          <w:tcPr>
            <w:tcW w:w="720" w:type="dxa"/>
            <w:vAlign w:val="bottom"/>
          </w:tcPr>
          <w:p w:rsidR="00B43C57" w:rsidRPr="00F5723F" w:rsidRDefault="00B43C57">
            <w:pPr>
              <w:pStyle w:val="Tabelltext"/>
              <w:tabs>
                <w:tab w:val="decimal" w:pos="415"/>
              </w:tabs>
              <w:rPr>
                <w:b/>
                <w:szCs w:val="16"/>
              </w:rPr>
            </w:pPr>
            <w:r w:rsidRPr="00F5723F">
              <w:rPr>
                <w:b/>
                <w:szCs w:val="16"/>
              </w:rPr>
              <w:t>17</w:t>
            </w:r>
          </w:p>
        </w:tc>
        <w:tc>
          <w:tcPr>
            <w:tcW w:w="72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12</w:t>
            </w:r>
          </w:p>
        </w:tc>
        <w:tc>
          <w:tcPr>
            <w:tcW w:w="900" w:type="dxa"/>
          </w:tcPr>
          <w:p w:rsidR="00B43C57" w:rsidRPr="00F5723F" w:rsidRDefault="00B43C57">
            <w:pPr>
              <w:pStyle w:val="Tabelltext"/>
              <w:tabs>
                <w:tab w:val="decimal" w:pos="415"/>
              </w:tabs>
              <w:rPr>
                <w:b/>
                <w:snapToGrid w:val="0"/>
                <w:color w:val="000000"/>
                <w:szCs w:val="16"/>
              </w:rPr>
            </w:pPr>
            <w:r w:rsidRPr="00F5723F">
              <w:rPr>
                <w:b/>
                <w:snapToGrid w:val="0"/>
                <w:color w:val="000000"/>
                <w:szCs w:val="16"/>
              </w:rPr>
              <w:t>10</w:t>
            </w:r>
          </w:p>
        </w:tc>
      </w:tr>
      <w:tr w:rsidR="00000000" w:rsidRPr="00F5723F">
        <w:tblPrEx>
          <w:tblCellMar>
            <w:top w:w="0" w:type="dxa"/>
            <w:bottom w:w="0" w:type="dxa"/>
          </w:tblCellMar>
        </w:tblPrEx>
        <w:tc>
          <w:tcPr>
            <w:tcW w:w="3005" w:type="dxa"/>
          </w:tcPr>
          <w:p w:rsidR="00B43C57" w:rsidRPr="00F5723F" w:rsidRDefault="00B43C57">
            <w:pPr>
              <w:pStyle w:val="Tabelltext"/>
              <w:ind w:firstLine="190"/>
              <w:rPr>
                <w:szCs w:val="16"/>
              </w:rPr>
            </w:pPr>
            <w:r w:rsidRPr="00F5723F">
              <w:rPr>
                <w:szCs w:val="16"/>
              </w:rPr>
              <w:t>väljarnas åsikt, partilinjen, egen åsikt</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9</w:t>
            </w:r>
          </w:p>
        </w:tc>
        <w:tc>
          <w:tcPr>
            <w:tcW w:w="720" w:type="dxa"/>
            <w:vAlign w:val="bottom"/>
          </w:tcPr>
          <w:p w:rsidR="00B43C57" w:rsidRPr="00F5723F" w:rsidRDefault="00B43C57">
            <w:pPr>
              <w:pStyle w:val="Tabelltext"/>
              <w:tabs>
                <w:tab w:val="decimal" w:pos="415"/>
              </w:tabs>
              <w:rPr>
                <w:szCs w:val="16"/>
              </w:rPr>
            </w:pPr>
            <w:r w:rsidRPr="00F5723F">
              <w:rPr>
                <w:szCs w:val="16"/>
              </w:rPr>
              <w:t>10</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6</w:t>
            </w:r>
          </w:p>
        </w:tc>
        <w:tc>
          <w:tcPr>
            <w:tcW w:w="90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5</w:t>
            </w:r>
          </w:p>
        </w:tc>
      </w:tr>
      <w:tr w:rsidR="00000000" w:rsidRPr="00F5723F">
        <w:tblPrEx>
          <w:tblCellMar>
            <w:top w:w="0" w:type="dxa"/>
            <w:bottom w:w="0" w:type="dxa"/>
          </w:tblCellMar>
        </w:tblPrEx>
        <w:tc>
          <w:tcPr>
            <w:tcW w:w="3005" w:type="dxa"/>
          </w:tcPr>
          <w:p w:rsidR="00B43C57" w:rsidRPr="00F5723F" w:rsidRDefault="00B43C57">
            <w:pPr>
              <w:pStyle w:val="Tabelltext"/>
              <w:ind w:firstLine="190"/>
              <w:rPr>
                <w:szCs w:val="16"/>
              </w:rPr>
            </w:pPr>
            <w:r w:rsidRPr="00F5723F">
              <w:rPr>
                <w:szCs w:val="16"/>
              </w:rPr>
              <w:t>väljarnas åsikt, egen åsikt, part</w:t>
            </w:r>
            <w:r w:rsidRPr="00F5723F">
              <w:rPr>
                <w:szCs w:val="16"/>
              </w:rPr>
              <w:t>i</w:t>
            </w:r>
            <w:r w:rsidRPr="00F5723F">
              <w:rPr>
                <w:szCs w:val="16"/>
              </w:rPr>
              <w:t>linjen</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5</w:t>
            </w:r>
          </w:p>
        </w:tc>
        <w:tc>
          <w:tcPr>
            <w:tcW w:w="720" w:type="dxa"/>
            <w:vAlign w:val="bottom"/>
          </w:tcPr>
          <w:p w:rsidR="00B43C57" w:rsidRPr="00F5723F" w:rsidRDefault="00B43C57">
            <w:pPr>
              <w:pStyle w:val="Tabelltext"/>
              <w:tabs>
                <w:tab w:val="decimal" w:pos="415"/>
              </w:tabs>
              <w:rPr>
                <w:szCs w:val="16"/>
              </w:rPr>
            </w:pPr>
            <w:r w:rsidRPr="00F5723F">
              <w:rPr>
                <w:szCs w:val="16"/>
              </w:rPr>
              <w:t>7</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6</w:t>
            </w:r>
          </w:p>
        </w:tc>
        <w:tc>
          <w:tcPr>
            <w:tcW w:w="90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5</w:t>
            </w:r>
          </w:p>
        </w:tc>
      </w:tr>
      <w:tr w:rsidR="00000000" w:rsidRPr="00F5723F">
        <w:tblPrEx>
          <w:tblCellMar>
            <w:top w:w="0" w:type="dxa"/>
            <w:bottom w:w="0" w:type="dxa"/>
          </w:tblCellMar>
        </w:tblPrEx>
        <w:tc>
          <w:tcPr>
            <w:tcW w:w="3005" w:type="dxa"/>
          </w:tcPr>
          <w:p w:rsidR="00B43C57" w:rsidRPr="00F5723F" w:rsidRDefault="00B43C57">
            <w:pPr>
              <w:pStyle w:val="Tabelltext"/>
              <w:rPr>
                <w:szCs w:val="16"/>
              </w:rPr>
            </w:pPr>
          </w:p>
        </w:tc>
        <w:tc>
          <w:tcPr>
            <w:tcW w:w="720" w:type="dxa"/>
          </w:tcPr>
          <w:p w:rsidR="00B43C57" w:rsidRPr="00F5723F" w:rsidRDefault="00B43C57">
            <w:pPr>
              <w:pStyle w:val="Tabelltext"/>
              <w:tabs>
                <w:tab w:val="decimal" w:pos="415"/>
              </w:tabs>
              <w:rPr>
                <w:snapToGrid w:val="0"/>
                <w:color w:val="000000"/>
                <w:szCs w:val="16"/>
              </w:rPr>
            </w:pPr>
          </w:p>
        </w:tc>
        <w:tc>
          <w:tcPr>
            <w:tcW w:w="720" w:type="dxa"/>
            <w:vAlign w:val="bottom"/>
          </w:tcPr>
          <w:p w:rsidR="00B43C57" w:rsidRPr="00F5723F" w:rsidRDefault="00B43C57">
            <w:pPr>
              <w:pStyle w:val="Tabelltext"/>
              <w:tabs>
                <w:tab w:val="decimal" w:pos="415"/>
              </w:tabs>
              <w:rPr>
                <w:szCs w:val="16"/>
              </w:rPr>
            </w:pPr>
          </w:p>
        </w:tc>
        <w:tc>
          <w:tcPr>
            <w:tcW w:w="720" w:type="dxa"/>
          </w:tcPr>
          <w:p w:rsidR="00B43C57" w:rsidRPr="00F5723F" w:rsidRDefault="00B43C57">
            <w:pPr>
              <w:pStyle w:val="Tabelltext"/>
              <w:tabs>
                <w:tab w:val="decimal" w:pos="415"/>
              </w:tabs>
              <w:rPr>
                <w:snapToGrid w:val="0"/>
                <w:color w:val="000000"/>
                <w:szCs w:val="16"/>
              </w:rPr>
            </w:pPr>
          </w:p>
        </w:tc>
        <w:tc>
          <w:tcPr>
            <w:tcW w:w="900" w:type="dxa"/>
          </w:tcPr>
          <w:p w:rsidR="00B43C57" w:rsidRPr="00F5723F" w:rsidRDefault="00B43C57">
            <w:pPr>
              <w:pStyle w:val="Tabelltext"/>
              <w:tabs>
                <w:tab w:val="decimal" w:pos="415"/>
              </w:tabs>
              <w:rPr>
                <w:snapToGrid w:val="0"/>
                <w:color w:val="000000"/>
                <w:szCs w:val="16"/>
              </w:rPr>
            </w:pPr>
          </w:p>
        </w:tc>
      </w:tr>
      <w:tr w:rsidR="00000000" w:rsidRPr="00F5723F">
        <w:tblPrEx>
          <w:tblCellMar>
            <w:top w:w="0" w:type="dxa"/>
            <w:bottom w:w="0" w:type="dxa"/>
          </w:tblCellMar>
        </w:tblPrEx>
        <w:tc>
          <w:tcPr>
            <w:tcW w:w="3005" w:type="dxa"/>
          </w:tcPr>
          <w:p w:rsidR="00B43C57" w:rsidRPr="00F5723F" w:rsidRDefault="00B43C57">
            <w:pPr>
              <w:pStyle w:val="Tabelltext"/>
              <w:rPr>
                <w:szCs w:val="16"/>
              </w:rPr>
            </w:pPr>
            <w:r w:rsidRPr="00F5723F">
              <w:rPr>
                <w:szCs w:val="16"/>
              </w:rPr>
              <w:t>intransitiva svarsmönster</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7</w:t>
            </w:r>
          </w:p>
        </w:tc>
        <w:tc>
          <w:tcPr>
            <w:tcW w:w="720" w:type="dxa"/>
            <w:vAlign w:val="bottom"/>
          </w:tcPr>
          <w:p w:rsidR="00B43C57" w:rsidRPr="00F5723F" w:rsidRDefault="00B43C57">
            <w:pPr>
              <w:pStyle w:val="Tabelltext"/>
              <w:tabs>
                <w:tab w:val="decimal" w:pos="415"/>
              </w:tabs>
              <w:rPr>
                <w:szCs w:val="16"/>
              </w:rPr>
            </w:pPr>
            <w:r w:rsidRPr="00F5723F">
              <w:rPr>
                <w:szCs w:val="16"/>
              </w:rPr>
              <w:t>6</w:t>
            </w:r>
          </w:p>
        </w:tc>
        <w:tc>
          <w:tcPr>
            <w:tcW w:w="72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6</w:t>
            </w:r>
          </w:p>
        </w:tc>
        <w:tc>
          <w:tcPr>
            <w:tcW w:w="900" w:type="dxa"/>
          </w:tcPr>
          <w:p w:rsidR="00B43C57" w:rsidRPr="00F5723F" w:rsidRDefault="00B43C57">
            <w:pPr>
              <w:pStyle w:val="Tabelltext"/>
              <w:tabs>
                <w:tab w:val="decimal" w:pos="415"/>
              </w:tabs>
              <w:rPr>
                <w:snapToGrid w:val="0"/>
                <w:color w:val="000000"/>
                <w:szCs w:val="16"/>
              </w:rPr>
            </w:pPr>
            <w:r w:rsidRPr="00F5723F">
              <w:rPr>
                <w:snapToGrid w:val="0"/>
                <w:color w:val="000000"/>
                <w:szCs w:val="16"/>
              </w:rPr>
              <w:t>6</w:t>
            </w:r>
          </w:p>
        </w:tc>
      </w:tr>
      <w:tr w:rsidR="00000000" w:rsidRPr="00F5723F">
        <w:tblPrEx>
          <w:tblCellMar>
            <w:top w:w="0" w:type="dxa"/>
            <w:bottom w:w="0" w:type="dxa"/>
          </w:tblCellMar>
        </w:tblPrEx>
        <w:tc>
          <w:tcPr>
            <w:tcW w:w="3005" w:type="dxa"/>
            <w:tcBorders>
              <w:bottom w:val="single" w:sz="4" w:space="0" w:color="auto"/>
            </w:tcBorders>
          </w:tcPr>
          <w:p w:rsidR="00B43C57" w:rsidRPr="00F5723F" w:rsidRDefault="00B43C57">
            <w:pPr>
              <w:pStyle w:val="Tabelltext"/>
              <w:rPr>
                <w:szCs w:val="16"/>
              </w:rPr>
            </w:pPr>
          </w:p>
        </w:tc>
        <w:tc>
          <w:tcPr>
            <w:tcW w:w="720" w:type="dxa"/>
            <w:tcBorders>
              <w:bottom w:val="single" w:sz="4" w:space="0" w:color="auto"/>
            </w:tcBorders>
          </w:tcPr>
          <w:p w:rsidR="00B43C57" w:rsidRPr="00F5723F" w:rsidRDefault="00B43C57">
            <w:pPr>
              <w:pStyle w:val="Tabelltext"/>
              <w:tabs>
                <w:tab w:val="decimal" w:pos="415"/>
              </w:tabs>
              <w:rPr>
                <w:snapToGrid w:val="0"/>
                <w:color w:val="000000"/>
                <w:szCs w:val="16"/>
              </w:rPr>
            </w:pPr>
          </w:p>
        </w:tc>
        <w:tc>
          <w:tcPr>
            <w:tcW w:w="720" w:type="dxa"/>
            <w:tcBorders>
              <w:bottom w:val="single" w:sz="4" w:space="0" w:color="auto"/>
            </w:tcBorders>
          </w:tcPr>
          <w:p w:rsidR="00B43C57" w:rsidRPr="00F5723F" w:rsidRDefault="00B43C57">
            <w:pPr>
              <w:pStyle w:val="Tabelltext"/>
              <w:tabs>
                <w:tab w:val="decimal" w:pos="415"/>
              </w:tabs>
              <w:rPr>
                <w:snapToGrid w:val="0"/>
                <w:color w:val="000000"/>
                <w:szCs w:val="16"/>
              </w:rPr>
            </w:pPr>
          </w:p>
        </w:tc>
        <w:tc>
          <w:tcPr>
            <w:tcW w:w="720" w:type="dxa"/>
            <w:tcBorders>
              <w:bottom w:val="single" w:sz="4" w:space="0" w:color="auto"/>
            </w:tcBorders>
          </w:tcPr>
          <w:p w:rsidR="00B43C57" w:rsidRPr="00F5723F" w:rsidRDefault="00B43C57">
            <w:pPr>
              <w:pStyle w:val="Tabelltext"/>
              <w:tabs>
                <w:tab w:val="decimal" w:pos="415"/>
              </w:tabs>
              <w:rPr>
                <w:snapToGrid w:val="0"/>
                <w:color w:val="000000"/>
                <w:szCs w:val="16"/>
              </w:rPr>
            </w:pPr>
          </w:p>
        </w:tc>
        <w:tc>
          <w:tcPr>
            <w:tcW w:w="900" w:type="dxa"/>
            <w:tcBorders>
              <w:bottom w:val="single" w:sz="4" w:space="0" w:color="auto"/>
            </w:tcBorders>
          </w:tcPr>
          <w:p w:rsidR="00B43C57" w:rsidRPr="00F5723F" w:rsidRDefault="00B43C57">
            <w:pPr>
              <w:pStyle w:val="Tabelltext"/>
              <w:tabs>
                <w:tab w:val="decimal" w:pos="415"/>
              </w:tabs>
              <w:rPr>
                <w:snapToGrid w:val="0"/>
                <w:color w:val="000000"/>
                <w:szCs w:val="16"/>
              </w:rPr>
            </w:pPr>
          </w:p>
        </w:tc>
      </w:tr>
      <w:tr w:rsidR="00000000" w:rsidRPr="00F5723F">
        <w:tblPrEx>
          <w:tblCellMar>
            <w:top w:w="0" w:type="dxa"/>
            <w:bottom w:w="0" w:type="dxa"/>
          </w:tblCellMar>
        </w:tblPrEx>
        <w:tc>
          <w:tcPr>
            <w:tcW w:w="3005" w:type="dxa"/>
            <w:tcBorders>
              <w:top w:val="single" w:sz="4" w:space="0" w:color="auto"/>
            </w:tcBorders>
          </w:tcPr>
          <w:p w:rsidR="00B43C57" w:rsidRPr="00F5723F" w:rsidRDefault="00B43C57">
            <w:pPr>
              <w:pStyle w:val="Tabelltext"/>
              <w:rPr>
                <w:szCs w:val="16"/>
              </w:rPr>
            </w:pPr>
            <w:r w:rsidRPr="00F5723F">
              <w:rPr>
                <w:szCs w:val="16"/>
              </w:rPr>
              <w:t>summa procent</w:t>
            </w:r>
          </w:p>
        </w:tc>
        <w:tc>
          <w:tcPr>
            <w:tcW w:w="720" w:type="dxa"/>
            <w:tcBorders>
              <w:top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100</w:t>
            </w:r>
          </w:p>
        </w:tc>
        <w:tc>
          <w:tcPr>
            <w:tcW w:w="720" w:type="dxa"/>
            <w:tcBorders>
              <w:top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100</w:t>
            </w:r>
          </w:p>
        </w:tc>
        <w:tc>
          <w:tcPr>
            <w:tcW w:w="720" w:type="dxa"/>
            <w:tcBorders>
              <w:top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100</w:t>
            </w:r>
          </w:p>
        </w:tc>
        <w:tc>
          <w:tcPr>
            <w:tcW w:w="900" w:type="dxa"/>
            <w:tcBorders>
              <w:top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100</w:t>
            </w:r>
          </w:p>
        </w:tc>
      </w:tr>
      <w:tr w:rsidR="00000000" w:rsidRPr="00F5723F">
        <w:tblPrEx>
          <w:tblCellMar>
            <w:top w:w="0" w:type="dxa"/>
            <w:bottom w:w="0" w:type="dxa"/>
          </w:tblCellMar>
        </w:tblPrEx>
        <w:tc>
          <w:tcPr>
            <w:tcW w:w="3005" w:type="dxa"/>
            <w:tcBorders>
              <w:bottom w:val="single" w:sz="4" w:space="0" w:color="auto"/>
            </w:tcBorders>
          </w:tcPr>
          <w:p w:rsidR="00B43C57" w:rsidRPr="00F5723F" w:rsidRDefault="00B43C57">
            <w:pPr>
              <w:pStyle w:val="Tabelltext"/>
              <w:rPr>
                <w:szCs w:val="16"/>
              </w:rPr>
            </w:pPr>
            <w:r w:rsidRPr="00F5723F">
              <w:rPr>
                <w:szCs w:val="16"/>
              </w:rPr>
              <w:t>antal personer</w:t>
            </w:r>
          </w:p>
        </w:tc>
        <w:tc>
          <w:tcPr>
            <w:tcW w:w="720" w:type="dxa"/>
            <w:tcBorders>
              <w:bottom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240</w:t>
            </w:r>
          </w:p>
        </w:tc>
        <w:tc>
          <w:tcPr>
            <w:tcW w:w="720" w:type="dxa"/>
            <w:tcBorders>
              <w:bottom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210</w:t>
            </w:r>
          </w:p>
        </w:tc>
        <w:tc>
          <w:tcPr>
            <w:tcW w:w="720" w:type="dxa"/>
            <w:tcBorders>
              <w:bottom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213</w:t>
            </w:r>
          </w:p>
        </w:tc>
        <w:tc>
          <w:tcPr>
            <w:tcW w:w="900" w:type="dxa"/>
            <w:tcBorders>
              <w:bottom w:val="single" w:sz="4" w:space="0" w:color="auto"/>
            </w:tcBorders>
          </w:tcPr>
          <w:p w:rsidR="00B43C57" w:rsidRPr="00F5723F" w:rsidRDefault="00B43C57">
            <w:pPr>
              <w:pStyle w:val="Tabelltext"/>
              <w:tabs>
                <w:tab w:val="decimal" w:pos="415"/>
              </w:tabs>
              <w:rPr>
                <w:snapToGrid w:val="0"/>
                <w:color w:val="000000"/>
                <w:szCs w:val="16"/>
              </w:rPr>
            </w:pPr>
            <w:r w:rsidRPr="00F5723F">
              <w:rPr>
                <w:snapToGrid w:val="0"/>
                <w:color w:val="000000"/>
                <w:szCs w:val="16"/>
              </w:rPr>
              <w:t>246</w:t>
            </w:r>
          </w:p>
        </w:tc>
      </w:tr>
    </w:tbl>
    <w:p w:rsidR="00B43C57" w:rsidRPr="00F5723F" w:rsidRDefault="00B43C57">
      <w:pPr>
        <w:spacing w:line="240" w:lineRule="auto"/>
        <w:ind w:right="-32"/>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w:t>
      </w:r>
      <w:r w:rsidRPr="00F5723F">
        <w:rPr>
          <w:rFonts w:ascii="Arial" w:hAnsi="Arial" w:cs="Arial"/>
          <w:sz w:val="16"/>
          <w:szCs w:val="16"/>
        </w:rPr>
        <w:t>Resultaten bygger på de ledamöter som besvarade samtliga tre lojal</w:t>
      </w:r>
      <w:r w:rsidRPr="00F5723F">
        <w:rPr>
          <w:rFonts w:ascii="Arial" w:hAnsi="Arial" w:cs="Arial"/>
          <w:sz w:val="16"/>
          <w:szCs w:val="16"/>
        </w:rPr>
        <w:t>i</w:t>
      </w:r>
      <w:r w:rsidRPr="00F5723F">
        <w:rPr>
          <w:rFonts w:ascii="Arial" w:hAnsi="Arial" w:cs="Arial"/>
          <w:sz w:val="16"/>
          <w:szCs w:val="16"/>
        </w:rPr>
        <w:t>tetskonfliktfrågor i respektive undersökning. Rangordningarna har fastställts g</w:t>
      </w:r>
      <w:r w:rsidRPr="00F5723F">
        <w:rPr>
          <w:rFonts w:ascii="Arial" w:hAnsi="Arial" w:cs="Arial"/>
          <w:sz w:val="16"/>
          <w:szCs w:val="16"/>
        </w:rPr>
        <w:t>e</w:t>
      </w:r>
      <w:r w:rsidRPr="00F5723F">
        <w:rPr>
          <w:rFonts w:ascii="Arial" w:hAnsi="Arial" w:cs="Arial"/>
          <w:sz w:val="16"/>
          <w:szCs w:val="16"/>
        </w:rPr>
        <w:t>nom att undersöka hur ledamöterna besvarade samtliga tre frågor. Intransitiva svar</w:t>
      </w:r>
      <w:r w:rsidRPr="00F5723F">
        <w:rPr>
          <w:rFonts w:ascii="Arial" w:hAnsi="Arial" w:cs="Arial"/>
          <w:sz w:val="16"/>
          <w:szCs w:val="16"/>
        </w:rPr>
        <w:t>s</w:t>
      </w:r>
      <w:r w:rsidRPr="00F5723F">
        <w:rPr>
          <w:rFonts w:ascii="Arial" w:hAnsi="Arial" w:cs="Arial"/>
          <w:sz w:val="16"/>
          <w:szCs w:val="16"/>
        </w:rPr>
        <w:t>mönster är sådana där svarsmöjligheterna (parti, individ, väljare) ”besegrar” va</w:t>
      </w:r>
      <w:r w:rsidRPr="00F5723F">
        <w:rPr>
          <w:rFonts w:ascii="Arial" w:hAnsi="Arial" w:cs="Arial"/>
          <w:sz w:val="16"/>
          <w:szCs w:val="16"/>
        </w:rPr>
        <w:t>r</w:t>
      </w:r>
      <w:r w:rsidRPr="00F5723F">
        <w:rPr>
          <w:rFonts w:ascii="Arial" w:hAnsi="Arial" w:cs="Arial"/>
          <w:sz w:val="16"/>
          <w:szCs w:val="16"/>
        </w:rPr>
        <w:t>andra i en cirkel. Resultaten är hämtade från Valforskningsprogrammets riksdag</w:t>
      </w:r>
      <w:r w:rsidRPr="00F5723F">
        <w:rPr>
          <w:rFonts w:ascii="Arial" w:hAnsi="Arial" w:cs="Arial"/>
          <w:sz w:val="16"/>
          <w:szCs w:val="16"/>
        </w:rPr>
        <w:t>s</w:t>
      </w:r>
      <w:r w:rsidRPr="00F5723F">
        <w:rPr>
          <w:rFonts w:ascii="Arial" w:hAnsi="Arial" w:cs="Arial"/>
          <w:sz w:val="16"/>
          <w:szCs w:val="16"/>
        </w:rPr>
        <w:t xml:space="preserve">undersökningar 1985, 1988, 19998 och 2002. </w:t>
      </w:r>
    </w:p>
    <w:p w:rsidR="00B43C57" w:rsidRPr="00F5723F" w:rsidRDefault="00B43C57"/>
    <w:p w:rsidR="00B43C57" w:rsidRPr="00F5723F" w:rsidRDefault="00B43C57">
      <w:r w:rsidRPr="00F5723F">
        <w:t>Partiets ståndpunkt har varit den dominerande represent</w:t>
      </w:r>
      <w:r w:rsidRPr="00F5723F">
        <w:t>a</w:t>
      </w:r>
      <w:r w:rsidRPr="00F5723F">
        <w:t>tionsprincipen bland riksdagsledamöterna i de tidigare unde</w:t>
      </w:r>
      <w:r w:rsidRPr="00F5723F">
        <w:t>r</w:t>
      </w:r>
      <w:r w:rsidRPr="00F5723F">
        <w:t>sökningarna även om partiets ställning som representationso</w:t>
      </w:r>
      <w:r w:rsidRPr="00F5723F">
        <w:t>b</w:t>
      </w:r>
      <w:r w:rsidRPr="00F5723F">
        <w:t>jekt successivt har försvagats. I 1985 års undersökning var det 47 procent som satte partiprincipen framför individpri</w:t>
      </w:r>
      <w:r w:rsidRPr="00F5723F">
        <w:t>n</w:t>
      </w:r>
      <w:r w:rsidRPr="00F5723F">
        <w:t>cipen, medan 32 procent gjorde tvärtom (övervikt +15). Motsvarande procen</w:t>
      </w:r>
      <w:r w:rsidRPr="00F5723F">
        <w:t>t</w:t>
      </w:r>
      <w:r w:rsidRPr="00F5723F">
        <w:t>andelar var 44 procent mot 33 (+8) 1988, 42 pr</w:t>
      </w:r>
      <w:r w:rsidRPr="00F5723F">
        <w:t>o</w:t>
      </w:r>
      <w:r w:rsidRPr="00F5723F">
        <w:t>cent mot 40 (+2) 1998 och 36 procent mot 48 (–12) 2002. Partiets ställning gentemot den egna va</w:t>
      </w:r>
      <w:r w:rsidRPr="00F5723F">
        <w:t>l</w:t>
      </w:r>
      <w:r w:rsidRPr="00F5723F">
        <w:t>kretsen är däremot fortsatt stark, även om det även här</w:t>
      </w:r>
      <w:r w:rsidRPr="00F5723F">
        <w:t xml:space="preserve"> har skett en försvagning (+33 1985, +27 1988, +30 1998 och +26 2002). När det till slut gäller lojalitet</w:t>
      </w:r>
      <w:r w:rsidRPr="00F5723F">
        <w:t>s</w:t>
      </w:r>
      <w:r w:rsidRPr="00F5723F">
        <w:t>konflikten mellan den egna ståndpunkten och valkretsens väljare har ind</w:t>
      </w:r>
      <w:r w:rsidRPr="00F5723F">
        <w:t>i</w:t>
      </w:r>
      <w:r w:rsidRPr="00F5723F">
        <w:t>vidprincipen successivt stärkt sin ställning bland riksdagsledamöterna – från en övervikt på +18 1985 och +16 1988 till +28 1988 och +38 2002.</w:t>
      </w:r>
      <w:r w:rsidRPr="00F5723F">
        <w:rPr>
          <w:rStyle w:val="Fotnotsreferens"/>
        </w:rPr>
        <w:footnoteReference w:id="149"/>
      </w:r>
    </w:p>
    <w:p w:rsidR="00B43C57" w:rsidRPr="00F5723F" w:rsidRDefault="00B43C57">
      <w:pPr>
        <w:pStyle w:val="Rubrik3"/>
        <w:rPr>
          <w:noProof w:val="0"/>
        </w:rPr>
      </w:pPr>
      <w:bookmarkStart w:id="310" w:name="_Toc124697886"/>
      <w:r w:rsidRPr="00F5723F">
        <w:rPr>
          <w:noProof w:val="0"/>
        </w:rPr>
        <w:t>Riksdagsledamöternas representationsideologier i förändring</w:t>
      </w:r>
      <w:bookmarkEnd w:id="310"/>
    </w:p>
    <w:p w:rsidR="00B43C57" w:rsidRPr="00F5723F" w:rsidRDefault="00B43C57">
      <w:r w:rsidRPr="00F5723F">
        <w:t>Det är ingen lätt uppgift att sammanfatta resultaten när det gäller riksdagsl</w:t>
      </w:r>
      <w:r w:rsidRPr="00F5723F">
        <w:t>e</w:t>
      </w:r>
      <w:r w:rsidRPr="00F5723F">
        <w:t>damöternas syn på vad som är god represent</w:t>
      </w:r>
      <w:r w:rsidRPr="00F5723F">
        <w:t>a</w:t>
      </w:r>
      <w:r w:rsidRPr="00F5723F">
        <w:t>tion. Det faktum att resultaten i de olika tabellerna pekar i olika riktning – valkretsens väljare är viktigast i tabell 1, partiets politik är viktigast i tabell 2 och den egna uppfattningen är viktigast i tabellerna 3 och 4 – skulle ju vid första påseendet kunna tolkas som att många riksdagsledamöter saknar en genomtänkt representationside</w:t>
      </w:r>
      <w:r w:rsidRPr="00F5723F">
        <w:t>o</w:t>
      </w:r>
      <w:r w:rsidRPr="00F5723F">
        <w:t>logi och därför har svårt att besvara de olika frågorna.</w:t>
      </w:r>
    </w:p>
    <w:p w:rsidR="00B43C57" w:rsidRPr="00F5723F" w:rsidRDefault="00B43C57">
      <w:pPr>
        <w:pStyle w:val="Normaltindrag"/>
      </w:pPr>
      <w:r w:rsidRPr="00F5723F">
        <w:t>En tolkning som innebär ett försök att foga samman dessa olika resu</w:t>
      </w:r>
      <w:r w:rsidRPr="00F5723F">
        <w:t>ltat till en för riksdagsledamöterna genomtänkt helhet skulle kunna vara att ledam</w:t>
      </w:r>
      <w:r w:rsidRPr="00F5723F">
        <w:t>ö</w:t>
      </w:r>
      <w:r w:rsidRPr="00F5723F">
        <w:t>terna initialt och fram till och med diskussionerna i riksdagsgrupperna med partikamrater från andra valkretsar uppfattar sig som valkretsrepresentanter (tabell 1). När det så småningom blir dags för konkret beslutsfattande i ka</w:t>
      </w:r>
      <w:r w:rsidRPr="00F5723F">
        <w:t>m</w:t>
      </w:r>
      <w:r w:rsidRPr="00F5723F">
        <w:t>maren handlar det i de allra flesta fall om att förlita sig på den arbetsförde</w:t>
      </w:r>
      <w:r w:rsidRPr="00F5723F">
        <w:t>l</w:t>
      </w:r>
      <w:r w:rsidRPr="00F5723F">
        <w:t>ning som sker i riksdagen och sluta upp kring det egna partiets pol</w:t>
      </w:r>
      <w:r w:rsidRPr="00F5723F">
        <w:t>i</w:t>
      </w:r>
      <w:r w:rsidRPr="00F5723F">
        <w:t>tik som utformats i de olika utskotten (tabell 2). Oc</w:t>
      </w:r>
      <w:r w:rsidRPr="00F5723F">
        <w:t>h i de få fall det finns en ko</w:t>
      </w:r>
      <w:r w:rsidRPr="00F5723F">
        <w:t>n</w:t>
      </w:r>
      <w:r w:rsidRPr="00F5723F">
        <w:t>flikt mellan den egna uppfattningen och partiets ståndpunkt – i till exempel frågor med religiöst eller moraliskt innehåll – sätts ofta den personliga öve</w:t>
      </w:r>
      <w:r w:rsidRPr="00F5723F">
        <w:t>r</w:t>
      </w:r>
      <w:r w:rsidRPr="00F5723F">
        <w:t>tygelsen främst (tabellerna 3 och 4).</w:t>
      </w:r>
    </w:p>
    <w:p w:rsidR="00B43C57" w:rsidRPr="00F5723F" w:rsidRDefault="00B43C57">
      <w:pPr>
        <w:pStyle w:val="Normaltindrag"/>
      </w:pPr>
      <w:r w:rsidRPr="00F5723F">
        <w:t>Den måhända viktigaste slutsatsen utifrån den här redovi</w:t>
      </w:r>
      <w:r w:rsidRPr="00F5723F">
        <w:t>s</w:t>
      </w:r>
      <w:r w:rsidRPr="00F5723F">
        <w:t>ningen är dock det faktum att partiets starka ställning i riksdagsledamöternas representation</w:t>
      </w:r>
      <w:r w:rsidRPr="00F5723F">
        <w:t>s</w:t>
      </w:r>
      <w:r w:rsidRPr="00F5723F">
        <w:t>ideologier kan vara på väg att luckras upp: Det är idag viktigare att represe</w:t>
      </w:r>
      <w:r w:rsidRPr="00F5723F">
        <w:t>n</w:t>
      </w:r>
      <w:r w:rsidRPr="00F5723F">
        <w:t>tera valkretsens väljare än att representera det egna partiets väljare (tabell 1). Det är visserligen fortfarande viktigare att representera partiets politik än att representera regionens och valkretsens åsikter och intressen, men den skilln</w:t>
      </w:r>
      <w:r w:rsidRPr="00F5723F">
        <w:t>a</w:t>
      </w:r>
      <w:r w:rsidRPr="00F5723F">
        <w:t>den är idag något mindre än den var på 1980-talet (tabell 2). Den stora fö</w:t>
      </w:r>
      <w:r w:rsidRPr="00F5723F">
        <w:t>r</w:t>
      </w:r>
      <w:r w:rsidRPr="00F5723F">
        <w:t xml:space="preserve">ändringen gäller dock </w:t>
      </w:r>
      <w:r w:rsidRPr="00F5723F">
        <w:t>representationens principer där 1980-tales riksdagsl</w:t>
      </w:r>
      <w:r w:rsidRPr="00F5723F">
        <w:t>e</w:t>
      </w:r>
      <w:r w:rsidRPr="00F5723F">
        <w:t>damöter satte partiprincipen klart före individprincipen men där 2000-tales riksdagsledamöter gör tvärtom. Förändringen kan möjligen sättas i samband med införandet av personröstning i riksdagsvalet 1998 och de därigenom alltfler riksdagsledamöter som upplever att de sitter på personliga mandat.</w:t>
      </w:r>
    </w:p>
    <w:p w:rsidR="00B43C57" w:rsidRPr="00F5723F" w:rsidRDefault="00B43C57">
      <w:pPr>
        <w:pStyle w:val="Normaltindrag"/>
      </w:pPr>
      <w:r w:rsidRPr="00F5723F">
        <w:t>Om den utvecklingen skulle fortsätta – och partiets politik allt oftare får stå tillbaka för valkretsens intressen och riksdagsledamöternas egna uppfattnin</w:t>
      </w:r>
      <w:r w:rsidRPr="00F5723F">
        <w:t>g</w:t>
      </w:r>
      <w:r w:rsidRPr="00F5723F">
        <w:t>ar – kommer det att bli svårare att förutse utfallet av beslutsfattandet i riksd</w:t>
      </w:r>
      <w:r w:rsidRPr="00F5723F">
        <w:t>a</w:t>
      </w:r>
      <w:r w:rsidRPr="00F5723F">
        <w:t>gen. Och med en större sådan osäkerhet blir det sannolikt svårare att hålla sa</w:t>
      </w:r>
      <w:r w:rsidRPr="00F5723F">
        <w:t>m</w:t>
      </w:r>
      <w:r w:rsidRPr="00F5723F">
        <w:t>man olika typer av regeringssamarbeten och att bedriva en kontinuerlig och effektiv regeringspolitik. I den positiva vå</w:t>
      </w:r>
      <w:r w:rsidRPr="00F5723F">
        <w:t>g</w:t>
      </w:r>
      <w:r w:rsidRPr="00F5723F">
        <w:t>skålen skulle samtidigt kunna läggas en eventuellt större närhet mellan väljare och valda i de enskilda va</w:t>
      </w:r>
      <w:r w:rsidRPr="00F5723F">
        <w:t>l</w:t>
      </w:r>
      <w:r w:rsidRPr="00F5723F">
        <w:t>kretsarna som på sikt skulle kunna leda till ett större medborgerligt förtroende för politiker och politiska institutioner.</w:t>
      </w:r>
    </w:p>
    <w:p w:rsidR="00B43C57" w:rsidRPr="00F5723F" w:rsidRDefault="00B43C57">
      <w:pPr>
        <w:pStyle w:val="Rubrik2"/>
      </w:pPr>
      <w:bookmarkStart w:id="311" w:name="_Toc124697887"/>
      <w:r w:rsidRPr="00F5723F">
        <w:t>Riksdagsledamöternas mellanvalskontakter</w:t>
      </w:r>
      <w:bookmarkEnd w:id="311"/>
    </w:p>
    <w:p w:rsidR="00B43C57" w:rsidRPr="00F5723F" w:rsidRDefault="00B43C57">
      <w:r w:rsidRPr="00F5723F">
        <w:t xml:space="preserve">Utvecklade </w:t>
      </w:r>
      <w:r w:rsidRPr="00F5723F">
        <w:t xml:space="preserve">kontakter mellan väljare och valda </w:t>
      </w:r>
      <w:r w:rsidRPr="00F5723F">
        <w:t xml:space="preserve">är </w:t>
      </w:r>
      <w:r w:rsidRPr="00F5723F">
        <w:t xml:space="preserve">en förutsättning för </w:t>
      </w:r>
      <w:r w:rsidRPr="00F5723F">
        <w:t>en väl fungerande mellanvals</w:t>
      </w:r>
      <w:r w:rsidRPr="00F5723F">
        <w:t xml:space="preserve">demokrati. </w:t>
      </w:r>
      <w:r w:rsidRPr="00F5723F">
        <w:t>Efter genomgången av riksdagsledamöte</w:t>
      </w:r>
      <w:r w:rsidRPr="00F5723F">
        <w:t>r</w:t>
      </w:r>
      <w:r w:rsidRPr="00F5723F">
        <w:t xml:space="preserve">nas uppfattningar om den goda representationen har det därför blivit dags att ge en bild av ledamöternas </w:t>
      </w:r>
      <w:r w:rsidRPr="00F5723F">
        <w:rPr>
          <w:i/>
        </w:rPr>
        <w:t>faktiska</w:t>
      </w:r>
      <w:r w:rsidRPr="00F5723F">
        <w:t xml:space="preserve"> kontakter med medborgare under mella</w:t>
      </w:r>
      <w:r w:rsidRPr="00F5723F">
        <w:t>n</w:t>
      </w:r>
      <w:r w:rsidRPr="00F5723F">
        <w:t xml:space="preserve">valsperioden. Det här avsnittet handlar om </w:t>
      </w:r>
      <w:r w:rsidRPr="00F5723F">
        <w:rPr>
          <w:i/>
        </w:rPr>
        <w:t>hur ofta</w:t>
      </w:r>
      <w:r w:rsidRPr="00F5723F">
        <w:t xml:space="preserve"> ledamöterna har kontakt med olika grupper i och utanför valkretsen medan nästföljande avsitt behan</w:t>
      </w:r>
      <w:r w:rsidRPr="00F5723F">
        <w:t>d</w:t>
      </w:r>
      <w:r w:rsidRPr="00F5723F">
        <w:t xml:space="preserve">lar </w:t>
      </w:r>
      <w:r w:rsidRPr="00F5723F">
        <w:rPr>
          <w:i/>
        </w:rPr>
        <w:t>innehållet</w:t>
      </w:r>
      <w:r w:rsidRPr="00F5723F">
        <w:t xml:space="preserve"> i kontakterna. </w:t>
      </w:r>
    </w:p>
    <w:p w:rsidR="00B43C57" w:rsidRPr="00F5723F" w:rsidRDefault="00B43C57">
      <w:pPr>
        <w:pStyle w:val="Normaltindrag"/>
      </w:pPr>
      <w:r w:rsidRPr="00F5723F">
        <w:t>Till vårt förfogande finns, liksom tidigare</w:t>
      </w:r>
      <w:r w:rsidRPr="00F5723F">
        <w:t xml:space="preserve"> i kapitlet, </w:t>
      </w:r>
      <w:r w:rsidRPr="00F5723F">
        <w:t>ett</w:t>
      </w:r>
      <w:r w:rsidRPr="00F5723F">
        <w:t xml:space="preserve"> omfattande </w:t>
      </w:r>
      <w:r w:rsidRPr="00F5723F">
        <w:t>enkä</w:t>
      </w:r>
      <w:r w:rsidRPr="00F5723F">
        <w:t>t</w:t>
      </w:r>
      <w:r w:rsidRPr="00F5723F">
        <w:t xml:space="preserve">material. </w:t>
      </w:r>
      <w:r w:rsidRPr="00F5723F">
        <w:t>T</w:t>
      </w:r>
      <w:r w:rsidRPr="00F5723F">
        <w:t xml:space="preserve">rots </w:t>
      </w:r>
      <w:r w:rsidRPr="00F5723F">
        <w:t>fråge</w:t>
      </w:r>
      <w:r w:rsidRPr="00F5723F">
        <w:t>undersökning</w:t>
      </w:r>
      <w:r w:rsidRPr="00F5723F">
        <w:t>steknikens</w:t>
      </w:r>
      <w:r w:rsidRPr="00F5723F">
        <w:t xml:space="preserve"> många fördelar </w:t>
      </w:r>
      <w:r w:rsidRPr="00F5723F">
        <w:t xml:space="preserve">finns det dock </w:t>
      </w:r>
      <w:r w:rsidRPr="00F5723F">
        <w:t xml:space="preserve">problem </w:t>
      </w:r>
      <w:r w:rsidRPr="00F5723F">
        <w:t>med att dra slu</w:t>
      </w:r>
      <w:r w:rsidRPr="00F5723F">
        <w:t>t</w:t>
      </w:r>
      <w:r w:rsidRPr="00F5723F">
        <w:t>satser om</w:t>
      </w:r>
      <w:r w:rsidRPr="00F5723F">
        <w:t xml:space="preserve"> </w:t>
      </w:r>
      <w:r w:rsidRPr="00F5723F">
        <w:t>faktiskt beteende</w:t>
      </w:r>
      <w:r w:rsidRPr="00F5723F">
        <w:t xml:space="preserve"> genom </w:t>
      </w:r>
      <w:r w:rsidRPr="00F5723F">
        <w:t xml:space="preserve">att förlita sig på vad </w:t>
      </w:r>
      <w:r w:rsidRPr="00F5723F">
        <w:t xml:space="preserve">svarspersonerna själva </w:t>
      </w:r>
      <w:r w:rsidRPr="00F5723F">
        <w:t>har uppgivit.</w:t>
      </w:r>
      <w:r w:rsidRPr="00F5723F">
        <w:t xml:space="preserve"> Risken finns att </w:t>
      </w:r>
      <w:r w:rsidRPr="00F5723F">
        <w:t xml:space="preserve">riksdagsledamöterna </w:t>
      </w:r>
      <w:r w:rsidRPr="00F5723F">
        <w:t>under</w:t>
      </w:r>
      <w:r w:rsidRPr="00F5723F">
        <w:t>skattar</w:t>
      </w:r>
      <w:r w:rsidRPr="00F5723F">
        <w:t xml:space="preserve"> eller</w:t>
      </w:r>
      <w:r w:rsidRPr="00F5723F">
        <w:t xml:space="preserve">, i det här fallet, snarare </w:t>
      </w:r>
      <w:r w:rsidRPr="00F5723F">
        <w:t>överskattar sina kontakter.</w:t>
      </w:r>
      <w:r w:rsidRPr="00F5723F">
        <w:rPr>
          <w:rStyle w:val="Fotnotsreferens"/>
          <w:szCs w:val="24"/>
        </w:rPr>
        <w:footnoteReference w:id="150"/>
      </w:r>
      <w:r w:rsidRPr="00F5723F">
        <w:t xml:space="preserve"> Des</w:t>
      </w:r>
      <w:r w:rsidRPr="00F5723F">
        <w:t>s</w:t>
      </w:r>
      <w:r w:rsidRPr="00F5723F">
        <w:t>utom kan ledamöterna</w:t>
      </w:r>
      <w:r w:rsidRPr="00F5723F">
        <w:t xml:space="preserve"> ha svårt att </w:t>
      </w:r>
      <w:r w:rsidRPr="00F5723F">
        <w:t xml:space="preserve">minnas och i </w:t>
      </w:r>
      <w:r w:rsidRPr="00F5723F">
        <w:t>efterhand g</w:t>
      </w:r>
      <w:r w:rsidRPr="00F5723F">
        <w:t>e</w:t>
      </w:r>
      <w:r w:rsidRPr="00F5723F">
        <w:t xml:space="preserve"> en </w:t>
      </w:r>
      <w:r w:rsidRPr="00F5723F">
        <w:t>korrekt bild</w:t>
      </w:r>
      <w:r w:rsidRPr="00F5723F">
        <w:t xml:space="preserve"> av de egna kontakterna</w:t>
      </w:r>
      <w:r w:rsidRPr="00F5723F">
        <w:t xml:space="preserve"> med medborgare. </w:t>
      </w:r>
      <w:r w:rsidRPr="00F5723F">
        <w:t xml:space="preserve">Det finns </w:t>
      </w:r>
      <w:r w:rsidRPr="00F5723F">
        <w:t xml:space="preserve">med andra ord </w:t>
      </w:r>
      <w:r w:rsidRPr="00F5723F">
        <w:t xml:space="preserve">anledning att </w:t>
      </w:r>
      <w:r w:rsidRPr="00F5723F">
        <w:t xml:space="preserve">vara </w:t>
      </w:r>
      <w:r w:rsidRPr="00F5723F">
        <w:t xml:space="preserve">försiktig </w:t>
      </w:r>
      <w:r w:rsidRPr="00F5723F">
        <w:t xml:space="preserve">och visa medvetenhet </w:t>
      </w:r>
      <w:r w:rsidRPr="00F5723F">
        <w:t xml:space="preserve">om </w:t>
      </w:r>
      <w:r w:rsidRPr="00F5723F">
        <w:t xml:space="preserve">eventuella </w:t>
      </w:r>
      <w:r w:rsidRPr="00F5723F">
        <w:t>problem med över</w:t>
      </w:r>
      <w:r w:rsidRPr="00F5723F">
        <w:t>- och</w:t>
      </w:r>
      <w:r w:rsidRPr="00F5723F">
        <w:t xml:space="preserve"> underskattning. </w:t>
      </w:r>
      <w:r w:rsidRPr="00F5723F">
        <w:t>Samtidigt mildras dock den typen av problem genom att vi i den kommande redovisningen inte sätter fokus på de absoluta kontaktnivåe</w:t>
      </w:r>
      <w:r w:rsidRPr="00F5723F">
        <w:t>r</w:t>
      </w:r>
      <w:r w:rsidRPr="00F5723F">
        <w:t xml:space="preserve">na utan istället på jämförelser över tid, mellan riksdagsledamöter från olika partier och med avseende på kontakter med olika grupper </w:t>
      </w:r>
      <w:r w:rsidRPr="00F5723F">
        <w:t>av medborg</w:t>
      </w:r>
      <w:r w:rsidRPr="00F5723F">
        <w:t>a</w:t>
      </w:r>
      <w:r w:rsidRPr="00F5723F">
        <w:t>re.</w:t>
      </w:r>
      <w:r w:rsidRPr="00F5723F">
        <w:rPr>
          <w:rStyle w:val="Fotnotsreferens"/>
          <w:szCs w:val="24"/>
        </w:rPr>
        <w:footnoteReference w:id="151"/>
      </w:r>
      <w:r w:rsidRPr="00F5723F">
        <w:t xml:space="preserve"> </w:t>
      </w:r>
    </w:p>
    <w:p w:rsidR="00B43C57" w:rsidRPr="00F5723F" w:rsidRDefault="00B43C57">
      <w:pPr>
        <w:pStyle w:val="Normaltindrag"/>
      </w:pPr>
      <w:r w:rsidRPr="00F5723F">
        <w:t>Vi har haft möjlighet att använda både Riksdagskommitténs enkätunde</w:t>
      </w:r>
      <w:r w:rsidRPr="00F5723F">
        <w:t>r</w:t>
      </w:r>
      <w:r w:rsidRPr="00F5723F">
        <w:t>sökning från 2004 och Valforskningsprogrammets riksdagsstudier 1985 och 2002 för att kartlägga riksdagsledamöternas mellanvalskontakter med me</w:t>
      </w:r>
      <w:r w:rsidRPr="00F5723F">
        <w:t>d</w:t>
      </w:r>
      <w:r w:rsidRPr="00F5723F">
        <w:t>borgarna. I den förstnämnda studien ingick en fråga med följande formul</w:t>
      </w:r>
      <w:r w:rsidRPr="00F5723F">
        <w:t>e</w:t>
      </w:r>
      <w:r w:rsidRPr="00F5723F">
        <w:t>ring:</w:t>
      </w:r>
      <w:r w:rsidRPr="00F5723F">
        <w:t xml:space="preserve"> ”Om Du ser till det senaste året, hur ofta har Du haft kontakt med ne</w:t>
      </w:r>
      <w:r w:rsidRPr="00F5723F">
        <w:t>d</w:t>
      </w:r>
      <w:r w:rsidRPr="00F5723F">
        <w:t xml:space="preserve">anstående väljargrupper i Ditt arbete som riksdagsledamot?” </w:t>
      </w:r>
      <w:r w:rsidRPr="00F5723F">
        <w:t>L</w:t>
      </w:r>
      <w:r w:rsidRPr="00F5723F">
        <w:t xml:space="preserve">edamöterna </w:t>
      </w:r>
      <w:r w:rsidRPr="00F5723F">
        <w:t>fick därefter</w:t>
      </w:r>
      <w:r w:rsidRPr="00F5723F">
        <w:t xml:space="preserve"> bedöma vikten av att hålla kontakter med ”väljare utanför </w:t>
      </w:r>
      <w:r w:rsidRPr="00F5723F">
        <w:t>d</w:t>
      </w:r>
      <w:r w:rsidRPr="00F5723F">
        <w:t xml:space="preserve">in valkrets”, ”väljare i </w:t>
      </w:r>
      <w:r w:rsidRPr="00F5723F">
        <w:t>d</w:t>
      </w:r>
      <w:r w:rsidRPr="00F5723F">
        <w:t xml:space="preserve">in valkrets”, ”det egna partiets väljare utanför </w:t>
      </w:r>
      <w:r w:rsidRPr="00F5723F">
        <w:t>d</w:t>
      </w:r>
      <w:r w:rsidRPr="00F5723F">
        <w:t>in va</w:t>
      </w:r>
      <w:r w:rsidRPr="00F5723F">
        <w:t>l</w:t>
      </w:r>
      <w:r w:rsidRPr="00F5723F">
        <w:t xml:space="preserve">krets” och ”det egna partiets väljare i </w:t>
      </w:r>
      <w:r w:rsidRPr="00F5723F">
        <w:t>s</w:t>
      </w:r>
      <w:r w:rsidRPr="00F5723F">
        <w:t>in valkrets”. Svarsalternativen var ”dagligen”, ”någon gång per vecka”, ”några gånger per månad”, ”några gån</w:t>
      </w:r>
      <w:r w:rsidRPr="00F5723F">
        <w:t>g</w:t>
      </w:r>
      <w:r w:rsidRPr="00F5723F">
        <w:t>er per år” och ”mera sällan”.</w:t>
      </w:r>
      <w:r w:rsidRPr="00F5723F">
        <w:t xml:space="preserve"> Frågetekniken är identisk med den som anvä</w:t>
      </w:r>
      <w:r w:rsidRPr="00F5723F">
        <w:t>n</w:t>
      </w:r>
      <w:r w:rsidRPr="00F5723F">
        <w:t>des vid riksdagsledamöternas bedömningar av hur viktigt det är att represe</w:t>
      </w:r>
      <w:r w:rsidRPr="00F5723F">
        <w:t>n</w:t>
      </w:r>
      <w:r w:rsidRPr="00F5723F">
        <w:t>tera olika väljargrupper (se tabell 1), vilket gör det möjligt att jämföra vikti</w:t>
      </w:r>
      <w:r w:rsidRPr="00F5723F">
        <w:t>g</w:t>
      </w:r>
      <w:r w:rsidRPr="00F5723F">
        <w:t>hetsbedömningar och faktiska kontakter. I tabell 5 redovisas andelen ledam</w:t>
      </w:r>
      <w:r w:rsidRPr="00F5723F">
        <w:t>ö</w:t>
      </w:r>
      <w:r w:rsidRPr="00F5723F">
        <w:t>ter som uppgivit att de under det senaste året ”dag</w:t>
      </w:r>
      <w:r w:rsidRPr="00F5723F">
        <w:t>ligen” haft kontakt med respektive grupp.</w:t>
      </w:r>
    </w:p>
    <w:p w:rsidR="00B43C57" w:rsidRPr="00F5723F" w:rsidRDefault="00B43C57">
      <w:pPr>
        <w:spacing w:line="240" w:lineRule="auto"/>
      </w:pPr>
    </w:p>
    <w:p w:rsidR="00B43C57" w:rsidRPr="00F5723F" w:rsidRDefault="00B43C57">
      <w:pPr>
        <w:pStyle w:val="Tabellrubrik"/>
        <w:tabs>
          <w:tab w:val="left" w:pos="855"/>
        </w:tabs>
        <w:ind w:left="855" w:hanging="855"/>
      </w:pPr>
      <w:r w:rsidRPr="00F5723F">
        <w:t xml:space="preserve">Tabell 5 </w:t>
      </w:r>
      <w:r w:rsidRPr="00F5723F">
        <w:tab/>
      </w:r>
      <w:r w:rsidRPr="00F5723F">
        <w:t>Riksdagsledamöternas kontakter med olika väljargru</w:t>
      </w:r>
      <w:r w:rsidRPr="00F5723F">
        <w:t>p</w:t>
      </w:r>
      <w:r w:rsidRPr="00F5723F">
        <w:t>per 2004. Andel ledamöter som uppgivit att de dagligen har kontakt med respekt</w:t>
      </w:r>
      <w:r w:rsidRPr="00F5723F">
        <w:t>i</w:t>
      </w:r>
      <w:r w:rsidRPr="00F5723F">
        <w:t xml:space="preserve">ve grupp (procent). </w:t>
      </w:r>
    </w:p>
    <w:p w:rsidR="00B43C57" w:rsidRPr="00F5723F" w:rsidRDefault="00B43C57"/>
    <w:tbl>
      <w:tblPr>
        <w:tblW w:w="5000" w:type="pct"/>
        <w:tblCellMar>
          <w:left w:w="70" w:type="dxa"/>
          <w:right w:w="70" w:type="dxa"/>
        </w:tblCellMar>
        <w:tblLook w:val="00AF" w:firstRow="1" w:lastRow="0" w:firstColumn="1" w:lastColumn="0" w:noHBand="0" w:noVBand="0"/>
      </w:tblPr>
      <w:tblGrid>
        <w:gridCol w:w="1349"/>
        <w:gridCol w:w="1206"/>
        <w:gridCol w:w="1670"/>
        <w:gridCol w:w="1728"/>
      </w:tblGrid>
      <w:tr w:rsidR="00000000" w:rsidRPr="00F5723F">
        <w:tblPrEx>
          <w:tblCellMar>
            <w:top w:w="0" w:type="dxa"/>
            <w:bottom w:w="0" w:type="dxa"/>
          </w:tblCellMar>
        </w:tblPrEx>
        <w:tc>
          <w:tcPr>
            <w:tcW w:w="1132" w:type="pct"/>
          </w:tcPr>
          <w:p w:rsidR="00B43C57" w:rsidRPr="00F5723F" w:rsidRDefault="00B43C57">
            <w:pPr>
              <w:pStyle w:val="Tabelltext"/>
              <w:jc w:val="right"/>
            </w:pPr>
          </w:p>
        </w:tc>
        <w:tc>
          <w:tcPr>
            <w:tcW w:w="1013" w:type="pct"/>
            <w:tcBorders>
              <w:bottom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v</w:t>
            </w:r>
            <w:r w:rsidRPr="00F5723F">
              <w:t>äljare</w:t>
            </w:r>
          </w:p>
        </w:tc>
        <w:tc>
          <w:tcPr>
            <w:tcW w:w="1403" w:type="pct"/>
            <w:tcBorders>
              <w:bottom w:val="single" w:sz="4" w:space="0" w:color="auto"/>
            </w:tcBorders>
          </w:tcPr>
          <w:p w:rsidR="00B43C57" w:rsidRPr="00F5723F" w:rsidRDefault="00B43C57">
            <w:pPr>
              <w:pStyle w:val="Tabelltext"/>
              <w:jc w:val="center"/>
            </w:pPr>
            <w:r w:rsidRPr="00F5723F">
              <w:t>d</w:t>
            </w:r>
            <w:r w:rsidRPr="00F5723F">
              <w:t xml:space="preserve">et egna </w:t>
            </w:r>
          </w:p>
          <w:p w:rsidR="00B43C57" w:rsidRPr="00F5723F" w:rsidRDefault="00B43C57">
            <w:pPr>
              <w:pStyle w:val="Tabelltext"/>
              <w:jc w:val="center"/>
            </w:pPr>
            <w:r w:rsidRPr="00F5723F">
              <w:t>partiets väljare</w:t>
            </w:r>
          </w:p>
        </w:tc>
        <w:tc>
          <w:tcPr>
            <w:tcW w:w="1451" w:type="pct"/>
          </w:tcPr>
          <w:p w:rsidR="00B43C57" w:rsidRPr="00F5723F" w:rsidRDefault="00B43C57">
            <w:pPr>
              <w:pStyle w:val="Tabelltext"/>
              <w:pBdr>
                <w:right w:val="single" w:sz="4" w:space="4" w:color="auto"/>
              </w:pBdr>
              <w:jc w:val="center"/>
              <w:rPr>
                <w:i/>
              </w:rPr>
            </w:pPr>
            <w:r w:rsidRPr="00F5723F">
              <w:rPr>
                <w:i/>
              </w:rPr>
              <w:t>effekt av det</w:t>
            </w:r>
          </w:p>
          <w:p w:rsidR="00B43C57" w:rsidRPr="00F5723F" w:rsidRDefault="00B43C57">
            <w:pPr>
              <w:pStyle w:val="Tabelltext"/>
              <w:jc w:val="center"/>
              <w:rPr>
                <w:i/>
              </w:rPr>
            </w:pPr>
            <w:r w:rsidRPr="00F5723F">
              <w:rPr>
                <w:i/>
              </w:rPr>
              <w:t>egna partiet</w:t>
            </w:r>
          </w:p>
        </w:tc>
      </w:tr>
      <w:tr w:rsidR="00000000" w:rsidRPr="00F5723F">
        <w:tblPrEx>
          <w:tblCellMar>
            <w:top w:w="0" w:type="dxa"/>
            <w:bottom w:w="0" w:type="dxa"/>
          </w:tblCellMar>
        </w:tblPrEx>
        <w:tc>
          <w:tcPr>
            <w:tcW w:w="1132" w:type="pct"/>
            <w:tcBorders>
              <w:right w:val="single" w:sz="4" w:space="0" w:color="auto"/>
            </w:tcBorders>
          </w:tcPr>
          <w:p w:rsidR="00B43C57" w:rsidRPr="00F5723F" w:rsidRDefault="00B43C57">
            <w:pPr>
              <w:pStyle w:val="Tabelltext"/>
              <w:jc w:val="right"/>
            </w:pPr>
          </w:p>
          <w:p w:rsidR="00B43C57" w:rsidRPr="00F5723F" w:rsidRDefault="00B43C57">
            <w:pPr>
              <w:pStyle w:val="Tabelltext"/>
              <w:jc w:val="right"/>
            </w:pPr>
            <w:r w:rsidRPr="00F5723F">
              <w:t>u</w:t>
            </w:r>
            <w:r w:rsidRPr="00F5723F">
              <w:t>tanför</w:t>
            </w:r>
          </w:p>
          <w:p w:rsidR="00B43C57" w:rsidRPr="00F5723F" w:rsidRDefault="00B43C57">
            <w:pPr>
              <w:pStyle w:val="Tabelltext"/>
              <w:jc w:val="right"/>
            </w:pPr>
            <w:r w:rsidRPr="00F5723F">
              <w:t>valkretsen</w:t>
            </w:r>
          </w:p>
          <w:p w:rsidR="00B43C57" w:rsidRPr="00F5723F" w:rsidRDefault="00B43C57">
            <w:pPr>
              <w:pStyle w:val="Tabelltext"/>
              <w:jc w:val="right"/>
            </w:pPr>
          </w:p>
        </w:tc>
        <w:tc>
          <w:tcPr>
            <w:tcW w:w="1013"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19</w:t>
            </w:r>
          </w:p>
        </w:tc>
        <w:tc>
          <w:tcPr>
            <w:tcW w:w="1403"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10</w:t>
            </w:r>
          </w:p>
        </w:tc>
        <w:tc>
          <w:tcPr>
            <w:tcW w:w="1451" w:type="pct"/>
            <w:tcBorders>
              <w:left w:val="single" w:sz="4" w:space="0" w:color="auto"/>
            </w:tcBorders>
          </w:tcPr>
          <w:p w:rsidR="00B43C57" w:rsidRPr="00F5723F" w:rsidRDefault="00B43C57">
            <w:pPr>
              <w:pStyle w:val="Tabelltext"/>
              <w:jc w:val="center"/>
              <w:rPr>
                <w:i/>
              </w:rPr>
            </w:pPr>
          </w:p>
          <w:p w:rsidR="00B43C57" w:rsidRPr="00F5723F" w:rsidRDefault="00B43C57">
            <w:pPr>
              <w:pStyle w:val="Tabelltext"/>
              <w:jc w:val="center"/>
              <w:rPr>
                <w:i/>
              </w:rPr>
            </w:pPr>
            <w:r w:rsidRPr="00F5723F">
              <w:rPr>
                <w:i/>
              </w:rPr>
              <w:t>–9</w:t>
            </w:r>
          </w:p>
        </w:tc>
      </w:tr>
      <w:tr w:rsidR="00000000" w:rsidRPr="00F5723F">
        <w:tblPrEx>
          <w:tblCellMar>
            <w:top w:w="0" w:type="dxa"/>
            <w:bottom w:w="0" w:type="dxa"/>
          </w:tblCellMar>
        </w:tblPrEx>
        <w:tc>
          <w:tcPr>
            <w:tcW w:w="1132" w:type="pct"/>
            <w:tcBorders>
              <w:right w:val="single" w:sz="4" w:space="0" w:color="auto"/>
            </w:tcBorders>
          </w:tcPr>
          <w:p w:rsidR="00B43C57" w:rsidRPr="00F5723F" w:rsidRDefault="00B43C57">
            <w:pPr>
              <w:pStyle w:val="Tabelltext"/>
              <w:jc w:val="right"/>
            </w:pPr>
          </w:p>
          <w:p w:rsidR="00B43C57" w:rsidRPr="00F5723F" w:rsidRDefault="00B43C57">
            <w:pPr>
              <w:pStyle w:val="Tabelltext"/>
              <w:jc w:val="right"/>
            </w:pPr>
            <w:r w:rsidRPr="00F5723F">
              <w:t>i</w:t>
            </w:r>
            <w:r w:rsidRPr="00F5723F">
              <w:t xml:space="preserve"> </w:t>
            </w:r>
          </w:p>
          <w:p w:rsidR="00B43C57" w:rsidRPr="00F5723F" w:rsidRDefault="00B43C57">
            <w:pPr>
              <w:pStyle w:val="Tabelltext"/>
              <w:jc w:val="right"/>
            </w:pPr>
            <w:r w:rsidRPr="00F5723F">
              <w:t>valkretsen</w:t>
            </w:r>
          </w:p>
          <w:p w:rsidR="00B43C57" w:rsidRPr="00F5723F" w:rsidRDefault="00B43C57">
            <w:pPr>
              <w:pStyle w:val="Tabelltext"/>
              <w:jc w:val="right"/>
            </w:pPr>
          </w:p>
        </w:tc>
        <w:tc>
          <w:tcPr>
            <w:tcW w:w="1013"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26</w:t>
            </w:r>
          </w:p>
        </w:tc>
        <w:tc>
          <w:tcPr>
            <w:tcW w:w="1403" w:type="pct"/>
            <w:tcBorders>
              <w:top w:val="single" w:sz="4" w:space="0" w:color="auto"/>
              <w:left w:val="single" w:sz="4" w:space="0" w:color="auto"/>
              <w:bottom w:val="single" w:sz="4" w:space="0" w:color="auto"/>
              <w:right w:val="single" w:sz="4" w:space="0" w:color="auto"/>
            </w:tcBorders>
          </w:tcPr>
          <w:p w:rsidR="00B43C57" w:rsidRPr="00F5723F" w:rsidRDefault="00B43C57">
            <w:pPr>
              <w:pStyle w:val="Tabelltext"/>
              <w:jc w:val="center"/>
            </w:pPr>
          </w:p>
          <w:p w:rsidR="00B43C57" w:rsidRPr="00F5723F" w:rsidRDefault="00B43C57">
            <w:pPr>
              <w:pStyle w:val="Tabelltext"/>
              <w:jc w:val="center"/>
            </w:pPr>
            <w:r w:rsidRPr="00F5723F">
              <w:t>30</w:t>
            </w:r>
          </w:p>
        </w:tc>
        <w:tc>
          <w:tcPr>
            <w:tcW w:w="1451" w:type="pct"/>
            <w:tcBorders>
              <w:left w:val="single" w:sz="4" w:space="0" w:color="auto"/>
            </w:tcBorders>
          </w:tcPr>
          <w:p w:rsidR="00B43C57" w:rsidRPr="00F5723F" w:rsidRDefault="00B43C57">
            <w:pPr>
              <w:pStyle w:val="Tabelltext"/>
              <w:jc w:val="center"/>
              <w:rPr>
                <w:i/>
              </w:rPr>
            </w:pPr>
          </w:p>
          <w:p w:rsidR="00B43C57" w:rsidRPr="00F5723F" w:rsidRDefault="00B43C57">
            <w:pPr>
              <w:pStyle w:val="Tabelltext"/>
              <w:jc w:val="center"/>
              <w:rPr>
                <w:i/>
              </w:rPr>
            </w:pPr>
            <w:r w:rsidRPr="00F5723F">
              <w:rPr>
                <w:i/>
              </w:rPr>
              <w:t>+4</w:t>
            </w:r>
          </w:p>
        </w:tc>
      </w:tr>
      <w:tr w:rsidR="00000000" w:rsidRPr="00F5723F">
        <w:tblPrEx>
          <w:tblCellMar>
            <w:top w:w="0" w:type="dxa"/>
            <w:bottom w:w="0" w:type="dxa"/>
          </w:tblCellMar>
        </w:tblPrEx>
        <w:tc>
          <w:tcPr>
            <w:tcW w:w="1132" w:type="pct"/>
          </w:tcPr>
          <w:p w:rsidR="00B43C57" w:rsidRPr="00F5723F" w:rsidRDefault="00B43C57">
            <w:pPr>
              <w:pStyle w:val="Tabelltext"/>
              <w:jc w:val="right"/>
              <w:rPr>
                <w:i/>
              </w:rPr>
            </w:pPr>
          </w:p>
          <w:p w:rsidR="00B43C57" w:rsidRPr="00F5723F" w:rsidRDefault="00B43C57">
            <w:pPr>
              <w:pStyle w:val="Tabelltext"/>
              <w:jc w:val="right"/>
              <w:rPr>
                <w:i/>
              </w:rPr>
            </w:pPr>
            <w:r w:rsidRPr="00F5723F">
              <w:rPr>
                <w:i/>
              </w:rPr>
              <w:t>effekt av valkrets</w:t>
            </w:r>
          </w:p>
        </w:tc>
        <w:tc>
          <w:tcPr>
            <w:tcW w:w="1013" w:type="pct"/>
            <w:tcBorders>
              <w:top w:val="single" w:sz="4" w:space="0" w:color="auto"/>
            </w:tcBorders>
          </w:tcPr>
          <w:p w:rsidR="00B43C57" w:rsidRPr="00F5723F" w:rsidRDefault="00B43C57">
            <w:pPr>
              <w:pStyle w:val="Tabelltext"/>
              <w:jc w:val="center"/>
              <w:rPr>
                <w:i/>
              </w:rPr>
            </w:pPr>
          </w:p>
          <w:p w:rsidR="00B43C57" w:rsidRPr="00F5723F" w:rsidRDefault="00B43C57">
            <w:pPr>
              <w:pStyle w:val="Tabelltext"/>
              <w:jc w:val="center"/>
              <w:rPr>
                <w:i/>
              </w:rPr>
            </w:pPr>
            <w:r w:rsidRPr="00F5723F">
              <w:rPr>
                <w:i/>
              </w:rPr>
              <w:t>+7</w:t>
            </w:r>
          </w:p>
        </w:tc>
        <w:tc>
          <w:tcPr>
            <w:tcW w:w="1403" w:type="pct"/>
            <w:tcBorders>
              <w:top w:val="single" w:sz="4" w:space="0" w:color="auto"/>
            </w:tcBorders>
          </w:tcPr>
          <w:p w:rsidR="00B43C57" w:rsidRPr="00F5723F" w:rsidRDefault="00B43C57">
            <w:pPr>
              <w:pStyle w:val="Tabelltext"/>
              <w:jc w:val="center"/>
              <w:rPr>
                <w:i/>
              </w:rPr>
            </w:pPr>
          </w:p>
          <w:p w:rsidR="00B43C57" w:rsidRPr="00F5723F" w:rsidRDefault="00B43C57">
            <w:pPr>
              <w:pStyle w:val="Tabelltext"/>
              <w:jc w:val="center"/>
              <w:rPr>
                <w:i/>
              </w:rPr>
            </w:pPr>
            <w:r w:rsidRPr="00F5723F">
              <w:rPr>
                <w:i/>
              </w:rPr>
              <w:t>+20</w:t>
            </w:r>
          </w:p>
        </w:tc>
        <w:tc>
          <w:tcPr>
            <w:tcW w:w="1451" w:type="pct"/>
          </w:tcPr>
          <w:p w:rsidR="00B43C57" w:rsidRPr="00F5723F" w:rsidRDefault="00B43C57">
            <w:pPr>
              <w:pStyle w:val="Tabelltext"/>
              <w:jc w:val="center"/>
              <w:rPr>
                <w:i/>
              </w:rPr>
            </w:pPr>
          </w:p>
        </w:tc>
      </w:tr>
    </w:tbl>
    <w:p w:rsidR="00B43C57" w:rsidRPr="00F5723F" w:rsidRDefault="00B43C57"/>
    <w:p w:rsidR="00B43C57" w:rsidRPr="00F5723F" w:rsidRDefault="00B43C57">
      <w:pPr>
        <w:spacing w:before="0" w:line="240" w:lineRule="auto"/>
      </w:pPr>
      <w:r w:rsidRPr="00F5723F">
        <w:rPr>
          <w:rFonts w:ascii="Arial" w:hAnsi="Arial" w:cs="Arial"/>
          <w:b/>
          <w:sz w:val="16"/>
          <w:szCs w:val="16"/>
        </w:rPr>
        <w:t>Kommentar:</w:t>
      </w:r>
      <w:r w:rsidRPr="00F5723F">
        <w:rPr>
          <w:rFonts w:ascii="Arial" w:hAnsi="Arial" w:cs="Arial"/>
          <w:sz w:val="16"/>
          <w:szCs w:val="16"/>
        </w:rPr>
        <w:t xml:space="preserve"> Resultaten är hämtade från Riksdagskommitténs enkätundersökning med 2004 års riksdagsl</w:t>
      </w:r>
      <w:r w:rsidRPr="00F5723F">
        <w:rPr>
          <w:rFonts w:ascii="Arial" w:hAnsi="Arial" w:cs="Arial"/>
          <w:sz w:val="16"/>
          <w:szCs w:val="16"/>
        </w:rPr>
        <w:t>e</w:t>
      </w:r>
      <w:r w:rsidRPr="00F5723F">
        <w:rPr>
          <w:rFonts w:ascii="Arial" w:hAnsi="Arial" w:cs="Arial"/>
          <w:sz w:val="16"/>
          <w:szCs w:val="16"/>
        </w:rPr>
        <w:t>damöter</w:t>
      </w:r>
      <w:r w:rsidRPr="00F5723F">
        <w:rPr>
          <w:sz w:val="20"/>
        </w:rPr>
        <w:t>.</w:t>
      </w:r>
    </w:p>
    <w:p w:rsidR="00B43C57" w:rsidRPr="00F5723F" w:rsidRDefault="00B43C57"/>
    <w:p w:rsidR="00B43C57" w:rsidRPr="00F5723F" w:rsidRDefault="00B43C57">
      <w:r w:rsidRPr="00F5723F">
        <w:t>När riksdagsledamöterna tidigare i kapitlet ombads att bedöma vikten av</w:t>
      </w:r>
      <w:r w:rsidRPr="00F5723F">
        <w:t xml:space="preserve"> att representera </w:t>
      </w:r>
      <w:r w:rsidRPr="00F5723F">
        <w:t xml:space="preserve">de </w:t>
      </w:r>
      <w:r w:rsidRPr="00F5723F">
        <w:t xml:space="preserve">olika </w:t>
      </w:r>
      <w:r w:rsidRPr="00F5723F">
        <w:t>väljar</w:t>
      </w:r>
      <w:r w:rsidRPr="00F5723F">
        <w:t>grupper</w:t>
      </w:r>
      <w:r w:rsidRPr="00F5723F">
        <w:t xml:space="preserve">na visade det sig att både </w:t>
      </w:r>
      <w:r w:rsidRPr="00F5723F">
        <w:t>valkretstillhöri</w:t>
      </w:r>
      <w:r w:rsidRPr="00F5723F">
        <w:t>g</w:t>
      </w:r>
      <w:r w:rsidRPr="00F5723F">
        <w:t>het och partitillhörighet var betydelsefulla faktorer även om valkretsens välj</w:t>
      </w:r>
      <w:r w:rsidRPr="00F5723F">
        <w:t>a</w:t>
      </w:r>
      <w:r w:rsidRPr="00F5723F">
        <w:t xml:space="preserve">re var klart </w:t>
      </w:r>
      <w:r w:rsidRPr="00F5723F">
        <w:t>vikt</w:t>
      </w:r>
      <w:r w:rsidRPr="00F5723F">
        <w:t>i</w:t>
      </w:r>
      <w:r w:rsidRPr="00F5723F">
        <w:t>gare</w:t>
      </w:r>
      <w:r w:rsidRPr="00F5723F">
        <w:t xml:space="preserve"> än det egna partiets väljare</w:t>
      </w:r>
      <w:r w:rsidRPr="00F5723F">
        <w:t xml:space="preserve"> (jfr tabell 1).</w:t>
      </w:r>
    </w:p>
    <w:p w:rsidR="00B43C57" w:rsidRPr="00F5723F" w:rsidRDefault="00B43C57">
      <w:pPr>
        <w:pStyle w:val="Normaltindrag"/>
      </w:pPr>
      <w:r w:rsidRPr="00F5723F">
        <w:t xml:space="preserve">Riksdagsledamöternas </w:t>
      </w:r>
      <w:r w:rsidRPr="00F5723F">
        <w:t xml:space="preserve">faktiska </w:t>
      </w:r>
      <w:r w:rsidRPr="00F5723F">
        <w:t>väljarkontakter i tabell 5 visar på i huvu</w:t>
      </w:r>
      <w:r w:rsidRPr="00F5723F">
        <w:t>d</w:t>
      </w:r>
      <w:r w:rsidRPr="00F5723F">
        <w:t xml:space="preserve">sak samma mönster som de </w:t>
      </w:r>
      <w:r w:rsidRPr="00F5723F">
        <w:t>normativa bedömningar</w:t>
      </w:r>
      <w:r w:rsidRPr="00F5723F">
        <w:t>na även om skillnaderna mellan ledamöternas kontaktfrekvens med olika väljargrupper är betydligt mindre. L</w:t>
      </w:r>
      <w:r w:rsidRPr="00F5723F">
        <w:t>e</w:t>
      </w:r>
      <w:r w:rsidRPr="00F5723F">
        <w:t>damöterna har tätast kontakter med i tur och ordning det egna partiets väljare i valkretsen (30 procent dagligen), väljare i den egna valkre</w:t>
      </w:r>
      <w:r w:rsidRPr="00F5723F">
        <w:t>t</w:t>
      </w:r>
      <w:r w:rsidRPr="00F5723F">
        <w:t>sen (26 procent), väljare utanför valkretsen (19 procent) och det egna partiets väljare utanför valkretsen (10 procent). Den enda skillnaden mellan de fakti</w:t>
      </w:r>
      <w:r w:rsidRPr="00F5723F">
        <w:t>s</w:t>
      </w:r>
      <w:r w:rsidRPr="00F5723F">
        <w:t>ka kontak</w:t>
      </w:r>
      <w:r w:rsidRPr="00F5723F">
        <w:t>terna</w:t>
      </w:r>
      <w:r w:rsidRPr="00F5723F">
        <w:t xml:space="preserve"> </w:t>
      </w:r>
      <w:r w:rsidRPr="00F5723F">
        <w:t>och bedömningarna av vilka väljare som är viktiga att hålla kontakt med gäller väljarna utanför valkretsen där det anses viktigare att hålla kontakt med det egna partiets väljare än med väljare i allmänhet (50 procent mycket viktigt mot 22 i tabell 1) medan de faktiska kontakterna i större u</w:t>
      </w:r>
      <w:r w:rsidRPr="00F5723F">
        <w:t>t</w:t>
      </w:r>
      <w:r w:rsidRPr="00F5723F">
        <w:t>sträckning sker med väljare i allmänhet och inte med det egna partiets välj</w:t>
      </w:r>
      <w:r w:rsidRPr="00F5723F">
        <w:t>a</w:t>
      </w:r>
      <w:r w:rsidRPr="00F5723F">
        <w:t xml:space="preserve">re (19 procent mot 10 med daglig kontakt i tabell 5). </w:t>
      </w:r>
    </w:p>
    <w:p w:rsidR="00B43C57" w:rsidRPr="00F5723F" w:rsidRDefault="00B43C57">
      <w:pPr>
        <w:pStyle w:val="Normaltindrag"/>
      </w:pPr>
      <w:r w:rsidRPr="00F5723F">
        <w:t>Effektmåtten i tabell 5 visar samtidigt att det är hänsynen till valkretsen och in</w:t>
      </w:r>
      <w:r w:rsidRPr="00F5723F">
        <w:t>te till det egna partiet som är viktigast för de faktiska kontakterna: Andelen riksdagsledamöter som rappo</w:t>
      </w:r>
      <w:r w:rsidRPr="00F5723F">
        <w:t>r</w:t>
      </w:r>
      <w:r w:rsidRPr="00F5723F">
        <w:t>terar daglig medborgarkontakt är något högre för väljare i valkretsen än för väljare utanför valkretsen (26–19 = +7) och klart högre för det egna partiets väljare i valkretsen än för det egna partiets väljare utanför valkretsen (30–10 = +20). Motsvara</w:t>
      </w:r>
      <w:r w:rsidRPr="00F5723F">
        <w:t>n</w:t>
      </w:r>
      <w:r w:rsidRPr="00F5723F">
        <w:t xml:space="preserve">de effekter för det egna partiet är endast 30–26 = +4 för väljare i valkretsen och till och med negativ (10–19 = –9) för väljare utanför valkretsen. Den </w:t>
      </w:r>
      <w:r w:rsidRPr="00F5723F">
        <w:t>senare effekten visar med andra ord att riksdagsledamöterna säger sig ha mer daglig kontakt med väljare i allmä</w:t>
      </w:r>
      <w:r w:rsidRPr="00F5723F">
        <w:t>n</w:t>
      </w:r>
      <w:r w:rsidRPr="00F5723F">
        <w:t>het utanför valkretsen än med det egna partiets väljare utanför valkretsen. Ledamöternas mellanval</w:t>
      </w:r>
      <w:r w:rsidRPr="00F5723F">
        <w:t>s</w:t>
      </w:r>
      <w:r w:rsidRPr="00F5723F">
        <w:t>kontakter utanför den egna valkretsen handlar alltså inte om partiaktiviteter i andra delar av landet eller på nationell nivå utan istället om möten med väljare i allmä</w:t>
      </w:r>
      <w:r w:rsidRPr="00F5723F">
        <w:t>n</w:t>
      </w:r>
      <w:r w:rsidRPr="00F5723F">
        <w:t>het.</w:t>
      </w:r>
      <w:r w:rsidRPr="00F5723F">
        <w:rPr>
          <w:rStyle w:val="Fotnotsreferens"/>
        </w:rPr>
        <w:footnoteReference w:id="152"/>
      </w:r>
    </w:p>
    <w:p w:rsidR="00B43C57" w:rsidRPr="00F5723F" w:rsidRDefault="00B43C57">
      <w:pPr>
        <w:pStyle w:val="Normaltindrag"/>
        <w:rPr>
          <w:szCs w:val="24"/>
        </w:rPr>
      </w:pPr>
      <w:r w:rsidRPr="00F5723F">
        <w:rPr>
          <w:szCs w:val="24"/>
        </w:rPr>
        <w:t>Den tidsbudgetstudie</w:t>
      </w:r>
      <w:r w:rsidRPr="00F5723F">
        <w:rPr>
          <w:szCs w:val="24"/>
        </w:rPr>
        <w:t xml:space="preserve"> med riksdagsledamöterna som genomfördes samt</w:t>
      </w:r>
      <w:r w:rsidRPr="00F5723F">
        <w:rPr>
          <w:szCs w:val="24"/>
        </w:rPr>
        <w:t>i</w:t>
      </w:r>
      <w:r w:rsidRPr="00F5723F">
        <w:rPr>
          <w:szCs w:val="24"/>
        </w:rPr>
        <w:t>digt med 2004 års enkätundersökning</w:t>
      </w:r>
      <w:r w:rsidRPr="00F5723F">
        <w:rPr>
          <w:szCs w:val="24"/>
        </w:rPr>
        <w:t xml:space="preserve"> </w:t>
      </w:r>
      <w:r w:rsidRPr="00F5723F">
        <w:rPr>
          <w:szCs w:val="24"/>
        </w:rPr>
        <w:t xml:space="preserve">ger </w:t>
      </w:r>
      <w:r w:rsidRPr="00F5723F">
        <w:rPr>
          <w:szCs w:val="24"/>
        </w:rPr>
        <w:t xml:space="preserve">oss </w:t>
      </w:r>
      <w:r w:rsidRPr="00F5723F">
        <w:rPr>
          <w:szCs w:val="24"/>
        </w:rPr>
        <w:t>m</w:t>
      </w:r>
      <w:r w:rsidRPr="00F5723F">
        <w:rPr>
          <w:szCs w:val="24"/>
        </w:rPr>
        <w:t xml:space="preserve">öjlighet att </w:t>
      </w:r>
      <w:r w:rsidRPr="00F5723F">
        <w:rPr>
          <w:szCs w:val="24"/>
        </w:rPr>
        <w:t xml:space="preserve">även </w:t>
      </w:r>
      <w:r w:rsidRPr="00F5723F">
        <w:rPr>
          <w:szCs w:val="24"/>
        </w:rPr>
        <w:t>studera i</w:t>
      </w:r>
      <w:r w:rsidRPr="00F5723F">
        <w:rPr>
          <w:szCs w:val="24"/>
        </w:rPr>
        <w:t xml:space="preserve"> vilken utsträckning ledamöterna</w:t>
      </w:r>
      <w:r w:rsidRPr="00F5723F">
        <w:rPr>
          <w:szCs w:val="24"/>
        </w:rPr>
        <w:t xml:space="preserve"> </w:t>
      </w:r>
      <w:r w:rsidRPr="00F5723F">
        <w:rPr>
          <w:szCs w:val="24"/>
        </w:rPr>
        <w:t xml:space="preserve">uppger att de </w:t>
      </w:r>
      <w:r w:rsidRPr="00F5723F">
        <w:rPr>
          <w:szCs w:val="24"/>
        </w:rPr>
        <w:t xml:space="preserve">använder sin arbetstid </w:t>
      </w:r>
      <w:r w:rsidRPr="00F5723F">
        <w:rPr>
          <w:szCs w:val="24"/>
        </w:rPr>
        <w:t>till</w:t>
      </w:r>
      <w:r w:rsidRPr="00F5723F">
        <w:rPr>
          <w:szCs w:val="24"/>
        </w:rPr>
        <w:t xml:space="preserve"> ko</w:t>
      </w:r>
      <w:r w:rsidRPr="00F5723F">
        <w:rPr>
          <w:szCs w:val="24"/>
        </w:rPr>
        <w:t>n</w:t>
      </w:r>
      <w:r w:rsidRPr="00F5723F">
        <w:rPr>
          <w:szCs w:val="24"/>
        </w:rPr>
        <w:t xml:space="preserve">takter med </w:t>
      </w:r>
      <w:r w:rsidRPr="00F5723F">
        <w:rPr>
          <w:szCs w:val="24"/>
        </w:rPr>
        <w:t>medborgare</w:t>
      </w:r>
      <w:r w:rsidRPr="00F5723F">
        <w:rPr>
          <w:szCs w:val="24"/>
        </w:rPr>
        <w:t>.</w:t>
      </w:r>
      <w:r w:rsidRPr="00F5723F">
        <w:rPr>
          <w:szCs w:val="24"/>
        </w:rPr>
        <w:t xml:space="preserve"> När vi jämför med motsvarande tidsbudgetstudier från 1985 kan vi konstatera att </w:t>
      </w:r>
      <w:r w:rsidRPr="00F5723F">
        <w:rPr>
          <w:szCs w:val="24"/>
        </w:rPr>
        <w:t>ledamöter</w:t>
      </w:r>
      <w:r w:rsidRPr="00F5723F">
        <w:rPr>
          <w:szCs w:val="24"/>
        </w:rPr>
        <w:t>na</w:t>
      </w:r>
      <w:r w:rsidRPr="00F5723F">
        <w:rPr>
          <w:szCs w:val="24"/>
        </w:rPr>
        <w:t xml:space="preserve"> </w:t>
      </w:r>
      <w:r w:rsidRPr="00F5723F">
        <w:rPr>
          <w:szCs w:val="24"/>
        </w:rPr>
        <w:t xml:space="preserve">använder </w:t>
      </w:r>
      <w:r w:rsidRPr="00F5723F">
        <w:rPr>
          <w:szCs w:val="24"/>
        </w:rPr>
        <w:t xml:space="preserve">betydligt mer tid </w:t>
      </w:r>
      <w:r w:rsidRPr="00F5723F">
        <w:rPr>
          <w:szCs w:val="24"/>
        </w:rPr>
        <w:t xml:space="preserve">till </w:t>
      </w:r>
      <w:r w:rsidRPr="00F5723F">
        <w:rPr>
          <w:szCs w:val="24"/>
        </w:rPr>
        <w:t xml:space="preserve">kontaktverksamhet </w:t>
      </w:r>
      <w:r w:rsidRPr="00F5723F">
        <w:rPr>
          <w:szCs w:val="24"/>
        </w:rPr>
        <w:t>idag jämfört med för 20 år sedan</w:t>
      </w:r>
      <w:r w:rsidRPr="00F5723F">
        <w:rPr>
          <w:szCs w:val="24"/>
        </w:rPr>
        <w:t>. När det gäl</w:t>
      </w:r>
      <w:r w:rsidRPr="00F5723F">
        <w:rPr>
          <w:szCs w:val="24"/>
        </w:rPr>
        <w:t>l</w:t>
      </w:r>
      <w:r w:rsidRPr="00F5723F">
        <w:rPr>
          <w:szCs w:val="24"/>
        </w:rPr>
        <w:t>er kontakt</w:t>
      </w:r>
      <w:r w:rsidRPr="00F5723F">
        <w:rPr>
          <w:szCs w:val="24"/>
        </w:rPr>
        <w:t xml:space="preserve"> med </w:t>
      </w:r>
      <w:r w:rsidRPr="00F5723F">
        <w:rPr>
          <w:szCs w:val="24"/>
        </w:rPr>
        <w:t xml:space="preserve">och uppvaktningar </w:t>
      </w:r>
      <w:r w:rsidRPr="00F5723F">
        <w:rPr>
          <w:szCs w:val="24"/>
        </w:rPr>
        <w:t xml:space="preserve">från </w:t>
      </w:r>
      <w:r w:rsidRPr="00F5723F">
        <w:rPr>
          <w:szCs w:val="24"/>
        </w:rPr>
        <w:t xml:space="preserve">grupper </w:t>
      </w:r>
      <w:r w:rsidRPr="00F5723F">
        <w:rPr>
          <w:szCs w:val="24"/>
        </w:rPr>
        <w:t xml:space="preserve">och enskilda </w:t>
      </w:r>
      <w:r w:rsidRPr="00F5723F">
        <w:rPr>
          <w:szCs w:val="24"/>
        </w:rPr>
        <w:t xml:space="preserve">av olika slag </w:t>
      </w:r>
      <w:r w:rsidRPr="00F5723F">
        <w:rPr>
          <w:szCs w:val="24"/>
        </w:rPr>
        <w:t xml:space="preserve">har </w:t>
      </w:r>
      <w:r w:rsidRPr="00F5723F">
        <w:rPr>
          <w:szCs w:val="24"/>
        </w:rPr>
        <w:t>den</w:t>
      </w:r>
      <w:r w:rsidRPr="00F5723F">
        <w:rPr>
          <w:szCs w:val="24"/>
        </w:rPr>
        <w:t xml:space="preserve"> </w:t>
      </w:r>
      <w:r w:rsidRPr="00F5723F">
        <w:rPr>
          <w:szCs w:val="24"/>
        </w:rPr>
        <w:t>ver</w:t>
      </w:r>
      <w:r w:rsidRPr="00F5723F">
        <w:rPr>
          <w:szCs w:val="24"/>
        </w:rPr>
        <w:t>k</w:t>
      </w:r>
      <w:r w:rsidRPr="00F5723F">
        <w:rPr>
          <w:szCs w:val="24"/>
        </w:rPr>
        <w:t>samhet</w:t>
      </w:r>
      <w:r w:rsidRPr="00F5723F">
        <w:rPr>
          <w:szCs w:val="24"/>
        </w:rPr>
        <w:t>en</w:t>
      </w:r>
      <w:r w:rsidRPr="00F5723F">
        <w:rPr>
          <w:szCs w:val="24"/>
        </w:rPr>
        <w:t xml:space="preserve"> ökat krafti</w:t>
      </w:r>
      <w:r w:rsidRPr="00F5723F">
        <w:rPr>
          <w:szCs w:val="24"/>
        </w:rPr>
        <w:t>gt i omfattning.</w:t>
      </w:r>
      <w:r w:rsidRPr="00F5723F">
        <w:rPr>
          <w:szCs w:val="24"/>
        </w:rPr>
        <w:t xml:space="preserve"> I 1985 års undersökning uppgav ledam</w:t>
      </w:r>
      <w:r w:rsidRPr="00F5723F">
        <w:rPr>
          <w:szCs w:val="24"/>
        </w:rPr>
        <w:t>ö</w:t>
      </w:r>
      <w:r w:rsidRPr="00F5723F">
        <w:rPr>
          <w:szCs w:val="24"/>
        </w:rPr>
        <w:t>terna att de ägnade något mer än tre timmar åt kontaktverksamhet, vilket motsvarar 6 procent av den totala arbetstiden.</w:t>
      </w:r>
      <w:r w:rsidRPr="00F5723F">
        <w:rPr>
          <w:rStyle w:val="Fotnotsreferens"/>
          <w:szCs w:val="24"/>
        </w:rPr>
        <w:footnoteReference w:id="153"/>
      </w:r>
      <w:r w:rsidRPr="00F5723F">
        <w:rPr>
          <w:szCs w:val="24"/>
        </w:rPr>
        <w:t xml:space="preserve"> Motsvarande tid för konta</w:t>
      </w:r>
      <w:r w:rsidRPr="00F5723F">
        <w:rPr>
          <w:szCs w:val="24"/>
        </w:rPr>
        <w:t>k</w:t>
      </w:r>
      <w:r w:rsidRPr="00F5723F">
        <w:rPr>
          <w:szCs w:val="24"/>
        </w:rPr>
        <w:t>ter och uppvaktningar up</w:t>
      </w:r>
      <w:r w:rsidRPr="00F5723F">
        <w:rPr>
          <w:szCs w:val="24"/>
        </w:rPr>
        <w:t>p</w:t>
      </w:r>
      <w:r w:rsidRPr="00F5723F">
        <w:rPr>
          <w:szCs w:val="24"/>
        </w:rPr>
        <w:t>gick till ungefär nio timmar 2004, vilket motsvarar 17 procent av den totala arbetst</w:t>
      </w:r>
      <w:r w:rsidRPr="00F5723F">
        <w:rPr>
          <w:szCs w:val="24"/>
        </w:rPr>
        <w:t>i</w:t>
      </w:r>
      <w:r w:rsidRPr="00F5723F">
        <w:rPr>
          <w:szCs w:val="24"/>
        </w:rPr>
        <w:t>den.</w:t>
      </w:r>
      <w:r w:rsidRPr="00F5723F">
        <w:rPr>
          <w:rStyle w:val="Fotnotsreferens"/>
          <w:szCs w:val="24"/>
        </w:rPr>
        <w:footnoteReference w:id="154"/>
      </w:r>
      <w:r w:rsidRPr="00F5723F">
        <w:rPr>
          <w:szCs w:val="24"/>
        </w:rPr>
        <w:t xml:space="preserve"> </w:t>
      </w:r>
      <w:r w:rsidRPr="00F5723F">
        <w:rPr>
          <w:szCs w:val="24"/>
        </w:rPr>
        <w:t>Förändringen är ännu större om vi istället jämför med 1970-talets tidsbudgetstudier: Den totala tiden för konta</w:t>
      </w:r>
      <w:r w:rsidRPr="00F5723F">
        <w:rPr>
          <w:szCs w:val="24"/>
        </w:rPr>
        <w:t>k</w:t>
      </w:r>
      <w:r w:rsidRPr="00F5723F">
        <w:rPr>
          <w:szCs w:val="24"/>
        </w:rPr>
        <w:t>ter och up</w:t>
      </w:r>
      <w:r w:rsidRPr="00F5723F">
        <w:rPr>
          <w:szCs w:val="24"/>
        </w:rPr>
        <w:t>p</w:t>
      </w:r>
      <w:r w:rsidRPr="00F5723F">
        <w:rPr>
          <w:szCs w:val="24"/>
        </w:rPr>
        <w:t>vaktningar uppgick till knappa tre timmar både 1974 och 1977, vilket motsv</w:t>
      </w:r>
      <w:r w:rsidRPr="00F5723F">
        <w:rPr>
          <w:szCs w:val="24"/>
        </w:rPr>
        <w:t>a</w:t>
      </w:r>
      <w:r w:rsidRPr="00F5723F">
        <w:rPr>
          <w:szCs w:val="24"/>
        </w:rPr>
        <w:t>rar 5 respektive 6 procent av den totala arbetstiden.</w:t>
      </w:r>
      <w:r w:rsidRPr="00F5723F">
        <w:rPr>
          <w:rStyle w:val="Fotnotsreferens"/>
          <w:szCs w:val="24"/>
        </w:rPr>
        <w:footnoteReference w:id="155"/>
      </w:r>
    </w:p>
    <w:p w:rsidR="00B43C57" w:rsidRPr="00F5723F" w:rsidRDefault="00B43C57">
      <w:pPr>
        <w:pStyle w:val="Normaltindrag"/>
        <w:rPr>
          <w:szCs w:val="24"/>
        </w:rPr>
      </w:pPr>
      <w:r w:rsidRPr="00F5723F">
        <w:rPr>
          <w:szCs w:val="24"/>
        </w:rPr>
        <w:t>I Riksdagskommitténs enkätundersökning ombads riksdagsledamöterna avslutningsvis att ange vilka arbetsuppgifter</w:t>
      </w:r>
      <w:r w:rsidRPr="00F5723F">
        <w:rPr>
          <w:szCs w:val="24"/>
        </w:rPr>
        <w:t xml:space="preserve"> de skulle vilja ägna mer tid åt </w:t>
      </w:r>
      <w:r w:rsidRPr="00F5723F">
        <w:rPr>
          <w:szCs w:val="24"/>
        </w:rPr>
        <w:t>än idag. Och även med en sådan öppen frågeteknik återkommer olika former av</w:t>
      </w:r>
      <w:r w:rsidRPr="00F5723F">
        <w:rPr>
          <w:szCs w:val="24"/>
        </w:rPr>
        <w:t xml:space="preserve"> </w:t>
      </w:r>
      <w:r w:rsidRPr="00F5723F">
        <w:rPr>
          <w:szCs w:val="24"/>
        </w:rPr>
        <w:t xml:space="preserve">medborgarkontakter och </w:t>
      </w:r>
      <w:r w:rsidRPr="00F5723F">
        <w:rPr>
          <w:szCs w:val="24"/>
        </w:rPr>
        <w:t>valkret</w:t>
      </w:r>
      <w:r w:rsidRPr="00F5723F">
        <w:rPr>
          <w:szCs w:val="24"/>
        </w:rPr>
        <w:t>s</w:t>
      </w:r>
      <w:r w:rsidRPr="00F5723F">
        <w:rPr>
          <w:szCs w:val="24"/>
        </w:rPr>
        <w:t>relaterade arbetsuppgifter</w:t>
      </w:r>
      <w:r w:rsidRPr="00F5723F">
        <w:rPr>
          <w:szCs w:val="24"/>
        </w:rPr>
        <w:t>:</w:t>
      </w:r>
      <w:r w:rsidRPr="00F5723F">
        <w:rPr>
          <w:szCs w:val="24"/>
        </w:rPr>
        <w:t xml:space="preserve"> </w:t>
      </w:r>
      <w:r w:rsidRPr="00F5723F">
        <w:rPr>
          <w:szCs w:val="24"/>
        </w:rPr>
        <w:t>Ledamöterna</w:t>
      </w:r>
      <w:r w:rsidRPr="00F5723F">
        <w:rPr>
          <w:szCs w:val="24"/>
        </w:rPr>
        <w:t xml:space="preserve"> vill ägna mer tid åt valkrets- och kontaktverksamhet</w:t>
      </w:r>
      <w:r w:rsidRPr="00F5723F">
        <w:rPr>
          <w:szCs w:val="24"/>
        </w:rPr>
        <w:t>, och de vill i större utsträc</w:t>
      </w:r>
      <w:r w:rsidRPr="00F5723F">
        <w:rPr>
          <w:szCs w:val="24"/>
        </w:rPr>
        <w:t>k</w:t>
      </w:r>
      <w:r w:rsidRPr="00F5723F">
        <w:rPr>
          <w:szCs w:val="24"/>
        </w:rPr>
        <w:t xml:space="preserve">ning än idag </w:t>
      </w:r>
      <w:r w:rsidRPr="00F5723F">
        <w:rPr>
          <w:szCs w:val="24"/>
        </w:rPr>
        <w:t>använd</w:t>
      </w:r>
      <w:r w:rsidRPr="00F5723F">
        <w:rPr>
          <w:szCs w:val="24"/>
        </w:rPr>
        <w:t xml:space="preserve">a riksdagens </w:t>
      </w:r>
      <w:r w:rsidRPr="00F5723F">
        <w:rPr>
          <w:szCs w:val="24"/>
        </w:rPr>
        <w:t xml:space="preserve">plenifria veckor </w:t>
      </w:r>
      <w:r w:rsidRPr="00F5723F">
        <w:rPr>
          <w:szCs w:val="24"/>
        </w:rPr>
        <w:t>till</w:t>
      </w:r>
      <w:r w:rsidRPr="00F5723F">
        <w:rPr>
          <w:szCs w:val="24"/>
        </w:rPr>
        <w:t xml:space="preserve"> valkrets</w:t>
      </w:r>
      <w:r w:rsidRPr="00F5723F">
        <w:rPr>
          <w:szCs w:val="24"/>
        </w:rPr>
        <w:t>-</w:t>
      </w:r>
      <w:r w:rsidRPr="00F5723F">
        <w:rPr>
          <w:szCs w:val="24"/>
        </w:rPr>
        <w:t xml:space="preserve"> och </w:t>
      </w:r>
      <w:r w:rsidRPr="00F5723F">
        <w:rPr>
          <w:szCs w:val="24"/>
        </w:rPr>
        <w:t>medbo</w:t>
      </w:r>
      <w:r w:rsidRPr="00F5723F">
        <w:rPr>
          <w:szCs w:val="24"/>
        </w:rPr>
        <w:t>r</w:t>
      </w:r>
      <w:r w:rsidRPr="00F5723F">
        <w:rPr>
          <w:szCs w:val="24"/>
        </w:rPr>
        <w:t>garkontakter.</w:t>
      </w:r>
      <w:r w:rsidRPr="00F5723F">
        <w:rPr>
          <w:rStyle w:val="Fotnotsreferens"/>
          <w:szCs w:val="24"/>
        </w:rPr>
        <w:footnoteReference w:id="156"/>
      </w:r>
    </w:p>
    <w:p w:rsidR="00B43C57" w:rsidRPr="00F5723F" w:rsidRDefault="00B43C57">
      <w:pPr>
        <w:pStyle w:val="Normaltindrag"/>
        <w:rPr>
          <w:szCs w:val="24"/>
        </w:rPr>
      </w:pPr>
      <w:r w:rsidRPr="00F5723F">
        <w:rPr>
          <w:szCs w:val="24"/>
        </w:rPr>
        <w:t>I Valforskningsprogrammets riksdagsstudier 1985 och 2002 fick ledam</w:t>
      </w:r>
      <w:r w:rsidRPr="00F5723F">
        <w:rPr>
          <w:szCs w:val="24"/>
        </w:rPr>
        <w:t>ö</w:t>
      </w:r>
      <w:r w:rsidRPr="00F5723F">
        <w:rPr>
          <w:szCs w:val="24"/>
        </w:rPr>
        <w:t xml:space="preserve">terna besvara en öppen fråga om hur många medborgarinitierade kontakter de haft med väljare i och utanför valkretsen: </w:t>
      </w:r>
      <w:r w:rsidRPr="00F5723F">
        <w:rPr>
          <w:szCs w:val="24"/>
        </w:rPr>
        <w:t>”På ett ungefär, hur många gånger i månaden tar olika enskilda väljare i Din valkrets respektive utanför Din va</w:t>
      </w:r>
      <w:r w:rsidRPr="00F5723F">
        <w:rPr>
          <w:szCs w:val="24"/>
        </w:rPr>
        <w:t>l</w:t>
      </w:r>
      <w:r w:rsidRPr="00F5723F">
        <w:rPr>
          <w:szCs w:val="24"/>
        </w:rPr>
        <w:t>krets muntligen eller skrif</w:t>
      </w:r>
      <w:r w:rsidRPr="00F5723F">
        <w:rPr>
          <w:szCs w:val="24"/>
        </w:rPr>
        <w:t>t</w:t>
      </w:r>
      <w:r w:rsidRPr="00F5723F">
        <w:rPr>
          <w:szCs w:val="24"/>
        </w:rPr>
        <w:t xml:space="preserve">ligen kontakt </w:t>
      </w:r>
      <w:r w:rsidRPr="00F5723F">
        <w:rPr>
          <w:szCs w:val="24"/>
        </w:rPr>
        <w:t>med Dig?” Resultaten redovisas i tabell 6.</w:t>
      </w:r>
    </w:p>
    <w:p w:rsidR="00B43C57" w:rsidRPr="00F5723F" w:rsidRDefault="00B43C57">
      <w:pPr>
        <w:pStyle w:val="Tabellrubrik"/>
        <w:spacing w:before="0"/>
        <w:ind w:left="760" w:hanging="760"/>
      </w:pPr>
      <w:r w:rsidRPr="00F5723F">
        <w:rPr>
          <w:szCs w:val="24"/>
        </w:rPr>
        <w:br w:type="page"/>
      </w:r>
      <w:r w:rsidRPr="00F5723F">
        <w:t xml:space="preserve">Tabell 6 </w:t>
      </w:r>
      <w:r w:rsidRPr="00F5723F">
        <w:t>Riksdagsledamöternas kontakter med väljare i och uta</w:t>
      </w:r>
      <w:r w:rsidRPr="00F5723F">
        <w:t>n</w:t>
      </w:r>
      <w:r w:rsidRPr="00F5723F">
        <w:t xml:space="preserve">   </w:t>
      </w:r>
      <w:r w:rsidRPr="00F5723F">
        <w:t>för valkretsen 1985 och 2002.</w:t>
      </w:r>
      <w:r w:rsidRPr="00F5723F">
        <w:t xml:space="preserve"> </w:t>
      </w:r>
      <w:r w:rsidRPr="00F5723F">
        <w:t>Andel ledamöter med olika antal kontakter (procent) samt medelvärde för de sex k</w:t>
      </w:r>
      <w:r w:rsidRPr="00F5723F">
        <w:t>a</w:t>
      </w:r>
      <w:r w:rsidRPr="00F5723F">
        <w:t>tegorie</w:t>
      </w:r>
      <w:r w:rsidRPr="00F5723F">
        <w:t>r</w:t>
      </w:r>
      <w:r w:rsidRPr="00F5723F">
        <w:t>na.</w:t>
      </w:r>
    </w:p>
    <w:tbl>
      <w:tblPr>
        <w:tblW w:w="0" w:type="auto"/>
        <w:tblLayout w:type="fixed"/>
        <w:tblCellMar>
          <w:left w:w="70" w:type="dxa"/>
          <w:right w:w="70" w:type="dxa"/>
        </w:tblCellMar>
        <w:tblLook w:val="00AF" w:firstRow="1" w:lastRow="0" w:firstColumn="1" w:lastColumn="0" w:noHBand="0" w:noVBand="0"/>
      </w:tblPr>
      <w:tblGrid>
        <w:gridCol w:w="567"/>
        <w:gridCol w:w="340"/>
        <w:gridCol w:w="340"/>
        <w:gridCol w:w="340"/>
        <w:gridCol w:w="340"/>
        <w:gridCol w:w="340"/>
        <w:gridCol w:w="340"/>
        <w:gridCol w:w="340"/>
        <w:gridCol w:w="340"/>
        <w:gridCol w:w="340"/>
        <w:gridCol w:w="340"/>
        <w:gridCol w:w="340"/>
        <w:gridCol w:w="340"/>
        <w:gridCol w:w="340"/>
        <w:gridCol w:w="340"/>
        <w:gridCol w:w="340"/>
        <w:gridCol w:w="340"/>
      </w:tblGrid>
      <w:tr w:rsidR="00000000" w:rsidRPr="00F5723F">
        <w:tblPrEx>
          <w:tblCellMar>
            <w:top w:w="0" w:type="dxa"/>
            <w:bottom w:w="0" w:type="dxa"/>
          </w:tblCellMar>
        </w:tblPrEx>
        <w:tc>
          <w:tcPr>
            <w:tcW w:w="567" w:type="dxa"/>
            <w:tcBorders>
              <w:top w:val="single" w:sz="4" w:space="0" w:color="auto"/>
            </w:tcBorders>
          </w:tcPr>
          <w:p w:rsidR="00B43C57" w:rsidRPr="00F5723F" w:rsidRDefault="00B43C57">
            <w:pPr>
              <w:pStyle w:val="Tabelltext"/>
              <w:jc w:val="center"/>
              <w:rPr>
                <w:sz w:val="13"/>
                <w:szCs w:val="13"/>
              </w:rPr>
            </w:pP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v</w:t>
            </w: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s</w:t>
            </w: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c</w:t>
            </w: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fp</w:t>
            </w: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m</w:t>
            </w: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kd</w:t>
            </w: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mp</w:t>
            </w:r>
          </w:p>
        </w:tc>
        <w:tc>
          <w:tcPr>
            <w:tcW w:w="680" w:type="dxa"/>
            <w:gridSpan w:val="2"/>
            <w:tcBorders>
              <w:top w:val="single" w:sz="4" w:space="0" w:color="auto"/>
              <w:bottom w:val="single" w:sz="4" w:space="0" w:color="auto"/>
            </w:tcBorders>
          </w:tcPr>
          <w:p w:rsidR="00B43C57" w:rsidRPr="00F5723F" w:rsidRDefault="00B43C57">
            <w:pPr>
              <w:pStyle w:val="Tabelltext"/>
              <w:jc w:val="center"/>
              <w:rPr>
                <w:sz w:val="13"/>
                <w:szCs w:val="13"/>
              </w:rPr>
            </w:pPr>
            <w:r w:rsidRPr="00F5723F">
              <w:rPr>
                <w:sz w:val="13"/>
                <w:szCs w:val="13"/>
              </w:rPr>
              <w:t>alla</w:t>
            </w:r>
          </w:p>
        </w:tc>
      </w:tr>
      <w:tr w:rsidR="00000000" w:rsidRPr="00F5723F">
        <w:tblPrEx>
          <w:tblCellMar>
            <w:top w:w="0" w:type="dxa"/>
            <w:bottom w:w="0" w:type="dxa"/>
          </w:tblCellMar>
        </w:tblPrEx>
        <w:tc>
          <w:tcPr>
            <w:tcW w:w="567" w:type="dxa"/>
            <w:tcBorders>
              <w:bottom w:val="single" w:sz="4" w:space="0" w:color="auto"/>
            </w:tcBorders>
          </w:tcPr>
          <w:p w:rsidR="00B43C57" w:rsidRPr="00F5723F" w:rsidRDefault="00B43C57">
            <w:pPr>
              <w:pStyle w:val="Tabelltext"/>
              <w:rPr>
                <w:sz w:val="13"/>
                <w:szCs w:val="13"/>
              </w:rPr>
            </w:pP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85</w:t>
            </w:r>
          </w:p>
        </w:tc>
        <w:tc>
          <w:tcPr>
            <w:tcW w:w="340" w:type="dxa"/>
            <w:tcBorders>
              <w:top w:val="single" w:sz="4" w:space="0" w:color="auto"/>
              <w:bottom w:val="single" w:sz="4" w:space="0" w:color="auto"/>
            </w:tcBorders>
          </w:tcPr>
          <w:p w:rsidR="00B43C57" w:rsidRPr="00F5723F" w:rsidRDefault="00B43C57">
            <w:pPr>
              <w:pStyle w:val="Tabelltext"/>
              <w:rPr>
                <w:sz w:val="13"/>
                <w:szCs w:val="13"/>
              </w:rPr>
            </w:pPr>
            <w:r w:rsidRPr="00F5723F">
              <w:rPr>
                <w:sz w:val="13"/>
                <w:szCs w:val="13"/>
              </w:rPr>
              <w:t>02</w:t>
            </w:r>
          </w:p>
        </w:tc>
      </w:tr>
      <w:tr w:rsidR="00000000" w:rsidRPr="00F5723F">
        <w:tblPrEx>
          <w:tblCellMar>
            <w:top w:w="0" w:type="dxa"/>
            <w:bottom w:w="0" w:type="dxa"/>
          </w:tblCellMar>
        </w:tblPrEx>
        <w:tc>
          <w:tcPr>
            <w:tcW w:w="567" w:type="dxa"/>
            <w:tcBorders>
              <w:top w:val="single" w:sz="4" w:space="0" w:color="auto"/>
            </w:tcBorders>
          </w:tcPr>
          <w:p w:rsidR="00B43C57" w:rsidRPr="00F5723F" w:rsidRDefault="00B43C57">
            <w:pPr>
              <w:pStyle w:val="Tabelltext"/>
              <w:rPr>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r>
      <w:tr w:rsidR="00000000" w:rsidRPr="00F5723F">
        <w:tblPrEx>
          <w:tblCellMar>
            <w:top w:w="0" w:type="dxa"/>
            <w:bottom w:w="0" w:type="dxa"/>
          </w:tblCellMar>
        </w:tblPrEx>
        <w:tc>
          <w:tcPr>
            <w:tcW w:w="6007" w:type="dxa"/>
            <w:gridSpan w:val="17"/>
          </w:tcPr>
          <w:p w:rsidR="00B43C57" w:rsidRPr="00F5723F" w:rsidRDefault="00B43C57">
            <w:pPr>
              <w:pStyle w:val="Tabelltext"/>
              <w:spacing w:line="360" w:lineRule="auto"/>
              <w:rPr>
                <w:b/>
                <w:snapToGrid w:val="0"/>
                <w:color w:val="000000"/>
                <w:sz w:val="13"/>
                <w:szCs w:val="13"/>
              </w:rPr>
            </w:pPr>
            <w:r w:rsidRPr="00F5723F">
              <w:rPr>
                <w:b/>
                <w:snapToGrid w:val="0"/>
                <w:color w:val="000000"/>
                <w:sz w:val="13"/>
                <w:szCs w:val="13"/>
              </w:rPr>
              <w:t>v</w:t>
            </w:r>
            <w:r w:rsidRPr="00F5723F">
              <w:rPr>
                <w:b/>
                <w:snapToGrid w:val="0"/>
                <w:color w:val="000000"/>
                <w:sz w:val="13"/>
                <w:szCs w:val="13"/>
              </w:rPr>
              <w:t>äljare i valkretsen</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29</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19</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18</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6–10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29</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29</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11–15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9</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19</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16</w:t>
            </w:r>
            <w:r w:rsidRPr="00F5723F">
              <w:rPr>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14</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21</w:t>
            </w:r>
            <w:r w:rsidRPr="00F5723F">
              <w:rPr>
                <w:sz w:val="13"/>
                <w:szCs w:val="13"/>
              </w:rPr>
              <w:t>–25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26</w:t>
            </w:r>
            <w:r w:rsidRPr="00F5723F">
              <w:rPr>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r>
      <w:tr w:rsidR="00000000" w:rsidRPr="00F5723F">
        <w:tblPrEx>
          <w:tblCellMar>
            <w:top w:w="0" w:type="dxa"/>
            <w:bottom w:w="0" w:type="dxa"/>
          </w:tblCellMar>
        </w:tblPrEx>
        <w:tc>
          <w:tcPr>
            <w:tcW w:w="567" w:type="dxa"/>
          </w:tcPr>
          <w:p w:rsidR="00B43C57" w:rsidRPr="00F5723F" w:rsidRDefault="00B43C57">
            <w:pPr>
              <w:pStyle w:val="Tabelltext"/>
              <w:spacing w:line="240" w:lineRule="auto"/>
              <w:rPr>
                <w:sz w:val="13"/>
                <w:szCs w:val="13"/>
              </w:rPr>
            </w:pPr>
            <w:r w:rsidRPr="00F5723F">
              <w:rPr>
                <w:sz w:val="13"/>
                <w:szCs w:val="13"/>
              </w:rPr>
              <w:t>mede</w:t>
            </w:r>
            <w:r w:rsidRPr="00F5723F">
              <w:rPr>
                <w:sz w:val="13"/>
                <w:szCs w:val="13"/>
              </w:rPr>
              <w:t>l</w:t>
            </w:r>
            <w:r w:rsidRPr="00F5723F">
              <w:rPr>
                <w:sz w:val="13"/>
                <w:szCs w:val="13"/>
              </w:rPr>
              <w:t>värde</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1,7</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2,4</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3,3</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2,9</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3,5</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3,3</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2,6</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3,4</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2,9</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3,5</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2,5</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3,3</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c>
          <w:tcPr>
            <w:tcW w:w="340" w:type="dxa"/>
          </w:tcPr>
          <w:p w:rsidR="00B43C57" w:rsidRPr="00F5723F" w:rsidRDefault="00B43C57">
            <w:pPr>
              <w:pStyle w:val="Tabelltext"/>
              <w:rPr>
                <w:snapToGrid w:val="0"/>
                <w:color w:val="000000"/>
                <w:sz w:val="13"/>
                <w:szCs w:val="13"/>
              </w:rPr>
            </w:pPr>
          </w:p>
        </w:tc>
      </w:tr>
      <w:tr w:rsidR="00000000" w:rsidRPr="00F5723F">
        <w:tblPrEx>
          <w:tblCellMar>
            <w:top w:w="0" w:type="dxa"/>
            <w:bottom w:w="0" w:type="dxa"/>
          </w:tblCellMar>
        </w:tblPrEx>
        <w:tc>
          <w:tcPr>
            <w:tcW w:w="6007" w:type="dxa"/>
            <w:gridSpan w:val="17"/>
          </w:tcPr>
          <w:p w:rsidR="00B43C57" w:rsidRPr="00F5723F" w:rsidRDefault="00B43C57">
            <w:pPr>
              <w:pStyle w:val="Tabelltext"/>
              <w:spacing w:line="360" w:lineRule="auto"/>
              <w:rPr>
                <w:b/>
                <w:snapToGrid w:val="0"/>
                <w:color w:val="000000"/>
                <w:sz w:val="13"/>
                <w:szCs w:val="13"/>
              </w:rPr>
            </w:pPr>
            <w:r w:rsidRPr="00F5723F">
              <w:rPr>
                <w:b/>
                <w:snapToGrid w:val="0"/>
                <w:color w:val="000000"/>
                <w:sz w:val="13"/>
                <w:szCs w:val="13"/>
              </w:rPr>
              <w:t>v</w:t>
            </w:r>
            <w:r w:rsidRPr="00F5723F">
              <w:rPr>
                <w:b/>
                <w:snapToGrid w:val="0"/>
                <w:color w:val="000000"/>
                <w:sz w:val="13"/>
                <w:szCs w:val="13"/>
              </w:rPr>
              <w:t>äljare utanför valkretsen</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68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59</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63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30</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6</w:t>
            </w:r>
            <w:r w:rsidRPr="00F5723F">
              <w:rPr>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23</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11–15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8</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16</w:t>
            </w:r>
            <w:r w:rsidRPr="00F5723F">
              <w:rPr>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9</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21</w:t>
            </w:r>
            <w:r w:rsidRPr="00F5723F">
              <w:rPr>
                <w:sz w:val="13"/>
                <w:szCs w:val="13"/>
              </w:rPr>
              <w:t>–25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4</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r w:rsidRPr="00F5723F">
              <w:rPr>
                <w:sz w:val="13"/>
                <w:szCs w:val="13"/>
              </w:rPr>
              <w:t>26</w:t>
            </w:r>
            <w:r w:rsidRPr="00F5723F">
              <w:rPr>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42</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36</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27</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54</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15</w:t>
            </w:r>
          </w:p>
        </w:tc>
        <w:tc>
          <w:tcPr>
            <w:tcW w:w="340" w:type="dxa"/>
          </w:tcPr>
          <w:p w:rsidR="00B43C57" w:rsidRPr="00F5723F" w:rsidRDefault="00B43C57">
            <w:pPr>
              <w:pStyle w:val="Tabelltext"/>
              <w:jc w:val="center"/>
              <w:rPr>
                <w:snapToGrid w:val="0"/>
                <w:color w:val="000000"/>
                <w:sz w:val="13"/>
                <w:szCs w:val="13"/>
              </w:rPr>
            </w:pPr>
            <w:r w:rsidRPr="00F5723F">
              <w:rPr>
                <w:snapToGrid w:val="0"/>
                <w:color w:val="000000"/>
                <w:sz w:val="13"/>
                <w:szCs w:val="13"/>
              </w:rPr>
              <w:t>26</w:t>
            </w:r>
          </w:p>
        </w:tc>
      </w:tr>
      <w:tr w:rsidR="00000000" w:rsidRPr="00F5723F">
        <w:tblPrEx>
          <w:tblCellMar>
            <w:top w:w="0" w:type="dxa"/>
            <w:bottom w:w="0" w:type="dxa"/>
          </w:tblCellMar>
        </w:tblPrEx>
        <w:tc>
          <w:tcPr>
            <w:tcW w:w="567" w:type="dxa"/>
          </w:tcPr>
          <w:p w:rsidR="00B43C57" w:rsidRPr="00F5723F" w:rsidRDefault="00B43C57">
            <w:pPr>
              <w:pStyle w:val="Tabelltext"/>
              <w:rPr>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c>
          <w:tcPr>
            <w:tcW w:w="340" w:type="dxa"/>
          </w:tcPr>
          <w:p w:rsidR="00B43C57" w:rsidRPr="00F5723F" w:rsidRDefault="00B43C57">
            <w:pPr>
              <w:pStyle w:val="Tabelltext"/>
              <w:jc w:val="center"/>
              <w:rPr>
                <w:snapToGrid w:val="0"/>
                <w:color w:val="000000"/>
                <w:sz w:val="13"/>
                <w:szCs w:val="13"/>
              </w:rPr>
            </w:pPr>
          </w:p>
        </w:tc>
      </w:tr>
      <w:tr w:rsidR="00000000" w:rsidRPr="00F5723F">
        <w:tblPrEx>
          <w:tblCellMar>
            <w:top w:w="0" w:type="dxa"/>
            <w:bottom w:w="0" w:type="dxa"/>
          </w:tblCellMar>
        </w:tblPrEx>
        <w:tc>
          <w:tcPr>
            <w:tcW w:w="567" w:type="dxa"/>
          </w:tcPr>
          <w:p w:rsidR="00B43C57" w:rsidRPr="00F5723F" w:rsidRDefault="00B43C57">
            <w:pPr>
              <w:pStyle w:val="Tabelltext"/>
              <w:spacing w:line="240" w:lineRule="auto"/>
              <w:rPr>
                <w:sz w:val="13"/>
                <w:szCs w:val="13"/>
              </w:rPr>
            </w:pPr>
            <w:r w:rsidRPr="00F5723F">
              <w:rPr>
                <w:sz w:val="13"/>
                <w:szCs w:val="13"/>
              </w:rPr>
              <w:t>mede</w:t>
            </w:r>
            <w:r w:rsidRPr="00F5723F">
              <w:rPr>
                <w:sz w:val="13"/>
                <w:szCs w:val="13"/>
              </w:rPr>
              <w:t>l</w:t>
            </w:r>
            <w:r w:rsidRPr="00F5723F">
              <w:rPr>
                <w:sz w:val="13"/>
                <w:szCs w:val="13"/>
              </w:rPr>
              <w:t>värde</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3,9</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2,1</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2,8</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1,8</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3,1</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2,3</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3,6</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4,4</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2,1</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3,1</w:t>
            </w:r>
          </w:p>
        </w:tc>
      </w:tr>
      <w:tr w:rsidR="00000000" w:rsidRPr="00F5723F">
        <w:tblPrEx>
          <w:tblCellMar>
            <w:top w:w="0" w:type="dxa"/>
            <w:bottom w:w="0" w:type="dxa"/>
          </w:tblCellMar>
        </w:tblPrEx>
        <w:tc>
          <w:tcPr>
            <w:tcW w:w="567" w:type="dxa"/>
            <w:tcBorders>
              <w:bottom w:val="single" w:sz="4" w:space="0" w:color="auto"/>
            </w:tcBorders>
          </w:tcPr>
          <w:p w:rsidR="00B43C57" w:rsidRPr="00F5723F" w:rsidRDefault="00B43C57">
            <w:pPr>
              <w:pStyle w:val="Tabelltext"/>
              <w:rPr>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c>
          <w:tcPr>
            <w:tcW w:w="340" w:type="dxa"/>
            <w:tcBorders>
              <w:bottom w:val="single" w:sz="4" w:space="0" w:color="auto"/>
            </w:tcBorders>
          </w:tcPr>
          <w:p w:rsidR="00B43C57" w:rsidRPr="00F5723F" w:rsidRDefault="00B43C57">
            <w:pPr>
              <w:pStyle w:val="Tabelltext"/>
              <w:rPr>
                <w:snapToGrid w:val="0"/>
                <w:color w:val="000000"/>
                <w:sz w:val="13"/>
                <w:szCs w:val="13"/>
              </w:rPr>
            </w:pPr>
          </w:p>
        </w:tc>
      </w:tr>
      <w:tr w:rsidR="00000000" w:rsidRPr="00F5723F">
        <w:tblPrEx>
          <w:tblCellMar>
            <w:top w:w="0" w:type="dxa"/>
            <w:bottom w:w="0" w:type="dxa"/>
          </w:tblCellMar>
        </w:tblPrEx>
        <w:tc>
          <w:tcPr>
            <w:tcW w:w="567" w:type="dxa"/>
            <w:tcBorders>
              <w:top w:val="single" w:sz="4" w:space="0" w:color="auto"/>
            </w:tcBorders>
          </w:tcPr>
          <w:p w:rsidR="00B43C57" w:rsidRPr="00F5723F" w:rsidRDefault="00B43C57">
            <w:pPr>
              <w:pStyle w:val="Tabelltext"/>
              <w:rPr>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c>
          <w:tcPr>
            <w:tcW w:w="340" w:type="dxa"/>
            <w:tcBorders>
              <w:top w:val="single" w:sz="4" w:space="0" w:color="auto"/>
            </w:tcBorders>
          </w:tcPr>
          <w:p w:rsidR="00B43C57" w:rsidRPr="00F5723F" w:rsidRDefault="00B43C57">
            <w:pPr>
              <w:pStyle w:val="Tabelltext"/>
              <w:rPr>
                <w:snapToGrid w:val="0"/>
                <w:color w:val="000000"/>
                <w:sz w:val="13"/>
                <w:szCs w:val="13"/>
              </w:rPr>
            </w:pPr>
          </w:p>
        </w:tc>
      </w:tr>
      <w:tr w:rsidR="00000000" w:rsidRPr="00F5723F">
        <w:tblPrEx>
          <w:tblCellMar>
            <w:top w:w="0" w:type="dxa"/>
            <w:bottom w:w="0" w:type="dxa"/>
          </w:tblCellMar>
        </w:tblPrEx>
        <w:tc>
          <w:tcPr>
            <w:tcW w:w="567" w:type="dxa"/>
          </w:tcPr>
          <w:p w:rsidR="00B43C57" w:rsidRPr="00F5723F" w:rsidRDefault="00B43C57">
            <w:pPr>
              <w:pStyle w:val="Tabelltext"/>
              <w:spacing w:line="240" w:lineRule="auto"/>
              <w:rPr>
                <w:sz w:val="13"/>
                <w:szCs w:val="13"/>
              </w:rPr>
            </w:pPr>
            <w:r w:rsidRPr="00F5723F">
              <w:rPr>
                <w:sz w:val="13"/>
                <w:szCs w:val="13"/>
              </w:rPr>
              <w:t>antal</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19</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26</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158</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119</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41</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49</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39</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72</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45</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13</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340</w:t>
            </w:r>
          </w:p>
        </w:tc>
        <w:tc>
          <w:tcPr>
            <w:tcW w:w="340" w:type="dxa"/>
          </w:tcPr>
          <w:p w:rsidR="00B43C57" w:rsidRPr="00F5723F" w:rsidRDefault="00B43C57">
            <w:pPr>
              <w:pStyle w:val="Tabelltext"/>
              <w:spacing w:line="240" w:lineRule="auto"/>
              <w:jc w:val="center"/>
              <w:rPr>
                <w:snapToGrid w:val="0"/>
                <w:color w:val="000000"/>
                <w:sz w:val="13"/>
                <w:szCs w:val="13"/>
              </w:rPr>
            </w:pPr>
            <w:r w:rsidRPr="00F5723F">
              <w:rPr>
                <w:snapToGrid w:val="0"/>
                <w:color w:val="000000"/>
                <w:sz w:val="13"/>
                <w:szCs w:val="13"/>
              </w:rPr>
              <w:t>292</w:t>
            </w:r>
          </w:p>
        </w:tc>
      </w:tr>
      <w:tr w:rsidR="00000000" w:rsidRPr="00F5723F">
        <w:tblPrEx>
          <w:tblCellMar>
            <w:top w:w="0" w:type="dxa"/>
            <w:bottom w:w="0" w:type="dxa"/>
          </w:tblCellMar>
        </w:tblPrEx>
        <w:tc>
          <w:tcPr>
            <w:tcW w:w="6007" w:type="dxa"/>
            <w:gridSpan w:val="17"/>
          </w:tcPr>
          <w:p w:rsidR="00B43C57" w:rsidRPr="00F5723F" w:rsidRDefault="00B43C57">
            <w:pPr>
              <w:pStyle w:val="Tabelltext"/>
              <w:spacing w:line="240" w:lineRule="auto"/>
              <w:rPr>
                <w:snapToGrid w:val="0"/>
                <w:color w:val="000000"/>
                <w:sz w:val="13"/>
                <w:szCs w:val="13"/>
              </w:rPr>
            </w:pPr>
            <w:r w:rsidRPr="00F5723F">
              <w:rPr>
                <w:sz w:val="13"/>
                <w:szCs w:val="13"/>
              </w:rPr>
              <w:t>svara</w:t>
            </w:r>
            <w:r w:rsidRPr="00F5723F">
              <w:rPr>
                <w:sz w:val="13"/>
                <w:szCs w:val="13"/>
              </w:rPr>
              <w:t>n</w:t>
            </w:r>
            <w:r w:rsidRPr="00F5723F">
              <w:rPr>
                <w:sz w:val="13"/>
                <w:szCs w:val="13"/>
              </w:rPr>
              <w:t>de</w:t>
            </w:r>
          </w:p>
        </w:tc>
      </w:tr>
      <w:tr w:rsidR="00000000" w:rsidRPr="00F5723F">
        <w:tblPrEx>
          <w:tblCellMar>
            <w:top w:w="0" w:type="dxa"/>
            <w:bottom w:w="0" w:type="dxa"/>
          </w:tblCellMar>
        </w:tblPrEx>
        <w:tc>
          <w:tcPr>
            <w:tcW w:w="567" w:type="dxa"/>
            <w:tcBorders>
              <w:bottom w:val="single" w:sz="4" w:space="0" w:color="auto"/>
            </w:tcBorders>
          </w:tcPr>
          <w:p w:rsidR="00B43C57" w:rsidRPr="00F5723F" w:rsidRDefault="00B43C57">
            <w:pPr>
              <w:pStyle w:val="Tabelltext"/>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c>
          <w:tcPr>
            <w:tcW w:w="340" w:type="dxa"/>
            <w:tcBorders>
              <w:bottom w:val="single" w:sz="4" w:space="0" w:color="auto"/>
            </w:tcBorders>
          </w:tcPr>
          <w:p w:rsidR="00B43C57" w:rsidRPr="00F5723F" w:rsidRDefault="00B43C57">
            <w:pPr>
              <w:pStyle w:val="Tabelltext"/>
              <w:rPr>
                <w:snapToGrid w:val="0"/>
                <w:color w:val="000000"/>
              </w:rPr>
            </w:pPr>
          </w:p>
        </w:tc>
      </w:tr>
    </w:tbl>
    <w:p w:rsidR="00B43C57" w:rsidRPr="00F5723F" w:rsidRDefault="00B43C57">
      <w:pPr>
        <w:spacing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Resultaten är hämtade från Valforskningsprogrammets riksdagsstud</w:t>
      </w:r>
      <w:r w:rsidRPr="00F5723F">
        <w:rPr>
          <w:rFonts w:ascii="Arial" w:hAnsi="Arial" w:cs="Arial"/>
          <w:sz w:val="16"/>
          <w:szCs w:val="16"/>
        </w:rPr>
        <w:t>i</w:t>
      </w:r>
      <w:r w:rsidRPr="00F5723F">
        <w:rPr>
          <w:rFonts w:ascii="Arial" w:hAnsi="Arial" w:cs="Arial"/>
          <w:sz w:val="16"/>
          <w:szCs w:val="16"/>
        </w:rPr>
        <w:t>er 1985 och 2002. Medelvärdena är beräknade på en sexgradig</w:t>
      </w:r>
      <w:r w:rsidRPr="00F5723F">
        <w:rPr>
          <w:rFonts w:ascii="Arial" w:hAnsi="Arial" w:cs="Arial"/>
          <w:sz w:val="16"/>
          <w:szCs w:val="16"/>
        </w:rPr>
        <w:t xml:space="preserve"> skala från värde 1 (upp till 5</w:t>
      </w:r>
      <w:r w:rsidRPr="00F5723F">
        <w:rPr>
          <w:rFonts w:ascii="Arial" w:hAnsi="Arial" w:cs="Arial"/>
          <w:sz w:val="16"/>
          <w:szCs w:val="16"/>
        </w:rPr>
        <w:t xml:space="preserve"> kontakter per m</w:t>
      </w:r>
      <w:r w:rsidRPr="00F5723F">
        <w:rPr>
          <w:rFonts w:ascii="Arial" w:hAnsi="Arial" w:cs="Arial"/>
          <w:sz w:val="16"/>
          <w:szCs w:val="16"/>
        </w:rPr>
        <w:t>å</w:t>
      </w:r>
      <w:r w:rsidRPr="00F5723F">
        <w:rPr>
          <w:rFonts w:ascii="Arial" w:hAnsi="Arial" w:cs="Arial"/>
          <w:sz w:val="16"/>
          <w:szCs w:val="16"/>
        </w:rPr>
        <w:t xml:space="preserve">nad) till värde 6 (26 eller fler kontakter per månad). </w:t>
      </w:r>
    </w:p>
    <w:p w:rsidR="00B43C57" w:rsidRPr="00F5723F" w:rsidRDefault="00B43C57">
      <w:pPr>
        <w:spacing w:before="187" w:line="240" w:lineRule="auto"/>
      </w:pPr>
    </w:p>
    <w:p w:rsidR="00B43C57" w:rsidRPr="00F5723F" w:rsidRDefault="00B43C57">
      <w:pPr>
        <w:spacing w:before="187"/>
      </w:pPr>
      <w:r w:rsidRPr="00F5723F">
        <w:t>Kontakterna med väljare både i och utanför valkretsen har ökat i omfat</w:t>
      </w:r>
      <w:r w:rsidRPr="00F5723F">
        <w:t>t</w:t>
      </w:r>
      <w:r w:rsidRPr="00F5723F">
        <w:t>ning mellan 1985 och 2002. Medelvärdet för kontakterna med väljare i va</w:t>
      </w:r>
      <w:r w:rsidRPr="00F5723F">
        <w:t>l</w:t>
      </w:r>
      <w:r w:rsidRPr="00F5723F">
        <w:t>kretsen har stigit från 2,5 till 3,3 medan motsvarande medelvärde för konta</w:t>
      </w:r>
      <w:r w:rsidRPr="00F5723F">
        <w:t>k</w:t>
      </w:r>
      <w:r w:rsidRPr="00F5723F">
        <w:t>terna med väljare utanför valkretsen har stigit från 2,1 till 3,1. Vid båda tillfällena up</w:t>
      </w:r>
      <w:r w:rsidRPr="00F5723F">
        <w:t>p</w:t>
      </w:r>
      <w:r w:rsidRPr="00F5723F">
        <w:t>gav ledamöterna att de har fler kontakter med väljare i än utanför</w:t>
      </w:r>
      <w:r w:rsidRPr="00F5723F">
        <w:t xml:space="preserve"> valkretsen, men skillnaden är inte påfalla</w:t>
      </w:r>
      <w:r w:rsidRPr="00F5723F">
        <w:t>n</w:t>
      </w:r>
      <w:r w:rsidRPr="00F5723F">
        <w:t xml:space="preserve">de stor, och den är dessutom något mindre 2002 än vad den var 1985. </w:t>
      </w:r>
    </w:p>
    <w:p w:rsidR="00B43C57" w:rsidRPr="00F5723F" w:rsidRDefault="00B43C57">
      <w:pPr>
        <w:pStyle w:val="Normaltindrag"/>
      </w:pPr>
      <w:r w:rsidRPr="00F5723F">
        <w:t>Samtidigt finns</w:t>
      </w:r>
      <w:r w:rsidRPr="00F5723F">
        <w:t xml:space="preserve"> </w:t>
      </w:r>
      <w:r w:rsidRPr="00F5723F">
        <w:t xml:space="preserve">det </w:t>
      </w:r>
      <w:r w:rsidRPr="00F5723F">
        <w:t xml:space="preserve">ett starkt samband mellan de </w:t>
      </w:r>
      <w:r w:rsidRPr="00F5723F">
        <w:t>två typerna av väljarko</w:t>
      </w:r>
      <w:r w:rsidRPr="00F5723F">
        <w:t>n</w:t>
      </w:r>
      <w:r w:rsidRPr="00F5723F">
        <w:t>takter:</w:t>
      </w:r>
      <w:r w:rsidRPr="00F5723F">
        <w:t xml:space="preserve"> Ledamöter </w:t>
      </w:r>
      <w:r w:rsidRPr="00F5723F">
        <w:t xml:space="preserve">som har omfattande </w:t>
      </w:r>
      <w:r w:rsidRPr="00F5723F">
        <w:t xml:space="preserve">kontakter med väljare </w:t>
      </w:r>
      <w:r w:rsidRPr="00F5723F">
        <w:t xml:space="preserve">i </w:t>
      </w:r>
      <w:r w:rsidRPr="00F5723F">
        <w:t xml:space="preserve">valkretsen </w:t>
      </w:r>
      <w:r w:rsidRPr="00F5723F">
        <w:t>tenderar också att ha o</w:t>
      </w:r>
      <w:r w:rsidRPr="00F5723F">
        <w:t>m</w:t>
      </w:r>
      <w:r w:rsidRPr="00F5723F">
        <w:t xml:space="preserve">fattande kontakter </w:t>
      </w:r>
      <w:r w:rsidRPr="00F5723F">
        <w:t xml:space="preserve">med väljare </w:t>
      </w:r>
      <w:r w:rsidRPr="00F5723F">
        <w:t>utanför</w:t>
      </w:r>
      <w:r w:rsidRPr="00F5723F">
        <w:t xml:space="preserve"> valkretsen</w:t>
      </w:r>
      <w:r w:rsidRPr="00F5723F">
        <w:t>,</w:t>
      </w:r>
      <w:r w:rsidRPr="00F5723F">
        <w:t xml:space="preserve"> </w:t>
      </w:r>
      <w:r w:rsidRPr="00F5723F">
        <w:t>medan</w:t>
      </w:r>
      <w:r w:rsidRPr="00F5723F">
        <w:t xml:space="preserve"> ledamöter </w:t>
      </w:r>
      <w:r w:rsidRPr="00F5723F">
        <w:t>med begränsade kontakter med väljare i valkretsen på mo</w:t>
      </w:r>
      <w:r w:rsidRPr="00F5723F">
        <w:t>t</w:t>
      </w:r>
      <w:r w:rsidRPr="00F5723F">
        <w:t>svarande sätt tenderar att ha begränsade kontakter med</w:t>
      </w:r>
      <w:r w:rsidRPr="00F5723F">
        <w:t xml:space="preserve"> väljare utanför </w:t>
      </w:r>
      <w:r w:rsidRPr="00F5723F">
        <w:t>va</w:t>
      </w:r>
      <w:r w:rsidRPr="00F5723F">
        <w:t>l</w:t>
      </w:r>
      <w:r w:rsidRPr="00F5723F">
        <w:t>kretsen (</w:t>
      </w:r>
      <w:r w:rsidRPr="00F5723F">
        <w:t>Pea</w:t>
      </w:r>
      <w:r w:rsidRPr="00F5723F">
        <w:t>r</w:t>
      </w:r>
      <w:r w:rsidRPr="00F5723F">
        <w:t>sons r</w:t>
      </w:r>
      <w:r w:rsidRPr="00F5723F">
        <w:t xml:space="preserve"> =</w:t>
      </w:r>
      <w:r w:rsidRPr="00F5723F">
        <w:t xml:space="preserve"> </w:t>
      </w:r>
      <w:r w:rsidRPr="00F5723F">
        <w:t>+ 0,</w:t>
      </w:r>
      <w:r w:rsidRPr="00F5723F">
        <w:t>50</w:t>
      </w:r>
      <w:r w:rsidRPr="00F5723F">
        <w:t>).</w:t>
      </w:r>
    </w:p>
    <w:p w:rsidR="00B43C57" w:rsidRPr="00F5723F" w:rsidRDefault="00B43C57">
      <w:pPr>
        <w:pStyle w:val="Normaltindrag"/>
      </w:pPr>
      <w:r w:rsidRPr="00F5723F">
        <w:t xml:space="preserve">Goda </w:t>
      </w:r>
      <w:r w:rsidRPr="00F5723F">
        <w:t xml:space="preserve">kontakter mellan väljare och valda </w:t>
      </w:r>
      <w:r w:rsidRPr="00F5723F">
        <w:t>är ett fundamentalt kitt i</w:t>
      </w:r>
      <w:r w:rsidRPr="00F5723F">
        <w:t xml:space="preserve"> </w:t>
      </w:r>
      <w:r w:rsidRPr="00F5723F">
        <w:t>en fu</w:t>
      </w:r>
      <w:r w:rsidRPr="00F5723F">
        <w:t>n</w:t>
      </w:r>
      <w:r w:rsidRPr="00F5723F">
        <w:t>gerande mellanvals</w:t>
      </w:r>
      <w:r w:rsidRPr="00F5723F">
        <w:t>dem</w:t>
      </w:r>
      <w:r w:rsidRPr="00F5723F">
        <w:t>o</w:t>
      </w:r>
      <w:r w:rsidRPr="00F5723F">
        <w:t xml:space="preserve">krati. </w:t>
      </w:r>
      <w:r w:rsidRPr="00F5723F">
        <w:t>Men mellanvalskontakter mellan väljare och valda är inte enbart en viktig komponent i normativ demokratiteori. Result</w:t>
      </w:r>
      <w:r w:rsidRPr="00F5723F">
        <w:t>a</w:t>
      </w:r>
      <w:r w:rsidRPr="00F5723F">
        <w:t>ten i det här avsnittet har visat att mellanvalskontakter är ett centralt och med tiden allt viktigare inslag i de svenska riksdagsledamöternas faktiska arbet</w:t>
      </w:r>
      <w:r w:rsidRPr="00F5723F">
        <w:t>s</w:t>
      </w:r>
      <w:r w:rsidRPr="00F5723F">
        <w:t>uppgifter. Det är uppenbart att riksdagsledamöterna</w:t>
      </w:r>
      <w:r w:rsidRPr="00F5723F">
        <w:t xml:space="preserve"> </w:t>
      </w:r>
      <w:r w:rsidRPr="00F5723F">
        <w:t>lägger stor vikt vid me</w:t>
      </w:r>
      <w:r w:rsidRPr="00F5723F">
        <w:t>l</w:t>
      </w:r>
      <w:r w:rsidRPr="00F5723F">
        <w:t>lanvalskontakter med den egna valkretsen, men även andra typer</w:t>
      </w:r>
      <w:r w:rsidRPr="00F5723F">
        <w:t xml:space="preserve"> av medbo</w:t>
      </w:r>
      <w:r w:rsidRPr="00F5723F">
        <w:t>r</w:t>
      </w:r>
      <w:r w:rsidRPr="00F5723F">
        <w:t>garkontakter har blivit vanligare. Kanske är det den nya möjligheten till pe</w:t>
      </w:r>
      <w:r w:rsidRPr="00F5723F">
        <w:t>r</w:t>
      </w:r>
      <w:r w:rsidRPr="00F5723F">
        <w:t>sonröstning i det svenska valsyst</w:t>
      </w:r>
      <w:r w:rsidRPr="00F5723F">
        <w:t>e</w:t>
      </w:r>
      <w:r w:rsidRPr="00F5723F">
        <w:t>met som gjort sig påmind?</w:t>
      </w:r>
    </w:p>
    <w:p w:rsidR="00B43C57" w:rsidRPr="00F5723F" w:rsidRDefault="00B43C57">
      <w:pPr>
        <w:pStyle w:val="Rubrik2"/>
      </w:pPr>
      <w:bookmarkStart w:id="312" w:name="_Toc124697888"/>
      <w:r w:rsidRPr="00F5723F">
        <w:t>Mellanvalskontakternas innehåll</w:t>
      </w:r>
      <w:bookmarkEnd w:id="312"/>
    </w:p>
    <w:p w:rsidR="00B43C57" w:rsidRPr="00F5723F" w:rsidRDefault="00B43C57">
      <w:r w:rsidRPr="00F5723F">
        <w:t>Riksdagsledamöter kan ha olika syften med sina mellanvalskontakter med medborgare. Utifrån en enkel kommunikationsmodell med ”sändare” och ”mottagare” står två uppgifter i centrum för ledamöternas kontakter. Ledam</w:t>
      </w:r>
      <w:r w:rsidRPr="00F5723F">
        <w:t>ö</w:t>
      </w:r>
      <w:r w:rsidRPr="00F5723F">
        <w:t>terna kan se sig som sändare, som mottagare eller som bådadera. I rollen som sändare handlar det i första hand om att i</w:t>
      </w:r>
      <w:r w:rsidRPr="00F5723F">
        <w:t>n</w:t>
      </w:r>
      <w:r w:rsidRPr="00F5723F">
        <w:t>formera, förklara och att påverka medborgarna medan det i rollen som mottagare handlar om att lyssna, info</w:t>
      </w:r>
      <w:r w:rsidRPr="00F5723F">
        <w:t>r</w:t>
      </w:r>
      <w:r w:rsidRPr="00F5723F">
        <w:t>mera sig och att låta sig påverkas.</w:t>
      </w:r>
      <w:r w:rsidRPr="00F5723F">
        <w:rPr>
          <w:rStyle w:val="Fotnotsreferens"/>
          <w:szCs w:val="24"/>
        </w:rPr>
        <w:footnoteReference w:id="157"/>
      </w:r>
      <w:r w:rsidRPr="00F5723F">
        <w:t xml:space="preserve"> </w:t>
      </w:r>
    </w:p>
    <w:p w:rsidR="00B43C57" w:rsidRPr="00F5723F" w:rsidRDefault="00B43C57">
      <w:pPr>
        <w:pStyle w:val="Normaltindrag"/>
      </w:pPr>
      <w:r w:rsidRPr="00F5723F">
        <w:t>Statsvetaren Magnus Isberg använde sig av en motsvarande tudelning me</w:t>
      </w:r>
      <w:r w:rsidRPr="00F5723F">
        <w:t>l</w:t>
      </w:r>
      <w:r w:rsidRPr="00F5723F">
        <w:t xml:space="preserve">lan sändare och mottagare i en intervjuundersökning med </w:t>
      </w:r>
      <w:r w:rsidRPr="00F5723F">
        <w:t>52 riksdagsveter</w:t>
      </w:r>
      <w:r w:rsidRPr="00F5723F">
        <w:t>a</w:t>
      </w:r>
      <w:r w:rsidRPr="00F5723F">
        <w:t>ner</w:t>
      </w:r>
      <w:r w:rsidRPr="00F5723F">
        <w:t xml:space="preserve">. Resultaten visade att </w:t>
      </w:r>
      <w:r w:rsidRPr="00F5723F">
        <w:t>socialdemok</w:t>
      </w:r>
      <w:r w:rsidRPr="00F5723F">
        <w:t>r</w:t>
      </w:r>
      <w:r w:rsidRPr="00F5723F">
        <w:t xml:space="preserve">ater, folkpartister, centerpartister och vänsterpartister </w:t>
      </w:r>
      <w:r w:rsidRPr="00F5723F">
        <w:t xml:space="preserve">uppfattade sig som </w:t>
      </w:r>
      <w:r w:rsidRPr="00F5723F">
        <w:t>tvåvägskommunikat</w:t>
      </w:r>
      <w:r w:rsidRPr="00F5723F">
        <w:t>örer:</w:t>
      </w:r>
      <w:r w:rsidRPr="00F5723F">
        <w:t xml:space="preserve"> </w:t>
      </w:r>
      <w:r w:rsidRPr="00F5723F">
        <w:t>För flertalet av dessa riksdagsveteraner handlade me</w:t>
      </w:r>
      <w:r w:rsidRPr="00F5723F">
        <w:t>d</w:t>
      </w:r>
      <w:r w:rsidRPr="00F5723F">
        <w:t>borgarkontakter både om att informera och om att låta sig informeras.</w:t>
      </w:r>
      <w:r w:rsidRPr="00F5723F">
        <w:t xml:space="preserve"> De moderata </w:t>
      </w:r>
      <w:r w:rsidRPr="00F5723F">
        <w:t>riksdags</w:t>
      </w:r>
      <w:r w:rsidRPr="00F5723F">
        <w:t xml:space="preserve">veteranerna </w:t>
      </w:r>
      <w:r w:rsidRPr="00F5723F">
        <w:t>uppfattade sig däremot i första hand som sändare där den viktigaste kommunikation</w:t>
      </w:r>
      <w:r w:rsidRPr="00F5723F">
        <w:t>s</w:t>
      </w:r>
      <w:r w:rsidRPr="00F5723F">
        <w:t>uppgiften är att</w:t>
      </w:r>
      <w:r w:rsidRPr="00F5723F">
        <w:t xml:space="preserve"> föra ut partiets </w:t>
      </w:r>
      <w:r w:rsidRPr="00F5723F">
        <w:t xml:space="preserve">politik och </w:t>
      </w:r>
      <w:r w:rsidRPr="00F5723F">
        <w:t>ställningstagand</w:t>
      </w:r>
      <w:r w:rsidRPr="00F5723F">
        <w:t>en (Isberg 1999:81).</w:t>
      </w:r>
      <w:r w:rsidRPr="00F5723F">
        <w:rPr>
          <w:rStyle w:val="Fotnotsreferens"/>
          <w:szCs w:val="24"/>
        </w:rPr>
        <w:footnoteReference w:id="158"/>
      </w:r>
    </w:p>
    <w:p w:rsidR="00B43C57" w:rsidRPr="00F5723F" w:rsidRDefault="00B43C57">
      <w:pPr>
        <w:pStyle w:val="Normaltindrag"/>
      </w:pPr>
      <w:r w:rsidRPr="00F5723F">
        <w:t xml:space="preserve">Hur </w:t>
      </w:r>
      <w:r w:rsidRPr="00F5723F">
        <w:t>betraktar då riksdags</w:t>
      </w:r>
      <w:r w:rsidRPr="00F5723F">
        <w:t>ledamöter</w:t>
      </w:r>
      <w:r w:rsidRPr="00F5723F">
        <w:t>na</w:t>
      </w:r>
      <w:r w:rsidRPr="00F5723F">
        <w:t xml:space="preserve"> denna tvåvägskommunikation? Lä</w:t>
      </w:r>
      <w:r w:rsidRPr="00F5723F">
        <w:t>g</w:t>
      </w:r>
      <w:r w:rsidRPr="00F5723F">
        <w:t>ger</w:t>
      </w:r>
      <w:r w:rsidRPr="00F5723F">
        <w:t xml:space="preserve"> </w:t>
      </w:r>
      <w:r w:rsidRPr="00F5723F">
        <w:t xml:space="preserve">de </w:t>
      </w:r>
      <w:r w:rsidRPr="00F5723F">
        <w:t xml:space="preserve">tyngdpunkten på </w:t>
      </w:r>
      <w:r w:rsidRPr="00F5723F">
        <w:t xml:space="preserve">det </w:t>
      </w:r>
      <w:r w:rsidRPr="00F5723F">
        <w:t>första ledet – att föra ut det egna politiska bu</w:t>
      </w:r>
      <w:r w:rsidRPr="00F5723F">
        <w:t>d</w:t>
      </w:r>
      <w:r w:rsidRPr="00F5723F">
        <w:t xml:space="preserve">skapet – eller på det senare ledet – att inhämta uppgifter om </w:t>
      </w:r>
      <w:r w:rsidRPr="00F5723F">
        <w:t>vad medborgarna tycker och tänker mellan valen</w:t>
      </w:r>
      <w:r w:rsidRPr="00F5723F">
        <w:t xml:space="preserve">? </w:t>
      </w:r>
    </w:p>
    <w:p w:rsidR="00B43C57" w:rsidRPr="00F5723F" w:rsidRDefault="00B43C57">
      <w:pPr>
        <w:pStyle w:val="Normaltindrag"/>
      </w:pPr>
      <w:r w:rsidRPr="00F5723F">
        <w:t xml:space="preserve">I </w:t>
      </w:r>
      <w:r w:rsidRPr="00F5723F">
        <w:t xml:space="preserve">Riksdagskommitténs </w:t>
      </w:r>
      <w:r w:rsidRPr="00F5723F">
        <w:t>enkät</w:t>
      </w:r>
      <w:r w:rsidRPr="00F5723F">
        <w:t xml:space="preserve">undersökning </w:t>
      </w:r>
      <w:r w:rsidRPr="00F5723F">
        <w:t>2004 ställdes frågor om hur l</w:t>
      </w:r>
      <w:r w:rsidRPr="00F5723F">
        <w:t>e</w:t>
      </w:r>
      <w:r w:rsidRPr="00F5723F">
        <w:t>damöterna utnyttjar de plenifria veckorna och vilka uppgifter som ledamöte</w:t>
      </w:r>
      <w:r w:rsidRPr="00F5723F">
        <w:t>r</w:t>
      </w:r>
      <w:r w:rsidRPr="00F5723F">
        <w:t>na i större utsträckning skulle vilja ägna sig åt. I båda fallen finns det gott om svar som visar på ledamöternas intresse för mellanvalskontakter med me</w:t>
      </w:r>
      <w:r w:rsidRPr="00F5723F">
        <w:t>d</w:t>
      </w:r>
      <w:r w:rsidRPr="00F5723F">
        <w:t>borgarna. Bland svaren finns också exempel som visar på tudelningen mellan sä</w:t>
      </w:r>
      <w:r w:rsidRPr="00F5723F">
        <w:t>n</w:t>
      </w:r>
      <w:r w:rsidRPr="00F5723F">
        <w:t>darrollen och mottagarrollen.</w:t>
      </w:r>
      <w:r w:rsidRPr="00F5723F">
        <w:rPr>
          <w:rStyle w:val="Fotnotsreferens"/>
          <w:szCs w:val="24"/>
        </w:rPr>
        <w:footnoteReference w:id="159"/>
      </w:r>
    </w:p>
    <w:p w:rsidR="00B43C57" w:rsidRPr="00F5723F" w:rsidRDefault="00B43C57">
      <w:pPr>
        <w:pStyle w:val="Normaltindrag"/>
      </w:pPr>
      <w:r w:rsidRPr="00F5723F">
        <w:t xml:space="preserve">I Riksdagskommitténs </w:t>
      </w:r>
      <w:r w:rsidRPr="00F5723F">
        <w:t>enkät</w:t>
      </w:r>
      <w:r w:rsidRPr="00F5723F">
        <w:t xml:space="preserve">undersökning </w:t>
      </w:r>
      <w:r w:rsidRPr="00F5723F">
        <w:t xml:space="preserve">2004 ställdes följande </w:t>
      </w:r>
      <w:r w:rsidRPr="00F5723F">
        <w:t xml:space="preserve">fråga: ”Hur viktiga anser Du följande uppgifter vara när </w:t>
      </w:r>
      <w:r w:rsidRPr="00F5723F">
        <w:t>d</w:t>
      </w:r>
      <w:r w:rsidRPr="00F5723F">
        <w:t xml:space="preserve">u träffar personer från </w:t>
      </w:r>
      <w:r w:rsidRPr="00F5723F">
        <w:t>din valkrets?” Riksdagsl</w:t>
      </w:r>
      <w:r w:rsidRPr="00F5723F">
        <w:t>e</w:t>
      </w:r>
      <w:r w:rsidRPr="00F5723F">
        <w:t>damöterna fick här ta ställning till de två uppgifterna ”</w:t>
      </w:r>
      <w:r w:rsidRPr="00F5723F">
        <w:t>att informera om det pågående riksdagsarbetet</w:t>
      </w:r>
      <w:r w:rsidRPr="00F5723F">
        <w:t>”</w:t>
      </w:r>
      <w:r w:rsidRPr="00F5723F">
        <w:t xml:space="preserve"> och </w:t>
      </w:r>
      <w:r w:rsidRPr="00F5723F">
        <w:t>”</w:t>
      </w:r>
      <w:r w:rsidRPr="00F5723F">
        <w:t xml:space="preserve">att </w:t>
      </w:r>
      <w:r w:rsidRPr="00F5723F">
        <w:t xml:space="preserve">bli </w:t>
      </w:r>
      <w:r w:rsidRPr="00F5723F">
        <w:t>informera</w:t>
      </w:r>
      <w:r w:rsidRPr="00F5723F">
        <w:t xml:space="preserve">d </w:t>
      </w:r>
      <w:r w:rsidRPr="00F5723F">
        <w:t>om problem</w:t>
      </w:r>
      <w:r w:rsidRPr="00F5723F">
        <w:t>en</w:t>
      </w:r>
      <w:r w:rsidRPr="00F5723F">
        <w:t xml:space="preserve"> i </w:t>
      </w:r>
      <w:r w:rsidRPr="00F5723F">
        <w:t xml:space="preserve">din </w:t>
      </w:r>
      <w:r w:rsidRPr="00F5723F">
        <w:t>valkrets</w:t>
      </w:r>
      <w:r w:rsidRPr="00F5723F">
        <w:t>”. De svarsalternativ som erbjöds var</w:t>
      </w:r>
      <w:r w:rsidRPr="00F5723F">
        <w:t xml:space="preserve"> ”mycket vi</w:t>
      </w:r>
      <w:r w:rsidRPr="00F5723F">
        <w:t>k</w:t>
      </w:r>
      <w:r w:rsidRPr="00F5723F">
        <w:t>tig”, ”ganska viktig”, ”varken viktig eller oviktig”, ”ganska oviktig” och ”helt ovi</w:t>
      </w:r>
      <w:r w:rsidRPr="00F5723F">
        <w:t>k</w:t>
      </w:r>
      <w:r w:rsidRPr="00F5723F">
        <w:t>tig”.</w:t>
      </w:r>
      <w:r w:rsidRPr="00F5723F">
        <w:t xml:space="preserve"> Resultaten redovisas i tabellerna 7 och 8.</w:t>
      </w:r>
    </w:p>
    <w:p w:rsidR="00B43C57" w:rsidRPr="00F5723F" w:rsidRDefault="00B43C57">
      <w:pPr>
        <w:pStyle w:val="Normaltindrag"/>
      </w:pPr>
      <w:r w:rsidRPr="00F5723F">
        <w:t>Riksdagsledamöterna tycker</w:t>
      </w:r>
      <w:r w:rsidRPr="00F5723F">
        <w:t xml:space="preserve"> det är viktigast att använda kontakterna med den egna valkretsen till</w:t>
      </w:r>
      <w:r w:rsidRPr="00F5723F">
        <w:t xml:space="preserve"> att informera</w:t>
      </w:r>
      <w:r w:rsidRPr="00F5723F">
        <w:t xml:space="preserve"> sig</w:t>
      </w:r>
      <w:r w:rsidRPr="00F5723F">
        <w:t xml:space="preserve"> om problem</w:t>
      </w:r>
      <w:r w:rsidRPr="00F5723F">
        <w:t>en</w:t>
      </w:r>
      <w:r w:rsidRPr="00F5723F">
        <w:t xml:space="preserve"> på hemmaplan</w:t>
      </w:r>
      <w:r w:rsidRPr="00F5723F">
        <w:t xml:space="preserve"> (86 procent mycket viktigt) medan uppgiften att informera valkretsen om det påg</w:t>
      </w:r>
      <w:r w:rsidRPr="00F5723F">
        <w:t>å</w:t>
      </w:r>
      <w:r w:rsidRPr="00F5723F">
        <w:t>ende riksdagsarbetet bedöms som relativt sett mindre viktig (53 procent)</w:t>
      </w:r>
      <w:r w:rsidRPr="00F5723F">
        <w:t>.</w:t>
      </w:r>
      <w:r w:rsidRPr="00F5723F">
        <w:t xml:space="preserve"> Samtidigt framstår riksdagsledamöterna som goda tvåvägskommunikatörer:</w:t>
      </w:r>
      <w:r w:rsidRPr="00F5723F">
        <w:t xml:space="preserve"> </w:t>
      </w:r>
      <w:r w:rsidRPr="00F5723F">
        <w:t>Den vanligaste svarskombinationen i tabell 8 är att det är mycket viktigt att både informera om sitt arbete i riksdagen och att låta sig informeras om pr</w:t>
      </w:r>
      <w:r w:rsidRPr="00F5723F">
        <w:t>o</w:t>
      </w:r>
      <w:r w:rsidRPr="00F5723F">
        <w:t xml:space="preserve">blem i valkretsen </w:t>
      </w:r>
      <w:r w:rsidRPr="00F5723F">
        <w:t>(49 procent).</w:t>
      </w:r>
      <w:r w:rsidRPr="00F5723F">
        <w:rPr>
          <w:rStyle w:val="Fotnotsreferens"/>
          <w:szCs w:val="24"/>
        </w:rPr>
        <w:footnoteReference w:id="160"/>
      </w:r>
    </w:p>
    <w:p w:rsidR="00B43C57" w:rsidRPr="00F5723F" w:rsidRDefault="00B43C57">
      <w:pPr>
        <w:pStyle w:val="Normaltindrag"/>
        <w:spacing w:line="240" w:lineRule="auto"/>
      </w:pPr>
    </w:p>
    <w:p w:rsidR="00B43C57" w:rsidRPr="00F5723F" w:rsidRDefault="00B43C57">
      <w:pPr>
        <w:pStyle w:val="Tabellrubrik"/>
      </w:pPr>
      <w:r w:rsidRPr="00F5723F">
        <w:t>Tabell 7</w:t>
      </w:r>
      <w:r w:rsidRPr="00F5723F">
        <w:tab/>
        <w:t>Riksdagsledamöternas uppfattningar om två uppgifter i den egna valkretsen 2004. Andel ledamöter som anser att respektive uppgift är mycket vi</w:t>
      </w:r>
      <w:r w:rsidRPr="00F5723F">
        <w:t>k</w:t>
      </w:r>
      <w:r w:rsidRPr="00F5723F">
        <w:t>tig (procent).</w:t>
      </w:r>
    </w:p>
    <w:tbl>
      <w:tblPr>
        <w:tblW w:w="5000" w:type="pct"/>
        <w:tblCellMar>
          <w:left w:w="70" w:type="dxa"/>
          <w:right w:w="70" w:type="dxa"/>
        </w:tblCellMar>
        <w:tblLook w:val="00AF" w:firstRow="1" w:lastRow="0" w:firstColumn="1" w:lastColumn="0" w:noHBand="0" w:noVBand="0"/>
      </w:tblPr>
      <w:tblGrid>
        <w:gridCol w:w="2601"/>
        <w:gridCol w:w="391"/>
        <w:gridCol w:w="427"/>
        <w:gridCol w:w="427"/>
        <w:gridCol w:w="428"/>
        <w:gridCol w:w="428"/>
        <w:gridCol w:w="428"/>
        <w:gridCol w:w="428"/>
        <w:gridCol w:w="395"/>
      </w:tblGrid>
      <w:tr w:rsidR="00000000" w:rsidRPr="00F5723F">
        <w:tblPrEx>
          <w:tblCellMar>
            <w:top w:w="0" w:type="dxa"/>
            <w:bottom w:w="0" w:type="dxa"/>
          </w:tblCellMar>
        </w:tblPrEx>
        <w:tc>
          <w:tcPr>
            <w:tcW w:w="2190" w:type="pct"/>
            <w:tcBorders>
              <w:top w:val="single" w:sz="4" w:space="0" w:color="auto"/>
              <w:bottom w:val="single" w:sz="4" w:space="0" w:color="auto"/>
            </w:tcBorders>
          </w:tcPr>
          <w:p w:rsidR="00B43C57" w:rsidRPr="00F5723F" w:rsidRDefault="00B43C57">
            <w:pPr>
              <w:pStyle w:val="Tabelltext"/>
              <w:jc w:val="center"/>
              <w:rPr>
                <w:szCs w:val="16"/>
              </w:rPr>
            </w:pPr>
          </w:p>
        </w:tc>
        <w:tc>
          <w:tcPr>
            <w:tcW w:w="290"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v</w:t>
            </w:r>
          </w:p>
        </w:tc>
        <w:tc>
          <w:tcPr>
            <w:tcW w:w="364"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S</w:t>
            </w:r>
          </w:p>
        </w:tc>
        <w:tc>
          <w:tcPr>
            <w:tcW w:w="364"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c</w:t>
            </w:r>
          </w:p>
        </w:tc>
        <w:tc>
          <w:tcPr>
            <w:tcW w:w="364"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fp</w:t>
            </w:r>
          </w:p>
        </w:tc>
        <w:tc>
          <w:tcPr>
            <w:tcW w:w="364"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m</w:t>
            </w:r>
          </w:p>
        </w:tc>
        <w:tc>
          <w:tcPr>
            <w:tcW w:w="364"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kd</w:t>
            </w:r>
          </w:p>
        </w:tc>
        <w:tc>
          <w:tcPr>
            <w:tcW w:w="364"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mp</w:t>
            </w:r>
          </w:p>
        </w:tc>
        <w:tc>
          <w:tcPr>
            <w:tcW w:w="337" w:type="pct"/>
            <w:tcBorders>
              <w:top w:val="single" w:sz="4" w:space="0" w:color="auto"/>
              <w:bottom w:val="single" w:sz="4" w:space="0" w:color="auto"/>
            </w:tcBorders>
          </w:tcPr>
          <w:p w:rsidR="00B43C57" w:rsidRPr="00F5723F" w:rsidRDefault="00B43C57">
            <w:pPr>
              <w:pStyle w:val="Tabelltext"/>
              <w:jc w:val="center"/>
              <w:rPr>
                <w:szCs w:val="16"/>
              </w:rPr>
            </w:pPr>
            <w:r w:rsidRPr="00F5723F">
              <w:rPr>
                <w:szCs w:val="16"/>
              </w:rPr>
              <w:t>alla</w:t>
            </w:r>
          </w:p>
        </w:tc>
      </w:tr>
      <w:tr w:rsidR="00000000" w:rsidRPr="00F5723F">
        <w:tblPrEx>
          <w:tblCellMar>
            <w:top w:w="0" w:type="dxa"/>
            <w:bottom w:w="0" w:type="dxa"/>
          </w:tblCellMar>
        </w:tblPrEx>
        <w:tc>
          <w:tcPr>
            <w:tcW w:w="2190" w:type="pct"/>
            <w:tcBorders>
              <w:top w:val="single" w:sz="4" w:space="0" w:color="auto"/>
            </w:tcBorders>
          </w:tcPr>
          <w:p w:rsidR="00B43C57" w:rsidRPr="00F5723F" w:rsidRDefault="00B43C57">
            <w:pPr>
              <w:pStyle w:val="Tabelltext"/>
              <w:rPr>
                <w:szCs w:val="16"/>
              </w:rPr>
            </w:pPr>
          </w:p>
        </w:tc>
        <w:tc>
          <w:tcPr>
            <w:tcW w:w="290" w:type="pct"/>
            <w:tcBorders>
              <w:top w:val="single" w:sz="4" w:space="0" w:color="auto"/>
            </w:tcBorders>
          </w:tcPr>
          <w:p w:rsidR="00B43C57" w:rsidRPr="00F5723F" w:rsidRDefault="00B43C57">
            <w:pPr>
              <w:pStyle w:val="Tabelltext"/>
              <w:rPr>
                <w:szCs w:val="16"/>
              </w:rPr>
            </w:pPr>
          </w:p>
        </w:tc>
        <w:tc>
          <w:tcPr>
            <w:tcW w:w="364" w:type="pct"/>
            <w:tcBorders>
              <w:top w:val="single" w:sz="4" w:space="0" w:color="auto"/>
            </w:tcBorders>
          </w:tcPr>
          <w:p w:rsidR="00B43C57" w:rsidRPr="00F5723F" w:rsidRDefault="00B43C57">
            <w:pPr>
              <w:pStyle w:val="Tabelltext"/>
              <w:rPr>
                <w:szCs w:val="16"/>
              </w:rPr>
            </w:pPr>
          </w:p>
        </w:tc>
        <w:tc>
          <w:tcPr>
            <w:tcW w:w="364" w:type="pct"/>
            <w:tcBorders>
              <w:top w:val="single" w:sz="4" w:space="0" w:color="auto"/>
            </w:tcBorders>
          </w:tcPr>
          <w:p w:rsidR="00B43C57" w:rsidRPr="00F5723F" w:rsidRDefault="00B43C57">
            <w:pPr>
              <w:pStyle w:val="Tabelltext"/>
              <w:rPr>
                <w:szCs w:val="16"/>
              </w:rPr>
            </w:pPr>
          </w:p>
        </w:tc>
        <w:tc>
          <w:tcPr>
            <w:tcW w:w="364" w:type="pct"/>
            <w:tcBorders>
              <w:top w:val="single" w:sz="4" w:space="0" w:color="auto"/>
            </w:tcBorders>
          </w:tcPr>
          <w:p w:rsidR="00B43C57" w:rsidRPr="00F5723F" w:rsidRDefault="00B43C57">
            <w:pPr>
              <w:pStyle w:val="Tabelltext"/>
              <w:rPr>
                <w:szCs w:val="16"/>
              </w:rPr>
            </w:pPr>
          </w:p>
        </w:tc>
        <w:tc>
          <w:tcPr>
            <w:tcW w:w="364" w:type="pct"/>
            <w:tcBorders>
              <w:top w:val="single" w:sz="4" w:space="0" w:color="auto"/>
            </w:tcBorders>
          </w:tcPr>
          <w:p w:rsidR="00B43C57" w:rsidRPr="00F5723F" w:rsidRDefault="00B43C57">
            <w:pPr>
              <w:pStyle w:val="Tabelltext"/>
              <w:rPr>
                <w:szCs w:val="16"/>
              </w:rPr>
            </w:pPr>
          </w:p>
        </w:tc>
        <w:tc>
          <w:tcPr>
            <w:tcW w:w="364" w:type="pct"/>
            <w:tcBorders>
              <w:top w:val="single" w:sz="4" w:space="0" w:color="auto"/>
            </w:tcBorders>
          </w:tcPr>
          <w:p w:rsidR="00B43C57" w:rsidRPr="00F5723F" w:rsidRDefault="00B43C57">
            <w:pPr>
              <w:pStyle w:val="Tabelltext"/>
              <w:rPr>
                <w:szCs w:val="16"/>
              </w:rPr>
            </w:pPr>
          </w:p>
        </w:tc>
        <w:tc>
          <w:tcPr>
            <w:tcW w:w="364" w:type="pct"/>
            <w:tcBorders>
              <w:top w:val="single" w:sz="4" w:space="0" w:color="auto"/>
            </w:tcBorders>
          </w:tcPr>
          <w:p w:rsidR="00B43C57" w:rsidRPr="00F5723F" w:rsidRDefault="00B43C57">
            <w:pPr>
              <w:pStyle w:val="Tabelltext"/>
              <w:rPr>
                <w:szCs w:val="16"/>
              </w:rPr>
            </w:pPr>
          </w:p>
        </w:tc>
        <w:tc>
          <w:tcPr>
            <w:tcW w:w="337" w:type="pct"/>
            <w:tcBorders>
              <w:top w:val="single" w:sz="4" w:space="0" w:color="auto"/>
            </w:tcBorders>
          </w:tcPr>
          <w:p w:rsidR="00B43C57" w:rsidRPr="00F5723F" w:rsidRDefault="00B43C57">
            <w:pPr>
              <w:pStyle w:val="Tabelltext"/>
              <w:rPr>
                <w:szCs w:val="16"/>
              </w:rPr>
            </w:pPr>
          </w:p>
        </w:tc>
      </w:tr>
      <w:tr w:rsidR="00000000" w:rsidRPr="00F5723F">
        <w:tblPrEx>
          <w:tblCellMar>
            <w:top w:w="0" w:type="dxa"/>
            <w:bottom w:w="0" w:type="dxa"/>
          </w:tblCellMar>
        </w:tblPrEx>
        <w:tc>
          <w:tcPr>
            <w:tcW w:w="2190" w:type="pct"/>
          </w:tcPr>
          <w:p w:rsidR="00B43C57" w:rsidRPr="00F5723F" w:rsidRDefault="00B43C57">
            <w:pPr>
              <w:pStyle w:val="Tabelltext"/>
              <w:ind w:left="285" w:hanging="285"/>
              <w:rPr>
                <w:szCs w:val="16"/>
              </w:rPr>
            </w:pPr>
            <w:r w:rsidRPr="00F5723F">
              <w:rPr>
                <w:szCs w:val="16"/>
              </w:rPr>
              <w:t xml:space="preserve">informera om det pågående </w:t>
            </w:r>
          </w:p>
          <w:p w:rsidR="00B43C57" w:rsidRPr="00F5723F" w:rsidRDefault="00B43C57">
            <w:pPr>
              <w:pStyle w:val="Tabelltext"/>
              <w:ind w:left="285"/>
              <w:rPr>
                <w:szCs w:val="16"/>
              </w:rPr>
            </w:pPr>
            <w:r w:rsidRPr="00F5723F">
              <w:rPr>
                <w:szCs w:val="16"/>
              </w:rPr>
              <w:t>rik</w:t>
            </w:r>
            <w:r w:rsidRPr="00F5723F">
              <w:rPr>
                <w:szCs w:val="16"/>
              </w:rPr>
              <w:t>s</w:t>
            </w:r>
            <w:r w:rsidRPr="00F5723F">
              <w:rPr>
                <w:szCs w:val="16"/>
              </w:rPr>
              <w:t>dagsarbetet</w:t>
            </w:r>
          </w:p>
        </w:tc>
        <w:tc>
          <w:tcPr>
            <w:tcW w:w="290" w:type="pct"/>
          </w:tcPr>
          <w:p w:rsidR="00B43C57" w:rsidRPr="00F5723F" w:rsidRDefault="00B43C57">
            <w:pPr>
              <w:pStyle w:val="Tabelltext"/>
              <w:jc w:val="center"/>
              <w:rPr>
                <w:szCs w:val="16"/>
              </w:rPr>
            </w:pPr>
            <w:r w:rsidRPr="00F5723F">
              <w:rPr>
                <w:szCs w:val="16"/>
              </w:rPr>
              <w:t>52</w:t>
            </w:r>
          </w:p>
        </w:tc>
        <w:tc>
          <w:tcPr>
            <w:tcW w:w="364" w:type="pct"/>
          </w:tcPr>
          <w:p w:rsidR="00B43C57" w:rsidRPr="00F5723F" w:rsidRDefault="00B43C57">
            <w:pPr>
              <w:pStyle w:val="Tabelltext"/>
              <w:jc w:val="center"/>
              <w:rPr>
                <w:szCs w:val="16"/>
              </w:rPr>
            </w:pPr>
            <w:r w:rsidRPr="00F5723F">
              <w:rPr>
                <w:szCs w:val="16"/>
              </w:rPr>
              <w:t>50</w:t>
            </w:r>
          </w:p>
        </w:tc>
        <w:tc>
          <w:tcPr>
            <w:tcW w:w="364" w:type="pct"/>
          </w:tcPr>
          <w:p w:rsidR="00B43C57" w:rsidRPr="00F5723F" w:rsidRDefault="00B43C57">
            <w:pPr>
              <w:pStyle w:val="Tabelltext"/>
              <w:jc w:val="center"/>
              <w:rPr>
                <w:szCs w:val="16"/>
              </w:rPr>
            </w:pPr>
            <w:r w:rsidRPr="00F5723F">
              <w:rPr>
                <w:szCs w:val="16"/>
              </w:rPr>
              <w:t>56</w:t>
            </w:r>
          </w:p>
        </w:tc>
        <w:tc>
          <w:tcPr>
            <w:tcW w:w="364" w:type="pct"/>
          </w:tcPr>
          <w:p w:rsidR="00B43C57" w:rsidRPr="00F5723F" w:rsidRDefault="00B43C57">
            <w:pPr>
              <w:pStyle w:val="Tabelltext"/>
              <w:jc w:val="center"/>
              <w:rPr>
                <w:szCs w:val="16"/>
              </w:rPr>
            </w:pPr>
            <w:r w:rsidRPr="00F5723F">
              <w:rPr>
                <w:szCs w:val="16"/>
              </w:rPr>
              <w:t>64</w:t>
            </w:r>
          </w:p>
        </w:tc>
        <w:tc>
          <w:tcPr>
            <w:tcW w:w="364" w:type="pct"/>
          </w:tcPr>
          <w:p w:rsidR="00B43C57" w:rsidRPr="00F5723F" w:rsidRDefault="00B43C57">
            <w:pPr>
              <w:pStyle w:val="Tabelltext"/>
              <w:jc w:val="center"/>
              <w:rPr>
                <w:szCs w:val="16"/>
              </w:rPr>
            </w:pPr>
            <w:r w:rsidRPr="00F5723F">
              <w:rPr>
                <w:szCs w:val="16"/>
              </w:rPr>
              <w:t>32</w:t>
            </w:r>
          </w:p>
        </w:tc>
        <w:tc>
          <w:tcPr>
            <w:tcW w:w="364" w:type="pct"/>
          </w:tcPr>
          <w:p w:rsidR="00B43C57" w:rsidRPr="00F5723F" w:rsidRDefault="00B43C57">
            <w:pPr>
              <w:pStyle w:val="Tabelltext"/>
              <w:jc w:val="center"/>
              <w:rPr>
                <w:szCs w:val="16"/>
              </w:rPr>
            </w:pPr>
            <w:r w:rsidRPr="00F5723F">
              <w:rPr>
                <w:szCs w:val="16"/>
              </w:rPr>
              <w:t>72</w:t>
            </w:r>
          </w:p>
        </w:tc>
        <w:tc>
          <w:tcPr>
            <w:tcW w:w="364" w:type="pct"/>
          </w:tcPr>
          <w:p w:rsidR="00B43C57" w:rsidRPr="00F5723F" w:rsidRDefault="00B43C57">
            <w:pPr>
              <w:pStyle w:val="Tabelltext"/>
              <w:jc w:val="center"/>
              <w:rPr>
                <w:szCs w:val="16"/>
              </w:rPr>
            </w:pPr>
            <w:r w:rsidRPr="00F5723F">
              <w:rPr>
                <w:szCs w:val="16"/>
              </w:rPr>
              <w:t>56</w:t>
            </w:r>
          </w:p>
        </w:tc>
        <w:tc>
          <w:tcPr>
            <w:tcW w:w="337" w:type="pct"/>
          </w:tcPr>
          <w:p w:rsidR="00B43C57" w:rsidRPr="00F5723F" w:rsidRDefault="00B43C57">
            <w:pPr>
              <w:pStyle w:val="Tabelltext"/>
              <w:jc w:val="center"/>
              <w:rPr>
                <w:szCs w:val="16"/>
              </w:rPr>
            </w:pPr>
            <w:r w:rsidRPr="00F5723F">
              <w:rPr>
                <w:szCs w:val="16"/>
              </w:rPr>
              <w:t>53</w:t>
            </w:r>
          </w:p>
        </w:tc>
      </w:tr>
      <w:tr w:rsidR="00000000" w:rsidRPr="00F5723F">
        <w:tblPrEx>
          <w:tblCellMar>
            <w:top w:w="0" w:type="dxa"/>
            <w:bottom w:w="0" w:type="dxa"/>
          </w:tblCellMar>
        </w:tblPrEx>
        <w:tc>
          <w:tcPr>
            <w:tcW w:w="2190" w:type="pct"/>
          </w:tcPr>
          <w:p w:rsidR="00B43C57" w:rsidRPr="00F5723F" w:rsidRDefault="00B43C57">
            <w:pPr>
              <w:pStyle w:val="Tabelltext"/>
              <w:ind w:left="285" w:hanging="285"/>
              <w:rPr>
                <w:szCs w:val="16"/>
              </w:rPr>
            </w:pPr>
          </w:p>
        </w:tc>
        <w:tc>
          <w:tcPr>
            <w:tcW w:w="290"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37" w:type="pct"/>
          </w:tcPr>
          <w:p w:rsidR="00B43C57" w:rsidRPr="00F5723F" w:rsidRDefault="00B43C57">
            <w:pPr>
              <w:pStyle w:val="Tabelltext"/>
              <w:jc w:val="center"/>
              <w:rPr>
                <w:szCs w:val="16"/>
              </w:rPr>
            </w:pPr>
          </w:p>
        </w:tc>
      </w:tr>
      <w:tr w:rsidR="00000000" w:rsidRPr="00F5723F">
        <w:tblPrEx>
          <w:tblCellMar>
            <w:top w:w="0" w:type="dxa"/>
            <w:bottom w:w="0" w:type="dxa"/>
          </w:tblCellMar>
        </w:tblPrEx>
        <w:tc>
          <w:tcPr>
            <w:tcW w:w="2190" w:type="pct"/>
          </w:tcPr>
          <w:p w:rsidR="00B43C57" w:rsidRPr="00F5723F" w:rsidRDefault="00B43C57">
            <w:pPr>
              <w:pStyle w:val="Tabelltext"/>
              <w:ind w:left="285" w:hanging="285"/>
              <w:rPr>
                <w:szCs w:val="16"/>
              </w:rPr>
            </w:pPr>
            <w:r w:rsidRPr="00F5723F">
              <w:rPr>
                <w:szCs w:val="16"/>
              </w:rPr>
              <w:t xml:space="preserve">informeras om problemen i </w:t>
            </w:r>
          </w:p>
          <w:p w:rsidR="00B43C57" w:rsidRPr="00F5723F" w:rsidRDefault="00B43C57">
            <w:pPr>
              <w:pStyle w:val="Tabelltext"/>
              <w:ind w:left="285"/>
              <w:rPr>
                <w:szCs w:val="16"/>
              </w:rPr>
            </w:pPr>
            <w:r w:rsidRPr="00F5723F">
              <w:rPr>
                <w:szCs w:val="16"/>
              </w:rPr>
              <w:t>din valkre</w:t>
            </w:r>
            <w:r w:rsidRPr="00F5723F">
              <w:rPr>
                <w:szCs w:val="16"/>
              </w:rPr>
              <w:t>t</w:t>
            </w:r>
            <w:r w:rsidRPr="00F5723F">
              <w:rPr>
                <w:szCs w:val="16"/>
              </w:rPr>
              <w:t>s</w:t>
            </w:r>
          </w:p>
        </w:tc>
        <w:tc>
          <w:tcPr>
            <w:tcW w:w="290" w:type="pct"/>
          </w:tcPr>
          <w:p w:rsidR="00B43C57" w:rsidRPr="00F5723F" w:rsidRDefault="00B43C57">
            <w:pPr>
              <w:pStyle w:val="Tabelltext"/>
              <w:jc w:val="center"/>
              <w:rPr>
                <w:szCs w:val="16"/>
              </w:rPr>
            </w:pPr>
            <w:r w:rsidRPr="00F5723F">
              <w:rPr>
                <w:szCs w:val="16"/>
              </w:rPr>
              <w:t>78</w:t>
            </w:r>
          </w:p>
        </w:tc>
        <w:tc>
          <w:tcPr>
            <w:tcW w:w="364" w:type="pct"/>
          </w:tcPr>
          <w:p w:rsidR="00B43C57" w:rsidRPr="00F5723F" w:rsidRDefault="00B43C57">
            <w:pPr>
              <w:pStyle w:val="Tabelltext"/>
              <w:jc w:val="center"/>
              <w:rPr>
                <w:szCs w:val="16"/>
              </w:rPr>
            </w:pPr>
            <w:r w:rsidRPr="00F5723F">
              <w:rPr>
                <w:szCs w:val="16"/>
              </w:rPr>
              <w:t>82</w:t>
            </w:r>
          </w:p>
        </w:tc>
        <w:tc>
          <w:tcPr>
            <w:tcW w:w="364" w:type="pct"/>
          </w:tcPr>
          <w:p w:rsidR="00B43C57" w:rsidRPr="00F5723F" w:rsidRDefault="00B43C57">
            <w:pPr>
              <w:pStyle w:val="Tabelltext"/>
              <w:jc w:val="center"/>
              <w:rPr>
                <w:szCs w:val="16"/>
              </w:rPr>
            </w:pPr>
            <w:r w:rsidRPr="00F5723F">
              <w:rPr>
                <w:szCs w:val="16"/>
              </w:rPr>
              <w:t>100</w:t>
            </w:r>
          </w:p>
        </w:tc>
        <w:tc>
          <w:tcPr>
            <w:tcW w:w="364" w:type="pct"/>
          </w:tcPr>
          <w:p w:rsidR="00B43C57" w:rsidRPr="00F5723F" w:rsidRDefault="00B43C57">
            <w:pPr>
              <w:pStyle w:val="Tabelltext"/>
              <w:jc w:val="center"/>
              <w:rPr>
                <w:szCs w:val="16"/>
              </w:rPr>
            </w:pPr>
            <w:r w:rsidRPr="00F5723F">
              <w:rPr>
                <w:szCs w:val="16"/>
              </w:rPr>
              <w:t>94</w:t>
            </w:r>
          </w:p>
        </w:tc>
        <w:tc>
          <w:tcPr>
            <w:tcW w:w="364" w:type="pct"/>
          </w:tcPr>
          <w:p w:rsidR="00B43C57" w:rsidRPr="00F5723F" w:rsidRDefault="00B43C57">
            <w:pPr>
              <w:pStyle w:val="Tabelltext"/>
              <w:jc w:val="center"/>
              <w:rPr>
                <w:szCs w:val="16"/>
              </w:rPr>
            </w:pPr>
            <w:r w:rsidRPr="00F5723F">
              <w:rPr>
                <w:szCs w:val="16"/>
              </w:rPr>
              <w:t>88</w:t>
            </w:r>
          </w:p>
        </w:tc>
        <w:tc>
          <w:tcPr>
            <w:tcW w:w="364" w:type="pct"/>
          </w:tcPr>
          <w:p w:rsidR="00B43C57" w:rsidRPr="00F5723F" w:rsidRDefault="00B43C57">
            <w:pPr>
              <w:pStyle w:val="Tabelltext"/>
              <w:jc w:val="center"/>
              <w:rPr>
                <w:szCs w:val="16"/>
              </w:rPr>
            </w:pPr>
            <w:r w:rsidRPr="00F5723F">
              <w:rPr>
                <w:szCs w:val="16"/>
              </w:rPr>
              <w:t>88</w:t>
            </w:r>
          </w:p>
        </w:tc>
        <w:tc>
          <w:tcPr>
            <w:tcW w:w="364" w:type="pct"/>
          </w:tcPr>
          <w:p w:rsidR="00B43C57" w:rsidRPr="00F5723F" w:rsidRDefault="00B43C57">
            <w:pPr>
              <w:pStyle w:val="Tabelltext"/>
              <w:jc w:val="center"/>
              <w:rPr>
                <w:szCs w:val="16"/>
              </w:rPr>
            </w:pPr>
            <w:r w:rsidRPr="00F5723F">
              <w:rPr>
                <w:szCs w:val="16"/>
              </w:rPr>
              <w:t>89</w:t>
            </w:r>
          </w:p>
        </w:tc>
        <w:tc>
          <w:tcPr>
            <w:tcW w:w="337" w:type="pct"/>
          </w:tcPr>
          <w:p w:rsidR="00B43C57" w:rsidRPr="00F5723F" w:rsidRDefault="00B43C57">
            <w:pPr>
              <w:pStyle w:val="Tabelltext"/>
              <w:jc w:val="center"/>
              <w:rPr>
                <w:szCs w:val="16"/>
              </w:rPr>
            </w:pPr>
            <w:r w:rsidRPr="00F5723F">
              <w:rPr>
                <w:szCs w:val="16"/>
              </w:rPr>
              <w:t>86</w:t>
            </w:r>
          </w:p>
        </w:tc>
      </w:tr>
      <w:tr w:rsidR="00000000" w:rsidRPr="00F5723F">
        <w:tblPrEx>
          <w:tblCellMar>
            <w:top w:w="0" w:type="dxa"/>
            <w:bottom w:w="0" w:type="dxa"/>
          </w:tblCellMar>
        </w:tblPrEx>
        <w:tc>
          <w:tcPr>
            <w:tcW w:w="2190" w:type="pct"/>
          </w:tcPr>
          <w:p w:rsidR="00B43C57" w:rsidRPr="00F5723F" w:rsidRDefault="00B43C57">
            <w:pPr>
              <w:pStyle w:val="Tabelltext"/>
              <w:ind w:left="285" w:hanging="285"/>
              <w:rPr>
                <w:szCs w:val="16"/>
              </w:rPr>
            </w:pPr>
          </w:p>
        </w:tc>
        <w:tc>
          <w:tcPr>
            <w:tcW w:w="290"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64" w:type="pct"/>
          </w:tcPr>
          <w:p w:rsidR="00B43C57" w:rsidRPr="00F5723F" w:rsidRDefault="00B43C57">
            <w:pPr>
              <w:pStyle w:val="Tabelltext"/>
              <w:jc w:val="center"/>
              <w:rPr>
                <w:szCs w:val="16"/>
              </w:rPr>
            </w:pPr>
          </w:p>
        </w:tc>
        <w:tc>
          <w:tcPr>
            <w:tcW w:w="337" w:type="pct"/>
          </w:tcPr>
          <w:p w:rsidR="00B43C57" w:rsidRPr="00F5723F" w:rsidRDefault="00B43C57">
            <w:pPr>
              <w:pStyle w:val="Tabelltext"/>
              <w:jc w:val="center"/>
              <w:rPr>
                <w:szCs w:val="16"/>
              </w:rPr>
            </w:pPr>
          </w:p>
        </w:tc>
      </w:tr>
      <w:tr w:rsidR="00000000" w:rsidRPr="00F5723F">
        <w:tblPrEx>
          <w:tblCellMar>
            <w:top w:w="0" w:type="dxa"/>
            <w:bottom w:w="0" w:type="dxa"/>
          </w:tblCellMar>
        </w:tblPrEx>
        <w:tc>
          <w:tcPr>
            <w:tcW w:w="2190" w:type="pct"/>
          </w:tcPr>
          <w:p w:rsidR="00B43C57" w:rsidRPr="00F5723F" w:rsidRDefault="00B43C57">
            <w:pPr>
              <w:pStyle w:val="Tabelltext"/>
              <w:ind w:left="285" w:hanging="285"/>
              <w:rPr>
                <w:szCs w:val="16"/>
              </w:rPr>
            </w:pPr>
            <w:r w:rsidRPr="00F5723F">
              <w:rPr>
                <w:szCs w:val="16"/>
              </w:rPr>
              <w:t>d</w:t>
            </w:r>
            <w:r w:rsidRPr="00F5723F">
              <w:rPr>
                <w:szCs w:val="16"/>
              </w:rPr>
              <w:t>ifferens</w:t>
            </w:r>
          </w:p>
        </w:tc>
        <w:tc>
          <w:tcPr>
            <w:tcW w:w="290" w:type="pct"/>
          </w:tcPr>
          <w:p w:rsidR="00B43C57" w:rsidRPr="00F5723F" w:rsidRDefault="00B43C57">
            <w:pPr>
              <w:pStyle w:val="Tabelltext"/>
              <w:jc w:val="center"/>
              <w:rPr>
                <w:szCs w:val="16"/>
              </w:rPr>
            </w:pPr>
            <w:r w:rsidRPr="00F5723F">
              <w:rPr>
                <w:szCs w:val="16"/>
              </w:rPr>
              <w:t>+26</w:t>
            </w:r>
          </w:p>
        </w:tc>
        <w:tc>
          <w:tcPr>
            <w:tcW w:w="364" w:type="pct"/>
          </w:tcPr>
          <w:p w:rsidR="00B43C57" w:rsidRPr="00F5723F" w:rsidRDefault="00B43C57">
            <w:pPr>
              <w:pStyle w:val="Tabelltext"/>
              <w:jc w:val="center"/>
              <w:rPr>
                <w:szCs w:val="16"/>
              </w:rPr>
            </w:pPr>
            <w:r w:rsidRPr="00F5723F">
              <w:rPr>
                <w:szCs w:val="16"/>
              </w:rPr>
              <w:t>+32</w:t>
            </w:r>
          </w:p>
        </w:tc>
        <w:tc>
          <w:tcPr>
            <w:tcW w:w="364" w:type="pct"/>
          </w:tcPr>
          <w:p w:rsidR="00B43C57" w:rsidRPr="00F5723F" w:rsidRDefault="00B43C57">
            <w:pPr>
              <w:pStyle w:val="Tabelltext"/>
              <w:jc w:val="center"/>
              <w:rPr>
                <w:szCs w:val="16"/>
              </w:rPr>
            </w:pPr>
            <w:r w:rsidRPr="00F5723F">
              <w:rPr>
                <w:szCs w:val="16"/>
              </w:rPr>
              <w:t>+44</w:t>
            </w:r>
          </w:p>
        </w:tc>
        <w:tc>
          <w:tcPr>
            <w:tcW w:w="364" w:type="pct"/>
          </w:tcPr>
          <w:p w:rsidR="00B43C57" w:rsidRPr="00F5723F" w:rsidRDefault="00B43C57">
            <w:pPr>
              <w:pStyle w:val="Tabelltext"/>
              <w:jc w:val="center"/>
              <w:rPr>
                <w:szCs w:val="16"/>
              </w:rPr>
            </w:pPr>
            <w:r w:rsidRPr="00F5723F">
              <w:rPr>
                <w:szCs w:val="16"/>
              </w:rPr>
              <w:t>+30</w:t>
            </w:r>
          </w:p>
        </w:tc>
        <w:tc>
          <w:tcPr>
            <w:tcW w:w="364" w:type="pct"/>
          </w:tcPr>
          <w:p w:rsidR="00B43C57" w:rsidRPr="00F5723F" w:rsidRDefault="00B43C57">
            <w:pPr>
              <w:pStyle w:val="Tabelltext"/>
              <w:jc w:val="center"/>
              <w:rPr>
                <w:szCs w:val="16"/>
              </w:rPr>
            </w:pPr>
            <w:r w:rsidRPr="00F5723F">
              <w:rPr>
                <w:szCs w:val="16"/>
              </w:rPr>
              <w:t>+56</w:t>
            </w:r>
          </w:p>
        </w:tc>
        <w:tc>
          <w:tcPr>
            <w:tcW w:w="364" w:type="pct"/>
          </w:tcPr>
          <w:p w:rsidR="00B43C57" w:rsidRPr="00F5723F" w:rsidRDefault="00B43C57">
            <w:pPr>
              <w:pStyle w:val="Tabelltext"/>
              <w:jc w:val="center"/>
              <w:rPr>
                <w:szCs w:val="16"/>
              </w:rPr>
            </w:pPr>
            <w:r w:rsidRPr="00F5723F">
              <w:rPr>
                <w:szCs w:val="16"/>
              </w:rPr>
              <w:t>+16</w:t>
            </w:r>
          </w:p>
        </w:tc>
        <w:tc>
          <w:tcPr>
            <w:tcW w:w="364" w:type="pct"/>
          </w:tcPr>
          <w:p w:rsidR="00B43C57" w:rsidRPr="00F5723F" w:rsidRDefault="00B43C57">
            <w:pPr>
              <w:pStyle w:val="Tabelltext"/>
              <w:jc w:val="center"/>
              <w:rPr>
                <w:szCs w:val="16"/>
              </w:rPr>
            </w:pPr>
            <w:r w:rsidRPr="00F5723F">
              <w:rPr>
                <w:szCs w:val="16"/>
              </w:rPr>
              <w:t>+33</w:t>
            </w:r>
          </w:p>
        </w:tc>
        <w:tc>
          <w:tcPr>
            <w:tcW w:w="337" w:type="pct"/>
          </w:tcPr>
          <w:p w:rsidR="00B43C57" w:rsidRPr="00F5723F" w:rsidRDefault="00B43C57">
            <w:pPr>
              <w:pStyle w:val="Tabelltext"/>
              <w:jc w:val="center"/>
              <w:rPr>
                <w:szCs w:val="16"/>
              </w:rPr>
            </w:pPr>
            <w:r w:rsidRPr="00F5723F">
              <w:rPr>
                <w:szCs w:val="16"/>
              </w:rPr>
              <w:t>+33</w:t>
            </w:r>
          </w:p>
        </w:tc>
      </w:tr>
      <w:tr w:rsidR="00000000" w:rsidRPr="00F5723F">
        <w:tblPrEx>
          <w:tblCellMar>
            <w:top w:w="0" w:type="dxa"/>
            <w:bottom w:w="0" w:type="dxa"/>
          </w:tblCellMar>
        </w:tblPrEx>
        <w:tc>
          <w:tcPr>
            <w:tcW w:w="2190" w:type="pct"/>
            <w:tcBorders>
              <w:bottom w:val="single" w:sz="4" w:space="0" w:color="auto"/>
            </w:tcBorders>
          </w:tcPr>
          <w:p w:rsidR="00B43C57" w:rsidRPr="00F5723F" w:rsidRDefault="00B43C57">
            <w:pPr>
              <w:pStyle w:val="Tabelltext"/>
              <w:rPr>
                <w:i/>
                <w:szCs w:val="16"/>
              </w:rPr>
            </w:pPr>
          </w:p>
        </w:tc>
        <w:tc>
          <w:tcPr>
            <w:tcW w:w="290" w:type="pct"/>
            <w:tcBorders>
              <w:bottom w:val="single" w:sz="4" w:space="0" w:color="auto"/>
            </w:tcBorders>
          </w:tcPr>
          <w:p w:rsidR="00B43C57" w:rsidRPr="00F5723F" w:rsidRDefault="00B43C57">
            <w:pPr>
              <w:pStyle w:val="Tabelltext"/>
              <w:rPr>
                <w:szCs w:val="16"/>
              </w:rPr>
            </w:pPr>
          </w:p>
        </w:tc>
        <w:tc>
          <w:tcPr>
            <w:tcW w:w="364" w:type="pct"/>
            <w:tcBorders>
              <w:bottom w:val="single" w:sz="4" w:space="0" w:color="auto"/>
            </w:tcBorders>
          </w:tcPr>
          <w:p w:rsidR="00B43C57" w:rsidRPr="00F5723F" w:rsidRDefault="00B43C57">
            <w:pPr>
              <w:pStyle w:val="Tabelltext"/>
              <w:rPr>
                <w:szCs w:val="16"/>
              </w:rPr>
            </w:pPr>
          </w:p>
        </w:tc>
        <w:tc>
          <w:tcPr>
            <w:tcW w:w="364" w:type="pct"/>
            <w:tcBorders>
              <w:bottom w:val="single" w:sz="4" w:space="0" w:color="auto"/>
            </w:tcBorders>
          </w:tcPr>
          <w:p w:rsidR="00B43C57" w:rsidRPr="00F5723F" w:rsidRDefault="00B43C57">
            <w:pPr>
              <w:pStyle w:val="Tabelltext"/>
              <w:rPr>
                <w:szCs w:val="16"/>
              </w:rPr>
            </w:pPr>
          </w:p>
        </w:tc>
        <w:tc>
          <w:tcPr>
            <w:tcW w:w="364" w:type="pct"/>
            <w:tcBorders>
              <w:bottom w:val="single" w:sz="4" w:space="0" w:color="auto"/>
            </w:tcBorders>
          </w:tcPr>
          <w:p w:rsidR="00B43C57" w:rsidRPr="00F5723F" w:rsidRDefault="00B43C57">
            <w:pPr>
              <w:pStyle w:val="Tabelltext"/>
              <w:rPr>
                <w:szCs w:val="16"/>
              </w:rPr>
            </w:pPr>
          </w:p>
        </w:tc>
        <w:tc>
          <w:tcPr>
            <w:tcW w:w="364" w:type="pct"/>
            <w:tcBorders>
              <w:bottom w:val="single" w:sz="4" w:space="0" w:color="auto"/>
            </w:tcBorders>
          </w:tcPr>
          <w:p w:rsidR="00B43C57" w:rsidRPr="00F5723F" w:rsidRDefault="00B43C57">
            <w:pPr>
              <w:pStyle w:val="Tabelltext"/>
              <w:rPr>
                <w:szCs w:val="16"/>
              </w:rPr>
            </w:pPr>
          </w:p>
        </w:tc>
        <w:tc>
          <w:tcPr>
            <w:tcW w:w="364" w:type="pct"/>
            <w:tcBorders>
              <w:bottom w:val="single" w:sz="4" w:space="0" w:color="auto"/>
            </w:tcBorders>
          </w:tcPr>
          <w:p w:rsidR="00B43C57" w:rsidRPr="00F5723F" w:rsidRDefault="00B43C57">
            <w:pPr>
              <w:pStyle w:val="Tabelltext"/>
              <w:rPr>
                <w:szCs w:val="16"/>
              </w:rPr>
            </w:pPr>
          </w:p>
        </w:tc>
        <w:tc>
          <w:tcPr>
            <w:tcW w:w="364" w:type="pct"/>
            <w:tcBorders>
              <w:bottom w:val="single" w:sz="4" w:space="0" w:color="auto"/>
            </w:tcBorders>
          </w:tcPr>
          <w:p w:rsidR="00B43C57" w:rsidRPr="00F5723F" w:rsidRDefault="00B43C57">
            <w:pPr>
              <w:pStyle w:val="Tabelltext"/>
              <w:rPr>
                <w:szCs w:val="16"/>
              </w:rPr>
            </w:pPr>
          </w:p>
        </w:tc>
        <w:tc>
          <w:tcPr>
            <w:tcW w:w="337" w:type="pct"/>
            <w:tcBorders>
              <w:bottom w:val="single" w:sz="4" w:space="0" w:color="auto"/>
            </w:tcBorders>
          </w:tcPr>
          <w:p w:rsidR="00B43C57" w:rsidRPr="00F5723F" w:rsidRDefault="00B43C57">
            <w:pPr>
              <w:pStyle w:val="Tabelltext"/>
              <w:rPr>
                <w:szCs w:val="16"/>
              </w:rPr>
            </w:pPr>
          </w:p>
        </w:tc>
      </w:tr>
    </w:tbl>
    <w:p w:rsidR="00B43C57" w:rsidRPr="00F5723F" w:rsidRDefault="00B43C57">
      <w:pPr>
        <w:spacing w:before="0" w:line="240" w:lineRule="auto"/>
        <w:rPr>
          <w:rFonts w:ascii="Arial" w:hAnsi="Arial" w:cs="Arial"/>
          <w:b/>
          <w:sz w:val="8"/>
          <w:szCs w:val="8"/>
        </w:rPr>
      </w:pPr>
    </w:p>
    <w:p w:rsidR="00B43C57" w:rsidRPr="00F5723F" w:rsidRDefault="00B43C57">
      <w:pPr>
        <w:spacing w:before="0" w:line="240" w:lineRule="auto"/>
      </w:pPr>
      <w:r w:rsidRPr="00F5723F">
        <w:rPr>
          <w:rFonts w:ascii="Arial" w:hAnsi="Arial" w:cs="Arial"/>
          <w:b/>
          <w:sz w:val="16"/>
          <w:szCs w:val="16"/>
        </w:rPr>
        <w:t>Kommentar:</w:t>
      </w:r>
      <w:r w:rsidRPr="00F5723F">
        <w:rPr>
          <w:rFonts w:ascii="Arial" w:hAnsi="Arial" w:cs="Arial"/>
          <w:sz w:val="16"/>
          <w:szCs w:val="16"/>
        </w:rPr>
        <w:t xml:space="preserve"> Resultaten är hämtade från Riksdagskommitténs enkätu</w:t>
      </w:r>
      <w:r w:rsidRPr="00F5723F">
        <w:rPr>
          <w:rFonts w:ascii="Arial" w:hAnsi="Arial" w:cs="Arial"/>
          <w:sz w:val="16"/>
          <w:szCs w:val="16"/>
        </w:rPr>
        <w:t>n</w:t>
      </w:r>
      <w:r w:rsidRPr="00F5723F">
        <w:rPr>
          <w:rFonts w:ascii="Arial" w:hAnsi="Arial" w:cs="Arial"/>
          <w:sz w:val="16"/>
          <w:szCs w:val="16"/>
        </w:rPr>
        <w:t>dersökning med 2004 års rik</w:t>
      </w:r>
      <w:r w:rsidRPr="00F5723F">
        <w:rPr>
          <w:rFonts w:ascii="Arial" w:hAnsi="Arial" w:cs="Arial"/>
          <w:sz w:val="16"/>
          <w:szCs w:val="16"/>
        </w:rPr>
        <w:t>s</w:t>
      </w:r>
      <w:r w:rsidRPr="00F5723F">
        <w:rPr>
          <w:rFonts w:ascii="Arial" w:hAnsi="Arial" w:cs="Arial"/>
          <w:sz w:val="16"/>
          <w:szCs w:val="16"/>
        </w:rPr>
        <w:t xml:space="preserve">dagsledamöter. </w:t>
      </w:r>
    </w:p>
    <w:p w:rsidR="00B43C57" w:rsidRPr="00F5723F" w:rsidRDefault="00B43C57">
      <w:pPr>
        <w:pStyle w:val="Tabellrubrik"/>
        <w:spacing w:before="0"/>
      </w:pPr>
      <w:r w:rsidRPr="00F5723F">
        <w:br w:type="page"/>
        <w:t xml:space="preserve">Tabell </w:t>
      </w:r>
      <w:r w:rsidRPr="00F5723F">
        <w:t>8</w:t>
      </w:r>
      <w:r w:rsidRPr="00F5723F">
        <w:tab/>
        <w:t>Riksdagsledamöternas uppfattningar om att informera och att informeras vid kontakter med den egna valkre</w:t>
      </w:r>
      <w:r w:rsidRPr="00F5723F">
        <w:t>t</w:t>
      </w:r>
      <w:r w:rsidRPr="00F5723F">
        <w:t xml:space="preserve">sen (procent). </w:t>
      </w:r>
    </w:p>
    <w:tbl>
      <w:tblPr>
        <w:tblW w:w="5000" w:type="pct"/>
        <w:tblCellMar>
          <w:left w:w="70" w:type="dxa"/>
          <w:right w:w="70" w:type="dxa"/>
        </w:tblCellMar>
        <w:tblLook w:val="00AF" w:firstRow="1" w:lastRow="0" w:firstColumn="1" w:lastColumn="0" w:noHBand="0" w:noVBand="0"/>
      </w:tblPr>
      <w:tblGrid>
        <w:gridCol w:w="1937"/>
        <w:gridCol w:w="505"/>
        <w:gridCol w:w="502"/>
        <w:gridCol w:w="502"/>
        <w:gridCol w:w="502"/>
        <w:gridCol w:w="502"/>
        <w:gridCol w:w="502"/>
        <w:gridCol w:w="502"/>
        <w:gridCol w:w="499"/>
      </w:tblGrid>
      <w:tr w:rsidR="00000000" w:rsidRPr="00F5723F">
        <w:tblPrEx>
          <w:tblCellMar>
            <w:top w:w="0" w:type="dxa"/>
            <w:bottom w:w="0" w:type="dxa"/>
          </w:tblCellMar>
        </w:tblPrEx>
        <w:tc>
          <w:tcPr>
            <w:tcW w:w="1626" w:type="pct"/>
            <w:tcBorders>
              <w:top w:val="single" w:sz="4" w:space="0" w:color="auto"/>
              <w:bottom w:val="single" w:sz="4" w:space="0" w:color="auto"/>
            </w:tcBorders>
          </w:tcPr>
          <w:p w:rsidR="00B43C57" w:rsidRPr="00F5723F" w:rsidRDefault="00B43C57">
            <w:pPr>
              <w:ind w:left="285" w:hanging="285"/>
              <w:jc w:val="center"/>
            </w:pPr>
          </w:p>
        </w:tc>
        <w:tc>
          <w:tcPr>
            <w:tcW w:w="423" w:type="pct"/>
            <w:tcBorders>
              <w:top w:val="single" w:sz="4" w:space="0" w:color="auto"/>
              <w:bottom w:val="single" w:sz="4" w:space="0" w:color="auto"/>
            </w:tcBorders>
          </w:tcPr>
          <w:p w:rsidR="00B43C57" w:rsidRPr="00F5723F" w:rsidRDefault="00B43C57">
            <w:pPr>
              <w:pStyle w:val="Tabelltextsiffror"/>
              <w:jc w:val="center"/>
            </w:pPr>
            <w:r w:rsidRPr="00F5723F">
              <w:t>v</w:t>
            </w:r>
          </w:p>
        </w:tc>
        <w:tc>
          <w:tcPr>
            <w:tcW w:w="422" w:type="pct"/>
            <w:tcBorders>
              <w:top w:val="single" w:sz="4" w:space="0" w:color="auto"/>
              <w:bottom w:val="single" w:sz="4" w:space="0" w:color="auto"/>
            </w:tcBorders>
          </w:tcPr>
          <w:p w:rsidR="00B43C57" w:rsidRPr="00F5723F" w:rsidRDefault="00B43C57">
            <w:pPr>
              <w:pStyle w:val="Tabelltextsiffror"/>
              <w:jc w:val="center"/>
            </w:pPr>
            <w:r w:rsidRPr="00F5723F">
              <w:t>s</w:t>
            </w:r>
          </w:p>
        </w:tc>
        <w:tc>
          <w:tcPr>
            <w:tcW w:w="422" w:type="pct"/>
            <w:tcBorders>
              <w:top w:val="single" w:sz="4" w:space="0" w:color="auto"/>
              <w:bottom w:val="single" w:sz="4" w:space="0" w:color="auto"/>
            </w:tcBorders>
          </w:tcPr>
          <w:p w:rsidR="00B43C57" w:rsidRPr="00F5723F" w:rsidRDefault="00B43C57">
            <w:pPr>
              <w:pStyle w:val="Tabelltextsiffror"/>
              <w:jc w:val="center"/>
            </w:pPr>
            <w:r w:rsidRPr="00F5723F">
              <w:t>c</w:t>
            </w:r>
          </w:p>
        </w:tc>
        <w:tc>
          <w:tcPr>
            <w:tcW w:w="422" w:type="pct"/>
            <w:tcBorders>
              <w:top w:val="single" w:sz="4" w:space="0" w:color="auto"/>
              <w:bottom w:val="single" w:sz="4" w:space="0" w:color="auto"/>
            </w:tcBorders>
          </w:tcPr>
          <w:p w:rsidR="00B43C57" w:rsidRPr="00F5723F" w:rsidRDefault="00B43C57">
            <w:pPr>
              <w:pStyle w:val="Tabelltextsiffror"/>
              <w:jc w:val="center"/>
            </w:pPr>
            <w:r w:rsidRPr="00F5723F">
              <w:t>fp</w:t>
            </w:r>
          </w:p>
        </w:tc>
        <w:tc>
          <w:tcPr>
            <w:tcW w:w="422" w:type="pct"/>
            <w:tcBorders>
              <w:top w:val="single" w:sz="4" w:space="0" w:color="auto"/>
              <w:bottom w:val="single" w:sz="4" w:space="0" w:color="auto"/>
            </w:tcBorders>
          </w:tcPr>
          <w:p w:rsidR="00B43C57" w:rsidRPr="00F5723F" w:rsidRDefault="00B43C57">
            <w:pPr>
              <w:pStyle w:val="Tabelltextsiffror"/>
              <w:jc w:val="center"/>
            </w:pPr>
            <w:r w:rsidRPr="00F5723F">
              <w:t>m</w:t>
            </w:r>
          </w:p>
        </w:tc>
        <w:tc>
          <w:tcPr>
            <w:tcW w:w="422" w:type="pct"/>
            <w:tcBorders>
              <w:top w:val="single" w:sz="4" w:space="0" w:color="auto"/>
              <w:bottom w:val="single" w:sz="4" w:space="0" w:color="auto"/>
            </w:tcBorders>
          </w:tcPr>
          <w:p w:rsidR="00B43C57" w:rsidRPr="00F5723F" w:rsidRDefault="00B43C57">
            <w:pPr>
              <w:pStyle w:val="Tabelltextsiffror"/>
              <w:jc w:val="center"/>
            </w:pPr>
            <w:r w:rsidRPr="00F5723F">
              <w:t>kd</w:t>
            </w:r>
          </w:p>
        </w:tc>
        <w:tc>
          <w:tcPr>
            <w:tcW w:w="422" w:type="pct"/>
            <w:tcBorders>
              <w:top w:val="single" w:sz="4" w:space="0" w:color="auto"/>
              <w:bottom w:val="single" w:sz="4" w:space="0" w:color="auto"/>
            </w:tcBorders>
          </w:tcPr>
          <w:p w:rsidR="00B43C57" w:rsidRPr="00F5723F" w:rsidRDefault="00B43C57">
            <w:pPr>
              <w:pStyle w:val="Tabelltextsiffror"/>
              <w:jc w:val="center"/>
            </w:pPr>
            <w:r w:rsidRPr="00F5723F">
              <w:t>mp</w:t>
            </w:r>
          </w:p>
        </w:tc>
        <w:tc>
          <w:tcPr>
            <w:tcW w:w="420" w:type="pct"/>
            <w:tcBorders>
              <w:top w:val="single" w:sz="4" w:space="0" w:color="auto"/>
              <w:bottom w:val="single" w:sz="4" w:space="0" w:color="auto"/>
            </w:tcBorders>
          </w:tcPr>
          <w:p w:rsidR="00B43C57" w:rsidRPr="00F5723F" w:rsidRDefault="00B43C57">
            <w:pPr>
              <w:pStyle w:val="Tabelltextsiffror"/>
              <w:jc w:val="center"/>
            </w:pPr>
            <w:r w:rsidRPr="00F5723F">
              <w:t>alla</w:t>
            </w:r>
          </w:p>
        </w:tc>
      </w:tr>
      <w:tr w:rsidR="00000000" w:rsidRPr="00F5723F">
        <w:tblPrEx>
          <w:tblCellMar>
            <w:top w:w="0" w:type="dxa"/>
            <w:bottom w:w="0" w:type="dxa"/>
          </w:tblCellMar>
        </w:tblPrEx>
        <w:tc>
          <w:tcPr>
            <w:tcW w:w="1626" w:type="pct"/>
            <w:tcBorders>
              <w:top w:val="single" w:sz="4" w:space="0" w:color="auto"/>
            </w:tcBorders>
          </w:tcPr>
          <w:p w:rsidR="00B43C57" w:rsidRPr="00F5723F" w:rsidRDefault="00B43C57">
            <w:pPr>
              <w:spacing w:line="240" w:lineRule="auto"/>
              <w:ind w:left="285" w:hanging="285"/>
              <w:rPr>
                <w:i/>
                <w:sz w:val="18"/>
              </w:rPr>
            </w:pPr>
          </w:p>
        </w:tc>
        <w:tc>
          <w:tcPr>
            <w:tcW w:w="423" w:type="pct"/>
            <w:tcBorders>
              <w:top w:val="single" w:sz="4" w:space="0" w:color="auto"/>
            </w:tcBorders>
          </w:tcPr>
          <w:p w:rsidR="00B43C57" w:rsidRPr="00F5723F" w:rsidRDefault="00B43C57">
            <w:pPr>
              <w:pStyle w:val="Tabelltextsiffror"/>
              <w:spacing w:line="240" w:lineRule="auto"/>
              <w:rPr>
                <w:sz w:val="18"/>
              </w:rPr>
            </w:pPr>
          </w:p>
        </w:tc>
        <w:tc>
          <w:tcPr>
            <w:tcW w:w="422" w:type="pct"/>
            <w:tcBorders>
              <w:top w:val="single" w:sz="4" w:space="0" w:color="auto"/>
            </w:tcBorders>
          </w:tcPr>
          <w:p w:rsidR="00B43C57" w:rsidRPr="00F5723F" w:rsidRDefault="00B43C57">
            <w:pPr>
              <w:pStyle w:val="Tabelltextsiffror"/>
              <w:spacing w:line="240" w:lineRule="auto"/>
              <w:rPr>
                <w:sz w:val="18"/>
              </w:rPr>
            </w:pPr>
          </w:p>
        </w:tc>
        <w:tc>
          <w:tcPr>
            <w:tcW w:w="422" w:type="pct"/>
            <w:tcBorders>
              <w:top w:val="single" w:sz="4" w:space="0" w:color="auto"/>
            </w:tcBorders>
          </w:tcPr>
          <w:p w:rsidR="00B43C57" w:rsidRPr="00F5723F" w:rsidRDefault="00B43C57">
            <w:pPr>
              <w:pStyle w:val="Tabelltextsiffror"/>
              <w:spacing w:line="240" w:lineRule="auto"/>
              <w:rPr>
                <w:sz w:val="18"/>
              </w:rPr>
            </w:pPr>
          </w:p>
        </w:tc>
        <w:tc>
          <w:tcPr>
            <w:tcW w:w="422" w:type="pct"/>
            <w:tcBorders>
              <w:top w:val="single" w:sz="4" w:space="0" w:color="auto"/>
            </w:tcBorders>
          </w:tcPr>
          <w:p w:rsidR="00B43C57" w:rsidRPr="00F5723F" w:rsidRDefault="00B43C57">
            <w:pPr>
              <w:pStyle w:val="Tabelltextsiffror"/>
              <w:spacing w:line="240" w:lineRule="auto"/>
              <w:rPr>
                <w:sz w:val="18"/>
              </w:rPr>
            </w:pPr>
          </w:p>
        </w:tc>
        <w:tc>
          <w:tcPr>
            <w:tcW w:w="422" w:type="pct"/>
            <w:tcBorders>
              <w:top w:val="single" w:sz="4" w:space="0" w:color="auto"/>
            </w:tcBorders>
          </w:tcPr>
          <w:p w:rsidR="00B43C57" w:rsidRPr="00F5723F" w:rsidRDefault="00B43C57">
            <w:pPr>
              <w:pStyle w:val="Tabelltextsiffror"/>
              <w:spacing w:line="240" w:lineRule="auto"/>
              <w:rPr>
                <w:sz w:val="18"/>
              </w:rPr>
            </w:pPr>
          </w:p>
        </w:tc>
        <w:tc>
          <w:tcPr>
            <w:tcW w:w="422" w:type="pct"/>
            <w:tcBorders>
              <w:top w:val="single" w:sz="4" w:space="0" w:color="auto"/>
            </w:tcBorders>
          </w:tcPr>
          <w:p w:rsidR="00B43C57" w:rsidRPr="00F5723F" w:rsidRDefault="00B43C57">
            <w:pPr>
              <w:pStyle w:val="Tabelltextsiffror"/>
              <w:spacing w:line="240" w:lineRule="auto"/>
              <w:rPr>
                <w:sz w:val="18"/>
              </w:rPr>
            </w:pPr>
          </w:p>
        </w:tc>
        <w:tc>
          <w:tcPr>
            <w:tcW w:w="422" w:type="pct"/>
            <w:tcBorders>
              <w:top w:val="single" w:sz="4" w:space="0" w:color="auto"/>
            </w:tcBorders>
          </w:tcPr>
          <w:p w:rsidR="00B43C57" w:rsidRPr="00F5723F" w:rsidRDefault="00B43C57">
            <w:pPr>
              <w:pStyle w:val="Tabelltextsiffror"/>
              <w:spacing w:line="240" w:lineRule="auto"/>
              <w:rPr>
                <w:sz w:val="18"/>
              </w:rPr>
            </w:pPr>
          </w:p>
        </w:tc>
        <w:tc>
          <w:tcPr>
            <w:tcW w:w="420" w:type="pct"/>
            <w:tcBorders>
              <w:top w:val="single" w:sz="4" w:space="0" w:color="auto"/>
            </w:tcBorders>
          </w:tcPr>
          <w:p w:rsidR="00B43C57" w:rsidRPr="00F5723F" w:rsidRDefault="00B43C57">
            <w:pPr>
              <w:pStyle w:val="Tabelltextsiffror"/>
              <w:spacing w:line="240" w:lineRule="auto"/>
              <w:rPr>
                <w:sz w:val="18"/>
              </w:rPr>
            </w:pPr>
          </w:p>
        </w:tc>
      </w:tr>
      <w:tr w:rsidR="00000000" w:rsidRPr="00F5723F">
        <w:tblPrEx>
          <w:tblCellMar>
            <w:top w:w="0" w:type="dxa"/>
            <w:bottom w:w="0" w:type="dxa"/>
          </w:tblCellMar>
        </w:tblPrEx>
        <w:tc>
          <w:tcPr>
            <w:tcW w:w="1626" w:type="pct"/>
          </w:tcPr>
          <w:p w:rsidR="00B43C57" w:rsidRPr="00F5723F" w:rsidRDefault="00B43C57">
            <w:pPr>
              <w:pStyle w:val="Tabelltext"/>
              <w:ind w:left="285" w:hanging="285"/>
              <w:rPr>
                <w:szCs w:val="16"/>
              </w:rPr>
            </w:pPr>
            <w:r w:rsidRPr="00F5723F">
              <w:rPr>
                <w:szCs w:val="16"/>
              </w:rPr>
              <w:t>viktigt att både informera</w:t>
            </w:r>
          </w:p>
          <w:p w:rsidR="00B43C57" w:rsidRPr="00F5723F" w:rsidRDefault="00B43C57">
            <w:pPr>
              <w:pStyle w:val="Tabelltext"/>
              <w:spacing w:line="360" w:lineRule="auto"/>
              <w:ind w:left="285"/>
              <w:rPr>
                <w:szCs w:val="16"/>
              </w:rPr>
            </w:pPr>
            <w:r w:rsidRPr="00F5723F">
              <w:rPr>
                <w:szCs w:val="16"/>
              </w:rPr>
              <w:t>och info</w:t>
            </w:r>
            <w:r w:rsidRPr="00F5723F">
              <w:rPr>
                <w:szCs w:val="16"/>
              </w:rPr>
              <w:t>r</w:t>
            </w:r>
            <w:r w:rsidRPr="00F5723F">
              <w:rPr>
                <w:szCs w:val="16"/>
              </w:rPr>
              <w:t>meras</w:t>
            </w:r>
          </w:p>
        </w:tc>
        <w:tc>
          <w:tcPr>
            <w:tcW w:w="423"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44</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44</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56</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64</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29</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72</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56</w:t>
            </w:r>
          </w:p>
        </w:tc>
        <w:tc>
          <w:tcPr>
            <w:tcW w:w="420"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49</w:t>
            </w:r>
          </w:p>
        </w:tc>
      </w:tr>
      <w:tr w:rsidR="00000000" w:rsidRPr="00F5723F">
        <w:tblPrEx>
          <w:tblCellMar>
            <w:top w:w="0" w:type="dxa"/>
            <w:bottom w:w="0" w:type="dxa"/>
          </w:tblCellMar>
        </w:tblPrEx>
        <w:tc>
          <w:tcPr>
            <w:tcW w:w="1626" w:type="pct"/>
          </w:tcPr>
          <w:p w:rsidR="00B43C57" w:rsidRPr="00F5723F" w:rsidRDefault="00B43C57">
            <w:pPr>
              <w:pStyle w:val="Tabelltext"/>
              <w:ind w:left="285" w:hanging="285"/>
              <w:rPr>
                <w:szCs w:val="16"/>
              </w:rPr>
            </w:pPr>
            <w:r w:rsidRPr="00F5723F">
              <w:rPr>
                <w:szCs w:val="16"/>
              </w:rPr>
              <w:t xml:space="preserve">viktigt att informera men </w:t>
            </w:r>
          </w:p>
          <w:p w:rsidR="00B43C57" w:rsidRPr="00F5723F" w:rsidRDefault="00B43C57">
            <w:pPr>
              <w:pStyle w:val="Tabelltext"/>
              <w:spacing w:line="360" w:lineRule="auto"/>
              <w:ind w:left="285"/>
              <w:rPr>
                <w:szCs w:val="16"/>
              </w:rPr>
            </w:pPr>
            <w:r w:rsidRPr="00F5723F">
              <w:rPr>
                <w:szCs w:val="16"/>
              </w:rPr>
              <w:t>inte att informeras</w:t>
            </w:r>
          </w:p>
        </w:tc>
        <w:tc>
          <w:tcPr>
            <w:tcW w:w="423"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9</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6</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0</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0</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3</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0</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0</w:t>
            </w:r>
          </w:p>
        </w:tc>
        <w:tc>
          <w:tcPr>
            <w:tcW w:w="420"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4</w:t>
            </w:r>
          </w:p>
        </w:tc>
      </w:tr>
      <w:tr w:rsidR="00000000" w:rsidRPr="00F5723F">
        <w:tblPrEx>
          <w:tblCellMar>
            <w:top w:w="0" w:type="dxa"/>
            <w:bottom w:w="0" w:type="dxa"/>
          </w:tblCellMar>
        </w:tblPrEx>
        <w:tc>
          <w:tcPr>
            <w:tcW w:w="1626" w:type="pct"/>
          </w:tcPr>
          <w:p w:rsidR="00B43C57" w:rsidRPr="00F5723F" w:rsidRDefault="00B43C57">
            <w:pPr>
              <w:pStyle w:val="Tabelltext"/>
              <w:ind w:left="285" w:hanging="285"/>
              <w:rPr>
                <w:szCs w:val="16"/>
              </w:rPr>
            </w:pPr>
            <w:r w:rsidRPr="00F5723F">
              <w:rPr>
                <w:szCs w:val="16"/>
              </w:rPr>
              <w:t xml:space="preserve">viktigt att informeras men </w:t>
            </w:r>
          </w:p>
          <w:p w:rsidR="00B43C57" w:rsidRPr="00F5723F" w:rsidRDefault="00B43C57">
            <w:pPr>
              <w:pStyle w:val="Tabelltext"/>
              <w:spacing w:line="360" w:lineRule="auto"/>
              <w:ind w:left="285"/>
              <w:rPr>
                <w:szCs w:val="16"/>
              </w:rPr>
            </w:pPr>
            <w:r w:rsidRPr="00F5723F">
              <w:rPr>
                <w:szCs w:val="16"/>
              </w:rPr>
              <w:t>inte att informera</w:t>
            </w:r>
          </w:p>
        </w:tc>
        <w:tc>
          <w:tcPr>
            <w:tcW w:w="423"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35</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38</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43</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29</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59</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16</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33</w:t>
            </w:r>
          </w:p>
        </w:tc>
        <w:tc>
          <w:tcPr>
            <w:tcW w:w="420"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37</w:t>
            </w:r>
          </w:p>
        </w:tc>
      </w:tr>
      <w:tr w:rsidR="00000000" w:rsidRPr="00F5723F">
        <w:tblPrEx>
          <w:tblCellMar>
            <w:top w:w="0" w:type="dxa"/>
            <w:bottom w:w="0" w:type="dxa"/>
          </w:tblCellMar>
        </w:tblPrEx>
        <w:tc>
          <w:tcPr>
            <w:tcW w:w="1626" w:type="pct"/>
          </w:tcPr>
          <w:p w:rsidR="00B43C57" w:rsidRPr="00F5723F" w:rsidRDefault="00B43C57">
            <w:pPr>
              <w:pStyle w:val="Tabelltext"/>
              <w:ind w:left="285" w:hanging="285"/>
              <w:rPr>
                <w:szCs w:val="16"/>
              </w:rPr>
            </w:pPr>
            <w:r w:rsidRPr="00F5723F">
              <w:rPr>
                <w:szCs w:val="16"/>
              </w:rPr>
              <w:t>varken viktigt att info</w:t>
            </w:r>
            <w:r w:rsidRPr="00F5723F">
              <w:rPr>
                <w:szCs w:val="16"/>
              </w:rPr>
              <w:t>r</w:t>
            </w:r>
            <w:r w:rsidRPr="00F5723F">
              <w:rPr>
                <w:szCs w:val="16"/>
              </w:rPr>
              <w:t xml:space="preserve">mera </w:t>
            </w:r>
          </w:p>
          <w:p w:rsidR="00B43C57" w:rsidRPr="00F5723F" w:rsidRDefault="00B43C57">
            <w:pPr>
              <w:pStyle w:val="Tabelltext"/>
              <w:spacing w:line="240" w:lineRule="auto"/>
              <w:ind w:left="285"/>
              <w:rPr>
                <w:szCs w:val="16"/>
              </w:rPr>
            </w:pPr>
            <w:r w:rsidRPr="00F5723F">
              <w:rPr>
                <w:szCs w:val="16"/>
              </w:rPr>
              <w:t>eller att informeras</w:t>
            </w:r>
          </w:p>
        </w:tc>
        <w:tc>
          <w:tcPr>
            <w:tcW w:w="423"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13</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12</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0</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6</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9</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12</w:t>
            </w:r>
          </w:p>
        </w:tc>
        <w:tc>
          <w:tcPr>
            <w:tcW w:w="422"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11</w:t>
            </w:r>
          </w:p>
        </w:tc>
        <w:tc>
          <w:tcPr>
            <w:tcW w:w="420" w:type="pct"/>
          </w:tcPr>
          <w:p w:rsidR="00B43C57" w:rsidRPr="00F5723F" w:rsidRDefault="00B43C57">
            <w:pPr>
              <w:pStyle w:val="Tabelltextsiffror"/>
              <w:tabs>
                <w:tab w:val="decimal" w:pos="300"/>
              </w:tabs>
              <w:jc w:val="left"/>
              <w:rPr>
                <w:szCs w:val="16"/>
              </w:rPr>
            </w:pPr>
          </w:p>
          <w:p w:rsidR="00B43C57" w:rsidRPr="00F5723F" w:rsidRDefault="00B43C57">
            <w:pPr>
              <w:pStyle w:val="Tabelltextsiffror"/>
              <w:tabs>
                <w:tab w:val="decimal" w:pos="300"/>
              </w:tabs>
              <w:jc w:val="left"/>
              <w:rPr>
                <w:szCs w:val="16"/>
              </w:rPr>
            </w:pPr>
            <w:r w:rsidRPr="00F5723F">
              <w:rPr>
                <w:szCs w:val="16"/>
              </w:rPr>
              <w:t>10</w:t>
            </w:r>
          </w:p>
        </w:tc>
      </w:tr>
      <w:tr w:rsidR="00000000" w:rsidRPr="00F5723F">
        <w:tblPrEx>
          <w:tblCellMar>
            <w:top w:w="0" w:type="dxa"/>
            <w:bottom w:w="0" w:type="dxa"/>
          </w:tblCellMar>
        </w:tblPrEx>
        <w:tc>
          <w:tcPr>
            <w:tcW w:w="1626" w:type="pct"/>
            <w:tcBorders>
              <w:bottom w:val="single" w:sz="4" w:space="0" w:color="auto"/>
            </w:tcBorders>
          </w:tcPr>
          <w:p w:rsidR="00B43C57" w:rsidRPr="00F5723F" w:rsidRDefault="00B43C57">
            <w:pPr>
              <w:spacing w:line="240" w:lineRule="auto"/>
              <w:ind w:left="285" w:hanging="285"/>
              <w:rPr>
                <w:i/>
                <w:sz w:val="18"/>
              </w:rPr>
            </w:pPr>
          </w:p>
        </w:tc>
        <w:tc>
          <w:tcPr>
            <w:tcW w:w="423"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c>
          <w:tcPr>
            <w:tcW w:w="422"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c>
          <w:tcPr>
            <w:tcW w:w="422"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c>
          <w:tcPr>
            <w:tcW w:w="422"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c>
          <w:tcPr>
            <w:tcW w:w="422"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c>
          <w:tcPr>
            <w:tcW w:w="422"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c>
          <w:tcPr>
            <w:tcW w:w="422"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c>
          <w:tcPr>
            <w:tcW w:w="420" w:type="pct"/>
            <w:tcBorders>
              <w:bottom w:val="single" w:sz="4" w:space="0" w:color="auto"/>
            </w:tcBorders>
          </w:tcPr>
          <w:p w:rsidR="00B43C57" w:rsidRPr="00F5723F" w:rsidRDefault="00B43C57">
            <w:pPr>
              <w:pStyle w:val="Tabelltextsiffror"/>
              <w:tabs>
                <w:tab w:val="decimal" w:pos="300"/>
              </w:tabs>
              <w:spacing w:line="240" w:lineRule="auto"/>
              <w:jc w:val="left"/>
              <w:rPr>
                <w:sz w:val="18"/>
              </w:rPr>
            </w:pPr>
          </w:p>
        </w:tc>
      </w:tr>
    </w:tbl>
    <w:p w:rsidR="00B43C57" w:rsidRPr="00F5723F" w:rsidRDefault="00B43C57">
      <w:pPr>
        <w:spacing w:before="0" w:line="240" w:lineRule="auto"/>
        <w:rPr>
          <w:rFonts w:ascii="Arial" w:hAnsi="Arial" w:cs="Arial"/>
          <w:b/>
          <w:sz w:val="8"/>
          <w:szCs w:val="8"/>
        </w:rPr>
      </w:pPr>
    </w:p>
    <w:p w:rsidR="00B43C57" w:rsidRPr="00F5723F" w:rsidRDefault="00B43C57">
      <w:pPr>
        <w:spacing w:before="0" w:line="240" w:lineRule="auto"/>
        <w:rPr>
          <w:rFonts w:ascii="Arial" w:hAnsi="Arial" w:cs="Arial"/>
          <w:sz w:val="16"/>
          <w:szCs w:val="16"/>
        </w:rPr>
      </w:pPr>
      <w:r w:rsidRPr="00F5723F">
        <w:rPr>
          <w:rFonts w:ascii="Arial" w:hAnsi="Arial" w:cs="Arial"/>
          <w:b/>
          <w:sz w:val="16"/>
          <w:szCs w:val="16"/>
        </w:rPr>
        <w:t>Kommentar:</w:t>
      </w:r>
      <w:r w:rsidRPr="00F5723F">
        <w:rPr>
          <w:rFonts w:ascii="Arial" w:hAnsi="Arial" w:cs="Arial"/>
          <w:sz w:val="16"/>
          <w:szCs w:val="16"/>
        </w:rPr>
        <w:t xml:space="preserve"> Resultaten är hämtade från Riksdagskommitténs enkätu</w:t>
      </w:r>
      <w:r w:rsidRPr="00F5723F">
        <w:rPr>
          <w:rFonts w:ascii="Arial" w:hAnsi="Arial" w:cs="Arial"/>
          <w:sz w:val="16"/>
          <w:szCs w:val="16"/>
        </w:rPr>
        <w:t>n</w:t>
      </w:r>
      <w:r w:rsidRPr="00F5723F">
        <w:rPr>
          <w:rFonts w:ascii="Arial" w:hAnsi="Arial" w:cs="Arial"/>
          <w:sz w:val="16"/>
          <w:szCs w:val="16"/>
        </w:rPr>
        <w:t>dersökning med 2004 års riksdagsledamöter och bygger på en kombin</w:t>
      </w:r>
      <w:r w:rsidRPr="00F5723F">
        <w:rPr>
          <w:rFonts w:ascii="Arial" w:hAnsi="Arial" w:cs="Arial"/>
          <w:sz w:val="16"/>
          <w:szCs w:val="16"/>
        </w:rPr>
        <w:t>a</w:t>
      </w:r>
      <w:r w:rsidRPr="00F5723F">
        <w:rPr>
          <w:rFonts w:ascii="Arial" w:hAnsi="Arial" w:cs="Arial"/>
          <w:sz w:val="16"/>
          <w:szCs w:val="16"/>
        </w:rPr>
        <w:t>tion av svaren på de två frågor som redovisas i tabell 7.</w:t>
      </w:r>
    </w:p>
    <w:p w:rsidR="00B43C57" w:rsidRPr="00F5723F" w:rsidRDefault="00B43C57">
      <w:pPr>
        <w:pStyle w:val="Rubrik2"/>
      </w:pPr>
      <w:bookmarkStart w:id="313" w:name="_Toc124697889"/>
      <w:r w:rsidRPr="00F5723F">
        <w:t>De</w:t>
      </w:r>
      <w:r w:rsidRPr="00F5723F">
        <w:t>n goda mellanvalsdemokratin</w:t>
      </w:r>
      <w:bookmarkEnd w:id="313"/>
    </w:p>
    <w:p w:rsidR="00B43C57" w:rsidRPr="00F5723F" w:rsidRDefault="00B43C57">
      <w:r w:rsidRPr="00F5723F">
        <w:t>Studie</w:t>
      </w:r>
      <w:r w:rsidRPr="00F5723F">
        <w:t>n</w:t>
      </w:r>
      <w:r w:rsidRPr="00F5723F">
        <w:t xml:space="preserve"> av riksdagsledamöterna i mellanvalsdemokratin</w:t>
      </w:r>
      <w:r w:rsidRPr="00F5723F">
        <w:t xml:space="preserve"> kan sammanfattas i tre huvu</w:t>
      </w:r>
      <w:r w:rsidRPr="00F5723F">
        <w:t>d</w:t>
      </w:r>
      <w:r w:rsidRPr="00F5723F">
        <w:t>punkter: För det första har partiet inte längre samma dominerande ställning i riksdagsledamöternas representationsideologier. Dagens riksdag</w:t>
      </w:r>
      <w:r w:rsidRPr="00F5723F">
        <w:t>s</w:t>
      </w:r>
      <w:r w:rsidRPr="00F5723F">
        <w:t>ledamöter tycker det är viktigare att representera valkretsens väljare än att representera det egna partiets väljare. Till skillnad från 1980- och 1990-talen riksdagsledamöter sätter 2000-talets ledamöter ind</w:t>
      </w:r>
      <w:r w:rsidRPr="00F5723F">
        <w:t>i</w:t>
      </w:r>
      <w:r w:rsidRPr="00F5723F">
        <w:t>vidprincipen framför partiprincipen, vilket innebär att de tycker det är viktigare att</w:t>
      </w:r>
      <w:r w:rsidRPr="00F5723F">
        <w:t xml:space="preserve"> rösta efter egen uppfattning än efter partiets ståndpunkt då dessa står i konflikt. Riksdagsl</w:t>
      </w:r>
      <w:r w:rsidRPr="00F5723F">
        <w:t>e</w:t>
      </w:r>
      <w:r w:rsidRPr="00F5723F">
        <w:t>damöterna tycker dock fortfarande att det är viktigare att representera partiets politik än att representera regionens och valkretsens intressen, men den skil</w:t>
      </w:r>
      <w:r w:rsidRPr="00F5723F">
        <w:t>l</w:t>
      </w:r>
      <w:r w:rsidRPr="00F5723F">
        <w:t>naden är mindre idag än på 1980- och 1990-talen.</w:t>
      </w:r>
    </w:p>
    <w:p w:rsidR="00B43C57" w:rsidRPr="00F5723F" w:rsidRDefault="00B43C57">
      <w:pPr>
        <w:pStyle w:val="Normaltindrag"/>
      </w:pPr>
      <w:r w:rsidRPr="00F5723F">
        <w:t>Studiens andra huvudresultat är att mellanvalskontakter med olika me</w:t>
      </w:r>
      <w:r w:rsidRPr="00F5723F">
        <w:t>d</w:t>
      </w:r>
      <w:r w:rsidRPr="00F5723F">
        <w:t>borgargrupper successivt har blivit ett viktigare inslag i riksdagsledamöternas arbetsuppgifter. Riksdagsledamöterna lägger allt större vikt vid mellanval</w:t>
      </w:r>
      <w:r w:rsidRPr="00F5723F">
        <w:t>s</w:t>
      </w:r>
      <w:r w:rsidRPr="00F5723F">
        <w:t>kontakter med den egna valkretsen, men även andra typer av medborgar</w:t>
      </w:r>
      <w:r w:rsidRPr="00F5723F">
        <w:softHyphen/>
        <w:t>kontakter har blivit vanligare.</w:t>
      </w:r>
    </w:p>
    <w:p w:rsidR="00B43C57" w:rsidRPr="00F5723F" w:rsidRDefault="00B43C57">
      <w:pPr>
        <w:pStyle w:val="Normaltindrag"/>
      </w:pPr>
      <w:r w:rsidRPr="00F5723F">
        <w:t>För det tredje, slutligen, framstår riksdagsledamöterna i sin mellanvals</w:t>
      </w:r>
      <w:r w:rsidRPr="00F5723F">
        <w:softHyphen/>
        <w:t>kommunikation med den egna valkretsen som goda tvåvägskommunikatörer: Enligt ledamöterna är det i dessa sammanhang viktigt att informera om det arbete som pågår i riksdagen men det är samtidigt ännu viktigare att inform</w:t>
      </w:r>
      <w:r w:rsidRPr="00F5723F">
        <w:t>e</w:t>
      </w:r>
      <w:r w:rsidRPr="00F5723F">
        <w:t>ra sig om problemen på hemmaplan.</w:t>
      </w:r>
    </w:p>
    <w:p w:rsidR="00B43C57" w:rsidRPr="00F5723F" w:rsidRDefault="00B43C57">
      <w:pPr>
        <w:pStyle w:val="Normaltindrag"/>
      </w:pPr>
      <w:r w:rsidRPr="00F5723F">
        <w:t xml:space="preserve">Partiets försvagade ställning, den ökande tiden för medborgarkontakter och den starka betoningen av lyhördhet inför hemmavalkretsen kan förmodligen kopplas samman med den nya personröstningen och att allt fler ledamöter upplever att de sitter på personliga </w:t>
      </w:r>
      <w:r w:rsidRPr="00F5723F">
        <w:t>riksdagsmandat. En sådan utveckling är per definition negativ för den typ av partidom</w:t>
      </w:r>
      <w:r w:rsidRPr="00F5723F">
        <w:t>i</w:t>
      </w:r>
      <w:r w:rsidRPr="00F5723F">
        <w:t>nerad representativ demokrati som vi är vana vid i Sverige. Men huruvida en utveckling där partierna allt oftare får stå tillbaka för valkretsarnas intressen och riksdagsledam</w:t>
      </w:r>
      <w:r w:rsidRPr="00F5723F">
        <w:t>ö</w:t>
      </w:r>
      <w:r w:rsidRPr="00F5723F">
        <w:t>ternas egna uppfattningar är negativ för demokratin i betydelsen folkstyrelse och fol</w:t>
      </w:r>
      <w:r w:rsidRPr="00F5723F">
        <w:t>k</w:t>
      </w:r>
      <w:r w:rsidRPr="00F5723F">
        <w:t>viljans förverkligande låter vi i det här sammanhanget vara osagt.</w:t>
      </w:r>
    </w:p>
    <w:p w:rsidR="00B43C57" w:rsidRPr="00F5723F" w:rsidRDefault="00B43C57">
      <w:r w:rsidRPr="00F5723F">
        <w:t>Vår pilotstudie av den svenska mellanvalsdemokratin har givit oss mersmak. De resultat som har pr</w:t>
      </w:r>
      <w:r w:rsidRPr="00F5723F">
        <w:t>esenterats på de föregående sidorna är intressanta och i flera fall till och med lite överraskande. Samtidigt är det dock uppenbart att vår fallstudie av den svenska riksdagen har stora begränsningar om am</w:t>
      </w:r>
      <w:r w:rsidRPr="00F5723F">
        <w:softHyphen/>
        <w:t>bi</w:t>
      </w:r>
      <w:r w:rsidRPr="00F5723F">
        <w:softHyphen/>
        <w:t>tionen är att göra en mer grundläggande kartläggning av fenomenet mella</w:t>
      </w:r>
      <w:r w:rsidRPr="00F5723F">
        <w:t>n</w:t>
      </w:r>
      <w:r w:rsidRPr="00F5723F">
        <w:t>valsdemokrati.</w:t>
      </w:r>
    </w:p>
    <w:p w:rsidR="00B43C57" w:rsidRPr="00F5723F" w:rsidRDefault="00B43C57">
      <w:pPr>
        <w:pStyle w:val="Normaltindrag"/>
      </w:pPr>
      <w:r w:rsidRPr="00F5723F">
        <w:t>En första möjlighet till fortsatt forskning kunde här vara att rikta blickarna mot andra politiska aktörer än riksdagsledamöter. I kapitlets inledning gjorde vi en distinktion mellan mellanvalsdemokrati ovanifrån och</w:t>
      </w:r>
      <w:r w:rsidRPr="00F5723F">
        <w:t xml:space="preserve"> underifrån och framhöll där nödvändigheten av studier med fokus på medborgerligt mella</w:t>
      </w:r>
      <w:r w:rsidRPr="00F5723F">
        <w:t>n</w:t>
      </w:r>
      <w:r w:rsidRPr="00F5723F">
        <w:t>valsdeltagande. Därtill kan förstås också läggas studier av hur de förtroend</w:t>
      </w:r>
      <w:r w:rsidRPr="00F5723F">
        <w:t>e</w:t>
      </w:r>
      <w:r w:rsidRPr="00F5723F">
        <w:t>valda i kommuner och landsting, och kanske också på andra nivåer i polit</w:t>
      </w:r>
      <w:r w:rsidRPr="00F5723F">
        <w:t>i</w:t>
      </w:r>
      <w:r w:rsidRPr="00F5723F">
        <w:t>ken, tänker och agerar när det gäller information och påtryckningar från me</w:t>
      </w:r>
      <w:r w:rsidRPr="00F5723F">
        <w:t>d</w:t>
      </w:r>
      <w:r w:rsidRPr="00F5723F">
        <w:t>borgare. En kompletterande möjlighet i det sammanhanget skulle kunna vara att studera eventuella skillnader mellan representanter som valts in genom pe</w:t>
      </w:r>
      <w:r w:rsidRPr="00F5723F">
        <w:t>r</w:t>
      </w:r>
      <w:r w:rsidRPr="00F5723F">
        <w:t>sonröster och representanter som saknar den ty</w:t>
      </w:r>
      <w:r w:rsidRPr="00F5723F">
        <w:t>pen av personligt mandat. Dessutom skulle jämförande studier av mellanvalsdemokrati i olika nationella politiska system kunna ge svar på frågor om hur olika typer av styrelseskick och konstitutionella arrangemang påverkar mellanvalsdemokratins utfor</w:t>
      </w:r>
      <w:r w:rsidRPr="00F5723F">
        <w:t>m</w:t>
      </w:r>
      <w:r w:rsidRPr="00F5723F">
        <w:t>ning och funktionssätt.</w:t>
      </w:r>
    </w:p>
    <w:p w:rsidR="00B43C57" w:rsidRPr="00F5723F" w:rsidRDefault="00B43C57">
      <w:pPr>
        <w:pStyle w:val="Normaltindrag"/>
      </w:pPr>
      <w:r w:rsidRPr="00F5723F">
        <w:t>En annan möjlighet till vidare forskning kunde vara att sätta tydligare f</w:t>
      </w:r>
      <w:r w:rsidRPr="00F5723F">
        <w:t>o</w:t>
      </w:r>
      <w:r w:rsidRPr="00F5723F">
        <w:t>kus på frågan om vem som har kontakt med vem i mellanvalsdemokratin och kanske ännu hellre på frågan om vem som bör ha kontakt med vem och med vilka syften: Hur ser väljare och valda på det faktum att de politiska represe</w:t>
      </w:r>
      <w:r w:rsidRPr="00F5723F">
        <w:t>n</w:t>
      </w:r>
      <w:r w:rsidRPr="00F5723F">
        <w:t>tanterna många gånger får sin medborgarinformation och sin ”mellanvalsbild” av folkviljan från missnöjda grupper och medborg</w:t>
      </w:r>
      <w:r w:rsidRPr="00F5723F">
        <w:t>a</w:t>
      </w:r>
      <w:r w:rsidRPr="00F5723F">
        <w:t>re som ropar högt och mycket? Hur uppfattas massmediernas, de organiserade intressenas och lo</w:t>
      </w:r>
      <w:r w:rsidRPr="00F5723F">
        <w:t>b</w:t>
      </w:r>
      <w:r w:rsidRPr="00F5723F">
        <w:t>byisternas roll i dessa sammanhang? Vore det inte bättre med ett syste</w:t>
      </w:r>
      <w:r w:rsidRPr="00F5723F">
        <w:t>m där de förtroendevalda i större utsträckning får information och verklighetsskil</w:t>
      </w:r>
      <w:r w:rsidRPr="00F5723F">
        <w:t>d</w:t>
      </w:r>
      <w:r w:rsidRPr="00F5723F">
        <w:t>ringar från mer genomsnittliga me</w:t>
      </w:r>
      <w:r w:rsidRPr="00F5723F">
        <w:t>d</w:t>
      </w:r>
      <w:r w:rsidRPr="00F5723F">
        <w:t xml:space="preserve">borgare som inte nödvändigtvis känner sig förfördelade och där kanske inte så få till och med är nöjda och har en positiv inställning till det politiska arbetet under mellanvalsperioderna? Om den typen av vad vi här väljer att kalla mer </w:t>
      </w:r>
      <w:r w:rsidRPr="00F5723F">
        <w:t>representativa medborgarko</w:t>
      </w:r>
      <w:r w:rsidRPr="00F5723F">
        <w:t>n</w:t>
      </w:r>
      <w:r w:rsidRPr="00F5723F">
        <w:t>takter</w:t>
      </w:r>
      <w:r w:rsidRPr="00F5723F">
        <w:t xml:space="preserve"> anses som ett viktigt inslag i den goda mellanvalsdemokratin blir förstås nästa fråga hur vägen dit fram eller åtminstone fä</w:t>
      </w:r>
      <w:r w:rsidRPr="00F5723F">
        <w:t>rdriktningen kan tänkas se ut.</w:t>
      </w:r>
    </w:p>
    <w:p w:rsidR="00B43C57" w:rsidRPr="00F5723F" w:rsidRDefault="00B43C57">
      <w:pPr>
        <w:pStyle w:val="Normaltindrag"/>
      </w:pPr>
      <w:r w:rsidRPr="00F5723F">
        <w:t>Ett första steg mot en sådan mer representativ mellanvalskommunikation skulle kunna vara att de förtroendevalda i större utsträckning än idag tänker och agerar i enlighet med vad som skulle kunna kallas för omvänt uppvak</w:t>
      </w:r>
      <w:r w:rsidRPr="00F5723F">
        <w:t>t</w:t>
      </w:r>
      <w:r w:rsidRPr="00F5723F">
        <w:t>ningsförfarande. De förtroendevalda skall då inte i första hand lyssna på de aktiva medborgare som de blir uppvaktade av och som många gånger uttryc</w:t>
      </w:r>
      <w:r w:rsidRPr="00F5723F">
        <w:t>k</w:t>
      </w:r>
      <w:r w:rsidRPr="00F5723F">
        <w:t>er missnöje, utan istället på mer genomsnittliga medbo</w:t>
      </w:r>
      <w:r w:rsidRPr="00F5723F">
        <w:t>r</w:t>
      </w:r>
      <w:r w:rsidRPr="00F5723F">
        <w:t>gare som de själva söker upp och samtalar med. I de förtroendevaldas vardagliga arbete skulle det kunna handla om fler mer eller mindre långvariga ”samtalsrelationer” med skolor, arbetsplatser och bostadsområden. I mer vetenskaplig form skulle det kunna handla om en mellanvalskommunikation mellan medborgar</w:t>
      </w:r>
      <w:r w:rsidRPr="00F5723F">
        <w:t>e och fö</w:t>
      </w:r>
      <w:r w:rsidRPr="00F5723F">
        <w:t>r</w:t>
      </w:r>
      <w:r w:rsidRPr="00F5723F">
        <w:t>troendevalda med ett större inslag av opinionsmätningar och fokusgrupper och medborgarpaneler.</w:t>
      </w:r>
    </w:p>
    <w:p w:rsidR="00B43C57" w:rsidRPr="00F5723F" w:rsidRDefault="00B43C57">
      <w:pPr>
        <w:pStyle w:val="Rubrik2"/>
        <w:spacing w:before="0"/>
      </w:pPr>
      <w:r w:rsidRPr="00F5723F">
        <w:br w:type="page"/>
      </w:r>
      <w:bookmarkStart w:id="314" w:name="_Toc124697890"/>
      <w:r w:rsidRPr="00F5723F">
        <w:t>Referenser</w:t>
      </w:r>
      <w:bookmarkEnd w:id="314"/>
    </w:p>
    <w:p w:rsidR="00B43C57" w:rsidRPr="00F5723F" w:rsidRDefault="00B43C57">
      <w:pPr>
        <w:spacing w:line="240" w:lineRule="auto"/>
        <w:ind w:left="284" w:hanging="284"/>
      </w:pPr>
      <w:r w:rsidRPr="00F5723F">
        <w:t xml:space="preserve">Arnold, </w:t>
      </w:r>
      <w:smartTag w:uri="urn:schemas-microsoft-com:office:smarttags" w:element="place">
        <w:r w:rsidRPr="00F5723F">
          <w:t>Douglas</w:t>
        </w:r>
      </w:smartTag>
      <w:r w:rsidRPr="00F5723F">
        <w:t xml:space="preserve"> (1990): </w:t>
      </w:r>
      <w:r w:rsidRPr="00F5723F">
        <w:rPr>
          <w:i/>
        </w:rPr>
        <w:t>The Logic of Congressional Action.</w:t>
      </w:r>
      <w:r w:rsidRPr="00F5723F">
        <w:t xml:space="preserve"> </w:t>
      </w:r>
      <w:smartTag w:uri="urn:schemas-microsoft-com:office:smarttags" w:element="City">
        <w:r w:rsidRPr="00F5723F">
          <w:t>New Haven</w:t>
        </w:r>
      </w:smartTag>
      <w:r w:rsidRPr="00F5723F">
        <w:t xml:space="preserve">: </w:t>
      </w:r>
      <w:smartTag w:uri="urn:schemas-microsoft-com:office:smarttags" w:element="place">
        <w:smartTag w:uri="urn:schemas-microsoft-com:office:smarttags" w:element="PlaceName">
          <w:r w:rsidRPr="00F5723F">
            <w:t>Yale</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Bogdanor, </w:t>
      </w:r>
      <w:smartTag w:uri="urn:schemas-microsoft-com:office:smarttags" w:element="City">
        <w:smartTag w:uri="urn:schemas-microsoft-com:office:smarttags" w:element="place">
          <w:r w:rsidRPr="00F5723F">
            <w:t>Vernon</w:t>
          </w:r>
        </w:smartTag>
      </w:smartTag>
      <w:r w:rsidRPr="00F5723F">
        <w:t xml:space="preserve"> (red.) (1985): </w:t>
      </w:r>
      <w:r w:rsidRPr="00F5723F">
        <w:rPr>
          <w:i/>
        </w:rPr>
        <w:t>Representatives of the People? Parliame</w:t>
      </w:r>
      <w:r w:rsidRPr="00F5723F">
        <w:rPr>
          <w:i/>
        </w:rPr>
        <w:t>n</w:t>
      </w:r>
      <w:r w:rsidRPr="00F5723F">
        <w:rPr>
          <w:i/>
        </w:rPr>
        <w:t>tarians and Constituents in Western Democracies.</w:t>
      </w:r>
      <w:r w:rsidRPr="00F5723F">
        <w:t xml:space="preserve"> </w:t>
      </w:r>
      <w:r w:rsidRPr="00F5723F">
        <w:t>Cambridge: Cam</w:t>
      </w:r>
      <w:r w:rsidRPr="00F5723F">
        <w:t>b</w:t>
      </w:r>
      <w:r w:rsidRPr="00F5723F">
        <w:t>ridge University Press.</w:t>
      </w:r>
    </w:p>
    <w:p w:rsidR="00B43C57" w:rsidRPr="00F5723F" w:rsidRDefault="00B43C57">
      <w:pPr>
        <w:spacing w:line="240" w:lineRule="auto"/>
        <w:ind w:left="284" w:hanging="284"/>
      </w:pPr>
      <w:r w:rsidRPr="00F5723F">
        <w:t xml:space="preserve">Brothén, Martin (2002): </w:t>
      </w:r>
      <w:r w:rsidRPr="00F5723F">
        <w:rPr>
          <w:i/>
        </w:rPr>
        <w:t>I kontakt med omvärlden. Riksdagsledamöterna och international</w:t>
      </w:r>
      <w:r w:rsidRPr="00F5723F">
        <w:rPr>
          <w:i/>
        </w:rPr>
        <w:t>i</w:t>
      </w:r>
      <w:r w:rsidRPr="00F5723F">
        <w:rPr>
          <w:i/>
        </w:rPr>
        <w:t>seringen.</w:t>
      </w:r>
      <w:r w:rsidRPr="00F5723F">
        <w:t xml:space="preserve"> Stockholm: SNS Förlag.</w:t>
      </w:r>
    </w:p>
    <w:p w:rsidR="00B43C57" w:rsidRPr="00F5723F" w:rsidRDefault="00B43C57">
      <w:pPr>
        <w:spacing w:line="240" w:lineRule="auto"/>
        <w:ind w:left="284" w:hanging="284"/>
      </w:pPr>
      <w:r w:rsidRPr="00F5723F">
        <w:t xml:space="preserve">Brothén, Martin (2005): </w:t>
      </w:r>
      <w:r w:rsidRPr="00F5723F">
        <w:rPr>
          <w:i/>
        </w:rPr>
        <w:t>Riksdagsledamöternas arbetsvecka. Arbetssituati</w:t>
      </w:r>
      <w:r w:rsidRPr="00F5723F">
        <w:rPr>
          <w:i/>
        </w:rPr>
        <w:t>o</w:t>
      </w:r>
      <w:r w:rsidRPr="00F5723F">
        <w:rPr>
          <w:i/>
        </w:rPr>
        <w:t>nen i och utanför riksdagen:</w:t>
      </w:r>
      <w:r w:rsidRPr="00F5723F">
        <w:t xml:space="preserve"> Sveriges riksdag: Riksdagskommittén.</w:t>
      </w:r>
    </w:p>
    <w:p w:rsidR="00B43C57" w:rsidRPr="00F5723F" w:rsidRDefault="00B43C57">
      <w:pPr>
        <w:spacing w:line="240" w:lineRule="auto"/>
        <w:ind w:left="284" w:hanging="284"/>
      </w:pPr>
      <w:r w:rsidRPr="00F5723F">
        <w:t xml:space="preserve">Brothén, Martin (2006, kommande): </w:t>
      </w:r>
      <w:r w:rsidRPr="00F5723F">
        <w:rPr>
          <w:i/>
        </w:rPr>
        <w:t>Förtroendet för riksdagen</w:t>
      </w:r>
      <w:r w:rsidRPr="00F5723F">
        <w:t>. Göteborgs universitet: Statsvetenskapl</w:t>
      </w:r>
      <w:r w:rsidRPr="00F5723F">
        <w:t>i</w:t>
      </w:r>
      <w:r w:rsidRPr="00F5723F">
        <w:t xml:space="preserve">ga institutionen. </w:t>
      </w:r>
    </w:p>
    <w:p w:rsidR="00B43C57" w:rsidRPr="00F5723F" w:rsidRDefault="00B43C57">
      <w:pPr>
        <w:spacing w:line="240" w:lineRule="auto"/>
        <w:ind w:left="284" w:hanging="284"/>
      </w:pPr>
      <w:r w:rsidRPr="00F5723F">
        <w:t xml:space="preserve">Butler, David &amp; Austin Ranney (red.) </w:t>
      </w:r>
      <w:r w:rsidRPr="00F5723F">
        <w:t xml:space="preserve">(1992): </w:t>
      </w:r>
      <w:r w:rsidRPr="00F5723F">
        <w:rPr>
          <w:i/>
        </w:rPr>
        <w:t>Electioneering. A Comparative Study of Contin</w:t>
      </w:r>
      <w:r w:rsidRPr="00F5723F">
        <w:rPr>
          <w:i/>
        </w:rPr>
        <w:t>u</w:t>
      </w:r>
      <w:r w:rsidRPr="00F5723F">
        <w:rPr>
          <w:i/>
        </w:rPr>
        <w:t>ity and Change.</w:t>
      </w:r>
      <w:r w:rsidRPr="00F5723F">
        <w:t xml:space="preserve"> </w:t>
      </w:r>
      <w:smartTag w:uri="urn:schemas-microsoft-com:office:smarttags" w:element="City">
        <w:smartTag w:uri="urn:schemas-microsoft-com:office:smarttags" w:element="place">
          <w:r w:rsidRPr="00F5723F">
            <w:t>Oxford</w:t>
          </w:r>
        </w:smartTag>
      </w:smartTag>
      <w:r w:rsidRPr="00F5723F">
        <w:t>: Clarendon Press.</w:t>
      </w:r>
    </w:p>
    <w:p w:rsidR="00B43C57" w:rsidRPr="00F5723F" w:rsidRDefault="00B43C57">
      <w:pPr>
        <w:spacing w:line="240" w:lineRule="auto"/>
        <w:ind w:left="284" w:hanging="284"/>
      </w:pPr>
      <w:r w:rsidRPr="00F5723F">
        <w:t xml:space="preserve">Cain, Bruce, John Ferejohn &amp; Morris Fiorina (1987): </w:t>
      </w:r>
      <w:r w:rsidRPr="00F5723F">
        <w:rPr>
          <w:i/>
        </w:rPr>
        <w:t>The Personal Vote</w:t>
      </w:r>
      <w:r w:rsidRPr="00F5723F">
        <w:t xml:space="preserve">: </w:t>
      </w:r>
      <w:smartTag w:uri="urn:schemas-microsoft-com:office:smarttags" w:element="City">
        <w:r w:rsidRPr="00F5723F">
          <w:t>Cambridge</w:t>
        </w:r>
      </w:smartTag>
      <w:r w:rsidRPr="00F5723F">
        <w:t xml:space="preserve">: </w:t>
      </w:r>
      <w:smartTag w:uri="urn:schemas-microsoft-com:office:smarttags" w:element="place">
        <w:smartTag w:uri="urn:schemas-microsoft-com:office:smarttags" w:element="PlaceName">
          <w:r w:rsidRPr="00F5723F">
            <w:t>Harvard</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Converse, Philip &amp; Roy Pierce (1986): </w:t>
      </w:r>
      <w:r w:rsidRPr="00F5723F">
        <w:rPr>
          <w:i/>
        </w:rPr>
        <w:t xml:space="preserve">Political Representation in </w:t>
      </w:r>
      <w:smartTag w:uri="urn:schemas-microsoft-com:office:smarttags" w:element="country-region">
        <w:smartTag w:uri="urn:schemas-microsoft-com:office:smarttags" w:element="place">
          <w:r w:rsidRPr="00F5723F">
            <w:rPr>
              <w:i/>
            </w:rPr>
            <w:t>France</w:t>
          </w:r>
        </w:smartTag>
      </w:smartTag>
      <w:r w:rsidRPr="00F5723F">
        <w:t xml:space="preserve">. </w:t>
      </w:r>
      <w:smartTag w:uri="urn:schemas-microsoft-com:office:smarttags" w:element="City">
        <w:r w:rsidRPr="00F5723F">
          <w:t>Cambridge</w:t>
        </w:r>
      </w:smartTag>
      <w:r w:rsidRPr="00F5723F">
        <w:t xml:space="preserve">: </w:t>
      </w:r>
      <w:smartTag w:uri="urn:schemas-microsoft-com:office:smarttags" w:element="place">
        <w:smartTag w:uri="urn:schemas-microsoft-com:office:smarttags" w:element="PlaceName">
          <w:r w:rsidRPr="00F5723F">
            <w:t>Harvard</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smartTag w:uri="urn:schemas-microsoft-com:office:smarttags" w:element="place">
        <w:r w:rsidRPr="00F5723F">
          <w:t>Downs</w:t>
        </w:r>
      </w:smartTag>
      <w:r w:rsidRPr="00F5723F">
        <w:t xml:space="preserve">, Anthony (1957): </w:t>
      </w:r>
      <w:r w:rsidRPr="00F5723F">
        <w:rPr>
          <w:i/>
        </w:rPr>
        <w:t>An Economic Theory of Democracy</w:t>
      </w:r>
      <w:r w:rsidRPr="00F5723F">
        <w:t xml:space="preserve">. </w:t>
      </w:r>
      <w:smartTag w:uri="urn:schemas-microsoft-com:office:smarttags" w:element="State">
        <w:smartTag w:uri="urn:schemas-microsoft-com:office:smarttags" w:element="place">
          <w:r w:rsidRPr="00F5723F">
            <w:t>New York</w:t>
          </w:r>
        </w:smartTag>
      </w:smartTag>
      <w:r w:rsidRPr="00F5723F">
        <w:t>: Harper &amp; Row.</w:t>
      </w:r>
    </w:p>
    <w:p w:rsidR="00B43C57" w:rsidRPr="00F5723F" w:rsidRDefault="00B43C57">
      <w:pPr>
        <w:spacing w:line="240" w:lineRule="auto"/>
        <w:ind w:left="284" w:hanging="284"/>
      </w:pPr>
      <w:r w:rsidRPr="00F5723F">
        <w:t xml:space="preserve">Esaiasson, Peter &amp; Anders Westholm (red.) </w:t>
      </w:r>
      <w:r w:rsidRPr="00F5723F">
        <w:t xml:space="preserve">(2006): </w:t>
      </w:r>
      <w:r w:rsidRPr="00F5723F">
        <w:rPr>
          <w:i/>
        </w:rPr>
        <w:t>Deltagandets mekani</w:t>
      </w:r>
      <w:r w:rsidRPr="00F5723F">
        <w:rPr>
          <w:i/>
        </w:rPr>
        <w:t>s</w:t>
      </w:r>
      <w:r w:rsidRPr="00F5723F">
        <w:rPr>
          <w:i/>
        </w:rPr>
        <w:t>mer</w:t>
      </w:r>
      <w:r w:rsidRPr="00F5723F">
        <w:t xml:space="preserve">. Malmö: Liber. </w:t>
      </w:r>
    </w:p>
    <w:p w:rsidR="00B43C57" w:rsidRPr="00F5723F" w:rsidRDefault="00B43C57">
      <w:pPr>
        <w:spacing w:line="240" w:lineRule="auto"/>
        <w:ind w:left="284" w:hanging="284"/>
      </w:pPr>
      <w:r w:rsidRPr="00F5723F">
        <w:t xml:space="preserve">Esaiasson, Peter &amp; Knut Heidar (red.) </w:t>
      </w:r>
      <w:r w:rsidRPr="00F5723F">
        <w:t xml:space="preserve">(2002): </w:t>
      </w:r>
      <w:r w:rsidRPr="00F5723F">
        <w:rPr>
          <w:i/>
        </w:rPr>
        <w:t xml:space="preserve">Beyond </w:t>
      </w:r>
      <w:smartTag w:uri="urn:schemas-microsoft-com:office:smarttags" w:element="City">
        <w:smartTag w:uri="urn:schemas-microsoft-com:office:smarttags" w:element="place">
          <w:r w:rsidRPr="00F5723F">
            <w:rPr>
              <w:i/>
            </w:rPr>
            <w:t>Westminster</w:t>
          </w:r>
        </w:smartTag>
      </w:smartTag>
      <w:r w:rsidRPr="00F5723F">
        <w:rPr>
          <w:i/>
        </w:rPr>
        <w:t xml:space="preserve"> and Co</w:t>
      </w:r>
      <w:r w:rsidRPr="00F5723F">
        <w:rPr>
          <w:i/>
        </w:rPr>
        <w:t>n</w:t>
      </w:r>
      <w:r w:rsidRPr="00F5723F">
        <w:rPr>
          <w:i/>
        </w:rPr>
        <w:t>gress. The Nordic Experience.</w:t>
      </w:r>
      <w:r w:rsidRPr="00F5723F">
        <w:t xml:space="preserve"> </w:t>
      </w:r>
      <w:r w:rsidRPr="00F5723F">
        <w:t>Columbus: Ohio State University Press.</w:t>
      </w:r>
    </w:p>
    <w:p w:rsidR="00B43C57" w:rsidRPr="00F5723F" w:rsidRDefault="00B43C57">
      <w:pPr>
        <w:spacing w:line="240" w:lineRule="auto"/>
        <w:ind w:left="284" w:hanging="284"/>
      </w:pPr>
      <w:r w:rsidRPr="00F5723F">
        <w:t xml:space="preserve">Esaiasson, Peter (1990): </w:t>
      </w:r>
      <w:r w:rsidRPr="00F5723F">
        <w:rPr>
          <w:i/>
        </w:rPr>
        <w:t>Svenska valkampanjer 1866–1988.</w:t>
      </w:r>
      <w:r w:rsidRPr="00F5723F">
        <w:t xml:space="preserve"> Stockholm: Al</w:t>
      </w:r>
      <w:r w:rsidRPr="00F5723F">
        <w:t>l</w:t>
      </w:r>
      <w:r w:rsidRPr="00F5723F">
        <w:t>männa förlaget.</w:t>
      </w:r>
    </w:p>
    <w:p w:rsidR="00B43C57" w:rsidRPr="00F5723F" w:rsidRDefault="00B43C57">
      <w:pPr>
        <w:spacing w:line="240" w:lineRule="auto"/>
        <w:ind w:left="284" w:hanging="284"/>
      </w:pPr>
      <w:r w:rsidRPr="00F5723F">
        <w:t xml:space="preserve">Eulau, Heinz, John Wahlke, William Buchanan &amp; Leroy Ferguson (1959): The Role of the Representative. Some Empirical Observations on The Theory of Edmund Burke. American </w:t>
      </w:r>
      <w:r w:rsidRPr="00F5723F">
        <w:rPr>
          <w:i/>
        </w:rPr>
        <w:t>Political Science Review</w:t>
      </w:r>
      <w:r w:rsidRPr="00F5723F">
        <w:t xml:space="preserve"> 53:742–756.</w:t>
      </w:r>
      <w:r w:rsidRPr="00F5723F">
        <w:rPr>
          <w:i/>
          <w:iCs/>
          <w:szCs w:val="19"/>
        </w:rPr>
        <w:t xml:space="preserve">  </w:t>
      </w:r>
    </w:p>
    <w:p w:rsidR="00B43C57" w:rsidRPr="00F5723F" w:rsidRDefault="00B43C57">
      <w:pPr>
        <w:spacing w:line="240" w:lineRule="auto"/>
        <w:ind w:left="284" w:hanging="284"/>
      </w:pPr>
      <w:r w:rsidRPr="00F5723F">
        <w:t xml:space="preserve">Gilljam, Mikael &amp; Jörgen Hermansson (red.) (2003): </w:t>
      </w:r>
      <w:r w:rsidRPr="00F5723F">
        <w:rPr>
          <w:i/>
        </w:rPr>
        <w:t>Demokratins mekani</w:t>
      </w:r>
      <w:r w:rsidRPr="00F5723F">
        <w:rPr>
          <w:i/>
        </w:rPr>
        <w:t>s</w:t>
      </w:r>
      <w:r w:rsidRPr="00F5723F">
        <w:rPr>
          <w:i/>
        </w:rPr>
        <w:t>mer.</w:t>
      </w:r>
      <w:r w:rsidRPr="00F5723F">
        <w:t xml:space="preserve"> Malmö: Liber.</w:t>
      </w:r>
    </w:p>
    <w:p w:rsidR="00B43C57" w:rsidRPr="00F5723F" w:rsidRDefault="00B43C57">
      <w:pPr>
        <w:spacing w:line="240" w:lineRule="auto"/>
        <w:ind w:left="284" w:hanging="284"/>
      </w:pPr>
      <w:r w:rsidRPr="00F5723F">
        <w:t xml:space="preserve">Gilljam, Mikael &amp; Ola Jodal (2002): Medborgarnas demokratiuppfattningar. I Sören Holmberg &amp; Lennart Weibull (red.): </w:t>
      </w:r>
      <w:r w:rsidRPr="00F5723F">
        <w:rPr>
          <w:i/>
        </w:rPr>
        <w:t>Det våras för politiken.</w:t>
      </w:r>
      <w:r w:rsidRPr="00F5723F">
        <w:t xml:space="preserve"> Göt</w:t>
      </w:r>
      <w:r w:rsidRPr="00F5723F">
        <w:t>e</w:t>
      </w:r>
      <w:r w:rsidRPr="00F5723F">
        <w:t>borgs universitet: SOM-institutet.</w:t>
      </w:r>
    </w:p>
    <w:p w:rsidR="00B43C57" w:rsidRPr="00F5723F" w:rsidRDefault="00B43C57">
      <w:pPr>
        <w:spacing w:line="240" w:lineRule="auto"/>
        <w:ind w:left="284" w:hanging="284"/>
      </w:pPr>
      <w:r w:rsidRPr="00F5723F">
        <w:t xml:space="preserve">Gilljam, Mikael &amp; Sören Holmberg (1995): </w:t>
      </w:r>
      <w:r w:rsidRPr="00F5723F">
        <w:rPr>
          <w:i/>
        </w:rPr>
        <w:t>Väljarnas val.</w:t>
      </w:r>
      <w:r w:rsidRPr="00F5723F">
        <w:t xml:space="preserve"> </w:t>
      </w:r>
      <w:smartTag w:uri="urn:schemas-microsoft-com:office:smarttags" w:element="City">
        <w:smartTag w:uri="urn:schemas-microsoft-com:office:smarttags" w:element="place">
          <w:r w:rsidRPr="00F5723F">
            <w:t>Stockholm</w:t>
          </w:r>
        </w:smartTag>
      </w:smartTag>
      <w:r w:rsidRPr="00F5723F">
        <w:t>: Norstedts Juridik.</w:t>
      </w:r>
    </w:p>
    <w:p w:rsidR="00B43C57" w:rsidRPr="00F5723F" w:rsidRDefault="00B43C57">
      <w:pPr>
        <w:spacing w:line="240" w:lineRule="auto"/>
        <w:ind w:left="284" w:hanging="284"/>
      </w:pPr>
      <w:r w:rsidRPr="00F5723F">
        <w:t xml:space="preserve">Grofman, Bernard &amp; Arend Lijphart (red.) (2002): </w:t>
      </w:r>
      <w:r w:rsidRPr="00F5723F">
        <w:rPr>
          <w:i/>
        </w:rPr>
        <w:t>The Evolution of Electoral and Party Systems in the Nordic Countries.</w:t>
      </w:r>
      <w:r w:rsidRPr="00F5723F">
        <w:t xml:space="preserve"> </w:t>
      </w:r>
      <w:smartTag w:uri="urn:schemas-microsoft-com:office:smarttags" w:element="State">
        <w:smartTag w:uri="urn:schemas-microsoft-com:office:smarttags" w:element="place">
          <w:r w:rsidRPr="00F5723F">
            <w:t>New York</w:t>
          </w:r>
        </w:smartTag>
      </w:smartTag>
      <w:r w:rsidRPr="00F5723F">
        <w:t>: Agathon Press.</w:t>
      </w:r>
    </w:p>
    <w:p w:rsidR="00B43C57" w:rsidRPr="00F5723F" w:rsidRDefault="00B43C57">
      <w:pPr>
        <w:spacing w:line="240" w:lineRule="auto"/>
        <w:ind w:left="284" w:hanging="284"/>
      </w:pPr>
      <w:smartTag w:uri="urn:schemas-microsoft-com:office:smarttags" w:element="City">
        <w:smartTag w:uri="urn:schemas-microsoft-com:office:smarttags" w:element="place">
          <w:r w:rsidRPr="00F5723F">
            <w:t>Hibbing</w:t>
          </w:r>
        </w:smartTag>
      </w:smartTag>
      <w:r w:rsidRPr="00F5723F">
        <w:t xml:space="preserve">, John &amp; Elisabeth Theiss-Morse (2002): </w:t>
      </w:r>
      <w:r w:rsidRPr="00F5723F">
        <w:rPr>
          <w:i/>
        </w:rPr>
        <w:t>Stealth Democracy. Amer</w:t>
      </w:r>
      <w:r w:rsidRPr="00F5723F">
        <w:rPr>
          <w:i/>
        </w:rPr>
        <w:t>i</w:t>
      </w:r>
      <w:r w:rsidRPr="00F5723F">
        <w:rPr>
          <w:i/>
        </w:rPr>
        <w:t>cans’ Beliefs about How Government Should Work.</w:t>
      </w:r>
      <w:r w:rsidRPr="00F5723F">
        <w:t xml:space="preserve"> </w:t>
      </w:r>
      <w:smartTag w:uri="urn:schemas-microsoft-com:office:smarttags" w:element="City">
        <w:r w:rsidRPr="00F5723F">
          <w:t>Cambridge</w:t>
        </w:r>
      </w:smartTag>
      <w:r w:rsidRPr="00F5723F">
        <w:t xml:space="preserve">: </w:t>
      </w:r>
      <w:smartTag w:uri="urn:schemas-microsoft-com:office:smarttags" w:element="place">
        <w:smartTag w:uri="urn:schemas-microsoft-com:office:smarttags" w:element="PlaceName">
          <w:r w:rsidRPr="00F5723F">
            <w:t>Ca</w:t>
          </w:r>
          <w:r w:rsidRPr="00F5723F">
            <w:t>m</w:t>
          </w:r>
          <w:r w:rsidRPr="00F5723F">
            <w:t>bridge</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Holmberg, Sören &amp; Lennart Weibull (red.) (2003): </w:t>
      </w:r>
      <w:r w:rsidRPr="00F5723F">
        <w:rPr>
          <w:i/>
        </w:rPr>
        <w:t>Fåfängans marknad.</w:t>
      </w:r>
      <w:r w:rsidRPr="00F5723F">
        <w:t xml:space="preserve"> G</w:t>
      </w:r>
      <w:r w:rsidRPr="00F5723F">
        <w:t>ö</w:t>
      </w:r>
      <w:r w:rsidRPr="00F5723F">
        <w:t>teborgs universitet: SOM-institutet.</w:t>
      </w:r>
    </w:p>
    <w:p w:rsidR="00B43C57" w:rsidRPr="00F5723F" w:rsidRDefault="00B43C57">
      <w:pPr>
        <w:spacing w:line="240" w:lineRule="auto"/>
        <w:ind w:left="284" w:hanging="284"/>
      </w:pPr>
      <w:r w:rsidRPr="00F5723F">
        <w:t xml:space="preserve">Holmberg, Sören &amp; Peter Esaiasson (1988): </w:t>
      </w:r>
      <w:r w:rsidRPr="00F5723F">
        <w:rPr>
          <w:i/>
        </w:rPr>
        <w:t>De folkvalda. En bok om rik</w:t>
      </w:r>
      <w:r w:rsidRPr="00F5723F">
        <w:rPr>
          <w:i/>
        </w:rPr>
        <w:t>s</w:t>
      </w:r>
      <w:r w:rsidRPr="00F5723F">
        <w:rPr>
          <w:i/>
        </w:rPr>
        <w:t>dagsledamöterna och den representativa demokratin i Sverige.</w:t>
      </w:r>
      <w:r w:rsidRPr="00F5723F">
        <w:t xml:space="preserve"> Stoc</w:t>
      </w:r>
      <w:r w:rsidRPr="00F5723F">
        <w:t>k</w:t>
      </w:r>
      <w:r w:rsidRPr="00F5723F">
        <w:t>holm: Bonniers.</w:t>
      </w:r>
    </w:p>
    <w:p w:rsidR="00B43C57" w:rsidRPr="00F5723F" w:rsidRDefault="00B43C57">
      <w:pPr>
        <w:spacing w:line="240" w:lineRule="auto"/>
        <w:ind w:left="284" w:hanging="284"/>
      </w:pPr>
      <w:r w:rsidRPr="00F5723F">
        <w:t xml:space="preserve">Holmberg, Sören (1974): </w:t>
      </w:r>
      <w:r w:rsidRPr="00F5723F">
        <w:rPr>
          <w:i/>
        </w:rPr>
        <w:t>‘Riksdagen representerar svenska folket’. Empiri</w:t>
      </w:r>
      <w:r w:rsidRPr="00F5723F">
        <w:rPr>
          <w:i/>
        </w:rPr>
        <w:t>s</w:t>
      </w:r>
      <w:r w:rsidRPr="00F5723F">
        <w:rPr>
          <w:i/>
        </w:rPr>
        <w:t>ka studier i representativ demokrati.</w:t>
      </w:r>
      <w:r w:rsidRPr="00F5723F">
        <w:t xml:space="preserve"> Lund: Studentlitteratur.</w:t>
      </w:r>
    </w:p>
    <w:p w:rsidR="00B43C57" w:rsidRPr="00F5723F" w:rsidRDefault="00B43C57">
      <w:pPr>
        <w:spacing w:line="240" w:lineRule="auto"/>
        <w:ind w:left="284" w:hanging="284"/>
      </w:pPr>
      <w:r w:rsidRPr="00F5723F">
        <w:t xml:space="preserve">Holmberg, Sören (2003): Demokrati. I </w:t>
      </w:r>
      <w:r w:rsidRPr="00F5723F">
        <w:rPr>
          <w:i/>
        </w:rPr>
        <w:t>Kungl. Vitterhets Historie och Antikv</w:t>
      </w:r>
      <w:r w:rsidRPr="00F5723F">
        <w:rPr>
          <w:i/>
        </w:rPr>
        <w:t>i</w:t>
      </w:r>
      <w:r w:rsidRPr="00F5723F">
        <w:rPr>
          <w:i/>
        </w:rPr>
        <w:t>tets Akademiens Årsbok 2003.</w:t>
      </w:r>
    </w:p>
    <w:p w:rsidR="00B43C57" w:rsidRPr="00F5723F" w:rsidRDefault="00B43C57">
      <w:pPr>
        <w:spacing w:line="240" w:lineRule="auto"/>
        <w:ind w:left="284" w:hanging="284"/>
      </w:pPr>
      <w:r w:rsidRPr="00F5723F">
        <w:t xml:space="preserve">Isberg, Magnus (1999): </w:t>
      </w:r>
      <w:r w:rsidRPr="00F5723F">
        <w:rPr>
          <w:i/>
        </w:rPr>
        <w:t>Riksdagsledamoten i sin partigrupp. 52 riksdagsvet</w:t>
      </w:r>
      <w:r w:rsidRPr="00F5723F">
        <w:rPr>
          <w:i/>
        </w:rPr>
        <w:t>e</w:t>
      </w:r>
      <w:r w:rsidRPr="00F5723F">
        <w:rPr>
          <w:i/>
        </w:rPr>
        <w:t>raners erfarenheter av partigruppernas arbetssätt och inflytande.</w:t>
      </w:r>
      <w:r w:rsidRPr="00F5723F">
        <w:t xml:space="preserve"> </w:t>
      </w:r>
      <w:r w:rsidRPr="00F5723F">
        <w:t>Hed</w:t>
      </w:r>
      <w:r w:rsidRPr="00F5723F">
        <w:t>e</w:t>
      </w:r>
      <w:r w:rsidRPr="00F5723F">
        <w:t>mora: Riksbankens Jubileumsfond &amp; Gidlunds förlag.</w:t>
      </w:r>
    </w:p>
    <w:p w:rsidR="00B43C57" w:rsidRPr="00F5723F" w:rsidRDefault="00B43C57">
      <w:pPr>
        <w:spacing w:line="240" w:lineRule="auto"/>
        <w:ind w:left="284" w:hanging="284"/>
      </w:pPr>
      <w:r w:rsidRPr="00F5723F">
        <w:t xml:space="preserve">Kavanagh, Dennis (1995): </w:t>
      </w:r>
      <w:r w:rsidRPr="00F5723F">
        <w:rPr>
          <w:i/>
        </w:rPr>
        <w:t>Election Campaigning. The New Marketing of Politics.</w:t>
      </w:r>
      <w:r w:rsidRPr="00F5723F">
        <w:t xml:space="preserve"> </w:t>
      </w:r>
      <w:smartTag w:uri="urn:schemas-microsoft-com:office:smarttags" w:element="City">
        <w:smartTag w:uri="urn:schemas-microsoft-com:office:smarttags" w:element="place">
          <w:r w:rsidRPr="00F5723F">
            <w:t>Oxford</w:t>
          </w:r>
        </w:smartTag>
      </w:smartTag>
      <w:r w:rsidRPr="00F5723F">
        <w:t>: Blackwell.</w:t>
      </w:r>
    </w:p>
    <w:p w:rsidR="00B43C57" w:rsidRPr="00F5723F" w:rsidRDefault="00B43C57">
      <w:pPr>
        <w:spacing w:line="240" w:lineRule="auto"/>
        <w:ind w:left="284" w:hanging="284"/>
      </w:pPr>
      <w:r w:rsidRPr="00F5723F">
        <w:t xml:space="preserve">Lijphart, Arend (1999): </w:t>
      </w:r>
      <w:r w:rsidRPr="00F5723F">
        <w:rPr>
          <w:i/>
        </w:rPr>
        <w:t>Patterns of Democracy. Government Forms and Pe</w:t>
      </w:r>
      <w:r w:rsidRPr="00F5723F">
        <w:rPr>
          <w:i/>
        </w:rPr>
        <w:t>r</w:t>
      </w:r>
      <w:r w:rsidRPr="00F5723F">
        <w:rPr>
          <w:i/>
        </w:rPr>
        <w:t>formance in Thirty-Six Countries.</w:t>
      </w:r>
      <w:r w:rsidRPr="00F5723F">
        <w:t xml:space="preserve"> </w:t>
      </w:r>
      <w:smartTag w:uri="urn:schemas-microsoft-com:office:smarttags" w:element="City">
        <w:r w:rsidRPr="00F5723F">
          <w:t>New Haven</w:t>
        </w:r>
      </w:smartTag>
      <w:r w:rsidRPr="00F5723F">
        <w:t xml:space="preserve">: </w:t>
      </w:r>
      <w:smartTag w:uri="urn:schemas-microsoft-com:office:smarttags" w:element="place">
        <w:smartTag w:uri="urn:schemas-microsoft-com:office:smarttags" w:element="PlaceName">
          <w:r w:rsidRPr="00F5723F">
            <w:t>Yale</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Loewenberg, Gerhard, Samuel Patterson &amp; Malcolm Jewell (1985): </w:t>
      </w:r>
      <w:r w:rsidRPr="00F5723F">
        <w:rPr>
          <w:i/>
        </w:rPr>
        <w:t>Han</w:t>
      </w:r>
      <w:r w:rsidRPr="00F5723F">
        <w:rPr>
          <w:i/>
        </w:rPr>
        <w:t>d</w:t>
      </w:r>
      <w:r w:rsidRPr="00F5723F">
        <w:rPr>
          <w:i/>
        </w:rPr>
        <w:t>book of Legislative Research.</w:t>
      </w:r>
      <w:r w:rsidRPr="00F5723F">
        <w:t xml:space="preserve"> </w:t>
      </w:r>
      <w:r w:rsidRPr="00F5723F">
        <w:t>Cambridge: Harvard University Press.</w:t>
      </w:r>
    </w:p>
    <w:p w:rsidR="00B43C57" w:rsidRPr="00F5723F" w:rsidRDefault="00B43C57">
      <w:pPr>
        <w:spacing w:line="240" w:lineRule="auto"/>
        <w:ind w:left="284" w:hanging="284"/>
      </w:pPr>
      <w:r w:rsidRPr="00F5723F">
        <w:t xml:space="preserve">Manin, Bernard (1997/2002): </w:t>
      </w:r>
      <w:r w:rsidRPr="00F5723F">
        <w:rPr>
          <w:i/>
        </w:rPr>
        <w:t>Den representativa demokratins principer.</w:t>
      </w:r>
      <w:r w:rsidRPr="00F5723F">
        <w:t xml:space="preserve"> </w:t>
      </w:r>
      <w:smartTag w:uri="urn:schemas-microsoft-com:office:smarttags" w:element="City">
        <w:smartTag w:uri="urn:schemas-microsoft-com:office:smarttags" w:element="place">
          <w:r w:rsidRPr="00F5723F">
            <w:t>Stockholm</w:t>
          </w:r>
        </w:smartTag>
      </w:smartTag>
      <w:r w:rsidRPr="00F5723F">
        <w:t>: SNS Förlag.</w:t>
      </w:r>
    </w:p>
    <w:p w:rsidR="00B43C57" w:rsidRPr="00F5723F" w:rsidRDefault="00B43C57">
      <w:pPr>
        <w:spacing w:line="240" w:lineRule="auto"/>
        <w:ind w:left="284" w:hanging="284"/>
      </w:pPr>
      <w:r w:rsidRPr="00F5723F">
        <w:t xml:space="preserve">Mayhew, David (1974): </w:t>
      </w:r>
      <w:r w:rsidRPr="00F5723F">
        <w:rPr>
          <w:i/>
        </w:rPr>
        <w:t>Congress. The Electoral Connection.</w:t>
      </w:r>
      <w:r w:rsidRPr="00F5723F">
        <w:t xml:space="preserve"> </w:t>
      </w:r>
      <w:smartTag w:uri="urn:schemas-microsoft-com:office:smarttags" w:element="City">
        <w:r w:rsidRPr="00F5723F">
          <w:t>New Haven</w:t>
        </w:r>
      </w:smartTag>
      <w:r w:rsidRPr="00F5723F">
        <w:t xml:space="preserve">: </w:t>
      </w:r>
      <w:smartTag w:uri="urn:schemas-microsoft-com:office:smarttags" w:element="place">
        <w:smartTag w:uri="urn:schemas-microsoft-com:office:smarttags" w:element="PlaceName">
          <w:r w:rsidRPr="00F5723F">
            <w:t>Yale</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Miller, Warren &amp; Donald Stokes (1963): Constituency Influence in Congress. </w:t>
      </w:r>
      <w:r w:rsidRPr="00F5723F">
        <w:rPr>
          <w:i/>
        </w:rPr>
        <w:t>American Political Science Review</w:t>
      </w:r>
      <w:r w:rsidRPr="00F5723F">
        <w:t xml:space="preserve"> 57:45–56.</w:t>
      </w:r>
    </w:p>
    <w:p w:rsidR="00B43C57" w:rsidRPr="00F5723F" w:rsidRDefault="00B43C57">
      <w:pPr>
        <w:spacing w:line="240" w:lineRule="auto"/>
        <w:ind w:left="284" w:hanging="284"/>
      </w:pPr>
      <w:r w:rsidRPr="00F5723F">
        <w:t>Petersson, Olof, Jörgen Hermansson, Michele Micheletti, Jan Teorell &amp; A</w:t>
      </w:r>
      <w:r w:rsidRPr="00F5723F">
        <w:t>n</w:t>
      </w:r>
      <w:r w:rsidRPr="00F5723F">
        <w:t xml:space="preserve">ders Westholm (1998): </w:t>
      </w:r>
      <w:r w:rsidRPr="00F5723F">
        <w:rPr>
          <w:i/>
        </w:rPr>
        <w:t>Demokrati och medborgarskap. Demokratirådets rapport 1998.</w:t>
      </w:r>
      <w:r w:rsidRPr="00F5723F">
        <w:t xml:space="preserve"> </w:t>
      </w:r>
      <w:smartTag w:uri="urn:schemas-microsoft-com:office:smarttags" w:element="City">
        <w:smartTag w:uri="urn:schemas-microsoft-com:office:smarttags" w:element="place">
          <w:r w:rsidRPr="00F5723F">
            <w:t>Stoc</w:t>
          </w:r>
          <w:r w:rsidRPr="00F5723F">
            <w:t>k</w:t>
          </w:r>
          <w:r w:rsidRPr="00F5723F">
            <w:t>holm</w:t>
          </w:r>
        </w:smartTag>
      </w:smartTag>
      <w:r w:rsidRPr="00F5723F">
        <w:t>: SNS Förlag.</w:t>
      </w:r>
    </w:p>
    <w:p w:rsidR="00B43C57" w:rsidRPr="00F5723F" w:rsidRDefault="00B43C57">
      <w:pPr>
        <w:spacing w:line="240" w:lineRule="auto"/>
        <w:ind w:left="284" w:hanging="284"/>
      </w:pPr>
      <w:r w:rsidRPr="00F5723F">
        <w:t xml:space="preserve">Powell, G Bingham (2000): </w:t>
      </w:r>
      <w:r w:rsidRPr="00F5723F">
        <w:rPr>
          <w:i/>
        </w:rPr>
        <w:t>Elections as Instruments of Democracy. Major</w:t>
      </w:r>
      <w:r w:rsidRPr="00F5723F">
        <w:rPr>
          <w:i/>
        </w:rPr>
        <w:t>i</w:t>
      </w:r>
      <w:r w:rsidRPr="00F5723F">
        <w:rPr>
          <w:i/>
        </w:rPr>
        <w:t>tarian and Proportional Visions.</w:t>
      </w:r>
      <w:r w:rsidRPr="00F5723F">
        <w:t xml:space="preserve"> </w:t>
      </w:r>
      <w:smartTag w:uri="urn:schemas-microsoft-com:office:smarttags" w:element="City">
        <w:r w:rsidRPr="00F5723F">
          <w:t>New Haven</w:t>
        </w:r>
      </w:smartTag>
      <w:r w:rsidRPr="00F5723F">
        <w:t xml:space="preserve">: </w:t>
      </w:r>
      <w:smartTag w:uri="urn:schemas-microsoft-com:office:smarttags" w:element="place">
        <w:smartTag w:uri="urn:schemas-microsoft-com:office:smarttags" w:element="PlaceName">
          <w:r w:rsidRPr="00F5723F">
            <w:t>Yale</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Przeworski, Adam, Susan Stokes &amp; Bernard Manin (red.) (1999): </w:t>
      </w:r>
      <w:r w:rsidRPr="00F5723F">
        <w:rPr>
          <w:i/>
        </w:rPr>
        <w:t>Demo</w:t>
      </w:r>
      <w:r w:rsidRPr="00F5723F">
        <w:rPr>
          <w:i/>
        </w:rPr>
        <w:t>c</w:t>
      </w:r>
      <w:r w:rsidRPr="00F5723F">
        <w:rPr>
          <w:i/>
        </w:rPr>
        <w:t>racy, Accountability and Representation.</w:t>
      </w:r>
      <w:r w:rsidRPr="00F5723F">
        <w:t xml:space="preserve"> </w:t>
      </w:r>
      <w:smartTag w:uri="urn:schemas-microsoft-com:office:smarttags" w:element="City">
        <w:r w:rsidRPr="00F5723F">
          <w:t>Cambridge</w:t>
        </w:r>
      </w:smartTag>
      <w:r w:rsidRPr="00F5723F">
        <w:t xml:space="preserve">: </w:t>
      </w:r>
      <w:smartTag w:uri="urn:schemas-microsoft-com:office:smarttags" w:element="place">
        <w:smartTag w:uri="urn:schemas-microsoft-com:office:smarttags" w:element="PlaceName">
          <w:r w:rsidRPr="00F5723F">
            <w:t>Cambridge</w:t>
          </w:r>
        </w:smartTag>
        <w:r w:rsidRPr="00F5723F">
          <w:t xml:space="preserve"> </w:t>
        </w:r>
        <w:smartTag w:uri="urn:schemas-microsoft-com:office:smarttags" w:element="PlaceType">
          <w:r w:rsidRPr="00F5723F">
            <w:t>Unive</w:t>
          </w:r>
          <w:r w:rsidRPr="00F5723F">
            <w:t>r</w:t>
          </w:r>
          <w:r w:rsidRPr="00F5723F">
            <w:t>sity</w:t>
          </w:r>
        </w:smartTag>
      </w:smartTag>
      <w:r w:rsidRPr="00F5723F">
        <w:t xml:space="preserve"> Press.</w:t>
      </w:r>
    </w:p>
    <w:p w:rsidR="00B43C57" w:rsidRPr="00F5723F" w:rsidRDefault="00B43C57">
      <w:pPr>
        <w:spacing w:line="240" w:lineRule="auto"/>
        <w:ind w:left="284" w:hanging="284"/>
      </w:pPr>
      <w:r w:rsidRPr="00F5723F">
        <w:t xml:space="preserve">Rose, Richard (red.) (2000): </w:t>
      </w:r>
      <w:r w:rsidRPr="00F5723F">
        <w:rPr>
          <w:i/>
        </w:rPr>
        <w:t>International Encyclopaedia of Elections.</w:t>
      </w:r>
      <w:r w:rsidRPr="00F5723F">
        <w:t xml:space="preserve"> </w:t>
      </w:r>
      <w:r w:rsidRPr="00F5723F">
        <w:t>Lo</w:t>
      </w:r>
      <w:r w:rsidRPr="00F5723F">
        <w:t>n</w:t>
      </w:r>
      <w:r w:rsidRPr="00F5723F">
        <w:t>don: Macmillan.</w:t>
      </w:r>
    </w:p>
    <w:p w:rsidR="00B43C57" w:rsidRPr="00F5723F" w:rsidRDefault="00B43C57">
      <w:pPr>
        <w:spacing w:line="240" w:lineRule="auto"/>
        <w:ind w:left="284" w:hanging="284"/>
      </w:pPr>
      <w:r w:rsidRPr="00F5723F">
        <w:t xml:space="preserve">Roth, Per-Anders (1996): </w:t>
      </w:r>
      <w:r w:rsidRPr="00F5723F">
        <w:rPr>
          <w:i/>
        </w:rPr>
        <w:t>Riket, valkretsen och hemkommunen:</w:t>
      </w:r>
      <w:r w:rsidRPr="00F5723F">
        <w:t xml:space="preserve"> Göteborgs universitet: Statsvetenskapliga institutionen.</w:t>
      </w:r>
    </w:p>
    <w:p w:rsidR="00B43C57" w:rsidRPr="00F5723F" w:rsidRDefault="00B43C57">
      <w:pPr>
        <w:spacing w:line="240" w:lineRule="auto"/>
        <w:ind w:left="284" w:hanging="284"/>
      </w:pPr>
      <w:r w:rsidRPr="00F5723F">
        <w:rPr>
          <w:szCs w:val="19"/>
        </w:rPr>
        <w:t xml:space="preserve">Sahlin, Mona (1996): </w:t>
      </w:r>
      <w:r w:rsidRPr="00F5723F">
        <w:rPr>
          <w:i/>
          <w:iCs/>
          <w:szCs w:val="19"/>
        </w:rPr>
        <w:t>Med mina ord</w:t>
      </w:r>
      <w:r w:rsidRPr="00F5723F">
        <w:rPr>
          <w:iCs/>
          <w:szCs w:val="19"/>
        </w:rPr>
        <w:t>.</w:t>
      </w:r>
      <w:r w:rsidRPr="00F5723F">
        <w:rPr>
          <w:szCs w:val="19"/>
        </w:rPr>
        <w:t xml:space="preserve"> </w:t>
      </w:r>
      <w:smartTag w:uri="urn:schemas-microsoft-com:office:smarttags" w:element="City">
        <w:smartTag w:uri="urn:schemas-microsoft-com:office:smarttags" w:element="place">
          <w:r w:rsidRPr="00F5723F">
            <w:rPr>
              <w:szCs w:val="19"/>
            </w:rPr>
            <w:t>Stockholm</w:t>
          </w:r>
        </w:smartTag>
      </w:smartTag>
      <w:r w:rsidRPr="00F5723F">
        <w:rPr>
          <w:szCs w:val="19"/>
        </w:rPr>
        <w:t>: Rabén Prisma.</w:t>
      </w:r>
    </w:p>
    <w:p w:rsidR="00B43C57" w:rsidRPr="00F5723F" w:rsidRDefault="00B43C57">
      <w:pPr>
        <w:spacing w:line="240" w:lineRule="auto"/>
        <w:ind w:left="284" w:hanging="284"/>
      </w:pPr>
      <w:r w:rsidRPr="00F5723F">
        <w:t xml:space="preserve">Schumpeter, Joseph (1942/1992): </w:t>
      </w:r>
      <w:r w:rsidRPr="00F5723F">
        <w:rPr>
          <w:i/>
        </w:rPr>
        <w:t>Capitalism, Socialism &amp; Democracy.</w:t>
      </w:r>
      <w:r w:rsidRPr="00F5723F">
        <w:t xml:space="preserve"> </w:t>
      </w:r>
      <w:smartTag w:uri="urn:schemas-microsoft-com:office:smarttags" w:element="City">
        <w:smartTag w:uri="urn:schemas-microsoft-com:office:smarttags" w:element="place">
          <w:r w:rsidRPr="00F5723F">
            <w:t>Lo</w:t>
          </w:r>
          <w:r w:rsidRPr="00F5723F">
            <w:t>n</w:t>
          </w:r>
          <w:r w:rsidRPr="00F5723F">
            <w:t>don</w:t>
          </w:r>
        </w:smartTag>
      </w:smartTag>
      <w:r w:rsidRPr="00F5723F">
        <w:t>: Routledge.</w:t>
      </w:r>
    </w:p>
    <w:p w:rsidR="00B43C57" w:rsidRPr="00F5723F" w:rsidRDefault="00B43C57">
      <w:pPr>
        <w:spacing w:line="240" w:lineRule="auto"/>
        <w:ind w:left="284" w:hanging="284"/>
      </w:pPr>
      <w:r w:rsidRPr="00F5723F">
        <w:t xml:space="preserve">Searing, Donald (1994): </w:t>
      </w:r>
      <w:smartTag w:uri="urn:schemas-microsoft-com:office:smarttags" w:element="City">
        <w:smartTag w:uri="urn:schemas-microsoft-com:office:smarttags" w:element="place">
          <w:r w:rsidRPr="00F5723F">
            <w:rPr>
              <w:i/>
            </w:rPr>
            <w:t>Westminster</w:t>
          </w:r>
        </w:smartTag>
      </w:smartTag>
      <w:r w:rsidRPr="00F5723F">
        <w:rPr>
          <w:i/>
        </w:rPr>
        <w:t>’s World. Understanding Political Roles.</w:t>
      </w:r>
      <w:r w:rsidRPr="00F5723F">
        <w:t xml:space="preserve"> </w:t>
      </w:r>
      <w:smartTag w:uri="urn:schemas-microsoft-com:office:smarttags" w:element="City">
        <w:r w:rsidRPr="00F5723F">
          <w:t>Cambridge</w:t>
        </w:r>
      </w:smartTag>
      <w:r w:rsidRPr="00F5723F">
        <w:t xml:space="preserve">: </w:t>
      </w:r>
      <w:smartTag w:uri="urn:schemas-microsoft-com:office:smarttags" w:element="place">
        <w:smartTag w:uri="urn:schemas-microsoft-com:office:smarttags" w:element="PlaceName">
          <w:r w:rsidRPr="00F5723F">
            <w:t>Harvard</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Shugart, Matthew &amp; Martin Wattenberg (red.) (2001): </w:t>
      </w:r>
      <w:r w:rsidRPr="00F5723F">
        <w:rPr>
          <w:i/>
        </w:rPr>
        <w:t>Mixed-Member Ele</w:t>
      </w:r>
      <w:r w:rsidRPr="00F5723F">
        <w:rPr>
          <w:i/>
        </w:rPr>
        <w:t>c</w:t>
      </w:r>
      <w:r w:rsidRPr="00F5723F">
        <w:rPr>
          <w:i/>
        </w:rPr>
        <w:t>toral Systems. The Best of Both Worlds?</w:t>
      </w:r>
      <w:r w:rsidRPr="00F5723F">
        <w:t xml:space="preserve"> </w:t>
      </w:r>
      <w:smartTag w:uri="urn:schemas-microsoft-com:office:smarttags" w:element="City">
        <w:r w:rsidRPr="00F5723F">
          <w:t>Oxford</w:t>
        </w:r>
      </w:smartTag>
      <w:r w:rsidRPr="00F5723F">
        <w:t xml:space="preserve">: </w:t>
      </w:r>
      <w:smartTag w:uri="urn:schemas-microsoft-com:office:smarttags" w:element="place">
        <w:smartTag w:uri="urn:schemas-microsoft-com:office:smarttags" w:element="PlaceName">
          <w:r w:rsidRPr="00F5723F">
            <w:t>Oxford</w:t>
          </w:r>
        </w:smartTag>
        <w:r w:rsidRPr="00F5723F">
          <w:t xml:space="preserve"> </w:t>
        </w:r>
        <w:smartTag w:uri="urn:schemas-microsoft-com:office:smarttags" w:element="PlaceType">
          <w:r w:rsidRPr="00F5723F">
            <w:t>University</w:t>
          </w:r>
        </w:smartTag>
      </w:smartTag>
      <w:r w:rsidRPr="00F5723F">
        <w:t xml:space="preserve"> Press.</w:t>
      </w:r>
    </w:p>
    <w:p w:rsidR="00B43C57" w:rsidRPr="00F5723F" w:rsidRDefault="00B43C57">
      <w:pPr>
        <w:spacing w:line="240" w:lineRule="auto"/>
        <w:ind w:left="284" w:hanging="284"/>
      </w:pPr>
      <w:r w:rsidRPr="00F5723F">
        <w:t xml:space="preserve">Smith, Michael (2003): </w:t>
      </w:r>
      <w:r w:rsidRPr="00F5723F">
        <w:rPr>
          <w:i/>
        </w:rPr>
        <w:t>Bringing Representation Home. State Legislators Among Their Constituencies.</w:t>
      </w:r>
      <w:r w:rsidRPr="00F5723F">
        <w:t xml:space="preserve"> </w:t>
      </w:r>
      <w:r w:rsidRPr="00F5723F">
        <w:t>Columbia: University of Missouri Press.</w:t>
      </w:r>
    </w:p>
    <w:p w:rsidR="00B43C57" w:rsidRPr="00F5723F" w:rsidRDefault="00B43C57">
      <w:pPr>
        <w:spacing w:line="240" w:lineRule="auto"/>
        <w:ind w:left="284" w:hanging="284"/>
      </w:pPr>
      <w:r w:rsidRPr="00F5723F">
        <w:t xml:space="preserve">SOU 1986:27. </w:t>
      </w:r>
      <w:r w:rsidRPr="00F5723F">
        <w:rPr>
          <w:i/>
        </w:rPr>
        <w:t>Folkets främsta företrädare. Tre undersökningar av riksdag</w:t>
      </w:r>
      <w:r w:rsidRPr="00F5723F">
        <w:rPr>
          <w:i/>
        </w:rPr>
        <w:t>s</w:t>
      </w:r>
      <w:r w:rsidRPr="00F5723F">
        <w:rPr>
          <w:i/>
        </w:rPr>
        <w:t>ledamöternas arbete i och utanför riksdagen.</w:t>
      </w:r>
      <w:r w:rsidRPr="00F5723F">
        <w:t xml:space="preserve"> Rapporter till Folkstyrels</w:t>
      </w:r>
      <w:r w:rsidRPr="00F5723F">
        <w:t>e</w:t>
      </w:r>
      <w:r w:rsidRPr="00F5723F">
        <w:t>kommittén. Stoc</w:t>
      </w:r>
      <w:r w:rsidRPr="00F5723F">
        <w:t>k</w:t>
      </w:r>
      <w:r w:rsidRPr="00F5723F">
        <w:t>holm: Liber/Allmänna förlaget.</w:t>
      </w:r>
    </w:p>
    <w:p w:rsidR="00B43C57" w:rsidRPr="00F5723F" w:rsidRDefault="00B43C57">
      <w:pPr>
        <w:spacing w:line="240" w:lineRule="auto"/>
        <w:ind w:left="284" w:hanging="284"/>
      </w:pPr>
      <w:r w:rsidRPr="00F5723F">
        <w:t xml:space="preserve">Swanson, David &amp; Paolo Mancini (red.) </w:t>
      </w:r>
      <w:r w:rsidRPr="00F5723F">
        <w:t xml:space="preserve">(1996): </w:t>
      </w:r>
      <w:r w:rsidRPr="00F5723F">
        <w:rPr>
          <w:i/>
        </w:rPr>
        <w:t>Politics, Media and Modern Democracy. An International Study of Innovations in Electoral Ca</w:t>
      </w:r>
      <w:r w:rsidRPr="00F5723F">
        <w:rPr>
          <w:i/>
        </w:rPr>
        <w:t>m</w:t>
      </w:r>
      <w:r w:rsidRPr="00F5723F">
        <w:rPr>
          <w:i/>
        </w:rPr>
        <w:t>paigning and Their Cons</w:t>
      </w:r>
      <w:r w:rsidRPr="00F5723F">
        <w:rPr>
          <w:i/>
        </w:rPr>
        <w:t>e</w:t>
      </w:r>
      <w:r w:rsidRPr="00F5723F">
        <w:rPr>
          <w:i/>
        </w:rPr>
        <w:t>quences.</w:t>
      </w:r>
      <w:r w:rsidRPr="00F5723F">
        <w:t xml:space="preserve"> </w:t>
      </w:r>
      <w:r w:rsidRPr="00F5723F">
        <w:t>London: Praeger.</w:t>
      </w:r>
    </w:p>
    <w:p w:rsidR="00B43C57" w:rsidRPr="00F5723F" w:rsidRDefault="00B43C57">
      <w:pPr>
        <w:spacing w:line="240" w:lineRule="auto"/>
        <w:ind w:left="284" w:hanging="284"/>
      </w:pPr>
      <w:r w:rsidRPr="00F5723F">
        <w:t xml:space="preserve">Teorell, Jan (1998): </w:t>
      </w:r>
      <w:r w:rsidRPr="00F5723F">
        <w:rPr>
          <w:i/>
        </w:rPr>
        <w:t>Demokrati eller fåtalsvälde? Om beslutsfattande i part</w:t>
      </w:r>
      <w:r w:rsidRPr="00F5723F">
        <w:rPr>
          <w:i/>
        </w:rPr>
        <w:t>i</w:t>
      </w:r>
      <w:r w:rsidRPr="00F5723F">
        <w:rPr>
          <w:i/>
        </w:rPr>
        <w:t>organisati</w:t>
      </w:r>
      <w:r w:rsidRPr="00F5723F">
        <w:rPr>
          <w:i/>
        </w:rPr>
        <w:t>o</w:t>
      </w:r>
      <w:r w:rsidRPr="00F5723F">
        <w:rPr>
          <w:i/>
        </w:rPr>
        <w:t>ner.</w:t>
      </w:r>
      <w:r w:rsidRPr="00F5723F">
        <w:t xml:space="preserve"> Uppsala universitet: Statsvetenskapliga institutionen.</w:t>
      </w:r>
    </w:p>
    <w:p w:rsidR="00B43C57" w:rsidRPr="00F5723F" w:rsidRDefault="00B43C57">
      <w:pPr>
        <w:spacing w:line="240" w:lineRule="auto"/>
        <w:ind w:left="284" w:hanging="284"/>
      </w:pPr>
      <w:r w:rsidRPr="00F5723F">
        <w:t xml:space="preserve">Togeby, Lise m. fl. (2003): </w:t>
      </w:r>
      <w:r w:rsidRPr="00F5723F">
        <w:rPr>
          <w:i/>
        </w:rPr>
        <w:t>Magt og demokrati i Danmark.</w:t>
      </w:r>
      <w:r w:rsidRPr="00F5723F">
        <w:t xml:space="preserve"> </w:t>
      </w:r>
      <w:r w:rsidRPr="00F5723F">
        <w:t>Hovedresultater fra Magtudrednin</w:t>
      </w:r>
      <w:r w:rsidRPr="00F5723F">
        <w:t>g</w:t>
      </w:r>
      <w:r w:rsidRPr="00F5723F">
        <w:t>en. Aarhus: Aarhus Universitetsforlag.</w:t>
      </w:r>
    </w:p>
    <w:p w:rsidR="00B43C57" w:rsidRPr="00F5723F" w:rsidRDefault="00B43C57">
      <w:pPr>
        <w:spacing w:line="240" w:lineRule="auto"/>
        <w:ind w:left="284" w:hanging="284"/>
      </w:pPr>
      <w:r w:rsidRPr="00F5723F">
        <w:t xml:space="preserve">Wahlke, John, Heinz Eulau, William Buchanan &amp; Leroy Ferguson (1962): </w:t>
      </w:r>
      <w:r w:rsidRPr="00F5723F">
        <w:rPr>
          <w:i/>
        </w:rPr>
        <w:t>The Legislative System. Explorations in Legislative Behavior</w:t>
      </w:r>
      <w:r w:rsidRPr="00F5723F">
        <w:t xml:space="preserve">. </w:t>
      </w:r>
      <w:smartTag w:uri="urn:schemas-microsoft-com:office:smarttags" w:element="State">
        <w:smartTag w:uri="urn:schemas-microsoft-com:office:smarttags" w:element="place">
          <w:r w:rsidRPr="00F5723F">
            <w:t>New York</w:t>
          </w:r>
        </w:smartTag>
      </w:smartTag>
      <w:r w:rsidRPr="00F5723F">
        <w:t>: John Wiley and Sons.</w:t>
      </w:r>
    </w:p>
    <w:p w:rsidR="00B43C57" w:rsidRPr="00F5723F" w:rsidRDefault="00B43C57">
      <w:pPr>
        <w:spacing w:line="240" w:lineRule="auto"/>
        <w:ind w:left="284" w:hanging="284"/>
      </w:pPr>
      <w:r w:rsidRPr="00F5723F">
        <w:t xml:space="preserve">Wallin, Gunnar (1999): </w:t>
      </w:r>
      <w:r w:rsidRPr="00F5723F">
        <w:rPr>
          <w:i/>
        </w:rPr>
        <w:t xml:space="preserve">Makthavare i fokus. </w:t>
      </w:r>
      <w:r w:rsidRPr="00F5723F">
        <w:rPr>
          <w:i/>
        </w:rPr>
        <w:t>Attityder och verklighetsuppfat</w:t>
      </w:r>
      <w:r w:rsidRPr="00F5723F">
        <w:rPr>
          <w:i/>
        </w:rPr>
        <w:t>t</w:t>
      </w:r>
      <w:r w:rsidRPr="00F5723F">
        <w:rPr>
          <w:i/>
        </w:rPr>
        <w:t>ningar hos toppskiktet inom politik och förvaltning</w:t>
      </w:r>
      <w:r w:rsidRPr="00F5723F">
        <w:t xml:space="preserve">. </w:t>
      </w:r>
      <w:smartTag w:uri="urn:schemas-microsoft-com:office:smarttags" w:element="City">
        <w:smartTag w:uri="urn:schemas-microsoft-com:office:smarttags" w:element="place">
          <w:r w:rsidRPr="00F5723F">
            <w:t>Stockholm</w:t>
          </w:r>
        </w:smartTag>
      </w:smartTag>
      <w:r w:rsidRPr="00F5723F">
        <w:t>: SNS Fö</w:t>
      </w:r>
      <w:r w:rsidRPr="00F5723F">
        <w:t>r</w:t>
      </w:r>
      <w:r w:rsidRPr="00F5723F">
        <w:t>lag.</w:t>
      </w:r>
    </w:p>
    <w:p w:rsidR="00B43C57" w:rsidRPr="00F5723F" w:rsidRDefault="00B43C57">
      <w:pPr>
        <w:spacing w:line="240" w:lineRule="auto"/>
        <w:ind w:left="284" w:hanging="284"/>
      </w:pPr>
      <w:r w:rsidRPr="00F5723F">
        <w:t xml:space="preserve">Warren, Mark (2002): What Can Democratic Participation Mean Today? </w:t>
      </w:r>
      <w:r w:rsidRPr="00F5723F">
        <w:rPr>
          <w:i/>
        </w:rPr>
        <w:t>Political Theory</w:t>
      </w:r>
      <w:r w:rsidRPr="00F5723F">
        <w:t xml:space="preserve"> 30:677–701.</w:t>
      </w:r>
    </w:p>
    <w:p w:rsidR="00B43C57" w:rsidRPr="00F5723F" w:rsidRDefault="00B43C57"/>
    <w:p w:rsidR="00B43C57" w:rsidRPr="00F5723F" w:rsidRDefault="00B43C57">
      <w:pPr>
        <w:sectPr w:rsidR="00000000" w:rsidRPr="00F5723F">
          <w:headerReference w:type="even" r:id="rId112"/>
          <w:headerReference w:type="default" r:id="rId113"/>
          <w:footerReference w:type="even" r:id="rId114"/>
          <w:footerReference w:type="default" r:id="rId115"/>
          <w:headerReference w:type="first" r:id="rId116"/>
          <w:footerReference w:type="first" r:id="rId117"/>
          <w:pgSz w:w="11906" w:h="16838" w:code="9"/>
          <w:pgMar w:top="907" w:right="4649" w:bottom="4507" w:left="1304" w:header="340" w:footer="227" w:gutter="0"/>
          <w:cols w:space="720"/>
          <w:titlePg/>
          <w:docGrid w:linePitch="258"/>
        </w:sectPr>
      </w:pPr>
    </w:p>
    <w:p w:rsidR="00B43C57" w:rsidRPr="00F5723F" w:rsidRDefault="00B43C57">
      <w:pPr>
        <w:pStyle w:val="Rubrik1"/>
        <w:jc w:val="center"/>
        <w:rPr>
          <w:b/>
          <w:noProof w:val="0"/>
        </w:rPr>
      </w:pPr>
      <w:bookmarkStart w:id="315" w:name="_Toc124697891"/>
      <w:r w:rsidRPr="00F5723F">
        <w:rPr>
          <w:b/>
          <w:noProof w:val="0"/>
        </w:rPr>
        <w:t xml:space="preserve">Rapport </w:t>
      </w:r>
      <w:r w:rsidRPr="00F5723F">
        <w:rPr>
          <w:b/>
          <w:noProof w:val="0"/>
        </w:rPr>
        <w:t>6</w:t>
      </w:r>
      <w:bookmarkEnd w:id="315"/>
    </w:p>
    <w:p w:rsidR="00B43C57" w:rsidRPr="00F5723F" w:rsidRDefault="00B43C57">
      <w:pPr>
        <w:pStyle w:val="Rubrik1"/>
        <w:jc w:val="center"/>
        <w:rPr>
          <w:noProof w:val="0"/>
        </w:rPr>
      </w:pPr>
      <w:bookmarkStart w:id="316" w:name="_Toc124697892"/>
      <w:r w:rsidRPr="00F5723F">
        <w:rPr>
          <w:noProof w:val="0"/>
        </w:rPr>
        <w:t>Riksdagen ur ett genusperspektiv</w:t>
      </w:r>
      <w:bookmarkEnd w:id="297"/>
      <w:bookmarkEnd w:id="298"/>
      <w:bookmarkEnd w:id="316"/>
    </w:p>
    <w:p w:rsidR="00B43C57" w:rsidRPr="00F5723F" w:rsidRDefault="00B43C57">
      <w:pPr>
        <w:jc w:val="center"/>
        <w:rPr>
          <w:b/>
        </w:rPr>
      </w:pPr>
      <w:r w:rsidRPr="00F5723F">
        <w:rPr>
          <w:b/>
        </w:rPr>
        <w:t>Lenita Freidenvall</w:t>
      </w:r>
    </w:p>
    <w:p w:rsidR="00B43C57" w:rsidRPr="00F5723F" w:rsidRDefault="00B43C57"/>
    <w:p w:rsidR="00B43C57" w:rsidRPr="00F5723F" w:rsidRDefault="00B43C57"/>
    <w:p w:rsidR="00B43C57" w:rsidRPr="00F5723F" w:rsidRDefault="00B43C57"/>
    <w:p w:rsidR="00B43C57" w:rsidRPr="00F5723F" w:rsidRDefault="00B43C57"/>
    <w:p w:rsidR="00B43C57" w:rsidRPr="00F5723F" w:rsidRDefault="00B43C57">
      <w:r w:rsidRPr="00F5723F">
        <w:t>Under våren 2004 beslutade Riksdagskommittén att sammanställa en litter</w:t>
      </w:r>
      <w:r w:rsidRPr="00F5723F">
        <w:t>a</w:t>
      </w:r>
      <w:r w:rsidRPr="00F5723F">
        <w:t>turöversikt om riksdagen ur ett genusperspektiv.</w:t>
      </w:r>
      <w:r w:rsidRPr="00F5723F">
        <w:rPr>
          <w:rStyle w:val="Fotnotsreferens"/>
          <w:rFonts w:ascii="Garamond" w:hAnsi="Garamond"/>
        </w:rPr>
        <w:footnoteReference w:id="161"/>
      </w:r>
      <w:r w:rsidRPr="00F5723F">
        <w:t xml:space="preserve"> I definitionen av up</w:t>
      </w:r>
      <w:r w:rsidRPr="00F5723F">
        <w:t>p</w:t>
      </w:r>
      <w:r w:rsidRPr="00F5723F">
        <w:t>draget betonades att arbetet avsåg att behandla ”riksd</w:t>
      </w:r>
      <w:r w:rsidRPr="00F5723F">
        <w:t>a</w:t>
      </w:r>
      <w:r w:rsidRPr="00F5723F">
        <w:t xml:space="preserve">gen som </w:t>
      </w:r>
      <w:r w:rsidRPr="00F5723F">
        <w:rPr>
          <w:i/>
        </w:rPr>
        <w:t>institution</w:t>
      </w:r>
      <w:r w:rsidRPr="00F5723F">
        <w:t xml:space="preserve"> utifrån ett </w:t>
      </w:r>
      <w:r w:rsidRPr="00F5723F">
        <w:rPr>
          <w:i/>
        </w:rPr>
        <w:t>genusperspektiv</w:t>
      </w:r>
      <w:r w:rsidRPr="00F5723F">
        <w:t>”. Uppdraget redovisas i denna fors</w:t>
      </w:r>
      <w:r w:rsidRPr="00F5723F">
        <w:t>k</w:t>
      </w:r>
      <w:r w:rsidRPr="00F5723F">
        <w:t>ningsöversikt.</w:t>
      </w:r>
    </w:p>
    <w:p w:rsidR="00B43C57" w:rsidRPr="00F5723F" w:rsidRDefault="00B43C57">
      <w:pPr>
        <w:pStyle w:val="Normaltindrag"/>
      </w:pPr>
      <w:r w:rsidRPr="00F5723F">
        <w:t>En konklusion i forskningsöversikten är att det finns begrä</w:t>
      </w:r>
      <w:r w:rsidRPr="00F5723F">
        <w:t>n</w:t>
      </w:r>
      <w:r w:rsidRPr="00F5723F">
        <w:t>sad kunskap om kvinnors villkor och situation i beslutsfattande församlin</w:t>
      </w:r>
      <w:r w:rsidRPr="00F5723F">
        <w:t>g</w:t>
      </w:r>
      <w:r w:rsidRPr="00F5723F">
        <w:t>ar. I synnerhet saknas empirisk forskning om kvinnors villkor i ett parlament som det sven</w:t>
      </w:r>
      <w:r w:rsidRPr="00F5723F">
        <w:t>s</w:t>
      </w:r>
      <w:r w:rsidRPr="00F5723F">
        <w:t>ka, som med en nästan jämn sammansättning mellan könen skiljer sig från övriga nationella parlament.</w:t>
      </w:r>
      <w:r w:rsidRPr="00F5723F">
        <w:rPr>
          <w:rStyle w:val="Fotnotsreferens"/>
          <w:rFonts w:ascii="Garamond" w:hAnsi="Garamond"/>
        </w:rPr>
        <w:footnoteReference w:id="162"/>
      </w:r>
      <w:r w:rsidRPr="00F5723F">
        <w:t xml:space="preserve"> Den befintliga forskningen har primärt fokus</w:t>
      </w:r>
      <w:r w:rsidRPr="00F5723F">
        <w:t>e</w:t>
      </w:r>
      <w:r w:rsidRPr="00F5723F">
        <w:t>rat kvinnors organisering och väg in i politiken. Däremot finns begränsad forskning om effekterna av en ökad kvinnorepresentation. En annan konkl</w:t>
      </w:r>
      <w:r w:rsidRPr="00F5723F">
        <w:t>u</w:t>
      </w:r>
      <w:r w:rsidRPr="00F5723F">
        <w:t>sion är att det finns olika förståelser om hur kvinnors villkor och situation i beslut</w:t>
      </w:r>
      <w:r w:rsidRPr="00F5723F">
        <w:t>s</w:t>
      </w:r>
      <w:r w:rsidRPr="00F5723F">
        <w:t>fattande församlingar skall tolkas, bland annat beroende på att det vuxit fram olika forskningstraditioner, som baseras på olika grundantaganden eller paradigmatiska ramar. En skiljelinje går till exempel mellan mer emp</w:t>
      </w:r>
      <w:r w:rsidRPr="00F5723F">
        <w:t>i</w:t>
      </w:r>
      <w:r w:rsidRPr="00F5723F">
        <w:t>riskt, aktörs</w:t>
      </w:r>
      <w:r w:rsidRPr="00F5723F">
        <w:t>orienterade forskningstraditioner och mer teoretiserande, struktu</w:t>
      </w:r>
      <w:r w:rsidRPr="00F5723F">
        <w:t>r</w:t>
      </w:r>
      <w:r w:rsidRPr="00F5723F">
        <w:t>orie</w:t>
      </w:r>
      <w:r w:rsidRPr="00F5723F">
        <w:t>n</w:t>
      </w:r>
      <w:r w:rsidRPr="00F5723F">
        <w:t>terade forskningstraditioner. En tredje konklusion är att forskning om riksdagen ur ett postmodernt inspirerat genusperspektiv är begrä</w:t>
      </w:r>
      <w:r w:rsidRPr="00F5723F">
        <w:t>n</w:t>
      </w:r>
      <w:r w:rsidRPr="00F5723F">
        <w:t>sad.</w:t>
      </w:r>
    </w:p>
    <w:p w:rsidR="00B43C57" w:rsidRPr="00F5723F" w:rsidRDefault="00B43C57">
      <w:pPr>
        <w:pStyle w:val="Rubrik3"/>
        <w:rPr>
          <w:noProof w:val="0"/>
        </w:rPr>
      </w:pPr>
      <w:bookmarkStart w:id="317" w:name="_Toc121738993"/>
      <w:bookmarkStart w:id="318" w:name="_Toc124697893"/>
      <w:r w:rsidRPr="00F5723F">
        <w:rPr>
          <w:noProof w:val="0"/>
        </w:rPr>
        <w:t>Bakgrund</w:t>
      </w:r>
      <w:bookmarkEnd w:id="317"/>
      <w:bookmarkEnd w:id="318"/>
    </w:p>
    <w:p w:rsidR="00B43C57" w:rsidRPr="00F5723F" w:rsidRDefault="00B43C57">
      <w:r w:rsidRPr="00F5723F">
        <w:t>Riksdagen och uppdraget som riksdagsledamot är speciellt i det hänseendet att samtidigt som riksdagsledamöterna är folkvalda och i riksdagen förvä</w:t>
      </w:r>
      <w:r w:rsidRPr="00F5723F">
        <w:t>n</w:t>
      </w:r>
      <w:r w:rsidRPr="00F5723F">
        <w:t>tas representera sina partier och sina väljare, är riksdagen även en arbet</w:t>
      </w:r>
      <w:r w:rsidRPr="00F5723F">
        <w:t>s</w:t>
      </w:r>
      <w:r w:rsidRPr="00F5723F">
        <w:t>plats där politiker och tjänstemän arbetar nära varandra. För tjänstemä</w:t>
      </w:r>
      <w:r w:rsidRPr="00F5723F">
        <w:t>n</w:t>
      </w:r>
      <w:r w:rsidRPr="00F5723F">
        <w:t>nen gäller den arbetsrättsliga lagstiftningen om jämställdhet, medan mo</w:t>
      </w:r>
      <w:r w:rsidRPr="00F5723F">
        <w:t>t</w:t>
      </w:r>
      <w:r w:rsidRPr="00F5723F">
        <w:t>svarande inte gäller för riksdagsl</w:t>
      </w:r>
      <w:r w:rsidRPr="00F5723F">
        <w:t>e</w:t>
      </w:r>
      <w:r w:rsidRPr="00F5723F">
        <w:t xml:space="preserve">damöterna. </w:t>
      </w:r>
    </w:p>
    <w:p w:rsidR="00B43C57" w:rsidRPr="00F5723F" w:rsidRDefault="00B43C57">
      <w:pPr>
        <w:pStyle w:val="Normaltindrag"/>
      </w:pPr>
      <w:r w:rsidRPr="00F5723F">
        <w:t>På initiativ av talmannens kvinnliga nätverk har ett förslag till handling</w:t>
      </w:r>
      <w:r w:rsidRPr="00F5723F">
        <w:t>s</w:t>
      </w:r>
      <w:r w:rsidRPr="00F5723F">
        <w:t>plan för ökad jämställdhet också bland riksdagsledamöterna tagits fram. Fö</w:t>
      </w:r>
      <w:r w:rsidRPr="00F5723F">
        <w:t>r</w:t>
      </w:r>
      <w:r w:rsidRPr="00F5723F">
        <w:t>slaget har varit uppe till diskussion i gruppledarkretsen. Socialdemokr</w:t>
      </w:r>
      <w:r w:rsidRPr="00F5723F">
        <w:t>a</w:t>
      </w:r>
      <w:r w:rsidRPr="00F5723F">
        <w:t>terna har i november 2003 till riksdagsstyrelsen inkommit med en skrivelse. Rik</w:t>
      </w:r>
      <w:r w:rsidRPr="00F5723F">
        <w:t>s</w:t>
      </w:r>
      <w:r w:rsidRPr="00F5723F">
        <w:t>dagsdirektören har tillsatt en arbetsgrupp för jämställdhetsfrågor inom riksd</w:t>
      </w:r>
      <w:r w:rsidRPr="00F5723F">
        <w:t>a</w:t>
      </w:r>
      <w:r w:rsidRPr="00F5723F">
        <w:t xml:space="preserve">gen. Arbetsgruppen leds av kanslichef Gunilla Upmark. Denna arbetsgrupp redovisade sitt arbete den 10 november 2004 i rapporten </w:t>
      </w:r>
      <w:r w:rsidRPr="00F5723F">
        <w:rPr>
          <w:i/>
        </w:rPr>
        <w:t>15 förslag för en jä</w:t>
      </w:r>
      <w:r w:rsidRPr="00F5723F">
        <w:rPr>
          <w:i/>
        </w:rPr>
        <w:t>m</w:t>
      </w:r>
      <w:r w:rsidRPr="00F5723F">
        <w:rPr>
          <w:i/>
        </w:rPr>
        <w:t>ställd riksdag</w:t>
      </w:r>
      <w:r w:rsidRPr="00F5723F">
        <w:t>.</w:t>
      </w:r>
      <w:r w:rsidRPr="00F5723F">
        <w:rPr>
          <w:rStyle w:val="Fotnotsreferens"/>
          <w:rFonts w:ascii="Garamond" w:hAnsi="Garamond"/>
        </w:rPr>
        <w:footnoteReference w:id="163"/>
      </w:r>
      <w:r w:rsidRPr="00F5723F">
        <w:t xml:space="preserve"> </w:t>
      </w:r>
    </w:p>
    <w:p w:rsidR="00B43C57" w:rsidRPr="00F5723F" w:rsidRDefault="00B43C57">
      <w:pPr>
        <w:pStyle w:val="Normaltindrag"/>
      </w:pPr>
      <w:r w:rsidRPr="00F5723F">
        <w:t>Svenska Dagbladet redovisade den 8 mars 2004 en unde</w:t>
      </w:r>
      <w:r w:rsidRPr="00F5723F">
        <w:t>r</w:t>
      </w:r>
      <w:r w:rsidRPr="00F5723F">
        <w:t>sökning som de låtit genomföra som visade att sex av tio kvinnliga ledamöter i Sveriges rik</w:t>
      </w:r>
      <w:r w:rsidRPr="00F5723F">
        <w:t>s</w:t>
      </w:r>
      <w:r w:rsidRPr="00F5723F">
        <w:t>dag har utsatts för förtryck på grund av kön. Enligt samma undersökning ansåg en överväldigande majoritet att den manliga maktstrukt</w:t>
      </w:r>
      <w:r w:rsidRPr="00F5723F">
        <w:t>u</w:t>
      </w:r>
      <w:r w:rsidRPr="00F5723F">
        <w:t xml:space="preserve">ren är stark i riksdagen. </w:t>
      </w:r>
    </w:p>
    <w:p w:rsidR="00B43C57" w:rsidRPr="00F5723F" w:rsidRDefault="00B43C57">
      <w:pPr>
        <w:pStyle w:val="Normaltindrag"/>
      </w:pPr>
      <w:r w:rsidRPr="00F5723F">
        <w:t>För att kunna vidta lämpliga åtgärder har Riksdagskommi</w:t>
      </w:r>
      <w:r w:rsidRPr="00F5723F">
        <w:t>t</w:t>
      </w:r>
      <w:r w:rsidRPr="00F5723F">
        <w:t>tén vid sidan om det arbete som ålagts den interna arbetsgruppen för jämställ</w:t>
      </w:r>
      <w:r w:rsidRPr="00F5723F">
        <w:t>d</w:t>
      </w:r>
      <w:r w:rsidRPr="00F5723F">
        <w:t>hetsfrågor också tagit beslutet att genomföra en forskningsöversikt på området. Ett led i arb</w:t>
      </w:r>
      <w:r w:rsidRPr="00F5723F">
        <w:t>e</w:t>
      </w:r>
      <w:r w:rsidRPr="00F5723F">
        <w:t>tet med att bidra till ökad kunskap och förståelse av kvinnliga riksdagsledam</w:t>
      </w:r>
      <w:r w:rsidRPr="00F5723F">
        <w:t>ö</w:t>
      </w:r>
      <w:r w:rsidRPr="00F5723F">
        <w:t>ters situation och villkor i riksdagen är att kartlä</w:t>
      </w:r>
      <w:r w:rsidRPr="00F5723F">
        <w:t>g</w:t>
      </w:r>
      <w:r w:rsidRPr="00F5723F">
        <w:t>ga befintlig forskning på området. Genom kartläggning av forskning kan kunskapsluckor identifieras och sä</w:t>
      </w:r>
      <w:r w:rsidRPr="00F5723F">
        <w:t>r</w:t>
      </w:r>
      <w:r w:rsidRPr="00F5723F">
        <w:t>skild uppmärksamhet riktas mot dessa områden. Om vissa områden däremot är välutforskade kan kunskapsbe</w:t>
      </w:r>
      <w:r w:rsidRPr="00F5723F">
        <w:t>hovet bestå i att ställa andra frågor och a</w:t>
      </w:r>
      <w:r w:rsidRPr="00F5723F">
        <w:t>n</w:t>
      </w:r>
      <w:r w:rsidRPr="00F5723F">
        <w:t>lägga nya perspektiv. Ur en forskningsöversikt finns även möjlighet att härleda teoretiskt förankrade problemställningar och konkreta forskningsup</w:t>
      </w:r>
      <w:r w:rsidRPr="00F5723F">
        <w:t>p</w:t>
      </w:r>
      <w:r w:rsidRPr="00F5723F">
        <w:t>gifter.</w:t>
      </w:r>
    </w:p>
    <w:p w:rsidR="00B43C57" w:rsidRPr="00F5723F" w:rsidRDefault="00B43C57">
      <w:pPr>
        <w:pStyle w:val="Rubrik3"/>
        <w:rPr>
          <w:noProof w:val="0"/>
        </w:rPr>
      </w:pPr>
      <w:bookmarkStart w:id="319" w:name="_Toc121738994"/>
      <w:bookmarkStart w:id="320" w:name="_Toc124697894"/>
      <w:r w:rsidRPr="00F5723F">
        <w:rPr>
          <w:noProof w:val="0"/>
        </w:rPr>
        <w:t>Avgränsningar av uppdraget</w:t>
      </w:r>
      <w:bookmarkEnd w:id="319"/>
      <w:bookmarkEnd w:id="320"/>
    </w:p>
    <w:p w:rsidR="00B43C57" w:rsidRPr="00F5723F" w:rsidRDefault="00B43C57">
      <w:r w:rsidRPr="00F5723F">
        <w:t>En utgångspunkt har varit att forskning om riksdagen primärt härbärgeras inom statsvetenskaplig forskning. Denna översikt tar därför sitt fäste i statsv</w:t>
      </w:r>
      <w:r w:rsidRPr="00F5723F">
        <w:t>e</w:t>
      </w:r>
      <w:r w:rsidRPr="00F5723F">
        <w:t>tenskaplig forskning och kompletterar med forskning från andra discipliner där så finnes lämpligt. Med ”riksdagen” likställs ”parlament”, varvid intern</w:t>
      </w:r>
      <w:r w:rsidRPr="00F5723F">
        <w:t>a</w:t>
      </w:r>
      <w:r w:rsidRPr="00F5723F">
        <w:t>tionella studier om nationella parlament ur ett genusperspektiv också inklud</w:t>
      </w:r>
      <w:r w:rsidRPr="00F5723F">
        <w:t>e</w:t>
      </w:r>
      <w:r w:rsidRPr="00F5723F">
        <w:t>ras i studien. Primärt fokuseras forskning om det svenska parlamentet. I andra hand riktas blickfånget mot nordiska parlament. Forskning om övriga nati</w:t>
      </w:r>
      <w:r w:rsidRPr="00F5723F">
        <w:t>o</w:t>
      </w:r>
      <w:r w:rsidRPr="00F5723F">
        <w:t>nella parlament bedöms som mindre relevant i detta sammanhang, med hä</w:t>
      </w:r>
      <w:r w:rsidRPr="00F5723F">
        <w:t>n</w:t>
      </w:r>
      <w:r w:rsidRPr="00F5723F">
        <w:t>seende till att kvinnorepresentationen i de nordiska parlame</w:t>
      </w:r>
      <w:r w:rsidRPr="00F5723F">
        <w:t>nten skiljer sig stort från den i övriga nationella parlament. Däremot inkluderas svenska och nordiska kommunstudier som bedöms relevanta.</w:t>
      </w:r>
    </w:p>
    <w:p w:rsidR="00B43C57" w:rsidRPr="00F5723F" w:rsidRDefault="00B43C57">
      <w:pPr>
        <w:pStyle w:val="Normaltindrag"/>
      </w:pPr>
      <w:r w:rsidRPr="00F5723F">
        <w:t>Kartläggningen riktar blickfånget mot vetenskaplig forskning, varvid mindre uppsatser, organisationsutredningar samt andra utvecklingsprojekt eller rapporter inte inkluderas. I viss mån har magisteruppsatser, där det b</w:t>
      </w:r>
      <w:r w:rsidRPr="00F5723F">
        <w:t>e</w:t>
      </w:r>
      <w:r w:rsidRPr="00F5723F">
        <w:t xml:space="preserve">dömts lämpligt, inkluderats i översikten. </w:t>
      </w:r>
    </w:p>
    <w:p w:rsidR="00B43C57" w:rsidRPr="00F5723F" w:rsidRDefault="00B43C57">
      <w:pPr>
        <w:pStyle w:val="Rubrik3"/>
        <w:spacing w:before="235"/>
        <w:rPr>
          <w:noProof w:val="0"/>
        </w:rPr>
      </w:pPr>
      <w:bookmarkStart w:id="321" w:name="_Toc121738995"/>
      <w:bookmarkStart w:id="322" w:name="_Toc124697895"/>
      <w:r w:rsidRPr="00F5723F">
        <w:rPr>
          <w:noProof w:val="0"/>
        </w:rPr>
        <w:t>Källmaterial</w:t>
      </w:r>
      <w:bookmarkEnd w:id="321"/>
      <w:bookmarkEnd w:id="322"/>
    </w:p>
    <w:p w:rsidR="00B43C57" w:rsidRPr="00F5723F" w:rsidRDefault="00B43C57">
      <w:r w:rsidRPr="00F5723F">
        <w:t>Undersökningen baseras på befintlig forskning på fältet. Denna forskning har primärt identifierats genom en kartläggning och övergripande analys av den genusforskning om riksdagen som bedrivs vid de svenska universiteten, e</w:t>
      </w:r>
      <w:r w:rsidRPr="00F5723F">
        <w:t>x</w:t>
      </w:r>
      <w:r w:rsidRPr="00F5723F">
        <w:t>plicit vid de statsvetenskapliga institutionerna.</w:t>
      </w:r>
    </w:p>
    <w:p w:rsidR="00B43C57" w:rsidRPr="00F5723F" w:rsidRDefault="00B43C57">
      <w:pPr>
        <w:pStyle w:val="Normaltindrag"/>
      </w:pPr>
      <w:r w:rsidRPr="00F5723F">
        <w:t>För att få en uppfattning om omfattningen av den statsvetenskapliga fors</w:t>
      </w:r>
      <w:r w:rsidRPr="00F5723F">
        <w:t>k</w:t>
      </w:r>
      <w:r w:rsidRPr="00F5723F">
        <w:t>ningen om riksdagen som institution ur ett genusperspektiv har även söknin</w:t>
      </w:r>
      <w:r w:rsidRPr="00F5723F">
        <w:t>g</w:t>
      </w:r>
      <w:r w:rsidRPr="00F5723F">
        <w:t>ar gjorts i ett antal svenska och internationella litteraturdatabaser.</w:t>
      </w:r>
      <w:r w:rsidRPr="00F5723F">
        <w:rPr>
          <w:rStyle w:val="Fotnotsreferens"/>
          <w:rFonts w:ascii="Garamond" w:hAnsi="Garamond"/>
        </w:rPr>
        <w:footnoteReference w:id="164"/>
      </w:r>
      <w:r w:rsidRPr="00F5723F">
        <w:t xml:space="preserve"> Söknin</w:t>
      </w:r>
      <w:r w:rsidRPr="00F5723F">
        <w:t>g</w:t>
      </w:r>
      <w:r w:rsidRPr="00F5723F">
        <w:t>ar som dessa ger förhållandevis osäkra mått. Därför kan dessa r</w:t>
      </w:r>
      <w:r w:rsidRPr="00F5723F">
        <w:t>e</w:t>
      </w:r>
      <w:r w:rsidRPr="00F5723F">
        <w:t xml:space="preserve">sultat enbart uppfattas som indikationer om forskningsläget och vilken typ av forskning som vanligen blir synliggjord. Att kön/genus finns med som sökbegrepp i en artikel säger dessutom inte mycket om artikelns tendens, det vill säga om den har ett traditionellt perspektiv eller ett genusperspektiv. </w:t>
      </w:r>
    </w:p>
    <w:p w:rsidR="00B43C57" w:rsidRPr="00F5723F" w:rsidRDefault="00B43C57">
      <w:pPr>
        <w:pStyle w:val="Normaltindrag"/>
      </w:pPr>
      <w:r w:rsidRPr="00F5723F">
        <w:t>Sökningarna i litteraturdatabaserna visade generellt att den statsvetenska</w:t>
      </w:r>
      <w:r w:rsidRPr="00F5723F">
        <w:t>p</w:t>
      </w:r>
      <w:r w:rsidRPr="00F5723F">
        <w:t>liga forskningen i förhållandevis liten utsträckning bedrivs ur ett genuspe</w:t>
      </w:r>
      <w:r w:rsidRPr="00F5723F">
        <w:t>r</w:t>
      </w:r>
      <w:r w:rsidRPr="00F5723F">
        <w:t xml:space="preserve">spektiv. Sökresultaten visade att sökbegrepp som kön, genus, gender, kvinnor, män etc. i statsvetenskaplig forskning gav påfallande få sökträffar, och ännu färre när begreppet ”riksdag” lades till i sökningen. </w:t>
      </w:r>
    </w:p>
    <w:p w:rsidR="00B43C57" w:rsidRPr="00F5723F" w:rsidRDefault="00B43C57">
      <w:pPr>
        <w:pStyle w:val="Normaltindrag"/>
      </w:pPr>
      <w:r w:rsidRPr="00F5723F">
        <w:t>För att få en bild av hur stor närvaro statsvetenskaplig fors</w:t>
      </w:r>
      <w:r w:rsidRPr="00F5723F">
        <w:t>k</w:t>
      </w:r>
      <w:r w:rsidRPr="00F5723F">
        <w:t>ning har inom gruppen kvinno-, köns- och genusforskare har även sökningar gjorts i den svenska databasen Kvinnsam, som förtecknar kvinno-, genus- och jämställ</w:t>
      </w:r>
      <w:r w:rsidRPr="00F5723F">
        <w:t>d</w:t>
      </w:r>
      <w:r w:rsidRPr="00F5723F">
        <w:t>hetsforskning inom alla vetenskapliga discipliner. En sökning med sökb</w:t>
      </w:r>
      <w:r w:rsidRPr="00F5723F">
        <w:t>e</w:t>
      </w:r>
      <w:r w:rsidRPr="00F5723F">
        <w:t>greppet ”statsvetenskap” resulterade i cirka 100 träffar av databasens totalt drygt 100 000 registrerade publikationer. En sökning med sökbegreppet ”riksdag” resulterade i 15 träffar. Ett antal av dessa utgjordes av rik</w:t>
      </w:r>
      <w:r w:rsidRPr="00F5723F">
        <w:t>s</w:t>
      </w:r>
      <w:r w:rsidRPr="00F5723F">
        <w:t>dagens egna publikationer. Sökningar utifrån begreppen ”parla</w:t>
      </w:r>
      <w:r w:rsidRPr="00F5723F">
        <w:t>ment” r</w:t>
      </w:r>
      <w:r w:rsidRPr="00F5723F">
        <w:t>e</w:t>
      </w:r>
      <w:r w:rsidRPr="00F5723F">
        <w:t>spektive ”parli</w:t>
      </w:r>
      <w:r w:rsidRPr="00F5723F">
        <w:t>a</w:t>
      </w:r>
      <w:r w:rsidRPr="00F5723F">
        <w:t xml:space="preserve">ment” gav 97 respektive 121 träffar. </w:t>
      </w:r>
    </w:p>
    <w:p w:rsidR="00B43C57" w:rsidRPr="00F5723F" w:rsidRDefault="00B43C57">
      <w:pPr>
        <w:pStyle w:val="Normaltindrag"/>
      </w:pPr>
      <w:r w:rsidRPr="00F5723F">
        <w:t>Sökningar har även gjorts i den svenska databasen Femdok, som förtec</w:t>
      </w:r>
      <w:r w:rsidRPr="00F5723F">
        <w:t>k</w:t>
      </w:r>
      <w:r w:rsidRPr="00F5723F">
        <w:t>nar forskningsprojekt och forskare i Sverige med ett kvinno-, genus- och/eller jämställdhetsperspektiv inom alla ämnesområden. Av Fe</w:t>
      </w:r>
      <w:r w:rsidRPr="00F5723F">
        <w:t>m</w:t>
      </w:r>
      <w:r w:rsidRPr="00F5723F">
        <w:t>doks totala antal poster utgör arbeten som kodats med ”statsvetenskap” 47 av 857 projekt. Av dessa statsvetenskapliga forskningsprojekt utgör tre av 47 forskning om rik</w:t>
      </w:r>
      <w:r w:rsidRPr="00F5723F">
        <w:t>s</w:t>
      </w:r>
      <w:r w:rsidRPr="00F5723F">
        <w:t>dagen, det vill säga cirka 6 procent. Det kan betyda att statsvetenskap och statsvetare står för en liten del av den forskning som klassificeras som kvi</w:t>
      </w:r>
      <w:r w:rsidRPr="00F5723F">
        <w:t>n</w:t>
      </w:r>
      <w:r w:rsidRPr="00F5723F">
        <w:t>no-, köns- eller genusforskning. Det bör dock noteras at</w:t>
      </w:r>
      <w:r w:rsidRPr="00F5723F">
        <w:t>t till Femdok registr</w:t>
      </w:r>
      <w:r w:rsidRPr="00F5723F">
        <w:t>e</w:t>
      </w:r>
      <w:r w:rsidRPr="00F5723F">
        <w:t>ras fors</w:t>
      </w:r>
      <w:r w:rsidRPr="00F5723F">
        <w:t>k</w:t>
      </w:r>
      <w:r w:rsidRPr="00F5723F">
        <w:t>ningsprojekt av forskaren själv.</w:t>
      </w:r>
      <w:r w:rsidRPr="00F5723F">
        <w:rPr>
          <w:rStyle w:val="Fotnotsreferens"/>
          <w:rFonts w:ascii="Garamond" w:hAnsi="Garamond"/>
        </w:rPr>
        <w:footnoteReference w:id="165"/>
      </w:r>
      <w:r w:rsidRPr="00F5723F">
        <w:t xml:space="preserve"> Det kan därmed inte uteslutas att vissa forskare av olika skäl inte registrerat sina projekt. Forskningsprojekt som behandlar kön som en social bakgrundsvariabel vid sidan om andra var</w:t>
      </w:r>
      <w:r w:rsidRPr="00F5723F">
        <w:t>i</w:t>
      </w:r>
      <w:r w:rsidRPr="00F5723F">
        <w:t>abler som parti, ålder, utbildning, civilstånd, etc. återfinns sällan i datab</w:t>
      </w:r>
      <w:r w:rsidRPr="00F5723F">
        <w:t>a</w:t>
      </w:r>
      <w:r w:rsidRPr="00F5723F">
        <w:t xml:space="preserve">ser som dessa. </w:t>
      </w:r>
    </w:p>
    <w:p w:rsidR="00B43C57" w:rsidRPr="00F5723F" w:rsidRDefault="00B43C57">
      <w:pPr>
        <w:pStyle w:val="Rubrik3"/>
        <w:spacing w:before="235"/>
        <w:rPr>
          <w:noProof w:val="0"/>
        </w:rPr>
      </w:pPr>
      <w:bookmarkStart w:id="323" w:name="_Toc121738996"/>
      <w:bookmarkStart w:id="324" w:name="_Toc124697896"/>
      <w:r w:rsidRPr="00F5723F">
        <w:rPr>
          <w:noProof w:val="0"/>
        </w:rPr>
        <w:t>Disposition</w:t>
      </w:r>
      <w:bookmarkEnd w:id="323"/>
      <w:bookmarkEnd w:id="324"/>
    </w:p>
    <w:p w:rsidR="00B43C57" w:rsidRPr="00F5723F" w:rsidRDefault="00B43C57">
      <w:r w:rsidRPr="00F5723F">
        <w:t>I en forskningsöversikt kan tidigare arbeten presenteras efter en mängd pri</w:t>
      </w:r>
      <w:r w:rsidRPr="00F5723F">
        <w:t>n</w:t>
      </w:r>
      <w:r w:rsidRPr="00F5723F">
        <w:t>ciper. Denna översikt är tematiskt strukturerad, det vill säga efter de teman som u</w:t>
      </w:r>
      <w:r w:rsidRPr="00F5723F">
        <w:t>t</w:t>
      </w:r>
      <w:r w:rsidRPr="00F5723F">
        <w:t>kristalliserats efter den kartläggning och analys som gjorts av den befintliga forskningen och efter sökningar i litteraturdatabaser. Följande t</w:t>
      </w:r>
      <w:r w:rsidRPr="00F5723F">
        <w:t>e</w:t>
      </w:r>
      <w:r w:rsidRPr="00F5723F">
        <w:t>man används som inde</w:t>
      </w:r>
      <w:r w:rsidRPr="00F5723F">
        <w:t>l</w:t>
      </w:r>
      <w:r w:rsidRPr="00F5723F">
        <w:t>ningsgrund:</w:t>
      </w:r>
    </w:p>
    <w:p w:rsidR="00B43C57" w:rsidRPr="00F5723F" w:rsidRDefault="00B43C57"/>
    <w:p w:rsidR="00B43C57" w:rsidRPr="00F5723F" w:rsidRDefault="00B43C57">
      <w:pPr>
        <w:numPr>
          <w:ilvl w:val="0"/>
          <w:numId w:val="40"/>
        </w:numPr>
        <w:tabs>
          <w:tab w:val="clear" w:pos="720"/>
          <w:tab w:val="num" w:pos="426"/>
        </w:tabs>
        <w:ind w:hanging="720"/>
      </w:pPr>
      <w:r w:rsidRPr="00F5723F">
        <w:t>Rösträttsrörelsen och kvinnors organisering</w:t>
      </w:r>
    </w:p>
    <w:p w:rsidR="00B43C57" w:rsidRPr="00F5723F" w:rsidRDefault="00B43C57">
      <w:pPr>
        <w:numPr>
          <w:ilvl w:val="0"/>
          <w:numId w:val="40"/>
        </w:numPr>
        <w:tabs>
          <w:tab w:val="clear" w:pos="720"/>
          <w:tab w:val="num" w:pos="426"/>
        </w:tabs>
        <w:ind w:hanging="720"/>
      </w:pPr>
      <w:r w:rsidRPr="00F5723F">
        <w:t>Politisk representation</w:t>
      </w:r>
    </w:p>
    <w:p w:rsidR="00B43C57" w:rsidRPr="00F5723F" w:rsidRDefault="00B43C57">
      <w:pPr>
        <w:numPr>
          <w:ilvl w:val="0"/>
          <w:numId w:val="40"/>
        </w:numPr>
        <w:tabs>
          <w:tab w:val="clear" w:pos="720"/>
          <w:tab w:val="num" w:pos="426"/>
        </w:tabs>
        <w:ind w:hanging="720"/>
      </w:pPr>
      <w:r w:rsidRPr="00F5723F">
        <w:t>Rekrytering – och nomineringsprocesser</w:t>
      </w:r>
    </w:p>
    <w:p w:rsidR="00B43C57" w:rsidRPr="00F5723F" w:rsidRDefault="00B43C57">
      <w:pPr>
        <w:numPr>
          <w:ilvl w:val="0"/>
          <w:numId w:val="40"/>
        </w:numPr>
        <w:tabs>
          <w:tab w:val="clear" w:pos="720"/>
          <w:tab w:val="num" w:pos="426"/>
        </w:tabs>
        <w:ind w:left="425" w:hanging="425"/>
      </w:pPr>
      <w:r w:rsidRPr="00F5723F">
        <w:t>Riksdagsledamöters intressen (riksdagsval, utskottsplacering, pol</w:t>
      </w:r>
      <w:r w:rsidRPr="00F5723F">
        <w:t>i</w:t>
      </w:r>
      <w:r w:rsidRPr="00F5723F">
        <w:t>tiska intre</w:t>
      </w:r>
      <w:r w:rsidRPr="00F5723F">
        <w:t>s</w:t>
      </w:r>
      <w:r w:rsidRPr="00F5723F">
        <w:t>seområden etc)</w:t>
      </w:r>
    </w:p>
    <w:p w:rsidR="00B43C57" w:rsidRPr="00F5723F" w:rsidRDefault="00B43C57">
      <w:pPr>
        <w:numPr>
          <w:ilvl w:val="0"/>
          <w:numId w:val="40"/>
        </w:numPr>
        <w:tabs>
          <w:tab w:val="clear" w:pos="720"/>
          <w:tab w:val="num" w:pos="426"/>
        </w:tabs>
        <w:ind w:hanging="720"/>
      </w:pPr>
      <w:r w:rsidRPr="00F5723F">
        <w:t>Riksdagsledamöters villkor och arbetsmiljö</w:t>
      </w:r>
    </w:p>
    <w:p w:rsidR="00B43C57" w:rsidRPr="00F5723F" w:rsidRDefault="00B43C57">
      <w:pPr>
        <w:numPr>
          <w:ilvl w:val="0"/>
          <w:numId w:val="40"/>
        </w:numPr>
        <w:tabs>
          <w:tab w:val="clear" w:pos="720"/>
          <w:tab w:val="num" w:pos="426"/>
        </w:tabs>
        <w:ind w:hanging="720"/>
      </w:pPr>
      <w:r w:rsidRPr="00F5723F">
        <w:t xml:space="preserve">Jämställdhet </w:t>
      </w:r>
    </w:p>
    <w:p w:rsidR="00B43C57" w:rsidRPr="00F5723F" w:rsidRDefault="00B43C57"/>
    <w:p w:rsidR="00B43C57" w:rsidRPr="00F5723F" w:rsidRDefault="00B43C57">
      <w:r w:rsidRPr="00F5723F">
        <w:t>Indelningen är tentativ. Den har vuxit fram ur kartläggningen av forsknin</w:t>
      </w:r>
      <w:r w:rsidRPr="00F5723F">
        <w:t>g</w:t>
      </w:r>
      <w:r w:rsidRPr="00F5723F">
        <w:t>en om riksdagen vid de statsvetenskapliga institutionerna och är därmed inn</w:t>
      </w:r>
      <w:r w:rsidRPr="00F5723F">
        <w:t>e</w:t>
      </w:r>
      <w:r w:rsidRPr="00F5723F">
        <w:t>hållsbaserad. Ett skäl för att göra på detta sätt är pragmatiskt; översi</w:t>
      </w:r>
      <w:r w:rsidRPr="00F5723F">
        <w:t>k</w:t>
      </w:r>
      <w:r w:rsidRPr="00F5723F">
        <w:t>ten skulle bli oöve</w:t>
      </w:r>
      <w:r w:rsidRPr="00F5723F">
        <w:t>r</w:t>
      </w:r>
      <w:r w:rsidRPr="00F5723F">
        <w:t>skådlig utan någon form av indelning. Ett annat skäl är att den belyser var stora respektive små forskningsområden har sitt hemvist.</w:t>
      </w:r>
      <w:r w:rsidRPr="00F5723F">
        <w:rPr>
          <w:rStyle w:val="Fotnotsreferens"/>
          <w:rFonts w:ascii="Garamond" w:hAnsi="Garamond"/>
        </w:rPr>
        <w:footnoteReference w:id="166"/>
      </w:r>
    </w:p>
    <w:p w:rsidR="00B43C57" w:rsidRPr="00F5723F" w:rsidRDefault="00B43C57">
      <w:pPr>
        <w:pStyle w:val="Normaltindrag"/>
      </w:pPr>
      <w:r w:rsidRPr="00F5723F">
        <w:t>I översiktens första avsnitt redogörs för uppdragets ba</w:t>
      </w:r>
      <w:r w:rsidRPr="00F5723F">
        <w:t>k</w:t>
      </w:r>
      <w:r w:rsidRPr="00F5723F">
        <w:t>grund och syfte. I det andra avsnittet presenteras en översiktlig genomgång av begreppsappar</w:t>
      </w:r>
      <w:r w:rsidRPr="00F5723F">
        <w:t>a</w:t>
      </w:r>
      <w:r w:rsidRPr="00F5723F">
        <w:t>ten. Här redogörs bland annat för begreppet genus och skillnaden mellan begrepp som genus, kön, feminism och jämställdhet. I det tredje avsnittet ges en allmän bakgrund till kvinnorepresentationens utveckling i riksdagen. I det fjärde avsnittet presenteras kartläggningen av den befintliga forsknin</w:t>
      </w:r>
      <w:r w:rsidRPr="00F5723F">
        <w:t>g</w:t>
      </w:r>
      <w:r w:rsidRPr="00F5723F">
        <w:t>en enligt den indelningsgrund som redovisades ovan. Därefter följer ett femte avsnitt som belyser olika förståelser ino</w:t>
      </w:r>
      <w:r w:rsidRPr="00F5723F">
        <w:t>m forskningen om kvinnors situ</w:t>
      </w:r>
      <w:r w:rsidRPr="00F5723F">
        <w:t>a</w:t>
      </w:r>
      <w:r w:rsidRPr="00F5723F">
        <w:t>tion och villkor i politiken. Översikten avslutas med en sammanfattning och gen</w:t>
      </w:r>
      <w:r w:rsidRPr="00F5723F">
        <w:t>e</w:t>
      </w:r>
      <w:r w:rsidRPr="00F5723F">
        <w:t>rella slutsatser.</w:t>
      </w:r>
    </w:p>
    <w:p w:rsidR="00B43C57" w:rsidRPr="00F5723F" w:rsidRDefault="00B43C57">
      <w:pPr>
        <w:pStyle w:val="Rubrik2"/>
        <w:spacing w:before="375"/>
      </w:pPr>
      <w:bookmarkStart w:id="325" w:name="_Toc121738997"/>
      <w:bookmarkStart w:id="326" w:name="_Toc124697897"/>
      <w:r w:rsidRPr="00F5723F">
        <w:t>Begrepp och definitioner</w:t>
      </w:r>
      <w:bookmarkEnd w:id="325"/>
      <w:bookmarkEnd w:id="326"/>
    </w:p>
    <w:p w:rsidR="00B43C57" w:rsidRPr="00F5723F" w:rsidRDefault="00B43C57">
      <w:pPr>
        <w:pStyle w:val="Rubrik3"/>
        <w:spacing w:before="235"/>
        <w:rPr>
          <w:noProof w:val="0"/>
        </w:rPr>
      </w:pPr>
      <w:bookmarkStart w:id="327" w:name="_Toc121738998"/>
      <w:bookmarkStart w:id="328" w:name="_Toc124697898"/>
      <w:r w:rsidRPr="00F5723F">
        <w:rPr>
          <w:noProof w:val="0"/>
        </w:rPr>
        <w:t>Institution som begrepp</w:t>
      </w:r>
      <w:bookmarkEnd w:id="327"/>
      <w:bookmarkEnd w:id="328"/>
      <w:r w:rsidRPr="00F5723F">
        <w:rPr>
          <w:noProof w:val="0"/>
        </w:rPr>
        <w:t xml:space="preserve"> </w:t>
      </w:r>
    </w:p>
    <w:p w:rsidR="00B43C57" w:rsidRPr="00F5723F" w:rsidRDefault="00B43C57">
      <w:r w:rsidRPr="00F5723F">
        <w:t>Begreppet institution kan definieras som olika slag av institutionella arrang</w:t>
      </w:r>
      <w:r w:rsidRPr="00F5723F">
        <w:t>e</w:t>
      </w:r>
      <w:r w:rsidRPr="00F5723F">
        <w:t>mang (och även kombinationer därav) i vilka särskilda sociala uppgifter må</w:t>
      </w:r>
      <w:r w:rsidRPr="00F5723F">
        <w:t>s</w:t>
      </w:r>
      <w:r w:rsidRPr="00F5723F">
        <w:t>te lösas och ordnas efter vissa regulativa principer och genom vilka makt formeras och utövas. Enligt Arthur Stinchcombes klassiska definition är en institution ”a device for backing values with power”.</w:t>
      </w:r>
      <w:r w:rsidRPr="00F5723F">
        <w:rPr>
          <w:rStyle w:val="Fotnotsreferens"/>
          <w:rFonts w:ascii="Garamond" w:hAnsi="Garamond"/>
        </w:rPr>
        <w:footnoteReference w:id="167"/>
      </w:r>
      <w:r w:rsidRPr="00F5723F">
        <w:t xml:space="preserve"> Begreppet inst</w:t>
      </w:r>
      <w:r w:rsidRPr="00F5723F">
        <w:t>i</w:t>
      </w:r>
      <w:r w:rsidRPr="00F5723F">
        <w:t>tution innebär i denna kartläggning att riksdagen ses som en arena för officiell pol</w:t>
      </w:r>
      <w:r w:rsidRPr="00F5723F">
        <w:t>i</w:t>
      </w:r>
      <w:r w:rsidRPr="00F5723F">
        <w:t xml:space="preserve">tik, eller en </w:t>
      </w:r>
      <w:r w:rsidRPr="00F5723F">
        <w:rPr>
          <w:i/>
        </w:rPr>
        <w:t>officiell institution</w:t>
      </w:r>
      <w:r w:rsidRPr="00F5723F">
        <w:t xml:space="preserve"> i det svenska politiska systemet, som får ko</w:t>
      </w:r>
      <w:r w:rsidRPr="00F5723F">
        <w:t>n</w:t>
      </w:r>
      <w:r w:rsidRPr="00F5723F">
        <w:t xml:space="preserve">sekvenser för samhällets organisering. Det är således riksdagen som en </w:t>
      </w:r>
      <w:r w:rsidRPr="00F5723F">
        <w:rPr>
          <w:i/>
        </w:rPr>
        <w:t>pol</w:t>
      </w:r>
      <w:r w:rsidRPr="00F5723F">
        <w:rPr>
          <w:i/>
        </w:rPr>
        <w:t>i</w:t>
      </w:r>
      <w:r w:rsidRPr="00F5723F">
        <w:rPr>
          <w:i/>
        </w:rPr>
        <w:t xml:space="preserve">tisk institution </w:t>
      </w:r>
      <w:r w:rsidRPr="00F5723F">
        <w:t xml:space="preserve">som berörs, och i detta fall den </w:t>
      </w:r>
      <w:r w:rsidRPr="00F5723F">
        <w:rPr>
          <w:i/>
        </w:rPr>
        <w:t>nationella nivån</w:t>
      </w:r>
      <w:r w:rsidRPr="00F5723F">
        <w:t>. I viss u</w:t>
      </w:r>
      <w:r w:rsidRPr="00F5723F">
        <w:t>t</w:t>
      </w:r>
      <w:r w:rsidRPr="00F5723F">
        <w:t>sträckning kommer även studier om andra nationella politiska instit</w:t>
      </w:r>
      <w:r w:rsidRPr="00F5723F">
        <w:t>u</w:t>
      </w:r>
      <w:r w:rsidRPr="00F5723F">
        <w:t>tioner inkluderas, primärt nordiska parlament. I viss mån kommer även studier om politiska institutioner på de</w:t>
      </w:r>
      <w:r w:rsidRPr="00F5723F">
        <w:t xml:space="preserve">n subnationella nivån inkluderas, bland annat genom referenser till kommunstudier. </w:t>
      </w:r>
    </w:p>
    <w:p w:rsidR="00B43C57" w:rsidRPr="00F5723F" w:rsidRDefault="00B43C57">
      <w:pPr>
        <w:pStyle w:val="Rubrik3"/>
        <w:rPr>
          <w:noProof w:val="0"/>
        </w:rPr>
      </w:pPr>
      <w:bookmarkStart w:id="329" w:name="_Toc121738999"/>
      <w:bookmarkStart w:id="330" w:name="_Toc124697899"/>
      <w:r w:rsidRPr="00F5723F">
        <w:rPr>
          <w:noProof w:val="0"/>
        </w:rPr>
        <w:t>Genus som begrepp</w:t>
      </w:r>
      <w:bookmarkEnd w:id="329"/>
      <w:bookmarkEnd w:id="330"/>
    </w:p>
    <w:p w:rsidR="00B43C57" w:rsidRPr="00F5723F" w:rsidRDefault="00B43C57">
      <w:pPr>
        <w:pStyle w:val="Rubrik4"/>
        <w:rPr>
          <w:noProof w:val="0"/>
        </w:rPr>
      </w:pPr>
      <w:bookmarkStart w:id="331" w:name="_Toc124697900"/>
      <w:r w:rsidRPr="00F5723F">
        <w:rPr>
          <w:noProof w:val="0"/>
        </w:rPr>
        <w:t>Genusforskning och genusperspektiv</w:t>
      </w:r>
      <w:bookmarkEnd w:id="331"/>
    </w:p>
    <w:p w:rsidR="00B43C57" w:rsidRPr="00F5723F" w:rsidRDefault="00B43C57">
      <w:r w:rsidRPr="00F5723F">
        <w:t>Genusvetenskapliga studier och genusforskning bedrivs på flera universitet och högskolor i Sverige.</w:t>
      </w:r>
      <w:r w:rsidRPr="00F5723F">
        <w:rPr>
          <w:rStyle w:val="Fotnotsreferens"/>
          <w:rFonts w:ascii="Garamond" w:hAnsi="Garamond"/>
        </w:rPr>
        <w:footnoteReference w:id="168"/>
      </w:r>
      <w:r w:rsidRPr="00F5723F">
        <w:t xml:space="preserve"> Genusforskning kan ses som en övergripande term för ett område som också kan benämnas kvinnoforskning, mansforskning, könsfors</w:t>
      </w:r>
      <w:r w:rsidRPr="00F5723F">
        <w:t>k</w:t>
      </w:r>
      <w:r w:rsidRPr="00F5723F">
        <w:t>ning och feministisk forskning.</w:t>
      </w:r>
      <w:r w:rsidRPr="00F5723F">
        <w:rPr>
          <w:rStyle w:val="Fotnotsreferens"/>
          <w:rFonts w:ascii="Garamond" w:hAnsi="Garamond"/>
        </w:rPr>
        <w:footnoteReference w:id="169"/>
      </w:r>
      <w:r w:rsidRPr="00F5723F">
        <w:t xml:space="preserve"> Den forskning som presenteras i denna översikt utgår delvis från olika vetenskapliga discipliner, och därmed illustreras, vid presentation av forskning i kommande kapitel, den använ</w:t>
      </w:r>
      <w:r w:rsidRPr="00F5723F">
        <w:t>d</w:t>
      </w:r>
      <w:r w:rsidRPr="00F5723F">
        <w:t>ning av köns- och g</w:t>
      </w:r>
      <w:r w:rsidRPr="00F5723F">
        <w:t>e</w:t>
      </w:r>
      <w:r w:rsidRPr="00F5723F">
        <w:t>nusbegreppen och andra näraliggande begrepp som etablerats och används i dem. Vanligt är att betrakta köns- och genusfors</w:t>
      </w:r>
      <w:r w:rsidRPr="00F5723F">
        <w:t>k</w:t>
      </w:r>
      <w:r w:rsidRPr="00F5723F">
        <w:t>ning som ett fält, men den utveckling som skett från den tidiga kvinnofors</w:t>
      </w:r>
      <w:r w:rsidRPr="00F5723F">
        <w:t>k</w:t>
      </w:r>
      <w:r w:rsidRPr="00F5723F">
        <w:t>ningen under 1960-talet fram till 2000-talet innebär att vi snarare kan tala om flera olika fält. Det handlar de</w:t>
      </w:r>
      <w:r w:rsidRPr="00F5723F">
        <w:t>ls om en kvantitativ utveckling, dels om en kvalitativ sådan. I dag finns genusforskning representerad inom en rad vetenskapliga discipliner, vilka utgår från olika teor</w:t>
      </w:r>
      <w:r w:rsidRPr="00F5723F">
        <w:t>e</w:t>
      </w:r>
      <w:r w:rsidRPr="00F5723F">
        <w:t>tiska perspektiv och där strävan efter att teoretiskt utveckla denna relativt sett unga forskning är påtaglig. Intensiva debatter kring grundläggande definitioner och ansatser pågår, varvid genu</w:t>
      </w:r>
      <w:r w:rsidRPr="00F5723F">
        <w:t>s</w:t>
      </w:r>
      <w:r w:rsidRPr="00F5723F">
        <w:t>forskning i stort inte kan definieras med hjälp av ett par koncisa definitioner. Maud Eduards beskriver det svenska forskningsfältet inom området p</w:t>
      </w:r>
      <w:r w:rsidRPr="00F5723F">
        <w:t>å fö</w:t>
      </w:r>
      <w:r w:rsidRPr="00F5723F">
        <w:t>l</w:t>
      </w:r>
      <w:r w:rsidRPr="00F5723F">
        <w:t>jande sätt:</w:t>
      </w:r>
    </w:p>
    <w:p w:rsidR="00B43C57" w:rsidRPr="00F5723F" w:rsidRDefault="00B43C57">
      <w:pPr>
        <w:pStyle w:val="Citat"/>
        <w:spacing w:before="125"/>
      </w:pPr>
      <w:r w:rsidRPr="00F5723F">
        <w:t>I ett kronologiskt perspektiv var termen kvinnoforskning först på plan i Sverige, därefter jämställdhetsforskning och sist genus- och feministisk forskning. Bakom den terminologiska förändringen ligger en växande forskning och en tydligare teorimedvetenhet; en större vetenskaplig självständighet, om man så vill. En annan tolkning av denna utveckling är att det är akademikerna snarare än aktivisterna som definierar kvinnors villkor, att forskarna tappat kontakten med ”vanliga” kvinnors levna</w:t>
      </w:r>
      <w:r w:rsidRPr="00F5723F">
        <w:t>d</w:t>
      </w:r>
      <w:r w:rsidRPr="00F5723F">
        <w:t>s</w:t>
      </w:r>
      <w:r w:rsidRPr="00F5723F">
        <w:t>öden.</w:t>
      </w:r>
      <w:r w:rsidRPr="00F5723F">
        <w:rPr>
          <w:rStyle w:val="Fotnotsreferens"/>
          <w:rFonts w:ascii="Garamond" w:hAnsi="Garamond"/>
          <w:sz w:val="20"/>
        </w:rPr>
        <w:footnoteReference w:id="170"/>
      </w:r>
      <w:r w:rsidRPr="00F5723F">
        <w:t xml:space="preserve"> </w:t>
      </w:r>
    </w:p>
    <w:p w:rsidR="00B43C57" w:rsidRPr="00F5723F" w:rsidRDefault="00B43C57">
      <w:pPr>
        <w:pStyle w:val="Rubrik4"/>
        <w:rPr>
          <w:b/>
          <w:noProof w:val="0"/>
        </w:rPr>
      </w:pPr>
      <w:bookmarkStart w:id="332" w:name="_Toc124697901"/>
      <w:r w:rsidRPr="00F5723F">
        <w:rPr>
          <w:rStyle w:val="Rubrik4Char"/>
          <w:b w:val="0"/>
          <w:noProof w:val="0"/>
        </w:rPr>
        <w:t>Vad är genus? Skillnaden mellan kön och genus</w:t>
      </w:r>
      <w:r w:rsidRPr="00F5723F">
        <w:rPr>
          <w:noProof w:val="0"/>
        </w:rPr>
        <w:t>?</w:t>
      </w:r>
      <w:bookmarkEnd w:id="332"/>
      <w:r w:rsidRPr="00F5723F">
        <w:rPr>
          <w:noProof w:val="0"/>
        </w:rPr>
        <w:t xml:space="preserve"> </w:t>
      </w:r>
    </w:p>
    <w:p w:rsidR="00B43C57" w:rsidRPr="00F5723F" w:rsidRDefault="00B43C57">
      <w:r w:rsidRPr="00F5723F">
        <w:t>När vi hör ordet kön faller tanken med stor sannolikhet på uppdelningen av befolkningen i två biologiska kategorier, kvinnor och män. Den biologiska def</w:t>
      </w:r>
      <w:r w:rsidRPr="00F5723F">
        <w:t>i</w:t>
      </w:r>
      <w:r w:rsidRPr="00F5723F">
        <w:t>nitionen av kön förefaller instinktivt vara relativt okomplicerad. Mäns och kvi</w:t>
      </w:r>
      <w:r w:rsidRPr="00F5723F">
        <w:t>n</w:t>
      </w:r>
      <w:r w:rsidRPr="00F5723F">
        <w:t>nors kroppsbyggnad, kromosomer och könsorgan skiljer sig åt. Men även den biologiska kroppen påverkas av sociala processer: Kroppsstorlek påve</w:t>
      </w:r>
      <w:r w:rsidRPr="00F5723F">
        <w:t>r</w:t>
      </w:r>
      <w:r w:rsidRPr="00F5723F">
        <w:t>kas inte bara av olika ideal kopplat till olika tiders syn på manlighet och kvinnlighet, utan kroppsstorlek påverkas även av olika klassers och etniska gruppers syn på kroppen. Alla biologiska skillnader mellan könen kan sål</w:t>
      </w:r>
      <w:r w:rsidRPr="00F5723F">
        <w:t>e</w:t>
      </w:r>
      <w:r w:rsidRPr="00F5723F">
        <w:t xml:space="preserve">des inte betraktas som naturligt givna. </w:t>
      </w:r>
    </w:p>
    <w:p w:rsidR="00B43C57" w:rsidRPr="00F5723F" w:rsidRDefault="00B43C57">
      <w:pPr>
        <w:pStyle w:val="Normaltindrag"/>
      </w:pPr>
      <w:r w:rsidRPr="00F5723F">
        <w:t>Begreppet genus introd</w:t>
      </w:r>
      <w:r w:rsidRPr="00F5723F">
        <w:t>ucerades på 1970-talet för att just synliggöra att alla skillnader mellan könen inte alltid kan betraktas som biologiska.</w:t>
      </w:r>
      <w:r w:rsidRPr="00F5723F">
        <w:rPr>
          <w:rStyle w:val="Fotnotsreferens"/>
          <w:rFonts w:ascii="Garamond" w:hAnsi="Garamond"/>
        </w:rPr>
        <w:footnoteReference w:id="171"/>
      </w:r>
      <w:r w:rsidRPr="00F5723F">
        <w:t xml:space="preserve"> Genusb</w:t>
      </w:r>
      <w:r w:rsidRPr="00F5723F">
        <w:t>e</w:t>
      </w:r>
      <w:r w:rsidRPr="00F5723F">
        <w:t>greppet används i dag på flera olika sätt, men ett grun</w:t>
      </w:r>
      <w:r w:rsidRPr="00F5723F">
        <w:t>d</w:t>
      </w:r>
      <w:r w:rsidRPr="00F5723F">
        <w:t>läggande synsätt är att genus ses som en princip för social organisation och kulturell kategoris</w:t>
      </w:r>
      <w:r w:rsidRPr="00F5723F">
        <w:t>e</w:t>
      </w:r>
      <w:r w:rsidRPr="00F5723F">
        <w:t>ring. Det innebär att genus inte ses som biologiskt givet utan socialt konstruerat. Genus är en princip som medför att kvinnor och män delas in i två grupper som tillskrivs vissa egenskaper, som kallas för kvinnliga och manliga, som i sin tur styr vad som förväntas av respektive grupp vid fördelning av sysslor, resurser, beslutsmakt etc. Genus kan s</w:t>
      </w:r>
      <w:r w:rsidRPr="00F5723F">
        <w:t>åledes ses som ett viktigt analytiskt begrepp för att skilja ut och betona hur kön konstrueras socialt, kulturellt och historiskt.</w:t>
      </w:r>
      <w:r w:rsidRPr="00F5723F">
        <w:rPr>
          <w:rStyle w:val="Fotnotsreferens"/>
          <w:rFonts w:ascii="Garamond" w:hAnsi="Garamond"/>
        </w:rPr>
        <w:footnoteReference w:id="172"/>
      </w:r>
      <w:r w:rsidRPr="00F5723F">
        <w:t xml:space="preserve"> Fö</w:t>
      </w:r>
      <w:r w:rsidRPr="00F5723F">
        <w:t>r</w:t>
      </w:r>
      <w:r w:rsidRPr="00F5723F">
        <w:t>enklat kan man säga att genus handlar om vad det betyder att vara kvinna och man i olika samhä</w:t>
      </w:r>
      <w:r w:rsidRPr="00F5723F">
        <w:t>l</w:t>
      </w:r>
      <w:r w:rsidRPr="00F5723F">
        <w:t>len och i olika tidsepoker. Till exempel: Vad innebär det att vara kvinnlig respektive manlig riksdagsledamot i dag jämfört med att vara riksdagsled</w:t>
      </w:r>
      <w:r w:rsidRPr="00F5723F">
        <w:t>a</w:t>
      </w:r>
      <w:r w:rsidRPr="00F5723F">
        <w:t>mot 1921?</w:t>
      </w:r>
    </w:p>
    <w:p w:rsidR="00B43C57" w:rsidRPr="00F5723F" w:rsidRDefault="00B43C57">
      <w:pPr>
        <w:pStyle w:val="Normaltindrag"/>
      </w:pPr>
      <w:r w:rsidRPr="00F5723F">
        <w:t>Inom genusforskningen talar man om att olika kvinnligheter och manligh</w:t>
      </w:r>
      <w:r w:rsidRPr="00F5723F">
        <w:t>e</w:t>
      </w:r>
      <w:r w:rsidRPr="00F5723F">
        <w:t>ter skapas genom de ideal, normer och förväntningar som råder i samhället. Dessa ideal växlar över tid och rum, vilket medför att flera olika kvinnligheter och manligheter konstrueras i varje samhälle och att dessa förändras över tid. Kvinnor och män bidrar i olika sammanhang (som politiker, kollega, förälder, partner) till att skapa sig själva och omgivningen som kvinnor och män. G</w:t>
      </w:r>
      <w:r w:rsidRPr="00F5723F">
        <w:t>e</w:t>
      </w:r>
      <w:r w:rsidRPr="00F5723F">
        <w:t xml:space="preserve">nusforskare förnekar inte biologiska skillnader mellan kvinnor och män, men grundprincipen är att allt som har med genus att </w:t>
      </w:r>
      <w:r w:rsidRPr="00F5723F">
        <w:t xml:space="preserve">göra, allt som har något med kategoriseringen av människor i två olika grupper att göra, problematiseras. </w:t>
      </w:r>
    </w:p>
    <w:p w:rsidR="00B43C57" w:rsidRPr="00F5723F" w:rsidRDefault="00B43C57">
      <w:pPr>
        <w:pStyle w:val="Rubrik4"/>
        <w:rPr>
          <w:noProof w:val="0"/>
        </w:rPr>
      </w:pPr>
      <w:bookmarkStart w:id="333" w:name="_Toc124697902"/>
      <w:r w:rsidRPr="00F5723F">
        <w:rPr>
          <w:noProof w:val="0"/>
        </w:rPr>
        <w:t>Skillnaden mellan kön och genus</w:t>
      </w:r>
      <w:bookmarkEnd w:id="333"/>
    </w:p>
    <w:p w:rsidR="00B43C57" w:rsidRPr="00F5723F" w:rsidRDefault="00B43C57">
      <w:r w:rsidRPr="00F5723F">
        <w:t>Under 1960- och 1970-talen och början av 1980-talet användes primärt b</w:t>
      </w:r>
      <w:r w:rsidRPr="00F5723F">
        <w:t>e</w:t>
      </w:r>
      <w:r w:rsidRPr="00F5723F">
        <w:t>greppet kön eller kvinno- och könsforskning. Denna tidiga genusforskning han</w:t>
      </w:r>
      <w:r w:rsidRPr="00F5723F">
        <w:t>d</w:t>
      </w:r>
      <w:r w:rsidRPr="00F5723F">
        <w:t>lade generellt om att lyfta fram kvinnor i sammanhang där de tidigare varit dolda eller bortglömda. Forskningen handlade om vad som brukas benämnas komplett</w:t>
      </w:r>
      <w:r w:rsidRPr="00F5723F">
        <w:t>e</w:t>
      </w:r>
      <w:r w:rsidRPr="00F5723F">
        <w:t xml:space="preserve">rande forskning – </w:t>
      </w:r>
      <w:r w:rsidRPr="00F5723F">
        <w:rPr>
          <w:i/>
        </w:rPr>
        <w:t>add women and stir</w:t>
      </w:r>
      <w:r w:rsidRPr="00F5723F">
        <w:t>. Tilläggsforskning, det vill säga att fylla luckor i kunskapen därför att genus (oftast kvinnor) inte synli</w:t>
      </w:r>
      <w:r w:rsidRPr="00F5723F">
        <w:t>g</w:t>
      </w:r>
      <w:r w:rsidRPr="00F5723F">
        <w:t xml:space="preserve">gjorts inom ämnet, kan ses som ett första steg i begreppsutvecklingen. Den teoretiska utvecklingen i den statsvetenskapliga kvinno- </w:t>
      </w:r>
      <w:r w:rsidRPr="00F5723F">
        <w:t>och könsfors</w:t>
      </w:r>
      <w:r w:rsidRPr="00F5723F">
        <w:t>k</w:t>
      </w:r>
      <w:r w:rsidRPr="00F5723F">
        <w:t>ningen under denna period dominerades av ett patriarkatsperspektiv. Detta perspektiv riktade blickfånget mot reproduktionen av en mansdominerad samhällsor</w:t>
      </w:r>
      <w:r w:rsidRPr="00F5723F">
        <w:t>d</w:t>
      </w:r>
      <w:r w:rsidRPr="00F5723F">
        <w:t>ning och hade kopplingar till marxistisk forskning. Forskningen handlade framför allt om kvinnors aktiviteter utanför den traditionella, etabl</w:t>
      </w:r>
      <w:r w:rsidRPr="00F5723F">
        <w:t>e</w:t>
      </w:r>
      <w:r w:rsidRPr="00F5723F">
        <w:t>rade politiken, till exempel kvi</w:t>
      </w:r>
      <w:r w:rsidRPr="00F5723F">
        <w:t>n</w:t>
      </w:r>
      <w:r w:rsidRPr="00F5723F">
        <w:t>no- och fredsrörelsen.</w:t>
      </w:r>
    </w:p>
    <w:p w:rsidR="00B43C57" w:rsidRPr="00F5723F" w:rsidRDefault="00B43C57">
      <w:pPr>
        <w:pStyle w:val="Normaltindrag"/>
      </w:pPr>
      <w:r w:rsidRPr="00F5723F">
        <w:t>Senare genusforskning har generellt i större utsträckning än tidigare up</w:t>
      </w:r>
      <w:r w:rsidRPr="00F5723F">
        <w:t>p</w:t>
      </w:r>
      <w:r w:rsidRPr="00F5723F">
        <w:t>märksammat bägge könen i relation till varandra och maktaspekten dem emellan. Genus innebär därmed ett tydligare fokus på de uppfattningar om könen och relationen dem emellan som konstrueras i samhället och de kons</w:t>
      </w:r>
      <w:r w:rsidRPr="00F5723F">
        <w:t>e</w:t>
      </w:r>
      <w:r w:rsidRPr="00F5723F">
        <w:t>kvenser det får på både ett individuellt och ett strukturellt plan. Termen genus infördes således för att kunna dra en skiljelinje mellan det sociala och kult</w:t>
      </w:r>
      <w:r w:rsidRPr="00F5723F">
        <w:t>u</w:t>
      </w:r>
      <w:r w:rsidRPr="00F5723F">
        <w:t xml:space="preserve">rella från det biologiska. </w:t>
      </w:r>
    </w:p>
    <w:p w:rsidR="00B43C57" w:rsidRPr="00F5723F" w:rsidRDefault="00B43C57">
      <w:pPr>
        <w:pStyle w:val="Normaltindrag"/>
      </w:pPr>
      <w:r w:rsidRPr="00F5723F">
        <w:t>Den teoretiska utvecklingen inom området visar dock att det blivit min</w:t>
      </w:r>
      <w:r w:rsidRPr="00F5723F">
        <w:t>d</w:t>
      </w:r>
      <w:r w:rsidRPr="00F5723F">
        <w:t>re givande att göra dessa indelningar. Genom att vidhålla åtskil</w:t>
      </w:r>
      <w:r w:rsidRPr="00F5723F">
        <w:t>l</w:t>
      </w:r>
      <w:r w:rsidRPr="00F5723F">
        <w:t>naden mellan kön/natur, biologiskt givet, och genus/kultur, socialt konstruerat, risk</w:t>
      </w:r>
      <w:r w:rsidRPr="00F5723F">
        <w:t>e</w:t>
      </w:r>
      <w:r w:rsidRPr="00F5723F">
        <w:t>rar man att fastna i egna kategoriseringar i stället för att granska och kritisera dem. Av detta skäl talar alltfler forskare om genus som allt som rör rel</w:t>
      </w:r>
      <w:r w:rsidRPr="00F5723F">
        <w:t>a</w:t>
      </w:r>
      <w:r w:rsidRPr="00F5723F">
        <w:t>tionen mellan kvinnor och män.</w:t>
      </w:r>
    </w:p>
    <w:p w:rsidR="00B43C57" w:rsidRPr="00F5723F" w:rsidRDefault="00B43C57">
      <w:pPr>
        <w:pStyle w:val="Normaltindrag"/>
      </w:pPr>
      <w:r w:rsidRPr="00F5723F">
        <w:t>Många nordiska forskare föredrar ändå begreppet kön. Man menar till e</w:t>
      </w:r>
      <w:r w:rsidRPr="00F5723F">
        <w:t>x</w:t>
      </w:r>
      <w:r w:rsidRPr="00F5723F">
        <w:t>empel att det är onödigt att översätta engelskans gender med genus, eftersom det sven</w:t>
      </w:r>
      <w:r w:rsidRPr="00F5723F">
        <w:t>s</w:t>
      </w:r>
      <w:r w:rsidRPr="00F5723F">
        <w:t>ka ordet kön redan betyder både det som</w:t>
      </w:r>
      <w:r w:rsidRPr="00F5723F">
        <w:rPr>
          <w:i/>
        </w:rPr>
        <w:t xml:space="preserve"> sex</w:t>
      </w:r>
      <w:r w:rsidRPr="00F5723F">
        <w:t xml:space="preserve"> och det som </w:t>
      </w:r>
      <w:r w:rsidRPr="00F5723F">
        <w:rPr>
          <w:i/>
        </w:rPr>
        <w:t>gender</w:t>
      </w:r>
      <w:r w:rsidRPr="00F5723F">
        <w:t xml:space="preserve"> betyder på engelska. Andra menar att maktaspekten eller den politiska sprängkraften försvinner om begreppet genus ersätter mer vardagliga och politiskt mer förståeliga begrepp som kvinna eller kön. Vissa menar att g</w:t>
      </w:r>
      <w:r w:rsidRPr="00F5723F">
        <w:t>e</w:t>
      </w:r>
      <w:r w:rsidRPr="00F5723F">
        <w:t>nusbegreppet, til</w:t>
      </w:r>
      <w:r w:rsidRPr="00F5723F">
        <w:t>l</w:t>
      </w:r>
      <w:r w:rsidRPr="00F5723F">
        <w:t>sammans med uttrycket ”mainstreaming”, alltmer kommit att användas i den etablerade politiken och därmed delvis förlorat sin kri</w:t>
      </w:r>
      <w:r w:rsidRPr="00F5723F">
        <w:t>tiska potential. Fö</w:t>
      </w:r>
      <w:r w:rsidRPr="00F5723F">
        <w:t>r</w:t>
      </w:r>
      <w:r w:rsidRPr="00F5723F">
        <w:t>skjutningen från s.k. kvinnofrågor till s.k. genusfrågor kan leda till att maktperspekt</w:t>
      </w:r>
      <w:r w:rsidRPr="00F5723F">
        <w:t>i</w:t>
      </w:r>
      <w:r w:rsidRPr="00F5723F">
        <w:t>vet förblir i bakgrunden.</w:t>
      </w:r>
      <w:r w:rsidRPr="00F5723F">
        <w:rPr>
          <w:rStyle w:val="Fotnotsreferens"/>
          <w:rFonts w:ascii="Garamond" w:hAnsi="Garamond"/>
        </w:rPr>
        <w:footnoteReference w:id="173"/>
      </w:r>
    </w:p>
    <w:p w:rsidR="00B43C57" w:rsidRPr="00F5723F" w:rsidRDefault="00B43C57">
      <w:pPr>
        <w:pStyle w:val="Rubrik4"/>
        <w:rPr>
          <w:noProof w:val="0"/>
        </w:rPr>
      </w:pPr>
      <w:bookmarkStart w:id="334" w:name="_Toc124697903"/>
      <w:r w:rsidRPr="00F5723F">
        <w:rPr>
          <w:noProof w:val="0"/>
        </w:rPr>
        <w:t>Genussystem, genusordning, genuskontrakt</w:t>
      </w:r>
      <w:bookmarkEnd w:id="334"/>
    </w:p>
    <w:p w:rsidR="00B43C57" w:rsidRPr="00F5723F" w:rsidRDefault="00B43C57">
      <w:pPr>
        <w:rPr>
          <w:i/>
        </w:rPr>
      </w:pPr>
      <w:r w:rsidRPr="00F5723F">
        <w:t xml:space="preserve">Historikern Yvonne Hirdman talar om </w:t>
      </w:r>
      <w:r w:rsidRPr="00F5723F">
        <w:rPr>
          <w:i/>
        </w:rPr>
        <w:t>genussystem</w:t>
      </w:r>
      <w:r w:rsidRPr="00F5723F">
        <w:t xml:space="preserve"> som bygger på två grun</w:t>
      </w:r>
      <w:r w:rsidRPr="00F5723F">
        <w:t>d</w:t>
      </w:r>
      <w:r w:rsidRPr="00F5723F">
        <w:t>läggande principer eller logiker: isärhållandets princip och den manliga no</w:t>
      </w:r>
      <w:r w:rsidRPr="00F5723F">
        <w:t>r</w:t>
      </w:r>
      <w:r w:rsidRPr="00F5723F">
        <w:t>mens primat.</w:t>
      </w:r>
      <w:r w:rsidRPr="00F5723F">
        <w:rPr>
          <w:rStyle w:val="Fotnotsreferens"/>
          <w:rFonts w:ascii="Garamond" w:hAnsi="Garamond"/>
        </w:rPr>
        <w:footnoteReference w:id="174"/>
      </w:r>
      <w:r w:rsidRPr="00F5723F">
        <w:t xml:space="preserve"> Principen om isä</w:t>
      </w:r>
      <w:r w:rsidRPr="00F5723F">
        <w:t>r</w:t>
      </w:r>
      <w:r w:rsidRPr="00F5723F">
        <w:t>hållande går ut på att relationen mellan män och kvinnor dikotomiseras. Män och kvinnor betra</w:t>
      </w:r>
      <w:r w:rsidRPr="00F5723F">
        <w:t>k</w:t>
      </w:r>
      <w:r w:rsidRPr="00F5723F">
        <w:t>tas som två olika varelser, som hör hemma i olika sfärer och som skall b</w:t>
      </w:r>
      <w:r w:rsidRPr="00F5723F">
        <w:t>e</w:t>
      </w:r>
      <w:r w:rsidRPr="00F5723F">
        <w:t>blanda sig så lite som möjligt med varandra. Detta resulterar i en könssegr</w:t>
      </w:r>
      <w:r w:rsidRPr="00F5723F">
        <w:t>e</w:t>
      </w:r>
      <w:r w:rsidRPr="00F5723F">
        <w:t>gering som bland annat tar sig uttryck i en arbetsfördelning i riksdagen där kvinnor engagerar sig i familje-, barn-, skol- och vårdfrågor och män i ekonomi, försvars- och trafikfrågor.</w:t>
      </w:r>
      <w:r w:rsidRPr="00F5723F">
        <w:rPr>
          <w:rStyle w:val="Fotnotsreferens"/>
          <w:rFonts w:ascii="Garamond" w:hAnsi="Garamond"/>
        </w:rPr>
        <w:footnoteReference w:id="175"/>
      </w:r>
      <w:r w:rsidRPr="00F5723F">
        <w:t xml:space="preserve"> I symbios med den första principen finns den andra, principen om den manliga normen. Den innebär att det som uppfattas som manliga egenskaper och sysslor värderas högre än de ege</w:t>
      </w:r>
      <w:r w:rsidRPr="00F5723F">
        <w:t>n</w:t>
      </w:r>
      <w:r w:rsidRPr="00F5723F">
        <w:t>skaper och sysslor som faller inom den kvinnliga sfären, vilket leder till en hierarkis</w:t>
      </w:r>
      <w:r w:rsidRPr="00F5723F">
        <w:t>e</w:t>
      </w:r>
      <w:r w:rsidRPr="00F5723F">
        <w:t xml:space="preserve">ring. </w:t>
      </w:r>
    </w:p>
    <w:p w:rsidR="00B43C57" w:rsidRPr="00F5723F" w:rsidRDefault="00B43C57">
      <w:pPr>
        <w:pStyle w:val="Normaltindrag"/>
      </w:pPr>
      <w:r w:rsidRPr="00F5723F">
        <w:t xml:space="preserve">Hirdman talar även om </w:t>
      </w:r>
      <w:r w:rsidRPr="00F5723F">
        <w:rPr>
          <w:i/>
        </w:rPr>
        <w:t>genuskontrakt</w:t>
      </w:r>
      <w:r w:rsidRPr="00F5723F">
        <w:t xml:space="preserve"> för att visa på variationer över tid och rum och systemens föränderlighet. I sin analys av LO och genusordnin</w:t>
      </w:r>
      <w:r w:rsidRPr="00F5723F">
        <w:t>g</w:t>
      </w:r>
      <w:r w:rsidRPr="00F5723F">
        <w:t>en under efterkrigstiden, 1946–1986, delar Hirdman in det historiska skedet i tre delar: Det första kontraktet – hushållskontraktet – kännetecknar perioden 1946–1961, som präglades av en syn på kvinnor och män som skapade för olika arbeten, vilket motiverade särskilda kvinnolöner. Det var också en tid då hushållsarbetet skulle rationaliseras så att yrkesarbetande husmödrar skulle kunna</w:t>
      </w:r>
      <w:r w:rsidRPr="00F5723F">
        <w:t xml:space="preserve"> sköta båda arbetena lika effektivt. Det andra kontraktet – jämlikhet</w:t>
      </w:r>
      <w:r w:rsidRPr="00F5723F">
        <w:t>s</w:t>
      </w:r>
      <w:r w:rsidRPr="00F5723F">
        <w:t>kontraktet – var könsrollernas tid under perioden 1961–1976. Det var en tid då hemmafrurollen (eller ”vuxna mäns rätt till personlig hushållerska”, som Lena Abrahamsson skriver</w:t>
      </w:r>
      <w:r w:rsidRPr="00F5723F">
        <w:rPr>
          <w:rStyle w:val="Fotnotsreferens"/>
          <w:rFonts w:ascii="Garamond" w:hAnsi="Garamond"/>
        </w:rPr>
        <w:footnoteReference w:id="176"/>
      </w:r>
      <w:r w:rsidRPr="00F5723F">
        <w:t>) började ifrågasättas och då kvinnor efterfråg</w:t>
      </w:r>
      <w:r w:rsidRPr="00F5723F">
        <w:t>a</w:t>
      </w:r>
      <w:r w:rsidRPr="00F5723F">
        <w:t>des som arbetskraft i industrin. Under perioden dominerade en syn enligt vilken kvinnor och män kunde göra samma sorts arbete. Under det tredje kontraktet – jämställdhetskontraktet – som känn</w:t>
      </w:r>
      <w:r w:rsidRPr="00F5723F">
        <w:t>e</w:t>
      </w:r>
      <w:r w:rsidRPr="00F5723F">
        <w:t>tecknar perioden 1976–1986, byggdes barnomsorgen ut och den offentliga sektorn utvecklades till kvinnornas arbetsmarknad. Under denna period och in på 1990-talet a</w:t>
      </w:r>
      <w:r w:rsidRPr="00F5723F">
        <w:t>n</w:t>
      </w:r>
      <w:r w:rsidRPr="00F5723F">
        <w:t>sågs kvinnor och män återigen vara skapade för olika sorters arbete. Enligt Hir</w:t>
      </w:r>
      <w:r w:rsidRPr="00F5723F">
        <w:t>d</w:t>
      </w:r>
      <w:r w:rsidRPr="00F5723F">
        <w:t xml:space="preserve">man kan 1990-talets Sverige </w:t>
      </w:r>
      <w:r w:rsidRPr="00F5723F">
        <w:t xml:space="preserve">karakteriseras av en </w:t>
      </w:r>
      <w:r w:rsidRPr="00F5723F">
        <w:rPr>
          <w:i/>
        </w:rPr>
        <w:t>genusordning</w:t>
      </w:r>
      <w:r w:rsidRPr="00F5723F">
        <w:t xml:space="preserve"> där män dominerar och har tolkningsföreträde. Ordningen upprätthålls genom att genuskategor</w:t>
      </w:r>
      <w:r w:rsidRPr="00F5723F">
        <w:t>i</w:t>
      </w:r>
      <w:r w:rsidRPr="00F5723F">
        <w:t xml:space="preserve">erna hålls isär och görs olika. </w:t>
      </w:r>
    </w:p>
    <w:p w:rsidR="00B43C57" w:rsidRPr="00F5723F" w:rsidRDefault="00B43C57">
      <w:pPr>
        <w:pStyle w:val="Normaltindrag"/>
      </w:pPr>
      <w:r w:rsidRPr="00F5723F">
        <w:t>Tidskriften</w:t>
      </w:r>
      <w:r w:rsidRPr="00F5723F">
        <w:rPr>
          <w:i/>
        </w:rPr>
        <w:t xml:space="preserve"> Häften för kritiska studier </w:t>
      </w:r>
      <w:r w:rsidRPr="00F5723F">
        <w:t>ägnade år 2000 ett helt nummer åt Hirdmans genussystem. Hennes periodisering av genussystem i tre ko</w:t>
      </w:r>
      <w:r w:rsidRPr="00F5723F">
        <w:t>n</w:t>
      </w:r>
      <w:r w:rsidRPr="00F5723F">
        <w:t>trakt kritiserades för att vara alltför snäv och kategorisk och för att befinna sig på en alltför diskursiv nivå. Gro Hagemann och Klas Åmark har därför för</w:t>
      </w:r>
      <w:r w:rsidRPr="00F5723F">
        <w:t>e</w:t>
      </w:r>
      <w:r w:rsidRPr="00F5723F">
        <w:t>slagit ytterligare en logik: rangordningens logik.</w:t>
      </w:r>
      <w:r w:rsidRPr="00F5723F">
        <w:rPr>
          <w:rStyle w:val="Fotnotsreferens"/>
          <w:rFonts w:ascii="Garamond" w:hAnsi="Garamond"/>
        </w:rPr>
        <w:footnoteReference w:id="177"/>
      </w:r>
      <w:r w:rsidRPr="00F5723F">
        <w:t xml:space="preserve"> De anser att det inom vartdera könet finns en inbördes rangordning, till exempel mellan gift och ogift i äldre tider, och att denna rangordning är beroende av förhå</w:t>
      </w:r>
      <w:r w:rsidRPr="00F5723F">
        <w:t>l</w:t>
      </w:r>
      <w:r w:rsidRPr="00F5723F">
        <w:t xml:space="preserve">landet till det andra könet. Om man kan vinna rangordning inom sitt eget kön via det andra könet är man inte intresserad av att utmana rådande hierarkier mellan könen, menar de. </w:t>
      </w:r>
    </w:p>
    <w:p w:rsidR="00B43C57" w:rsidRPr="00F5723F" w:rsidRDefault="00B43C57">
      <w:pPr>
        <w:pStyle w:val="Rubrik4"/>
        <w:rPr>
          <w:noProof w:val="0"/>
        </w:rPr>
      </w:pPr>
      <w:bookmarkStart w:id="335" w:name="_Toc124697904"/>
      <w:r w:rsidRPr="00F5723F">
        <w:rPr>
          <w:noProof w:val="0"/>
        </w:rPr>
        <w:t>Feminism och genusperspektiv – samma sak?</w:t>
      </w:r>
      <w:bookmarkEnd w:id="335"/>
    </w:p>
    <w:p w:rsidR="00B43C57" w:rsidRPr="00F5723F" w:rsidRDefault="00B43C57">
      <w:r w:rsidRPr="00F5723F">
        <w:t>Genusforskning och forskning ur ett genusperspektiv handlar om att rikta blickfånget mot genusförhållandena, att beskriva och förklara dem. Femini</w:t>
      </w:r>
      <w:r w:rsidRPr="00F5723F">
        <w:t>s</w:t>
      </w:r>
      <w:r w:rsidRPr="00F5723F">
        <w:t>tisk forskning kan i detta sammanhang ses om en kritisk ansats som explicit riktar blickfånget mot den hierarkiska ordningen mellan könen, där män som grupp överordnas och kvinnor som grupp underordnas, och upprätthållandet av ojä</w:t>
      </w:r>
      <w:r w:rsidRPr="00F5723F">
        <w:t>m</w:t>
      </w:r>
      <w:r w:rsidRPr="00F5723F">
        <w:t>lika maktförhållanden. Feministisk forskning har således ett särskilt fokus på maktförhållandet mellan kvinnor och män i syfte att kritisera och förändra dessa förhållanden.</w:t>
      </w:r>
      <w:r w:rsidRPr="00F5723F">
        <w:rPr>
          <w:rStyle w:val="Fotnotsreferens"/>
          <w:rFonts w:ascii="Garamond" w:hAnsi="Garamond"/>
        </w:rPr>
        <w:footnoteReference w:id="178"/>
      </w:r>
      <w:r w:rsidRPr="00F5723F">
        <w:t xml:space="preserve"> </w:t>
      </w:r>
    </w:p>
    <w:p w:rsidR="00B43C57" w:rsidRPr="00F5723F" w:rsidRDefault="00B43C57">
      <w:pPr>
        <w:pStyle w:val="Normaltindrag"/>
      </w:pPr>
      <w:r w:rsidRPr="00F5723F">
        <w:t>Att forska om genus behöver därför inte explicit innebära att anta ett fem</w:t>
      </w:r>
      <w:r w:rsidRPr="00F5723F">
        <w:t>i</w:t>
      </w:r>
      <w:r w:rsidRPr="00F5723F">
        <w:t xml:space="preserve">nistiskt perspektiv. I praktiken är dock genusforskningen också feministisk, även om denna ansats kan vara mer eller mindre tydlig. </w:t>
      </w:r>
    </w:p>
    <w:p w:rsidR="00B43C57" w:rsidRPr="00F5723F" w:rsidRDefault="00B43C57">
      <w:pPr>
        <w:pStyle w:val="Rubrik4"/>
        <w:rPr>
          <w:noProof w:val="0"/>
        </w:rPr>
      </w:pPr>
      <w:bookmarkStart w:id="336" w:name="_Toc124697905"/>
      <w:r w:rsidRPr="00F5723F">
        <w:rPr>
          <w:noProof w:val="0"/>
        </w:rPr>
        <w:t>Feminism och jämställdhet – samma sak?</w:t>
      </w:r>
      <w:bookmarkEnd w:id="336"/>
    </w:p>
    <w:p w:rsidR="00B43C57" w:rsidRPr="00F5723F" w:rsidRDefault="00B43C57">
      <w:r w:rsidRPr="00F5723F">
        <w:t>Begreppet jämställdhet kan definieras som relationen mellan kvinnor och män i termer av lika tillgång till utbildning, arbete, politisk representation etc. Jä</w:t>
      </w:r>
      <w:r w:rsidRPr="00F5723F">
        <w:t>m</w:t>
      </w:r>
      <w:r w:rsidRPr="00F5723F">
        <w:t>ställdhetsforskning tar fasta på den numerära obalansen mellan kvinnor och män på olika positioner i samhället, en obalans man anser bör rättas till. Det anses till exempel vara en demokratisk rättighet för både kvinnor och män att få lika tillgång till utbildning, arbete, deltagande i politiskt beslutsfa</w:t>
      </w:r>
      <w:r w:rsidRPr="00F5723F">
        <w:t>t</w:t>
      </w:r>
      <w:r w:rsidRPr="00F5723F">
        <w:t>tande etc. Ett annat skäl är att samhället går miste om värdefull kompetens om endast hälften av den tillgängliga resursen används. Ett renodlat jämställ</w:t>
      </w:r>
      <w:r w:rsidRPr="00F5723F">
        <w:t>d</w:t>
      </w:r>
      <w:r w:rsidRPr="00F5723F">
        <w:t xml:space="preserve">hetsperspektiv tar därför fasta på att komma till </w:t>
      </w:r>
      <w:r w:rsidRPr="00F5723F">
        <w:t>rätta med den numerära ob</w:t>
      </w:r>
      <w:r w:rsidRPr="00F5723F">
        <w:t>a</w:t>
      </w:r>
      <w:r w:rsidRPr="00F5723F">
        <w:t>lansen mellan kvinnor och män genom att understryka att kvinnor och män skall ha lika villkor i samhället. Kvinnor och män skall ha samma tillgång till ”tä</w:t>
      </w:r>
      <w:r w:rsidRPr="00F5723F">
        <w:t>v</w:t>
      </w:r>
      <w:r w:rsidRPr="00F5723F">
        <w:t>lingsbanan”. Det innebär att balansen mellan enskilda kvinnor och män bör förändras, ofta till kvinnors förmån. Ett jämställdhetsperspektiv belyser dä</w:t>
      </w:r>
      <w:r w:rsidRPr="00F5723F">
        <w:t>r</w:t>
      </w:r>
      <w:r w:rsidRPr="00F5723F">
        <w:t>med inte med automatik maktrelationen mellan könen på en strukturell nivå.</w:t>
      </w:r>
    </w:p>
    <w:p w:rsidR="00B43C57" w:rsidRPr="00F5723F" w:rsidRDefault="00B43C57">
      <w:pPr>
        <w:pStyle w:val="Rubrik4"/>
        <w:rPr>
          <w:noProof w:val="0"/>
        </w:rPr>
      </w:pPr>
      <w:bookmarkStart w:id="337" w:name="_Toc124697906"/>
      <w:r w:rsidRPr="00F5723F">
        <w:rPr>
          <w:noProof w:val="0"/>
        </w:rPr>
        <w:t>Genus och intersektionalitet</w:t>
      </w:r>
      <w:bookmarkEnd w:id="337"/>
    </w:p>
    <w:p w:rsidR="00B43C57" w:rsidRPr="00F5723F" w:rsidRDefault="00B43C57">
      <w:r w:rsidRPr="00F5723F">
        <w:t>En av de viktigaste teoretiska och analytiska utmaningarna som aktualis</w:t>
      </w:r>
      <w:r w:rsidRPr="00F5723F">
        <w:t>e</w:t>
      </w:r>
      <w:r w:rsidRPr="00F5723F">
        <w:t>rats i feministisk forskning under senare år är hur skapandet av kön sker i intera</w:t>
      </w:r>
      <w:r w:rsidRPr="00F5723F">
        <w:t>k</w:t>
      </w:r>
      <w:r w:rsidRPr="00F5723F">
        <w:t>tion med andra sociala relationer</w:t>
      </w:r>
      <w:r w:rsidRPr="00F5723F">
        <w:t>,</w:t>
      </w:r>
      <w:r w:rsidRPr="00F5723F">
        <w:t xml:space="preserve"> som etnicitet, </w:t>
      </w:r>
      <w:r w:rsidRPr="00F5723F">
        <w:t xml:space="preserve">nationalitet, ras, </w:t>
      </w:r>
      <w:r w:rsidRPr="00F5723F">
        <w:t>sexualitet</w:t>
      </w:r>
      <w:r w:rsidRPr="00F5723F">
        <w:t>,</w:t>
      </w:r>
      <w:r w:rsidRPr="00F5723F">
        <w:t xml:space="preserve"> och klass.</w:t>
      </w:r>
      <w:r w:rsidRPr="00F5723F">
        <w:t xml:space="preserve"> Intersektionalitet fokuserar skärningspunkten mellan olika samhä</w:t>
      </w:r>
      <w:r w:rsidRPr="00F5723F">
        <w:t>l</w:t>
      </w:r>
      <w:r w:rsidRPr="00F5723F">
        <w:t>leliga maktordningar och är därmed ett brett vetenskapligt begrepp. Teoretiskt hör det hemma i traditioner som feministisk teori, postkolonial teori, queer t</w:t>
      </w:r>
      <w:r w:rsidRPr="00F5723F">
        <w:t>e</w:t>
      </w:r>
      <w:r w:rsidRPr="00F5723F">
        <w:t>ori och black feminism.</w:t>
      </w:r>
    </w:p>
    <w:p w:rsidR="00B43C57" w:rsidRPr="00F5723F" w:rsidRDefault="00B43C57">
      <w:pPr>
        <w:pStyle w:val="Normaltindrag"/>
      </w:pPr>
      <w:r w:rsidRPr="00F5723F">
        <w:t>Begreppet riktar blickfånget mot hur olika maktordningar samverkar. I li</w:t>
      </w:r>
      <w:r w:rsidRPr="00F5723F">
        <w:t>k</w:t>
      </w:r>
      <w:r w:rsidRPr="00F5723F">
        <w:t>het med flera andra begrepp som börjar på ”inter”, som interaktion och inte</w:t>
      </w:r>
      <w:r w:rsidRPr="00F5723F">
        <w:t>r</w:t>
      </w:r>
      <w:r w:rsidRPr="00F5723F">
        <w:t>textualitet, handlar det om något annat och mer än att bara lägga den ena komponenten till den andra. Poängen är att maktordningar inte kan isol</w:t>
      </w:r>
      <w:r w:rsidRPr="00F5723F">
        <w:t>e</w:t>
      </w:r>
      <w:r w:rsidRPr="00F5723F">
        <w:t>ras från varandra utan att något väsentligt går förlorat. Olika maktordningar ko</w:t>
      </w:r>
      <w:r w:rsidRPr="00F5723F">
        <w:t>n</w:t>
      </w:r>
      <w:r w:rsidRPr="00F5723F">
        <w:t>struerar varandra ömsesidigt. De kan försvaga eller förstärka varandra, komplettera eller konkurrera med varandra. Det handlar om ett ko</w:t>
      </w:r>
      <w:r w:rsidRPr="00F5723F">
        <w:t>m</w:t>
      </w:r>
      <w:r w:rsidRPr="00F5723F">
        <w:t>plext och dynamiskt samspel.</w:t>
      </w:r>
      <w:r w:rsidRPr="00F5723F">
        <w:rPr>
          <w:rStyle w:val="Fotnotsreferens"/>
          <w:rFonts w:ascii="Garamond" w:hAnsi="Garamond"/>
        </w:rPr>
        <w:footnoteReference w:id="179"/>
      </w:r>
    </w:p>
    <w:p w:rsidR="00B43C57" w:rsidRPr="00F5723F" w:rsidRDefault="00B43C57">
      <w:pPr>
        <w:pStyle w:val="Rubrik4"/>
        <w:spacing w:before="0"/>
        <w:rPr>
          <w:noProof w:val="0"/>
        </w:rPr>
      </w:pPr>
    </w:p>
    <w:p w:rsidR="00B43C57" w:rsidRPr="00F5723F" w:rsidRDefault="00B43C57">
      <w:pPr>
        <w:pStyle w:val="Rubrik4"/>
        <w:spacing w:before="0"/>
        <w:rPr>
          <w:noProof w:val="0"/>
        </w:rPr>
      </w:pPr>
      <w:bookmarkStart w:id="338" w:name="_Toc124697907"/>
      <w:r w:rsidRPr="00F5723F">
        <w:rPr>
          <w:noProof w:val="0"/>
        </w:rPr>
        <w:t>Centrala termer</w:t>
      </w:r>
      <w:bookmarkEnd w:id="338"/>
    </w:p>
    <w:p w:rsidR="00B43C57" w:rsidRPr="00F5723F" w:rsidRDefault="00B43C57">
      <w:r w:rsidRPr="00F5723F">
        <w:t>Nedan kommer kort de mest centrala begreppen att sammanfattas.</w:t>
      </w:r>
      <w:r w:rsidRPr="00F5723F">
        <w:rPr>
          <w:rStyle w:val="Fotnotsreferens"/>
          <w:rFonts w:ascii="Garamond" w:hAnsi="Garamond"/>
        </w:rPr>
        <w:footnoteReference w:id="180"/>
      </w:r>
    </w:p>
    <w:p w:rsidR="00B43C57" w:rsidRPr="00F5723F" w:rsidRDefault="00B43C57">
      <w:pPr>
        <w:pStyle w:val="Normaltindrag"/>
      </w:pPr>
      <w:r w:rsidRPr="00F5723F">
        <w:rPr>
          <w:i/>
        </w:rPr>
        <w:t>Genusforskning</w:t>
      </w:r>
      <w:r w:rsidRPr="00F5723F">
        <w:t xml:space="preserve"> är den övergripande termen på fältet. Den mo</w:t>
      </w:r>
      <w:r w:rsidRPr="00F5723F">
        <w:t>t</w:t>
      </w:r>
      <w:r w:rsidRPr="00F5723F">
        <w:t>svarar det som tidigare gick under namnet kvinnoforskning men anger att området också handlar om män. Inom detta kunskapsområde finns flera specifika inriktnin</w:t>
      </w:r>
      <w:r w:rsidRPr="00F5723F">
        <w:t>g</w:t>
      </w:r>
      <w:r w:rsidRPr="00F5723F">
        <w:t xml:space="preserve">ar: </w:t>
      </w:r>
      <w:r w:rsidRPr="00F5723F">
        <w:rPr>
          <w:i/>
        </w:rPr>
        <w:t xml:space="preserve">kvinnoforskning </w:t>
      </w:r>
      <w:r w:rsidRPr="00F5723F">
        <w:t xml:space="preserve">(med särskilt fokus på kvinnor och kvinnlighet), </w:t>
      </w:r>
      <w:r w:rsidRPr="00F5723F">
        <w:rPr>
          <w:i/>
        </w:rPr>
        <w:t>man</w:t>
      </w:r>
      <w:r w:rsidRPr="00F5723F">
        <w:rPr>
          <w:i/>
        </w:rPr>
        <w:t>s</w:t>
      </w:r>
      <w:r w:rsidRPr="00F5723F">
        <w:rPr>
          <w:i/>
        </w:rPr>
        <w:t>forskning</w:t>
      </w:r>
      <w:r w:rsidRPr="00F5723F">
        <w:t xml:space="preserve"> (särskilt fokus på män och manlighet), </w:t>
      </w:r>
      <w:r w:rsidRPr="00F5723F">
        <w:rPr>
          <w:i/>
        </w:rPr>
        <w:t>queerforskning</w:t>
      </w:r>
      <w:r w:rsidRPr="00F5723F">
        <w:t xml:space="preserve"> (särskilt fokus på sexuell orientering),</w:t>
      </w:r>
      <w:r w:rsidRPr="00F5723F">
        <w:rPr>
          <w:i/>
        </w:rPr>
        <w:t xml:space="preserve"> jämställdhetsforskning </w:t>
      </w:r>
      <w:r w:rsidRPr="00F5723F">
        <w:t>(särskilt fokus på det som uppfa</w:t>
      </w:r>
      <w:r w:rsidRPr="00F5723F">
        <w:t>t</w:t>
      </w:r>
      <w:r w:rsidRPr="00F5723F">
        <w:t>tas som orättvisor och/eller på de åtgärder som vidtas för att rätta til</w:t>
      </w:r>
      <w:r w:rsidRPr="00F5723F">
        <w:t xml:space="preserve">l det som definieras som orättvisor), samt </w:t>
      </w:r>
      <w:r w:rsidRPr="00F5723F">
        <w:rPr>
          <w:i/>
        </w:rPr>
        <w:t>intersektionalitetsforskning</w:t>
      </w:r>
      <w:r w:rsidRPr="00F5723F">
        <w:rPr>
          <w:i/>
        </w:rPr>
        <w:t xml:space="preserve"> </w:t>
      </w:r>
      <w:r w:rsidRPr="00F5723F">
        <w:t>(sä</w:t>
      </w:r>
      <w:r w:rsidRPr="00F5723F">
        <w:t>r</w:t>
      </w:r>
      <w:r w:rsidRPr="00F5723F">
        <w:t>skilt fokus på hur genus skapas i interaktion med etnicitet, nationalitet, ras, sexualitet och klass).</w:t>
      </w:r>
    </w:p>
    <w:p w:rsidR="00B43C57" w:rsidRPr="00F5723F" w:rsidRDefault="00B43C57">
      <w:pPr>
        <w:pStyle w:val="Normaltindrag"/>
      </w:pPr>
      <w:r w:rsidRPr="00F5723F">
        <w:t xml:space="preserve">Alla dessa typer av forskning kan ha ett </w:t>
      </w:r>
      <w:r w:rsidRPr="00F5723F">
        <w:rPr>
          <w:i/>
        </w:rPr>
        <w:t>feministiskt perspektiv</w:t>
      </w:r>
      <w:r w:rsidRPr="00F5723F">
        <w:t xml:space="preserve"> men beh</w:t>
      </w:r>
      <w:r w:rsidRPr="00F5723F">
        <w:t>ö</w:t>
      </w:r>
      <w:r w:rsidRPr="00F5723F">
        <w:t>ver inte ha det. Feminism kan definieras utifrån två grundläggande principer: för det första att det finns en genusordning där män öve</w:t>
      </w:r>
      <w:r w:rsidRPr="00F5723F">
        <w:t>r</w:t>
      </w:r>
      <w:r w:rsidRPr="00F5723F">
        <w:t>ordnas kvinnor men att denna ordning inte är oföränderlig och för det andra att man vill ändra denna ordning. I ett feministiskt perspektiv förn</w:t>
      </w:r>
      <w:r w:rsidRPr="00F5723F">
        <w:t>e</w:t>
      </w:r>
      <w:r w:rsidRPr="00F5723F">
        <w:t>kas inte att kvinnor som enskilda individer kan ha makt och inflytande i vissa situationer. Feminismen utgår däremot från att kvinnor generellt har mindre makt och inflytande än män och att det därmed</w:t>
      </w:r>
      <w:r w:rsidRPr="00F5723F">
        <w:t xml:space="preserve"> finns en struktur av ojämlikhet mellan kvinnor och män inom alla samhällsområden.</w:t>
      </w:r>
    </w:p>
    <w:p w:rsidR="00B43C57" w:rsidRPr="00F5723F" w:rsidRDefault="00B43C57">
      <w:pPr>
        <w:pStyle w:val="Normaltindrag"/>
      </w:pPr>
      <w:r w:rsidRPr="00F5723F">
        <w:rPr>
          <w:i/>
        </w:rPr>
        <w:t>Kön</w:t>
      </w:r>
      <w:r w:rsidRPr="00F5723F">
        <w:t xml:space="preserve"> är för många synonymt med genus, men för andra betyder det det bi</w:t>
      </w:r>
      <w:r w:rsidRPr="00F5723F">
        <w:t>o</w:t>
      </w:r>
      <w:r w:rsidRPr="00F5723F">
        <w:t xml:space="preserve">logiskt givna till skillnad från det socialt konstruerade. Andra ser det som en praktisk term snarare än ett vetenskapligt begrepp. </w:t>
      </w:r>
      <w:r w:rsidRPr="00F5723F">
        <w:rPr>
          <w:i/>
        </w:rPr>
        <w:t>Könsroll, socialt kön, sociokult</w:t>
      </w:r>
      <w:r w:rsidRPr="00F5723F">
        <w:rPr>
          <w:i/>
        </w:rPr>
        <w:t>u</w:t>
      </w:r>
      <w:r w:rsidRPr="00F5723F">
        <w:rPr>
          <w:i/>
        </w:rPr>
        <w:t>rellt kön</w:t>
      </w:r>
      <w:r w:rsidRPr="00F5723F">
        <w:t xml:space="preserve"> är äldre och snävare termer som i dag ersatts med genus.</w:t>
      </w:r>
    </w:p>
    <w:p w:rsidR="00B43C57" w:rsidRPr="00F5723F" w:rsidRDefault="00B43C57">
      <w:pPr>
        <w:pStyle w:val="Normaltindrag"/>
      </w:pPr>
      <w:r w:rsidRPr="00F5723F">
        <w:t xml:space="preserve">Begreppet </w:t>
      </w:r>
      <w:r w:rsidRPr="00F5723F">
        <w:rPr>
          <w:i/>
        </w:rPr>
        <w:t>genussystem</w:t>
      </w:r>
      <w:r w:rsidRPr="00F5723F">
        <w:t xml:space="preserve"> används bland annat för att beteckna hela genu</w:t>
      </w:r>
      <w:r w:rsidRPr="00F5723F">
        <w:t>s</w:t>
      </w:r>
      <w:r w:rsidRPr="00F5723F">
        <w:t>aspekten i ett visst samhälle under en viss period. Många föredrar betecknin</w:t>
      </w:r>
      <w:r w:rsidRPr="00F5723F">
        <w:t>g</w:t>
      </w:r>
      <w:r w:rsidRPr="00F5723F">
        <w:t>en</w:t>
      </w:r>
      <w:r w:rsidRPr="00F5723F">
        <w:rPr>
          <w:i/>
        </w:rPr>
        <w:t xml:space="preserve"> genu</w:t>
      </w:r>
      <w:r w:rsidRPr="00F5723F">
        <w:rPr>
          <w:i/>
        </w:rPr>
        <w:t>s</w:t>
      </w:r>
      <w:r w:rsidRPr="00F5723F">
        <w:rPr>
          <w:i/>
        </w:rPr>
        <w:t>ordning</w:t>
      </w:r>
      <w:r w:rsidRPr="00F5723F">
        <w:t xml:space="preserve"> för att visa på att ordningen är öppen och därmed möjlig att förändra, till skillnad från den mer slutna beteckningen ”s</w:t>
      </w:r>
      <w:r w:rsidRPr="00F5723F">
        <w:t>y</w:t>
      </w:r>
      <w:r w:rsidRPr="00F5723F">
        <w:t xml:space="preserve">stem.” Normalt talar man om system när det är tal om interagerande delar. De som använder ordet ”kön” (som synonym till genus) talar om </w:t>
      </w:r>
      <w:r w:rsidRPr="00F5723F">
        <w:rPr>
          <w:i/>
        </w:rPr>
        <w:t>könsmaktsordning</w:t>
      </w:r>
      <w:r w:rsidRPr="00F5723F">
        <w:t>, alternativt</w:t>
      </w:r>
      <w:r w:rsidRPr="00F5723F">
        <w:rPr>
          <w:i/>
        </w:rPr>
        <w:t xml:space="preserve"> kön</w:t>
      </w:r>
      <w:r w:rsidRPr="00F5723F">
        <w:rPr>
          <w:i/>
        </w:rPr>
        <w:t>s</w:t>
      </w:r>
      <w:r w:rsidRPr="00F5723F">
        <w:rPr>
          <w:i/>
        </w:rPr>
        <w:t>ordning</w:t>
      </w:r>
      <w:r w:rsidRPr="00F5723F">
        <w:t xml:space="preserve">. </w:t>
      </w:r>
      <w:r w:rsidRPr="00F5723F">
        <w:rPr>
          <w:i/>
        </w:rPr>
        <w:t>Patriarkat</w:t>
      </w:r>
      <w:r w:rsidRPr="00F5723F">
        <w:t xml:space="preserve"> som begrepp används generellt för att visa på en </w:t>
      </w:r>
      <w:r w:rsidRPr="00F5723F">
        <w:t>genusordning där män i allmänhet har mer makt och inflytande än kvinnor i allmänhet. Begreppet patriarkat kan med denna definition generellt antas motsvara begreppet könsmakt</w:t>
      </w:r>
      <w:r w:rsidRPr="00F5723F">
        <w:t>s</w:t>
      </w:r>
      <w:r w:rsidRPr="00F5723F">
        <w:t>ordning.</w:t>
      </w:r>
      <w:r w:rsidRPr="00F5723F">
        <w:rPr>
          <w:rStyle w:val="Fotnotsreferens"/>
          <w:rFonts w:ascii="Garamond" w:hAnsi="Garamond"/>
        </w:rPr>
        <w:footnoteReference w:id="181"/>
      </w:r>
      <w:r w:rsidRPr="00F5723F">
        <w:t xml:space="preserve"> </w:t>
      </w:r>
    </w:p>
    <w:p w:rsidR="00B43C57" w:rsidRPr="00F5723F" w:rsidRDefault="00B43C57">
      <w:pPr>
        <w:pStyle w:val="Normaltindrag"/>
      </w:pPr>
      <w:r w:rsidRPr="00F5723F">
        <w:t>Sammanfattningsvis kan det konstateras att genus är ett mångfasetterat b</w:t>
      </w:r>
      <w:r w:rsidRPr="00F5723F">
        <w:t>e</w:t>
      </w:r>
      <w:r w:rsidRPr="00F5723F">
        <w:t>grepp och att det bland forskare råder olika åsikter kring termen genus och andra relaterade begrepp. En minsta gemensam nä</w:t>
      </w:r>
      <w:r w:rsidRPr="00F5723F">
        <w:t>m</w:t>
      </w:r>
      <w:r w:rsidRPr="00F5723F">
        <w:t>nare är emellertid att genus är socialt och kulturellt skapat och att det är genu</w:t>
      </w:r>
      <w:r w:rsidRPr="00F5723F">
        <w:t>s</w:t>
      </w:r>
      <w:r w:rsidRPr="00F5723F">
        <w:t>forskningens uppgift att undersöka hur det ser ut och vad det innebär. Att forska ur ett genuspe</w:t>
      </w:r>
      <w:r w:rsidRPr="00F5723F">
        <w:t>r</w:t>
      </w:r>
      <w:r w:rsidRPr="00F5723F">
        <w:t xml:space="preserve">spektiv innebär huvudsakligen att </w:t>
      </w:r>
      <w:r w:rsidRPr="00F5723F">
        <w:rPr>
          <w:i/>
        </w:rPr>
        <w:t>problematisera</w:t>
      </w:r>
      <w:r w:rsidRPr="00F5723F">
        <w:t xml:space="preserve"> g</w:t>
      </w:r>
      <w:r w:rsidRPr="00F5723F">
        <w:t>e</w:t>
      </w:r>
      <w:r w:rsidRPr="00F5723F">
        <w:t>nus.</w:t>
      </w:r>
    </w:p>
    <w:p w:rsidR="00B43C57" w:rsidRPr="00F5723F" w:rsidRDefault="00B43C57">
      <w:pPr>
        <w:pStyle w:val="Rubrik2"/>
        <w:spacing w:before="0"/>
      </w:pPr>
      <w:bookmarkStart w:id="339" w:name="_Toc121739000"/>
      <w:r w:rsidRPr="00F5723F">
        <w:br w:type="page"/>
      </w:r>
      <w:bookmarkStart w:id="340" w:name="_Toc124697908"/>
      <w:r w:rsidRPr="00F5723F">
        <w:t>Bakgrund – kvinnor och män i Sveriges riksdag</w:t>
      </w:r>
      <w:bookmarkEnd w:id="339"/>
      <w:bookmarkEnd w:id="340"/>
    </w:p>
    <w:p w:rsidR="00B43C57" w:rsidRPr="00F5723F" w:rsidRDefault="00B43C57">
      <w:pPr>
        <w:pStyle w:val="Rubrik3"/>
        <w:rPr>
          <w:noProof w:val="0"/>
        </w:rPr>
      </w:pPr>
      <w:bookmarkStart w:id="341" w:name="_Toc121739001"/>
      <w:bookmarkStart w:id="342" w:name="_Toc124697909"/>
      <w:r w:rsidRPr="00F5723F">
        <w:rPr>
          <w:noProof w:val="0"/>
        </w:rPr>
        <w:t>Kvinnor och män i Sveriges riksdag</w:t>
      </w:r>
      <w:bookmarkEnd w:id="341"/>
      <w:bookmarkEnd w:id="342"/>
    </w:p>
    <w:p w:rsidR="00B43C57" w:rsidRPr="00F5723F" w:rsidRDefault="00B43C57">
      <w:r w:rsidRPr="00F5723F">
        <w:t>Den svenska riksdagen har jämfört med andra parlament i världen en mycket hög andel kvinnliga ledamöter. Riksdagens 45 procent kvinnor vid valet 2002 skall jämföras med ett internationellt genomsnitt på cirka 15 procent.</w:t>
      </w:r>
      <w:r w:rsidRPr="00F5723F">
        <w:rPr>
          <w:rStyle w:val="Fotnotsreferens"/>
          <w:rFonts w:ascii="Garamond" w:hAnsi="Garamond"/>
        </w:rPr>
        <w:footnoteReference w:id="182"/>
      </w:r>
      <w:r w:rsidRPr="00F5723F">
        <w:t xml:space="preserve"> E</w:t>
      </w:r>
      <w:r w:rsidRPr="00F5723F">
        <w:t>n</w:t>
      </w:r>
      <w:r w:rsidRPr="00F5723F">
        <w:t>dast Rwanda, som vid valet 2003 valde in 49 procent kvinnor i parlamentet, har en högre kvinnorepresentation än den svenska.</w:t>
      </w:r>
      <w:r w:rsidRPr="00F5723F">
        <w:rPr>
          <w:rStyle w:val="Fotnotsreferens"/>
          <w:rFonts w:ascii="Garamond" w:hAnsi="Garamond"/>
        </w:rPr>
        <w:footnoteReference w:id="183"/>
      </w:r>
      <w:r w:rsidRPr="00F5723F">
        <w:t xml:space="preserve"> Generellt skiljer sig Sverige och de övriga nordiska länderna stort från övriga världen när det gäller kvinnors politi</w:t>
      </w:r>
      <w:r w:rsidRPr="00F5723F">
        <w:t>s</w:t>
      </w:r>
      <w:r w:rsidRPr="00F5723F">
        <w:t>ka representation och har därmed setts som föredömen i denna fråga.</w:t>
      </w:r>
      <w:r w:rsidRPr="00F5723F">
        <w:rPr>
          <w:rStyle w:val="Fotnotsreferens"/>
          <w:rFonts w:ascii="Garamond" w:hAnsi="Garamond"/>
        </w:rPr>
        <w:footnoteReference w:id="184"/>
      </w:r>
      <w:r w:rsidRPr="00F5723F">
        <w:t xml:space="preserve"> Till exempel utropades Sverige år 1995 av FN till världens mest jämställda land, bland annat med avseende på den höga kvinnoreprese</w:t>
      </w:r>
      <w:r w:rsidRPr="00F5723F">
        <w:t>n</w:t>
      </w:r>
      <w:r w:rsidRPr="00F5723F">
        <w:t xml:space="preserve">tationen i riksdagen. Enligt FN:s </w:t>
      </w:r>
      <w:r w:rsidRPr="00F5723F">
        <w:rPr>
          <w:i/>
        </w:rPr>
        <w:t>Gender Empowerment Measure</w:t>
      </w:r>
      <w:r w:rsidRPr="00F5723F">
        <w:t>, som är en sammanvägning av andelen kvinnor i parlamentet, andelen kvinnliga adm</w:t>
      </w:r>
      <w:r w:rsidRPr="00F5723F">
        <w:t>i</w:t>
      </w:r>
      <w:r w:rsidRPr="00F5723F">
        <w:t>nistratörer och chefer samt andelen kvinnliga yrkesutbildade i olika länder, hamnar Sverige på tredje plats efter Norge och Island.</w:t>
      </w:r>
      <w:r w:rsidRPr="00F5723F">
        <w:rPr>
          <w:rStyle w:val="Fotnotsreferens"/>
          <w:rFonts w:ascii="Garamond" w:hAnsi="Garamond"/>
        </w:rPr>
        <w:footnoteReference w:id="185"/>
      </w:r>
      <w:r w:rsidRPr="00F5723F">
        <w:t xml:space="preserve"> Interparlamentariska unionen (IPU) har i sin statistik över kvinnorepresentationen i världens alla nationella parlament uppgifter om det internationella genomsnittet både i</w:t>
      </w:r>
      <w:r w:rsidRPr="00F5723F">
        <w:t>n</w:t>
      </w:r>
      <w:r w:rsidRPr="00F5723F">
        <w:t>klusive och exklusive de nordiska länderna, för att visa på regionala skilln</w:t>
      </w:r>
      <w:r w:rsidRPr="00F5723F">
        <w:t>a</w:t>
      </w:r>
      <w:r w:rsidRPr="00F5723F">
        <w:t>der.</w:t>
      </w:r>
    </w:p>
    <w:p w:rsidR="00B43C57" w:rsidRPr="00F5723F" w:rsidRDefault="00B43C57">
      <w:pPr>
        <w:pStyle w:val="Rubrik3"/>
        <w:rPr>
          <w:noProof w:val="0"/>
        </w:rPr>
      </w:pPr>
      <w:bookmarkStart w:id="343" w:name="_Toc121739002"/>
      <w:bookmarkStart w:id="344" w:name="_Toc124697910"/>
      <w:r w:rsidRPr="00F5723F">
        <w:rPr>
          <w:noProof w:val="0"/>
        </w:rPr>
        <w:t>Kvinnorepresentationens utveckling 1921–2002</w:t>
      </w:r>
      <w:bookmarkEnd w:id="343"/>
      <w:bookmarkEnd w:id="344"/>
    </w:p>
    <w:p w:rsidR="00B43C57" w:rsidRPr="00F5723F" w:rsidRDefault="00B43C57">
      <w:r w:rsidRPr="00F5723F">
        <w:t>Efter valet 1921 blev fem kvinnor invalda i riksdagen. Kerstin Hesselgren blev invald av liberaler och socialdemokrater till första kammaren och a</w:t>
      </w:r>
      <w:r w:rsidRPr="00F5723F">
        <w:t>n</w:t>
      </w:r>
      <w:r w:rsidRPr="00F5723F">
        <w:t>slöt sig där till Liberala samlingspartiet (lib.s). Bertha Wellin (Lantmanna och borgarepart</w:t>
      </w:r>
      <w:r w:rsidRPr="00F5723F">
        <w:t>i</w:t>
      </w:r>
      <w:r w:rsidRPr="00F5723F">
        <w:t>et), Agda Östlund (s), Nelly Thüring (s) och Elisabeth Tamm (lib.s) valdes in i den andra kammaren. Kvinnorepresentationen efter det första demokratiska valet i Sverige var 2 procent.</w:t>
      </w:r>
    </w:p>
    <w:p w:rsidR="00B43C57" w:rsidRPr="00F5723F" w:rsidRDefault="00B43C57">
      <w:pPr>
        <w:pStyle w:val="Normaltindrag"/>
      </w:pPr>
      <w:r w:rsidRPr="00F5723F">
        <w:t>Kvinnorepresentationen i riksdagen ökade långsamt de följande åren. U</w:t>
      </w:r>
      <w:r w:rsidRPr="00F5723F">
        <w:t>n</w:t>
      </w:r>
      <w:r w:rsidRPr="00F5723F">
        <w:t>der 1920- och 1930-talen översteg andelen kvinnliga ledamöter aldrig 4 pr</w:t>
      </w:r>
      <w:r w:rsidRPr="00F5723F">
        <w:t>o</w:t>
      </w:r>
      <w:r w:rsidRPr="00F5723F">
        <w:t>cent. De flesta av dessa kvinnor var socialdemokrater. Den dom</w:t>
      </w:r>
      <w:r w:rsidRPr="00F5723F">
        <w:t>i</w:t>
      </w:r>
      <w:r w:rsidRPr="00F5723F">
        <w:t>nerande synen vid denna tid var att kvinnor, trots sin valbarhet, bara var intressanta som välj</w:t>
      </w:r>
      <w:r w:rsidRPr="00F5723F">
        <w:t>a</w:t>
      </w:r>
      <w:r w:rsidRPr="00F5723F">
        <w:t>re.</w:t>
      </w:r>
      <w:r w:rsidRPr="00F5723F">
        <w:rPr>
          <w:rStyle w:val="Fotnotsreferens"/>
          <w:rFonts w:ascii="Garamond" w:hAnsi="Garamond"/>
        </w:rPr>
        <w:footnoteReference w:id="186"/>
      </w:r>
      <w:r w:rsidRPr="00F5723F">
        <w:t xml:space="preserve"> Kvinnorepresentationen steg särskilt långsamt i den första kammaren, med dess åtta år långa mandatperiod, indirekta valförfara</w:t>
      </w:r>
      <w:r w:rsidRPr="00F5723F">
        <w:t>n</w:t>
      </w:r>
      <w:r w:rsidRPr="00F5723F">
        <w:t>de och lägre antal riksdagsplatser. Det dröjde till 1943 innan ytterligare en kvinna valdes in i första kammaren. Kvinnorepresentationen ökade snabbare i den andra ka</w:t>
      </w:r>
      <w:r w:rsidRPr="00F5723F">
        <w:t>m</w:t>
      </w:r>
      <w:r w:rsidRPr="00F5723F">
        <w:t>maren, med dess fyra år långa mandatperiod, direkta valsätt och fler antal riksdagsplatser att fördela. Vid valet 1936 ökade antalet kvin</w:t>
      </w:r>
      <w:r w:rsidRPr="00F5723F">
        <w:t>n</w:t>
      </w:r>
      <w:r w:rsidRPr="00F5723F">
        <w:t>liga ledamöter från fem till tio, en effekt som sannolikt kan tillskrivas Fredr</w:t>
      </w:r>
      <w:r w:rsidRPr="00F5723F">
        <w:t>i</w:t>
      </w:r>
      <w:r w:rsidRPr="00F5723F">
        <w:t>ka-Bremer-Förbundets kampanjer för en ökad kvinnorepresentation. Både Fol</w:t>
      </w:r>
      <w:r w:rsidRPr="00F5723F">
        <w:t>k</w:t>
      </w:r>
      <w:r w:rsidRPr="00F5723F">
        <w:t>partiets och Vänsterpartiets riksdag</w:t>
      </w:r>
      <w:r w:rsidRPr="00F5723F">
        <w:t>s</w:t>
      </w:r>
      <w:r w:rsidRPr="00F5723F">
        <w:t>grupper representerades därmed för första gången också av kvinnor. Vid valet 1941 ökade kvinnorepresentationen ytte</w:t>
      </w:r>
      <w:r w:rsidRPr="00F5723F">
        <w:t>r</w:t>
      </w:r>
      <w:r w:rsidRPr="00F5723F">
        <w:t xml:space="preserve">ligare, från 4 till 7 procent. Då var det socialdemokratiska kvinnor som stod för ökningen. </w:t>
      </w:r>
    </w:p>
    <w:p w:rsidR="00B43C57" w:rsidRPr="00F5723F" w:rsidRDefault="00B43C57">
      <w:pPr>
        <w:pStyle w:val="Normaltindrag"/>
      </w:pPr>
      <w:r w:rsidRPr="00F5723F">
        <w:t>Under 1950- och 1960-talen kunde en viss stagnation skönjas. År 1950 u</w:t>
      </w:r>
      <w:r w:rsidRPr="00F5723F">
        <w:t>t</w:t>
      </w:r>
      <w:r w:rsidRPr="00F5723F">
        <w:t>gjorde kvinnor 5 procent av ledamöterna i den första kammaren och 10 pr</w:t>
      </w:r>
      <w:r w:rsidRPr="00F5723F">
        <w:t>o</w:t>
      </w:r>
      <w:r w:rsidRPr="00F5723F">
        <w:t>cent av den andra kammarens ledamöter. Andelen kvinnor i Folkpartiets riksdagsgrupp steg emellertid kraftigt vid valet 1948, men det kunde främst förklaras av valframgång.</w:t>
      </w:r>
      <w:r w:rsidRPr="00F5723F">
        <w:rPr>
          <w:rStyle w:val="Fotnotsreferens"/>
          <w:rFonts w:ascii="Garamond" w:hAnsi="Garamond"/>
        </w:rPr>
        <w:footnoteReference w:id="187"/>
      </w:r>
      <w:r w:rsidRPr="00F5723F">
        <w:t xml:space="preserve"> Mellan valet 1952 och valet 1964 var kvinnor</w:t>
      </w:r>
      <w:r w:rsidRPr="00F5723F">
        <w:t>e</w:t>
      </w:r>
      <w:r w:rsidRPr="00F5723F">
        <w:t>presentationen mellan 12 och 14 procent. Fördelningen av kvinnliga ledam</w:t>
      </w:r>
      <w:r w:rsidRPr="00F5723F">
        <w:t>ö</w:t>
      </w:r>
      <w:r w:rsidRPr="00F5723F">
        <w:t>ter på de politiska partierna var förhållandevis stabil. Inom Socialdemokrate</w:t>
      </w:r>
      <w:r w:rsidRPr="00F5723F">
        <w:t>r</w:t>
      </w:r>
      <w:r w:rsidRPr="00F5723F">
        <w:t>na var ungefär en femtedel av ledamöterna kvinnor. Moderaterna och Fol</w:t>
      </w:r>
      <w:r w:rsidRPr="00F5723F">
        <w:t>k</w:t>
      </w:r>
      <w:r w:rsidRPr="00F5723F">
        <w:t>partiet var avsevärt mindre partier och hade ett fåtal kvinnliga l</w:t>
      </w:r>
      <w:r w:rsidRPr="00F5723F">
        <w:t>e</w:t>
      </w:r>
      <w:r w:rsidRPr="00F5723F">
        <w:t>damöter. Medan Vänsterpartiet hade en enstaka kvinnlig ledamot saknade Centerpartiet kvinnliga ledamöter. Centerpartiet fick sina första kvinnliga riksdagsledam</w:t>
      </w:r>
      <w:r w:rsidRPr="00F5723F">
        <w:t>ö</w:t>
      </w:r>
      <w:r w:rsidRPr="00F5723F">
        <w:t>ter vid valet 19</w:t>
      </w:r>
      <w:r w:rsidRPr="00F5723F">
        <w:t>68. År 1970 bestod den första kammaren av 10 procent kvi</w:t>
      </w:r>
      <w:r w:rsidRPr="00F5723F">
        <w:t>n</w:t>
      </w:r>
      <w:r w:rsidRPr="00F5723F">
        <w:t>nor, medan den andra bestod av 15 procent kvinnor. Efter det första valet till enkammarriksdagen bestod riksd</w:t>
      </w:r>
      <w:r w:rsidRPr="00F5723F">
        <w:t>a</w:t>
      </w:r>
      <w:r w:rsidRPr="00F5723F">
        <w:t>gen av 14 procent kvinnor.</w:t>
      </w:r>
    </w:p>
    <w:p w:rsidR="00B43C57" w:rsidRPr="00F5723F" w:rsidRDefault="00B43C57">
      <w:pPr>
        <w:pStyle w:val="Normaltindrag"/>
      </w:pPr>
      <w:r w:rsidRPr="00F5723F">
        <w:t>Valet 1973 kan ses som ett genombrott då andelen kvinnliga ledamöter ökade från 14 till 21 procent. Kvinnorepresentationen ökade kra</w:t>
      </w:r>
      <w:r w:rsidRPr="00F5723F">
        <w:t>f</w:t>
      </w:r>
      <w:r w:rsidRPr="00F5723F">
        <w:t>tigt i alla partier. Allra högst var den i Centerpartiet som ökade andelen kvinnliga rik</w:t>
      </w:r>
      <w:r w:rsidRPr="00F5723F">
        <w:t>s</w:t>
      </w:r>
      <w:r w:rsidRPr="00F5723F">
        <w:t xml:space="preserve">dagsledamöter till 24 procent. Därefter ökade representationen kontinuerligt under 1970- och 1980-talen till en toppnotering på 38 procent vid valet 1988. </w:t>
      </w:r>
    </w:p>
    <w:p w:rsidR="00B43C57" w:rsidRPr="00F5723F" w:rsidRDefault="00B43C57">
      <w:pPr>
        <w:pStyle w:val="Normaltindrag"/>
      </w:pPr>
      <w:r w:rsidRPr="00F5723F">
        <w:t>Vid valet 1991 sjönk kvinnorepresentationen för första gången sedan 1928. Tillbakagången kan framför allt förklaras av partisammansättningen i riksd</w:t>
      </w:r>
      <w:r w:rsidRPr="00F5723F">
        <w:t>a</w:t>
      </w:r>
      <w:r w:rsidRPr="00F5723F">
        <w:t>gen. Socialdemokraterna gick tillbaka vid valet, medan Moderaterna ökade. Moderaterna har kontinuerligt haft en lägre kvinnorepresentation än Socia</w:t>
      </w:r>
      <w:r w:rsidRPr="00F5723F">
        <w:t>l</w:t>
      </w:r>
      <w:r w:rsidRPr="00F5723F">
        <w:t>demokraterna. Miljöpartiet, med en hög kvinnorepresentation, åkte ur riksd</w:t>
      </w:r>
      <w:r w:rsidRPr="00F5723F">
        <w:t>a</w:t>
      </w:r>
      <w:r w:rsidRPr="00F5723F">
        <w:t xml:space="preserve">gen och ersattes att Ny demokrati, som dominerades av män. </w:t>
      </w:r>
    </w:p>
    <w:p w:rsidR="00B43C57" w:rsidRPr="00F5723F" w:rsidRDefault="00B43C57">
      <w:pPr>
        <w:pStyle w:val="Normaltindrag"/>
      </w:pPr>
      <w:r w:rsidRPr="00F5723F">
        <w:t xml:space="preserve">Inför valet 1994 hotade det feministiska nätverket </w:t>
      </w:r>
      <w:r w:rsidRPr="00F5723F">
        <w:rPr>
          <w:i/>
        </w:rPr>
        <w:t>Stödstrumpo</w:t>
      </w:r>
      <w:r w:rsidRPr="00F5723F">
        <w:rPr>
          <w:i/>
        </w:rPr>
        <w:t>r</w:t>
      </w:r>
      <w:r w:rsidRPr="00F5723F">
        <w:rPr>
          <w:i/>
        </w:rPr>
        <w:t xml:space="preserve">na </w:t>
      </w:r>
      <w:r w:rsidRPr="00F5723F">
        <w:t>att bilda ett kvinnoparti om inte partierna placerade fler kvinnor på valbara platser. De politiska kvinnoförbunden utnyttjade detta tillfälle till att driva igenom pri</w:t>
      </w:r>
      <w:r w:rsidRPr="00F5723F">
        <w:t>n</w:t>
      </w:r>
      <w:r w:rsidRPr="00F5723F">
        <w:t>ciper om en jämnare könsfördelning på partilistorna, och regelverket skärptes inom de flesta partier.</w:t>
      </w:r>
      <w:r w:rsidRPr="00F5723F">
        <w:rPr>
          <w:rStyle w:val="Fotnotsreferens"/>
          <w:rFonts w:ascii="Garamond" w:hAnsi="Garamond"/>
        </w:rPr>
        <w:footnoteReference w:id="188"/>
      </w:r>
      <w:r w:rsidRPr="00F5723F">
        <w:t xml:space="preserve"> Bland annat introducerade Socialdemokraterna pri</w:t>
      </w:r>
      <w:r w:rsidRPr="00F5723F">
        <w:t>n</w:t>
      </w:r>
      <w:r w:rsidRPr="00F5723F">
        <w:t xml:space="preserve">cipen om </w:t>
      </w:r>
      <w:r w:rsidRPr="00F5723F">
        <w:rPr>
          <w:i/>
        </w:rPr>
        <w:t>varannan d</w:t>
      </w:r>
      <w:r w:rsidRPr="00F5723F">
        <w:rPr>
          <w:i/>
        </w:rPr>
        <w:t>amernas</w:t>
      </w:r>
      <w:r w:rsidRPr="00F5723F">
        <w:t>. Vid valet 1994 ökade kvinnornas andel i rik</w:t>
      </w:r>
      <w:r w:rsidRPr="00F5723F">
        <w:t>s</w:t>
      </w:r>
      <w:r w:rsidRPr="00F5723F">
        <w:t>dagen till drygt 41 procent, och vid valet 1998 steg kvinnorepresentationen ytterligare två procentenheter. Vid valet 2002 kunde en ny toppnotering not</w:t>
      </w:r>
      <w:r w:rsidRPr="00F5723F">
        <w:t>e</w:t>
      </w:r>
      <w:r w:rsidRPr="00F5723F">
        <w:t>ras med 45 procent kvinnliga riksdagsledamöter. Samtliga partier har i dag minst 40 procent kvinnliga ledamöter med undantag av Kristdemokraterna.</w:t>
      </w:r>
    </w:p>
    <w:p w:rsidR="00B43C57" w:rsidRPr="00F5723F" w:rsidRDefault="00B43C57">
      <w:pPr>
        <w:pStyle w:val="Rubrik3"/>
        <w:rPr>
          <w:noProof w:val="0"/>
        </w:rPr>
      </w:pPr>
      <w:bookmarkStart w:id="345" w:name="_Toc121739003"/>
      <w:bookmarkStart w:id="346" w:name="_Toc124697911"/>
      <w:r w:rsidRPr="00F5723F">
        <w:rPr>
          <w:noProof w:val="0"/>
        </w:rPr>
        <w:t>Förklaringsfaktorer bakom den höga representationen av kvinnor i rik</w:t>
      </w:r>
      <w:r w:rsidRPr="00F5723F">
        <w:rPr>
          <w:noProof w:val="0"/>
        </w:rPr>
        <w:t>s</w:t>
      </w:r>
      <w:r w:rsidRPr="00F5723F">
        <w:rPr>
          <w:noProof w:val="0"/>
        </w:rPr>
        <w:t>dagen</w:t>
      </w:r>
      <w:bookmarkEnd w:id="345"/>
      <w:bookmarkEnd w:id="346"/>
    </w:p>
    <w:p w:rsidR="00B43C57" w:rsidRPr="00F5723F" w:rsidRDefault="00B43C57">
      <w:pPr>
        <w:rPr>
          <w:snapToGrid w:val="0"/>
          <w:color w:val="000000"/>
        </w:rPr>
      </w:pPr>
      <w:r w:rsidRPr="00F5723F">
        <w:t xml:space="preserve">Det finns flera olika förklaringsfaktorer bakom den höga andelen kvinnor i riksdagen. </w:t>
      </w:r>
      <w:r w:rsidRPr="00F5723F">
        <w:rPr>
          <w:snapToGrid w:val="0"/>
          <w:color w:val="000000"/>
        </w:rPr>
        <w:t>Internationell forskning om kvinnors politiska representation har i stor utsträckning inriktats mot tre kontextuella förklaringar: institutionella, socioekonomiska respektive kulturella förklaringsmodeller.</w:t>
      </w:r>
      <w:r w:rsidRPr="00F5723F">
        <w:rPr>
          <w:rStyle w:val="Fotnotsreferens"/>
          <w:rFonts w:ascii="Garamond" w:hAnsi="Garamond"/>
          <w:snapToGrid w:val="0"/>
          <w:color w:val="000000"/>
        </w:rPr>
        <w:footnoteReference w:id="189"/>
      </w:r>
      <w:r w:rsidRPr="00F5723F">
        <w:rPr>
          <w:snapToGrid w:val="0"/>
          <w:color w:val="000000"/>
        </w:rPr>
        <w:t xml:space="preserve"> En instituti</w:t>
      </w:r>
      <w:r w:rsidRPr="00F5723F">
        <w:rPr>
          <w:snapToGrid w:val="0"/>
          <w:color w:val="000000"/>
        </w:rPr>
        <w:t>o</w:t>
      </w:r>
      <w:r w:rsidRPr="00F5723F">
        <w:rPr>
          <w:snapToGrid w:val="0"/>
          <w:color w:val="000000"/>
        </w:rPr>
        <w:t>nell förklaringsmodell, för det första, fokuserar generellt på de villkor som valsystem och partisystem erbjuder, till exempel majoritetsval eller propo</w:t>
      </w:r>
      <w:r w:rsidRPr="00F5723F">
        <w:rPr>
          <w:snapToGrid w:val="0"/>
          <w:color w:val="000000"/>
        </w:rPr>
        <w:t>r</w:t>
      </w:r>
      <w:r w:rsidRPr="00F5723F">
        <w:rPr>
          <w:snapToGrid w:val="0"/>
          <w:color w:val="000000"/>
        </w:rPr>
        <w:t>tionella val, enmansvalkretsar eller flermansvalkretsar, antal och typ av part</w:t>
      </w:r>
      <w:r w:rsidRPr="00F5723F">
        <w:rPr>
          <w:snapToGrid w:val="0"/>
          <w:color w:val="000000"/>
        </w:rPr>
        <w:t>i</w:t>
      </w:r>
      <w:r w:rsidRPr="00F5723F">
        <w:rPr>
          <w:snapToGrid w:val="0"/>
          <w:color w:val="000000"/>
        </w:rPr>
        <w:t>er.</w:t>
      </w:r>
      <w:r w:rsidRPr="00F5723F">
        <w:rPr>
          <w:rStyle w:val="Fotnotsreferens"/>
          <w:rFonts w:ascii="Garamond" w:hAnsi="Garamond"/>
          <w:snapToGrid w:val="0"/>
          <w:color w:val="000000"/>
        </w:rPr>
        <w:footnoteReference w:id="190"/>
      </w:r>
      <w:r w:rsidRPr="00F5723F">
        <w:rPr>
          <w:snapToGrid w:val="0"/>
          <w:color w:val="000000"/>
        </w:rPr>
        <w:t xml:space="preserve"> Det socioekonomiska perspektivet, för det andra, ser till kvinnors ek</w:t>
      </w:r>
      <w:r w:rsidRPr="00F5723F">
        <w:rPr>
          <w:snapToGrid w:val="0"/>
          <w:color w:val="000000"/>
        </w:rPr>
        <w:t>o</w:t>
      </w:r>
      <w:r w:rsidRPr="00F5723F">
        <w:rPr>
          <w:snapToGrid w:val="0"/>
          <w:color w:val="000000"/>
        </w:rPr>
        <w:t>nomiska och sociala kapital som bestämmande för deras politiska möjligheter till inflyta</w:t>
      </w:r>
      <w:r w:rsidRPr="00F5723F">
        <w:rPr>
          <w:snapToGrid w:val="0"/>
          <w:color w:val="000000"/>
        </w:rPr>
        <w:t>n</w:t>
      </w:r>
      <w:r w:rsidRPr="00F5723F">
        <w:rPr>
          <w:snapToGrid w:val="0"/>
          <w:color w:val="000000"/>
        </w:rPr>
        <w:t>de.</w:t>
      </w:r>
      <w:r w:rsidRPr="00F5723F">
        <w:rPr>
          <w:rStyle w:val="Fotnotsreferens"/>
          <w:rFonts w:ascii="Garamond" w:hAnsi="Garamond"/>
          <w:snapToGrid w:val="0"/>
          <w:color w:val="000000"/>
        </w:rPr>
        <w:footnoteReference w:id="191"/>
      </w:r>
      <w:r w:rsidRPr="00F5723F">
        <w:rPr>
          <w:snapToGrid w:val="0"/>
          <w:color w:val="000000"/>
        </w:rPr>
        <w:t xml:space="preserve"> Med kulturella förklaringsmodeller, för det tredje, åsyftas till exempel religiositet och den värderingsstruktur vad gäller kön, kunskap och kompetens som stater upprätthåller.</w:t>
      </w:r>
      <w:r w:rsidRPr="00F5723F">
        <w:rPr>
          <w:rStyle w:val="Fotnotsreferens"/>
          <w:rFonts w:ascii="Garamond" w:hAnsi="Garamond"/>
          <w:snapToGrid w:val="0"/>
          <w:color w:val="000000"/>
        </w:rPr>
        <w:footnoteReference w:id="192"/>
      </w:r>
      <w:r w:rsidRPr="00F5723F">
        <w:rPr>
          <w:snapToGrid w:val="0"/>
          <w:color w:val="000000"/>
        </w:rPr>
        <w:t xml:space="preserve"> Dessa förklaringsmodeller har explicit betonat faktorer på en övergripande strukturnivå. De kan därför samlas under benämningen strukturella förklaringsmodeller.</w:t>
      </w:r>
    </w:p>
    <w:p w:rsidR="00B43C57" w:rsidRPr="00F5723F" w:rsidRDefault="00B43C57">
      <w:pPr>
        <w:pStyle w:val="Normaltindrag"/>
        <w:rPr>
          <w:snapToGrid w:val="0"/>
        </w:rPr>
      </w:pPr>
      <w:r w:rsidRPr="00F5723F">
        <w:rPr>
          <w:snapToGrid w:val="0"/>
        </w:rPr>
        <w:t>Bland de faktorer som påverkat den svenska utvecklingen när det gäller kvinnors politiska representation brukar, förutom fördelarna med ett propo</w:t>
      </w:r>
      <w:r w:rsidRPr="00F5723F">
        <w:rPr>
          <w:snapToGrid w:val="0"/>
        </w:rPr>
        <w:t>r</w:t>
      </w:r>
      <w:r w:rsidRPr="00F5723F">
        <w:rPr>
          <w:snapToGrid w:val="0"/>
        </w:rPr>
        <w:t>tionellt valsystem, kvinnors ökade möjligheter till utbildning och förvärvsa</w:t>
      </w:r>
      <w:r w:rsidRPr="00F5723F">
        <w:rPr>
          <w:snapToGrid w:val="0"/>
        </w:rPr>
        <w:t>r</w:t>
      </w:r>
      <w:r w:rsidRPr="00F5723F">
        <w:rPr>
          <w:snapToGrid w:val="0"/>
        </w:rPr>
        <w:t>bete, tillgång till barnomsorg samt låga födelsetal lyftas fram. Nya familj</w:t>
      </w:r>
      <w:r w:rsidRPr="00F5723F">
        <w:rPr>
          <w:snapToGrid w:val="0"/>
        </w:rPr>
        <w:t>e</w:t>
      </w:r>
      <w:r w:rsidRPr="00F5723F">
        <w:rPr>
          <w:snapToGrid w:val="0"/>
        </w:rPr>
        <w:t>mönster har gjort kvinnor mer självständiga i förhållande till familjen.</w:t>
      </w:r>
      <w:r w:rsidRPr="00F5723F">
        <w:rPr>
          <w:rStyle w:val="Fotnotsreferens"/>
          <w:rFonts w:ascii="Garamond" w:hAnsi="Garamond"/>
          <w:snapToGrid w:val="0"/>
          <w:color w:val="000000"/>
        </w:rPr>
        <w:footnoteReference w:id="193"/>
      </w:r>
      <w:r w:rsidRPr="00F5723F">
        <w:rPr>
          <w:snapToGrid w:val="0"/>
        </w:rPr>
        <w:t xml:space="preserve"> Den offentliga sektorn har erbjudit många kvinnor en arbetsmarknad och därmed en möjlighet till att yrkesarbeta utanför hemmet. Den har också varit ett vil</w:t>
      </w:r>
      <w:r w:rsidRPr="00F5723F">
        <w:rPr>
          <w:snapToGrid w:val="0"/>
        </w:rPr>
        <w:t>l</w:t>
      </w:r>
      <w:r w:rsidRPr="00F5723F">
        <w:rPr>
          <w:snapToGrid w:val="0"/>
        </w:rPr>
        <w:t>kor för många kvinnor genom att erbjuda social service, som till exempel barno</w:t>
      </w:r>
      <w:r w:rsidRPr="00F5723F">
        <w:rPr>
          <w:snapToGrid w:val="0"/>
        </w:rPr>
        <w:t>m</w:t>
      </w:r>
      <w:r w:rsidRPr="00F5723F">
        <w:rPr>
          <w:snapToGrid w:val="0"/>
        </w:rPr>
        <w:t>sorg.</w:t>
      </w:r>
      <w:r w:rsidRPr="00F5723F">
        <w:rPr>
          <w:rStyle w:val="Fotnotsreferens"/>
          <w:rFonts w:ascii="Garamond" w:hAnsi="Garamond"/>
          <w:snapToGrid w:val="0"/>
          <w:color w:val="000000"/>
        </w:rPr>
        <w:footnoteReference w:id="194"/>
      </w:r>
      <w:r w:rsidRPr="00F5723F">
        <w:rPr>
          <w:snapToGrid w:val="0"/>
        </w:rPr>
        <w:t xml:space="preserve"> I forskningen har även en diskussion förts huruvida det finns något särskilt ”nordiskt” som inverkar. Argument har framförts om att det finns en jämlikhetskultur i Norden som underlättar karriären för kvinnl</w:t>
      </w:r>
      <w:r w:rsidRPr="00F5723F">
        <w:rPr>
          <w:snapToGrid w:val="0"/>
        </w:rPr>
        <w:t>i</w:t>
      </w:r>
      <w:r w:rsidRPr="00F5723F">
        <w:rPr>
          <w:snapToGrid w:val="0"/>
        </w:rPr>
        <w:t>ga politiker.</w:t>
      </w:r>
      <w:r w:rsidRPr="00F5723F">
        <w:rPr>
          <w:rStyle w:val="Fotnotsreferens"/>
          <w:rFonts w:ascii="Garamond" w:hAnsi="Garamond"/>
          <w:snapToGrid w:val="0"/>
          <w:color w:val="000000"/>
        </w:rPr>
        <w:footnoteReference w:id="195"/>
      </w:r>
      <w:r w:rsidRPr="00F5723F">
        <w:rPr>
          <w:snapToGrid w:val="0"/>
        </w:rPr>
        <w:t xml:space="preserve"> Helga Hernes har drivit tesen att det är den välfärdsstatliga u</w:t>
      </w:r>
      <w:r w:rsidRPr="00F5723F">
        <w:rPr>
          <w:snapToGrid w:val="0"/>
        </w:rPr>
        <w:t>t</w:t>
      </w:r>
      <w:r w:rsidRPr="00F5723F">
        <w:rPr>
          <w:snapToGrid w:val="0"/>
        </w:rPr>
        <w:t>vecklingen som är förklaringen till den höga andelen kvinnor i nordiska pa</w:t>
      </w:r>
      <w:r w:rsidRPr="00F5723F">
        <w:rPr>
          <w:snapToGrid w:val="0"/>
        </w:rPr>
        <w:t>r</w:t>
      </w:r>
      <w:r w:rsidRPr="00F5723F">
        <w:rPr>
          <w:snapToGrid w:val="0"/>
        </w:rPr>
        <w:t>lament.</w:t>
      </w:r>
      <w:r w:rsidRPr="00F5723F">
        <w:rPr>
          <w:rStyle w:val="Fotnotsreferens"/>
          <w:rFonts w:ascii="Garamond" w:hAnsi="Garamond"/>
          <w:snapToGrid w:val="0"/>
          <w:color w:val="000000"/>
        </w:rPr>
        <w:footnoteReference w:id="196"/>
      </w:r>
      <w:r w:rsidRPr="00F5723F">
        <w:rPr>
          <w:snapToGrid w:val="0"/>
        </w:rPr>
        <w:t xml:space="preserve"> Forskare har till exempel pekat på betydelsen av den långa perioden av socialdemokratiskt styre genom vilken kvinnans ställning blivit en uttalad offentlig angelägenhet.</w:t>
      </w:r>
      <w:r w:rsidRPr="00F5723F">
        <w:rPr>
          <w:rStyle w:val="Fotnotsreferens"/>
          <w:rFonts w:ascii="Garamond" w:hAnsi="Garamond"/>
          <w:snapToGrid w:val="0"/>
          <w:color w:val="000000"/>
        </w:rPr>
        <w:footnoteReference w:id="197"/>
      </w:r>
      <w:r w:rsidRPr="00F5723F">
        <w:rPr>
          <w:snapToGrid w:val="0"/>
        </w:rPr>
        <w:t xml:space="preserve"> Vad som är gemensamt för dessa förklaringsfakt</w:t>
      </w:r>
      <w:r w:rsidRPr="00F5723F">
        <w:rPr>
          <w:snapToGrid w:val="0"/>
        </w:rPr>
        <w:t>o</w:t>
      </w:r>
      <w:r w:rsidRPr="00F5723F">
        <w:rPr>
          <w:snapToGrid w:val="0"/>
        </w:rPr>
        <w:t>rer är att effekterna avseende andelen kvinnor i parlamenten är indirekta. Det handlar inte om några särskilda mål eller medel som utarbetats. Att kvinnorna blivit fler i beslutsfattande ställning är ett resultat som följt med på köpet när annat fö</w:t>
      </w:r>
      <w:r w:rsidRPr="00F5723F">
        <w:rPr>
          <w:snapToGrid w:val="0"/>
        </w:rPr>
        <w:t>r</w:t>
      </w:r>
      <w:r w:rsidRPr="00F5723F">
        <w:rPr>
          <w:snapToGrid w:val="0"/>
        </w:rPr>
        <w:t xml:space="preserve">ändrats. </w:t>
      </w:r>
    </w:p>
    <w:p w:rsidR="00B43C57" w:rsidRPr="00F5723F" w:rsidRDefault="00B43C57">
      <w:pPr>
        <w:pStyle w:val="Normaltindrag"/>
        <w:rPr>
          <w:snapToGrid w:val="0"/>
        </w:rPr>
      </w:pPr>
      <w:r w:rsidRPr="00F5723F">
        <w:rPr>
          <w:snapToGrid w:val="0"/>
        </w:rPr>
        <w:t>Forskningen om kvinnors politiska representation har på senare tid a</w:t>
      </w:r>
      <w:r w:rsidRPr="00F5723F">
        <w:rPr>
          <w:snapToGrid w:val="0"/>
        </w:rPr>
        <w:t>n</w:t>
      </w:r>
      <w:r w:rsidRPr="00F5723F">
        <w:rPr>
          <w:snapToGrid w:val="0"/>
        </w:rPr>
        <w:t>märkt att de strukturella förklaringsmodellerna är otillräckliga.</w:t>
      </w:r>
      <w:r w:rsidRPr="00F5723F">
        <w:rPr>
          <w:rStyle w:val="Fotnotsreferens"/>
          <w:rFonts w:ascii="Garamond" w:hAnsi="Garamond"/>
          <w:snapToGrid w:val="0"/>
          <w:color w:val="000000"/>
        </w:rPr>
        <w:footnoteReference w:id="198"/>
      </w:r>
      <w:r w:rsidRPr="00F5723F">
        <w:rPr>
          <w:snapToGrid w:val="0"/>
        </w:rPr>
        <w:t xml:space="preserve"> Enligt dessa finns det ingen automatik enligt vilken kvinnor intar fler politiska beslutsfa</w:t>
      </w:r>
      <w:r w:rsidRPr="00F5723F">
        <w:rPr>
          <w:snapToGrid w:val="0"/>
        </w:rPr>
        <w:t>t</w:t>
      </w:r>
      <w:r w:rsidRPr="00F5723F">
        <w:rPr>
          <w:snapToGrid w:val="0"/>
        </w:rPr>
        <w:t>tande positioner. Senare forskning har därför lagt tonvikt på att undersöka de aktörer som arbetar för att öka andelen kvinnor på politiska maktpos</w:t>
      </w:r>
      <w:r w:rsidRPr="00F5723F">
        <w:rPr>
          <w:snapToGrid w:val="0"/>
        </w:rPr>
        <w:t>i</w:t>
      </w:r>
      <w:r w:rsidRPr="00F5723F">
        <w:rPr>
          <w:snapToGrid w:val="0"/>
        </w:rPr>
        <w:t>tioner. Här åsyftas explicit de strategier som de politiska partierna har tagit i bruk för att främja en ökad kvinnorepresentation och de insatser som kvinnoorganis</w:t>
      </w:r>
      <w:r w:rsidRPr="00F5723F">
        <w:rPr>
          <w:snapToGrid w:val="0"/>
        </w:rPr>
        <w:t>a</w:t>
      </w:r>
      <w:r w:rsidRPr="00F5723F">
        <w:rPr>
          <w:snapToGrid w:val="0"/>
        </w:rPr>
        <w:t xml:space="preserve">tionerna (både partibundna och fristående) bidragit med. </w:t>
      </w:r>
    </w:p>
    <w:p w:rsidR="00B43C57" w:rsidRPr="00F5723F" w:rsidRDefault="00B43C57">
      <w:pPr>
        <w:pStyle w:val="Rubrik2"/>
      </w:pPr>
      <w:bookmarkStart w:id="347" w:name="_Toc121739004"/>
      <w:bookmarkStart w:id="348" w:name="_Toc124697912"/>
      <w:r w:rsidRPr="00F5723F">
        <w:t>Kartläggning av forskning om riksdagen som insti</w:t>
      </w:r>
      <w:r w:rsidRPr="00F5723F">
        <w:t>tution i ett genusperspe</w:t>
      </w:r>
      <w:r w:rsidRPr="00F5723F">
        <w:t>k</w:t>
      </w:r>
      <w:r w:rsidRPr="00F5723F">
        <w:t>tiv</w:t>
      </w:r>
      <w:bookmarkEnd w:id="347"/>
      <w:bookmarkEnd w:id="348"/>
    </w:p>
    <w:p w:rsidR="00B43C57" w:rsidRPr="00F5723F" w:rsidRDefault="00B43C57">
      <w:r w:rsidRPr="00F5723F">
        <w:t>I det här avsnittet redovisas kartläggningen av den befintliga forskningen om riksdagen som institution ur ett genusperspektiv. Beskrivningarna är översik</w:t>
      </w:r>
      <w:r w:rsidRPr="00F5723F">
        <w:t>t</w:t>
      </w:r>
      <w:r w:rsidRPr="00F5723F">
        <w:t>liga och sammanfattande och antyder tendenser utgående från både enskilda forsk</w:t>
      </w:r>
      <w:r w:rsidRPr="00F5723F">
        <w:t>a</w:t>
      </w:r>
      <w:r w:rsidRPr="00F5723F">
        <w:t xml:space="preserve">res och forskarlags projekt. </w:t>
      </w:r>
    </w:p>
    <w:p w:rsidR="00B43C57" w:rsidRPr="00F5723F" w:rsidRDefault="00B43C57">
      <w:pPr>
        <w:pStyle w:val="Normaltindrag"/>
      </w:pPr>
      <w:r w:rsidRPr="00F5723F">
        <w:t>Den svenska forskningen om riksdagen som institution ur ett genuspe</w:t>
      </w:r>
      <w:r w:rsidRPr="00F5723F">
        <w:t>r</w:t>
      </w:r>
      <w:r w:rsidRPr="00F5723F">
        <w:t>spektiv – snävt definierad – är förhållandevis liten. Det kan tyckas vara a</w:t>
      </w:r>
      <w:r w:rsidRPr="00F5723F">
        <w:t>n</w:t>
      </w:r>
      <w:r w:rsidRPr="00F5723F">
        <w:t>märkningsvärt särskilt med hänseende på den framskjutna position som rik</w:t>
      </w:r>
      <w:r w:rsidRPr="00F5723F">
        <w:t>s</w:t>
      </w:r>
      <w:r w:rsidRPr="00F5723F">
        <w:t>dagen har i ett internationellt, komparativt perspektiv avseende kvinnors politiska representation. Den statsvetenskapliga forskningen uppvisar förhå</w:t>
      </w:r>
      <w:r w:rsidRPr="00F5723F">
        <w:t>l</w:t>
      </w:r>
      <w:r w:rsidRPr="00F5723F">
        <w:t>landevis få studier om riksdagen ur ett genusperspektiv. I traditionell statsv</w:t>
      </w:r>
      <w:r w:rsidRPr="00F5723F">
        <w:t>e</w:t>
      </w:r>
      <w:r w:rsidRPr="00F5723F">
        <w:t>tenskap har frågor om betydelsen av riksdagsledamöternas kön haft ett myc</w:t>
      </w:r>
      <w:r w:rsidRPr="00F5723F">
        <w:t>k</w:t>
      </w:r>
      <w:r w:rsidRPr="00F5723F">
        <w:t>et begränsat utrymme.</w:t>
      </w:r>
      <w:r w:rsidRPr="00F5723F">
        <w:rPr>
          <w:rStyle w:val="Fotnotsreferens"/>
          <w:rFonts w:ascii="Garamond" w:hAnsi="Garamond"/>
        </w:rPr>
        <w:footnoteReference w:id="199"/>
      </w:r>
      <w:r w:rsidRPr="00F5723F">
        <w:t xml:space="preserve"> </w:t>
      </w:r>
    </w:p>
    <w:p w:rsidR="00B43C57" w:rsidRPr="00F5723F" w:rsidRDefault="00B43C57">
      <w:pPr>
        <w:pStyle w:val="Rubrik3"/>
        <w:rPr>
          <w:noProof w:val="0"/>
        </w:rPr>
      </w:pPr>
      <w:bookmarkStart w:id="349" w:name="_Toc121739005"/>
      <w:bookmarkStart w:id="350" w:name="_Toc124697913"/>
      <w:r w:rsidRPr="00F5723F">
        <w:rPr>
          <w:noProof w:val="0"/>
        </w:rPr>
        <w:t>Rösträttsrörelsen och kvinnors organisering</w:t>
      </w:r>
      <w:bookmarkEnd w:id="349"/>
      <w:bookmarkEnd w:id="350"/>
    </w:p>
    <w:p w:rsidR="00B43C57" w:rsidRPr="00F5723F" w:rsidRDefault="00B43C57">
      <w:r w:rsidRPr="00F5723F">
        <w:t>Ett första tema i den befintliga forskningen om riksdagen ur ett genusperspe</w:t>
      </w:r>
      <w:r w:rsidRPr="00F5723F">
        <w:t>k</w:t>
      </w:r>
      <w:r w:rsidRPr="00F5723F">
        <w:t xml:space="preserve">tiv handlar om rösträttsrörelsen och kvinnors organisering både före och efter genomförandet av allmän och lika rösträtt. </w:t>
      </w:r>
    </w:p>
    <w:p w:rsidR="00B43C57" w:rsidRPr="00F5723F" w:rsidRDefault="00B43C57">
      <w:pPr>
        <w:pStyle w:val="Normaltindrag"/>
      </w:pPr>
      <w:r w:rsidRPr="00F5723F">
        <w:t>Inom den svenska historieforskningen om riksdagen ur ett g</w:t>
      </w:r>
      <w:r w:rsidRPr="00F5723F">
        <w:t>e</w:t>
      </w:r>
      <w:r w:rsidRPr="00F5723F">
        <w:t>nusperspektiv finns flera exempel på studier som riktat blickfånget mot kvinnors politiska rösträtt och rätten att väljas in i riksdagen.</w:t>
      </w:r>
      <w:r w:rsidRPr="00F5723F">
        <w:rPr>
          <w:rStyle w:val="Fotnotsreferens"/>
          <w:rFonts w:ascii="Garamond" w:hAnsi="Garamond"/>
        </w:rPr>
        <w:footnoteReference w:id="200"/>
      </w:r>
      <w:r w:rsidRPr="00F5723F">
        <w:t xml:space="preserve"> Josefin Rönnbäcks avhan</w:t>
      </w:r>
      <w:r w:rsidRPr="00F5723F">
        <w:t>d</w:t>
      </w:r>
      <w:r w:rsidRPr="00F5723F">
        <w:t xml:space="preserve">ling </w:t>
      </w:r>
      <w:r w:rsidRPr="00F5723F">
        <w:rPr>
          <w:i/>
        </w:rPr>
        <w:t>Politikens genusgränser</w:t>
      </w:r>
      <w:r w:rsidRPr="00F5723F">
        <w:t xml:space="preserve"> </w:t>
      </w:r>
      <w:r w:rsidRPr="00F5723F">
        <w:t>belyser</w:t>
      </w:r>
      <w:r w:rsidRPr="00F5723F">
        <w:t>, som ett exempel,</w:t>
      </w:r>
      <w:r w:rsidRPr="00F5723F">
        <w:t xml:space="preserve"> hur rösträttskvinnornas kamp för att erhålla rösträtt </w:t>
      </w:r>
      <w:r w:rsidRPr="00F5723F">
        <w:t xml:space="preserve">och </w:t>
      </w:r>
      <w:r w:rsidRPr="00F5723F">
        <w:t xml:space="preserve">valbarhet såg ut, vilka genusgränser som fanns i politiken i början av 1900-talet och </w:t>
      </w:r>
      <w:r w:rsidRPr="00F5723F">
        <w:t xml:space="preserve">hur </w:t>
      </w:r>
      <w:r w:rsidRPr="00F5723F">
        <w:t>rösträttskvinnorna utman</w:t>
      </w:r>
      <w:r w:rsidRPr="00F5723F">
        <w:t>a</w:t>
      </w:r>
      <w:r w:rsidRPr="00F5723F">
        <w:t>de och överskred dem</w:t>
      </w:r>
      <w:r w:rsidRPr="00F5723F">
        <w:t xml:space="preserve"> samt hur det gick till när svenska kvinnor inlemm</w:t>
      </w:r>
      <w:r w:rsidRPr="00F5723F">
        <w:t>a</w:t>
      </w:r>
      <w:r w:rsidRPr="00F5723F">
        <w:t>des på</w:t>
      </w:r>
      <w:r w:rsidRPr="00F5723F">
        <w:t xml:space="preserve"> den politiska ar</w:t>
      </w:r>
      <w:r w:rsidRPr="00F5723F">
        <w:t>e</w:t>
      </w:r>
      <w:r w:rsidRPr="00F5723F">
        <w:t>nan.</w:t>
      </w:r>
      <w:r w:rsidRPr="00F5723F">
        <w:rPr>
          <w:rStyle w:val="Fotnotsreferens"/>
          <w:rFonts w:ascii="Garamond" w:hAnsi="Garamond"/>
        </w:rPr>
        <w:footnoteReference w:id="201"/>
      </w:r>
      <w:r w:rsidRPr="00F5723F">
        <w:t xml:space="preserve"> Avhandlinge</w:t>
      </w:r>
      <w:r w:rsidRPr="00F5723F">
        <w:t>n bidrar med en nytolkning av ett viktigt skede i svensk 1900-tals</w:t>
      </w:r>
      <w:r w:rsidRPr="00F5723F">
        <w:t>historia och visar hur det politiska livet stru</w:t>
      </w:r>
      <w:r w:rsidRPr="00F5723F">
        <w:t>k</w:t>
      </w:r>
      <w:r w:rsidRPr="00F5723F">
        <w:t>turerats efter föreställningar om kön.</w:t>
      </w:r>
    </w:p>
    <w:p w:rsidR="00B43C57" w:rsidRPr="00F5723F" w:rsidRDefault="00B43C57">
      <w:pPr>
        <w:pStyle w:val="Normaltindrag"/>
      </w:pPr>
      <w:r w:rsidRPr="00F5723F">
        <w:t xml:space="preserve">Forskning har även studerat kvinnors organisering och </w:t>
      </w:r>
      <w:r w:rsidRPr="00F5723F">
        <w:t>kvinnoorganisati</w:t>
      </w:r>
      <w:r w:rsidRPr="00F5723F">
        <w:t>o</w:t>
      </w:r>
      <w:r w:rsidRPr="00F5723F">
        <w:t>ne</w:t>
      </w:r>
      <w:r w:rsidRPr="00F5723F">
        <w:t>r</w:t>
      </w:r>
      <w:r w:rsidRPr="00F5723F">
        <w:t>nas politiska inriktning.</w:t>
      </w:r>
      <w:r w:rsidRPr="00F5723F">
        <w:rPr>
          <w:rStyle w:val="Fotnotsreferens"/>
          <w:rFonts w:ascii="Garamond" w:hAnsi="Garamond"/>
        </w:rPr>
        <w:footnoteReference w:id="202"/>
      </w:r>
      <w:r w:rsidRPr="00F5723F">
        <w:t xml:space="preserve"> I Ulla Manns </w:t>
      </w:r>
      <w:r w:rsidRPr="00F5723F">
        <w:t xml:space="preserve">avhandling </w:t>
      </w:r>
      <w:r w:rsidRPr="00F5723F">
        <w:rPr>
          <w:i/>
        </w:rPr>
        <w:t>Den sanna frigörelsen</w:t>
      </w:r>
      <w:r w:rsidRPr="00F5723F">
        <w:t xml:space="preserve"> skildras den borgerliga</w:t>
      </w:r>
      <w:r w:rsidRPr="00F5723F">
        <w:t xml:space="preserve"> kvinnorörelsens idéutveckling under perioden 1884–1921 genom en studie av Fredrika-Bremer-Förbundet, som var den stör</w:t>
      </w:r>
      <w:r w:rsidRPr="00F5723F">
        <w:t>s</w:t>
      </w:r>
      <w:r w:rsidRPr="00F5723F">
        <w:t>ta föreningen i den borgerliga kvinnorörelsen.</w:t>
      </w:r>
      <w:r w:rsidRPr="00F5723F">
        <w:rPr>
          <w:rStyle w:val="Fotnotsreferens"/>
          <w:rFonts w:ascii="Garamond" w:hAnsi="Garamond"/>
        </w:rPr>
        <w:footnoteReference w:id="203"/>
      </w:r>
      <w:r w:rsidRPr="00F5723F">
        <w:t xml:space="preserve"> I avhandlingen studeras Fredr</w:t>
      </w:r>
      <w:r w:rsidRPr="00F5723F">
        <w:t>i</w:t>
      </w:r>
      <w:r w:rsidRPr="00F5723F">
        <w:t>ka-Bremer-Förbundets syn på hur, varför och på vilket sätt kvinnors unde</w:t>
      </w:r>
      <w:r w:rsidRPr="00F5723F">
        <w:t>r</w:t>
      </w:r>
      <w:r w:rsidRPr="00F5723F">
        <w:t>ordning skulle upphävas. Avhandlingen fokuserar därmed på de attit</w:t>
      </w:r>
      <w:r w:rsidRPr="00F5723F">
        <w:t>y</w:t>
      </w:r>
      <w:r w:rsidRPr="00F5723F">
        <w:t>der till kön och medbestämmande som rådde i sekelskiftets Sverige. Den visar att samtidigt som kravet på kvinnors frigörelse blev mindre kontroversiellt över tid genom att könens komplementära roller betonades, erkändes kvinnor som politiska aktörer.</w:t>
      </w:r>
    </w:p>
    <w:p w:rsidR="00B43C57" w:rsidRPr="00F5723F" w:rsidRDefault="00B43C57">
      <w:pPr>
        <w:pStyle w:val="Normaltindrag"/>
        <w:rPr>
          <w:i/>
        </w:rPr>
      </w:pPr>
      <w:r w:rsidRPr="00F5723F">
        <w:t>Viss forskning berör de politiska partiernas kamp för och emot kvinnlig rösträtt.</w:t>
      </w:r>
      <w:r w:rsidRPr="00F5723F">
        <w:rPr>
          <w:rStyle w:val="Fotnotsreferens"/>
          <w:rFonts w:ascii="Garamond" w:hAnsi="Garamond"/>
        </w:rPr>
        <w:footnoteReference w:id="204"/>
      </w:r>
      <w:r w:rsidRPr="00F5723F">
        <w:t xml:space="preserve"> Kvinnorörelsens betydelse för representationen av kvinnor i rik</w:t>
      </w:r>
      <w:r w:rsidRPr="00F5723F">
        <w:t>s</w:t>
      </w:r>
      <w:r w:rsidRPr="00F5723F">
        <w:t>dagen efter det demokratiska genombrottet har också belysts i en serie fors</w:t>
      </w:r>
      <w:r w:rsidRPr="00F5723F">
        <w:t>k</w:t>
      </w:r>
      <w:r w:rsidRPr="00F5723F">
        <w:t>ning</w:t>
      </w:r>
      <w:r w:rsidRPr="00F5723F">
        <w:t>s</w:t>
      </w:r>
      <w:r w:rsidRPr="00F5723F">
        <w:t>projekt.</w:t>
      </w:r>
      <w:r w:rsidRPr="00F5723F">
        <w:rPr>
          <w:rStyle w:val="Fotnotsreferens"/>
          <w:rFonts w:ascii="Garamond" w:hAnsi="Garamond"/>
        </w:rPr>
        <w:footnoteReference w:id="205"/>
      </w:r>
    </w:p>
    <w:p w:rsidR="00B43C57" w:rsidRPr="00F5723F" w:rsidRDefault="00B43C57">
      <w:pPr>
        <w:pStyle w:val="Rubrik3"/>
        <w:rPr>
          <w:noProof w:val="0"/>
        </w:rPr>
      </w:pPr>
      <w:bookmarkStart w:id="351" w:name="_Toc121739006"/>
      <w:bookmarkStart w:id="352" w:name="_Toc124697914"/>
      <w:r w:rsidRPr="00F5723F">
        <w:rPr>
          <w:noProof w:val="0"/>
        </w:rPr>
        <w:t>Politisk representation</w:t>
      </w:r>
      <w:bookmarkEnd w:id="351"/>
      <w:bookmarkEnd w:id="352"/>
    </w:p>
    <w:p w:rsidR="00B43C57" w:rsidRPr="00F5723F" w:rsidRDefault="00B43C57">
      <w:r w:rsidRPr="00F5723F">
        <w:t>Ett andra tema i den befintliga forskningen om riksdagen i ett genusperspe</w:t>
      </w:r>
      <w:r w:rsidRPr="00F5723F">
        <w:t>k</w:t>
      </w:r>
      <w:r w:rsidRPr="00F5723F">
        <w:t>tiv handlar om representationen av kvinnor i riksdagen, s.k. kvinnorepresent</w:t>
      </w:r>
      <w:r w:rsidRPr="00F5723F">
        <w:t>a</w:t>
      </w:r>
      <w:r w:rsidRPr="00F5723F">
        <w:t>tion.</w:t>
      </w:r>
      <w:r w:rsidRPr="00F5723F">
        <w:rPr>
          <w:rStyle w:val="Fotnotsreferens"/>
          <w:rFonts w:ascii="Garamond" w:hAnsi="Garamond"/>
        </w:rPr>
        <w:footnoteReference w:id="206"/>
      </w:r>
      <w:r w:rsidRPr="00F5723F">
        <w:t xml:space="preserve"> Forskning visar att kvinnor efter rösträttsreformen 1919/1921 haft svårt att ta sig in i politiken och att de manliga politikerna också bidragit till att hålla dem utanför.</w:t>
      </w:r>
      <w:r w:rsidRPr="00F5723F">
        <w:rPr>
          <w:rStyle w:val="Fotnotsreferens"/>
          <w:rFonts w:ascii="Garamond" w:hAnsi="Garamond"/>
        </w:rPr>
        <w:footnoteReference w:id="207"/>
      </w:r>
      <w:r w:rsidRPr="00F5723F">
        <w:t xml:space="preserve"> Inom partierna bildades därför de politiska kvinn</w:t>
      </w:r>
      <w:r w:rsidRPr="00F5723F">
        <w:t>o</w:t>
      </w:r>
      <w:r w:rsidRPr="00F5723F">
        <w:t xml:space="preserve">förbunden i syfte att öka kvinnors makt och inflytande i politiken. </w:t>
      </w:r>
    </w:p>
    <w:p w:rsidR="00B43C57" w:rsidRPr="00F5723F" w:rsidRDefault="00B43C57">
      <w:pPr>
        <w:pStyle w:val="Normaltindrag"/>
      </w:pPr>
      <w:r w:rsidRPr="00F5723F">
        <w:t>I avhandlingsprojektet</w:t>
      </w:r>
      <w:r w:rsidRPr="00F5723F">
        <w:rPr>
          <w:i/>
        </w:rPr>
        <w:t xml:space="preserve"> Kvinnorepresentation i ett komparativt pe</w:t>
      </w:r>
      <w:r w:rsidRPr="00F5723F">
        <w:rPr>
          <w:i/>
        </w:rPr>
        <w:t>r</w:t>
      </w:r>
      <w:r w:rsidRPr="00F5723F">
        <w:rPr>
          <w:i/>
        </w:rPr>
        <w:t xml:space="preserve">spektiv </w:t>
      </w:r>
      <w:r w:rsidRPr="00F5723F">
        <w:t>behandlar doktoranden Jessica Wide variationen i kvinnors politiska represe</w:t>
      </w:r>
      <w:r w:rsidRPr="00F5723F">
        <w:t>n</w:t>
      </w:r>
      <w:r w:rsidRPr="00F5723F">
        <w:t>tation i tid och rum genom att besvara följande frågor: 1) Hur varierar kvi</w:t>
      </w:r>
      <w:r w:rsidRPr="00F5723F">
        <w:t>n</w:t>
      </w:r>
      <w:r w:rsidRPr="00F5723F">
        <w:t>nors politiska representation i tid och rum?, 2) Varför varierar kvinnors pol</w:t>
      </w:r>
      <w:r w:rsidRPr="00F5723F">
        <w:t>i</w:t>
      </w:r>
      <w:r w:rsidRPr="00F5723F">
        <w:t>tiska representation över tid? samt 3) Varför varierar kvinnors politiska repr</w:t>
      </w:r>
      <w:r w:rsidRPr="00F5723F">
        <w:t>e</w:t>
      </w:r>
      <w:r w:rsidRPr="00F5723F">
        <w:t>sent</w:t>
      </w:r>
      <w:r w:rsidRPr="00F5723F">
        <w:t>a</w:t>
      </w:r>
      <w:r w:rsidRPr="00F5723F">
        <w:t xml:space="preserve">tion i olika rum? </w:t>
      </w:r>
    </w:p>
    <w:p w:rsidR="00B43C57" w:rsidRPr="00F5723F" w:rsidRDefault="00B43C57">
      <w:pPr>
        <w:pStyle w:val="Normaltindrag"/>
      </w:pPr>
      <w:r w:rsidRPr="00F5723F">
        <w:t xml:space="preserve">Christina Bergqvist belyser i avhandlingen </w:t>
      </w:r>
      <w:r w:rsidRPr="00F5723F">
        <w:rPr>
          <w:i/>
        </w:rPr>
        <w:t>Mäns makt och kvinnors intre</w:t>
      </w:r>
      <w:r w:rsidRPr="00F5723F">
        <w:rPr>
          <w:i/>
        </w:rPr>
        <w:t>s</w:t>
      </w:r>
      <w:r w:rsidRPr="00F5723F">
        <w:rPr>
          <w:i/>
        </w:rPr>
        <w:t>sen</w:t>
      </w:r>
      <w:r w:rsidRPr="00F5723F">
        <w:t xml:space="preserve"> kvinnorepresentationens utveckling i riksdag, regering, statliga styrelser samt i några av de större intresseorganisationerna.</w:t>
      </w:r>
      <w:r w:rsidRPr="00F5723F">
        <w:rPr>
          <w:rStyle w:val="Fotnotsreferens"/>
          <w:rFonts w:ascii="Garamond" w:hAnsi="Garamond"/>
        </w:rPr>
        <w:footnoteReference w:id="208"/>
      </w:r>
      <w:r w:rsidRPr="00F5723F">
        <w:t xml:space="preserve"> I anal</w:t>
      </w:r>
      <w:r w:rsidRPr="00F5723F">
        <w:t>y</w:t>
      </w:r>
      <w:r w:rsidRPr="00F5723F">
        <w:t>sen framkommer att den demokratiskt/parlamentariska kanalen varit mer öppen för förändrin</w:t>
      </w:r>
      <w:r w:rsidRPr="00F5723F">
        <w:t>g</w:t>
      </w:r>
      <w:r w:rsidRPr="00F5723F">
        <w:t>ar i könsrelationen än den korporativa och att kvinnor är bättre representerade i partier och i riksdag än i fackliga organisationer. Ba</w:t>
      </w:r>
      <w:r w:rsidRPr="00F5723F">
        <w:t>k</w:t>
      </w:r>
      <w:r w:rsidRPr="00F5723F">
        <w:t>om det ökade kvinnliga deltagandet och representationen ligger inte bara gynnsamma organisatoriska förhållanden utan också kvinnors strategiska handlande.</w:t>
      </w:r>
      <w:r w:rsidRPr="00F5723F">
        <w:rPr>
          <w:rStyle w:val="Fotnotsreferens"/>
          <w:rFonts w:ascii="Garamond" w:hAnsi="Garamond"/>
        </w:rPr>
        <w:footnoteReference w:id="209"/>
      </w:r>
      <w:r w:rsidRPr="00F5723F">
        <w:t xml:space="preserve"> Bergqvist konkl</w:t>
      </w:r>
      <w:r w:rsidRPr="00F5723F">
        <w:t>u</w:t>
      </w:r>
      <w:r w:rsidRPr="00F5723F">
        <w:t>derar att kvinnor i Sverige är på väg mot en mer jämlik fördelning av politisk makt och inflytande men att det fortfarande finns ett mönster av manlig d</w:t>
      </w:r>
      <w:r w:rsidRPr="00F5723F">
        <w:t>o</w:t>
      </w:r>
      <w:r w:rsidRPr="00F5723F">
        <w:t xml:space="preserve">minans i den offentliga sfären. </w:t>
      </w:r>
    </w:p>
    <w:p w:rsidR="00B43C57" w:rsidRPr="00F5723F" w:rsidRDefault="00B43C57">
      <w:pPr>
        <w:pStyle w:val="Normaltindrag"/>
        <w:rPr>
          <w:snapToGrid w:val="0"/>
          <w:color w:val="000000"/>
        </w:rPr>
      </w:pPr>
      <w:r w:rsidRPr="00F5723F">
        <w:t>Diane Sainsbury har efterlyst ett större fokus på aktörernas roll för att fö</w:t>
      </w:r>
      <w:r w:rsidRPr="00F5723F">
        <w:t>r</w:t>
      </w:r>
      <w:r w:rsidRPr="00F5723F">
        <w:t xml:space="preserve">klara den höga andelen kvinnor i den svenska riksdagen. </w:t>
      </w:r>
      <w:r w:rsidRPr="00F5723F">
        <w:rPr>
          <w:snapToGrid w:val="0"/>
          <w:color w:val="000000"/>
        </w:rPr>
        <w:t>Sainsbury har fra</w:t>
      </w:r>
      <w:r w:rsidRPr="00F5723F">
        <w:rPr>
          <w:snapToGrid w:val="0"/>
          <w:color w:val="000000"/>
        </w:rPr>
        <w:t>m</w:t>
      </w:r>
      <w:r w:rsidRPr="00F5723F">
        <w:rPr>
          <w:snapToGrid w:val="0"/>
          <w:color w:val="000000"/>
        </w:rPr>
        <w:t>fört att det knappast kan vara valsystemets utformning som ligger bakom den snabba tillväxten av andelen kvinnor som skett i den sven</w:t>
      </w:r>
      <w:r w:rsidRPr="00F5723F">
        <w:rPr>
          <w:snapToGrid w:val="0"/>
          <w:color w:val="000000"/>
        </w:rPr>
        <w:t>s</w:t>
      </w:r>
      <w:r w:rsidRPr="00F5723F">
        <w:rPr>
          <w:snapToGrid w:val="0"/>
          <w:color w:val="000000"/>
        </w:rPr>
        <w:t>ka riksdagen från 1970-talet och framåt. Valsystemet har ju under denna period i svensk historia varit stabilt. Hur skulle det då kunna vara en bidragande orsak till förän</w:t>
      </w:r>
      <w:r w:rsidRPr="00F5723F">
        <w:rPr>
          <w:snapToGrid w:val="0"/>
          <w:color w:val="000000"/>
        </w:rPr>
        <w:t>d</w:t>
      </w:r>
      <w:r w:rsidRPr="00F5723F">
        <w:rPr>
          <w:snapToGrid w:val="0"/>
          <w:color w:val="000000"/>
        </w:rPr>
        <w:t>ring?</w:t>
      </w:r>
      <w:r w:rsidRPr="00F5723F">
        <w:rPr>
          <w:rStyle w:val="Fotnotsreferens"/>
          <w:rFonts w:ascii="Garamond" w:hAnsi="Garamond"/>
          <w:snapToGrid w:val="0"/>
          <w:color w:val="000000"/>
        </w:rPr>
        <w:footnoteReference w:id="210"/>
      </w:r>
      <w:r w:rsidRPr="00F5723F">
        <w:rPr>
          <w:snapToGrid w:val="0"/>
          <w:color w:val="000000"/>
        </w:rPr>
        <w:t xml:space="preserve"> Sainsbury menar att det tidigare tagits alltför stor hänsyn till faktorer som hänger samman med övergripande strukt</w:t>
      </w:r>
      <w:r w:rsidRPr="00F5723F">
        <w:rPr>
          <w:snapToGrid w:val="0"/>
          <w:color w:val="000000"/>
        </w:rPr>
        <w:t>u</w:t>
      </w:r>
      <w:r w:rsidRPr="00F5723F">
        <w:rPr>
          <w:snapToGrid w:val="0"/>
          <w:color w:val="000000"/>
        </w:rPr>
        <w:t>rer i samhället. Hon kritiserar denna inriktning för att inte ha fokuserat handling och processer tillräckligt.</w:t>
      </w:r>
      <w:r w:rsidRPr="00F5723F">
        <w:rPr>
          <w:rStyle w:val="Fotnotsreferens"/>
          <w:rFonts w:ascii="Garamond" w:hAnsi="Garamond"/>
          <w:snapToGrid w:val="0"/>
          <w:color w:val="000000"/>
        </w:rPr>
        <w:footnoteReference w:id="211"/>
      </w:r>
      <w:r w:rsidRPr="00F5723F">
        <w:rPr>
          <w:snapToGrid w:val="0"/>
          <w:color w:val="000000"/>
        </w:rPr>
        <w:t xml:space="preserve"> Sainsb</w:t>
      </w:r>
      <w:r w:rsidRPr="00F5723F">
        <w:rPr>
          <w:snapToGrid w:val="0"/>
          <w:color w:val="000000"/>
        </w:rPr>
        <w:t>u</w:t>
      </w:r>
      <w:r w:rsidRPr="00F5723F">
        <w:rPr>
          <w:snapToGrid w:val="0"/>
          <w:color w:val="000000"/>
        </w:rPr>
        <w:t>ry förordar därför att forskningen, mycket skarpare än hittills, riktar blic</w:t>
      </w:r>
      <w:r w:rsidRPr="00F5723F">
        <w:rPr>
          <w:snapToGrid w:val="0"/>
          <w:color w:val="000000"/>
        </w:rPr>
        <w:t>k</w:t>
      </w:r>
      <w:r w:rsidRPr="00F5723F">
        <w:rPr>
          <w:snapToGrid w:val="0"/>
          <w:color w:val="000000"/>
        </w:rPr>
        <w:t>fånget mot de aktörer som arbetat för att öka just andelen kvinnor och på de strateg</w:t>
      </w:r>
      <w:r w:rsidRPr="00F5723F">
        <w:rPr>
          <w:snapToGrid w:val="0"/>
          <w:color w:val="000000"/>
        </w:rPr>
        <w:t>i</w:t>
      </w:r>
      <w:r w:rsidRPr="00F5723F">
        <w:rPr>
          <w:snapToGrid w:val="0"/>
          <w:color w:val="000000"/>
        </w:rPr>
        <w:t>er som de utvecklat för att nå sina mål. Kritikens kärnpunkt är att man inte kan utgå ifrån att det finns något slags automatik enligt vilken and</w:t>
      </w:r>
      <w:r w:rsidRPr="00F5723F">
        <w:rPr>
          <w:snapToGrid w:val="0"/>
          <w:color w:val="000000"/>
        </w:rPr>
        <w:t>e</w:t>
      </w:r>
      <w:r w:rsidRPr="00F5723F">
        <w:rPr>
          <w:snapToGrid w:val="0"/>
          <w:color w:val="000000"/>
        </w:rPr>
        <w:t>len kvi</w:t>
      </w:r>
      <w:r w:rsidRPr="00F5723F">
        <w:rPr>
          <w:snapToGrid w:val="0"/>
          <w:color w:val="000000"/>
        </w:rPr>
        <w:t>n</w:t>
      </w:r>
      <w:r w:rsidRPr="00F5723F">
        <w:rPr>
          <w:snapToGrid w:val="0"/>
          <w:color w:val="000000"/>
        </w:rPr>
        <w:t>nor blir fler i de politiska församlingarna. Man bör således lägga tonvikt på att undersöka de aktörer som arbetar för att öka andelen kvinnor på politiska maktpositioner. Här åsyftas expl</w:t>
      </w:r>
      <w:r w:rsidRPr="00F5723F">
        <w:rPr>
          <w:snapToGrid w:val="0"/>
          <w:color w:val="000000"/>
        </w:rPr>
        <w:t>icit de strategier som kvinnoorgan</w:t>
      </w:r>
      <w:r w:rsidRPr="00F5723F">
        <w:rPr>
          <w:snapToGrid w:val="0"/>
          <w:color w:val="000000"/>
        </w:rPr>
        <w:t>i</w:t>
      </w:r>
      <w:r w:rsidRPr="00F5723F">
        <w:rPr>
          <w:snapToGrid w:val="0"/>
          <w:color w:val="000000"/>
        </w:rPr>
        <w:t>sationerna (både partibundna och fristående) och de politiska partierna har tagit i bruk för att främja kvinnorepresentationen. Sainsbury menar till exe</w:t>
      </w:r>
      <w:r w:rsidRPr="00F5723F">
        <w:rPr>
          <w:snapToGrid w:val="0"/>
          <w:color w:val="000000"/>
        </w:rPr>
        <w:t>m</w:t>
      </w:r>
      <w:r w:rsidRPr="00F5723F">
        <w:rPr>
          <w:snapToGrid w:val="0"/>
          <w:color w:val="000000"/>
        </w:rPr>
        <w:t>pel att kvinnorörelsen under 1960- och 1970-talen bidrog till kvinnors politi</w:t>
      </w:r>
      <w:r w:rsidRPr="00F5723F">
        <w:rPr>
          <w:snapToGrid w:val="0"/>
          <w:color w:val="000000"/>
        </w:rPr>
        <w:t>s</w:t>
      </w:r>
      <w:r w:rsidRPr="00F5723F">
        <w:rPr>
          <w:snapToGrid w:val="0"/>
          <w:color w:val="000000"/>
        </w:rPr>
        <w:t>ka mobilisering genom att ingjuta nytt liv i de etablerade kvinnoförbunden och Fredrika Bremer-Förbundet. Kvinnorörelsen stimulerade därmed de politiska diskussionerna om kvinnors politiska representation.</w:t>
      </w:r>
      <w:r w:rsidRPr="00F5723F">
        <w:rPr>
          <w:rStyle w:val="Fotnotsreferens"/>
          <w:rFonts w:ascii="Garamond" w:hAnsi="Garamond"/>
          <w:snapToGrid w:val="0"/>
          <w:color w:val="000000"/>
        </w:rPr>
        <w:footnoteReference w:id="212"/>
      </w:r>
      <w:r w:rsidRPr="00F5723F">
        <w:rPr>
          <w:snapToGrid w:val="0"/>
          <w:color w:val="000000"/>
        </w:rPr>
        <w:t xml:space="preserve"> </w:t>
      </w:r>
    </w:p>
    <w:p w:rsidR="00B43C57" w:rsidRPr="00F5723F" w:rsidRDefault="00B43C57">
      <w:pPr>
        <w:pStyle w:val="Normaltindrag"/>
      </w:pPr>
      <w:r w:rsidRPr="00F5723F">
        <w:t>I linje med detta resonemang har Lena Wängnerud forskat om mäns och kvinnors intressen i riksdagen.</w:t>
      </w:r>
      <w:r w:rsidRPr="00F5723F">
        <w:rPr>
          <w:rStyle w:val="Fotnotsreferens"/>
          <w:rFonts w:ascii="Garamond" w:hAnsi="Garamond"/>
        </w:rPr>
        <w:footnoteReference w:id="213"/>
      </w:r>
      <w:r w:rsidRPr="00F5723F">
        <w:t xml:space="preserve"> I ett pågående forskningspr</w:t>
      </w:r>
      <w:r w:rsidRPr="00F5723F">
        <w:t>o</w:t>
      </w:r>
      <w:r w:rsidRPr="00F5723F">
        <w:t>jekt studerar Lena Wängnerud den dubbla strategin, det vill säga de politiska partiernas och kvi</w:t>
      </w:r>
      <w:r w:rsidRPr="00F5723F">
        <w:t>n</w:t>
      </w:r>
      <w:r w:rsidRPr="00F5723F">
        <w:t>norörelsens strategier och argument för en ökad kvinnorepresentation i Danmark, Norge och Sverige. Wängnerud menar att ett skäl till att den svenska kvinnorepresentationen ökat är partiernas inbördes tävlan. Partierna har konstant bevakat sin ställning och gjort jämförelser med ko</w:t>
      </w:r>
      <w:r w:rsidRPr="00F5723F">
        <w:t>n</w:t>
      </w:r>
      <w:r w:rsidRPr="00F5723F">
        <w:t>kurrerande partier, dels för att öka den egna kvinnorepresentationen, dels för att framstä</w:t>
      </w:r>
      <w:r w:rsidRPr="00F5723F">
        <w:t>l</w:t>
      </w:r>
      <w:r w:rsidRPr="00F5723F">
        <w:t>la sig själva</w:t>
      </w:r>
      <w:r w:rsidRPr="00F5723F">
        <w:t xml:space="preserve"> i bättre dager.</w:t>
      </w:r>
      <w:r w:rsidRPr="00F5723F">
        <w:rPr>
          <w:rStyle w:val="Fotnotsreferens"/>
          <w:rFonts w:ascii="Garamond" w:hAnsi="Garamond"/>
        </w:rPr>
        <w:footnoteReference w:id="214"/>
      </w:r>
    </w:p>
    <w:p w:rsidR="00B43C57" w:rsidRPr="00F5723F" w:rsidRDefault="00B43C57">
      <w:pPr>
        <w:pStyle w:val="Normaltindrag"/>
        <w:rPr>
          <w:snapToGrid w:val="0"/>
        </w:rPr>
      </w:pPr>
      <w:r w:rsidRPr="00F5723F">
        <w:rPr>
          <w:snapToGrid w:val="0"/>
        </w:rPr>
        <w:t>Vid Stockholms universitet bedrivs under Drude Dahlerups ledning fors</w:t>
      </w:r>
      <w:r w:rsidRPr="00F5723F">
        <w:rPr>
          <w:snapToGrid w:val="0"/>
        </w:rPr>
        <w:t>k</w:t>
      </w:r>
      <w:r w:rsidRPr="00F5723F">
        <w:rPr>
          <w:snapToGrid w:val="0"/>
        </w:rPr>
        <w:t xml:space="preserve">ningsprojektet </w:t>
      </w:r>
      <w:r w:rsidRPr="00F5723F">
        <w:rPr>
          <w:i/>
          <w:snapToGrid w:val="0"/>
        </w:rPr>
        <w:t>Quotas – a key to equality?</w:t>
      </w:r>
      <w:r w:rsidRPr="00F5723F">
        <w:rPr>
          <w:snapToGrid w:val="0"/>
        </w:rPr>
        <w:t xml:space="preserve"> </w:t>
      </w:r>
      <w:r w:rsidRPr="00F5723F">
        <w:rPr>
          <w:rStyle w:val="Fotnotsreferens"/>
        </w:rPr>
        <w:footnoteReference w:id="215"/>
      </w:r>
      <w:r w:rsidRPr="00F5723F">
        <w:t xml:space="preserve"> </w:t>
      </w:r>
      <w:r w:rsidRPr="00F5723F">
        <w:rPr>
          <w:snapToGrid w:val="0"/>
        </w:rPr>
        <w:t>Ur ett internationellt kompar</w:t>
      </w:r>
      <w:r w:rsidRPr="00F5723F">
        <w:rPr>
          <w:snapToGrid w:val="0"/>
        </w:rPr>
        <w:t>a</w:t>
      </w:r>
      <w:r w:rsidRPr="00F5723F">
        <w:rPr>
          <w:snapToGrid w:val="0"/>
        </w:rPr>
        <w:t>tivt perspektiv studeras den nya tendensen att använda könskvot</w:t>
      </w:r>
      <w:r w:rsidRPr="00F5723F">
        <w:rPr>
          <w:snapToGrid w:val="0"/>
        </w:rPr>
        <w:t>e</w:t>
      </w:r>
      <w:r w:rsidRPr="00F5723F">
        <w:rPr>
          <w:snapToGrid w:val="0"/>
        </w:rPr>
        <w:t>ring vid allmänna val som en metod att få en mer jämn representation av kvinnor och män i politiska institutioner</w:t>
      </w:r>
      <w:r w:rsidRPr="00F5723F">
        <w:rPr>
          <w:snapToGrid w:val="0"/>
        </w:rPr>
        <w:t xml:space="preserve">. </w:t>
      </w:r>
      <w:r w:rsidRPr="00F5723F">
        <w:t>Projektet undersöker både debatterna om kvot</w:t>
      </w:r>
      <w:r w:rsidRPr="00F5723F">
        <w:t>e</w:t>
      </w:r>
      <w:r w:rsidRPr="00F5723F">
        <w:t>ring, de faktiska kvoteringsreglerna, den ofta problemfyllda implementerin</w:t>
      </w:r>
      <w:r w:rsidRPr="00F5723F">
        <w:t>g</w:t>
      </w:r>
      <w:r w:rsidRPr="00F5723F">
        <w:t xml:space="preserve">en samt betydelsen av kvotering för kvinnors </w:t>
      </w:r>
      <w:r w:rsidRPr="00F5723F">
        <w:t>”</w:t>
      </w:r>
      <w:r w:rsidRPr="00F5723F">
        <w:t>emp</w:t>
      </w:r>
      <w:r w:rsidRPr="00F5723F">
        <w:t>o</w:t>
      </w:r>
      <w:r w:rsidRPr="00F5723F">
        <w:t>werment</w:t>
      </w:r>
      <w:r w:rsidRPr="00F5723F">
        <w:t>”</w:t>
      </w:r>
      <w:r w:rsidRPr="00F5723F">
        <w:t xml:space="preserve"> i politiken. Även om debatten i de olika länderna visar att könskvotering ses som en förhållandev</w:t>
      </w:r>
      <w:r w:rsidRPr="00F5723F">
        <w:t xml:space="preserve">is kontroversiell metod, </w:t>
      </w:r>
      <w:r w:rsidRPr="00F5723F">
        <w:t>ä</w:t>
      </w:r>
      <w:r w:rsidRPr="00F5723F">
        <w:t>r användningen av någon typ av kvot</w:t>
      </w:r>
      <w:r w:rsidRPr="00F5723F">
        <w:t>e</w:t>
      </w:r>
      <w:r w:rsidRPr="00F5723F">
        <w:t>ringsregler en tydlig trend i världen i</w:t>
      </w:r>
      <w:r w:rsidRPr="00F5723F">
        <w:t xml:space="preserve"> </w:t>
      </w:r>
      <w:r w:rsidRPr="00F5723F">
        <w:t>dag.</w:t>
      </w:r>
      <w:r w:rsidRPr="00F5723F">
        <w:t xml:space="preserve"> </w:t>
      </w:r>
      <w:r w:rsidRPr="00F5723F">
        <w:rPr>
          <w:snapToGrid w:val="0"/>
        </w:rPr>
        <w:t>Som exempel kan nämnas att Rwanda, med en kvinnorepresent</w:t>
      </w:r>
      <w:r w:rsidRPr="00F5723F">
        <w:rPr>
          <w:snapToGrid w:val="0"/>
        </w:rPr>
        <w:t>a</w:t>
      </w:r>
      <w:r w:rsidRPr="00F5723F">
        <w:rPr>
          <w:snapToGrid w:val="0"/>
        </w:rPr>
        <w:t>tion på cirka 49 procent i sitt nationella parlament, numera intar en topplacering på världsrankningslistan efter att ha implementerat kön</w:t>
      </w:r>
      <w:r w:rsidRPr="00F5723F">
        <w:rPr>
          <w:snapToGrid w:val="0"/>
        </w:rPr>
        <w:t>s</w:t>
      </w:r>
      <w:r w:rsidRPr="00F5723F">
        <w:rPr>
          <w:snapToGrid w:val="0"/>
        </w:rPr>
        <w:t>kvotering och har därmed sprungit om Sverige, som nu är på andra plats. I mer än 30 länder har könskvotering skrivits in i konstituti</w:t>
      </w:r>
      <w:r w:rsidRPr="00F5723F">
        <w:rPr>
          <w:snapToGrid w:val="0"/>
        </w:rPr>
        <w:t>o</w:t>
      </w:r>
      <w:r w:rsidRPr="00F5723F">
        <w:rPr>
          <w:snapToGrid w:val="0"/>
        </w:rPr>
        <w:t>n och/eller vallag (legislative quotas), och i fler än 50 länder har ett eller flera partier impleme</w:t>
      </w:r>
      <w:r w:rsidRPr="00F5723F">
        <w:rPr>
          <w:snapToGrid w:val="0"/>
        </w:rPr>
        <w:t>n</w:t>
      </w:r>
      <w:r w:rsidRPr="00F5723F">
        <w:rPr>
          <w:snapToGrid w:val="0"/>
        </w:rPr>
        <w:t>terat regler för könskvotering (party quotas).</w:t>
      </w:r>
      <w:r w:rsidRPr="00F5723F">
        <w:t xml:space="preserve"> </w:t>
      </w:r>
      <w:r w:rsidRPr="00F5723F">
        <w:t>Denna tendens ändrar inte bara den faktiska kvinnor</w:t>
      </w:r>
      <w:r w:rsidRPr="00F5723F">
        <w:t>epresentati</w:t>
      </w:r>
      <w:r w:rsidRPr="00F5723F">
        <w:t>o</w:t>
      </w:r>
      <w:r w:rsidRPr="00F5723F">
        <w:t xml:space="preserve">nen utan också </w:t>
      </w:r>
      <w:r w:rsidRPr="00F5723F">
        <w:t>teorier</w:t>
      </w:r>
      <w:r w:rsidRPr="00F5723F">
        <w:t>na</w:t>
      </w:r>
      <w:r w:rsidRPr="00F5723F">
        <w:t xml:space="preserve"> om vilka faktorer som bestämmer kvinnorepr</w:t>
      </w:r>
      <w:r w:rsidRPr="00F5723F">
        <w:t>e</w:t>
      </w:r>
      <w:r w:rsidRPr="00F5723F">
        <w:t>sentationens storlek och utveckling över tid.</w:t>
      </w:r>
      <w:r w:rsidRPr="00F5723F">
        <w:t xml:space="preserve"> </w:t>
      </w:r>
      <w:r w:rsidRPr="00F5723F">
        <w:rPr>
          <w:snapToGrid w:val="0"/>
        </w:rPr>
        <w:t>En kartläggning över de länder och partier som introducerat kön</w:t>
      </w:r>
      <w:r w:rsidRPr="00F5723F">
        <w:rPr>
          <w:snapToGrid w:val="0"/>
        </w:rPr>
        <w:t>s</w:t>
      </w:r>
      <w:r w:rsidRPr="00F5723F">
        <w:rPr>
          <w:snapToGrid w:val="0"/>
        </w:rPr>
        <w:t>kvotering finns presenterad i en databas som finns tillgänglig på projektets hemsida.</w:t>
      </w:r>
      <w:r w:rsidRPr="00F5723F">
        <w:rPr>
          <w:rStyle w:val="Fotnotsreferens"/>
          <w:rFonts w:ascii="Garamond" w:hAnsi="Garamond"/>
          <w:snapToGrid w:val="0"/>
          <w:color w:val="000000"/>
        </w:rPr>
        <w:footnoteReference w:id="216"/>
      </w:r>
      <w:r w:rsidRPr="00F5723F">
        <w:rPr>
          <w:snapToGrid w:val="0"/>
        </w:rPr>
        <w:t xml:space="preserve"> Här finns även projektets arbetsrapporter med länderspecifika analyser.</w:t>
      </w:r>
      <w:r w:rsidRPr="00F5723F">
        <w:rPr>
          <w:rStyle w:val="Fotnotsreferens"/>
          <w:rFonts w:ascii="Garamond" w:hAnsi="Garamond"/>
          <w:snapToGrid w:val="0"/>
          <w:color w:val="000000"/>
        </w:rPr>
        <w:footnoteReference w:id="217"/>
      </w:r>
    </w:p>
    <w:p w:rsidR="00B43C57" w:rsidRPr="00F5723F" w:rsidRDefault="00B43C57">
      <w:pPr>
        <w:pStyle w:val="Normaltindrag"/>
        <w:rPr>
          <w:snapToGrid w:val="0"/>
        </w:rPr>
      </w:pPr>
      <w:r w:rsidRPr="00F5723F">
        <w:rPr>
          <w:snapToGrid w:val="0"/>
        </w:rPr>
        <w:t xml:space="preserve">Kvinnorepresentationens utveckling i Norden präglas av en inkrementell modell, </w:t>
      </w:r>
      <w:r w:rsidRPr="00F5723F">
        <w:rPr>
          <w:snapToGrid w:val="0"/>
        </w:rPr>
        <w:t>menar Dahlerup och Freidenvall.</w:t>
      </w:r>
      <w:r w:rsidRPr="00F5723F">
        <w:rPr>
          <w:rStyle w:val="Fotnotsreferens"/>
          <w:rFonts w:ascii="Garamond" w:hAnsi="Garamond"/>
          <w:snapToGrid w:val="0"/>
          <w:color w:val="000000"/>
        </w:rPr>
        <w:footnoteReference w:id="218"/>
      </w:r>
      <w:r w:rsidRPr="00F5723F">
        <w:rPr>
          <w:snapToGrid w:val="0"/>
        </w:rPr>
        <w:t xml:space="preserve"> M</w:t>
      </w:r>
      <w:r w:rsidRPr="00F5723F">
        <w:rPr>
          <w:snapToGrid w:val="0"/>
        </w:rPr>
        <w:t>e</w:t>
      </w:r>
      <w:r w:rsidRPr="00F5723F">
        <w:rPr>
          <w:snapToGrid w:val="0"/>
        </w:rPr>
        <w:t>d små, gradvisa förändringar i andelen valda kvinnliga parlamentariker och en diskurs som betonat bland annat kön</w:t>
      </w:r>
      <w:r w:rsidRPr="00F5723F">
        <w:rPr>
          <w:snapToGrid w:val="0"/>
        </w:rPr>
        <w:t>s</w:t>
      </w:r>
      <w:r w:rsidRPr="00F5723F">
        <w:rPr>
          <w:snapToGrid w:val="0"/>
        </w:rPr>
        <w:t>neutralitet samt lika villkor och samarbete mellan könen skiljer sig den nordiska modellen från utvecklingen i andra delar av världen, som genom i</w:t>
      </w:r>
      <w:r w:rsidRPr="00F5723F">
        <w:rPr>
          <w:snapToGrid w:val="0"/>
        </w:rPr>
        <w:t>m</w:t>
      </w:r>
      <w:r w:rsidRPr="00F5723F">
        <w:rPr>
          <w:snapToGrid w:val="0"/>
        </w:rPr>
        <w:t xml:space="preserve">plementeringen av könskvotering </w:t>
      </w:r>
      <w:r w:rsidRPr="00F5723F">
        <w:rPr>
          <w:snapToGrid w:val="0"/>
        </w:rPr>
        <w:t>kan karakt</w:t>
      </w:r>
      <w:r w:rsidRPr="00F5723F">
        <w:rPr>
          <w:snapToGrid w:val="0"/>
        </w:rPr>
        <w:t>eriseras av en s.k. fast track.</w:t>
      </w:r>
      <w:r w:rsidRPr="00F5723F">
        <w:rPr>
          <w:rStyle w:val="Fotnotsreferens"/>
          <w:rFonts w:ascii="Garamond" w:hAnsi="Garamond"/>
          <w:snapToGrid w:val="0"/>
          <w:color w:val="000000"/>
        </w:rPr>
        <w:footnoteReference w:id="219"/>
      </w:r>
      <w:r w:rsidRPr="00F5723F">
        <w:rPr>
          <w:snapToGrid w:val="0"/>
        </w:rPr>
        <w:t xml:space="preserve"> </w:t>
      </w:r>
    </w:p>
    <w:p w:rsidR="00B43C57" w:rsidRPr="00F5723F" w:rsidRDefault="00B43C57">
      <w:pPr>
        <w:pStyle w:val="Normaltindrag"/>
      </w:pPr>
      <w:r w:rsidRPr="00F5723F">
        <w:rPr>
          <w:snapToGrid w:val="0"/>
          <w:color w:val="000000"/>
        </w:rPr>
        <w:t xml:space="preserve">Lenita </w:t>
      </w:r>
      <w:r w:rsidRPr="00F5723F">
        <w:t>Freidenvalls avhandlingsarbete ingår i forskningsprojektet om kv</w:t>
      </w:r>
      <w:r w:rsidRPr="00F5723F">
        <w:t>o</w:t>
      </w:r>
      <w:r w:rsidRPr="00F5723F">
        <w:t>tering, som beskrivits ovan. Undersökningen belyser de svenska politiska partiernas strategier och syn på kvinnorepresentation och kvotering under perioden 1970–2002.</w:t>
      </w:r>
      <w:r w:rsidRPr="00F5723F">
        <w:rPr>
          <w:rStyle w:val="Fotnotsreferens"/>
          <w:rFonts w:ascii="Garamond" w:hAnsi="Garamond"/>
        </w:rPr>
        <w:footnoteReference w:id="220"/>
      </w:r>
      <w:r w:rsidRPr="00F5723F">
        <w:t xml:space="preserve"> </w:t>
      </w:r>
      <w:r w:rsidRPr="00F5723F">
        <w:t>I projektet redovisas en kartläggning av de str</w:t>
      </w:r>
      <w:r w:rsidRPr="00F5723F">
        <w:t>a</w:t>
      </w:r>
      <w:r w:rsidRPr="00F5723F">
        <w:t xml:space="preserve">tegier, som till exempel allmänna mål, rekommendationer samt kvotering, som de svenska partierna implementerat för att öka andelen kvinnor i riksdagen. </w:t>
      </w:r>
      <w:r w:rsidRPr="00F5723F">
        <w:rPr>
          <w:snapToGrid w:val="0"/>
          <w:color w:val="000000"/>
        </w:rPr>
        <w:t>Kartläg</w:t>
      </w:r>
      <w:r w:rsidRPr="00F5723F">
        <w:rPr>
          <w:snapToGrid w:val="0"/>
          <w:color w:val="000000"/>
        </w:rPr>
        <w:t>g</w:t>
      </w:r>
      <w:r w:rsidRPr="00F5723F">
        <w:rPr>
          <w:snapToGrid w:val="0"/>
          <w:color w:val="000000"/>
        </w:rPr>
        <w:t>ningen visar att under perioden 1970–2002 implementerade alla riksdagspartier str</w:t>
      </w:r>
      <w:r w:rsidRPr="00F5723F">
        <w:rPr>
          <w:snapToGrid w:val="0"/>
          <w:color w:val="000000"/>
        </w:rPr>
        <w:t>a</w:t>
      </w:r>
      <w:r w:rsidRPr="00F5723F">
        <w:rPr>
          <w:snapToGrid w:val="0"/>
          <w:color w:val="000000"/>
        </w:rPr>
        <w:t>tegier för ökad kvinnorepresentation. Även om partiernas strategier skiljer sig åt avseende både form och innehåll, kan en gradvis ökad radikalis</w:t>
      </w:r>
      <w:r w:rsidRPr="00F5723F">
        <w:rPr>
          <w:snapToGrid w:val="0"/>
          <w:color w:val="000000"/>
        </w:rPr>
        <w:t>e</w:t>
      </w:r>
      <w:r w:rsidRPr="00F5723F">
        <w:rPr>
          <w:snapToGrid w:val="0"/>
          <w:color w:val="000000"/>
        </w:rPr>
        <w:t>ring över tid noteras.</w:t>
      </w:r>
      <w:r w:rsidRPr="00F5723F">
        <w:t xml:space="preserve"> Utgående från kartläggningen görs en analys av den f</w:t>
      </w:r>
      <w:r w:rsidRPr="00F5723F">
        <w:t>örändrade syn på kvinnors närvaro i politiken som ägt rum över tid.</w:t>
      </w:r>
      <w:r w:rsidRPr="00F5723F">
        <w:rPr>
          <w:snapToGrid w:val="0"/>
          <w:color w:val="000000"/>
        </w:rPr>
        <w:t xml:space="preserve"> </w:t>
      </w:r>
      <w:r w:rsidRPr="00F5723F">
        <w:t>I avhandlingen studeras även hur partierna ser på kvinnors politiska represent</w:t>
      </w:r>
      <w:r w:rsidRPr="00F5723F">
        <w:t>a</w:t>
      </w:r>
      <w:r w:rsidRPr="00F5723F">
        <w:t>tion i ett nutida perspektiv, med en analys av partiernas nomineringsprocesser inför riksdag</w:t>
      </w:r>
      <w:r w:rsidRPr="00F5723F">
        <w:t>s</w:t>
      </w:r>
      <w:r w:rsidRPr="00F5723F">
        <w:t xml:space="preserve">valet 2002. </w:t>
      </w:r>
    </w:p>
    <w:p w:rsidR="00B43C57" w:rsidRPr="00F5723F" w:rsidRDefault="00B43C57">
      <w:pPr>
        <w:pStyle w:val="Rubrik4"/>
        <w:rPr>
          <w:noProof w:val="0"/>
        </w:rPr>
      </w:pPr>
      <w:bookmarkStart w:id="353" w:name="_Toc124697915"/>
      <w:r w:rsidRPr="00F5723F">
        <w:rPr>
          <w:noProof w:val="0"/>
        </w:rPr>
        <w:t xml:space="preserve">Kvinnors </w:t>
      </w:r>
      <w:r w:rsidRPr="00F5723F">
        <w:rPr>
          <w:noProof w:val="0"/>
        </w:rPr>
        <w:t xml:space="preserve">inom- och </w:t>
      </w:r>
      <w:r w:rsidRPr="00F5723F">
        <w:rPr>
          <w:noProof w:val="0"/>
        </w:rPr>
        <w:t>utomparlamentariska organisering</w:t>
      </w:r>
      <w:bookmarkEnd w:id="353"/>
    </w:p>
    <w:p w:rsidR="00B43C57" w:rsidRPr="00F5723F" w:rsidRDefault="00B43C57">
      <w:r w:rsidRPr="00F5723F">
        <w:t xml:space="preserve">Forskning har visat att </w:t>
      </w:r>
      <w:r w:rsidRPr="00F5723F">
        <w:rPr>
          <w:snapToGrid w:val="0"/>
          <w:color w:val="000000"/>
        </w:rPr>
        <w:t>ett effektivt påtryckningsmedel för en ökad kvinnor</w:t>
      </w:r>
      <w:r w:rsidRPr="00F5723F">
        <w:rPr>
          <w:snapToGrid w:val="0"/>
          <w:color w:val="000000"/>
        </w:rPr>
        <w:t>e</w:t>
      </w:r>
      <w:r w:rsidRPr="00F5723F">
        <w:rPr>
          <w:snapToGrid w:val="0"/>
          <w:color w:val="000000"/>
        </w:rPr>
        <w:t>presentation är när det finns både internt och externt tryck för en bättre repr</w:t>
      </w:r>
      <w:r w:rsidRPr="00F5723F">
        <w:rPr>
          <w:snapToGrid w:val="0"/>
          <w:color w:val="000000"/>
        </w:rPr>
        <w:t>e</w:t>
      </w:r>
      <w:r w:rsidRPr="00F5723F">
        <w:rPr>
          <w:snapToGrid w:val="0"/>
          <w:color w:val="000000"/>
        </w:rPr>
        <w:t>sentation.</w:t>
      </w:r>
      <w:r w:rsidRPr="00F5723F">
        <w:rPr>
          <w:rStyle w:val="Fotnotsreferens"/>
          <w:rFonts w:ascii="Garamond" w:hAnsi="Garamond"/>
          <w:snapToGrid w:val="0"/>
          <w:color w:val="000000"/>
        </w:rPr>
        <w:footnoteReference w:id="221"/>
      </w:r>
      <w:r w:rsidRPr="00F5723F">
        <w:rPr>
          <w:snapToGrid w:val="0"/>
          <w:color w:val="000000"/>
        </w:rPr>
        <w:t xml:space="preserve"> Dahlerup talar om ett ömsesidigt behov, där kvinnorepresentati</w:t>
      </w:r>
      <w:r w:rsidRPr="00F5723F">
        <w:rPr>
          <w:snapToGrid w:val="0"/>
          <w:color w:val="000000"/>
        </w:rPr>
        <w:t>o</w:t>
      </w:r>
      <w:r w:rsidRPr="00F5723F">
        <w:rPr>
          <w:snapToGrid w:val="0"/>
          <w:color w:val="000000"/>
        </w:rPr>
        <w:t>nen inte kan öka utan väljarnas påtryckningar på de politiska part</w:t>
      </w:r>
      <w:r w:rsidRPr="00F5723F">
        <w:rPr>
          <w:snapToGrid w:val="0"/>
          <w:color w:val="000000"/>
        </w:rPr>
        <w:t>i</w:t>
      </w:r>
      <w:r w:rsidRPr="00F5723F">
        <w:rPr>
          <w:snapToGrid w:val="0"/>
          <w:color w:val="000000"/>
        </w:rPr>
        <w:t>erna och kvinnoorganisationernas stöd, kritik, expertkunskap och nytänkande.</w:t>
      </w:r>
      <w:r w:rsidRPr="00F5723F">
        <w:rPr>
          <w:rStyle w:val="Fotnotsreferens"/>
          <w:rFonts w:ascii="Garamond" w:hAnsi="Garamond"/>
          <w:snapToGrid w:val="0"/>
          <w:color w:val="000000"/>
        </w:rPr>
        <w:footnoteReference w:id="222"/>
      </w:r>
      <w:r w:rsidRPr="00F5723F">
        <w:t xml:space="preserve"> </w:t>
      </w:r>
      <w:r w:rsidRPr="00F5723F">
        <w:rPr>
          <w:snapToGrid w:val="0"/>
          <w:color w:val="000000"/>
        </w:rPr>
        <w:t>I enlighet med teorin om statsfeminism betonas betydelsen av kvinnors agera</w:t>
      </w:r>
      <w:r w:rsidRPr="00F5723F">
        <w:rPr>
          <w:snapToGrid w:val="0"/>
          <w:color w:val="000000"/>
        </w:rPr>
        <w:t>n</w:t>
      </w:r>
      <w:r w:rsidRPr="00F5723F">
        <w:rPr>
          <w:snapToGrid w:val="0"/>
          <w:color w:val="000000"/>
        </w:rPr>
        <w:t>de både ”from below” i utomparlamentariska grupper and ”from above” i politiska partier och institutioner, för den höga kvinnorepresentationen i de nordiska länderna.</w:t>
      </w:r>
      <w:r w:rsidRPr="00F5723F">
        <w:rPr>
          <w:rStyle w:val="Fotnotsreferens"/>
          <w:rFonts w:ascii="Garamond" w:hAnsi="Garamond"/>
          <w:snapToGrid w:val="0"/>
          <w:color w:val="000000"/>
        </w:rPr>
        <w:footnoteReference w:id="223"/>
      </w:r>
      <w:r w:rsidRPr="00F5723F">
        <w:rPr>
          <w:snapToGrid w:val="0"/>
          <w:color w:val="000000"/>
        </w:rPr>
        <w:t xml:space="preserve"> Denna dubbla strategi – med en interaktion mellan akt</w:t>
      </w:r>
      <w:r w:rsidRPr="00F5723F">
        <w:rPr>
          <w:snapToGrid w:val="0"/>
          <w:color w:val="000000"/>
        </w:rPr>
        <w:t>ö</w:t>
      </w:r>
      <w:r w:rsidRPr="00F5723F">
        <w:rPr>
          <w:snapToGrid w:val="0"/>
          <w:color w:val="000000"/>
        </w:rPr>
        <w:t>rer inom och utanför den parlamentariska/statliga arenan – utgör kärnan i te</w:t>
      </w:r>
      <w:r w:rsidRPr="00F5723F">
        <w:rPr>
          <w:snapToGrid w:val="0"/>
          <w:color w:val="000000"/>
        </w:rPr>
        <w:t>o</w:t>
      </w:r>
      <w:r w:rsidRPr="00F5723F">
        <w:rPr>
          <w:snapToGrid w:val="0"/>
          <w:color w:val="000000"/>
        </w:rPr>
        <w:t>rin om statsfeminism. Till skillnad från flera andra länder har kvinnor i Sver</w:t>
      </w:r>
      <w:r w:rsidRPr="00F5723F">
        <w:rPr>
          <w:snapToGrid w:val="0"/>
          <w:color w:val="000000"/>
        </w:rPr>
        <w:t>i</w:t>
      </w:r>
      <w:r w:rsidRPr="00F5723F">
        <w:rPr>
          <w:snapToGrid w:val="0"/>
          <w:color w:val="000000"/>
        </w:rPr>
        <w:t>ge lierat sig med staten och de parlamentariska kanalerna i sin strävan för en ökad kvinnorepresentation.</w:t>
      </w:r>
      <w:r w:rsidRPr="00F5723F">
        <w:rPr>
          <w:rStyle w:val="Fotnotsreferens"/>
          <w:rFonts w:ascii="Garamond" w:hAnsi="Garamond"/>
          <w:snapToGrid w:val="0"/>
          <w:color w:val="000000"/>
        </w:rPr>
        <w:footnoteReference w:id="224"/>
      </w:r>
      <w:r w:rsidRPr="00F5723F">
        <w:rPr>
          <w:snapToGrid w:val="0"/>
          <w:color w:val="000000"/>
        </w:rPr>
        <w:t xml:space="preserve"> Detta kan inte minst noteras i de politiska kvinnoförbundens kamp för ökad kvinnorepresentation både i sina egna r</w:t>
      </w:r>
      <w:r w:rsidRPr="00F5723F">
        <w:rPr>
          <w:snapToGrid w:val="0"/>
          <w:color w:val="000000"/>
        </w:rPr>
        <w:t>e</w:t>
      </w:r>
      <w:r w:rsidRPr="00F5723F">
        <w:rPr>
          <w:snapToGrid w:val="0"/>
          <w:color w:val="000000"/>
        </w:rPr>
        <w:t>spektive partier och i de beslutsfattande fö</w:t>
      </w:r>
      <w:r w:rsidRPr="00F5723F">
        <w:rPr>
          <w:snapToGrid w:val="0"/>
          <w:color w:val="000000"/>
        </w:rPr>
        <w:t>r</w:t>
      </w:r>
      <w:r w:rsidRPr="00F5723F">
        <w:rPr>
          <w:snapToGrid w:val="0"/>
          <w:color w:val="000000"/>
        </w:rPr>
        <w:t>samlingarna.</w:t>
      </w:r>
      <w:r w:rsidRPr="00F5723F">
        <w:rPr>
          <w:snapToGrid w:val="0"/>
        </w:rPr>
        <w:t xml:space="preserve"> </w:t>
      </w:r>
    </w:p>
    <w:p w:rsidR="00B43C57" w:rsidRPr="00F5723F" w:rsidRDefault="00B43C57">
      <w:pPr>
        <w:pStyle w:val="Normaltindrag"/>
        <w:rPr>
          <w:snapToGrid w:val="0"/>
        </w:rPr>
      </w:pPr>
      <w:r w:rsidRPr="00F5723F">
        <w:rPr>
          <w:snapToGrid w:val="0"/>
        </w:rPr>
        <w:t>Nästan alla svenska partier har eller har haft ett kvinnoförbund.</w:t>
      </w:r>
      <w:r w:rsidRPr="00F5723F">
        <w:rPr>
          <w:rStyle w:val="Fotnotsreferens"/>
          <w:rFonts w:ascii="Garamond" w:hAnsi="Garamond"/>
          <w:snapToGrid w:val="0"/>
          <w:color w:val="000000"/>
        </w:rPr>
        <w:footnoteReference w:id="225"/>
      </w:r>
      <w:r w:rsidRPr="00F5723F">
        <w:rPr>
          <w:snapToGrid w:val="0"/>
        </w:rPr>
        <w:t xml:space="preserve"> De svenska kvinnoförbunden har i ett historiskt perspektiv fungerat både som en stödtrupp till partiet och som en påverkansgrupp.</w:t>
      </w:r>
      <w:r w:rsidRPr="00F5723F">
        <w:rPr>
          <w:rStyle w:val="Fotnotsreferens"/>
          <w:rFonts w:ascii="Garamond" w:hAnsi="Garamond"/>
          <w:snapToGrid w:val="0"/>
          <w:color w:val="000000"/>
        </w:rPr>
        <w:footnoteReference w:id="226"/>
      </w:r>
      <w:r w:rsidRPr="00F5723F">
        <w:rPr>
          <w:snapToGrid w:val="0"/>
        </w:rPr>
        <w:t xml:space="preserve"> Stödtrupp</w:t>
      </w:r>
      <w:r w:rsidRPr="00F5723F">
        <w:rPr>
          <w:snapToGrid w:val="0"/>
        </w:rPr>
        <w:t>s</w:t>
      </w:r>
      <w:r w:rsidRPr="00F5723F">
        <w:rPr>
          <w:snapToGrid w:val="0"/>
        </w:rPr>
        <w:t>funktionen har inneburit att rekrytera kvinnor till partiet, att rekrytera kvinnliga väljare, att utbilda kvinnor för politiska uppdrag samt att sprida partiets politik till kvi</w:t>
      </w:r>
      <w:r w:rsidRPr="00F5723F">
        <w:rPr>
          <w:snapToGrid w:val="0"/>
        </w:rPr>
        <w:t>n</w:t>
      </w:r>
      <w:r w:rsidRPr="00F5723F">
        <w:rPr>
          <w:snapToGrid w:val="0"/>
        </w:rPr>
        <w:t>nor. Denna funktion har emellertid ibland stått i konflikt med funkti</w:t>
      </w:r>
      <w:r w:rsidRPr="00F5723F">
        <w:rPr>
          <w:snapToGrid w:val="0"/>
        </w:rPr>
        <w:t>o</w:t>
      </w:r>
      <w:r w:rsidRPr="00F5723F">
        <w:rPr>
          <w:snapToGrid w:val="0"/>
        </w:rPr>
        <w:t>nen som en påverkansgrupp. Påverkansfunktionen har inneburit att ställa krav på bland annat fler kvinnor i politiken och kritisera partier i frågor om kvinnors villkor. I många fall samarbetade de politiska kvinnoförbunden också med kvinnoo</w:t>
      </w:r>
      <w:r w:rsidRPr="00F5723F">
        <w:rPr>
          <w:snapToGrid w:val="0"/>
        </w:rPr>
        <w:t>r</w:t>
      </w:r>
      <w:r w:rsidRPr="00F5723F">
        <w:rPr>
          <w:snapToGrid w:val="0"/>
        </w:rPr>
        <w:t>ganisati</w:t>
      </w:r>
      <w:r w:rsidRPr="00F5723F">
        <w:rPr>
          <w:snapToGrid w:val="0"/>
        </w:rPr>
        <w:t>o</w:t>
      </w:r>
      <w:r w:rsidRPr="00F5723F">
        <w:rPr>
          <w:snapToGrid w:val="0"/>
        </w:rPr>
        <w:t>ner</w:t>
      </w:r>
      <w:r w:rsidRPr="00F5723F">
        <w:rPr>
          <w:snapToGrid w:val="0"/>
        </w:rPr>
        <w:t xml:space="preserve"> utanför den etablerade partipolitiken.</w:t>
      </w:r>
      <w:r w:rsidRPr="00F5723F">
        <w:rPr>
          <w:rStyle w:val="Fotnotsreferens"/>
          <w:rFonts w:ascii="Garamond" w:hAnsi="Garamond"/>
          <w:snapToGrid w:val="0"/>
          <w:color w:val="000000"/>
        </w:rPr>
        <w:footnoteReference w:id="227"/>
      </w:r>
      <w:r w:rsidRPr="00F5723F">
        <w:rPr>
          <w:snapToGrid w:val="0"/>
        </w:rPr>
        <w:t xml:space="preserve"> </w:t>
      </w:r>
    </w:p>
    <w:p w:rsidR="00B43C57" w:rsidRPr="00F5723F" w:rsidRDefault="00B43C57">
      <w:pPr>
        <w:pStyle w:val="Normaltindrag"/>
      </w:pPr>
      <w:r w:rsidRPr="00F5723F">
        <w:t>Gunnel Karlsson har studerat Socialdemokratiska kvinnoförbundets kamp för inflytande i SAP under efterkrigstiden.</w:t>
      </w:r>
      <w:r w:rsidRPr="00F5723F">
        <w:rPr>
          <w:rStyle w:val="Fotnotsreferens"/>
          <w:rFonts w:ascii="Garamond" w:hAnsi="Garamond"/>
        </w:rPr>
        <w:footnoteReference w:id="228"/>
      </w:r>
      <w:r w:rsidRPr="00F5723F">
        <w:t xml:space="preserve"> </w:t>
      </w:r>
      <w:r w:rsidRPr="00F5723F">
        <w:rPr>
          <w:snapToGrid w:val="0"/>
        </w:rPr>
        <w:t>Karlsson menar att när Socia</w:t>
      </w:r>
      <w:r w:rsidRPr="00F5723F">
        <w:rPr>
          <w:snapToGrid w:val="0"/>
        </w:rPr>
        <w:t>l</w:t>
      </w:r>
      <w:r w:rsidRPr="00F5723F">
        <w:rPr>
          <w:snapToGrid w:val="0"/>
        </w:rPr>
        <w:t>demokratiska kvinnoförbundet förde fram sina åsikter i frågan om atomv</w:t>
      </w:r>
      <w:r w:rsidRPr="00F5723F">
        <w:rPr>
          <w:snapToGrid w:val="0"/>
        </w:rPr>
        <w:t>a</w:t>
      </w:r>
      <w:r w:rsidRPr="00F5723F">
        <w:rPr>
          <w:snapToGrid w:val="0"/>
        </w:rPr>
        <w:t>pen, sex timmars arbetsdag respektive kvotering uppfattade partiet det som att förbundet bröt med spelreglerna.</w:t>
      </w:r>
      <w:r w:rsidRPr="00F5723F">
        <w:rPr>
          <w:rStyle w:val="Fotnotsreferens"/>
          <w:rFonts w:ascii="Garamond" w:hAnsi="Garamond"/>
          <w:snapToGrid w:val="0"/>
          <w:color w:val="000000"/>
        </w:rPr>
        <w:footnoteReference w:id="229"/>
      </w:r>
      <w:r w:rsidRPr="00F5723F">
        <w:rPr>
          <w:snapToGrid w:val="0"/>
        </w:rPr>
        <w:t xml:space="preserve"> </w:t>
      </w:r>
      <w:r w:rsidRPr="00F5723F">
        <w:t>Karlsson menar, tillspetsat, att kvi</w:t>
      </w:r>
      <w:r w:rsidRPr="00F5723F">
        <w:t>n</w:t>
      </w:r>
      <w:r w:rsidRPr="00F5723F">
        <w:t>nors förväntan om jämlikt deltagande i politiken kolliderade med mäns förvä</w:t>
      </w:r>
      <w:r w:rsidRPr="00F5723F">
        <w:t>n</w:t>
      </w:r>
      <w:r w:rsidRPr="00F5723F">
        <w:t xml:space="preserve">tan om en lojal kvinnlig, gärna kaffekokande, stödtrupp. </w:t>
      </w:r>
    </w:p>
    <w:p w:rsidR="00B43C57" w:rsidRPr="00F5723F" w:rsidRDefault="00B43C57">
      <w:pPr>
        <w:pStyle w:val="Normaltindrag"/>
        <w:rPr>
          <w:snapToGrid w:val="0"/>
        </w:rPr>
      </w:pPr>
      <w:r w:rsidRPr="00F5723F">
        <w:rPr>
          <w:snapToGrid w:val="0"/>
        </w:rPr>
        <w:t>Kvinnoförbundens roll i partierna, som både en stödtrupp och en påtryc</w:t>
      </w:r>
      <w:r w:rsidRPr="00F5723F">
        <w:rPr>
          <w:snapToGrid w:val="0"/>
        </w:rPr>
        <w:t>k</w:t>
      </w:r>
      <w:r w:rsidRPr="00F5723F">
        <w:rPr>
          <w:snapToGrid w:val="0"/>
        </w:rPr>
        <w:t>argrupp, har därmed inte varit konfliktfri. Den har utmanat gängse uppfat</w:t>
      </w:r>
      <w:r w:rsidRPr="00F5723F">
        <w:rPr>
          <w:snapToGrid w:val="0"/>
        </w:rPr>
        <w:t>t</w:t>
      </w:r>
      <w:r w:rsidRPr="00F5723F">
        <w:rPr>
          <w:snapToGrid w:val="0"/>
        </w:rPr>
        <w:t>ningar om det politiska, det vill säga vad politik är, vem som skall driva pol</w:t>
      </w:r>
      <w:r w:rsidRPr="00F5723F">
        <w:rPr>
          <w:snapToGrid w:val="0"/>
        </w:rPr>
        <w:t>i</w:t>
      </w:r>
      <w:r w:rsidRPr="00F5723F">
        <w:rPr>
          <w:snapToGrid w:val="0"/>
        </w:rPr>
        <w:t>tiska frågor för vem och hur politik skall bedrivas.</w:t>
      </w:r>
      <w:r w:rsidRPr="00F5723F">
        <w:rPr>
          <w:rStyle w:val="Fotnotsreferens"/>
          <w:rFonts w:ascii="Garamond" w:hAnsi="Garamond"/>
          <w:snapToGrid w:val="0"/>
          <w:color w:val="000000"/>
        </w:rPr>
        <w:footnoteReference w:id="230"/>
      </w:r>
      <w:r w:rsidRPr="00F5723F">
        <w:rPr>
          <w:snapToGrid w:val="0"/>
        </w:rPr>
        <w:t xml:space="preserve"> Maud Eduards menar att det är inte frågan eller kraven per se som är mest utmanande utan kvinnors ko</w:t>
      </w:r>
      <w:r w:rsidRPr="00F5723F">
        <w:rPr>
          <w:snapToGrid w:val="0"/>
        </w:rPr>
        <w:t>l</w:t>
      </w:r>
      <w:r w:rsidRPr="00F5723F">
        <w:rPr>
          <w:snapToGrid w:val="0"/>
        </w:rPr>
        <w:t>lektiva handlande som kvinnor. När kvinnor ställer krav som kvinnor utmanas polit</w:t>
      </w:r>
      <w:r w:rsidRPr="00F5723F">
        <w:rPr>
          <w:snapToGrid w:val="0"/>
        </w:rPr>
        <w:t>i</w:t>
      </w:r>
      <w:r w:rsidRPr="00F5723F">
        <w:rPr>
          <w:snapToGrid w:val="0"/>
        </w:rPr>
        <w:t>ken som traditionellt blivit sedd som könsneutral, och därmed även män som sett sig som företrädare för ett allmänintresse.</w:t>
      </w:r>
      <w:r w:rsidRPr="00F5723F">
        <w:rPr>
          <w:rStyle w:val="Fotnotsreferens"/>
          <w:rFonts w:ascii="Garamond" w:hAnsi="Garamond"/>
          <w:snapToGrid w:val="0"/>
          <w:color w:val="000000"/>
        </w:rPr>
        <w:footnoteReference w:id="231"/>
      </w:r>
    </w:p>
    <w:p w:rsidR="00B43C57" w:rsidRPr="00F5723F" w:rsidRDefault="00B43C57">
      <w:pPr>
        <w:pStyle w:val="Normaltindrag"/>
      </w:pPr>
      <w:r w:rsidRPr="00F5723F">
        <w:t>Annan forskning visar på betydelsen av kvinnors organisering utanför den parlamentariska arenan. Maud Eduards och Gunnel Gustafsson menar till exempel att den höga kvinnorepresentationen i beslutande församlingar är en kons</w:t>
      </w:r>
      <w:r w:rsidRPr="00F5723F">
        <w:t>e</w:t>
      </w:r>
      <w:r w:rsidRPr="00F5723F">
        <w:t>kvens av kvinnorörelsens aktiviteter och engagemang.</w:t>
      </w:r>
      <w:r w:rsidRPr="00F5723F">
        <w:rPr>
          <w:rStyle w:val="Fotnotsreferens"/>
          <w:rFonts w:ascii="Garamond" w:hAnsi="Garamond"/>
        </w:rPr>
        <w:footnoteReference w:id="232"/>
      </w:r>
      <w:r w:rsidRPr="00F5723F">
        <w:t xml:space="preserve"> Till exempel var kvinnor</w:t>
      </w:r>
      <w:r w:rsidRPr="00F5723F">
        <w:t>ö</w:t>
      </w:r>
      <w:r w:rsidRPr="00F5723F">
        <w:t>relsen viktig för rösträttens genomförande och utövade ett tryck på de politi</w:t>
      </w:r>
      <w:r w:rsidRPr="00F5723F">
        <w:t>s</w:t>
      </w:r>
      <w:r w:rsidRPr="00F5723F">
        <w:t xml:space="preserve">ka partierna från första början. Under mellankrigstiden började den fristående kvinnoorganisationen </w:t>
      </w:r>
      <w:r w:rsidRPr="00F5723F">
        <w:rPr>
          <w:i/>
        </w:rPr>
        <w:t>Fredrika-Bremer-F</w:t>
      </w:r>
      <w:r w:rsidRPr="00F5723F">
        <w:rPr>
          <w:i/>
        </w:rPr>
        <w:t>örbundet</w:t>
      </w:r>
      <w:r w:rsidRPr="00F5723F">
        <w:t xml:space="preserve"> föra ka</w:t>
      </w:r>
      <w:r w:rsidRPr="00F5723F">
        <w:t>m</w:t>
      </w:r>
      <w:r w:rsidRPr="00F5723F">
        <w:t>panjer för en ökad kvinnorepresentation. Under 1960- och 1970-talen växte en ny kvinnorörelse fram i Sverige, som bland annat strävade efter att elim</w:t>
      </w:r>
      <w:r w:rsidRPr="00F5723F">
        <w:t>i</w:t>
      </w:r>
      <w:r w:rsidRPr="00F5723F">
        <w:t>nera grä</w:t>
      </w:r>
      <w:r w:rsidRPr="00F5723F">
        <w:t>n</w:t>
      </w:r>
      <w:r w:rsidRPr="00F5723F">
        <w:t>serna mellan det offentliga och det privata. Denna gräns ansågs ligga till grund för mäns öve</w:t>
      </w:r>
      <w:r w:rsidRPr="00F5723F">
        <w:t>r</w:t>
      </w:r>
      <w:r w:rsidRPr="00F5723F">
        <w:t>ordning i det offentl</w:t>
      </w:r>
      <w:r w:rsidRPr="00F5723F">
        <w:t>iga. Den nya kvinnorörelsen agiterade primärt för lika löner men förde även fram kravet på delat ansvar mellan kvinnor och män också inom familjen. Den mest kända bland 1970-talets kvinnoorganis</w:t>
      </w:r>
      <w:r w:rsidRPr="00F5723F">
        <w:t>a</w:t>
      </w:r>
      <w:r w:rsidRPr="00F5723F">
        <w:t xml:space="preserve">tioner var </w:t>
      </w:r>
      <w:r w:rsidRPr="00F5723F">
        <w:rPr>
          <w:i/>
        </w:rPr>
        <w:t>Grupp 8</w:t>
      </w:r>
      <w:r w:rsidRPr="00F5723F">
        <w:t>, som med slagordet ”det personliga är politiskt” utmanade rådande definitioner av till exempel politik. Tillsa</w:t>
      </w:r>
      <w:r w:rsidRPr="00F5723F">
        <w:t>m</w:t>
      </w:r>
      <w:r w:rsidRPr="00F5723F">
        <w:t xml:space="preserve">mans med andra grupper, som till exempel </w:t>
      </w:r>
      <w:r w:rsidRPr="00F5723F">
        <w:rPr>
          <w:i/>
        </w:rPr>
        <w:t>Kvinnoligan i Lund</w:t>
      </w:r>
      <w:r w:rsidRPr="00F5723F">
        <w:t xml:space="preserve">, </w:t>
      </w:r>
      <w:r w:rsidRPr="00F5723F">
        <w:rPr>
          <w:i/>
        </w:rPr>
        <w:t>Arbetets kvinnor</w:t>
      </w:r>
      <w:r w:rsidRPr="00F5723F">
        <w:t xml:space="preserve"> och </w:t>
      </w:r>
      <w:r w:rsidRPr="00F5723F">
        <w:rPr>
          <w:i/>
        </w:rPr>
        <w:t>Lesbisk kamp</w:t>
      </w:r>
      <w:r w:rsidRPr="00F5723F">
        <w:rPr>
          <w:i/>
        </w:rPr>
        <w:t>,</w:t>
      </w:r>
      <w:r w:rsidRPr="00F5723F">
        <w:t xml:space="preserve"> utmanade de den etablerade politiken. De kom också att up</w:t>
      </w:r>
      <w:r w:rsidRPr="00F5723F">
        <w:t>p</w:t>
      </w:r>
      <w:r w:rsidRPr="00F5723F">
        <w:t>fattas som konkurrenter till de p</w:t>
      </w:r>
      <w:r w:rsidRPr="00F5723F">
        <w:t>olitiska kvinnoförbunden när det gällde att attrahera kvinnor till partiarb</w:t>
      </w:r>
      <w:r w:rsidRPr="00F5723F">
        <w:t>e</w:t>
      </w:r>
      <w:r w:rsidRPr="00F5723F">
        <w:t>te.</w:t>
      </w:r>
      <w:r w:rsidRPr="00F5723F">
        <w:rPr>
          <w:rStyle w:val="Fotnotsreferens"/>
          <w:rFonts w:ascii="Garamond" w:hAnsi="Garamond"/>
        </w:rPr>
        <w:footnoteReference w:id="233"/>
      </w:r>
      <w:r w:rsidRPr="00F5723F">
        <w:t xml:space="preserve"> </w:t>
      </w:r>
    </w:p>
    <w:p w:rsidR="00B43C57" w:rsidRPr="00F5723F" w:rsidRDefault="00B43C57">
      <w:pPr>
        <w:pStyle w:val="Normaltindrag"/>
      </w:pPr>
      <w:r w:rsidRPr="00F5723F">
        <w:t>Ett annat exempel på kvinnors organisering utanför den pa</w:t>
      </w:r>
      <w:r w:rsidRPr="00F5723F">
        <w:t>r</w:t>
      </w:r>
      <w:r w:rsidRPr="00F5723F">
        <w:t xml:space="preserve">lamentariska arenan var det feministiska nätverket </w:t>
      </w:r>
      <w:r w:rsidRPr="00F5723F">
        <w:rPr>
          <w:i/>
        </w:rPr>
        <w:t>Stödstrumporna</w:t>
      </w:r>
      <w:r w:rsidRPr="00F5723F">
        <w:t>, som bildades efter valet 1991 då kvinnorepresentationen i riksdagen föll kraftigt. De drev bland annat kravet på en förbättrad representation av kvinnor i de folkvalda försa</w:t>
      </w:r>
      <w:r w:rsidRPr="00F5723F">
        <w:t>m</w:t>
      </w:r>
      <w:r w:rsidRPr="00F5723F">
        <w:t>lingarna. Deras främsta mål var att öka andelen kvinnor inom de politiska partierna. Om detta inte lyckades hotade de med att bilda ett kvinnoparti. Deras kampanjer fick stor medial uppmärksamhet och en stor del av befol</w:t>
      </w:r>
      <w:r w:rsidRPr="00F5723F">
        <w:t>k</w:t>
      </w:r>
      <w:r w:rsidRPr="00F5723F">
        <w:t>ningen sade sig stödja ett eventuellt kvinnoparti</w:t>
      </w:r>
      <w:r w:rsidRPr="00F5723F">
        <w:t>. Vid valet 1994 hade de flesta partier ökat andelen kvinnor på partilistorna.</w:t>
      </w:r>
      <w:r w:rsidRPr="00F5723F">
        <w:rPr>
          <w:rStyle w:val="Fotnotsreferens"/>
          <w:rFonts w:ascii="Garamond" w:hAnsi="Garamond"/>
        </w:rPr>
        <w:footnoteReference w:id="234"/>
      </w:r>
      <w:r w:rsidRPr="00F5723F">
        <w:t xml:space="preserve"> Betydelsen av kvinnors (u</w:t>
      </w:r>
      <w:r w:rsidRPr="00F5723F">
        <w:t>t</w:t>
      </w:r>
      <w:r w:rsidRPr="00F5723F">
        <w:t>omparlament</w:t>
      </w:r>
      <w:r w:rsidRPr="00F5723F">
        <w:t>a</w:t>
      </w:r>
      <w:r w:rsidRPr="00F5723F">
        <w:t>riska) organisering och kollektiva handlingar lyfts således fram i forsknin</w:t>
      </w:r>
      <w:r w:rsidRPr="00F5723F">
        <w:t>g</w:t>
      </w:r>
      <w:r w:rsidRPr="00F5723F">
        <w:t>en.</w:t>
      </w:r>
      <w:r w:rsidRPr="00F5723F">
        <w:rPr>
          <w:rStyle w:val="Fotnotsreferens"/>
          <w:rFonts w:ascii="Garamond" w:hAnsi="Garamond"/>
        </w:rPr>
        <w:footnoteReference w:id="235"/>
      </w:r>
      <w:r w:rsidRPr="00F5723F">
        <w:t xml:space="preserve"> Enligt Maud Eduards kan kvinnors organisering utanför den etabl</w:t>
      </w:r>
      <w:r w:rsidRPr="00F5723F">
        <w:t>e</w:t>
      </w:r>
      <w:r w:rsidRPr="00F5723F">
        <w:t>rade politiken ses som en reaktion på kvinnors fortsatta underordning och olikhet i förhållande till män.</w:t>
      </w:r>
      <w:r w:rsidRPr="00F5723F">
        <w:rPr>
          <w:rStyle w:val="Fotnotsreferens"/>
          <w:rFonts w:ascii="Garamond" w:hAnsi="Garamond"/>
        </w:rPr>
        <w:footnoteReference w:id="236"/>
      </w:r>
    </w:p>
    <w:p w:rsidR="00B43C57" w:rsidRPr="00F5723F" w:rsidRDefault="00B43C57">
      <w:pPr>
        <w:pStyle w:val="Normaltindrag"/>
      </w:pPr>
      <w:r w:rsidRPr="00F5723F">
        <w:t>Malin Rönnblom har studerat betydelsen av det lokala territoriet för kvi</w:t>
      </w:r>
      <w:r w:rsidRPr="00F5723F">
        <w:t>n</w:t>
      </w:r>
      <w:r w:rsidRPr="00F5723F">
        <w:t>nors organisering med utgångspunkt i intervjuer med kvinnor aktiva i kvinn</w:t>
      </w:r>
      <w:r w:rsidRPr="00F5723F">
        <w:t>o</w:t>
      </w:r>
      <w:r w:rsidRPr="00F5723F">
        <w:t>grupper samt med kommunpolitiker i tre kommuner i norra Sverige.</w:t>
      </w:r>
      <w:r w:rsidRPr="00F5723F">
        <w:rPr>
          <w:rStyle w:val="Fotnotsreferens"/>
          <w:rFonts w:ascii="Garamond" w:hAnsi="Garamond"/>
        </w:rPr>
        <w:footnoteReference w:id="237"/>
      </w:r>
      <w:r w:rsidRPr="00F5723F">
        <w:t xml:space="preserve"> Org</w:t>
      </w:r>
      <w:r w:rsidRPr="00F5723F">
        <w:t>a</w:t>
      </w:r>
      <w:r w:rsidRPr="00F5723F">
        <w:t>niseringen ställer krav på bättre villkor för kvinnor, gör kvi</w:t>
      </w:r>
      <w:r w:rsidRPr="00F5723F">
        <w:t>n</w:t>
      </w:r>
      <w:r w:rsidRPr="00F5723F">
        <w:t>nor till politiska aktörer samt pekar ut kön som politisk dimension. Ulrica Thomssons avhan</w:t>
      </w:r>
      <w:r w:rsidRPr="00F5723F">
        <w:t>d</w:t>
      </w:r>
      <w:r w:rsidRPr="00F5723F">
        <w:t>lingsprojekt belyser kvinnorörelsens agerande avseende frågan om sex ti</w:t>
      </w:r>
      <w:r w:rsidRPr="00F5723F">
        <w:t>m</w:t>
      </w:r>
      <w:r w:rsidRPr="00F5723F">
        <w:t>mars arbetsdag, våld mot kvinnor samt kvinnors politiska representation.</w:t>
      </w:r>
      <w:r w:rsidRPr="00F5723F">
        <w:rPr>
          <w:rStyle w:val="Fotnotsreferens"/>
          <w:rFonts w:ascii="Garamond" w:hAnsi="Garamond"/>
        </w:rPr>
        <w:footnoteReference w:id="238"/>
      </w:r>
    </w:p>
    <w:p w:rsidR="00B43C57" w:rsidRPr="00F5723F" w:rsidRDefault="00B43C57">
      <w:pPr>
        <w:pStyle w:val="Rubrik3"/>
        <w:rPr>
          <w:noProof w:val="0"/>
        </w:rPr>
      </w:pPr>
      <w:bookmarkStart w:id="354" w:name="_Toc121739007"/>
      <w:bookmarkStart w:id="355" w:name="_Toc124697916"/>
      <w:r w:rsidRPr="00F5723F">
        <w:rPr>
          <w:noProof w:val="0"/>
        </w:rPr>
        <w:t>Rekrytering och nominering till Sveriges riksdag</w:t>
      </w:r>
      <w:bookmarkEnd w:id="354"/>
      <w:bookmarkEnd w:id="355"/>
    </w:p>
    <w:p w:rsidR="00B43C57" w:rsidRPr="00F5723F" w:rsidRDefault="00B43C57">
      <w:r w:rsidRPr="00F5723F">
        <w:t>Det tredje temat i den befintliga forskningen om riksdagen ur ett genuspe</w:t>
      </w:r>
      <w:r w:rsidRPr="00F5723F">
        <w:t>r</w:t>
      </w:r>
      <w:r w:rsidRPr="00F5723F">
        <w:t>spektiv belyser rekryterings- och nomineringsprocesserna till riksdagen. Forskningen har till exempel visat att Sverige aldrig haft en folkrepresentation i det hänseendet att riksdagen återspeglat folkets sammansättning med avs</w:t>
      </w:r>
      <w:r w:rsidRPr="00F5723F">
        <w:t>e</w:t>
      </w:r>
      <w:r w:rsidRPr="00F5723F">
        <w:t>ende på kön, etnicitet, ålder, yrke, utbildningsgrad, bosättning etc. Kvinnor har alltid varit underrepr</w:t>
      </w:r>
      <w:r w:rsidRPr="00F5723F">
        <w:t>e</w:t>
      </w:r>
      <w:r w:rsidRPr="00F5723F">
        <w:t>senterade i riksdagen, och både ungdomar och äldre har haft svårt att etablera sig i politiken.</w:t>
      </w:r>
      <w:r w:rsidRPr="00F5723F">
        <w:rPr>
          <w:rStyle w:val="Fotnotsreferens"/>
          <w:rFonts w:ascii="Garamond" w:hAnsi="Garamond"/>
        </w:rPr>
        <w:footnoteReference w:id="239"/>
      </w:r>
      <w:r w:rsidRPr="00F5723F">
        <w:t xml:space="preserve"> </w:t>
      </w:r>
    </w:p>
    <w:p w:rsidR="00B43C57" w:rsidRPr="00F5723F" w:rsidRDefault="00B43C57">
      <w:pPr>
        <w:pStyle w:val="Normaltindrag"/>
      </w:pPr>
      <w:r w:rsidRPr="00F5723F">
        <w:t xml:space="preserve">Harriet Lundblads studie </w:t>
      </w:r>
      <w:r w:rsidRPr="00F5723F">
        <w:rPr>
          <w:i/>
        </w:rPr>
        <w:t>De kvinnliga riksdagsledamöterna åren 1922–1949</w:t>
      </w:r>
      <w:r w:rsidRPr="00F5723F">
        <w:t xml:space="preserve"> är en av de få studier som behandlar rekrytering av kvinnor till riksd</w:t>
      </w:r>
      <w:r w:rsidRPr="00F5723F">
        <w:t>a</w:t>
      </w:r>
      <w:r w:rsidRPr="00F5723F">
        <w:t>gen ur ett historiskt perspektiv. I studien kartläggs de kvinnliga riksdagsled</w:t>
      </w:r>
      <w:r w:rsidRPr="00F5723F">
        <w:t>a</w:t>
      </w:r>
      <w:r w:rsidRPr="00F5723F">
        <w:t>möternas sociala bakgrund och deras riksdagsarbete. En annan studie är C</w:t>
      </w:r>
      <w:r w:rsidRPr="00F5723F">
        <w:t>a</w:t>
      </w:r>
      <w:r w:rsidRPr="00F5723F">
        <w:t xml:space="preserve">milla Norrbins </w:t>
      </w:r>
      <w:r w:rsidRPr="00F5723F">
        <w:rPr>
          <w:i/>
        </w:rPr>
        <w:t>Från isolering till integrering</w:t>
      </w:r>
      <w:r w:rsidRPr="00F5723F">
        <w:t xml:space="preserve"> som till viss del behandlar r</w:t>
      </w:r>
      <w:r w:rsidRPr="00F5723F">
        <w:t>e</w:t>
      </w:r>
      <w:r w:rsidRPr="00F5723F">
        <w:t>krytering av kvinnor till riksdagen under perioden 1922–1970. Maria Oskar</w:t>
      </w:r>
      <w:r w:rsidRPr="00F5723F">
        <w:t>s</w:t>
      </w:r>
      <w:r w:rsidRPr="00F5723F">
        <w:t>son och Lena Wängnerud har i en studie om de kvinnliga riksdagsledamöte</w:t>
      </w:r>
      <w:r w:rsidRPr="00F5723F">
        <w:t>r</w:t>
      </w:r>
      <w:r w:rsidRPr="00F5723F">
        <w:t>na i 1980-talets r</w:t>
      </w:r>
      <w:r w:rsidRPr="00F5723F">
        <w:t>iksdag kunnat konstatera att kvinnor mer framstod som en elitgrupp än män bland annat beroende på en högre utbildnings- och yrke</w:t>
      </w:r>
      <w:r w:rsidRPr="00F5723F">
        <w:t>s</w:t>
      </w:r>
      <w:r w:rsidRPr="00F5723F">
        <w:t>bakgrund.</w:t>
      </w:r>
    </w:p>
    <w:p w:rsidR="00B43C57" w:rsidRPr="00F5723F" w:rsidRDefault="00B43C57">
      <w:pPr>
        <w:pStyle w:val="Normaltindrag"/>
        <w:rPr>
          <w:snapToGrid w:val="0"/>
        </w:rPr>
      </w:pPr>
      <w:r w:rsidRPr="00F5723F">
        <w:rPr>
          <w:snapToGrid w:val="0"/>
        </w:rPr>
        <w:t>Svensk forskning om nomineringsprocessen har visat att det finns en skil</w:t>
      </w:r>
      <w:r w:rsidRPr="00F5723F">
        <w:rPr>
          <w:snapToGrid w:val="0"/>
        </w:rPr>
        <w:t>l</w:t>
      </w:r>
      <w:r w:rsidRPr="00F5723F">
        <w:rPr>
          <w:snapToGrid w:val="0"/>
        </w:rPr>
        <w:t>nad mellan andel nominerade och andel valda kvinnor och att kvinnor ofta var placerade på icke valbar plats på partilistorna.</w:t>
      </w:r>
      <w:r w:rsidRPr="00F5723F">
        <w:rPr>
          <w:rStyle w:val="Fotnotsreferens"/>
          <w:rFonts w:ascii="Garamond" w:hAnsi="Garamond"/>
          <w:snapToGrid w:val="0"/>
          <w:color w:val="000000"/>
        </w:rPr>
        <w:footnoteReference w:id="240"/>
      </w:r>
      <w:r w:rsidRPr="00F5723F">
        <w:rPr>
          <w:snapToGrid w:val="0"/>
        </w:rPr>
        <w:t xml:space="preserve"> På Författningsutredningens uppdrag utförde Lars Sköld en utredning om kandidatnominering vid andr</w:t>
      </w:r>
      <w:r w:rsidRPr="00F5723F">
        <w:rPr>
          <w:snapToGrid w:val="0"/>
        </w:rPr>
        <w:t>a</w:t>
      </w:r>
      <w:r w:rsidRPr="00F5723F">
        <w:rPr>
          <w:snapToGrid w:val="0"/>
        </w:rPr>
        <w:t>kammarval, där särskilt frågan om kvinnors placering på partilistorna 1952 studerades. Syftet var att kartlägga och analysera samtliga i Sverige då för</w:t>
      </w:r>
      <w:r w:rsidRPr="00F5723F">
        <w:rPr>
          <w:snapToGrid w:val="0"/>
        </w:rPr>
        <w:t>e</w:t>
      </w:r>
      <w:r w:rsidRPr="00F5723F">
        <w:rPr>
          <w:snapToGrid w:val="0"/>
        </w:rPr>
        <w:t>kommande riksdagspartiers system för kandidatnominering till andraka</w:t>
      </w:r>
      <w:r w:rsidRPr="00F5723F">
        <w:rPr>
          <w:snapToGrid w:val="0"/>
        </w:rPr>
        <w:t>m</w:t>
      </w:r>
      <w:r w:rsidRPr="00F5723F">
        <w:rPr>
          <w:snapToGrid w:val="0"/>
        </w:rPr>
        <w:t>marval samt att tolka utfallet av de olika systemen.</w:t>
      </w:r>
      <w:r w:rsidRPr="00F5723F">
        <w:rPr>
          <w:rStyle w:val="Fotnotsreferens"/>
          <w:rFonts w:ascii="Garamond" w:hAnsi="Garamond"/>
          <w:snapToGrid w:val="0"/>
          <w:color w:val="000000"/>
        </w:rPr>
        <w:footnoteReference w:id="241"/>
      </w:r>
      <w:r w:rsidRPr="00F5723F">
        <w:rPr>
          <w:snapToGrid w:val="0"/>
        </w:rPr>
        <w:t xml:space="preserve"> Denna studie visade att andelen nominerade kvinnor översteg andelen valda och att detta förhållande karakteriserar samtliga partier. I utredningen dras slutsatsen att kvinnor, trots att de var något överrepresenterade på partilistornas övre del, inte blivit inva</w:t>
      </w:r>
      <w:r w:rsidRPr="00F5723F">
        <w:rPr>
          <w:snapToGrid w:val="0"/>
        </w:rPr>
        <w:t>l</w:t>
      </w:r>
      <w:r w:rsidRPr="00F5723F">
        <w:rPr>
          <w:snapToGrid w:val="0"/>
        </w:rPr>
        <w:t>da i motsvarande mån. Som orsak till detta angavs bland annat att kvinnor i stor utsträckning blivit placerade på platser alldeles efter valbar plats. I 1972 års grundlagsberedning gjordes en uppföljning av Författningsutredningens resultat från 19</w:t>
      </w:r>
      <w:r w:rsidRPr="00F5723F">
        <w:rPr>
          <w:snapToGrid w:val="0"/>
        </w:rPr>
        <w:t>52 för att studera i vilken mån de var giltiga inför riksdagsv</w:t>
      </w:r>
      <w:r w:rsidRPr="00F5723F">
        <w:rPr>
          <w:snapToGrid w:val="0"/>
        </w:rPr>
        <w:t>a</w:t>
      </w:r>
      <w:r w:rsidRPr="00F5723F">
        <w:rPr>
          <w:snapToGrid w:val="0"/>
        </w:rPr>
        <w:t>let 1970.</w:t>
      </w:r>
      <w:r w:rsidRPr="00F5723F">
        <w:rPr>
          <w:rStyle w:val="Fotnotsreferens"/>
          <w:rFonts w:ascii="Garamond" w:hAnsi="Garamond"/>
          <w:snapToGrid w:val="0"/>
          <w:color w:val="000000"/>
        </w:rPr>
        <w:footnoteReference w:id="242"/>
      </w:r>
      <w:r w:rsidRPr="00F5723F">
        <w:rPr>
          <w:snapToGrid w:val="0"/>
        </w:rPr>
        <w:t xml:space="preserve"> </w:t>
      </w:r>
      <w:r w:rsidRPr="00F5723F">
        <w:rPr>
          <w:snapToGrid w:val="0"/>
        </w:rPr>
        <w:t xml:space="preserve">Studien visar att andelen kvinnor på listorna </w:t>
      </w:r>
      <w:r w:rsidRPr="00F5723F">
        <w:rPr>
          <w:snapToGrid w:val="0"/>
        </w:rPr>
        <w:t>hade ökat inom sam</w:t>
      </w:r>
      <w:r w:rsidRPr="00F5723F">
        <w:rPr>
          <w:snapToGrid w:val="0"/>
        </w:rPr>
        <w:t>t</w:t>
      </w:r>
      <w:r w:rsidRPr="00F5723F">
        <w:rPr>
          <w:snapToGrid w:val="0"/>
        </w:rPr>
        <w:t>liga partier</w:t>
      </w:r>
      <w:r w:rsidRPr="00F5723F">
        <w:rPr>
          <w:snapToGrid w:val="0"/>
        </w:rPr>
        <w:t xml:space="preserve"> men att ökningen var anmärkningsvärt liten. Den var störst för Socia</w:t>
      </w:r>
      <w:r w:rsidRPr="00F5723F">
        <w:rPr>
          <w:snapToGrid w:val="0"/>
        </w:rPr>
        <w:t>l</w:t>
      </w:r>
      <w:r w:rsidRPr="00F5723F">
        <w:rPr>
          <w:snapToGrid w:val="0"/>
        </w:rPr>
        <w:t>de</w:t>
      </w:r>
      <w:r w:rsidRPr="00F5723F">
        <w:rPr>
          <w:snapToGrid w:val="0"/>
        </w:rPr>
        <w:t>mokraterna och Centerpartiet (6–7 procent</w:t>
      </w:r>
      <w:r w:rsidRPr="00F5723F">
        <w:rPr>
          <w:snapToGrid w:val="0"/>
        </w:rPr>
        <w:t>) och minst för Folk</w:t>
      </w:r>
      <w:r w:rsidRPr="00F5723F">
        <w:rPr>
          <w:snapToGrid w:val="0"/>
        </w:rPr>
        <w:t>partiet (1 procent</w:t>
      </w:r>
      <w:r w:rsidRPr="00F5723F">
        <w:rPr>
          <w:snapToGrid w:val="0"/>
        </w:rPr>
        <w:t>). And</w:t>
      </w:r>
      <w:r w:rsidRPr="00F5723F">
        <w:rPr>
          <w:snapToGrid w:val="0"/>
        </w:rPr>
        <w:t>e</w:t>
      </w:r>
      <w:r w:rsidRPr="00F5723F">
        <w:rPr>
          <w:snapToGrid w:val="0"/>
        </w:rPr>
        <w:t>len invalda kvi</w:t>
      </w:r>
      <w:r w:rsidRPr="00F5723F">
        <w:rPr>
          <w:snapToGrid w:val="0"/>
        </w:rPr>
        <w:t>n</w:t>
      </w:r>
      <w:r w:rsidRPr="00F5723F">
        <w:rPr>
          <w:snapToGrid w:val="0"/>
        </w:rPr>
        <w:t>nor hade ökat kraft</w:t>
      </w:r>
      <w:r w:rsidRPr="00F5723F">
        <w:rPr>
          <w:snapToGrid w:val="0"/>
        </w:rPr>
        <w:t>igast för Centerpartiet från 2</w:t>
      </w:r>
      <w:r w:rsidRPr="00F5723F">
        <w:rPr>
          <w:snapToGrid w:val="0"/>
        </w:rPr>
        <w:t xml:space="preserve"> till 15 procent, medan Moderaterna och Folkpartiet hade ungefär sa</w:t>
      </w:r>
      <w:r w:rsidRPr="00F5723F">
        <w:rPr>
          <w:snapToGrid w:val="0"/>
        </w:rPr>
        <w:t>m</w:t>
      </w:r>
      <w:r w:rsidRPr="00F5723F">
        <w:rPr>
          <w:snapToGrid w:val="0"/>
        </w:rPr>
        <w:t>ma andel som vid 1953 års riksdag. Utredningen konstaterade även att part</w:t>
      </w:r>
      <w:r w:rsidRPr="00F5723F">
        <w:rPr>
          <w:snapToGrid w:val="0"/>
        </w:rPr>
        <w:t>i</w:t>
      </w:r>
      <w:r w:rsidRPr="00F5723F">
        <w:rPr>
          <w:snapToGrid w:val="0"/>
        </w:rPr>
        <w:t>ledningarna när det gällde 1970 års val i betydligt högre utsträcknin</w:t>
      </w:r>
      <w:r w:rsidRPr="00F5723F">
        <w:rPr>
          <w:snapToGrid w:val="0"/>
        </w:rPr>
        <w:t>g än 1948 och 1952 hade strävat efter att få reda på vilka kandidater medlemmarna önskade se uppförda på valsedla</w:t>
      </w:r>
      <w:r w:rsidRPr="00F5723F">
        <w:rPr>
          <w:snapToGrid w:val="0"/>
        </w:rPr>
        <w:t>r</w:t>
      </w:r>
      <w:r w:rsidRPr="00F5723F">
        <w:rPr>
          <w:snapToGrid w:val="0"/>
        </w:rPr>
        <w:t>na.</w:t>
      </w:r>
      <w:r w:rsidRPr="00F5723F">
        <w:rPr>
          <w:rStyle w:val="Fotnotsreferens"/>
          <w:rFonts w:ascii="Garamond" w:hAnsi="Garamond"/>
          <w:snapToGrid w:val="0"/>
          <w:color w:val="000000"/>
        </w:rPr>
        <w:footnoteReference w:id="243"/>
      </w:r>
      <w:r w:rsidRPr="00F5723F">
        <w:rPr>
          <w:snapToGrid w:val="0"/>
        </w:rPr>
        <w:t xml:space="preserve"> </w:t>
      </w:r>
    </w:p>
    <w:p w:rsidR="00B43C57" w:rsidRPr="00F5723F" w:rsidRDefault="00B43C57">
      <w:pPr>
        <w:pStyle w:val="Normaltindrag"/>
        <w:rPr>
          <w:snapToGrid w:val="0"/>
        </w:rPr>
      </w:pPr>
      <w:r w:rsidRPr="00F5723F">
        <w:t xml:space="preserve">Till den mer aktuella forskningen hör </w:t>
      </w:r>
      <w:r w:rsidRPr="00F5723F">
        <w:rPr>
          <w:snapToGrid w:val="0"/>
        </w:rPr>
        <w:t>Jan Johanssons studie av partiernas kandidatnomineringar till riksdagen inför valet 1994.</w:t>
      </w:r>
      <w:r w:rsidRPr="00F5723F">
        <w:rPr>
          <w:rStyle w:val="Fotnotsreferens"/>
          <w:rFonts w:ascii="Garamond" w:hAnsi="Garamond"/>
          <w:snapToGrid w:val="0"/>
          <w:color w:val="000000"/>
        </w:rPr>
        <w:footnoteReference w:id="244"/>
      </w:r>
      <w:r w:rsidRPr="00F5723F">
        <w:rPr>
          <w:snapToGrid w:val="0"/>
        </w:rPr>
        <w:t xml:space="preserve"> Studien visar att part</w:t>
      </w:r>
      <w:r w:rsidRPr="00F5723F">
        <w:rPr>
          <w:snapToGrid w:val="0"/>
        </w:rPr>
        <w:t>i</w:t>
      </w:r>
      <w:r w:rsidRPr="00F5723F">
        <w:rPr>
          <w:snapToGrid w:val="0"/>
        </w:rPr>
        <w:t>ernas prioriteringar av kandidaternas grupptillhörighet skilde sig stort. Kvinnor prioriterades i högre utsträckning inom Socialdemokraterna, Fol</w:t>
      </w:r>
      <w:r w:rsidRPr="00F5723F">
        <w:rPr>
          <w:snapToGrid w:val="0"/>
        </w:rPr>
        <w:t>k</w:t>
      </w:r>
      <w:r w:rsidRPr="00F5723F">
        <w:rPr>
          <w:snapToGrid w:val="0"/>
        </w:rPr>
        <w:t>partiet liberalerna och Vänsterpartiet för valbara platser, medan Moderata samlingspartiet utmärkte sig genom att minst prioritera de kvinnliga kandid</w:t>
      </w:r>
      <w:r w:rsidRPr="00F5723F">
        <w:rPr>
          <w:snapToGrid w:val="0"/>
        </w:rPr>
        <w:t>a</w:t>
      </w:r>
      <w:r w:rsidRPr="00F5723F">
        <w:rPr>
          <w:snapToGrid w:val="0"/>
        </w:rPr>
        <w:t>terna.</w:t>
      </w:r>
      <w:r w:rsidRPr="00F5723F">
        <w:rPr>
          <w:rStyle w:val="Fotnotsreferens"/>
          <w:rFonts w:ascii="Garamond" w:hAnsi="Garamond"/>
          <w:snapToGrid w:val="0"/>
        </w:rPr>
        <w:footnoteReference w:id="245"/>
      </w:r>
      <w:r w:rsidRPr="00F5723F">
        <w:rPr>
          <w:snapToGrid w:val="0"/>
        </w:rPr>
        <w:t xml:space="preserve"> Johansson drar också slutsatsen att genom att Socialdemokraternas kvinnoförbund fått igenom principen om varannan damernas var de inte län</w:t>
      </w:r>
      <w:r w:rsidRPr="00F5723F">
        <w:rPr>
          <w:snapToGrid w:val="0"/>
        </w:rPr>
        <w:t>g</w:t>
      </w:r>
      <w:r w:rsidRPr="00F5723F">
        <w:rPr>
          <w:snapToGrid w:val="0"/>
        </w:rPr>
        <w:t>re organiserade kring ”något tydligt intresse” i nomineringssa</w:t>
      </w:r>
      <w:r w:rsidRPr="00F5723F">
        <w:rPr>
          <w:snapToGrid w:val="0"/>
        </w:rPr>
        <w:t>m</w:t>
      </w:r>
      <w:r w:rsidRPr="00F5723F">
        <w:rPr>
          <w:snapToGrid w:val="0"/>
        </w:rPr>
        <w:t>manhang och att ”konflikten mellan män och kvinnor” på så sätt var a</w:t>
      </w:r>
      <w:r w:rsidRPr="00F5723F">
        <w:rPr>
          <w:snapToGrid w:val="0"/>
        </w:rPr>
        <w:t>v</w:t>
      </w:r>
      <w:r w:rsidRPr="00F5723F">
        <w:rPr>
          <w:snapToGrid w:val="0"/>
        </w:rPr>
        <w:t>skaffad.</w:t>
      </w:r>
      <w:r w:rsidRPr="00F5723F">
        <w:rPr>
          <w:rStyle w:val="Fotnotsreferens"/>
          <w:rFonts w:ascii="Garamond" w:hAnsi="Garamond"/>
          <w:snapToGrid w:val="0"/>
        </w:rPr>
        <w:footnoteReference w:id="246"/>
      </w:r>
    </w:p>
    <w:p w:rsidR="00B43C57" w:rsidRPr="00F5723F" w:rsidRDefault="00B43C57">
      <w:pPr>
        <w:pStyle w:val="Normaltindrag"/>
      </w:pPr>
      <w:r w:rsidRPr="00F5723F">
        <w:rPr>
          <w:snapToGrid w:val="0"/>
        </w:rPr>
        <w:t xml:space="preserve">Narud, Pedersen och Valen har analyserat nomineringsprocesserna </w:t>
      </w:r>
      <w:r w:rsidRPr="00F5723F">
        <w:t>som s.k. demokratiska instrument</w:t>
      </w:r>
      <w:r w:rsidRPr="00F5723F">
        <w:t xml:space="preserve"> i </w:t>
      </w:r>
      <w:r w:rsidRPr="00F5723F">
        <w:t xml:space="preserve">fyra av </w:t>
      </w:r>
      <w:r w:rsidRPr="00F5723F">
        <w:t>de nordiska länderna</w:t>
      </w:r>
      <w:r w:rsidRPr="00F5723F">
        <w:t>.</w:t>
      </w:r>
      <w:r w:rsidRPr="00F5723F">
        <w:rPr>
          <w:rStyle w:val="Fotnotsreferens"/>
          <w:rFonts w:ascii="Garamond" w:hAnsi="Garamond"/>
        </w:rPr>
        <w:footnoteReference w:id="247"/>
      </w:r>
      <w:r w:rsidRPr="00F5723F">
        <w:t xml:space="preserve"> I studierna jä</w:t>
      </w:r>
      <w:r w:rsidRPr="00F5723F">
        <w:t>m</w:t>
      </w:r>
      <w:r w:rsidRPr="00F5723F">
        <w:t>förs institutioner, processer och oskrivna normer, med särskild tonvikt på medborgarnas inflytande i nomineringsprocessen</w:t>
      </w:r>
      <w:r w:rsidRPr="00F5723F">
        <w:t>.</w:t>
      </w:r>
      <w:r w:rsidRPr="00F5723F">
        <w:t xml:space="preserve"> Studierna behandlar kvi</w:t>
      </w:r>
      <w:r w:rsidRPr="00F5723F">
        <w:t>n</w:t>
      </w:r>
      <w:r w:rsidRPr="00F5723F">
        <w:t>norepresentationen i endast begränsad utsträckning men visar till exempel att andelen kvinnliga kandidater och kvinnliga valda har ökat i samtliga no</w:t>
      </w:r>
      <w:r w:rsidRPr="00F5723F">
        <w:t>r</w:t>
      </w:r>
      <w:r w:rsidRPr="00F5723F">
        <w:t xml:space="preserve">diska länder under den senaste 30-årsperioden. </w:t>
      </w:r>
    </w:p>
    <w:p w:rsidR="00B43C57" w:rsidRPr="00F5723F" w:rsidRDefault="00B43C57">
      <w:pPr>
        <w:pStyle w:val="Normaltindrag"/>
      </w:pPr>
      <w:r w:rsidRPr="00F5723F">
        <w:t xml:space="preserve">Den danska studien visar att andelen valda kvinnor ökat mer än andelen nominerade kvinnliga kandidater, vilket tyder på att även väljarna har givit en </w:t>
      </w:r>
      <w:r w:rsidRPr="00F5723F">
        <w:t>preferens för kvinnor, även om det finns stora geografiska variationer.</w:t>
      </w:r>
      <w:r w:rsidRPr="00F5723F">
        <w:rPr>
          <w:rStyle w:val="Fotnotsreferens"/>
          <w:rFonts w:ascii="Garamond" w:hAnsi="Garamond"/>
        </w:rPr>
        <w:footnoteReference w:id="248"/>
      </w:r>
      <w:r w:rsidRPr="00F5723F">
        <w:t xml:space="preserve"> Studien visar även att kvinnor vid valet 1994 å ena sidan placerades (och plac</w:t>
      </w:r>
      <w:r w:rsidRPr="00F5723F">
        <w:t>e</w:t>
      </w:r>
      <w:r w:rsidRPr="00F5723F">
        <w:t>rade sig själva) i valkretsar där sannolikheten för inval var större. Å andra sidan tillämpades inte positiv särbehandling för att kvinnor skulle up</w:t>
      </w:r>
      <w:r w:rsidRPr="00F5723F">
        <w:t>p</w:t>
      </w:r>
      <w:r w:rsidRPr="00F5723F">
        <w:t>nå de högsta platserna. Män blev i större utsträckning än kvinnor placerade som nummer ett på valsedeln, medan kvinnor i större utsträckning än män plac</w:t>
      </w:r>
      <w:r w:rsidRPr="00F5723F">
        <w:t>e</w:t>
      </w:r>
      <w:r w:rsidRPr="00F5723F">
        <w:t xml:space="preserve">rades på platser längre ned på valsedeln. </w:t>
      </w:r>
    </w:p>
    <w:p w:rsidR="00B43C57" w:rsidRPr="00F5723F" w:rsidRDefault="00B43C57">
      <w:pPr>
        <w:pStyle w:val="Normaltindrag"/>
      </w:pPr>
      <w:r w:rsidRPr="00F5723F">
        <w:t xml:space="preserve">Den finska studien visar att omvalsfrekvensen varit högre för män än för kvinnor under </w:t>
      </w:r>
      <w:r w:rsidRPr="00F5723F">
        <w:t>perioden 1945–1995, med ett undantag.</w:t>
      </w:r>
      <w:r w:rsidRPr="00F5723F">
        <w:rPr>
          <w:rStyle w:val="Fotnotsreferens"/>
          <w:rFonts w:ascii="Garamond" w:hAnsi="Garamond"/>
        </w:rPr>
        <w:footnoteReference w:id="249"/>
      </w:r>
      <w:r w:rsidRPr="00F5723F">
        <w:t xml:space="preserve"> Även om studien understryker att det är möjligt att några kandidater, till exempel unga och kvinnor, offrats till förmån för den geografiska representationen, konstat</w:t>
      </w:r>
      <w:r w:rsidRPr="00F5723F">
        <w:t>e</w:t>
      </w:r>
      <w:r w:rsidRPr="00F5723F">
        <w:t>ras att en kandidats omvalsfrekvens har mer att göra med kandidatens personliga bedömning av sina insatser än med ett missnöje hos valberedningen, partio</w:t>
      </w:r>
      <w:r w:rsidRPr="00F5723F">
        <w:t>r</w:t>
      </w:r>
      <w:r w:rsidRPr="00F5723F">
        <w:t>ganis</w:t>
      </w:r>
      <w:r w:rsidRPr="00F5723F">
        <w:t>a</w:t>
      </w:r>
      <w:r w:rsidRPr="00F5723F">
        <w:t>tionen eller väljarna. Eftersom det finns ett samband mellan andel valda kvinnliga ledamöter (och andra underrepresenterade grupper) och andel n</w:t>
      </w:r>
      <w:r w:rsidRPr="00F5723F">
        <w:t>o</w:t>
      </w:r>
      <w:r w:rsidRPr="00F5723F">
        <w:t>minerade kvinnliga kandidater (och andr</w:t>
      </w:r>
      <w:r w:rsidRPr="00F5723F">
        <w:t>a underrepr</w:t>
      </w:r>
      <w:r w:rsidRPr="00F5723F">
        <w:t>e</w:t>
      </w:r>
      <w:r w:rsidRPr="00F5723F">
        <w:t>senterade grupper), menar författaren att det primära fokuset bör vara att öka andelen kvinnliga kandidater, snarare än att ändra på nomineringsfö</w:t>
      </w:r>
      <w:r w:rsidRPr="00F5723F">
        <w:t>r</w:t>
      </w:r>
      <w:r w:rsidRPr="00F5723F">
        <w:t xml:space="preserve">farandet. </w:t>
      </w:r>
    </w:p>
    <w:p w:rsidR="00B43C57" w:rsidRPr="00F5723F" w:rsidRDefault="00B43C57">
      <w:pPr>
        <w:pStyle w:val="Normaltindrag"/>
      </w:pPr>
      <w:r w:rsidRPr="00F5723F">
        <w:t>Den norska studien visar på motsvarande sätt att kvinnors omvalsfrekvens varit lägre än mäns under perioden 1949–2001 men att den också varierat mellan de olika mandatperioderna.</w:t>
      </w:r>
      <w:r w:rsidRPr="00F5723F">
        <w:rPr>
          <w:rStyle w:val="Fotnotsreferens"/>
          <w:rFonts w:ascii="Garamond" w:hAnsi="Garamond"/>
        </w:rPr>
        <w:footnoteReference w:id="250"/>
      </w:r>
      <w:r w:rsidRPr="00F5723F">
        <w:t xml:space="preserve"> Inga skillnader mellan könen förelåg emellertid när det gällde skälen för att avböja omval. Studien visar även att partierna traditionellt nominerat enbart några få kvinnor per valkrets. Intr</w:t>
      </w:r>
      <w:r w:rsidRPr="00F5723F">
        <w:t>o</w:t>
      </w:r>
      <w:r w:rsidRPr="00F5723F">
        <w:t>duktionen av kvotering i början av 1980-talet resulterade i en ökad andel kvinnor i Stortinget. Genom kvoteringssystemet ökade inte bara andelen nominerade kvinnliga kandidater utan också andelen kvinnor bland partie</w:t>
      </w:r>
      <w:r w:rsidRPr="00F5723F">
        <w:t>r</w:t>
      </w:r>
      <w:r w:rsidRPr="00F5723F">
        <w:t>nas toppkandid</w:t>
      </w:r>
      <w:r w:rsidRPr="00F5723F">
        <w:t>a</w:t>
      </w:r>
      <w:r w:rsidRPr="00F5723F">
        <w:t xml:space="preserve">ter. </w:t>
      </w:r>
    </w:p>
    <w:p w:rsidR="00B43C57" w:rsidRPr="00F5723F" w:rsidRDefault="00B43C57">
      <w:pPr>
        <w:pStyle w:val="Normaltindrag"/>
        <w:rPr>
          <w:snapToGrid w:val="0"/>
        </w:rPr>
      </w:pPr>
      <w:r w:rsidRPr="00F5723F">
        <w:t>Den isländska studien, slutligen, visar att de fyra traditionella isländska parti</w:t>
      </w:r>
      <w:r w:rsidRPr="00F5723F">
        <w:t>erna haft en begränsad kvinnorepresentation fram till 1983, då kvinn</w:t>
      </w:r>
      <w:r w:rsidRPr="00F5723F">
        <w:t>o</w:t>
      </w:r>
      <w:r w:rsidRPr="00F5723F">
        <w:t>partiet Kvinnolistan gick fram med kvinnolistor.</w:t>
      </w:r>
      <w:r w:rsidRPr="00F5723F">
        <w:rPr>
          <w:rStyle w:val="Fotnotsreferens"/>
          <w:rFonts w:ascii="Garamond" w:hAnsi="Garamond"/>
        </w:rPr>
        <w:footnoteReference w:id="251"/>
      </w:r>
      <w:r w:rsidRPr="00F5723F">
        <w:t xml:space="preserve"> Inget parti har tillämpat kvotering för att öka kvinnorepresentationen, och trycket på partierna att öka andelen kvinnliga parlamentariker har snarare kommit från utomparlament</w:t>
      </w:r>
      <w:r w:rsidRPr="00F5723F">
        <w:t>a</w:t>
      </w:r>
      <w:r w:rsidRPr="00F5723F">
        <w:t>riska grupper och Kvinnolistan. Hotet mot de traditionella partierna var eme</w:t>
      </w:r>
      <w:r w:rsidRPr="00F5723F">
        <w:t>l</w:t>
      </w:r>
      <w:r w:rsidRPr="00F5723F">
        <w:t>lertid temporärt. Med det nuvarande nomineringssystemet har de traditionella partierna varken viljan eller medlen att signifikant öka kvinnorepresentati</w:t>
      </w:r>
      <w:r w:rsidRPr="00F5723F">
        <w:t>o</w:t>
      </w:r>
      <w:r w:rsidRPr="00F5723F">
        <w:t>nen i respektive riksdagsgrupp. Teorin om smitta, där till exempel kvotering</w:t>
      </w:r>
      <w:r w:rsidRPr="00F5723F">
        <w:t>s</w:t>
      </w:r>
      <w:r w:rsidRPr="00F5723F">
        <w:t>regler sprids från parti ti</w:t>
      </w:r>
      <w:r w:rsidRPr="00F5723F">
        <w:t>ll parti, får därmed en begränsad betydelse, menar författaren, eftersom partierna inte kontrollerar nomineringsprocessen. Ma</w:t>
      </w:r>
      <w:r w:rsidRPr="00F5723F">
        <w:t>r</w:t>
      </w:r>
      <w:r w:rsidRPr="00F5723F">
        <w:t>ginaliseringen av kvinnor fortsä</w:t>
      </w:r>
      <w:r w:rsidRPr="00F5723F">
        <w:t>t</w:t>
      </w:r>
      <w:r w:rsidRPr="00F5723F">
        <w:t>ter därför i samtliga fyra partier.</w:t>
      </w:r>
      <w:r w:rsidRPr="00F5723F">
        <w:rPr>
          <w:snapToGrid w:val="0"/>
        </w:rPr>
        <w:t xml:space="preserve"> </w:t>
      </w:r>
    </w:p>
    <w:p w:rsidR="00B43C57" w:rsidRPr="00F5723F" w:rsidRDefault="00B43C57">
      <w:pPr>
        <w:pStyle w:val="Normaltindrag"/>
        <w:rPr>
          <w:snapToGrid w:val="0"/>
        </w:rPr>
      </w:pPr>
      <w:r w:rsidRPr="00F5723F">
        <w:t xml:space="preserve">Det finns även flera relevanta </w:t>
      </w:r>
      <w:r w:rsidRPr="00F5723F">
        <w:t>kommunstudier som belyser</w:t>
      </w:r>
      <w:r w:rsidRPr="00F5723F">
        <w:t xml:space="preserve"> rekryterings- och nomineringsprocessen.</w:t>
      </w:r>
      <w:r w:rsidRPr="00F5723F">
        <w:t xml:space="preserve"> </w:t>
      </w:r>
      <w:r w:rsidRPr="00F5723F">
        <w:rPr>
          <w:snapToGrid w:val="0"/>
        </w:rPr>
        <w:t xml:space="preserve">Gunnar Wallins m.fl. studie av </w:t>
      </w:r>
      <w:r w:rsidRPr="00F5723F">
        <w:rPr>
          <w:snapToGrid w:val="0"/>
        </w:rPr>
        <w:t>kommunpolitiker</w:t>
      </w:r>
      <w:r w:rsidRPr="00F5723F">
        <w:rPr>
          <w:snapToGrid w:val="0"/>
        </w:rPr>
        <w:t xml:space="preserve"> visar att i steget mellan uppdragsvillig, det vill säga person som är villig att åta sig ett politiskt uppdrag, till kandidat, det vill säga person som blir plac</w:t>
      </w:r>
      <w:r w:rsidRPr="00F5723F">
        <w:rPr>
          <w:snapToGrid w:val="0"/>
        </w:rPr>
        <w:t>e</w:t>
      </w:r>
      <w:r w:rsidRPr="00F5723F">
        <w:rPr>
          <w:snapToGrid w:val="0"/>
        </w:rPr>
        <w:t>rad på valli</w:t>
      </w:r>
      <w:r w:rsidRPr="00F5723F">
        <w:rPr>
          <w:snapToGrid w:val="0"/>
        </w:rPr>
        <w:t>s</w:t>
      </w:r>
      <w:r w:rsidRPr="00F5723F">
        <w:rPr>
          <w:snapToGrid w:val="0"/>
        </w:rPr>
        <w:t>tan, sorteras kvinnor ut.</w:t>
      </w:r>
      <w:r w:rsidRPr="00F5723F">
        <w:rPr>
          <w:rStyle w:val="Fotnotsreferens"/>
          <w:rFonts w:ascii="Garamond" w:hAnsi="Garamond"/>
          <w:snapToGrid w:val="0"/>
        </w:rPr>
        <w:footnoteReference w:id="252"/>
      </w:r>
      <w:r w:rsidRPr="00F5723F">
        <w:rPr>
          <w:snapToGrid w:val="0"/>
        </w:rPr>
        <w:t xml:space="preserve"> Olof Peterssons studier visar att män har dubbelt så stor sannolikhet som kvinnor att nomineras till ett uppdrag i fullmäktige.</w:t>
      </w:r>
      <w:r w:rsidRPr="00F5723F">
        <w:rPr>
          <w:rStyle w:val="Fotnotsreferens"/>
          <w:rFonts w:ascii="Garamond" w:hAnsi="Garamond"/>
          <w:snapToGrid w:val="0"/>
        </w:rPr>
        <w:footnoteReference w:id="253"/>
      </w:r>
      <w:r w:rsidRPr="00F5723F">
        <w:rPr>
          <w:snapToGrid w:val="0"/>
        </w:rPr>
        <w:t xml:space="preserve"> Däremot har kvinnor nästan lika stor chans som män att bli invalda i kommu</w:t>
      </w:r>
      <w:r w:rsidRPr="00F5723F">
        <w:rPr>
          <w:snapToGrid w:val="0"/>
        </w:rPr>
        <w:t>n</w:t>
      </w:r>
      <w:r w:rsidRPr="00F5723F">
        <w:rPr>
          <w:snapToGrid w:val="0"/>
        </w:rPr>
        <w:t>fullmäktige när de väl har placerats på partiernas listor. Henry Bäck, som beskriver rekryteringsprocessen som ett läckande rör, sa</w:t>
      </w:r>
      <w:r w:rsidRPr="00F5723F">
        <w:rPr>
          <w:snapToGrid w:val="0"/>
        </w:rPr>
        <w:t>k</w:t>
      </w:r>
      <w:r w:rsidRPr="00F5723F">
        <w:rPr>
          <w:snapToGrid w:val="0"/>
        </w:rPr>
        <w:t>nar i sina studier data om nomineringsprocessen, vilket medfört att partiernas och väljarnas urval bland politiska aspiranter i hans undersökning samma</w:t>
      </w:r>
      <w:r w:rsidRPr="00F5723F">
        <w:rPr>
          <w:snapToGrid w:val="0"/>
        </w:rPr>
        <w:t>n</w:t>
      </w:r>
      <w:r w:rsidRPr="00F5723F">
        <w:rPr>
          <w:snapToGrid w:val="0"/>
        </w:rPr>
        <w:t xml:space="preserve">slagits till en </w:t>
      </w:r>
      <w:r w:rsidRPr="00F5723F">
        <w:rPr>
          <w:i/>
          <w:snapToGrid w:val="0"/>
        </w:rPr>
        <w:t>rekryteringsläcka</w:t>
      </w:r>
      <w:r w:rsidRPr="00F5723F">
        <w:rPr>
          <w:snapToGrid w:val="0"/>
        </w:rPr>
        <w:t>.</w:t>
      </w:r>
      <w:r w:rsidRPr="00F5723F">
        <w:rPr>
          <w:rStyle w:val="Fotnotsreferens"/>
          <w:rFonts w:ascii="Garamond" w:hAnsi="Garamond"/>
          <w:snapToGrid w:val="0"/>
        </w:rPr>
        <w:footnoteReference w:id="254"/>
      </w:r>
      <w:r w:rsidRPr="00F5723F">
        <w:rPr>
          <w:snapToGrid w:val="0"/>
        </w:rPr>
        <w:t xml:space="preserve"> Bäck konstaterar emellertid att kvinnor i högre utsträckning än män faller ifrån men att det främst kan härledas till de allra första läckorna i processen, det vill säga avsaknad av uppdragsvillighet och partimedle</w:t>
      </w:r>
      <w:r w:rsidRPr="00F5723F">
        <w:rPr>
          <w:snapToGrid w:val="0"/>
        </w:rPr>
        <w:t>m</w:t>
      </w:r>
      <w:r w:rsidRPr="00F5723F">
        <w:rPr>
          <w:snapToGrid w:val="0"/>
        </w:rPr>
        <w:t>skap.</w:t>
      </w:r>
      <w:r w:rsidRPr="00F5723F">
        <w:rPr>
          <w:rStyle w:val="Fotnotsreferens"/>
          <w:rFonts w:ascii="Garamond" w:hAnsi="Garamond"/>
          <w:snapToGrid w:val="0"/>
        </w:rPr>
        <w:footnoteReference w:id="255"/>
      </w:r>
      <w:r w:rsidRPr="00F5723F">
        <w:rPr>
          <w:snapToGrid w:val="0"/>
        </w:rPr>
        <w:t xml:space="preserve"> </w:t>
      </w:r>
    </w:p>
    <w:p w:rsidR="00B43C57" w:rsidRPr="00F5723F" w:rsidRDefault="00B43C57">
      <w:pPr>
        <w:pStyle w:val="Normaltindrag"/>
        <w:rPr>
          <w:snapToGrid w:val="0"/>
        </w:rPr>
      </w:pPr>
      <w:r w:rsidRPr="00F5723F">
        <w:t>De norska samhällsvetarna Ottar Hellevik och Torild Skard har på motsv</w:t>
      </w:r>
      <w:r w:rsidRPr="00F5723F">
        <w:t>a</w:t>
      </w:r>
      <w:r w:rsidRPr="00F5723F">
        <w:t>rande sätt undersökt var i rekryteringsprocessen som kvinnor sorteras ut.</w:t>
      </w:r>
      <w:r w:rsidRPr="00F5723F">
        <w:rPr>
          <w:rStyle w:val="Fotnotsreferens"/>
          <w:rFonts w:ascii="Garamond" w:hAnsi="Garamond"/>
        </w:rPr>
        <w:footnoteReference w:id="256"/>
      </w:r>
      <w:r w:rsidRPr="00F5723F">
        <w:t xml:space="preserve"> De konstaterar att det blivit allmänt brukligt att vid nomin</w:t>
      </w:r>
      <w:r w:rsidRPr="00F5723F">
        <w:t>e</w:t>
      </w:r>
      <w:r w:rsidRPr="00F5723F">
        <w:t xml:space="preserve">ringar lägga vikt vid en balanserad könsfördelning bland partiernas kandidater. När valsedeln skall komponeras är dock kvinnor oftast svagare representerade bland de kandidater som är högst prioriterade av partierna. </w:t>
      </w:r>
      <w:r w:rsidRPr="00F5723F">
        <w:rPr>
          <w:snapToGrid w:val="0"/>
        </w:rPr>
        <w:t xml:space="preserve">Trots att fler kvinnor (än nödvändigt för att tillförsäkra sig hälften av platserna) var intresserade av att kandidera till det </w:t>
      </w:r>
      <w:r w:rsidRPr="00F5723F">
        <w:rPr>
          <w:snapToGrid w:val="0"/>
        </w:rPr>
        <w:t xml:space="preserve">kommunala valet </w:t>
      </w:r>
      <w:r w:rsidRPr="00F5723F">
        <w:rPr>
          <w:snapToGrid w:val="0"/>
        </w:rPr>
        <w:t>blev de inte valda i lika stor u</w:t>
      </w:r>
      <w:r w:rsidRPr="00F5723F">
        <w:rPr>
          <w:snapToGrid w:val="0"/>
        </w:rPr>
        <w:t>t</w:t>
      </w:r>
      <w:r w:rsidRPr="00F5723F">
        <w:rPr>
          <w:snapToGrid w:val="0"/>
        </w:rPr>
        <w:t xml:space="preserve">sträckning som män. Under främst rekryteringsfasen ägde </w:t>
      </w:r>
      <w:r w:rsidRPr="00F5723F">
        <w:rPr>
          <w:snapToGrid w:val="0"/>
        </w:rPr>
        <w:t>en utgallring till kvinnors nackdel rum.</w:t>
      </w:r>
      <w:r w:rsidRPr="00F5723F">
        <w:rPr>
          <w:rStyle w:val="Fotnotsreferens"/>
          <w:rFonts w:ascii="Garamond" w:hAnsi="Garamond"/>
          <w:snapToGrid w:val="0"/>
        </w:rPr>
        <w:footnoteReference w:id="257"/>
      </w:r>
      <w:r w:rsidRPr="00F5723F">
        <w:rPr>
          <w:snapToGrid w:val="0"/>
        </w:rPr>
        <w:t xml:space="preserve"> Enligt Hellevik och Skard beror det på att de potentiella ka</w:t>
      </w:r>
      <w:r w:rsidRPr="00F5723F">
        <w:rPr>
          <w:snapToGrid w:val="0"/>
        </w:rPr>
        <w:t>n</w:t>
      </w:r>
      <w:r w:rsidRPr="00F5723F">
        <w:rPr>
          <w:snapToGrid w:val="0"/>
        </w:rPr>
        <w:t>didaterna inte tillfrågas.</w:t>
      </w:r>
    </w:p>
    <w:p w:rsidR="00B43C57" w:rsidRPr="00F5723F" w:rsidRDefault="00B43C57">
      <w:pPr>
        <w:pStyle w:val="Normaltindrag"/>
        <w:rPr>
          <w:snapToGrid w:val="0"/>
        </w:rPr>
      </w:pPr>
      <w:r w:rsidRPr="00F5723F">
        <w:rPr>
          <w:snapToGrid w:val="0"/>
        </w:rPr>
        <w:t>Ulrik Kjaers studie av nomineringsprocessen vid det danska kommunvalet 1993 visar att kvinnorepresentationen har stagnerat i de danska kommunful</w:t>
      </w:r>
      <w:r w:rsidRPr="00F5723F">
        <w:rPr>
          <w:snapToGrid w:val="0"/>
        </w:rPr>
        <w:t>l</w:t>
      </w:r>
      <w:r w:rsidRPr="00F5723F">
        <w:rPr>
          <w:snapToGrid w:val="0"/>
        </w:rPr>
        <w:t>mäktigeförsamlingarna.</w:t>
      </w:r>
      <w:r w:rsidRPr="00F5723F">
        <w:rPr>
          <w:rStyle w:val="Fotnotsreferens"/>
          <w:rFonts w:ascii="Garamond" w:hAnsi="Garamond"/>
          <w:snapToGrid w:val="0"/>
        </w:rPr>
        <w:footnoteReference w:id="258"/>
      </w:r>
      <w:r w:rsidRPr="00F5723F">
        <w:rPr>
          <w:snapToGrid w:val="0"/>
        </w:rPr>
        <w:t xml:space="preserve"> Denna stagnation kan delvis förklaras av att en mättnad har inträffat när det gäller intresset av att placera kvinnor på valse</w:t>
      </w:r>
      <w:r w:rsidRPr="00F5723F">
        <w:rPr>
          <w:snapToGrid w:val="0"/>
        </w:rPr>
        <w:t>d</w:t>
      </w:r>
      <w:r w:rsidRPr="00F5723F">
        <w:rPr>
          <w:snapToGrid w:val="0"/>
        </w:rPr>
        <w:t>larna. En enkätundersökning till nomineringskommittéerna i sa</w:t>
      </w:r>
      <w:r w:rsidRPr="00F5723F">
        <w:rPr>
          <w:snapToGrid w:val="0"/>
        </w:rPr>
        <w:t>m</w:t>
      </w:r>
      <w:r w:rsidRPr="00F5723F">
        <w:rPr>
          <w:snapToGrid w:val="0"/>
        </w:rPr>
        <w:t>band med valet 1993 visar att 65 procent av nomin</w:t>
      </w:r>
      <w:r w:rsidRPr="00F5723F">
        <w:rPr>
          <w:snapToGrid w:val="0"/>
        </w:rPr>
        <w:t>e</w:t>
      </w:r>
      <w:r w:rsidRPr="00F5723F">
        <w:rPr>
          <w:snapToGrid w:val="0"/>
        </w:rPr>
        <w:t>ringskommittéerna ansåg att det var viktigt/mycket viktigt att uppnå en jämn fördelning mellan könen på valse</w:t>
      </w:r>
      <w:r w:rsidRPr="00F5723F">
        <w:rPr>
          <w:snapToGrid w:val="0"/>
        </w:rPr>
        <w:t>d</w:t>
      </w:r>
      <w:r w:rsidRPr="00F5723F">
        <w:rPr>
          <w:snapToGrid w:val="0"/>
        </w:rPr>
        <w:t>larna. De tyckte emellertid att det var ännu viktigare att listan skulle spegla ka</w:t>
      </w:r>
      <w:r w:rsidRPr="00F5723F">
        <w:rPr>
          <w:snapToGrid w:val="0"/>
        </w:rPr>
        <w:t>n</w:t>
      </w:r>
      <w:r w:rsidRPr="00F5723F">
        <w:rPr>
          <w:snapToGrid w:val="0"/>
        </w:rPr>
        <w:t xml:space="preserve">didaternas geografiska hemvist och yrken samt att kandidaterna skulle vara väl </w:t>
      </w:r>
      <w:r w:rsidRPr="00F5723F">
        <w:rPr>
          <w:snapToGrid w:val="0"/>
        </w:rPr>
        <w:t>kända i kommunen. Det var även viktigt att listan skulle innehålla unga personer. Jämfört med andra hänsyn rankades således inte en jämn könsfördelning lika högt. Ulrik Kj</w:t>
      </w:r>
      <w:r w:rsidRPr="00F5723F">
        <w:rPr>
          <w:snapToGrid w:val="0"/>
        </w:rPr>
        <w:t>a</w:t>
      </w:r>
      <w:r w:rsidRPr="00F5723F">
        <w:rPr>
          <w:snapToGrid w:val="0"/>
        </w:rPr>
        <w:t xml:space="preserve">ers poäng är att en mättnad avseende kvinnorepresentation kan inträffa innan en numerisk jämställdhet har uppnåtts och att man därför inte skall ta gradvisa ökningar för givna. </w:t>
      </w:r>
    </w:p>
    <w:p w:rsidR="00B43C57" w:rsidRPr="00F5723F" w:rsidRDefault="00B43C57">
      <w:pPr>
        <w:pStyle w:val="Normaltindrag"/>
        <w:rPr>
          <w:snapToGrid w:val="0"/>
        </w:rPr>
      </w:pPr>
      <w:r w:rsidRPr="00F5723F">
        <w:rPr>
          <w:snapToGrid w:val="0"/>
        </w:rPr>
        <w:t>Enligt Drude Dahlerups studie om betydelsen av kön i rekryterings- och valprocessen vid det danska kommunvalet 1997 såg de politiska partierna förd</w:t>
      </w:r>
      <w:r w:rsidRPr="00F5723F">
        <w:rPr>
          <w:snapToGrid w:val="0"/>
        </w:rPr>
        <w:t>e</w:t>
      </w:r>
      <w:r w:rsidRPr="00F5723F">
        <w:rPr>
          <w:snapToGrid w:val="0"/>
        </w:rPr>
        <w:t>lar med att placera kvinnor högt på listan – dels var det en fråga om att attr</w:t>
      </w:r>
      <w:r w:rsidRPr="00F5723F">
        <w:rPr>
          <w:snapToGrid w:val="0"/>
        </w:rPr>
        <w:t>a</w:t>
      </w:r>
      <w:r w:rsidRPr="00F5723F">
        <w:rPr>
          <w:snapToGrid w:val="0"/>
        </w:rPr>
        <w:t>hera kvinnliga väljare, dels en fråga om image för partiet.</w:t>
      </w:r>
      <w:r w:rsidRPr="00F5723F">
        <w:rPr>
          <w:rStyle w:val="Fotnotsreferens"/>
          <w:rFonts w:ascii="Garamond" w:hAnsi="Garamond"/>
          <w:snapToGrid w:val="0"/>
        </w:rPr>
        <w:footnoteReference w:id="259"/>
      </w:r>
      <w:r w:rsidRPr="00F5723F">
        <w:rPr>
          <w:snapToGrid w:val="0"/>
        </w:rPr>
        <w:t xml:space="preserve"> I båda fallen rörde det sig således om röstmaximerande argument, det vill säga att partierna utgick från att de kunde tjäna på att inkludera kvinnor. Argumenten var eme</w:t>
      </w:r>
      <w:r w:rsidRPr="00F5723F">
        <w:rPr>
          <w:snapToGrid w:val="0"/>
        </w:rPr>
        <w:t>l</w:t>
      </w:r>
      <w:r w:rsidRPr="00F5723F">
        <w:rPr>
          <w:snapToGrid w:val="0"/>
        </w:rPr>
        <w:t>lertid baserade på en exklusionsdiskurs, menar Dahlerup. Genom att vinnlä</w:t>
      </w:r>
      <w:r w:rsidRPr="00F5723F">
        <w:rPr>
          <w:snapToGrid w:val="0"/>
        </w:rPr>
        <w:t>g</w:t>
      </w:r>
      <w:r w:rsidRPr="00F5723F">
        <w:rPr>
          <w:snapToGrid w:val="0"/>
        </w:rPr>
        <w:t>ga sig om en ”progressiv image” förväntade partierna att de av väljarna skulle betraktas som måna om att göra upp med den historiska orättfärdigheten att exkludera kvinnor från politiskt beslutsfattande. Studien visade dock att även nya tongångar, baserade på traditio</w:t>
      </w:r>
      <w:r w:rsidRPr="00F5723F">
        <w:rPr>
          <w:snapToGrid w:val="0"/>
        </w:rPr>
        <w:t>nella argument, kunde skönjas hos partie</w:t>
      </w:r>
      <w:r w:rsidRPr="00F5723F">
        <w:rPr>
          <w:snapToGrid w:val="0"/>
        </w:rPr>
        <w:t>r</w:t>
      </w:r>
      <w:r w:rsidRPr="00F5723F">
        <w:rPr>
          <w:snapToGrid w:val="0"/>
        </w:rPr>
        <w:t>na: ”hvis kvinderne ikke vil selv, skyldes det andre prioriteringer, som vi må respektere”.</w:t>
      </w:r>
      <w:r w:rsidRPr="00F5723F">
        <w:rPr>
          <w:rStyle w:val="Fotnotsreferens"/>
          <w:rFonts w:ascii="Garamond" w:hAnsi="Garamond"/>
          <w:snapToGrid w:val="0"/>
        </w:rPr>
        <w:footnoteReference w:id="260"/>
      </w:r>
      <w:r w:rsidRPr="00F5723F">
        <w:rPr>
          <w:snapToGrid w:val="0"/>
        </w:rPr>
        <w:t xml:space="preserve"> </w:t>
      </w:r>
    </w:p>
    <w:p w:rsidR="00B43C57" w:rsidRPr="00F5723F" w:rsidRDefault="00B43C57">
      <w:pPr>
        <w:pStyle w:val="Normaltindrag"/>
        <w:rPr>
          <w:szCs w:val="24"/>
        </w:rPr>
      </w:pPr>
      <w:r w:rsidRPr="00F5723F">
        <w:rPr>
          <w:snapToGrid w:val="0"/>
        </w:rPr>
        <w:t>I fokus för den argumentationen stod därmed inte exklusionsargumentet utan snarare en uppfattning om att kvinnor hade andra värden och priorit</w:t>
      </w:r>
      <w:r w:rsidRPr="00F5723F">
        <w:rPr>
          <w:snapToGrid w:val="0"/>
        </w:rPr>
        <w:t>e</w:t>
      </w:r>
      <w:r w:rsidRPr="00F5723F">
        <w:rPr>
          <w:snapToGrid w:val="0"/>
        </w:rPr>
        <w:t>ringar. Denna diskurs baserades på argumenten att vi kommit så långt med jämställdheten som man kan kräva. Vi kan alltså enligt denna fö</w:t>
      </w:r>
      <w:r w:rsidRPr="00F5723F">
        <w:rPr>
          <w:snapToGrid w:val="0"/>
        </w:rPr>
        <w:t>r</w:t>
      </w:r>
      <w:r w:rsidRPr="00F5723F">
        <w:rPr>
          <w:snapToGrid w:val="0"/>
        </w:rPr>
        <w:t>ståelse inte längre tala om kvinnors uteslu</w:t>
      </w:r>
      <w:r w:rsidRPr="00F5723F">
        <w:rPr>
          <w:snapToGrid w:val="0"/>
        </w:rPr>
        <w:t>t</w:t>
      </w:r>
      <w:r w:rsidRPr="00F5723F">
        <w:rPr>
          <w:snapToGrid w:val="0"/>
        </w:rPr>
        <w:t>ning från beslutsfattande utan snarare om kvinnors fria val. Både Dahl</w:t>
      </w:r>
      <w:r w:rsidRPr="00F5723F">
        <w:rPr>
          <w:snapToGrid w:val="0"/>
        </w:rPr>
        <w:t>e</w:t>
      </w:r>
      <w:r w:rsidRPr="00F5723F">
        <w:rPr>
          <w:snapToGrid w:val="0"/>
        </w:rPr>
        <w:t>rups och Kjaers studie understryker betydelsen av selektörernas, i detta fall partiernas och valberedningarnas, syn på ledarr</w:t>
      </w:r>
      <w:r w:rsidRPr="00F5723F">
        <w:rPr>
          <w:snapToGrid w:val="0"/>
        </w:rPr>
        <w:t>e</w:t>
      </w:r>
      <w:r w:rsidRPr="00F5723F">
        <w:rPr>
          <w:snapToGrid w:val="0"/>
        </w:rPr>
        <w:t>krytering och de effe</w:t>
      </w:r>
      <w:r w:rsidRPr="00F5723F">
        <w:rPr>
          <w:snapToGrid w:val="0"/>
        </w:rPr>
        <w:t>k</w:t>
      </w:r>
      <w:r w:rsidRPr="00F5723F">
        <w:rPr>
          <w:snapToGrid w:val="0"/>
        </w:rPr>
        <w:t>ter det får för listkompositionen.</w:t>
      </w:r>
    </w:p>
    <w:p w:rsidR="00B43C57" w:rsidRPr="00F5723F" w:rsidRDefault="00B43C57">
      <w:pPr>
        <w:pStyle w:val="Normaltindrag"/>
      </w:pPr>
      <w:r w:rsidRPr="00F5723F">
        <w:rPr>
          <w:snapToGrid w:val="0"/>
        </w:rPr>
        <w:t>Lenita Freidenvalls avhandling</w:t>
      </w:r>
      <w:r w:rsidRPr="00F5723F">
        <w:rPr>
          <w:snapToGrid w:val="0"/>
        </w:rPr>
        <w:t>sprojekt behandlar</w:t>
      </w:r>
      <w:r w:rsidRPr="00F5723F">
        <w:rPr>
          <w:snapToGrid w:val="0"/>
        </w:rPr>
        <w:t xml:space="preserve"> nomin</w:t>
      </w:r>
      <w:r w:rsidRPr="00F5723F">
        <w:rPr>
          <w:snapToGrid w:val="0"/>
        </w:rPr>
        <w:t>e</w:t>
      </w:r>
      <w:r w:rsidRPr="00F5723F">
        <w:rPr>
          <w:snapToGrid w:val="0"/>
        </w:rPr>
        <w:t xml:space="preserve">ringsprocesserna </w:t>
      </w:r>
      <w:r w:rsidRPr="00F5723F">
        <w:rPr>
          <w:snapToGrid w:val="0"/>
        </w:rPr>
        <w:t xml:space="preserve">till riksdagen </w:t>
      </w:r>
      <w:r w:rsidRPr="00F5723F">
        <w:rPr>
          <w:snapToGrid w:val="0"/>
        </w:rPr>
        <w:t>inför valet 2002 ur ett genusperspektiv</w:t>
      </w:r>
      <w:r w:rsidRPr="00F5723F">
        <w:rPr>
          <w:snapToGrid w:val="0"/>
        </w:rPr>
        <w:t>. Med ett fokus på sele</w:t>
      </w:r>
      <w:r w:rsidRPr="00F5723F">
        <w:rPr>
          <w:snapToGrid w:val="0"/>
        </w:rPr>
        <w:t>k</w:t>
      </w:r>
      <w:r w:rsidRPr="00F5723F">
        <w:rPr>
          <w:snapToGrid w:val="0"/>
        </w:rPr>
        <w:t>törerna, det vill säga de valberedningar och nomineringskommittéer som ansvarar för kandidaturval och listkomposition,</w:t>
      </w:r>
      <w:r w:rsidRPr="00F5723F">
        <w:rPr>
          <w:snapToGrid w:val="0"/>
        </w:rPr>
        <w:t xml:space="preserve"> undersöks </w:t>
      </w:r>
      <w:r w:rsidRPr="00F5723F">
        <w:rPr>
          <w:snapToGrid w:val="0"/>
        </w:rPr>
        <w:t xml:space="preserve">bland annat </w:t>
      </w:r>
      <w:r w:rsidRPr="00F5723F">
        <w:rPr>
          <w:snapToGrid w:val="0"/>
        </w:rPr>
        <w:t>hur</w:t>
      </w:r>
      <w:r w:rsidRPr="00F5723F">
        <w:rPr>
          <w:snapToGrid w:val="0"/>
        </w:rPr>
        <w:t>u</w:t>
      </w:r>
      <w:r w:rsidRPr="00F5723F">
        <w:rPr>
          <w:snapToGrid w:val="0"/>
        </w:rPr>
        <w:t>vida en mättnad kan ha inträff</w:t>
      </w:r>
      <w:r w:rsidRPr="00F5723F">
        <w:rPr>
          <w:snapToGrid w:val="0"/>
        </w:rPr>
        <w:t>at hos</w:t>
      </w:r>
      <w:r w:rsidRPr="00F5723F">
        <w:rPr>
          <w:snapToGrid w:val="0"/>
        </w:rPr>
        <w:t xml:space="preserve"> de politiska partierna</w:t>
      </w:r>
      <w:r w:rsidRPr="00F5723F">
        <w:rPr>
          <w:snapToGrid w:val="0"/>
        </w:rPr>
        <w:t xml:space="preserve"> avseende</w:t>
      </w:r>
      <w:r w:rsidRPr="00F5723F">
        <w:rPr>
          <w:snapToGrid w:val="0"/>
        </w:rPr>
        <w:t xml:space="preserve"> kvinnor</w:t>
      </w:r>
      <w:r w:rsidRPr="00F5723F">
        <w:rPr>
          <w:snapToGrid w:val="0"/>
        </w:rPr>
        <w:t>e</w:t>
      </w:r>
      <w:r w:rsidRPr="00F5723F">
        <w:rPr>
          <w:snapToGrid w:val="0"/>
        </w:rPr>
        <w:t xml:space="preserve">presentation och </w:t>
      </w:r>
      <w:r w:rsidRPr="00F5723F">
        <w:rPr>
          <w:snapToGrid w:val="0"/>
        </w:rPr>
        <w:t>vilka materiella och diskursiva effekter det kan få</w:t>
      </w:r>
      <w:r w:rsidRPr="00F5723F">
        <w:rPr>
          <w:snapToGrid w:val="0"/>
        </w:rPr>
        <w:t>.</w:t>
      </w:r>
      <w:r w:rsidRPr="00F5723F">
        <w:rPr>
          <w:snapToGrid w:val="0"/>
          <w:sz w:val="20"/>
        </w:rPr>
        <w:t xml:space="preserve"> </w:t>
      </w:r>
      <w:r w:rsidRPr="00F5723F">
        <w:rPr>
          <w:snapToGrid w:val="0"/>
        </w:rPr>
        <w:t>Birgitta Niklassons avhandlingsprojekt belyser betydelsen av socialt kapital för rekr</w:t>
      </w:r>
      <w:r w:rsidRPr="00F5723F">
        <w:rPr>
          <w:snapToGrid w:val="0"/>
        </w:rPr>
        <w:t>y</w:t>
      </w:r>
      <w:r w:rsidRPr="00F5723F">
        <w:rPr>
          <w:snapToGrid w:val="0"/>
        </w:rPr>
        <w:t>tering av sven</w:t>
      </w:r>
      <w:r w:rsidRPr="00F5723F">
        <w:rPr>
          <w:snapToGrid w:val="0"/>
        </w:rPr>
        <w:t>s</w:t>
      </w:r>
      <w:r w:rsidRPr="00F5723F">
        <w:rPr>
          <w:snapToGrid w:val="0"/>
        </w:rPr>
        <w:t>ka politiska eliter.</w:t>
      </w:r>
      <w:r w:rsidRPr="00F5723F">
        <w:rPr>
          <w:rStyle w:val="Fotnotsreferens"/>
          <w:rFonts w:ascii="Garamond" w:hAnsi="Garamond"/>
          <w:snapToGrid w:val="0"/>
        </w:rPr>
        <w:footnoteReference w:id="261"/>
      </w:r>
      <w:r w:rsidRPr="00F5723F">
        <w:rPr>
          <w:snapToGrid w:val="0"/>
        </w:rPr>
        <w:t xml:space="preserve"> </w:t>
      </w:r>
    </w:p>
    <w:p w:rsidR="00B43C57" w:rsidRPr="00F5723F" w:rsidRDefault="00B43C57">
      <w:pPr>
        <w:pStyle w:val="Rubrik3"/>
        <w:rPr>
          <w:noProof w:val="0"/>
        </w:rPr>
      </w:pPr>
      <w:bookmarkStart w:id="356" w:name="_Toc121739008"/>
      <w:bookmarkStart w:id="357" w:name="_Toc124697917"/>
      <w:r w:rsidRPr="00F5723F">
        <w:rPr>
          <w:noProof w:val="0"/>
        </w:rPr>
        <w:t>Riksdagsledamöters utskottsplacering, intressen och åsikter</w:t>
      </w:r>
      <w:bookmarkEnd w:id="356"/>
      <w:bookmarkEnd w:id="357"/>
    </w:p>
    <w:p w:rsidR="00B43C57" w:rsidRPr="00F5723F" w:rsidRDefault="00B43C57">
      <w:r w:rsidRPr="00F5723F">
        <w:t>En förhållandevis stor del av den befintliga forskningen om riksdagen ur ett genusperspektiv handlar om riksdagsledamöternas utskottsplacering, pol</w:t>
      </w:r>
      <w:r w:rsidRPr="00F5723F">
        <w:t>i</w:t>
      </w:r>
      <w:r w:rsidRPr="00F5723F">
        <w:t>tiska intressen och åsikter samt aktivitet i kammaren.</w:t>
      </w:r>
      <w:r w:rsidRPr="00F5723F">
        <w:rPr>
          <w:rStyle w:val="Fotnotsreferens"/>
          <w:rFonts w:ascii="Garamond" w:hAnsi="Garamond"/>
        </w:rPr>
        <w:footnoteReference w:id="262"/>
      </w:r>
      <w:r w:rsidRPr="00F5723F">
        <w:t xml:space="preserve"> </w:t>
      </w:r>
    </w:p>
    <w:p w:rsidR="00B43C57" w:rsidRPr="00F5723F" w:rsidRDefault="00B43C57">
      <w:pPr>
        <w:pStyle w:val="Rubrik4"/>
        <w:rPr>
          <w:noProof w:val="0"/>
        </w:rPr>
      </w:pPr>
      <w:bookmarkStart w:id="358" w:name="_Toc124697918"/>
      <w:r w:rsidRPr="00F5723F">
        <w:rPr>
          <w:noProof w:val="0"/>
        </w:rPr>
        <w:t>Utskottsplacering</w:t>
      </w:r>
      <w:bookmarkEnd w:id="358"/>
    </w:p>
    <w:p w:rsidR="00B43C57" w:rsidRPr="00F5723F" w:rsidRDefault="00B43C57">
      <w:pPr>
        <w:rPr>
          <w:snapToGrid w:val="0"/>
          <w:color w:val="000000"/>
        </w:rPr>
      </w:pPr>
      <w:r w:rsidRPr="00F5723F">
        <w:rPr>
          <w:snapToGrid w:val="0"/>
          <w:color w:val="000000"/>
        </w:rPr>
        <w:t>Vid det första valet efter rösträttsreformens genomförande valdes fem kvinnor in i riksdagen. Två av dessa fem kvinnliga riksdagsledamöter fick ordin</w:t>
      </w:r>
      <w:r w:rsidRPr="00F5723F">
        <w:rPr>
          <w:snapToGrid w:val="0"/>
          <w:color w:val="000000"/>
        </w:rPr>
        <w:t>a</w:t>
      </w:r>
      <w:r w:rsidRPr="00F5723F">
        <w:rPr>
          <w:snapToGrid w:val="0"/>
          <w:color w:val="000000"/>
        </w:rPr>
        <w:t>rie platser i utskotten. Övriga tre fick suppleantplatser. Dessa utskott hade inga fasta pol</w:t>
      </w:r>
      <w:r w:rsidRPr="00F5723F">
        <w:rPr>
          <w:snapToGrid w:val="0"/>
          <w:color w:val="000000"/>
        </w:rPr>
        <w:t>i</w:t>
      </w:r>
      <w:r w:rsidRPr="00F5723F">
        <w:rPr>
          <w:snapToGrid w:val="0"/>
          <w:color w:val="000000"/>
        </w:rPr>
        <w:t>tikområden att bevaka utan var tillfälligt inrättade. Under 1940-, 1950- och 1960-talen uppstod ett nytt mönster. De kvinnliga riksdagsledam</w:t>
      </w:r>
      <w:r w:rsidRPr="00F5723F">
        <w:rPr>
          <w:snapToGrid w:val="0"/>
          <w:color w:val="000000"/>
        </w:rPr>
        <w:t>ö</w:t>
      </w:r>
      <w:r w:rsidRPr="00F5723F">
        <w:rPr>
          <w:snapToGrid w:val="0"/>
          <w:color w:val="000000"/>
        </w:rPr>
        <w:t>terna arbetade då främst inom utskott som behandlade frågor som berörde familjepolitik och andra sociala områden.</w:t>
      </w:r>
      <w:r w:rsidRPr="00F5723F">
        <w:rPr>
          <w:rStyle w:val="Fotnotsreferens"/>
          <w:rFonts w:ascii="Garamond" w:hAnsi="Garamond"/>
          <w:snapToGrid w:val="0"/>
          <w:color w:val="000000"/>
        </w:rPr>
        <w:footnoteReference w:id="263"/>
      </w:r>
      <w:r w:rsidRPr="00F5723F">
        <w:rPr>
          <w:snapToGrid w:val="0"/>
          <w:color w:val="000000"/>
        </w:rPr>
        <w:t xml:space="preserve"> År 1975 när kvinnorepresentati</w:t>
      </w:r>
      <w:r w:rsidRPr="00F5723F">
        <w:rPr>
          <w:snapToGrid w:val="0"/>
          <w:color w:val="000000"/>
        </w:rPr>
        <w:t>o</w:t>
      </w:r>
      <w:r w:rsidRPr="00F5723F">
        <w:rPr>
          <w:snapToGrid w:val="0"/>
          <w:color w:val="000000"/>
        </w:rPr>
        <w:t>nen i riksdagen låg på omkring 21 procent var andelen kvinnor i utskotten ungefär 16 procent. Fortfarande arbetade få kvinnor i de utskott som behan</w:t>
      </w:r>
      <w:r w:rsidRPr="00F5723F">
        <w:rPr>
          <w:snapToGrid w:val="0"/>
          <w:color w:val="000000"/>
        </w:rPr>
        <w:t>d</w:t>
      </w:r>
      <w:r w:rsidRPr="00F5723F">
        <w:rPr>
          <w:snapToGrid w:val="0"/>
          <w:color w:val="000000"/>
        </w:rPr>
        <w:t>lade frågor om skatter, finanser, trafik, industri och försvar. Kvinnoreprese</w:t>
      </w:r>
      <w:r w:rsidRPr="00F5723F">
        <w:rPr>
          <w:snapToGrid w:val="0"/>
          <w:color w:val="000000"/>
        </w:rPr>
        <w:t>n</w:t>
      </w:r>
      <w:r w:rsidRPr="00F5723F">
        <w:rPr>
          <w:snapToGrid w:val="0"/>
          <w:color w:val="000000"/>
        </w:rPr>
        <w:t>tati</w:t>
      </w:r>
      <w:r w:rsidRPr="00F5723F">
        <w:rPr>
          <w:snapToGrid w:val="0"/>
          <w:color w:val="000000"/>
        </w:rPr>
        <w:t>o</w:t>
      </w:r>
      <w:r w:rsidRPr="00F5723F">
        <w:rPr>
          <w:snapToGrid w:val="0"/>
          <w:color w:val="000000"/>
        </w:rPr>
        <w:t>nen i utskott med anknytning till social välfärd var emellertid högre än den totala kvinnorepresentationen i riksd</w:t>
      </w:r>
      <w:r w:rsidRPr="00F5723F">
        <w:rPr>
          <w:snapToGrid w:val="0"/>
          <w:color w:val="000000"/>
        </w:rPr>
        <w:t>a</w:t>
      </w:r>
      <w:r w:rsidRPr="00F5723F">
        <w:rPr>
          <w:snapToGrid w:val="0"/>
          <w:color w:val="000000"/>
        </w:rPr>
        <w:t xml:space="preserve">gen. </w:t>
      </w:r>
    </w:p>
    <w:p w:rsidR="00B43C57" w:rsidRPr="00F5723F" w:rsidRDefault="00B43C57">
      <w:pPr>
        <w:pStyle w:val="Normaltindrag"/>
        <w:rPr>
          <w:snapToGrid w:val="0"/>
        </w:rPr>
      </w:pPr>
      <w:r w:rsidRPr="00F5723F">
        <w:rPr>
          <w:snapToGrid w:val="0"/>
        </w:rPr>
        <w:t>Under åren 1982–1991 hade tre utskott en särskilt hög andel kvinnliga l</w:t>
      </w:r>
      <w:r w:rsidRPr="00F5723F">
        <w:rPr>
          <w:snapToGrid w:val="0"/>
        </w:rPr>
        <w:t>e</w:t>
      </w:r>
      <w:r w:rsidRPr="00F5723F">
        <w:rPr>
          <w:snapToGrid w:val="0"/>
        </w:rPr>
        <w:t>damöter: socialförsäkrings-, social- och kulturutskotten. Periodvis var 60 till 70 procent av de ordinarie ledamöterna kvinnor. År 1992 var könsfördelnin</w:t>
      </w:r>
      <w:r w:rsidRPr="00F5723F">
        <w:rPr>
          <w:snapToGrid w:val="0"/>
        </w:rPr>
        <w:t>g</w:t>
      </w:r>
      <w:r w:rsidRPr="00F5723F">
        <w:rPr>
          <w:snapToGrid w:val="0"/>
        </w:rPr>
        <w:t>en i utskott med anknytning till social välfärd i det närmaste helt utjämnad, medan andelen kvinnor i övriga utskott låg runt en tredjedel. Sedan slutet av 1990-talet har emellertid även detta mönster luckrats upp. De kvinnliga led</w:t>
      </w:r>
      <w:r w:rsidRPr="00F5723F">
        <w:rPr>
          <w:snapToGrid w:val="0"/>
        </w:rPr>
        <w:t>a</w:t>
      </w:r>
      <w:r w:rsidRPr="00F5723F">
        <w:rPr>
          <w:snapToGrid w:val="0"/>
        </w:rPr>
        <w:t>möte</w:t>
      </w:r>
      <w:r w:rsidRPr="00F5723F">
        <w:rPr>
          <w:snapToGrid w:val="0"/>
        </w:rPr>
        <w:t>r</w:t>
      </w:r>
      <w:r w:rsidRPr="00F5723F">
        <w:rPr>
          <w:snapToGrid w:val="0"/>
        </w:rPr>
        <w:t xml:space="preserve">na är numera jämnt fördelade över utskotten. Fyra av riksdagens 16 utskott har för närvarande kvinnliga ordförande. </w:t>
      </w:r>
    </w:p>
    <w:p w:rsidR="00B43C57" w:rsidRPr="00F5723F" w:rsidRDefault="00B43C57">
      <w:pPr>
        <w:pStyle w:val="Normaltindrag"/>
      </w:pPr>
      <w:r w:rsidRPr="00F5723F">
        <w:t>Len</w:t>
      </w:r>
      <w:r w:rsidRPr="00F5723F">
        <w:t>a Wängnerud har studerat kvinnors möjligheter till makt och infl</w:t>
      </w:r>
      <w:r w:rsidRPr="00F5723F">
        <w:t>y</w:t>
      </w:r>
      <w:r w:rsidRPr="00F5723F">
        <w:t>tande i den svenska riksdagen och könstillhörighetens betydelse för innehå</w:t>
      </w:r>
      <w:r w:rsidRPr="00F5723F">
        <w:t>l</w:t>
      </w:r>
      <w:r w:rsidRPr="00F5723F">
        <w:t>let i den politiska processen.</w:t>
      </w:r>
      <w:r w:rsidRPr="00F5723F">
        <w:rPr>
          <w:rStyle w:val="Fotnotsreferens"/>
          <w:rFonts w:ascii="Garamond" w:hAnsi="Garamond"/>
        </w:rPr>
        <w:footnoteReference w:id="264"/>
      </w:r>
      <w:r w:rsidRPr="00F5723F">
        <w:t xml:space="preserve"> Hennes studie visar att det föreligger ett system</w:t>
      </w:r>
      <w:r w:rsidRPr="00F5723F">
        <w:t>a</w:t>
      </w:r>
      <w:r w:rsidRPr="00F5723F">
        <w:t>tiskt mönster av kvinnligt–manligt på interna arenor i riksdagen. Kvinnor återfinns främst inom området social välfärd (omfattande social-, socialfö</w:t>
      </w:r>
      <w:r w:rsidRPr="00F5723F">
        <w:t>r</w:t>
      </w:r>
      <w:r w:rsidRPr="00F5723F">
        <w:t>säkrings-, arbetsmarknads- och utbildningsutskotten) medan män återfinns inom omr</w:t>
      </w:r>
      <w:r w:rsidRPr="00F5723F">
        <w:t>å</w:t>
      </w:r>
      <w:r w:rsidRPr="00F5723F">
        <w:t>dena ekonomi och teknik (omfattande finans-, skatte-, närings- och trafiku</w:t>
      </w:r>
      <w:r w:rsidRPr="00F5723F">
        <w:t>t</w:t>
      </w:r>
      <w:r w:rsidRPr="00F5723F">
        <w:t>skottet).</w:t>
      </w:r>
      <w:r w:rsidRPr="00F5723F">
        <w:rPr>
          <w:rStyle w:val="Fotnotsreferens"/>
          <w:rFonts w:ascii="Garamond" w:hAnsi="Garamond"/>
        </w:rPr>
        <w:footnoteReference w:id="265"/>
      </w:r>
      <w:r w:rsidRPr="00F5723F">
        <w:t xml:space="preserve"> Det handlar dock inte om någon total åtskillnad mellan könen, och det har även skett förändringar över tid. Wängnerud konstaterar att det var främst under 1980-talet som mönstret var påtagligt. Skillnaderna mellan kvinnor och män när det gäller utskottsfördelningen beror primärt på ledam</w:t>
      </w:r>
      <w:r w:rsidRPr="00F5723F">
        <w:t>ö</w:t>
      </w:r>
      <w:r w:rsidRPr="00F5723F">
        <w:t>ternas skilda önskemål. Kvinnor önskar sig i större utsträckning till utskott inom kategorin ”social välfärd” och män i större utsträckning till ”ekonomi och teknik”. Wän</w:t>
      </w:r>
      <w:r w:rsidRPr="00F5723F">
        <w:t>g</w:t>
      </w:r>
      <w:r w:rsidRPr="00F5723F">
        <w:t>nerud framhåller att det dessutom, särskilt under t</w:t>
      </w:r>
      <w:r w:rsidRPr="00F5723F">
        <w:t>idigare år (1980-tal), för</w:t>
      </w:r>
      <w:r w:rsidRPr="00F5723F">
        <w:t>e</w:t>
      </w:r>
      <w:r w:rsidRPr="00F5723F">
        <w:t xml:space="preserve">kommit stereotypisering. Nämnvärt är att män har de mest ”könstypiska” önskemålen. </w:t>
      </w:r>
    </w:p>
    <w:p w:rsidR="00B43C57" w:rsidRPr="00F5723F" w:rsidRDefault="00B43C57">
      <w:pPr>
        <w:pStyle w:val="Normaltindrag"/>
      </w:pPr>
      <w:r w:rsidRPr="00F5723F">
        <w:t xml:space="preserve">Norsk forskning visar på liknande resultat. Hege Skjeies forskning </w:t>
      </w:r>
      <w:r w:rsidRPr="00F5723F">
        <w:t>v</w:t>
      </w:r>
      <w:r w:rsidRPr="00F5723F">
        <w:t>i</w:t>
      </w:r>
      <w:r w:rsidRPr="00F5723F">
        <w:t>sar att</w:t>
      </w:r>
      <w:r w:rsidRPr="00F5723F">
        <w:t xml:space="preserve"> kvinnliga parlamentariker företrädesvis finns representerade i utskott inom politikområdena</w:t>
      </w:r>
      <w:r w:rsidRPr="00F5723F">
        <w:t xml:space="preserve"> </w:t>
      </w:r>
      <w:r w:rsidRPr="00F5723F">
        <w:t>social service och konsume</w:t>
      </w:r>
      <w:r w:rsidRPr="00F5723F">
        <w:t>ntpolitik, kyrka och utbildning</w:t>
      </w:r>
      <w:r w:rsidRPr="00F5723F">
        <w:t xml:space="preserve"> samt administrativa frågor.</w:t>
      </w:r>
      <w:r w:rsidRPr="00F5723F">
        <w:rPr>
          <w:rStyle w:val="Fotnotsreferens"/>
          <w:rFonts w:ascii="Garamond" w:hAnsi="Garamond"/>
        </w:rPr>
        <w:footnoteReference w:id="266"/>
      </w:r>
      <w:r w:rsidRPr="00F5723F">
        <w:t xml:space="preserve"> Manliga parlamentariker finns företrädesvis representerade i utskott som arbetar med frågor som rör finans- och utrikesp</w:t>
      </w:r>
      <w:r w:rsidRPr="00F5723F">
        <w:t>o</w:t>
      </w:r>
      <w:r w:rsidRPr="00F5723F">
        <w:t>litik, jordbrukspolitik samt transportfrågor. Skillnaden mellan könen när det gäller utskottsfördelningen är emellertid inte total.</w:t>
      </w:r>
      <w:r w:rsidRPr="00F5723F">
        <w:rPr>
          <w:rStyle w:val="Fotnotsreferens"/>
          <w:rFonts w:ascii="Garamond" w:hAnsi="Garamond"/>
        </w:rPr>
        <w:footnoteReference w:id="267"/>
      </w:r>
      <w:r w:rsidRPr="00F5723F">
        <w:t xml:space="preserve"> Nina Cecilie Raaums (1995) forskning visar på motsvarande förhållanden även inom regionala och kommunala beslutsfattande församlingar samt inom det korporativa systemet i Norge. Raaum menar att beslutsfattande församlingar fortfarande reflekterar en hiera</w:t>
      </w:r>
      <w:r w:rsidRPr="00F5723F">
        <w:t>r</w:t>
      </w:r>
      <w:r w:rsidRPr="00F5723F">
        <w:t>kisk och funktionell arbetsfördelning mellan kvinnor och män men att båda formerna tenderar att minska över tid.</w:t>
      </w:r>
      <w:r w:rsidRPr="00F5723F">
        <w:rPr>
          <w:rStyle w:val="Fotnotsreferens"/>
          <w:rFonts w:ascii="Garamond" w:hAnsi="Garamond"/>
        </w:rPr>
        <w:footnoteReference w:id="268"/>
      </w:r>
    </w:p>
    <w:p w:rsidR="00B43C57" w:rsidRPr="00F5723F" w:rsidRDefault="00B43C57">
      <w:pPr>
        <w:pStyle w:val="Rubrik4"/>
        <w:rPr>
          <w:noProof w:val="0"/>
        </w:rPr>
      </w:pPr>
      <w:bookmarkStart w:id="359" w:name="_Toc124697919"/>
      <w:r w:rsidRPr="00F5723F">
        <w:rPr>
          <w:noProof w:val="0"/>
        </w:rPr>
        <w:t>Åsikter och intressen</w:t>
      </w:r>
      <w:bookmarkEnd w:id="359"/>
    </w:p>
    <w:p w:rsidR="00B43C57" w:rsidRPr="00F5723F" w:rsidRDefault="00B43C57">
      <w:r w:rsidRPr="00F5723F">
        <w:t>Esaiasson och Holmberg har undersökt om riksdagskvinnornas syn på sig själva som representanter för kvinnor får några praktiska konsekvenser för deras uppträdande i riksdagen.</w:t>
      </w:r>
      <w:r w:rsidRPr="00F5723F">
        <w:rPr>
          <w:rStyle w:val="Fotnotsreferens"/>
          <w:rFonts w:ascii="Garamond" w:hAnsi="Garamond"/>
        </w:rPr>
        <w:footnoteReference w:id="269"/>
      </w:r>
      <w:r w:rsidRPr="00F5723F">
        <w:t xml:space="preserve"> De mäter till exempel hur ofta de kvinnliga ledamöterna hänv</w:t>
      </w:r>
      <w:r w:rsidRPr="00F5723F">
        <w:t>i</w:t>
      </w:r>
      <w:r w:rsidRPr="00F5723F">
        <w:t>sar till kvinnor i sina motioner, frågor och interpellationer mellan åren 1985 och 1988. Studien visar att sambandet mellan att vara kvinnlig riksdagsledamot och att aktivt förespråka kvinnors intressen är starkt. Oskar</w:t>
      </w:r>
      <w:r w:rsidRPr="00F5723F">
        <w:t>s</w:t>
      </w:r>
      <w:r w:rsidRPr="00F5723F">
        <w:t>son och Wängnerud har visat att kvinnliga riksdagsledamöter i högre grad än sina manliga kolleger prioriterar samma frågor som svenska kvinnor i al</w:t>
      </w:r>
      <w:r w:rsidRPr="00F5723F">
        <w:t>l</w:t>
      </w:r>
      <w:r w:rsidRPr="00F5723F">
        <w:t>mänhet.</w:t>
      </w:r>
      <w:r w:rsidRPr="00F5723F">
        <w:rPr>
          <w:rStyle w:val="Fotnotsreferens"/>
          <w:rFonts w:ascii="Garamond" w:hAnsi="Garamond"/>
        </w:rPr>
        <w:footnoteReference w:id="270"/>
      </w:r>
      <w:r w:rsidRPr="00F5723F">
        <w:t xml:space="preserve"> Studien visar även att medan både kvinnliga väljare och kvinnliga riksdagsledamöter prioriterar politi</w:t>
      </w:r>
      <w:r w:rsidRPr="00F5723F">
        <w:t>k</w:t>
      </w:r>
      <w:r w:rsidRPr="00F5723F">
        <w:t>områden som skola, vård, barn- och äldreomsorg, socialpolitik, miljö och kultur, är manliga väljare och riksdag</w:t>
      </w:r>
      <w:r w:rsidRPr="00F5723F">
        <w:t>s</w:t>
      </w:r>
      <w:r w:rsidRPr="00F5723F">
        <w:t>ledamöter mer intresserade av utrikespolitik, ekonomiska frågor, skatter och produktion av varor och tjänster. Generellt står kvinnor sedan 1980-talets början längre till vänster än män och uppvisar följak</w:t>
      </w:r>
      <w:r w:rsidRPr="00F5723F">
        <w:t>t</w:t>
      </w:r>
      <w:r w:rsidRPr="00F5723F">
        <w:t>ligen en annan syn i specifika sakfrågor, till exempel i frågor om den offentliga se</w:t>
      </w:r>
      <w:r w:rsidRPr="00F5723F">
        <w:t>k</w:t>
      </w:r>
      <w:r w:rsidRPr="00F5723F">
        <w:t>torn,</w:t>
      </w:r>
      <w:r w:rsidRPr="00F5723F">
        <w:t xml:space="preserve"> pornografi, kär</w:t>
      </w:r>
      <w:r w:rsidRPr="00F5723F">
        <w:t>n</w:t>
      </w:r>
      <w:r w:rsidRPr="00F5723F">
        <w:t>kraft och sex timmars arbetsdag.</w:t>
      </w:r>
      <w:r w:rsidRPr="00F5723F">
        <w:rPr>
          <w:rStyle w:val="Fotnotsreferens"/>
          <w:rFonts w:ascii="Garamond" w:hAnsi="Garamond"/>
        </w:rPr>
        <w:footnoteReference w:id="271"/>
      </w:r>
      <w:r w:rsidRPr="00F5723F">
        <w:t xml:space="preserve"> </w:t>
      </w:r>
    </w:p>
    <w:p w:rsidR="00B43C57" w:rsidRPr="00F5723F" w:rsidRDefault="00B43C57">
      <w:pPr>
        <w:pStyle w:val="Normaltindrag"/>
      </w:pPr>
      <w:r w:rsidRPr="00F5723F">
        <w:t>När det gäller riksdagsledamöters särskilda intressen framträder också fl</w:t>
      </w:r>
      <w:r w:rsidRPr="00F5723F">
        <w:t>e</w:t>
      </w:r>
      <w:r w:rsidRPr="00F5723F">
        <w:t>ra systematiska skillnader mellan könen. Lena Wängneruds forskning visar att det är ungefär dubbelt så vanligt bland kvinnliga som bland manliga politiker att föra fram omsorgsfrågor på den politiska agendan. I hennes undersökning nämnde 41 procent bland kvinnor och 22 procent bland män omsorgspolitik som sitt främsta intresseområde.</w:t>
      </w:r>
      <w:r w:rsidRPr="00F5723F">
        <w:rPr>
          <w:rStyle w:val="Fotnotsreferens"/>
          <w:rFonts w:ascii="Garamond" w:hAnsi="Garamond"/>
        </w:rPr>
        <w:footnoteReference w:id="272"/>
      </w:r>
      <w:r w:rsidRPr="00F5723F">
        <w:t xml:space="preserve"> Den motsatta bilden framkom avseende sakfrågor som handlade om ekonomi/skatter. Studien visar dessutom att </w:t>
      </w:r>
      <w:r w:rsidRPr="00F5723F">
        <w:rPr>
          <w:szCs w:val="24"/>
        </w:rPr>
        <w:t>e</w:t>
      </w:r>
      <w:r w:rsidRPr="00F5723F">
        <w:rPr>
          <w:szCs w:val="24"/>
        </w:rPr>
        <w:t>n betydligt större andel kvinnor än män anser att det är mycket viktigt att rik</w:t>
      </w:r>
      <w:r w:rsidRPr="00F5723F">
        <w:rPr>
          <w:szCs w:val="24"/>
        </w:rPr>
        <w:t>s</w:t>
      </w:r>
      <w:r w:rsidRPr="00F5723F">
        <w:rPr>
          <w:szCs w:val="24"/>
        </w:rPr>
        <w:t>dagens sammansättning skall spegla de viktig</w:t>
      </w:r>
      <w:r w:rsidRPr="00F5723F">
        <w:rPr>
          <w:szCs w:val="24"/>
        </w:rPr>
        <w:t>aste grupperna i samhället samt att k</w:t>
      </w:r>
      <w:r w:rsidRPr="00F5723F">
        <w:rPr>
          <w:szCs w:val="24"/>
        </w:rPr>
        <w:t>vinnliga politiker är de som är mest angelägna om att satsa på mer jä</w:t>
      </w:r>
      <w:r w:rsidRPr="00F5723F">
        <w:rPr>
          <w:szCs w:val="24"/>
        </w:rPr>
        <w:t>m</w:t>
      </w:r>
      <w:r w:rsidRPr="00F5723F">
        <w:rPr>
          <w:szCs w:val="24"/>
        </w:rPr>
        <w:t>ställd</w:t>
      </w:r>
      <w:r w:rsidRPr="00F5723F">
        <w:rPr>
          <w:szCs w:val="24"/>
        </w:rPr>
        <w:t xml:space="preserve">het. Wängnerud konkluderar att </w:t>
      </w:r>
      <w:r w:rsidRPr="00F5723F">
        <w:t>könstillhörigheten har en tydlig effe</w:t>
      </w:r>
      <w:r w:rsidRPr="00F5723F">
        <w:t>k</w:t>
      </w:r>
      <w:r w:rsidRPr="00F5723F">
        <w:t>t, och kvinnliga riksdagsledamöter är bättre än manliga på att representera de kvinnliga väljarna</w:t>
      </w:r>
      <w:r w:rsidRPr="00F5723F">
        <w:t>s situation.</w:t>
      </w:r>
      <w:r w:rsidRPr="00F5723F">
        <w:rPr>
          <w:rStyle w:val="Fotnotsreferens"/>
          <w:rFonts w:ascii="Garamond" w:hAnsi="Garamond"/>
        </w:rPr>
        <w:footnoteReference w:id="273"/>
      </w:r>
    </w:p>
    <w:p w:rsidR="00B43C57" w:rsidRPr="00F5723F" w:rsidRDefault="00B43C57">
      <w:pPr>
        <w:pStyle w:val="Normaltindrag"/>
      </w:pPr>
      <w:r w:rsidRPr="00F5723F">
        <w:t>Inom den statsvetenskapliga forskningen råder det emellertid olika förkla</w:t>
      </w:r>
      <w:r w:rsidRPr="00F5723F">
        <w:t>r</w:t>
      </w:r>
      <w:r w:rsidRPr="00F5723F">
        <w:t>ingsansatser till hur man skall förstå könsmönstren i politiken. Vissa forskare tolkar könsmönstren i politiken utifrån teorier om könsspecifika intre</w:t>
      </w:r>
      <w:r w:rsidRPr="00F5723F">
        <w:t>s</w:t>
      </w:r>
      <w:r w:rsidRPr="00F5723F">
        <w:t>sen, medan andra menar att kvinnors intåg i politiken skett på platser som är to</w:t>
      </w:r>
      <w:r w:rsidRPr="00F5723F">
        <w:t>m</w:t>
      </w:r>
      <w:r w:rsidRPr="00F5723F">
        <w:t>ma på makt, men fulla av ansvar.</w:t>
      </w:r>
      <w:r w:rsidRPr="00F5723F">
        <w:rPr>
          <w:rStyle w:val="Fotnotsreferens"/>
          <w:rFonts w:ascii="Garamond" w:hAnsi="Garamond"/>
        </w:rPr>
        <w:footnoteReference w:id="274"/>
      </w:r>
      <w:r w:rsidRPr="00F5723F">
        <w:t xml:space="preserve"> Det finns således olika uppfattningar om förekomsten av könsmönster avseende politikområden skall ses som uttryck för en över/underordning mellan könen eller som uttryck för självständiga val. En alternativ tolkning är att det förekommer både inslag av diskrimin</w:t>
      </w:r>
      <w:r w:rsidRPr="00F5723F">
        <w:t>e</w:t>
      </w:r>
      <w:r w:rsidRPr="00F5723F">
        <w:t>ring och ett aktivt, individuellt val. Denna tolkning finner emp</w:t>
      </w:r>
      <w:r w:rsidRPr="00F5723F">
        <w:t>i</w:t>
      </w:r>
      <w:r w:rsidRPr="00F5723F">
        <w:t>riskt stöd i Lena Wängneruds forskning.</w:t>
      </w:r>
      <w:r w:rsidRPr="00F5723F">
        <w:rPr>
          <w:rStyle w:val="Fotnotsreferens"/>
          <w:rFonts w:ascii="Garamond" w:hAnsi="Garamond"/>
        </w:rPr>
        <w:footnoteReference w:id="275"/>
      </w:r>
      <w:r w:rsidRPr="00F5723F">
        <w:t xml:space="preserve"> </w:t>
      </w:r>
    </w:p>
    <w:p w:rsidR="00B43C57" w:rsidRPr="00F5723F" w:rsidRDefault="00B43C57">
      <w:pPr>
        <w:pStyle w:val="Rubrik4"/>
        <w:rPr>
          <w:noProof w:val="0"/>
        </w:rPr>
      </w:pPr>
      <w:bookmarkStart w:id="360" w:name="_Toc124697920"/>
      <w:r w:rsidRPr="00F5723F">
        <w:rPr>
          <w:noProof w:val="0"/>
        </w:rPr>
        <w:t>Riksdagsledamöters språk</w:t>
      </w:r>
      <w:bookmarkEnd w:id="360"/>
    </w:p>
    <w:p w:rsidR="00B43C57" w:rsidRPr="00F5723F" w:rsidRDefault="00B43C57">
      <w:r w:rsidRPr="00F5723F">
        <w:t>Politikernas språk har också blivit utsatt för vetenskaplig granskning. Först ut i Sverige var Kerstin Thelander som mot bakgrund av en intervjuundersö</w:t>
      </w:r>
      <w:r w:rsidRPr="00F5723F">
        <w:t>k</w:t>
      </w:r>
      <w:r w:rsidRPr="00F5723F">
        <w:t>ning med riksdags- och lokalpolitiker gjort en lingvistisk analys av riksdag</w:t>
      </w:r>
      <w:r w:rsidRPr="00F5723F">
        <w:t>s</w:t>
      </w:r>
      <w:r w:rsidRPr="00F5723F">
        <w:t>protokoll från 1978/79 med avseende på talaktivitet, meningslängd och vok</w:t>
      </w:r>
      <w:r w:rsidRPr="00F5723F">
        <w:t>a</w:t>
      </w:r>
      <w:r w:rsidRPr="00F5723F">
        <w:t>bulärens struktur i syfte att utröna vem som talar mest och vem som har det mest komplicerade språket när man jämför bland annat kvinnliga och manliga rik</w:t>
      </w:r>
      <w:r w:rsidRPr="00F5723F">
        <w:t>s</w:t>
      </w:r>
      <w:r w:rsidRPr="00F5723F">
        <w:t>dagsledamöter, yngre och äldre, etc.</w:t>
      </w:r>
      <w:r w:rsidRPr="00F5723F">
        <w:rPr>
          <w:rStyle w:val="Fotnotsreferens"/>
          <w:rFonts w:ascii="Garamond" w:hAnsi="Garamond"/>
        </w:rPr>
        <w:footnoteReference w:id="276"/>
      </w:r>
      <w:r w:rsidRPr="00F5723F">
        <w:t xml:space="preserve"> Thelander analyserade ordförråd och syntax. Undersökningen visar att män talar mer än kvinnor, men att kvi</w:t>
      </w:r>
      <w:r w:rsidRPr="00F5723F">
        <w:t>n</w:t>
      </w:r>
      <w:r w:rsidRPr="00F5723F">
        <w:t>nors språk är mer komplext. De kvinnliga riksdagsledamöternas anföranden innehöll längre och mera syntaktiskt komplicerade meningar än männens. Thela</w:t>
      </w:r>
      <w:r w:rsidRPr="00F5723F">
        <w:t>n</w:t>
      </w:r>
      <w:r w:rsidRPr="00F5723F">
        <w:t>der konstaterar att det offentliga språket inte var ett hinder för kvinnor i pol</w:t>
      </w:r>
      <w:r w:rsidRPr="00F5723F">
        <w:t>i</w:t>
      </w:r>
      <w:r w:rsidRPr="00F5723F">
        <w:t>tiken. Kvinnor hade tagit över en traditionellt manlig stil. Att varken de själva eller någon annan uppmärksammade detta beror med stor sannolikhet på att kvinnliga och manl</w:t>
      </w:r>
      <w:r w:rsidRPr="00F5723F">
        <w:t>iga politiker sågs i ljuset av könsstereotyper, menar Th</w:t>
      </w:r>
      <w:r w:rsidRPr="00F5723F">
        <w:t>e</w:t>
      </w:r>
      <w:r w:rsidRPr="00F5723F">
        <w:t>lander.</w:t>
      </w:r>
    </w:p>
    <w:p w:rsidR="00B43C57" w:rsidRPr="00F5723F" w:rsidRDefault="00B43C57">
      <w:pPr>
        <w:pStyle w:val="Normaltindrag"/>
      </w:pPr>
      <w:r w:rsidRPr="00F5723F">
        <w:t>Dessa resultat har emellertid ifrågasatts av forskning av nyare snitt. I en forskningsrapport av Kirsten Gomard och Anne Krogstad jämförs hur kvin</w:t>
      </w:r>
      <w:r w:rsidRPr="00F5723F">
        <w:t>n</w:t>
      </w:r>
      <w:r w:rsidRPr="00F5723F">
        <w:t>liga och manliga politiker, argumenterar i tv-debatter i Danmark, Finland, Norge och Sverige under 1990-talet.</w:t>
      </w:r>
      <w:r w:rsidRPr="00F5723F">
        <w:rPr>
          <w:rStyle w:val="Fotnotsreferens"/>
          <w:rFonts w:ascii="Garamond" w:hAnsi="Garamond"/>
        </w:rPr>
        <w:footnoteReference w:id="277"/>
      </w:r>
      <w:r w:rsidRPr="00F5723F">
        <w:t xml:space="preserve"> Studien visar att kvinnliga politiker kan dominera individuellt lika väl som män – de avbryter, talar länge och använder lika tuffa och dominerande stilar som sina manl</w:t>
      </w:r>
      <w:r w:rsidRPr="00F5723F">
        <w:t>i</w:t>
      </w:r>
      <w:r w:rsidRPr="00F5723F">
        <w:t>ga kolleger. Den gamla stereotypen att kvinnors språk skulle vara mera emoti</w:t>
      </w:r>
      <w:r w:rsidRPr="00F5723F">
        <w:t>o</w:t>
      </w:r>
      <w:r w:rsidRPr="00F5723F">
        <w:t>nellt och mindre argumenterande vederläggs. Kvinnor förhandlar om sin image som komp</w:t>
      </w:r>
      <w:r w:rsidRPr="00F5723F">
        <w:t>e</w:t>
      </w:r>
      <w:r w:rsidRPr="00F5723F">
        <w:t>tenta politiker, vilken implicerar synlighet, auktoritet och kontroll på traditi</w:t>
      </w:r>
      <w:r w:rsidRPr="00F5723F">
        <w:t>o</w:t>
      </w:r>
      <w:r w:rsidRPr="00F5723F">
        <w:t>nellt sätt. Forskarna konkluderar att vi numera kan tala om en stil i den pol</w:t>
      </w:r>
      <w:r w:rsidRPr="00F5723F">
        <w:t>i</w:t>
      </w:r>
      <w:r w:rsidRPr="00F5723F">
        <w:t xml:space="preserve">tiska diskursen, som </w:t>
      </w:r>
      <w:r w:rsidRPr="00F5723F">
        <w:t xml:space="preserve">är gemensam för både kvinnliga och manliga politiker i Norden (2001:188). Noterbart är att man i rapporten inte talar om könsroller utan snarare om </w:t>
      </w:r>
      <w:r w:rsidRPr="00F5723F">
        <w:rPr>
          <w:i/>
        </w:rPr>
        <w:t>doing gender.</w:t>
      </w:r>
      <w:r w:rsidRPr="00F5723F">
        <w:t xml:space="preserve"> Detta begrepp visar på det dynamiska förhå</w:t>
      </w:r>
      <w:r w:rsidRPr="00F5723F">
        <w:t>l</w:t>
      </w:r>
      <w:r w:rsidRPr="00F5723F">
        <w:t xml:space="preserve">landet som råder vid köns(genus)konstruktioner i praktiken: att genus inte är givet utan skapas och återskapas kontinuerligt i interaktion. Verbformen indikerar också att genus är något som uppstår i handling; genus görs, genus skapas. I paritet med detta har Gomard också introducerat begreppet </w:t>
      </w:r>
      <w:r w:rsidRPr="00F5723F">
        <w:rPr>
          <w:i/>
        </w:rPr>
        <w:t>doing polit</w:t>
      </w:r>
      <w:r w:rsidRPr="00F5723F">
        <w:rPr>
          <w:i/>
        </w:rPr>
        <w:t>ics.</w:t>
      </w:r>
    </w:p>
    <w:p w:rsidR="00B43C57" w:rsidRPr="00F5723F" w:rsidRDefault="00B43C57">
      <w:pPr>
        <w:pStyle w:val="Normaltindrag"/>
      </w:pPr>
      <w:r w:rsidRPr="00F5723F">
        <w:t>Gomard menar emellertid att könsskillnader förekom på ett mer subtilt plan, särskilt när det gällde samspelet mellan debattdeltagarna.</w:t>
      </w:r>
      <w:r w:rsidRPr="00F5723F">
        <w:rPr>
          <w:rStyle w:val="Fotnotsreferens"/>
          <w:rFonts w:ascii="Garamond" w:hAnsi="Garamond"/>
        </w:rPr>
        <w:footnoteReference w:id="278"/>
      </w:r>
      <w:r w:rsidRPr="00F5723F">
        <w:t xml:space="preserve"> Kvinnor behandlades som mindre viktiga än sina manliga kolleger och i</w:t>
      </w:r>
      <w:r w:rsidRPr="00F5723F">
        <w:t>n</w:t>
      </w:r>
      <w:r w:rsidRPr="00F5723F">
        <w:t xml:space="preserve">bjöds mera sällan att ta ordet. De fick lägre status genom att deras bidrag </w:t>
      </w:r>
      <w:r w:rsidRPr="00F5723F">
        <w:rPr>
          <w:i/>
        </w:rPr>
        <w:t xml:space="preserve">inte betraktades som </w:t>
      </w:r>
      <w:r w:rsidRPr="00F5723F">
        <w:t>lika intressanta som männens. Manliga politiker ägn</w:t>
      </w:r>
      <w:r w:rsidRPr="00F5723F">
        <w:t>a</w:t>
      </w:r>
      <w:r w:rsidRPr="00F5723F">
        <w:t xml:space="preserve">de sig också inte så sällan åt personangrepp. Personangrepp menar Gomard och Krogstad är en strategi som ingår i </w:t>
      </w:r>
      <w:r w:rsidRPr="00F5723F">
        <w:rPr>
          <w:i/>
        </w:rPr>
        <w:t xml:space="preserve">doing politics </w:t>
      </w:r>
      <w:r w:rsidRPr="00F5723F">
        <w:t>och som också ingår i kult</w:t>
      </w:r>
      <w:r w:rsidRPr="00F5723F">
        <w:t>u</w:t>
      </w:r>
      <w:r w:rsidRPr="00F5723F">
        <w:t>rellt accepterade normer för manlighet i vårt samhälle. Endast manliga politiker gjorde aggre</w:t>
      </w:r>
      <w:r w:rsidRPr="00F5723F">
        <w:t>s</w:t>
      </w:r>
      <w:r w:rsidRPr="00F5723F">
        <w:t>siva försök att ta över ordet. Å andra sida</w:t>
      </w:r>
      <w:r w:rsidRPr="00F5723F">
        <w:t xml:space="preserve">n visade det sig att manliga politiker som hade en mildare framtoning inte hade någon framgång. Här finns således en koppling mellan </w:t>
      </w:r>
      <w:r w:rsidRPr="00F5723F">
        <w:rPr>
          <w:i/>
        </w:rPr>
        <w:t>doing politics</w:t>
      </w:r>
      <w:r w:rsidRPr="00F5723F">
        <w:t xml:space="preserve"> och det sätt manlighet konstrueras på i vårt samhä</w:t>
      </w:r>
      <w:r w:rsidRPr="00F5723F">
        <w:t>l</w:t>
      </w:r>
      <w:r w:rsidRPr="00F5723F">
        <w:t>le.</w:t>
      </w:r>
    </w:p>
    <w:p w:rsidR="00B43C57" w:rsidRPr="00F5723F" w:rsidRDefault="00B43C57">
      <w:pPr>
        <w:pStyle w:val="Rubrik3"/>
        <w:rPr>
          <w:noProof w:val="0"/>
        </w:rPr>
      </w:pPr>
      <w:bookmarkStart w:id="361" w:name="_Toc121739009"/>
      <w:bookmarkStart w:id="362" w:name="_Toc124697921"/>
      <w:r w:rsidRPr="00F5723F">
        <w:rPr>
          <w:noProof w:val="0"/>
        </w:rPr>
        <w:t>Riksdagsledamöters villkor och situation i riksdagen</w:t>
      </w:r>
      <w:bookmarkEnd w:id="361"/>
      <w:bookmarkEnd w:id="362"/>
    </w:p>
    <w:p w:rsidR="00B43C57" w:rsidRPr="00F5723F" w:rsidRDefault="00B43C57">
      <w:r w:rsidRPr="00F5723F">
        <w:t>Ett femte tema i den befintliga forskningen om riksdagen ur ett genusperspe</w:t>
      </w:r>
      <w:r w:rsidRPr="00F5723F">
        <w:t>k</w:t>
      </w:r>
      <w:r w:rsidRPr="00F5723F">
        <w:t xml:space="preserve">tiv belyser riksdagsledamöternas villkor och situation i riksdagen. </w:t>
      </w:r>
    </w:p>
    <w:p w:rsidR="00B43C57" w:rsidRPr="00F5723F" w:rsidRDefault="00B43C57">
      <w:pPr>
        <w:pStyle w:val="Normaltindrag"/>
      </w:pPr>
      <w:r w:rsidRPr="00F5723F">
        <w:t>Statsvetaren Harriet Lundblad undersökte i en licentiatavhandling rik</w:t>
      </w:r>
      <w:r w:rsidRPr="00F5723F">
        <w:t>s</w:t>
      </w:r>
      <w:r w:rsidRPr="00F5723F">
        <w:t>dagskvinnors bakgrund och arbete i riksdagen under perioden 1922–1949.</w:t>
      </w:r>
      <w:r w:rsidRPr="00F5723F">
        <w:rPr>
          <w:rStyle w:val="Fotnotsreferens"/>
          <w:rFonts w:ascii="Garamond" w:hAnsi="Garamond"/>
        </w:rPr>
        <w:footnoteReference w:id="279"/>
      </w:r>
      <w:r w:rsidRPr="00F5723F">
        <w:t xml:space="preserve"> Undersökningen visar att riksdagens kvinnliga ledamöter hade en god komp</w:t>
      </w:r>
      <w:r w:rsidRPr="00F5723F">
        <w:t>e</w:t>
      </w:r>
      <w:r w:rsidRPr="00F5723F">
        <w:t>tens avseende både utbildning, yrkesverksamhet och samhällsengagemang. De kvinnliga riksdagsledamöternas situation var dock osäker beroende bland annat på att de ofta var ersättare till avgångna riksdagsmän och i vissa fall erhållit sin riksdagsplats på grund av valframgångar inom respektive parti. Första kammarens kvinnliga ledamöter och borgerliga kvinnliga ledamöter var mer meriterade än andra kammarens kvinnliga ledamöter och soci</w:t>
      </w:r>
      <w:r w:rsidRPr="00F5723F">
        <w:t>alistiska kvin</w:t>
      </w:r>
      <w:r w:rsidRPr="00F5723F">
        <w:t>n</w:t>
      </w:r>
      <w:r w:rsidRPr="00F5723F">
        <w:t>liga ledamöter. Dessa tilldelades också utskottsplatser snabbare. När det gäller kvinnors och mäns motionerande visar undersö</w:t>
      </w:r>
      <w:r w:rsidRPr="00F5723F">
        <w:t>k</w:t>
      </w:r>
      <w:r w:rsidRPr="00F5723F">
        <w:t>ningen att kvinnor var mindre aktiva och att deras politikområden var sn</w:t>
      </w:r>
      <w:r w:rsidRPr="00F5723F">
        <w:t>ä</w:t>
      </w:r>
      <w:r w:rsidRPr="00F5723F">
        <w:t xml:space="preserve">vare än mäns. </w:t>
      </w:r>
    </w:p>
    <w:p w:rsidR="00B43C57" w:rsidRPr="00F5723F" w:rsidRDefault="00B43C57">
      <w:pPr>
        <w:pStyle w:val="Normaltindrag"/>
      </w:pPr>
      <w:r w:rsidRPr="00F5723F">
        <w:t>Historikern Kjell Östberg har studerat varför kvinnors politiska framgån</w:t>
      </w:r>
      <w:r w:rsidRPr="00F5723F">
        <w:t>g</w:t>
      </w:r>
      <w:r w:rsidRPr="00F5723F">
        <w:t>ar uteblev efter det demokratiska genombrottet år 1921.</w:t>
      </w:r>
      <w:r w:rsidRPr="00F5723F">
        <w:rPr>
          <w:rStyle w:val="Fotnotsreferens"/>
          <w:rFonts w:ascii="Garamond" w:hAnsi="Garamond"/>
        </w:rPr>
        <w:footnoteReference w:id="280"/>
      </w:r>
      <w:r w:rsidRPr="00F5723F">
        <w:t xml:space="preserve"> En orsak till denna utveckling var mäns kompakta motstånd mot att släppa in kvinnor på den politiska arenan, menar Östberg. Från höger till vänster hävdades att kvi</w:t>
      </w:r>
      <w:r w:rsidRPr="00F5723F">
        <w:t>n</w:t>
      </w:r>
      <w:r w:rsidRPr="00F5723F">
        <w:t>nor var alltför okunniga, omogna och ointresserade för att ges politiska uppdrag. Män använde sig av flera strategier för att utestänga kvinnor, som till exempel osy</w:t>
      </w:r>
      <w:r w:rsidRPr="00F5723F">
        <w:t>n</w:t>
      </w:r>
      <w:r w:rsidRPr="00F5723F">
        <w:t>liggörande, den ensamma kvinnans utsatthet, manipulerande, kvinnor som gisslan. Dessa strategier kan liknas vid det som den norska sociologen Berit Ås benämnt de fem härskarteknike</w:t>
      </w:r>
      <w:r w:rsidRPr="00F5723F">
        <w:t>rna.</w:t>
      </w:r>
      <w:r w:rsidRPr="00F5723F">
        <w:rPr>
          <w:rStyle w:val="Fotnotsreferens"/>
          <w:rFonts w:ascii="Garamond" w:hAnsi="Garamond"/>
        </w:rPr>
        <w:footnoteReference w:id="281"/>
      </w:r>
      <w:r w:rsidRPr="00F5723F">
        <w:t xml:space="preserve"> Studien behandlar även kvi</w:t>
      </w:r>
      <w:r w:rsidRPr="00F5723F">
        <w:t>n</w:t>
      </w:r>
      <w:r w:rsidRPr="00F5723F">
        <w:t>nors strategier för att ta sig in i politiken och visar på en hel värld av kvinnl</w:t>
      </w:r>
      <w:r w:rsidRPr="00F5723F">
        <w:t>i</w:t>
      </w:r>
      <w:r w:rsidRPr="00F5723F">
        <w:t>ga organisationer, nätverk och tvärpolitiska aktioner.</w:t>
      </w:r>
    </w:p>
    <w:p w:rsidR="00B43C57" w:rsidRPr="00F5723F" w:rsidRDefault="00B43C57">
      <w:pPr>
        <w:pStyle w:val="Normaltindrag"/>
      </w:pPr>
      <w:r w:rsidRPr="00F5723F">
        <w:t>Historikern Camilla Norrbin har undersökt rötterna till rik</w:t>
      </w:r>
      <w:r w:rsidRPr="00F5723F">
        <w:t>s</w:t>
      </w:r>
      <w:r w:rsidRPr="00F5723F">
        <w:t>dagskvinnornas politiska handlande och deras strategier för att skaffa sig makt i den svenska tvåkammarriksdagen.</w:t>
      </w:r>
      <w:r w:rsidRPr="00F5723F">
        <w:rPr>
          <w:rStyle w:val="Fotnotsreferens"/>
          <w:rFonts w:ascii="Garamond" w:hAnsi="Garamond"/>
        </w:rPr>
        <w:footnoteReference w:id="282"/>
      </w:r>
      <w:r w:rsidRPr="00F5723F">
        <w:t xml:space="preserve"> Undersökningen visar att de första kvinnorna bröt riksdagens genusstruktur enbart genom att de var kvi</w:t>
      </w:r>
      <w:r w:rsidRPr="00F5723F">
        <w:t>n</w:t>
      </w:r>
      <w:r w:rsidRPr="00F5723F">
        <w:t>nor och politiker, men de isolerades av och inordnades i manligt prägl</w:t>
      </w:r>
      <w:r w:rsidRPr="00F5723F">
        <w:t>a</w:t>
      </w:r>
      <w:r w:rsidRPr="00F5723F">
        <w:t>de maktstrukturer. Norrbin menar att kvinnorna hindrades att delta i riksd</w:t>
      </w:r>
      <w:r w:rsidRPr="00F5723F">
        <w:t>a</w:t>
      </w:r>
      <w:r w:rsidRPr="00F5723F">
        <w:t>gens arbete på samma villkor som män. De fick också arbeta hårdare och längre för sina uppdrag och ägn</w:t>
      </w:r>
      <w:r w:rsidRPr="00F5723F">
        <w:t>a</w:t>
      </w:r>
      <w:r w:rsidRPr="00F5723F">
        <w:t>de sig åt s.k. kvinnofrågor. Norrbin konkluderar att de kvinnliga riksdagsl</w:t>
      </w:r>
      <w:r w:rsidRPr="00F5723F">
        <w:t>e</w:t>
      </w:r>
      <w:r w:rsidRPr="00F5723F">
        <w:t>damöterna under slutet av 1960-talet blev alltmer integr</w:t>
      </w:r>
      <w:r w:rsidRPr="00F5723F">
        <w:t>e</w:t>
      </w:r>
      <w:r w:rsidRPr="00F5723F">
        <w:t>rade i riksdagens utskott,</w:t>
      </w:r>
      <w:r w:rsidRPr="00F5723F">
        <w:t xml:space="preserve"> kamrar och pratgrupper. Framgångarna lät dock vänta på sig till 1970-talet, menar Norrbin.</w:t>
      </w:r>
    </w:p>
    <w:p w:rsidR="00B43C57" w:rsidRPr="00F5723F" w:rsidRDefault="00B43C57">
      <w:pPr>
        <w:pStyle w:val="Normaltindrag"/>
      </w:pPr>
      <w:r w:rsidRPr="00F5723F">
        <w:t xml:space="preserve">Camilla Norrbin och </w:t>
      </w:r>
      <w:r w:rsidRPr="00F5723F">
        <w:t>Mikael Sjögren har undersökt riksdagskvinnornas motioner åren 1952, 1956 och 1959. Undersökningen visar att soc</w:t>
      </w:r>
      <w:r w:rsidRPr="00F5723F">
        <w:t>i</w:t>
      </w:r>
      <w:r w:rsidRPr="00F5723F">
        <w:t>alpolitik och utbildningsfrågor samt kvinnofrågor är politikområden som de flesta kvinnor motionerat om under 1950-talet. Tydliga skillnader i politiska intre</w:t>
      </w:r>
      <w:r w:rsidRPr="00F5723F">
        <w:t>s</w:t>
      </w:r>
      <w:r w:rsidRPr="00F5723F">
        <w:t>sen fanns mellan de borgerliga och de socialistiska kvinnorna. Utgående från Gun He</w:t>
      </w:r>
      <w:r w:rsidRPr="00F5723F">
        <w:t>d</w:t>
      </w:r>
      <w:r w:rsidRPr="00F5723F">
        <w:t>lunds resonemang om att de frågor kvinnliga p</w:t>
      </w:r>
      <w:r w:rsidRPr="00F5723F">
        <w:t>olitiker väljer att ägna sig åt</w:t>
      </w:r>
      <w:r w:rsidRPr="00F5723F">
        <w:t xml:space="preserve"> konstituerar kvinnliga intressen, var socialpolitik, utbildningsfrågor och till </w:t>
      </w:r>
      <w:r w:rsidRPr="00F5723F">
        <w:t>viss del kvinnofrågor kvinnointressen i riksdagen under 1950-talet. Nor</w:t>
      </w:r>
      <w:r w:rsidRPr="00F5723F">
        <w:t>r</w:t>
      </w:r>
      <w:r w:rsidRPr="00F5723F">
        <w:t>bin och Sjögren menar följaktligen att kvinnor till övervägande del ägnade sig åt allmänpolitiska frågor.</w:t>
      </w:r>
      <w:r w:rsidRPr="00F5723F">
        <w:rPr>
          <w:rStyle w:val="Fotnotsreferens"/>
          <w:rFonts w:ascii="Garamond" w:hAnsi="Garamond"/>
        </w:rPr>
        <w:footnoteReference w:id="283"/>
      </w:r>
      <w:r w:rsidRPr="00F5723F">
        <w:t xml:space="preserve"> En analys av diskussionerna inför utnämningen av Ulla Lindström till konsultativt statsråd 1954 visar att intresseområden som konsumentfrågor och familjepolitik ansågs som lämpliga för ett kvinnligt statsråd. Försvaret ansågs däremot som ett klart oläm</w:t>
      </w:r>
      <w:r w:rsidRPr="00F5723F">
        <w:t>p</w:t>
      </w:r>
      <w:r w:rsidRPr="00F5723F">
        <w:t>ligt område. Områden som polisen, civilförsvaret och övriga frågor som hörde till Inrikesdepart</w:t>
      </w:r>
      <w:r w:rsidRPr="00F5723F">
        <w:t>e</w:t>
      </w:r>
      <w:r w:rsidRPr="00F5723F">
        <w:t>mentet väckte tveksamhet.</w:t>
      </w:r>
      <w:r w:rsidRPr="00F5723F">
        <w:rPr>
          <w:rStyle w:val="Fotnotsreferens"/>
          <w:rFonts w:ascii="Garamond" w:hAnsi="Garamond"/>
        </w:rPr>
        <w:footnoteReference w:id="284"/>
      </w:r>
    </w:p>
    <w:p w:rsidR="00B43C57" w:rsidRPr="00F5723F" w:rsidRDefault="00B43C57">
      <w:pPr>
        <w:pStyle w:val="Normaltindrag"/>
      </w:pPr>
      <w:r w:rsidRPr="00F5723F">
        <w:t>I stället för att belysa kvinnors strategier för en ökad kvinn</w:t>
      </w:r>
      <w:r w:rsidRPr="00F5723F">
        <w:t>o</w:t>
      </w:r>
      <w:r w:rsidRPr="00F5723F">
        <w:t>representation vänder historikern Ann-Sofie Ohlander på resonemanget och belyser mäns strategier för att hålla kvinnor utanför regering och rik</w:t>
      </w:r>
      <w:r w:rsidRPr="00F5723F">
        <w:t>s</w:t>
      </w:r>
      <w:r w:rsidRPr="00F5723F">
        <w:t>dag. Genom att ”låta blir att nominera dem, betrakta dem som ”särintresse” i olika kvinnofö</w:t>
      </w:r>
      <w:r w:rsidRPr="00F5723F">
        <w:t>r</w:t>
      </w:r>
      <w:r w:rsidRPr="00F5723F">
        <w:t>bund, och med ett ’Mina Herrar’ till och med förneka deras närvaro och ex</w:t>
      </w:r>
      <w:r w:rsidRPr="00F5723F">
        <w:t>i</w:t>
      </w:r>
      <w:r w:rsidRPr="00F5723F">
        <w:t>stens” kunde män efter det första riksdagsvalet i Sverige med allmän rösträtt gardera sina positioner, menar Ohlander.</w:t>
      </w:r>
      <w:r w:rsidRPr="00F5723F">
        <w:rPr>
          <w:rStyle w:val="Fotnotsreferens"/>
          <w:rFonts w:ascii="Garamond" w:hAnsi="Garamond"/>
        </w:rPr>
        <w:footnoteReference w:id="285"/>
      </w:r>
      <w:r w:rsidRPr="00F5723F">
        <w:t xml:space="preserve"> Mäns motstånd mot kvinnors pol</w:t>
      </w:r>
      <w:r w:rsidRPr="00F5723F">
        <w:t>i</w:t>
      </w:r>
      <w:r w:rsidRPr="00F5723F">
        <w:t>tiska representation handlade således om ett försvar av den manliga identiteten.</w:t>
      </w:r>
    </w:p>
    <w:p w:rsidR="00B43C57" w:rsidRPr="00F5723F" w:rsidRDefault="00B43C57">
      <w:pPr>
        <w:pStyle w:val="Normaltindrag"/>
      </w:pPr>
      <w:r w:rsidRPr="00F5723F">
        <w:t>Forskningen om riksdagens funktion och arbetssätt har gen</w:t>
      </w:r>
      <w:r w:rsidRPr="00F5723F">
        <w:t>e</w:t>
      </w:r>
      <w:r w:rsidRPr="00F5723F">
        <w:t>rellt varit ett eftersatt område. För att råda bot på detta förhållande publicerades bland annat</w:t>
      </w:r>
      <w:r w:rsidRPr="00F5723F">
        <w:rPr>
          <w:i/>
        </w:rPr>
        <w:t xml:space="preserve"> Rik</w:t>
      </w:r>
      <w:r w:rsidRPr="00F5723F">
        <w:rPr>
          <w:i/>
        </w:rPr>
        <w:t>s</w:t>
      </w:r>
      <w:r w:rsidRPr="00F5723F">
        <w:rPr>
          <w:i/>
        </w:rPr>
        <w:t>dagen inifrån</w:t>
      </w:r>
      <w:r w:rsidRPr="00F5723F">
        <w:t xml:space="preserve"> år 1991 och efterföljaren </w:t>
      </w:r>
      <w:r w:rsidRPr="00F5723F">
        <w:rPr>
          <w:i/>
        </w:rPr>
        <w:t>Riksdagsutskotten inifrån</w:t>
      </w:r>
      <w:r w:rsidRPr="00F5723F">
        <w:t xml:space="preserve"> år</w:t>
      </w:r>
      <w:r w:rsidRPr="00F5723F">
        <w:rPr>
          <w:i/>
        </w:rPr>
        <w:t xml:space="preserve"> </w:t>
      </w:r>
      <w:r w:rsidRPr="00F5723F">
        <w:t>1996.</w:t>
      </w:r>
      <w:r w:rsidRPr="00F5723F">
        <w:rPr>
          <w:rStyle w:val="Fotnotsreferens"/>
          <w:rFonts w:ascii="Garamond" w:hAnsi="Garamond"/>
        </w:rPr>
        <w:footnoteReference w:id="286"/>
      </w:r>
      <w:r w:rsidRPr="00F5723F">
        <w:t xml:space="preserve"> Den första av dessa är ett resultat av föredragsserien ”Politik och riksdagsarbete” som hölls i riksdagen från oktober 1986 till mars 1990. För</w:t>
      </w:r>
      <w:r w:rsidRPr="00F5723F">
        <w:t>e</w:t>
      </w:r>
      <w:r w:rsidRPr="00F5723F">
        <w:t>dragen väckte på sin tid så stort intresse att det beslöts att de skulle public</w:t>
      </w:r>
      <w:r w:rsidRPr="00F5723F">
        <w:t>e</w:t>
      </w:r>
      <w:r w:rsidRPr="00F5723F">
        <w:t xml:space="preserve">ras. I boken </w:t>
      </w:r>
      <w:r w:rsidRPr="00F5723F">
        <w:rPr>
          <w:i/>
        </w:rPr>
        <w:t>Riksdagen inifrån</w:t>
      </w:r>
      <w:r w:rsidRPr="00F5723F">
        <w:t xml:space="preserve"> berättar således tolv riksdagsledamöter, varav en kvinna, om sina erfarenheter och minnen från politik och riksdagsarbete. Astrid Kri</w:t>
      </w:r>
      <w:r w:rsidRPr="00F5723F">
        <w:t>s</w:t>
      </w:r>
      <w:r w:rsidRPr="00F5723F">
        <w:t>tensson belyser i sitt kapitel en tid då få kvinnor fanns i riksdagen, då begreppet ”riksdagsmän” fortfarande användes och</w:t>
      </w:r>
      <w:r w:rsidRPr="00F5723F">
        <w:t xml:space="preserve"> då det var smått sens</w:t>
      </w:r>
      <w:r w:rsidRPr="00F5723F">
        <w:t>a</w:t>
      </w:r>
      <w:r w:rsidRPr="00F5723F">
        <w:t>tionellt när en kvinna intog talarstolen. Kristensson skriver ”Då satt herra</w:t>
      </w:r>
      <w:r w:rsidRPr="00F5723F">
        <w:t>r</w:t>
      </w:r>
      <w:r w:rsidRPr="00F5723F">
        <w:t>na och lyssnade till synes bara för att få höra vilka grodor som skulle trilla ur mu</w:t>
      </w:r>
      <w:r w:rsidRPr="00F5723F">
        <w:t>n</w:t>
      </w:r>
      <w:r w:rsidRPr="00F5723F">
        <w:t>nen.”</w:t>
      </w:r>
      <w:r w:rsidRPr="00F5723F">
        <w:rPr>
          <w:rStyle w:val="Fotnotsreferens"/>
          <w:rFonts w:ascii="Garamond" w:hAnsi="Garamond"/>
        </w:rPr>
        <w:footnoteReference w:id="287"/>
      </w:r>
      <w:r w:rsidRPr="00F5723F">
        <w:t xml:space="preserve"> </w:t>
      </w:r>
    </w:p>
    <w:p w:rsidR="00B43C57" w:rsidRPr="00F5723F" w:rsidRDefault="00B43C57">
      <w:pPr>
        <w:pStyle w:val="Normaltindrag"/>
      </w:pPr>
      <w:r w:rsidRPr="00F5723F">
        <w:t>Efter utgivningen av denna bok väcktes idén om att ytterligare öka känn</w:t>
      </w:r>
      <w:r w:rsidRPr="00F5723F">
        <w:t>e</w:t>
      </w:r>
      <w:r w:rsidRPr="00F5723F">
        <w:t>domen om riksdagen genom att komplettera dessa minnen och erfarenheter med redovisningar ur ett bredare urval av riksdagsledamöter, i detta fall till riksdagsledamöter som haft sitt huvudsakliga politiska arbete förlagt till u</w:t>
      </w:r>
      <w:r w:rsidRPr="00F5723F">
        <w:t>t</w:t>
      </w:r>
      <w:r w:rsidRPr="00F5723F">
        <w:t xml:space="preserve">skotten, inte till regeringen och partigruppledning. En serie riksdagsledamöter inbjöds således till att medverka i en bok, </w:t>
      </w:r>
      <w:r w:rsidRPr="00F5723F">
        <w:rPr>
          <w:i/>
        </w:rPr>
        <w:t>Riksdagsutskotten inifrån</w:t>
      </w:r>
      <w:r w:rsidRPr="00F5723F">
        <w:t>. Urval</w:t>
      </w:r>
      <w:r w:rsidRPr="00F5723F">
        <w:t>s</w:t>
      </w:r>
      <w:r w:rsidRPr="00F5723F">
        <w:t>kriterierna för medverkan i boken innehöll följande komponenter: en någo</w:t>
      </w:r>
      <w:r w:rsidRPr="00F5723F">
        <w:t>r</w:t>
      </w:r>
      <w:r w:rsidRPr="00F5723F">
        <w:t>lunda jämn fördelning mellan partierna så att de flest</w:t>
      </w:r>
      <w:r w:rsidRPr="00F5723F">
        <w:t>a utskott blev represent</w:t>
      </w:r>
      <w:r w:rsidRPr="00F5723F">
        <w:t>e</w:t>
      </w:r>
      <w:r w:rsidRPr="00F5723F">
        <w:t>rade, att riksdagsledamöterna borde ha suttit sin huvu</w:t>
      </w:r>
      <w:r w:rsidRPr="00F5723F">
        <w:t>d</w:t>
      </w:r>
      <w:r w:rsidRPr="00F5723F">
        <w:t>sakliga del av tiden i enkammarriksdagen, att riksdagsledamöte</w:t>
      </w:r>
      <w:r w:rsidRPr="00F5723F">
        <w:t>r</w:t>
      </w:r>
      <w:r w:rsidRPr="00F5723F">
        <w:t>na borde ha suttit i åtminstone tre à fyra mandatperioder, att riksdagsled</w:t>
      </w:r>
      <w:r w:rsidRPr="00F5723F">
        <w:t>a</w:t>
      </w:r>
      <w:r w:rsidRPr="00F5723F">
        <w:t>möterna borde ha haft utskottsarbetet som sin huvudsakliga arbetsuppgift samt att de utvalda borde ha stor frihet att själva utforma sina minnen. En jämn fördelning mellan k</w:t>
      </w:r>
      <w:r w:rsidRPr="00F5723F">
        <w:t>ö</w:t>
      </w:r>
      <w:r w:rsidRPr="00F5723F">
        <w:t>nen var således inte ett uttalat kriterium. Däremot deltog denna gång ett större antal kvinnliga riksdagsledamöter i bok</w:t>
      </w:r>
      <w:r w:rsidRPr="00F5723F">
        <w:t>en: fyra av de tretton berättelserna är skrivna av kvi</w:t>
      </w:r>
      <w:r w:rsidRPr="00F5723F">
        <w:t>n</w:t>
      </w:r>
      <w:r w:rsidRPr="00F5723F">
        <w:t>nor. Gunnel Jonäng skriver bland annat om sitt engagemang i kvinn</w:t>
      </w:r>
      <w:r w:rsidRPr="00F5723F">
        <w:t>o</w:t>
      </w:r>
      <w:r w:rsidRPr="00F5723F">
        <w:t>frågor under riksdagsåren och att det viktigaste för henne var att visa att ”också en kvinna kunde uträtta något i riksdagen”.</w:t>
      </w:r>
      <w:r w:rsidRPr="00F5723F">
        <w:rPr>
          <w:rStyle w:val="Fotnotsreferens"/>
          <w:rFonts w:ascii="Garamond" w:hAnsi="Garamond"/>
        </w:rPr>
        <w:footnoteReference w:id="288"/>
      </w:r>
      <w:r w:rsidRPr="00F5723F">
        <w:t xml:space="preserve"> Jonäng skr</w:t>
      </w:r>
      <w:r w:rsidRPr="00F5723F">
        <w:t>i</w:t>
      </w:r>
      <w:r w:rsidRPr="00F5723F">
        <w:t>ver att ”man måste helt enkel visa hemmafolket att man dög. Männen hade inte den belastningen. De dög alltid. Samma sak idag. Männen duger al</w:t>
      </w:r>
      <w:r w:rsidRPr="00F5723F">
        <w:t>l</w:t>
      </w:r>
      <w:r w:rsidRPr="00F5723F">
        <w:t>tid!”</w:t>
      </w:r>
      <w:r w:rsidRPr="00F5723F">
        <w:rPr>
          <w:rStyle w:val="Fotnotsreferens"/>
          <w:rFonts w:ascii="Garamond" w:hAnsi="Garamond"/>
        </w:rPr>
        <w:footnoteReference w:id="289"/>
      </w:r>
      <w:r w:rsidRPr="00F5723F">
        <w:t xml:space="preserve"> Doris Håvik berättar om avancemanget från suppleant till ordinarie utskottsledamot, som möjliggjo</w:t>
      </w:r>
      <w:r w:rsidRPr="00F5723F">
        <w:t>r</w:t>
      </w:r>
      <w:r w:rsidRPr="00F5723F">
        <w:t>des när den ordinarie ledamoten John Lun</w:t>
      </w:r>
      <w:r w:rsidRPr="00F5723F">
        <w:t>d</w:t>
      </w:r>
      <w:r w:rsidRPr="00F5723F">
        <w:t>berg avsåg att ägna sig mer åt politiska frågor utanför utskottets område. Håvik skr</w:t>
      </w:r>
      <w:r w:rsidRPr="00F5723F">
        <w:t>i</w:t>
      </w:r>
      <w:r w:rsidRPr="00F5723F">
        <w:t>ver att Lundberg ”efter prövning av mig skulle återkomma om han ansåg att mina kunskaper höll måttet”.</w:t>
      </w:r>
      <w:r w:rsidRPr="00F5723F">
        <w:rPr>
          <w:rStyle w:val="Fotnotsreferens"/>
          <w:rFonts w:ascii="Garamond" w:hAnsi="Garamond"/>
        </w:rPr>
        <w:footnoteReference w:id="290"/>
      </w:r>
      <w:r w:rsidRPr="00F5723F">
        <w:t xml:space="preserve"> </w:t>
      </w:r>
    </w:p>
    <w:p w:rsidR="00B43C57" w:rsidRPr="00F5723F" w:rsidRDefault="00B43C57">
      <w:pPr>
        <w:pStyle w:val="Normaltindrag"/>
      </w:pPr>
      <w:r w:rsidRPr="00F5723F">
        <w:t xml:space="preserve">En mer vetenskaplig problematisering av riksdagen och dess verksamhet ges i </w:t>
      </w:r>
      <w:r w:rsidRPr="00F5723F">
        <w:rPr>
          <w:i/>
        </w:rPr>
        <w:t>Riksdagen på nära håll</w:t>
      </w:r>
      <w:r w:rsidRPr="00F5723F">
        <w:t>, som är författad av riksdagsstipe</w:t>
      </w:r>
      <w:r w:rsidRPr="00F5723F">
        <w:t>n</w:t>
      </w:r>
      <w:r w:rsidRPr="00F5723F">
        <w:t>diater.</w:t>
      </w:r>
      <w:r w:rsidRPr="00F5723F">
        <w:rPr>
          <w:rStyle w:val="Fotnotsreferens"/>
          <w:rFonts w:ascii="Garamond" w:hAnsi="Garamond"/>
        </w:rPr>
        <w:footnoteReference w:id="291"/>
      </w:r>
      <w:r w:rsidRPr="00F5723F">
        <w:t xml:space="preserve"> Ett kapitel tillägnas frågor som rör kvinnor och män, nämligen Lena Wängneruds ”Varannan Damernas i riksdagens utskott”. I detta kapitel analyseras kön</w:t>
      </w:r>
      <w:r w:rsidRPr="00F5723F">
        <w:t>s</w:t>
      </w:r>
      <w:r w:rsidRPr="00F5723F">
        <w:t>mönster i riksdagens utskott och huruvida det skett en förstärkt eller försvagat könsmönster över tid. Wängnerud konkluderar att det förekommer både i</w:t>
      </w:r>
      <w:r w:rsidRPr="00F5723F">
        <w:t>n</w:t>
      </w:r>
      <w:r w:rsidRPr="00F5723F">
        <w:t>slag av diskriminering – att kvinnor i större utsträc</w:t>
      </w:r>
      <w:r w:rsidRPr="00F5723F">
        <w:t>k</w:t>
      </w:r>
      <w:r w:rsidRPr="00F5723F">
        <w:t>ning än män hålls utanför vissa områden i politiken – och av ett aktivt val vid fördelning av utskott</w:t>
      </w:r>
      <w:r w:rsidRPr="00F5723F">
        <w:t>s</w:t>
      </w:r>
      <w:r w:rsidRPr="00F5723F">
        <w:t>uppdrag.</w:t>
      </w:r>
    </w:p>
    <w:p w:rsidR="00B43C57" w:rsidRPr="00F5723F" w:rsidRDefault="00B43C57">
      <w:pPr>
        <w:pStyle w:val="Normaltindrag"/>
      </w:pPr>
      <w:r w:rsidRPr="00F5723F">
        <w:t>Flera kommunstudier har uppmärksammat kvinn</w:t>
      </w:r>
      <w:r w:rsidRPr="00F5723F">
        <w:t>ors villkor i politiken. Forskning visar att det inte räcker med att få tillträde till beslutsfattande fö</w:t>
      </w:r>
      <w:r w:rsidRPr="00F5723F">
        <w:t>r</w:t>
      </w:r>
      <w:r w:rsidRPr="00F5723F">
        <w:t>samlingar. Det krävs rimliga förutsättningar för att kunna utföra sitt uppdrag, s.k. represe</w:t>
      </w:r>
      <w:r w:rsidRPr="00F5723F">
        <w:t>n</w:t>
      </w:r>
      <w:r w:rsidRPr="00F5723F">
        <w:t>tationsvillkor.</w:t>
      </w:r>
      <w:r w:rsidRPr="00F5723F">
        <w:rPr>
          <w:rStyle w:val="Fotnotsreferens"/>
          <w:rFonts w:ascii="Garamond" w:hAnsi="Garamond"/>
        </w:rPr>
        <w:footnoteReference w:id="292"/>
      </w:r>
      <w:r w:rsidRPr="00F5723F">
        <w:t xml:space="preserve"> Det måste finnas förutsättningar för att kunna delta i möten och överläggningar utan för mycket kollision med arb</w:t>
      </w:r>
      <w:r w:rsidRPr="00F5723F">
        <w:t>e</w:t>
      </w:r>
      <w:r w:rsidRPr="00F5723F">
        <w:t>te och familj. Det måste des</w:t>
      </w:r>
      <w:r w:rsidRPr="00F5723F">
        <w:t>s</w:t>
      </w:r>
      <w:r w:rsidRPr="00F5723F">
        <w:t>utom finnas möjligheter att förbereda sig samt kunna använda sitt politiska uppdrag (det vill säga bli integrerad i politikerkollekt</w:t>
      </w:r>
      <w:r w:rsidRPr="00F5723F">
        <w:t>i</w:t>
      </w:r>
      <w:r w:rsidRPr="00F5723F">
        <w:t>vet, särskilt part</w:t>
      </w:r>
      <w:r w:rsidRPr="00F5723F">
        <w:t>i</w:t>
      </w:r>
      <w:r w:rsidRPr="00F5723F">
        <w:t xml:space="preserve">gruppen, och respekteras av tjänstemän, allmänhet, etc.). I </w:t>
      </w:r>
      <w:r w:rsidRPr="00F5723F">
        <w:rPr>
          <w:i/>
        </w:rPr>
        <w:t>Vi har väntat länge nog</w:t>
      </w:r>
      <w:r w:rsidRPr="00F5723F">
        <w:t xml:space="preserve"> resonerar Dahlerup om de politiska arbetsformerna och om huruvida kvinnor i politiken möter motstånd på grund av sitt kön eller inte</w:t>
      </w:r>
      <w:r w:rsidRPr="00F5723F">
        <w:t>.</w:t>
      </w:r>
      <w:r w:rsidRPr="00F5723F">
        <w:rPr>
          <w:rStyle w:val="Fotnotsreferens"/>
          <w:rFonts w:ascii="Garamond" w:hAnsi="Garamond"/>
        </w:rPr>
        <w:footnoteReference w:id="293"/>
      </w:r>
      <w:r w:rsidRPr="00F5723F">
        <w:t xml:space="preserve"> Utgående från en serie nordiska kommunalpolitikers arbetssituation konstat</w:t>
      </w:r>
      <w:r w:rsidRPr="00F5723F">
        <w:t>e</w:t>
      </w:r>
      <w:r w:rsidRPr="00F5723F">
        <w:t>ras att representationsvillkoren är olika för kvinnor och män.</w:t>
      </w:r>
      <w:r w:rsidRPr="00F5723F">
        <w:rPr>
          <w:rStyle w:val="Fotnotsreferens"/>
          <w:rFonts w:ascii="Garamond" w:hAnsi="Garamond"/>
        </w:rPr>
        <w:footnoteReference w:id="294"/>
      </w:r>
      <w:r w:rsidRPr="00F5723F">
        <w:t xml:space="preserve"> Med hänvisning till bland annat Berit Nicolaysens studier av kommunfullmäktig</w:t>
      </w:r>
      <w:r w:rsidRPr="00F5723F">
        <w:t>e</w:t>
      </w:r>
      <w:r w:rsidRPr="00F5723F">
        <w:t>ledamöter i Trondheim konstateras att kvinnor har mindre erfarenhet som folkvalda och har därför ett sämre utgångsläge, att kvinnor har dubbelarb</w:t>
      </w:r>
      <w:r w:rsidRPr="00F5723F">
        <w:t>e</w:t>
      </w:r>
      <w:r w:rsidRPr="00F5723F">
        <w:t>te vid sidan av det politiska arbetet samt att det finns en större överensstämme</w:t>
      </w:r>
      <w:r w:rsidRPr="00F5723F">
        <w:t>l</w:t>
      </w:r>
      <w:r w:rsidRPr="00F5723F">
        <w:t>se mellan den traditionella politikerrollen och mansrollen, vilket medför att kvinnor därmed känner sig mindre accepterade som politiker.</w:t>
      </w:r>
      <w:r w:rsidRPr="00F5723F">
        <w:rPr>
          <w:rStyle w:val="Fotnotsreferens"/>
          <w:rFonts w:ascii="Garamond" w:hAnsi="Garamond"/>
        </w:rPr>
        <w:footnoteReference w:id="295"/>
      </w:r>
      <w:r w:rsidRPr="00F5723F">
        <w:t xml:space="preserve"> </w:t>
      </w:r>
    </w:p>
    <w:p w:rsidR="00B43C57" w:rsidRPr="00F5723F" w:rsidRDefault="00B43C57">
      <w:pPr>
        <w:pStyle w:val="Normaltindrag"/>
      </w:pPr>
      <w:r w:rsidRPr="00F5723F">
        <w:t>Helleviks och Skards landsomfattande undersökning av kommunfullmä</w:t>
      </w:r>
      <w:r w:rsidRPr="00F5723F">
        <w:t>k</w:t>
      </w:r>
      <w:r w:rsidRPr="00F5723F">
        <w:t>tigeledamöter i Norge visar att cirka hälften var nöjda med sin arbetssitu</w:t>
      </w:r>
      <w:r w:rsidRPr="00F5723F">
        <w:t>a</w:t>
      </w:r>
      <w:r w:rsidRPr="00F5723F">
        <w:t>tion. Lika många kvinnliga som manliga politiker ansåg att de hade pr</w:t>
      </w:r>
      <w:r w:rsidRPr="00F5723F">
        <w:t>o</w:t>
      </w:r>
      <w:r w:rsidRPr="00F5723F">
        <w:t>blem. De grupper som hade svårigheter var främst kvinnor och män med stort ko</w:t>
      </w:r>
      <w:r w:rsidRPr="00F5723F">
        <w:t>m</w:t>
      </w:r>
      <w:r w:rsidRPr="00F5723F">
        <w:t>munalt engagemang, kvinnor som hade en ofri arbetssituation (det vill säga heltidsa</w:t>
      </w:r>
      <w:r w:rsidRPr="00F5723F">
        <w:t>r</w:t>
      </w:r>
      <w:r w:rsidRPr="00F5723F">
        <w:t>bete utanför hemmet), heltidsarbetande kvinnor samt yngre kvinnliga och manliga politiker med barn under 18 år. Kommunalpolitiker, inte minst kvinnor med små barn, hade svårigheter att få tid över till at</w:t>
      </w:r>
      <w:r w:rsidRPr="00F5723F">
        <w:t>t sköta sina pol</w:t>
      </w:r>
      <w:r w:rsidRPr="00F5723F">
        <w:t>i</w:t>
      </w:r>
      <w:r w:rsidRPr="00F5723F">
        <w:t xml:space="preserve">tiska uppdrag. </w:t>
      </w:r>
    </w:p>
    <w:p w:rsidR="00B43C57" w:rsidRPr="00F5723F" w:rsidRDefault="00B43C57">
      <w:pPr>
        <w:pStyle w:val="Normaltindrag"/>
        <w:rPr>
          <w:snapToGrid w:val="0"/>
        </w:rPr>
      </w:pPr>
      <w:r w:rsidRPr="00F5723F">
        <w:rPr>
          <w:snapToGrid w:val="0"/>
        </w:rPr>
        <w:t>Inom forskningen har det diskuterats huruvida andelen kvinnor i beslut</w:t>
      </w:r>
      <w:r w:rsidRPr="00F5723F">
        <w:rPr>
          <w:snapToGrid w:val="0"/>
        </w:rPr>
        <w:t>s</w:t>
      </w:r>
      <w:r w:rsidRPr="00F5723F">
        <w:rPr>
          <w:snapToGrid w:val="0"/>
        </w:rPr>
        <w:t xml:space="preserve">fattande organisationer kan ha betydelse. Enligt teorin om kritisk massa (eng. </w:t>
      </w:r>
      <w:r w:rsidRPr="00F5723F">
        <w:rPr>
          <w:i/>
          <w:snapToGrid w:val="0"/>
        </w:rPr>
        <w:t>critical mass</w:t>
      </w:r>
      <w:r w:rsidRPr="00F5723F">
        <w:rPr>
          <w:snapToGrid w:val="0"/>
        </w:rPr>
        <w:t>), som utvecklats av Rosabeth Moss Kanter, är storleken på en minoritet inte likgiltig.</w:t>
      </w:r>
      <w:r w:rsidRPr="00F5723F">
        <w:rPr>
          <w:rStyle w:val="Fotnotsreferens"/>
          <w:rFonts w:ascii="Garamond" w:hAnsi="Garamond"/>
          <w:snapToGrid w:val="0"/>
          <w:color w:val="000000"/>
        </w:rPr>
        <w:footnoteReference w:id="296"/>
      </w:r>
      <w:r w:rsidRPr="00F5723F">
        <w:rPr>
          <w:snapToGrid w:val="0"/>
        </w:rPr>
        <w:t xml:space="preserve"> Förutsättningarna för en minoritet att prägla sin organisation ökar om dess andel utgör cirka 30 procent eller mer. I linje med detta resonemang är det således inte oviktigt om andelen kvinnliga politiker är 10, 30 eller 50 procent. Drude Dahlerup menar att det inte är den kritiska ma</w:t>
      </w:r>
      <w:r w:rsidRPr="00F5723F">
        <w:rPr>
          <w:snapToGrid w:val="0"/>
        </w:rPr>
        <w:t>s</w:t>
      </w:r>
      <w:r w:rsidRPr="00F5723F">
        <w:rPr>
          <w:snapToGrid w:val="0"/>
        </w:rPr>
        <w:t>san i sig som är intressant, utan de kritiska handlingar (</w:t>
      </w:r>
      <w:r w:rsidRPr="00F5723F">
        <w:rPr>
          <w:i/>
          <w:snapToGrid w:val="0"/>
        </w:rPr>
        <w:t>critical acts</w:t>
      </w:r>
      <w:r w:rsidRPr="00F5723F">
        <w:rPr>
          <w:snapToGrid w:val="0"/>
        </w:rPr>
        <w:t>) som minorit</w:t>
      </w:r>
      <w:r w:rsidRPr="00F5723F">
        <w:rPr>
          <w:snapToGrid w:val="0"/>
        </w:rPr>
        <w:t>e</w:t>
      </w:r>
      <w:r w:rsidRPr="00F5723F">
        <w:rPr>
          <w:snapToGrid w:val="0"/>
        </w:rPr>
        <w:t>ten utför.</w:t>
      </w:r>
      <w:r w:rsidRPr="00F5723F">
        <w:rPr>
          <w:rStyle w:val="Fotnotsreferens"/>
          <w:rFonts w:ascii="Garamond" w:hAnsi="Garamond"/>
          <w:snapToGrid w:val="0"/>
          <w:color w:val="000000"/>
        </w:rPr>
        <w:footnoteReference w:id="297"/>
      </w:r>
      <w:r w:rsidRPr="00F5723F">
        <w:rPr>
          <w:snapToGrid w:val="0"/>
        </w:rPr>
        <w:t xml:space="preserve"> Förutsättningarna för kvinnor i en politisk organisation att kunna prägla och förändra det politiska klimatet, umgängesformer och arbetsformer, etc. ökar ju fler de blir. Dahlerup konstaterar att kvinnors inkl</w:t>
      </w:r>
      <w:r w:rsidRPr="00F5723F">
        <w:rPr>
          <w:snapToGrid w:val="0"/>
        </w:rPr>
        <w:t>u</w:t>
      </w:r>
      <w:r w:rsidRPr="00F5723F">
        <w:rPr>
          <w:snapToGrid w:val="0"/>
        </w:rPr>
        <w:t>sion i politiken rör sig om en lång historisk process med gradvisa förändringar och att det därför är förknippat med svårigheter att säga exakt vad som förä</w:t>
      </w:r>
      <w:r w:rsidRPr="00F5723F">
        <w:rPr>
          <w:snapToGrid w:val="0"/>
        </w:rPr>
        <w:t>n</w:t>
      </w:r>
      <w:r w:rsidRPr="00F5723F">
        <w:rPr>
          <w:snapToGrid w:val="0"/>
        </w:rPr>
        <w:t>das. Till följd av en ökad andel kvinnor i beslutsfattande församlingar antec</w:t>
      </w:r>
      <w:r w:rsidRPr="00F5723F">
        <w:rPr>
          <w:snapToGrid w:val="0"/>
        </w:rPr>
        <w:t>i</w:t>
      </w:r>
      <w:r w:rsidRPr="00F5723F">
        <w:rPr>
          <w:snapToGrid w:val="0"/>
        </w:rPr>
        <w:t xml:space="preserve">peras bland annat att stereotypiseringen av kvinnor och det öppna </w:t>
      </w:r>
      <w:r w:rsidRPr="00F5723F">
        <w:rPr>
          <w:snapToGrid w:val="0"/>
        </w:rPr>
        <w:t xml:space="preserve">motståndet mot kvinnor som politiker har minskat. </w:t>
      </w:r>
    </w:p>
    <w:p w:rsidR="00B43C57" w:rsidRPr="00F5723F" w:rsidRDefault="00B43C57">
      <w:pPr>
        <w:pStyle w:val="Normaltindrag"/>
      </w:pPr>
      <w:r w:rsidRPr="00F5723F">
        <w:t>Maj-Britt Westerlunds licentiatuppsats belyser de hinder och möjligheter kvinnor möter i processen från mobilisering till val liksom kvinnornas ön</w:t>
      </w:r>
      <w:r w:rsidRPr="00F5723F">
        <w:t>s</w:t>
      </w:r>
      <w:r w:rsidRPr="00F5723F">
        <w:t>kemål och indirekta val omedelbart efter inträdet.</w:t>
      </w:r>
      <w:r w:rsidRPr="00F5723F">
        <w:rPr>
          <w:rStyle w:val="Fotnotsreferens"/>
          <w:rFonts w:ascii="Garamond" w:hAnsi="Garamond"/>
        </w:rPr>
        <w:footnoteReference w:id="298"/>
      </w:r>
      <w:r w:rsidRPr="00F5723F">
        <w:t xml:space="preserve"> Uppsatsen baseras på intervjuer med kvinnliga fullmäktigeledamöter i två kommuner i Norrbotten och visar att kvinnor tenderar att hindras på grund av kön i alla faser på vägen till fullmäktigevalet samt under den första tiden efter detta direkta val. B</w:t>
      </w:r>
      <w:r w:rsidRPr="00F5723F">
        <w:t>e</w:t>
      </w:r>
      <w:r w:rsidRPr="00F5723F">
        <w:t>gränsningen i kvinnors möjligheter ligger framför allt i mobiliserings- och rekrytering</w:t>
      </w:r>
      <w:r w:rsidRPr="00F5723F">
        <w:t>s</w:t>
      </w:r>
      <w:r w:rsidRPr="00F5723F">
        <w:t>faserna samt i samband med de indirekta valen till styrelser och nämnder efter fullmäktigevalet. De krafter som bidrar till en fortsatt unde</w:t>
      </w:r>
      <w:r w:rsidRPr="00F5723F">
        <w:t>r</w:t>
      </w:r>
      <w:r w:rsidRPr="00F5723F">
        <w:t>ordning av kvinnor är bland a</w:t>
      </w:r>
      <w:r w:rsidRPr="00F5723F">
        <w:t>nnat att kvinnliga politiker inte innehar maktp</w:t>
      </w:r>
      <w:r w:rsidRPr="00F5723F">
        <w:t>o</w:t>
      </w:r>
      <w:r w:rsidRPr="00F5723F">
        <w:t>sitioner, att det finns ett ifrågasättande av kvinnors kompetens, att ålder a</w:t>
      </w:r>
      <w:r w:rsidRPr="00F5723F">
        <w:t>n</w:t>
      </w:r>
      <w:r w:rsidRPr="00F5723F">
        <w:t>vänds som ett vapen för att utesluta erfarna kvinnor, att det råder brist på informellt stöd till nyvalda kvinnliga politiker samt att det privata livet är ett hinder för flert</w:t>
      </w:r>
      <w:r w:rsidRPr="00F5723F">
        <w:t>a</w:t>
      </w:r>
      <w:r w:rsidRPr="00F5723F">
        <w:t>let kvinnor. Kvinnor har därmed inte samma frihet som män att bestä</w:t>
      </w:r>
      <w:r w:rsidRPr="00F5723F">
        <w:t>m</w:t>
      </w:r>
      <w:r w:rsidRPr="00F5723F">
        <w:t>ma själva. Westerlund menar att det finns empiriskt stöd både för att kvinnors underordning reproduceras och att kvinnor kräver och tar störr</w:t>
      </w:r>
      <w:r w:rsidRPr="00F5723F">
        <w:t>e inflytande. Ambitioner, stöd och motstånd ingår i ett dynamiskt samspel i en process som inte är avslutad och där utgången ingalunda är given. Weste</w:t>
      </w:r>
      <w:r w:rsidRPr="00F5723F">
        <w:t>r</w:t>
      </w:r>
      <w:r w:rsidRPr="00F5723F">
        <w:t>lunds konklusion är att trots den rådande underordningen flyttar vissa av de kvinnliga ko</w:t>
      </w:r>
      <w:r w:rsidRPr="00F5723F">
        <w:t>m</w:t>
      </w:r>
      <w:r w:rsidRPr="00F5723F">
        <w:t>munpolitikerna fram sina positioner.</w:t>
      </w:r>
      <w:r w:rsidRPr="00F5723F">
        <w:rPr>
          <w:rStyle w:val="Fotnotsreferens"/>
          <w:rFonts w:ascii="Garamond" w:hAnsi="Garamond"/>
        </w:rPr>
        <w:footnoteReference w:id="299"/>
      </w:r>
    </w:p>
    <w:p w:rsidR="00B43C57" w:rsidRPr="00F5723F" w:rsidRDefault="00B43C57">
      <w:pPr>
        <w:pStyle w:val="Normaltindrag"/>
      </w:pPr>
      <w:r w:rsidRPr="00F5723F">
        <w:t xml:space="preserve">Statsvetaren Gun Hedlund har studerat kvinnors villkor och situation i </w:t>
      </w:r>
      <w:r w:rsidRPr="00F5723F">
        <w:t xml:space="preserve">kommunalpolitiken </w:t>
      </w:r>
      <w:r w:rsidRPr="00F5723F">
        <w:t>och finner att villkoren för politiskt deltaga</w:t>
      </w:r>
      <w:r w:rsidRPr="00F5723F">
        <w:t>n</w:t>
      </w:r>
      <w:r w:rsidRPr="00F5723F">
        <w:t>de är långt ifrån jämlika mellan kvinnor och män.</w:t>
      </w:r>
      <w:r w:rsidRPr="00F5723F">
        <w:rPr>
          <w:rStyle w:val="Fotnotsreferens"/>
          <w:rFonts w:ascii="Garamond" w:hAnsi="Garamond"/>
        </w:rPr>
        <w:footnoteReference w:id="300"/>
      </w:r>
      <w:r w:rsidRPr="00F5723F">
        <w:t xml:space="preserve"> Studien baseras på empiri från 1980-talets början i Örebro kommun. Örebro kommun kan k</w:t>
      </w:r>
      <w:r w:rsidRPr="00F5723F">
        <w:t>a</w:t>
      </w:r>
      <w:r w:rsidRPr="00F5723F">
        <w:t>rakteriseras som en relativt kvinnovänlig kommun med en lång tradition av en jämförelsevis hög kvinnorepresentation och ett reellt utrymme för kvinnors inflytande. Materi</w:t>
      </w:r>
      <w:r w:rsidRPr="00F5723F">
        <w:t>a</w:t>
      </w:r>
      <w:r w:rsidRPr="00F5723F">
        <w:t>let stöder hypotesen att det finns vissa genomgående skillnader i uppfattnin</w:t>
      </w:r>
      <w:r w:rsidRPr="00F5723F">
        <w:t>g</w:t>
      </w:r>
      <w:r w:rsidRPr="00F5723F">
        <w:t>ar och villkor mellan kvinnliga och manliga politiker och att kvinnors synsätt och handlande inom politiken har delvis andra förutsättningar än mäns. Den stora skillnaden mella</w:t>
      </w:r>
      <w:r w:rsidRPr="00F5723F">
        <w:t>n kvinnors och mäns situation rörde förhållandena i hemmasfären. Kvinnor hade generellt sett en betydligt större belastning i sina liv via huvuda</w:t>
      </w:r>
      <w:r w:rsidRPr="00F5723F">
        <w:t>n</w:t>
      </w:r>
      <w:r w:rsidRPr="00F5723F">
        <w:t>svaret för det oavlönade arbetet i hemmet och för barnen. När det gällde möjli</w:t>
      </w:r>
      <w:r w:rsidRPr="00F5723F">
        <w:t>g</w:t>
      </w:r>
      <w:r w:rsidRPr="00F5723F">
        <w:t>heten att närvara och förbereda sig hade de kvinnliga och manliga politikerna i stort sett liknande svårigheter med möteskollisioner, tidspress och problem med att familj- och yrkesarbete drabbades. Att olikh</w:t>
      </w:r>
      <w:r w:rsidRPr="00F5723F">
        <w:t>e</w:t>
      </w:r>
      <w:r w:rsidRPr="00F5723F">
        <w:t>terna inte var större berodde på en utsål</w:t>
      </w:r>
      <w:r w:rsidRPr="00F5723F">
        <w:t>l</w:t>
      </w:r>
      <w:r w:rsidRPr="00F5723F">
        <w:t xml:space="preserve">ning av de kvinnor som inte klarade </w:t>
      </w:r>
      <w:r w:rsidRPr="00F5723F">
        <w:t xml:space="preserve">av politikens villkor. Det var mindre vanligt bland kvinnliga politiker att ha små barn. En övergripande norm var ansvarsbefrielse gentemot hemmasfären. </w:t>
      </w:r>
    </w:p>
    <w:p w:rsidR="00B43C57" w:rsidRPr="00F5723F" w:rsidRDefault="00B43C57">
      <w:pPr>
        <w:pStyle w:val="Normaltindrag"/>
        <w:rPr>
          <w:szCs w:val="24"/>
        </w:rPr>
      </w:pPr>
      <w:r w:rsidRPr="00F5723F">
        <w:t>Studien visar även på förekomst av förtryck i politiken. 15 pr</w:t>
      </w:r>
      <w:r w:rsidRPr="00F5723F">
        <w:t>o</w:t>
      </w:r>
      <w:r w:rsidRPr="00F5723F">
        <w:t>cent av de kvinnliga politikerna hade upplevt att de blivit nedvärderade, åsidosa</w:t>
      </w:r>
      <w:r w:rsidRPr="00F5723F">
        <w:t>t</w:t>
      </w:r>
      <w:r w:rsidRPr="00F5723F">
        <w:t>ta eller diskriminerade på grund av kön. 24 procent hade kännedom om andra kvi</w:t>
      </w:r>
      <w:r w:rsidRPr="00F5723F">
        <w:t>n</w:t>
      </w:r>
      <w:r w:rsidRPr="00F5723F">
        <w:t>nor som råkat ut för en diskriminerande behandling. Hälften (48 pr</w:t>
      </w:r>
      <w:r w:rsidRPr="00F5723F">
        <w:t>o</w:t>
      </w:r>
      <w:r w:rsidRPr="00F5723F">
        <w:t>cent) ansåg att det togs mer hänsyn till mäns argument än kvinnors i polit</w:t>
      </w:r>
      <w:r w:rsidRPr="00F5723F">
        <w:t>i</w:t>
      </w:r>
      <w:r w:rsidRPr="00F5723F">
        <w:t>ken. 25 procent av männen upplevde att det existerade en mansdominans i den pol</w:t>
      </w:r>
      <w:r w:rsidRPr="00F5723F">
        <w:t>i</w:t>
      </w:r>
      <w:r w:rsidRPr="00F5723F">
        <w:t>tiska kulturen. Hedlunds intervjuer och observationer i nämnder och part</w:t>
      </w:r>
      <w:r w:rsidRPr="00F5723F">
        <w:t>i</w:t>
      </w:r>
      <w:r w:rsidRPr="00F5723F">
        <w:t>grupper visar på förekomst av flera härskartekniker, bl</w:t>
      </w:r>
      <w:r w:rsidRPr="00F5723F">
        <w:t>and annat förlöjliga</w:t>
      </w:r>
      <w:r w:rsidRPr="00F5723F">
        <w:t>n</w:t>
      </w:r>
      <w:r w:rsidRPr="00F5723F">
        <w:t>de, osy</w:t>
      </w:r>
      <w:r w:rsidRPr="00F5723F">
        <w:t>n</w:t>
      </w:r>
      <w:r w:rsidRPr="00F5723F">
        <w:t>liggörande, stereotypisering (att kvinnor inte betraktas som individer utan som ständiga representanter för sitt kön), sexuella trakasserier, undanhå</w:t>
      </w:r>
      <w:r w:rsidRPr="00F5723F">
        <w:t>l</w:t>
      </w:r>
      <w:r w:rsidRPr="00F5723F">
        <w:t>lande av information, skuld och skam (högre krav) samt dubbelbestraf</w:t>
      </w:r>
      <w:r w:rsidRPr="00F5723F">
        <w:t>f</w:t>
      </w:r>
      <w:r w:rsidRPr="00F5723F">
        <w:t>ning.</w:t>
      </w:r>
      <w:r w:rsidRPr="00F5723F">
        <w:rPr>
          <w:rStyle w:val="Fotnotsreferens"/>
          <w:rFonts w:ascii="Garamond" w:hAnsi="Garamond"/>
        </w:rPr>
        <w:footnoteReference w:id="301"/>
      </w:r>
      <w:r w:rsidRPr="00F5723F">
        <w:t xml:space="preserve"> Hedlund menar att härskarteknikerna, som till exempel förlöjligande av kvinnor, främst förekom i partigrupper och på nämndsammanträden, men mer sällan i den offentliga fullmäktigedebatten. Hedlund menar även att den strukturella mansdominansen som existerade i Örebro kommuns pol</w:t>
      </w:r>
      <w:r w:rsidRPr="00F5723F">
        <w:t>i</w:t>
      </w:r>
      <w:r w:rsidRPr="00F5723F">
        <w:t>tik i första hand var praktisk, det vill säga en form av ”tyst” kunskap eller uppfat</w:t>
      </w:r>
      <w:r w:rsidRPr="00F5723F">
        <w:t>t</w:t>
      </w:r>
      <w:r w:rsidRPr="00F5723F">
        <w:t>ning. Denna struktur var emellertid svag eftersom den var möjlig att påverka och förändra, förutsatt att kvinnor tillämpade realistiska och verkni</w:t>
      </w:r>
      <w:r w:rsidRPr="00F5723F">
        <w:t>ngsfulla strategier, str</w:t>
      </w:r>
      <w:r w:rsidRPr="00F5723F">
        <w:t>a</w:t>
      </w:r>
      <w:r w:rsidRPr="00F5723F">
        <w:t>tegier som syftade till att stärka kvinnor, att introducera en alternativ polit</w:t>
      </w:r>
      <w:r w:rsidRPr="00F5723F">
        <w:t>i</w:t>
      </w:r>
      <w:r w:rsidRPr="00F5723F">
        <w:t xml:space="preserve">kerstil och nya frågor </w:t>
      </w:r>
      <w:r w:rsidRPr="00F5723F">
        <w:rPr>
          <w:i/>
        </w:rPr>
        <w:t xml:space="preserve">jämsides </w:t>
      </w:r>
      <w:r w:rsidRPr="00F5723F">
        <w:t>med männen samt att erövra positioner, formella eller informella expertroller. Mansdomina</w:t>
      </w:r>
      <w:r w:rsidRPr="00F5723F">
        <w:t>n</w:t>
      </w:r>
      <w:r w:rsidRPr="00F5723F">
        <w:t xml:space="preserve">sen var även “diskursiv” menar Hedlund, i så måtto att det var en medveten uppfattning som kunde formuleras eller återges. </w:t>
      </w:r>
      <w:r w:rsidRPr="00F5723F">
        <w:rPr>
          <w:szCs w:val="24"/>
        </w:rPr>
        <w:t>Kvinnorna tillämpade olika strategier för att övervinna diskrimin</w:t>
      </w:r>
      <w:r w:rsidRPr="00F5723F">
        <w:rPr>
          <w:szCs w:val="24"/>
        </w:rPr>
        <w:t>e</w:t>
      </w:r>
      <w:r w:rsidRPr="00F5723F">
        <w:rPr>
          <w:szCs w:val="24"/>
        </w:rPr>
        <w:t xml:space="preserve">ringen, </w:t>
      </w:r>
      <w:r w:rsidRPr="00F5723F">
        <w:rPr>
          <w:szCs w:val="24"/>
        </w:rPr>
        <w:t>bland annat</w:t>
      </w:r>
      <w:r w:rsidRPr="00F5723F">
        <w:rPr>
          <w:szCs w:val="24"/>
        </w:rPr>
        <w:t xml:space="preserve"> ett kollektivt, indirekt stöd där kvinnor stöttade varandra, eller ett socia</w:t>
      </w:r>
      <w:r w:rsidRPr="00F5723F">
        <w:rPr>
          <w:szCs w:val="24"/>
        </w:rPr>
        <w:t>lt, individuellt stöd. Däremot fanns inga öppna, direkta och kollektiva strategier. Hedlund tolkar det som att kvi</w:t>
      </w:r>
      <w:r w:rsidRPr="00F5723F">
        <w:rPr>
          <w:szCs w:val="24"/>
        </w:rPr>
        <w:t>n</w:t>
      </w:r>
      <w:r w:rsidRPr="00F5723F">
        <w:rPr>
          <w:szCs w:val="24"/>
        </w:rPr>
        <w:t xml:space="preserve">nor var medvetna om riskerna med att utmana alltför mycket. </w:t>
      </w:r>
    </w:p>
    <w:p w:rsidR="00B43C57" w:rsidRPr="00F5723F" w:rsidRDefault="00B43C57">
      <w:pPr>
        <w:pStyle w:val="Normaltindrag"/>
      </w:pPr>
      <w:r w:rsidRPr="00F5723F">
        <w:t>Hedlund föreslår en förändrad sammanträdeskultur. Atmosfär och former är i hög grad beroende av vilka personer som är ledande, föredragande tjän</w:t>
      </w:r>
      <w:r w:rsidRPr="00F5723F">
        <w:t>s</w:t>
      </w:r>
      <w:r w:rsidRPr="00F5723F">
        <w:t>temän eller ordförande i nämndernas arbete. Samma nämnd kan skifta totalt beroe</w:t>
      </w:r>
      <w:r w:rsidRPr="00F5723F">
        <w:t>n</w:t>
      </w:r>
      <w:r w:rsidRPr="00F5723F">
        <w:t xml:space="preserve">de på om ordförande eller vice ordförande leder mötet. </w:t>
      </w:r>
    </w:p>
    <w:p w:rsidR="00B43C57" w:rsidRPr="00F5723F" w:rsidRDefault="00B43C57">
      <w:pPr>
        <w:pStyle w:val="Normaltindrag"/>
      </w:pPr>
      <w:r w:rsidRPr="00F5723F">
        <w:t>I samma studie har Hedlund även undersökt vilka intressen de kvinnliga politikerna företrädde och vilka möjligheter och hinder som fanns för dem att agera för att artikulera kvinnors intressen. I studien framkom ett mön</w:t>
      </w:r>
      <w:r w:rsidRPr="00F5723F">
        <w:t>s</w:t>
      </w:r>
      <w:r w:rsidRPr="00F5723F">
        <w:t>ter av individuella val, där de kvinnliga politikerna definierade omsorgsfrågor som centrala. Hedlund menar att kvinnors intresse och koncentration i dessa o</w:t>
      </w:r>
      <w:r w:rsidRPr="00F5723F">
        <w:t>m</w:t>
      </w:r>
      <w:r w:rsidRPr="00F5723F">
        <w:t>råden var nära förknippade med deras yrkesmässiga kompetens. Studien visar också att kvinnors engagemang i omsorgsfrågor var villkorligt och att mäns tolkningsföreträde avgjorde när och om denna kompetens kom till sin rätt. Särskilt problematiskt blev det att föra in kvinnospecifika erfarenheter i sa</w:t>
      </w:r>
      <w:r w:rsidRPr="00F5723F">
        <w:t>m</w:t>
      </w:r>
      <w:r w:rsidRPr="00F5723F">
        <w:t>manhang där de inte ansågs höra hemma. Hedlund mena</w:t>
      </w:r>
      <w:r w:rsidRPr="00F5723F">
        <w:t>r även att de kvinnl</w:t>
      </w:r>
      <w:r w:rsidRPr="00F5723F">
        <w:t>i</w:t>
      </w:r>
      <w:r w:rsidRPr="00F5723F">
        <w:t>ga ledamöterna presenterade ihärdigt och ofta med viss framgång sina intre</w:t>
      </w:r>
      <w:r w:rsidRPr="00F5723F">
        <w:t>s</w:t>
      </w:r>
      <w:r w:rsidRPr="00F5723F">
        <w:t>seo</w:t>
      </w:r>
      <w:r w:rsidRPr="00F5723F">
        <w:t>m</w:t>
      </w:r>
      <w:r w:rsidRPr="00F5723F">
        <w:t>råden i det politiska beslutsfattandet men att de inte kunde politisera själva könsförhållandet i vare sig politikens eller hemmets sfärer. Ett uppe</w:t>
      </w:r>
      <w:r w:rsidRPr="00F5723F">
        <w:t>n</w:t>
      </w:r>
      <w:r w:rsidRPr="00F5723F">
        <w:t>bart kvi</w:t>
      </w:r>
      <w:r w:rsidRPr="00F5723F">
        <w:t>n</w:t>
      </w:r>
      <w:r w:rsidRPr="00F5723F">
        <w:t>noförtryck kunde brytas så länge kvinnorna höll sig till spelreglerna, nämligen att könsrelationer betraktades som privata och individ</w:t>
      </w:r>
      <w:r w:rsidRPr="00F5723F">
        <w:t>u</w:t>
      </w:r>
      <w:r w:rsidRPr="00F5723F">
        <w:t>ella. Att göra dessa personliga erfarenheter och relationer synliga och kollektiva var eme</w:t>
      </w:r>
      <w:r w:rsidRPr="00F5723F">
        <w:t>l</w:t>
      </w:r>
      <w:r w:rsidRPr="00F5723F">
        <w:t>lertid inte möjligt.</w:t>
      </w:r>
    </w:p>
    <w:p w:rsidR="00B43C57" w:rsidRPr="00F5723F" w:rsidRDefault="00B43C57">
      <w:pPr>
        <w:pStyle w:val="Normaltindrag"/>
      </w:pPr>
      <w:r w:rsidRPr="00F5723F">
        <w:t>Gun Hed</w:t>
      </w:r>
      <w:r w:rsidRPr="00F5723F">
        <w:t>lunds studie av kvinnors villkor och intressen i kommunalpol</w:t>
      </w:r>
      <w:r w:rsidRPr="00F5723F">
        <w:t>it</w:t>
      </w:r>
      <w:r w:rsidRPr="00F5723F">
        <w:t>i</w:t>
      </w:r>
      <w:r w:rsidRPr="00F5723F">
        <w:t>ken har delvis följts upp av Lenita Freidenvall,</w:t>
      </w:r>
      <w:r w:rsidRPr="00F5723F">
        <w:t xml:space="preserve"> </w:t>
      </w:r>
      <w:r w:rsidRPr="00F5723F">
        <w:t xml:space="preserve">som </w:t>
      </w:r>
      <w:r w:rsidRPr="00F5723F">
        <w:t>i e</w:t>
      </w:r>
      <w:r w:rsidRPr="00F5723F">
        <w:t>n jämförande studie av</w:t>
      </w:r>
      <w:r w:rsidRPr="00F5723F">
        <w:t xml:space="preserve"> kommunfullmäktigeledamöter</w:t>
      </w:r>
      <w:r w:rsidRPr="00F5723F">
        <w:t xml:space="preserve"> i Karlskrona och Stockholms kommun unde</w:t>
      </w:r>
      <w:r w:rsidRPr="00F5723F">
        <w:t>r</w:t>
      </w:r>
      <w:r w:rsidRPr="00F5723F">
        <w:t>sökt betydelsen av kön i kommunalpolitiken</w:t>
      </w:r>
      <w:r w:rsidRPr="00F5723F">
        <w:t xml:space="preserve"> ur ett generationsperspe</w:t>
      </w:r>
      <w:r w:rsidRPr="00F5723F">
        <w:t>k</w:t>
      </w:r>
      <w:r w:rsidRPr="00F5723F">
        <w:t>tiv.</w:t>
      </w:r>
      <w:r w:rsidRPr="00F5723F">
        <w:rPr>
          <w:rStyle w:val="Fotnotsreferens"/>
          <w:rFonts w:ascii="Garamond" w:hAnsi="Garamond"/>
          <w:szCs w:val="24"/>
        </w:rPr>
        <w:footnoteReference w:id="302"/>
      </w:r>
      <w:r w:rsidRPr="00F5723F">
        <w:t xml:space="preserve"> </w:t>
      </w:r>
      <w:r w:rsidRPr="00F5723F">
        <w:t>I denna studie kopierades flera av de frågor som ställts i Hedlunds undersö</w:t>
      </w:r>
      <w:r w:rsidRPr="00F5723F">
        <w:t>k</w:t>
      </w:r>
      <w:r w:rsidRPr="00F5723F">
        <w:t>ning från 1980-talets början och applicerades på ett nästan 20 år yngre emp</w:t>
      </w:r>
      <w:r w:rsidRPr="00F5723F">
        <w:t>i</w:t>
      </w:r>
      <w:r w:rsidRPr="00F5723F">
        <w:t>riskt material. S</w:t>
      </w:r>
      <w:r w:rsidRPr="00F5723F">
        <w:t>tudie</w:t>
      </w:r>
      <w:r w:rsidRPr="00F5723F">
        <w:t>n</w:t>
      </w:r>
      <w:r w:rsidRPr="00F5723F">
        <w:t xml:space="preserve"> visar att villkoren i kommunalpolitiken är förhålland</w:t>
      </w:r>
      <w:r w:rsidRPr="00F5723F">
        <w:t>e</w:t>
      </w:r>
      <w:r w:rsidRPr="00F5723F">
        <w:t>vis gynnsamma för både kvinnor och män. När det gällde politiska intress</w:t>
      </w:r>
      <w:r w:rsidRPr="00F5723F">
        <w:t>e</w:t>
      </w:r>
      <w:r w:rsidRPr="00F5723F">
        <w:t xml:space="preserve">områden – </w:t>
      </w:r>
      <w:r w:rsidRPr="00F5723F">
        <w:t>det vill säga</w:t>
      </w:r>
      <w:r w:rsidRPr="00F5723F">
        <w:t xml:space="preserve"> vilka politikområden som politi</w:t>
      </w:r>
      <w:r w:rsidRPr="00F5723F">
        <w:t>kerna var mest intre</w:t>
      </w:r>
      <w:r w:rsidRPr="00F5723F">
        <w:t>s</w:t>
      </w:r>
      <w:r w:rsidRPr="00F5723F">
        <w:t>serade av –</w:t>
      </w:r>
      <w:r w:rsidRPr="00F5723F">
        <w:t xml:space="preserve"> visade undersöknin</w:t>
      </w:r>
      <w:r w:rsidRPr="00F5723F">
        <w:t>gen att yngre och äldre kvinnor</w:t>
      </w:r>
      <w:r w:rsidRPr="00F5723F">
        <w:t xml:space="preserve"> samt yngre män var mest intresserade av sociala välfärdsfrågor.</w:t>
      </w:r>
      <w:r w:rsidRPr="00F5723F">
        <w:rPr>
          <w:rStyle w:val="Fotnotsreferens"/>
          <w:rFonts w:ascii="Garamond" w:hAnsi="Garamond"/>
          <w:szCs w:val="24"/>
        </w:rPr>
        <w:footnoteReference w:id="303"/>
      </w:r>
      <w:r w:rsidRPr="00F5723F">
        <w:t xml:space="preserve"> Äldre män avvek n</w:t>
      </w:r>
      <w:r w:rsidRPr="00F5723F">
        <w:t>å</w:t>
      </w:r>
      <w:r w:rsidRPr="00F5723F">
        <w:t xml:space="preserve">got, genom att intressera sig för delvis andra politikområden än de övriga grupperna. På frågan om vilket intresseområde politikerna var </w:t>
      </w:r>
      <w:r w:rsidRPr="00F5723F">
        <w:rPr>
          <w:i/>
        </w:rPr>
        <w:t>minst</w:t>
      </w:r>
      <w:r w:rsidRPr="00F5723F">
        <w:t xml:space="preserve"> in</w:t>
      </w:r>
      <w:r w:rsidRPr="00F5723F">
        <w:t>tress</w:t>
      </w:r>
      <w:r w:rsidRPr="00F5723F">
        <w:t>e</w:t>
      </w:r>
      <w:r w:rsidRPr="00F5723F">
        <w:t>rade utav, angav gruppen</w:t>
      </w:r>
      <w:r w:rsidRPr="00F5723F">
        <w:t xml:space="preserve"> äldre män jämställdhet som ett politikomr</w:t>
      </w:r>
      <w:r w:rsidRPr="00F5723F">
        <w:t>å</w:t>
      </w:r>
      <w:r w:rsidRPr="00F5723F">
        <w:t xml:space="preserve">de bland tre. </w:t>
      </w:r>
    </w:p>
    <w:p w:rsidR="00B43C57" w:rsidRPr="00F5723F" w:rsidRDefault="00B43C57">
      <w:pPr>
        <w:pStyle w:val="Normaltindrag"/>
      </w:pPr>
      <w:r w:rsidRPr="00F5723F">
        <w:t>När det gäll</w:t>
      </w:r>
      <w:r w:rsidRPr="00F5723F">
        <w:t>de</w:t>
      </w:r>
      <w:r w:rsidRPr="00F5723F">
        <w:t xml:space="preserve"> närvaro vid möten,</w:t>
      </w:r>
      <w:r w:rsidRPr="00F5723F">
        <w:t xml:space="preserve"> möjligheter till förberedelser</w:t>
      </w:r>
      <w:r w:rsidRPr="00F5723F">
        <w:t xml:space="preserve"> samt föru</w:t>
      </w:r>
      <w:r w:rsidRPr="00F5723F">
        <w:t>t</w:t>
      </w:r>
      <w:r w:rsidRPr="00F5723F">
        <w:t xml:space="preserve">sättningar att förvalta sitt kommunala uppdrag, fanns inga större skillnader mellan könen eller generationerna. Villkoren för politiskt deltagande var förhållandevis gynnsamma. Både unga kvinnor och män hade </w:t>
      </w:r>
      <w:r w:rsidRPr="00F5723F">
        <w:t xml:space="preserve">dock </w:t>
      </w:r>
      <w:r w:rsidRPr="00F5723F">
        <w:t xml:space="preserve">svårt </w:t>
      </w:r>
      <w:r w:rsidRPr="00F5723F">
        <w:t xml:space="preserve">att närvara vid sammanträden, beroende på bland annat svårigheter att kombinera politiskt arbete med förvärvsarbete. Därutöver skilde sig </w:t>
      </w:r>
      <w:r w:rsidRPr="00F5723F">
        <w:t>anledningarna</w:t>
      </w:r>
      <w:r w:rsidRPr="00F5723F">
        <w:t xml:space="preserve"> eme</w:t>
      </w:r>
      <w:r w:rsidRPr="00F5723F">
        <w:t>l</w:t>
      </w:r>
      <w:r w:rsidRPr="00F5723F">
        <w:t>le</w:t>
      </w:r>
      <w:r w:rsidRPr="00F5723F">
        <w:t>r</w:t>
      </w:r>
      <w:r w:rsidRPr="00F5723F">
        <w:t>tid åt. M</w:t>
      </w:r>
      <w:r w:rsidRPr="00F5723F">
        <w:t>e</w:t>
      </w:r>
      <w:r w:rsidRPr="00F5723F">
        <w:t>dan unga män</w:t>
      </w:r>
      <w:r w:rsidRPr="00F5723F">
        <w:t xml:space="preserve"> angav konflikt med andra möten, angav unga kvinn</w:t>
      </w:r>
      <w:r w:rsidRPr="00F5723F">
        <w:t>or problem med barnpassning och konflikt med barnens aktivit</w:t>
      </w:r>
      <w:r w:rsidRPr="00F5723F">
        <w:t>e</w:t>
      </w:r>
      <w:r w:rsidRPr="00F5723F">
        <w:t>ter. Det privata livets organisering fick således effekter för möjligheten till politiskt deltaga</w:t>
      </w:r>
      <w:r w:rsidRPr="00F5723F">
        <w:t>n</w:t>
      </w:r>
      <w:r w:rsidRPr="00F5723F">
        <w:t>de, i synnerhet för kvinnor.</w:t>
      </w:r>
      <w:r w:rsidRPr="00F5723F">
        <w:t xml:space="preserve"> </w:t>
      </w:r>
    </w:p>
    <w:p w:rsidR="00B43C57" w:rsidRPr="00F5723F" w:rsidRDefault="00B43C57">
      <w:pPr>
        <w:pStyle w:val="Normaltindrag"/>
        <w:rPr>
          <w:szCs w:val="24"/>
        </w:rPr>
      </w:pPr>
      <w:r w:rsidRPr="00F5723F">
        <w:t>Studien visar</w:t>
      </w:r>
      <w:r w:rsidRPr="00F5723F">
        <w:t xml:space="preserve"> även att en stor andel av de kvinnliga ledamöterna, både äl</w:t>
      </w:r>
      <w:r w:rsidRPr="00F5723F">
        <w:t>d</w:t>
      </w:r>
      <w:r w:rsidRPr="00F5723F">
        <w:t>re och yngre, hade varit utsatta för någon form av diskriminering beroe</w:t>
      </w:r>
      <w:r w:rsidRPr="00F5723F">
        <w:t>nde på kön.</w:t>
      </w:r>
      <w:r w:rsidRPr="00F5723F">
        <w:t xml:space="preserve"> 26 procent av de äldre kvinnorna och 28 procent av de yngre </w:t>
      </w:r>
      <w:r w:rsidRPr="00F5723F">
        <w:t xml:space="preserve">svarade </w:t>
      </w:r>
      <w:r w:rsidRPr="00F5723F">
        <w:t>att de själva känt sig nedvärderade, åsidosatta eller diskriminerade i polit</w:t>
      </w:r>
      <w:r w:rsidRPr="00F5723F">
        <w:t>i</w:t>
      </w:r>
      <w:r w:rsidRPr="00F5723F">
        <w:t>ken på grund av kön. 47 procent av de äldre och 45 procent av de yngre hade känn</w:t>
      </w:r>
      <w:r w:rsidRPr="00F5723F">
        <w:t>e</w:t>
      </w:r>
      <w:r w:rsidRPr="00F5723F">
        <w:t>dom om</w:t>
      </w:r>
      <w:r w:rsidRPr="00F5723F">
        <w:t xml:space="preserve"> en</w:t>
      </w:r>
      <w:r w:rsidRPr="00F5723F">
        <w:t xml:space="preserve"> annan kvinna som blivit utsatt för diskriminerande handling p</w:t>
      </w:r>
      <w:r w:rsidRPr="00F5723F">
        <w:t xml:space="preserve">å </w:t>
      </w:r>
      <w:r w:rsidRPr="00F5723F">
        <w:t>g</w:t>
      </w:r>
      <w:r w:rsidRPr="00F5723F">
        <w:t xml:space="preserve">rund </w:t>
      </w:r>
      <w:r w:rsidRPr="00F5723F">
        <w:t>a</w:t>
      </w:r>
      <w:r w:rsidRPr="00F5723F">
        <w:t>v</w:t>
      </w:r>
      <w:r w:rsidRPr="00F5723F">
        <w:t xml:space="preserve"> kön. 80 procent av de äldre och 62 procent av de yngre kvinn</w:t>
      </w:r>
      <w:r w:rsidRPr="00F5723F">
        <w:t>o</w:t>
      </w:r>
      <w:r w:rsidRPr="00F5723F">
        <w:t>r</w:t>
      </w:r>
      <w:r w:rsidRPr="00F5723F">
        <w:t xml:space="preserve">na ansåg att det togs mer hänsyn till mäns argument i politiken än kvinnors. </w:t>
      </w:r>
      <w:r w:rsidRPr="00F5723F">
        <w:t xml:space="preserve">56 procent av äldre män och 44 procent av yngre män ansåg att </w:t>
      </w:r>
      <w:r w:rsidRPr="00F5723F">
        <w:t xml:space="preserve">det togs mer </w:t>
      </w:r>
      <w:r w:rsidRPr="00F5723F">
        <w:t>hänsyn till män i politiken</w:t>
      </w:r>
      <w:r w:rsidRPr="00F5723F">
        <w:t xml:space="preserve">. </w:t>
      </w:r>
      <w:r w:rsidRPr="00F5723F">
        <w:t>Jämfört med Hedlunds empiri från början av 1980-talet hade en betydligt högre andel kvinnor själva upplevt diskrimin</w:t>
      </w:r>
      <w:r w:rsidRPr="00F5723F">
        <w:t>e</w:t>
      </w:r>
      <w:r w:rsidRPr="00F5723F">
        <w:t>ring på grund av kön eller kände till någon annan kvinna som upplevt en liknande behandling. En betydligt högre andel män ansåg dessutom att det togs mer hänsyn till mäns argument i politiken. I studien tolkas de</w:t>
      </w:r>
      <w:r w:rsidRPr="00F5723F">
        <w:t>ssa resultat dels som en effekt av en större medvetenhet, dels som en effekt av</w:t>
      </w:r>
      <w:r w:rsidRPr="00F5723F">
        <w:t xml:space="preserve"> kvinnor</w:t>
      </w:r>
      <w:r w:rsidRPr="00F5723F">
        <w:t>s numerär, vilket ökar förutsättningarna för förändringar, i detta fall förutsät</w:t>
      </w:r>
      <w:r w:rsidRPr="00F5723F">
        <w:t>t</w:t>
      </w:r>
      <w:r w:rsidRPr="00F5723F">
        <w:t>ningarna att uttrycka ett missnöje</w:t>
      </w:r>
      <w:r w:rsidRPr="00F5723F">
        <w:t xml:space="preserve">. </w:t>
      </w:r>
      <w:r w:rsidRPr="00F5723F">
        <w:t>Freidenvall drar slutsatsen att villkoren i kommunalpolitiken är förhållandevis gynnsamma, men det fa</w:t>
      </w:r>
      <w:r w:rsidRPr="00F5723F">
        <w:t>k</w:t>
      </w:r>
      <w:r w:rsidRPr="00F5723F">
        <w:t>tum att en stor andel kvinnor känt sig könsdiskriminerade visar på en diskrepans mellan ideal och realitet. I studien poängteras därmed en viss försiktighet med att se jä</w:t>
      </w:r>
      <w:r w:rsidRPr="00F5723F">
        <w:t>m</w:t>
      </w:r>
      <w:r w:rsidRPr="00F5723F">
        <w:t xml:space="preserve">ställdhet som en generationsfråga. </w:t>
      </w:r>
      <w:r w:rsidRPr="00F5723F">
        <w:t>Därutöver betonas att förändringar inte kommer automatiskt utan att partierna har ett ansvar för att förbättra villkoren för politiskt deltagande och representation.</w:t>
      </w:r>
    </w:p>
    <w:p w:rsidR="00B43C57" w:rsidRPr="00F5723F" w:rsidRDefault="00B43C57">
      <w:pPr>
        <w:pStyle w:val="Normaltindrag"/>
      </w:pPr>
      <w:r w:rsidRPr="00F5723F">
        <w:t>Att generatio</w:t>
      </w:r>
      <w:r w:rsidRPr="00F5723F">
        <w:t>nseffekten inte var större</w:t>
      </w:r>
      <w:r w:rsidRPr="00F5723F">
        <w:t xml:space="preserve"> fin</w:t>
      </w:r>
      <w:r w:rsidRPr="00F5723F">
        <w:t>ner även stöd i norsk forskning om inställningen till jämställdhet. I</w:t>
      </w:r>
      <w:r w:rsidRPr="00F5723F">
        <w:t xml:space="preserve"> Hege Sk</w:t>
      </w:r>
      <w:r w:rsidRPr="00F5723F">
        <w:t>jeies och Marie Teigens bidrag till den norska M</w:t>
      </w:r>
      <w:r w:rsidRPr="00F5723F">
        <w:t>akt</w:t>
      </w:r>
      <w:r w:rsidRPr="00F5723F">
        <w:t>- och demokrati</w:t>
      </w:r>
      <w:r w:rsidRPr="00F5723F">
        <w:t>utredningen</w:t>
      </w:r>
      <w:r w:rsidRPr="00F5723F">
        <w:rPr>
          <w:rStyle w:val="Fotnotsreferens"/>
          <w:rFonts w:ascii="Garamond" w:hAnsi="Garamond"/>
          <w:szCs w:val="24"/>
        </w:rPr>
        <w:footnoteReference w:id="304"/>
      </w:r>
      <w:r w:rsidRPr="00F5723F">
        <w:t xml:space="preserve"> framkommer att </w:t>
      </w:r>
      <w:r w:rsidRPr="00F5723F">
        <w:t>medan yn</w:t>
      </w:r>
      <w:r w:rsidRPr="00F5723F">
        <w:t>g</w:t>
      </w:r>
      <w:r w:rsidRPr="00F5723F">
        <w:t>re kvinnor i Norge har jämställdhet som en ryggmärgsreflex, är unga män mer ambivalenta i frågan</w:t>
      </w:r>
      <w:r w:rsidRPr="00F5723F">
        <w:t>.</w:t>
      </w:r>
      <w:r w:rsidRPr="00F5723F">
        <w:rPr>
          <w:rStyle w:val="Fotnotsreferens"/>
          <w:rFonts w:ascii="Garamond" w:hAnsi="Garamond"/>
          <w:szCs w:val="24"/>
        </w:rPr>
        <w:footnoteReference w:id="305"/>
      </w:r>
      <w:r w:rsidRPr="00F5723F">
        <w:t xml:space="preserve"> Särskilt unga män (under 30 år) menar att diskriminering av kvinnor sällan är ett problem i det norska samhället. Cirka 15 procent av männen i den åldersgruppen tror att diskriminering är något som ofta sker. Andelen bland kvinnor i samma åldersgrupp är cirka 50 pr</w:t>
      </w:r>
      <w:r w:rsidRPr="00F5723F">
        <w:t>o</w:t>
      </w:r>
      <w:r w:rsidRPr="00F5723F">
        <w:t>cent. Avståndet mellan kvinnors och mäns uppfattningar om diskriminering och diskrimin</w:t>
      </w:r>
      <w:r w:rsidRPr="00F5723F">
        <w:t>e</w:t>
      </w:r>
      <w:r w:rsidRPr="00F5723F">
        <w:t>ringskulturer är därmed stor.</w:t>
      </w:r>
    </w:p>
    <w:p w:rsidR="00B43C57" w:rsidRPr="00F5723F" w:rsidRDefault="00B43C57">
      <w:pPr>
        <w:pStyle w:val="Normaltindrag"/>
      </w:pPr>
      <w:r w:rsidRPr="00F5723F">
        <w:t>I Maud Eduards och Ulrika Thomssons studie av jämställdhetsarbetet i Lidköpings kommun analyseras bland annat attityder till jäm</w:t>
      </w:r>
      <w:r w:rsidRPr="00F5723F">
        <w:t>ställdhetspolitik. Stud</w:t>
      </w:r>
      <w:r w:rsidRPr="00F5723F">
        <w:t>i</w:t>
      </w:r>
      <w:r w:rsidRPr="00F5723F">
        <w:t>en visar att det finns både uttalade och outtalade normer och regler för vem som får säga och göra vad i svensk lokalpolitik.</w:t>
      </w:r>
      <w:r w:rsidRPr="00F5723F">
        <w:rPr>
          <w:rStyle w:val="Fotnotsreferens"/>
          <w:rFonts w:ascii="Garamond" w:hAnsi="Garamond"/>
          <w:szCs w:val="24"/>
        </w:rPr>
        <w:footnoteReference w:id="306"/>
      </w:r>
      <w:r w:rsidRPr="00F5723F">
        <w:t xml:space="preserve"> Det kan ses som en kamp om tolkningsföreträde på flera olika nivåer: om politikens räckvidd, hur samhäll</w:t>
      </w:r>
      <w:r w:rsidRPr="00F5723F">
        <w:t>e</w:t>
      </w:r>
      <w:r w:rsidRPr="00F5723F">
        <w:t>liga problem skall ”göras” till politik samt hur kvinnor i politiken bör uppträda. Eduards och Thomsson menar att jämställdhetsarbetet i Lidköping har präglats av oenighet, tröghet och undanmanövrar. En invändning i utvec</w:t>
      </w:r>
      <w:r w:rsidRPr="00F5723F">
        <w:t>k</w:t>
      </w:r>
      <w:r w:rsidRPr="00F5723F">
        <w:t>landet av ett kommunalt jämställdhetsprogram var till exempel att progra</w:t>
      </w:r>
      <w:r w:rsidRPr="00F5723F">
        <w:t>m</w:t>
      </w:r>
      <w:r w:rsidRPr="00F5723F">
        <w:t>met var meningslöst. En annan invändning var att programmet innebar en onödig byråkratisering. Sammantaget utme</w:t>
      </w:r>
      <w:r w:rsidRPr="00F5723F">
        <w:t>jslades fem olika invändningar mot ett aktivt jä</w:t>
      </w:r>
      <w:r w:rsidRPr="00F5723F">
        <w:t>m</w:t>
      </w:r>
      <w:r w:rsidRPr="00F5723F">
        <w:t>ställdhetsarbete: det går inte, det går ändå, det är bra som det är, det blir för dyrt samt låt andra ta initiativ. Eduards och Thomsson menar även att det finns en dold dagordning om hur kvinnor i politiken bör agera. Den bästa strategin är att uppträda på ett traditionellt kvinnligt sätt och att inte skapa konflikter. De menar, tillspetsat, att en kvinnlig politiker som kämpar för jämställdhet har att välja mellan att ”vara ’kvinnlig’, och därmed inte märka</w:t>
      </w:r>
      <w:r w:rsidRPr="00F5723F">
        <w:t>s, och att vara ’okvinnlig’, och därmed tappa i legitimitet”.</w:t>
      </w:r>
      <w:r w:rsidRPr="00F5723F">
        <w:rPr>
          <w:rStyle w:val="Fotnotsreferens"/>
          <w:rFonts w:ascii="Garamond" w:hAnsi="Garamond"/>
          <w:szCs w:val="24"/>
        </w:rPr>
        <w:footnoteReference w:id="307"/>
      </w:r>
      <w:r w:rsidRPr="00F5723F">
        <w:t xml:space="preserve"> </w:t>
      </w:r>
    </w:p>
    <w:p w:rsidR="00B43C57" w:rsidRPr="00F5723F" w:rsidRDefault="00B43C57">
      <w:pPr>
        <w:pStyle w:val="Normaltindrag"/>
      </w:pPr>
      <w:r w:rsidRPr="00F5723F">
        <w:t>Att ledningen har ett stort ansvar för jämställdhet belyser Ingrid Pincus, som har studerat jämställdhetsfrågans plats och utveckling på ko</w:t>
      </w:r>
      <w:r w:rsidRPr="00F5723F">
        <w:t>m</w:t>
      </w:r>
      <w:r w:rsidRPr="00F5723F">
        <w:t>munal nivå genom en studie av jämställdhetsarbetares villkor för att bedriva jämställ</w:t>
      </w:r>
      <w:r w:rsidRPr="00F5723F">
        <w:t>d</w:t>
      </w:r>
      <w:r w:rsidRPr="00F5723F">
        <w:t xml:space="preserve">hetsarbete i organisationer. Undersökningen understryker betydelsen av stöd i jämställdhetsarbetet och visar bland annat att jämställdhetsarbetet tog stora kliv framåt när en man i kommunens högsta ledning </w:t>
      </w:r>
      <w:r w:rsidRPr="00F5723F">
        <w:rPr>
          <w:i/>
        </w:rPr>
        <w:t>aktivt</w:t>
      </w:r>
      <w:r w:rsidRPr="00F5723F">
        <w:t xml:space="preserve"> engagerade sig i och stö</w:t>
      </w:r>
      <w:r w:rsidRPr="00F5723F">
        <w:t>d</w:t>
      </w:r>
      <w:r w:rsidRPr="00F5723F">
        <w:t xml:space="preserve">de frågan. Ett </w:t>
      </w:r>
      <w:r w:rsidRPr="00F5723F">
        <w:rPr>
          <w:i/>
        </w:rPr>
        <w:t>passivt stöd</w:t>
      </w:r>
      <w:r w:rsidRPr="00F5723F">
        <w:t xml:space="preserve"> från chefer och politiker på lägre nivåer var också betydelsefullt även om det inte hade samma förändringseffekt. På motsvarande sätt var mäns </w:t>
      </w:r>
      <w:r w:rsidRPr="00F5723F">
        <w:rPr>
          <w:i/>
        </w:rPr>
        <w:t>aktiva motstånds</w:t>
      </w:r>
      <w:r w:rsidRPr="00F5723F">
        <w:rPr>
          <w:i/>
        </w:rPr>
        <w:t>strategier</w:t>
      </w:r>
      <w:r w:rsidRPr="00F5723F">
        <w:t xml:space="preserve"> (som att argumentera mot jämställdhetsreformer, att urholka jämställdhetsåtgärders förändringsp</w:t>
      </w:r>
      <w:r w:rsidRPr="00F5723F">
        <w:t>o</w:t>
      </w:r>
      <w:r w:rsidRPr="00F5723F">
        <w:t xml:space="preserve">tential samt ett personinriktat motstånd mot jämställdhetsarbetares legitimitet och auktoritet) och </w:t>
      </w:r>
      <w:r w:rsidRPr="00F5723F">
        <w:rPr>
          <w:i/>
        </w:rPr>
        <w:t>passiva motståndsstrategier</w:t>
      </w:r>
      <w:r w:rsidRPr="00F5723F">
        <w:t xml:space="preserve"> (som tystnad och skenhan</w:t>
      </w:r>
      <w:r w:rsidRPr="00F5723F">
        <w:t>d</w:t>
      </w:r>
      <w:r w:rsidRPr="00F5723F">
        <w:t>lingar) ett hinder när det gäller att utveckla jämställdhetsarbetet. Undersö</w:t>
      </w:r>
      <w:r w:rsidRPr="00F5723F">
        <w:t>k</w:t>
      </w:r>
      <w:r w:rsidRPr="00F5723F">
        <w:t>ningen visar att det öppna och aktiva motståndet mot jämställ</w:t>
      </w:r>
      <w:r w:rsidRPr="00F5723F">
        <w:t>d</w:t>
      </w:r>
      <w:r w:rsidRPr="00F5723F">
        <w:t>hetsåtgärder endast utövades av ett fåtal män. De</w:t>
      </w:r>
      <w:r w:rsidRPr="00F5723F">
        <w:t>t</w:t>
      </w:r>
      <w:r w:rsidRPr="00F5723F">
        <w:t>samma kunde även konstateras när det gällde det aktiva stödet.</w:t>
      </w:r>
      <w:r w:rsidRPr="00F5723F">
        <w:rPr>
          <w:rStyle w:val="Fotnotsreferens"/>
          <w:rFonts w:ascii="Garamond" w:hAnsi="Garamond"/>
        </w:rPr>
        <w:footnoteReference w:id="308"/>
      </w:r>
    </w:p>
    <w:p w:rsidR="00B43C57" w:rsidRPr="00F5723F" w:rsidRDefault="00B43C57">
      <w:pPr>
        <w:pStyle w:val="Normaltindrag"/>
      </w:pPr>
      <w:r w:rsidRPr="00F5723F">
        <w:t>I Norge har en liknande studie gjorts. Janneke van der Ros har studerat a</w:t>
      </w:r>
      <w:r w:rsidRPr="00F5723F">
        <w:t>r</w:t>
      </w:r>
      <w:r w:rsidRPr="00F5723F">
        <w:t>betsvillkoren hos de fylkeskommunala kvinnekonsulenterna, s.k. fylkesf</w:t>
      </w:r>
      <w:r w:rsidRPr="00F5723F">
        <w:t>e</w:t>
      </w:r>
      <w:r w:rsidRPr="00F5723F">
        <w:t>mokraterna.</w:t>
      </w:r>
      <w:r w:rsidRPr="00F5723F">
        <w:rPr>
          <w:rStyle w:val="Fotnotsreferens"/>
          <w:rFonts w:ascii="Garamond" w:hAnsi="Garamond"/>
        </w:rPr>
        <w:footnoteReference w:id="309"/>
      </w:r>
      <w:r w:rsidRPr="00F5723F">
        <w:t xml:space="preserve"> Kvinnekonsulenterna ingick i en fylkeskommunal kvinnosat</w:t>
      </w:r>
      <w:r w:rsidRPr="00F5723F">
        <w:t>s</w:t>
      </w:r>
      <w:r w:rsidRPr="00F5723F">
        <w:t>ning i de norska distrikten för att råda bot på skevheten mellan könen i b</w:t>
      </w:r>
      <w:r w:rsidRPr="00F5723F">
        <w:t>e</w:t>
      </w:r>
      <w:r w:rsidRPr="00F5723F">
        <w:t>folkningssammansättningen. Deras primära uppgift var att utveckla metoder för att göra distrikten mer attraktiva för kvinnor, bland annat när det gäller arbete och bostad, för att förhindra kvinnors flykt från landsby</w:t>
      </w:r>
      <w:r w:rsidRPr="00F5723F">
        <w:t>g</w:t>
      </w:r>
      <w:r w:rsidRPr="00F5723F">
        <w:t>den. Janneke van der Ros menar att dessa administratörer blev utsatta för tre former av marginalisering. För det första fanns en politisk marginalisering genom a</w:t>
      </w:r>
      <w:r w:rsidRPr="00F5723F">
        <w:t>tt den fylkeskommunala kvinnosatsningen var en underordnad del av distrikt</w:t>
      </w:r>
      <w:r w:rsidRPr="00F5723F">
        <w:t>s</w:t>
      </w:r>
      <w:r w:rsidRPr="00F5723F">
        <w:t>politiken. För det andra fanns en administrativ marginalisering dels genom att konsulenternas anställning var tidsbegränsad, dels genom att de var centralt anställda men arb</w:t>
      </w:r>
      <w:r w:rsidRPr="00F5723F">
        <w:t>e</w:t>
      </w:r>
      <w:r w:rsidRPr="00F5723F">
        <w:t>tade på distriktsnivå i en kommunal organisation samt att det faktiska arbet</w:t>
      </w:r>
      <w:r w:rsidRPr="00F5723F">
        <w:t>s</w:t>
      </w:r>
      <w:r w:rsidRPr="00F5723F">
        <w:t>sättet stod i motsättning till det stipulerade. För det tredje fanns en könsmässig marginalisering genom att konsulenterna var kvinnor i en organ</w:t>
      </w:r>
      <w:r w:rsidRPr="00F5723F">
        <w:t>i</w:t>
      </w:r>
      <w:r w:rsidRPr="00F5723F">
        <w:t xml:space="preserve">sation ledd av män. </w:t>
      </w:r>
    </w:p>
    <w:p w:rsidR="00B43C57" w:rsidRPr="00F5723F" w:rsidRDefault="00B43C57">
      <w:pPr>
        <w:pStyle w:val="Normaltindrag"/>
      </w:pPr>
      <w:r w:rsidRPr="00F5723F">
        <w:rPr>
          <w:snapToGrid w:val="0"/>
        </w:rPr>
        <w:t xml:space="preserve">I samhällsdebatten </w:t>
      </w:r>
      <w:r w:rsidRPr="00F5723F">
        <w:rPr>
          <w:snapToGrid w:val="0"/>
        </w:rPr>
        <w:t>framhålls ibland att kvinnor hoppar av politiken i större utsträckning än män. Gunnar Wallins studie från 1981 visar emellertid att det inte är en större andel avhoppare bland kvinnor än bland män. 26 pr</w:t>
      </w:r>
      <w:r w:rsidRPr="00F5723F">
        <w:rPr>
          <w:snapToGrid w:val="0"/>
        </w:rPr>
        <w:t>o</w:t>
      </w:r>
      <w:r w:rsidRPr="00F5723F">
        <w:rPr>
          <w:snapToGrid w:val="0"/>
        </w:rPr>
        <w:t>cent av de kvinnliga fullmäktigeledamöterna och exakt samma andel av de manliga valde att sluta frivilligt. Studierna visar även att kvinnor och män drar sig tillbaka från politiken i samma takt. Kvinnor drar sig inte tillbaka snabbare än män och deras omvalsfrekvenser var därmed lika höga som mäns. Däremot</w:t>
      </w:r>
      <w:r w:rsidRPr="00F5723F">
        <w:rPr>
          <w:snapToGrid w:val="0"/>
        </w:rPr>
        <w:t xml:space="preserve"> kan motiven till att avböja omval skilja sig åt. Flera män väljer att inte ställa upp för omval med hänvisning till ålder eller att de suttit länge. Fler kvinnor än män slutar för att de finner arbetsvillkoren otillfred</w:t>
      </w:r>
      <w:r w:rsidRPr="00F5723F">
        <w:rPr>
          <w:snapToGrid w:val="0"/>
        </w:rPr>
        <w:t>s</w:t>
      </w:r>
      <w:r w:rsidRPr="00F5723F">
        <w:rPr>
          <w:snapToGrid w:val="0"/>
        </w:rPr>
        <w:t>ställande. Det finns således en tendens till att kvinnor upplever representan</w:t>
      </w:r>
      <w:r w:rsidRPr="00F5723F">
        <w:rPr>
          <w:snapToGrid w:val="0"/>
        </w:rPr>
        <w:t>t</w:t>
      </w:r>
      <w:r w:rsidRPr="00F5723F">
        <w:rPr>
          <w:snapToGrid w:val="0"/>
        </w:rPr>
        <w:t xml:space="preserve">skapet som mindre tillfredsställande. </w:t>
      </w:r>
    </w:p>
    <w:p w:rsidR="00B43C57" w:rsidRPr="00F5723F" w:rsidRDefault="00B43C57">
      <w:pPr>
        <w:pStyle w:val="Normaltindrag"/>
      </w:pPr>
      <w:r w:rsidRPr="00F5723F">
        <w:t>Relaterat till villkoren i riksdagen kan man d</w:t>
      </w:r>
      <w:r w:rsidRPr="00F5723F">
        <w:t>iskutera huruvida</w:t>
      </w:r>
      <w:r w:rsidRPr="00F5723F">
        <w:t xml:space="preserve"> riksdagsl</w:t>
      </w:r>
      <w:r w:rsidRPr="00F5723F">
        <w:t>e</w:t>
      </w:r>
      <w:r w:rsidRPr="00F5723F">
        <w:t>damöter hoppar av politiken</w:t>
      </w:r>
      <w:r w:rsidRPr="00F5723F">
        <w:t xml:space="preserve"> och hur detta kan relateras till kön</w:t>
      </w:r>
      <w:r w:rsidRPr="00F5723F">
        <w:t>. Catriona Burness har studerat varför unga riksdagsle</w:t>
      </w:r>
      <w:r w:rsidRPr="00F5723F">
        <w:t xml:space="preserve">damöter hoppar av politiken. Burness menar att det </w:t>
      </w:r>
      <w:r w:rsidRPr="00F5723F">
        <w:t xml:space="preserve">i slutet av 1990-talet </w:t>
      </w:r>
      <w:r w:rsidRPr="00F5723F">
        <w:t>fanns en diskussion att unga kvi</w:t>
      </w:r>
      <w:r w:rsidRPr="00F5723F">
        <w:t>n</w:t>
      </w:r>
      <w:r w:rsidRPr="00F5723F">
        <w:t>nor hoppade av sina riksdagsuppdrag på grund</w:t>
      </w:r>
      <w:r w:rsidRPr="00F5723F">
        <w:t xml:space="preserve"> av </w:t>
      </w:r>
      <w:r w:rsidRPr="00F5723F">
        <w:t>dåliga villkor i politiken</w:t>
      </w:r>
      <w:r w:rsidRPr="00F5723F">
        <w:t>.</w:t>
      </w:r>
      <w:r w:rsidRPr="00F5723F">
        <w:rPr>
          <w:rStyle w:val="Fotnotsreferens"/>
          <w:rFonts w:ascii="Garamond" w:hAnsi="Garamond"/>
        </w:rPr>
        <w:footnoteReference w:id="310"/>
      </w:r>
      <w:r w:rsidRPr="00F5723F">
        <w:t xml:space="preserve"> </w:t>
      </w:r>
      <w:r w:rsidRPr="00F5723F">
        <w:t>Hennes undersökning av riksdagspolitiker som valdes in i riksdagen 1994 och som inte ställde upp för omval 1998 visar att d</w:t>
      </w:r>
      <w:r w:rsidRPr="00F5723F">
        <w:t xml:space="preserve">et var ett fåtal </w:t>
      </w:r>
      <w:r w:rsidRPr="00F5723F">
        <w:t xml:space="preserve">unga kvinnor </w:t>
      </w:r>
      <w:r w:rsidRPr="00F5723F">
        <w:t xml:space="preserve">som hoppade av. </w:t>
      </w:r>
      <w:r w:rsidRPr="00F5723F">
        <w:t>Deras skäl till att inte ställa upp för omval kunde relateras</w:t>
      </w:r>
      <w:r w:rsidRPr="00F5723F">
        <w:t xml:space="preserve"> till familj</w:t>
      </w:r>
      <w:r w:rsidRPr="00F5723F">
        <w:t>eomständigheter</w:t>
      </w:r>
      <w:r w:rsidRPr="00F5723F">
        <w:t xml:space="preserve"> och utbildning. Däremot när andra riksdagsledam</w:t>
      </w:r>
      <w:r w:rsidRPr="00F5723F">
        <w:t>ö</w:t>
      </w:r>
      <w:r w:rsidRPr="00F5723F">
        <w:t>ter tillfrågades om varför dessa unga personer hopp</w:t>
      </w:r>
      <w:r w:rsidRPr="00F5723F">
        <w:t>a</w:t>
      </w:r>
      <w:r w:rsidRPr="00F5723F">
        <w:t xml:space="preserve">de av, var svaret att dessa unga inte togs på allvar, att de </w:t>
      </w:r>
      <w:r w:rsidRPr="00F5723F">
        <w:t>kände sig mota</w:t>
      </w:r>
      <w:r w:rsidRPr="00F5723F">
        <w:t>r</w:t>
      </w:r>
      <w:r w:rsidRPr="00F5723F">
        <w:t>betade,</w:t>
      </w:r>
      <w:r w:rsidRPr="00F5723F">
        <w:t xml:space="preserve"> etc.</w:t>
      </w:r>
    </w:p>
    <w:p w:rsidR="00B43C57" w:rsidRPr="00F5723F" w:rsidRDefault="00B43C57">
      <w:pPr>
        <w:pStyle w:val="Normaltindrag"/>
      </w:pPr>
      <w:r w:rsidRPr="00F5723F">
        <w:t>Maud Eduards menar att kvinnor i politiken tvingas balansera mot</w:t>
      </w:r>
      <w:r w:rsidRPr="00F5723F">
        <w:t>stridiga budskap. Å ena sidan används åsiktsskillnader som ett argument för ökad kvinnorepresentation, för att få in kvinnliga erfarenheter i politiken. Väl i</w:t>
      </w:r>
      <w:r w:rsidRPr="00F5723F">
        <w:t>n</w:t>
      </w:r>
      <w:r w:rsidRPr="00F5723F">
        <w:t xml:space="preserve">valda, förväntas kvinnor dock </w:t>
      </w:r>
      <w:r w:rsidRPr="00F5723F">
        <w:rPr>
          <w:i/>
        </w:rPr>
        <w:t>både</w:t>
      </w:r>
      <w:r w:rsidRPr="00F5723F">
        <w:t xml:space="preserve"> behålla sina speciella uppfattningar </w:t>
      </w:r>
      <w:r w:rsidRPr="00F5723F">
        <w:rPr>
          <w:i/>
        </w:rPr>
        <w:t>och</w:t>
      </w:r>
      <w:r w:rsidRPr="00F5723F">
        <w:t xml:space="preserve"> underordna sig allmänintresset. Kvinnor tvingas således gå en balan</w:t>
      </w:r>
      <w:r w:rsidRPr="00F5723F">
        <w:t>s</w:t>
      </w:r>
      <w:r w:rsidRPr="00F5723F">
        <w:t>gång mellan förväntningar om att både vara lik och olik. De flesta kvinnor väljer mer eller mindre medvetet att anpassa sig till rådande normer, för att inte uppfattas som obekväma.</w:t>
      </w:r>
      <w:r w:rsidRPr="00F5723F">
        <w:rPr>
          <w:rStyle w:val="Fotnotsreferens"/>
          <w:rFonts w:ascii="Garamond" w:hAnsi="Garamond"/>
        </w:rPr>
        <w:footnoteReference w:id="311"/>
      </w:r>
      <w:r w:rsidRPr="00F5723F">
        <w:t xml:space="preserve"> </w:t>
      </w:r>
    </w:p>
    <w:p w:rsidR="00B43C57" w:rsidRPr="00F5723F" w:rsidRDefault="00B43C57">
      <w:pPr>
        <w:pStyle w:val="Normaltindrag"/>
      </w:pPr>
      <w:r w:rsidRPr="00F5723F">
        <w:t>Avslutningsvis bör det understrykas att Jörgen Hermansson, Shirin Ah</w:t>
      </w:r>
      <w:r w:rsidRPr="00F5723F">
        <w:t>l</w:t>
      </w:r>
      <w:r w:rsidRPr="00F5723F">
        <w:t>bäck och Lena Wängnerud i ett pågående forskningsprojekt undersöker pol</w:t>
      </w:r>
      <w:r w:rsidRPr="00F5723F">
        <w:t>i</w:t>
      </w:r>
      <w:r w:rsidRPr="00F5723F">
        <w:t>tike</w:t>
      </w:r>
      <w:r w:rsidRPr="00F5723F">
        <w:t>r</w:t>
      </w:r>
      <w:r w:rsidRPr="00F5723F">
        <w:t>rollens förändring i Sverige. Undersökningen avser bland annat svara på frågan om kvinnor och män har olika skäl till att lämna sitt uppdrag i riksd</w:t>
      </w:r>
      <w:r w:rsidRPr="00F5723F">
        <w:t>a</w:t>
      </w:r>
      <w:r w:rsidRPr="00F5723F">
        <w:t>gen.</w:t>
      </w:r>
      <w:r w:rsidRPr="00F5723F">
        <w:rPr>
          <w:rStyle w:val="Fotnotsreferens"/>
          <w:rFonts w:ascii="Garamond" w:hAnsi="Garamond"/>
        </w:rPr>
        <w:footnoteReference w:id="312"/>
      </w:r>
      <w:r w:rsidRPr="00F5723F">
        <w:t xml:space="preserve"> Med hjälp av intervjuer och enkäter undersöker de trivseln i riksdagen men också frågor om politikerideal. Resultaten hittills tyder på att den kritik som framkommer snarare är riktad mot partierna än mot riksdagen som inst</w:t>
      </w:r>
      <w:r w:rsidRPr="00F5723F">
        <w:t>i</w:t>
      </w:r>
      <w:r w:rsidRPr="00F5723F">
        <w:t>tution. Resultaten tyder också på att det förekommer något starkare kritik bland kvin</w:t>
      </w:r>
      <w:r w:rsidRPr="00F5723F">
        <w:t>n</w:t>
      </w:r>
      <w:r w:rsidRPr="00F5723F">
        <w:t>liga än bland manliga ledamöter. Undersökningen är gjord bland såväl tidigare som nuvarande riksdagsledamöter. Projektet skall redovisa sina resu</w:t>
      </w:r>
      <w:r w:rsidRPr="00F5723F">
        <w:t>l</w:t>
      </w:r>
      <w:r w:rsidRPr="00F5723F">
        <w:t>tat under 2005.</w:t>
      </w:r>
    </w:p>
    <w:p w:rsidR="00B43C57" w:rsidRPr="00F5723F" w:rsidRDefault="00B43C57">
      <w:pPr>
        <w:pStyle w:val="Rubrik3"/>
        <w:rPr>
          <w:noProof w:val="0"/>
        </w:rPr>
      </w:pPr>
      <w:bookmarkStart w:id="363" w:name="_Toc121739010"/>
      <w:bookmarkStart w:id="364" w:name="_Toc124697922"/>
      <w:r w:rsidRPr="00F5723F">
        <w:rPr>
          <w:noProof w:val="0"/>
        </w:rPr>
        <w:t>Jämställdhet</w:t>
      </w:r>
      <w:bookmarkEnd w:id="363"/>
      <w:bookmarkEnd w:id="364"/>
    </w:p>
    <w:p w:rsidR="00B43C57" w:rsidRPr="00F5723F" w:rsidRDefault="00B43C57">
      <w:r w:rsidRPr="00F5723F">
        <w:t>Ett sjätte tema som utkristalliserats i den befintliga forskningen om riksd</w:t>
      </w:r>
      <w:r w:rsidRPr="00F5723F">
        <w:t>a</w:t>
      </w:r>
      <w:r w:rsidRPr="00F5723F">
        <w:t>gen ur ett genusperspektiv är jämställdhet som politikområde. Jämställdhet kan visserligen implicit anses ingå i samtliga teman. Nedan redogörs emelle</w:t>
      </w:r>
      <w:r w:rsidRPr="00F5723F">
        <w:t>r</w:t>
      </w:r>
      <w:r w:rsidRPr="00F5723F">
        <w:t>tid för studier och forskningsprojekt som har ett explicit syfte att undersöka jämställdhet som politikområde i riksdagen eller på en mer övergripande, diskursiv nivå. Flera av dessa forskningsrapporter, inte alla, ingår i statliga maktutredningar.</w:t>
      </w:r>
    </w:p>
    <w:p w:rsidR="00B43C57" w:rsidRPr="00F5723F" w:rsidRDefault="00B43C57">
      <w:pPr>
        <w:pStyle w:val="Normaltindrag"/>
      </w:pPr>
      <w:r w:rsidRPr="00F5723F">
        <w:t>Jessica Lindvert har i sin avhandling studerat frågan om vilka förutsät</w:t>
      </w:r>
      <w:r w:rsidRPr="00F5723F">
        <w:t>t</w:t>
      </w:r>
      <w:r w:rsidRPr="00F5723F">
        <w:t>ningar som finns att i olika typer av välfärdsstater initiera och etablera det policyo</w:t>
      </w:r>
      <w:r w:rsidRPr="00F5723F">
        <w:t>m</w:t>
      </w:r>
      <w:r w:rsidRPr="00F5723F">
        <w:t>råde som har kvinnors och mäns levnadsvillkor som fokus, det vill säga genuspolitiken. I avhandlingen beskrivs det genuspolitiska områdets uppkomst och u</w:t>
      </w:r>
      <w:r w:rsidRPr="00F5723F">
        <w:t>t</w:t>
      </w:r>
      <w:r w:rsidRPr="00F5723F">
        <w:t>vecklingsförlopp i Australien och Sverige. I en kartläggning och analys av den svenska (och australiska) policyutvecklingen när det gäller jämställdhet från 1960 till 1990 med explicit fokus på de fyra politikområd</w:t>
      </w:r>
      <w:r w:rsidRPr="00F5723F">
        <w:t>e</w:t>
      </w:r>
      <w:r w:rsidRPr="00F5723F">
        <w:t>na barnomsorg, arbetsmarknadsutbildning, våld mot kvinn</w:t>
      </w:r>
      <w:r w:rsidRPr="00F5723F">
        <w:t>or samt könsdi</w:t>
      </w:r>
      <w:r w:rsidRPr="00F5723F">
        <w:t>s</w:t>
      </w:r>
      <w:r w:rsidRPr="00F5723F">
        <w:t>kriminering förklaras hur institutionaliserade normer påverkar olika polic</w:t>
      </w:r>
      <w:r w:rsidRPr="00F5723F">
        <w:t>y</w:t>
      </w:r>
      <w:r w:rsidRPr="00F5723F">
        <w:t>omr</w:t>
      </w:r>
      <w:r w:rsidRPr="00F5723F">
        <w:t>å</w:t>
      </w:r>
      <w:r w:rsidRPr="00F5723F">
        <w:t>den.</w:t>
      </w:r>
      <w:r w:rsidRPr="00F5723F">
        <w:rPr>
          <w:rStyle w:val="Fotnotsreferens"/>
          <w:rFonts w:ascii="Garamond" w:hAnsi="Garamond"/>
        </w:rPr>
        <w:footnoteReference w:id="313"/>
      </w:r>
      <w:r w:rsidRPr="00F5723F">
        <w:t xml:space="preserve"> Studien visar att den svenska jämställdhetspolitiken i högre grad än den australiska hade anknytning till en s.k. omfördelningspolitik. Under 1960-talet etablerades en svensk genuslogik, som hade ett omfångsmässigt fokus på att integrera jämställdhetspolitiken med social- och arbetsmarknad</w:t>
      </w:r>
      <w:r w:rsidRPr="00F5723F">
        <w:t>s</w:t>
      </w:r>
      <w:r w:rsidRPr="00F5723F">
        <w:t>politik samt ett inflytandemässigt fokus på centrala politiska aktörer. För</w:t>
      </w:r>
      <w:r w:rsidRPr="00F5723F">
        <w:t>e</w:t>
      </w:r>
      <w:r w:rsidRPr="00F5723F">
        <w:t>komsten av en politisk enighet kring begreppet jämställdhet framstod som en central drivkraft. Resultaten pekar även på att den svenska jämställ</w:t>
      </w:r>
      <w:r w:rsidRPr="00F5723F">
        <w:t>dhetspol</w:t>
      </w:r>
      <w:r w:rsidRPr="00F5723F">
        <w:t>i</w:t>
      </w:r>
      <w:r w:rsidRPr="00F5723F">
        <w:t>tikens förankring i arbetsmarknadspolitiken varit avgörande för dess förmå</w:t>
      </w:r>
      <w:r w:rsidRPr="00F5723F">
        <w:t>n</w:t>
      </w:r>
      <w:r w:rsidRPr="00F5723F">
        <w:t>liga position i svensk politik.</w:t>
      </w:r>
    </w:p>
    <w:p w:rsidR="00B43C57" w:rsidRPr="00F5723F" w:rsidRDefault="00B43C57">
      <w:pPr>
        <w:pStyle w:val="Normaltindrag"/>
      </w:pPr>
      <w:r w:rsidRPr="00F5723F">
        <w:t>Lena Wängnerud har i sin forskning visat att kvinnliga politiker är de som är mest angelägna om att satsa på mer jämställdhet.</w:t>
      </w:r>
      <w:r w:rsidRPr="00F5723F">
        <w:rPr>
          <w:rStyle w:val="Fotnotsreferens"/>
          <w:rFonts w:ascii="Garamond" w:hAnsi="Garamond"/>
        </w:rPr>
        <w:footnoteReference w:id="314"/>
      </w:r>
      <w:r w:rsidRPr="00F5723F">
        <w:t xml:space="preserve"> Från sin unde</w:t>
      </w:r>
      <w:r w:rsidRPr="00F5723F">
        <w:t>r</w:t>
      </w:r>
      <w:r w:rsidRPr="00F5723F">
        <w:t>sökning från 1994 konstaterar Wängnerud att jämställdhet är ett förhållandevis litet policyomoråde och att det är ett område där de kvinnliga politikerna i stort sett har monopol. Vissa partivisa skillnader förekommer emellertid: I sa</w:t>
      </w:r>
      <w:r w:rsidRPr="00F5723F">
        <w:t>m</w:t>
      </w:r>
      <w:r w:rsidRPr="00F5723F">
        <w:t>band med valrörelsen 1994 drev framför allt kvinnliga ledamöter inom Fol</w:t>
      </w:r>
      <w:r w:rsidRPr="00F5723F">
        <w:t>k</w:t>
      </w:r>
      <w:r w:rsidRPr="00F5723F">
        <w:t>partiet, Socialdemokraterna och Vänsterpartiet frågor om jämställdhet, och inom partigrupperna var det framför allt kvinnliga ledamöter inom Folkpart</w:t>
      </w:r>
      <w:r w:rsidRPr="00F5723F">
        <w:t>i</w:t>
      </w:r>
      <w:r w:rsidRPr="00F5723F">
        <w:t>et, Miljöpartiet och Vänsterpartiet som</w:t>
      </w:r>
      <w:r w:rsidRPr="00F5723F">
        <w:t xml:space="preserve"> drev jämställdhetsfrågor. Stud</w:t>
      </w:r>
      <w:r w:rsidRPr="00F5723F">
        <w:t>i</w:t>
      </w:r>
      <w:r w:rsidRPr="00F5723F">
        <w:t>en visar även att 80 procent av männen i riksdagen aldrig samarbetat i jämställdhet</w:t>
      </w:r>
      <w:r w:rsidRPr="00F5723F">
        <w:t>s</w:t>
      </w:r>
      <w:r w:rsidRPr="00F5723F">
        <w:t>frågor, till skillnad från 48 procent av kvinnorna. Omvänt innebär detta, m</w:t>
      </w:r>
      <w:r w:rsidRPr="00F5723F">
        <w:t>e</w:t>
      </w:r>
      <w:r w:rsidRPr="00F5723F">
        <w:t>nar Wängnerud, att hälften av samtliga kvinnliga ledamöter samarbetat åtmi</w:t>
      </w:r>
      <w:r w:rsidRPr="00F5723F">
        <w:t>n</w:t>
      </w:r>
      <w:r w:rsidRPr="00F5723F">
        <w:t>stone någon gång och att motsvarande gäller för en femtedel av de manliga ledamöterna. Slutsatsen dras att även om det var en liten grupp som aktivt drev jämställdhetsfrågor, bestod gruppen nästan utesl</w:t>
      </w:r>
      <w:r w:rsidRPr="00F5723F">
        <w:t>u</w:t>
      </w:r>
      <w:r w:rsidRPr="00F5723F">
        <w:t>tande av kvinnor.</w:t>
      </w:r>
    </w:p>
    <w:p w:rsidR="00B43C57" w:rsidRPr="00F5723F" w:rsidRDefault="00B43C57">
      <w:pPr>
        <w:pStyle w:val="Normaltindrag"/>
      </w:pPr>
      <w:r w:rsidRPr="00F5723F">
        <w:rPr>
          <w:i/>
        </w:rPr>
        <w:t>Men</w:t>
      </w:r>
      <w:r w:rsidRPr="00F5723F">
        <w:rPr>
          <w:i/>
        </w:rPr>
        <w:t>n</w:t>
      </w:r>
      <w:r w:rsidRPr="00F5723F">
        <w:rPr>
          <w:i/>
        </w:rPr>
        <w:t xml:space="preserve"> imellom</w:t>
      </w:r>
      <w:r w:rsidRPr="00F5723F">
        <w:t xml:space="preserve"> av Hege Skjeie och Marie Teigen kan ses som en slutra</w:t>
      </w:r>
      <w:r w:rsidRPr="00F5723F">
        <w:t>p</w:t>
      </w:r>
      <w:r w:rsidRPr="00F5723F">
        <w:t>port för den norska Makt- och demokratiutredningens analyser av kön</w:t>
      </w:r>
      <w:r w:rsidRPr="00F5723F">
        <w:t>s</w:t>
      </w:r>
      <w:r w:rsidRPr="00F5723F">
        <w:t>makt och jämställdhetspolitik.</w:t>
      </w:r>
      <w:r w:rsidRPr="00F5723F">
        <w:rPr>
          <w:rStyle w:val="Fotnotsreferens"/>
          <w:rFonts w:ascii="Garamond" w:hAnsi="Garamond"/>
          <w:szCs w:val="24"/>
        </w:rPr>
        <w:footnoteReference w:id="315"/>
      </w:r>
      <w:r w:rsidRPr="00F5723F">
        <w:t xml:space="preserve"> I boken problematiseras jämställdhetens ”själ</w:t>
      </w:r>
      <w:r w:rsidRPr="00F5723F">
        <w:t>v</w:t>
      </w:r>
      <w:r w:rsidRPr="00F5723F">
        <w:t>klarhet” som en nationell elitkonsensus, och konkreta utmaningar för norsk jämställdhetspolitik diskuteras. I många sammanhang är ”folkstyre” en euf</w:t>
      </w:r>
      <w:r w:rsidRPr="00F5723F">
        <w:t>e</w:t>
      </w:r>
      <w:r w:rsidRPr="00F5723F">
        <w:t>mism för mansdominerande beslutsstrukturer och beslutskulturer, m</w:t>
      </w:r>
      <w:r w:rsidRPr="00F5723F">
        <w:t>e</w:t>
      </w:r>
      <w:r w:rsidRPr="00F5723F">
        <w:t>nar författarna. En elitundersökning av mer än 1 700 ledare i politik, förval</w:t>
      </w:r>
      <w:r w:rsidRPr="00F5723F">
        <w:t>t</w:t>
      </w:r>
      <w:r w:rsidRPr="00F5723F">
        <w:t>ning, näringsliv, kulturliv, forskning och medier visar att den genomsnittliga man</w:t>
      </w:r>
      <w:r w:rsidRPr="00F5723F">
        <w:t>s</w:t>
      </w:r>
      <w:r w:rsidRPr="00F5723F">
        <w:t>dominansen ligger på 84 procent, med en variation från 90 procent eller mer i till exempe</w:t>
      </w:r>
      <w:r w:rsidRPr="00F5723F">
        <w:t>l näringslivet och rättsväsendet, till cirka 60–65 procent i delar av partipolitiken. Även partipolitiken visar på stora interna variationer, till e</w:t>
      </w:r>
      <w:r w:rsidRPr="00F5723F">
        <w:t>x</w:t>
      </w:r>
      <w:r w:rsidRPr="00F5723F">
        <w:t>empel en fördelning mellan könen på 50–50 i Arbeiderpartiets stortingsgrupp och 90–10 i Fremskrittspartiets. Många norska kommunfullmäktigegrupper har en skev könsfördelning, och på ordförandenivån är mansdominansen 85 procent. Enbart delar av partipolitiken samt organisations- och kulturlivet visar på ett undantag från regeln att maktens positioner är mäns pos</w:t>
      </w:r>
      <w:r w:rsidRPr="00F5723F">
        <w:t>itioner, menar Skjeie och Teigen. Mycket av samhällets organisering och styrning formas med andra ord av ”menn imellom”. Genomsnittligt sett har den ”r</w:t>
      </w:r>
      <w:r w:rsidRPr="00F5723F">
        <w:t>e</w:t>
      </w:r>
      <w:r w:rsidRPr="00F5723F">
        <w:t>presentativa demokratin” inte blivit mer könsrepresentativ än den var i mitten på 1980-talet. På stortingsnivån blir den begränsade inklusionen ännu tydlig</w:t>
      </w:r>
      <w:r w:rsidRPr="00F5723F">
        <w:t>a</w:t>
      </w:r>
      <w:r w:rsidRPr="00F5723F">
        <w:t>re avseende nomineringarnas reflektion av flerkulturella repr</w:t>
      </w:r>
      <w:r w:rsidRPr="00F5723F">
        <w:t>e</w:t>
      </w:r>
      <w:r w:rsidRPr="00F5723F">
        <w:t>sentationskrav.</w:t>
      </w:r>
    </w:p>
    <w:p w:rsidR="00B43C57" w:rsidRPr="00F5723F" w:rsidRDefault="00B43C57">
      <w:pPr>
        <w:pStyle w:val="Normaltindrag"/>
      </w:pPr>
      <w:r w:rsidRPr="00F5723F">
        <w:rPr>
          <w:szCs w:val="24"/>
        </w:rPr>
        <w:t>I studien presenteras en analys av inställningen till jämställdhet i det nor</w:t>
      </w:r>
      <w:r w:rsidRPr="00F5723F">
        <w:rPr>
          <w:szCs w:val="24"/>
        </w:rPr>
        <w:t>s</w:t>
      </w:r>
      <w:r w:rsidRPr="00F5723F">
        <w:rPr>
          <w:szCs w:val="24"/>
        </w:rPr>
        <w:t xml:space="preserve">ka samhället. </w:t>
      </w:r>
      <w:r w:rsidRPr="00F5723F">
        <w:t>När det gäller jämställdhet menar Skjeie och Teigen att jä</w:t>
      </w:r>
      <w:r w:rsidRPr="00F5723F">
        <w:t>m</w:t>
      </w:r>
      <w:r w:rsidRPr="00F5723F">
        <w:t>ställdhet har ”vikeplikt” (väjningsplikt). Med det menas att jämställdhet stä</w:t>
      </w:r>
      <w:r w:rsidRPr="00F5723F">
        <w:t>n</w:t>
      </w:r>
      <w:r w:rsidRPr="00F5723F">
        <w:t>digt konkurrerar med det som rutinmässigt uppfattas som mer prekära hä</w:t>
      </w:r>
      <w:r w:rsidRPr="00F5723F">
        <w:t>n</w:t>
      </w:r>
      <w:r w:rsidRPr="00F5723F">
        <w:t>syn. Jämställdhet måste till exempel ge förkörsrätt till förhandlingsfriheten och organisationsfriheten. Jämställdhetsprinciper är dessutom något som stä</w:t>
      </w:r>
      <w:r w:rsidRPr="00F5723F">
        <w:t>n</w:t>
      </w:r>
      <w:r w:rsidRPr="00F5723F">
        <w:t>digt måste förhandlas och kompromissas om, bland annat med hänsyn till för</w:t>
      </w:r>
      <w:r w:rsidRPr="00F5723F">
        <w:t>e</w:t>
      </w:r>
      <w:r w:rsidRPr="00F5723F">
        <w:t>ställningen att jämställdheten är ”på vei”. Enligt denna för</w:t>
      </w:r>
      <w:r w:rsidRPr="00F5723F">
        <w:t>eställning anses målet finnas inom räckhåll, varvid inga särskilda insatser behöver vidtas. Jämställdhet är också något som alla är för, menar Skjeie och Te</w:t>
      </w:r>
      <w:r w:rsidRPr="00F5723F">
        <w:t>i</w:t>
      </w:r>
      <w:r w:rsidRPr="00F5723F">
        <w:t>gen. Det innebär att frågor om makt, över- och underordning och diskriminering sällan diskuteras. Jä</w:t>
      </w:r>
      <w:r w:rsidRPr="00F5723F">
        <w:t>m</w:t>
      </w:r>
      <w:r w:rsidRPr="00F5723F">
        <w:t>ställdhet handlar i stället snarare om grader av entusiasm än om ett uttryckt motstånd. Mansdominansen bland eliten tecknar emelle</w:t>
      </w:r>
      <w:r w:rsidRPr="00F5723F">
        <w:t>r</w:t>
      </w:r>
      <w:r w:rsidRPr="00F5723F">
        <w:t>tid en skarp kontrast till den norska officiella retoriken om det norska jämställdhet</w:t>
      </w:r>
      <w:r w:rsidRPr="00F5723F">
        <w:t>s</w:t>
      </w:r>
      <w:r w:rsidRPr="00F5723F">
        <w:t>paradiset, menar förfa</w:t>
      </w:r>
      <w:r w:rsidRPr="00F5723F">
        <w:t>t</w:t>
      </w:r>
      <w:r w:rsidRPr="00F5723F">
        <w:t>tarna.</w:t>
      </w:r>
    </w:p>
    <w:p w:rsidR="00B43C57" w:rsidRPr="00F5723F" w:rsidRDefault="00B43C57">
      <w:pPr>
        <w:pStyle w:val="Normaltindrag"/>
      </w:pPr>
      <w:r w:rsidRPr="00F5723F">
        <w:t>Den nor</w:t>
      </w:r>
      <w:r w:rsidRPr="00F5723F">
        <w:t>ska elitundersökningen visar också att kvinnor och män priorit</w:t>
      </w:r>
      <w:r w:rsidRPr="00F5723F">
        <w:t>e</w:t>
      </w:r>
      <w:r w:rsidRPr="00F5723F">
        <w:t>rar jämställdhet och jämställdhetspolitik i olika utsträckning. Anal</w:t>
      </w:r>
      <w:r w:rsidRPr="00F5723F">
        <w:t>y</w:t>
      </w:r>
      <w:r w:rsidRPr="00F5723F">
        <w:t>sen visar till exempel att män i institutionella ledarpositioner har problem med att se diskrim</w:t>
      </w:r>
      <w:r w:rsidRPr="00F5723F">
        <w:t>i</w:t>
      </w:r>
      <w:r w:rsidRPr="00F5723F">
        <w:t>nering som ett relevant jämställdhetsproblem, särskilt inom den egna verksamheten. När det gäller vilka argument för jämställdhet som får störst uppslutning delar sig den intervjuade eliten i två delar: Den ena ser jämställ</w:t>
      </w:r>
      <w:r w:rsidRPr="00F5723F">
        <w:t>d</w:t>
      </w:r>
      <w:r w:rsidRPr="00F5723F">
        <w:t>het som en rätti</w:t>
      </w:r>
      <w:r w:rsidRPr="00F5723F">
        <w:t>g</w:t>
      </w:r>
      <w:r w:rsidRPr="00F5723F">
        <w:t>hetsfråga och den andra att en jämn könsför</w:t>
      </w:r>
      <w:r w:rsidRPr="00F5723F">
        <w:t>delning ger det samhällsmässigt bästa utnyttjandet av människors kompetenser och resurser. Skjeie och Teigen är kritiska till sådana argument, med hänvisning till att en nytto- och lönsa</w:t>
      </w:r>
      <w:r w:rsidRPr="00F5723F">
        <w:t>m</w:t>
      </w:r>
      <w:r w:rsidRPr="00F5723F">
        <w:t>hetsretorik placerar jämställdhet på defensiven, som ett fält som måste försv</w:t>
      </w:r>
      <w:r w:rsidRPr="00F5723F">
        <w:t>a</w:t>
      </w:r>
      <w:r w:rsidRPr="00F5723F">
        <w:t>ras med mer än sitt egenvärde. Vad händer om jämställdhet inte lönar sig, frågar Skjeie och Teigen. Författarna understryker i stället jämställdhetens no</w:t>
      </w:r>
      <w:r w:rsidRPr="00F5723F">
        <w:t>r</w:t>
      </w:r>
      <w:r w:rsidRPr="00F5723F">
        <w:t>mativa fundament som en frihetsprincip: det vill säga rätt till lika deltagande och frihet fr</w:t>
      </w:r>
      <w:r w:rsidRPr="00F5723F">
        <w:t>ån diskriminering. Maktutredningens medbo</w:t>
      </w:r>
      <w:r w:rsidRPr="00F5723F">
        <w:t>r</w:t>
      </w:r>
      <w:r w:rsidRPr="00F5723F">
        <w:t>garu</w:t>
      </w:r>
      <w:r w:rsidRPr="00F5723F">
        <w:t>n</w:t>
      </w:r>
      <w:r w:rsidRPr="00F5723F">
        <w:t>dersökning visar också att en större andel kvinnor än män inte är nöjda med jämställdheten i det norska samhället. Bland norska kvinnor var 70 pr</w:t>
      </w:r>
      <w:r w:rsidRPr="00F5723F">
        <w:t>o</w:t>
      </w:r>
      <w:r w:rsidRPr="00F5723F">
        <w:t>cent inte nöjda, samtidigt som en större andel av norska män är nöjda. Elitu</w:t>
      </w:r>
      <w:r w:rsidRPr="00F5723F">
        <w:t>n</w:t>
      </w:r>
      <w:r w:rsidRPr="00F5723F">
        <w:t>de</w:t>
      </w:r>
      <w:r w:rsidRPr="00F5723F">
        <w:t>r</w:t>
      </w:r>
      <w:r w:rsidRPr="00F5723F">
        <w:t>sökningen visade på en liknande skillnad mellan kvinnor och män i synen på jämställdhet.</w:t>
      </w:r>
    </w:p>
    <w:p w:rsidR="00B43C57" w:rsidRPr="00F5723F" w:rsidRDefault="00B43C57">
      <w:pPr>
        <w:pStyle w:val="Normaltindrag"/>
      </w:pPr>
      <w:r w:rsidRPr="00F5723F">
        <w:rPr>
          <w:i/>
        </w:rPr>
        <w:t>Könsmagt under förändring</w:t>
      </w:r>
      <w:r w:rsidRPr="00F5723F">
        <w:t xml:space="preserve"> är den danska maktutredningens analys av könsmakt i Danmark.</w:t>
      </w:r>
      <w:r w:rsidRPr="00F5723F">
        <w:rPr>
          <w:rStyle w:val="Fotnotsreferens"/>
          <w:rFonts w:ascii="Garamond" w:hAnsi="Garamond"/>
        </w:rPr>
        <w:footnoteReference w:id="316"/>
      </w:r>
      <w:r w:rsidRPr="00F5723F">
        <w:t xml:space="preserve"> I boken ger forskare sin syn på förändringar i kön och makt och vilka faktorer och aktörer som varit avgörande inom olika omr</w:t>
      </w:r>
      <w:r w:rsidRPr="00F5723F">
        <w:t>å</w:t>
      </w:r>
      <w:r w:rsidRPr="00F5723F">
        <w:t>den i det danska samhället. Drude Dahlerup menar att både i Danmark och i Sv</w:t>
      </w:r>
      <w:r w:rsidRPr="00F5723F">
        <w:t>e</w:t>
      </w:r>
      <w:r w:rsidRPr="00F5723F">
        <w:t>rige är ”ligestilling” eller ”jämställdhet” en allmänt accepterad målsättning och regeringspolitik.</w:t>
      </w:r>
      <w:r w:rsidRPr="00F5723F">
        <w:rPr>
          <w:rStyle w:val="Fotnotsreferens"/>
          <w:rFonts w:ascii="Garamond" w:hAnsi="Garamond"/>
        </w:rPr>
        <w:footnoteReference w:id="317"/>
      </w:r>
      <w:r w:rsidRPr="00F5723F">
        <w:t xml:space="preserve"> Trots det skiljer sig debatterna om jämställdhet åt i de två grannländerna. Medan flera svenska partier talar om ”könsmaktssystem” ”diskriminering” och ”kvinnoförtryck” har denna terminologi blivit alltmer ovanlig under 1990-talet i Danmark. I den svenska politiken har jämställdhet blivit politiserad, bland annat genom att alltfler partier konkurrerar om att framstå som ”feministiska”, något som för stunden är otänkbart i Danmark. Dahlerups text handlar inte om hur man uppnår jämställdhet, utan hur jä</w:t>
      </w:r>
      <w:r w:rsidRPr="00F5723F">
        <w:t>m</w:t>
      </w:r>
      <w:r w:rsidRPr="00F5723F">
        <w:t>stäl</w:t>
      </w:r>
      <w:r w:rsidRPr="00F5723F">
        <w:t>ldhet uppfattas och diskuteras. Poängen är att de allmänna problemförst</w:t>
      </w:r>
      <w:r w:rsidRPr="00F5723F">
        <w:t>å</w:t>
      </w:r>
      <w:r w:rsidRPr="00F5723F">
        <w:t>elserna utgör en del av maktstrukturen, i det att det sätter ramar för handling</w:t>
      </w:r>
      <w:r w:rsidRPr="00F5723F">
        <w:t>s</w:t>
      </w:r>
      <w:r w:rsidRPr="00F5723F">
        <w:t>alternativen – också för politikerna. Debatten om jämställdhet får således konsekvenser för den faktiskt förda politiken. I Sverige diskuteras jämställ</w:t>
      </w:r>
      <w:r w:rsidRPr="00F5723F">
        <w:t>d</w:t>
      </w:r>
      <w:r w:rsidRPr="00F5723F">
        <w:t>het primärt utifrån premissen att det är långt kvar tills jä</w:t>
      </w:r>
      <w:r w:rsidRPr="00F5723F">
        <w:t>m</w:t>
      </w:r>
      <w:r w:rsidRPr="00F5723F">
        <w:t>ställdhet mellan könen har uppnåtts och att partier till vänster och i mitten delar förståelsen att det existerar ett orättfärdigt könsmaktssystem.</w:t>
      </w:r>
      <w:r w:rsidRPr="00F5723F">
        <w:t xml:space="preserve"> Debatten i Danmark är bety</w:t>
      </w:r>
      <w:r w:rsidRPr="00F5723F">
        <w:t>d</w:t>
      </w:r>
      <w:r w:rsidRPr="00F5723F">
        <w:t>ligt mer ambivalent och tvetydig, menar Dahlerup, och de flesta danska part</w:t>
      </w:r>
      <w:r w:rsidRPr="00F5723F">
        <w:t>i</w:t>
      </w:r>
      <w:r w:rsidRPr="00F5723F">
        <w:t>er prioriterar jämställdhetsfrågor endast i begränsad omfattning.</w:t>
      </w:r>
      <w:r w:rsidRPr="00F5723F">
        <w:rPr>
          <w:rStyle w:val="Fotnotsreferens"/>
          <w:rFonts w:ascii="Garamond" w:hAnsi="Garamond"/>
        </w:rPr>
        <w:footnoteReference w:id="318"/>
      </w:r>
      <w:r w:rsidRPr="00F5723F">
        <w:t xml:space="preserve"> </w:t>
      </w:r>
    </w:p>
    <w:p w:rsidR="00B43C57" w:rsidRPr="00F5723F" w:rsidRDefault="00B43C57">
      <w:pPr>
        <w:pStyle w:val="Normaltindrag"/>
      </w:pPr>
      <w:r w:rsidRPr="00F5723F">
        <w:t>Forskningsprojektet ”Nordic Gender Equality between Rhetoric and Pra</w:t>
      </w:r>
      <w:r w:rsidRPr="00F5723F">
        <w:t>c</w:t>
      </w:r>
      <w:r w:rsidRPr="00F5723F">
        <w:t>tice: Studies of changes in private and public conceptions of modern gender equality politics” vid Umeå universitet studerar jämställdhetsdiskurser i No</w:t>
      </w:r>
      <w:r w:rsidRPr="00F5723F">
        <w:t>r</w:t>
      </w:r>
      <w:r w:rsidRPr="00F5723F">
        <w:t>den. Psykologen Eva Magnusson har i detta projekt analyserat svenska rik</w:t>
      </w:r>
      <w:r w:rsidRPr="00F5723F">
        <w:t>s</w:t>
      </w:r>
      <w:r w:rsidRPr="00F5723F">
        <w:t>dagsmotioner och propositioner om jämställdhet.</w:t>
      </w:r>
      <w:r w:rsidRPr="00F5723F">
        <w:rPr>
          <w:rStyle w:val="Fotnotsreferens"/>
          <w:rFonts w:ascii="Garamond" w:hAnsi="Garamond"/>
        </w:rPr>
        <w:footnoteReference w:id="319"/>
      </w:r>
      <w:r w:rsidRPr="00F5723F">
        <w:t xml:space="preserve"> Studien visar att det för</w:t>
      </w:r>
      <w:r w:rsidRPr="00F5723F">
        <w:t>e</w:t>
      </w:r>
      <w:r w:rsidRPr="00F5723F">
        <w:t>kommer flera kategorier av jämställdhet, till exempel enhetlighet, individu</w:t>
      </w:r>
      <w:r w:rsidRPr="00F5723F">
        <w:t>a</w:t>
      </w:r>
      <w:r w:rsidRPr="00F5723F">
        <w:t>lism, män och jämställdhet. Varje kategori innehåller i sin tur flera olika versioner. När det gäller enhetlighet, för det första, kopplar nästan alla partier jämställdhet till rättigheter och att det råder konsensus om värdet av jä</w:t>
      </w:r>
      <w:r w:rsidRPr="00F5723F">
        <w:t>m</w:t>
      </w:r>
      <w:r w:rsidRPr="00F5723F">
        <w:t>ställdhet. Dessa versioner fyller en proklamatorisk snarare än en argumentativ roll, menar Ma</w:t>
      </w:r>
      <w:r w:rsidRPr="00F5723F">
        <w:t>g</w:t>
      </w:r>
      <w:r w:rsidRPr="00F5723F">
        <w:t>nusson. De visar att debattören/partiet är en av ”de goda” men säger lite om prakt</w:t>
      </w:r>
      <w:r w:rsidRPr="00F5723F">
        <w:t>iska implikationer. När det gäller individualism, för det andra, kopplas jämställdhet i flera texter till den enskilde individen snarare än till politiska institutioner. Genom att koppla jämställdhet till ett enskilt, ind</w:t>
      </w:r>
      <w:r w:rsidRPr="00F5723F">
        <w:t>i</w:t>
      </w:r>
      <w:r w:rsidRPr="00F5723F">
        <w:t>viduellt förhållningssätt eller till en fråga om attityder och generationsskilln</w:t>
      </w:r>
      <w:r w:rsidRPr="00F5723F">
        <w:t>a</w:t>
      </w:r>
      <w:r w:rsidRPr="00F5723F">
        <w:t>der fly</w:t>
      </w:r>
      <w:r w:rsidRPr="00F5723F">
        <w:t>t</w:t>
      </w:r>
      <w:r w:rsidRPr="00F5723F">
        <w:t>tas ansvaret för jämställdhet utom räckhåll för politiken. När det gäller jämställdhet och män, för det tredje, menar Magnusson att flera partier arg</w:t>
      </w:r>
      <w:r w:rsidRPr="00F5723F">
        <w:t>u</w:t>
      </w:r>
      <w:r w:rsidRPr="00F5723F">
        <w:t>me</w:t>
      </w:r>
      <w:r w:rsidRPr="00F5723F">
        <w:t>n</w:t>
      </w:r>
      <w:r w:rsidRPr="00F5723F">
        <w:t>terar för att också män kommer att tjäna på en ö</w:t>
      </w:r>
      <w:r w:rsidRPr="00F5723F">
        <w:t>kad jämställdhet. I vissa texter framhålls även värdet av ”en ny man” som hjälper kvinnor till ökad jä</w:t>
      </w:r>
      <w:r w:rsidRPr="00F5723F">
        <w:t>m</w:t>
      </w:r>
      <w:r w:rsidRPr="00F5723F">
        <w:t>ställdhet. Magnusson menar att även om texterna handlar om att förbättra kvinnors villkor är det snarare män än kvinnor som fokuseras. Genom att analysera riksdagspartiernas retorik om jämställdhet kan underliggande ant</w:t>
      </w:r>
      <w:r w:rsidRPr="00F5723F">
        <w:t>a</w:t>
      </w:r>
      <w:r w:rsidRPr="00F5723F">
        <w:t>ganden utkristalliseras, till exempel att det råder en enhetlighet om värdet av jämställdhet men att det råder en heterogenitet när det gäller versioner av jämställdhet. Dessa kan i sin tur</w:t>
      </w:r>
      <w:r w:rsidRPr="00F5723F">
        <w:t xml:space="preserve"> bidra till att upprätthålla traditionella partip</w:t>
      </w:r>
      <w:r w:rsidRPr="00F5723F">
        <w:t>o</w:t>
      </w:r>
      <w:r w:rsidRPr="00F5723F">
        <w:t>litiska hållningar snarare än att öppna upp för ny debatt, menar Magnu</w:t>
      </w:r>
      <w:r w:rsidRPr="00F5723F">
        <w:t>s</w:t>
      </w:r>
      <w:r w:rsidRPr="00F5723F">
        <w:t>son.</w:t>
      </w:r>
      <w:r w:rsidRPr="00F5723F">
        <w:rPr>
          <w:rStyle w:val="Fotnotsreferens"/>
          <w:rFonts w:ascii="Garamond" w:hAnsi="Garamond"/>
        </w:rPr>
        <w:footnoteReference w:id="320"/>
      </w:r>
      <w:r w:rsidRPr="00F5723F">
        <w:t xml:space="preserve"> </w:t>
      </w:r>
    </w:p>
    <w:p w:rsidR="00B43C57" w:rsidRPr="00F5723F" w:rsidRDefault="00B43C57">
      <w:pPr>
        <w:pStyle w:val="Normaltindrag"/>
      </w:pPr>
      <w:r w:rsidRPr="00F5723F">
        <w:t xml:space="preserve">När det gäller arbetet med att skapa ett jämställt regelverk har </w:t>
      </w:r>
      <w:r w:rsidRPr="00F5723F">
        <w:rPr>
          <w:i/>
        </w:rPr>
        <w:t>mainstre</w:t>
      </w:r>
      <w:r w:rsidRPr="00F5723F">
        <w:rPr>
          <w:i/>
        </w:rPr>
        <w:t>a</w:t>
      </w:r>
      <w:r w:rsidRPr="00F5723F">
        <w:rPr>
          <w:i/>
        </w:rPr>
        <w:t>ming</w:t>
      </w:r>
      <w:r w:rsidRPr="00F5723F">
        <w:t xml:space="preserve"> utvecklats. Mainstreaming – eller jämställdhetsintegrering som det också kallas för – är ett konkret sätt att arbeta med jämställdhetsfrågor och innebär att jämställdhetsfrågor skall behandlas inom ordinarie beslutsfa</w:t>
      </w:r>
      <w:r w:rsidRPr="00F5723F">
        <w:t>t</w:t>
      </w:r>
      <w:r w:rsidRPr="00F5723F">
        <w:t>tande organ i en organisation/institution samt att jämställdhet skall integr</w:t>
      </w:r>
      <w:r w:rsidRPr="00F5723F">
        <w:t>e</w:t>
      </w:r>
      <w:r w:rsidRPr="00F5723F">
        <w:t>ras och göras till en självklar del av organisationens/institutionens verksamhet. Ge</w:t>
      </w:r>
      <w:r w:rsidRPr="00F5723F">
        <w:t>r</w:t>
      </w:r>
      <w:r w:rsidRPr="00F5723F">
        <w:t>trud Åström har utvecklat 3R-metoden, vilken i korthet innebär att en organ</w:t>
      </w:r>
      <w:r w:rsidRPr="00F5723F">
        <w:t>i</w:t>
      </w:r>
      <w:r w:rsidRPr="00F5723F">
        <w:t>sation/institution kan kartlägga graden av</w:t>
      </w:r>
      <w:r w:rsidRPr="00F5723F">
        <w:t xml:space="preserve"> jämställ</w:t>
      </w:r>
      <w:r w:rsidRPr="00F5723F">
        <w:t>d</w:t>
      </w:r>
      <w:r w:rsidRPr="00F5723F">
        <w:t>het/ojämställdhet genom att undersöka representation (det vill säga hur ser kön</w:t>
      </w:r>
      <w:r w:rsidRPr="00F5723F">
        <w:t>s</w:t>
      </w:r>
      <w:r w:rsidRPr="00F5723F">
        <w:t>fördelningen på alla nivåer, olika avdelningar, etc.), resurser (det vill säga hur fördelas resurserna i termer av tid, pen</w:t>
      </w:r>
      <w:r w:rsidRPr="00F5723F">
        <w:t>g</w:t>
      </w:r>
      <w:r w:rsidRPr="00F5723F">
        <w:t>ar och utrymme), samt realia (det vill säga vilka behov, önskningar och intressen tillgodoses, vems villkor har påverkat u</w:t>
      </w:r>
      <w:r w:rsidRPr="00F5723F">
        <w:t>t</w:t>
      </w:r>
      <w:r w:rsidRPr="00F5723F">
        <w:t>formningen, etc.).</w:t>
      </w:r>
    </w:p>
    <w:p w:rsidR="00B43C57" w:rsidRPr="00F5723F" w:rsidRDefault="00B43C57">
      <w:pPr>
        <w:pStyle w:val="Normaltindrag"/>
      </w:pPr>
      <w:r w:rsidRPr="00F5723F">
        <w:t>De danska forskarna Sine Lehn, Mette Lycke Nielsen och Karen Sjörup har med hjälp av diskursanalytisk optik analyserat vilka paradoxer, styrkor och svaghete</w:t>
      </w:r>
      <w:r w:rsidRPr="00F5723F">
        <w:t>r som finns inbyggda i strategin om mainstreaming och därmed vilka barriärer som finns för att strategin skall kunna utföras i prakt</w:t>
      </w:r>
      <w:r w:rsidRPr="00F5723F">
        <w:t>i</w:t>
      </w:r>
      <w:r w:rsidRPr="00F5723F">
        <w:t>ken.</w:t>
      </w:r>
      <w:r w:rsidRPr="00F5723F">
        <w:rPr>
          <w:rStyle w:val="Fotnotsreferens"/>
          <w:rFonts w:ascii="Garamond" w:hAnsi="Garamond"/>
        </w:rPr>
        <w:footnoteReference w:id="321"/>
      </w:r>
      <w:r w:rsidRPr="00F5723F">
        <w:t xml:space="preserve"> En svaghet i strategin är att den är avhängig professionella eldsjälar, som skall överblicka flera politikområden samtidigt och koordinera projekt på flera olika nivåer. Det kräver att dessa eldsjälar har en sådan kompetens och up</w:t>
      </w:r>
      <w:r w:rsidRPr="00F5723F">
        <w:t>p</w:t>
      </w:r>
      <w:r w:rsidRPr="00F5723F">
        <w:t>backning att strategin får legitimitet både uppifrån och nerifrån. En styrka i strategin är därmed också det omvända, det vill säga att olikheter som kan förefalla vara självklara och naturliga kan komma i blickfånget och därmed problematiseras. Forskarna menar att strategin på p</w:t>
      </w:r>
      <w:r w:rsidRPr="00F5723F">
        <w:t>rogramnivå har varit fra</w:t>
      </w:r>
      <w:r w:rsidRPr="00F5723F">
        <w:t>m</w:t>
      </w:r>
      <w:r w:rsidRPr="00F5723F">
        <w:t>gångsrik i och med att den blivit inskriven i statliga och överstatl</w:t>
      </w:r>
      <w:r w:rsidRPr="00F5723F">
        <w:t>i</w:t>
      </w:r>
      <w:r w:rsidRPr="00F5723F">
        <w:t>ga program inom loppet av förhållandevis få år. Det finns emellertid ett gap mellan amb</w:t>
      </w:r>
      <w:r w:rsidRPr="00F5723F">
        <w:t>i</w:t>
      </w:r>
      <w:r w:rsidRPr="00F5723F">
        <w:t>tionen bakom mainstreaming och det politiska erkännandet av nödvändigh</w:t>
      </w:r>
      <w:r w:rsidRPr="00F5723F">
        <w:t>e</w:t>
      </w:r>
      <w:r w:rsidRPr="00F5723F">
        <w:t>ten av denna insats, menar forskarna.</w:t>
      </w:r>
      <w:r w:rsidRPr="00F5723F">
        <w:t xml:space="preserve"> </w:t>
      </w:r>
    </w:p>
    <w:p w:rsidR="00B43C57" w:rsidRPr="00F5723F" w:rsidRDefault="00B43C57">
      <w:pPr>
        <w:pStyle w:val="Normaltindrag"/>
      </w:pPr>
      <w:r w:rsidRPr="00F5723F">
        <w:t>Katharina Tollins avhandlingsprojekt analyserar den svenska statliga di</w:t>
      </w:r>
      <w:r w:rsidRPr="00F5723F">
        <w:t>s</w:t>
      </w:r>
      <w:r w:rsidRPr="00F5723F">
        <w:t>kursen om jämställdhetspolitik i o</w:t>
      </w:r>
      <w:r w:rsidRPr="00F5723F">
        <w:t>ffentligt tryck under åren 1972–</w:t>
      </w:r>
      <w:r w:rsidRPr="00F5723F">
        <w:t>2002. U</w:t>
      </w:r>
      <w:r w:rsidRPr="00F5723F">
        <w:t>n</w:t>
      </w:r>
      <w:r w:rsidRPr="00F5723F">
        <w:t>dersökningen behandlar frågan om varför och hur det uppstått en enighet om jämställdhet som ett önskvärt politiskt mål</w:t>
      </w:r>
      <w:r w:rsidRPr="00F5723F">
        <w:t xml:space="preserve"> i Sverige, vad som anses vara ”jämställdhetsfrågor”</w:t>
      </w:r>
      <w:r w:rsidRPr="00F5723F">
        <w:t xml:space="preserve"> och hur synen på jämställdhet förändrats över tid. Jä</w:t>
      </w:r>
      <w:r w:rsidRPr="00F5723F">
        <w:t>m</w:t>
      </w:r>
      <w:r w:rsidRPr="00F5723F">
        <w:t>ställdhetspolitikens innebörder och förändring ställs i ljuset av flera p</w:t>
      </w:r>
      <w:r w:rsidRPr="00F5723F">
        <w:t xml:space="preserve">arallella samhällsförändringar. </w:t>
      </w:r>
      <w:r w:rsidRPr="00F5723F">
        <w:t>Tollin menar att utvecklingen av jämställ</w:t>
      </w:r>
      <w:r w:rsidRPr="00F5723F">
        <w:t>d</w:t>
      </w:r>
      <w:r w:rsidRPr="00F5723F">
        <w:t>hetspolitiken känn</w:t>
      </w:r>
      <w:r w:rsidRPr="00F5723F">
        <w:t>e</w:t>
      </w:r>
      <w:r w:rsidRPr="00F5723F">
        <w:t xml:space="preserve">tecknas av ökande prioritering och expansion. </w:t>
      </w:r>
      <w:r w:rsidRPr="00F5723F">
        <w:t xml:space="preserve">Samtidigt pekar hon på att den allmänna politiska acceptansen av jämställdhetsmålet (paradoxalt nog) </w:t>
      </w:r>
      <w:r w:rsidRPr="00F5723F">
        <w:rPr>
          <w:i/>
          <w:iCs/>
        </w:rPr>
        <w:t>möjliggörs av och samverkar med</w:t>
      </w:r>
      <w:r w:rsidRPr="00F5723F">
        <w:t xml:space="preserve"> en försvagning av ett allmänt jämlikhet</w:t>
      </w:r>
      <w:r w:rsidRPr="00F5723F">
        <w:t>s</w:t>
      </w:r>
      <w:r w:rsidRPr="00F5723F">
        <w:t>perspektiv (klass), en förstärkt heteronormativitet, en krympande polit</w:t>
      </w:r>
      <w:r w:rsidRPr="00F5723F">
        <w:t>isk sfär och en omorganisering</w:t>
      </w:r>
      <w:r w:rsidRPr="00F5723F">
        <w:t xml:space="preserve"> av offentlig sektor i linje med managementfilosofins övergripande liberala värd</w:t>
      </w:r>
      <w:r w:rsidRPr="00F5723F">
        <w:t>e</w:t>
      </w:r>
      <w:r w:rsidRPr="00F5723F">
        <w:t>ringar.</w:t>
      </w:r>
    </w:p>
    <w:p w:rsidR="00B43C57" w:rsidRPr="00F5723F" w:rsidRDefault="00B43C57">
      <w:pPr>
        <w:pStyle w:val="Normaltindrag"/>
      </w:pPr>
      <w:r w:rsidRPr="00F5723F">
        <w:t>Avslutningsvis bör nämnas att den svenska regeringen i ett regeringssa</w:t>
      </w:r>
      <w:r w:rsidRPr="00F5723F">
        <w:t>m</w:t>
      </w:r>
      <w:r w:rsidRPr="00F5723F">
        <w:t>manträde den 19 februari 2004 beslutat göra en översyn av jämställdhetspol</w:t>
      </w:r>
      <w:r w:rsidRPr="00F5723F">
        <w:t>i</w:t>
      </w:r>
      <w:r w:rsidRPr="00F5723F">
        <w:t>tikens mål, inriktning, organisation och effektivitet (dir. 2004:18). Till utred</w:t>
      </w:r>
      <w:r w:rsidRPr="00F5723F">
        <w:t>a</w:t>
      </w:r>
      <w:r w:rsidRPr="00F5723F">
        <w:t>re har Gertrud Åström utsetts. Utredaren skall bland annat överväga vilka mål som bör gälla för den framtida jämställdhetspolitiken, analysera hur den n</w:t>
      </w:r>
      <w:r w:rsidRPr="00F5723F">
        <w:t>u</w:t>
      </w:r>
      <w:r w:rsidRPr="00F5723F">
        <w:t>varande organisationen för jämställdhetspolitiken fungerar och lämna förslag till hur den skall kunna förbättras och effektiviseras.</w:t>
      </w:r>
    </w:p>
    <w:p w:rsidR="00B43C57" w:rsidRPr="00F5723F" w:rsidRDefault="00B43C57">
      <w:pPr>
        <w:pStyle w:val="Rubrik2"/>
      </w:pPr>
      <w:bookmarkStart w:id="365" w:name="_Toc121739011"/>
      <w:bookmarkStart w:id="366" w:name="_Toc124697923"/>
      <w:r w:rsidRPr="00F5723F">
        <w:t>Olika förståelser av könsmönster och kvinnors villkor i politiken</w:t>
      </w:r>
      <w:bookmarkEnd w:id="365"/>
      <w:bookmarkEnd w:id="366"/>
    </w:p>
    <w:p w:rsidR="00B43C57" w:rsidRPr="00F5723F" w:rsidRDefault="00B43C57">
      <w:r w:rsidRPr="00F5723F">
        <w:t>En kritik som ofta framkommer i forskningen är det problematiska förhålla</w:t>
      </w:r>
      <w:r w:rsidRPr="00F5723F">
        <w:t>n</w:t>
      </w:r>
      <w:r w:rsidRPr="00F5723F">
        <w:t>det mellan numerisk könsbalans i riksdagen och reell jämställdhet. Uppde</w:t>
      </w:r>
      <w:r w:rsidRPr="00F5723F">
        <w:t>l</w:t>
      </w:r>
      <w:r w:rsidRPr="00F5723F">
        <w:t>ningen i politikområden mellan kvinnor och män – till exempel könsmönstret avs</w:t>
      </w:r>
      <w:r w:rsidRPr="00F5723F">
        <w:t>e</w:t>
      </w:r>
      <w:r w:rsidRPr="00F5723F">
        <w:t>ende utskottsplaceringen i riksdagen – har både tagits som intäkt för att kvinnor marginaliserats i politiken och för att kvinnors integration i den et</w:t>
      </w:r>
      <w:r w:rsidRPr="00F5723F">
        <w:t>a</w:t>
      </w:r>
      <w:r w:rsidRPr="00F5723F">
        <w:t xml:space="preserve">blerade politiken bidrar till att främja omsorgsarbetet i samhället. Harriet Holter har till exempel framfört hypotesen om krympande institutioner, s.k. </w:t>
      </w:r>
      <w:r w:rsidRPr="00F5723F">
        <w:rPr>
          <w:i/>
        </w:rPr>
        <w:t>theory on shrinking institutions</w:t>
      </w:r>
      <w:r w:rsidRPr="00F5723F">
        <w:t>, enligt vilken det fi</w:t>
      </w:r>
      <w:r w:rsidRPr="00F5723F">
        <w:t>nns ett samband mellan kvinnors integration i beslutsfattande församlingar och frånvaro av makt.</w:t>
      </w:r>
      <w:r w:rsidRPr="00F5723F">
        <w:rPr>
          <w:rStyle w:val="Fotnotsreferens"/>
          <w:rFonts w:ascii="Garamond" w:hAnsi="Garamond"/>
        </w:rPr>
        <w:footnoteReference w:id="322"/>
      </w:r>
      <w:r w:rsidRPr="00F5723F">
        <w:t xml:space="preserve"> S</w:t>
      </w:r>
      <w:r w:rsidRPr="00F5723F">
        <w:t>amtidigt som parlamenten förlorar i infly</w:t>
      </w:r>
      <w:r w:rsidRPr="00F5723F">
        <w:t>tande</w:t>
      </w:r>
      <w:r w:rsidRPr="00F5723F">
        <w:t xml:space="preserve"> ökar andelen kvinnor</w:t>
      </w:r>
      <w:r w:rsidRPr="00F5723F">
        <w:t>.</w:t>
      </w:r>
      <w:r w:rsidRPr="00F5723F">
        <w:t xml:space="preserve"> </w:t>
      </w:r>
      <w:r w:rsidRPr="00F5723F">
        <w:t>Eller: Där kvi</w:t>
      </w:r>
      <w:r w:rsidRPr="00F5723F">
        <w:t>n</w:t>
      </w:r>
      <w:r w:rsidRPr="00F5723F">
        <w:t xml:space="preserve">nor går in, går makten ut. Andra menar i enlighet med teorin om </w:t>
      </w:r>
      <w:r w:rsidRPr="00F5723F">
        <w:rPr>
          <w:i/>
        </w:rPr>
        <w:t>critical mass</w:t>
      </w:r>
      <w:r w:rsidRPr="00F5723F">
        <w:t>, att i takt med att kvinnors andel i beslutsfattande församlingar ökar kommer också förutsättningarna för kritiska handlingar att öka.</w:t>
      </w:r>
      <w:r w:rsidRPr="00F5723F">
        <w:rPr>
          <w:rStyle w:val="Fotnotsreferens"/>
          <w:rFonts w:ascii="Garamond" w:hAnsi="Garamond"/>
        </w:rPr>
        <w:footnoteReference w:id="323"/>
      </w:r>
      <w:r w:rsidRPr="00F5723F">
        <w:t xml:space="preserve"> En annan kritik som framförts är att kvinnor, även om de blir alltfler i politiken, fortfarande inte når de mest inflytelserika posterna och därför inte har möjli</w:t>
      </w:r>
      <w:r w:rsidRPr="00F5723F">
        <w:t>g</w:t>
      </w:r>
      <w:r w:rsidRPr="00F5723F">
        <w:t>het att påverka det politiska arbetet i samma utsträckning som män. Det finns således en spänning i synen på förändring och kontinu</w:t>
      </w:r>
      <w:r w:rsidRPr="00F5723F">
        <w:t>i</w:t>
      </w:r>
      <w:r w:rsidRPr="00F5723F">
        <w:t>tet.</w:t>
      </w:r>
    </w:p>
    <w:p w:rsidR="00B43C57" w:rsidRPr="00F5723F" w:rsidRDefault="00B43C57">
      <w:pPr>
        <w:pStyle w:val="Normaltindrag"/>
      </w:pPr>
      <w:r w:rsidRPr="00F5723F">
        <w:t xml:space="preserve">I samlingsvolymen </w:t>
      </w:r>
      <w:r w:rsidRPr="00F5723F">
        <w:rPr>
          <w:i/>
        </w:rPr>
        <w:t>Det uferdige demokratiet,</w:t>
      </w:r>
      <w:r w:rsidRPr="00F5723F">
        <w:t xml:space="preserve"> där ett flertal nordiska for</w:t>
      </w:r>
      <w:r w:rsidRPr="00F5723F">
        <w:t>s</w:t>
      </w:r>
      <w:r w:rsidRPr="00F5723F">
        <w:t>kare medverkade, intogs en ambivalent hållning, där de å ena sidan menade att kvinnor och män gör olika val</w:t>
      </w:r>
      <w:r w:rsidRPr="00F5723F">
        <w:t xml:space="preserve"> </w:t>
      </w:r>
      <w:r w:rsidRPr="00F5723F">
        <w:t>och, å andra sidan, att mönstret uppstår för att kvinnor inte släpps in på vissa områden.</w:t>
      </w:r>
      <w:r w:rsidRPr="00F5723F">
        <w:rPr>
          <w:rStyle w:val="Fotnotsreferens"/>
          <w:rFonts w:ascii="Garamond" w:hAnsi="Garamond"/>
        </w:rPr>
        <w:footnoteReference w:id="324"/>
      </w:r>
      <w:r w:rsidRPr="00F5723F">
        <w:t>Vissa forskare menar att det trots den höga kvinnorepresentationen finns en manlig norm i riksdagen som de kvinnliga ledamöterna måste anpassa sig till.</w:t>
      </w:r>
      <w:r w:rsidRPr="00F5723F">
        <w:rPr>
          <w:rStyle w:val="Fotnotsreferens"/>
          <w:rFonts w:ascii="Garamond" w:hAnsi="Garamond"/>
        </w:rPr>
        <w:footnoteReference w:id="325"/>
      </w:r>
      <w:r w:rsidRPr="00F5723F">
        <w:t xml:space="preserve"> </w:t>
      </w:r>
    </w:p>
    <w:p w:rsidR="00B43C57" w:rsidRPr="00F5723F" w:rsidRDefault="00B43C57">
      <w:pPr>
        <w:pStyle w:val="Normaltindrag"/>
      </w:pPr>
      <w:r w:rsidRPr="00F5723F">
        <w:t xml:space="preserve">I huvudrapporten till den svenska maktutredningen </w:t>
      </w:r>
      <w:r w:rsidRPr="00F5723F">
        <w:rPr>
          <w:i/>
        </w:rPr>
        <w:t>Demokrati och Makt i Sverige</w:t>
      </w:r>
      <w:r w:rsidRPr="00F5723F">
        <w:t xml:space="preserve"> diskuterar Yvonne Hirdman kvinnors och mäns villkor i dem</w:t>
      </w:r>
      <w:r w:rsidRPr="00F5723F">
        <w:t>o</w:t>
      </w:r>
      <w:r w:rsidRPr="00F5723F">
        <w:t>kratin. Enligt Hirdman utgör hierarkiseringen mellan könen en ”järnhård genu</w:t>
      </w:r>
      <w:r w:rsidRPr="00F5723F">
        <w:t>s</w:t>
      </w:r>
      <w:r w:rsidRPr="00F5723F">
        <w:t>lag” som till exempel har inneburit att lön och status sjunker när kvinnor integreras i tid</w:t>
      </w:r>
      <w:r w:rsidRPr="00F5723F">
        <w:t>i</w:t>
      </w:r>
      <w:r w:rsidRPr="00F5723F">
        <w:t>gare mansdominerade områden, medan män avancerar när de kommer in i kvinnodominerade områden. Enligt Hirdman är det manskollektivets genu</w:t>
      </w:r>
      <w:r w:rsidRPr="00F5723F">
        <w:t>s</w:t>
      </w:r>
      <w:r w:rsidRPr="00F5723F">
        <w:t>rationalitet att hålla kvinnor utanför.</w:t>
      </w:r>
      <w:r w:rsidRPr="00F5723F">
        <w:rPr>
          <w:rStyle w:val="Fotnotsreferens"/>
          <w:rFonts w:ascii="Garamond" w:hAnsi="Garamond"/>
        </w:rPr>
        <w:footnoteReference w:id="326"/>
      </w:r>
      <w:r w:rsidRPr="00F5723F">
        <w:t xml:space="preserve"> Anna Jónasdóttir menar att kvinnors deltagande i politiska organisationer endast accepteras så länge de inte u</w:t>
      </w:r>
      <w:r w:rsidRPr="00F5723F">
        <w:t>t</w:t>
      </w:r>
      <w:r w:rsidRPr="00F5723F">
        <w:t>trycker sig eller agerar utifrån ett könsperspektiv.</w:t>
      </w:r>
      <w:r w:rsidRPr="00F5723F">
        <w:rPr>
          <w:rStyle w:val="Fotnotsreferens"/>
          <w:rFonts w:ascii="Garamond" w:hAnsi="Garamond"/>
        </w:rPr>
        <w:footnoteReference w:id="327"/>
      </w:r>
      <w:r w:rsidRPr="00F5723F">
        <w:t xml:space="preserve"> Kvinnor måste bedriva politik på mä</w:t>
      </w:r>
      <w:r w:rsidRPr="00F5723F">
        <w:t>n</w:t>
      </w:r>
      <w:r w:rsidRPr="00F5723F">
        <w:t>nens villkor för att göra sig hörda, vilket innebär att kvinnor som driver s.k. kvinnofrågor får svårt att göra sig hörda. Maud Eduards anför att kvinnor som inte låter sig strömlinjeformas betecknas som obekväma och att ”kvinnliga politiker blir symbolen för de problem som kön skapar i polit</w:t>
      </w:r>
      <w:r w:rsidRPr="00F5723F">
        <w:t>i</w:t>
      </w:r>
      <w:r w:rsidRPr="00F5723F">
        <w:t>ken.”</w:t>
      </w:r>
      <w:r w:rsidRPr="00F5723F">
        <w:rPr>
          <w:rStyle w:val="Fotnotsreferens"/>
          <w:rFonts w:ascii="Garamond" w:hAnsi="Garamond"/>
        </w:rPr>
        <w:footnoteReference w:id="328"/>
      </w:r>
      <w:r w:rsidRPr="00F5723F">
        <w:t xml:space="preserve"> Eduards menar även att kvinnors organis</w:t>
      </w:r>
      <w:r w:rsidRPr="00F5723F">
        <w:t>e</w:t>
      </w:r>
      <w:r w:rsidRPr="00F5723F">
        <w:t>ring utanför den etablerade politiken kan ses som en reaktion på en fortsatt underordning av kvinnor och ojämlika förhålla</w:t>
      </w:r>
      <w:r w:rsidRPr="00F5723F">
        <w:t>n</w:t>
      </w:r>
      <w:r w:rsidRPr="00F5723F">
        <w:t>den mellan könen.</w:t>
      </w:r>
      <w:r w:rsidRPr="00F5723F">
        <w:rPr>
          <w:rStyle w:val="Fotnotsreferens"/>
          <w:rFonts w:ascii="Garamond" w:hAnsi="Garamond"/>
        </w:rPr>
        <w:footnoteReference w:id="329"/>
      </w:r>
    </w:p>
    <w:p w:rsidR="00B43C57" w:rsidRPr="00F5723F" w:rsidRDefault="00B43C57">
      <w:pPr>
        <w:pStyle w:val="Normaltindrag"/>
      </w:pPr>
      <w:r w:rsidRPr="00F5723F">
        <w:t>Andra forskare, som den norska statsvetaren Hege Skjeie, menar att up</w:t>
      </w:r>
      <w:r w:rsidRPr="00F5723F">
        <w:t>p</w:t>
      </w:r>
      <w:r w:rsidRPr="00F5723F">
        <w:t>delningen i politikområden mellan kvinnor och män inte lett till att kvinnor marginaliserats.</w:t>
      </w:r>
      <w:r w:rsidRPr="00F5723F">
        <w:rPr>
          <w:rStyle w:val="Fotnotsreferens"/>
          <w:rFonts w:ascii="Garamond" w:hAnsi="Garamond"/>
        </w:rPr>
        <w:footnoteReference w:id="330"/>
      </w:r>
      <w:r w:rsidRPr="00F5723F">
        <w:t xml:space="preserve"> Skjeie har undersökt betydelsen av kvinnors deltagande i norsk elitpolitik 1986–1989. Huvudfrågan var om bilden av kvinnors marg</w:t>
      </w:r>
      <w:r w:rsidRPr="00F5723F">
        <w:t>i</w:t>
      </w:r>
      <w:r w:rsidRPr="00F5723F">
        <w:t>nalisering i politiken fortfarande var giltig sedd i ljuset av den nya regeringen som kom till makten 1986 med Gro Harlem Brundtland i spetsen och vilka impl</w:t>
      </w:r>
      <w:r w:rsidRPr="00F5723F">
        <w:t>i</w:t>
      </w:r>
      <w:r w:rsidRPr="00F5723F">
        <w:t>kationer det fick för fastställandet av dagordningen att kvinnor deltog i elitpolitiken. En konklusion var att kön hade fått en ny politisk betydelse i No</w:t>
      </w:r>
      <w:r w:rsidRPr="00F5723F">
        <w:t>r</w:t>
      </w:r>
      <w:r w:rsidRPr="00F5723F">
        <w:t>ge, i det att synen på könen som olika, det vill säga skillnader mell</w:t>
      </w:r>
      <w:r w:rsidRPr="00F5723F">
        <w:t>an könen, legitimerade kvinnors ökade politiska deltagande och inte deras ma</w:t>
      </w:r>
      <w:r w:rsidRPr="00F5723F">
        <w:t>r</w:t>
      </w:r>
      <w:r w:rsidRPr="00F5723F">
        <w:t>ginalis</w:t>
      </w:r>
      <w:r w:rsidRPr="00F5723F">
        <w:t>e</w:t>
      </w:r>
      <w:r w:rsidRPr="00F5723F">
        <w:t>ring.</w:t>
      </w:r>
      <w:r w:rsidRPr="00F5723F">
        <w:rPr>
          <w:rStyle w:val="Fotnotsreferens"/>
          <w:rFonts w:ascii="Garamond" w:hAnsi="Garamond"/>
        </w:rPr>
        <w:footnoteReference w:id="331"/>
      </w:r>
      <w:r w:rsidRPr="00F5723F">
        <w:t xml:space="preserve"> Parallellt med den ökande andelen kvinnliga parlamentariker och statsråd hade kvinnors intressen befrämjats i politiken. Analysen visade till exempel att nya frågor hade tagits upp på dagordningen i den norska pol</w:t>
      </w:r>
      <w:r w:rsidRPr="00F5723F">
        <w:t>i</w:t>
      </w:r>
      <w:r w:rsidRPr="00F5723F">
        <w:t>tiken och att det i slutet av 1980-talet för första gången fanns en tvärpolitisk enighet mellan Arbeiderpartiet och en rad borgerliga partier om mål och medel i utbyggnaden av barnomsorgen och utvecklingen av föräldraledigh</w:t>
      </w:r>
      <w:r w:rsidRPr="00F5723F">
        <w:t>e</w:t>
      </w:r>
      <w:r w:rsidRPr="00F5723F">
        <w:t>ten. Genom att kvinnor delvis gjorde andra val än män, till exempel i upp</w:t>
      </w:r>
      <w:r w:rsidRPr="00F5723F">
        <w:t>de</w:t>
      </w:r>
      <w:r w:rsidRPr="00F5723F">
        <w:t>l</w:t>
      </w:r>
      <w:r w:rsidRPr="00F5723F">
        <w:t>ningen av politikområden, framstod också kvinnliga parlamentariker som bättre representanter för kvinnliga medborgares situation. Denna tolkning understöds bland annat av Christina Bergqvist, som menar att svenska kvi</w:t>
      </w:r>
      <w:r w:rsidRPr="00F5723F">
        <w:t>n</w:t>
      </w:r>
      <w:r w:rsidRPr="00F5723F">
        <w:t>nor fått del av den lagstiftande och utövande makten, varvid man inte kan tala om en reproduktion av hierarki och segregering när det gäller de politiska institutionerna.</w:t>
      </w:r>
      <w:r w:rsidRPr="00F5723F">
        <w:rPr>
          <w:rStyle w:val="Fotnotsreferens"/>
          <w:rFonts w:ascii="Garamond" w:hAnsi="Garamond"/>
        </w:rPr>
        <w:footnoteReference w:id="332"/>
      </w:r>
      <w:r w:rsidRPr="00F5723F">
        <w:t xml:space="preserve"> På motsvarande sätt har Harriet Holters hypotes om kry</w:t>
      </w:r>
      <w:r w:rsidRPr="00F5723F">
        <w:t>m</w:t>
      </w:r>
      <w:r w:rsidRPr="00F5723F">
        <w:t xml:space="preserve">pande institutioner </w:t>
      </w:r>
      <w:r w:rsidRPr="00F5723F">
        <w:t>blivit kriti</w:t>
      </w:r>
      <w:r w:rsidRPr="00F5723F">
        <w:t>serad av Christina Bergqvist</w:t>
      </w:r>
      <w:r w:rsidRPr="00F5723F">
        <w:t xml:space="preserve">, som finner det orimligt att </w:t>
      </w:r>
      <w:r w:rsidRPr="00F5723F">
        <w:t>en stor andel</w:t>
      </w:r>
      <w:r w:rsidRPr="00F5723F">
        <w:t xml:space="preserve"> av riksdagsledamöterna skulle vara marginaliser</w:t>
      </w:r>
      <w:r w:rsidRPr="00F5723F">
        <w:t>a</w:t>
      </w:r>
      <w:r w:rsidRPr="00F5723F">
        <w:t>de.</w:t>
      </w:r>
      <w:r w:rsidRPr="00F5723F">
        <w:rPr>
          <w:rStyle w:val="Fotnotsreferens"/>
          <w:rFonts w:ascii="Garamond" w:hAnsi="Garamond"/>
        </w:rPr>
        <w:footnoteReference w:id="333"/>
      </w:r>
      <w:r w:rsidRPr="00F5723F">
        <w:t xml:space="preserve"> </w:t>
      </w:r>
    </w:p>
    <w:p w:rsidR="00B43C57" w:rsidRPr="00F5723F" w:rsidRDefault="00B43C57">
      <w:pPr>
        <w:pStyle w:val="Normaltindrag"/>
      </w:pPr>
      <w:r w:rsidRPr="00F5723F">
        <w:t>De danska forskarna Anette Borchorst, Ann-Dorte Christe</w:t>
      </w:r>
      <w:r w:rsidRPr="00F5723F">
        <w:t>n</w:t>
      </w:r>
      <w:r w:rsidRPr="00F5723F">
        <w:t>sen och Birte Siim menar att den forskningsbaserade kunskapen i de skandinaviska lände</w:t>
      </w:r>
      <w:r w:rsidRPr="00F5723F">
        <w:t>r</w:t>
      </w:r>
      <w:r w:rsidRPr="00F5723F">
        <w:t>na präglas av olika diskurser om kön, makt och politik.</w:t>
      </w:r>
      <w:r w:rsidRPr="00F5723F">
        <w:rPr>
          <w:rStyle w:val="Fotnotsreferens"/>
          <w:rFonts w:ascii="Garamond" w:hAnsi="Garamond"/>
        </w:rPr>
        <w:footnoteReference w:id="334"/>
      </w:r>
      <w:r w:rsidRPr="00F5723F">
        <w:t xml:space="preserve"> I Sverige har den dominerande diskursen varit en diskurs om underordning och förtryck av kvi</w:t>
      </w:r>
      <w:r w:rsidRPr="00F5723F">
        <w:t>n</w:t>
      </w:r>
      <w:r w:rsidRPr="00F5723F">
        <w:t>nor, som primärt utvecklats av historikern Yvonne Hirdman i hennes bidrag till den svenska maktutredningen. I Norge har den dominerande di</w:t>
      </w:r>
      <w:r w:rsidRPr="00F5723F">
        <w:t>s</w:t>
      </w:r>
      <w:r w:rsidRPr="00F5723F">
        <w:t>kursen i stället varit en diskurs om skillnader mellan kvinnor och män, könens komplett</w:t>
      </w:r>
      <w:r w:rsidRPr="00F5723F">
        <w:t>e</w:t>
      </w:r>
      <w:r w:rsidRPr="00F5723F">
        <w:t>rande roller och betydelsen av dessa skillnader. I Danmark har inte den svenska underordningsdiskursen och dess betoning på kontinu</w:t>
      </w:r>
      <w:r w:rsidRPr="00F5723F">
        <w:t>i</w:t>
      </w:r>
      <w:r w:rsidRPr="00F5723F">
        <w:t>tet tagit fäste, inte heller den norska som betonat skillna</w:t>
      </w:r>
      <w:r w:rsidRPr="00F5723F">
        <w:t>der mellan könen. Snarare har dessa två diskurser knutits samman i en välfärdsstatsdiskurs och en mobilise</w:t>
      </w:r>
      <w:r w:rsidRPr="00F5723F">
        <w:t>r</w:t>
      </w:r>
      <w:r w:rsidRPr="00F5723F">
        <w:t>ingsdiskurs. Den förra diskursen har utmärkts av en syn på kvinnor som akt</w:t>
      </w:r>
      <w:r w:rsidRPr="00F5723F">
        <w:t>ö</w:t>
      </w:r>
      <w:r w:rsidRPr="00F5723F">
        <w:t>rer, som å ena sidan fått nya maktresurser och å andra sidan blivit underor</w:t>
      </w:r>
      <w:r w:rsidRPr="00F5723F">
        <w:t>d</w:t>
      </w:r>
      <w:r w:rsidRPr="00F5723F">
        <w:t>nade en ny typ av manlig makt i den offentliga sfären. Den senare har varit en diskurs om kvinnors politiska mobilisering och inkl</w:t>
      </w:r>
      <w:r w:rsidRPr="00F5723F">
        <w:t>u</w:t>
      </w:r>
      <w:r w:rsidRPr="00F5723F">
        <w:t>sion tätt förbunden med de sociala rörelsernas praxis. Sammantaget har den danska diskursen präglats av en betoning av både</w:t>
      </w:r>
      <w:r w:rsidRPr="00F5723F">
        <w:t xml:space="preserve"> kontinuitet och förändring av könsmakt och inte varit präglad av olika tolkningar av utvecklingen.</w:t>
      </w:r>
      <w:r w:rsidRPr="00F5723F">
        <w:rPr>
          <w:rStyle w:val="Fotnotsreferens"/>
          <w:rFonts w:ascii="Garamond" w:hAnsi="Garamond"/>
        </w:rPr>
        <w:footnoteReference w:id="335"/>
      </w:r>
      <w:r w:rsidRPr="00F5723F">
        <w:t xml:space="preserve"> I Danmark har även poststru</w:t>
      </w:r>
      <w:r w:rsidRPr="00F5723F">
        <w:t>k</w:t>
      </w:r>
      <w:r w:rsidRPr="00F5723F">
        <w:t>turalistiska paradigm slagit igenom inom genusforskningen.</w:t>
      </w:r>
      <w:r w:rsidRPr="00F5723F">
        <w:rPr>
          <w:rStyle w:val="Fotnotsreferens"/>
          <w:rFonts w:ascii="Garamond" w:hAnsi="Garamond"/>
        </w:rPr>
        <w:footnoteReference w:id="336"/>
      </w:r>
    </w:p>
    <w:p w:rsidR="00B43C57" w:rsidRPr="00F5723F" w:rsidRDefault="00B43C57">
      <w:pPr>
        <w:pStyle w:val="Normaltindrag"/>
      </w:pPr>
      <w:r w:rsidRPr="00F5723F">
        <w:t>Sammanfattningsvis kan det konstateras att inom den svenska statsvete</w:t>
      </w:r>
      <w:r w:rsidRPr="00F5723F">
        <w:t>n</w:t>
      </w:r>
      <w:r w:rsidRPr="00F5723F">
        <w:t>ska</w:t>
      </w:r>
      <w:r w:rsidRPr="00F5723F">
        <w:t>p</w:t>
      </w:r>
      <w:r w:rsidRPr="00F5723F">
        <w:t>liga forskningen finns en forskningsinriktning som tar upp kvinnors strukt</w:t>
      </w:r>
      <w:r w:rsidRPr="00F5723F">
        <w:t>u</w:t>
      </w:r>
      <w:r w:rsidRPr="00F5723F">
        <w:t>rella underordning i ett formellt jämlikt samhälle och en annan som riktar blickfånget mot kvinnor som aktörer och kvinnors förändrade livsvil</w:t>
      </w:r>
      <w:r w:rsidRPr="00F5723F">
        <w:t>l</w:t>
      </w:r>
      <w:r w:rsidRPr="00F5723F">
        <w:t>kor.</w:t>
      </w:r>
      <w:r w:rsidRPr="00F5723F">
        <w:rPr>
          <w:rStyle w:val="Fotnotsreferens"/>
          <w:rFonts w:ascii="Garamond" w:hAnsi="Garamond"/>
        </w:rPr>
        <w:footnoteReference w:id="337"/>
      </w:r>
      <w:r w:rsidRPr="00F5723F">
        <w:t xml:space="preserve"> Däremot finns det få studier som problematiserar </w:t>
      </w:r>
      <w:r w:rsidRPr="00F5723F">
        <w:rPr>
          <w:i/>
        </w:rPr>
        <w:t>både</w:t>
      </w:r>
      <w:r w:rsidRPr="00F5723F">
        <w:t xml:space="preserve"> frågan om ojämlika maktförhållanden och om kvinnors möjligheter till individuellt agerande. Dessa forskningsinriktningar representerar olika diskurser om kön, makt och politik. Båda har som utgångspunkt en syn på mäns makt och kvi</w:t>
      </w:r>
      <w:r w:rsidRPr="00F5723F">
        <w:t>n</w:t>
      </w:r>
      <w:r w:rsidRPr="00F5723F">
        <w:t>nors kollektiva exklusion, men medan den förra betonar en reprodu</w:t>
      </w:r>
      <w:r w:rsidRPr="00F5723F">
        <w:t>k</w:t>
      </w:r>
      <w:r w:rsidRPr="00F5723F">
        <w:t>tion av exklusion och ojämlika maktförhållanden betonar den senare kvinnors mo</w:t>
      </w:r>
      <w:r w:rsidRPr="00F5723F">
        <w:t>t</w:t>
      </w:r>
      <w:r w:rsidRPr="00F5723F">
        <w:t>makt och inklusion i samhällets alla institutioner.</w:t>
      </w:r>
      <w:r w:rsidRPr="00F5723F">
        <w:rPr>
          <w:rStyle w:val="Fotnotsreferens"/>
          <w:rFonts w:ascii="Garamond" w:hAnsi="Garamond"/>
        </w:rPr>
        <w:footnoteReference w:id="338"/>
      </w:r>
      <w:r w:rsidRPr="00F5723F">
        <w:t xml:space="preserve"> De bygger sål</w:t>
      </w:r>
      <w:r w:rsidRPr="00F5723F">
        <w:t>e</w:t>
      </w:r>
      <w:r w:rsidRPr="00F5723F">
        <w:t>des dels på olika syn avseende struktur och aktör, dels på olika syn avseende på kontinu</w:t>
      </w:r>
      <w:r w:rsidRPr="00F5723F">
        <w:t>i</w:t>
      </w:r>
      <w:r w:rsidRPr="00F5723F">
        <w:t>tet och förändring. Vissa forskare har menat att dualismen mellan dessa två forskningsinriktningar kan upplevas både som cement</w:t>
      </w:r>
      <w:r w:rsidRPr="00F5723F">
        <w:t>e</w:t>
      </w:r>
      <w:r w:rsidRPr="00F5723F">
        <w:t>rande och ofruktbar.</w:t>
      </w:r>
      <w:r w:rsidRPr="00F5723F">
        <w:rPr>
          <w:rStyle w:val="Fotnotsreferens"/>
          <w:rFonts w:ascii="Garamond" w:hAnsi="Garamond"/>
        </w:rPr>
        <w:footnoteReference w:id="339"/>
      </w:r>
      <w:r w:rsidRPr="00F5723F">
        <w:t xml:space="preserve"> Andra menar att meningsskiljaktigheterna bidrar till att föra forskningsfältet framåt och att fasthålla genus som ett centralt tema i nordisk forskning.</w:t>
      </w:r>
      <w:r w:rsidRPr="00F5723F">
        <w:rPr>
          <w:rStyle w:val="Fotnotsreferens"/>
          <w:rFonts w:ascii="Garamond" w:hAnsi="Garamond"/>
        </w:rPr>
        <w:footnoteReference w:id="340"/>
      </w:r>
      <w:r w:rsidRPr="00F5723F">
        <w:t xml:space="preserve"> </w:t>
      </w:r>
    </w:p>
    <w:p w:rsidR="00B43C57" w:rsidRPr="00F5723F" w:rsidRDefault="00B43C57">
      <w:pPr>
        <w:pStyle w:val="Normaltindrag"/>
      </w:pPr>
      <w:r w:rsidRPr="00F5723F">
        <w:t>Båda dessa forskningsinriktningar kompletteras emellertid i dag av pos</w:t>
      </w:r>
      <w:r w:rsidRPr="00F5723F">
        <w:t>t</w:t>
      </w:r>
      <w:r w:rsidRPr="00F5723F">
        <w:t>strukturalistiska och postmoderna forskningsparadigm som i ökad utsträc</w:t>
      </w:r>
      <w:r w:rsidRPr="00F5723F">
        <w:t>k</w:t>
      </w:r>
      <w:r w:rsidRPr="00F5723F">
        <w:t>ning slagit igenom inom genusvetenskapen. Den befintliga statsvetenska</w:t>
      </w:r>
      <w:r w:rsidRPr="00F5723F">
        <w:t>p</w:t>
      </w:r>
      <w:r w:rsidRPr="00F5723F">
        <w:t>liga forskningen om riksdagen ur ett genusperspektiv bedrivs emellertid till dags dato i mindre utsträckning inom detta vetenskapliga fält.</w:t>
      </w:r>
    </w:p>
    <w:p w:rsidR="00B43C57" w:rsidRPr="00F5723F" w:rsidRDefault="00B43C57">
      <w:pPr>
        <w:pStyle w:val="Rubrik2"/>
      </w:pPr>
      <w:bookmarkStart w:id="367" w:name="_Toc121739012"/>
      <w:bookmarkStart w:id="368" w:name="_Toc124697924"/>
      <w:r w:rsidRPr="00F5723F">
        <w:t>Sammanfattning</w:t>
      </w:r>
      <w:bookmarkEnd w:id="367"/>
      <w:bookmarkEnd w:id="368"/>
    </w:p>
    <w:p w:rsidR="00B43C57" w:rsidRPr="00F5723F" w:rsidRDefault="00B43C57">
      <w:r w:rsidRPr="00F5723F">
        <w:t>Den befintliga forskningen om riksdagen som institution ur ett genusperspe</w:t>
      </w:r>
      <w:r w:rsidRPr="00F5723F">
        <w:t>k</w:t>
      </w:r>
      <w:r w:rsidRPr="00F5723F">
        <w:t xml:space="preserve">tiv kan delas in i sex tematiska inriktningar, som i sin tur kan delas in i två grupper. En grupp består av studier som belyser vägen </w:t>
      </w:r>
      <w:r w:rsidRPr="00F5723F">
        <w:rPr>
          <w:i/>
        </w:rPr>
        <w:t>till</w:t>
      </w:r>
      <w:r w:rsidRPr="00F5723F">
        <w:t xml:space="preserve"> riksdagen, till exempel studier av rösträttsrörelsen och om kvinnors inom- och utomparl</w:t>
      </w:r>
      <w:r w:rsidRPr="00F5723F">
        <w:t>a</w:t>
      </w:r>
      <w:r w:rsidRPr="00F5723F">
        <w:t>mentariska organisering, undersökningar av rekryterings- och nominering</w:t>
      </w:r>
      <w:r w:rsidRPr="00F5723F">
        <w:t>s</w:t>
      </w:r>
      <w:r w:rsidRPr="00F5723F">
        <w:t>processer inför val, samt studier om politisk representation, där bland annat förklaringsfakt</w:t>
      </w:r>
      <w:r w:rsidRPr="00F5723F">
        <w:t>o</w:t>
      </w:r>
      <w:r w:rsidRPr="00F5723F">
        <w:t xml:space="preserve">rerna bakom representationsmönster i riksdagen analyseras. Den andra gruppen består av studier som belyser arbetet </w:t>
      </w:r>
      <w:r w:rsidRPr="00F5723F">
        <w:rPr>
          <w:i/>
        </w:rPr>
        <w:t>i</w:t>
      </w:r>
      <w:r w:rsidRPr="00F5723F">
        <w:t xml:space="preserve"> r</w:t>
      </w:r>
      <w:r w:rsidRPr="00F5723F">
        <w:t>iksdagen, till e</w:t>
      </w:r>
      <w:r w:rsidRPr="00F5723F">
        <w:t>x</w:t>
      </w:r>
      <w:r w:rsidRPr="00F5723F">
        <w:t>empel riksdagsledamöte</w:t>
      </w:r>
      <w:r w:rsidRPr="00F5723F">
        <w:t>r</w:t>
      </w:r>
      <w:r w:rsidRPr="00F5723F">
        <w:t>nas utskottsplacering, intressen och åsikter med avseende på bland annat politiko</w:t>
      </w:r>
      <w:r w:rsidRPr="00F5723F">
        <w:t>m</w:t>
      </w:r>
      <w:r w:rsidRPr="00F5723F">
        <w:t xml:space="preserve">råden och utskottsönskemål, villkor och arbetsmiljö i riksdagen, samt jämställdhet. Medan den första gruppen belyser kvinnors </w:t>
      </w:r>
      <w:r w:rsidRPr="00F5723F">
        <w:rPr>
          <w:i/>
        </w:rPr>
        <w:t>exklusion</w:t>
      </w:r>
      <w:r w:rsidRPr="00F5723F">
        <w:t xml:space="preserve"> från offentligt beslutsfattande församlingar och kampen för inträde, belyser den andra effekterna av kvinnors</w:t>
      </w:r>
      <w:r w:rsidRPr="00F5723F">
        <w:rPr>
          <w:i/>
        </w:rPr>
        <w:t xml:space="preserve"> inklusion</w:t>
      </w:r>
      <w:r w:rsidRPr="00F5723F">
        <w:t xml:space="preserve">. </w:t>
      </w:r>
    </w:p>
    <w:p w:rsidR="00B43C57" w:rsidRPr="00F5723F" w:rsidRDefault="00B43C57">
      <w:pPr>
        <w:pStyle w:val="Normaltindrag"/>
      </w:pPr>
      <w:r w:rsidRPr="00F5723F">
        <w:t>I ett historiskt perspektiv har det skett stora förändringar, där kvinnorepr</w:t>
      </w:r>
      <w:r w:rsidRPr="00F5723F">
        <w:t>e</w:t>
      </w:r>
      <w:r w:rsidRPr="00F5723F">
        <w:t>se</w:t>
      </w:r>
      <w:r w:rsidRPr="00F5723F">
        <w:t>n</w:t>
      </w:r>
      <w:r w:rsidRPr="00F5723F">
        <w:t>tationen i riksdagen på 30 år ökat från 14 till 45 procent och där kvinnor i allt större utsträckning fått tillgång till ordinarie utskottsplatser och ordföra</w:t>
      </w:r>
      <w:r w:rsidRPr="00F5723F">
        <w:t>n</w:t>
      </w:r>
      <w:r w:rsidRPr="00F5723F">
        <w:t>deposter. Kvinnorepresentationen i Sverige är sedan tiotals år tillbaka bland den högsta i världen. I takt med att kvinnors andel i riksdagen har ökat har också forskningen ställt nya frågor, till exempel om innehållet i policyproce</w:t>
      </w:r>
      <w:r w:rsidRPr="00F5723F">
        <w:t>s</w:t>
      </w:r>
      <w:r w:rsidRPr="00F5723F">
        <w:t>sen, arbetsformer och villkor, samt konsekvenserna av en ökad kvinnorepr</w:t>
      </w:r>
      <w:r w:rsidRPr="00F5723F">
        <w:t>e</w:t>
      </w:r>
      <w:r w:rsidRPr="00F5723F">
        <w:t>sentation. Forskningen visar emellertid äve</w:t>
      </w:r>
      <w:r w:rsidRPr="00F5723F">
        <w:t>n på kontinuitet i termer av fortsa</w:t>
      </w:r>
      <w:r w:rsidRPr="00F5723F">
        <w:t>t</w:t>
      </w:r>
      <w:r w:rsidRPr="00F5723F">
        <w:t>ta info</w:t>
      </w:r>
      <w:r w:rsidRPr="00F5723F">
        <w:t>r</w:t>
      </w:r>
      <w:r w:rsidRPr="00F5723F">
        <w:t>mella hinder och olika typer av motstånd som många kvinnor möter i polit</w:t>
      </w:r>
      <w:r w:rsidRPr="00F5723F">
        <w:t>i</w:t>
      </w:r>
      <w:r w:rsidRPr="00F5723F">
        <w:t>ken. Flera forskningsresultat tyder på att detta motstånd inte tycks ha elimin</w:t>
      </w:r>
      <w:r w:rsidRPr="00F5723F">
        <w:t>e</w:t>
      </w:r>
      <w:r w:rsidRPr="00F5723F">
        <w:t xml:space="preserve">rats med en större andel kvinnliga ledamöter. </w:t>
      </w:r>
    </w:p>
    <w:p w:rsidR="00B43C57" w:rsidRPr="00F5723F" w:rsidRDefault="00B43C57">
      <w:r w:rsidRPr="00F5723F">
        <w:t>Studier med ett explicit empiriskt fokus på kvinnors villkor i politiken, i sy</w:t>
      </w:r>
      <w:r w:rsidRPr="00F5723F">
        <w:t>n</w:t>
      </w:r>
      <w:r w:rsidRPr="00F5723F">
        <w:t>nerhet i riksdagen som arbetsplats, är emellertid förhållandevis få. De dolda mekanismer, och mer eller mindre outtalade och omedvetna handlin</w:t>
      </w:r>
      <w:r w:rsidRPr="00F5723F">
        <w:t>g</w:t>
      </w:r>
      <w:r w:rsidRPr="00F5723F">
        <w:t>ar och ställningstaganden där maktordningar iscensätts och reproduceras är o- eller underforskade. Tillspetsat skulle man kunna tolka denna situation som att numerär och formell jämställdhet har prioriterats framför reell jämställdhet. Eftersom Sverige tillsammans med övriga nordiska länder under flera dece</w:t>
      </w:r>
      <w:r w:rsidRPr="00F5723F">
        <w:t>n</w:t>
      </w:r>
      <w:r w:rsidRPr="00F5723F">
        <w:t>nier haft en betydligt högre kvinnorepresentation än övriga</w:t>
      </w:r>
      <w:r w:rsidRPr="00F5723F">
        <w:t xml:space="preserve"> länder finns det inte heller relevant internationell forskning att tillgå. Här avvaktas emellertid en svensk studie om politikerrollen, som bland annat har till syfte att studera trivsel i riksdagen samt analysera varför riksdagsledamöter väljer att lämna sina riksdagsup</w:t>
      </w:r>
      <w:r w:rsidRPr="00F5723F">
        <w:t>p</w:t>
      </w:r>
      <w:r w:rsidRPr="00F5723F">
        <w:t>drag.</w:t>
      </w:r>
    </w:p>
    <w:p w:rsidR="00B43C57" w:rsidRPr="00F5723F" w:rsidRDefault="00B43C57">
      <w:pPr>
        <w:pStyle w:val="Normaltindrag"/>
      </w:pPr>
      <w:r w:rsidRPr="00F5723F">
        <w:t>Kartläggningen visar också att det vuxit fram olika fors</w:t>
      </w:r>
      <w:r w:rsidRPr="00F5723F">
        <w:t>k</w:t>
      </w:r>
      <w:r w:rsidRPr="00F5723F">
        <w:t>ningstraditioner, som baseras på olika grundantaganden eller paradigmatiska ramar. En skilj</w:t>
      </w:r>
      <w:r w:rsidRPr="00F5723F">
        <w:t>e</w:t>
      </w:r>
      <w:r w:rsidRPr="00F5723F">
        <w:t>linje går till exempel mellan mer empiriskt, aktörsorienterade forskningstrad</w:t>
      </w:r>
      <w:r w:rsidRPr="00F5723F">
        <w:t>i</w:t>
      </w:r>
      <w:r w:rsidRPr="00F5723F">
        <w:t>tioner och mer teoretiserande, strukturorienterade forskningstraditioner. Forskning om riksdagen ur ett postmodernt inspirerat genusperspektiv är däremot b</w:t>
      </w:r>
      <w:r w:rsidRPr="00F5723F">
        <w:t>e</w:t>
      </w:r>
      <w:r w:rsidRPr="00F5723F">
        <w:t>gränsad.</w:t>
      </w:r>
    </w:p>
    <w:p w:rsidR="00B43C57" w:rsidRPr="00F5723F" w:rsidRDefault="00B43C57">
      <w:pPr>
        <w:pStyle w:val="Normaltindrag"/>
      </w:pPr>
      <w:r w:rsidRPr="00F5723F">
        <w:t>I inledningen till forskningsöversikten indikerades att ur en kartläggning kan teoretiskt förankrade problemställningar och konkreta forskningsuppgi</w:t>
      </w:r>
      <w:r w:rsidRPr="00F5723F">
        <w:t>f</w:t>
      </w:r>
      <w:r w:rsidRPr="00F5723F">
        <w:t>ter hä</w:t>
      </w:r>
      <w:r w:rsidRPr="00F5723F">
        <w:t>r</w:t>
      </w:r>
      <w:r w:rsidRPr="00F5723F">
        <w:t>ledas. Utan att lämna förslag på framtida forskning visar denna översikt på möjligheter till studier baserade på olika frågeställningar, metoder och forskningsperspektiv som baseras på olika ontologiska och epistemologiska utgångspunkter. Min förhoppning är att denna forskningsöversikt skall ku</w:t>
      </w:r>
      <w:r w:rsidRPr="00F5723F">
        <w:t>n</w:t>
      </w:r>
      <w:r w:rsidRPr="00F5723F">
        <w:t>na användas för att identifiera nya forskningsuppgifter som är hämtade ur de problematiker som har nämnts ovan.</w:t>
      </w:r>
    </w:p>
    <w:p w:rsidR="00B43C57" w:rsidRPr="00F5723F" w:rsidRDefault="00B43C57">
      <w:pPr>
        <w:pStyle w:val="Rubrik2"/>
        <w:spacing w:before="0"/>
      </w:pPr>
      <w:r w:rsidRPr="00F5723F">
        <w:br w:type="page"/>
      </w:r>
      <w:bookmarkStart w:id="369" w:name="_Toc121739013"/>
      <w:bookmarkStart w:id="370" w:name="_Toc124697925"/>
      <w:r w:rsidRPr="00F5723F">
        <w:t>Referenser</w:t>
      </w:r>
      <w:bookmarkEnd w:id="369"/>
      <w:bookmarkEnd w:id="370"/>
    </w:p>
    <w:p w:rsidR="00B43C57" w:rsidRPr="00F5723F" w:rsidRDefault="00B43C57">
      <w:pPr>
        <w:spacing w:line="240" w:lineRule="auto"/>
        <w:ind w:left="284" w:hanging="284"/>
        <w:rPr>
          <w:szCs w:val="19"/>
        </w:rPr>
      </w:pPr>
      <w:bookmarkStart w:id="371" w:name="_Toc121739014"/>
      <w:r w:rsidRPr="00F5723F">
        <w:rPr>
          <w:szCs w:val="19"/>
        </w:rPr>
        <w:t xml:space="preserve">Abrahamsson, Lena (2000), </w:t>
      </w:r>
      <w:r w:rsidRPr="00F5723F">
        <w:rPr>
          <w:i/>
          <w:szCs w:val="19"/>
        </w:rPr>
        <w:t>Att återställa ordningen –</w:t>
      </w:r>
      <w:r w:rsidRPr="00F5723F">
        <w:rPr>
          <w:i/>
          <w:szCs w:val="19"/>
        </w:rPr>
        <w:t xml:space="preserve"> könsmönster och fö</w:t>
      </w:r>
      <w:r w:rsidRPr="00F5723F">
        <w:rPr>
          <w:i/>
          <w:szCs w:val="19"/>
        </w:rPr>
        <w:t>r</w:t>
      </w:r>
      <w:r w:rsidRPr="00F5723F">
        <w:rPr>
          <w:i/>
          <w:szCs w:val="19"/>
        </w:rPr>
        <w:t xml:space="preserve">ändring i arbetsorganisationer. </w:t>
      </w:r>
      <w:r w:rsidRPr="00F5723F">
        <w:rPr>
          <w:szCs w:val="19"/>
        </w:rPr>
        <w:t xml:space="preserve">Umeå: Boréa. </w:t>
      </w:r>
    </w:p>
    <w:p w:rsidR="00B43C57" w:rsidRPr="00F5723F" w:rsidRDefault="00B43C57">
      <w:pPr>
        <w:spacing w:line="240" w:lineRule="auto"/>
        <w:ind w:left="284" w:hanging="284"/>
        <w:rPr>
          <w:szCs w:val="19"/>
        </w:rPr>
      </w:pPr>
      <w:r w:rsidRPr="00F5723F">
        <w:rPr>
          <w:szCs w:val="19"/>
        </w:rPr>
        <w:t xml:space="preserve">Albrektsen, Beatrice Halsaa (1977), </w:t>
      </w:r>
      <w:r w:rsidRPr="00F5723F">
        <w:rPr>
          <w:i/>
          <w:szCs w:val="19"/>
        </w:rPr>
        <w:t>Kvinner og politisk deltagelse</w:t>
      </w:r>
      <w:r w:rsidRPr="00F5723F">
        <w:rPr>
          <w:szCs w:val="19"/>
        </w:rPr>
        <w:t>. Oslo: Universitet</w:t>
      </w:r>
      <w:r w:rsidRPr="00F5723F">
        <w:rPr>
          <w:szCs w:val="19"/>
        </w:rPr>
        <w:t>s</w:t>
      </w:r>
      <w:r w:rsidRPr="00F5723F">
        <w:rPr>
          <w:szCs w:val="19"/>
        </w:rPr>
        <w:t>forlaget.</w:t>
      </w:r>
    </w:p>
    <w:p w:rsidR="00B43C57" w:rsidRPr="00F5723F" w:rsidRDefault="00B43C57">
      <w:pPr>
        <w:spacing w:line="240" w:lineRule="auto"/>
        <w:ind w:left="284" w:hanging="284"/>
        <w:rPr>
          <w:szCs w:val="19"/>
        </w:rPr>
      </w:pPr>
      <w:r w:rsidRPr="00F5723F">
        <w:rPr>
          <w:szCs w:val="19"/>
        </w:rPr>
        <w:t xml:space="preserve">Alnevall, Christina (2004), ”Cuotas de Género; </w:t>
      </w:r>
      <w:smartTag w:uri="urn:schemas-microsoft-com:office:smarttags" w:element="PersonName">
        <w:smartTagPr>
          <w:attr w:name="ProductID" w:val="la Clave"/>
        </w:smartTagPr>
        <w:r w:rsidRPr="00F5723F">
          <w:rPr>
            <w:szCs w:val="19"/>
          </w:rPr>
          <w:t>la Clave</w:t>
        </w:r>
      </w:smartTag>
      <w:r w:rsidRPr="00F5723F">
        <w:rPr>
          <w:szCs w:val="19"/>
        </w:rPr>
        <w:t xml:space="preserve"> de Equidad en América Latina? </w:t>
      </w:r>
      <w:r w:rsidRPr="00F5723F">
        <w:rPr>
          <w:szCs w:val="19"/>
        </w:rPr>
        <w:t xml:space="preserve">Un análisis comparativo”, </w:t>
      </w:r>
      <w:r w:rsidRPr="00F5723F">
        <w:rPr>
          <w:i/>
          <w:szCs w:val="19"/>
        </w:rPr>
        <w:t xml:space="preserve">Working Paper Series </w:t>
      </w:r>
      <w:r w:rsidRPr="00F5723F">
        <w:rPr>
          <w:szCs w:val="19"/>
        </w:rPr>
        <w:t>(ko</w:t>
      </w:r>
      <w:r w:rsidRPr="00F5723F">
        <w:rPr>
          <w:szCs w:val="19"/>
        </w:rPr>
        <w:t>m</w:t>
      </w:r>
      <w:r w:rsidRPr="00F5723F">
        <w:rPr>
          <w:szCs w:val="19"/>
        </w:rPr>
        <w:t>mande)</w:t>
      </w:r>
      <w:r w:rsidRPr="00F5723F">
        <w:rPr>
          <w:szCs w:val="19"/>
        </w:rPr>
        <w:t>, The Research Program on Gender Quotas, Department of Polit</w:t>
      </w:r>
      <w:r w:rsidRPr="00F5723F">
        <w:rPr>
          <w:szCs w:val="19"/>
        </w:rPr>
        <w:t>i</w:t>
      </w:r>
      <w:r w:rsidRPr="00F5723F">
        <w:rPr>
          <w:szCs w:val="19"/>
        </w:rPr>
        <w:t xml:space="preserve">cal Science, </w:t>
      </w:r>
      <w:smartTag w:uri="urn:schemas-microsoft-com:office:smarttags" w:element="place">
        <w:smartTag w:uri="urn:schemas-microsoft-com:office:smarttags" w:element="PlaceName">
          <w:r w:rsidRPr="00F5723F">
            <w:rPr>
              <w:szCs w:val="19"/>
            </w:rPr>
            <w:t>Stockholm</w:t>
          </w:r>
        </w:smartTag>
        <w:r w:rsidRPr="00F5723F">
          <w:rPr>
            <w:szCs w:val="19"/>
          </w:rPr>
          <w:t xml:space="preserve"> </w:t>
        </w:r>
        <w:smartTag w:uri="urn:schemas-microsoft-com:office:smarttags" w:element="PlaceType">
          <w:r w:rsidRPr="00F5723F">
            <w:rPr>
              <w:szCs w:val="19"/>
            </w:rPr>
            <w:t>Un</w:t>
          </w:r>
          <w:r w:rsidRPr="00F5723F">
            <w:rPr>
              <w:szCs w:val="19"/>
            </w:rPr>
            <w:t>i</w:t>
          </w:r>
          <w:r w:rsidRPr="00F5723F">
            <w:rPr>
              <w:szCs w:val="19"/>
            </w:rPr>
            <w:t>versity</w:t>
          </w:r>
        </w:smartTag>
      </w:smartTag>
      <w:r w:rsidRPr="00F5723F">
        <w:rPr>
          <w:szCs w:val="19"/>
        </w:rPr>
        <w:t>.</w:t>
      </w:r>
    </w:p>
    <w:p w:rsidR="00B43C57" w:rsidRPr="00F5723F" w:rsidRDefault="00B43C57">
      <w:pPr>
        <w:spacing w:line="240" w:lineRule="auto"/>
        <w:ind w:left="284" w:hanging="284"/>
        <w:rPr>
          <w:szCs w:val="19"/>
        </w:rPr>
      </w:pPr>
      <w:r w:rsidRPr="00F5723F">
        <w:rPr>
          <w:szCs w:val="19"/>
        </w:rPr>
        <w:t xml:space="preserve">Arnfred, Signe (2001), ”Om mainstreaming, magt og kønsforskningens kritiske fortalere” </w:t>
      </w:r>
      <w:r w:rsidRPr="00F5723F">
        <w:rPr>
          <w:i/>
          <w:szCs w:val="19"/>
        </w:rPr>
        <w:t>Kvinder, Køn og Forskning</w:t>
      </w:r>
      <w:r w:rsidRPr="00F5723F">
        <w:rPr>
          <w:szCs w:val="19"/>
        </w:rPr>
        <w:t xml:space="preserve"> nr 3:87–91.</w:t>
      </w:r>
    </w:p>
    <w:p w:rsidR="00B43C57" w:rsidRPr="00F5723F" w:rsidRDefault="00B43C57">
      <w:pPr>
        <w:spacing w:line="240" w:lineRule="auto"/>
        <w:ind w:left="284" w:hanging="284"/>
        <w:rPr>
          <w:szCs w:val="19"/>
        </w:rPr>
      </w:pPr>
      <w:r w:rsidRPr="00F5723F">
        <w:rPr>
          <w:szCs w:val="19"/>
        </w:rPr>
        <w:t xml:space="preserve">Arrhenius, Sara (1999), </w:t>
      </w:r>
      <w:r w:rsidRPr="00F5723F">
        <w:rPr>
          <w:i/>
          <w:szCs w:val="19"/>
        </w:rPr>
        <w:t>En riktig kvinna.</w:t>
      </w:r>
      <w:r w:rsidRPr="00F5723F">
        <w:rPr>
          <w:szCs w:val="19"/>
        </w:rPr>
        <w:t xml:space="preserve"> Pocky/Bockförlaget Tranan.</w:t>
      </w:r>
    </w:p>
    <w:p w:rsidR="00B43C57" w:rsidRPr="00F5723F" w:rsidRDefault="00B43C57">
      <w:pPr>
        <w:pStyle w:val="Fotnotstext"/>
        <w:spacing w:line="240" w:lineRule="auto"/>
        <w:ind w:left="284" w:hanging="284"/>
        <w:rPr>
          <w:sz w:val="19"/>
          <w:szCs w:val="19"/>
        </w:rPr>
      </w:pPr>
      <w:r w:rsidRPr="00F5723F">
        <w:rPr>
          <w:sz w:val="19"/>
          <w:szCs w:val="19"/>
        </w:rPr>
        <w:t xml:space="preserve">Bakken, Inger Marie (1980), </w:t>
      </w:r>
      <w:r w:rsidRPr="00F5723F">
        <w:rPr>
          <w:i/>
          <w:sz w:val="19"/>
          <w:szCs w:val="19"/>
        </w:rPr>
        <w:t>Kvinnor i kommunestyret.</w:t>
      </w:r>
      <w:r w:rsidRPr="00F5723F">
        <w:rPr>
          <w:sz w:val="19"/>
          <w:szCs w:val="19"/>
        </w:rPr>
        <w:t xml:space="preserve"> Trondheim: Institutt for sociologi.</w:t>
      </w:r>
    </w:p>
    <w:p w:rsidR="00B43C57" w:rsidRPr="00F5723F" w:rsidRDefault="00B43C57">
      <w:pPr>
        <w:spacing w:line="240" w:lineRule="auto"/>
        <w:ind w:left="284" w:hanging="284"/>
        <w:rPr>
          <w:szCs w:val="19"/>
        </w:rPr>
      </w:pPr>
      <w:r w:rsidRPr="00F5723F">
        <w:rPr>
          <w:szCs w:val="19"/>
        </w:rPr>
        <w:t xml:space="preserve">Baude, Annika m.fl. red. (1998), </w:t>
      </w:r>
      <w:r w:rsidRPr="00F5723F">
        <w:rPr>
          <w:i/>
          <w:szCs w:val="19"/>
        </w:rPr>
        <w:t>Genus i praktiken – på hans eller hennes villkor?</w:t>
      </w:r>
      <w:r w:rsidRPr="00F5723F">
        <w:rPr>
          <w:szCs w:val="19"/>
        </w:rPr>
        <w:t xml:space="preserve"> Jämställdhetsarbetarnas förening.</w:t>
      </w:r>
    </w:p>
    <w:p w:rsidR="00B43C57" w:rsidRPr="00F5723F" w:rsidRDefault="00B43C57">
      <w:pPr>
        <w:spacing w:line="240" w:lineRule="auto"/>
        <w:ind w:left="284" w:hanging="284"/>
        <w:rPr>
          <w:szCs w:val="19"/>
        </w:rPr>
      </w:pPr>
      <w:r w:rsidRPr="00F5723F">
        <w:rPr>
          <w:szCs w:val="19"/>
        </w:rPr>
        <w:t>Berggren, Anne Marie red. (1999),</w:t>
      </w:r>
      <w:r w:rsidRPr="00F5723F">
        <w:rPr>
          <w:i/>
          <w:szCs w:val="19"/>
        </w:rPr>
        <w:t xml:space="preserve"> Manligt och omanligt i ett historiskt pe</w:t>
      </w:r>
      <w:r w:rsidRPr="00F5723F">
        <w:rPr>
          <w:i/>
          <w:szCs w:val="19"/>
        </w:rPr>
        <w:t>r</w:t>
      </w:r>
      <w:r w:rsidRPr="00F5723F">
        <w:rPr>
          <w:i/>
          <w:szCs w:val="19"/>
        </w:rPr>
        <w:t xml:space="preserve">spektiv. </w:t>
      </w:r>
      <w:r w:rsidRPr="00F5723F">
        <w:rPr>
          <w:szCs w:val="19"/>
        </w:rPr>
        <w:t>Stockholm:</w:t>
      </w:r>
      <w:r w:rsidRPr="00F5723F">
        <w:rPr>
          <w:i/>
          <w:szCs w:val="19"/>
        </w:rPr>
        <w:t xml:space="preserve"> </w:t>
      </w:r>
      <w:r w:rsidRPr="00F5723F">
        <w:rPr>
          <w:szCs w:val="19"/>
        </w:rPr>
        <w:t>Forskningsrådsnämnden.</w:t>
      </w:r>
    </w:p>
    <w:p w:rsidR="00B43C57" w:rsidRPr="00F5723F" w:rsidRDefault="00B43C57">
      <w:pPr>
        <w:spacing w:line="240" w:lineRule="auto"/>
        <w:ind w:left="284" w:hanging="284"/>
        <w:rPr>
          <w:szCs w:val="19"/>
        </w:rPr>
      </w:pPr>
      <w:r w:rsidRPr="00F5723F">
        <w:rPr>
          <w:szCs w:val="19"/>
        </w:rPr>
        <w:t xml:space="preserve">Bergman, Solveig (1999), ”Kvinnor </w:t>
      </w:r>
      <w:r w:rsidRPr="00F5723F">
        <w:rPr>
          <w:szCs w:val="19"/>
        </w:rPr>
        <w:t>i nya sociala rörelser” sid. 91–</w:t>
      </w:r>
      <w:r w:rsidRPr="00F5723F">
        <w:rPr>
          <w:szCs w:val="19"/>
        </w:rPr>
        <w:t xml:space="preserve">113 i Christina Bergqvist red. </w:t>
      </w:r>
      <w:r w:rsidRPr="00F5723F">
        <w:rPr>
          <w:i/>
          <w:szCs w:val="19"/>
        </w:rPr>
        <w:t>Likestilte demokratier? Kjønn og politikk i No</w:t>
      </w:r>
      <w:r w:rsidRPr="00F5723F">
        <w:rPr>
          <w:i/>
          <w:szCs w:val="19"/>
        </w:rPr>
        <w:t>r</w:t>
      </w:r>
      <w:r w:rsidRPr="00F5723F">
        <w:rPr>
          <w:i/>
          <w:szCs w:val="19"/>
        </w:rPr>
        <w:t xml:space="preserve">den. </w:t>
      </w:r>
      <w:r w:rsidRPr="00F5723F">
        <w:rPr>
          <w:szCs w:val="19"/>
        </w:rPr>
        <w:t>Oslo: Universitet</w:t>
      </w:r>
      <w:r w:rsidRPr="00F5723F">
        <w:rPr>
          <w:szCs w:val="19"/>
        </w:rPr>
        <w:t>s</w:t>
      </w:r>
      <w:r w:rsidRPr="00F5723F">
        <w:rPr>
          <w:szCs w:val="19"/>
        </w:rPr>
        <w:t>forlaget.</w:t>
      </w:r>
    </w:p>
    <w:p w:rsidR="00B43C57" w:rsidRPr="00F5723F" w:rsidRDefault="00B43C57">
      <w:pPr>
        <w:spacing w:line="240" w:lineRule="auto"/>
        <w:ind w:left="284" w:hanging="284"/>
        <w:rPr>
          <w:szCs w:val="19"/>
        </w:rPr>
      </w:pPr>
      <w:r w:rsidRPr="00F5723F">
        <w:rPr>
          <w:szCs w:val="19"/>
        </w:rPr>
        <w:t xml:space="preserve">Beckwith, Karen (1992), ”Comparative Research and Electoral Systems: Lessons from France and Italy” i </w:t>
      </w:r>
      <w:r w:rsidRPr="00F5723F">
        <w:rPr>
          <w:i/>
          <w:szCs w:val="19"/>
        </w:rPr>
        <w:t xml:space="preserve">Women and Politics </w:t>
      </w:r>
      <w:r w:rsidRPr="00F5723F">
        <w:rPr>
          <w:szCs w:val="19"/>
        </w:rPr>
        <w:t>12, no 1:1–33.</w:t>
      </w:r>
    </w:p>
    <w:p w:rsidR="00B43C57" w:rsidRPr="00F5723F" w:rsidRDefault="00B43C57">
      <w:pPr>
        <w:spacing w:line="240" w:lineRule="auto"/>
        <w:ind w:left="284" w:hanging="284"/>
        <w:rPr>
          <w:szCs w:val="19"/>
        </w:rPr>
      </w:pPr>
      <w:r w:rsidRPr="00F5723F">
        <w:rPr>
          <w:szCs w:val="19"/>
        </w:rPr>
        <w:t>Bergqvist, Christina, red. (1999),</w:t>
      </w:r>
      <w:r w:rsidRPr="00F5723F">
        <w:rPr>
          <w:i/>
          <w:szCs w:val="19"/>
        </w:rPr>
        <w:t xml:space="preserve"> Likestilte demokratier? Kjønn og politikk i Norden. </w:t>
      </w:r>
      <w:smartTag w:uri="urn:schemas-microsoft-com:office:smarttags" w:element="City">
        <w:smartTag w:uri="urn:schemas-microsoft-com:office:smarttags" w:element="place">
          <w:r w:rsidRPr="00F5723F">
            <w:rPr>
              <w:szCs w:val="19"/>
            </w:rPr>
            <w:t>Oslo</w:t>
          </w:r>
        </w:smartTag>
      </w:smartTag>
      <w:r w:rsidRPr="00F5723F">
        <w:rPr>
          <w:szCs w:val="19"/>
        </w:rPr>
        <w:t>: Universitetsforlaget.</w:t>
      </w:r>
    </w:p>
    <w:p w:rsidR="00B43C57" w:rsidRPr="00F5723F" w:rsidRDefault="00B43C57">
      <w:pPr>
        <w:spacing w:line="240" w:lineRule="auto"/>
        <w:ind w:left="284" w:hanging="284"/>
        <w:rPr>
          <w:szCs w:val="19"/>
        </w:rPr>
      </w:pPr>
      <w:r w:rsidRPr="00F5723F">
        <w:rPr>
          <w:szCs w:val="19"/>
        </w:rPr>
        <w:t>Bergqvist, Chr</w:t>
      </w:r>
      <w:r w:rsidRPr="00F5723F">
        <w:rPr>
          <w:szCs w:val="19"/>
        </w:rPr>
        <w:t xml:space="preserve">istina (1995), </w:t>
      </w:r>
      <w:r w:rsidRPr="00F5723F">
        <w:rPr>
          <w:szCs w:val="19"/>
        </w:rPr>
        <w:t xml:space="preserve">”The declining corporative state and the political gender dimension” i Lauri Karvonen och Per Selle (1995), </w:t>
      </w:r>
      <w:r w:rsidRPr="00F5723F">
        <w:rPr>
          <w:i/>
          <w:szCs w:val="19"/>
        </w:rPr>
        <w:t>Women in Nordic Pol</w:t>
      </w:r>
      <w:r w:rsidRPr="00F5723F">
        <w:rPr>
          <w:i/>
          <w:szCs w:val="19"/>
        </w:rPr>
        <w:t>i</w:t>
      </w:r>
      <w:r w:rsidRPr="00F5723F">
        <w:rPr>
          <w:i/>
          <w:szCs w:val="19"/>
        </w:rPr>
        <w:t>tics: Closing the Gap</w:t>
      </w:r>
      <w:r w:rsidRPr="00F5723F">
        <w:rPr>
          <w:szCs w:val="19"/>
        </w:rPr>
        <w:t xml:space="preserve">. </w:t>
      </w:r>
      <w:r w:rsidRPr="00F5723F">
        <w:rPr>
          <w:szCs w:val="19"/>
        </w:rPr>
        <w:t>Aldershot: Dartmouth.</w:t>
      </w:r>
    </w:p>
    <w:p w:rsidR="00B43C57" w:rsidRPr="00F5723F" w:rsidRDefault="00B43C57">
      <w:pPr>
        <w:spacing w:line="240" w:lineRule="auto"/>
        <w:ind w:left="284" w:hanging="284"/>
        <w:rPr>
          <w:szCs w:val="19"/>
        </w:rPr>
      </w:pPr>
      <w:r w:rsidRPr="00F5723F">
        <w:rPr>
          <w:szCs w:val="19"/>
        </w:rPr>
        <w:t xml:space="preserve">Bergqvist, Christina (1994), </w:t>
      </w:r>
      <w:r w:rsidRPr="00F5723F">
        <w:rPr>
          <w:i/>
          <w:szCs w:val="19"/>
        </w:rPr>
        <w:t>Mäns makt och kvinnors intressen.</w:t>
      </w:r>
      <w:r w:rsidRPr="00F5723F">
        <w:rPr>
          <w:szCs w:val="19"/>
        </w:rPr>
        <w:t xml:space="preserve"> Uppsala: A</w:t>
      </w:r>
      <w:r w:rsidRPr="00F5723F">
        <w:rPr>
          <w:szCs w:val="19"/>
        </w:rPr>
        <w:t>cta Universitatis Upsaliensis, s</w:t>
      </w:r>
      <w:r w:rsidRPr="00F5723F">
        <w:rPr>
          <w:szCs w:val="19"/>
        </w:rPr>
        <w:t>krifter utgivna av Statsvetenskapliga förenin</w:t>
      </w:r>
      <w:r w:rsidRPr="00F5723F">
        <w:rPr>
          <w:szCs w:val="19"/>
        </w:rPr>
        <w:t>g</w:t>
      </w:r>
      <w:r w:rsidRPr="00F5723F">
        <w:rPr>
          <w:szCs w:val="19"/>
        </w:rPr>
        <w:t>en i Uppsala.</w:t>
      </w:r>
    </w:p>
    <w:p w:rsidR="00B43C57" w:rsidRPr="00F5723F" w:rsidRDefault="00B43C57">
      <w:pPr>
        <w:spacing w:line="240" w:lineRule="auto"/>
        <w:ind w:left="284" w:hanging="284"/>
        <w:rPr>
          <w:szCs w:val="19"/>
        </w:rPr>
      </w:pPr>
      <w:r w:rsidRPr="00F5723F">
        <w:rPr>
          <w:szCs w:val="19"/>
        </w:rPr>
        <w:t>Bergqvist, Christina (1992), ”Hinder och möjligheter på vägen till ökad kvi</w:t>
      </w:r>
      <w:r w:rsidRPr="00F5723F">
        <w:rPr>
          <w:szCs w:val="19"/>
        </w:rPr>
        <w:t>n</w:t>
      </w:r>
      <w:r w:rsidRPr="00F5723F">
        <w:rPr>
          <w:szCs w:val="19"/>
        </w:rPr>
        <w:t xml:space="preserve">norepresentation” i </w:t>
      </w:r>
      <w:r w:rsidRPr="00F5723F">
        <w:rPr>
          <w:i/>
          <w:szCs w:val="19"/>
        </w:rPr>
        <w:t>Kvinnor med makt.</w:t>
      </w:r>
      <w:r w:rsidRPr="00F5723F">
        <w:rPr>
          <w:szCs w:val="19"/>
        </w:rPr>
        <w:t xml:space="preserve"> Stockholm: Sveriges r</w:t>
      </w:r>
      <w:r w:rsidRPr="00F5723F">
        <w:rPr>
          <w:szCs w:val="19"/>
        </w:rPr>
        <w:t>iksdag.</w:t>
      </w:r>
    </w:p>
    <w:p w:rsidR="00B43C57" w:rsidRPr="00F5723F" w:rsidRDefault="00B43C57">
      <w:pPr>
        <w:spacing w:line="240" w:lineRule="auto"/>
        <w:ind w:left="284" w:hanging="284"/>
        <w:rPr>
          <w:szCs w:val="19"/>
        </w:rPr>
      </w:pPr>
      <w:r w:rsidRPr="00F5723F">
        <w:rPr>
          <w:szCs w:val="19"/>
        </w:rPr>
        <w:t xml:space="preserve">Bjereld, Ulf (1998), </w:t>
      </w:r>
      <w:r w:rsidRPr="00F5723F">
        <w:rPr>
          <w:i/>
          <w:szCs w:val="19"/>
        </w:rPr>
        <w:t>Kön och politiskt våld</w:t>
      </w:r>
      <w:r w:rsidRPr="00F5723F">
        <w:rPr>
          <w:szCs w:val="19"/>
        </w:rPr>
        <w:t>. Stockholm: Gidlunds.</w:t>
      </w:r>
    </w:p>
    <w:p w:rsidR="00B43C57" w:rsidRPr="00F5723F" w:rsidRDefault="00B43C57">
      <w:pPr>
        <w:spacing w:line="240" w:lineRule="auto"/>
        <w:ind w:left="284" w:hanging="284"/>
        <w:rPr>
          <w:szCs w:val="19"/>
        </w:rPr>
      </w:pPr>
      <w:r w:rsidRPr="00F5723F">
        <w:rPr>
          <w:szCs w:val="19"/>
        </w:rPr>
        <w:t>Bjereld, Ulf (1995), “</w:t>
      </w:r>
      <w:r w:rsidRPr="00F5723F">
        <w:rPr>
          <w:szCs w:val="19"/>
        </w:rPr>
        <w:t>Female Doves and Male Hawks?” i Alexa Robertson (red</w:t>
      </w:r>
      <w:r w:rsidRPr="00F5723F">
        <w:rPr>
          <w:szCs w:val="19"/>
        </w:rPr>
        <w:t>.</w:t>
      </w:r>
      <w:r w:rsidRPr="00F5723F">
        <w:rPr>
          <w:szCs w:val="19"/>
        </w:rPr>
        <w:t>)</w:t>
      </w:r>
      <w:r w:rsidRPr="00F5723F">
        <w:rPr>
          <w:szCs w:val="19"/>
        </w:rPr>
        <w:t>,</w:t>
      </w:r>
      <w:r w:rsidRPr="00F5723F">
        <w:rPr>
          <w:i/>
          <w:szCs w:val="19"/>
        </w:rPr>
        <w:t xml:space="preserve"> Opinion, the Media and International Politics: A Reader.</w:t>
      </w:r>
      <w:r w:rsidRPr="00F5723F">
        <w:rPr>
          <w:szCs w:val="19"/>
        </w:rPr>
        <w:t xml:space="preserve"> </w:t>
      </w:r>
      <w:r w:rsidRPr="00F5723F">
        <w:rPr>
          <w:szCs w:val="19"/>
        </w:rPr>
        <w:t>Depar</w:t>
      </w:r>
      <w:r w:rsidRPr="00F5723F">
        <w:rPr>
          <w:szCs w:val="19"/>
        </w:rPr>
        <w:t>t</w:t>
      </w:r>
      <w:r w:rsidRPr="00F5723F">
        <w:rPr>
          <w:szCs w:val="19"/>
        </w:rPr>
        <w:t>ment of Political Sc</w:t>
      </w:r>
      <w:r w:rsidRPr="00F5723F">
        <w:rPr>
          <w:szCs w:val="19"/>
        </w:rPr>
        <w:t>i</w:t>
      </w:r>
      <w:r w:rsidRPr="00F5723F">
        <w:rPr>
          <w:szCs w:val="19"/>
        </w:rPr>
        <w:t xml:space="preserve">ence, </w:t>
      </w:r>
      <w:smartTag w:uri="urn:schemas-microsoft-com:office:smarttags" w:element="place">
        <w:smartTag w:uri="urn:schemas-microsoft-com:office:smarttags" w:element="PlaceName">
          <w:r w:rsidRPr="00F5723F">
            <w:rPr>
              <w:szCs w:val="19"/>
            </w:rPr>
            <w:t>Stockholm</w:t>
          </w:r>
        </w:smartTag>
        <w:r w:rsidRPr="00F5723F">
          <w:rPr>
            <w:szCs w:val="19"/>
          </w:rPr>
          <w:t xml:space="preserve"> </w:t>
        </w:r>
        <w:smartTag w:uri="urn:schemas-microsoft-com:office:smarttags" w:element="PlaceType">
          <w:r w:rsidRPr="00F5723F">
            <w:rPr>
              <w:szCs w:val="19"/>
            </w:rPr>
            <w:t>University</w:t>
          </w:r>
        </w:smartTag>
      </w:smartTag>
      <w:r w:rsidRPr="00F5723F">
        <w:rPr>
          <w:szCs w:val="19"/>
        </w:rPr>
        <w:t xml:space="preserve">, sid. 168–177. </w:t>
      </w:r>
    </w:p>
    <w:p w:rsidR="00B43C57" w:rsidRPr="00F5723F" w:rsidRDefault="00B43C57">
      <w:pPr>
        <w:spacing w:line="240" w:lineRule="auto"/>
        <w:ind w:left="284" w:hanging="284"/>
        <w:rPr>
          <w:szCs w:val="19"/>
        </w:rPr>
      </w:pPr>
      <w:r w:rsidRPr="00F5723F">
        <w:rPr>
          <w:szCs w:val="19"/>
        </w:rPr>
        <w:t xml:space="preserve">Björk, Nina (1996), </w:t>
      </w:r>
      <w:r w:rsidRPr="00F5723F">
        <w:rPr>
          <w:i/>
          <w:szCs w:val="19"/>
        </w:rPr>
        <w:t xml:space="preserve">Under det </w:t>
      </w:r>
      <w:smartTag w:uri="urn:schemas-microsoft-com:office:smarttags" w:element="place">
        <w:r w:rsidRPr="00F5723F">
          <w:rPr>
            <w:i/>
            <w:szCs w:val="19"/>
          </w:rPr>
          <w:t>rosa</w:t>
        </w:r>
      </w:smartTag>
      <w:r w:rsidRPr="00F5723F">
        <w:rPr>
          <w:i/>
          <w:szCs w:val="19"/>
        </w:rPr>
        <w:t xml:space="preserve"> täcket.</w:t>
      </w:r>
      <w:r w:rsidRPr="00F5723F">
        <w:rPr>
          <w:szCs w:val="19"/>
        </w:rPr>
        <w:t xml:space="preserve"> </w:t>
      </w:r>
      <w:r w:rsidRPr="00F5723F">
        <w:rPr>
          <w:szCs w:val="19"/>
        </w:rPr>
        <w:t xml:space="preserve">Stockholm: </w:t>
      </w:r>
      <w:r w:rsidRPr="00F5723F">
        <w:rPr>
          <w:szCs w:val="19"/>
        </w:rPr>
        <w:t>Wahlström och Wi</w:t>
      </w:r>
      <w:r w:rsidRPr="00F5723F">
        <w:rPr>
          <w:szCs w:val="19"/>
        </w:rPr>
        <w:t>d</w:t>
      </w:r>
      <w:r w:rsidRPr="00F5723F">
        <w:rPr>
          <w:szCs w:val="19"/>
        </w:rPr>
        <w:t>strand.</w:t>
      </w:r>
    </w:p>
    <w:p w:rsidR="00B43C57" w:rsidRPr="00F5723F" w:rsidRDefault="00B43C57">
      <w:pPr>
        <w:spacing w:line="240" w:lineRule="auto"/>
        <w:ind w:left="284" w:hanging="284"/>
        <w:rPr>
          <w:szCs w:val="19"/>
        </w:rPr>
      </w:pPr>
      <w:r w:rsidRPr="00F5723F">
        <w:rPr>
          <w:szCs w:val="19"/>
        </w:rPr>
        <w:t>Björkegren, Bertil (1982),</w:t>
      </w:r>
      <w:r w:rsidRPr="00F5723F">
        <w:rPr>
          <w:i/>
          <w:szCs w:val="19"/>
        </w:rPr>
        <w:t xml:space="preserve"> Kvinnokrav i manssamhälle. Rösträttskvinnorna och deras metoder som opinionsbildare och påtryckargrupp i Sverige 1902-1921</w:t>
      </w:r>
      <w:r w:rsidRPr="00F5723F">
        <w:rPr>
          <w:szCs w:val="19"/>
        </w:rPr>
        <w:t>. Uppsala.</w:t>
      </w:r>
    </w:p>
    <w:p w:rsidR="00B43C57" w:rsidRPr="00F5723F" w:rsidRDefault="00B43C57">
      <w:pPr>
        <w:spacing w:line="240" w:lineRule="auto"/>
        <w:ind w:left="284" w:hanging="284"/>
        <w:rPr>
          <w:szCs w:val="19"/>
        </w:rPr>
      </w:pPr>
      <w:r w:rsidRPr="00F5723F">
        <w:rPr>
          <w:szCs w:val="19"/>
        </w:rPr>
        <w:t xml:space="preserve">Björkhem, Barbro m.fl. (1994), </w:t>
      </w:r>
      <w:r w:rsidRPr="00F5723F">
        <w:rPr>
          <w:i/>
          <w:szCs w:val="19"/>
        </w:rPr>
        <w:t>Rätt att rösta 1919–</w:t>
      </w:r>
      <w:r w:rsidRPr="00F5723F">
        <w:rPr>
          <w:i/>
          <w:szCs w:val="19"/>
        </w:rPr>
        <w:t xml:space="preserve">1999. Så fick kvinnor politiskt inflytande. </w:t>
      </w:r>
      <w:r w:rsidRPr="00F5723F">
        <w:rPr>
          <w:szCs w:val="19"/>
        </w:rPr>
        <w:t>Stockholm: Sveriges r</w:t>
      </w:r>
      <w:r w:rsidRPr="00F5723F">
        <w:rPr>
          <w:szCs w:val="19"/>
        </w:rPr>
        <w:t>iksdag.</w:t>
      </w:r>
    </w:p>
    <w:p w:rsidR="00B43C57" w:rsidRPr="00F5723F" w:rsidRDefault="00B43C57">
      <w:pPr>
        <w:spacing w:line="240" w:lineRule="auto"/>
        <w:ind w:left="284" w:hanging="284"/>
        <w:rPr>
          <w:szCs w:val="19"/>
        </w:rPr>
      </w:pPr>
      <w:r w:rsidRPr="00F5723F">
        <w:rPr>
          <w:szCs w:val="19"/>
        </w:rPr>
        <w:t xml:space="preserve">Björkhem, Barbro red. (1992), </w:t>
      </w:r>
      <w:r w:rsidRPr="00F5723F">
        <w:rPr>
          <w:i/>
          <w:szCs w:val="19"/>
        </w:rPr>
        <w:t>Women in Power: Kvinnor med makt.</w:t>
      </w:r>
      <w:r w:rsidRPr="00F5723F">
        <w:rPr>
          <w:szCs w:val="19"/>
        </w:rPr>
        <w:t xml:space="preserve"> </w:t>
      </w:r>
      <w:r w:rsidRPr="00F5723F">
        <w:rPr>
          <w:szCs w:val="19"/>
        </w:rPr>
        <w:t>Stoc</w:t>
      </w:r>
      <w:r w:rsidRPr="00F5723F">
        <w:rPr>
          <w:szCs w:val="19"/>
        </w:rPr>
        <w:t>k</w:t>
      </w:r>
      <w:r w:rsidRPr="00F5723F">
        <w:rPr>
          <w:szCs w:val="19"/>
        </w:rPr>
        <w:t>holm: Sveriges riksdag.</w:t>
      </w:r>
    </w:p>
    <w:p w:rsidR="00B43C57" w:rsidRPr="00F5723F" w:rsidRDefault="00B43C57">
      <w:pPr>
        <w:spacing w:line="240" w:lineRule="auto"/>
        <w:ind w:left="284" w:hanging="284"/>
        <w:rPr>
          <w:szCs w:val="19"/>
        </w:rPr>
      </w:pPr>
      <w:r w:rsidRPr="00F5723F">
        <w:rPr>
          <w:szCs w:val="19"/>
        </w:rPr>
        <w:t xml:space="preserve">Bock, Gisela (1989), ”Women’s History and Gender History, Aspects of an International Debate” i </w:t>
      </w:r>
      <w:r w:rsidRPr="00F5723F">
        <w:rPr>
          <w:i/>
          <w:szCs w:val="19"/>
        </w:rPr>
        <w:t>Gender and History</w:t>
      </w:r>
      <w:r w:rsidRPr="00F5723F">
        <w:rPr>
          <w:szCs w:val="19"/>
        </w:rPr>
        <w:t xml:space="preserve"> vol. 1, nr 1 våren 1989.</w:t>
      </w:r>
    </w:p>
    <w:p w:rsidR="00B43C57" w:rsidRPr="00F5723F" w:rsidRDefault="00B43C57">
      <w:pPr>
        <w:spacing w:line="240" w:lineRule="auto"/>
        <w:ind w:left="284" w:hanging="284"/>
        <w:rPr>
          <w:szCs w:val="19"/>
        </w:rPr>
      </w:pPr>
      <w:r w:rsidRPr="00F5723F">
        <w:rPr>
          <w:szCs w:val="19"/>
        </w:rPr>
        <w:t xml:space="preserve">Borchorst, Anette (1999), ”Hvad er det vi studerer?” sid. 151–155, samt ”Ligestillingsinstitutionerna” sid. 156–175 i Christina Bergqvist red. (1999), </w:t>
      </w:r>
      <w:r w:rsidRPr="00F5723F">
        <w:rPr>
          <w:i/>
          <w:szCs w:val="19"/>
        </w:rPr>
        <w:t>Likestilte demokratier? Kjønn og politikk i Norden</w:t>
      </w:r>
      <w:r w:rsidRPr="00F5723F">
        <w:rPr>
          <w:szCs w:val="19"/>
        </w:rPr>
        <w:t>. Oslo: Universitetsforlaget.</w:t>
      </w:r>
    </w:p>
    <w:p w:rsidR="00B43C57" w:rsidRPr="00F5723F" w:rsidRDefault="00B43C57">
      <w:pPr>
        <w:spacing w:line="240" w:lineRule="auto"/>
        <w:ind w:left="284" w:hanging="284"/>
        <w:rPr>
          <w:szCs w:val="19"/>
        </w:rPr>
      </w:pPr>
      <w:r w:rsidRPr="00F5723F">
        <w:rPr>
          <w:szCs w:val="19"/>
        </w:rPr>
        <w:t xml:space="preserve">Borchorst, Anette, red. (2002), </w:t>
      </w:r>
      <w:r w:rsidRPr="00F5723F">
        <w:rPr>
          <w:i/>
          <w:szCs w:val="19"/>
        </w:rPr>
        <w:t>Kønsmagt under forandring.</w:t>
      </w:r>
      <w:r w:rsidRPr="00F5723F">
        <w:rPr>
          <w:szCs w:val="19"/>
        </w:rPr>
        <w:t xml:space="preserve"> Köpenhamn: Hans Reitzels Forlag.</w:t>
      </w:r>
    </w:p>
    <w:p w:rsidR="00B43C57" w:rsidRPr="00F5723F" w:rsidRDefault="00B43C57">
      <w:pPr>
        <w:spacing w:line="240" w:lineRule="auto"/>
        <w:ind w:left="284" w:hanging="284"/>
        <w:rPr>
          <w:szCs w:val="19"/>
        </w:rPr>
      </w:pPr>
      <w:r w:rsidRPr="00F5723F">
        <w:rPr>
          <w:szCs w:val="19"/>
        </w:rPr>
        <w:t xml:space="preserve">Borchorst, Anette och Drude Dahlerup (2003), </w:t>
      </w:r>
      <w:r w:rsidRPr="00F5723F">
        <w:rPr>
          <w:i/>
          <w:szCs w:val="19"/>
        </w:rPr>
        <w:t>Ligestillingspolitik som diskurs og praksis.</w:t>
      </w:r>
      <w:r w:rsidRPr="00F5723F">
        <w:rPr>
          <w:szCs w:val="19"/>
        </w:rPr>
        <w:t xml:space="preserve"> Frederiksberg: Samfundslitteratur.</w:t>
      </w:r>
    </w:p>
    <w:p w:rsidR="00B43C57" w:rsidRPr="00F5723F" w:rsidRDefault="00B43C57">
      <w:pPr>
        <w:spacing w:line="240" w:lineRule="auto"/>
        <w:ind w:left="284" w:hanging="284"/>
        <w:rPr>
          <w:szCs w:val="19"/>
        </w:rPr>
      </w:pPr>
      <w:r w:rsidRPr="00F5723F">
        <w:rPr>
          <w:szCs w:val="19"/>
        </w:rPr>
        <w:t xml:space="preserve">Borchorst, Anette och Ann-Dorte Christensen (2003), ”Könskvotering I SF og i forskerstillinger – diskursiv praksis og forandring” i Anette Borchorst och Drude Dahlerup (2003), </w:t>
      </w:r>
      <w:r w:rsidRPr="00F5723F">
        <w:rPr>
          <w:i/>
          <w:szCs w:val="19"/>
        </w:rPr>
        <w:t>Ligestillingspolitik som diskurs og praksis.</w:t>
      </w:r>
      <w:r w:rsidRPr="00F5723F">
        <w:rPr>
          <w:szCs w:val="19"/>
        </w:rPr>
        <w:t xml:space="preserve"> Frederiksberg: Samfund</w:t>
      </w:r>
      <w:r w:rsidRPr="00F5723F">
        <w:rPr>
          <w:szCs w:val="19"/>
        </w:rPr>
        <w:t>s</w:t>
      </w:r>
      <w:r w:rsidRPr="00F5723F">
        <w:rPr>
          <w:szCs w:val="19"/>
        </w:rPr>
        <w:t xml:space="preserve">litteratur, sid. 101–123. </w:t>
      </w:r>
    </w:p>
    <w:p w:rsidR="00B43C57" w:rsidRPr="00F5723F" w:rsidRDefault="00B43C57">
      <w:pPr>
        <w:spacing w:line="240" w:lineRule="auto"/>
        <w:ind w:left="284" w:hanging="284"/>
        <w:rPr>
          <w:szCs w:val="19"/>
        </w:rPr>
      </w:pPr>
      <w:r w:rsidRPr="00F5723F">
        <w:rPr>
          <w:szCs w:val="19"/>
        </w:rPr>
        <w:t xml:space="preserve">Borchorst, Anette, Ann-Dorte Christensen &amp; Birte Siim (2002), “Diskurser om køn, magt og politikk i Skandinavien” i Anette Borchorst, red. </w:t>
      </w:r>
      <w:r w:rsidRPr="00F5723F">
        <w:rPr>
          <w:szCs w:val="19"/>
        </w:rPr>
        <w:t xml:space="preserve">(2002), </w:t>
      </w:r>
      <w:r w:rsidRPr="00F5723F">
        <w:rPr>
          <w:i/>
          <w:szCs w:val="19"/>
        </w:rPr>
        <w:t>Kønsmagt under fora</w:t>
      </w:r>
      <w:r w:rsidRPr="00F5723F">
        <w:rPr>
          <w:i/>
          <w:szCs w:val="19"/>
        </w:rPr>
        <w:t>ndring.</w:t>
      </w:r>
      <w:r w:rsidRPr="00F5723F">
        <w:rPr>
          <w:szCs w:val="19"/>
        </w:rPr>
        <w:t xml:space="preserve"> Köpenhamn: Hans Reitzels Forlag.</w:t>
      </w:r>
    </w:p>
    <w:p w:rsidR="00B43C57" w:rsidRPr="00F5723F" w:rsidRDefault="00B43C57">
      <w:pPr>
        <w:spacing w:line="240" w:lineRule="auto"/>
        <w:ind w:left="284" w:hanging="284"/>
        <w:rPr>
          <w:szCs w:val="19"/>
        </w:rPr>
      </w:pPr>
      <w:r w:rsidRPr="00F5723F">
        <w:rPr>
          <w:szCs w:val="19"/>
        </w:rPr>
        <w:t>Borchorst, Anette &amp; Birte Siim (1987), ”Women</w:t>
      </w:r>
      <w:r w:rsidRPr="00F5723F">
        <w:rPr>
          <w:szCs w:val="19"/>
        </w:rPr>
        <w:t xml:space="preserve"> and the Advanced Welfare State –</w:t>
      </w:r>
      <w:r w:rsidRPr="00F5723F">
        <w:rPr>
          <w:szCs w:val="19"/>
        </w:rPr>
        <w:t xml:space="preserve"> a New Kind </w:t>
      </w:r>
      <w:r w:rsidRPr="00F5723F">
        <w:rPr>
          <w:szCs w:val="19"/>
        </w:rPr>
        <w:t>of Patriarchal Power?” sid. 128–</w:t>
      </w:r>
      <w:r w:rsidRPr="00F5723F">
        <w:rPr>
          <w:szCs w:val="19"/>
        </w:rPr>
        <w:t xml:space="preserve">157 i Anne Shostack Sassoon red. (1987), </w:t>
      </w:r>
      <w:r w:rsidRPr="00F5723F">
        <w:rPr>
          <w:i/>
          <w:szCs w:val="19"/>
        </w:rPr>
        <w:t xml:space="preserve">Women and the State. The Shifting Boundaries of Public and Private. </w:t>
      </w:r>
      <w:r w:rsidRPr="00F5723F">
        <w:rPr>
          <w:szCs w:val="19"/>
        </w:rPr>
        <w:t>Lo</w:t>
      </w:r>
      <w:r w:rsidRPr="00F5723F">
        <w:rPr>
          <w:szCs w:val="19"/>
        </w:rPr>
        <w:t>n</w:t>
      </w:r>
      <w:r w:rsidRPr="00F5723F">
        <w:rPr>
          <w:szCs w:val="19"/>
        </w:rPr>
        <w:t>don: Hutchinson.</w:t>
      </w:r>
    </w:p>
    <w:p w:rsidR="00B43C57" w:rsidRPr="00F5723F" w:rsidRDefault="00B43C57">
      <w:pPr>
        <w:spacing w:line="240" w:lineRule="auto"/>
        <w:ind w:left="284" w:hanging="284"/>
        <w:rPr>
          <w:szCs w:val="19"/>
        </w:rPr>
      </w:pPr>
      <w:r w:rsidRPr="00F5723F">
        <w:rPr>
          <w:szCs w:val="19"/>
        </w:rPr>
        <w:t>Brusewitz, Axel (red</w:t>
      </w:r>
      <w:r w:rsidRPr="00F5723F">
        <w:rPr>
          <w:szCs w:val="19"/>
        </w:rPr>
        <w:t>.</w:t>
      </w:r>
      <w:r w:rsidRPr="00F5723F">
        <w:rPr>
          <w:szCs w:val="19"/>
        </w:rPr>
        <w:t xml:space="preserve">) (1936), </w:t>
      </w:r>
      <w:r w:rsidRPr="00F5723F">
        <w:rPr>
          <w:i/>
          <w:szCs w:val="19"/>
        </w:rPr>
        <w:t>Studier över den svenska riksdagens sociala sammansät</w:t>
      </w:r>
      <w:r w:rsidRPr="00F5723F">
        <w:rPr>
          <w:i/>
          <w:szCs w:val="19"/>
        </w:rPr>
        <w:t>t</w:t>
      </w:r>
      <w:r w:rsidRPr="00F5723F">
        <w:rPr>
          <w:i/>
          <w:szCs w:val="19"/>
        </w:rPr>
        <w:t>ning</w:t>
      </w:r>
      <w:r w:rsidRPr="00F5723F">
        <w:rPr>
          <w:szCs w:val="19"/>
        </w:rPr>
        <w:t>.</w:t>
      </w:r>
      <w:r w:rsidRPr="00F5723F">
        <w:rPr>
          <w:i/>
          <w:szCs w:val="19"/>
        </w:rPr>
        <w:t xml:space="preserve"> </w:t>
      </w:r>
      <w:r w:rsidRPr="00F5723F">
        <w:rPr>
          <w:szCs w:val="19"/>
        </w:rPr>
        <w:t>Uppsala, Stockholm.</w:t>
      </w:r>
    </w:p>
    <w:p w:rsidR="00B43C57" w:rsidRPr="00F5723F" w:rsidRDefault="00B43C57">
      <w:pPr>
        <w:spacing w:line="240" w:lineRule="auto"/>
        <w:ind w:left="284" w:hanging="284"/>
        <w:rPr>
          <w:szCs w:val="19"/>
        </w:rPr>
      </w:pPr>
      <w:r w:rsidRPr="00F5723F">
        <w:rPr>
          <w:szCs w:val="19"/>
        </w:rPr>
        <w:t xml:space="preserve">Brändström, Dan (1972), </w:t>
      </w:r>
      <w:r w:rsidRPr="00F5723F">
        <w:rPr>
          <w:i/>
          <w:szCs w:val="19"/>
        </w:rPr>
        <w:t xml:space="preserve">Nomineringsförfarande vid riksdagsval. En studie av partiernas kandidatnomineringar inför 1970 års val. </w:t>
      </w:r>
      <w:r w:rsidRPr="00F5723F">
        <w:rPr>
          <w:szCs w:val="19"/>
        </w:rPr>
        <w:t>Undersökning u</w:t>
      </w:r>
      <w:r w:rsidRPr="00F5723F">
        <w:rPr>
          <w:szCs w:val="19"/>
        </w:rPr>
        <w:t>t</w:t>
      </w:r>
      <w:r w:rsidRPr="00F5723F">
        <w:rPr>
          <w:szCs w:val="19"/>
        </w:rPr>
        <w:t>förd på uppdrag av G</w:t>
      </w:r>
      <w:r w:rsidRPr="00F5723F">
        <w:rPr>
          <w:szCs w:val="19"/>
        </w:rPr>
        <w:t>run</w:t>
      </w:r>
      <w:r w:rsidRPr="00F5723F">
        <w:rPr>
          <w:szCs w:val="19"/>
        </w:rPr>
        <w:t>d</w:t>
      </w:r>
      <w:r w:rsidRPr="00F5723F">
        <w:rPr>
          <w:szCs w:val="19"/>
        </w:rPr>
        <w:t>lagsberedningen, SOU 1972:17.</w:t>
      </w:r>
    </w:p>
    <w:p w:rsidR="00B43C57" w:rsidRPr="00F5723F" w:rsidRDefault="00B43C57">
      <w:pPr>
        <w:spacing w:line="240" w:lineRule="auto"/>
        <w:ind w:left="284" w:hanging="284"/>
        <w:rPr>
          <w:szCs w:val="19"/>
        </w:rPr>
      </w:pPr>
      <w:r w:rsidRPr="00F5723F">
        <w:rPr>
          <w:szCs w:val="19"/>
        </w:rPr>
        <w:t>Buch Jensen, Ro</w:t>
      </w:r>
      <w:r w:rsidRPr="00F5723F">
        <w:rPr>
          <w:szCs w:val="19"/>
        </w:rPr>
        <w:t>ger &amp; Ulrik Kjaer (1997), ”Rekru</w:t>
      </w:r>
      <w:r w:rsidRPr="00F5723F">
        <w:rPr>
          <w:szCs w:val="19"/>
        </w:rPr>
        <w:t>teringsprocessen: Udvae</w:t>
      </w:r>
      <w:r w:rsidRPr="00F5723F">
        <w:rPr>
          <w:szCs w:val="19"/>
        </w:rPr>
        <w:t>l</w:t>
      </w:r>
      <w:r w:rsidRPr="00F5723F">
        <w:rPr>
          <w:szCs w:val="19"/>
        </w:rPr>
        <w:t>gel</w:t>
      </w:r>
      <w:r w:rsidRPr="00F5723F">
        <w:rPr>
          <w:szCs w:val="19"/>
        </w:rPr>
        <w:t>se og selvudvaelgelse” sid. 88–</w:t>
      </w:r>
      <w:r w:rsidRPr="00F5723F">
        <w:rPr>
          <w:szCs w:val="19"/>
        </w:rPr>
        <w:t>105 i Jörgen Elklit &amp; Roger Buch Je</w:t>
      </w:r>
      <w:r w:rsidRPr="00F5723F">
        <w:rPr>
          <w:szCs w:val="19"/>
        </w:rPr>
        <w:t>n</w:t>
      </w:r>
      <w:r w:rsidRPr="00F5723F">
        <w:rPr>
          <w:szCs w:val="19"/>
        </w:rPr>
        <w:t xml:space="preserve">sen red. </w:t>
      </w:r>
      <w:r w:rsidRPr="00F5723F">
        <w:rPr>
          <w:szCs w:val="19"/>
        </w:rPr>
        <w:t xml:space="preserve">(1997), </w:t>
      </w:r>
      <w:r w:rsidRPr="00F5723F">
        <w:rPr>
          <w:i/>
          <w:szCs w:val="19"/>
        </w:rPr>
        <w:t>Kommunalvalg</w:t>
      </w:r>
      <w:r w:rsidRPr="00F5723F">
        <w:rPr>
          <w:szCs w:val="19"/>
        </w:rPr>
        <w:t xml:space="preserve">. </w:t>
      </w:r>
      <w:smartTag w:uri="urn:schemas-microsoft-com:office:smarttags" w:element="City">
        <w:r w:rsidRPr="00F5723F">
          <w:rPr>
            <w:szCs w:val="19"/>
          </w:rPr>
          <w:t>Odense</w:t>
        </w:r>
      </w:smartTag>
      <w:r w:rsidRPr="00F5723F">
        <w:rPr>
          <w:szCs w:val="19"/>
        </w:rPr>
        <w:t xml:space="preserve">: </w:t>
      </w:r>
      <w:smartTag w:uri="urn:schemas-microsoft-com:office:smarttags" w:element="place">
        <w:smartTag w:uri="urn:schemas-microsoft-com:office:smarttags" w:element="PlaceName">
          <w:r w:rsidRPr="00F5723F">
            <w:rPr>
              <w:szCs w:val="19"/>
            </w:rPr>
            <w:t>Odense</w:t>
          </w:r>
        </w:smartTag>
        <w:r w:rsidRPr="00F5723F">
          <w:rPr>
            <w:szCs w:val="19"/>
          </w:rPr>
          <w:t xml:space="preserve"> </w:t>
        </w:r>
        <w:smartTag w:uri="urn:schemas-microsoft-com:office:smarttags" w:element="PlaceType">
          <w:r w:rsidRPr="00F5723F">
            <w:rPr>
              <w:szCs w:val="19"/>
            </w:rPr>
            <w:t>University</w:t>
          </w:r>
        </w:smartTag>
      </w:smartTag>
      <w:r w:rsidRPr="00F5723F">
        <w:rPr>
          <w:szCs w:val="19"/>
        </w:rPr>
        <w:t xml:space="preserve"> Press.</w:t>
      </w:r>
    </w:p>
    <w:p w:rsidR="00B43C57" w:rsidRPr="00F5723F" w:rsidRDefault="00B43C57">
      <w:pPr>
        <w:spacing w:line="240" w:lineRule="auto"/>
        <w:ind w:left="284" w:hanging="284"/>
        <w:rPr>
          <w:szCs w:val="19"/>
        </w:rPr>
      </w:pPr>
      <w:r w:rsidRPr="00F5723F">
        <w:rPr>
          <w:szCs w:val="19"/>
        </w:rPr>
        <w:t>Burness, Catriona (2000</w:t>
      </w:r>
      <w:r w:rsidRPr="00F5723F">
        <w:rPr>
          <w:szCs w:val="19"/>
        </w:rPr>
        <w:t>), “</w:t>
      </w:r>
      <w:r w:rsidRPr="00F5723F">
        <w:rPr>
          <w:szCs w:val="19"/>
        </w:rPr>
        <w:t>Young Swedish members of parliament: changing the world?”</w:t>
      </w:r>
      <w:r w:rsidRPr="00F5723F">
        <w:rPr>
          <w:szCs w:val="19"/>
        </w:rPr>
        <w:t xml:space="preserve"> i </w:t>
      </w:r>
      <w:r w:rsidRPr="00F5723F">
        <w:rPr>
          <w:i/>
          <w:szCs w:val="19"/>
        </w:rPr>
        <w:t>NORA</w:t>
      </w:r>
      <w:r w:rsidRPr="00F5723F">
        <w:rPr>
          <w:szCs w:val="19"/>
        </w:rPr>
        <w:t xml:space="preserve"> 8 (2000):2, sid. 93–106.</w:t>
      </w:r>
    </w:p>
    <w:p w:rsidR="00B43C57" w:rsidRPr="00F5723F" w:rsidRDefault="00B43C57">
      <w:pPr>
        <w:spacing w:line="240" w:lineRule="auto"/>
        <w:ind w:left="284" w:hanging="284"/>
        <w:rPr>
          <w:szCs w:val="19"/>
        </w:rPr>
      </w:pPr>
      <w:r w:rsidRPr="00F5723F">
        <w:rPr>
          <w:szCs w:val="19"/>
        </w:rPr>
        <w:t xml:space="preserve">Bäck, Henry (2000), </w:t>
      </w:r>
      <w:r w:rsidRPr="00F5723F">
        <w:rPr>
          <w:i/>
          <w:szCs w:val="19"/>
        </w:rPr>
        <w:t xml:space="preserve">Kommunpolitiker i den stora nydaningens tid. </w:t>
      </w:r>
      <w:r w:rsidRPr="00F5723F">
        <w:rPr>
          <w:szCs w:val="19"/>
        </w:rPr>
        <w:t>Malmö: Liber.</w:t>
      </w:r>
    </w:p>
    <w:p w:rsidR="00B43C57" w:rsidRPr="00F5723F" w:rsidRDefault="00B43C57">
      <w:pPr>
        <w:spacing w:line="240" w:lineRule="auto"/>
        <w:ind w:left="284" w:hanging="284"/>
        <w:rPr>
          <w:szCs w:val="19"/>
        </w:rPr>
      </w:pPr>
      <w:r w:rsidRPr="00F5723F">
        <w:rPr>
          <w:szCs w:val="19"/>
        </w:rPr>
        <w:t xml:space="preserve">Carbin, Maria och Anne Maria Holli (2002), ”The Meanings of Gender Equality, a Discursive Analysis of the Socialist Parties in </w:t>
      </w:r>
      <w:smartTag w:uri="urn:schemas-microsoft-com:office:smarttags" w:element="country-region">
        <w:r w:rsidRPr="00F5723F">
          <w:rPr>
            <w:szCs w:val="19"/>
          </w:rPr>
          <w:t>Sweden</w:t>
        </w:r>
      </w:smartTag>
      <w:r w:rsidRPr="00F5723F">
        <w:rPr>
          <w:szCs w:val="19"/>
        </w:rPr>
        <w:t xml:space="preserve"> and </w:t>
      </w:r>
      <w:smartTag w:uri="urn:schemas-microsoft-com:office:smarttags" w:element="country-region">
        <w:smartTag w:uri="urn:schemas-microsoft-com:office:smarttags" w:element="place">
          <w:r w:rsidRPr="00F5723F">
            <w:rPr>
              <w:szCs w:val="19"/>
            </w:rPr>
            <w:t>Finland</w:t>
          </w:r>
        </w:smartTag>
      </w:smartTag>
      <w:r w:rsidRPr="00F5723F">
        <w:rPr>
          <w:szCs w:val="19"/>
        </w:rPr>
        <w:t>”</w:t>
      </w:r>
      <w:r w:rsidRPr="00F5723F">
        <w:rPr>
          <w:szCs w:val="19"/>
        </w:rPr>
        <w:t>.</w:t>
      </w:r>
      <w:r w:rsidRPr="00F5723F">
        <w:rPr>
          <w:szCs w:val="19"/>
        </w:rPr>
        <w:t xml:space="preserve"> Paper presented at the NOPSA Conferenc</w:t>
      </w:r>
      <w:r w:rsidRPr="00F5723F">
        <w:rPr>
          <w:szCs w:val="19"/>
        </w:rPr>
        <w:t>e, Aalborgs universit, August 15–</w:t>
      </w:r>
      <w:r w:rsidRPr="00F5723F">
        <w:rPr>
          <w:szCs w:val="19"/>
        </w:rPr>
        <w:t>17.</w:t>
      </w:r>
    </w:p>
    <w:p w:rsidR="00B43C57" w:rsidRPr="00F5723F" w:rsidRDefault="00B43C57">
      <w:pPr>
        <w:spacing w:line="240" w:lineRule="auto"/>
        <w:ind w:left="284" w:hanging="284"/>
        <w:rPr>
          <w:szCs w:val="19"/>
        </w:rPr>
      </w:pPr>
      <w:r w:rsidRPr="00F5723F">
        <w:rPr>
          <w:szCs w:val="19"/>
        </w:rPr>
        <w:t xml:space="preserve">Carlsson, Christina (1986), </w:t>
      </w:r>
      <w:r w:rsidRPr="00F5723F">
        <w:rPr>
          <w:i/>
          <w:szCs w:val="19"/>
        </w:rPr>
        <w:t xml:space="preserve">Kvinnosyn och kvinnopolitik. </w:t>
      </w:r>
      <w:r w:rsidRPr="00F5723F">
        <w:rPr>
          <w:i/>
          <w:szCs w:val="19"/>
        </w:rPr>
        <w:t>En studie av svensk sociald</w:t>
      </w:r>
      <w:r w:rsidRPr="00F5723F">
        <w:rPr>
          <w:i/>
          <w:szCs w:val="19"/>
        </w:rPr>
        <w:t>e</w:t>
      </w:r>
      <w:r w:rsidRPr="00F5723F">
        <w:rPr>
          <w:i/>
          <w:szCs w:val="19"/>
        </w:rPr>
        <w:t>mokrati 1880–</w:t>
      </w:r>
      <w:r w:rsidRPr="00F5723F">
        <w:rPr>
          <w:i/>
          <w:szCs w:val="19"/>
        </w:rPr>
        <w:t>1910</w:t>
      </w:r>
      <w:r w:rsidRPr="00F5723F">
        <w:rPr>
          <w:szCs w:val="19"/>
        </w:rPr>
        <w:t xml:space="preserve">. </w:t>
      </w:r>
      <w:smartTag w:uri="urn:schemas-microsoft-com:office:smarttags" w:element="City">
        <w:smartTag w:uri="urn:schemas-microsoft-com:office:smarttags" w:element="place">
          <w:r w:rsidRPr="00F5723F">
            <w:rPr>
              <w:szCs w:val="19"/>
            </w:rPr>
            <w:t>Lund</w:t>
          </w:r>
        </w:smartTag>
      </w:smartTag>
      <w:r w:rsidRPr="00F5723F">
        <w:rPr>
          <w:szCs w:val="19"/>
        </w:rPr>
        <w:t>: Lunds universitet.</w:t>
      </w:r>
    </w:p>
    <w:p w:rsidR="00B43C57" w:rsidRPr="00F5723F" w:rsidRDefault="00B43C57">
      <w:pPr>
        <w:spacing w:line="240" w:lineRule="auto"/>
        <w:ind w:left="284" w:hanging="284"/>
        <w:rPr>
          <w:szCs w:val="19"/>
        </w:rPr>
      </w:pPr>
      <w:r w:rsidRPr="00F5723F">
        <w:rPr>
          <w:szCs w:val="19"/>
        </w:rPr>
        <w:t xml:space="preserve">Caul, Miki (1999), ”Women’s representation in Parliament: The Role of Political Parties” i </w:t>
      </w:r>
      <w:r w:rsidRPr="00F5723F">
        <w:rPr>
          <w:i/>
          <w:szCs w:val="19"/>
        </w:rPr>
        <w:t>Party Politics</w:t>
      </w:r>
      <w:r w:rsidRPr="00F5723F">
        <w:rPr>
          <w:szCs w:val="19"/>
        </w:rPr>
        <w:t xml:space="preserve"> 5, no 1:79–</w:t>
      </w:r>
      <w:r w:rsidRPr="00F5723F">
        <w:rPr>
          <w:szCs w:val="19"/>
        </w:rPr>
        <w:t>98.</w:t>
      </w:r>
    </w:p>
    <w:p w:rsidR="00B43C57" w:rsidRPr="00F5723F" w:rsidRDefault="00B43C57">
      <w:pPr>
        <w:spacing w:line="240" w:lineRule="auto"/>
        <w:ind w:left="284" w:hanging="284"/>
        <w:rPr>
          <w:szCs w:val="19"/>
        </w:rPr>
      </w:pPr>
      <w:r w:rsidRPr="00F5723F">
        <w:rPr>
          <w:szCs w:val="19"/>
        </w:rPr>
        <w:t xml:space="preserve">Caul, Miki (2001), ”Political Parties and the Adoption of Candidate Gender Quotas: A Cross-National Analysis” i </w:t>
      </w:r>
      <w:r w:rsidRPr="00F5723F">
        <w:rPr>
          <w:i/>
          <w:szCs w:val="19"/>
        </w:rPr>
        <w:t>The Journal of Politics</w:t>
      </w:r>
      <w:r w:rsidRPr="00F5723F">
        <w:rPr>
          <w:szCs w:val="19"/>
        </w:rPr>
        <w:t xml:space="preserve"> 63, no 4:1214–</w:t>
      </w:r>
      <w:r w:rsidRPr="00F5723F">
        <w:rPr>
          <w:szCs w:val="19"/>
        </w:rPr>
        <w:t>1229.</w:t>
      </w:r>
    </w:p>
    <w:p w:rsidR="00B43C57" w:rsidRPr="00F5723F" w:rsidRDefault="00B43C57">
      <w:pPr>
        <w:spacing w:line="240" w:lineRule="auto"/>
        <w:ind w:left="284" w:hanging="284"/>
        <w:rPr>
          <w:szCs w:val="19"/>
        </w:rPr>
      </w:pPr>
      <w:r w:rsidRPr="00F5723F">
        <w:rPr>
          <w:szCs w:val="19"/>
        </w:rPr>
        <w:t xml:space="preserve">Christensen, Ann-Dorte (1999), ”Kvinder i de politiske partier” sid. 62–81 i Christina Bergqvist red. (1999), </w:t>
      </w:r>
      <w:r w:rsidRPr="00F5723F">
        <w:rPr>
          <w:i/>
          <w:szCs w:val="19"/>
        </w:rPr>
        <w:t>Likestilte demokratier? Kjønn og politikk i Norden.</w:t>
      </w:r>
      <w:r w:rsidRPr="00F5723F">
        <w:rPr>
          <w:szCs w:val="19"/>
        </w:rPr>
        <w:t xml:space="preserve"> Oslo: Universitetsforlaget.</w:t>
      </w:r>
    </w:p>
    <w:p w:rsidR="00B43C57" w:rsidRPr="00F5723F" w:rsidRDefault="00B43C57">
      <w:pPr>
        <w:spacing w:line="240" w:lineRule="auto"/>
        <w:ind w:left="284" w:hanging="284"/>
        <w:rPr>
          <w:szCs w:val="19"/>
        </w:rPr>
      </w:pPr>
      <w:r w:rsidRPr="00F5723F">
        <w:rPr>
          <w:szCs w:val="19"/>
        </w:rPr>
        <w:t xml:space="preserve">Christensen, Ann-Dorte, Anne-Birte Ravn och Iris Rittenhofer red. (1997), </w:t>
      </w:r>
      <w:r w:rsidRPr="00F5723F">
        <w:rPr>
          <w:i/>
          <w:szCs w:val="19"/>
        </w:rPr>
        <w:t>Det kønnede samfund. Førståelser af køn og social forandring</w:t>
      </w:r>
      <w:r w:rsidRPr="00F5723F">
        <w:rPr>
          <w:szCs w:val="19"/>
        </w:rPr>
        <w:t>. Ålborg: Aalborg Universitet</w:t>
      </w:r>
      <w:r w:rsidRPr="00F5723F">
        <w:rPr>
          <w:szCs w:val="19"/>
        </w:rPr>
        <w:t>s</w:t>
      </w:r>
      <w:r w:rsidRPr="00F5723F">
        <w:rPr>
          <w:szCs w:val="19"/>
        </w:rPr>
        <w:t>forlag.</w:t>
      </w:r>
    </w:p>
    <w:p w:rsidR="00B43C57" w:rsidRPr="00F5723F" w:rsidRDefault="00B43C57">
      <w:pPr>
        <w:spacing w:line="240" w:lineRule="auto"/>
        <w:ind w:left="284" w:hanging="284"/>
        <w:rPr>
          <w:szCs w:val="19"/>
        </w:rPr>
      </w:pPr>
      <w:r w:rsidRPr="00F5723F">
        <w:rPr>
          <w:szCs w:val="19"/>
        </w:rPr>
        <w:t xml:space="preserve">Christiansen, Peter Munk, Birgit Moller och Lise Togeby (2001), </w:t>
      </w:r>
      <w:r w:rsidRPr="00F5723F">
        <w:rPr>
          <w:i/>
          <w:szCs w:val="19"/>
        </w:rPr>
        <w:t>Den danske elite</w:t>
      </w:r>
      <w:r w:rsidRPr="00F5723F">
        <w:rPr>
          <w:szCs w:val="19"/>
        </w:rPr>
        <w:t xml:space="preserve">. </w:t>
      </w:r>
      <w:r w:rsidRPr="00F5723F">
        <w:rPr>
          <w:szCs w:val="19"/>
        </w:rPr>
        <w:t>Köpenhamn: Hans Reitzels Forlag.</w:t>
      </w:r>
    </w:p>
    <w:p w:rsidR="00B43C57" w:rsidRPr="00F5723F" w:rsidRDefault="00B43C57">
      <w:pPr>
        <w:spacing w:line="240" w:lineRule="auto"/>
        <w:ind w:left="284" w:hanging="284"/>
        <w:rPr>
          <w:szCs w:val="19"/>
        </w:rPr>
      </w:pPr>
      <w:r w:rsidRPr="00F5723F">
        <w:rPr>
          <w:szCs w:val="19"/>
        </w:rPr>
        <w:t xml:space="preserve">Dahlerup, Drude red. (kommande), </w:t>
      </w:r>
      <w:r w:rsidRPr="00F5723F">
        <w:rPr>
          <w:i/>
          <w:szCs w:val="19"/>
        </w:rPr>
        <w:t xml:space="preserve">Women in Politics: Electoral Quotas, Equality and Democracy. </w:t>
      </w:r>
      <w:r w:rsidRPr="00F5723F">
        <w:rPr>
          <w:szCs w:val="19"/>
        </w:rPr>
        <w:t xml:space="preserve">London: Routledge. </w:t>
      </w:r>
    </w:p>
    <w:p w:rsidR="00B43C57" w:rsidRPr="00F5723F" w:rsidRDefault="00B43C57">
      <w:pPr>
        <w:spacing w:line="240" w:lineRule="auto"/>
        <w:ind w:left="284" w:hanging="284"/>
        <w:rPr>
          <w:szCs w:val="19"/>
        </w:rPr>
      </w:pPr>
      <w:r w:rsidRPr="00F5723F">
        <w:rPr>
          <w:szCs w:val="19"/>
        </w:rPr>
        <w:t xml:space="preserve">Dahlerup, Drude (2003), ”Kommunal ligestillingspolitik som bagtrop?” i Borchorst och Dahlerup (2003), </w:t>
      </w:r>
      <w:r w:rsidRPr="00F5723F">
        <w:rPr>
          <w:i/>
          <w:szCs w:val="19"/>
        </w:rPr>
        <w:t>Ligestillingspolitik som diskurs og pra</w:t>
      </w:r>
      <w:r w:rsidRPr="00F5723F">
        <w:rPr>
          <w:i/>
          <w:szCs w:val="19"/>
        </w:rPr>
        <w:t>k</w:t>
      </w:r>
      <w:r w:rsidRPr="00F5723F">
        <w:rPr>
          <w:i/>
          <w:szCs w:val="19"/>
        </w:rPr>
        <w:t>sis.</w:t>
      </w:r>
      <w:r w:rsidRPr="00F5723F">
        <w:rPr>
          <w:szCs w:val="19"/>
        </w:rPr>
        <w:t xml:space="preserve"> Frederiksberg: Samfundslitteratur.</w:t>
      </w:r>
    </w:p>
    <w:p w:rsidR="00B43C57" w:rsidRPr="00F5723F" w:rsidRDefault="00B43C57">
      <w:pPr>
        <w:spacing w:line="240" w:lineRule="auto"/>
        <w:ind w:left="284" w:hanging="284"/>
        <w:rPr>
          <w:szCs w:val="19"/>
        </w:rPr>
      </w:pPr>
      <w:r w:rsidRPr="00F5723F">
        <w:rPr>
          <w:szCs w:val="19"/>
        </w:rPr>
        <w:t>Dahlerup, Drude (2002), ”Er ligestilling opnået? Ligestillingsdebattens fo</w:t>
      </w:r>
      <w:r w:rsidRPr="00F5723F">
        <w:rPr>
          <w:szCs w:val="19"/>
        </w:rPr>
        <w:t>r</w:t>
      </w:r>
      <w:r w:rsidRPr="00F5723F">
        <w:rPr>
          <w:szCs w:val="19"/>
        </w:rPr>
        <w:t xml:space="preserve">skellighed i Danmark och Sverige” sid. 226–246 i Anette Borchorst red. (2002), </w:t>
      </w:r>
      <w:r w:rsidRPr="00F5723F">
        <w:rPr>
          <w:i/>
          <w:szCs w:val="19"/>
        </w:rPr>
        <w:t>Kønsmagt under forandring.</w:t>
      </w:r>
      <w:r w:rsidRPr="00F5723F">
        <w:rPr>
          <w:szCs w:val="19"/>
        </w:rPr>
        <w:t xml:space="preserve"> Magtutredningen. Köpenhamn: Hans Reitzels Forlag.</w:t>
      </w:r>
    </w:p>
    <w:p w:rsidR="00B43C57" w:rsidRPr="00F5723F" w:rsidRDefault="00B43C57">
      <w:pPr>
        <w:spacing w:line="240" w:lineRule="auto"/>
        <w:ind w:left="284" w:hanging="284"/>
        <w:rPr>
          <w:szCs w:val="19"/>
        </w:rPr>
      </w:pPr>
      <w:r w:rsidRPr="00F5723F">
        <w:rPr>
          <w:szCs w:val="19"/>
        </w:rPr>
        <w:t xml:space="preserve">Dahlerup, Drude (1998), </w:t>
      </w:r>
      <w:r w:rsidRPr="00F5723F">
        <w:rPr>
          <w:i/>
          <w:szCs w:val="19"/>
        </w:rPr>
        <w:t xml:space="preserve">Rødstrømperne. </w:t>
      </w:r>
      <w:r w:rsidRPr="00F5723F">
        <w:rPr>
          <w:i/>
          <w:szCs w:val="19"/>
        </w:rPr>
        <w:t>Den danske Rødstrømpebevaegelses udvikling, nytaenkning og gennemslag 1970–1985</w:t>
      </w:r>
      <w:r w:rsidRPr="00F5723F">
        <w:rPr>
          <w:szCs w:val="19"/>
        </w:rPr>
        <w:t xml:space="preserve">. </w:t>
      </w:r>
      <w:r w:rsidRPr="00F5723F">
        <w:rPr>
          <w:szCs w:val="19"/>
        </w:rPr>
        <w:t>I, II, Haslev: Gylde</w:t>
      </w:r>
      <w:r w:rsidRPr="00F5723F">
        <w:rPr>
          <w:szCs w:val="19"/>
        </w:rPr>
        <w:t>n</w:t>
      </w:r>
      <w:r w:rsidRPr="00F5723F">
        <w:rPr>
          <w:szCs w:val="19"/>
        </w:rPr>
        <w:t>dal.</w:t>
      </w:r>
    </w:p>
    <w:p w:rsidR="00B43C57" w:rsidRPr="00F5723F" w:rsidRDefault="00B43C57">
      <w:pPr>
        <w:spacing w:line="240" w:lineRule="auto"/>
        <w:ind w:left="284" w:hanging="284"/>
        <w:rPr>
          <w:szCs w:val="19"/>
        </w:rPr>
      </w:pPr>
      <w:r w:rsidRPr="00F5723F">
        <w:rPr>
          <w:szCs w:val="19"/>
        </w:rPr>
        <w:t xml:space="preserve">Dahlerup, Drude (1994), </w:t>
      </w:r>
      <w:r w:rsidRPr="00F5723F">
        <w:rPr>
          <w:szCs w:val="19"/>
        </w:rPr>
        <w:t xml:space="preserve">”Learning to live with the state: State, Market and Civil Society: Women’s Need for State Intervention in East and West” i </w:t>
      </w:r>
      <w:r w:rsidRPr="00F5723F">
        <w:rPr>
          <w:i/>
          <w:szCs w:val="19"/>
        </w:rPr>
        <w:t>Women’s Studies International Forum</w:t>
      </w:r>
      <w:r w:rsidRPr="00F5723F">
        <w:rPr>
          <w:szCs w:val="19"/>
        </w:rPr>
        <w:t>, vol. 17, nos. 2/3, sid. 117–</w:t>
      </w:r>
      <w:r w:rsidRPr="00F5723F">
        <w:rPr>
          <w:szCs w:val="19"/>
        </w:rPr>
        <w:t>127.</w:t>
      </w:r>
    </w:p>
    <w:p w:rsidR="00B43C57" w:rsidRPr="00F5723F" w:rsidRDefault="00B43C57">
      <w:pPr>
        <w:spacing w:line="240" w:lineRule="auto"/>
        <w:ind w:left="284" w:hanging="284"/>
        <w:rPr>
          <w:szCs w:val="19"/>
        </w:rPr>
      </w:pPr>
      <w:r w:rsidRPr="00F5723F">
        <w:rPr>
          <w:szCs w:val="19"/>
        </w:rPr>
        <w:t xml:space="preserve">Dahlerup, Drude (1989), </w:t>
      </w:r>
      <w:r w:rsidRPr="00F5723F">
        <w:rPr>
          <w:i/>
          <w:szCs w:val="19"/>
        </w:rPr>
        <w:t>Vi har väntat länge nog – handbok i kvinnorepr</w:t>
      </w:r>
      <w:r w:rsidRPr="00F5723F">
        <w:rPr>
          <w:i/>
          <w:szCs w:val="19"/>
        </w:rPr>
        <w:t>e</w:t>
      </w:r>
      <w:r w:rsidRPr="00F5723F">
        <w:rPr>
          <w:i/>
          <w:szCs w:val="19"/>
        </w:rPr>
        <w:t>sentation.</w:t>
      </w:r>
      <w:r w:rsidRPr="00F5723F">
        <w:rPr>
          <w:szCs w:val="19"/>
        </w:rPr>
        <w:t xml:space="preserve"> </w:t>
      </w:r>
      <w:r w:rsidRPr="00F5723F">
        <w:rPr>
          <w:szCs w:val="19"/>
        </w:rPr>
        <w:t>Köpenhamn: Nordiska m</w:t>
      </w:r>
      <w:r w:rsidRPr="00F5723F">
        <w:rPr>
          <w:szCs w:val="19"/>
        </w:rPr>
        <w:t>inisterrådet.</w:t>
      </w:r>
    </w:p>
    <w:p w:rsidR="00B43C57" w:rsidRPr="00F5723F" w:rsidRDefault="00B43C57">
      <w:pPr>
        <w:spacing w:line="240" w:lineRule="auto"/>
        <w:ind w:left="284" w:hanging="284"/>
        <w:rPr>
          <w:szCs w:val="19"/>
        </w:rPr>
      </w:pPr>
      <w:r w:rsidRPr="00F5723F">
        <w:rPr>
          <w:szCs w:val="19"/>
        </w:rPr>
        <w:t>Dahlerup, Drude (1988), ”From a Small to a Large Minority: Women in Scand</w:t>
      </w:r>
      <w:r w:rsidRPr="00F5723F">
        <w:rPr>
          <w:szCs w:val="19"/>
        </w:rPr>
        <w:t>i</w:t>
      </w:r>
      <w:r w:rsidRPr="00F5723F">
        <w:rPr>
          <w:szCs w:val="19"/>
        </w:rPr>
        <w:t xml:space="preserve">navian Politics” i </w:t>
      </w:r>
      <w:r w:rsidRPr="00F5723F">
        <w:rPr>
          <w:i/>
          <w:szCs w:val="19"/>
        </w:rPr>
        <w:t>Scandinavian Political Studies</w:t>
      </w:r>
      <w:r w:rsidRPr="00F5723F">
        <w:rPr>
          <w:szCs w:val="19"/>
        </w:rPr>
        <w:t>, 1988:4, sid. 275–</w:t>
      </w:r>
      <w:r w:rsidRPr="00F5723F">
        <w:rPr>
          <w:szCs w:val="19"/>
        </w:rPr>
        <w:t>298.</w:t>
      </w:r>
    </w:p>
    <w:p w:rsidR="00B43C57" w:rsidRPr="00F5723F" w:rsidRDefault="00B43C57">
      <w:pPr>
        <w:spacing w:line="240" w:lineRule="auto"/>
        <w:ind w:left="284" w:hanging="284"/>
        <w:rPr>
          <w:szCs w:val="19"/>
        </w:rPr>
      </w:pPr>
      <w:r w:rsidRPr="00F5723F">
        <w:rPr>
          <w:szCs w:val="19"/>
        </w:rPr>
        <w:t xml:space="preserve">Dahlerup, Drude (1985), </w:t>
      </w:r>
      <w:r w:rsidRPr="00F5723F">
        <w:rPr>
          <w:i/>
          <w:szCs w:val="19"/>
        </w:rPr>
        <w:t>Blomster &amp; Spark. Samtaler med kvindelige politikere i Norden om deres historiske rolle – og deras dagligdag.</w:t>
      </w:r>
      <w:r w:rsidRPr="00F5723F">
        <w:rPr>
          <w:szCs w:val="19"/>
        </w:rPr>
        <w:t xml:space="preserve"> </w:t>
      </w:r>
      <w:smartTag w:uri="urn:schemas-microsoft-com:office:smarttags" w:element="City">
        <w:smartTag w:uri="urn:schemas-microsoft-com:office:smarttags" w:element="place">
          <w:r w:rsidRPr="00F5723F">
            <w:rPr>
              <w:szCs w:val="19"/>
            </w:rPr>
            <w:t>Stoc</w:t>
          </w:r>
          <w:r w:rsidRPr="00F5723F">
            <w:rPr>
              <w:szCs w:val="19"/>
            </w:rPr>
            <w:t>k</w:t>
          </w:r>
          <w:r w:rsidRPr="00F5723F">
            <w:rPr>
              <w:szCs w:val="19"/>
            </w:rPr>
            <w:t>holm</w:t>
          </w:r>
        </w:smartTag>
      </w:smartTag>
      <w:r w:rsidRPr="00F5723F">
        <w:rPr>
          <w:szCs w:val="19"/>
        </w:rPr>
        <w:t>: Nordiska m</w:t>
      </w:r>
      <w:r w:rsidRPr="00F5723F">
        <w:rPr>
          <w:szCs w:val="19"/>
        </w:rPr>
        <w:t>inisterrådet.</w:t>
      </w:r>
    </w:p>
    <w:p w:rsidR="00B43C57" w:rsidRPr="00F5723F" w:rsidRDefault="00B43C57">
      <w:pPr>
        <w:spacing w:line="240" w:lineRule="auto"/>
        <w:ind w:left="284" w:hanging="284"/>
        <w:rPr>
          <w:szCs w:val="19"/>
        </w:rPr>
      </w:pPr>
      <w:r w:rsidRPr="00F5723F">
        <w:rPr>
          <w:szCs w:val="19"/>
        </w:rPr>
        <w:t>Dahlerup, Drude (1984), ”Overcoming the barriers: An approach to the study of how women’s issues are kept form the political agenda” i Stiehm, J</w:t>
      </w:r>
      <w:r w:rsidRPr="00F5723F">
        <w:rPr>
          <w:szCs w:val="19"/>
        </w:rPr>
        <w:t>u</w:t>
      </w:r>
      <w:r w:rsidRPr="00F5723F">
        <w:rPr>
          <w:szCs w:val="19"/>
        </w:rPr>
        <w:t>dith H, red.</w:t>
      </w:r>
      <w:r w:rsidRPr="00F5723F">
        <w:rPr>
          <w:szCs w:val="19"/>
        </w:rPr>
        <w:t xml:space="preserve"> (1984), </w:t>
      </w:r>
      <w:r w:rsidRPr="00F5723F">
        <w:rPr>
          <w:i/>
          <w:szCs w:val="19"/>
        </w:rPr>
        <w:t xml:space="preserve">Women’s Views of the Political World of Men. </w:t>
      </w:r>
      <w:smartTag w:uri="urn:schemas-microsoft-com:office:smarttags" w:element="State">
        <w:smartTag w:uri="urn:schemas-microsoft-com:office:smarttags" w:element="place">
          <w:r w:rsidRPr="00F5723F">
            <w:rPr>
              <w:szCs w:val="19"/>
            </w:rPr>
            <w:t>New York</w:t>
          </w:r>
        </w:smartTag>
      </w:smartTag>
      <w:r w:rsidRPr="00F5723F">
        <w:rPr>
          <w:szCs w:val="19"/>
        </w:rPr>
        <w:t>: Transnational Pu</w:t>
      </w:r>
      <w:r w:rsidRPr="00F5723F">
        <w:rPr>
          <w:szCs w:val="19"/>
        </w:rPr>
        <w:t>b</w:t>
      </w:r>
      <w:r w:rsidRPr="00F5723F">
        <w:rPr>
          <w:szCs w:val="19"/>
        </w:rPr>
        <w:t>lishers, Inc.</w:t>
      </w:r>
    </w:p>
    <w:p w:rsidR="00B43C57" w:rsidRPr="00F5723F" w:rsidRDefault="00B43C57">
      <w:pPr>
        <w:spacing w:line="240" w:lineRule="auto"/>
        <w:ind w:left="284" w:hanging="284"/>
        <w:rPr>
          <w:i/>
          <w:szCs w:val="19"/>
        </w:rPr>
      </w:pPr>
      <w:r w:rsidRPr="00F5723F">
        <w:rPr>
          <w:szCs w:val="19"/>
        </w:rPr>
        <w:t xml:space="preserve">Dahlerup, Drude och Lenita Freidenvall (2005), ”Quotas as a Fast Track to Equal Representation of Women” i </w:t>
      </w:r>
      <w:r w:rsidRPr="00F5723F">
        <w:rPr>
          <w:i/>
          <w:szCs w:val="19"/>
        </w:rPr>
        <w:t xml:space="preserve">International Feminist Journal of Politics </w:t>
      </w:r>
      <w:r w:rsidRPr="00F5723F">
        <w:rPr>
          <w:szCs w:val="19"/>
        </w:rPr>
        <w:t>7:1</w:t>
      </w:r>
      <w:r w:rsidRPr="00F5723F">
        <w:rPr>
          <w:szCs w:val="19"/>
        </w:rPr>
        <w:t>, March 2005, sid. 1–</w:t>
      </w:r>
      <w:r w:rsidRPr="00F5723F">
        <w:rPr>
          <w:szCs w:val="19"/>
        </w:rPr>
        <w:t>22.</w:t>
      </w:r>
    </w:p>
    <w:p w:rsidR="00B43C57" w:rsidRPr="00F5723F" w:rsidRDefault="00B43C57">
      <w:pPr>
        <w:spacing w:line="240" w:lineRule="auto"/>
        <w:ind w:left="284" w:hanging="284"/>
        <w:rPr>
          <w:szCs w:val="19"/>
        </w:rPr>
      </w:pPr>
      <w:r w:rsidRPr="00F5723F">
        <w:rPr>
          <w:szCs w:val="19"/>
        </w:rPr>
        <w:t xml:space="preserve">Dahlerup, Drude och Lenita Freidenvall </w:t>
      </w:r>
      <w:r w:rsidRPr="00F5723F">
        <w:rPr>
          <w:szCs w:val="19"/>
        </w:rPr>
        <w:t xml:space="preserve">(2003), </w:t>
      </w:r>
      <w:r w:rsidRPr="00F5723F">
        <w:rPr>
          <w:szCs w:val="19"/>
        </w:rPr>
        <w:t>”Quotas as a Fast Track to Equal Pol</w:t>
      </w:r>
      <w:r w:rsidRPr="00F5723F">
        <w:rPr>
          <w:szCs w:val="19"/>
        </w:rPr>
        <w:t>itical Representation for Women</w:t>
      </w:r>
      <w:r w:rsidRPr="00F5723F">
        <w:rPr>
          <w:szCs w:val="19"/>
        </w:rPr>
        <w:t>”</w:t>
      </w:r>
      <w:r w:rsidRPr="00F5723F">
        <w:rPr>
          <w:szCs w:val="19"/>
        </w:rPr>
        <w:t>.</w:t>
      </w:r>
      <w:r w:rsidRPr="00F5723F">
        <w:rPr>
          <w:szCs w:val="19"/>
        </w:rPr>
        <w:t xml:space="preserve"> Paper presented to the IPSA World Congress in </w:t>
      </w:r>
      <w:smartTag w:uri="urn:schemas-microsoft-com:office:smarttags" w:element="City">
        <w:r w:rsidRPr="00F5723F">
          <w:rPr>
            <w:szCs w:val="19"/>
          </w:rPr>
          <w:t>Durban</w:t>
        </w:r>
      </w:smartTag>
      <w:r w:rsidRPr="00F5723F">
        <w:rPr>
          <w:szCs w:val="19"/>
        </w:rPr>
        <w:t xml:space="preserve">, </w:t>
      </w:r>
      <w:smartTag w:uri="urn:schemas-microsoft-com:office:smarttags" w:element="country-region">
        <w:r w:rsidRPr="00F5723F">
          <w:rPr>
            <w:szCs w:val="19"/>
          </w:rPr>
          <w:t>South Africa</w:t>
        </w:r>
      </w:smartTag>
      <w:r w:rsidRPr="00F5723F">
        <w:rPr>
          <w:szCs w:val="19"/>
        </w:rPr>
        <w:t xml:space="preserve">, June 2003 and to the APSA Conference in </w:t>
      </w:r>
      <w:smartTag w:uri="urn:schemas-microsoft-com:office:smarttags" w:element="place">
        <w:smartTag w:uri="urn:schemas-microsoft-com:office:smarttags" w:element="City">
          <w:r w:rsidRPr="00F5723F">
            <w:rPr>
              <w:szCs w:val="19"/>
            </w:rPr>
            <w:t>Philadelphia</w:t>
          </w:r>
        </w:smartTag>
        <w:r w:rsidRPr="00F5723F">
          <w:rPr>
            <w:szCs w:val="19"/>
          </w:rPr>
          <w:t xml:space="preserve">, </w:t>
        </w:r>
        <w:smartTag w:uri="urn:schemas-microsoft-com:office:smarttags" w:element="country-region">
          <w:r w:rsidRPr="00F5723F">
            <w:rPr>
              <w:szCs w:val="19"/>
            </w:rPr>
            <w:t>USA</w:t>
          </w:r>
        </w:smartTag>
      </w:smartTag>
      <w:r w:rsidRPr="00F5723F">
        <w:rPr>
          <w:szCs w:val="19"/>
        </w:rPr>
        <w:t>, August 2003.</w:t>
      </w:r>
    </w:p>
    <w:p w:rsidR="00B43C57" w:rsidRPr="00F5723F" w:rsidRDefault="00B43C57">
      <w:pPr>
        <w:spacing w:line="240" w:lineRule="auto"/>
        <w:ind w:left="284" w:hanging="284"/>
        <w:rPr>
          <w:szCs w:val="19"/>
        </w:rPr>
      </w:pPr>
      <w:r w:rsidRPr="00F5723F">
        <w:rPr>
          <w:szCs w:val="19"/>
        </w:rPr>
        <w:t xml:space="preserve">Dahlerup, Drude och Kristian Hvidt red. (1990), </w:t>
      </w:r>
      <w:r w:rsidRPr="00F5723F">
        <w:rPr>
          <w:i/>
          <w:szCs w:val="19"/>
        </w:rPr>
        <w:t>Kvinder på Tinge.</w:t>
      </w:r>
      <w:r w:rsidRPr="00F5723F">
        <w:rPr>
          <w:szCs w:val="19"/>
        </w:rPr>
        <w:t xml:space="preserve"> Köpe</w:t>
      </w:r>
      <w:r w:rsidRPr="00F5723F">
        <w:rPr>
          <w:szCs w:val="19"/>
        </w:rPr>
        <w:t>n</w:t>
      </w:r>
      <w:r w:rsidRPr="00F5723F">
        <w:rPr>
          <w:szCs w:val="19"/>
        </w:rPr>
        <w:t>hamn: Rosinante/Munksgaard.</w:t>
      </w:r>
    </w:p>
    <w:p w:rsidR="00B43C57" w:rsidRPr="00F5723F" w:rsidRDefault="00B43C57">
      <w:pPr>
        <w:spacing w:line="240" w:lineRule="auto"/>
        <w:ind w:left="284" w:hanging="284"/>
        <w:rPr>
          <w:szCs w:val="19"/>
        </w:rPr>
      </w:pPr>
      <w:r w:rsidRPr="00F5723F">
        <w:rPr>
          <w:szCs w:val="19"/>
        </w:rPr>
        <w:t xml:space="preserve">Dahlgren, Anita, Ole Elgström och Hans Albin Larsson (1985), </w:t>
      </w:r>
      <w:r w:rsidRPr="00F5723F">
        <w:rPr>
          <w:i/>
          <w:szCs w:val="19"/>
        </w:rPr>
        <w:t>Kvinnor påverkar. Centerns Kvinnoförbund ur tre vetenskapliga perspektiv</w:t>
      </w:r>
      <w:r w:rsidRPr="00F5723F">
        <w:rPr>
          <w:szCs w:val="19"/>
        </w:rPr>
        <w:t>. Stockholm: LT</w:t>
      </w:r>
      <w:r w:rsidRPr="00F5723F">
        <w:rPr>
          <w:szCs w:val="19"/>
        </w:rPr>
        <w:t>:</w:t>
      </w:r>
      <w:r w:rsidRPr="00F5723F">
        <w:rPr>
          <w:szCs w:val="19"/>
        </w:rPr>
        <w:t>s förlag.</w:t>
      </w:r>
    </w:p>
    <w:p w:rsidR="00B43C57" w:rsidRPr="00F5723F" w:rsidRDefault="00B43C57">
      <w:pPr>
        <w:spacing w:line="240" w:lineRule="auto"/>
        <w:ind w:left="284" w:hanging="284"/>
        <w:rPr>
          <w:szCs w:val="19"/>
        </w:rPr>
      </w:pPr>
      <w:r w:rsidRPr="00F5723F">
        <w:rPr>
          <w:szCs w:val="19"/>
        </w:rPr>
        <w:t xml:space="preserve">De los Reyes, Paulina, Irene Molina och Diana Mulinari (2002), </w:t>
      </w:r>
      <w:r w:rsidRPr="00F5723F">
        <w:rPr>
          <w:i/>
          <w:szCs w:val="19"/>
        </w:rPr>
        <w:t>Maktens (o)lika förklädnader: kön, klass och etnicitet i det postkoloniala Sverige. En festskrift till Wuokko Knocke</w:t>
      </w:r>
      <w:r w:rsidRPr="00F5723F">
        <w:rPr>
          <w:szCs w:val="19"/>
        </w:rPr>
        <w:t>. Stockholm: Atlas.</w:t>
      </w:r>
    </w:p>
    <w:p w:rsidR="00B43C57" w:rsidRPr="00F5723F" w:rsidRDefault="00B43C57">
      <w:pPr>
        <w:pStyle w:val="Fotnotstext"/>
        <w:spacing w:line="240" w:lineRule="auto"/>
        <w:ind w:left="284" w:hanging="284"/>
        <w:rPr>
          <w:sz w:val="19"/>
          <w:szCs w:val="19"/>
        </w:rPr>
      </w:pPr>
      <w:r w:rsidRPr="00F5723F">
        <w:rPr>
          <w:sz w:val="19"/>
          <w:szCs w:val="19"/>
        </w:rPr>
        <w:t>Djerf-Pierre, Monika och Birgitta Niklasson (2002), ”Vem vill ha jämställ</w:t>
      </w:r>
      <w:r w:rsidRPr="00F5723F">
        <w:rPr>
          <w:sz w:val="19"/>
          <w:szCs w:val="19"/>
        </w:rPr>
        <w:t>d</w:t>
      </w:r>
      <w:r w:rsidRPr="00F5723F">
        <w:rPr>
          <w:sz w:val="19"/>
          <w:szCs w:val="19"/>
        </w:rPr>
        <w:t>het?” i Sören Holmberg och Lennart Weibull red.</w:t>
      </w:r>
      <w:r w:rsidRPr="00F5723F">
        <w:rPr>
          <w:i/>
          <w:sz w:val="19"/>
          <w:szCs w:val="19"/>
        </w:rPr>
        <w:t xml:space="preserve"> Det våras för politiken. Trettiotvå artiklar om politik, medier och samhä</w:t>
      </w:r>
      <w:r w:rsidRPr="00F5723F">
        <w:rPr>
          <w:i/>
          <w:sz w:val="19"/>
          <w:szCs w:val="19"/>
        </w:rPr>
        <w:t>l</w:t>
      </w:r>
      <w:r w:rsidRPr="00F5723F">
        <w:rPr>
          <w:i/>
          <w:sz w:val="19"/>
          <w:szCs w:val="19"/>
        </w:rPr>
        <w:t xml:space="preserve">le. </w:t>
      </w:r>
      <w:r w:rsidRPr="00F5723F">
        <w:rPr>
          <w:sz w:val="19"/>
          <w:szCs w:val="19"/>
        </w:rPr>
        <w:t>Göt</w:t>
      </w:r>
      <w:r w:rsidRPr="00F5723F">
        <w:rPr>
          <w:sz w:val="19"/>
          <w:szCs w:val="19"/>
        </w:rPr>
        <w:t>eborg: SOM-institutet, sid. 317–</w:t>
      </w:r>
      <w:r w:rsidRPr="00F5723F">
        <w:rPr>
          <w:sz w:val="19"/>
          <w:szCs w:val="19"/>
        </w:rPr>
        <w:t>329.</w:t>
      </w:r>
    </w:p>
    <w:p w:rsidR="00B43C57" w:rsidRPr="00F5723F" w:rsidRDefault="00B43C57">
      <w:pPr>
        <w:spacing w:line="240" w:lineRule="auto"/>
        <w:ind w:left="284" w:hanging="284"/>
        <w:rPr>
          <w:szCs w:val="19"/>
        </w:rPr>
      </w:pPr>
      <w:r w:rsidRPr="00F5723F">
        <w:rPr>
          <w:szCs w:val="19"/>
        </w:rPr>
        <w:t xml:space="preserve">Drangel, Louise (1984), ”Folkpartiet och jämställdhetsfrågan” i </w:t>
      </w:r>
      <w:r w:rsidRPr="00F5723F">
        <w:rPr>
          <w:i/>
          <w:szCs w:val="19"/>
        </w:rPr>
        <w:t>Liberal ide</w:t>
      </w:r>
      <w:r w:rsidRPr="00F5723F">
        <w:rPr>
          <w:i/>
          <w:szCs w:val="19"/>
        </w:rPr>
        <w:t>o</w:t>
      </w:r>
      <w:r w:rsidRPr="00F5723F">
        <w:rPr>
          <w:i/>
          <w:szCs w:val="19"/>
        </w:rPr>
        <w:t>logi och politik 1934–</w:t>
      </w:r>
      <w:r w:rsidRPr="00F5723F">
        <w:rPr>
          <w:i/>
          <w:szCs w:val="19"/>
        </w:rPr>
        <w:t>1984</w:t>
      </w:r>
      <w:r w:rsidRPr="00F5723F">
        <w:rPr>
          <w:szCs w:val="19"/>
        </w:rPr>
        <w:t>. Falköping: AB Folk och Samhälle.</w:t>
      </w:r>
    </w:p>
    <w:p w:rsidR="00B43C57" w:rsidRPr="00F5723F" w:rsidRDefault="00B43C57">
      <w:pPr>
        <w:spacing w:line="240" w:lineRule="auto"/>
        <w:ind w:left="284" w:hanging="284"/>
        <w:rPr>
          <w:szCs w:val="19"/>
        </w:rPr>
      </w:pPr>
      <w:r w:rsidRPr="00F5723F">
        <w:rPr>
          <w:szCs w:val="19"/>
        </w:rPr>
        <w:t>Ds 1996:26</w:t>
      </w:r>
      <w:r w:rsidRPr="00F5723F">
        <w:rPr>
          <w:i/>
          <w:szCs w:val="19"/>
        </w:rPr>
        <w:t xml:space="preserve"> Genusperspektiv i forskningen</w:t>
      </w:r>
      <w:r w:rsidRPr="00F5723F">
        <w:rPr>
          <w:szCs w:val="19"/>
        </w:rPr>
        <w:t>,</w:t>
      </w:r>
      <w:r w:rsidRPr="00F5723F">
        <w:rPr>
          <w:szCs w:val="19"/>
        </w:rPr>
        <w:t xml:space="preserve"> </w:t>
      </w:r>
      <w:r w:rsidRPr="00F5723F">
        <w:rPr>
          <w:szCs w:val="19"/>
        </w:rPr>
        <w:t>Utbildningsdepartementet.</w:t>
      </w:r>
    </w:p>
    <w:p w:rsidR="00B43C57" w:rsidRPr="00F5723F" w:rsidRDefault="00B43C57">
      <w:pPr>
        <w:spacing w:line="240" w:lineRule="auto"/>
        <w:ind w:left="284" w:hanging="284"/>
        <w:rPr>
          <w:szCs w:val="19"/>
        </w:rPr>
      </w:pPr>
      <w:r w:rsidRPr="00F5723F">
        <w:rPr>
          <w:szCs w:val="19"/>
        </w:rPr>
        <w:t xml:space="preserve">DsA 1986:4 </w:t>
      </w:r>
      <w:r w:rsidRPr="00F5723F">
        <w:rPr>
          <w:szCs w:val="19"/>
        </w:rPr>
        <w:t>Ska ä</w:t>
      </w:r>
      <w:r w:rsidRPr="00F5723F">
        <w:rPr>
          <w:szCs w:val="19"/>
        </w:rPr>
        <w:t>ven morgondagens samhälle formas enbart av män?</w:t>
      </w:r>
      <w:r w:rsidRPr="00F5723F">
        <w:rPr>
          <w:szCs w:val="19"/>
        </w:rPr>
        <w:t xml:space="preserve"> Ra</w:t>
      </w:r>
      <w:r w:rsidRPr="00F5723F">
        <w:rPr>
          <w:szCs w:val="19"/>
        </w:rPr>
        <w:t>p</w:t>
      </w:r>
      <w:r w:rsidRPr="00F5723F">
        <w:rPr>
          <w:szCs w:val="19"/>
        </w:rPr>
        <w:t xml:space="preserve">port från utredningen om kvinnorepresentation. </w:t>
      </w:r>
      <w:smartTag w:uri="urn:schemas-microsoft-com:office:smarttags" w:element="City">
        <w:smartTag w:uri="urn:schemas-microsoft-com:office:smarttags" w:element="place">
          <w:r w:rsidRPr="00F5723F">
            <w:rPr>
              <w:szCs w:val="19"/>
            </w:rPr>
            <w:t>Stockholm</w:t>
          </w:r>
        </w:smartTag>
      </w:smartTag>
      <w:r w:rsidRPr="00F5723F">
        <w:rPr>
          <w:szCs w:val="19"/>
        </w:rPr>
        <w:t>: A</w:t>
      </w:r>
      <w:r w:rsidRPr="00F5723F">
        <w:rPr>
          <w:szCs w:val="19"/>
        </w:rPr>
        <w:t>r</w:t>
      </w:r>
      <w:r w:rsidRPr="00F5723F">
        <w:rPr>
          <w:szCs w:val="19"/>
        </w:rPr>
        <w:t>betsmarknad</w:t>
      </w:r>
      <w:r w:rsidRPr="00F5723F">
        <w:rPr>
          <w:szCs w:val="19"/>
        </w:rPr>
        <w:t>s</w:t>
      </w:r>
      <w:r w:rsidRPr="00F5723F">
        <w:rPr>
          <w:szCs w:val="19"/>
        </w:rPr>
        <w:t>departementet.</w:t>
      </w:r>
    </w:p>
    <w:p w:rsidR="00B43C57" w:rsidRPr="00F5723F" w:rsidRDefault="00B43C57">
      <w:pPr>
        <w:spacing w:line="240" w:lineRule="auto"/>
        <w:ind w:left="284" w:hanging="284"/>
        <w:rPr>
          <w:szCs w:val="19"/>
        </w:rPr>
      </w:pPr>
      <w:r w:rsidRPr="00F5723F">
        <w:rPr>
          <w:szCs w:val="19"/>
        </w:rPr>
        <w:t xml:space="preserve">Duverger, Maurice (1955), </w:t>
      </w:r>
      <w:r w:rsidRPr="00F5723F">
        <w:rPr>
          <w:i/>
          <w:szCs w:val="19"/>
        </w:rPr>
        <w:t>The Political Role of Women.</w:t>
      </w:r>
      <w:r w:rsidRPr="00F5723F">
        <w:rPr>
          <w:szCs w:val="19"/>
        </w:rPr>
        <w:t xml:space="preserve"> </w:t>
      </w:r>
      <w:smartTag w:uri="urn:schemas-microsoft-com:office:smarttags" w:element="City">
        <w:smartTag w:uri="urn:schemas-microsoft-com:office:smarttags" w:element="place">
          <w:r w:rsidRPr="00F5723F">
            <w:rPr>
              <w:szCs w:val="19"/>
            </w:rPr>
            <w:t>Paris</w:t>
          </w:r>
        </w:smartTag>
      </w:smartTag>
      <w:r w:rsidRPr="00F5723F">
        <w:rPr>
          <w:szCs w:val="19"/>
        </w:rPr>
        <w:t>: Unesco.</w:t>
      </w:r>
    </w:p>
    <w:p w:rsidR="00B43C57" w:rsidRPr="00F5723F" w:rsidRDefault="00B43C57">
      <w:pPr>
        <w:spacing w:line="240" w:lineRule="auto"/>
        <w:ind w:left="284" w:hanging="284"/>
        <w:rPr>
          <w:szCs w:val="19"/>
        </w:rPr>
      </w:pPr>
      <w:r w:rsidRPr="00F5723F">
        <w:rPr>
          <w:szCs w:val="19"/>
        </w:rPr>
        <w:t>Eduards, Maud (2002a),</w:t>
      </w:r>
      <w:r w:rsidRPr="00F5723F">
        <w:rPr>
          <w:i/>
          <w:szCs w:val="19"/>
        </w:rPr>
        <w:t xml:space="preserve"> Förbjuden handling. </w:t>
      </w:r>
      <w:r w:rsidRPr="00F5723F">
        <w:rPr>
          <w:i/>
          <w:szCs w:val="19"/>
        </w:rPr>
        <w:t>Om kvinnors or</w:t>
      </w:r>
      <w:r w:rsidRPr="00F5723F">
        <w:rPr>
          <w:i/>
          <w:szCs w:val="19"/>
        </w:rPr>
        <w:t>ganisering och feministisk teor.</w:t>
      </w:r>
      <w:r w:rsidRPr="00F5723F">
        <w:rPr>
          <w:i/>
          <w:szCs w:val="19"/>
        </w:rPr>
        <w:t xml:space="preserve"> </w:t>
      </w:r>
      <w:r w:rsidRPr="00F5723F">
        <w:rPr>
          <w:szCs w:val="19"/>
        </w:rPr>
        <w:t xml:space="preserve">Malmö: Liber. </w:t>
      </w:r>
    </w:p>
    <w:p w:rsidR="00B43C57" w:rsidRPr="00F5723F" w:rsidRDefault="00B43C57">
      <w:pPr>
        <w:spacing w:line="240" w:lineRule="auto"/>
        <w:ind w:left="284" w:hanging="284"/>
        <w:rPr>
          <w:szCs w:val="19"/>
        </w:rPr>
      </w:pPr>
      <w:r w:rsidRPr="00F5723F">
        <w:rPr>
          <w:szCs w:val="19"/>
        </w:rPr>
        <w:t xml:space="preserve">Eduards, Maud (2002b), ”Agerar män och kvinnor olika i politiken?” i </w:t>
      </w:r>
      <w:r w:rsidRPr="00F5723F">
        <w:rPr>
          <w:i/>
          <w:szCs w:val="19"/>
        </w:rPr>
        <w:t>Jä</w:t>
      </w:r>
      <w:r w:rsidRPr="00F5723F">
        <w:rPr>
          <w:i/>
          <w:szCs w:val="19"/>
        </w:rPr>
        <w:t>m</w:t>
      </w:r>
      <w:r w:rsidRPr="00F5723F">
        <w:rPr>
          <w:i/>
          <w:szCs w:val="19"/>
        </w:rPr>
        <w:t>ställdhet – en modesak eller ett ständigt pågående arbet</w:t>
      </w:r>
      <w:r w:rsidRPr="00F5723F">
        <w:rPr>
          <w:i/>
          <w:szCs w:val="19"/>
        </w:rPr>
        <w:t>e? Talmannens nätverk åren 1995–</w:t>
      </w:r>
      <w:r w:rsidRPr="00F5723F">
        <w:rPr>
          <w:i/>
          <w:szCs w:val="19"/>
        </w:rPr>
        <w:t>2002.</w:t>
      </w:r>
      <w:r w:rsidRPr="00F5723F">
        <w:rPr>
          <w:szCs w:val="19"/>
        </w:rPr>
        <w:t xml:space="preserve"> Stockholm: Sveriges r</w:t>
      </w:r>
      <w:r w:rsidRPr="00F5723F">
        <w:rPr>
          <w:szCs w:val="19"/>
        </w:rPr>
        <w:t>iksdag.</w:t>
      </w:r>
    </w:p>
    <w:p w:rsidR="00B43C57" w:rsidRPr="00F5723F" w:rsidRDefault="00B43C57">
      <w:pPr>
        <w:spacing w:line="240" w:lineRule="auto"/>
        <w:ind w:left="284" w:hanging="284"/>
        <w:rPr>
          <w:szCs w:val="19"/>
        </w:rPr>
      </w:pPr>
      <w:r w:rsidRPr="00F5723F">
        <w:rPr>
          <w:szCs w:val="19"/>
        </w:rPr>
        <w:t xml:space="preserve">Eduards, Maud och Ulrika Thomsson (1999), ”Jämställdhet – en kommunal angelägenhet?” i </w:t>
      </w:r>
      <w:r w:rsidRPr="00F5723F">
        <w:rPr>
          <w:i/>
          <w:szCs w:val="19"/>
        </w:rPr>
        <w:t>Kommunal ekonomi och politik</w:t>
      </w:r>
      <w:r w:rsidRPr="00F5723F">
        <w:rPr>
          <w:szCs w:val="19"/>
        </w:rPr>
        <w:t>, vol. 3. nr 4:77–</w:t>
      </w:r>
      <w:r w:rsidRPr="00F5723F">
        <w:rPr>
          <w:szCs w:val="19"/>
        </w:rPr>
        <w:t>96.</w:t>
      </w:r>
    </w:p>
    <w:p w:rsidR="00B43C57" w:rsidRPr="00F5723F" w:rsidRDefault="00B43C57">
      <w:pPr>
        <w:spacing w:line="240" w:lineRule="auto"/>
        <w:ind w:left="284" w:hanging="284"/>
        <w:rPr>
          <w:szCs w:val="19"/>
        </w:rPr>
      </w:pPr>
      <w:r w:rsidRPr="00F5723F">
        <w:rPr>
          <w:szCs w:val="19"/>
        </w:rPr>
        <w:t xml:space="preserve">Eduards, Maud och Gertrud Åström (1993), </w:t>
      </w:r>
      <w:r w:rsidRPr="00F5723F">
        <w:rPr>
          <w:i/>
          <w:szCs w:val="19"/>
        </w:rPr>
        <w:t>Många kände sig manade men få kall</w:t>
      </w:r>
      <w:r w:rsidRPr="00F5723F">
        <w:rPr>
          <w:i/>
          <w:szCs w:val="19"/>
        </w:rPr>
        <w:t>a</w:t>
      </w:r>
      <w:r w:rsidRPr="00F5723F">
        <w:rPr>
          <w:i/>
          <w:szCs w:val="19"/>
        </w:rPr>
        <w:t>de.</w:t>
      </w:r>
      <w:r w:rsidRPr="00F5723F">
        <w:rPr>
          <w:szCs w:val="19"/>
        </w:rPr>
        <w:t xml:space="preserve"> </w:t>
      </w:r>
      <w:smartTag w:uri="urn:schemas-microsoft-com:office:smarttags" w:element="City">
        <w:smartTag w:uri="urn:schemas-microsoft-com:office:smarttags" w:element="place">
          <w:r w:rsidRPr="00F5723F">
            <w:rPr>
              <w:szCs w:val="19"/>
            </w:rPr>
            <w:t>Stockholm</w:t>
          </w:r>
        </w:smartTag>
      </w:smartTag>
      <w:r w:rsidRPr="00F5723F">
        <w:rPr>
          <w:szCs w:val="19"/>
        </w:rPr>
        <w:t>: Socialdepartementet.</w:t>
      </w:r>
    </w:p>
    <w:p w:rsidR="00B43C57" w:rsidRPr="00F5723F" w:rsidRDefault="00B43C57">
      <w:pPr>
        <w:spacing w:line="240" w:lineRule="auto"/>
        <w:ind w:left="284" w:hanging="284"/>
        <w:rPr>
          <w:szCs w:val="19"/>
        </w:rPr>
      </w:pPr>
      <w:r w:rsidRPr="00F5723F">
        <w:rPr>
          <w:szCs w:val="19"/>
        </w:rPr>
        <w:t xml:space="preserve">Eduards, Maud (1997), ”Interpreting women’s organization” i Gunnel Gustafsson red. </w:t>
      </w:r>
      <w:r w:rsidRPr="00F5723F">
        <w:rPr>
          <w:szCs w:val="19"/>
        </w:rPr>
        <w:t xml:space="preserve">(1997), </w:t>
      </w:r>
      <w:r w:rsidRPr="00F5723F">
        <w:rPr>
          <w:i/>
          <w:szCs w:val="19"/>
        </w:rPr>
        <w:t>Towards a New Democratic Order</w:t>
      </w:r>
      <w:r w:rsidRPr="00F5723F">
        <w:rPr>
          <w:szCs w:val="19"/>
        </w:rPr>
        <w:t>. Stockholm: Pu</w:t>
      </w:r>
      <w:r w:rsidRPr="00F5723F">
        <w:rPr>
          <w:szCs w:val="19"/>
        </w:rPr>
        <w:t>b</w:t>
      </w:r>
      <w:r w:rsidRPr="00F5723F">
        <w:rPr>
          <w:szCs w:val="19"/>
        </w:rPr>
        <w:t>lica, sid. 1</w:t>
      </w:r>
      <w:r w:rsidRPr="00F5723F">
        <w:rPr>
          <w:szCs w:val="19"/>
        </w:rPr>
        <w:t>1–</w:t>
      </w:r>
      <w:r w:rsidRPr="00F5723F">
        <w:rPr>
          <w:szCs w:val="19"/>
        </w:rPr>
        <w:t>25.</w:t>
      </w:r>
    </w:p>
    <w:p w:rsidR="00B43C57" w:rsidRPr="00F5723F" w:rsidRDefault="00B43C57">
      <w:pPr>
        <w:spacing w:line="240" w:lineRule="auto"/>
        <w:ind w:left="284" w:hanging="284"/>
        <w:rPr>
          <w:szCs w:val="19"/>
        </w:rPr>
      </w:pPr>
      <w:r w:rsidRPr="00F5723F">
        <w:rPr>
          <w:szCs w:val="19"/>
        </w:rPr>
        <w:t xml:space="preserve">Eduards, Maud (1995), ”En allvarsam lek med ord” i </w:t>
      </w:r>
      <w:r w:rsidRPr="00F5723F">
        <w:rPr>
          <w:i/>
          <w:szCs w:val="19"/>
        </w:rPr>
        <w:t>Viljan att veta och vi</w:t>
      </w:r>
      <w:r w:rsidRPr="00F5723F">
        <w:rPr>
          <w:i/>
          <w:szCs w:val="19"/>
        </w:rPr>
        <w:t>l</w:t>
      </w:r>
      <w:r w:rsidRPr="00F5723F">
        <w:rPr>
          <w:i/>
          <w:szCs w:val="19"/>
        </w:rPr>
        <w:t>jan att förstå</w:t>
      </w:r>
      <w:r w:rsidRPr="00F5723F">
        <w:rPr>
          <w:szCs w:val="19"/>
        </w:rPr>
        <w:t xml:space="preserve"> (SOU 1995:100). Stockholm: Fritzes.</w:t>
      </w:r>
    </w:p>
    <w:p w:rsidR="00B43C57" w:rsidRPr="00F5723F" w:rsidRDefault="00B43C57">
      <w:pPr>
        <w:spacing w:line="240" w:lineRule="auto"/>
        <w:ind w:left="284" w:hanging="284"/>
        <w:rPr>
          <w:szCs w:val="19"/>
        </w:rPr>
      </w:pPr>
      <w:r w:rsidRPr="00F5723F">
        <w:rPr>
          <w:szCs w:val="19"/>
        </w:rPr>
        <w:t xml:space="preserve">Eduards, Maud (1980), </w:t>
      </w:r>
      <w:r w:rsidRPr="00F5723F">
        <w:rPr>
          <w:i/>
          <w:szCs w:val="19"/>
        </w:rPr>
        <w:t>Kvinnorepresentation och kvinnomakt.</w:t>
      </w:r>
      <w:r w:rsidRPr="00F5723F">
        <w:rPr>
          <w:szCs w:val="19"/>
        </w:rPr>
        <w:t xml:space="preserve"> Forskning</w:t>
      </w:r>
      <w:r w:rsidRPr="00F5723F">
        <w:rPr>
          <w:szCs w:val="19"/>
        </w:rPr>
        <w:t>s</w:t>
      </w:r>
      <w:r w:rsidRPr="00F5723F">
        <w:rPr>
          <w:szCs w:val="19"/>
        </w:rPr>
        <w:t>rapporter 1980:2. Stockholm</w:t>
      </w:r>
      <w:r w:rsidRPr="00F5723F">
        <w:rPr>
          <w:szCs w:val="19"/>
        </w:rPr>
        <w:t>s</w:t>
      </w:r>
      <w:r w:rsidRPr="00F5723F">
        <w:rPr>
          <w:szCs w:val="19"/>
        </w:rPr>
        <w:t xml:space="preserve"> universitet: Statsvetenskapliga instituti</w:t>
      </w:r>
      <w:r w:rsidRPr="00F5723F">
        <w:rPr>
          <w:szCs w:val="19"/>
        </w:rPr>
        <w:t>o</w:t>
      </w:r>
      <w:r w:rsidRPr="00F5723F">
        <w:rPr>
          <w:szCs w:val="19"/>
        </w:rPr>
        <w:t xml:space="preserve">nen. </w:t>
      </w:r>
    </w:p>
    <w:p w:rsidR="00B43C57" w:rsidRPr="00F5723F" w:rsidRDefault="00B43C57">
      <w:pPr>
        <w:spacing w:line="240" w:lineRule="auto"/>
        <w:ind w:left="284" w:hanging="284"/>
        <w:rPr>
          <w:szCs w:val="19"/>
        </w:rPr>
      </w:pPr>
      <w:r w:rsidRPr="00F5723F">
        <w:rPr>
          <w:szCs w:val="19"/>
        </w:rPr>
        <w:t xml:space="preserve">Eduards, Maud (1977), </w:t>
      </w:r>
      <w:r w:rsidRPr="00F5723F">
        <w:rPr>
          <w:i/>
          <w:szCs w:val="19"/>
        </w:rPr>
        <w:t xml:space="preserve">Kvinnor och politik – fakta och förklaringar. </w:t>
      </w:r>
      <w:r w:rsidRPr="00F5723F">
        <w:rPr>
          <w:szCs w:val="19"/>
        </w:rPr>
        <w:t>Stoc</w:t>
      </w:r>
      <w:r w:rsidRPr="00F5723F">
        <w:rPr>
          <w:szCs w:val="19"/>
        </w:rPr>
        <w:t>k</w:t>
      </w:r>
      <w:r w:rsidRPr="00F5723F">
        <w:rPr>
          <w:szCs w:val="19"/>
        </w:rPr>
        <w:t>holm: Liber.</w:t>
      </w:r>
    </w:p>
    <w:p w:rsidR="00B43C57" w:rsidRPr="00F5723F" w:rsidRDefault="00B43C57">
      <w:pPr>
        <w:spacing w:line="240" w:lineRule="auto"/>
        <w:ind w:left="284" w:hanging="284"/>
        <w:rPr>
          <w:szCs w:val="19"/>
        </w:rPr>
      </w:pPr>
      <w:r w:rsidRPr="00F5723F">
        <w:rPr>
          <w:szCs w:val="19"/>
        </w:rPr>
        <w:t xml:space="preserve">Erson, Svante och Jessika Wide, 2001, ”Valdeltagandet i Sverige: Variation i tid och rum” i Christer Jönsson red. (2001), </w:t>
      </w:r>
      <w:r w:rsidRPr="00F5723F">
        <w:rPr>
          <w:i/>
          <w:szCs w:val="19"/>
        </w:rPr>
        <w:t>Rösträtten 80 år –</w:t>
      </w:r>
      <w:r w:rsidRPr="00F5723F">
        <w:rPr>
          <w:i/>
          <w:szCs w:val="19"/>
        </w:rPr>
        <w:t xml:space="preserve"> forskara</w:t>
      </w:r>
      <w:r w:rsidRPr="00F5723F">
        <w:rPr>
          <w:i/>
          <w:szCs w:val="19"/>
        </w:rPr>
        <w:t>n</w:t>
      </w:r>
      <w:r w:rsidRPr="00F5723F">
        <w:rPr>
          <w:i/>
          <w:szCs w:val="19"/>
        </w:rPr>
        <w:t>tologi.</w:t>
      </w:r>
      <w:r w:rsidRPr="00F5723F">
        <w:rPr>
          <w:szCs w:val="19"/>
        </w:rPr>
        <w:t xml:space="preserve"> Stoc</w:t>
      </w:r>
      <w:r w:rsidRPr="00F5723F">
        <w:rPr>
          <w:szCs w:val="19"/>
        </w:rPr>
        <w:t>k</w:t>
      </w:r>
      <w:r w:rsidRPr="00F5723F">
        <w:rPr>
          <w:szCs w:val="19"/>
        </w:rPr>
        <w:t>holm: Justitiedepartementet.</w:t>
      </w:r>
    </w:p>
    <w:p w:rsidR="00B43C57" w:rsidRPr="00F5723F" w:rsidRDefault="00B43C57">
      <w:pPr>
        <w:spacing w:line="240" w:lineRule="auto"/>
        <w:ind w:left="284" w:hanging="284"/>
        <w:rPr>
          <w:szCs w:val="19"/>
        </w:rPr>
      </w:pPr>
      <w:r w:rsidRPr="00F5723F">
        <w:rPr>
          <w:szCs w:val="19"/>
        </w:rPr>
        <w:t>Esaiasson, Peter (1994), ”Om behovet av kvinn</w:t>
      </w:r>
      <w:r w:rsidRPr="00F5723F">
        <w:rPr>
          <w:szCs w:val="19"/>
        </w:rPr>
        <w:t>liga politiska ledare,” sid. 85 –</w:t>
      </w:r>
      <w:r w:rsidRPr="00F5723F">
        <w:rPr>
          <w:szCs w:val="19"/>
        </w:rPr>
        <w:t>96 i Sören Holmberg och Lennart Weibull (red</w:t>
      </w:r>
      <w:r w:rsidRPr="00F5723F">
        <w:rPr>
          <w:szCs w:val="19"/>
        </w:rPr>
        <w:t>.</w:t>
      </w:r>
      <w:r w:rsidRPr="00F5723F">
        <w:rPr>
          <w:szCs w:val="19"/>
        </w:rPr>
        <w:t xml:space="preserve">) 1994, </w:t>
      </w:r>
      <w:r w:rsidRPr="00F5723F">
        <w:rPr>
          <w:i/>
          <w:szCs w:val="19"/>
        </w:rPr>
        <w:t>Vägval.</w:t>
      </w:r>
      <w:r w:rsidRPr="00F5723F">
        <w:rPr>
          <w:szCs w:val="19"/>
        </w:rPr>
        <w:t xml:space="preserve"> Göt</w:t>
      </w:r>
      <w:r w:rsidRPr="00F5723F">
        <w:rPr>
          <w:szCs w:val="19"/>
        </w:rPr>
        <w:t>e</w:t>
      </w:r>
      <w:r w:rsidRPr="00F5723F">
        <w:rPr>
          <w:szCs w:val="19"/>
        </w:rPr>
        <w:t xml:space="preserve">borgs universitet: SOM-institutet. Rapport 11. </w:t>
      </w:r>
    </w:p>
    <w:p w:rsidR="00B43C57" w:rsidRPr="00F5723F" w:rsidRDefault="00B43C57">
      <w:pPr>
        <w:spacing w:line="240" w:lineRule="auto"/>
        <w:ind w:left="284" w:hanging="284"/>
        <w:rPr>
          <w:szCs w:val="19"/>
        </w:rPr>
      </w:pPr>
      <w:r w:rsidRPr="00F5723F">
        <w:rPr>
          <w:szCs w:val="19"/>
        </w:rPr>
        <w:t>Esaiasson, Peter och Sören Holmberg (1993), ”Power in the Swedish Parli</w:t>
      </w:r>
      <w:r w:rsidRPr="00F5723F">
        <w:rPr>
          <w:szCs w:val="19"/>
        </w:rPr>
        <w:t>a</w:t>
      </w:r>
      <w:r w:rsidRPr="00F5723F">
        <w:rPr>
          <w:szCs w:val="19"/>
        </w:rPr>
        <w:t xml:space="preserve">ment” </w:t>
      </w:r>
      <w:r w:rsidRPr="00F5723F">
        <w:rPr>
          <w:i/>
          <w:szCs w:val="19"/>
        </w:rPr>
        <w:t>Scandinavian Political Studies,</w:t>
      </w:r>
      <w:r w:rsidRPr="00F5723F">
        <w:rPr>
          <w:szCs w:val="19"/>
        </w:rPr>
        <w:t xml:space="preserve"> 3, sid. 227–250.</w:t>
      </w:r>
    </w:p>
    <w:p w:rsidR="00B43C57" w:rsidRPr="00F5723F" w:rsidRDefault="00B43C57">
      <w:pPr>
        <w:spacing w:line="240" w:lineRule="auto"/>
        <w:ind w:left="284" w:hanging="284"/>
        <w:rPr>
          <w:szCs w:val="19"/>
        </w:rPr>
      </w:pPr>
      <w:r w:rsidRPr="00F5723F">
        <w:rPr>
          <w:szCs w:val="19"/>
        </w:rPr>
        <w:t xml:space="preserve">Esaiasson, Peter och Sören Holmberg (1996), </w:t>
      </w:r>
      <w:r w:rsidRPr="00F5723F">
        <w:rPr>
          <w:i/>
          <w:szCs w:val="19"/>
        </w:rPr>
        <w:t>Representation from Above.</w:t>
      </w:r>
      <w:r w:rsidRPr="00F5723F">
        <w:rPr>
          <w:szCs w:val="19"/>
        </w:rPr>
        <w:t xml:space="preserve"> </w:t>
      </w:r>
      <w:r w:rsidRPr="00F5723F">
        <w:rPr>
          <w:szCs w:val="19"/>
        </w:rPr>
        <w:t>Hants: Dartmouth Publishing Company Limited.</w:t>
      </w:r>
    </w:p>
    <w:p w:rsidR="00B43C57" w:rsidRPr="00F5723F" w:rsidRDefault="00B43C57">
      <w:pPr>
        <w:spacing w:line="240" w:lineRule="auto"/>
        <w:ind w:left="284" w:hanging="284"/>
        <w:rPr>
          <w:i/>
          <w:szCs w:val="19"/>
        </w:rPr>
      </w:pPr>
      <w:r w:rsidRPr="00F5723F">
        <w:rPr>
          <w:szCs w:val="19"/>
        </w:rPr>
        <w:t xml:space="preserve">Esseveld, Johanna och Lisbeth Larsson, red. </w:t>
      </w:r>
      <w:r w:rsidRPr="00F5723F">
        <w:rPr>
          <w:szCs w:val="19"/>
        </w:rPr>
        <w:t xml:space="preserve">(1996), </w:t>
      </w:r>
      <w:r w:rsidRPr="00F5723F">
        <w:rPr>
          <w:i/>
          <w:szCs w:val="19"/>
        </w:rPr>
        <w:t>Kvinnopolitiska nycke</w:t>
      </w:r>
      <w:r w:rsidRPr="00F5723F">
        <w:rPr>
          <w:i/>
          <w:szCs w:val="19"/>
        </w:rPr>
        <w:t>l</w:t>
      </w:r>
      <w:r w:rsidRPr="00F5723F">
        <w:rPr>
          <w:i/>
          <w:szCs w:val="19"/>
        </w:rPr>
        <w:t>texter</w:t>
      </w:r>
      <w:r w:rsidRPr="00F5723F">
        <w:rPr>
          <w:i/>
          <w:szCs w:val="19"/>
        </w:rPr>
        <w:t xml:space="preserve">. </w:t>
      </w:r>
      <w:r w:rsidRPr="00F5723F">
        <w:rPr>
          <w:szCs w:val="19"/>
        </w:rPr>
        <w:t>Lund: studentlitteratur</w:t>
      </w:r>
      <w:r w:rsidRPr="00F5723F">
        <w:rPr>
          <w:szCs w:val="19"/>
        </w:rPr>
        <w:t>.</w:t>
      </w:r>
      <w:r w:rsidRPr="00F5723F">
        <w:rPr>
          <w:i/>
          <w:szCs w:val="19"/>
        </w:rPr>
        <w:t xml:space="preserve"> </w:t>
      </w:r>
    </w:p>
    <w:p w:rsidR="00B43C57" w:rsidRPr="00F5723F" w:rsidRDefault="00B43C57">
      <w:pPr>
        <w:spacing w:line="240" w:lineRule="auto"/>
        <w:ind w:left="284" w:hanging="284"/>
        <w:rPr>
          <w:szCs w:val="19"/>
        </w:rPr>
      </w:pPr>
      <w:r w:rsidRPr="00F5723F">
        <w:rPr>
          <w:szCs w:val="19"/>
        </w:rPr>
        <w:t xml:space="preserve">Florin, Christina (2004), ”Män som strategi: Rösträttskvinnornas informella vägar till det politiska medborgarskapet” i </w:t>
      </w:r>
      <w:r w:rsidRPr="00F5723F">
        <w:rPr>
          <w:i/>
          <w:szCs w:val="19"/>
        </w:rPr>
        <w:t>Än män då? Kön och feminism i Sverige under 150 å</w:t>
      </w:r>
      <w:r w:rsidRPr="00F5723F">
        <w:rPr>
          <w:i/>
          <w:szCs w:val="19"/>
        </w:rPr>
        <w:t>r</w:t>
      </w:r>
      <w:r w:rsidRPr="00F5723F">
        <w:rPr>
          <w:szCs w:val="19"/>
        </w:rPr>
        <w:t xml:space="preserve">, Yvonne Svanström och Kjell Östberg </w:t>
      </w:r>
      <w:r w:rsidRPr="00F5723F">
        <w:rPr>
          <w:szCs w:val="19"/>
        </w:rPr>
        <w:t>red. (2004), Stockholm, sid. 53–</w:t>
      </w:r>
      <w:r w:rsidRPr="00F5723F">
        <w:rPr>
          <w:szCs w:val="19"/>
        </w:rPr>
        <w:t>83.</w:t>
      </w:r>
    </w:p>
    <w:p w:rsidR="00B43C57" w:rsidRPr="00F5723F" w:rsidRDefault="00B43C57">
      <w:pPr>
        <w:spacing w:line="240" w:lineRule="auto"/>
        <w:ind w:left="284" w:hanging="284"/>
        <w:rPr>
          <w:szCs w:val="19"/>
        </w:rPr>
      </w:pPr>
      <w:r w:rsidRPr="00F5723F">
        <w:rPr>
          <w:szCs w:val="19"/>
        </w:rPr>
        <w:t>Florin, Christina och Josefin Rönnbäck (2001), ”Gamla och nya rum i polit</w:t>
      </w:r>
      <w:r w:rsidRPr="00F5723F">
        <w:rPr>
          <w:szCs w:val="19"/>
        </w:rPr>
        <w:t>i</w:t>
      </w:r>
      <w:r w:rsidRPr="00F5723F">
        <w:rPr>
          <w:szCs w:val="19"/>
        </w:rPr>
        <w:t xml:space="preserve">ken. Kvinnorösträttsrörelsen som bildningsprojekt” i </w:t>
      </w:r>
      <w:r w:rsidRPr="00F5723F">
        <w:rPr>
          <w:i/>
          <w:szCs w:val="19"/>
        </w:rPr>
        <w:t>Rösträtten 80 år –</w:t>
      </w:r>
      <w:r w:rsidRPr="00F5723F">
        <w:rPr>
          <w:i/>
          <w:szCs w:val="19"/>
        </w:rPr>
        <w:t xml:space="preserve"> forskarantologi</w:t>
      </w:r>
      <w:r w:rsidRPr="00F5723F">
        <w:rPr>
          <w:szCs w:val="19"/>
        </w:rPr>
        <w:t>, Christer Jönsson red. (2001).</w:t>
      </w:r>
      <w:r w:rsidRPr="00F5723F">
        <w:rPr>
          <w:szCs w:val="19"/>
        </w:rPr>
        <w:t xml:space="preserve"> Stockholm: Justitiedepa</w:t>
      </w:r>
      <w:r w:rsidRPr="00F5723F">
        <w:rPr>
          <w:szCs w:val="19"/>
        </w:rPr>
        <w:t>r</w:t>
      </w:r>
      <w:r w:rsidRPr="00F5723F">
        <w:rPr>
          <w:szCs w:val="19"/>
        </w:rPr>
        <w:t>tementet.</w:t>
      </w:r>
    </w:p>
    <w:p w:rsidR="00B43C57" w:rsidRPr="00F5723F" w:rsidRDefault="00B43C57">
      <w:pPr>
        <w:spacing w:line="240" w:lineRule="auto"/>
        <w:ind w:left="284" w:hanging="284"/>
        <w:rPr>
          <w:szCs w:val="19"/>
        </w:rPr>
      </w:pPr>
      <w:r w:rsidRPr="00F5723F">
        <w:rPr>
          <w:szCs w:val="19"/>
        </w:rPr>
        <w:t xml:space="preserve">Florin, Christina och Bengt Nilsson (2000), </w:t>
      </w:r>
      <w:r w:rsidRPr="00F5723F">
        <w:rPr>
          <w:i/>
          <w:szCs w:val="19"/>
        </w:rPr>
        <w:t>Något som liknar en oblodig revolution. Jämställdhetens politisering under 1960- och 1970-talen</w:t>
      </w:r>
      <w:r w:rsidRPr="00F5723F">
        <w:rPr>
          <w:szCs w:val="19"/>
        </w:rPr>
        <w:t xml:space="preserve"> (omarbetad och översatt version). Umeå: J</w:t>
      </w:r>
      <w:r w:rsidRPr="00F5723F">
        <w:rPr>
          <w:szCs w:val="19"/>
        </w:rPr>
        <w:t>ämställdhetskommittén vid Umeå u</w:t>
      </w:r>
      <w:r w:rsidRPr="00F5723F">
        <w:rPr>
          <w:szCs w:val="19"/>
        </w:rPr>
        <w:t>nivers</w:t>
      </w:r>
      <w:r w:rsidRPr="00F5723F">
        <w:rPr>
          <w:szCs w:val="19"/>
        </w:rPr>
        <w:t>i</w:t>
      </w:r>
      <w:r w:rsidRPr="00F5723F">
        <w:rPr>
          <w:szCs w:val="19"/>
        </w:rPr>
        <w:t>tet.</w:t>
      </w:r>
    </w:p>
    <w:p w:rsidR="00B43C57" w:rsidRPr="00F5723F" w:rsidRDefault="00B43C57">
      <w:pPr>
        <w:spacing w:line="240" w:lineRule="auto"/>
        <w:ind w:left="284" w:hanging="284"/>
        <w:rPr>
          <w:szCs w:val="19"/>
        </w:rPr>
      </w:pPr>
      <w:r w:rsidRPr="00F5723F">
        <w:rPr>
          <w:szCs w:val="19"/>
        </w:rPr>
        <w:t xml:space="preserve">Frangeur, Renée (1998), </w:t>
      </w:r>
      <w:r w:rsidRPr="00F5723F">
        <w:rPr>
          <w:i/>
          <w:szCs w:val="19"/>
        </w:rPr>
        <w:t xml:space="preserve">Yrkeskvinna eller makens </w:t>
      </w:r>
      <w:r w:rsidRPr="00F5723F">
        <w:rPr>
          <w:i/>
          <w:szCs w:val="19"/>
        </w:rPr>
        <w:t>tjänarinna? Striden om yrkesrät</w:t>
      </w:r>
      <w:r w:rsidRPr="00F5723F">
        <w:rPr>
          <w:i/>
          <w:szCs w:val="19"/>
        </w:rPr>
        <w:t>ten för gifta kvinnor i mellankrigstidens Sverige</w:t>
      </w:r>
      <w:r w:rsidRPr="00F5723F">
        <w:rPr>
          <w:szCs w:val="19"/>
        </w:rPr>
        <w:t xml:space="preserve">. </w:t>
      </w:r>
      <w:r w:rsidRPr="00F5723F">
        <w:rPr>
          <w:szCs w:val="19"/>
        </w:rPr>
        <w:t>Stockholm: A</w:t>
      </w:r>
      <w:r w:rsidRPr="00F5723F">
        <w:rPr>
          <w:szCs w:val="19"/>
        </w:rPr>
        <w:t>r</w:t>
      </w:r>
      <w:r w:rsidRPr="00F5723F">
        <w:rPr>
          <w:szCs w:val="19"/>
        </w:rPr>
        <w:t>kiv Förlag.</w:t>
      </w:r>
    </w:p>
    <w:p w:rsidR="00B43C57" w:rsidRPr="00F5723F" w:rsidRDefault="00B43C57">
      <w:pPr>
        <w:spacing w:line="240" w:lineRule="auto"/>
        <w:ind w:left="284" w:hanging="284"/>
        <w:rPr>
          <w:szCs w:val="19"/>
        </w:rPr>
      </w:pPr>
      <w:r w:rsidRPr="00F5723F">
        <w:rPr>
          <w:szCs w:val="19"/>
        </w:rPr>
        <w:t xml:space="preserve">Freidenvall, Lenita, Drude Dahlerup och Hege Skjeie (kommande), ”The Nordic countries: an incremental model” i Drude Dahlerup red., </w:t>
      </w:r>
      <w:r w:rsidRPr="00F5723F">
        <w:rPr>
          <w:i/>
          <w:szCs w:val="19"/>
        </w:rPr>
        <w:t xml:space="preserve">Women in Politics: Electoral Quotas, Equality and Democracy. </w:t>
      </w:r>
      <w:r w:rsidRPr="00F5723F">
        <w:rPr>
          <w:szCs w:val="19"/>
        </w:rPr>
        <w:t>London: Routl</w:t>
      </w:r>
      <w:r w:rsidRPr="00F5723F">
        <w:rPr>
          <w:szCs w:val="19"/>
        </w:rPr>
        <w:t>e</w:t>
      </w:r>
      <w:r w:rsidRPr="00F5723F">
        <w:rPr>
          <w:szCs w:val="19"/>
        </w:rPr>
        <w:t>ge.</w:t>
      </w:r>
    </w:p>
    <w:p w:rsidR="00B43C57" w:rsidRPr="00F5723F" w:rsidRDefault="00B43C57">
      <w:pPr>
        <w:pStyle w:val="Fotnotstext"/>
        <w:spacing w:line="240" w:lineRule="auto"/>
        <w:ind w:left="284" w:hanging="284"/>
        <w:rPr>
          <w:snapToGrid w:val="0"/>
          <w:color w:val="000000"/>
          <w:sz w:val="19"/>
          <w:szCs w:val="19"/>
        </w:rPr>
      </w:pPr>
      <w:r w:rsidRPr="00F5723F">
        <w:rPr>
          <w:snapToGrid w:val="0"/>
          <w:color w:val="000000"/>
          <w:sz w:val="19"/>
          <w:szCs w:val="19"/>
        </w:rPr>
        <w:t xml:space="preserve">Freidenvall, Lenita (kommande), </w:t>
      </w:r>
      <w:r w:rsidRPr="00F5723F">
        <w:rPr>
          <w:i/>
          <w:snapToGrid w:val="0"/>
          <w:color w:val="000000"/>
          <w:sz w:val="19"/>
          <w:szCs w:val="19"/>
        </w:rPr>
        <w:t>Från den obligatoriska kvinnan till vara</w:t>
      </w:r>
      <w:r w:rsidRPr="00F5723F">
        <w:rPr>
          <w:i/>
          <w:snapToGrid w:val="0"/>
          <w:color w:val="000000"/>
          <w:sz w:val="19"/>
          <w:szCs w:val="19"/>
        </w:rPr>
        <w:t>n</w:t>
      </w:r>
      <w:r w:rsidRPr="00F5723F">
        <w:rPr>
          <w:i/>
          <w:snapToGrid w:val="0"/>
          <w:color w:val="000000"/>
          <w:sz w:val="19"/>
          <w:szCs w:val="19"/>
        </w:rPr>
        <w:t>nan damernas. Politiska partier, kvinnore</w:t>
      </w:r>
      <w:r w:rsidRPr="00F5723F">
        <w:rPr>
          <w:i/>
          <w:snapToGrid w:val="0"/>
          <w:color w:val="000000"/>
          <w:sz w:val="19"/>
          <w:szCs w:val="19"/>
        </w:rPr>
        <w:t>presentation och kvotering 1970–</w:t>
      </w:r>
      <w:r w:rsidRPr="00F5723F">
        <w:rPr>
          <w:i/>
          <w:snapToGrid w:val="0"/>
          <w:color w:val="000000"/>
          <w:sz w:val="19"/>
          <w:szCs w:val="19"/>
        </w:rPr>
        <w:t xml:space="preserve">2002. </w:t>
      </w:r>
      <w:r w:rsidRPr="00F5723F">
        <w:rPr>
          <w:snapToGrid w:val="0"/>
          <w:color w:val="000000"/>
          <w:sz w:val="19"/>
          <w:szCs w:val="19"/>
        </w:rPr>
        <w:t>Stockholm: Statsvetenskapliga institutionen, Stockholms un</w:t>
      </w:r>
      <w:r w:rsidRPr="00F5723F">
        <w:rPr>
          <w:snapToGrid w:val="0"/>
          <w:color w:val="000000"/>
          <w:sz w:val="19"/>
          <w:szCs w:val="19"/>
        </w:rPr>
        <w:t>i</w:t>
      </w:r>
      <w:r w:rsidRPr="00F5723F">
        <w:rPr>
          <w:snapToGrid w:val="0"/>
          <w:color w:val="000000"/>
          <w:sz w:val="19"/>
          <w:szCs w:val="19"/>
        </w:rPr>
        <w:t>versitet.</w:t>
      </w:r>
    </w:p>
    <w:p w:rsidR="00B43C57" w:rsidRPr="00F5723F" w:rsidRDefault="00B43C57">
      <w:pPr>
        <w:spacing w:line="240" w:lineRule="auto"/>
        <w:ind w:left="284" w:hanging="284"/>
        <w:rPr>
          <w:szCs w:val="19"/>
        </w:rPr>
      </w:pPr>
      <w:r w:rsidRPr="00F5723F">
        <w:rPr>
          <w:szCs w:val="19"/>
        </w:rPr>
        <w:t>Freidenvall, Lenita (2003a), ”Debatten om den ’lilla’ rösträttsfrågan – en an</w:t>
      </w:r>
      <w:r w:rsidRPr="00F5723F">
        <w:rPr>
          <w:szCs w:val="19"/>
        </w:rPr>
        <w:t>alys av riksdagsdebatterna 1884–</w:t>
      </w:r>
      <w:r w:rsidRPr="00F5723F">
        <w:rPr>
          <w:szCs w:val="19"/>
        </w:rPr>
        <w:t xml:space="preserve">1921 om kvinnors rösträtt”. </w:t>
      </w:r>
      <w:r w:rsidRPr="00F5723F">
        <w:rPr>
          <w:i/>
          <w:szCs w:val="19"/>
        </w:rPr>
        <w:t>Working Papers 2003:1</w:t>
      </w:r>
      <w:r w:rsidRPr="00F5723F">
        <w:rPr>
          <w:szCs w:val="19"/>
        </w:rPr>
        <w:t>. Stockholms u</w:t>
      </w:r>
      <w:r w:rsidRPr="00F5723F">
        <w:rPr>
          <w:szCs w:val="19"/>
        </w:rPr>
        <w:t>niversitet: Statsvetenskapliga institutionen.</w:t>
      </w:r>
    </w:p>
    <w:p w:rsidR="00B43C57" w:rsidRPr="00F5723F" w:rsidRDefault="00B43C57">
      <w:pPr>
        <w:spacing w:line="240" w:lineRule="auto"/>
        <w:ind w:left="284" w:hanging="284"/>
        <w:rPr>
          <w:szCs w:val="19"/>
        </w:rPr>
      </w:pPr>
      <w:r w:rsidRPr="00F5723F">
        <w:rPr>
          <w:szCs w:val="19"/>
        </w:rPr>
        <w:t xml:space="preserve">Freidenvall, Lenita (2003b), ”Women’s political representation and gender quotas: the Swedish Case”. </w:t>
      </w:r>
      <w:r w:rsidRPr="00F5723F">
        <w:rPr>
          <w:i/>
          <w:szCs w:val="19"/>
        </w:rPr>
        <w:t>Working Paper Series 2003:2</w:t>
      </w:r>
      <w:r w:rsidRPr="00F5723F">
        <w:rPr>
          <w:szCs w:val="19"/>
        </w:rPr>
        <w:t>.</w:t>
      </w:r>
      <w:r w:rsidRPr="00F5723F">
        <w:rPr>
          <w:szCs w:val="19"/>
        </w:rPr>
        <w:t xml:space="preserve"> The Research Program on Gender Quotas, </w:t>
      </w:r>
      <w:smartTag w:uri="urn:schemas-microsoft-com:office:smarttags" w:element="place">
        <w:smartTag w:uri="urn:schemas-microsoft-com:office:smarttags" w:element="PlaceName">
          <w:r w:rsidRPr="00F5723F">
            <w:rPr>
              <w:szCs w:val="19"/>
            </w:rPr>
            <w:t>Stockholm</w:t>
          </w:r>
        </w:smartTag>
        <w:r w:rsidRPr="00F5723F">
          <w:rPr>
            <w:szCs w:val="19"/>
          </w:rPr>
          <w:t xml:space="preserve"> </w:t>
        </w:r>
        <w:smartTag w:uri="urn:schemas-microsoft-com:office:smarttags" w:element="PlaceType">
          <w:r w:rsidRPr="00F5723F">
            <w:rPr>
              <w:szCs w:val="19"/>
            </w:rPr>
            <w:t>University</w:t>
          </w:r>
        </w:smartTag>
      </w:smartTag>
      <w:r w:rsidRPr="00F5723F">
        <w:rPr>
          <w:szCs w:val="19"/>
        </w:rPr>
        <w:t>: Statsvetenskapliga i</w:t>
      </w:r>
      <w:r w:rsidRPr="00F5723F">
        <w:rPr>
          <w:szCs w:val="19"/>
        </w:rPr>
        <w:t>n</w:t>
      </w:r>
      <w:r w:rsidRPr="00F5723F">
        <w:rPr>
          <w:szCs w:val="19"/>
        </w:rPr>
        <w:t>stit</w:t>
      </w:r>
      <w:r w:rsidRPr="00F5723F">
        <w:rPr>
          <w:szCs w:val="19"/>
        </w:rPr>
        <w:t>u</w:t>
      </w:r>
      <w:r w:rsidRPr="00F5723F">
        <w:rPr>
          <w:szCs w:val="19"/>
        </w:rPr>
        <w:t>tionen.</w:t>
      </w:r>
    </w:p>
    <w:p w:rsidR="00B43C57" w:rsidRPr="00F5723F" w:rsidRDefault="00B43C57">
      <w:pPr>
        <w:spacing w:line="240" w:lineRule="auto"/>
        <w:ind w:left="284" w:hanging="284"/>
        <w:rPr>
          <w:szCs w:val="19"/>
        </w:rPr>
      </w:pPr>
      <w:r w:rsidRPr="00F5723F">
        <w:rPr>
          <w:szCs w:val="19"/>
        </w:rPr>
        <w:t>Freidenvall, Lenita (2000), ”As Time Goes By – The Meaning of Gender for Two Gen(d)erat</w:t>
      </w:r>
      <w:r w:rsidRPr="00F5723F">
        <w:rPr>
          <w:szCs w:val="19"/>
        </w:rPr>
        <w:t>ions of Women in Local Politics”</w:t>
      </w:r>
      <w:r w:rsidRPr="00F5723F">
        <w:rPr>
          <w:szCs w:val="19"/>
        </w:rPr>
        <w:t xml:space="preserve"> i </w:t>
      </w:r>
      <w:r w:rsidRPr="00F5723F">
        <w:rPr>
          <w:i/>
          <w:szCs w:val="19"/>
        </w:rPr>
        <w:t>GEP International Conference Report: Democracy, Modernity and Political Identities</w:t>
      </w:r>
      <w:r w:rsidRPr="00F5723F">
        <w:rPr>
          <w:szCs w:val="19"/>
        </w:rPr>
        <w:t xml:space="preserve">. </w:t>
      </w:r>
      <w:r w:rsidRPr="00F5723F">
        <w:rPr>
          <w:szCs w:val="19"/>
        </w:rPr>
        <w:t>Å</w:t>
      </w:r>
      <w:r w:rsidRPr="00F5723F">
        <w:rPr>
          <w:szCs w:val="19"/>
        </w:rPr>
        <w:t>a</w:t>
      </w:r>
      <w:r w:rsidRPr="00F5723F">
        <w:rPr>
          <w:szCs w:val="19"/>
        </w:rPr>
        <w:t>l</w:t>
      </w:r>
      <w:r w:rsidRPr="00F5723F">
        <w:rPr>
          <w:szCs w:val="19"/>
        </w:rPr>
        <w:t>borg: GEP sid. 51–</w:t>
      </w:r>
      <w:r w:rsidRPr="00F5723F">
        <w:rPr>
          <w:szCs w:val="19"/>
        </w:rPr>
        <w:t xml:space="preserve">82. </w:t>
      </w:r>
    </w:p>
    <w:p w:rsidR="00B43C57" w:rsidRPr="00F5723F" w:rsidRDefault="00B43C57">
      <w:pPr>
        <w:spacing w:line="240" w:lineRule="auto"/>
        <w:ind w:left="284" w:hanging="284"/>
        <w:rPr>
          <w:szCs w:val="19"/>
        </w:rPr>
      </w:pPr>
      <w:r w:rsidRPr="00F5723F">
        <w:rPr>
          <w:szCs w:val="19"/>
        </w:rPr>
        <w:t xml:space="preserve">Freidenvall, Lenita (1999), </w:t>
      </w:r>
      <w:r w:rsidRPr="00F5723F">
        <w:rPr>
          <w:i/>
          <w:szCs w:val="19"/>
        </w:rPr>
        <w:t>Betydelsen av kön i kommunalpolitiken ur ett generationsperspektiv.</w:t>
      </w:r>
      <w:r w:rsidRPr="00F5723F">
        <w:rPr>
          <w:szCs w:val="19"/>
        </w:rPr>
        <w:t xml:space="preserve"> Paper, m</w:t>
      </w:r>
      <w:r w:rsidRPr="00F5723F">
        <w:rPr>
          <w:szCs w:val="19"/>
        </w:rPr>
        <w:t>agisteruppsats. Stockholms universitet: Statsvetenskapliga inst</w:t>
      </w:r>
      <w:r w:rsidRPr="00F5723F">
        <w:rPr>
          <w:szCs w:val="19"/>
        </w:rPr>
        <w:t>i</w:t>
      </w:r>
      <w:r w:rsidRPr="00F5723F">
        <w:rPr>
          <w:szCs w:val="19"/>
        </w:rPr>
        <w:t>tutionen.</w:t>
      </w:r>
    </w:p>
    <w:p w:rsidR="00B43C57" w:rsidRPr="00F5723F" w:rsidRDefault="00B43C57">
      <w:pPr>
        <w:pStyle w:val="Fotnotstext"/>
        <w:spacing w:line="240" w:lineRule="auto"/>
        <w:ind w:left="284" w:hanging="284"/>
        <w:rPr>
          <w:sz w:val="19"/>
          <w:szCs w:val="19"/>
        </w:rPr>
      </w:pPr>
      <w:r w:rsidRPr="00F5723F">
        <w:rPr>
          <w:snapToGrid w:val="0"/>
          <w:color w:val="000000"/>
          <w:sz w:val="19"/>
          <w:szCs w:val="19"/>
        </w:rPr>
        <w:t>Freidenvall, Lenita, Drude Dahlerup och Hege Skjeie (kom</w:t>
      </w:r>
      <w:r w:rsidRPr="00F5723F">
        <w:rPr>
          <w:snapToGrid w:val="0"/>
          <w:color w:val="000000"/>
          <w:sz w:val="19"/>
          <w:szCs w:val="19"/>
        </w:rPr>
        <w:t>mande), ”</w:t>
      </w:r>
      <w:r w:rsidRPr="00F5723F">
        <w:rPr>
          <w:snapToGrid w:val="0"/>
          <w:color w:val="000000"/>
          <w:sz w:val="19"/>
          <w:szCs w:val="19"/>
        </w:rPr>
        <w:t xml:space="preserve">The Nordic Countries: An Incremental Model” i </w:t>
      </w:r>
      <w:r w:rsidRPr="00F5723F">
        <w:rPr>
          <w:sz w:val="19"/>
          <w:szCs w:val="19"/>
        </w:rPr>
        <w:t xml:space="preserve">Drude Dahlerup red. </w:t>
      </w:r>
      <w:r w:rsidRPr="00F5723F">
        <w:rPr>
          <w:sz w:val="19"/>
          <w:szCs w:val="19"/>
        </w:rPr>
        <w:t>(ko</w:t>
      </w:r>
      <w:r w:rsidRPr="00F5723F">
        <w:rPr>
          <w:sz w:val="19"/>
          <w:szCs w:val="19"/>
        </w:rPr>
        <w:t>m</w:t>
      </w:r>
      <w:r w:rsidRPr="00F5723F">
        <w:rPr>
          <w:sz w:val="19"/>
          <w:szCs w:val="19"/>
        </w:rPr>
        <w:t xml:space="preserve">mande), </w:t>
      </w:r>
      <w:r w:rsidRPr="00F5723F">
        <w:rPr>
          <w:i/>
          <w:sz w:val="19"/>
          <w:szCs w:val="19"/>
        </w:rPr>
        <w:t>Women in Politics: Ele</w:t>
      </w:r>
      <w:r w:rsidRPr="00F5723F">
        <w:rPr>
          <w:i/>
          <w:sz w:val="19"/>
          <w:szCs w:val="19"/>
        </w:rPr>
        <w:t>c</w:t>
      </w:r>
      <w:r w:rsidRPr="00F5723F">
        <w:rPr>
          <w:i/>
          <w:sz w:val="19"/>
          <w:szCs w:val="19"/>
        </w:rPr>
        <w:t xml:space="preserve">toral Quotas, Equality and Democracy. </w:t>
      </w:r>
      <w:smartTag w:uri="urn:schemas-microsoft-com:office:smarttags" w:element="City">
        <w:smartTag w:uri="urn:schemas-microsoft-com:office:smarttags" w:element="place">
          <w:r w:rsidRPr="00F5723F">
            <w:rPr>
              <w:sz w:val="19"/>
              <w:szCs w:val="19"/>
            </w:rPr>
            <w:t>London</w:t>
          </w:r>
        </w:smartTag>
      </w:smartTag>
      <w:r w:rsidRPr="00F5723F">
        <w:rPr>
          <w:sz w:val="19"/>
          <w:szCs w:val="19"/>
        </w:rPr>
        <w:t>: Routledge.</w:t>
      </w:r>
    </w:p>
    <w:p w:rsidR="00B43C57" w:rsidRPr="00F5723F" w:rsidRDefault="00B43C57">
      <w:pPr>
        <w:pStyle w:val="Fotnotstext"/>
        <w:spacing w:line="240" w:lineRule="auto"/>
        <w:ind w:left="284" w:hanging="284"/>
        <w:rPr>
          <w:snapToGrid w:val="0"/>
          <w:color w:val="000000"/>
          <w:sz w:val="19"/>
          <w:szCs w:val="19"/>
        </w:rPr>
      </w:pPr>
      <w:r w:rsidRPr="00F5723F">
        <w:rPr>
          <w:sz w:val="19"/>
          <w:szCs w:val="19"/>
        </w:rPr>
        <w:t xml:space="preserve">Förenta Nationerna, </w:t>
      </w:r>
      <w:r w:rsidRPr="00F5723F">
        <w:rPr>
          <w:i/>
          <w:sz w:val="19"/>
          <w:szCs w:val="19"/>
        </w:rPr>
        <w:t>Human Development Report 2000.</w:t>
      </w:r>
    </w:p>
    <w:p w:rsidR="00B43C57" w:rsidRPr="00F5723F" w:rsidRDefault="00B43C57">
      <w:pPr>
        <w:spacing w:line="240" w:lineRule="auto"/>
        <w:ind w:left="284" w:hanging="284"/>
        <w:rPr>
          <w:szCs w:val="19"/>
        </w:rPr>
      </w:pPr>
      <w:r w:rsidRPr="00F5723F">
        <w:rPr>
          <w:szCs w:val="19"/>
        </w:rPr>
        <w:t>Gemzöe, Lena (2002),</w:t>
      </w:r>
      <w:r w:rsidRPr="00F5723F">
        <w:rPr>
          <w:i/>
          <w:szCs w:val="19"/>
        </w:rPr>
        <w:t xml:space="preserve"> Feminism.</w:t>
      </w:r>
      <w:r w:rsidRPr="00F5723F">
        <w:rPr>
          <w:szCs w:val="19"/>
        </w:rPr>
        <w:t xml:space="preserve"> Stockholm: Bilda Förlag. </w:t>
      </w:r>
    </w:p>
    <w:p w:rsidR="00B43C57" w:rsidRPr="00F5723F" w:rsidRDefault="00B43C57">
      <w:pPr>
        <w:spacing w:line="240" w:lineRule="auto"/>
        <w:ind w:left="284" w:hanging="284"/>
        <w:rPr>
          <w:szCs w:val="19"/>
        </w:rPr>
      </w:pPr>
      <w:r w:rsidRPr="00F5723F">
        <w:rPr>
          <w:szCs w:val="19"/>
        </w:rPr>
        <w:t xml:space="preserve">Gilljam, Mikael och Sören Holmberg (1996), </w:t>
      </w:r>
      <w:r w:rsidRPr="00F5723F">
        <w:rPr>
          <w:i/>
          <w:szCs w:val="19"/>
        </w:rPr>
        <w:t>Väljarnas Val.</w:t>
      </w:r>
      <w:r w:rsidRPr="00F5723F">
        <w:rPr>
          <w:szCs w:val="19"/>
        </w:rPr>
        <w:t xml:space="preserve"> </w:t>
      </w:r>
      <w:smartTag w:uri="urn:schemas-microsoft-com:office:smarttags" w:element="City">
        <w:smartTag w:uri="urn:schemas-microsoft-com:office:smarttags" w:element="place">
          <w:r w:rsidRPr="00F5723F">
            <w:rPr>
              <w:szCs w:val="19"/>
            </w:rPr>
            <w:t>Stockholm</w:t>
          </w:r>
        </w:smartTag>
      </w:smartTag>
      <w:r w:rsidRPr="00F5723F">
        <w:rPr>
          <w:szCs w:val="19"/>
        </w:rPr>
        <w:t>: Fritzes.</w:t>
      </w:r>
    </w:p>
    <w:p w:rsidR="00B43C57" w:rsidRPr="00F5723F" w:rsidRDefault="00B43C57">
      <w:pPr>
        <w:spacing w:line="240" w:lineRule="auto"/>
        <w:ind w:left="284" w:hanging="284"/>
        <w:rPr>
          <w:szCs w:val="19"/>
        </w:rPr>
      </w:pPr>
      <w:r w:rsidRPr="00F5723F">
        <w:rPr>
          <w:szCs w:val="19"/>
        </w:rPr>
        <w:t xml:space="preserve">Gomard, Kirsten (2001), </w:t>
      </w:r>
      <w:r w:rsidRPr="00F5723F">
        <w:rPr>
          <w:szCs w:val="19"/>
        </w:rPr>
        <w:t>”Political debates on Danish TV: Negotiating polit</w:t>
      </w:r>
      <w:r w:rsidRPr="00F5723F">
        <w:rPr>
          <w:szCs w:val="19"/>
        </w:rPr>
        <w:t>i</w:t>
      </w:r>
      <w:r w:rsidRPr="00F5723F">
        <w:rPr>
          <w:szCs w:val="19"/>
        </w:rPr>
        <w:t>cal competence and gender</w:t>
      </w:r>
      <w:r w:rsidRPr="00F5723F">
        <w:rPr>
          <w:szCs w:val="19"/>
        </w:rPr>
        <w:t xml:space="preserve">” i </w:t>
      </w:r>
      <w:r w:rsidRPr="00F5723F">
        <w:rPr>
          <w:i/>
          <w:szCs w:val="19"/>
        </w:rPr>
        <w:t>NORA</w:t>
      </w:r>
      <w:r w:rsidRPr="00F5723F">
        <w:rPr>
          <w:szCs w:val="19"/>
        </w:rPr>
        <w:t xml:space="preserve"> no 2, v</w:t>
      </w:r>
      <w:r w:rsidRPr="00F5723F">
        <w:rPr>
          <w:szCs w:val="19"/>
        </w:rPr>
        <w:t>ol. 9, 2001.</w:t>
      </w:r>
    </w:p>
    <w:p w:rsidR="00B43C57" w:rsidRPr="00F5723F" w:rsidRDefault="00B43C57">
      <w:pPr>
        <w:spacing w:line="240" w:lineRule="auto"/>
        <w:ind w:left="284" w:hanging="284"/>
        <w:rPr>
          <w:szCs w:val="19"/>
        </w:rPr>
      </w:pPr>
      <w:r w:rsidRPr="00F5723F">
        <w:rPr>
          <w:szCs w:val="19"/>
        </w:rPr>
        <w:t xml:space="preserve">Gomard, Kirsten och Anne Krogstad red. </w:t>
      </w:r>
      <w:r w:rsidRPr="00F5723F">
        <w:rPr>
          <w:szCs w:val="19"/>
        </w:rPr>
        <w:t xml:space="preserve">(2001), </w:t>
      </w:r>
      <w:r w:rsidRPr="00F5723F">
        <w:rPr>
          <w:i/>
          <w:szCs w:val="19"/>
        </w:rPr>
        <w:t>Instead of the Ideal Debate. Doing Politics and Doing Gender in Nordic Political Campaign Di</w:t>
      </w:r>
      <w:r w:rsidRPr="00F5723F">
        <w:rPr>
          <w:i/>
          <w:szCs w:val="19"/>
        </w:rPr>
        <w:t>s</w:t>
      </w:r>
      <w:r w:rsidRPr="00F5723F">
        <w:rPr>
          <w:i/>
          <w:szCs w:val="19"/>
        </w:rPr>
        <w:t>course.</w:t>
      </w:r>
      <w:r w:rsidRPr="00F5723F">
        <w:rPr>
          <w:szCs w:val="19"/>
        </w:rPr>
        <w:t xml:space="preserve"> </w:t>
      </w:r>
      <w:r w:rsidRPr="00F5723F">
        <w:rPr>
          <w:szCs w:val="19"/>
        </w:rPr>
        <w:t>Gylling: Aarhus University Press.</w:t>
      </w:r>
    </w:p>
    <w:p w:rsidR="00B43C57" w:rsidRPr="00F5723F" w:rsidRDefault="00B43C57">
      <w:pPr>
        <w:spacing w:line="240" w:lineRule="auto"/>
        <w:ind w:left="284" w:hanging="284"/>
        <w:rPr>
          <w:szCs w:val="19"/>
        </w:rPr>
      </w:pPr>
      <w:r w:rsidRPr="00F5723F">
        <w:rPr>
          <w:szCs w:val="19"/>
        </w:rPr>
        <w:t xml:space="preserve">Gothlin, Eva (1999), </w:t>
      </w:r>
      <w:r w:rsidRPr="00F5723F">
        <w:rPr>
          <w:i/>
          <w:szCs w:val="19"/>
        </w:rPr>
        <w:t xml:space="preserve">Kön eller genus? </w:t>
      </w:r>
      <w:r w:rsidRPr="00F5723F">
        <w:rPr>
          <w:szCs w:val="19"/>
        </w:rPr>
        <w:t>Göteborg: Nationella sekretariatet för genu</w:t>
      </w:r>
      <w:r w:rsidRPr="00F5723F">
        <w:rPr>
          <w:szCs w:val="19"/>
        </w:rPr>
        <w:t>s</w:t>
      </w:r>
      <w:r w:rsidRPr="00F5723F">
        <w:rPr>
          <w:szCs w:val="19"/>
        </w:rPr>
        <w:t>forskning.</w:t>
      </w:r>
    </w:p>
    <w:p w:rsidR="00B43C57" w:rsidRPr="00F5723F" w:rsidRDefault="00B43C57">
      <w:pPr>
        <w:spacing w:line="240" w:lineRule="auto"/>
        <w:ind w:left="284" w:hanging="284"/>
        <w:rPr>
          <w:szCs w:val="19"/>
        </w:rPr>
      </w:pPr>
      <w:r w:rsidRPr="00F5723F">
        <w:rPr>
          <w:szCs w:val="19"/>
        </w:rPr>
        <w:t>Gothlin, Eva och C. Åsberg (1998)</w:t>
      </w:r>
      <w:r w:rsidRPr="00F5723F">
        <w:rPr>
          <w:szCs w:val="19"/>
        </w:rPr>
        <w:t>,</w:t>
      </w:r>
      <w:r w:rsidRPr="00F5723F">
        <w:rPr>
          <w:szCs w:val="19"/>
        </w:rPr>
        <w:t xml:space="preserve"> ”Debatten om begreppen – ’genus’ i Kvi</w:t>
      </w:r>
      <w:r w:rsidRPr="00F5723F">
        <w:rPr>
          <w:szCs w:val="19"/>
        </w:rPr>
        <w:t>n</w:t>
      </w:r>
      <w:r w:rsidRPr="00F5723F">
        <w:rPr>
          <w:szCs w:val="19"/>
        </w:rPr>
        <w:t>novetenskaplig Tidskrift 1980–1998</w:t>
      </w:r>
      <w:r w:rsidRPr="00F5723F">
        <w:rPr>
          <w:szCs w:val="19"/>
        </w:rPr>
        <w:t xml:space="preserve">” i </w:t>
      </w:r>
      <w:r w:rsidRPr="00F5723F">
        <w:rPr>
          <w:i/>
          <w:szCs w:val="19"/>
        </w:rPr>
        <w:t xml:space="preserve">Kvinnovetenskaplig Tidskrift </w:t>
      </w:r>
      <w:r w:rsidRPr="00F5723F">
        <w:rPr>
          <w:szCs w:val="19"/>
        </w:rPr>
        <w:t>1998:2.</w:t>
      </w:r>
      <w:r w:rsidRPr="00F5723F">
        <w:rPr>
          <w:szCs w:val="19"/>
        </w:rPr>
        <w:t xml:space="preserve"> </w:t>
      </w:r>
    </w:p>
    <w:p w:rsidR="00B43C57" w:rsidRPr="00F5723F" w:rsidRDefault="00B43C57">
      <w:pPr>
        <w:spacing w:line="240" w:lineRule="auto"/>
        <w:ind w:left="284" w:hanging="284"/>
        <w:rPr>
          <w:szCs w:val="19"/>
        </w:rPr>
      </w:pPr>
      <w:r w:rsidRPr="00F5723F">
        <w:rPr>
          <w:szCs w:val="19"/>
        </w:rPr>
        <w:t xml:space="preserve">Granström, Görel (1998), ”Kampen för kvinnlig rösträtt” i </w:t>
      </w:r>
      <w:r w:rsidRPr="00F5723F">
        <w:rPr>
          <w:i/>
          <w:szCs w:val="19"/>
        </w:rPr>
        <w:t>Folkets Historia</w:t>
      </w:r>
      <w:r w:rsidRPr="00F5723F">
        <w:rPr>
          <w:szCs w:val="19"/>
        </w:rPr>
        <w:t xml:space="preserve"> 26</w:t>
      </w:r>
      <w:r w:rsidRPr="00F5723F">
        <w:rPr>
          <w:szCs w:val="19"/>
        </w:rPr>
        <w:t xml:space="preserve"> (1998):3/4, sid. 10–</w:t>
      </w:r>
      <w:r w:rsidRPr="00F5723F">
        <w:rPr>
          <w:szCs w:val="19"/>
        </w:rPr>
        <w:t>31.</w:t>
      </w:r>
    </w:p>
    <w:p w:rsidR="00B43C57" w:rsidRPr="00F5723F" w:rsidRDefault="00B43C57">
      <w:pPr>
        <w:spacing w:line="240" w:lineRule="auto"/>
        <w:ind w:left="284" w:hanging="284"/>
        <w:rPr>
          <w:szCs w:val="19"/>
        </w:rPr>
      </w:pPr>
      <w:r w:rsidRPr="00F5723F">
        <w:rPr>
          <w:szCs w:val="19"/>
        </w:rPr>
        <w:t xml:space="preserve">Guldvik, Ingrid (2003), </w:t>
      </w:r>
      <w:r w:rsidRPr="00F5723F">
        <w:rPr>
          <w:szCs w:val="19"/>
        </w:rPr>
        <w:t>”Gender quota regimes and ideas of social justice – The quota regime of the Norwegian Local Government Act”. Paper pr</w:t>
      </w:r>
      <w:r w:rsidRPr="00F5723F">
        <w:rPr>
          <w:szCs w:val="19"/>
        </w:rPr>
        <w:t>e</w:t>
      </w:r>
      <w:r w:rsidRPr="00F5723F">
        <w:rPr>
          <w:szCs w:val="19"/>
        </w:rPr>
        <w:t>sented at the General Conference of the European Consortium for Polit</w:t>
      </w:r>
      <w:r w:rsidRPr="00F5723F">
        <w:rPr>
          <w:szCs w:val="19"/>
        </w:rPr>
        <w:t>i</w:t>
      </w:r>
      <w:r w:rsidRPr="00F5723F">
        <w:rPr>
          <w:szCs w:val="19"/>
        </w:rPr>
        <w:t xml:space="preserve">cal Research, </w:t>
      </w:r>
      <w:smartTag w:uri="urn:schemas-microsoft-com:office:smarttags" w:element="place">
        <w:smartTag w:uri="urn:schemas-microsoft-com:office:smarttags" w:element="City">
          <w:r w:rsidRPr="00F5723F">
            <w:rPr>
              <w:szCs w:val="19"/>
            </w:rPr>
            <w:t>Ma</w:t>
          </w:r>
          <w:r w:rsidRPr="00F5723F">
            <w:rPr>
              <w:szCs w:val="19"/>
            </w:rPr>
            <w:t>r</w:t>
          </w:r>
          <w:r w:rsidRPr="00F5723F">
            <w:rPr>
              <w:szCs w:val="19"/>
            </w:rPr>
            <w:t>burg</w:t>
          </w:r>
        </w:smartTag>
        <w:r w:rsidRPr="00F5723F">
          <w:rPr>
            <w:szCs w:val="19"/>
          </w:rPr>
          <w:t xml:space="preserve">, </w:t>
        </w:r>
        <w:smartTag w:uri="urn:schemas-microsoft-com:office:smarttags" w:element="country-region">
          <w:r w:rsidRPr="00F5723F">
            <w:rPr>
              <w:szCs w:val="19"/>
            </w:rPr>
            <w:t>Germany</w:t>
          </w:r>
        </w:smartTag>
      </w:smartTag>
      <w:r w:rsidRPr="00F5723F">
        <w:rPr>
          <w:szCs w:val="19"/>
        </w:rPr>
        <w:t>, 18–</w:t>
      </w:r>
      <w:r w:rsidRPr="00F5723F">
        <w:rPr>
          <w:szCs w:val="19"/>
        </w:rPr>
        <w:t>21 September.</w:t>
      </w:r>
    </w:p>
    <w:p w:rsidR="00B43C57" w:rsidRPr="00F5723F" w:rsidRDefault="00B43C57">
      <w:pPr>
        <w:spacing w:line="240" w:lineRule="auto"/>
        <w:ind w:left="284" w:hanging="284"/>
        <w:rPr>
          <w:szCs w:val="19"/>
        </w:rPr>
      </w:pPr>
      <w:r w:rsidRPr="00F5723F">
        <w:rPr>
          <w:szCs w:val="19"/>
        </w:rPr>
        <w:t xml:space="preserve">Gustafsson, Gunnel, </w:t>
      </w:r>
      <w:r w:rsidRPr="00F5723F">
        <w:rPr>
          <w:szCs w:val="19"/>
        </w:rPr>
        <w:t>Maud Eduards och Malin Rönnblom</w:t>
      </w:r>
      <w:r w:rsidRPr="00F5723F">
        <w:rPr>
          <w:szCs w:val="19"/>
        </w:rPr>
        <w:t xml:space="preserve"> (1997),</w:t>
      </w:r>
      <w:r w:rsidRPr="00F5723F">
        <w:rPr>
          <w:i/>
          <w:szCs w:val="19"/>
        </w:rPr>
        <w:t xml:space="preserve"> Towards a New Democratic Order</w:t>
      </w:r>
      <w:r w:rsidRPr="00F5723F">
        <w:rPr>
          <w:szCs w:val="19"/>
        </w:rPr>
        <w:t xml:space="preserve">. </w:t>
      </w:r>
      <w:r w:rsidRPr="00F5723F">
        <w:rPr>
          <w:szCs w:val="19"/>
        </w:rPr>
        <w:t>Stockholm: Publica.</w:t>
      </w:r>
    </w:p>
    <w:p w:rsidR="00B43C57" w:rsidRPr="00F5723F" w:rsidRDefault="00B43C57">
      <w:pPr>
        <w:spacing w:line="240" w:lineRule="auto"/>
        <w:ind w:left="284" w:hanging="284"/>
        <w:rPr>
          <w:szCs w:val="19"/>
        </w:rPr>
      </w:pPr>
      <w:r w:rsidRPr="00F5723F">
        <w:rPr>
          <w:szCs w:val="19"/>
        </w:rPr>
        <w:t xml:space="preserve">Gustafsson, Lars red. (1996), </w:t>
      </w:r>
      <w:r w:rsidRPr="00F5723F">
        <w:rPr>
          <w:i/>
          <w:szCs w:val="19"/>
        </w:rPr>
        <w:t>Riksdagsutskotten inifrån –</w:t>
      </w:r>
      <w:r w:rsidRPr="00F5723F">
        <w:rPr>
          <w:i/>
          <w:szCs w:val="19"/>
        </w:rPr>
        <w:t xml:space="preserve"> Tretton ledamöters hågkomster. </w:t>
      </w:r>
      <w:r w:rsidRPr="00F5723F">
        <w:rPr>
          <w:szCs w:val="19"/>
        </w:rPr>
        <w:t>Stockholm: Riksbankens Jubileumsfond i samarbete med Gidlunds Förlag.</w:t>
      </w:r>
    </w:p>
    <w:p w:rsidR="00B43C57" w:rsidRPr="00F5723F" w:rsidRDefault="00B43C57">
      <w:pPr>
        <w:spacing w:line="240" w:lineRule="auto"/>
        <w:ind w:left="284" w:hanging="284"/>
        <w:rPr>
          <w:szCs w:val="19"/>
        </w:rPr>
      </w:pPr>
      <w:r w:rsidRPr="00F5723F">
        <w:rPr>
          <w:szCs w:val="19"/>
        </w:rPr>
        <w:t xml:space="preserve">Haavio-Mannila, Elina m.fl. red. </w:t>
      </w:r>
      <w:r w:rsidRPr="00F5723F">
        <w:rPr>
          <w:szCs w:val="19"/>
        </w:rPr>
        <w:t xml:space="preserve">(1985), </w:t>
      </w:r>
      <w:r w:rsidRPr="00F5723F">
        <w:rPr>
          <w:i/>
          <w:szCs w:val="19"/>
        </w:rPr>
        <w:t xml:space="preserve">Unfinished Democracy: Women in Nordic Politics. </w:t>
      </w:r>
      <w:r w:rsidRPr="00F5723F">
        <w:rPr>
          <w:szCs w:val="19"/>
        </w:rPr>
        <w:t>New York: Pergamon.</w:t>
      </w:r>
    </w:p>
    <w:p w:rsidR="00B43C57" w:rsidRPr="00F5723F" w:rsidRDefault="00B43C57">
      <w:pPr>
        <w:spacing w:line="240" w:lineRule="auto"/>
        <w:ind w:left="284" w:hanging="284"/>
        <w:rPr>
          <w:szCs w:val="19"/>
        </w:rPr>
      </w:pPr>
      <w:r w:rsidRPr="00F5723F">
        <w:rPr>
          <w:szCs w:val="19"/>
        </w:rPr>
        <w:t xml:space="preserve">Haavio-Mannila, Elina m.fl. red. </w:t>
      </w:r>
      <w:r w:rsidRPr="00F5723F">
        <w:rPr>
          <w:szCs w:val="19"/>
        </w:rPr>
        <w:t xml:space="preserve">(1983), </w:t>
      </w:r>
      <w:r w:rsidRPr="00F5723F">
        <w:rPr>
          <w:i/>
          <w:szCs w:val="19"/>
        </w:rPr>
        <w:t>Det oferdige demokratiet –</w:t>
      </w:r>
      <w:r w:rsidRPr="00F5723F">
        <w:rPr>
          <w:i/>
          <w:szCs w:val="19"/>
        </w:rPr>
        <w:t xml:space="preserve"> Kvinner i nordisk politikk. </w:t>
      </w:r>
      <w:r w:rsidRPr="00F5723F">
        <w:rPr>
          <w:szCs w:val="19"/>
        </w:rPr>
        <w:t>Köpenhamn: Nordiska m</w:t>
      </w:r>
      <w:r w:rsidRPr="00F5723F">
        <w:rPr>
          <w:szCs w:val="19"/>
        </w:rPr>
        <w:t>inisterrådet.</w:t>
      </w:r>
    </w:p>
    <w:p w:rsidR="00B43C57" w:rsidRPr="00F5723F" w:rsidRDefault="00B43C57">
      <w:pPr>
        <w:spacing w:line="240" w:lineRule="auto"/>
        <w:ind w:left="284" w:hanging="284"/>
        <w:rPr>
          <w:szCs w:val="19"/>
        </w:rPr>
      </w:pPr>
      <w:r w:rsidRPr="00F5723F">
        <w:rPr>
          <w:szCs w:val="19"/>
        </w:rPr>
        <w:t>Hagemann, Gro och Klas Åmark (2000), ”Från ’husmorskontrakt’ till ’jä</w:t>
      </w:r>
      <w:r w:rsidRPr="00F5723F">
        <w:rPr>
          <w:szCs w:val="19"/>
        </w:rPr>
        <w:t>m</w:t>
      </w:r>
      <w:r w:rsidRPr="00F5723F">
        <w:rPr>
          <w:szCs w:val="19"/>
        </w:rPr>
        <w:t xml:space="preserve">ställdhetskontrakt’. Yvonne Hirdmans genusteori” i </w:t>
      </w:r>
      <w:r w:rsidRPr="00F5723F">
        <w:rPr>
          <w:i/>
          <w:szCs w:val="19"/>
        </w:rPr>
        <w:t>Häften för kritiska stud</w:t>
      </w:r>
      <w:r w:rsidRPr="00F5723F">
        <w:rPr>
          <w:i/>
          <w:szCs w:val="19"/>
        </w:rPr>
        <w:t>i</w:t>
      </w:r>
      <w:r w:rsidRPr="00F5723F">
        <w:rPr>
          <w:i/>
          <w:szCs w:val="19"/>
        </w:rPr>
        <w:t>er</w:t>
      </w:r>
      <w:r w:rsidRPr="00F5723F">
        <w:rPr>
          <w:szCs w:val="19"/>
        </w:rPr>
        <w:t xml:space="preserve"> 2:2000.</w:t>
      </w:r>
    </w:p>
    <w:p w:rsidR="00B43C57" w:rsidRPr="00F5723F" w:rsidRDefault="00B43C57">
      <w:pPr>
        <w:spacing w:line="240" w:lineRule="auto"/>
        <w:ind w:left="284" w:hanging="284"/>
        <w:rPr>
          <w:szCs w:val="19"/>
        </w:rPr>
      </w:pPr>
      <w:r w:rsidRPr="00F5723F">
        <w:rPr>
          <w:szCs w:val="19"/>
        </w:rPr>
        <w:t xml:space="preserve">Halsaa, Beatrice (2001), </w:t>
      </w:r>
      <w:r w:rsidRPr="00F5723F">
        <w:rPr>
          <w:i/>
          <w:szCs w:val="19"/>
        </w:rPr>
        <w:t>Uferdige eller likestillde demokratier?</w:t>
      </w:r>
      <w:r w:rsidRPr="00F5723F">
        <w:rPr>
          <w:szCs w:val="19"/>
        </w:rPr>
        <w:t xml:space="preserve"> Tekst 1. GEP. Ålborg: Å</w:t>
      </w:r>
      <w:r w:rsidRPr="00F5723F">
        <w:rPr>
          <w:szCs w:val="19"/>
        </w:rPr>
        <w:t>lborg universitet.</w:t>
      </w:r>
    </w:p>
    <w:p w:rsidR="00B43C57" w:rsidRPr="00F5723F" w:rsidRDefault="00B43C57">
      <w:pPr>
        <w:spacing w:line="240" w:lineRule="auto"/>
        <w:ind w:left="284" w:hanging="284"/>
        <w:rPr>
          <w:szCs w:val="19"/>
        </w:rPr>
      </w:pPr>
      <w:r w:rsidRPr="00F5723F">
        <w:rPr>
          <w:szCs w:val="19"/>
        </w:rPr>
        <w:t>Hamrin, Ruth red. (1969)</w:t>
      </w:r>
      <w:r w:rsidRPr="00F5723F">
        <w:rPr>
          <w:szCs w:val="19"/>
        </w:rPr>
        <w:t>,</w:t>
      </w:r>
      <w:r w:rsidRPr="00F5723F">
        <w:rPr>
          <w:szCs w:val="19"/>
        </w:rPr>
        <w:t xml:space="preserve"> </w:t>
      </w:r>
      <w:r w:rsidRPr="00F5723F">
        <w:rPr>
          <w:i/>
          <w:szCs w:val="19"/>
        </w:rPr>
        <w:t>Kvinnors röst och rätt</w:t>
      </w:r>
      <w:r w:rsidRPr="00F5723F">
        <w:rPr>
          <w:szCs w:val="19"/>
        </w:rPr>
        <w:t>. Stockholm: Allmänna Fö</w:t>
      </w:r>
      <w:r w:rsidRPr="00F5723F">
        <w:rPr>
          <w:szCs w:val="19"/>
        </w:rPr>
        <w:t>r</w:t>
      </w:r>
      <w:r w:rsidRPr="00F5723F">
        <w:rPr>
          <w:szCs w:val="19"/>
        </w:rPr>
        <w:t>laget.</w:t>
      </w:r>
    </w:p>
    <w:p w:rsidR="00B43C57" w:rsidRPr="00F5723F" w:rsidRDefault="00B43C57">
      <w:pPr>
        <w:pStyle w:val="Fotnotstext"/>
        <w:spacing w:line="240" w:lineRule="auto"/>
        <w:ind w:left="284" w:hanging="284"/>
        <w:rPr>
          <w:sz w:val="19"/>
          <w:szCs w:val="19"/>
        </w:rPr>
      </w:pPr>
      <w:r w:rsidRPr="00F5723F">
        <w:rPr>
          <w:sz w:val="19"/>
          <w:szCs w:val="19"/>
        </w:rPr>
        <w:t>Harding, Sandra (1987),</w:t>
      </w:r>
      <w:r w:rsidRPr="00F5723F">
        <w:rPr>
          <w:i/>
          <w:sz w:val="19"/>
          <w:szCs w:val="19"/>
        </w:rPr>
        <w:t xml:space="preserve"> Feminism and Methodology.</w:t>
      </w:r>
      <w:r w:rsidRPr="00F5723F">
        <w:rPr>
          <w:sz w:val="19"/>
          <w:szCs w:val="19"/>
        </w:rPr>
        <w:t xml:space="preserve"> </w:t>
      </w:r>
      <w:smartTag w:uri="urn:schemas-microsoft-com:office:smarttags" w:element="place">
        <w:r w:rsidRPr="00F5723F">
          <w:rPr>
            <w:sz w:val="19"/>
            <w:szCs w:val="19"/>
          </w:rPr>
          <w:t>Milton Keynes</w:t>
        </w:r>
      </w:smartTag>
      <w:r w:rsidRPr="00F5723F">
        <w:rPr>
          <w:sz w:val="19"/>
          <w:szCs w:val="19"/>
        </w:rPr>
        <w:t>: Open University Press.</w:t>
      </w:r>
    </w:p>
    <w:p w:rsidR="00B43C57" w:rsidRPr="00F5723F" w:rsidRDefault="00B43C57">
      <w:pPr>
        <w:spacing w:line="240" w:lineRule="auto"/>
        <w:ind w:left="284" w:hanging="284"/>
        <w:rPr>
          <w:szCs w:val="19"/>
        </w:rPr>
      </w:pPr>
      <w:r w:rsidRPr="00F5723F">
        <w:rPr>
          <w:szCs w:val="19"/>
        </w:rPr>
        <w:t xml:space="preserve">Harding, Sandra (1986), </w:t>
      </w:r>
      <w:r w:rsidRPr="00F5723F">
        <w:rPr>
          <w:i/>
          <w:szCs w:val="19"/>
        </w:rPr>
        <w:t>The Science Question in Feminism</w:t>
      </w:r>
      <w:r w:rsidRPr="00F5723F">
        <w:rPr>
          <w:szCs w:val="19"/>
        </w:rPr>
        <w:t>.</w:t>
      </w:r>
      <w:r w:rsidRPr="00F5723F">
        <w:rPr>
          <w:szCs w:val="19"/>
        </w:rPr>
        <w:t xml:space="preserve"> </w:t>
      </w:r>
      <w:r w:rsidRPr="00F5723F">
        <w:rPr>
          <w:szCs w:val="19"/>
        </w:rPr>
        <w:t>Connell Unive</w:t>
      </w:r>
      <w:r w:rsidRPr="00F5723F">
        <w:rPr>
          <w:szCs w:val="19"/>
        </w:rPr>
        <w:t>r</w:t>
      </w:r>
      <w:r w:rsidRPr="00F5723F">
        <w:rPr>
          <w:szCs w:val="19"/>
        </w:rPr>
        <w:t xml:space="preserve">sity Press. </w:t>
      </w:r>
    </w:p>
    <w:p w:rsidR="00B43C57" w:rsidRPr="00F5723F" w:rsidRDefault="00B43C57">
      <w:pPr>
        <w:spacing w:line="240" w:lineRule="auto"/>
        <w:ind w:left="284" w:hanging="284"/>
        <w:rPr>
          <w:szCs w:val="19"/>
        </w:rPr>
      </w:pPr>
      <w:r w:rsidRPr="00F5723F">
        <w:rPr>
          <w:szCs w:val="19"/>
        </w:rPr>
        <w:t xml:space="preserve">Hedlund, Gun (1997), ”Kön, makt, organisation och ekonomi i svenska kommuner”, </w:t>
      </w:r>
      <w:r w:rsidRPr="00F5723F">
        <w:rPr>
          <w:i/>
          <w:szCs w:val="19"/>
        </w:rPr>
        <w:t xml:space="preserve">SOU 1997:114. </w:t>
      </w:r>
      <w:r w:rsidRPr="00F5723F">
        <w:rPr>
          <w:szCs w:val="19"/>
        </w:rPr>
        <w:t>Stockholm: Fritzes.</w:t>
      </w:r>
    </w:p>
    <w:p w:rsidR="00B43C57" w:rsidRPr="00F5723F" w:rsidRDefault="00B43C57">
      <w:pPr>
        <w:spacing w:line="240" w:lineRule="auto"/>
        <w:ind w:left="284" w:hanging="284"/>
        <w:rPr>
          <w:szCs w:val="19"/>
        </w:rPr>
      </w:pPr>
      <w:r w:rsidRPr="00F5723F">
        <w:rPr>
          <w:szCs w:val="19"/>
        </w:rPr>
        <w:t xml:space="preserve">Hedlund, Gun (1996), </w:t>
      </w:r>
      <w:r w:rsidRPr="00F5723F">
        <w:rPr>
          <w:i/>
          <w:szCs w:val="19"/>
        </w:rPr>
        <w:t xml:space="preserve">Det handlar om prioriteringar. Kvinnors villkor och intressen i lokal politik. </w:t>
      </w:r>
      <w:r w:rsidRPr="00F5723F">
        <w:rPr>
          <w:szCs w:val="19"/>
        </w:rPr>
        <w:t>Göteborg: Statsvetenskapliga institutionen, Ör</w:t>
      </w:r>
      <w:r w:rsidRPr="00F5723F">
        <w:rPr>
          <w:szCs w:val="19"/>
        </w:rPr>
        <w:t>e</w:t>
      </w:r>
      <w:r w:rsidRPr="00F5723F">
        <w:rPr>
          <w:szCs w:val="19"/>
        </w:rPr>
        <w:t>bro studies 14.</w:t>
      </w:r>
    </w:p>
    <w:p w:rsidR="00B43C57" w:rsidRPr="00F5723F" w:rsidRDefault="00B43C57">
      <w:pPr>
        <w:spacing w:line="240" w:lineRule="auto"/>
        <w:ind w:left="284" w:hanging="284"/>
        <w:rPr>
          <w:szCs w:val="19"/>
        </w:rPr>
      </w:pPr>
      <w:r w:rsidRPr="00F5723F">
        <w:rPr>
          <w:szCs w:val="19"/>
        </w:rPr>
        <w:t xml:space="preserve">Heidar, Knut (1988), </w:t>
      </w:r>
      <w:r w:rsidRPr="00F5723F">
        <w:rPr>
          <w:i/>
          <w:szCs w:val="19"/>
        </w:rPr>
        <w:t>Partidemok</w:t>
      </w:r>
      <w:r w:rsidRPr="00F5723F">
        <w:rPr>
          <w:i/>
          <w:szCs w:val="19"/>
        </w:rPr>
        <w:t>rati på prø</w:t>
      </w:r>
      <w:r w:rsidRPr="00F5723F">
        <w:rPr>
          <w:i/>
          <w:szCs w:val="19"/>
        </w:rPr>
        <w:t>ve</w:t>
      </w:r>
      <w:r w:rsidRPr="00F5723F">
        <w:rPr>
          <w:szCs w:val="19"/>
        </w:rPr>
        <w:t xml:space="preserve">. </w:t>
      </w:r>
      <w:r w:rsidRPr="00F5723F">
        <w:rPr>
          <w:szCs w:val="19"/>
        </w:rPr>
        <w:t xml:space="preserve">Oslo: Universitetsforlaget. </w:t>
      </w:r>
    </w:p>
    <w:p w:rsidR="00B43C57" w:rsidRPr="00F5723F" w:rsidRDefault="00B43C57">
      <w:pPr>
        <w:spacing w:line="240" w:lineRule="auto"/>
        <w:ind w:left="284" w:hanging="284"/>
        <w:rPr>
          <w:szCs w:val="19"/>
        </w:rPr>
      </w:pPr>
      <w:r w:rsidRPr="00F5723F">
        <w:rPr>
          <w:snapToGrid w:val="0"/>
          <w:szCs w:val="19"/>
        </w:rPr>
        <w:t>Helander, Voitto (1997), ”Finland”</w:t>
      </w:r>
      <w:r w:rsidRPr="00F5723F">
        <w:rPr>
          <w:b/>
          <w:snapToGrid w:val="0"/>
          <w:szCs w:val="19"/>
        </w:rPr>
        <w:t xml:space="preserve"> </w:t>
      </w:r>
      <w:r w:rsidRPr="00F5723F">
        <w:rPr>
          <w:snapToGrid w:val="0"/>
          <w:szCs w:val="19"/>
        </w:rPr>
        <w:t xml:space="preserve">i Pippa Norris red. </w:t>
      </w:r>
      <w:r w:rsidRPr="00F5723F">
        <w:rPr>
          <w:snapToGrid w:val="0"/>
          <w:szCs w:val="19"/>
        </w:rPr>
        <w:t xml:space="preserve">(1997), </w:t>
      </w:r>
      <w:r w:rsidRPr="00F5723F">
        <w:rPr>
          <w:i/>
          <w:snapToGrid w:val="0"/>
          <w:szCs w:val="19"/>
        </w:rPr>
        <w:t>Passages to Power.</w:t>
      </w:r>
      <w:r w:rsidRPr="00F5723F">
        <w:rPr>
          <w:snapToGrid w:val="0"/>
          <w:szCs w:val="19"/>
        </w:rPr>
        <w:t xml:space="preserve"> </w:t>
      </w:r>
      <w:r w:rsidRPr="00F5723F">
        <w:rPr>
          <w:i/>
          <w:snapToGrid w:val="0"/>
          <w:szCs w:val="19"/>
        </w:rPr>
        <w:t xml:space="preserve">Legislative recruitment in advanced democracies. </w:t>
      </w:r>
      <w:r w:rsidRPr="00F5723F">
        <w:rPr>
          <w:snapToGrid w:val="0"/>
          <w:szCs w:val="19"/>
        </w:rPr>
        <w:t>Cambridge: Cam</w:t>
      </w:r>
      <w:r w:rsidRPr="00F5723F">
        <w:rPr>
          <w:snapToGrid w:val="0"/>
          <w:szCs w:val="19"/>
        </w:rPr>
        <w:t>b</w:t>
      </w:r>
      <w:r w:rsidRPr="00F5723F">
        <w:rPr>
          <w:snapToGrid w:val="0"/>
          <w:szCs w:val="19"/>
        </w:rPr>
        <w:t>ridge University Press.</w:t>
      </w:r>
    </w:p>
    <w:p w:rsidR="00B43C57" w:rsidRPr="00F5723F" w:rsidRDefault="00B43C57">
      <w:pPr>
        <w:pStyle w:val="Fotnotstext"/>
        <w:spacing w:line="240" w:lineRule="auto"/>
        <w:ind w:left="284" w:hanging="284"/>
        <w:rPr>
          <w:sz w:val="19"/>
          <w:szCs w:val="19"/>
        </w:rPr>
      </w:pPr>
      <w:r w:rsidRPr="00F5723F">
        <w:rPr>
          <w:sz w:val="19"/>
          <w:szCs w:val="19"/>
        </w:rPr>
        <w:t xml:space="preserve">Hellevik, Ottar och Torild Skard (1985), </w:t>
      </w:r>
      <w:r w:rsidRPr="00F5723F">
        <w:rPr>
          <w:i/>
          <w:sz w:val="19"/>
          <w:szCs w:val="19"/>
        </w:rPr>
        <w:t>Norske kommune</w:t>
      </w:r>
      <w:r w:rsidRPr="00F5723F">
        <w:rPr>
          <w:i/>
          <w:sz w:val="19"/>
          <w:szCs w:val="19"/>
        </w:rPr>
        <w:t>s</w:t>
      </w:r>
      <w:r w:rsidRPr="00F5723F">
        <w:rPr>
          <w:i/>
          <w:sz w:val="19"/>
          <w:szCs w:val="19"/>
        </w:rPr>
        <w:t xml:space="preserve">tyrelser – plass for kvinner? </w:t>
      </w:r>
      <w:smartTag w:uri="urn:schemas-microsoft-com:office:smarttags" w:element="City">
        <w:smartTag w:uri="urn:schemas-microsoft-com:office:smarttags" w:element="place">
          <w:r w:rsidRPr="00F5723F">
            <w:rPr>
              <w:sz w:val="19"/>
              <w:szCs w:val="19"/>
            </w:rPr>
            <w:t>Oslo</w:t>
          </w:r>
        </w:smartTag>
      </w:smartTag>
      <w:r w:rsidRPr="00F5723F">
        <w:rPr>
          <w:sz w:val="19"/>
          <w:szCs w:val="19"/>
        </w:rPr>
        <w:t>: Universitetsforlaget.</w:t>
      </w:r>
    </w:p>
    <w:p w:rsidR="00B43C57" w:rsidRPr="00F5723F" w:rsidRDefault="00B43C57">
      <w:pPr>
        <w:spacing w:line="240" w:lineRule="auto"/>
        <w:ind w:left="284" w:hanging="284"/>
        <w:rPr>
          <w:szCs w:val="19"/>
        </w:rPr>
      </w:pPr>
      <w:r w:rsidRPr="00F5723F">
        <w:rPr>
          <w:szCs w:val="19"/>
        </w:rPr>
        <w:t xml:space="preserve">Hernes, Helga (1987), </w:t>
      </w:r>
      <w:r w:rsidRPr="00F5723F">
        <w:rPr>
          <w:i/>
          <w:szCs w:val="19"/>
        </w:rPr>
        <w:t>Welfare State and Women Power: Essays in State Feminism.</w:t>
      </w:r>
      <w:r w:rsidRPr="00F5723F">
        <w:rPr>
          <w:szCs w:val="19"/>
        </w:rPr>
        <w:t xml:space="preserve"> </w:t>
      </w:r>
      <w:r w:rsidRPr="00F5723F">
        <w:rPr>
          <w:szCs w:val="19"/>
        </w:rPr>
        <w:t>Oslo: Norwegian University Press.</w:t>
      </w:r>
    </w:p>
    <w:p w:rsidR="00B43C57" w:rsidRPr="00F5723F" w:rsidRDefault="00B43C57">
      <w:pPr>
        <w:pStyle w:val="Fotnotstext"/>
        <w:spacing w:line="240" w:lineRule="auto"/>
        <w:ind w:left="284" w:hanging="284"/>
        <w:rPr>
          <w:sz w:val="19"/>
          <w:szCs w:val="19"/>
        </w:rPr>
      </w:pPr>
      <w:r w:rsidRPr="00F5723F">
        <w:rPr>
          <w:sz w:val="19"/>
          <w:szCs w:val="19"/>
        </w:rPr>
        <w:t xml:space="preserve">Hernes, Helga (1982), </w:t>
      </w:r>
      <w:r w:rsidRPr="00F5723F">
        <w:rPr>
          <w:i/>
          <w:sz w:val="19"/>
          <w:szCs w:val="19"/>
        </w:rPr>
        <w:t xml:space="preserve">Staten – kvinner ingen adgang? </w:t>
      </w:r>
      <w:r w:rsidRPr="00F5723F">
        <w:rPr>
          <w:sz w:val="19"/>
          <w:szCs w:val="19"/>
        </w:rPr>
        <w:t>Oslo: Universitetsfo</w:t>
      </w:r>
      <w:r w:rsidRPr="00F5723F">
        <w:rPr>
          <w:sz w:val="19"/>
          <w:szCs w:val="19"/>
        </w:rPr>
        <w:t>r</w:t>
      </w:r>
      <w:r w:rsidRPr="00F5723F">
        <w:rPr>
          <w:sz w:val="19"/>
          <w:szCs w:val="19"/>
        </w:rPr>
        <w:t>laget.</w:t>
      </w:r>
    </w:p>
    <w:p w:rsidR="00B43C57" w:rsidRPr="00F5723F" w:rsidRDefault="00B43C57">
      <w:pPr>
        <w:spacing w:line="240" w:lineRule="auto"/>
        <w:ind w:left="284" w:hanging="284"/>
        <w:rPr>
          <w:szCs w:val="19"/>
        </w:rPr>
      </w:pPr>
      <w:r w:rsidRPr="00F5723F">
        <w:rPr>
          <w:szCs w:val="19"/>
        </w:rPr>
        <w:t>Hirdman, Yvonne (2001),</w:t>
      </w:r>
      <w:r w:rsidRPr="00F5723F">
        <w:rPr>
          <w:i/>
          <w:szCs w:val="19"/>
        </w:rPr>
        <w:t xml:space="preserve"> Genus – om det stabilas föränderliga former. </w:t>
      </w:r>
      <w:r w:rsidRPr="00F5723F">
        <w:rPr>
          <w:szCs w:val="19"/>
        </w:rPr>
        <w:t>Malmö: Liber.</w:t>
      </w:r>
    </w:p>
    <w:p w:rsidR="00B43C57" w:rsidRPr="00F5723F" w:rsidRDefault="00B43C57">
      <w:pPr>
        <w:pStyle w:val="Fotnotstext"/>
        <w:spacing w:line="240" w:lineRule="auto"/>
        <w:ind w:left="284" w:hanging="284"/>
        <w:rPr>
          <w:sz w:val="19"/>
          <w:szCs w:val="19"/>
        </w:rPr>
      </w:pPr>
      <w:r w:rsidRPr="00F5723F">
        <w:rPr>
          <w:sz w:val="19"/>
          <w:szCs w:val="19"/>
        </w:rPr>
        <w:t>Hirdman, Yvonne (1992), ”Rosa Mayreders stora förtvivlan. En analys av det kvin</w:t>
      </w:r>
      <w:r w:rsidRPr="00F5723F">
        <w:rPr>
          <w:sz w:val="19"/>
          <w:szCs w:val="19"/>
        </w:rPr>
        <w:t>novetenskapliga dilemmat samart–</w:t>
      </w:r>
      <w:r w:rsidRPr="00F5723F">
        <w:rPr>
          <w:sz w:val="19"/>
          <w:szCs w:val="19"/>
        </w:rPr>
        <w:t xml:space="preserve">särart” i </w:t>
      </w:r>
      <w:r w:rsidRPr="00F5723F">
        <w:rPr>
          <w:sz w:val="19"/>
          <w:szCs w:val="19"/>
        </w:rPr>
        <w:t>Kvinnovetenskaplig Ti</w:t>
      </w:r>
      <w:r w:rsidRPr="00F5723F">
        <w:rPr>
          <w:sz w:val="19"/>
          <w:szCs w:val="19"/>
        </w:rPr>
        <w:t>d</w:t>
      </w:r>
      <w:r w:rsidRPr="00F5723F">
        <w:rPr>
          <w:sz w:val="19"/>
          <w:szCs w:val="19"/>
        </w:rPr>
        <w:t>skrift</w:t>
      </w:r>
      <w:r w:rsidRPr="00F5723F">
        <w:rPr>
          <w:sz w:val="19"/>
          <w:szCs w:val="19"/>
        </w:rPr>
        <w:t xml:space="preserve"> 1992:2, sid. 35–</w:t>
      </w:r>
      <w:r w:rsidRPr="00F5723F">
        <w:rPr>
          <w:sz w:val="19"/>
          <w:szCs w:val="19"/>
        </w:rPr>
        <w:t>49.</w:t>
      </w:r>
    </w:p>
    <w:p w:rsidR="00B43C57" w:rsidRPr="00F5723F" w:rsidRDefault="00B43C57">
      <w:pPr>
        <w:spacing w:line="240" w:lineRule="auto"/>
        <w:ind w:left="284" w:hanging="284"/>
        <w:rPr>
          <w:szCs w:val="19"/>
        </w:rPr>
      </w:pPr>
      <w:r w:rsidRPr="00F5723F">
        <w:rPr>
          <w:szCs w:val="19"/>
        </w:rPr>
        <w:t xml:space="preserve">Hirdman, Yvonne (1992), </w:t>
      </w:r>
      <w:r w:rsidRPr="00F5723F">
        <w:rPr>
          <w:szCs w:val="19"/>
        </w:rPr>
        <w:t>Den socialistiska hemmafrun och andra kvinnoh</w:t>
      </w:r>
      <w:r w:rsidRPr="00F5723F">
        <w:rPr>
          <w:szCs w:val="19"/>
        </w:rPr>
        <w:t>i</w:t>
      </w:r>
      <w:r w:rsidRPr="00F5723F">
        <w:rPr>
          <w:szCs w:val="19"/>
        </w:rPr>
        <w:t xml:space="preserve">storier. </w:t>
      </w:r>
      <w:r w:rsidRPr="00F5723F">
        <w:rPr>
          <w:szCs w:val="19"/>
        </w:rPr>
        <w:t>Stockholm 1992, sid. 36–112.</w:t>
      </w:r>
    </w:p>
    <w:p w:rsidR="00B43C57" w:rsidRPr="00F5723F" w:rsidRDefault="00B43C57">
      <w:pPr>
        <w:pStyle w:val="Fotnotstext"/>
        <w:spacing w:line="240" w:lineRule="auto"/>
        <w:ind w:left="284" w:hanging="284"/>
        <w:rPr>
          <w:sz w:val="19"/>
          <w:szCs w:val="19"/>
        </w:rPr>
      </w:pPr>
      <w:r w:rsidRPr="00F5723F">
        <w:rPr>
          <w:sz w:val="19"/>
          <w:szCs w:val="19"/>
        </w:rPr>
        <w:t xml:space="preserve">Hirdman, Yvonne (1990), ”Genussystemet” i </w:t>
      </w:r>
      <w:r w:rsidRPr="00F5723F">
        <w:rPr>
          <w:sz w:val="19"/>
          <w:szCs w:val="19"/>
        </w:rPr>
        <w:t xml:space="preserve">SOU 1990:44. Demokrati och makt i Sverige. </w:t>
      </w:r>
      <w:smartTag w:uri="urn:schemas-microsoft-com:office:smarttags" w:element="City">
        <w:smartTag w:uri="urn:schemas-microsoft-com:office:smarttags" w:element="place">
          <w:r w:rsidRPr="00F5723F">
            <w:rPr>
              <w:sz w:val="19"/>
              <w:szCs w:val="19"/>
            </w:rPr>
            <w:t>Stockholm</w:t>
          </w:r>
        </w:smartTag>
      </w:smartTag>
      <w:r w:rsidRPr="00F5723F">
        <w:rPr>
          <w:sz w:val="19"/>
          <w:szCs w:val="19"/>
        </w:rPr>
        <w:t>: Fritzes.</w:t>
      </w:r>
    </w:p>
    <w:p w:rsidR="00B43C57" w:rsidRPr="00F5723F" w:rsidRDefault="00B43C57">
      <w:pPr>
        <w:pStyle w:val="Fotnotstext"/>
        <w:spacing w:line="240" w:lineRule="auto"/>
        <w:ind w:left="284" w:hanging="284"/>
        <w:rPr>
          <w:sz w:val="19"/>
          <w:szCs w:val="19"/>
        </w:rPr>
      </w:pPr>
      <w:r w:rsidRPr="00F5723F">
        <w:rPr>
          <w:sz w:val="19"/>
          <w:szCs w:val="19"/>
        </w:rPr>
        <w:t>Holli, Anne Maria (2004), ”Quotas for indirectly elected bo</w:t>
      </w:r>
      <w:r w:rsidRPr="00F5723F">
        <w:rPr>
          <w:sz w:val="19"/>
          <w:szCs w:val="19"/>
        </w:rPr>
        <w:t>d</w:t>
      </w:r>
      <w:r w:rsidRPr="00F5723F">
        <w:rPr>
          <w:sz w:val="19"/>
          <w:szCs w:val="19"/>
        </w:rPr>
        <w:t xml:space="preserve">ies: a tailor-made solution for </w:t>
      </w:r>
      <w:smartTag w:uri="urn:schemas-microsoft-com:office:smarttags" w:element="country-region">
        <w:smartTag w:uri="urn:schemas-microsoft-com:office:smarttags" w:element="place">
          <w:r w:rsidRPr="00F5723F">
            <w:rPr>
              <w:sz w:val="19"/>
              <w:szCs w:val="19"/>
            </w:rPr>
            <w:t>Finland</w:t>
          </w:r>
        </w:smartTag>
      </w:smartTag>
      <w:r w:rsidRPr="00F5723F">
        <w:rPr>
          <w:sz w:val="19"/>
          <w:szCs w:val="19"/>
        </w:rPr>
        <w:t>” i European Political</w:t>
      </w:r>
      <w:r w:rsidRPr="00F5723F">
        <w:rPr>
          <w:i/>
          <w:sz w:val="19"/>
          <w:szCs w:val="19"/>
        </w:rPr>
        <w:t xml:space="preserve"> Science</w:t>
      </w:r>
      <w:r w:rsidRPr="00F5723F">
        <w:rPr>
          <w:sz w:val="19"/>
          <w:szCs w:val="19"/>
        </w:rPr>
        <w:t>, Summer 2004, sid. 81–</w:t>
      </w:r>
      <w:r w:rsidRPr="00F5723F">
        <w:rPr>
          <w:sz w:val="19"/>
          <w:szCs w:val="19"/>
        </w:rPr>
        <w:t>89.</w:t>
      </w:r>
    </w:p>
    <w:p w:rsidR="00B43C57" w:rsidRPr="00F5723F" w:rsidRDefault="00B43C57">
      <w:pPr>
        <w:pStyle w:val="Fotnotstext"/>
        <w:spacing w:line="240" w:lineRule="auto"/>
        <w:ind w:left="284" w:hanging="284"/>
        <w:rPr>
          <w:sz w:val="19"/>
          <w:szCs w:val="19"/>
        </w:rPr>
      </w:pPr>
      <w:r w:rsidRPr="00F5723F">
        <w:rPr>
          <w:sz w:val="19"/>
          <w:szCs w:val="19"/>
        </w:rPr>
        <w:t xml:space="preserve">Holm, Gretelise (1982), </w:t>
      </w:r>
      <w:r w:rsidRPr="00F5723F">
        <w:rPr>
          <w:i/>
          <w:sz w:val="19"/>
          <w:szCs w:val="19"/>
        </w:rPr>
        <w:t>Et hjerteanliggende. Kvinde, samfund, loka</w:t>
      </w:r>
      <w:r w:rsidRPr="00F5723F">
        <w:rPr>
          <w:i/>
          <w:sz w:val="19"/>
          <w:szCs w:val="19"/>
        </w:rPr>
        <w:t>l</w:t>
      </w:r>
      <w:r w:rsidRPr="00F5723F">
        <w:rPr>
          <w:i/>
          <w:sz w:val="19"/>
          <w:szCs w:val="19"/>
        </w:rPr>
        <w:t>politik.</w:t>
      </w:r>
      <w:r w:rsidRPr="00F5723F">
        <w:rPr>
          <w:sz w:val="19"/>
          <w:szCs w:val="19"/>
        </w:rPr>
        <w:t xml:space="preserve"> </w:t>
      </w:r>
      <w:r w:rsidRPr="00F5723F">
        <w:rPr>
          <w:sz w:val="19"/>
          <w:szCs w:val="19"/>
        </w:rPr>
        <w:t>Kommunetryck.</w:t>
      </w:r>
    </w:p>
    <w:p w:rsidR="00B43C57" w:rsidRPr="00F5723F" w:rsidRDefault="00B43C57">
      <w:pPr>
        <w:pStyle w:val="Fotnotstext"/>
        <w:spacing w:line="240" w:lineRule="auto"/>
        <w:ind w:left="284" w:hanging="284"/>
        <w:rPr>
          <w:sz w:val="19"/>
          <w:szCs w:val="19"/>
        </w:rPr>
      </w:pPr>
      <w:r w:rsidRPr="00F5723F">
        <w:rPr>
          <w:sz w:val="19"/>
          <w:szCs w:val="19"/>
        </w:rPr>
        <w:t xml:space="preserve">Holmberg, Sören (2000), </w:t>
      </w:r>
      <w:r w:rsidRPr="00F5723F">
        <w:rPr>
          <w:i/>
          <w:sz w:val="19"/>
          <w:szCs w:val="19"/>
        </w:rPr>
        <w:t>Välja parti.</w:t>
      </w:r>
      <w:r w:rsidRPr="00F5723F">
        <w:rPr>
          <w:sz w:val="19"/>
          <w:szCs w:val="19"/>
        </w:rPr>
        <w:t xml:space="preserve"> Stockholm: Norstedts J</w:t>
      </w:r>
      <w:r w:rsidRPr="00F5723F">
        <w:rPr>
          <w:sz w:val="19"/>
          <w:szCs w:val="19"/>
        </w:rPr>
        <w:t>u</w:t>
      </w:r>
      <w:r w:rsidRPr="00F5723F">
        <w:rPr>
          <w:sz w:val="19"/>
          <w:szCs w:val="19"/>
        </w:rPr>
        <w:t>ridik.</w:t>
      </w:r>
    </w:p>
    <w:p w:rsidR="00B43C57" w:rsidRPr="00F5723F" w:rsidRDefault="00B43C57">
      <w:pPr>
        <w:pStyle w:val="Fotnotstext"/>
        <w:spacing w:line="240" w:lineRule="auto"/>
        <w:ind w:left="284" w:hanging="284"/>
        <w:rPr>
          <w:sz w:val="19"/>
          <w:szCs w:val="19"/>
        </w:rPr>
      </w:pPr>
      <w:r w:rsidRPr="00F5723F">
        <w:rPr>
          <w:sz w:val="19"/>
          <w:szCs w:val="19"/>
        </w:rPr>
        <w:t xml:space="preserve">Holmberg, Sören (1974), </w:t>
      </w:r>
      <w:r w:rsidRPr="00F5723F">
        <w:rPr>
          <w:i/>
          <w:sz w:val="19"/>
          <w:szCs w:val="19"/>
        </w:rPr>
        <w:t>Riksdagen representerar svenska folket. Empiriska studier i representativ demokrati.</w:t>
      </w:r>
      <w:r w:rsidRPr="00F5723F">
        <w:rPr>
          <w:sz w:val="19"/>
          <w:szCs w:val="19"/>
        </w:rPr>
        <w:t xml:space="preserve"> Lund.</w:t>
      </w:r>
    </w:p>
    <w:p w:rsidR="00B43C57" w:rsidRPr="00F5723F" w:rsidRDefault="00B43C57">
      <w:pPr>
        <w:pStyle w:val="Fotnotstext"/>
        <w:spacing w:line="240" w:lineRule="auto"/>
        <w:ind w:left="284" w:hanging="284"/>
        <w:rPr>
          <w:sz w:val="19"/>
          <w:szCs w:val="19"/>
        </w:rPr>
      </w:pPr>
      <w:r w:rsidRPr="00F5723F">
        <w:rPr>
          <w:sz w:val="19"/>
          <w:szCs w:val="19"/>
        </w:rPr>
        <w:t>Holmberg, Sören och Peter Esaiasson (1988),</w:t>
      </w:r>
      <w:r w:rsidRPr="00F5723F">
        <w:rPr>
          <w:i/>
          <w:sz w:val="19"/>
          <w:szCs w:val="19"/>
        </w:rPr>
        <w:t xml:space="preserve"> De Folkvalda. En bok om rik</w:t>
      </w:r>
      <w:r w:rsidRPr="00F5723F">
        <w:rPr>
          <w:i/>
          <w:sz w:val="19"/>
          <w:szCs w:val="19"/>
        </w:rPr>
        <w:t>s</w:t>
      </w:r>
      <w:r w:rsidRPr="00F5723F">
        <w:rPr>
          <w:i/>
          <w:sz w:val="19"/>
          <w:szCs w:val="19"/>
        </w:rPr>
        <w:t>dagsledamöterna och den representativa demokratin i Sverige</w:t>
      </w:r>
      <w:r w:rsidRPr="00F5723F">
        <w:rPr>
          <w:sz w:val="19"/>
          <w:szCs w:val="19"/>
        </w:rPr>
        <w:t xml:space="preserve">. </w:t>
      </w:r>
      <w:r w:rsidRPr="00F5723F">
        <w:rPr>
          <w:sz w:val="19"/>
          <w:szCs w:val="19"/>
        </w:rPr>
        <w:t>Stockholm.</w:t>
      </w:r>
    </w:p>
    <w:p w:rsidR="00B43C57" w:rsidRPr="00F5723F" w:rsidRDefault="00B43C57">
      <w:pPr>
        <w:pStyle w:val="Fotnotstext"/>
        <w:spacing w:line="240" w:lineRule="auto"/>
        <w:ind w:left="284" w:hanging="284"/>
        <w:rPr>
          <w:sz w:val="19"/>
          <w:szCs w:val="19"/>
        </w:rPr>
      </w:pPr>
      <w:r w:rsidRPr="00F5723F">
        <w:rPr>
          <w:sz w:val="19"/>
          <w:szCs w:val="19"/>
        </w:rPr>
        <w:t xml:space="preserve">Holter, Harriet (1996), </w:t>
      </w:r>
      <w:r w:rsidRPr="00F5723F">
        <w:rPr>
          <w:i/>
          <w:sz w:val="19"/>
          <w:szCs w:val="19"/>
        </w:rPr>
        <w:t xml:space="preserve">Hun og han – Kjønn i forskning og politikk. </w:t>
      </w:r>
      <w:r w:rsidRPr="00F5723F">
        <w:rPr>
          <w:sz w:val="19"/>
          <w:szCs w:val="19"/>
        </w:rPr>
        <w:t xml:space="preserve">Oslo: Pax. </w:t>
      </w:r>
    </w:p>
    <w:p w:rsidR="00B43C57" w:rsidRPr="00F5723F" w:rsidRDefault="00B43C57">
      <w:pPr>
        <w:pStyle w:val="Fotnotstext"/>
        <w:spacing w:line="240" w:lineRule="auto"/>
        <w:ind w:left="284" w:hanging="284"/>
        <w:rPr>
          <w:sz w:val="19"/>
          <w:szCs w:val="19"/>
        </w:rPr>
      </w:pPr>
      <w:r w:rsidRPr="00F5723F">
        <w:rPr>
          <w:sz w:val="19"/>
          <w:szCs w:val="19"/>
        </w:rPr>
        <w:t>Holter, Harriet (1981), ”Om kvinneundertrykkelse, mannsu</w:t>
      </w:r>
      <w:r w:rsidRPr="00F5723F">
        <w:rPr>
          <w:sz w:val="19"/>
          <w:szCs w:val="19"/>
        </w:rPr>
        <w:t>n</w:t>
      </w:r>
      <w:r w:rsidRPr="00F5723F">
        <w:rPr>
          <w:sz w:val="19"/>
          <w:szCs w:val="19"/>
        </w:rPr>
        <w:t xml:space="preserve">dertrykkelse og hersketeknikker” i Kristan Andenaes, Tom Johansen och Thomas Mathisen, red. </w:t>
      </w:r>
      <w:r w:rsidRPr="00F5723F">
        <w:rPr>
          <w:sz w:val="19"/>
          <w:szCs w:val="19"/>
        </w:rPr>
        <w:t xml:space="preserve">(1981), </w:t>
      </w:r>
      <w:r w:rsidRPr="00F5723F">
        <w:rPr>
          <w:i/>
          <w:sz w:val="19"/>
          <w:szCs w:val="19"/>
        </w:rPr>
        <w:t>Maktens ansikter.</w:t>
      </w:r>
      <w:r w:rsidRPr="00F5723F">
        <w:rPr>
          <w:sz w:val="19"/>
          <w:szCs w:val="19"/>
        </w:rPr>
        <w:t xml:space="preserve"> Oslo: Gyldendal.</w:t>
      </w:r>
    </w:p>
    <w:p w:rsidR="00B43C57" w:rsidRPr="00F5723F" w:rsidRDefault="00B43C57">
      <w:pPr>
        <w:pStyle w:val="Fotnotstext"/>
        <w:spacing w:line="240" w:lineRule="auto"/>
        <w:ind w:left="284" w:hanging="284"/>
        <w:rPr>
          <w:sz w:val="19"/>
          <w:szCs w:val="19"/>
        </w:rPr>
      </w:pPr>
      <w:r w:rsidRPr="00F5723F">
        <w:rPr>
          <w:sz w:val="19"/>
          <w:szCs w:val="19"/>
        </w:rPr>
        <w:t>Håkansson, Anders (1999), ”Vilka kandidater vinner på pe</w:t>
      </w:r>
      <w:r w:rsidRPr="00F5723F">
        <w:rPr>
          <w:sz w:val="19"/>
          <w:szCs w:val="19"/>
        </w:rPr>
        <w:t>r</w:t>
      </w:r>
      <w:r w:rsidRPr="00F5723F">
        <w:rPr>
          <w:sz w:val="19"/>
          <w:szCs w:val="19"/>
        </w:rPr>
        <w:t>sonval?” i Sören Holmberg och Tommy Möller red</w:t>
      </w:r>
      <w:r w:rsidRPr="00F5723F">
        <w:rPr>
          <w:sz w:val="19"/>
          <w:szCs w:val="19"/>
        </w:rPr>
        <w:t>. (1999) ;</w:t>
      </w:r>
      <w:r w:rsidRPr="00F5723F">
        <w:rPr>
          <w:sz w:val="19"/>
          <w:szCs w:val="19"/>
        </w:rPr>
        <w:t xml:space="preserve"> </w:t>
      </w:r>
      <w:r w:rsidRPr="00F5723F">
        <w:rPr>
          <w:i/>
          <w:sz w:val="19"/>
          <w:szCs w:val="19"/>
        </w:rPr>
        <w:t>SOU 1999:92 Premiär för personval.</w:t>
      </w:r>
      <w:r w:rsidRPr="00F5723F">
        <w:rPr>
          <w:sz w:val="19"/>
          <w:szCs w:val="19"/>
        </w:rPr>
        <w:t xml:space="preserve"> Stockholm: Fritzes.</w:t>
      </w:r>
    </w:p>
    <w:p w:rsidR="00B43C57" w:rsidRPr="00F5723F" w:rsidRDefault="00B43C57">
      <w:pPr>
        <w:pStyle w:val="Fotnotstext"/>
        <w:spacing w:line="240" w:lineRule="auto"/>
        <w:ind w:left="284" w:hanging="284"/>
        <w:rPr>
          <w:sz w:val="19"/>
          <w:szCs w:val="19"/>
        </w:rPr>
      </w:pPr>
      <w:r w:rsidRPr="00F5723F">
        <w:rPr>
          <w:sz w:val="19"/>
          <w:szCs w:val="19"/>
        </w:rPr>
        <w:t xml:space="preserve">Håvik, Doris (1996), ”Doris Håvik (s)” i </w:t>
      </w:r>
      <w:r w:rsidRPr="00F5723F">
        <w:rPr>
          <w:i/>
          <w:sz w:val="19"/>
          <w:szCs w:val="19"/>
        </w:rPr>
        <w:t>Riksdagsuts</w:t>
      </w:r>
      <w:r w:rsidRPr="00F5723F">
        <w:rPr>
          <w:i/>
          <w:sz w:val="19"/>
          <w:szCs w:val="19"/>
        </w:rPr>
        <w:t>kotten inifrån – T</w:t>
      </w:r>
      <w:r w:rsidRPr="00F5723F">
        <w:rPr>
          <w:i/>
          <w:sz w:val="19"/>
          <w:szCs w:val="19"/>
        </w:rPr>
        <w:t xml:space="preserve">retton ledamöters hågkomster. </w:t>
      </w:r>
      <w:r w:rsidRPr="00F5723F">
        <w:rPr>
          <w:sz w:val="19"/>
          <w:szCs w:val="19"/>
        </w:rPr>
        <w:t>Riksbankens Jubileumsfond i samarbete med Gidlunds Bokförlag.</w:t>
      </w:r>
    </w:p>
    <w:p w:rsidR="00B43C57" w:rsidRPr="00F5723F" w:rsidRDefault="00B43C57">
      <w:pPr>
        <w:pStyle w:val="Fotnotstext"/>
        <w:spacing w:line="240" w:lineRule="auto"/>
        <w:ind w:left="284" w:hanging="284"/>
        <w:rPr>
          <w:sz w:val="19"/>
          <w:szCs w:val="19"/>
        </w:rPr>
      </w:pPr>
      <w:r w:rsidRPr="00F5723F">
        <w:rPr>
          <w:snapToGrid w:val="0"/>
          <w:sz w:val="19"/>
          <w:szCs w:val="19"/>
        </w:rPr>
        <w:t xml:space="preserve">Johansson, Jan (1999), </w:t>
      </w:r>
      <w:r w:rsidRPr="00F5723F">
        <w:rPr>
          <w:i/>
          <w:snapToGrid w:val="0"/>
          <w:sz w:val="19"/>
          <w:szCs w:val="19"/>
        </w:rPr>
        <w:t>Hur blir man riksdagsledamot?</w:t>
      </w:r>
      <w:r w:rsidRPr="00F5723F">
        <w:rPr>
          <w:i/>
          <w:snapToGrid w:val="0"/>
          <w:sz w:val="19"/>
          <w:szCs w:val="19"/>
        </w:rPr>
        <w:t xml:space="preserve"> En undersökning av makt och inflytande i partiernas nomineringsprocesser.</w:t>
      </w:r>
      <w:r w:rsidRPr="00F5723F">
        <w:rPr>
          <w:snapToGrid w:val="0"/>
          <w:sz w:val="19"/>
          <w:szCs w:val="19"/>
        </w:rPr>
        <w:t xml:space="preserve"> Stockholm: Gi</w:t>
      </w:r>
      <w:r w:rsidRPr="00F5723F">
        <w:rPr>
          <w:snapToGrid w:val="0"/>
          <w:sz w:val="19"/>
          <w:szCs w:val="19"/>
        </w:rPr>
        <w:t>d</w:t>
      </w:r>
      <w:r w:rsidRPr="00F5723F">
        <w:rPr>
          <w:snapToGrid w:val="0"/>
          <w:sz w:val="19"/>
          <w:szCs w:val="19"/>
        </w:rPr>
        <w:t>lunds förlag.</w:t>
      </w:r>
    </w:p>
    <w:p w:rsidR="00B43C57" w:rsidRPr="00F5723F" w:rsidRDefault="00B43C57">
      <w:pPr>
        <w:pStyle w:val="Fotnotstext"/>
        <w:spacing w:line="240" w:lineRule="auto"/>
        <w:ind w:left="284" w:hanging="284"/>
        <w:rPr>
          <w:sz w:val="19"/>
          <w:szCs w:val="19"/>
        </w:rPr>
      </w:pPr>
      <w:r w:rsidRPr="00F5723F">
        <w:rPr>
          <w:sz w:val="19"/>
          <w:szCs w:val="19"/>
        </w:rPr>
        <w:t xml:space="preserve">Jónasdóttir, Anna (1994), ”Recension av Skjeie, Hege, 1992. </w:t>
      </w:r>
      <w:r w:rsidRPr="00F5723F">
        <w:rPr>
          <w:sz w:val="19"/>
          <w:szCs w:val="19"/>
        </w:rPr>
        <w:t>Den politiske betydningen av kjø</w:t>
      </w:r>
      <w:r w:rsidRPr="00F5723F">
        <w:rPr>
          <w:sz w:val="19"/>
          <w:szCs w:val="19"/>
        </w:rPr>
        <w:t xml:space="preserve">nn. En studie av norsk topp-politikk” i </w:t>
      </w:r>
      <w:r w:rsidRPr="00F5723F">
        <w:rPr>
          <w:i/>
          <w:sz w:val="19"/>
          <w:szCs w:val="19"/>
        </w:rPr>
        <w:t>Statsvetenska</w:t>
      </w:r>
      <w:r w:rsidRPr="00F5723F">
        <w:rPr>
          <w:i/>
          <w:sz w:val="19"/>
          <w:szCs w:val="19"/>
        </w:rPr>
        <w:t>p</w:t>
      </w:r>
      <w:r w:rsidRPr="00F5723F">
        <w:rPr>
          <w:i/>
          <w:sz w:val="19"/>
          <w:szCs w:val="19"/>
        </w:rPr>
        <w:t xml:space="preserve">lig tidskrift </w:t>
      </w:r>
      <w:r w:rsidRPr="00F5723F">
        <w:rPr>
          <w:sz w:val="19"/>
          <w:szCs w:val="19"/>
        </w:rPr>
        <w:t>2, sid. 215–</w:t>
      </w:r>
      <w:r w:rsidRPr="00F5723F">
        <w:rPr>
          <w:sz w:val="19"/>
          <w:szCs w:val="19"/>
        </w:rPr>
        <w:t>219.</w:t>
      </w:r>
    </w:p>
    <w:p w:rsidR="00B43C57" w:rsidRPr="00F5723F" w:rsidRDefault="00B43C57">
      <w:pPr>
        <w:pStyle w:val="Fotnotstext"/>
        <w:spacing w:line="240" w:lineRule="auto"/>
        <w:ind w:left="284" w:hanging="284"/>
        <w:rPr>
          <w:sz w:val="19"/>
          <w:szCs w:val="19"/>
        </w:rPr>
      </w:pPr>
      <w:r w:rsidRPr="00F5723F">
        <w:rPr>
          <w:sz w:val="19"/>
          <w:szCs w:val="19"/>
        </w:rPr>
        <w:t>Jónasdóttir, Anna (1991),</w:t>
      </w:r>
      <w:r w:rsidRPr="00F5723F">
        <w:rPr>
          <w:i/>
          <w:sz w:val="19"/>
          <w:szCs w:val="19"/>
        </w:rPr>
        <w:t xml:space="preserve"> Love Power and Political Interests</w:t>
      </w:r>
      <w:r w:rsidRPr="00F5723F">
        <w:rPr>
          <w:sz w:val="19"/>
          <w:szCs w:val="19"/>
        </w:rPr>
        <w:t xml:space="preserve">. </w:t>
      </w:r>
      <w:r w:rsidRPr="00F5723F">
        <w:rPr>
          <w:sz w:val="19"/>
          <w:szCs w:val="19"/>
        </w:rPr>
        <w:t>Ör</w:t>
      </w:r>
      <w:r w:rsidRPr="00F5723F">
        <w:rPr>
          <w:sz w:val="19"/>
          <w:szCs w:val="19"/>
        </w:rPr>
        <w:t>e</w:t>
      </w:r>
      <w:r w:rsidRPr="00F5723F">
        <w:rPr>
          <w:sz w:val="19"/>
          <w:szCs w:val="19"/>
        </w:rPr>
        <w:t>bro: Örebro Studies 7.</w:t>
      </w:r>
    </w:p>
    <w:p w:rsidR="00B43C57" w:rsidRPr="00F5723F" w:rsidRDefault="00B43C57">
      <w:pPr>
        <w:pStyle w:val="Fotnotstext"/>
        <w:spacing w:line="240" w:lineRule="auto"/>
        <w:ind w:left="284" w:hanging="284"/>
        <w:rPr>
          <w:sz w:val="19"/>
          <w:szCs w:val="19"/>
        </w:rPr>
      </w:pPr>
      <w:r w:rsidRPr="00F5723F">
        <w:rPr>
          <w:sz w:val="19"/>
          <w:szCs w:val="19"/>
        </w:rPr>
        <w:t xml:space="preserve">Jonäng, Gunnel (1996), ”Gunnel Jonäng (c)” i </w:t>
      </w:r>
      <w:r w:rsidRPr="00F5723F">
        <w:rPr>
          <w:i/>
          <w:sz w:val="19"/>
          <w:szCs w:val="19"/>
        </w:rPr>
        <w:t>Riksdagsu</w:t>
      </w:r>
      <w:r w:rsidRPr="00F5723F">
        <w:rPr>
          <w:i/>
          <w:sz w:val="19"/>
          <w:szCs w:val="19"/>
        </w:rPr>
        <w:t>t</w:t>
      </w:r>
      <w:r w:rsidRPr="00F5723F">
        <w:rPr>
          <w:i/>
          <w:sz w:val="19"/>
          <w:szCs w:val="19"/>
        </w:rPr>
        <w:t>skotten inifrån</w:t>
      </w:r>
      <w:r w:rsidRPr="00F5723F">
        <w:rPr>
          <w:sz w:val="19"/>
          <w:szCs w:val="19"/>
        </w:rPr>
        <w:t xml:space="preserve"> </w:t>
      </w:r>
      <w:r w:rsidRPr="00F5723F">
        <w:rPr>
          <w:i/>
          <w:sz w:val="19"/>
          <w:szCs w:val="19"/>
        </w:rPr>
        <w:t>– Tretton ledamöters hågkomster.</w:t>
      </w:r>
      <w:r w:rsidRPr="00F5723F">
        <w:rPr>
          <w:sz w:val="19"/>
          <w:szCs w:val="19"/>
        </w:rPr>
        <w:t xml:space="preserve"> Riksba</w:t>
      </w:r>
      <w:r w:rsidRPr="00F5723F">
        <w:rPr>
          <w:sz w:val="19"/>
          <w:szCs w:val="19"/>
        </w:rPr>
        <w:t>n</w:t>
      </w:r>
      <w:r w:rsidRPr="00F5723F">
        <w:rPr>
          <w:sz w:val="19"/>
          <w:szCs w:val="19"/>
        </w:rPr>
        <w:t xml:space="preserve">kens Jubileumsfond i samarbete med Gidlunds Bokförlag. </w:t>
      </w:r>
    </w:p>
    <w:p w:rsidR="00B43C57" w:rsidRPr="00F5723F" w:rsidRDefault="00B43C57">
      <w:pPr>
        <w:pStyle w:val="Fotnotstext"/>
        <w:spacing w:line="240" w:lineRule="auto"/>
        <w:ind w:left="284" w:hanging="284"/>
        <w:rPr>
          <w:sz w:val="19"/>
          <w:szCs w:val="19"/>
        </w:rPr>
      </w:pPr>
      <w:r w:rsidRPr="00F5723F">
        <w:rPr>
          <w:sz w:val="19"/>
          <w:szCs w:val="19"/>
        </w:rPr>
        <w:t xml:space="preserve">Jönsson, Christer red. (2001), </w:t>
      </w:r>
      <w:r w:rsidRPr="00F5723F">
        <w:rPr>
          <w:i/>
          <w:sz w:val="19"/>
          <w:szCs w:val="19"/>
        </w:rPr>
        <w:t>Rösträtten 80 år –</w:t>
      </w:r>
      <w:r w:rsidRPr="00F5723F">
        <w:rPr>
          <w:i/>
          <w:sz w:val="19"/>
          <w:szCs w:val="19"/>
        </w:rPr>
        <w:t xml:space="preserve"> forskarant</w:t>
      </w:r>
      <w:r w:rsidRPr="00F5723F">
        <w:rPr>
          <w:i/>
          <w:sz w:val="19"/>
          <w:szCs w:val="19"/>
        </w:rPr>
        <w:t>o</w:t>
      </w:r>
      <w:r w:rsidRPr="00F5723F">
        <w:rPr>
          <w:i/>
          <w:sz w:val="19"/>
          <w:szCs w:val="19"/>
        </w:rPr>
        <w:t>logi.</w:t>
      </w:r>
      <w:r w:rsidRPr="00F5723F">
        <w:rPr>
          <w:sz w:val="19"/>
          <w:szCs w:val="19"/>
        </w:rPr>
        <w:t xml:space="preserve"> </w:t>
      </w:r>
      <w:r w:rsidRPr="00F5723F">
        <w:rPr>
          <w:sz w:val="19"/>
          <w:szCs w:val="19"/>
        </w:rPr>
        <w:t>Stockholm: Justitiedepartementet.</w:t>
      </w:r>
    </w:p>
    <w:p w:rsidR="00B43C57" w:rsidRPr="00F5723F" w:rsidRDefault="00B43C57">
      <w:pPr>
        <w:pStyle w:val="Fotnotstext"/>
        <w:spacing w:line="240" w:lineRule="auto"/>
        <w:ind w:left="284" w:hanging="284"/>
        <w:rPr>
          <w:sz w:val="19"/>
          <w:szCs w:val="19"/>
        </w:rPr>
      </w:pPr>
      <w:r w:rsidRPr="00F5723F">
        <w:rPr>
          <w:sz w:val="19"/>
          <w:szCs w:val="19"/>
        </w:rPr>
        <w:t xml:space="preserve">Kaiser, Pia (2001), </w:t>
      </w:r>
      <w:r w:rsidRPr="00F5723F">
        <w:rPr>
          <w:i/>
          <w:sz w:val="19"/>
          <w:szCs w:val="19"/>
        </w:rPr>
        <w:t>Strategic Predictors of Women’s Parliamentary Particip</w:t>
      </w:r>
      <w:r w:rsidRPr="00F5723F">
        <w:rPr>
          <w:i/>
          <w:sz w:val="19"/>
          <w:szCs w:val="19"/>
        </w:rPr>
        <w:t>a</w:t>
      </w:r>
      <w:r w:rsidRPr="00F5723F">
        <w:rPr>
          <w:i/>
          <w:sz w:val="19"/>
          <w:szCs w:val="19"/>
        </w:rPr>
        <w:t>tion: A Comparative Study of Twenty-Three Democracies.</w:t>
      </w:r>
      <w:r w:rsidRPr="00F5723F">
        <w:rPr>
          <w:sz w:val="19"/>
          <w:szCs w:val="19"/>
        </w:rPr>
        <w:t xml:space="preserve"> </w:t>
      </w:r>
      <w:smartTag w:uri="urn:schemas-microsoft-com:office:smarttags" w:element="City">
        <w:r w:rsidRPr="00F5723F">
          <w:rPr>
            <w:sz w:val="19"/>
            <w:szCs w:val="19"/>
          </w:rPr>
          <w:t>Los Angeles</w:t>
        </w:r>
      </w:smartTag>
      <w:r w:rsidRPr="00F5723F">
        <w:rPr>
          <w:sz w:val="19"/>
          <w:szCs w:val="19"/>
        </w:rPr>
        <w:t xml:space="preserve">: </w:t>
      </w:r>
      <w:smartTag w:uri="urn:schemas-microsoft-com:office:smarttags" w:element="PlaceType">
        <w:r w:rsidRPr="00F5723F">
          <w:rPr>
            <w:sz w:val="19"/>
            <w:szCs w:val="19"/>
          </w:rPr>
          <w:t>University</w:t>
        </w:r>
      </w:smartTag>
      <w:r w:rsidRPr="00F5723F">
        <w:rPr>
          <w:sz w:val="19"/>
          <w:szCs w:val="19"/>
        </w:rPr>
        <w:t xml:space="preserve"> of </w:t>
      </w:r>
      <w:smartTag w:uri="urn:schemas-microsoft-com:office:smarttags" w:element="PlaceName">
        <w:r w:rsidRPr="00F5723F">
          <w:rPr>
            <w:sz w:val="19"/>
            <w:szCs w:val="19"/>
          </w:rPr>
          <w:t>California</w:t>
        </w:r>
      </w:smartTag>
      <w:r w:rsidRPr="00F5723F">
        <w:rPr>
          <w:sz w:val="19"/>
          <w:szCs w:val="19"/>
        </w:rPr>
        <w:t xml:space="preserve">, </w:t>
      </w:r>
      <w:smartTag w:uri="urn:schemas-microsoft-com:office:smarttags" w:element="City">
        <w:smartTag w:uri="urn:schemas-microsoft-com:office:smarttags" w:element="place">
          <w:r w:rsidRPr="00F5723F">
            <w:rPr>
              <w:sz w:val="19"/>
              <w:szCs w:val="19"/>
            </w:rPr>
            <w:t>Los Angeles</w:t>
          </w:r>
        </w:smartTag>
      </w:smartTag>
      <w:r w:rsidRPr="00F5723F">
        <w:rPr>
          <w:sz w:val="19"/>
          <w:szCs w:val="19"/>
        </w:rPr>
        <w:t>.</w:t>
      </w:r>
    </w:p>
    <w:p w:rsidR="00B43C57" w:rsidRPr="00F5723F" w:rsidRDefault="00B43C57">
      <w:pPr>
        <w:pStyle w:val="Fotnotstext"/>
        <w:spacing w:line="240" w:lineRule="auto"/>
        <w:ind w:left="284" w:hanging="284"/>
        <w:rPr>
          <w:sz w:val="19"/>
          <w:szCs w:val="19"/>
        </w:rPr>
      </w:pPr>
      <w:r w:rsidRPr="00F5723F">
        <w:rPr>
          <w:sz w:val="19"/>
          <w:szCs w:val="19"/>
        </w:rPr>
        <w:t>Kanter, Rosabeth Moss (1977),</w:t>
      </w:r>
      <w:r w:rsidRPr="00F5723F">
        <w:rPr>
          <w:i/>
          <w:sz w:val="19"/>
          <w:szCs w:val="19"/>
        </w:rPr>
        <w:t xml:space="preserve"> Men and Women of the Co</w:t>
      </w:r>
      <w:r w:rsidRPr="00F5723F">
        <w:rPr>
          <w:i/>
          <w:sz w:val="19"/>
          <w:szCs w:val="19"/>
        </w:rPr>
        <w:t>r</w:t>
      </w:r>
      <w:r w:rsidRPr="00F5723F">
        <w:rPr>
          <w:i/>
          <w:sz w:val="19"/>
          <w:szCs w:val="19"/>
        </w:rPr>
        <w:t>poration.</w:t>
      </w:r>
      <w:r w:rsidRPr="00F5723F">
        <w:rPr>
          <w:sz w:val="19"/>
          <w:szCs w:val="19"/>
        </w:rPr>
        <w:t xml:space="preserve"> </w:t>
      </w:r>
      <w:r w:rsidRPr="00F5723F">
        <w:rPr>
          <w:sz w:val="19"/>
          <w:szCs w:val="19"/>
        </w:rPr>
        <w:t>London: Basic Books.</w:t>
      </w:r>
    </w:p>
    <w:p w:rsidR="00B43C57" w:rsidRPr="00F5723F" w:rsidRDefault="00B43C57">
      <w:pPr>
        <w:spacing w:line="240" w:lineRule="auto"/>
        <w:ind w:left="284" w:hanging="284"/>
        <w:rPr>
          <w:szCs w:val="19"/>
        </w:rPr>
      </w:pPr>
      <w:r w:rsidRPr="00F5723F">
        <w:rPr>
          <w:szCs w:val="19"/>
        </w:rPr>
        <w:t xml:space="preserve">Karlsson, Gunnel (1996), </w:t>
      </w:r>
      <w:r w:rsidRPr="00F5723F">
        <w:rPr>
          <w:i/>
          <w:szCs w:val="19"/>
        </w:rPr>
        <w:t>Från broderskap till systerskap. Det socialdem</w:t>
      </w:r>
      <w:r w:rsidRPr="00F5723F">
        <w:rPr>
          <w:i/>
          <w:szCs w:val="19"/>
        </w:rPr>
        <w:t>o</w:t>
      </w:r>
      <w:r w:rsidRPr="00F5723F">
        <w:rPr>
          <w:i/>
          <w:szCs w:val="19"/>
        </w:rPr>
        <w:t>kratiska kvinnoförbundets kamp för inflytande och makt i SAP</w:t>
      </w:r>
      <w:r w:rsidRPr="00F5723F">
        <w:rPr>
          <w:szCs w:val="19"/>
        </w:rPr>
        <w:t>. Lund: A</w:t>
      </w:r>
      <w:r w:rsidRPr="00F5723F">
        <w:rPr>
          <w:szCs w:val="19"/>
        </w:rPr>
        <w:t>r</w:t>
      </w:r>
      <w:r w:rsidRPr="00F5723F">
        <w:rPr>
          <w:szCs w:val="19"/>
        </w:rPr>
        <w:t xml:space="preserve">kiv Förlag. </w:t>
      </w:r>
    </w:p>
    <w:p w:rsidR="00B43C57" w:rsidRPr="00F5723F" w:rsidRDefault="00B43C57">
      <w:pPr>
        <w:spacing w:line="240" w:lineRule="auto"/>
        <w:ind w:left="284" w:hanging="284"/>
        <w:rPr>
          <w:szCs w:val="19"/>
        </w:rPr>
      </w:pPr>
      <w:r w:rsidRPr="00F5723F">
        <w:rPr>
          <w:szCs w:val="19"/>
        </w:rPr>
        <w:t xml:space="preserve">Karlsson, Gunnel (1990), </w:t>
      </w:r>
      <w:r w:rsidRPr="00F5723F">
        <w:rPr>
          <w:i/>
          <w:szCs w:val="19"/>
        </w:rPr>
        <w:t xml:space="preserve">Manssamhället till behag. </w:t>
      </w:r>
      <w:r w:rsidRPr="00F5723F">
        <w:rPr>
          <w:szCs w:val="19"/>
        </w:rPr>
        <w:t xml:space="preserve">Stockholm: SSKF och Tidens förlag. </w:t>
      </w:r>
    </w:p>
    <w:p w:rsidR="00B43C57" w:rsidRPr="00F5723F" w:rsidRDefault="00B43C57">
      <w:pPr>
        <w:spacing w:line="240" w:lineRule="auto"/>
        <w:ind w:left="284" w:hanging="284"/>
        <w:rPr>
          <w:szCs w:val="19"/>
        </w:rPr>
      </w:pPr>
      <w:r w:rsidRPr="00F5723F">
        <w:rPr>
          <w:szCs w:val="19"/>
        </w:rPr>
        <w:t xml:space="preserve">Karvonen, Lauri och Per Selle, red. </w:t>
      </w:r>
      <w:r w:rsidRPr="00F5723F">
        <w:rPr>
          <w:szCs w:val="19"/>
        </w:rPr>
        <w:t xml:space="preserve">(1995), </w:t>
      </w:r>
      <w:r w:rsidRPr="00F5723F">
        <w:rPr>
          <w:i/>
          <w:szCs w:val="19"/>
        </w:rPr>
        <w:t>Women in Nordic Politics. Clo</w:t>
      </w:r>
      <w:r w:rsidRPr="00F5723F">
        <w:rPr>
          <w:i/>
          <w:szCs w:val="19"/>
        </w:rPr>
        <w:t>s</w:t>
      </w:r>
      <w:r w:rsidRPr="00F5723F">
        <w:rPr>
          <w:i/>
          <w:szCs w:val="19"/>
        </w:rPr>
        <w:t xml:space="preserve">ing the Gap. </w:t>
      </w:r>
      <w:r w:rsidRPr="00F5723F">
        <w:rPr>
          <w:szCs w:val="19"/>
        </w:rPr>
        <w:t xml:space="preserve">Aldershot: </w:t>
      </w:r>
      <w:smartTag w:uri="urn:schemas-microsoft-com:office:smarttags" w:element="City">
        <w:smartTag w:uri="urn:schemas-microsoft-com:office:smarttags" w:element="place">
          <w:r w:rsidRPr="00F5723F">
            <w:rPr>
              <w:szCs w:val="19"/>
            </w:rPr>
            <w:t>Dartmouth</w:t>
          </w:r>
        </w:smartTag>
      </w:smartTag>
      <w:r w:rsidRPr="00F5723F">
        <w:rPr>
          <w:szCs w:val="19"/>
        </w:rPr>
        <w:t>.</w:t>
      </w:r>
    </w:p>
    <w:p w:rsidR="00B43C57" w:rsidRPr="00F5723F" w:rsidRDefault="00B43C57">
      <w:pPr>
        <w:spacing w:line="240" w:lineRule="auto"/>
        <w:ind w:left="284" w:hanging="284"/>
        <w:rPr>
          <w:szCs w:val="19"/>
        </w:rPr>
      </w:pPr>
      <w:r w:rsidRPr="00F5723F">
        <w:rPr>
          <w:szCs w:val="19"/>
        </w:rPr>
        <w:t xml:space="preserve">Kenworthy, Lane och Melissa Malami (1999), ”Gender Inequality in Political Representation: A Worldwide Comparative Analysis” i </w:t>
      </w:r>
      <w:r w:rsidRPr="00F5723F">
        <w:rPr>
          <w:i/>
          <w:szCs w:val="19"/>
        </w:rPr>
        <w:t>Social Forces 78</w:t>
      </w:r>
      <w:r w:rsidRPr="00F5723F">
        <w:rPr>
          <w:szCs w:val="19"/>
        </w:rPr>
        <w:t>, no 1:235–</w:t>
      </w:r>
      <w:r w:rsidRPr="00F5723F">
        <w:rPr>
          <w:szCs w:val="19"/>
        </w:rPr>
        <w:t>269.</w:t>
      </w:r>
    </w:p>
    <w:p w:rsidR="00B43C57" w:rsidRPr="00F5723F" w:rsidRDefault="00B43C57">
      <w:pPr>
        <w:spacing w:line="240" w:lineRule="auto"/>
        <w:ind w:left="284" w:hanging="284"/>
        <w:rPr>
          <w:szCs w:val="19"/>
        </w:rPr>
      </w:pPr>
      <w:r w:rsidRPr="00F5723F">
        <w:rPr>
          <w:szCs w:val="19"/>
        </w:rPr>
        <w:t xml:space="preserve">Kjær, Ulrik (2001), </w:t>
      </w:r>
      <w:r w:rsidRPr="00F5723F">
        <w:rPr>
          <w:i/>
          <w:szCs w:val="19"/>
        </w:rPr>
        <w:t>Kommunbestyrelsernes sammansaetning</w:t>
      </w:r>
      <w:r w:rsidRPr="00F5723F">
        <w:rPr>
          <w:szCs w:val="19"/>
        </w:rPr>
        <w:t xml:space="preserve">. </w:t>
      </w:r>
      <w:smartTag w:uri="urn:schemas-microsoft-com:office:smarttags" w:element="City">
        <w:r w:rsidRPr="00F5723F">
          <w:rPr>
            <w:szCs w:val="19"/>
          </w:rPr>
          <w:t>Odense</w:t>
        </w:r>
      </w:smartTag>
      <w:r w:rsidRPr="00F5723F">
        <w:rPr>
          <w:szCs w:val="19"/>
        </w:rPr>
        <w:t>: Fa</w:t>
      </w:r>
      <w:r w:rsidRPr="00F5723F">
        <w:rPr>
          <w:szCs w:val="19"/>
        </w:rPr>
        <w:t>c</w:t>
      </w:r>
      <w:r w:rsidRPr="00F5723F">
        <w:rPr>
          <w:szCs w:val="19"/>
        </w:rPr>
        <w:t xml:space="preserve">ulty of Social Sciences, </w:t>
      </w:r>
      <w:smartTag w:uri="urn:schemas-microsoft-com:office:smarttags" w:element="place">
        <w:smartTag w:uri="urn:schemas-microsoft-com:office:smarttags" w:element="PlaceType">
          <w:r w:rsidRPr="00F5723F">
            <w:rPr>
              <w:szCs w:val="19"/>
            </w:rPr>
            <w:t>University</w:t>
          </w:r>
        </w:smartTag>
        <w:r w:rsidRPr="00F5723F">
          <w:rPr>
            <w:szCs w:val="19"/>
          </w:rPr>
          <w:t xml:space="preserve"> of </w:t>
        </w:r>
        <w:smartTag w:uri="urn:schemas-microsoft-com:office:smarttags" w:element="PlaceName">
          <w:r w:rsidRPr="00F5723F">
            <w:rPr>
              <w:szCs w:val="19"/>
            </w:rPr>
            <w:t>Southern Denmark</w:t>
          </w:r>
        </w:smartTag>
      </w:smartTag>
      <w:r w:rsidRPr="00F5723F">
        <w:rPr>
          <w:szCs w:val="19"/>
        </w:rPr>
        <w:t>.</w:t>
      </w:r>
    </w:p>
    <w:p w:rsidR="00B43C57" w:rsidRPr="00F5723F" w:rsidRDefault="00B43C57">
      <w:pPr>
        <w:spacing w:line="240" w:lineRule="auto"/>
        <w:ind w:left="284" w:hanging="284"/>
        <w:rPr>
          <w:szCs w:val="19"/>
        </w:rPr>
      </w:pPr>
      <w:r w:rsidRPr="00F5723F">
        <w:rPr>
          <w:szCs w:val="19"/>
        </w:rPr>
        <w:t>Kjær, Ulrik (2000),</w:t>
      </w:r>
      <w:r w:rsidRPr="00F5723F">
        <w:rPr>
          <w:b/>
          <w:szCs w:val="19"/>
        </w:rPr>
        <w:t xml:space="preserve"> </w:t>
      </w:r>
      <w:r w:rsidRPr="00F5723F">
        <w:rPr>
          <w:szCs w:val="19"/>
        </w:rPr>
        <w:t xml:space="preserve">”Saturation without parity: The stagnating number of female councillors in </w:t>
      </w:r>
      <w:smartTag w:uri="urn:schemas-microsoft-com:office:smarttags" w:element="country-region">
        <w:smartTag w:uri="urn:schemas-microsoft-com:office:smarttags" w:element="place">
          <w:r w:rsidRPr="00F5723F">
            <w:rPr>
              <w:szCs w:val="19"/>
            </w:rPr>
            <w:t>Denmark</w:t>
          </w:r>
        </w:smartTag>
      </w:smartTag>
      <w:r w:rsidRPr="00F5723F">
        <w:rPr>
          <w:szCs w:val="19"/>
        </w:rPr>
        <w:t xml:space="preserve">” i </w:t>
      </w:r>
      <w:r w:rsidRPr="00F5723F">
        <w:rPr>
          <w:i/>
          <w:szCs w:val="19"/>
        </w:rPr>
        <w:t>Elites, Parties and Democracy: Fes</w:t>
      </w:r>
      <w:r w:rsidRPr="00F5723F">
        <w:rPr>
          <w:i/>
          <w:szCs w:val="19"/>
        </w:rPr>
        <w:t>t</w:t>
      </w:r>
      <w:r w:rsidRPr="00F5723F">
        <w:rPr>
          <w:i/>
          <w:szCs w:val="19"/>
        </w:rPr>
        <w:t>schrift f</w:t>
      </w:r>
      <w:r w:rsidRPr="00F5723F">
        <w:rPr>
          <w:i/>
          <w:szCs w:val="19"/>
        </w:rPr>
        <w:t>or Professor Mogens N. Pedersen</w:t>
      </w:r>
      <w:r w:rsidRPr="00F5723F">
        <w:rPr>
          <w:szCs w:val="19"/>
        </w:rPr>
        <w:t>,</w:t>
      </w:r>
      <w:r w:rsidRPr="00F5723F">
        <w:rPr>
          <w:szCs w:val="19"/>
        </w:rPr>
        <w:t xml:space="preserve"> red. </w:t>
      </w:r>
      <w:r w:rsidRPr="00F5723F">
        <w:rPr>
          <w:szCs w:val="19"/>
        </w:rPr>
        <w:t>Erik Beukel, Kurt Klaudi Klausen och Poul Erik Mouritzen. Odense: Od</w:t>
      </w:r>
      <w:r w:rsidRPr="00F5723F">
        <w:rPr>
          <w:szCs w:val="19"/>
        </w:rPr>
        <w:t>ense University Press, sid. 149–</w:t>
      </w:r>
      <w:r w:rsidRPr="00F5723F">
        <w:rPr>
          <w:szCs w:val="19"/>
        </w:rPr>
        <w:t>167.</w:t>
      </w:r>
    </w:p>
    <w:p w:rsidR="00B43C57" w:rsidRPr="00F5723F" w:rsidRDefault="00B43C57">
      <w:pPr>
        <w:pStyle w:val="Fotnotstext"/>
        <w:spacing w:line="240" w:lineRule="auto"/>
        <w:ind w:left="284" w:hanging="284"/>
        <w:rPr>
          <w:sz w:val="19"/>
          <w:szCs w:val="19"/>
        </w:rPr>
      </w:pPr>
      <w:r w:rsidRPr="00F5723F">
        <w:rPr>
          <w:sz w:val="19"/>
          <w:szCs w:val="19"/>
        </w:rPr>
        <w:t xml:space="preserve">Kristensson, Astrid (1991), ”Såvitt jag minns” i </w:t>
      </w:r>
      <w:r w:rsidRPr="00F5723F">
        <w:rPr>
          <w:i/>
          <w:sz w:val="19"/>
          <w:szCs w:val="19"/>
        </w:rPr>
        <w:t>Riksd</w:t>
      </w:r>
      <w:r w:rsidRPr="00F5723F">
        <w:rPr>
          <w:i/>
          <w:sz w:val="19"/>
          <w:szCs w:val="19"/>
        </w:rPr>
        <w:t>agen inifrån –</w:t>
      </w:r>
      <w:r w:rsidRPr="00F5723F">
        <w:rPr>
          <w:i/>
          <w:sz w:val="19"/>
          <w:szCs w:val="19"/>
        </w:rPr>
        <w:t xml:space="preserve"> Tolv rik</w:t>
      </w:r>
      <w:r w:rsidRPr="00F5723F">
        <w:rPr>
          <w:i/>
          <w:sz w:val="19"/>
          <w:szCs w:val="19"/>
        </w:rPr>
        <w:t>s</w:t>
      </w:r>
      <w:r w:rsidRPr="00F5723F">
        <w:rPr>
          <w:i/>
          <w:sz w:val="19"/>
          <w:szCs w:val="19"/>
        </w:rPr>
        <w:t xml:space="preserve">dagsledamöters hågkomster, erfarenheter och lärdomar. </w:t>
      </w:r>
      <w:r w:rsidRPr="00F5723F">
        <w:rPr>
          <w:sz w:val="19"/>
          <w:szCs w:val="19"/>
        </w:rPr>
        <w:t>Hedemora: Riksbankens Jubileumsfond i sa</w:t>
      </w:r>
      <w:r w:rsidRPr="00F5723F">
        <w:rPr>
          <w:sz w:val="19"/>
          <w:szCs w:val="19"/>
        </w:rPr>
        <w:t>m</w:t>
      </w:r>
      <w:r w:rsidRPr="00F5723F">
        <w:rPr>
          <w:sz w:val="19"/>
          <w:szCs w:val="19"/>
        </w:rPr>
        <w:t xml:space="preserve">arbete med Gidlunds Bokförlag. </w:t>
      </w:r>
    </w:p>
    <w:p w:rsidR="00B43C57" w:rsidRPr="00F5723F" w:rsidRDefault="00B43C57">
      <w:pPr>
        <w:pStyle w:val="Fotnotstext"/>
        <w:spacing w:line="240" w:lineRule="auto"/>
        <w:ind w:left="284" w:hanging="284"/>
        <w:rPr>
          <w:snapToGrid w:val="0"/>
          <w:sz w:val="19"/>
          <w:szCs w:val="19"/>
        </w:rPr>
      </w:pPr>
      <w:r w:rsidRPr="00F5723F">
        <w:rPr>
          <w:sz w:val="19"/>
          <w:szCs w:val="19"/>
        </w:rPr>
        <w:t xml:space="preserve">Kristjánsson, Svanur (2002), ”Iceland: From Party Rule to Pluralist Political Society” i Narud m.fl. (2002), </w:t>
      </w:r>
      <w:r w:rsidRPr="00F5723F">
        <w:rPr>
          <w:i/>
          <w:sz w:val="19"/>
          <w:szCs w:val="19"/>
        </w:rPr>
        <w:t xml:space="preserve">Party Sovereignty and Citizen Control. </w:t>
      </w:r>
      <w:smartTag w:uri="urn:schemas-microsoft-com:office:smarttags" w:element="City">
        <w:r w:rsidRPr="00F5723F">
          <w:rPr>
            <w:snapToGrid w:val="0"/>
            <w:sz w:val="19"/>
            <w:szCs w:val="19"/>
          </w:rPr>
          <w:t>Odense</w:t>
        </w:r>
      </w:smartTag>
      <w:r w:rsidRPr="00F5723F">
        <w:rPr>
          <w:snapToGrid w:val="0"/>
          <w:sz w:val="19"/>
          <w:szCs w:val="19"/>
        </w:rPr>
        <w:t xml:space="preserve">: University Press of </w:t>
      </w:r>
      <w:smartTag w:uri="urn:schemas-microsoft-com:office:smarttags" w:element="place">
        <w:r w:rsidRPr="00F5723F">
          <w:rPr>
            <w:snapToGrid w:val="0"/>
            <w:sz w:val="19"/>
            <w:szCs w:val="19"/>
          </w:rPr>
          <w:t>Southern Denmark</w:t>
        </w:r>
      </w:smartTag>
      <w:r w:rsidRPr="00F5723F">
        <w:rPr>
          <w:snapToGrid w:val="0"/>
          <w:sz w:val="19"/>
          <w:szCs w:val="19"/>
        </w:rPr>
        <w:t>.</w:t>
      </w:r>
    </w:p>
    <w:p w:rsidR="00B43C57" w:rsidRPr="00F5723F" w:rsidRDefault="00B43C57">
      <w:pPr>
        <w:spacing w:line="240" w:lineRule="auto"/>
        <w:ind w:left="284" w:hanging="284"/>
        <w:rPr>
          <w:szCs w:val="19"/>
        </w:rPr>
      </w:pPr>
      <w:r w:rsidRPr="00F5723F">
        <w:rPr>
          <w:szCs w:val="19"/>
        </w:rPr>
        <w:t>Krogstad, Anne (2001), ”Image and issue</w:t>
      </w:r>
      <w:r w:rsidRPr="00F5723F">
        <w:rPr>
          <w:szCs w:val="19"/>
        </w:rPr>
        <w:t xml:space="preserve"> in televised debates” sid. 155–</w:t>
      </w:r>
      <w:r w:rsidRPr="00F5723F">
        <w:rPr>
          <w:szCs w:val="19"/>
        </w:rPr>
        <w:t xml:space="preserve">184 i Gomard och Krogstad red. (2001), </w:t>
      </w:r>
      <w:r w:rsidRPr="00F5723F">
        <w:rPr>
          <w:i/>
          <w:szCs w:val="19"/>
        </w:rPr>
        <w:t>Instead of the ideal debate. Doing pol</w:t>
      </w:r>
      <w:r w:rsidRPr="00F5723F">
        <w:rPr>
          <w:i/>
          <w:szCs w:val="19"/>
        </w:rPr>
        <w:t>i</w:t>
      </w:r>
      <w:r w:rsidRPr="00F5723F">
        <w:rPr>
          <w:i/>
          <w:szCs w:val="19"/>
        </w:rPr>
        <w:t>tics and doing gender in Nordic political campaign discourse.</w:t>
      </w:r>
      <w:r w:rsidRPr="00F5723F">
        <w:rPr>
          <w:szCs w:val="19"/>
        </w:rPr>
        <w:t xml:space="preserve"> </w:t>
      </w:r>
      <w:r w:rsidRPr="00F5723F">
        <w:rPr>
          <w:szCs w:val="19"/>
        </w:rPr>
        <w:t>Gylling: Aarhus University Press.</w:t>
      </w:r>
    </w:p>
    <w:p w:rsidR="00B43C57" w:rsidRPr="00F5723F" w:rsidRDefault="00B43C57">
      <w:pPr>
        <w:spacing w:line="240" w:lineRule="auto"/>
        <w:ind w:left="284" w:hanging="284"/>
        <w:rPr>
          <w:szCs w:val="19"/>
        </w:rPr>
      </w:pPr>
      <w:r w:rsidRPr="00F5723F">
        <w:rPr>
          <w:szCs w:val="19"/>
        </w:rPr>
        <w:t>Krogstad, Anne (1999),</w:t>
      </w:r>
      <w:r w:rsidRPr="00F5723F">
        <w:rPr>
          <w:i/>
          <w:szCs w:val="19"/>
        </w:rPr>
        <w:t xml:space="preserve"> Image i politikken. Visuelle og retoriske virkemidler.</w:t>
      </w:r>
      <w:r w:rsidRPr="00F5723F">
        <w:rPr>
          <w:szCs w:val="19"/>
        </w:rPr>
        <w:t xml:space="preserve"> Oslo: Pax.</w:t>
      </w:r>
    </w:p>
    <w:p w:rsidR="00B43C57" w:rsidRPr="00F5723F" w:rsidRDefault="00B43C57">
      <w:pPr>
        <w:spacing w:line="240" w:lineRule="auto"/>
        <w:ind w:left="284" w:hanging="284"/>
        <w:rPr>
          <w:szCs w:val="19"/>
        </w:rPr>
      </w:pPr>
      <w:r w:rsidRPr="00F5723F">
        <w:rPr>
          <w:szCs w:val="19"/>
        </w:rPr>
        <w:t xml:space="preserve">Krogstad, Anne (1991), “Kvinnelige topp-politikere: I menns fotspor?” </w:t>
      </w:r>
      <w:r w:rsidRPr="00F5723F">
        <w:rPr>
          <w:i/>
          <w:szCs w:val="19"/>
        </w:rPr>
        <w:t xml:space="preserve">Norsk statsvitenskapelig tidskrift, </w:t>
      </w:r>
      <w:r w:rsidRPr="00F5723F">
        <w:rPr>
          <w:szCs w:val="19"/>
        </w:rPr>
        <w:t>2, sid. 87–104.</w:t>
      </w:r>
    </w:p>
    <w:p w:rsidR="00B43C57" w:rsidRPr="00F5723F" w:rsidRDefault="00B43C57">
      <w:pPr>
        <w:spacing w:line="240" w:lineRule="auto"/>
        <w:ind w:left="284" w:hanging="284"/>
        <w:rPr>
          <w:szCs w:val="19"/>
        </w:rPr>
      </w:pPr>
      <w:r w:rsidRPr="00F5723F">
        <w:rPr>
          <w:szCs w:val="19"/>
        </w:rPr>
        <w:t xml:space="preserve">Kuitunen, Soile (2002), ”Finland: Formalized Procedures with Member Predominance” i Hanne Marthe Narud m.fl. (2002), </w:t>
      </w:r>
      <w:r w:rsidRPr="00F5723F">
        <w:rPr>
          <w:i/>
          <w:szCs w:val="19"/>
        </w:rPr>
        <w:t>Party Sovereignty and Cit</w:t>
      </w:r>
      <w:r w:rsidRPr="00F5723F">
        <w:rPr>
          <w:i/>
          <w:szCs w:val="19"/>
        </w:rPr>
        <w:t>i</w:t>
      </w:r>
      <w:r w:rsidRPr="00F5723F">
        <w:rPr>
          <w:i/>
          <w:szCs w:val="19"/>
        </w:rPr>
        <w:t xml:space="preserve">zen Control. </w:t>
      </w:r>
      <w:smartTag w:uri="urn:schemas-microsoft-com:office:smarttags" w:element="City">
        <w:r w:rsidRPr="00F5723F">
          <w:rPr>
            <w:szCs w:val="19"/>
          </w:rPr>
          <w:t>Odense</w:t>
        </w:r>
      </w:smartTag>
      <w:r w:rsidRPr="00F5723F">
        <w:rPr>
          <w:szCs w:val="19"/>
        </w:rPr>
        <w:t xml:space="preserve">: University Press of </w:t>
      </w:r>
      <w:smartTag w:uri="urn:schemas-microsoft-com:office:smarttags" w:element="place">
        <w:r w:rsidRPr="00F5723F">
          <w:rPr>
            <w:szCs w:val="19"/>
          </w:rPr>
          <w:t>Southern Denmark</w:t>
        </w:r>
      </w:smartTag>
      <w:r w:rsidRPr="00F5723F">
        <w:rPr>
          <w:szCs w:val="19"/>
        </w:rPr>
        <w:t>.</w:t>
      </w:r>
      <w:r w:rsidRPr="00F5723F">
        <w:rPr>
          <w:szCs w:val="19"/>
        </w:rPr>
        <w:t xml:space="preserve"> </w:t>
      </w:r>
    </w:p>
    <w:p w:rsidR="00B43C57" w:rsidRPr="00F5723F" w:rsidRDefault="00B43C57">
      <w:pPr>
        <w:spacing w:line="240" w:lineRule="auto"/>
        <w:ind w:left="284" w:hanging="284"/>
        <w:rPr>
          <w:szCs w:val="19"/>
        </w:rPr>
      </w:pPr>
      <w:r w:rsidRPr="00F5723F">
        <w:rPr>
          <w:szCs w:val="19"/>
        </w:rPr>
        <w:t>Kuusipalo, Jaana (1992), ”Finnish Women in Top-Level Politics” i Marja Keränen red</w:t>
      </w:r>
      <w:r w:rsidRPr="00F5723F">
        <w:rPr>
          <w:i/>
          <w:szCs w:val="19"/>
        </w:rPr>
        <w:t>.</w:t>
      </w:r>
      <w:r w:rsidRPr="00F5723F">
        <w:rPr>
          <w:i/>
          <w:szCs w:val="19"/>
        </w:rPr>
        <w:t>,</w:t>
      </w:r>
      <w:r w:rsidRPr="00F5723F">
        <w:rPr>
          <w:i/>
          <w:szCs w:val="19"/>
        </w:rPr>
        <w:t xml:space="preserve"> Finnish ”Undemocracy”, Essays on Gender and Politics</w:t>
      </w:r>
      <w:r w:rsidRPr="00F5723F">
        <w:rPr>
          <w:szCs w:val="19"/>
        </w:rPr>
        <w:t xml:space="preserve">. </w:t>
      </w:r>
      <w:r w:rsidRPr="00F5723F">
        <w:rPr>
          <w:szCs w:val="19"/>
        </w:rPr>
        <w:t xml:space="preserve">The Finnish Political Science Association. </w:t>
      </w:r>
      <w:r w:rsidRPr="00F5723F">
        <w:rPr>
          <w:szCs w:val="19"/>
        </w:rPr>
        <w:t>Jyväskylä: Gummerus.</w:t>
      </w:r>
    </w:p>
    <w:p w:rsidR="00B43C57" w:rsidRPr="00F5723F" w:rsidRDefault="00B43C57">
      <w:pPr>
        <w:spacing w:line="240" w:lineRule="auto"/>
        <w:ind w:left="284" w:hanging="284"/>
        <w:rPr>
          <w:szCs w:val="19"/>
        </w:rPr>
      </w:pPr>
      <w:r w:rsidRPr="00F5723F">
        <w:rPr>
          <w:szCs w:val="19"/>
        </w:rPr>
        <w:t xml:space="preserve">Larsson, Maj (1973), </w:t>
      </w:r>
      <w:r w:rsidRPr="00F5723F">
        <w:rPr>
          <w:i/>
          <w:szCs w:val="19"/>
        </w:rPr>
        <w:t>Kvinnor i tid</w:t>
      </w:r>
      <w:r w:rsidRPr="00F5723F">
        <w:rPr>
          <w:i/>
          <w:szCs w:val="19"/>
        </w:rPr>
        <w:t>s</w:t>
      </w:r>
      <w:r w:rsidRPr="00F5723F">
        <w:rPr>
          <w:i/>
          <w:szCs w:val="19"/>
        </w:rPr>
        <w:t>spegel – En bok om centerns kvinnofö</w:t>
      </w:r>
      <w:r w:rsidRPr="00F5723F">
        <w:rPr>
          <w:i/>
          <w:szCs w:val="19"/>
        </w:rPr>
        <w:t>r</w:t>
      </w:r>
      <w:r w:rsidRPr="00F5723F">
        <w:rPr>
          <w:i/>
          <w:szCs w:val="19"/>
        </w:rPr>
        <w:t>bund</w:t>
      </w:r>
      <w:r w:rsidRPr="00F5723F">
        <w:rPr>
          <w:szCs w:val="19"/>
        </w:rPr>
        <w:t>, Stoc</w:t>
      </w:r>
      <w:r w:rsidRPr="00F5723F">
        <w:rPr>
          <w:szCs w:val="19"/>
        </w:rPr>
        <w:t>k</w:t>
      </w:r>
      <w:r w:rsidRPr="00F5723F">
        <w:rPr>
          <w:szCs w:val="19"/>
        </w:rPr>
        <w:t>holm: LT:s förlag.</w:t>
      </w:r>
    </w:p>
    <w:p w:rsidR="00B43C57" w:rsidRPr="00F5723F" w:rsidRDefault="00B43C57">
      <w:pPr>
        <w:spacing w:line="240" w:lineRule="auto"/>
        <w:ind w:left="284" w:hanging="284"/>
        <w:rPr>
          <w:szCs w:val="19"/>
        </w:rPr>
      </w:pPr>
      <w:r w:rsidRPr="00F5723F">
        <w:rPr>
          <w:szCs w:val="19"/>
        </w:rPr>
        <w:t xml:space="preserve">Liberala Kvinnor (1979), </w:t>
      </w:r>
      <w:r w:rsidRPr="00F5723F">
        <w:rPr>
          <w:i/>
          <w:szCs w:val="19"/>
        </w:rPr>
        <w:t>Det var så vi började.</w:t>
      </w:r>
      <w:r w:rsidRPr="00F5723F">
        <w:rPr>
          <w:szCs w:val="19"/>
        </w:rPr>
        <w:t xml:space="preserve"> Stockholm.</w:t>
      </w:r>
    </w:p>
    <w:p w:rsidR="00B43C57" w:rsidRPr="00F5723F" w:rsidRDefault="00B43C57">
      <w:pPr>
        <w:pStyle w:val="Fotnotstext"/>
        <w:spacing w:line="240" w:lineRule="auto"/>
        <w:ind w:left="284" w:hanging="284"/>
        <w:rPr>
          <w:sz w:val="19"/>
          <w:szCs w:val="19"/>
        </w:rPr>
      </w:pPr>
      <w:r w:rsidRPr="00F5723F">
        <w:rPr>
          <w:sz w:val="19"/>
          <w:szCs w:val="19"/>
        </w:rPr>
        <w:t>Lehn, Sine</w:t>
      </w:r>
      <w:r w:rsidRPr="00F5723F">
        <w:rPr>
          <w:sz w:val="19"/>
          <w:szCs w:val="19"/>
        </w:rPr>
        <w:t>,</w:t>
      </w:r>
      <w:r w:rsidRPr="00F5723F">
        <w:rPr>
          <w:sz w:val="19"/>
          <w:szCs w:val="19"/>
        </w:rPr>
        <w:t xml:space="preserve"> Mette</w:t>
      </w:r>
      <w:r w:rsidRPr="00F5723F">
        <w:rPr>
          <w:sz w:val="19"/>
          <w:szCs w:val="19"/>
        </w:rPr>
        <w:t xml:space="preserve"> Lycke Nielsen och Karin Sjörup</w:t>
      </w:r>
      <w:r w:rsidRPr="00F5723F">
        <w:rPr>
          <w:sz w:val="19"/>
          <w:szCs w:val="19"/>
        </w:rPr>
        <w:t xml:space="preserve"> (2003), ”M</w:t>
      </w:r>
      <w:r w:rsidRPr="00F5723F">
        <w:rPr>
          <w:sz w:val="19"/>
          <w:szCs w:val="19"/>
        </w:rPr>
        <w:t>a</w:t>
      </w:r>
      <w:r w:rsidRPr="00F5723F">
        <w:rPr>
          <w:sz w:val="19"/>
          <w:szCs w:val="19"/>
        </w:rPr>
        <w:t xml:space="preserve">instreaming som ligestillingsstrategi – muligheter og faldgruber” i Anette Borhorst och Drude Dahlerup (2003), </w:t>
      </w:r>
      <w:r w:rsidRPr="00F5723F">
        <w:rPr>
          <w:i/>
          <w:sz w:val="19"/>
          <w:szCs w:val="19"/>
        </w:rPr>
        <w:t>Ligestillingspolitik som diskurs og praksis</w:t>
      </w:r>
      <w:r w:rsidRPr="00F5723F">
        <w:rPr>
          <w:sz w:val="19"/>
          <w:szCs w:val="19"/>
        </w:rPr>
        <w:t xml:space="preserve">. </w:t>
      </w:r>
      <w:r w:rsidRPr="00F5723F">
        <w:rPr>
          <w:sz w:val="19"/>
          <w:szCs w:val="19"/>
        </w:rPr>
        <w:t>Fred</w:t>
      </w:r>
      <w:r w:rsidRPr="00F5723F">
        <w:rPr>
          <w:sz w:val="19"/>
          <w:szCs w:val="19"/>
        </w:rPr>
        <w:t>e</w:t>
      </w:r>
      <w:r w:rsidRPr="00F5723F">
        <w:rPr>
          <w:sz w:val="19"/>
          <w:szCs w:val="19"/>
        </w:rPr>
        <w:t>riksberg: Samfundslitteratur.</w:t>
      </w:r>
    </w:p>
    <w:p w:rsidR="00B43C57" w:rsidRPr="00F5723F" w:rsidRDefault="00B43C57">
      <w:pPr>
        <w:spacing w:line="240" w:lineRule="auto"/>
        <w:ind w:left="284" w:hanging="284"/>
        <w:rPr>
          <w:szCs w:val="19"/>
        </w:rPr>
      </w:pPr>
      <w:r w:rsidRPr="00F5723F">
        <w:rPr>
          <w:szCs w:val="19"/>
        </w:rPr>
        <w:t xml:space="preserve">Lehn, Sines och Mette Lykke Nielsen (2001), </w:t>
      </w:r>
      <w:r w:rsidRPr="00F5723F">
        <w:rPr>
          <w:i/>
          <w:szCs w:val="19"/>
        </w:rPr>
        <w:t>Mainstreaming – fra strategi til praksis</w:t>
      </w:r>
      <w:r w:rsidRPr="00F5723F">
        <w:rPr>
          <w:szCs w:val="19"/>
        </w:rPr>
        <w:t xml:space="preserve">. </w:t>
      </w:r>
      <w:r w:rsidRPr="00F5723F">
        <w:rPr>
          <w:szCs w:val="19"/>
        </w:rPr>
        <w:t>Köpenhamn: Videnscenter for Ligestilling.</w:t>
      </w:r>
    </w:p>
    <w:p w:rsidR="00B43C57" w:rsidRPr="00F5723F" w:rsidRDefault="00B43C57">
      <w:pPr>
        <w:spacing w:line="240" w:lineRule="auto"/>
        <w:ind w:left="284" w:hanging="284"/>
        <w:rPr>
          <w:szCs w:val="19"/>
        </w:rPr>
      </w:pPr>
      <w:r w:rsidRPr="00F5723F">
        <w:rPr>
          <w:szCs w:val="19"/>
        </w:rPr>
        <w:t>Lindén, Claudia och Ulrika Milles red. (1995),</w:t>
      </w:r>
      <w:r w:rsidRPr="00F5723F">
        <w:rPr>
          <w:i/>
          <w:szCs w:val="19"/>
        </w:rPr>
        <w:t xml:space="preserve"> Feministisk bruksansvisning.</w:t>
      </w:r>
      <w:r w:rsidRPr="00F5723F">
        <w:rPr>
          <w:szCs w:val="19"/>
        </w:rPr>
        <w:t xml:space="preserve"> Stoc</w:t>
      </w:r>
      <w:r w:rsidRPr="00F5723F">
        <w:rPr>
          <w:szCs w:val="19"/>
        </w:rPr>
        <w:t>k</w:t>
      </w:r>
      <w:r w:rsidRPr="00F5723F">
        <w:rPr>
          <w:szCs w:val="19"/>
        </w:rPr>
        <w:t xml:space="preserve">holm: Norstedts. </w:t>
      </w:r>
    </w:p>
    <w:p w:rsidR="00B43C57" w:rsidRPr="00F5723F" w:rsidRDefault="00B43C57">
      <w:pPr>
        <w:spacing w:line="240" w:lineRule="auto"/>
        <w:ind w:left="284" w:hanging="284"/>
        <w:rPr>
          <w:szCs w:val="19"/>
        </w:rPr>
      </w:pPr>
      <w:r w:rsidRPr="00F5723F">
        <w:rPr>
          <w:szCs w:val="19"/>
        </w:rPr>
        <w:t xml:space="preserve">Lindvert, Jessica (2002), </w:t>
      </w:r>
      <w:r w:rsidRPr="00F5723F">
        <w:rPr>
          <w:i/>
          <w:szCs w:val="19"/>
        </w:rPr>
        <w:t>Feminism som polit</w:t>
      </w:r>
      <w:r w:rsidRPr="00F5723F">
        <w:rPr>
          <w:i/>
          <w:szCs w:val="19"/>
        </w:rPr>
        <w:t>ik. Sverige och Australien 1960–</w:t>
      </w:r>
      <w:r w:rsidRPr="00F5723F">
        <w:rPr>
          <w:i/>
          <w:szCs w:val="19"/>
        </w:rPr>
        <w:t>1990.</w:t>
      </w:r>
      <w:r w:rsidRPr="00F5723F">
        <w:rPr>
          <w:szCs w:val="19"/>
        </w:rPr>
        <w:t xml:space="preserve"> Umeå: Boréa.</w:t>
      </w:r>
    </w:p>
    <w:p w:rsidR="00B43C57" w:rsidRPr="00F5723F" w:rsidRDefault="00B43C57">
      <w:pPr>
        <w:spacing w:line="240" w:lineRule="auto"/>
        <w:ind w:left="284" w:hanging="284"/>
        <w:rPr>
          <w:szCs w:val="19"/>
        </w:rPr>
      </w:pPr>
      <w:r w:rsidRPr="00F5723F">
        <w:rPr>
          <w:szCs w:val="19"/>
        </w:rPr>
        <w:t>Lorentzi, Ulrika red. (1998),</w:t>
      </w:r>
      <w:r w:rsidRPr="00F5723F">
        <w:rPr>
          <w:i/>
          <w:szCs w:val="19"/>
        </w:rPr>
        <w:t xml:space="preserve"> Delad kommunal makt. En rapport från pr</w:t>
      </w:r>
      <w:r w:rsidRPr="00F5723F">
        <w:rPr>
          <w:i/>
          <w:szCs w:val="19"/>
        </w:rPr>
        <w:t>o</w:t>
      </w:r>
      <w:r w:rsidRPr="00F5723F">
        <w:rPr>
          <w:i/>
          <w:szCs w:val="19"/>
        </w:rPr>
        <w:t>gramberednin</w:t>
      </w:r>
      <w:r w:rsidRPr="00F5723F">
        <w:rPr>
          <w:i/>
          <w:szCs w:val="19"/>
        </w:rPr>
        <w:t>g</w:t>
      </w:r>
      <w:r w:rsidRPr="00F5723F">
        <w:rPr>
          <w:i/>
          <w:szCs w:val="19"/>
        </w:rPr>
        <w:t>en Kommunerna och jämställdheten om jämställdhet och demokrati.</w:t>
      </w:r>
      <w:r w:rsidRPr="00F5723F">
        <w:rPr>
          <w:szCs w:val="19"/>
        </w:rPr>
        <w:t xml:space="preserve"> Stockholm: Svenska Kommunförbundet.</w:t>
      </w:r>
    </w:p>
    <w:p w:rsidR="00B43C57" w:rsidRPr="00F5723F" w:rsidRDefault="00B43C57">
      <w:pPr>
        <w:spacing w:line="240" w:lineRule="auto"/>
        <w:ind w:left="284" w:hanging="284"/>
        <w:rPr>
          <w:szCs w:val="19"/>
        </w:rPr>
      </w:pPr>
      <w:r w:rsidRPr="00F5723F">
        <w:rPr>
          <w:szCs w:val="19"/>
        </w:rPr>
        <w:t xml:space="preserve">Lovenduski, Joni and Pippa Norris red. (1993), </w:t>
      </w:r>
      <w:r w:rsidRPr="00F5723F">
        <w:rPr>
          <w:i/>
          <w:szCs w:val="19"/>
        </w:rPr>
        <w:t xml:space="preserve">Gender and Party Politics. </w:t>
      </w:r>
      <w:r w:rsidRPr="00F5723F">
        <w:rPr>
          <w:szCs w:val="19"/>
        </w:rPr>
        <w:t>Tho</w:t>
      </w:r>
      <w:r w:rsidRPr="00F5723F">
        <w:rPr>
          <w:szCs w:val="19"/>
        </w:rPr>
        <w:t>u</w:t>
      </w:r>
      <w:r w:rsidRPr="00F5723F">
        <w:rPr>
          <w:szCs w:val="19"/>
        </w:rPr>
        <w:t>sand Oaks: Sage.</w:t>
      </w:r>
    </w:p>
    <w:p w:rsidR="00B43C57" w:rsidRPr="00F5723F" w:rsidRDefault="00B43C57">
      <w:pPr>
        <w:spacing w:line="240" w:lineRule="auto"/>
        <w:ind w:left="284" w:hanging="284"/>
        <w:rPr>
          <w:szCs w:val="19"/>
        </w:rPr>
      </w:pPr>
      <w:r w:rsidRPr="00F5723F">
        <w:rPr>
          <w:szCs w:val="19"/>
        </w:rPr>
        <w:t xml:space="preserve">Lundblad, Harriet (1962), </w:t>
      </w:r>
      <w:r w:rsidRPr="00F5723F">
        <w:rPr>
          <w:i/>
          <w:szCs w:val="19"/>
        </w:rPr>
        <w:t>De kvinnlig</w:t>
      </w:r>
      <w:r w:rsidRPr="00F5723F">
        <w:rPr>
          <w:i/>
          <w:szCs w:val="19"/>
        </w:rPr>
        <w:t>a riksdagsledamöterna åren 1922–</w:t>
      </w:r>
      <w:r w:rsidRPr="00F5723F">
        <w:rPr>
          <w:i/>
          <w:szCs w:val="19"/>
        </w:rPr>
        <w:t>1949. Bakgrund och arbete i riksdagen</w:t>
      </w:r>
      <w:r w:rsidRPr="00F5723F">
        <w:rPr>
          <w:szCs w:val="19"/>
        </w:rPr>
        <w:t xml:space="preserve">. </w:t>
      </w:r>
      <w:r w:rsidRPr="00F5723F">
        <w:rPr>
          <w:szCs w:val="19"/>
        </w:rPr>
        <w:t>Stockholms universitet: Statsv</w:t>
      </w:r>
      <w:r w:rsidRPr="00F5723F">
        <w:rPr>
          <w:szCs w:val="19"/>
        </w:rPr>
        <w:t>e</w:t>
      </w:r>
      <w:r w:rsidRPr="00F5723F">
        <w:rPr>
          <w:szCs w:val="19"/>
        </w:rPr>
        <w:t>tenska</w:t>
      </w:r>
      <w:r w:rsidRPr="00F5723F">
        <w:rPr>
          <w:szCs w:val="19"/>
        </w:rPr>
        <w:t>p</w:t>
      </w:r>
      <w:r w:rsidRPr="00F5723F">
        <w:rPr>
          <w:szCs w:val="19"/>
        </w:rPr>
        <w:t>liga institutionen.</w:t>
      </w:r>
    </w:p>
    <w:p w:rsidR="00B43C57" w:rsidRPr="00F5723F" w:rsidRDefault="00B43C57">
      <w:pPr>
        <w:pStyle w:val="Fotnotstext"/>
        <w:spacing w:line="240" w:lineRule="auto"/>
        <w:ind w:left="284" w:hanging="284"/>
        <w:rPr>
          <w:sz w:val="19"/>
          <w:szCs w:val="19"/>
        </w:rPr>
      </w:pPr>
      <w:r w:rsidRPr="00F5723F">
        <w:rPr>
          <w:sz w:val="19"/>
          <w:szCs w:val="19"/>
        </w:rPr>
        <w:t>Magnusson, Eva (2000),”Party-political rhetoric on gender equality in Sw</w:t>
      </w:r>
      <w:r w:rsidRPr="00F5723F">
        <w:rPr>
          <w:sz w:val="19"/>
          <w:szCs w:val="19"/>
        </w:rPr>
        <w:t>e</w:t>
      </w:r>
      <w:r w:rsidRPr="00F5723F">
        <w:rPr>
          <w:sz w:val="19"/>
          <w:szCs w:val="19"/>
        </w:rPr>
        <w:t>den: The uses of uniformity and heterogene</w:t>
      </w:r>
      <w:r w:rsidRPr="00F5723F">
        <w:rPr>
          <w:sz w:val="19"/>
          <w:szCs w:val="19"/>
        </w:rPr>
        <w:t>i</w:t>
      </w:r>
      <w:r w:rsidRPr="00F5723F">
        <w:rPr>
          <w:sz w:val="19"/>
          <w:szCs w:val="19"/>
        </w:rPr>
        <w:t xml:space="preserve">ty” i </w:t>
      </w:r>
      <w:r w:rsidRPr="00F5723F">
        <w:rPr>
          <w:i/>
          <w:sz w:val="19"/>
          <w:szCs w:val="19"/>
        </w:rPr>
        <w:t>NORA</w:t>
      </w:r>
      <w:r w:rsidRPr="00F5723F">
        <w:rPr>
          <w:sz w:val="19"/>
          <w:szCs w:val="19"/>
        </w:rPr>
        <w:t>, no 2, vol. 8.</w:t>
      </w:r>
    </w:p>
    <w:p w:rsidR="00B43C57" w:rsidRPr="00F5723F" w:rsidRDefault="00B43C57">
      <w:pPr>
        <w:spacing w:line="240" w:lineRule="auto"/>
        <w:ind w:left="284" w:hanging="284"/>
        <w:rPr>
          <w:szCs w:val="19"/>
        </w:rPr>
      </w:pPr>
      <w:r w:rsidRPr="00F5723F">
        <w:rPr>
          <w:szCs w:val="19"/>
        </w:rPr>
        <w:t xml:space="preserve">Manns, Ulla (1997), </w:t>
      </w:r>
      <w:r w:rsidRPr="00F5723F">
        <w:rPr>
          <w:i/>
          <w:szCs w:val="19"/>
        </w:rPr>
        <w:t>Den sanna frigörelsen.</w:t>
      </w:r>
      <w:r w:rsidRPr="00F5723F">
        <w:rPr>
          <w:i/>
          <w:szCs w:val="19"/>
        </w:rPr>
        <w:t xml:space="preserve"> Fredrika-Bremer-förbundet 1884–</w:t>
      </w:r>
      <w:r w:rsidRPr="00F5723F">
        <w:rPr>
          <w:i/>
          <w:szCs w:val="19"/>
        </w:rPr>
        <w:t>1921.</w:t>
      </w:r>
      <w:r w:rsidRPr="00F5723F">
        <w:rPr>
          <w:szCs w:val="19"/>
        </w:rPr>
        <w:t xml:space="preserve"> Stockholm: Brutus Östlings förlag.</w:t>
      </w:r>
    </w:p>
    <w:p w:rsidR="00B43C57" w:rsidRPr="00F5723F" w:rsidRDefault="00B43C57">
      <w:pPr>
        <w:spacing w:line="240" w:lineRule="auto"/>
        <w:ind w:left="284" w:hanging="284"/>
        <w:rPr>
          <w:szCs w:val="19"/>
        </w:rPr>
      </w:pPr>
      <w:r w:rsidRPr="00F5723F">
        <w:rPr>
          <w:szCs w:val="19"/>
        </w:rPr>
        <w:t xml:space="preserve">Matland, Richard (1995), ”How the election system structure has helped women close the representation gap” i Karvonen, Lauri och Per Selle, red. (1995), </w:t>
      </w:r>
      <w:r w:rsidRPr="00F5723F">
        <w:rPr>
          <w:i/>
          <w:szCs w:val="19"/>
        </w:rPr>
        <w:t xml:space="preserve">Women in Nordic Politics. Closing the Gap. </w:t>
      </w:r>
      <w:r w:rsidRPr="00F5723F">
        <w:rPr>
          <w:szCs w:val="19"/>
        </w:rPr>
        <w:t xml:space="preserve">Aldershot: </w:t>
      </w:r>
      <w:smartTag w:uri="urn:schemas-microsoft-com:office:smarttags" w:element="City">
        <w:smartTag w:uri="urn:schemas-microsoft-com:office:smarttags" w:element="place">
          <w:r w:rsidRPr="00F5723F">
            <w:rPr>
              <w:szCs w:val="19"/>
            </w:rPr>
            <w:t>Dar</w:t>
          </w:r>
          <w:r w:rsidRPr="00F5723F">
            <w:rPr>
              <w:szCs w:val="19"/>
            </w:rPr>
            <w:t>t</w:t>
          </w:r>
          <w:r w:rsidRPr="00F5723F">
            <w:rPr>
              <w:szCs w:val="19"/>
            </w:rPr>
            <w:t>mouth</w:t>
          </w:r>
        </w:smartTag>
      </w:smartTag>
      <w:r w:rsidRPr="00F5723F">
        <w:rPr>
          <w:szCs w:val="19"/>
        </w:rPr>
        <w:t>.</w:t>
      </w:r>
    </w:p>
    <w:p w:rsidR="00B43C57" w:rsidRPr="00F5723F" w:rsidRDefault="00B43C57">
      <w:pPr>
        <w:spacing w:line="240" w:lineRule="auto"/>
        <w:ind w:left="284" w:hanging="284"/>
        <w:rPr>
          <w:szCs w:val="19"/>
        </w:rPr>
      </w:pPr>
      <w:r w:rsidRPr="00F5723F">
        <w:rPr>
          <w:szCs w:val="19"/>
        </w:rPr>
        <w:t xml:space="preserve">Matland, Richard och Kathleen A. Montgomery red. (2003), </w:t>
      </w:r>
      <w:r w:rsidRPr="00F5723F">
        <w:rPr>
          <w:i/>
          <w:szCs w:val="19"/>
        </w:rPr>
        <w:t>Women’s Access to Political Power</w:t>
      </w:r>
      <w:r w:rsidRPr="00F5723F">
        <w:rPr>
          <w:i/>
          <w:szCs w:val="19"/>
        </w:rPr>
        <w:t xml:space="preserve"> in</w:t>
      </w:r>
      <w:r w:rsidRPr="00F5723F">
        <w:rPr>
          <w:i/>
          <w:szCs w:val="19"/>
        </w:rPr>
        <w:t xml:space="preserve"> Post-Communist </w:t>
      </w:r>
      <w:smartTag w:uri="urn:schemas-microsoft-com:office:smarttags" w:element="place">
        <w:r w:rsidRPr="00F5723F">
          <w:rPr>
            <w:i/>
            <w:szCs w:val="19"/>
          </w:rPr>
          <w:t>Europe</w:t>
        </w:r>
      </w:smartTag>
      <w:r w:rsidRPr="00F5723F">
        <w:rPr>
          <w:i/>
          <w:szCs w:val="19"/>
        </w:rPr>
        <w:t>.</w:t>
      </w:r>
      <w:r w:rsidRPr="00F5723F">
        <w:rPr>
          <w:szCs w:val="19"/>
        </w:rPr>
        <w:t xml:space="preserve"> </w:t>
      </w:r>
      <w:smartTag w:uri="urn:schemas-microsoft-com:office:smarttags" w:element="State">
        <w:r w:rsidRPr="00F5723F">
          <w:rPr>
            <w:szCs w:val="19"/>
          </w:rPr>
          <w:t>New York</w:t>
        </w:r>
      </w:smartTag>
      <w:r w:rsidRPr="00F5723F">
        <w:rPr>
          <w:szCs w:val="19"/>
        </w:rPr>
        <w:t xml:space="preserve">: </w:t>
      </w:r>
      <w:smartTag w:uri="urn:schemas-microsoft-com:office:smarttags" w:element="place">
        <w:smartTag w:uri="urn:schemas-microsoft-com:office:smarttags" w:element="PlaceName">
          <w:r w:rsidRPr="00F5723F">
            <w:rPr>
              <w:szCs w:val="19"/>
            </w:rPr>
            <w:t>Oxford</w:t>
          </w:r>
        </w:smartTag>
        <w:r w:rsidRPr="00F5723F">
          <w:rPr>
            <w:szCs w:val="19"/>
          </w:rPr>
          <w:t xml:space="preserve"> </w:t>
        </w:r>
        <w:smartTag w:uri="urn:schemas-microsoft-com:office:smarttags" w:element="PlaceType">
          <w:r w:rsidRPr="00F5723F">
            <w:rPr>
              <w:szCs w:val="19"/>
            </w:rPr>
            <w:t>Un</w:t>
          </w:r>
          <w:r w:rsidRPr="00F5723F">
            <w:rPr>
              <w:szCs w:val="19"/>
            </w:rPr>
            <w:t>i</w:t>
          </w:r>
          <w:r w:rsidRPr="00F5723F">
            <w:rPr>
              <w:szCs w:val="19"/>
            </w:rPr>
            <w:t>versity</w:t>
          </w:r>
        </w:smartTag>
      </w:smartTag>
      <w:r w:rsidRPr="00F5723F">
        <w:rPr>
          <w:szCs w:val="19"/>
        </w:rPr>
        <w:t xml:space="preserve"> Press.</w:t>
      </w:r>
      <w:r w:rsidRPr="00F5723F">
        <w:rPr>
          <w:szCs w:val="19"/>
        </w:rPr>
        <w:t xml:space="preserve"> </w:t>
      </w:r>
    </w:p>
    <w:p w:rsidR="00B43C57" w:rsidRPr="00F5723F" w:rsidRDefault="00B43C57">
      <w:pPr>
        <w:spacing w:line="240" w:lineRule="auto"/>
        <w:ind w:left="284" w:hanging="284"/>
        <w:rPr>
          <w:szCs w:val="19"/>
        </w:rPr>
      </w:pPr>
      <w:r w:rsidRPr="00F5723F">
        <w:rPr>
          <w:szCs w:val="19"/>
        </w:rPr>
        <w:t>Matland, Richard (1998), ”Enhancing Women’s Political Participation: Legi</w:t>
      </w:r>
      <w:r w:rsidRPr="00F5723F">
        <w:rPr>
          <w:szCs w:val="19"/>
        </w:rPr>
        <w:t>s</w:t>
      </w:r>
      <w:r w:rsidRPr="00F5723F">
        <w:rPr>
          <w:szCs w:val="19"/>
        </w:rPr>
        <w:t xml:space="preserve">lative Recruitment and Electoral Systems” i </w:t>
      </w:r>
      <w:r w:rsidRPr="00F5723F">
        <w:rPr>
          <w:i/>
          <w:szCs w:val="19"/>
        </w:rPr>
        <w:t>Women and Parliament: B</w:t>
      </w:r>
      <w:r w:rsidRPr="00F5723F">
        <w:rPr>
          <w:i/>
          <w:szCs w:val="19"/>
        </w:rPr>
        <w:t>e</w:t>
      </w:r>
      <w:r w:rsidRPr="00F5723F">
        <w:rPr>
          <w:i/>
          <w:szCs w:val="19"/>
        </w:rPr>
        <w:t>yond Numbers,</w:t>
      </w:r>
      <w:r w:rsidRPr="00F5723F">
        <w:rPr>
          <w:szCs w:val="19"/>
        </w:rPr>
        <w:t xml:space="preserve"> </w:t>
      </w:r>
      <w:r w:rsidRPr="00F5723F">
        <w:rPr>
          <w:szCs w:val="19"/>
        </w:rPr>
        <w:t>r</w:t>
      </w:r>
      <w:r w:rsidRPr="00F5723F">
        <w:rPr>
          <w:szCs w:val="19"/>
        </w:rPr>
        <w:t xml:space="preserve">ed. Azza Karam. </w:t>
      </w:r>
      <w:smartTag w:uri="urn:schemas-microsoft-com:office:smarttags" w:element="City">
        <w:smartTag w:uri="urn:schemas-microsoft-com:office:smarttags" w:element="place">
          <w:r w:rsidRPr="00F5723F">
            <w:rPr>
              <w:szCs w:val="19"/>
            </w:rPr>
            <w:t>Stockholm</w:t>
          </w:r>
        </w:smartTag>
      </w:smartTag>
      <w:r w:rsidRPr="00F5723F">
        <w:rPr>
          <w:szCs w:val="19"/>
        </w:rPr>
        <w:t>: IDEA.</w:t>
      </w:r>
    </w:p>
    <w:p w:rsidR="00B43C57" w:rsidRPr="00F5723F" w:rsidRDefault="00B43C57">
      <w:pPr>
        <w:spacing w:line="240" w:lineRule="auto"/>
        <w:ind w:left="284" w:hanging="284"/>
        <w:rPr>
          <w:szCs w:val="19"/>
        </w:rPr>
      </w:pPr>
      <w:r w:rsidRPr="00F5723F">
        <w:rPr>
          <w:szCs w:val="19"/>
        </w:rPr>
        <w:t>Matland, Richard och Don Studlar (1996), ”The Contagion of Women Cand</w:t>
      </w:r>
      <w:r w:rsidRPr="00F5723F">
        <w:rPr>
          <w:szCs w:val="19"/>
        </w:rPr>
        <w:t>i</w:t>
      </w:r>
      <w:r w:rsidRPr="00F5723F">
        <w:rPr>
          <w:szCs w:val="19"/>
        </w:rPr>
        <w:t>dates in Single-Member District and Proportional Representation Ele</w:t>
      </w:r>
      <w:r w:rsidRPr="00F5723F">
        <w:rPr>
          <w:szCs w:val="19"/>
        </w:rPr>
        <w:t>c</w:t>
      </w:r>
      <w:r w:rsidRPr="00F5723F">
        <w:rPr>
          <w:szCs w:val="19"/>
        </w:rPr>
        <w:t xml:space="preserve">toral Systems: </w:t>
      </w:r>
      <w:smartTag w:uri="urn:schemas-microsoft-com:office:smarttags" w:element="country-region">
        <w:r w:rsidRPr="00F5723F">
          <w:rPr>
            <w:szCs w:val="19"/>
          </w:rPr>
          <w:t>Canada</w:t>
        </w:r>
      </w:smartTag>
      <w:r w:rsidRPr="00F5723F">
        <w:rPr>
          <w:szCs w:val="19"/>
        </w:rPr>
        <w:t xml:space="preserve"> and </w:t>
      </w:r>
      <w:smartTag w:uri="urn:schemas-microsoft-com:office:smarttags" w:element="country-region">
        <w:smartTag w:uri="urn:schemas-microsoft-com:office:smarttags" w:element="place">
          <w:r w:rsidRPr="00F5723F">
            <w:rPr>
              <w:szCs w:val="19"/>
            </w:rPr>
            <w:t>Norway</w:t>
          </w:r>
        </w:smartTag>
      </w:smartTag>
      <w:r w:rsidRPr="00F5723F">
        <w:rPr>
          <w:szCs w:val="19"/>
        </w:rPr>
        <w:t xml:space="preserve">” i </w:t>
      </w:r>
      <w:r w:rsidRPr="00F5723F">
        <w:rPr>
          <w:i/>
          <w:szCs w:val="19"/>
        </w:rPr>
        <w:t xml:space="preserve">The Journal of Politics </w:t>
      </w:r>
      <w:r w:rsidRPr="00F5723F">
        <w:rPr>
          <w:szCs w:val="19"/>
        </w:rPr>
        <w:t>58, no 3:707–</w:t>
      </w:r>
      <w:r w:rsidRPr="00F5723F">
        <w:rPr>
          <w:szCs w:val="19"/>
        </w:rPr>
        <w:t>733.</w:t>
      </w:r>
    </w:p>
    <w:p w:rsidR="00B43C57" w:rsidRPr="00F5723F" w:rsidRDefault="00B43C57">
      <w:pPr>
        <w:spacing w:line="240" w:lineRule="auto"/>
        <w:ind w:left="284" w:hanging="284"/>
        <w:rPr>
          <w:szCs w:val="19"/>
        </w:rPr>
      </w:pPr>
      <w:r w:rsidRPr="00F5723F">
        <w:rPr>
          <w:szCs w:val="19"/>
        </w:rPr>
        <w:t xml:space="preserve">Mattson, Ingvar och Lena Wängnerud red. (1997), </w:t>
      </w:r>
      <w:r w:rsidRPr="00F5723F">
        <w:rPr>
          <w:i/>
          <w:szCs w:val="19"/>
        </w:rPr>
        <w:t xml:space="preserve">Riksdagen på nära håll. </w:t>
      </w:r>
      <w:r w:rsidRPr="00F5723F">
        <w:rPr>
          <w:szCs w:val="19"/>
        </w:rPr>
        <w:t>Stoc</w:t>
      </w:r>
      <w:r w:rsidRPr="00F5723F">
        <w:rPr>
          <w:szCs w:val="19"/>
        </w:rPr>
        <w:t>k</w:t>
      </w:r>
      <w:r w:rsidRPr="00F5723F">
        <w:rPr>
          <w:szCs w:val="19"/>
        </w:rPr>
        <w:t>holm: SNS Förlag.</w:t>
      </w:r>
    </w:p>
    <w:p w:rsidR="00B43C57" w:rsidRPr="00F5723F" w:rsidRDefault="00B43C57">
      <w:pPr>
        <w:spacing w:line="240" w:lineRule="auto"/>
        <w:ind w:left="284" w:hanging="284"/>
        <w:rPr>
          <w:szCs w:val="19"/>
        </w:rPr>
      </w:pPr>
      <w:r w:rsidRPr="00F5723F">
        <w:rPr>
          <w:szCs w:val="19"/>
        </w:rPr>
        <w:t xml:space="preserve">Means, Ingunn Norderval (1973), </w:t>
      </w:r>
      <w:r w:rsidRPr="00F5723F">
        <w:rPr>
          <w:i/>
          <w:szCs w:val="19"/>
        </w:rPr>
        <w:t>Kvinner i norsk politikk.</w:t>
      </w:r>
      <w:r w:rsidRPr="00F5723F">
        <w:rPr>
          <w:szCs w:val="19"/>
        </w:rPr>
        <w:t xml:space="preserve"> </w:t>
      </w:r>
      <w:smartTag w:uri="urn:schemas-microsoft-com:office:smarttags" w:element="City">
        <w:smartTag w:uri="urn:schemas-microsoft-com:office:smarttags" w:element="place">
          <w:r w:rsidRPr="00F5723F">
            <w:rPr>
              <w:szCs w:val="19"/>
            </w:rPr>
            <w:t>Oslo</w:t>
          </w:r>
        </w:smartTag>
      </w:smartTag>
      <w:r w:rsidRPr="00F5723F">
        <w:rPr>
          <w:szCs w:val="19"/>
        </w:rPr>
        <w:t>: Cappelen.</w:t>
      </w:r>
    </w:p>
    <w:p w:rsidR="00B43C57" w:rsidRPr="00F5723F" w:rsidRDefault="00B43C57">
      <w:pPr>
        <w:spacing w:line="240" w:lineRule="auto"/>
        <w:ind w:left="284" w:hanging="284"/>
        <w:rPr>
          <w:szCs w:val="19"/>
        </w:rPr>
      </w:pPr>
      <w:r w:rsidRPr="00F5723F">
        <w:rPr>
          <w:szCs w:val="19"/>
        </w:rPr>
        <w:t xml:space="preserve">Moi, Toril (1999), </w:t>
      </w:r>
      <w:r w:rsidRPr="00F5723F">
        <w:rPr>
          <w:i/>
          <w:szCs w:val="19"/>
        </w:rPr>
        <w:t>What is a Woma</w:t>
      </w:r>
      <w:r w:rsidRPr="00F5723F">
        <w:rPr>
          <w:i/>
          <w:szCs w:val="19"/>
        </w:rPr>
        <w:t>n? and other essays</w:t>
      </w:r>
      <w:r w:rsidRPr="00F5723F">
        <w:rPr>
          <w:szCs w:val="19"/>
        </w:rPr>
        <w:t xml:space="preserve">. </w:t>
      </w:r>
      <w:smartTag w:uri="urn:schemas-microsoft-com:office:smarttags" w:element="City">
        <w:r w:rsidRPr="00F5723F">
          <w:rPr>
            <w:szCs w:val="19"/>
          </w:rPr>
          <w:t>Oxford</w:t>
        </w:r>
      </w:smartTag>
      <w:r w:rsidRPr="00F5723F">
        <w:rPr>
          <w:szCs w:val="19"/>
        </w:rPr>
        <w:t xml:space="preserve">: </w:t>
      </w:r>
      <w:smartTag w:uri="urn:schemas-microsoft-com:office:smarttags" w:element="place">
        <w:smartTag w:uri="urn:schemas-microsoft-com:office:smarttags" w:element="PlaceName">
          <w:r w:rsidRPr="00F5723F">
            <w:rPr>
              <w:szCs w:val="19"/>
            </w:rPr>
            <w:t>Oxford</w:t>
          </w:r>
        </w:smartTag>
        <w:r w:rsidRPr="00F5723F">
          <w:rPr>
            <w:szCs w:val="19"/>
          </w:rPr>
          <w:t xml:space="preserve"> </w:t>
        </w:r>
        <w:smartTag w:uri="urn:schemas-microsoft-com:office:smarttags" w:element="PlaceType">
          <w:r w:rsidRPr="00F5723F">
            <w:rPr>
              <w:szCs w:val="19"/>
            </w:rPr>
            <w:t>Un</w:t>
          </w:r>
          <w:r w:rsidRPr="00F5723F">
            <w:rPr>
              <w:szCs w:val="19"/>
            </w:rPr>
            <w:t>i</w:t>
          </w:r>
          <w:r w:rsidRPr="00F5723F">
            <w:rPr>
              <w:szCs w:val="19"/>
            </w:rPr>
            <w:t>versity</w:t>
          </w:r>
        </w:smartTag>
      </w:smartTag>
      <w:r w:rsidRPr="00F5723F">
        <w:rPr>
          <w:szCs w:val="19"/>
        </w:rPr>
        <w:t xml:space="preserve"> Press.</w:t>
      </w:r>
    </w:p>
    <w:p w:rsidR="00B43C57" w:rsidRPr="00F5723F" w:rsidRDefault="00B43C57">
      <w:pPr>
        <w:spacing w:line="240" w:lineRule="auto"/>
        <w:ind w:left="284" w:hanging="284"/>
        <w:rPr>
          <w:szCs w:val="19"/>
        </w:rPr>
      </w:pPr>
      <w:smartTag w:uri="urn:schemas-microsoft-com:office:smarttags" w:element="City">
        <w:smartTag w:uri="urn:schemas-microsoft-com:office:smarttags" w:element="place">
          <w:r w:rsidRPr="00F5723F">
            <w:rPr>
              <w:szCs w:val="19"/>
            </w:rPr>
            <w:t>Moore</w:t>
          </w:r>
        </w:smartTag>
      </w:smartTag>
      <w:r w:rsidRPr="00F5723F">
        <w:rPr>
          <w:szCs w:val="19"/>
        </w:rPr>
        <w:t xml:space="preserve">, Gwen och Gene Shackman (1996), ”Gender and Authority: A Cross-National Study” i </w:t>
      </w:r>
      <w:r w:rsidRPr="00F5723F">
        <w:rPr>
          <w:i/>
          <w:szCs w:val="19"/>
        </w:rPr>
        <w:t>Social Science Quarterly</w:t>
      </w:r>
      <w:r w:rsidRPr="00F5723F">
        <w:rPr>
          <w:szCs w:val="19"/>
        </w:rPr>
        <w:t xml:space="preserve"> 77:273–</w:t>
      </w:r>
      <w:r w:rsidRPr="00F5723F">
        <w:rPr>
          <w:szCs w:val="19"/>
        </w:rPr>
        <w:t>288.</w:t>
      </w:r>
    </w:p>
    <w:p w:rsidR="00B43C57" w:rsidRPr="00F5723F" w:rsidRDefault="00B43C57">
      <w:pPr>
        <w:spacing w:line="240" w:lineRule="auto"/>
        <w:ind w:left="284" w:hanging="284"/>
        <w:rPr>
          <w:snapToGrid w:val="0"/>
          <w:szCs w:val="19"/>
        </w:rPr>
      </w:pPr>
      <w:r w:rsidRPr="00F5723F">
        <w:rPr>
          <w:snapToGrid w:val="0"/>
          <w:szCs w:val="19"/>
        </w:rPr>
        <w:t xml:space="preserve">Narud, Hanne Marthe, Mogens N. Pedersen och Henry Valen, red. </w:t>
      </w:r>
      <w:r w:rsidRPr="00F5723F">
        <w:rPr>
          <w:snapToGrid w:val="0"/>
          <w:szCs w:val="19"/>
        </w:rPr>
        <w:t xml:space="preserve">(2002), </w:t>
      </w:r>
      <w:r w:rsidRPr="00F5723F">
        <w:rPr>
          <w:i/>
          <w:snapToGrid w:val="0"/>
          <w:szCs w:val="19"/>
        </w:rPr>
        <w:t>Party Sovereignty and Citizen Control. Selecting Candidates for Parli</w:t>
      </w:r>
      <w:r w:rsidRPr="00F5723F">
        <w:rPr>
          <w:i/>
          <w:snapToGrid w:val="0"/>
          <w:szCs w:val="19"/>
        </w:rPr>
        <w:t>a</w:t>
      </w:r>
      <w:r w:rsidRPr="00F5723F">
        <w:rPr>
          <w:i/>
          <w:snapToGrid w:val="0"/>
          <w:szCs w:val="19"/>
        </w:rPr>
        <w:t xml:space="preserve">mentary Elections in </w:t>
      </w:r>
      <w:smartTag w:uri="urn:schemas-microsoft-com:office:smarttags" w:element="country-region">
        <w:r w:rsidRPr="00F5723F">
          <w:rPr>
            <w:i/>
            <w:snapToGrid w:val="0"/>
            <w:szCs w:val="19"/>
          </w:rPr>
          <w:t>Denmark</w:t>
        </w:r>
      </w:smartTag>
      <w:r w:rsidRPr="00F5723F">
        <w:rPr>
          <w:i/>
          <w:snapToGrid w:val="0"/>
          <w:szCs w:val="19"/>
        </w:rPr>
        <w:t xml:space="preserve">, </w:t>
      </w:r>
      <w:smartTag w:uri="urn:schemas-microsoft-com:office:smarttags" w:element="country-region">
        <w:r w:rsidRPr="00F5723F">
          <w:rPr>
            <w:i/>
            <w:snapToGrid w:val="0"/>
            <w:szCs w:val="19"/>
          </w:rPr>
          <w:t>Finland</w:t>
        </w:r>
      </w:smartTag>
      <w:r w:rsidRPr="00F5723F">
        <w:rPr>
          <w:i/>
          <w:snapToGrid w:val="0"/>
          <w:szCs w:val="19"/>
        </w:rPr>
        <w:t xml:space="preserve">, </w:t>
      </w:r>
      <w:smartTag w:uri="urn:schemas-microsoft-com:office:smarttags" w:element="country-region">
        <w:r w:rsidRPr="00F5723F">
          <w:rPr>
            <w:i/>
            <w:snapToGrid w:val="0"/>
            <w:szCs w:val="19"/>
          </w:rPr>
          <w:t>Iceland</w:t>
        </w:r>
      </w:smartTag>
      <w:r w:rsidRPr="00F5723F">
        <w:rPr>
          <w:i/>
          <w:snapToGrid w:val="0"/>
          <w:szCs w:val="19"/>
        </w:rPr>
        <w:t xml:space="preserve"> and </w:t>
      </w:r>
      <w:smartTag w:uri="urn:schemas-microsoft-com:office:smarttags" w:element="country-region">
        <w:smartTag w:uri="urn:schemas-microsoft-com:office:smarttags" w:element="place">
          <w:r w:rsidRPr="00F5723F">
            <w:rPr>
              <w:i/>
              <w:snapToGrid w:val="0"/>
              <w:szCs w:val="19"/>
            </w:rPr>
            <w:t>Norway</w:t>
          </w:r>
        </w:smartTag>
      </w:smartTag>
      <w:r w:rsidRPr="00F5723F">
        <w:rPr>
          <w:i/>
          <w:snapToGrid w:val="0"/>
          <w:szCs w:val="19"/>
        </w:rPr>
        <w:t xml:space="preserve">. </w:t>
      </w:r>
      <w:r w:rsidRPr="00F5723F">
        <w:rPr>
          <w:snapToGrid w:val="0"/>
          <w:szCs w:val="19"/>
        </w:rPr>
        <w:t>Odense: University Press of Southern De</w:t>
      </w:r>
      <w:r w:rsidRPr="00F5723F">
        <w:rPr>
          <w:snapToGrid w:val="0"/>
          <w:szCs w:val="19"/>
        </w:rPr>
        <w:t>n</w:t>
      </w:r>
      <w:r w:rsidRPr="00F5723F">
        <w:rPr>
          <w:snapToGrid w:val="0"/>
          <w:szCs w:val="19"/>
        </w:rPr>
        <w:t>mark.</w:t>
      </w:r>
    </w:p>
    <w:p w:rsidR="00B43C57" w:rsidRPr="00F5723F" w:rsidRDefault="00B43C57">
      <w:pPr>
        <w:spacing w:line="240" w:lineRule="auto"/>
        <w:ind w:left="284" w:hanging="284"/>
        <w:rPr>
          <w:snapToGrid w:val="0"/>
          <w:szCs w:val="19"/>
        </w:rPr>
      </w:pPr>
      <w:r w:rsidRPr="00F5723F">
        <w:rPr>
          <w:szCs w:val="19"/>
        </w:rPr>
        <w:t xml:space="preserve">Nicolaysen, Berit (1978), </w:t>
      </w:r>
      <w:r w:rsidRPr="00F5723F">
        <w:rPr>
          <w:i/>
          <w:szCs w:val="19"/>
        </w:rPr>
        <w:t>Kjønn som politisk resurs.</w:t>
      </w:r>
      <w:r w:rsidRPr="00F5723F">
        <w:rPr>
          <w:szCs w:val="19"/>
        </w:rPr>
        <w:t xml:space="preserve"> Trondheim: Institutt for sosi</w:t>
      </w:r>
      <w:r w:rsidRPr="00F5723F">
        <w:rPr>
          <w:szCs w:val="19"/>
        </w:rPr>
        <w:t>o</w:t>
      </w:r>
      <w:r w:rsidRPr="00F5723F">
        <w:rPr>
          <w:szCs w:val="19"/>
        </w:rPr>
        <w:t>logi.</w:t>
      </w:r>
    </w:p>
    <w:p w:rsidR="00B43C57" w:rsidRPr="00F5723F" w:rsidRDefault="00B43C57">
      <w:pPr>
        <w:spacing w:line="240" w:lineRule="auto"/>
        <w:ind w:left="284" w:hanging="284"/>
        <w:rPr>
          <w:szCs w:val="19"/>
        </w:rPr>
      </w:pPr>
      <w:r w:rsidRPr="00F5723F">
        <w:rPr>
          <w:szCs w:val="19"/>
        </w:rPr>
        <w:t xml:space="preserve">Nicklasson, Stina (1992), </w:t>
      </w:r>
      <w:r w:rsidRPr="00F5723F">
        <w:rPr>
          <w:i/>
          <w:szCs w:val="19"/>
        </w:rPr>
        <w:t>Högerns kvinnor. Problem eller resurs för Allmä</w:t>
      </w:r>
      <w:r w:rsidRPr="00F5723F">
        <w:rPr>
          <w:i/>
          <w:szCs w:val="19"/>
        </w:rPr>
        <w:t>n</w:t>
      </w:r>
      <w:r w:rsidRPr="00F5723F">
        <w:rPr>
          <w:i/>
          <w:szCs w:val="19"/>
        </w:rPr>
        <w:t>na valmansförbundet perioden 1900</w:t>
      </w:r>
      <w:r w:rsidRPr="00F5723F">
        <w:rPr>
          <w:i/>
          <w:szCs w:val="19"/>
        </w:rPr>
        <w:t>–</w:t>
      </w:r>
      <w:r w:rsidRPr="00F5723F">
        <w:rPr>
          <w:i/>
          <w:szCs w:val="19"/>
        </w:rPr>
        <w:t>1936/37.</w:t>
      </w:r>
      <w:r w:rsidRPr="00F5723F">
        <w:rPr>
          <w:szCs w:val="19"/>
        </w:rPr>
        <w:t xml:space="preserve"> </w:t>
      </w:r>
      <w:smartTag w:uri="urn:schemas-microsoft-com:office:smarttags" w:element="City">
        <w:smartTag w:uri="urn:schemas-microsoft-com:office:smarttags" w:element="place">
          <w:r w:rsidRPr="00F5723F">
            <w:rPr>
              <w:szCs w:val="19"/>
            </w:rPr>
            <w:t>Stockholm</w:t>
          </w:r>
        </w:smartTag>
      </w:smartTag>
      <w:r w:rsidRPr="00F5723F">
        <w:rPr>
          <w:szCs w:val="19"/>
        </w:rPr>
        <w:t>: Almkvist &amp; Wiksell.</w:t>
      </w:r>
    </w:p>
    <w:p w:rsidR="00B43C57" w:rsidRPr="00F5723F" w:rsidRDefault="00B43C57">
      <w:pPr>
        <w:pStyle w:val="Fotnotstext"/>
        <w:spacing w:line="240" w:lineRule="auto"/>
        <w:ind w:left="284" w:hanging="284"/>
        <w:rPr>
          <w:sz w:val="19"/>
          <w:szCs w:val="19"/>
        </w:rPr>
      </w:pPr>
      <w:r w:rsidRPr="00F5723F">
        <w:rPr>
          <w:sz w:val="19"/>
          <w:szCs w:val="19"/>
        </w:rPr>
        <w:t xml:space="preserve">Niklasson, Birgitta (2004), ”Contact Capital in the Political Elite”. </w:t>
      </w:r>
      <w:r w:rsidRPr="00F5723F">
        <w:rPr>
          <w:sz w:val="19"/>
          <w:szCs w:val="19"/>
        </w:rPr>
        <w:t>Avhan</w:t>
      </w:r>
      <w:r w:rsidRPr="00F5723F">
        <w:rPr>
          <w:sz w:val="19"/>
          <w:szCs w:val="19"/>
        </w:rPr>
        <w:t>d</w:t>
      </w:r>
      <w:r w:rsidRPr="00F5723F">
        <w:rPr>
          <w:sz w:val="19"/>
          <w:szCs w:val="19"/>
        </w:rPr>
        <w:t>lingskapitel presenterat vid VOD-seminariet vid Statsvetenskapliga inst</w:t>
      </w:r>
      <w:r w:rsidRPr="00F5723F">
        <w:rPr>
          <w:sz w:val="19"/>
          <w:szCs w:val="19"/>
        </w:rPr>
        <w:t>i</w:t>
      </w:r>
      <w:r w:rsidRPr="00F5723F">
        <w:rPr>
          <w:sz w:val="19"/>
          <w:szCs w:val="19"/>
        </w:rPr>
        <w:t>tuti</w:t>
      </w:r>
      <w:r w:rsidRPr="00F5723F">
        <w:rPr>
          <w:sz w:val="19"/>
          <w:szCs w:val="19"/>
        </w:rPr>
        <w:t>o</w:t>
      </w:r>
      <w:r w:rsidRPr="00F5723F">
        <w:rPr>
          <w:sz w:val="19"/>
          <w:szCs w:val="19"/>
        </w:rPr>
        <w:t>nen, Göteborgs universitet.</w:t>
      </w:r>
    </w:p>
    <w:p w:rsidR="00B43C57" w:rsidRPr="00F5723F" w:rsidRDefault="00B43C57">
      <w:pPr>
        <w:spacing w:line="240" w:lineRule="auto"/>
        <w:ind w:left="284" w:hanging="284"/>
        <w:rPr>
          <w:szCs w:val="19"/>
        </w:rPr>
      </w:pPr>
      <w:r w:rsidRPr="00F5723F">
        <w:rPr>
          <w:szCs w:val="19"/>
        </w:rPr>
        <w:t xml:space="preserve">Norrbin, Camilla och Mikael Sjögren (2001), ”Polisväsen, civilförsvar och allt arbete med landshövdingeutnämningar är minsann inget roligt! Om kvinnors arbete i riksdagen och regeringen under 1950-talet” i Christina Florin och Lars Kvarnström (2001), </w:t>
      </w:r>
      <w:r w:rsidRPr="00F5723F">
        <w:rPr>
          <w:i/>
          <w:szCs w:val="19"/>
        </w:rPr>
        <w:t>Kvinnor på gränsen till medborga</w:t>
      </w:r>
      <w:r w:rsidRPr="00F5723F">
        <w:rPr>
          <w:i/>
          <w:szCs w:val="19"/>
        </w:rPr>
        <w:t>r</w:t>
      </w:r>
      <w:r w:rsidRPr="00F5723F">
        <w:rPr>
          <w:i/>
          <w:szCs w:val="19"/>
        </w:rPr>
        <w:t>skap: genus</w:t>
      </w:r>
      <w:r w:rsidRPr="00F5723F">
        <w:rPr>
          <w:i/>
          <w:szCs w:val="19"/>
        </w:rPr>
        <w:t>, politik och offentlighet 1800–</w:t>
      </w:r>
      <w:r w:rsidRPr="00F5723F">
        <w:rPr>
          <w:i/>
          <w:szCs w:val="19"/>
        </w:rPr>
        <w:t>1950</w:t>
      </w:r>
      <w:r w:rsidRPr="00F5723F">
        <w:rPr>
          <w:szCs w:val="19"/>
        </w:rPr>
        <w:t>. Stockholm: Atlas</w:t>
      </w:r>
      <w:r w:rsidRPr="00F5723F">
        <w:rPr>
          <w:szCs w:val="19"/>
        </w:rPr>
        <w:t>.</w:t>
      </w:r>
    </w:p>
    <w:p w:rsidR="00B43C57" w:rsidRPr="00F5723F" w:rsidRDefault="00B43C57">
      <w:pPr>
        <w:spacing w:line="240" w:lineRule="auto"/>
        <w:ind w:left="284" w:hanging="284"/>
        <w:rPr>
          <w:szCs w:val="19"/>
        </w:rPr>
      </w:pPr>
      <w:r w:rsidRPr="00F5723F">
        <w:rPr>
          <w:szCs w:val="19"/>
        </w:rPr>
        <w:t xml:space="preserve">Norrbin, Camilla (2004), </w:t>
      </w:r>
      <w:r w:rsidRPr="00F5723F">
        <w:rPr>
          <w:i/>
          <w:szCs w:val="19"/>
        </w:rPr>
        <w:t>Från isolering till integrering. En kollektivbio</w:t>
      </w:r>
      <w:r w:rsidRPr="00F5723F">
        <w:rPr>
          <w:i/>
          <w:szCs w:val="19"/>
        </w:rPr>
        <w:softHyphen/>
      </w:r>
      <w:r w:rsidRPr="00F5723F">
        <w:rPr>
          <w:i/>
          <w:szCs w:val="19"/>
        </w:rPr>
        <w:t>grafisk studie över de kvinnliga riksdagsledamöterna under tvåka</w:t>
      </w:r>
      <w:r w:rsidRPr="00F5723F">
        <w:rPr>
          <w:i/>
          <w:szCs w:val="19"/>
        </w:rPr>
        <w:t>m</w:t>
      </w:r>
      <w:r w:rsidRPr="00F5723F">
        <w:rPr>
          <w:i/>
          <w:szCs w:val="19"/>
        </w:rPr>
        <w:t>mar</w:t>
      </w:r>
      <w:r w:rsidRPr="00F5723F">
        <w:rPr>
          <w:i/>
          <w:szCs w:val="19"/>
        </w:rPr>
        <w:softHyphen/>
      </w:r>
      <w:r w:rsidRPr="00F5723F">
        <w:rPr>
          <w:i/>
          <w:szCs w:val="19"/>
        </w:rPr>
        <w:t>riks</w:t>
      </w:r>
      <w:r w:rsidRPr="00F5723F">
        <w:rPr>
          <w:i/>
          <w:szCs w:val="19"/>
        </w:rPr>
        <w:t>dagens tid 1922–</w:t>
      </w:r>
      <w:r w:rsidRPr="00F5723F">
        <w:rPr>
          <w:i/>
          <w:szCs w:val="19"/>
        </w:rPr>
        <w:t>1970.</w:t>
      </w:r>
      <w:r w:rsidRPr="00F5723F">
        <w:rPr>
          <w:szCs w:val="19"/>
        </w:rPr>
        <w:t xml:space="preserve"> Umeå universitet: Institutionen för historiska st</w:t>
      </w:r>
      <w:r w:rsidRPr="00F5723F">
        <w:rPr>
          <w:szCs w:val="19"/>
        </w:rPr>
        <w:t>u</w:t>
      </w:r>
      <w:r w:rsidRPr="00F5723F">
        <w:rPr>
          <w:szCs w:val="19"/>
        </w:rPr>
        <w:t>dier.</w:t>
      </w:r>
    </w:p>
    <w:p w:rsidR="00B43C57" w:rsidRPr="00F5723F" w:rsidRDefault="00B43C57">
      <w:pPr>
        <w:spacing w:line="240" w:lineRule="auto"/>
        <w:ind w:left="284" w:hanging="284"/>
        <w:rPr>
          <w:szCs w:val="19"/>
        </w:rPr>
      </w:pPr>
      <w:r w:rsidRPr="00F5723F">
        <w:rPr>
          <w:szCs w:val="19"/>
        </w:rPr>
        <w:t>Norrbin, Camilla (2000), ”Konste</w:t>
      </w:r>
      <w:r w:rsidRPr="00F5723F">
        <w:rPr>
          <w:szCs w:val="19"/>
        </w:rPr>
        <w:t>n att finna en nål i en höstack</w:t>
      </w:r>
      <w:r w:rsidRPr="00F5723F">
        <w:rPr>
          <w:szCs w:val="19"/>
        </w:rPr>
        <w:t xml:space="preserve"> eller de kvinnliga riksdagsledamöternas intressen och nätverk i 1940-talets rik</w:t>
      </w:r>
      <w:r w:rsidRPr="00F5723F">
        <w:rPr>
          <w:szCs w:val="19"/>
        </w:rPr>
        <w:t>s</w:t>
      </w:r>
      <w:r w:rsidRPr="00F5723F">
        <w:rPr>
          <w:szCs w:val="19"/>
        </w:rPr>
        <w:t xml:space="preserve">dag” i Tomas Nilsson red. (2000), </w:t>
      </w:r>
      <w:r w:rsidRPr="00F5723F">
        <w:rPr>
          <w:i/>
          <w:szCs w:val="19"/>
        </w:rPr>
        <w:t>Att synliggöra det osynliga. Sex up</w:t>
      </w:r>
      <w:r w:rsidRPr="00F5723F">
        <w:rPr>
          <w:i/>
          <w:szCs w:val="19"/>
        </w:rPr>
        <w:t>p</w:t>
      </w:r>
      <w:r w:rsidRPr="00F5723F">
        <w:rPr>
          <w:i/>
          <w:szCs w:val="19"/>
        </w:rPr>
        <w:t>satser om socialt handlande och sociala nätverk</w:t>
      </w:r>
      <w:r w:rsidRPr="00F5723F">
        <w:rPr>
          <w:szCs w:val="19"/>
        </w:rPr>
        <w:t>. Göteborg: Historiska i</w:t>
      </w:r>
      <w:r w:rsidRPr="00F5723F">
        <w:rPr>
          <w:szCs w:val="19"/>
        </w:rPr>
        <w:t>n</w:t>
      </w:r>
      <w:r w:rsidRPr="00F5723F">
        <w:rPr>
          <w:szCs w:val="19"/>
        </w:rPr>
        <w:t>stitutionen, Göteborgs universitet.</w:t>
      </w:r>
    </w:p>
    <w:p w:rsidR="00B43C57" w:rsidRPr="00F5723F" w:rsidRDefault="00B43C57">
      <w:pPr>
        <w:pStyle w:val="Fotnotstext"/>
        <w:spacing w:line="240" w:lineRule="auto"/>
        <w:ind w:left="284" w:hanging="284"/>
        <w:rPr>
          <w:sz w:val="19"/>
          <w:szCs w:val="19"/>
        </w:rPr>
      </w:pPr>
      <w:r w:rsidRPr="00F5723F">
        <w:rPr>
          <w:sz w:val="19"/>
          <w:szCs w:val="19"/>
        </w:rPr>
        <w:t>Norris, Pippa (1996), ”Women politicians: Transforming Westminster?” i</w:t>
      </w:r>
      <w:r w:rsidRPr="00F5723F">
        <w:rPr>
          <w:i/>
          <w:sz w:val="19"/>
          <w:szCs w:val="19"/>
        </w:rPr>
        <w:t xml:space="preserve"> Parliamentary Affairs </w:t>
      </w:r>
      <w:r w:rsidRPr="00F5723F">
        <w:rPr>
          <w:sz w:val="19"/>
          <w:szCs w:val="19"/>
        </w:rPr>
        <w:t xml:space="preserve">49 (1):89–102. </w:t>
      </w:r>
    </w:p>
    <w:p w:rsidR="00B43C57" w:rsidRPr="00F5723F" w:rsidRDefault="00B43C57">
      <w:pPr>
        <w:pStyle w:val="Fotnotstext"/>
        <w:spacing w:line="240" w:lineRule="auto"/>
        <w:ind w:left="284" w:hanging="284"/>
        <w:rPr>
          <w:sz w:val="19"/>
          <w:szCs w:val="19"/>
        </w:rPr>
      </w:pPr>
      <w:r w:rsidRPr="00F5723F">
        <w:rPr>
          <w:sz w:val="19"/>
          <w:szCs w:val="19"/>
        </w:rPr>
        <w:t>Norris, Pippa (1985), ”Women’s Legislative</w:t>
      </w:r>
      <w:r w:rsidRPr="00F5723F">
        <w:rPr>
          <w:sz w:val="19"/>
          <w:szCs w:val="19"/>
        </w:rPr>
        <w:t xml:space="preserve"> Participation in </w:t>
      </w:r>
      <w:smartTag w:uri="urn:schemas-microsoft-com:office:smarttags" w:element="place">
        <w:r w:rsidRPr="00F5723F">
          <w:rPr>
            <w:sz w:val="19"/>
            <w:szCs w:val="19"/>
          </w:rPr>
          <w:t>Western Europe</w:t>
        </w:r>
      </w:smartTag>
      <w:r w:rsidRPr="00F5723F">
        <w:rPr>
          <w:sz w:val="19"/>
          <w:szCs w:val="19"/>
        </w:rPr>
        <w:t xml:space="preserve">” i </w:t>
      </w:r>
      <w:r w:rsidRPr="00F5723F">
        <w:rPr>
          <w:i/>
          <w:sz w:val="19"/>
          <w:szCs w:val="19"/>
        </w:rPr>
        <w:t>West European Politics</w:t>
      </w:r>
      <w:r w:rsidRPr="00F5723F">
        <w:rPr>
          <w:sz w:val="19"/>
          <w:szCs w:val="19"/>
        </w:rPr>
        <w:t xml:space="preserve"> 8 (4):90–</w:t>
      </w:r>
      <w:r w:rsidRPr="00F5723F">
        <w:rPr>
          <w:sz w:val="19"/>
          <w:szCs w:val="19"/>
        </w:rPr>
        <w:t>101.</w:t>
      </w:r>
    </w:p>
    <w:p w:rsidR="00B43C57" w:rsidRPr="00F5723F" w:rsidRDefault="00B43C57">
      <w:pPr>
        <w:pStyle w:val="Fotnotstext"/>
        <w:spacing w:line="240" w:lineRule="auto"/>
        <w:ind w:left="284" w:hanging="284"/>
        <w:rPr>
          <w:sz w:val="19"/>
          <w:szCs w:val="19"/>
        </w:rPr>
      </w:pPr>
      <w:r w:rsidRPr="00F5723F">
        <w:rPr>
          <w:sz w:val="19"/>
          <w:szCs w:val="19"/>
        </w:rPr>
        <w:t>Norris, Pippa och Ronald Inglehart (2001), ”Women and Democracy: Cu</w:t>
      </w:r>
      <w:r w:rsidRPr="00F5723F">
        <w:rPr>
          <w:sz w:val="19"/>
          <w:szCs w:val="19"/>
        </w:rPr>
        <w:t>l</w:t>
      </w:r>
      <w:r w:rsidRPr="00F5723F">
        <w:rPr>
          <w:sz w:val="19"/>
          <w:szCs w:val="19"/>
        </w:rPr>
        <w:t xml:space="preserve">tural Obstacles to Equal Representation” i </w:t>
      </w:r>
      <w:r w:rsidRPr="00F5723F">
        <w:rPr>
          <w:i/>
          <w:sz w:val="19"/>
          <w:szCs w:val="19"/>
        </w:rPr>
        <w:t xml:space="preserve">Journal of Democracy </w:t>
      </w:r>
      <w:r w:rsidRPr="00F5723F">
        <w:rPr>
          <w:sz w:val="19"/>
          <w:szCs w:val="19"/>
        </w:rPr>
        <w:t>12, no 3:126–</w:t>
      </w:r>
      <w:r w:rsidRPr="00F5723F">
        <w:rPr>
          <w:sz w:val="19"/>
          <w:szCs w:val="19"/>
        </w:rPr>
        <w:t>140.</w:t>
      </w:r>
    </w:p>
    <w:p w:rsidR="00B43C57" w:rsidRPr="00F5723F" w:rsidRDefault="00B43C57">
      <w:pPr>
        <w:spacing w:line="240" w:lineRule="auto"/>
        <w:ind w:left="284" w:hanging="284"/>
        <w:rPr>
          <w:szCs w:val="19"/>
        </w:rPr>
      </w:pPr>
      <w:r w:rsidRPr="00F5723F">
        <w:rPr>
          <w:szCs w:val="19"/>
        </w:rPr>
        <w:t>Oakes, Ann och Elisabeth Almquist (1993), ”Women in National Legisl</w:t>
      </w:r>
      <w:r w:rsidRPr="00F5723F">
        <w:rPr>
          <w:szCs w:val="19"/>
        </w:rPr>
        <w:t>a</w:t>
      </w:r>
      <w:r w:rsidRPr="00F5723F">
        <w:rPr>
          <w:szCs w:val="19"/>
        </w:rPr>
        <w:t>tures: A Cross-</w:t>
      </w:r>
      <w:r w:rsidRPr="00F5723F">
        <w:rPr>
          <w:szCs w:val="19"/>
        </w:rPr>
        <w:t>National Test of Macrostructural Gender Theories” i</w:t>
      </w:r>
      <w:r w:rsidRPr="00F5723F">
        <w:rPr>
          <w:i/>
          <w:szCs w:val="19"/>
        </w:rPr>
        <w:t xml:space="preserve"> Pop</w:t>
      </w:r>
      <w:r w:rsidRPr="00F5723F">
        <w:rPr>
          <w:i/>
          <w:szCs w:val="19"/>
        </w:rPr>
        <w:t>u</w:t>
      </w:r>
      <w:r w:rsidRPr="00F5723F">
        <w:rPr>
          <w:i/>
          <w:szCs w:val="19"/>
        </w:rPr>
        <w:t>lation Research Policy and Review</w:t>
      </w:r>
      <w:r w:rsidRPr="00F5723F">
        <w:rPr>
          <w:szCs w:val="19"/>
        </w:rPr>
        <w:t xml:space="preserve"> 12:71–</w:t>
      </w:r>
      <w:r w:rsidRPr="00F5723F">
        <w:rPr>
          <w:szCs w:val="19"/>
        </w:rPr>
        <w:t>81.</w:t>
      </w:r>
    </w:p>
    <w:p w:rsidR="00B43C57" w:rsidRPr="00F5723F" w:rsidRDefault="00B43C57">
      <w:pPr>
        <w:spacing w:line="240" w:lineRule="auto"/>
        <w:ind w:left="284" w:hanging="284"/>
        <w:rPr>
          <w:szCs w:val="19"/>
        </w:rPr>
      </w:pPr>
      <w:r w:rsidRPr="00F5723F">
        <w:rPr>
          <w:szCs w:val="19"/>
        </w:rPr>
        <w:t>Ohlander, Ann-Sofie (2001), ”Mina herrar! Mansrepresentationen i Sveriges riksdag” i Christer Jönsson (red</w:t>
      </w:r>
      <w:r w:rsidRPr="00F5723F">
        <w:rPr>
          <w:szCs w:val="19"/>
        </w:rPr>
        <w:t>.),</w:t>
      </w:r>
      <w:r w:rsidRPr="00F5723F">
        <w:rPr>
          <w:szCs w:val="19"/>
        </w:rPr>
        <w:t xml:space="preserve"> </w:t>
      </w:r>
      <w:r w:rsidRPr="00F5723F">
        <w:rPr>
          <w:i/>
          <w:szCs w:val="19"/>
        </w:rPr>
        <w:t xml:space="preserve">Rösträtten 80 år – en forskarantologi. </w:t>
      </w:r>
      <w:r w:rsidRPr="00F5723F">
        <w:rPr>
          <w:szCs w:val="19"/>
        </w:rPr>
        <w:t>Stockholm: Justitiedepartementet.</w:t>
      </w:r>
    </w:p>
    <w:p w:rsidR="00B43C57" w:rsidRPr="00F5723F" w:rsidRDefault="00B43C57">
      <w:pPr>
        <w:spacing w:line="240" w:lineRule="auto"/>
        <w:ind w:left="284" w:hanging="284"/>
        <w:rPr>
          <w:szCs w:val="19"/>
        </w:rPr>
      </w:pPr>
      <w:r w:rsidRPr="00F5723F">
        <w:rPr>
          <w:szCs w:val="19"/>
        </w:rPr>
        <w:t xml:space="preserve">Oskarsson, Maria (1995), ”Gender Gaps in Nordic Voting Behaviour” i Lauri Karvonen och Per Selle red. (1995), </w:t>
      </w:r>
      <w:r w:rsidRPr="00F5723F">
        <w:rPr>
          <w:i/>
          <w:szCs w:val="19"/>
        </w:rPr>
        <w:t>Women in Nordic Politics: Closing the Gap</w:t>
      </w:r>
      <w:r w:rsidRPr="00F5723F">
        <w:rPr>
          <w:szCs w:val="19"/>
        </w:rPr>
        <w:t xml:space="preserve">. </w:t>
      </w:r>
      <w:r w:rsidRPr="00F5723F">
        <w:rPr>
          <w:szCs w:val="19"/>
        </w:rPr>
        <w:t>Aldershot: Dartmouth.</w:t>
      </w:r>
    </w:p>
    <w:p w:rsidR="00B43C57" w:rsidRPr="00F5723F" w:rsidRDefault="00B43C57">
      <w:pPr>
        <w:spacing w:line="240" w:lineRule="auto"/>
        <w:ind w:left="284" w:hanging="284"/>
        <w:rPr>
          <w:szCs w:val="19"/>
        </w:rPr>
      </w:pPr>
      <w:r w:rsidRPr="00F5723F">
        <w:rPr>
          <w:szCs w:val="19"/>
        </w:rPr>
        <w:t xml:space="preserve">Oskarsson, Maria (1994), ”Den offentliga sektorns storlek: ekonomi eller ideologi?” i Lennart </w:t>
      </w:r>
      <w:r w:rsidRPr="00F5723F">
        <w:rPr>
          <w:szCs w:val="19"/>
        </w:rPr>
        <w:t>Nilsson</w:t>
      </w:r>
      <w:r w:rsidRPr="00F5723F">
        <w:rPr>
          <w:szCs w:val="19"/>
        </w:rPr>
        <w:t xml:space="preserve"> (red</w:t>
      </w:r>
      <w:r w:rsidRPr="00F5723F">
        <w:rPr>
          <w:szCs w:val="19"/>
        </w:rPr>
        <w:t>.</w:t>
      </w:r>
      <w:r w:rsidRPr="00F5723F">
        <w:rPr>
          <w:szCs w:val="19"/>
        </w:rPr>
        <w:t xml:space="preserve">), </w:t>
      </w:r>
      <w:r w:rsidRPr="00F5723F">
        <w:rPr>
          <w:i/>
          <w:szCs w:val="19"/>
        </w:rPr>
        <w:t>Västsverige i fokus,</w:t>
      </w:r>
      <w:r w:rsidRPr="00F5723F">
        <w:rPr>
          <w:szCs w:val="19"/>
        </w:rPr>
        <w:t xml:space="preserve"> SOM-rapport nr 12,</w:t>
      </w:r>
      <w:r w:rsidRPr="00F5723F">
        <w:rPr>
          <w:szCs w:val="19"/>
        </w:rPr>
        <w:t xml:space="preserve"> Göteborgs universitet, sid. 99–</w:t>
      </w:r>
      <w:r w:rsidRPr="00F5723F">
        <w:rPr>
          <w:szCs w:val="19"/>
        </w:rPr>
        <w:t>108.</w:t>
      </w:r>
    </w:p>
    <w:p w:rsidR="00B43C57" w:rsidRPr="00F5723F" w:rsidRDefault="00B43C57">
      <w:pPr>
        <w:spacing w:line="240" w:lineRule="auto"/>
        <w:ind w:left="284" w:hanging="284"/>
        <w:rPr>
          <w:szCs w:val="19"/>
        </w:rPr>
      </w:pPr>
      <w:r w:rsidRPr="00F5723F">
        <w:rPr>
          <w:szCs w:val="19"/>
        </w:rPr>
        <w:t>Oskarsson, Maria och Lena Wängnerud (1996), ”Vem representerar kvinno</w:t>
      </w:r>
      <w:r w:rsidRPr="00F5723F">
        <w:rPr>
          <w:szCs w:val="19"/>
        </w:rPr>
        <w:t>r</w:t>
      </w:r>
      <w:r w:rsidRPr="00F5723F">
        <w:rPr>
          <w:szCs w:val="19"/>
        </w:rPr>
        <w:t>na?” sid. 199–</w:t>
      </w:r>
      <w:r w:rsidRPr="00F5723F">
        <w:rPr>
          <w:szCs w:val="19"/>
        </w:rPr>
        <w:t xml:space="preserve">226 i B. </w:t>
      </w:r>
      <w:r w:rsidRPr="00F5723F">
        <w:rPr>
          <w:szCs w:val="19"/>
        </w:rPr>
        <w:t>Särlvik</w:t>
      </w:r>
      <w:r w:rsidRPr="00F5723F">
        <w:rPr>
          <w:szCs w:val="19"/>
        </w:rPr>
        <w:t xml:space="preserve"> och B. Rothstein </w:t>
      </w:r>
      <w:r w:rsidRPr="00F5723F">
        <w:rPr>
          <w:szCs w:val="19"/>
        </w:rPr>
        <w:t>red.</w:t>
      </w:r>
      <w:r w:rsidRPr="00F5723F">
        <w:rPr>
          <w:szCs w:val="19"/>
        </w:rPr>
        <w:t xml:space="preserve"> (1996), </w:t>
      </w:r>
      <w:r w:rsidRPr="00F5723F">
        <w:rPr>
          <w:i/>
          <w:szCs w:val="19"/>
        </w:rPr>
        <w:t xml:space="preserve">Vetenskapen om politik. En festskrift till professor emeritus Jörgen Westerståhl. </w:t>
      </w:r>
      <w:r w:rsidRPr="00F5723F">
        <w:rPr>
          <w:szCs w:val="19"/>
        </w:rPr>
        <w:t>Göt</w:t>
      </w:r>
      <w:r w:rsidRPr="00F5723F">
        <w:rPr>
          <w:szCs w:val="19"/>
        </w:rPr>
        <w:t>e</w:t>
      </w:r>
      <w:r w:rsidRPr="00F5723F">
        <w:rPr>
          <w:szCs w:val="19"/>
        </w:rPr>
        <w:t>borg: Statsvetenskapliga instit</w:t>
      </w:r>
      <w:r w:rsidRPr="00F5723F">
        <w:rPr>
          <w:szCs w:val="19"/>
        </w:rPr>
        <w:t>u</w:t>
      </w:r>
      <w:r w:rsidRPr="00F5723F">
        <w:rPr>
          <w:szCs w:val="19"/>
        </w:rPr>
        <w:t>tionen.</w:t>
      </w:r>
    </w:p>
    <w:p w:rsidR="00B43C57" w:rsidRPr="00F5723F" w:rsidRDefault="00B43C57">
      <w:pPr>
        <w:spacing w:line="240" w:lineRule="auto"/>
        <w:ind w:left="284" w:hanging="284"/>
        <w:rPr>
          <w:szCs w:val="19"/>
        </w:rPr>
      </w:pPr>
      <w:r w:rsidRPr="00F5723F">
        <w:rPr>
          <w:szCs w:val="19"/>
        </w:rPr>
        <w:t xml:space="preserve">Oskarsson, Maria &amp; Lena Wängnerud (1995), </w:t>
      </w:r>
      <w:r w:rsidRPr="00F5723F">
        <w:rPr>
          <w:i/>
          <w:szCs w:val="19"/>
        </w:rPr>
        <w:t>Kvinnor som väljare och valda.</w:t>
      </w:r>
      <w:r w:rsidRPr="00F5723F">
        <w:rPr>
          <w:szCs w:val="19"/>
        </w:rPr>
        <w:t xml:space="preserve"> Lund: Studentlitteratur.</w:t>
      </w:r>
    </w:p>
    <w:p w:rsidR="00B43C57" w:rsidRPr="00F5723F" w:rsidRDefault="00B43C57">
      <w:pPr>
        <w:spacing w:line="240" w:lineRule="auto"/>
        <w:ind w:left="284" w:hanging="284"/>
        <w:rPr>
          <w:szCs w:val="19"/>
        </w:rPr>
      </w:pPr>
      <w:r w:rsidRPr="00F5723F">
        <w:rPr>
          <w:szCs w:val="19"/>
        </w:rPr>
        <w:t>Palme, Ulric (1969), ”Vid valurnan och i riksdagen un</w:t>
      </w:r>
      <w:r w:rsidRPr="00F5723F">
        <w:rPr>
          <w:szCs w:val="19"/>
        </w:rPr>
        <w:t>der femtio år” i Ruth Hamrin red.</w:t>
      </w:r>
      <w:r w:rsidRPr="00F5723F">
        <w:rPr>
          <w:szCs w:val="19"/>
        </w:rPr>
        <w:t xml:space="preserve"> (1969), </w:t>
      </w:r>
      <w:r w:rsidRPr="00F5723F">
        <w:rPr>
          <w:i/>
          <w:szCs w:val="19"/>
        </w:rPr>
        <w:t>Kvinnors röst och rätt</w:t>
      </w:r>
      <w:r w:rsidRPr="00F5723F">
        <w:rPr>
          <w:szCs w:val="19"/>
        </w:rPr>
        <w:t xml:space="preserve">. </w:t>
      </w:r>
      <w:r w:rsidRPr="00F5723F">
        <w:rPr>
          <w:szCs w:val="19"/>
        </w:rPr>
        <w:t>Stockholm: Allmänna Förl</w:t>
      </w:r>
      <w:r w:rsidRPr="00F5723F">
        <w:rPr>
          <w:szCs w:val="19"/>
        </w:rPr>
        <w:t>a</w:t>
      </w:r>
      <w:r w:rsidRPr="00F5723F">
        <w:rPr>
          <w:szCs w:val="19"/>
        </w:rPr>
        <w:t>get.</w:t>
      </w:r>
    </w:p>
    <w:p w:rsidR="00B43C57" w:rsidRPr="00F5723F" w:rsidRDefault="00B43C57">
      <w:pPr>
        <w:spacing w:line="240" w:lineRule="auto"/>
        <w:ind w:left="284" w:hanging="284"/>
        <w:rPr>
          <w:szCs w:val="19"/>
        </w:rPr>
      </w:pPr>
      <w:r w:rsidRPr="00F5723F">
        <w:rPr>
          <w:szCs w:val="19"/>
        </w:rPr>
        <w:t xml:space="preserve">Paxton, Pamela (1997), ”Women in National Legislatures: A Cross-National Analysis” i </w:t>
      </w:r>
      <w:r w:rsidRPr="00F5723F">
        <w:rPr>
          <w:i/>
          <w:szCs w:val="19"/>
        </w:rPr>
        <w:t>Social Science Research 26</w:t>
      </w:r>
      <w:r w:rsidRPr="00F5723F">
        <w:rPr>
          <w:szCs w:val="19"/>
        </w:rPr>
        <w:t>:442–464.</w:t>
      </w:r>
    </w:p>
    <w:p w:rsidR="00B43C57" w:rsidRPr="00F5723F" w:rsidRDefault="00B43C57">
      <w:pPr>
        <w:spacing w:line="240" w:lineRule="auto"/>
        <w:ind w:left="284" w:hanging="284"/>
        <w:rPr>
          <w:szCs w:val="19"/>
        </w:rPr>
      </w:pPr>
      <w:r w:rsidRPr="00F5723F">
        <w:rPr>
          <w:szCs w:val="19"/>
        </w:rPr>
        <w:t>Pedersen, Mogens (2002), ”</w:t>
      </w:r>
      <w:smartTag w:uri="urn:schemas-microsoft-com:office:smarttags" w:element="country-region">
        <w:smartTag w:uri="urn:schemas-microsoft-com:office:smarttags" w:element="place">
          <w:r w:rsidRPr="00F5723F">
            <w:rPr>
              <w:szCs w:val="19"/>
            </w:rPr>
            <w:t>Denmark</w:t>
          </w:r>
        </w:smartTag>
      </w:smartTag>
      <w:r w:rsidRPr="00F5723F">
        <w:rPr>
          <w:szCs w:val="19"/>
        </w:rPr>
        <w:t xml:space="preserve">: The Interplay of Nominations and Elections in Danish Politics” i Hanne Marthe Narud m.fl. (2002), </w:t>
      </w:r>
      <w:r w:rsidRPr="00F5723F">
        <w:rPr>
          <w:i/>
          <w:szCs w:val="19"/>
        </w:rPr>
        <w:t>Party Sovereignty and Citizen Control.</w:t>
      </w:r>
      <w:r w:rsidRPr="00F5723F">
        <w:rPr>
          <w:szCs w:val="19"/>
        </w:rPr>
        <w:t xml:space="preserve"> </w:t>
      </w:r>
      <w:smartTag w:uri="urn:schemas-microsoft-com:office:smarttags" w:element="City">
        <w:r w:rsidRPr="00F5723F">
          <w:rPr>
            <w:szCs w:val="19"/>
          </w:rPr>
          <w:t>Odense</w:t>
        </w:r>
      </w:smartTag>
      <w:r w:rsidRPr="00F5723F">
        <w:rPr>
          <w:szCs w:val="19"/>
        </w:rPr>
        <w:t xml:space="preserve">: University Press of </w:t>
      </w:r>
      <w:smartTag w:uri="urn:schemas-microsoft-com:office:smarttags" w:element="place">
        <w:r w:rsidRPr="00F5723F">
          <w:rPr>
            <w:szCs w:val="19"/>
          </w:rPr>
          <w:t>Southern Denmark</w:t>
        </w:r>
      </w:smartTag>
      <w:r w:rsidRPr="00F5723F">
        <w:rPr>
          <w:szCs w:val="19"/>
        </w:rPr>
        <w:t>.</w:t>
      </w:r>
      <w:r w:rsidRPr="00F5723F">
        <w:rPr>
          <w:i/>
          <w:szCs w:val="19"/>
        </w:rPr>
        <w:t xml:space="preserve"> </w:t>
      </w:r>
    </w:p>
    <w:p w:rsidR="00B43C57" w:rsidRPr="00F5723F" w:rsidRDefault="00B43C57">
      <w:pPr>
        <w:pStyle w:val="Fotnotstext"/>
        <w:spacing w:line="240" w:lineRule="auto"/>
        <w:ind w:left="284" w:hanging="284"/>
        <w:rPr>
          <w:sz w:val="19"/>
          <w:szCs w:val="19"/>
        </w:rPr>
      </w:pPr>
      <w:r w:rsidRPr="00F5723F">
        <w:rPr>
          <w:sz w:val="19"/>
          <w:szCs w:val="19"/>
        </w:rPr>
        <w:t xml:space="preserve">Pincus, Ingrid (2002), </w:t>
      </w:r>
      <w:r w:rsidRPr="00F5723F">
        <w:rPr>
          <w:i/>
          <w:sz w:val="19"/>
          <w:szCs w:val="19"/>
        </w:rPr>
        <w:t>The Politics of Gender Equality Policy.</w:t>
      </w:r>
      <w:r w:rsidRPr="00F5723F">
        <w:rPr>
          <w:sz w:val="19"/>
          <w:szCs w:val="19"/>
        </w:rPr>
        <w:t xml:space="preserve"> </w:t>
      </w:r>
      <w:r w:rsidRPr="00F5723F">
        <w:rPr>
          <w:sz w:val="19"/>
          <w:szCs w:val="19"/>
        </w:rPr>
        <w:t>Doktorsa</w:t>
      </w:r>
      <w:r w:rsidRPr="00F5723F">
        <w:rPr>
          <w:sz w:val="19"/>
          <w:szCs w:val="19"/>
        </w:rPr>
        <w:t>v</w:t>
      </w:r>
      <w:r w:rsidRPr="00F5723F">
        <w:rPr>
          <w:sz w:val="19"/>
          <w:szCs w:val="19"/>
        </w:rPr>
        <w:t>handling Statsvetenskapliga Institutionen. Örebro: Ör</w:t>
      </w:r>
      <w:r w:rsidRPr="00F5723F">
        <w:rPr>
          <w:sz w:val="19"/>
          <w:szCs w:val="19"/>
        </w:rPr>
        <w:t>e</w:t>
      </w:r>
      <w:r w:rsidRPr="00F5723F">
        <w:rPr>
          <w:sz w:val="19"/>
          <w:szCs w:val="19"/>
        </w:rPr>
        <w:t>bro Universitet.</w:t>
      </w:r>
    </w:p>
    <w:p w:rsidR="00B43C57" w:rsidRPr="00F5723F" w:rsidRDefault="00B43C57">
      <w:pPr>
        <w:pStyle w:val="Fotnotstext"/>
        <w:spacing w:line="240" w:lineRule="auto"/>
        <w:ind w:left="284" w:hanging="284"/>
        <w:rPr>
          <w:sz w:val="19"/>
          <w:szCs w:val="19"/>
        </w:rPr>
      </w:pPr>
      <w:r w:rsidRPr="00F5723F">
        <w:rPr>
          <w:sz w:val="19"/>
          <w:szCs w:val="19"/>
        </w:rPr>
        <w:t>Pincus, Ingrid (1997), ”Män som hindrar och män som främjar jämställ</w:t>
      </w:r>
      <w:r w:rsidRPr="00F5723F">
        <w:rPr>
          <w:sz w:val="19"/>
          <w:szCs w:val="19"/>
        </w:rPr>
        <w:t>d</w:t>
      </w:r>
      <w:r w:rsidRPr="00F5723F">
        <w:rPr>
          <w:sz w:val="19"/>
          <w:szCs w:val="19"/>
        </w:rPr>
        <w:t>hetsarbete” i Anna G</w:t>
      </w:r>
      <w:r w:rsidRPr="00F5723F">
        <w:rPr>
          <w:sz w:val="19"/>
          <w:szCs w:val="19"/>
        </w:rPr>
        <w:t>.</w:t>
      </w:r>
      <w:r w:rsidRPr="00F5723F">
        <w:rPr>
          <w:sz w:val="19"/>
          <w:szCs w:val="19"/>
        </w:rPr>
        <w:t xml:space="preserve"> Jónasdóttir </w:t>
      </w:r>
      <w:r w:rsidRPr="00F5723F">
        <w:rPr>
          <w:sz w:val="19"/>
          <w:szCs w:val="19"/>
        </w:rPr>
        <w:t>(</w:t>
      </w:r>
      <w:r w:rsidRPr="00F5723F">
        <w:rPr>
          <w:sz w:val="19"/>
          <w:szCs w:val="19"/>
        </w:rPr>
        <w:t>red.</w:t>
      </w:r>
      <w:r w:rsidRPr="00F5723F">
        <w:rPr>
          <w:sz w:val="19"/>
          <w:szCs w:val="19"/>
        </w:rPr>
        <w:t>)</w:t>
      </w:r>
      <w:r w:rsidRPr="00F5723F">
        <w:rPr>
          <w:sz w:val="19"/>
          <w:szCs w:val="19"/>
        </w:rPr>
        <w:t xml:space="preserve"> </w:t>
      </w:r>
      <w:r w:rsidRPr="00F5723F">
        <w:rPr>
          <w:i/>
          <w:sz w:val="19"/>
          <w:szCs w:val="19"/>
        </w:rPr>
        <w:t>SOU 1997:114 Styrsystem och jämställdhet.</w:t>
      </w:r>
      <w:r w:rsidRPr="00F5723F">
        <w:rPr>
          <w:sz w:val="19"/>
          <w:szCs w:val="19"/>
        </w:rPr>
        <w:t xml:space="preserve"> Stockholm: Fritzes.</w:t>
      </w:r>
    </w:p>
    <w:p w:rsidR="00B43C57" w:rsidRPr="00F5723F" w:rsidRDefault="00B43C57">
      <w:pPr>
        <w:pStyle w:val="Fotnotstext"/>
        <w:spacing w:line="240" w:lineRule="auto"/>
        <w:ind w:left="284" w:hanging="284"/>
        <w:rPr>
          <w:sz w:val="19"/>
          <w:szCs w:val="19"/>
        </w:rPr>
      </w:pPr>
      <w:r w:rsidRPr="00F5723F">
        <w:rPr>
          <w:sz w:val="19"/>
          <w:szCs w:val="19"/>
        </w:rPr>
        <w:t xml:space="preserve">Pincus, Ingrid och Janneke van der Ros (1999), ”Vilje eller evne? </w:t>
      </w:r>
      <w:r w:rsidRPr="00F5723F">
        <w:rPr>
          <w:sz w:val="19"/>
          <w:szCs w:val="19"/>
        </w:rPr>
        <w:t xml:space="preserve">Staten, kommunene og likestillingspolitikken” sid. 192–213 i Christina Bergqvist, red. (1999), </w:t>
      </w:r>
      <w:r w:rsidRPr="00F5723F">
        <w:rPr>
          <w:i/>
          <w:sz w:val="19"/>
          <w:szCs w:val="19"/>
        </w:rPr>
        <w:t>Likestilte demokratier? Kjønn og politikk i Norden.</w:t>
      </w:r>
      <w:r w:rsidRPr="00F5723F">
        <w:rPr>
          <w:sz w:val="19"/>
          <w:szCs w:val="19"/>
        </w:rPr>
        <w:t xml:space="preserve"> Oslo: Universitetsfo</w:t>
      </w:r>
      <w:r w:rsidRPr="00F5723F">
        <w:rPr>
          <w:sz w:val="19"/>
          <w:szCs w:val="19"/>
        </w:rPr>
        <w:t>r</w:t>
      </w:r>
      <w:r w:rsidRPr="00F5723F">
        <w:rPr>
          <w:sz w:val="19"/>
          <w:szCs w:val="19"/>
        </w:rPr>
        <w:t>laget.</w:t>
      </w:r>
    </w:p>
    <w:p w:rsidR="00B43C57" w:rsidRPr="00F5723F" w:rsidRDefault="00B43C57">
      <w:pPr>
        <w:pStyle w:val="Fotnotstext"/>
        <w:spacing w:line="240" w:lineRule="auto"/>
        <w:ind w:left="284" w:hanging="284"/>
        <w:rPr>
          <w:sz w:val="19"/>
          <w:szCs w:val="19"/>
        </w:rPr>
      </w:pPr>
      <w:r w:rsidRPr="00F5723F">
        <w:rPr>
          <w:sz w:val="19"/>
          <w:szCs w:val="19"/>
        </w:rPr>
        <w:t xml:space="preserve">Phillips, Anne (1995), </w:t>
      </w:r>
      <w:r w:rsidRPr="00F5723F">
        <w:rPr>
          <w:i/>
          <w:sz w:val="19"/>
          <w:szCs w:val="19"/>
        </w:rPr>
        <w:t xml:space="preserve">The Politics of Presence. </w:t>
      </w:r>
      <w:r w:rsidRPr="00F5723F">
        <w:rPr>
          <w:i/>
          <w:sz w:val="19"/>
          <w:szCs w:val="19"/>
        </w:rPr>
        <w:t>The Political Represen</w:t>
      </w:r>
      <w:r w:rsidRPr="00F5723F">
        <w:rPr>
          <w:i/>
          <w:sz w:val="19"/>
          <w:szCs w:val="19"/>
        </w:rPr>
        <w:t>tation of Gender, Ethnicity and Race.</w:t>
      </w:r>
      <w:r w:rsidRPr="00F5723F">
        <w:rPr>
          <w:sz w:val="19"/>
          <w:szCs w:val="19"/>
        </w:rPr>
        <w:t xml:space="preserve"> </w:t>
      </w:r>
      <w:r w:rsidRPr="00F5723F">
        <w:rPr>
          <w:sz w:val="19"/>
          <w:szCs w:val="19"/>
        </w:rPr>
        <w:t>Oxford: O</w:t>
      </w:r>
      <w:r w:rsidRPr="00F5723F">
        <w:rPr>
          <w:sz w:val="19"/>
          <w:szCs w:val="19"/>
        </w:rPr>
        <w:t>x</w:t>
      </w:r>
      <w:r w:rsidRPr="00F5723F">
        <w:rPr>
          <w:sz w:val="19"/>
          <w:szCs w:val="19"/>
        </w:rPr>
        <w:t>ford Un</w:t>
      </w:r>
      <w:r w:rsidRPr="00F5723F">
        <w:rPr>
          <w:sz w:val="19"/>
          <w:szCs w:val="19"/>
        </w:rPr>
        <w:t>iversity Press.</w:t>
      </w:r>
    </w:p>
    <w:p w:rsidR="00B43C57" w:rsidRPr="00F5723F" w:rsidRDefault="00B43C57">
      <w:pPr>
        <w:pStyle w:val="Fotnotstext"/>
        <w:spacing w:line="240" w:lineRule="auto"/>
        <w:ind w:left="284" w:hanging="284"/>
        <w:rPr>
          <w:sz w:val="19"/>
          <w:szCs w:val="19"/>
        </w:rPr>
      </w:pPr>
      <w:r w:rsidRPr="00F5723F">
        <w:rPr>
          <w:sz w:val="19"/>
          <w:szCs w:val="19"/>
        </w:rPr>
        <w:t>Pierre, Jon (1986),</w:t>
      </w:r>
      <w:r w:rsidRPr="00F5723F">
        <w:rPr>
          <w:i/>
          <w:sz w:val="19"/>
          <w:szCs w:val="19"/>
        </w:rPr>
        <w:t xml:space="preserve"> Riksdagsledamöterna och de regionala partiorganisati</w:t>
      </w:r>
      <w:r w:rsidRPr="00F5723F">
        <w:rPr>
          <w:i/>
          <w:sz w:val="19"/>
          <w:szCs w:val="19"/>
        </w:rPr>
        <w:t>o</w:t>
      </w:r>
      <w:r w:rsidRPr="00F5723F">
        <w:rPr>
          <w:i/>
          <w:sz w:val="19"/>
          <w:szCs w:val="19"/>
        </w:rPr>
        <w:t>nerna. Folkets främsta företrädare. Tre undersökningar av riksdagsled</w:t>
      </w:r>
      <w:r w:rsidRPr="00F5723F">
        <w:rPr>
          <w:i/>
          <w:sz w:val="19"/>
          <w:szCs w:val="19"/>
        </w:rPr>
        <w:t>a</w:t>
      </w:r>
      <w:r w:rsidRPr="00F5723F">
        <w:rPr>
          <w:i/>
          <w:sz w:val="19"/>
          <w:szCs w:val="19"/>
        </w:rPr>
        <w:t xml:space="preserve">möternas arbete i och utanför riksdagen. </w:t>
      </w:r>
      <w:r w:rsidRPr="00F5723F">
        <w:rPr>
          <w:i/>
          <w:sz w:val="19"/>
          <w:szCs w:val="19"/>
        </w:rPr>
        <w:t>Rapport t</w:t>
      </w:r>
      <w:r w:rsidRPr="00F5723F">
        <w:rPr>
          <w:i/>
          <w:sz w:val="19"/>
          <w:szCs w:val="19"/>
        </w:rPr>
        <w:t>ill F</w:t>
      </w:r>
      <w:r w:rsidRPr="00F5723F">
        <w:rPr>
          <w:i/>
          <w:sz w:val="19"/>
          <w:szCs w:val="19"/>
        </w:rPr>
        <w:t>olkstyrelsekommi</w:t>
      </w:r>
      <w:r w:rsidRPr="00F5723F">
        <w:rPr>
          <w:i/>
          <w:sz w:val="19"/>
          <w:szCs w:val="19"/>
        </w:rPr>
        <w:t>t</w:t>
      </w:r>
      <w:r w:rsidRPr="00F5723F">
        <w:rPr>
          <w:i/>
          <w:sz w:val="19"/>
          <w:szCs w:val="19"/>
        </w:rPr>
        <w:t>tén(</w:t>
      </w:r>
      <w:r w:rsidRPr="00F5723F">
        <w:rPr>
          <w:sz w:val="19"/>
          <w:szCs w:val="19"/>
        </w:rPr>
        <w:t xml:space="preserve"> SOU 1986:27</w:t>
      </w:r>
      <w:r w:rsidRPr="00F5723F">
        <w:rPr>
          <w:sz w:val="19"/>
          <w:szCs w:val="19"/>
        </w:rPr>
        <w:t>)</w:t>
      </w:r>
      <w:r w:rsidRPr="00F5723F">
        <w:rPr>
          <w:sz w:val="19"/>
          <w:szCs w:val="19"/>
        </w:rPr>
        <w:t xml:space="preserve">. </w:t>
      </w:r>
      <w:smartTag w:uri="urn:schemas-microsoft-com:office:smarttags" w:element="City">
        <w:smartTag w:uri="urn:schemas-microsoft-com:office:smarttags" w:element="place">
          <w:r w:rsidRPr="00F5723F">
            <w:rPr>
              <w:sz w:val="19"/>
              <w:szCs w:val="19"/>
            </w:rPr>
            <w:t>Stockholm</w:t>
          </w:r>
        </w:smartTag>
      </w:smartTag>
      <w:r w:rsidRPr="00F5723F">
        <w:rPr>
          <w:sz w:val="19"/>
          <w:szCs w:val="19"/>
        </w:rPr>
        <w:t>: Fritzes.</w:t>
      </w:r>
    </w:p>
    <w:p w:rsidR="00B43C57" w:rsidRPr="00F5723F" w:rsidRDefault="00B43C57">
      <w:pPr>
        <w:pStyle w:val="Fotnotstext"/>
        <w:spacing w:line="240" w:lineRule="auto"/>
        <w:ind w:left="284" w:hanging="284"/>
        <w:rPr>
          <w:sz w:val="19"/>
          <w:szCs w:val="19"/>
        </w:rPr>
      </w:pPr>
      <w:r w:rsidRPr="00F5723F">
        <w:rPr>
          <w:sz w:val="19"/>
          <w:szCs w:val="19"/>
        </w:rPr>
        <w:t xml:space="preserve">Pikkala, Sari (2000), </w:t>
      </w:r>
      <w:r w:rsidRPr="00F5723F">
        <w:rPr>
          <w:sz w:val="19"/>
          <w:szCs w:val="19"/>
        </w:rPr>
        <w:t>”</w:t>
      </w:r>
      <w:r w:rsidRPr="00F5723F">
        <w:rPr>
          <w:sz w:val="19"/>
          <w:szCs w:val="19"/>
        </w:rPr>
        <w:t>Representation of women in Finnish Local Gover</w:t>
      </w:r>
      <w:r w:rsidRPr="00F5723F">
        <w:rPr>
          <w:sz w:val="19"/>
          <w:szCs w:val="19"/>
        </w:rPr>
        <w:t>n</w:t>
      </w:r>
      <w:r w:rsidRPr="00F5723F">
        <w:rPr>
          <w:sz w:val="19"/>
          <w:szCs w:val="19"/>
        </w:rPr>
        <w:t>ment: Effects of the 1995 Gender Quota Legislation.” Paper presented at the General Conference of the European Consortium for Political R</w:t>
      </w:r>
      <w:r w:rsidRPr="00F5723F">
        <w:rPr>
          <w:sz w:val="19"/>
          <w:szCs w:val="19"/>
        </w:rPr>
        <w:t>e</w:t>
      </w:r>
      <w:r w:rsidRPr="00F5723F">
        <w:rPr>
          <w:sz w:val="19"/>
          <w:szCs w:val="19"/>
        </w:rPr>
        <w:t xml:space="preserve">search, </w:t>
      </w:r>
      <w:smartTag w:uri="urn:schemas-microsoft-com:office:smarttags" w:element="place">
        <w:smartTag w:uri="urn:schemas-microsoft-com:office:smarttags" w:element="City">
          <w:r w:rsidRPr="00F5723F">
            <w:rPr>
              <w:sz w:val="19"/>
              <w:szCs w:val="19"/>
            </w:rPr>
            <w:t>Copenhagen</w:t>
          </w:r>
        </w:smartTag>
        <w:r w:rsidRPr="00F5723F">
          <w:rPr>
            <w:sz w:val="19"/>
            <w:szCs w:val="19"/>
          </w:rPr>
          <w:t xml:space="preserve">, </w:t>
        </w:r>
        <w:smartTag w:uri="urn:schemas-microsoft-com:office:smarttags" w:element="country-region">
          <w:r w:rsidRPr="00F5723F">
            <w:rPr>
              <w:sz w:val="19"/>
              <w:szCs w:val="19"/>
            </w:rPr>
            <w:t>De</w:t>
          </w:r>
          <w:r w:rsidRPr="00F5723F">
            <w:rPr>
              <w:sz w:val="19"/>
              <w:szCs w:val="19"/>
            </w:rPr>
            <w:t>n</w:t>
          </w:r>
          <w:r w:rsidRPr="00F5723F">
            <w:rPr>
              <w:sz w:val="19"/>
              <w:szCs w:val="19"/>
            </w:rPr>
            <w:t>mark</w:t>
          </w:r>
        </w:smartTag>
      </w:smartTag>
      <w:r w:rsidRPr="00F5723F">
        <w:rPr>
          <w:sz w:val="19"/>
          <w:szCs w:val="19"/>
        </w:rPr>
        <w:t>, 14–</w:t>
      </w:r>
      <w:r w:rsidRPr="00F5723F">
        <w:rPr>
          <w:sz w:val="19"/>
          <w:szCs w:val="19"/>
        </w:rPr>
        <w:t>19 April.</w:t>
      </w:r>
    </w:p>
    <w:p w:rsidR="00B43C57" w:rsidRPr="00F5723F" w:rsidRDefault="00B43C57">
      <w:pPr>
        <w:pStyle w:val="Fotnotstext"/>
        <w:spacing w:line="240" w:lineRule="auto"/>
        <w:ind w:left="284" w:hanging="284"/>
        <w:rPr>
          <w:sz w:val="19"/>
          <w:szCs w:val="19"/>
        </w:rPr>
      </w:pPr>
      <w:r w:rsidRPr="00F5723F">
        <w:rPr>
          <w:snapToGrid w:val="0"/>
          <w:sz w:val="19"/>
          <w:szCs w:val="19"/>
        </w:rPr>
        <w:t>Pikkala, Sari (1997), ”</w:t>
      </w:r>
      <w:r w:rsidRPr="00F5723F">
        <w:rPr>
          <w:snapToGrid w:val="0"/>
          <w:sz w:val="19"/>
          <w:szCs w:val="19"/>
        </w:rPr>
        <w:t>Kvinno</w:t>
      </w:r>
      <w:r w:rsidRPr="00F5723F">
        <w:rPr>
          <w:snapToGrid w:val="0"/>
          <w:sz w:val="19"/>
          <w:szCs w:val="19"/>
        </w:rPr>
        <w:t>r i kommunfullmäktige” sid. 347–</w:t>
      </w:r>
      <w:r w:rsidRPr="00F5723F">
        <w:rPr>
          <w:snapToGrid w:val="0"/>
          <w:sz w:val="19"/>
          <w:szCs w:val="19"/>
        </w:rPr>
        <w:t xml:space="preserve">362 i Voitto Helander &amp; Siv Sandberg red. </w:t>
      </w:r>
      <w:r w:rsidRPr="00F5723F">
        <w:rPr>
          <w:snapToGrid w:val="0"/>
          <w:sz w:val="19"/>
          <w:szCs w:val="19"/>
        </w:rPr>
        <w:t xml:space="preserve">(1997), </w:t>
      </w:r>
      <w:r w:rsidRPr="00F5723F">
        <w:rPr>
          <w:i/>
          <w:snapToGrid w:val="0"/>
          <w:sz w:val="19"/>
          <w:szCs w:val="19"/>
        </w:rPr>
        <w:t>Festskrift till Krister Ståhlberg</w:t>
      </w:r>
      <w:r w:rsidRPr="00F5723F">
        <w:rPr>
          <w:snapToGrid w:val="0"/>
          <w:sz w:val="19"/>
          <w:szCs w:val="19"/>
        </w:rPr>
        <w:t>. Åbo: Åbo Akademis Förlag.</w:t>
      </w:r>
    </w:p>
    <w:p w:rsidR="00B43C57" w:rsidRPr="00F5723F" w:rsidRDefault="00B43C57">
      <w:pPr>
        <w:pStyle w:val="Fotnotstext"/>
        <w:spacing w:line="240" w:lineRule="auto"/>
        <w:ind w:left="284" w:hanging="284"/>
        <w:rPr>
          <w:sz w:val="19"/>
          <w:szCs w:val="19"/>
        </w:rPr>
      </w:pPr>
      <w:r w:rsidRPr="00F5723F">
        <w:rPr>
          <w:sz w:val="19"/>
          <w:szCs w:val="19"/>
        </w:rPr>
        <w:t xml:space="preserve">Pitkin, Hanna (1967), </w:t>
      </w:r>
      <w:r w:rsidRPr="00F5723F">
        <w:rPr>
          <w:i/>
          <w:sz w:val="19"/>
          <w:szCs w:val="19"/>
        </w:rPr>
        <w:t xml:space="preserve">The Concept of Representation. </w:t>
      </w:r>
      <w:smartTag w:uri="urn:schemas-microsoft-com:office:smarttags" w:element="City">
        <w:r w:rsidRPr="00F5723F">
          <w:rPr>
            <w:sz w:val="19"/>
            <w:szCs w:val="19"/>
          </w:rPr>
          <w:t>Berk</w:t>
        </w:r>
        <w:r w:rsidRPr="00F5723F">
          <w:rPr>
            <w:sz w:val="19"/>
            <w:szCs w:val="19"/>
          </w:rPr>
          <w:t>e</w:t>
        </w:r>
        <w:r w:rsidRPr="00F5723F">
          <w:rPr>
            <w:sz w:val="19"/>
            <w:szCs w:val="19"/>
          </w:rPr>
          <w:t>ley</w:t>
        </w:r>
      </w:smartTag>
      <w:r w:rsidRPr="00F5723F">
        <w:rPr>
          <w:sz w:val="19"/>
          <w:szCs w:val="19"/>
        </w:rPr>
        <w:t xml:space="preserve"> and </w:t>
      </w:r>
      <w:smartTag w:uri="urn:schemas-microsoft-com:office:smarttags" w:element="City">
        <w:r w:rsidRPr="00F5723F">
          <w:rPr>
            <w:sz w:val="19"/>
            <w:szCs w:val="19"/>
          </w:rPr>
          <w:t>Los Angeles</w:t>
        </w:r>
      </w:smartTag>
      <w:r w:rsidRPr="00F5723F">
        <w:rPr>
          <w:sz w:val="19"/>
          <w:szCs w:val="19"/>
        </w:rPr>
        <w:t xml:space="preserve">: The </w:t>
      </w:r>
      <w:smartTag w:uri="urn:schemas-microsoft-com:office:smarttags" w:element="place">
        <w:smartTag w:uri="urn:schemas-microsoft-com:office:smarttags" w:element="PlaceType">
          <w:r w:rsidRPr="00F5723F">
            <w:rPr>
              <w:sz w:val="19"/>
              <w:szCs w:val="19"/>
            </w:rPr>
            <w:t>University</w:t>
          </w:r>
        </w:smartTag>
        <w:r w:rsidRPr="00F5723F">
          <w:rPr>
            <w:sz w:val="19"/>
            <w:szCs w:val="19"/>
          </w:rPr>
          <w:t xml:space="preserve"> of </w:t>
        </w:r>
        <w:smartTag w:uri="urn:schemas-microsoft-com:office:smarttags" w:element="PlaceName">
          <w:r w:rsidRPr="00F5723F">
            <w:rPr>
              <w:sz w:val="19"/>
              <w:szCs w:val="19"/>
            </w:rPr>
            <w:t>California</w:t>
          </w:r>
        </w:smartTag>
      </w:smartTag>
      <w:r w:rsidRPr="00F5723F">
        <w:rPr>
          <w:sz w:val="19"/>
          <w:szCs w:val="19"/>
        </w:rPr>
        <w:t xml:space="preserve"> Press.</w:t>
      </w:r>
    </w:p>
    <w:p w:rsidR="00B43C57" w:rsidRPr="00F5723F" w:rsidRDefault="00B43C57">
      <w:pPr>
        <w:pStyle w:val="Fotnotstext"/>
        <w:spacing w:line="240" w:lineRule="auto"/>
        <w:ind w:left="284" w:hanging="284"/>
        <w:rPr>
          <w:sz w:val="19"/>
          <w:szCs w:val="19"/>
        </w:rPr>
      </w:pPr>
      <w:r w:rsidRPr="00F5723F">
        <w:rPr>
          <w:sz w:val="19"/>
          <w:szCs w:val="19"/>
        </w:rPr>
        <w:t xml:space="preserve">Proposition </w:t>
      </w:r>
      <w:r w:rsidRPr="00F5723F">
        <w:rPr>
          <w:sz w:val="19"/>
          <w:szCs w:val="19"/>
        </w:rPr>
        <w:t>1996/97:5</w:t>
      </w:r>
      <w:r w:rsidRPr="00F5723F">
        <w:rPr>
          <w:sz w:val="19"/>
          <w:szCs w:val="19"/>
        </w:rPr>
        <w:t xml:space="preserve"> Forskning och samhälle.</w:t>
      </w:r>
    </w:p>
    <w:p w:rsidR="00B43C57" w:rsidRPr="00F5723F" w:rsidRDefault="00B43C57">
      <w:pPr>
        <w:pStyle w:val="Fotnotstext"/>
        <w:spacing w:line="240" w:lineRule="auto"/>
        <w:ind w:left="284" w:hanging="284"/>
        <w:rPr>
          <w:sz w:val="19"/>
          <w:szCs w:val="19"/>
        </w:rPr>
      </w:pPr>
      <w:r w:rsidRPr="00F5723F">
        <w:rPr>
          <w:sz w:val="19"/>
          <w:szCs w:val="19"/>
        </w:rPr>
        <w:t>Proposition 2000/01:3</w:t>
      </w:r>
      <w:r w:rsidRPr="00F5723F">
        <w:rPr>
          <w:sz w:val="19"/>
          <w:szCs w:val="19"/>
        </w:rPr>
        <w:t xml:space="preserve"> </w:t>
      </w:r>
      <w:r w:rsidRPr="00F5723F">
        <w:rPr>
          <w:sz w:val="19"/>
          <w:szCs w:val="19"/>
        </w:rPr>
        <w:t>Forskning och förnyelse.</w:t>
      </w:r>
    </w:p>
    <w:p w:rsidR="00B43C57" w:rsidRPr="00F5723F" w:rsidRDefault="00B43C57">
      <w:pPr>
        <w:pStyle w:val="Fotnotstext"/>
        <w:spacing w:line="240" w:lineRule="auto"/>
        <w:ind w:left="284" w:hanging="284"/>
        <w:rPr>
          <w:sz w:val="19"/>
          <w:szCs w:val="19"/>
        </w:rPr>
      </w:pPr>
      <w:r w:rsidRPr="00F5723F">
        <w:rPr>
          <w:sz w:val="19"/>
          <w:szCs w:val="19"/>
        </w:rPr>
        <w:t xml:space="preserve">Raevaara, Eva (2003), </w:t>
      </w:r>
      <w:r w:rsidRPr="00F5723F">
        <w:rPr>
          <w:sz w:val="19"/>
          <w:szCs w:val="19"/>
        </w:rPr>
        <w:t>”</w:t>
      </w:r>
      <w:r w:rsidRPr="00F5723F">
        <w:rPr>
          <w:sz w:val="19"/>
          <w:szCs w:val="19"/>
        </w:rPr>
        <w:t>Talking about Equality, Acting for Change: Conce</w:t>
      </w:r>
      <w:r w:rsidRPr="00F5723F">
        <w:rPr>
          <w:sz w:val="19"/>
          <w:szCs w:val="19"/>
        </w:rPr>
        <w:t>p</w:t>
      </w:r>
      <w:r w:rsidRPr="00F5723F">
        <w:rPr>
          <w:sz w:val="19"/>
          <w:szCs w:val="19"/>
        </w:rPr>
        <w:t>tualisations of Gender Equality in Parliame</w:t>
      </w:r>
      <w:r w:rsidRPr="00F5723F">
        <w:rPr>
          <w:sz w:val="19"/>
          <w:szCs w:val="19"/>
        </w:rPr>
        <w:t>n</w:t>
      </w:r>
      <w:r w:rsidRPr="00F5723F">
        <w:rPr>
          <w:sz w:val="19"/>
          <w:szCs w:val="19"/>
        </w:rPr>
        <w:t xml:space="preserve">tary Debates in </w:t>
      </w:r>
      <w:smartTag w:uri="urn:schemas-microsoft-com:office:smarttags" w:element="country-region">
        <w:r w:rsidRPr="00F5723F">
          <w:rPr>
            <w:sz w:val="19"/>
            <w:szCs w:val="19"/>
          </w:rPr>
          <w:t>Finland</w:t>
        </w:r>
      </w:smartTag>
      <w:r w:rsidRPr="00F5723F">
        <w:rPr>
          <w:sz w:val="19"/>
          <w:szCs w:val="19"/>
        </w:rPr>
        <w:t xml:space="preserve"> and </w:t>
      </w:r>
      <w:smartTag w:uri="urn:schemas-microsoft-com:office:smarttags" w:element="country-region">
        <w:smartTag w:uri="urn:schemas-microsoft-com:office:smarttags" w:element="place">
          <w:r w:rsidRPr="00F5723F">
            <w:rPr>
              <w:sz w:val="19"/>
              <w:szCs w:val="19"/>
            </w:rPr>
            <w:t>France</w:t>
          </w:r>
        </w:smartTag>
      </w:smartTag>
      <w:r w:rsidRPr="00F5723F">
        <w:rPr>
          <w:sz w:val="19"/>
          <w:szCs w:val="19"/>
        </w:rPr>
        <w:t>”. Paper presented at the General Conference of the European Co</w:t>
      </w:r>
      <w:r w:rsidRPr="00F5723F">
        <w:rPr>
          <w:sz w:val="19"/>
          <w:szCs w:val="19"/>
        </w:rPr>
        <w:t>n</w:t>
      </w:r>
      <w:r w:rsidRPr="00F5723F">
        <w:rPr>
          <w:sz w:val="19"/>
          <w:szCs w:val="19"/>
        </w:rPr>
        <w:t>so</w:t>
      </w:r>
      <w:r w:rsidRPr="00F5723F">
        <w:rPr>
          <w:sz w:val="19"/>
          <w:szCs w:val="19"/>
        </w:rPr>
        <w:t>r</w:t>
      </w:r>
      <w:r w:rsidRPr="00F5723F">
        <w:rPr>
          <w:sz w:val="19"/>
          <w:szCs w:val="19"/>
        </w:rPr>
        <w:t xml:space="preserve">tium for Political Research, </w:t>
      </w:r>
      <w:smartTag w:uri="urn:schemas-microsoft-com:office:smarttags" w:element="place">
        <w:smartTag w:uri="urn:schemas-microsoft-com:office:smarttags" w:element="City">
          <w:r w:rsidRPr="00F5723F">
            <w:rPr>
              <w:sz w:val="19"/>
              <w:szCs w:val="19"/>
            </w:rPr>
            <w:t>Marburg</w:t>
          </w:r>
        </w:smartTag>
        <w:r w:rsidRPr="00F5723F">
          <w:rPr>
            <w:sz w:val="19"/>
            <w:szCs w:val="19"/>
          </w:rPr>
          <w:t xml:space="preserve">, </w:t>
        </w:r>
        <w:smartTag w:uri="urn:schemas-microsoft-com:office:smarttags" w:element="country-region">
          <w:r w:rsidRPr="00F5723F">
            <w:rPr>
              <w:sz w:val="19"/>
              <w:szCs w:val="19"/>
            </w:rPr>
            <w:t>Germany</w:t>
          </w:r>
        </w:smartTag>
      </w:smartTag>
      <w:r w:rsidRPr="00F5723F">
        <w:rPr>
          <w:sz w:val="19"/>
          <w:szCs w:val="19"/>
        </w:rPr>
        <w:t>, 18–</w:t>
      </w:r>
      <w:r w:rsidRPr="00F5723F">
        <w:rPr>
          <w:sz w:val="19"/>
          <w:szCs w:val="19"/>
        </w:rPr>
        <w:t>21 September.</w:t>
      </w:r>
    </w:p>
    <w:p w:rsidR="00B43C57" w:rsidRPr="00F5723F" w:rsidRDefault="00B43C57">
      <w:pPr>
        <w:pStyle w:val="Fotnotstext"/>
        <w:spacing w:line="240" w:lineRule="auto"/>
        <w:ind w:left="284" w:hanging="284"/>
        <w:rPr>
          <w:sz w:val="19"/>
          <w:szCs w:val="19"/>
        </w:rPr>
      </w:pPr>
      <w:r w:rsidRPr="00F5723F">
        <w:rPr>
          <w:sz w:val="19"/>
          <w:szCs w:val="19"/>
        </w:rPr>
        <w:t xml:space="preserve">Randall, Vicky (1982), </w:t>
      </w:r>
      <w:r w:rsidRPr="00F5723F">
        <w:rPr>
          <w:i/>
          <w:sz w:val="19"/>
          <w:szCs w:val="19"/>
        </w:rPr>
        <w:t>Women and Politics.</w:t>
      </w:r>
      <w:r w:rsidRPr="00F5723F">
        <w:rPr>
          <w:sz w:val="19"/>
          <w:szCs w:val="19"/>
        </w:rPr>
        <w:t xml:space="preserve"> </w:t>
      </w:r>
      <w:r w:rsidRPr="00F5723F">
        <w:rPr>
          <w:sz w:val="19"/>
          <w:szCs w:val="19"/>
        </w:rPr>
        <w:t>London: Ma</w:t>
      </w:r>
      <w:r w:rsidRPr="00F5723F">
        <w:rPr>
          <w:sz w:val="19"/>
          <w:szCs w:val="19"/>
        </w:rPr>
        <w:t>c</w:t>
      </w:r>
      <w:r w:rsidRPr="00F5723F">
        <w:rPr>
          <w:sz w:val="19"/>
          <w:szCs w:val="19"/>
        </w:rPr>
        <w:t>millan.</w:t>
      </w:r>
    </w:p>
    <w:p w:rsidR="00B43C57" w:rsidRPr="00F5723F" w:rsidRDefault="00B43C57">
      <w:pPr>
        <w:pStyle w:val="Fotnotstext"/>
        <w:spacing w:line="240" w:lineRule="auto"/>
        <w:ind w:left="284" w:hanging="284"/>
        <w:rPr>
          <w:sz w:val="19"/>
          <w:szCs w:val="19"/>
        </w:rPr>
      </w:pPr>
      <w:r w:rsidRPr="00F5723F">
        <w:rPr>
          <w:sz w:val="19"/>
          <w:szCs w:val="19"/>
        </w:rPr>
        <w:t xml:space="preserve">Raaum, Nina Cecilie red. </w:t>
      </w:r>
      <w:r w:rsidRPr="00F5723F">
        <w:rPr>
          <w:sz w:val="19"/>
          <w:szCs w:val="19"/>
        </w:rPr>
        <w:t xml:space="preserve">(1995a), </w:t>
      </w:r>
      <w:r w:rsidRPr="00F5723F">
        <w:rPr>
          <w:i/>
          <w:sz w:val="19"/>
          <w:szCs w:val="19"/>
        </w:rPr>
        <w:t>Kjønn og Politikk.</w:t>
      </w:r>
      <w:r w:rsidRPr="00F5723F">
        <w:rPr>
          <w:sz w:val="19"/>
          <w:szCs w:val="19"/>
        </w:rPr>
        <w:t xml:space="preserve"> Oslo: Tano.</w:t>
      </w:r>
    </w:p>
    <w:p w:rsidR="00B43C57" w:rsidRPr="00F5723F" w:rsidRDefault="00B43C57">
      <w:pPr>
        <w:pStyle w:val="Fotnotstext"/>
        <w:spacing w:line="240" w:lineRule="auto"/>
        <w:ind w:left="284" w:hanging="284"/>
        <w:rPr>
          <w:sz w:val="19"/>
          <w:szCs w:val="19"/>
        </w:rPr>
      </w:pPr>
      <w:r w:rsidRPr="00F5723F">
        <w:rPr>
          <w:sz w:val="19"/>
          <w:szCs w:val="19"/>
        </w:rPr>
        <w:t xml:space="preserve">Raaum, Nina Cecilie (1995b), ”The political representation of women: a bird’s eye view” i Lauri Karvonen och Per Selle red. (1995), </w:t>
      </w:r>
      <w:r w:rsidRPr="00F5723F">
        <w:rPr>
          <w:i/>
          <w:sz w:val="19"/>
          <w:szCs w:val="19"/>
        </w:rPr>
        <w:t>Women in Nordic Politics: Closing the Gap</w:t>
      </w:r>
      <w:r w:rsidRPr="00F5723F">
        <w:rPr>
          <w:sz w:val="19"/>
          <w:szCs w:val="19"/>
        </w:rPr>
        <w:t>. A</w:t>
      </w:r>
      <w:r w:rsidRPr="00F5723F">
        <w:rPr>
          <w:sz w:val="19"/>
          <w:szCs w:val="19"/>
        </w:rPr>
        <w:t>l</w:t>
      </w:r>
      <w:r w:rsidRPr="00F5723F">
        <w:rPr>
          <w:sz w:val="19"/>
          <w:szCs w:val="19"/>
        </w:rPr>
        <w:t xml:space="preserve">dershot: </w:t>
      </w:r>
      <w:smartTag w:uri="urn:schemas-microsoft-com:office:smarttags" w:element="City">
        <w:smartTag w:uri="urn:schemas-microsoft-com:office:smarttags" w:element="place">
          <w:r w:rsidRPr="00F5723F">
            <w:rPr>
              <w:sz w:val="19"/>
              <w:szCs w:val="19"/>
            </w:rPr>
            <w:t>Dartmouth</w:t>
          </w:r>
        </w:smartTag>
      </w:smartTag>
      <w:r w:rsidRPr="00F5723F">
        <w:rPr>
          <w:sz w:val="19"/>
          <w:szCs w:val="19"/>
        </w:rPr>
        <w:t>.</w:t>
      </w:r>
    </w:p>
    <w:p w:rsidR="00B43C57" w:rsidRPr="00F5723F" w:rsidRDefault="00B43C57">
      <w:pPr>
        <w:pStyle w:val="Fotnotstext"/>
        <w:spacing w:line="240" w:lineRule="auto"/>
        <w:ind w:left="284" w:hanging="284"/>
        <w:rPr>
          <w:sz w:val="19"/>
          <w:szCs w:val="19"/>
        </w:rPr>
      </w:pPr>
      <w:r w:rsidRPr="00F5723F">
        <w:rPr>
          <w:sz w:val="19"/>
          <w:szCs w:val="19"/>
        </w:rPr>
        <w:t xml:space="preserve">Raaum, Nina Cecilie (1995c), </w:t>
      </w:r>
      <w:r w:rsidRPr="00F5723F">
        <w:rPr>
          <w:sz w:val="19"/>
          <w:szCs w:val="19"/>
        </w:rPr>
        <w:t>”</w:t>
      </w:r>
      <w:r w:rsidRPr="00F5723F">
        <w:rPr>
          <w:sz w:val="19"/>
          <w:szCs w:val="19"/>
        </w:rPr>
        <w:t>Women in local democracy” i Lauri Kar</w:t>
      </w:r>
      <w:r w:rsidRPr="00F5723F">
        <w:rPr>
          <w:sz w:val="19"/>
          <w:szCs w:val="19"/>
        </w:rPr>
        <w:t>vonen och Per Selle red. (1995),</w:t>
      </w:r>
      <w:r w:rsidRPr="00F5723F">
        <w:rPr>
          <w:sz w:val="19"/>
          <w:szCs w:val="19"/>
        </w:rPr>
        <w:t xml:space="preserve"> </w:t>
      </w:r>
      <w:r w:rsidRPr="00F5723F">
        <w:rPr>
          <w:i/>
          <w:sz w:val="19"/>
          <w:szCs w:val="19"/>
        </w:rPr>
        <w:t>Women in Nordic Politics: Closing the Gap.</w:t>
      </w:r>
      <w:r w:rsidRPr="00F5723F">
        <w:rPr>
          <w:sz w:val="19"/>
          <w:szCs w:val="19"/>
        </w:rPr>
        <w:t xml:space="preserve"> Aldershot: </w:t>
      </w:r>
      <w:smartTag w:uri="urn:schemas-microsoft-com:office:smarttags" w:element="City">
        <w:smartTag w:uri="urn:schemas-microsoft-com:office:smarttags" w:element="place">
          <w:r w:rsidRPr="00F5723F">
            <w:rPr>
              <w:sz w:val="19"/>
              <w:szCs w:val="19"/>
            </w:rPr>
            <w:t>Dartmouth</w:t>
          </w:r>
        </w:smartTag>
      </w:smartTag>
      <w:r w:rsidRPr="00F5723F">
        <w:rPr>
          <w:sz w:val="19"/>
          <w:szCs w:val="19"/>
        </w:rPr>
        <w:t>.</w:t>
      </w:r>
    </w:p>
    <w:p w:rsidR="00B43C57" w:rsidRPr="00F5723F" w:rsidRDefault="00B43C57">
      <w:pPr>
        <w:pStyle w:val="Fotnotstext"/>
        <w:spacing w:line="240" w:lineRule="auto"/>
        <w:ind w:left="284" w:hanging="284"/>
        <w:rPr>
          <w:sz w:val="19"/>
          <w:szCs w:val="19"/>
        </w:rPr>
      </w:pPr>
      <w:r w:rsidRPr="00F5723F">
        <w:rPr>
          <w:sz w:val="19"/>
          <w:szCs w:val="19"/>
        </w:rPr>
        <w:t xml:space="preserve">Reynolds, Andrew (1999), ”Women in the Legislatures and Executive of the World: Knocking at the Highest Glass Ceiling” i </w:t>
      </w:r>
      <w:r w:rsidRPr="00F5723F">
        <w:rPr>
          <w:i/>
          <w:sz w:val="19"/>
          <w:szCs w:val="19"/>
        </w:rPr>
        <w:t>World Politics 51</w:t>
      </w:r>
      <w:r w:rsidRPr="00F5723F">
        <w:rPr>
          <w:sz w:val="19"/>
          <w:szCs w:val="19"/>
        </w:rPr>
        <w:t>, no 4:547–</w:t>
      </w:r>
      <w:r w:rsidRPr="00F5723F">
        <w:rPr>
          <w:sz w:val="19"/>
          <w:szCs w:val="19"/>
        </w:rPr>
        <w:t>572.</w:t>
      </w:r>
    </w:p>
    <w:p w:rsidR="00B43C57" w:rsidRPr="00F5723F" w:rsidRDefault="00B43C57">
      <w:pPr>
        <w:pStyle w:val="Fotnotstext"/>
        <w:spacing w:line="240" w:lineRule="auto"/>
        <w:ind w:left="284" w:hanging="284"/>
        <w:rPr>
          <w:sz w:val="19"/>
          <w:szCs w:val="19"/>
        </w:rPr>
      </w:pPr>
      <w:r w:rsidRPr="00F5723F">
        <w:rPr>
          <w:sz w:val="19"/>
          <w:szCs w:val="19"/>
        </w:rPr>
        <w:t>Rittenhofer, Iris (2000), ”</w:t>
      </w:r>
      <w:r w:rsidRPr="00F5723F">
        <w:rPr>
          <w:sz w:val="19"/>
          <w:szCs w:val="19"/>
        </w:rPr>
        <w:t xml:space="preserve">Könsforskning og mainstreaming” i </w:t>
      </w:r>
      <w:r w:rsidRPr="00F5723F">
        <w:rPr>
          <w:i/>
          <w:sz w:val="19"/>
          <w:szCs w:val="19"/>
        </w:rPr>
        <w:t>Kvinder, Kön och Forskning</w:t>
      </w:r>
      <w:r w:rsidRPr="00F5723F">
        <w:rPr>
          <w:sz w:val="19"/>
          <w:szCs w:val="19"/>
        </w:rPr>
        <w:t xml:space="preserve"> nr 2:62–</w:t>
      </w:r>
      <w:r w:rsidRPr="00F5723F">
        <w:rPr>
          <w:sz w:val="19"/>
          <w:szCs w:val="19"/>
        </w:rPr>
        <w:t>69.</w:t>
      </w:r>
    </w:p>
    <w:p w:rsidR="00B43C57" w:rsidRPr="00F5723F" w:rsidRDefault="00B43C57">
      <w:pPr>
        <w:pStyle w:val="Fotnotstext"/>
        <w:spacing w:line="240" w:lineRule="auto"/>
        <w:ind w:left="284" w:hanging="284"/>
        <w:rPr>
          <w:sz w:val="19"/>
          <w:szCs w:val="19"/>
        </w:rPr>
      </w:pPr>
      <w:r w:rsidRPr="00F5723F">
        <w:rPr>
          <w:sz w:val="19"/>
          <w:szCs w:val="19"/>
        </w:rPr>
        <w:t>Rohdén, Helena (2004), ”Striden om tiden. Starka konflik</w:t>
      </w:r>
      <w:r w:rsidRPr="00F5723F">
        <w:rPr>
          <w:sz w:val="19"/>
          <w:szCs w:val="19"/>
        </w:rPr>
        <w:t>t</w:t>
      </w:r>
      <w:r w:rsidRPr="00F5723F">
        <w:rPr>
          <w:sz w:val="19"/>
          <w:szCs w:val="19"/>
        </w:rPr>
        <w:t>linjer i frågan om sex timmars arbetsdag”. Empiriskt avhandlingskapitel framlagt vid sem</w:t>
      </w:r>
      <w:r w:rsidRPr="00F5723F">
        <w:rPr>
          <w:sz w:val="19"/>
          <w:szCs w:val="19"/>
        </w:rPr>
        <w:t>i</w:t>
      </w:r>
      <w:r w:rsidRPr="00F5723F">
        <w:rPr>
          <w:sz w:val="19"/>
          <w:szCs w:val="19"/>
        </w:rPr>
        <w:t xml:space="preserve">nariet </w:t>
      </w:r>
      <w:r w:rsidRPr="00F5723F">
        <w:rPr>
          <w:i/>
          <w:sz w:val="19"/>
          <w:szCs w:val="19"/>
        </w:rPr>
        <w:t>Val, Opinion och Demokrati,</w:t>
      </w:r>
      <w:r w:rsidRPr="00F5723F">
        <w:rPr>
          <w:sz w:val="19"/>
          <w:szCs w:val="19"/>
        </w:rPr>
        <w:t xml:space="preserve"> Göteborgs universitet: Statsvete</w:t>
      </w:r>
      <w:r w:rsidRPr="00F5723F">
        <w:rPr>
          <w:sz w:val="19"/>
          <w:szCs w:val="19"/>
        </w:rPr>
        <w:t>n</w:t>
      </w:r>
      <w:r w:rsidRPr="00F5723F">
        <w:rPr>
          <w:sz w:val="19"/>
          <w:szCs w:val="19"/>
        </w:rPr>
        <w:t>skapliga inst</w:t>
      </w:r>
      <w:r w:rsidRPr="00F5723F">
        <w:rPr>
          <w:sz w:val="19"/>
          <w:szCs w:val="19"/>
        </w:rPr>
        <w:t>i</w:t>
      </w:r>
      <w:r w:rsidRPr="00F5723F">
        <w:rPr>
          <w:sz w:val="19"/>
          <w:szCs w:val="19"/>
        </w:rPr>
        <w:t>tutionen.</w:t>
      </w:r>
    </w:p>
    <w:p w:rsidR="00B43C57" w:rsidRPr="00F5723F" w:rsidRDefault="00B43C57">
      <w:pPr>
        <w:pStyle w:val="Fotnotstext"/>
        <w:spacing w:line="240" w:lineRule="auto"/>
        <w:ind w:left="284" w:hanging="284"/>
        <w:rPr>
          <w:sz w:val="19"/>
          <w:szCs w:val="19"/>
        </w:rPr>
      </w:pPr>
      <w:r w:rsidRPr="00F5723F">
        <w:rPr>
          <w:sz w:val="19"/>
          <w:szCs w:val="19"/>
        </w:rPr>
        <w:t xml:space="preserve">Rohdén, Helena (2003), ”Arbetstidsförkortning – en fråga om klass och kön?” i Henrik Oscarsson (2003), </w:t>
      </w:r>
      <w:r w:rsidRPr="00F5723F">
        <w:rPr>
          <w:i/>
          <w:sz w:val="19"/>
          <w:szCs w:val="19"/>
        </w:rPr>
        <w:t>Demokratitren</w:t>
      </w:r>
      <w:r w:rsidRPr="00F5723F">
        <w:rPr>
          <w:i/>
          <w:sz w:val="19"/>
          <w:szCs w:val="19"/>
        </w:rPr>
        <w:t>der. SOM-rapport nr</w:t>
      </w:r>
      <w:r w:rsidRPr="00F5723F">
        <w:rPr>
          <w:i/>
          <w:sz w:val="19"/>
          <w:szCs w:val="19"/>
        </w:rPr>
        <w:t xml:space="preserve"> 32.</w:t>
      </w:r>
      <w:r w:rsidRPr="00F5723F">
        <w:rPr>
          <w:sz w:val="19"/>
          <w:szCs w:val="19"/>
        </w:rPr>
        <w:t xml:space="preserve"> Kun</w:t>
      </w:r>
      <w:r w:rsidRPr="00F5723F">
        <w:rPr>
          <w:sz w:val="19"/>
          <w:szCs w:val="19"/>
        </w:rPr>
        <w:t>g</w:t>
      </w:r>
      <w:r w:rsidRPr="00F5723F">
        <w:rPr>
          <w:sz w:val="19"/>
          <w:szCs w:val="19"/>
        </w:rPr>
        <w:t>älv: SOM-Institutet, Göteborgs un</w:t>
      </w:r>
      <w:r w:rsidRPr="00F5723F">
        <w:rPr>
          <w:sz w:val="19"/>
          <w:szCs w:val="19"/>
        </w:rPr>
        <w:t>i</w:t>
      </w:r>
      <w:r w:rsidRPr="00F5723F">
        <w:rPr>
          <w:sz w:val="19"/>
          <w:szCs w:val="19"/>
        </w:rPr>
        <w:t>versitet.</w:t>
      </w:r>
    </w:p>
    <w:p w:rsidR="00B43C57" w:rsidRPr="00F5723F" w:rsidRDefault="00B43C57">
      <w:pPr>
        <w:pStyle w:val="Fotnotstext"/>
        <w:spacing w:line="240" w:lineRule="auto"/>
        <w:ind w:left="284" w:hanging="284"/>
        <w:rPr>
          <w:sz w:val="19"/>
          <w:szCs w:val="19"/>
        </w:rPr>
      </w:pPr>
      <w:r w:rsidRPr="00F5723F">
        <w:rPr>
          <w:sz w:val="19"/>
          <w:szCs w:val="19"/>
        </w:rPr>
        <w:t>Rohdén, Helena och Maria Oskarsson (2002), ”Könsskilln</w:t>
      </w:r>
      <w:r w:rsidRPr="00F5723F">
        <w:rPr>
          <w:sz w:val="19"/>
          <w:szCs w:val="19"/>
        </w:rPr>
        <w:t>a</w:t>
      </w:r>
      <w:r w:rsidRPr="00F5723F">
        <w:rPr>
          <w:sz w:val="19"/>
          <w:szCs w:val="19"/>
        </w:rPr>
        <w:t xml:space="preserve">der i politiken – mönstren består” i Sören Holmberg, och Lennart Weibull (2002), </w:t>
      </w:r>
      <w:r w:rsidRPr="00F5723F">
        <w:rPr>
          <w:i/>
          <w:sz w:val="19"/>
          <w:szCs w:val="19"/>
        </w:rPr>
        <w:t>Det v</w:t>
      </w:r>
      <w:r w:rsidRPr="00F5723F">
        <w:rPr>
          <w:i/>
          <w:sz w:val="19"/>
          <w:szCs w:val="19"/>
        </w:rPr>
        <w:t>å</w:t>
      </w:r>
      <w:r w:rsidRPr="00F5723F">
        <w:rPr>
          <w:i/>
          <w:sz w:val="19"/>
          <w:szCs w:val="19"/>
        </w:rPr>
        <w:t>ra</w:t>
      </w:r>
      <w:r w:rsidRPr="00F5723F">
        <w:rPr>
          <w:i/>
          <w:sz w:val="19"/>
          <w:szCs w:val="19"/>
        </w:rPr>
        <w:t>s för politiken. SOM-rapport nr</w:t>
      </w:r>
      <w:r w:rsidRPr="00F5723F">
        <w:rPr>
          <w:i/>
          <w:sz w:val="19"/>
          <w:szCs w:val="19"/>
        </w:rPr>
        <w:t xml:space="preserve"> 30.</w:t>
      </w:r>
      <w:r w:rsidRPr="00F5723F">
        <w:rPr>
          <w:sz w:val="19"/>
          <w:szCs w:val="19"/>
        </w:rPr>
        <w:t xml:space="preserve"> Kungälv: SOM-institutet, Göt</w:t>
      </w:r>
      <w:r w:rsidRPr="00F5723F">
        <w:rPr>
          <w:sz w:val="19"/>
          <w:szCs w:val="19"/>
        </w:rPr>
        <w:t>e</w:t>
      </w:r>
      <w:r w:rsidRPr="00F5723F">
        <w:rPr>
          <w:sz w:val="19"/>
          <w:szCs w:val="19"/>
        </w:rPr>
        <w:t>borgs univers</w:t>
      </w:r>
      <w:r w:rsidRPr="00F5723F">
        <w:rPr>
          <w:sz w:val="19"/>
          <w:szCs w:val="19"/>
        </w:rPr>
        <w:t>i</w:t>
      </w:r>
      <w:r w:rsidRPr="00F5723F">
        <w:rPr>
          <w:sz w:val="19"/>
          <w:szCs w:val="19"/>
        </w:rPr>
        <w:t>tet.</w:t>
      </w:r>
    </w:p>
    <w:p w:rsidR="00B43C57" w:rsidRPr="00F5723F" w:rsidRDefault="00B43C57">
      <w:pPr>
        <w:spacing w:line="240" w:lineRule="auto"/>
        <w:ind w:left="284" w:hanging="284"/>
        <w:rPr>
          <w:szCs w:val="19"/>
        </w:rPr>
      </w:pPr>
      <w:r w:rsidRPr="00F5723F">
        <w:rPr>
          <w:szCs w:val="19"/>
        </w:rPr>
        <w:t xml:space="preserve">Rokkan, Stein (1970), </w:t>
      </w:r>
      <w:r w:rsidRPr="00F5723F">
        <w:rPr>
          <w:i/>
          <w:szCs w:val="19"/>
        </w:rPr>
        <w:t xml:space="preserve">Citizens, Elections, Parties. </w:t>
      </w:r>
      <w:r w:rsidRPr="00F5723F">
        <w:rPr>
          <w:szCs w:val="19"/>
        </w:rPr>
        <w:t>Oslo: Universitetsforlaget.</w:t>
      </w:r>
    </w:p>
    <w:p w:rsidR="00B43C57" w:rsidRPr="00F5723F" w:rsidRDefault="00B43C57">
      <w:pPr>
        <w:spacing w:line="240" w:lineRule="auto"/>
        <w:ind w:left="284" w:hanging="284"/>
        <w:rPr>
          <w:szCs w:val="19"/>
        </w:rPr>
      </w:pPr>
      <w:r w:rsidRPr="00F5723F">
        <w:rPr>
          <w:szCs w:val="19"/>
        </w:rPr>
        <w:t>Rosenberg, Tiina (2002),</w:t>
      </w:r>
      <w:r w:rsidRPr="00F5723F">
        <w:rPr>
          <w:i/>
          <w:szCs w:val="19"/>
        </w:rPr>
        <w:t xml:space="preserve"> Feministisk queerteoretisk agenda. </w:t>
      </w:r>
      <w:smartTag w:uri="urn:schemas-microsoft-com:office:smarttags" w:element="City">
        <w:smartTag w:uri="urn:schemas-microsoft-com:office:smarttags" w:element="place">
          <w:r w:rsidRPr="00F5723F">
            <w:rPr>
              <w:szCs w:val="19"/>
            </w:rPr>
            <w:t>Stockholm</w:t>
          </w:r>
        </w:smartTag>
      </w:smartTag>
      <w:r w:rsidRPr="00F5723F">
        <w:rPr>
          <w:szCs w:val="19"/>
        </w:rPr>
        <w:t>:</w:t>
      </w:r>
      <w:r w:rsidRPr="00F5723F">
        <w:rPr>
          <w:i/>
          <w:szCs w:val="19"/>
        </w:rPr>
        <w:t xml:space="preserve"> </w:t>
      </w:r>
      <w:r w:rsidRPr="00F5723F">
        <w:rPr>
          <w:szCs w:val="19"/>
        </w:rPr>
        <w:t xml:space="preserve">Atlas. </w:t>
      </w:r>
    </w:p>
    <w:p w:rsidR="00B43C57" w:rsidRPr="00F5723F" w:rsidRDefault="00B43C57">
      <w:pPr>
        <w:pStyle w:val="Fotnotstext"/>
        <w:spacing w:line="240" w:lineRule="auto"/>
        <w:ind w:left="284" w:hanging="284"/>
        <w:rPr>
          <w:sz w:val="19"/>
          <w:szCs w:val="19"/>
        </w:rPr>
      </w:pPr>
      <w:r w:rsidRPr="00F5723F">
        <w:rPr>
          <w:sz w:val="19"/>
          <w:szCs w:val="19"/>
        </w:rPr>
        <w:t>Rubin, Gayle (1975), ”The Traffic in Women: Notes on the Political Eco</w:t>
      </w:r>
      <w:r w:rsidRPr="00F5723F">
        <w:rPr>
          <w:sz w:val="19"/>
          <w:szCs w:val="19"/>
        </w:rPr>
        <w:t>n</w:t>
      </w:r>
      <w:r w:rsidRPr="00F5723F">
        <w:rPr>
          <w:sz w:val="19"/>
          <w:szCs w:val="19"/>
        </w:rPr>
        <w:t xml:space="preserve">omy of Sex” i </w:t>
      </w:r>
      <w:r w:rsidRPr="00F5723F">
        <w:rPr>
          <w:i/>
          <w:sz w:val="19"/>
          <w:szCs w:val="19"/>
        </w:rPr>
        <w:t>Towards an Anthropology of Women</w:t>
      </w:r>
      <w:r w:rsidRPr="00F5723F">
        <w:rPr>
          <w:sz w:val="19"/>
          <w:szCs w:val="19"/>
        </w:rPr>
        <w:t xml:space="preserve">, ed. Reiter Monthly Review Press. </w:t>
      </w:r>
    </w:p>
    <w:p w:rsidR="00B43C57" w:rsidRPr="00F5723F" w:rsidRDefault="00B43C57">
      <w:pPr>
        <w:pStyle w:val="Fotnotstext"/>
        <w:spacing w:line="240" w:lineRule="auto"/>
        <w:ind w:left="284" w:hanging="284"/>
        <w:rPr>
          <w:sz w:val="19"/>
          <w:szCs w:val="19"/>
        </w:rPr>
      </w:pPr>
      <w:r w:rsidRPr="00F5723F">
        <w:rPr>
          <w:sz w:val="19"/>
          <w:szCs w:val="19"/>
        </w:rPr>
        <w:t>Rule, Wilma (1981), ”The Critical Contextual Factors in Women’s Legisl</w:t>
      </w:r>
      <w:r w:rsidRPr="00F5723F">
        <w:rPr>
          <w:sz w:val="19"/>
          <w:szCs w:val="19"/>
        </w:rPr>
        <w:t>a</w:t>
      </w:r>
      <w:r w:rsidRPr="00F5723F">
        <w:rPr>
          <w:sz w:val="19"/>
          <w:szCs w:val="19"/>
        </w:rPr>
        <w:t xml:space="preserve">tive recruitment” i </w:t>
      </w:r>
      <w:r w:rsidRPr="00F5723F">
        <w:rPr>
          <w:i/>
          <w:sz w:val="19"/>
          <w:szCs w:val="19"/>
        </w:rPr>
        <w:t>Western Political Qua</w:t>
      </w:r>
      <w:r w:rsidRPr="00F5723F">
        <w:rPr>
          <w:i/>
          <w:sz w:val="19"/>
          <w:szCs w:val="19"/>
        </w:rPr>
        <w:t>r</w:t>
      </w:r>
      <w:r w:rsidRPr="00F5723F">
        <w:rPr>
          <w:i/>
          <w:sz w:val="19"/>
          <w:szCs w:val="19"/>
        </w:rPr>
        <w:t xml:space="preserve">terly </w:t>
      </w:r>
      <w:r w:rsidRPr="00F5723F">
        <w:rPr>
          <w:sz w:val="19"/>
          <w:szCs w:val="19"/>
        </w:rPr>
        <w:t>34:60–</w:t>
      </w:r>
      <w:r w:rsidRPr="00F5723F">
        <w:rPr>
          <w:sz w:val="19"/>
          <w:szCs w:val="19"/>
        </w:rPr>
        <w:t>77.</w:t>
      </w:r>
    </w:p>
    <w:p w:rsidR="00B43C57" w:rsidRPr="00F5723F" w:rsidRDefault="00B43C57">
      <w:pPr>
        <w:pStyle w:val="Fotnotstext"/>
        <w:spacing w:line="240" w:lineRule="auto"/>
        <w:ind w:left="284" w:hanging="284"/>
        <w:rPr>
          <w:sz w:val="19"/>
          <w:szCs w:val="19"/>
        </w:rPr>
      </w:pPr>
      <w:r w:rsidRPr="00F5723F">
        <w:rPr>
          <w:sz w:val="19"/>
          <w:szCs w:val="19"/>
        </w:rPr>
        <w:t>Rule, Wilma och Joseph F. Zimmermann red</w:t>
      </w:r>
      <w:r w:rsidRPr="00F5723F">
        <w:rPr>
          <w:sz w:val="19"/>
          <w:szCs w:val="19"/>
        </w:rPr>
        <w:t>.</w:t>
      </w:r>
      <w:r w:rsidRPr="00F5723F">
        <w:rPr>
          <w:sz w:val="19"/>
          <w:szCs w:val="19"/>
        </w:rPr>
        <w:t xml:space="preserve"> (1994),</w:t>
      </w:r>
      <w:r w:rsidRPr="00F5723F">
        <w:rPr>
          <w:i/>
          <w:sz w:val="19"/>
          <w:szCs w:val="19"/>
        </w:rPr>
        <w:t xml:space="preserve"> Ele</w:t>
      </w:r>
      <w:r w:rsidRPr="00F5723F">
        <w:rPr>
          <w:i/>
          <w:sz w:val="19"/>
          <w:szCs w:val="19"/>
        </w:rPr>
        <w:t>c</w:t>
      </w:r>
      <w:r w:rsidRPr="00F5723F">
        <w:rPr>
          <w:i/>
          <w:sz w:val="19"/>
          <w:szCs w:val="19"/>
        </w:rPr>
        <w:t xml:space="preserve">toral Systems in Comparative Perspective. Their Impact on Women and Minorities. </w:t>
      </w:r>
      <w:smartTag w:uri="urn:schemas-microsoft-com:office:smarttags" w:element="City">
        <w:r w:rsidRPr="00F5723F">
          <w:rPr>
            <w:sz w:val="19"/>
            <w:szCs w:val="19"/>
          </w:rPr>
          <w:t>Wes</w:t>
        </w:r>
        <w:r w:rsidRPr="00F5723F">
          <w:rPr>
            <w:sz w:val="19"/>
            <w:szCs w:val="19"/>
          </w:rPr>
          <w:t>t</w:t>
        </w:r>
        <w:r w:rsidRPr="00F5723F">
          <w:rPr>
            <w:sz w:val="19"/>
            <w:szCs w:val="19"/>
          </w:rPr>
          <w:t>port</w:t>
        </w:r>
      </w:smartTag>
      <w:r w:rsidRPr="00F5723F">
        <w:rPr>
          <w:sz w:val="19"/>
          <w:szCs w:val="19"/>
        </w:rPr>
        <w:t xml:space="preserve">: </w:t>
      </w:r>
      <w:smartTag w:uri="urn:schemas-microsoft-com:office:smarttags" w:element="City">
        <w:smartTag w:uri="urn:schemas-microsoft-com:office:smarttags" w:element="place">
          <w:r w:rsidRPr="00F5723F">
            <w:rPr>
              <w:sz w:val="19"/>
              <w:szCs w:val="19"/>
            </w:rPr>
            <w:t>Greenwood</w:t>
          </w:r>
        </w:smartTag>
      </w:smartTag>
      <w:r w:rsidRPr="00F5723F">
        <w:rPr>
          <w:sz w:val="19"/>
          <w:szCs w:val="19"/>
        </w:rPr>
        <w:t xml:space="preserve"> Press.</w:t>
      </w:r>
    </w:p>
    <w:p w:rsidR="00B43C57" w:rsidRPr="00F5723F" w:rsidRDefault="00B43C57">
      <w:pPr>
        <w:pStyle w:val="Fotnotstext"/>
        <w:spacing w:line="240" w:lineRule="auto"/>
        <w:ind w:left="284" w:hanging="284"/>
        <w:rPr>
          <w:sz w:val="19"/>
          <w:szCs w:val="19"/>
        </w:rPr>
      </w:pPr>
      <w:r w:rsidRPr="00F5723F">
        <w:rPr>
          <w:sz w:val="19"/>
          <w:szCs w:val="19"/>
        </w:rPr>
        <w:t>Rönnblom, Malin (2004)</w:t>
      </w:r>
      <w:r w:rsidRPr="00F5723F">
        <w:rPr>
          <w:i/>
          <w:sz w:val="19"/>
          <w:szCs w:val="19"/>
        </w:rPr>
        <w:t>, SOU 2004:59</w:t>
      </w:r>
      <w:r w:rsidRPr="00F5723F">
        <w:rPr>
          <w:sz w:val="19"/>
          <w:szCs w:val="19"/>
        </w:rPr>
        <w:t xml:space="preserve"> </w:t>
      </w:r>
      <w:r w:rsidRPr="00F5723F">
        <w:rPr>
          <w:i/>
          <w:sz w:val="19"/>
          <w:szCs w:val="19"/>
        </w:rPr>
        <w:t>Kvinnors organise</w:t>
      </w:r>
      <w:r w:rsidRPr="00F5723F">
        <w:rPr>
          <w:i/>
          <w:sz w:val="19"/>
          <w:szCs w:val="19"/>
        </w:rPr>
        <w:t>r</w:t>
      </w:r>
      <w:r w:rsidRPr="00F5723F">
        <w:rPr>
          <w:i/>
          <w:sz w:val="19"/>
          <w:szCs w:val="19"/>
        </w:rPr>
        <w:t xml:space="preserve">ing. </w:t>
      </w:r>
      <w:r w:rsidRPr="00F5723F">
        <w:rPr>
          <w:sz w:val="19"/>
          <w:szCs w:val="19"/>
        </w:rPr>
        <w:t>Bet</w:t>
      </w:r>
      <w:r w:rsidRPr="00F5723F">
        <w:rPr>
          <w:sz w:val="19"/>
          <w:szCs w:val="19"/>
        </w:rPr>
        <w:t>änkande av utredningen S</w:t>
      </w:r>
      <w:r w:rsidRPr="00F5723F">
        <w:rPr>
          <w:sz w:val="19"/>
          <w:szCs w:val="19"/>
        </w:rPr>
        <w:t>tatligt stöd för kvinnors organis</w:t>
      </w:r>
      <w:r w:rsidRPr="00F5723F">
        <w:rPr>
          <w:sz w:val="19"/>
          <w:szCs w:val="19"/>
        </w:rPr>
        <w:t>e</w:t>
      </w:r>
      <w:r w:rsidRPr="00F5723F">
        <w:rPr>
          <w:sz w:val="19"/>
          <w:szCs w:val="19"/>
        </w:rPr>
        <w:t>ring. Stockholm: Fritzes.</w:t>
      </w:r>
    </w:p>
    <w:p w:rsidR="00B43C57" w:rsidRPr="00F5723F" w:rsidRDefault="00B43C57">
      <w:pPr>
        <w:pStyle w:val="Fotnotstext"/>
        <w:spacing w:line="240" w:lineRule="auto"/>
        <w:ind w:left="284" w:hanging="284"/>
        <w:rPr>
          <w:sz w:val="19"/>
          <w:szCs w:val="19"/>
        </w:rPr>
      </w:pPr>
      <w:r w:rsidRPr="00F5723F">
        <w:rPr>
          <w:sz w:val="19"/>
          <w:szCs w:val="19"/>
        </w:rPr>
        <w:t>Rönnblom</w:t>
      </w:r>
      <w:r w:rsidRPr="00F5723F">
        <w:rPr>
          <w:i/>
          <w:sz w:val="19"/>
          <w:szCs w:val="19"/>
        </w:rPr>
        <w:t xml:space="preserve">, </w:t>
      </w:r>
      <w:r w:rsidRPr="00F5723F">
        <w:rPr>
          <w:sz w:val="19"/>
          <w:szCs w:val="19"/>
        </w:rPr>
        <w:t>Malin (2002),</w:t>
      </w:r>
      <w:r w:rsidRPr="00F5723F">
        <w:rPr>
          <w:i/>
          <w:sz w:val="19"/>
          <w:szCs w:val="19"/>
        </w:rPr>
        <w:t xml:space="preserve"> Ett eget rum? Kvinnors organisering möter etabl</w:t>
      </w:r>
      <w:r w:rsidRPr="00F5723F">
        <w:rPr>
          <w:i/>
          <w:sz w:val="19"/>
          <w:szCs w:val="19"/>
        </w:rPr>
        <w:t>e</w:t>
      </w:r>
      <w:r w:rsidRPr="00F5723F">
        <w:rPr>
          <w:i/>
          <w:sz w:val="19"/>
          <w:szCs w:val="19"/>
        </w:rPr>
        <w:t xml:space="preserve">rad politik. </w:t>
      </w:r>
      <w:r w:rsidRPr="00F5723F">
        <w:rPr>
          <w:sz w:val="19"/>
          <w:szCs w:val="19"/>
        </w:rPr>
        <w:t>Umeå:</w:t>
      </w:r>
      <w:r w:rsidRPr="00F5723F">
        <w:rPr>
          <w:i/>
          <w:sz w:val="19"/>
          <w:szCs w:val="19"/>
        </w:rPr>
        <w:t xml:space="preserve"> </w:t>
      </w:r>
      <w:r w:rsidRPr="00F5723F">
        <w:rPr>
          <w:sz w:val="19"/>
          <w:szCs w:val="19"/>
        </w:rPr>
        <w:t>Umeå u</w:t>
      </w:r>
      <w:r w:rsidRPr="00F5723F">
        <w:rPr>
          <w:sz w:val="19"/>
          <w:szCs w:val="19"/>
        </w:rPr>
        <w:t>niversitet.</w:t>
      </w:r>
    </w:p>
    <w:p w:rsidR="00B43C57" w:rsidRPr="00F5723F" w:rsidRDefault="00B43C57">
      <w:pPr>
        <w:spacing w:line="240" w:lineRule="auto"/>
        <w:ind w:left="284" w:hanging="284"/>
        <w:rPr>
          <w:szCs w:val="19"/>
        </w:rPr>
      </w:pPr>
      <w:r w:rsidRPr="00F5723F">
        <w:rPr>
          <w:szCs w:val="19"/>
        </w:rPr>
        <w:t xml:space="preserve">Rönnbäck, Josefin (2004a), </w:t>
      </w:r>
      <w:r w:rsidRPr="00F5723F">
        <w:rPr>
          <w:i/>
          <w:szCs w:val="19"/>
        </w:rPr>
        <w:t>Politikens genusgränser</w:t>
      </w:r>
      <w:r w:rsidRPr="00F5723F">
        <w:rPr>
          <w:szCs w:val="19"/>
        </w:rPr>
        <w:t>.</w:t>
      </w:r>
      <w:r w:rsidRPr="00F5723F">
        <w:rPr>
          <w:szCs w:val="19"/>
        </w:rPr>
        <w:t xml:space="preserve"> Atlas: Stockholm.</w:t>
      </w:r>
    </w:p>
    <w:p w:rsidR="00B43C57" w:rsidRPr="00F5723F" w:rsidRDefault="00B43C57">
      <w:pPr>
        <w:spacing w:line="240" w:lineRule="auto"/>
        <w:ind w:left="284" w:hanging="284"/>
        <w:rPr>
          <w:szCs w:val="19"/>
        </w:rPr>
      </w:pPr>
      <w:r w:rsidRPr="00F5723F">
        <w:rPr>
          <w:szCs w:val="19"/>
        </w:rPr>
        <w:t xml:space="preserve">Rönnbäck, Josefin (2004b), ”Dubbla strategier – med och utan män i kampen för kvinnors rösträtt” i </w:t>
      </w:r>
      <w:r w:rsidRPr="00F5723F">
        <w:rPr>
          <w:i/>
          <w:szCs w:val="19"/>
        </w:rPr>
        <w:t>Än män då? Kön och feminism i Sverige under 150 år</w:t>
      </w:r>
      <w:r w:rsidRPr="00F5723F">
        <w:rPr>
          <w:szCs w:val="19"/>
        </w:rPr>
        <w:t xml:space="preserve">, Yvonne Svanström &amp; Kjell Östberg </w:t>
      </w:r>
      <w:r w:rsidRPr="00F5723F">
        <w:rPr>
          <w:szCs w:val="19"/>
        </w:rPr>
        <w:t>red. (2004), Stockholm, sid. 85–</w:t>
      </w:r>
      <w:r w:rsidRPr="00F5723F">
        <w:rPr>
          <w:szCs w:val="19"/>
        </w:rPr>
        <w:t>115.</w:t>
      </w:r>
    </w:p>
    <w:p w:rsidR="00B43C57" w:rsidRPr="00F5723F" w:rsidRDefault="00B43C57">
      <w:pPr>
        <w:pStyle w:val="Fotnotstext"/>
        <w:spacing w:line="240" w:lineRule="auto"/>
        <w:ind w:left="284" w:hanging="284"/>
        <w:rPr>
          <w:sz w:val="19"/>
          <w:szCs w:val="19"/>
        </w:rPr>
      </w:pPr>
      <w:r w:rsidRPr="00F5723F">
        <w:rPr>
          <w:sz w:val="19"/>
          <w:szCs w:val="19"/>
        </w:rPr>
        <w:t>Rönnbäck, Josefin (2000</w:t>
      </w:r>
      <w:r w:rsidRPr="00F5723F">
        <w:rPr>
          <w:sz w:val="19"/>
          <w:szCs w:val="19"/>
        </w:rPr>
        <w:t>), ”Rösträttsrörelsens kvinnor – ;</w:t>
      </w:r>
      <w:r w:rsidRPr="00F5723F">
        <w:rPr>
          <w:sz w:val="19"/>
          <w:szCs w:val="19"/>
        </w:rPr>
        <w:t>konflikt och i sa</w:t>
      </w:r>
      <w:r w:rsidRPr="00F5723F">
        <w:rPr>
          <w:sz w:val="19"/>
          <w:szCs w:val="19"/>
        </w:rPr>
        <w:t>m</w:t>
      </w:r>
      <w:r w:rsidRPr="00F5723F">
        <w:rPr>
          <w:sz w:val="19"/>
          <w:szCs w:val="19"/>
        </w:rPr>
        <w:t xml:space="preserve">förstånd” i </w:t>
      </w:r>
      <w:r w:rsidRPr="00F5723F">
        <w:rPr>
          <w:i/>
          <w:sz w:val="19"/>
          <w:szCs w:val="19"/>
        </w:rPr>
        <w:t>Kvinnovetenskaplig Tidskrift,</w:t>
      </w:r>
      <w:r w:rsidRPr="00F5723F">
        <w:rPr>
          <w:sz w:val="19"/>
          <w:szCs w:val="19"/>
        </w:rPr>
        <w:t xml:space="preserve"> 2000:4; sid. 29–</w:t>
      </w:r>
      <w:r w:rsidRPr="00F5723F">
        <w:rPr>
          <w:sz w:val="19"/>
          <w:szCs w:val="19"/>
        </w:rPr>
        <w:t xml:space="preserve">50. </w:t>
      </w:r>
    </w:p>
    <w:p w:rsidR="00B43C57" w:rsidRPr="00F5723F" w:rsidRDefault="00B43C57">
      <w:pPr>
        <w:spacing w:line="240" w:lineRule="auto"/>
        <w:ind w:left="284" w:hanging="284"/>
        <w:rPr>
          <w:szCs w:val="19"/>
        </w:rPr>
      </w:pPr>
      <w:r w:rsidRPr="00F5723F">
        <w:rPr>
          <w:szCs w:val="19"/>
        </w:rPr>
        <w:t xml:space="preserve">Sainsbury, Diane (2004), ”Women’s Political Representation in </w:t>
      </w:r>
      <w:smartTag w:uri="urn:schemas-microsoft-com:office:smarttags" w:element="country-region">
        <w:smartTag w:uri="urn:schemas-microsoft-com:office:smarttags" w:element="place">
          <w:r w:rsidRPr="00F5723F">
            <w:rPr>
              <w:szCs w:val="19"/>
            </w:rPr>
            <w:t>Sweden</w:t>
          </w:r>
        </w:smartTag>
      </w:smartTag>
      <w:r w:rsidRPr="00F5723F">
        <w:rPr>
          <w:szCs w:val="19"/>
        </w:rPr>
        <w:t xml:space="preserve">: Discursive Politics and Institutional Presence” i </w:t>
      </w:r>
      <w:r w:rsidRPr="00F5723F">
        <w:rPr>
          <w:i/>
          <w:szCs w:val="19"/>
        </w:rPr>
        <w:t>Scandinavian Political Stu</w:t>
      </w:r>
      <w:r w:rsidRPr="00F5723F">
        <w:rPr>
          <w:i/>
          <w:szCs w:val="19"/>
        </w:rPr>
        <w:t>d</w:t>
      </w:r>
      <w:r w:rsidRPr="00F5723F">
        <w:rPr>
          <w:i/>
          <w:szCs w:val="19"/>
        </w:rPr>
        <w:t>ies</w:t>
      </w:r>
      <w:r w:rsidRPr="00F5723F">
        <w:rPr>
          <w:szCs w:val="19"/>
        </w:rPr>
        <w:t xml:space="preserve"> 2004, vol. 27, no 1, sid. 65–</w:t>
      </w:r>
      <w:r w:rsidRPr="00F5723F">
        <w:rPr>
          <w:szCs w:val="19"/>
        </w:rPr>
        <w:t>87.</w:t>
      </w:r>
    </w:p>
    <w:p w:rsidR="00B43C57" w:rsidRPr="00F5723F" w:rsidRDefault="00B43C57">
      <w:pPr>
        <w:spacing w:line="240" w:lineRule="auto"/>
        <w:ind w:left="284" w:hanging="284"/>
        <w:rPr>
          <w:szCs w:val="19"/>
        </w:rPr>
      </w:pPr>
      <w:r w:rsidRPr="00F5723F">
        <w:rPr>
          <w:szCs w:val="19"/>
        </w:rPr>
        <w:t xml:space="preserve">Sainsbury, Diane (1999), </w:t>
      </w:r>
      <w:r w:rsidRPr="00F5723F">
        <w:rPr>
          <w:i/>
          <w:szCs w:val="19"/>
        </w:rPr>
        <w:t>Gender and Welfare State Regimes.</w:t>
      </w:r>
      <w:r w:rsidRPr="00F5723F">
        <w:rPr>
          <w:szCs w:val="19"/>
        </w:rPr>
        <w:t xml:space="preserve"> </w:t>
      </w:r>
      <w:smartTag w:uri="urn:schemas-microsoft-com:office:smarttags" w:element="City">
        <w:r w:rsidRPr="00F5723F">
          <w:rPr>
            <w:szCs w:val="19"/>
          </w:rPr>
          <w:t>Oxford</w:t>
        </w:r>
      </w:smartTag>
      <w:r w:rsidRPr="00F5723F">
        <w:rPr>
          <w:szCs w:val="19"/>
        </w:rPr>
        <w:t xml:space="preserve">: </w:t>
      </w:r>
      <w:smartTag w:uri="urn:schemas-microsoft-com:office:smarttags" w:element="place">
        <w:smartTag w:uri="urn:schemas-microsoft-com:office:smarttags" w:element="PlaceName">
          <w:r w:rsidRPr="00F5723F">
            <w:rPr>
              <w:szCs w:val="19"/>
            </w:rPr>
            <w:t>Oxford</w:t>
          </w:r>
        </w:smartTag>
        <w:r w:rsidRPr="00F5723F">
          <w:rPr>
            <w:szCs w:val="19"/>
          </w:rPr>
          <w:t xml:space="preserve"> </w:t>
        </w:r>
        <w:smartTag w:uri="urn:schemas-microsoft-com:office:smarttags" w:element="PlaceType">
          <w:r w:rsidRPr="00F5723F">
            <w:rPr>
              <w:szCs w:val="19"/>
            </w:rPr>
            <w:t>Un</w:t>
          </w:r>
          <w:r w:rsidRPr="00F5723F">
            <w:rPr>
              <w:szCs w:val="19"/>
            </w:rPr>
            <w:t>i</w:t>
          </w:r>
          <w:r w:rsidRPr="00F5723F">
            <w:rPr>
              <w:szCs w:val="19"/>
            </w:rPr>
            <w:t>versity</w:t>
          </w:r>
        </w:smartTag>
      </w:smartTag>
      <w:r w:rsidRPr="00F5723F">
        <w:rPr>
          <w:szCs w:val="19"/>
        </w:rPr>
        <w:t xml:space="preserve"> Press. </w:t>
      </w:r>
    </w:p>
    <w:p w:rsidR="00B43C57" w:rsidRPr="00F5723F" w:rsidRDefault="00B43C57">
      <w:pPr>
        <w:spacing w:line="240" w:lineRule="auto"/>
        <w:ind w:left="284" w:hanging="284"/>
        <w:rPr>
          <w:szCs w:val="19"/>
        </w:rPr>
      </w:pPr>
      <w:r w:rsidRPr="00F5723F">
        <w:rPr>
          <w:szCs w:val="19"/>
        </w:rPr>
        <w:t xml:space="preserve">Sainsbury, Diane (1996), </w:t>
      </w:r>
      <w:r w:rsidRPr="00F5723F">
        <w:rPr>
          <w:i/>
          <w:szCs w:val="19"/>
        </w:rPr>
        <w:t>Gender, Equality and Welfare States.</w:t>
      </w:r>
      <w:r w:rsidRPr="00F5723F">
        <w:rPr>
          <w:szCs w:val="19"/>
        </w:rPr>
        <w:t xml:space="preserve"> </w:t>
      </w:r>
      <w:smartTag w:uri="urn:schemas-microsoft-com:office:smarttags" w:element="City">
        <w:r w:rsidRPr="00F5723F">
          <w:rPr>
            <w:szCs w:val="19"/>
          </w:rPr>
          <w:t>Cambridge</w:t>
        </w:r>
      </w:smartTag>
      <w:r w:rsidRPr="00F5723F">
        <w:rPr>
          <w:szCs w:val="19"/>
        </w:rPr>
        <w:t xml:space="preserve">: </w:t>
      </w:r>
      <w:smartTag w:uri="urn:schemas-microsoft-com:office:smarttags" w:element="place">
        <w:smartTag w:uri="urn:schemas-microsoft-com:office:smarttags" w:element="PlaceName">
          <w:r w:rsidRPr="00F5723F">
            <w:rPr>
              <w:szCs w:val="19"/>
            </w:rPr>
            <w:t>Ca</w:t>
          </w:r>
          <w:r w:rsidRPr="00F5723F">
            <w:rPr>
              <w:szCs w:val="19"/>
            </w:rPr>
            <w:t>m</w:t>
          </w:r>
          <w:r w:rsidRPr="00F5723F">
            <w:rPr>
              <w:szCs w:val="19"/>
            </w:rPr>
            <w:t>bridge</w:t>
          </w:r>
        </w:smartTag>
        <w:r w:rsidRPr="00F5723F">
          <w:rPr>
            <w:szCs w:val="19"/>
          </w:rPr>
          <w:t xml:space="preserve"> </w:t>
        </w:r>
        <w:smartTag w:uri="urn:schemas-microsoft-com:office:smarttags" w:element="PlaceType">
          <w:r w:rsidRPr="00F5723F">
            <w:rPr>
              <w:szCs w:val="19"/>
            </w:rPr>
            <w:t>University</w:t>
          </w:r>
        </w:smartTag>
      </w:smartTag>
      <w:r w:rsidRPr="00F5723F">
        <w:rPr>
          <w:szCs w:val="19"/>
        </w:rPr>
        <w:t xml:space="preserve"> Press.</w:t>
      </w:r>
    </w:p>
    <w:p w:rsidR="00B43C57" w:rsidRPr="00F5723F" w:rsidRDefault="00B43C57">
      <w:pPr>
        <w:pStyle w:val="Fotnotstext"/>
        <w:spacing w:line="240" w:lineRule="auto"/>
        <w:ind w:left="284" w:hanging="284"/>
        <w:rPr>
          <w:sz w:val="19"/>
          <w:szCs w:val="19"/>
        </w:rPr>
      </w:pPr>
      <w:r w:rsidRPr="00F5723F">
        <w:rPr>
          <w:sz w:val="19"/>
          <w:szCs w:val="19"/>
        </w:rPr>
        <w:t>Sainsbury, Diane (1993), ”The Politics of Increased Women’s Represent</w:t>
      </w:r>
      <w:r w:rsidRPr="00F5723F">
        <w:rPr>
          <w:sz w:val="19"/>
          <w:szCs w:val="19"/>
        </w:rPr>
        <w:t>a</w:t>
      </w:r>
      <w:r w:rsidRPr="00F5723F">
        <w:rPr>
          <w:sz w:val="19"/>
          <w:szCs w:val="19"/>
        </w:rPr>
        <w:t>tion: the Swedish Case” i Joni Love</w:t>
      </w:r>
      <w:r w:rsidRPr="00F5723F">
        <w:rPr>
          <w:sz w:val="19"/>
          <w:szCs w:val="19"/>
        </w:rPr>
        <w:t>n</w:t>
      </w:r>
      <w:r w:rsidRPr="00F5723F">
        <w:rPr>
          <w:sz w:val="19"/>
          <w:szCs w:val="19"/>
        </w:rPr>
        <w:t>duski och Pippa Norris</w:t>
      </w:r>
      <w:r w:rsidRPr="00F5723F">
        <w:rPr>
          <w:sz w:val="19"/>
          <w:szCs w:val="19"/>
        </w:rPr>
        <w:t xml:space="preserve"> red. (1993), </w:t>
      </w:r>
      <w:r w:rsidRPr="00F5723F">
        <w:rPr>
          <w:i/>
          <w:sz w:val="19"/>
          <w:szCs w:val="19"/>
        </w:rPr>
        <w:t>Gender and Party Politics</w:t>
      </w:r>
      <w:r w:rsidRPr="00F5723F">
        <w:rPr>
          <w:sz w:val="19"/>
          <w:szCs w:val="19"/>
        </w:rPr>
        <w:t xml:space="preserve">. </w:t>
      </w:r>
      <w:smartTag w:uri="urn:schemas-microsoft-com:office:smarttags" w:element="City">
        <w:smartTag w:uri="urn:schemas-microsoft-com:office:smarttags" w:element="place">
          <w:r w:rsidRPr="00F5723F">
            <w:rPr>
              <w:sz w:val="19"/>
              <w:szCs w:val="19"/>
            </w:rPr>
            <w:t>London</w:t>
          </w:r>
        </w:smartTag>
      </w:smartTag>
      <w:r w:rsidRPr="00F5723F">
        <w:rPr>
          <w:sz w:val="19"/>
          <w:szCs w:val="19"/>
        </w:rPr>
        <w:t>: Sage Publ</w:t>
      </w:r>
      <w:r w:rsidRPr="00F5723F">
        <w:rPr>
          <w:sz w:val="19"/>
          <w:szCs w:val="19"/>
        </w:rPr>
        <w:t>i</w:t>
      </w:r>
      <w:r w:rsidRPr="00F5723F">
        <w:rPr>
          <w:sz w:val="19"/>
          <w:szCs w:val="19"/>
        </w:rPr>
        <w:t>cations.</w:t>
      </w:r>
    </w:p>
    <w:p w:rsidR="00B43C57" w:rsidRPr="00F5723F" w:rsidRDefault="00B43C57">
      <w:pPr>
        <w:spacing w:line="240" w:lineRule="auto"/>
        <w:ind w:left="284" w:hanging="284"/>
        <w:rPr>
          <w:szCs w:val="19"/>
        </w:rPr>
      </w:pPr>
      <w:r w:rsidRPr="00F5723F">
        <w:rPr>
          <w:szCs w:val="19"/>
        </w:rPr>
        <w:t xml:space="preserve">Sainsbury, Diane (1988), </w:t>
      </w:r>
      <w:r w:rsidRPr="00F5723F">
        <w:rPr>
          <w:szCs w:val="19"/>
        </w:rPr>
        <w:t xml:space="preserve">”The Scandinavian Model and Women’s Interests. The Issues of Universalism and Corporatism.” </w:t>
      </w:r>
      <w:r w:rsidRPr="00F5723F">
        <w:rPr>
          <w:i/>
          <w:szCs w:val="19"/>
        </w:rPr>
        <w:t>Scandinavian Political Studies</w:t>
      </w:r>
      <w:r w:rsidRPr="00F5723F">
        <w:rPr>
          <w:szCs w:val="19"/>
        </w:rPr>
        <w:t>, 4, sid. 337–</w:t>
      </w:r>
      <w:r w:rsidRPr="00F5723F">
        <w:rPr>
          <w:szCs w:val="19"/>
        </w:rPr>
        <w:t>346.</w:t>
      </w:r>
    </w:p>
    <w:p w:rsidR="00B43C57" w:rsidRPr="00F5723F" w:rsidRDefault="00B43C57">
      <w:pPr>
        <w:spacing w:line="240" w:lineRule="auto"/>
        <w:ind w:left="284" w:hanging="284"/>
        <w:rPr>
          <w:szCs w:val="19"/>
        </w:rPr>
      </w:pPr>
      <w:smartTag w:uri="urn:schemas-microsoft-com:office:smarttags" w:element="place">
        <w:smartTag w:uri="urn:schemas-microsoft-com:office:smarttags" w:element="City">
          <w:r w:rsidRPr="00F5723F">
            <w:rPr>
              <w:szCs w:val="19"/>
            </w:rPr>
            <w:t>Sapiro</w:t>
          </w:r>
        </w:smartTag>
        <w:r w:rsidRPr="00F5723F">
          <w:rPr>
            <w:szCs w:val="19"/>
          </w:rPr>
          <w:t xml:space="preserve">, </w:t>
        </w:r>
        <w:smartTag w:uri="urn:schemas-microsoft-com:office:smarttags" w:element="State">
          <w:r w:rsidRPr="00F5723F">
            <w:rPr>
              <w:szCs w:val="19"/>
            </w:rPr>
            <w:t>Virginia</w:t>
          </w:r>
        </w:smartTag>
      </w:smartTag>
      <w:r w:rsidRPr="00F5723F">
        <w:rPr>
          <w:szCs w:val="19"/>
        </w:rPr>
        <w:t xml:space="preserve"> (1983), </w:t>
      </w:r>
      <w:r w:rsidRPr="00F5723F">
        <w:rPr>
          <w:i/>
          <w:szCs w:val="19"/>
        </w:rPr>
        <w:t>The Political Integration of Women.</w:t>
      </w:r>
      <w:r w:rsidRPr="00F5723F">
        <w:rPr>
          <w:szCs w:val="19"/>
        </w:rPr>
        <w:t xml:space="preserve"> </w:t>
      </w:r>
      <w:smartTag w:uri="urn:schemas-microsoft-com:office:smarttags" w:element="City">
        <w:r w:rsidRPr="00F5723F">
          <w:rPr>
            <w:szCs w:val="19"/>
          </w:rPr>
          <w:t>Chicago</w:t>
        </w:r>
      </w:smartTag>
      <w:r w:rsidRPr="00F5723F">
        <w:rPr>
          <w:szCs w:val="19"/>
        </w:rPr>
        <w:t xml:space="preserve">: </w:t>
      </w:r>
      <w:smartTag w:uri="urn:schemas-microsoft-com:office:smarttags" w:element="place">
        <w:smartTag w:uri="urn:schemas-microsoft-com:office:smarttags" w:element="PlaceType">
          <w:r w:rsidRPr="00F5723F">
            <w:rPr>
              <w:szCs w:val="19"/>
            </w:rPr>
            <w:t>Un</w:t>
          </w:r>
          <w:r w:rsidRPr="00F5723F">
            <w:rPr>
              <w:szCs w:val="19"/>
            </w:rPr>
            <w:t>i</w:t>
          </w:r>
          <w:r w:rsidRPr="00F5723F">
            <w:rPr>
              <w:szCs w:val="19"/>
            </w:rPr>
            <w:t>versity</w:t>
          </w:r>
        </w:smartTag>
        <w:r w:rsidRPr="00F5723F">
          <w:rPr>
            <w:szCs w:val="19"/>
          </w:rPr>
          <w:t xml:space="preserve"> of </w:t>
        </w:r>
        <w:smartTag w:uri="urn:schemas-microsoft-com:office:smarttags" w:element="PlaceName">
          <w:r w:rsidRPr="00F5723F">
            <w:rPr>
              <w:szCs w:val="19"/>
            </w:rPr>
            <w:t>Illinois</w:t>
          </w:r>
        </w:smartTag>
      </w:smartTag>
      <w:r w:rsidRPr="00F5723F">
        <w:rPr>
          <w:szCs w:val="19"/>
        </w:rPr>
        <w:t xml:space="preserve"> Press.</w:t>
      </w:r>
    </w:p>
    <w:p w:rsidR="00B43C57" w:rsidRPr="00F5723F" w:rsidRDefault="00B43C57">
      <w:pPr>
        <w:spacing w:line="240" w:lineRule="auto"/>
        <w:ind w:left="284" w:hanging="284"/>
        <w:rPr>
          <w:szCs w:val="19"/>
        </w:rPr>
      </w:pPr>
      <w:r w:rsidRPr="00F5723F">
        <w:rPr>
          <w:szCs w:val="19"/>
        </w:rPr>
        <w:t xml:space="preserve">Scott, Joan Wallace (1988), </w:t>
      </w:r>
      <w:r w:rsidRPr="00F5723F">
        <w:rPr>
          <w:i/>
          <w:szCs w:val="19"/>
        </w:rPr>
        <w:t>Gender and the Politices of History</w:t>
      </w:r>
      <w:r w:rsidRPr="00F5723F">
        <w:rPr>
          <w:szCs w:val="19"/>
        </w:rPr>
        <w:t xml:space="preserve">. </w:t>
      </w:r>
      <w:smartTag w:uri="urn:schemas-microsoft-com:office:smarttags" w:element="State">
        <w:r w:rsidRPr="00F5723F">
          <w:rPr>
            <w:szCs w:val="19"/>
          </w:rPr>
          <w:t>New York</w:t>
        </w:r>
      </w:smartTag>
      <w:r w:rsidRPr="00F5723F">
        <w:rPr>
          <w:szCs w:val="19"/>
        </w:rPr>
        <w:t xml:space="preserve">: </w:t>
      </w:r>
      <w:smartTag w:uri="urn:schemas-microsoft-com:office:smarttags" w:element="place">
        <w:smartTag w:uri="urn:schemas-microsoft-com:office:smarttags" w:element="PlaceName">
          <w:r w:rsidRPr="00F5723F">
            <w:rPr>
              <w:szCs w:val="19"/>
            </w:rPr>
            <w:t>Columbia</w:t>
          </w:r>
        </w:smartTag>
        <w:r w:rsidRPr="00F5723F">
          <w:rPr>
            <w:szCs w:val="19"/>
          </w:rPr>
          <w:t xml:space="preserve"> </w:t>
        </w:r>
        <w:smartTag w:uri="urn:schemas-microsoft-com:office:smarttags" w:element="PlaceType">
          <w:r w:rsidRPr="00F5723F">
            <w:rPr>
              <w:szCs w:val="19"/>
            </w:rPr>
            <w:t>University</w:t>
          </w:r>
        </w:smartTag>
      </w:smartTag>
      <w:r w:rsidRPr="00F5723F">
        <w:rPr>
          <w:szCs w:val="19"/>
        </w:rPr>
        <w:t xml:space="preserve"> Press. </w:t>
      </w:r>
    </w:p>
    <w:p w:rsidR="00B43C57" w:rsidRPr="00F5723F" w:rsidRDefault="00B43C57">
      <w:pPr>
        <w:spacing w:line="240" w:lineRule="auto"/>
        <w:ind w:left="284" w:hanging="284"/>
        <w:rPr>
          <w:szCs w:val="19"/>
        </w:rPr>
      </w:pPr>
      <w:r w:rsidRPr="00F5723F">
        <w:rPr>
          <w:szCs w:val="19"/>
        </w:rPr>
        <w:t xml:space="preserve">Siim, Birte (2000), </w:t>
      </w:r>
      <w:r w:rsidRPr="00F5723F">
        <w:rPr>
          <w:i/>
          <w:szCs w:val="19"/>
        </w:rPr>
        <w:t xml:space="preserve">Gender and Citizenship: Politics and Agency in </w:t>
      </w:r>
      <w:smartTag w:uri="urn:schemas-microsoft-com:office:smarttags" w:element="country-region">
        <w:r w:rsidRPr="00F5723F">
          <w:rPr>
            <w:i/>
            <w:szCs w:val="19"/>
          </w:rPr>
          <w:t>France</w:t>
        </w:r>
      </w:smartTag>
      <w:r w:rsidRPr="00F5723F">
        <w:rPr>
          <w:i/>
          <w:szCs w:val="19"/>
        </w:rPr>
        <w:t xml:space="preserve">, </w:t>
      </w:r>
      <w:smartTag w:uri="urn:schemas-microsoft-com:office:smarttags" w:element="country-region">
        <w:r w:rsidRPr="00F5723F">
          <w:rPr>
            <w:i/>
            <w:szCs w:val="19"/>
          </w:rPr>
          <w:t>Britain</w:t>
        </w:r>
      </w:smartTag>
      <w:r w:rsidRPr="00F5723F">
        <w:rPr>
          <w:i/>
          <w:szCs w:val="19"/>
        </w:rPr>
        <w:t xml:space="preserve"> and </w:t>
      </w:r>
      <w:smartTag w:uri="urn:schemas-microsoft-com:office:smarttags" w:element="country-region">
        <w:smartTag w:uri="urn:schemas-microsoft-com:office:smarttags" w:element="place">
          <w:r w:rsidRPr="00F5723F">
            <w:rPr>
              <w:i/>
              <w:szCs w:val="19"/>
            </w:rPr>
            <w:t>Denmark</w:t>
          </w:r>
        </w:smartTag>
      </w:smartTag>
      <w:r w:rsidRPr="00F5723F">
        <w:rPr>
          <w:i/>
          <w:szCs w:val="19"/>
        </w:rPr>
        <w:t xml:space="preserve">. </w:t>
      </w:r>
      <w:r w:rsidRPr="00F5723F">
        <w:rPr>
          <w:szCs w:val="19"/>
        </w:rPr>
        <w:t>Cambridge: Cambridge University Press.</w:t>
      </w:r>
    </w:p>
    <w:p w:rsidR="00B43C57" w:rsidRPr="00F5723F" w:rsidRDefault="00B43C57">
      <w:pPr>
        <w:spacing w:line="240" w:lineRule="auto"/>
        <w:ind w:left="284" w:hanging="284"/>
        <w:rPr>
          <w:szCs w:val="19"/>
        </w:rPr>
      </w:pPr>
      <w:r w:rsidRPr="00F5723F">
        <w:rPr>
          <w:szCs w:val="19"/>
        </w:rPr>
        <w:t>Sjögren, Mikael (2003), ”Statsrådet och genu</w:t>
      </w:r>
      <w:r w:rsidRPr="00F5723F">
        <w:rPr>
          <w:szCs w:val="19"/>
        </w:rPr>
        <w:t>sordningen. Ulla Lindström 1954–</w:t>
      </w:r>
      <w:r w:rsidRPr="00F5723F">
        <w:rPr>
          <w:szCs w:val="19"/>
        </w:rPr>
        <w:t xml:space="preserve">1966” i </w:t>
      </w:r>
      <w:r w:rsidRPr="00F5723F">
        <w:rPr>
          <w:i/>
          <w:szCs w:val="19"/>
        </w:rPr>
        <w:t>Historisk tidskrift</w:t>
      </w:r>
      <w:r w:rsidRPr="00F5723F">
        <w:rPr>
          <w:szCs w:val="19"/>
        </w:rPr>
        <w:t xml:space="preserve"> 2003:1.</w:t>
      </w:r>
    </w:p>
    <w:p w:rsidR="00B43C57" w:rsidRPr="00F5723F" w:rsidRDefault="00B43C57">
      <w:pPr>
        <w:spacing w:line="240" w:lineRule="auto"/>
        <w:ind w:left="284" w:hanging="284"/>
        <w:rPr>
          <w:szCs w:val="19"/>
        </w:rPr>
      </w:pPr>
      <w:r w:rsidRPr="00F5723F">
        <w:rPr>
          <w:szCs w:val="19"/>
        </w:rPr>
        <w:t>Skard, Torild och Elina Haavio-Mannila (1985)</w:t>
      </w:r>
      <w:r w:rsidRPr="00F5723F">
        <w:rPr>
          <w:szCs w:val="19"/>
        </w:rPr>
        <w:t>, ”Women in Parliament” sid. 51–</w:t>
      </w:r>
      <w:r w:rsidRPr="00F5723F">
        <w:rPr>
          <w:szCs w:val="19"/>
        </w:rPr>
        <w:t xml:space="preserve">80 i </w:t>
      </w:r>
      <w:r w:rsidRPr="00F5723F">
        <w:rPr>
          <w:i/>
          <w:szCs w:val="19"/>
        </w:rPr>
        <w:t>Unfinished Democracy: Women in Nordic Politics</w:t>
      </w:r>
      <w:r w:rsidRPr="00F5723F">
        <w:rPr>
          <w:szCs w:val="19"/>
        </w:rPr>
        <w:t xml:space="preserve">, red. </w:t>
      </w:r>
      <w:r w:rsidRPr="00F5723F">
        <w:rPr>
          <w:szCs w:val="19"/>
        </w:rPr>
        <w:t>Elina Haavio-Mannila m fl. New York: Pergamon.</w:t>
      </w:r>
    </w:p>
    <w:p w:rsidR="00B43C57" w:rsidRPr="00F5723F" w:rsidRDefault="00B43C57">
      <w:pPr>
        <w:spacing w:line="240" w:lineRule="auto"/>
        <w:ind w:left="284" w:hanging="284"/>
        <w:rPr>
          <w:szCs w:val="19"/>
        </w:rPr>
      </w:pPr>
      <w:r w:rsidRPr="00F5723F">
        <w:rPr>
          <w:szCs w:val="19"/>
        </w:rPr>
        <w:t xml:space="preserve">Skjeie, Hege (2003), </w:t>
      </w:r>
      <w:r w:rsidRPr="00F5723F">
        <w:rPr>
          <w:i/>
          <w:szCs w:val="19"/>
        </w:rPr>
        <w:t>NOU 2003:19 Slutrapport fra Makt- og demokrati</w:t>
      </w:r>
      <w:r w:rsidRPr="00F5723F">
        <w:rPr>
          <w:i/>
          <w:szCs w:val="19"/>
        </w:rPr>
        <w:softHyphen/>
      </w:r>
      <w:r w:rsidRPr="00F5723F">
        <w:rPr>
          <w:i/>
          <w:szCs w:val="19"/>
        </w:rPr>
        <w:t>utredningen, saeruttalelse: Demokrati, makt og menneskerettigheter</w:t>
      </w:r>
      <w:r w:rsidRPr="00F5723F">
        <w:rPr>
          <w:szCs w:val="19"/>
        </w:rPr>
        <w:t>.</w:t>
      </w:r>
    </w:p>
    <w:p w:rsidR="00B43C57" w:rsidRPr="00F5723F" w:rsidRDefault="00B43C57">
      <w:pPr>
        <w:spacing w:line="240" w:lineRule="auto"/>
        <w:ind w:left="284" w:hanging="284"/>
        <w:rPr>
          <w:szCs w:val="19"/>
        </w:rPr>
      </w:pPr>
      <w:r w:rsidRPr="00F5723F">
        <w:rPr>
          <w:szCs w:val="19"/>
        </w:rPr>
        <w:t>Skjeie, Hege (2001), ”Quotas, Parity and the Discursive Dangers of Diffe</w:t>
      </w:r>
      <w:r w:rsidRPr="00F5723F">
        <w:rPr>
          <w:szCs w:val="19"/>
        </w:rPr>
        <w:t>r</w:t>
      </w:r>
      <w:r w:rsidRPr="00F5723F">
        <w:rPr>
          <w:szCs w:val="19"/>
        </w:rPr>
        <w:t xml:space="preserve">ence” i </w:t>
      </w:r>
      <w:r w:rsidRPr="00F5723F">
        <w:rPr>
          <w:szCs w:val="19"/>
        </w:rPr>
        <w:t xml:space="preserve">C.S. </w:t>
      </w:r>
      <w:r w:rsidRPr="00F5723F">
        <w:rPr>
          <w:szCs w:val="19"/>
        </w:rPr>
        <w:t>Maier</w:t>
      </w:r>
      <w:r w:rsidRPr="00F5723F">
        <w:rPr>
          <w:szCs w:val="19"/>
        </w:rPr>
        <w:t xml:space="preserve"> och Jytte Klausen, </w:t>
      </w:r>
      <w:r w:rsidRPr="00F5723F">
        <w:rPr>
          <w:i/>
          <w:szCs w:val="19"/>
        </w:rPr>
        <w:t>Has Liberalism Failed Women? A</w:t>
      </w:r>
      <w:r w:rsidRPr="00F5723F">
        <w:rPr>
          <w:i/>
          <w:szCs w:val="19"/>
        </w:rPr>
        <w:t>s</w:t>
      </w:r>
      <w:r w:rsidRPr="00F5723F">
        <w:rPr>
          <w:i/>
          <w:szCs w:val="19"/>
        </w:rPr>
        <w:t xml:space="preserve">suring Equal Representation in Europe and in the </w:t>
      </w:r>
      <w:smartTag w:uri="urn:schemas-microsoft-com:office:smarttags" w:element="country-region">
        <w:smartTag w:uri="urn:schemas-microsoft-com:office:smarttags" w:element="place">
          <w:r w:rsidRPr="00F5723F">
            <w:rPr>
              <w:i/>
              <w:szCs w:val="19"/>
            </w:rPr>
            <w:t>United States</w:t>
          </w:r>
        </w:smartTag>
      </w:smartTag>
      <w:r w:rsidRPr="00F5723F">
        <w:rPr>
          <w:i/>
          <w:szCs w:val="19"/>
        </w:rPr>
        <w:t>.</w:t>
      </w:r>
      <w:r w:rsidRPr="00F5723F">
        <w:rPr>
          <w:szCs w:val="19"/>
        </w:rPr>
        <w:t xml:space="preserve"> </w:t>
      </w:r>
      <w:r w:rsidRPr="00F5723F">
        <w:rPr>
          <w:szCs w:val="19"/>
        </w:rPr>
        <w:t xml:space="preserve">New York: Palgrave, sid. 165–176. </w:t>
      </w:r>
    </w:p>
    <w:p w:rsidR="00B43C57" w:rsidRPr="00F5723F" w:rsidRDefault="00B43C57">
      <w:pPr>
        <w:spacing w:line="240" w:lineRule="auto"/>
        <w:ind w:left="284" w:hanging="284"/>
        <w:rPr>
          <w:szCs w:val="19"/>
        </w:rPr>
      </w:pPr>
      <w:r w:rsidRPr="00F5723F">
        <w:rPr>
          <w:szCs w:val="19"/>
        </w:rPr>
        <w:t xml:space="preserve">Skjeie, Hege (1999), ”Likestillingsprocesser og kjønnsmakt” sid. 94–114 i Öivind Österud m.fl. red. (1999), </w:t>
      </w:r>
      <w:r w:rsidRPr="00F5723F">
        <w:rPr>
          <w:i/>
          <w:szCs w:val="19"/>
        </w:rPr>
        <w:t>Mot en ny maktutredning.</w:t>
      </w:r>
      <w:r w:rsidRPr="00F5723F">
        <w:rPr>
          <w:szCs w:val="19"/>
        </w:rPr>
        <w:t xml:space="preserve"> Oslo: Gyldendal.</w:t>
      </w:r>
    </w:p>
    <w:p w:rsidR="00B43C57" w:rsidRPr="00F5723F" w:rsidRDefault="00B43C57">
      <w:pPr>
        <w:spacing w:line="240" w:lineRule="auto"/>
        <w:ind w:left="284" w:hanging="284"/>
        <w:rPr>
          <w:szCs w:val="19"/>
        </w:rPr>
      </w:pPr>
      <w:r w:rsidRPr="00F5723F">
        <w:rPr>
          <w:szCs w:val="19"/>
        </w:rPr>
        <w:t xml:space="preserve">Skjeie, Hege (1992), </w:t>
      </w:r>
      <w:r w:rsidRPr="00F5723F">
        <w:rPr>
          <w:i/>
          <w:szCs w:val="19"/>
        </w:rPr>
        <w:t>Den politiske betydningen av kjønn. En studie av norsk topp-politikk.</w:t>
      </w:r>
      <w:r w:rsidRPr="00F5723F">
        <w:rPr>
          <w:szCs w:val="19"/>
        </w:rPr>
        <w:t xml:space="preserve"> </w:t>
      </w:r>
      <w:r w:rsidRPr="00F5723F">
        <w:rPr>
          <w:szCs w:val="19"/>
        </w:rPr>
        <w:t>Rapport nr</w:t>
      </w:r>
      <w:r w:rsidRPr="00F5723F">
        <w:rPr>
          <w:szCs w:val="19"/>
        </w:rPr>
        <w:t xml:space="preserve"> 11. </w:t>
      </w:r>
      <w:smartTag w:uri="urn:schemas-microsoft-com:office:smarttags" w:element="City">
        <w:smartTag w:uri="urn:schemas-microsoft-com:office:smarttags" w:element="place">
          <w:r w:rsidRPr="00F5723F">
            <w:rPr>
              <w:szCs w:val="19"/>
            </w:rPr>
            <w:t>Oslo</w:t>
          </w:r>
        </w:smartTag>
      </w:smartTag>
      <w:r w:rsidRPr="00F5723F">
        <w:rPr>
          <w:szCs w:val="19"/>
        </w:rPr>
        <w:t>: Institutt for samfunnsforskning.</w:t>
      </w:r>
    </w:p>
    <w:p w:rsidR="00B43C57" w:rsidRPr="00F5723F" w:rsidRDefault="00B43C57">
      <w:pPr>
        <w:spacing w:line="240" w:lineRule="auto"/>
        <w:ind w:left="284" w:hanging="284"/>
        <w:rPr>
          <w:szCs w:val="19"/>
        </w:rPr>
      </w:pPr>
      <w:r w:rsidRPr="00F5723F">
        <w:rPr>
          <w:szCs w:val="19"/>
        </w:rPr>
        <w:t>Skjeie, Hege och Birte Siim (2000), ”Scandinavian Feminist Debates on Citize</w:t>
      </w:r>
      <w:r w:rsidRPr="00F5723F">
        <w:rPr>
          <w:szCs w:val="19"/>
        </w:rPr>
        <w:t>n</w:t>
      </w:r>
      <w:r w:rsidRPr="00F5723F">
        <w:rPr>
          <w:szCs w:val="19"/>
        </w:rPr>
        <w:t xml:space="preserve">ship” i </w:t>
      </w:r>
      <w:r w:rsidRPr="00F5723F">
        <w:rPr>
          <w:i/>
          <w:szCs w:val="19"/>
        </w:rPr>
        <w:t>International Political Science Review</w:t>
      </w:r>
      <w:r w:rsidRPr="00F5723F">
        <w:rPr>
          <w:szCs w:val="19"/>
        </w:rPr>
        <w:t xml:space="preserve"> 21, no 4, sid. 345–</w:t>
      </w:r>
      <w:r w:rsidRPr="00F5723F">
        <w:rPr>
          <w:szCs w:val="19"/>
        </w:rPr>
        <w:t>360.</w:t>
      </w:r>
    </w:p>
    <w:p w:rsidR="00B43C57" w:rsidRPr="00F5723F" w:rsidRDefault="00B43C57">
      <w:pPr>
        <w:spacing w:line="240" w:lineRule="auto"/>
        <w:ind w:left="284" w:hanging="284"/>
        <w:rPr>
          <w:szCs w:val="19"/>
        </w:rPr>
      </w:pPr>
      <w:r w:rsidRPr="00F5723F">
        <w:rPr>
          <w:szCs w:val="19"/>
        </w:rPr>
        <w:t xml:space="preserve">Skjeie, Hege och Mari Teigen (2003), </w:t>
      </w:r>
      <w:r w:rsidRPr="00F5723F">
        <w:rPr>
          <w:i/>
          <w:szCs w:val="19"/>
        </w:rPr>
        <w:t>Menn emellom. Mannsdominans og likestilling</w:t>
      </w:r>
      <w:r w:rsidRPr="00F5723F">
        <w:rPr>
          <w:i/>
          <w:szCs w:val="19"/>
        </w:rPr>
        <w:t>s</w:t>
      </w:r>
      <w:r w:rsidRPr="00F5723F">
        <w:rPr>
          <w:i/>
          <w:szCs w:val="19"/>
        </w:rPr>
        <w:t>politikk.</w:t>
      </w:r>
      <w:r w:rsidRPr="00F5723F">
        <w:rPr>
          <w:szCs w:val="19"/>
        </w:rPr>
        <w:t xml:space="preserve"> Gyldendal Akademisk.</w:t>
      </w:r>
    </w:p>
    <w:p w:rsidR="00B43C57" w:rsidRPr="00F5723F" w:rsidRDefault="00B43C57">
      <w:pPr>
        <w:spacing w:line="240" w:lineRule="auto"/>
        <w:ind w:left="284" w:hanging="284"/>
        <w:rPr>
          <w:szCs w:val="19"/>
        </w:rPr>
      </w:pPr>
      <w:r w:rsidRPr="00F5723F">
        <w:rPr>
          <w:szCs w:val="19"/>
        </w:rPr>
        <w:t xml:space="preserve">Skjeie och Teigen (1993), ”Kvinnenes inntog i topp-politikken: et uttrykk for politkkens marginalisering?” i B.E. Rasch (red.), </w:t>
      </w:r>
      <w:r w:rsidRPr="00F5723F">
        <w:rPr>
          <w:i/>
          <w:szCs w:val="19"/>
        </w:rPr>
        <w:t>Symbolpolitikk og parlamentarisk styrning.</w:t>
      </w:r>
      <w:r w:rsidRPr="00F5723F">
        <w:rPr>
          <w:szCs w:val="19"/>
        </w:rPr>
        <w:t xml:space="preserve"> Oslo: Universitetsforlaget.</w:t>
      </w:r>
    </w:p>
    <w:p w:rsidR="00B43C57" w:rsidRPr="00F5723F" w:rsidRDefault="00B43C57">
      <w:pPr>
        <w:spacing w:line="240" w:lineRule="auto"/>
        <w:ind w:left="284" w:hanging="284"/>
        <w:rPr>
          <w:szCs w:val="19"/>
        </w:rPr>
      </w:pPr>
      <w:r w:rsidRPr="00F5723F">
        <w:rPr>
          <w:szCs w:val="19"/>
        </w:rPr>
        <w:t xml:space="preserve">Skjerbaek, Helle red. (2001), </w:t>
      </w:r>
      <w:r w:rsidRPr="00F5723F">
        <w:rPr>
          <w:i/>
          <w:szCs w:val="19"/>
        </w:rPr>
        <w:t xml:space="preserve">Midt i strømmen. Om ligestilling, mainstreaming og mangfoldighet. </w:t>
      </w:r>
      <w:r w:rsidRPr="00F5723F">
        <w:rPr>
          <w:szCs w:val="19"/>
        </w:rPr>
        <w:t>Köpenhamn: Jurist og Ø</w:t>
      </w:r>
      <w:r w:rsidRPr="00F5723F">
        <w:rPr>
          <w:szCs w:val="19"/>
        </w:rPr>
        <w:t>konomforbu</w:t>
      </w:r>
      <w:r w:rsidRPr="00F5723F">
        <w:rPr>
          <w:szCs w:val="19"/>
        </w:rPr>
        <w:t>n</w:t>
      </w:r>
      <w:r w:rsidRPr="00F5723F">
        <w:rPr>
          <w:szCs w:val="19"/>
        </w:rPr>
        <w:t>dets Forlag.</w:t>
      </w:r>
    </w:p>
    <w:p w:rsidR="00B43C57" w:rsidRPr="00F5723F" w:rsidRDefault="00B43C57">
      <w:pPr>
        <w:spacing w:line="240" w:lineRule="auto"/>
        <w:ind w:left="284" w:hanging="284"/>
        <w:rPr>
          <w:szCs w:val="19"/>
        </w:rPr>
      </w:pPr>
      <w:r w:rsidRPr="00F5723F">
        <w:rPr>
          <w:szCs w:val="19"/>
        </w:rPr>
        <w:t xml:space="preserve">Sköld, Lars (1958), </w:t>
      </w:r>
      <w:r w:rsidRPr="00F5723F">
        <w:rPr>
          <w:i/>
          <w:szCs w:val="19"/>
        </w:rPr>
        <w:t>Kandidatnomineringar vi</w:t>
      </w:r>
      <w:r w:rsidRPr="00F5723F">
        <w:rPr>
          <w:i/>
          <w:szCs w:val="19"/>
        </w:rPr>
        <w:t>d andrakammarval. Rapport till F</w:t>
      </w:r>
      <w:r w:rsidRPr="00F5723F">
        <w:rPr>
          <w:i/>
          <w:szCs w:val="19"/>
        </w:rPr>
        <w:t>örfattning</w:t>
      </w:r>
      <w:r w:rsidRPr="00F5723F">
        <w:rPr>
          <w:i/>
          <w:szCs w:val="19"/>
        </w:rPr>
        <w:t>s</w:t>
      </w:r>
      <w:r w:rsidRPr="00F5723F">
        <w:rPr>
          <w:i/>
          <w:szCs w:val="19"/>
        </w:rPr>
        <w:t>utredningen.</w:t>
      </w:r>
      <w:r w:rsidRPr="00F5723F">
        <w:rPr>
          <w:szCs w:val="19"/>
        </w:rPr>
        <w:t xml:space="preserve"> SOU 1958:6. Stockholm: Fritzes.</w:t>
      </w:r>
    </w:p>
    <w:p w:rsidR="00B43C57" w:rsidRPr="00F5723F" w:rsidRDefault="00B43C57">
      <w:pPr>
        <w:spacing w:line="240" w:lineRule="auto"/>
        <w:ind w:left="284" w:hanging="284"/>
        <w:rPr>
          <w:szCs w:val="19"/>
        </w:rPr>
      </w:pPr>
      <w:r w:rsidRPr="00F5723F">
        <w:rPr>
          <w:szCs w:val="19"/>
        </w:rPr>
        <w:t xml:space="preserve">SOU (1995:60), </w:t>
      </w:r>
      <w:r w:rsidRPr="00F5723F">
        <w:rPr>
          <w:i/>
          <w:szCs w:val="19"/>
        </w:rPr>
        <w:t>Viljan</w:t>
      </w:r>
      <w:r w:rsidRPr="00F5723F">
        <w:rPr>
          <w:i/>
          <w:szCs w:val="19"/>
        </w:rPr>
        <w:t xml:space="preserve"> att veta och viljan att förstå</w:t>
      </w:r>
      <w:r w:rsidRPr="00F5723F">
        <w:rPr>
          <w:i/>
          <w:szCs w:val="19"/>
        </w:rPr>
        <w:t>.</w:t>
      </w:r>
      <w:r w:rsidRPr="00F5723F">
        <w:rPr>
          <w:szCs w:val="19"/>
        </w:rPr>
        <w:t xml:space="preserve"> Stockholm: Fritzes.</w:t>
      </w:r>
    </w:p>
    <w:p w:rsidR="00B43C57" w:rsidRPr="00F5723F" w:rsidRDefault="00B43C57">
      <w:pPr>
        <w:spacing w:line="240" w:lineRule="auto"/>
        <w:ind w:left="284" w:hanging="284"/>
        <w:rPr>
          <w:szCs w:val="19"/>
        </w:rPr>
      </w:pPr>
      <w:r w:rsidRPr="00F5723F">
        <w:rPr>
          <w:szCs w:val="19"/>
        </w:rPr>
        <w:t>SOU (1997:114),</w:t>
      </w:r>
      <w:r w:rsidRPr="00F5723F">
        <w:rPr>
          <w:i/>
          <w:szCs w:val="19"/>
        </w:rPr>
        <w:t xml:space="preserve"> Styrsystem och jämställdhet: Institutioner i förändring och könsmaktens framtid. </w:t>
      </w:r>
      <w:r w:rsidRPr="00F5723F">
        <w:rPr>
          <w:szCs w:val="19"/>
        </w:rPr>
        <w:t>Stockholm: Fritzes.</w:t>
      </w:r>
    </w:p>
    <w:p w:rsidR="00B43C57" w:rsidRPr="00F5723F" w:rsidRDefault="00B43C57">
      <w:pPr>
        <w:spacing w:line="240" w:lineRule="auto"/>
        <w:ind w:left="284" w:hanging="284"/>
        <w:rPr>
          <w:szCs w:val="19"/>
        </w:rPr>
      </w:pPr>
      <w:r w:rsidRPr="00F5723F">
        <w:rPr>
          <w:szCs w:val="19"/>
        </w:rPr>
        <w:t xml:space="preserve">SOU (1998), </w:t>
      </w:r>
      <w:r w:rsidRPr="00F5723F">
        <w:rPr>
          <w:i/>
          <w:szCs w:val="19"/>
        </w:rPr>
        <w:t>Ty makten är din</w:t>
      </w:r>
      <w:r w:rsidRPr="00F5723F">
        <w:rPr>
          <w:i/>
          <w:szCs w:val="19"/>
        </w:rPr>
        <w:t xml:space="preserve">… Myten om det rationella arbetslivet och det jämställda Sverige </w:t>
      </w:r>
      <w:r w:rsidRPr="00F5723F">
        <w:rPr>
          <w:szCs w:val="19"/>
        </w:rPr>
        <w:t>(SOU 1988:6</w:t>
      </w:r>
      <w:r w:rsidRPr="00F5723F">
        <w:rPr>
          <w:i/>
          <w:szCs w:val="19"/>
        </w:rPr>
        <w:t>).</w:t>
      </w:r>
      <w:r w:rsidRPr="00F5723F">
        <w:rPr>
          <w:szCs w:val="19"/>
        </w:rPr>
        <w:t xml:space="preserve"> </w:t>
      </w:r>
      <w:smartTag w:uri="urn:schemas-microsoft-com:office:smarttags" w:element="City">
        <w:smartTag w:uri="urn:schemas-microsoft-com:office:smarttags" w:element="place">
          <w:r w:rsidRPr="00F5723F">
            <w:rPr>
              <w:szCs w:val="19"/>
            </w:rPr>
            <w:t>Stockholm</w:t>
          </w:r>
        </w:smartTag>
      </w:smartTag>
      <w:r w:rsidRPr="00F5723F">
        <w:rPr>
          <w:szCs w:val="19"/>
        </w:rPr>
        <w:t>: Fritzes.</w:t>
      </w:r>
    </w:p>
    <w:p w:rsidR="00B43C57" w:rsidRPr="00F5723F" w:rsidRDefault="00B43C57">
      <w:pPr>
        <w:spacing w:line="240" w:lineRule="auto"/>
        <w:ind w:left="284" w:hanging="284"/>
        <w:rPr>
          <w:szCs w:val="19"/>
        </w:rPr>
      </w:pPr>
      <w:r w:rsidRPr="00F5723F">
        <w:rPr>
          <w:szCs w:val="19"/>
        </w:rPr>
        <w:t xml:space="preserve">Squires, Judith (2004), ”Gender Quotas in </w:t>
      </w:r>
      <w:smartTag w:uri="urn:schemas-microsoft-com:office:smarttags" w:element="country-region">
        <w:smartTag w:uri="urn:schemas-microsoft-com:office:smarttags" w:element="place">
          <w:r w:rsidRPr="00F5723F">
            <w:rPr>
              <w:szCs w:val="19"/>
            </w:rPr>
            <w:t>Britain</w:t>
          </w:r>
        </w:smartTag>
      </w:smartTag>
      <w:r w:rsidRPr="00F5723F">
        <w:rPr>
          <w:szCs w:val="19"/>
        </w:rPr>
        <w:t>: A Fast Track to Equality?</w:t>
      </w:r>
      <w:r w:rsidRPr="00F5723F">
        <w:rPr>
          <w:szCs w:val="19"/>
        </w:rPr>
        <w:t>”</w:t>
      </w:r>
      <w:r w:rsidRPr="00F5723F">
        <w:rPr>
          <w:szCs w:val="19"/>
        </w:rPr>
        <w:t xml:space="preserve"> </w:t>
      </w:r>
      <w:r w:rsidRPr="00F5723F">
        <w:rPr>
          <w:i/>
          <w:szCs w:val="19"/>
        </w:rPr>
        <w:t xml:space="preserve">Working Paper Series </w:t>
      </w:r>
      <w:r w:rsidRPr="00F5723F">
        <w:rPr>
          <w:szCs w:val="19"/>
        </w:rPr>
        <w:t>2004:1</w:t>
      </w:r>
      <w:r w:rsidRPr="00F5723F">
        <w:rPr>
          <w:szCs w:val="19"/>
        </w:rPr>
        <w:t xml:space="preserve">, The Research Program on Gender Quotas, </w:t>
      </w:r>
      <w:smartTag w:uri="urn:schemas-microsoft-com:office:smarttags" w:element="place">
        <w:smartTag w:uri="urn:schemas-microsoft-com:office:smarttags" w:element="PlaceName">
          <w:r w:rsidRPr="00F5723F">
            <w:rPr>
              <w:szCs w:val="19"/>
            </w:rPr>
            <w:t>Stoc</w:t>
          </w:r>
          <w:r w:rsidRPr="00F5723F">
            <w:rPr>
              <w:szCs w:val="19"/>
            </w:rPr>
            <w:t>k</w:t>
          </w:r>
          <w:r w:rsidRPr="00F5723F">
            <w:rPr>
              <w:szCs w:val="19"/>
            </w:rPr>
            <w:t>holm</w:t>
          </w:r>
        </w:smartTag>
        <w:r w:rsidRPr="00F5723F">
          <w:rPr>
            <w:szCs w:val="19"/>
          </w:rPr>
          <w:t xml:space="preserve"> </w:t>
        </w:r>
        <w:smartTag w:uri="urn:schemas-microsoft-com:office:smarttags" w:element="PlaceType">
          <w:r w:rsidRPr="00F5723F">
            <w:rPr>
              <w:szCs w:val="19"/>
            </w:rPr>
            <w:t>University</w:t>
          </w:r>
        </w:smartTag>
      </w:smartTag>
      <w:r w:rsidRPr="00F5723F">
        <w:rPr>
          <w:szCs w:val="19"/>
        </w:rPr>
        <w:t>: Statsvetenskapliga institutionen.</w:t>
      </w:r>
    </w:p>
    <w:p w:rsidR="00B43C57" w:rsidRPr="00F5723F" w:rsidRDefault="00B43C57">
      <w:pPr>
        <w:pStyle w:val="Fotnotstext"/>
        <w:spacing w:line="240" w:lineRule="auto"/>
        <w:ind w:left="284" w:hanging="284"/>
        <w:rPr>
          <w:sz w:val="19"/>
          <w:szCs w:val="19"/>
        </w:rPr>
      </w:pPr>
      <w:r w:rsidRPr="00F5723F">
        <w:rPr>
          <w:sz w:val="19"/>
          <w:szCs w:val="19"/>
        </w:rPr>
        <w:t>Stark, Agneta (1997), ”Combating the Backlash: How Swe</w:t>
      </w:r>
      <w:r w:rsidRPr="00F5723F">
        <w:rPr>
          <w:sz w:val="19"/>
          <w:szCs w:val="19"/>
        </w:rPr>
        <w:t>d</w:t>
      </w:r>
      <w:r w:rsidRPr="00F5723F">
        <w:rPr>
          <w:sz w:val="19"/>
          <w:szCs w:val="19"/>
        </w:rPr>
        <w:t>ish Women Won the War” sid. 224–</w:t>
      </w:r>
      <w:r w:rsidRPr="00F5723F">
        <w:rPr>
          <w:sz w:val="19"/>
          <w:szCs w:val="19"/>
        </w:rPr>
        <w:t xml:space="preserve">244 i Ann Oakley och Juliet Mitchell (red.), </w:t>
      </w:r>
      <w:r w:rsidRPr="00F5723F">
        <w:rPr>
          <w:i/>
          <w:sz w:val="19"/>
          <w:szCs w:val="19"/>
        </w:rPr>
        <w:t>Who’s Afraid of Feminism?</w:t>
      </w:r>
      <w:r w:rsidRPr="00F5723F">
        <w:rPr>
          <w:sz w:val="19"/>
          <w:szCs w:val="19"/>
        </w:rPr>
        <w:t xml:space="preserve"> </w:t>
      </w:r>
      <w:r w:rsidRPr="00F5723F">
        <w:rPr>
          <w:sz w:val="19"/>
          <w:szCs w:val="19"/>
        </w:rPr>
        <w:t>New York: New Press.</w:t>
      </w:r>
    </w:p>
    <w:p w:rsidR="00B43C57" w:rsidRPr="00F5723F" w:rsidRDefault="00B43C57">
      <w:pPr>
        <w:pStyle w:val="Fotnotstext"/>
        <w:spacing w:line="240" w:lineRule="auto"/>
        <w:ind w:left="284" w:hanging="284"/>
        <w:rPr>
          <w:sz w:val="19"/>
          <w:szCs w:val="19"/>
        </w:rPr>
      </w:pPr>
      <w:r w:rsidRPr="00F5723F">
        <w:rPr>
          <w:sz w:val="19"/>
          <w:szCs w:val="19"/>
        </w:rPr>
        <w:t xml:space="preserve">Stenlås, Niklas (2001), ”Demokratins vedersakare? Högerns kamp för och emot demokratin” i Christer Jönsson red. (2001), </w:t>
      </w:r>
      <w:r w:rsidRPr="00F5723F">
        <w:rPr>
          <w:i/>
          <w:sz w:val="19"/>
          <w:szCs w:val="19"/>
        </w:rPr>
        <w:t>Rösträtten 80 år – for</w:t>
      </w:r>
      <w:r w:rsidRPr="00F5723F">
        <w:rPr>
          <w:i/>
          <w:sz w:val="19"/>
          <w:szCs w:val="19"/>
        </w:rPr>
        <w:t>s</w:t>
      </w:r>
      <w:r w:rsidRPr="00F5723F">
        <w:rPr>
          <w:i/>
          <w:sz w:val="19"/>
          <w:szCs w:val="19"/>
        </w:rPr>
        <w:t>karantologi</w:t>
      </w:r>
      <w:r w:rsidRPr="00F5723F">
        <w:rPr>
          <w:sz w:val="19"/>
          <w:szCs w:val="19"/>
        </w:rPr>
        <w:t>. Stockholm: Justitiedeparteme</w:t>
      </w:r>
      <w:r w:rsidRPr="00F5723F">
        <w:rPr>
          <w:sz w:val="19"/>
          <w:szCs w:val="19"/>
        </w:rPr>
        <w:t>n</w:t>
      </w:r>
      <w:r w:rsidRPr="00F5723F">
        <w:rPr>
          <w:sz w:val="19"/>
          <w:szCs w:val="19"/>
        </w:rPr>
        <w:t>tet.</w:t>
      </w:r>
    </w:p>
    <w:p w:rsidR="00B43C57" w:rsidRPr="00F5723F" w:rsidRDefault="00B43C57">
      <w:pPr>
        <w:pStyle w:val="Fotnotstext"/>
        <w:spacing w:line="240" w:lineRule="auto"/>
        <w:ind w:left="284" w:hanging="284"/>
        <w:rPr>
          <w:sz w:val="19"/>
          <w:szCs w:val="19"/>
        </w:rPr>
      </w:pPr>
      <w:r w:rsidRPr="00F5723F">
        <w:rPr>
          <w:sz w:val="19"/>
          <w:szCs w:val="19"/>
        </w:rPr>
        <w:t xml:space="preserve">Stjernquist, Nils (1992), ”Riksdagen i vår tid: perioden från </w:t>
      </w:r>
      <w:smartTag w:uri="urn:schemas-microsoft-com:office:smarttags" w:element="metricconverter">
        <w:smartTagPr>
          <w:attr w:name="ProductID" w:val="1921”"/>
        </w:smartTagPr>
        <w:r w:rsidRPr="00F5723F">
          <w:rPr>
            <w:sz w:val="19"/>
            <w:szCs w:val="19"/>
          </w:rPr>
          <w:t>1921”</w:t>
        </w:r>
      </w:smartTag>
      <w:r w:rsidRPr="00F5723F">
        <w:rPr>
          <w:sz w:val="19"/>
          <w:szCs w:val="19"/>
        </w:rPr>
        <w:t xml:space="preserve"> i </w:t>
      </w:r>
      <w:r w:rsidRPr="00F5723F">
        <w:rPr>
          <w:i/>
          <w:sz w:val="19"/>
          <w:szCs w:val="19"/>
        </w:rPr>
        <w:t>Riksd</w:t>
      </w:r>
      <w:r w:rsidRPr="00F5723F">
        <w:rPr>
          <w:i/>
          <w:sz w:val="19"/>
          <w:szCs w:val="19"/>
        </w:rPr>
        <w:t>a</w:t>
      </w:r>
      <w:r w:rsidRPr="00F5723F">
        <w:rPr>
          <w:i/>
          <w:sz w:val="19"/>
          <w:szCs w:val="19"/>
        </w:rPr>
        <w:t>gen genom tiderna</w:t>
      </w:r>
      <w:r w:rsidRPr="00F5723F">
        <w:rPr>
          <w:sz w:val="19"/>
          <w:szCs w:val="19"/>
        </w:rPr>
        <w:t>, Herman Schuck, Göran Rystad, Michael F. Met</w:t>
      </w:r>
      <w:r w:rsidRPr="00F5723F">
        <w:rPr>
          <w:sz w:val="19"/>
          <w:szCs w:val="19"/>
        </w:rPr>
        <w:t>calf, Sten Carlsson och</w:t>
      </w:r>
      <w:r w:rsidRPr="00F5723F">
        <w:rPr>
          <w:sz w:val="19"/>
          <w:szCs w:val="19"/>
        </w:rPr>
        <w:t xml:space="preserve"> Nils Stjernquist (red). Stockholm.</w:t>
      </w:r>
    </w:p>
    <w:p w:rsidR="00B43C57" w:rsidRPr="00F5723F" w:rsidRDefault="00B43C57">
      <w:pPr>
        <w:pStyle w:val="Fotnotstext"/>
        <w:spacing w:line="240" w:lineRule="auto"/>
        <w:ind w:left="284" w:hanging="284"/>
        <w:rPr>
          <w:sz w:val="19"/>
          <w:szCs w:val="19"/>
        </w:rPr>
      </w:pPr>
      <w:r w:rsidRPr="00F5723F">
        <w:rPr>
          <w:sz w:val="19"/>
          <w:szCs w:val="19"/>
        </w:rPr>
        <w:t>Stjernquist, Nils red</w:t>
      </w:r>
      <w:r w:rsidRPr="00F5723F">
        <w:rPr>
          <w:sz w:val="19"/>
          <w:szCs w:val="19"/>
        </w:rPr>
        <w:t>.</w:t>
      </w:r>
      <w:r w:rsidRPr="00F5723F">
        <w:rPr>
          <w:sz w:val="19"/>
          <w:szCs w:val="19"/>
        </w:rPr>
        <w:t xml:space="preserve"> (1991), </w:t>
      </w:r>
      <w:r w:rsidRPr="00F5723F">
        <w:rPr>
          <w:i/>
          <w:sz w:val="19"/>
          <w:szCs w:val="19"/>
        </w:rPr>
        <w:t>Riksdagen inifrån. Tolv riksdagsledam</w:t>
      </w:r>
      <w:r w:rsidRPr="00F5723F">
        <w:rPr>
          <w:i/>
          <w:sz w:val="19"/>
          <w:szCs w:val="19"/>
        </w:rPr>
        <w:t>ö</w:t>
      </w:r>
      <w:r w:rsidRPr="00F5723F">
        <w:rPr>
          <w:i/>
          <w:sz w:val="19"/>
          <w:szCs w:val="19"/>
        </w:rPr>
        <w:t xml:space="preserve">ters hågkomster, erfarenheter och lärdomar. </w:t>
      </w:r>
      <w:r w:rsidRPr="00F5723F">
        <w:rPr>
          <w:sz w:val="19"/>
          <w:szCs w:val="19"/>
        </w:rPr>
        <w:t>Stockholm: Riksdagens Jubil</w:t>
      </w:r>
      <w:r w:rsidRPr="00F5723F">
        <w:rPr>
          <w:sz w:val="19"/>
          <w:szCs w:val="19"/>
        </w:rPr>
        <w:t>e</w:t>
      </w:r>
      <w:r w:rsidRPr="00F5723F">
        <w:rPr>
          <w:sz w:val="19"/>
          <w:szCs w:val="19"/>
        </w:rPr>
        <w:t>umsfond i samarbete med Gi</w:t>
      </w:r>
      <w:r w:rsidRPr="00F5723F">
        <w:rPr>
          <w:sz w:val="19"/>
          <w:szCs w:val="19"/>
        </w:rPr>
        <w:t>d</w:t>
      </w:r>
      <w:r w:rsidRPr="00F5723F">
        <w:rPr>
          <w:sz w:val="19"/>
          <w:szCs w:val="19"/>
        </w:rPr>
        <w:t>lunds Bokförlag.</w:t>
      </w:r>
    </w:p>
    <w:p w:rsidR="00B43C57" w:rsidRPr="00F5723F" w:rsidRDefault="00B43C57">
      <w:pPr>
        <w:pStyle w:val="Fotnotstext"/>
        <w:spacing w:line="240" w:lineRule="auto"/>
        <w:ind w:left="284" w:hanging="284"/>
        <w:rPr>
          <w:sz w:val="19"/>
          <w:szCs w:val="19"/>
        </w:rPr>
      </w:pPr>
      <w:r w:rsidRPr="00F5723F">
        <w:rPr>
          <w:sz w:val="19"/>
          <w:szCs w:val="19"/>
        </w:rPr>
        <w:t xml:space="preserve">Stinchcombe, Arthur L. (1968), </w:t>
      </w:r>
      <w:r w:rsidRPr="00F5723F">
        <w:rPr>
          <w:i/>
          <w:sz w:val="19"/>
          <w:szCs w:val="19"/>
        </w:rPr>
        <w:t>Constructing Social Theor</w:t>
      </w:r>
      <w:r w:rsidRPr="00F5723F">
        <w:rPr>
          <w:i/>
          <w:sz w:val="19"/>
          <w:szCs w:val="19"/>
        </w:rPr>
        <w:t>i</w:t>
      </w:r>
      <w:r w:rsidRPr="00F5723F">
        <w:rPr>
          <w:i/>
          <w:sz w:val="19"/>
          <w:szCs w:val="19"/>
        </w:rPr>
        <w:t xml:space="preserve">es. </w:t>
      </w:r>
      <w:smartTag w:uri="urn:schemas-microsoft-com:office:smarttags" w:element="State">
        <w:smartTag w:uri="urn:schemas-microsoft-com:office:smarttags" w:element="place">
          <w:r w:rsidRPr="00F5723F">
            <w:rPr>
              <w:sz w:val="19"/>
              <w:szCs w:val="19"/>
            </w:rPr>
            <w:t>New York</w:t>
          </w:r>
        </w:smartTag>
      </w:smartTag>
      <w:r w:rsidRPr="00F5723F">
        <w:rPr>
          <w:sz w:val="19"/>
          <w:szCs w:val="19"/>
        </w:rPr>
        <w:t>: Harcourt, Brace &amp; World.</w:t>
      </w:r>
    </w:p>
    <w:p w:rsidR="00B43C57" w:rsidRPr="00F5723F" w:rsidRDefault="00B43C57">
      <w:pPr>
        <w:pStyle w:val="Fotnotstext"/>
        <w:spacing w:line="240" w:lineRule="auto"/>
        <w:ind w:left="284" w:hanging="284"/>
        <w:rPr>
          <w:sz w:val="19"/>
          <w:szCs w:val="19"/>
        </w:rPr>
      </w:pPr>
      <w:r w:rsidRPr="00F5723F">
        <w:rPr>
          <w:sz w:val="19"/>
          <w:szCs w:val="19"/>
        </w:rPr>
        <w:t xml:space="preserve">Strange Peters, Ellen red. (1965), </w:t>
      </w:r>
      <w:r w:rsidRPr="00F5723F">
        <w:rPr>
          <w:i/>
          <w:sz w:val="19"/>
          <w:szCs w:val="19"/>
        </w:rPr>
        <w:t>Kvinderne og valgretten</w:t>
      </w:r>
      <w:r w:rsidRPr="00F5723F">
        <w:rPr>
          <w:sz w:val="19"/>
          <w:szCs w:val="19"/>
        </w:rPr>
        <w:t xml:space="preserve">. </w:t>
      </w:r>
      <w:r w:rsidRPr="00F5723F">
        <w:rPr>
          <w:sz w:val="19"/>
          <w:szCs w:val="19"/>
        </w:rPr>
        <w:t>Köpe</w:t>
      </w:r>
      <w:r w:rsidRPr="00F5723F">
        <w:rPr>
          <w:sz w:val="19"/>
          <w:szCs w:val="19"/>
        </w:rPr>
        <w:t>n</w:t>
      </w:r>
      <w:r w:rsidRPr="00F5723F">
        <w:rPr>
          <w:sz w:val="19"/>
          <w:szCs w:val="19"/>
        </w:rPr>
        <w:t>hamn: Schults Förlag.</w:t>
      </w:r>
    </w:p>
    <w:p w:rsidR="00B43C57" w:rsidRPr="00F5723F" w:rsidRDefault="00B43C57">
      <w:pPr>
        <w:pStyle w:val="Fotnotstext"/>
        <w:spacing w:line="240" w:lineRule="auto"/>
        <w:ind w:left="284" w:hanging="284"/>
        <w:rPr>
          <w:sz w:val="19"/>
          <w:szCs w:val="19"/>
        </w:rPr>
      </w:pPr>
      <w:r w:rsidRPr="00F5723F">
        <w:rPr>
          <w:sz w:val="19"/>
          <w:szCs w:val="19"/>
        </w:rPr>
        <w:t>Studlar, Donley T. och Ian MacAllister (2002), ”Does a crit</w:t>
      </w:r>
      <w:r w:rsidRPr="00F5723F">
        <w:rPr>
          <w:sz w:val="19"/>
          <w:szCs w:val="19"/>
        </w:rPr>
        <w:t>i</w:t>
      </w:r>
      <w:r w:rsidRPr="00F5723F">
        <w:rPr>
          <w:sz w:val="19"/>
          <w:szCs w:val="19"/>
        </w:rPr>
        <w:t xml:space="preserve">cal mass exist? </w:t>
      </w:r>
      <w:r w:rsidRPr="00F5723F">
        <w:rPr>
          <w:sz w:val="19"/>
          <w:szCs w:val="19"/>
        </w:rPr>
        <w:t>A comparative analysis of women’s legislative repr</w:t>
      </w:r>
      <w:r w:rsidRPr="00F5723F">
        <w:rPr>
          <w:sz w:val="19"/>
          <w:szCs w:val="19"/>
        </w:rPr>
        <w:t>e</w:t>
      </w:r>
      <w:r w:rsidRPr="00F5723F">
        <w:rPr>
          <w:sz w:val="19"/>
          <w:szCs w:val="19"/>
        </w:rPr>
        <w:t xml:space="preserve">sentation since </w:t>
      </w:r>
      <w:smartTag w:uri="urn:schemas-microsoft-com:office:smarttags" w:element="metricconverter">
        <w:smartTagPr>
          <w:attr w:name="ProductID" w:val="1950”"/>
        </w:smartTagPr>
        <w:r w:rsidRPr="00F5723F">
          <w:rPr>
            <w:sz w:val="19"/>
            <w:szCs w:val="19"/>
          </w:rPr>
          <w:t>1950”</w:t>
        </w:r>
      </w:smartTag>
      <w:r w:rsidRPr="00F5723F">
        <w:rPr>
          <w:sz w:val="19"/>
          <w:szCs w:val="19"/>
        </w:rPr>
        <w:t xml:space="preserve">. </w:t>
      </w:r>
      <w:r w:rsidRPr="00F5723F">
        <w:rPr>
          <w:i/>
          <w:sz w:val="19"/>
          <w:szCs w:val="19"/>
        </w:rPr>
        <w:t xml:space="preserve">European Journal of Politcal Research </w:t>
      </w:r>
      <w:r w:rsidRPr="00F5723F">
        <w:rPr>
          <w:sz w:val="19"/>
          <w:szCs w:val="19"/>
        </w:rPr>
        <w:t>41, no 2:233–</w:t>
      </w:r>
      <w:r w:rsidRPr="00F5723F">
        <w:rPr>
          <w:sz w:val="19"/>
          <w:szCs w:val="19"/>
        </w:rPr>
        <w:t>253.</w:t>
      </w:r>
    </w:p>
    <w:p w:rsidR="00B43C57" w:rsidRPr="00F5723F" w:rsidRDefault="00B43C57">
      <w:pPr>
        <w:pStyle w:val="Fotnotstext"/>
        <w:spacing w:line="240" w:lineRule="auto"/>
        <w:ind w:left="284" w:hanging="284"/>
        <w:rPr>
          <w:sz w:val="19"/>
          <w:szCs w:val="19"/>
        </w:rPr>
      </w:pPr>
      <w:r w:rsidRPr="00F5723F">
        <w:rPr>
          <w:sz w:val="19"/>
          <w:szCs w:val="19"/>
        </w:rPr>
        <w:t>Styrkársdóttir, Audur (1998),</w:t>
      </w:r>
      <w:r w:rsidRPr="00F5723F">
        <w:rPr>
          <w:i/>
          <w:sz w:val="19"/>
          <w:szCs w:val="19"/>
        </w:rPr>
        <w:t xml:space="preserve"> From Feminism to Class Pol</w:t>
      </w:r>
      <w:r w:rsidRPr="00F5723F">
        <w:rPr>
          <w:i/>
          <w:sz w:val="19"/>
          <w:szCs w:val="19"/>
        </w:rPr>
        <w:t>i</w:t>
      </w:r>
      <w:r w:rsidRPr="00F5723F">
        <w:rPr>
          <w:i/>
          <w:sz w:val="19"/>
          <w:szCs w:val="19"/>
        </w:rPr>
        <w:t>tics. The Rise and Decline of Women’s Polit</w:t>
      </w:r>
      <w:r w:rsidRPr="00F5723F">
        <w:rPr>
          <w:i/>
          <w:sz w:val="19"/>
          <w:szCs w:val="19"/>
        </w:rPr>
        <w:t>ics in Reykjavík, 1908–</w:t>
      </w:r>
      <w:r w:rsidRPr="00F5723F">
        <w:rPr>
          <w:i/>
          <w:sz w:val="19"/>
          <w:szCs w:val="19"/>
        </w:rPr>
        <w:t>1922.</w:t>
      </w:r>
      <w:r w:rsidRPr="00F5723F">
        <w:rPr>
          <w:sz w:val="19"/>
          <w:szCs w:val="19"/>
        </w:rPr>
        <w:t xml:space="preserve"> Umeå university: Departement of Political Sc</w:t>
      </w:r>
      <w:r w:rsidRPr="00F5723F">
        <w:rPr>
          <w:sz w:val="19"/>
          <w:szCs w:val="19"/>
        </w:rPr>
        <w:t>i</w:t>
      </w:r>
      <w:r w:rsidRPr="00F5723F">
        <w:rPr>
          <w:sz w:val="19"/>
          <w:szCs w:val="19"/>
        </w:rPr>
        <w:t xml:space="preserve">ence. </w:t>
      </w:r>
    </w:p>
    <w:p w:rsidR="00B43C57" w:rsidRPr="00F5723F" w:rsidRDefault="00B43C57">
      <w:pPr>
        <w:spacing w:line="240" w:lineRule="auto"/>
        <w:ind w:left="284" w:hanging="284"/>
        <w:rPr>
          <w:szCs w:val="19"/>
        </w:rPr>
      </w:pPr>
      <w:r w:rsidRPr="00F5723F">
        <w:rPr>
          <w:szCs w:val="19"/>
        </w:rPr>
        <w:t xml:space="preserve">Sundberg, Jan (1995), </w:t>
      </w:r>
      <w:r w:rsidRPr="00F5723F">
        <w:rPr>
          <w:szCs w:val="19"/>
        </w:rPr>
        <w:t xml:space="preserve">”Women in Scandinavian party organization” i Lauri Karvonen och Per Selle red. </w:t>
      </w:r>
      <w:r w:rsidRPr="00F5723F">
        <w:rPr>
          <w:szCs w:val="19"/>
        </w:rPr>
        <w:t xml:space="preserve">(1995), </w:t>
      </w:r>
      <w:r w:rsidRPr="00F5723F">
        <w:rPr>
          <w:i/>
          <w:szCs w:val="19"/>
        </w:rPr>
        <w:t>Women in Nordic Politics: Closing the Gap.</w:t>
      </w:r>
      <w:r w:rsidRPr="00F5723F">
        <w:rPr>
          <w:szCs w:val="19"/>
        </w:rPr>
        <w:t xml:space="preserve"> Aldershot: Dartmouth.</w:t>
      </w:r>
    </w:p>
    <w:p w:rsidR="00B43C57" w:rsidRPr="00F5723F" w:rsidRDefault="00B43C57">
      <w:pPr>
        <w:pStyle w:val="Fotnotstext"/>
        <w:spacing w:line="240" w:lineRule="auto"/>
        <w:ind w:left="284" w:hanging="284"/>
        <w:rPr>
          <w:sz w:val="19"/>
          <w:szCs w:val="19"/>
        </w:rPr>
      </w:pPr>
      <w:r w:rsidRPr="00F5723F">
        <w:rPr>
          <w:sz w:val="19"/>
          <w:szCs w:val="19"/>
        </w:rPr>
        <w:t xml:space="preserve">Svanström, Yvonne och Kjell Östberg red. </w:t>
      </w:r>
      <w:r w:rsidRPr="00F5723F">
        <w:rPr>
          <w:sz w:val="19"/>
          <w:szCs w:val="19"/>
        </w:rPr>
        <w:t xml:space="preserve">(2004), </w:t>
      </w:r>
      <w:r w:rsidRPr="00F5723F">
        <w:rPr>
          <w:i/>
          <w:sz w:val="19"/>
          <w:szCs w:val="19"/>
        </w:rPr>
        <w:t>Än män då? Kön och feminism i Sverige under 150 år</w:t>
      </w:r>
      <w:r w:rsidRPr="00F5723F">
        <w:rPr>
          <w:sz w:val="19"/>
          <w:szCs w:val="19"/>
        </w:rPr>
        <w:t>. Stockholm:</w:t>
      </w:r>
      <w:r w:rsidRPr="00F5723F">
        <w:rPr>
          <w:sz w:val="19"/>
          <w:szCs w:val="19"/>
        </w:rPr>
        <w:t xml:space="preserve"> Atlas.</w:t>
      </w:r>
      <w:r w:rsidRPr="00F5723F">
        <w:rPr>
          <w:sz w:val="19"/>
          <w:szCs w:val="19"/>
        </w:rPr>
        <w:t xml:space="preserve"> </w:t>
      </w:r>
    </w:p>
    <w:p w:rsidR="00B43C57" w:rsidRPr="00F5723F" w:rsidRDefault="00B43C57">
      <w:pPr>
        <w:pStyle w:val="Fotnotstext"/>
        <w:spacing w:line="240" w:lineRule="auto"/>
        <w:ind w:left="284" w:hanging="284"/>
        <w:rPr>
          <w:sz w:val="19"/>
          <w:szCs w:val="19"/>
        </w:rPr>
      </w:pPr>
      <w:r w:rsidRPr="00F5723F">
        <w:rPr>
          <w:sz w:val="19"/>
          <w:szCs w:val="19"/>
        </w:rPr>
        <w:t>Sveriges r</w:t>
      </w:r>
      <w:r w:rsidRPr="00F5723F">
        <w:rPr>
          <w:sz w:val="19"/>
          <w:szCs w:val="19"/>
        </w:rPr>
        <w:t xml:space="preserve">iksdag (2002), </w:t>
      </w:r>
      <w:r w:rsidRPr="00F5723F">
        <w:rPr>
          <w:i/>
          <w:sz w:val="19"/>
          <w:szCs w:val="19"/>
        </w:rPr>
        <w:t>Jämställdhet – en modesak eller ett ständigt påg</w:t>
      </w:r>
      <w:r w:rsidRPr="00F5723F">
        <w:rPr>
          <w:i/>
          <w:sz w:val="19"/>
          <w:szCs w:val="19"/>
        </w:rPr>
        <w:t>å</w:t>
      </w:r>
      <w:r w:rsidRPr="00F5723F">
        <w:rPr>
          <w:i/>
          <w:sz w:val="19"/>
          <w:szCs w:val="19"/>
        </w:rPr>
        <w:t>ende arbet</w:t>
      </w:r>
      <w:r w:rsidRPr="00F5723F">
        <w:rPr>
          <w:i/>
          <w:sz w:val="19"/>
          <w:szCs w:val="19"/>
        </w:rPr>
        <w:t>e? Talmannens nätverk åren 1995–</w:t>
      </w:r>
      <w:r w:rsidRPr="00F5723F">
        <w:rPr>
          <w:i/>
          <w:sz w:val="19"/>
          <w:szCs w:val="19"/>
        </w:rPr>
        <w:t>2002.</w:t>
      </w:r>
      <w:r w:rsidRPr="00F5723F">
        <w:rPr>
          <w:sz w:val="19"/>
          <w:szCs w:val="19"/>
        </w:rPr>
        <w:t xml:space="preserve"> Stockholm: Sveriges r</w:t>
      </w:r>
      <w:r w:rsidRPr="00F5723F">
        <w:rPr>
          <w:sz w:val="19"/>
          <w:szCs w:val="19"/>
        </w:rPr>
        <w:t>iksdag.</w:t>
      </w:r>
    </w:p>
    <w:p w:rsidR="00B43C57" w:rsidRPr="00F5723F" w:rsidRDefault="00B43C57">
      <w:pPr>
        <w:pStyle w:val="Fotnotstext"/>
        <w:spacing w:line="240" w:lineRule="auto"/>
        <w:ind w:left="284" w:hanging="284"/>
        <w:rPr>
          <w:sz w:val="19"/>
          <w:szCs w:val="19"/>
        </w:rPr>
      </w:pPr>
      <w:r w:rsidRPr="00F5723F">
        <w:rPr>
          <w:sz w:val="19"/>
          <w:szCs w:val="19"/>
        </w:rPr>
        <w:t>Sveriges r</w:t>
      </w:r>
      <w:r w:rsidRPr="00F5723F">
        <w:rPr>
          <w:sz w:val="19"/>
          <w:szCs w:val="19"/>
        </w:rPr>
        <w:t>iksdag (2004),</w:t>
      </w:r>
      <w:r w:rsidRPr="00F5723F">
        <w:rPr>
          <w:i/>
          <w:sz w:val="19"/>
          <w:szCs w:val="19"/>
        </w:rPr>
        <w:t xml:space="preserve"> 15 förslag för en jämställd riksdag –</w:t>
      </w:r>
      <w:r w:rsidRPr="00F5723F">
        <w:rPr>
          <w:i/>
          <w:sz w:val="19"/>
          <w:szCs w:val="19"/>
        </w:rPr>
        <w:t xml:space="preserve"> rapport frå</w:t>
      </w:r>
      <w:r w:rsidRPr="00F5723F">
        <w:rPr>
          <w:i/>
          <w:sz w:val="19"/>
          <w:szCs w:val="19"/>
        </w:rPr>
        <w:t>n</w:t>
      </w:r>
      <w:r w:rsidRPr="00F5723F">
        <w:rPr>
          <w:i/>
          <w:sz w:val="19"/>
          <w:szCs w:val="19"/>
        </w:rPr>
        <w:t>A</w:t>
      </w:r>
      <w:r w:rsidRPr="00F5723F">
        <w:rPr>
          <w:i/>
          <w:sz w:val="19"/>
          <w:szCs w:val="19"/>
        </w:rPr>
        <w:t>rbetsgruppen för en jämställd riksdag</w:t>
      </w:r>
      <w:r w:rsidRPr="00F5723F">
        <w:rPr>
          <w:i/>
          <w:sz w:val="19"/>
          <w:szCs w:val="19"/>
        </w:rPr>
        <w:t xml:space="preserve"> </w:t>
      </w:r>
      <w:r w:rsidRPr="00F5723F">
        <w:rPr>
          <w:sz w:val="19"/>
          <w:szCs w:val="19"/>
        </w:rPr>
        <w:t>(Utredningar från riksdagsförval</w:t>
      </w:r>
      <w:r w:rsidRPr="00F5723F">
        <w:rPr>
          <w:sz w:val="19"/>
          <w:szCs w:val="19"/>
        </w:rPr>
        <w:t>t</w:t>
      </w:r>
      <w:r w:rsidRPr="00F5723F">
        <w:rPr>
          <w:sz w:val="19"/>
          <w:szCs w:val="19"/>
        </w:rPr>
        <w:t>ningen 2004/05:URF1).</w:t>
      </w:r>
    </w:p>
    <w:p w:rsidR="00B43C57" w:rsidRPr="00F5723F" w:rsidRDefault="00B43C57">
      <w:pPr>
        <w:pStyle w:val="Fotnotstext"/>
        <w:spacing w:line="240" w:lineRule="auto"/>
        <w:ind w:left="284" w:hanging="284"/>
        <w:rPr>
          <w:sz w:val="19"/>
          <w:szCs w:val="19"/>
        </w:rPr>
      </w:pPr>
      <w:r w:rsidRPr="00F5723F">
        <w:rPr>
          <w:sz w:val="19"/>
          <w:szCs w:val="19"/>
        </w:rPr>
        <w:t xml:space="preserve">Thelander, Kerstin (1986), </w:t>
      </w:r>
      <w:r w:rsidRPr="00F5723F">
        <w:rPr>
          <w:i/>
          <w:sz w:val="19"/>
          <w:szCs w:val="19"/>
        </w:rPr>
        <w:t>Politikerspråk i könsperspektiv</w:t>
      </w:r>
      <w:r w:rsidRPr="00F5723F">
        <w:rPr>
          <w:sz w:val="19"/>
          <w:szCs w:val="19"/>
        </w:rPr>
        <w:t>. Ord och Stil, Språkvårdss</w:t>
      </w:r>
      <w:r w:rsidRPr="00F5723F">
        <w:rPr>
          <w:sz w:val="19"/>
          <w:szCs w:val="19"/>
        </w:rPr>
        <w:t>amfundets skrifter 17, Uppsala u</w:t>
      </w:r>
      <w:r w:rsidRPr="00F5723F">
        <w:rPr>
          <w:sz w:val="19"/>
          <w:szCs w:val="19"/>
        </w:rPr>
        <w:t>niversitet.</w:t>
      </w:r>
    </w:p>
    <w:p w:rsidR="00B43C57" w:rsidRPr="00F5723F" w:rsidRDefault="00B43C57">
      <w:pPr>
        <w:pStyle w:val="Fotnotstext"/>
        <w:spacing w:line="240" w:lineRule="auto"/>
        <w:ind w:left="284" w:hanging="284"/>
        <w:rPr>
          <w:sz w:val="19"/>
          <w:szCs w:val="19"/>
        </w:rPr>
      </w:pPr>
      <w:r w:rsidRPr="00F5723F">
        <w:rPr>
          <w:sz w:val="19"/>
          <w:szCs w:val="19"/>
        </w:rPr>
        <w:t xml:space="preserve">Thomsson, Ulrika (2004), ”Striden om tiden: kvinnorörelsen och sex timmars arbetsdag” i Yvonne Svanström och Kjell Östberg red. (2004), </w:t>
      </w:r>
      <w:r w:rsidRPr="00F5723F">
        <w:rPr>
          <w:i/>
          <w:sz w:val="19"/>
          <w:szCs w:val="19"/>
        </w:rPr>
        <w:t>Än Män d</w:t>
      </w:r>
      <w:r w:rsidRPr="00F5723F">
        <w:rPr>
          <w:i/>
          <w:sz w:val="19"/>
          <w:szCs w:val="19"/>
        </w:rPr>
        <w:t>å? Kön och feminism i Sverige under 150 år.</w:t>
      </w:r>
      <w:r w:rsidRPr="00F5723F">
        <w:rPr>
          <w:sz w:val="19"/>
          <w:szCs w:val="19"/>
        </w:rPr>
        <w:t xml:space="preserve"> Stockholm: Atlas.</w:t>
      </w:r>
    </w:p>
    <w:p w:rsidR="00B43C57" w:rsidRPr="00F5723F" w:rsidRDefault="00B43C57">
      <w:pPr>
        <w:spacing w:line="240" w:lineRule="auto"/>
        <w:ind w:left="284" w:hanging="284"/>
        <w:rPr>
          <w:szCs w:val="19"/>
        </w:rPr>
      </w:pPr>
      <w:r w:rsidRPr="00F5723F">
        <w:rPr>
          <w:szCs w:val="19"/>
        </w:rPr>
        <w:t>Thurén, Britt-Marie red</w:t>
      </w:r>
      <w:r w:rsidRPr="00F5723F">
        <w:rPr>
          <w:szCs w:val="19"/>
        </w:rPr>
        <w:t>.</w:t>
      </w:r>
      <w:r w:rsidRPr="00F5723F">
        <w:rPr>
          <w:szCs w:val="19"/>
        </w:rPr>
        <w:t xml:space="preserve"> (2002), </w:t>
      </w:r>
      <w:r w:rsidRPr="00F5723F">
        <w:rPr>
          <w:i/>
          <w:szCs w:val="19"/>
        </w:rPr>
        <w:t>Genusvägar – en antologi om genusfors</w:t>
      </w:r>
      <w:r w:rsidRPr="00F5723F">
        <w:rPr>
          <w:i/>
          <w:szCs w:val="19"/>
        </w:rPr>
        <w:t>k</w:t>
      </w:r>
      <w:r w:rsidRPr="00F5723F">
        <w:rPr>
          <w:i/>
          <w:szCs w:val="19"/>
        </w:rPr>
        <w:t>nin</w:t>
      </w:r>
      <w:r w:rsidRPr="00F5723F">
        <w:rPr>
          <w:i/>
          <w:szCs w:val="19"/>
        </w:rPr>
        <w:t>g</w:t>
      </w:r>
      <w:r w:rsidRPr="00F5723F">
        <w:rPr>
          <w:szCs w:val="19"/>
        </w:rPr>
        <w:t>.</w:t>
      </w:r>
      <w:r w:rsidRPr="00F5723F">
        <w:rPr>
          <w:szCs w:val="19"/>
        </w:rPr>
        <w:t xml:space="preserve"> Malmö: Liber. Thurén</w:t>
      </w:r>
      <w:r w:rsidRPr="00F5723F">
        <w:rPr>
          <w:i/>
          <w:szCs w:val="19"/>
        </w:rPr>
        <w:t>,</w:t>
      </w:r>
      <w:r w:rsidRPr="00F5723F">
        <w:rPr>
          <w:szCs w:val="19"/>
        </w:rPr>
        <w:t xml:space="preserve"> Britt-Marie (2003),</w:t>
      </w:r>
      <w:r w:rsidRPr="00F5723F">
        <w:rPr>
          <w:i/>
          <w:szCs w:val="19"/>
        </w:rPr>
        <w:t xml:space="preserve"> Genusforskning –</w:t>
      </w:r>
      <w:r w:rsidRPr="00F5723F">
        <w:rPr>
          <w:i/>
          <w:szCs w:val="19"/>
        </w:rPr>
        <w:t xml:space="preserve"> fr</w:t>
      </w:r>
      <w:r w:rsidRPr="00F5723F">
        <w:rPr>
          <w:i/>
          <w:szCs w:val="19"/>
        </w:rPr>
        <w:t>å</w:t>
      </w:r>
      <w:r w:rsidRPr="00F5723F">
        <w:rPr>
          <w:i/>
          <w:szCs w:val="19"/>
        </w:rPr>
        <w:t xml:space="preserve">gor, villkor och utmaningar. </w:t>
      </w:r>
      <w:r w:rsidRPr="00F5723F">
        <w:rPr>
          <w:szCs w:val="19"/>
        </w:rPr>
        <w:t>Stockholm: Vetenskapsrådet.</w:t>
      </w:r>
    </w:p>
    <w:p w:rsidR="00B43C57" w:rsidRPr="00F5723F" w:rsidRDefault="00B43C57">
      <w:pPr>
        <w:spacing w:line="240" w:lineRule="auto"/>
        <w:ind w:left="284" w:hanging="284"/>
        <w:rPr>
          <w:szCs w:val="19"/>
        </w:rPr>
      </w:pPr>
      <w:r w:rsidRPr="00F5723F">
        <w:rPr>
          <w:szCs w:val="19"/>
        </w:rPr>
        <w:t xml:space="preserve">Togeby, Lise (1984), </w:t>
      </w:r>
      <w:r w:rsidRPr="00F5723F">
        <w:rPr>
          <w:i/>
          <w:szCs w:val="19"/>
        </w:rPr>
        <w:t xml:space="preserve">Politikk – også en kvindesag. </w:t>
      </w:r>
      <w:r w:rsidRPr="00F5723F">
        <w:rPr>
          <w:szCs w:val="19"/>
        </w:rPr>
        <w:t>Århus: Politika.</w:t>
      </w:r>
    </w:p>
    <w:p w:rsidR="00B43C57" w:rsidRPr="00F5723F" w:rsidRDefault="00B43C57">
      <w:pPr>
        <w:spacing w:line="240" w:lineRule="auto"/>
        <w:ind w:left="284" w:hanging="284"/>
        <w:rPr>
          <w:szCs w:val="19"/>
        </w:rPr>
      </w:pPr>
      <w:r w:rsidRPr="00F5723F">
        <w:rPr>
          <w:szCs w:val="19"/>
        </w:rPr>
        <w:t xml:space="preserve">Togeby, Lise (1994), </w:t>
      </w:r>
      <w:r w:rsidRPr="00F5723F">
        <w:rPr>
          <w:i/>
          <w:szCs w:val="19"/>
        </w:rPr>
        <w:t>Fra tilskuere til deltagere. Den kollektive politiske mobilisering af kvinder i Danmark i 1970’erne og 1980’erne.</w:t>
      </w:r>
      <w:r w:rsidRPr="00F5723F">
        <w:rPr>
          <w:szCs w:val="19"/>
        </w:rPr>
        <w:t xml:space="preserve"> </w:t>
      </w:r>
      <w:r w:rsidRPr="00F5723F">
        <w:rPr>
          <w:szCs w:val="19"/>
        </w:rPr>
        <w:t>Århus: Pol</w:t>
      </w:r>
      <w:r w:rsidRPr="00F5723F">
        <w:rPr>
          <w:szCs w:val="19"/>
        </w:rPr>
        <w:t>i</w:t>
      </w:r>
      <w:r w:rsidRPr="00F5723F">
        <w:rPr>
          <w:szCs w:val="19"/>
        </w:rPr>
        <w:t xml:space="preserve">tica. </w:t>
      </w:r>
    </w:p>
    <w:p w:rsidR="00B43C57" w:rsidRPr="00F5723F" w:rsidRDefault="00B43C57">
      <w:pPr>
        <w:spacing w:line="240" w:lineRule="auto"/>
        <w:ind w:left="284" w:hanging="284"/>
        <w:rPr>
          <w:b/>
          <w:szCs w:val="19"/>
        </w:rPr>
      </w:pPr>
      <w:r w:rsidRPr="00F5723F">
        <w:rPr>
          <w:szCs w:val="19"/>
        </w:rPr>
        <w:t>Tollin, Katharina (1997), Må bäste man vinna – en fallstudie av personval</w:t>
      </w:r>
      <w:r w:rsidRPr="00F5723F">
        <w:rPr>
          <w:szCs w:val="19"/>
        </w:rPr>
        <w:t>s</w:t>
      </w:r>
      <w:r w:rsidRPr="00F5723F">
        <w:rPr>
          <w:szCs w:val="19"/>
        </w:rPr>
        <w:t>förs</w:t>
      </w:r>
      <w:r w:rsidRPr="00F5723F">
        <w:rPr>
          <w:szCs w:val="19"/>
        </w:rPr>
        <w:t>ö</w:t>
      </w:r>
      <w:r w:rsidRPr="00F5723F">
        <w:rPr>
          <w:szCs w:val="19"/>
        </w:rPr>
        <w:t>ket 1994 ur ett könsteoretiskt perspektiv, CD-uppsats. Umeå: Umeå universitet, Statsvetenskapliga institutionen.</w:t>
      </w:r>
    </w:p>
    <w:p w:rsidR="00B43C57" w:rsidRPr="00F5723F" w:rsidRDefault="00B43C57">
      <w:pPr>
        <w:spacing w:line="240" w:lineRule="auto"/>
        <w:ind w:left="284" w:hanging="284"/>
        <w:rPr>
          <w:szCs w:val="19"/>
        </w:rPr>
      </w:pPr>
      <w:r w:rsidRPr="00F5723F">
        <w:rPr>
          <w:szCs w:val="19"/>
        </w:rPr>
        <w:t>Tollin, Katharina (2000), ”Det måste finnas män för att det ska bli jä</w:t>
      </w:r>
      <w:r w:rsidRPr="00F5723F">
        <w:rPr>
          <w:szCs w:val="19"/>
        </w:rPr>
        <w:t>m</w:t>
      </w:r>
      <w:r w:rsidRPr="00F5723F">
        <w:rPr>
          <w:szCs w:val="19"/>
        </w:rPr>
        <w:t>ställt: En utvärdering av m</w:t>
      </w:r>
      <w:r w:rsidRPr="00F5723F">
        <w:rPr>
          <w:szCs w:val="19"/>
        </w:rPr>
        <w:t>ainstreamingprojektet inom Arbetsmar</w:t>
      </w:r>
      <w:r w:rsidRPr="00F5723F">
        <w:rPr>
          <w:szCs w:val="19"/>
        </w:rPr>
        <w:t>k</w:t>
      </w:r>
      <w:r w:rsidRPr="00F5723F">
        <w:rPr>
          <w:szCs w:val="19"/>
        </w:rPr>
        <w:t xml:space="preserve">nadsverket i Västerbotten”. </w:t>
      </w:r>
      <w:r w:rsidRPr="00F5723F">
        <w:rPr>
          <w:i/>
          <w:szCs w:val="19"/>
        </w:rPr>
        <w:t>Statsvetenskapliga institutionens skriftserie 2000:4.</w:t>
      </w:r>
      <w:r w:rsidRPr="00F5723F">
        <w:rPr>
          <w:szCs w:val="19"/>
        </w:rPr>
        <w:t xml:space="preserve"> Umeå: Umeå univers</w:t>
      </w:r>
      <w:r w:rsidRPr="00F5723F">
        <w:rPr>
          <w:szCs w:val="19"/>
        </w:rPr>
        <w:t>i</w:t>
      </w:r>
      <w:r w:rsidRPr="00F5723F">
        <w:rPr>
          <w:szCs w:val="19"/>
        </w:rPr>
        <w:t>tet, Statsvetenskapliga institutionen.</w:t>
      </w:r>
    </w:p>
    <w:p w:rsidR="00B43C57" w:rsidRPr="00F5723F" w:rsidRDefault="00B43C57">
      <w:pPr>
        <w:spacing w:line="240" w:lineRule="auto"/>
        <w:ind w:left="284" w:hanging="284"/>
        <w:rPr>
          <w:szCs w:val="19"/>
        </w:rPr>
      </w:pPr>
      <w:r w:rsidRPr="00F5723F">
        <w:rPr>
          <w:szCs w:val="19"/>
        </w:rPr>
        <w:t xml:space="preserve">Ulmanen, Petra (1998), </w:t>
      </w:r>
      <w:r w:rsidRPr="00F5723F">
        <w:rPr>
          <w:i/>
          <w:szCs w:val="19"/>
        </w:rPr>
        <w:t>(S)veket mot kvinnorna och hur högern stal femini</w:t>
      </w:r>
      <w:r w:rsidRPr="00F5723F">
        <w:rPr>
          <w:i/>
          <w:szCs w:val="19"/>
        </w:rPr>
        <w:t>s</w:t>
      </w:r>
      <w:r w:rsidRPr="00F5723F">
        <w:rPr>
          <w:i/>
          <w:szCs w:val="19"/>
        </w:rPr>
        <w:t>men.</w:t>
      </w:r>
      <w:r w:rsidRPr="00F5723F">
        <w:rPr>
          <w:szCs w:val="19"/>
        </w:rPr>
        <w:t xml:space="preserve"> </w:t>
      </w:r>
      <w:smartTag w:uri="urn:schemas-microsoft-com:office:smarttags" w:element="City">
        <w:smartTag w:uri="urn:schemas-microsoft-com:office:smarttags" w:element="place">
          <w:r w:rsidRPr="00F5723F">
            <w:rPr>
              <w:szCs w:val="19"/>
            </w:rPr>
            <w:t>Stoc</w:t>
          </w:r>
          <w:r w:rsidRPr="00F5723F">
            <w:rPr>
              <w:szCs w:val="19"/>
            </w:rPr>
            <w:t>k</w:t>
          </w:r>
          <w:r w:rsidRPr="00F5723F">
            <w:rPr>
              <w:szCs w:val="19"/>
            </w:rPr>
            <w:t>holm</w:t>
          </w:r>
        </w:smartTag>
      </w:smartTag>
      <w:r w:rsidRPr="00F5723F">
        <w:rPr>
          <w:szCs w:val="19"/>
        </w:rPr>
        <w:t>: Atlas.</w:t>
      </w:r>
    </w:p>
    <w:p w:rsidR="00B43C57" w:rsidRPr="00F5723F" w:rsidRDefault="00B43C57">
      <w:pPr>
        <w:spacing w:line="240" w:lineRule="auto"/>
        <w:ind w:left="284" w:hanging="284"/>
        <w:rPr>
          <w:szCs w:val="19"/>
        </w:rPr>
      </w:pPr>
      <w:r w:rsidRPr="00F5723F">
        <w:rPr>
          <w:szCs w:val="19"/>
        </w:rPr>
        <w:t>Valen, Henry (1988), ”</w:t>
      </w:r>
      <w:smartTag w:uri="urn:schemas-microsoft-com:office:smarttags" w:element="country-region">
        <w:r w:rsidRPr="00F5723F">
          <w:rPr>
            <w:szCs w:val="19"/>
          </w:rPr>
          <w:t>Norway</w:t>
        </w:r>
      </w:smartTag>
      <w:r w:rsidRPr="00F5723F">
        <w:rPr>
          <w:szCs w:val="19"/>
        </w:rPr>
        <w:t xml:space="preserve">: Decentralisation and Group Representation” i M. </w:t>
      </w:r>
      <w:r w:rsidRPr="00F5723F">
        <w:rPr>
          <w:szCs w:val="19"/>
        </w:rPr>
        <w:t>Gallagher</w:t>
      </w:r>
      <w:r w:rsidRPr="00F5723F">
        <w:rPr>
          <w:szCs w:val="19"/>
        </w:rPr>
        <w:t xml:space="preserve"> and M. Marsh (red.), </w:t>
      </w:r>
      <w:r w:rsidRPr="00F5723F">
        <w:rPr>
          <w:i/>
          <w:szCs w:val="19"/>
        </w:rPr>
        <w:t xml:space="preserve">Candidate Selection in Comparative Perspective: The </w:t>
      </w:r>
      <w:smartTag w:uri="urn:schemas-microsoft-com:office:smarttags" w:element="place">
        <w:smartTag w:uri="urn:schemas-microsoft-com:office:smarttags" w:element="PlaceName">
          <w:r w:rsidRPr="00F5723F">
            <w:rPr>
              <w:i/>
              <w:szCs w:val="19"/>
            </w:rPr>
            <w:t>Secret</w:t>
          </w:r>
        </w:smartTag>
        <w:r w:rsidRPr="00F5723F">
          <w:rPr>
            <w:i/>
            <w:szCs w:val="19"/>
          </w:rPr>
          <w:t xml:space="preserve"> </w:t>
        </w:r>
        <w:smartTag w:uri="urn:schemas-microsoft-com:office:smarttags" w:element="PlaceType">
          <w:r w:rsidRPr="00F5723F">
            <w:rPr>
              <w:i/>
              <w:szCs w:val="19"/>
            </w:rPr>
            <w:t>Garden</w:t>
          </w:r>
        </w:smartTag>
      </w:smartTag>
      <w:r w:rsidRPr="00F5723F">
        <w:rPr>
          <w:i/>
          <w:szCs w:val="19"/>
        </w:rPr>
        <w:t xml:space="preserve"> of Politics.</w:t>
      </w:r>
      <w:r w:rsidRPr="00F5723F">
        <w:rPr>
          <w:szCs w:val="19"/>
        </w:rPr>
        <w:t xml:space="preserve"> </w:t>
      </w:r>
      <w:smartTag w:uri="urn:schemas-microsoft-com:office:smarttags" w:element="City">
        <w:smartTag w:uri="urn:schemas-microsoft-com:office:smarttags" w:element="place">
          <w:r w:rsidRPr="00F5723F">
            <w:rPr>
              <w:szCs w:val="19"/>
            </w:rPr>
            <w:t>London</w:t>
          </w:r>
        </w:smartTag>
      </w:smartTag>
      <w:r w:rsidRPr="00F5723F">
        <w:rPr>
          <w:szCs w:val="19"/>
        </w:rPr>
        <w:t>: Sage.</w:t>
      </w:r>
    </w:p>
    <w:p w:rsidR="00B43C57" w:rsidRPr="00F5723F" w:rsidRDefault="00B43C57">
      <w:pPr>
        <w:spacing w:line="240" w:lineRule="auto"/>
        <w:ind w:left="284" w:hanging="284"/>
        <w:rPr>
          <w:szCs w:val="19"/>
        </w:rPr>
      </w:pPr>
      <w:r w:rsidRPr="00F5723F">
        <w:rPr>
          <w:szCs w:val="19"/>
        </w:rPr>
        <w:t xml:space="preserve">Valen, Henry, Hanne Marthe </w:t>
      </w:r>
      <w:r w:rsidRPr="00F5723F">
        <w:rPr>
          <w:szCs w:val="19"/>
        </w:rPr>
        <w:t>Narud och Audun Skare, (2002), “</w:t>
      </w:r>
      <w:smartTag w:uri="urn:schemas-microsoft-com:office:smarttags" w:element="country-region">
        <w:smartTag w:uri="urn:schemas-microsoft-com:office:smarttags" w:element="place">
          <w:r w:rsidRPr="00F5723F">
            <w:rPr>
              <w:szCs w:val="19"/>
            </w:rPr>
            <w:t>Norway</w:t>
          </w:r>
        </w:smartTag>
      </w:smartTag>
      <w:r w:rsidRPr="00F5723F">
        <w:rPr>
          <w:szCs w:val="19"/>
        </w:rPr>
        <w:t xml:space="preserve">: Party Dominance and Decentralized Decision-Making” i Hanne Marthe Narud m.fl. (2002), </w:t>
      </w:r>
      <w:r w:rsidRPr="00F5723F">
        <w:rPr>
          <w:i/>
          <w:szCs w:val="19"/>
        </w:rPr>
        <w:t xml:space="preserve">Party Sovereignty and Citizen Control. </w:t>
      </w:r>
      <w:r w:rsidRPr="00F5723F">
        <w:rPr>
          <w:snapToGrid w:val="0"/>
          <w:szCs w:val="19"/>
        </w:rPr>
        <w:t>Odense: University Press of Southern Denmark.</w:t>
      </w:r>
    </w:p>
    <w:p w:rsidR="00B43C57" w:rsidRPr="00F5723F" w:rsidRDefault="00B43C57">
      <w:pPr>
        <w:spacing w:line="240" w:lineRule="auto"/>
        <w:ind w:left="284" w:hanging="284"/>
        <w:rPr>
          <w:szCs w:val="19"/>
        </w:rPr>
      </w:pPr>
      <w:r w:rsidRPr="00F5723F">
        <w:rPr>
          <w:szCs w:val="19"/>
        </w:rPr>
        <w:t xml:space="preserve">Van der Ros, Janneke (1996), ”Femokrat, hva slags fugl er nå det?” i Harriet Holter, red. (1996), </w:t>
      </w:r>
      <w:r w:rsidRPr="00F5723F">
        <w:rPr>
          <w:i/>
          <w:szCs w:val="19"/>
        </w:rPr>
        <w:t>Hun og han – kjønn i forskning og politikk</w:t>
      </w:r>
      <w:r w:rsidRPr="00F5723F">
        <w:rPr>
          <w:szCs w:val="19"/>
        </w:rPr>
        <w:t xml:space="preserve">. Oslo: Pax. </w:t>
      </w:r>
    </w:p>
    <w:p w:rsidR="00B43C57" w:rsidRPr="00F5723F" w:rsidRDefault="00B43C57">
      <w:pPr>
        <w:spacing w:line="240" w:lineRule="auto"/>
        <w:ind w:left="284" w:hanging="284"/>
        <w:rPr>
          <w:szCs w:val="19"/>
        </w:rPr>
      </w:pPr>
      <w:r w:rsidRPr="00F5723F">
        <w:rPr>
          <w:szCs w:val="19"/>
        </w:rPr>
        <w:t xml:space="preserve">Van der Ros, Janneke (1996), ”Den staten, den staten” i Harriet Holter, red. (1996), </w:t>
      </w:r>
      <w:r w:rsidRPr="00F5723F">
        <w:rPr>
          <w:i/>
          <w:szCs w:val="19"/>
        </w:rPr>
        <w:t>Hun og han – kjønn i forskning og politikk</w:t>
      </w:r>
      <w:r w:rsidRPr="00F5723F">
        <w:rPr>
          <w:szCs w:val="19"/>
        </w:rPr>
        <w:t xml:space="preserve">. </w:t>
      </w:r>
      <w:r w:rsidRPr="00F5723F">
        <w:rPr>
          <w:szCs w:val="19"/>
        </w:rPr>
        <w:t xml:space="preserve">Oslo: Pax. </w:t>
      </w:r>
    </w:p>
    <w:p w:rsidR="00B43C57" w:rsidRPr="00F5723F" w:rsidRDefault="00B43C57">
      <w:pPr>
        <w:spacing w:line="240" w:lineRule="auto"/>
        <w:ind w:left="284" w:hanging="284"/>
        <w:rPr>
          <w:szCs w:val="19"/>
        </w:rPr>
      </w:pPr>
      <w:r w:rsidRPr="00F5723F">
        <w:rPr>
          <w:szCs w:val="19"/>
        </w:rPr>
        <w:t xml:space="preserve">Wallin, Gunnar m.fl. (1981), </w:t>
      </w:r>
      <w:r w:rsidRPr="00F5723F">
        <w:rPr>
          <w:i/>
          <w:szCs w:val="19"/>
        </w:rPr>
        <w:t>Kommunalpolitikerna. Del 1 och 2</w:t>
      </w:r>
      <w:r w:rsidRPr="00F5723F">
        <w:rPr>
          <w:szCs w:val="19"/>
        </w:rPr>
        <w:t>. DsKn 1981:17 och 18.</w:t>
      </w:r>
    </w:p>
    <w:p w:rsidR="00B43C57" w:rsidRPr="00F5723F" w:rsidRDefault="00B43C57">
      <w:pPr>
        <w:spacing w:line="240" w:lineRule="auto"/>
        <w:ind w:left="284" w:hanging="284"/>
        <w:rPr>
          <w:i/>
          <w:szCs w:val="19"/>
        </w:rPr>
      </w:pPr>
      <w:r w:rsidRPr="00F5723F">
        <w:rPr>
          <w:szCs w:val="19"/>
        </w:rPr>
        <w:t xml:space="preserve">Wendt-Höjer, Maria och Cecilia Åse (1996), </w:t>
      </w:r>
      <w:r w:rsidRPr="00F5723F">
        <w:rPr>
          <w:i/>
          <w:szCs w:val="19"/>
        </w:rPr>
        <w:t>Politikens Paradoxer.</w:t>
      </w:r>
      <w:r w:rsidRPr="00F5723F">
        <w:rPr>
          <w:szCs w:val="19"/>
        </w:rPr>
        <w:t xml:space="preserve"> Lund: Academ</w:t>
      </w:r>
      <w:r w:rsidRPr="00F5723F">
        <w:rPr>
          <w:szCs w:val="19"/>
        </w:rPr>
        <w:t>i</w:t>
      </w:r>
      <w:r w:rsidRPr="00F5723F">
        <w:rPr>
          <w:szCs w:val="19"/>
        </w:rPr>
        <w:t>ca Adacta.</w:t>
      </w:r>
    </w:p>
    <w:p w:rsidR="00B43C57" w:rsidRPr="00F5723F" w:rsidRDefault="00B43C57">
      <w:pPr>
        <w:spacing w:line="240" w:lineRule="auto"/>
        <w:ind w:left="284" w:hanging="284"/>
        <w:rPr>
          <w:szCs w:val="19"/>
        </w:rPr>
      </w:pPr>
      <w:r w:rsidRPr="00F5723F">
        <w:rPr>
          <w:szCs w:val="19"/>
        </w:rPr>
        <w:t xml:space="preserve">Westerlund, Maj-Britt (1998), </w:t>
      </w:r>
      <w:r w:rsidRPr="00F5723F">
        <w:rPr>
          <w:i/>
          <w:szCs w:val="19"/>
        </w:rPr>
        <w:t>Kvinnorna tar plats i kommunalpolitiken</w:t>
      </w:r>
      <w:r w:rsidRPr="00F5723F">
        <w:rPr>
          <w:szCs w:val="19"/>
        </w:rPr>
        <w:t>. Umeå unive</w:t>
      </w:r>
      <w:r w:rsidRPr="00F5723F">
        <w:rPr>
          <w:szCs w:val="19"/>
        </w:rPr>
        <w:t>r</w:t>
      </w:r>
      <w:r w:rsidRPr="00F5723F">
        <w:rPr>
          <w:szCs w:val="19"/>
        </w:rPr>
        <w:t>sitet: Statsvetenskapliga institutionen.</w:t>
      </w:r>
    </w:p>
    <w:p w:rsidR="00B43C57" w:rsidRPr="00F5723F" w:rsidRDefault="00B43C57">
      <w:pPr>
        <w:spacing w:line="240" w:lineRule="auto"/>
        <w:ind w:left="284" w:hanging="284"/>
        <w:rPr>
          <w:szCs w:val="19"/>
        </w:rPr>
      </w:pPr>
      <w:r w:rsidRPr="00F5723F">
        <w:rPr>
          <w:szCs w:val="19"/>
        </w:rPr>
        <w:t xml:space="preserve">Westerlund, Maj-Britt (1996), </w:t>
      </w:r>
      <w:r w:rsidRPr="00F5723F">
        <w:rPr>
          <w:i/>
          <w:szCs w:val="19"/>
        </w:rPr>
        <w:t>Kvinnorna tar plats i kommunalpolitiken. En studie av Gällivare och</w:t>
      </w:r>
      <w:r w:rsidRPr="00F5723F">
        <w:rPr>
          <w:i/>
          <w:szCs w:val="19"/>
        </w:rPr>
        <w:t xml:space="preserve"> Luleå kommuner under året 1994–</w:t>
      </w:r>
      <w:r w:rsidRPr="00F5723F">
        <w:rPr>
          <w:i/>
          <w:szCs w:val="19"/>
        </w:rPr>
        <w:t>1995</w:t>
      </w:r>
      <w:r w:rsidRPr="00F5723F">
        <w:rPr>
          <w:szCs w:val="19"/>
        </w:rPr>
        <w:t>. Luleå: Länsstyrelsen i Norrbo</w:t>
      </w:r>
      <w:r w:rsidRPr="00F5723F">
        <w:rPr>
          <w:szCs w:val="19"/>
        </w:rPr>
        <w:t>t</w:t>
      </w:r>
      <w:r w:rsidRPr="00F5723F">
        <w:rPr>
          <w:szCs w:val="19"/>
        </w:rPr>
        <w:t>tens län.</w:t>
      </w:r>
    </w:p>
    <w:p w:rsidR="00B43C57" w:rsidRPr="00F5723F" w:rsidRDefault="00B43C57">
      <w:pPr>
        <w:spacing w:line="240" w:lineRule="auto"/>
        <w:ind w:left="284" w:hanging="284"/>
        <w:rPr>
          <w:szCs w:val="19"/>
        </w:rPr>
      </w:pPr>
      <w:r w:rsidRPr="00F5723F">
        <w:rPr>
          <w:szCs w:val="19"/>
        </w:rPr>
        <w:t xml:space="preserve">Wetterberg, Christina Carlsson och Anna Jansdotter red. (2004), </w:t>
      </w:r>
      <w:r w:rsidRPr="00F5723F">
        <w:rPr>
          <w:i/>
          <w:szCs w:val="19"/>
        </w:rPr>
        <w:t>Genushist</w:t>
      </w:r>
      <w:r w:rsidRPr="00F5723F">
        <w:rPr>
          <w:i/>
          <w:szCs w:val="19"/>
        </w:rPr>
        <w:t>o</w:t>
      </w:r>
      <w:r w:rsidRPr="00F5723F">
        <w:rPr>
          <w:i/>
          <w:szCs w:val="19"/>
        </w:rPr>
        <w:t>ria – en historiografisk exposé.</w:t>
      </w:r>
      <w:r w:rsidRPr="00F5723F">
        <w:rPr>
          <w:szCs w:val="19"/>
        </w:rPr>
        <w:t xml:space="preserve"> Lund: Studentlitteratur. </w:t>
      </w:r>
    </w:p>
    <w:p w:rsidR="00B43C57" w:rsidRPr="00F5723F" w:rsidRDefault="00B43C57">
      <w:pPr>
        <w:spacing w:line="240" w:lineRule="auto"/>
        <w:ind w:left="284" w:hanging="284"/>
        <w:rPr>
          <w:szCs w:val="19"/>
        </w:rPr>
      </w:pPr>
      <w:r w:rsidRPr="00F5723F">
        <w:rPr>
          <w:szCs w:val="19"/>
        </w:rPr>
        <w:t xml:space="preserve">Wisler, Dominique (1998), ”Parité politique: la diffusion d’un principe” i </w:t>
      </w:r>
      <w:r w:rsidRPr="00F5723F">
        <w:rPr>
          <w:i/>
          <w:szCs w:val="19"/>
        </w:rPr>
        <w:t>Swiss Political Science Review:1–6.</w:t>
      </w:r>
    </w:p>
    <w:p w:rsidR="00B43C57" w:rsidRPr="00F5723F" w:rsidRDefault="00B43C57">
      <w:pPr>
        <w:spacing w:line="240" w:lineRule="auto"/>
        <w:ind w:left="284" w:hanging="284"/>
        <w:rPr>
          <w:szCs w:val="19"/>
        </w:rPr>
      </w:pPr>
      <w:r w:rsidRPr="00F5723F">
        <w:rPr>
          <w:szCs w:val="19"/>
        </w:rPr>
        <w:t xml:space="preserve">Wängnerud, Lena, red. (2002), </w:t>
      </w:r>
      <w:r w:rsidRPr="00F5723F">
        <w:rPr>
          <w:i/>
          <w:szCs w:val="19"/>
        </w:rPr>
        <w:t xml:space="preserve">Jämställdhet – en modesak. </w:t>
      </w:r>
      <w:r w:rsidRPr="00F5723F">
        <w:rPr>
          <w:szCs w:val="19"/>
        </w:rPr>
        <w:t>Stockholm</w:t>
      </w:r>
      <w:r w:rsidRPr="00F5723F">
        <w:rPr>
          <w:szCs w:val="19"/>
        </w:rPr>
        <w:t>: Gi</w:t>
      </w:r>
      <w:r w:rsidRPr="00F5723F">
        <w:rPr>
          <w:szCs w:val="19"/>
        </w:rPr>
        <w:t>d</w:t>
      </w:r>
      <w:r w:rsidRPr="00F5723F">
        <w:rPr>
          <w:szCs w:val="19"/>
        </w:rPr>
        <w:t>lunds.</w:t>
      </w:r>
    </w:p>
    <w:p w:rsidR="00B43C57" w:rsidRPr="00F5723F" w:rsidRDefault="00B43C57">
      <w:pPr>
        <w:spacing w:line="240" w:lineRule="auto"/>
        <w:ind w:left="284" w:hanging="284"/>
        <w:rPr>
          <w:szCs w:val="19"/>
        </w:rPr>
      </w:pPr>
      <w:r w:rsidRPr="00F5723F">
        <w:rPr>
          <w:szCs w:val="19"/>
        </w:rPr>
        <w:t xml:space="preserve">Wängnerud, Lena (2001a), ”Kvinnors röst. En kamp mellan partier” i </w:t>
      </w:r>
      <w:r w:rsidRPr="00F5723F">
        <w:rPr>
          <w:i/>
          <w:szCs w:val="19"/>
        </w:rPr>
        <w:t>Rös</w:t>
      </w:r>
      <w:r w:rsidRPr="00F5723F">
        <w:rPr>
          <w:i/>
          <w:szCs w:val="19"/>
        </w:rPr>
        <w:t>t</w:t>
      </w:r>
      <w:r w:rsidRPr="00F5723F">
        <w:rPr>
          <w:i/>
          <w:szCs w:val="19"/>
        </w:rPr>
        <w:t xml:space="preserve">rätten 80 år – forskarantologi, </w:t>
      </w:r>
      <w:r w:rsidRPr="00F5723F">
        <w:rPr>
          <w:szCs w:val="19"/>
        </w:rPr>
        <w:t>Chris</w:t>
      </w:r>
      <w:r w:rsidRPr="00F5723F">
        <w:rPr>
          <w:szCs w:val="19"/>
        </w:rPr>
        <w:t>ter Jönsson red. (2001).</w:t>
      </w:r>
      <w:r w:rsidRPr="00F5723F">
        <w:rPr>
          <w:szCs w:val="19"/>
        </w:rPr>
        <w:t xml:space="preserve"> Stockholm: Justitiedepart</w:t>
      </w:r>
      <w:r w:rsidRPr="00F5723F">
        <w:rPr>
          <w:szCs w:val="19"/>
        </w:rPr>
        <w:t>e</w:t>
      </w:r>
      <w:r w:rsidRPr="00F5723F">
        <w:rPr>
          <w:szCs w:val="19"/>
        </w:rPr>
        <w:t>mentet.</w:t>
      </w:r>
    </w:p>
    <w:p w:rsidR="00B43C57" w:rsidRPr="00F5723F" w:rsidRDefault="00B43C57">
      <w:pPr>
        <w:spacing w:line="240" w:lineRule="auto"/>
        <w:ind w:left="284" w:hanging="284"/>
        <w:rPr>
          <w:szCs w:val="19"/>
        </w:rPr>
      </w:pPr>
      <w:r w:rsidRPr="00F5723F">
        <w:rPr>
          <w:szCs w:val="19"/>
        </w:rPr>
        <w:t xml:space="preserve">Wängnerud, Lena (2001b), ”Från diskriminering till jämlik behandling: om könsmönster i Svenska riksdagens utskott” i </w:t>
      </w:r>
      <w:r w:rsidRPr="00F5723F">
        <w:rPr>
          <w:i/>
          <w:szCs w:val="19"/>
        </w:rPr>
        <w:t>Kvinder, Kø</w:t>
      </w:r>
      <w:r w:rsidRPr="00F5723F">
        <w:rPr>
          <w:i/>
          <w:szCs w:val="19"/>
        </w:rPr>
        <w:t>n og Forskning</w:t>
      </w:r>
      <w:r w:rsidRPr="00F5723F">
        <w:rPr>
          <w:szCs w:val="19"/>
        </w:rPr>
        <w:t xml:space="preserve"> 10(2001):1, sid. 57–</w:t>
      </w:r>
      <w:r w:rsidRPr="00F5723F">
        <w:rPr>
          <w:szCs w:val="19"/>
        </w:rPr>
        <w:t>67.</w:t>
      </w:r>
    </w:p>
    <w:p w:rsidR="00B43C57" w:rsidRPr="00F5723F" w:rsidRDefault="00B43C57">
      <w:pPr>
        <w:spacing w:line="240" w:lineRule="auto"/>
        <w:ind w:left="284" w:hanging="284"/>
        <w:rPr>
          <w:szCs w:val="19"/>
        </w:rPr>
      </w:pPr>
      <w:r w:rsidRPr="00F5723F">
        <w:rPr>
          <w:szCs w:val="19"/>
        </w:rPr>
        <w:t xml:space="preserve">Wängnerud, </w:t>
      </w:r>
      <w:smartTag w:uri="urn:schemas-microsoft-com:office:smarttags" w:element="place">
        <w:r w:rsidRPr="00F5723F">
          <w:rPr>
            <w:szCs w:val="19"/>
          </w:rPr>
          <w:t>Lena</w:t>
        </w:r>
      </w:smartTag>
      <w:r w:rsidRPr="00F5723F">
        <w:rPr>
          <w:szCs w:val="19"/>
        </w:rPr>
        <w:t xml:space="preserve"> (2000), ”Representing Women” i Peter Esaiasso</w:t>
      </w:r>
      <w:r w:rsidRPr="00F5723F">
        <w:rPr>
          <w:szCs w:val="19"/>
        </w:rPr>
        <w:t>n och Knut Heider</w:t>
      </w:r>
      <w:r w:rsidRPr="00F5723F">
        <w:rPr>
          <w:szCs w:val="19"/>
        </w:rPr>
        <w:t xml:space="preserve">. </w:t>
      </w:r>
      <w:r w:rsidRPr="00F5723F">
        <w:rPr>
          <w:i/>
          <w:szCs w:val="19"/>
        </w:rPr>
        <w:t xml:space="preserve">Beyond </w:t>
      </w:r>
      <w:smartTag w:uri="urn:schemas-microsoft-com:office:smarttags" w:element="City">
        <w:smartTag w:uri="urn:schemas-microsoft-com:office:smarttags" w:element="place">
          <w:r w:rsidRPr="00F5723F">
            <w:rPr>
              <w:i/>
              <w:szCs w:val="19"/>
            </w:rPr>
            <w:t>Westminster</w:t>
          </w:r>
        </w:smartTag>
      </w:smartTag>
      <w:r w:rsidRPr="00F5723F">
        <w:rPr>
          <w:i/>
          <w:szCs w:val="19"/>
        </w:rPr>
        <w:t xml:space="preserve"> and Congress: The Nordic Experience.</w:t>
      </w:r>
      <w:r w:rsidRPr="00F5723F">
        <w:rPr>
          <w:szCs w:val="19"/>
        </w:rPr>
        <w:t xml:space="preserve"> </w:t>
      </w:r>
      <w:r w:rsidRPr="00F5723F">
        <w:rPr>
          <w:szCs w:val="19"/>
        </w:rPr>
        <w:t>Ohio State Unive</w:t>
      </w:r>
      <w:r w:rsidRPr="00F5723F">
        <w:rPr>
          <w:szCs w:val="19"/>
        </w:rPr>
        <w:t>r</w:t>
      </w:r>
      <w:r w:rsidRPr="00F5723F">
        <w:rPr>
          <w:szCs w:val="19"/>
        </w:rPr>
        <w:t xml:space="preserve">sity Press, sid. 132–154. </w:t>
      </w:r>
    </w:p>
    <w:p w:rsidR="00B43C57" w:rsidRPr="00F5723F" w:rsidRDefault="00B43C57">
      <w:pPr>
        <w:spacing w:line="240" w:lineRule="auto"/>
        <w:ind w:left="284" w:hanging="284"/>
        <w:rPr>
          <w:szCs w:val="19"/>
        </w:rPr>
      </w:pPr>
      <w:r w:rsidRPr="00F5723F">
        <w:rPr>
          <w:szCs w:val="19"/>
        </w:rPr>
        <w:t xml:space="preserve">Wängnerud, Lena (1999a), </w:t>
      </w:r>
      <w:r w:rsidRPr="00F5723F">
        <w:rPr>
          <w:i/>
          <w:szCs w:val="19"/>
        </w:rPr>
        <w:t>Kvinnorepresentation: makt och möjligheter i Sveriges Riksdag.</w:t>
      </w:r>
      <w:r w:rsidRPr="00F5723F">
        <w:rPr>
          <w:szCs w:val="19"/>
        </w:rPr>
        <w:t xml:space="preserve"> Lund: Studentlitteratur.</w:t>
      </w:r>
    </w:p>
    <w:p w:rsidR="00B43C57" w:rsidRPr="00F5723F" w:rsidRDefault="00B43C57">
      <w:pPr>
        <w:spacing w:line="240" w:lineRule="auto"/>
        <w:ind w:left="284" w:hanging="284"/>
        <w:rPr>
          <w:szCs w:val="19"/>
        </w:rPr>
      </w:pPr>
      <w:r w:rsidRPr="00F5723F">
        <w:rPr>
          <w:szCs w:val="19"/>
        </w:rPr>
        <w:t>Wängnerud, Lena (1999b), ”Kön och personröstning” i Sören</w:t>
      </w:r>
      <w:r w:rsidRPr="00F5723F">
        <w:rPr>
          <w:szCs w:val="19"/>
        </w:rPr>
        <w:t xml:space="preserve"> Holmberg och Tommy Möller red.</w:t>
      </w:r>
      <w:r w:rsidRPr="00F5723F">
        <w:rPr>
          <w:i/>
          <w:szCs w:val="19"/>
        </w:rPr>
        <w:t>SOU 1999:92 Premiär för personval.</w:t>
      </w:r>
      <w:r w:rsidRPr="00F5723F">
        <w:rPr>
          <w:szCs w:val="19"/>
        </w:rPr>
        <w:t xml:space="preserve"> Stockholm: Fritzes.</w:t>
      </w:r>
    </w:p>
    <w:p w:rsidR="00B43C57" w:rsidRPr="00F5723F" w:rsidRDefault="00B43C57">
      <w:pPr>
        <w:spacing w:line="240" w:lineRule="auto"/>
        <w:ind w:left="284" w:hanging="284"/>
        <w:rPr>
          <w:szCs w:val="19"/>
        </w:rPr>
      </w:pPr>
      <w:r w:rsidRPr="00F5723F">
        <w:rPr>
          <w:szCs w:val="19"/>
        </w:rPr>
        <w:t>Wängnerud</w:t>
      </w:r>
      <w:r w:rsidRPr="00F5723F">
        <w:rPr>
          <w:i/>
          <w:szCs w:val="19"/>
        </w:rPr>
        <w:t xml:space="preserve">, </w:t>
      </w:r>
      <w:r w:rsidRPr="00F5723F">
        <w:rPr>
          <w:szCs w:val="19"/>
        </w:rPr>
        <w:t xml:space="preserve">Lena </w:t>
      </w:r>
      <w:r w:rsidRPr="00F5723F">
        <w:rPr>
          <w:i/>
          <w:szCs w:val="19"/>
        </w:rPr>
        <w:t>(</w:t>
      </w:r>
      <w:r w:rsidRPr="00F5723F">
        <w:rPr>
          <w:szCs w:val="19"/>
        </w:rPr>
        <w:t xml:space="preserve">1998), </w:t>
      </w:r>
      <w:r w:rsidRPr="00F5723F">
        <w:rPr>
          <w:i/>
          <w:szCs w:val="19"/>
        </w:rPr>
        <w:t>Politikens andra sida. Om k</w:t>
      </w:r>
      <w:r w:rsidRPr="00F5723F">
        <w:rPr>
          <w:i/>
          <w:szCs w:val="19"/>
        </w:rPr>
        <w:t>vinnorepresentation i Sveriges r</w:t>
      </w:r>
      <w:r w:rsidRPr="00F5723F">
        <w:rPr>
          <w:i/>
          <w:szCs w:val="19"/>
        </w:rPr>
        <w:t>iksdag</w:t>
      </w:r>
      <w:r w:rsidRPr="00F5723F">
        <w:rPr>
          <w:szCs w:val="19"/>
        </w:rPr>
        <w:t>. Göteborgs u</w:t>
      </w:r>
      <w:r w:rsidRPr="00F5723F">
        <w:rPr>
          <w:szCs w:val="19"/>
        </w:rPr>
        <w:t>niversitet: Göteborg Studies in Politics 53.</w:t>
      </w:r>
    </w:p>
    <w:p w:rsidR="00B43C57" w:rsidRPr="00F5723F" w:rsidRDefault="00B43C57">
      <w:pPr>
        <w:spacing w:line="240" w:lineRule="auto"/>
        <w:ind w:left="284" w:hanging="284"/>
        <w:rPr>
          <w:szCs w:val="19"/>
        </w:rPr>
      </w:pPr>
      <w:r w:rsidRPr="00F5723F">
        <w:rPr>
          <w:szCs w:val="19"/>
        </w:rPr>
        <w:t>Wängnerud, Lena (1997a), ”’Varannan damernas’ i riksdagens utskott” i Ingvar Mattson och Lena Wängnerud (red.),</w:t>
      </w:r>
      <w:r w:rsidRPr="00F5723F">
        <w:rPr>
          <w:i/>
          <w:szCs w:val="19"/>
        </w:rPr>
        <w:t xml:space="preserve"> Riksdagen på nära håll.</w:t>
      </w:r>
      <w:r w:rsidRPr="00F5723F">
        <w:rPr>
          <w:szCs w:val="19"/>
        </w:rPr>
        <w:t xml:space="preserve"> Stockholm: SNS Förlag. </w:t>
      </w:r>
    </w:p>
    <w:p w:rsidR="00B43C57" w:rsidRPr="00F5723F" w:rsidRDefault="00B43C57">
      <w:pPr>
        <w:spacing w:line="240" w:lineRule="auto"/>
        <w:ind w:left="284" w:hanging="284"/>
        <w:rPr>
          <w:szCs w:val="19"/>
        </w:rPr>
      </w:pPr>
      <w:r w:rsidRPr="00F5723F">
        <w:rPr>
          <w:szCs w:val="19"/>
        </w:rPr>
        <w:t>Wängnerud, Lena (1997b), ”Ekonomisk politik: ett manligt maktområde i riksdagen” i</w:t>
      </w:r>
      <w:r w:rsidRPr="00F5723F">
        <w:rPr>
          <w:szCs w:val="19"/>
        </w:rPr>
        <w:t xml:space="preserve"> </w:t>
      </w:r>
      <w:r w:rsidRPr="00F5723F">
        <w:rPr>
          <w:i/>
          <w:szCs w:val="19"/>
        </w:rPr>
        <w:t>SOU 1997:114 Styrsystem och jämställdhet: Institutioner i förändring och kön</w:t>
      </w:r>
      <w:r w:rsidRPr="00F5723F">
        <w:rPr>
          <w:i/>
          <w:szCs w:val="19"/>
        </w:rPr>
        <w:t>s</w:t>
      </w:r>
      <w:r w:rsidRPr="00F5723F">
        <w:rPr>
          <w:i/>
          <w:szCs w:val="19"/>
        </w:rPr>
        <w:t>maktens framtid.</w:t>
      </w:r>
      <w:r w:rsidRPr="00F5723F">
        <w:rPr>
          <w:szCs w:val="19"/>
        </w:rPr>
        <w:t xml:space="preserve"> Stockholm: Fritzes.</w:t>
      </w:r>
    </w:p>
    <w:p w:rsidR="00B43C57" w:rsidRPr="00F5723F" w:rsidRDefault="00B43C57">
      <w:pPr>
        <w:spacing w:line="240" w:lineRule="auto"/>
        <w:ind w:left="284" w:hanging="284"/>
        <w:rPr>
          <w:szCs w:val="19"/>
        </w:rPr>
      </w:pPr>
      <w:r w:rsidRPr="00F5723F">
        <w:rPr>
          <w:szCs w:val="19"/>
        </w:rPr>
        <w:t xml:space="preserve">Wängnerud, Lena (1996), ”Intressen kontra stereotyper. Varför finns det kvinnliga och manliga politikområden i riksdagen?” </w:t>
      </w:r>
      <w:r w:rsidRPr="00F5723F">
        <w:rPr>
          <w:i/>
          <w:szCs w:val="19"/>
        </w:rPr>
        <w:t>Statsvetenskaplig Tidskrift</w:t>
      </w:r>
      <w:r w:rsidRPr="00F5723F">
        <w:rPr>
          <w:szCs w:val="19"/>
        </w:rPr>
        <w:t xml:space="preserve"> 1996, årg. 99 nr 2, sid. 129–</w:t>
      </w:r>
      <w:r w:rsidRPr="00F5723F">
        <w:rPr>
          <w:szCs w:val="19"/>
        </w:rPr>
        <w:t>149.</w:t>
      </w:r>
    </w:p>
    <w:p w:rsidR="00B43C57" w:rsidRPr="00F5723F" w:rsidRDefault="00B43C57">
      <w:pPr>
        <w:spacing w:line="240" w:lineRule="auto"/>
        <w:ind w:left="284" w:hanging="284"/>
        <w:rPr>
          <w:szCs w:val="19"/>
        </w:rPr>
      </w:pPr>
      <w:r w:rsidRPr="00F5723F">
        <w:rPr>
          <w:szCs w:val="19"/>
        </w:rPr>
        <w:t xml:space="preserve">Ås, Berit (1978), Hersketeknikker. </w:t>
      </w:r>
      <w:r w:rsidRPr="00F5723F">
        <w:rPr>
          <w:i/>
          <w:szCs w:val="19"/>
        </w:rPr>
        <w:t>Kjerringråd.</w:t>
      </w:r>
      <w:r w:rsidRPr="00F5723F">
        <w:rPr>
          <w:szCs w:val="19"/>
        </w:rPr>
        <w:t xml:space="preserve"> Nr. 3. s. 17–</w:t>
      </w:r>
      <w:r w:rsidRPr="00F5723F">
        <w:rPr>
          <w:szCs w:val="19"/>
        </w:rPr>
        <w:t>21.</w:t>
      </w:r>
    </w:p>
    <w:p w:rsidR="00B43C57" w:rsidRPr="00F5723F" w:rsidRDefault="00B43C57">
      <w:pPr>
        <w:spacing w:line="240" w:lineRule="auto"/>
        <w:ind w:left="284" w:hanging="284"/>
        <w:rPr>
          <w:szCs w:val="19"/>
        </w:rPr>
      </w:pPr>
      <w:r w:rsidRPr="00F5723F">
        <w:rPr>
          <w:szCs w:val="19"/>
        </w:rPr>
        <w:t>Ås, Berit (1982),</w:t>
      </w:r>
      <w:r w:rsidRPr="00F5723F">
        <w:rPr>
          <w:i/>
          <w:szCs w:val="19"/>
        </w:rPr>
        <w:t xml:space="preserve"> Kvinnor tillsammans. Handbok i frigörelse.</w:t>
      </w:r>
      <w:r w:rsidRPr="00F5723F">
        <w:rPr>
          <w:szCs w:val="19"/>
        </w:rPr>
        <w:t xml:space="preserve"> Stockholm: Gidlunds.</w:t>
      </w:r>
    </w:p>
    <w:p w:rsidR="00B43C57" w:rsidRPr="00F5723F" w:rsidRDefault="00B43C57">
      <w:pPr>
        <w:pStyle w:val="Fotnotstext"/>
        <w:spacing w:line="240" w:lineRule="auto"/>
        <w:ind w:left="284" w:hanging="284"/>
        <w:rPr>
          <w:sz w:val="19"/>
          <w:szCs w:val="19"/>
        </w:rPr>
      </w:pPr>
      <w:r w:rsidRPr="00F5723F">
        <w:rPr>
          <w:sz w:val="19"/>
          <w:szCs w:val="19"/>
        </w:rPr>
        <w:t xml:space="preserve">Ås, Berit (1992), </w:t>
      </w:r>
      <w:r w:rsidRPr="00F5723F">
        <w:rPr>
          <w:i/>
          <w:sz w:val="19"/>
          <w:szCs w:val="19"/>
        </w:rPr>
        <w:t>De fem härskarteknikerna (videouppta</w:t>
      </w:r>
      <w:r w:rsidRPr="00F5723F">
        <w:rPr>
          <w:i/>
          <w:sz w:val="19"/>
          <w:szCs w:val="19"/>
        </w:rPr>
        <w:t>g</w:t>
      </w:r>
      <w:r w:rsidRPr="00F5723F">
        <w:rPr>
          <w:i/>
          <w:sz w:val="19"/>
          <w:szCs w:val="19"/>
        </w:rPr>
        <w:t>ning): en teori om maktens språk</w:t>
      </w:r>
      <w:r w:rsidRPr="00F5723F">
        <w:rPr>
          <w:sz w:val="19"/>
          <w:szCs w:val="19"/>
        </w:rPr>
        <w:t>. Växjö: Växjö kommuns jämställdhetskommi</w:t>
      </w:r>
      <w:r w:rsidRPr="00F5723F">
        <w:rPr>
          <w:sz w:val="19"/>
          <w:szCs w:val="19"/>
        </w:rPr>
        <w:t>t</w:t>
      </w:r>
      <w:r w:rsidRPr="00F5723F">
        <w:rPr>
          <w:sz w:val="19"/>
          <w:szCs w:val="19"/>
        </w:rPr>
        <w:t>té.</w:t>
      </w:r>
    </w:p>
    <w:p w:rsidR="00B43C57" w:rsidRPr="00F5723F" w:rsidRDefault="00B43C57">
      <w:pPr>
        <w:spacing w:line="240" w:lineRule="auto"/>
        <w:ind w:left="284" w:hanging="284"/>
        <w:rPr>
          <w:szCs w:val="19"/>
        </w:rPr>
      </w:pPr>
      <w:r w:rsidRPr="00F5723F">
        <w:rPr>
          <w:szCs w:val="19"/>
        </w:rPr>
        <w:t xml:space="preserve">Östberg, Kjell (1997), </w:t>
      </w:r>
      <w:r w:rsidRPr="00F5723F">
        <w:rPr>
          <w:i/>
          <w:szCs w:val="19"/>
        </w:rPr>
        <w:t>Efter rösträtten – kvinnors utrymme efter det demokr</w:t>
      </w:r>
      <w:r w:rsidRPr="00F5723F">
        <w:rPr>
          <w:i/>
          <w:szCs w:val="19"/>
        </w:rPr>
        <w:t>a</w:t>
      </w:r>
      <w:r w:rsidRPr="00F5723F">
        <w:rPr>
          <w:i/>
          <w:szCs w:val="19"/>
        </w:rPr>
        <w:t>tiska geno</w:t>
      </w:r>
      <w:r w:rsidRPr="00F5723F">
        <w:rPr>
          <w:i/>
          <w:szCs w:val="19"/>
        </w:rPr>
        <w:t>m</w:t>
      </w:r>
      <w:r w:rsidRPr="00F5723F">
        <w:rPr>
          <w:i/>
          <w:szCs w:val="19"/>
        </w:rPr>
        <w:t>brottet</w:t>
      </w:r>
      <w:r w:rsidRPr="00F5723F">
        <w:rPr>
          <w:szCs w:val="19"/>
        </w:rPr>
        <w:t>.</w:t>
      </w:r>
      <w:r w:rsidRPr="00F5723F">
        <w:rPr>
          <w:szCs w:val="19"/>
        </w:rPr>
        <w:t xml:space="preserve"> Stockholm.</w:t>
      </w:r>
    </w:p>
    <w:p w:rsidR="00B43C57" w:rsidRPr="00F5723F" w:rsidRDefault="00B43C57">
      <w:pPr>
        <w:spacing w:line="240" w:lineRule="auto"/>
        <w:ind w:left="284" w:hanging="284"/>
        <w:rPr>
          <w:szCs w:val="19"/>
        </w:rPr>
      </w:pPr>
    </w:p>
    <w:p w:rsidR="00B43C57" w:rsidRPr="00F5723F" w:rsidRDefault="00B43C57">
      <w:pPr>
        <w:spacing w:line="240" w:lineRule="auto"/>
        <w:ind w:left="284" w:hanging="284"/>
        <w:rPr>
          <w:szCs w:val="19"/>
        </w:rPr>
      </w:pPr>
      <w:r w:rsidRPr="00F5723F">
        <w:rPr>
          <w:szCs w:val="19"/>
        </w:rPr>
        <w:t>www. ipu.org</w:t>
      </w:r>
    </w:p>
    <w:p w:rsidR="00B43C57" w:rsidRPr="00F5723F" w:rsidRDefault="00B43C57">
      <w:pPr>
        <w:spacing w:line="240" w:lineRule="auto"/>
        <w:ind w:left="284" w:hanging="284"/>
        <w:rPr>
          <w:szCs w:val="19"/>
        </w:rPr>
      </w:pPr>
      <w:r w:rsidRPr="00F5723F">
        <w:rPr>
          <w:szCs w:val="19"/>
        </w:rPr>
        <w:t>www.kilden.forskningsradet.no</w:t>
      </w:r>
    </w:p>
    <w:p w:rsidR="00B43C57" w:rsidRPr="00F5723F" w:rsidRDefault="00B43C57">
      <w:pPr>
        <w:spacing w:line="240" w:lineRule="auto"/>
        <w:ind w:left="284" w:hanging="284"/>
        <w:rPr>
          <w:szCs w:val="19"/>
        </w:rPr>
      </w:pPr>
      <w:r w:rsidRPr="00F5723F">
        <w:rPr>
          <w:szCs w:val="19"/>
        </w:rPr>
        <w:t>www.maktutredningen.no</w:t>
      </w:r>
    </w:p>
    <w:p w:rsidR="00B43C57" w:rsidRPr="00F5723F" w:rsidRDefault="00B43C57">
      <w:pPr>
        <w:spacing w:line="240" w:lineRule="auto"/>
        <w:ind w:left="284" w:hanging="284"/>
        <w:rPr>
          <w:szCs w:val="19"/>
        </w:rPr>
      </w:pPr>
      <w:r w:rsidRPr="00F5723F">
        <w:rPr>
          <w:szCs w:val="19"/>
        </w:rPr>
        <w:t>www. ps.au.dk/magtudredningen</w:t>
      </w:r>
    </w:p>
    <w:p w:rsidR="00B43C57" w:rsidRPr="00F5723F" w:rsidRDefault="00B43C57">
      <w:pPr>
        <w:spacing w:line="240" w:lineRule="auto"/>
        <w:ind w:left="284" w:hanging="284"/>
        <w:rPr>
          <w:szCs w:val="19"/>
        </w:rPr>
      </w:pPr>
      <w:r w:rsidRPr="00F5723F">
        <w:rPr>
          <w:szCs w:val="19"/>
        </w:rPr>
        <w:t>www.quotaproject.org</w:t>
      </w:r>
    </w:p>
    <w:p w:rsidR="00B43C57" w:rsidRPr="00F5723F" w:rsidRDefault="00B43C57">
      <w:pPr>
        <w:spacing w:line="240" w:lineRule="auto"/>
        <w:ind w:left="284" w:hanging="284"/>
        <w:rPr>
          <w:szCs w:val="19"/>
        </w:rPr>
      </w:pPr>
      <w:r w:rsidRPr="00F5723F">
        <w:rPr>
          <w:szCs w:val="19"/>
        </w:rPr>
        <w:t>www.statsvet.su.se/quotas</w:t>
      </w:r>
    </w:p>
    <w:p w:rsidR="00B43C57" w:rsidRPr="00F5723F" w:rsidRDefault="00B43C57">
      <w:pPr>
        <w:spacing w:line="240" w:lineRule="auto"/>
        <w:ind w:left="284" w:hanging="284"/>
        <w:rPr>
          <w:szCs w:val="19"/>
        </w:rPr>
      </w:pPr>
      <w:r w:rsidRPr="00F5723F">
        <w:rPr>
          <w:szCs w:val="19"/>
        </w:rPr>
        <w:t>www. svekom.se</w:t>
      </w:r>
    </w:p>
    <w:p w:rsidR="00B43C57" w:rsidRPr="00F5723F" w:rsidRDefault="00B43C57"/>
    <w:p w:rsidR="00B43C57" w:rsidRPr="00F5723F" w:rsidRDefault="00B43C57"/>
    <w:p w:rsidR="00B43C57" w:rsidRPr="00F5723F" w:rsidRDefault="00B43C57">
      <w:pPr>
        <w:pStyle w:val="Fotnotstext"/>
      </w:pPr>
    </w:p>
    <w:p w:rsidR="00B43C57" w:rsidRPr="00F5723F" w:rsidRDefault="00B43C57">
      <w:pPr>
        <w:pStyle w:val="Fotnotstext"/>
      </w:pPr>
    </w:p>
    <w:p w:rsidR="00B43C57" w:rsidRPr="00F5723F" w:rsidRDefault="00B43C57"/>
    <w:p w:rsidR="00B43C57" w:rsidRPr="00F5723F" w:rsidRDefault="00B43C57">
      <w:pPr>
        <w:pStyle w:val="Fotnotstext"/>
        <w:rPr>
          <w:rFonts w:ascii="Garamond" w:hAnsi="Garamond"/>
        </w:rPr>
      </w:pPr>
    </w:p>
    <w:p w:rsidR="00B43C57" w:rsidRPr="00F5723F" w:rsidRDefault="00B43C57">
      <w:pPr>
        <w:pStyle w:val="Rubrik1"/>
        <w:rPr>
          <w:b/>
          <w:noProof w:val="0"/>
        </w:rPr>
      </w:pPr>
      <w:r w:rsidRPr="00F5723F">
        <w:rPr>
          <w:noProof w:val="0"/>
        </w:rPr>
        <w:br w:type="page"/>
      </w:r>
      <w:bookmarkStart w:id="372" w:name="_Toc124697926"/>
      <w:r w:rsidRPr="00F5723F">
        <w:rPr>
          <w:b/>
          <w:noProof w:val="0"/>
        </w:rPr>
        <w:t>Författarpresentationer</w:t>
      </w:r>
      <w:bookmarkEnd w:id="371"/>
      <w:bookmarkEnd w:id="372"/>
    </w:p>
    <w:p w:rsidR="00B43C57" w:rsidRPr="00F5723F" w:rsidRDefault="00B43C57"/>
    <w:p w:rsidR="00B43C57" w:rsidRPr="00F5723F" w:rsidRDefault="00B43C57">
      <w:r w:rsidRPr="00F5723F">
        <w:rPr>
          <w:i/>
        </w:rPr>
        <w:t>Martin Brothén</w:t>
      </w:r>
      <w:r w:rsidRPr="00F5723F">
        <w:t>, fil</w:t>
      </w:r>
      <w:r w:rsidRPr="00F5723F">
        <w:t>.</w:t>
      </w:r>
      <w:r w:rsidRPr="00F5723F">
        <w:t xml:space="preserve"> dr i statsvetenskap, är föredragande vid riksdagens utr</w:t>
      </w:r>
      <w:r w:rsidRPr="00F5723F">
        <w:t>i</w:t>
      </w:r>
      <w:r w:rsidRPr="00F5723F">
        <w:t>kesu</w:t>
      </w:r>
      <w:r w:rsidRPr="00F5723F">
        <w:t>t</w:t>
      </w:r>
      <w:r w:rsidRPr="00F5723F">
        <w:t>skott och huvudsekreterare i Riksdagskommittén. Inom ramen</w:t>
      </w:r>
      <w:r w:rsidRPr="00F5723F">
        <w:t xml:space="preserve"> för ett forskningsprojekt vid s</w:t>
      </w:r>
      <w:r w:rsidRPr="00F5723F">
        <w:t>tatsvetenskapliga institutionen vid Göteborgs univers</w:t>
      </w:r>
      <w:r w:rsidRPr="00F5723F">
        <w:t>i</w:t>
      </w:r>
      <w:r w:rsidRPr="00F5723F">
        <w:t>tet studerar han förtr</w:t>
      </w:r>
      <w:r w:rsidRPr="00F5723F">
        <w:t>o</w:t>
      </w:r>
      <w:r w:rsidRPr="00F5723F">
        <w:t>endet för riksdagen.</w:t>
      </w:r>
    </w:p>
    <w:p w:rsidR="00B43C57" w:rsidRPr="00F5723F" w:rsidRDefault="00B43C57"/>
    <w:p w:rsidR="00B43C57" w:rsidRPr="00F5723F" w:rsidRDefault="00B43C57">
      <w:r w:rsidRPr="00F5723F">
        <w:rPr>
          <w:i/>
        </w:rPr>
        <w:t>Lenita Freidenvall</w:t>
      </w:r>
      <w:r w:rsidRPr="00F5723F">
        <w:t xml:space="preserve"> är </w:t>
      </w:r>
      <w:r w:rsidRPr="00F5723F">
        <w:t>doktorand i statsvetenskap vid s</w:t>
      </w:r>
      <w:r w:rsidRPr="00F5723F">
        <w:t>tatsvetenskapliga inst</w:t>
      </w:r>
      <w:r w:rsidRPr="00F5723F">
        <w:t>i</w:t>
      </w:r>
      <w:r w:rsidRPr="00F5723F">
        <w:t>tutionen vid Stockholms universitet. Hennes forskning är inriktad på kvinnors politiska representation i Sv</w:t>
      </w:r>
      <w:r w:rsidRPr="00F5723F">
        <w:t>e</w:t>
      </w:r>
      <w:r w:rsidRPr="00F5723F">
        <w:t>rige under perioden 1970–</w:t>
      </w:r>
      <w:r w:rsidRPr="00F5723F">
        <w:t>2002. Hon ingå</w:t>
      </w:r>
      <w:r w:rsidRPr="00F5723F">
        <w:t>r i forskningsprojektet ”Quotas –</w:t>
      </w:r>
      <w:r w:rsidRPr="00F5723F">
        <w:t xml:space="preserve"> A Key to Eq</w:t>
      </w:r>
      <w:r w:rsidRPr="00F5723F">
        <w:t>uality?” vid den s</w:t>
      </w:r>
      <w:r w:rsidRPr="00F5723F">
        <w:t>tatsvetenskapl</w:t>
      </w:r>
      <w:r w:rsidRPr="00F5723F">
        <w:t>i</w:t>
      </w:r>
      <w:r w:rsidRPr="00F5723F">
        <w:t>ga instit</w:t>
      </w:r>
      <w:r w:rsidRPr="00F5723F">
        <w:t>u</w:t>
      </w:r>
      <w:r w:rsidRPr="00F5723F">
        <w:t>tionen, Stockholms universitet.</w:t>
      </w:r>
    </w:p>
    <w:p w:rsidR="00B43C57" w:rsidRPr="00F5723F" w:rsidRDefault="00B43C57"/>
    <w:p w:rsidR="00B43C57" w:rsidRPr="00F5723F" w:rsidRDefault="00B43C57">
      <w:r w:rsidRPr="00F5723F">
        <w:rPr>
          <w:i/>
        </w:rPr>
        <w:t>Mikael Gilljam</w:t>
      </w:r>
      <w:r w:rsidRPr="00F5723F">
        <w:t xml:space="preserve"> är professor i statsvetenskap vid Göteborgs universitet. Hans huvudsakliga intresseområden är opinion och demokrati, valforskning och forskningsmetoder.</w:t>
      </w:r>
    </w:p>
    <w:p w:rsidR="00B43C57" w:rsidRPr="00F5723F" w:rsidRDefault="00B43C57"/>
    <w:p w:rsidR="00B43C57" w:rsidRPr="00F5723F" w:rsidRDefault="00B43C57">
      <w:r w:rsidRPr="00F5723F">
        <w:rPr>
          <w:i/>
        </w:rPr>
        <w:t>Kai Kronvall</w:t>
      </w:r>
      <w:r w:rsidRPr="00F5723F">
        <w:t>, fil</w:t>
      </w:r>
      <w:r w:rsidRPr="00F5723F">
        <w:t>.</w:t>
      </w:r>
      <w:r w:rsidRPr="00F5723F">
        <w:t xml:space="preserve"> dr i statsvetenskap, har varit föredragande vid riksdagens ko</w:t>
      </w:r>
      <w:r w:rsidRPr="00F5723F">
        <w:t>n</w:t>
      </w:r>
      <w:r w:rsidRPr="00F5723F">
        <w:t xml:space="preserve">stitutionsutskott. </w:t>
      </w:r>
    </w:p>
    <w:p w:rsidR="00B43C57" w:rsidRPr="00F5723F" w:rsidRDefault="00B43C57"/>
    <w:p w:rsidR="00B43C57" w:rsidRPr="00F5723F" w:rsidRDefault="00B43C57">
      <w:r w:rsidRPr="00F5723F">
        <w:rPr>
          <w:i/>
        </w:rPr>
        <w:t>Peder Nielsen</w:t>
      </w:r>
      <w:r w:rsidRPr="00F5723F">
        <w:t>, fil</w:t>
      </w:r>
      <w:r w:rsidRPr="00F5723F">
        <w:t>.</w:t>
      </w:r>
      <w:r w:rsidRPr="00F5723F">
        <w:t xml:space="preserve"> dr i statsvetenskap, är föredragande vid riksdagens konst</w:t>
      </w:r>
      <w:r w:rsidRPr="00F5723F">
        <w:t>i</w:t>
      </w:r>
      <w:r w:rsidRPr="00F5723F">
        <w:t>tutionsutskott. Han har tidigare bland annat varit verksam som sekreterare i den parl</w:t>
      </w:r>
      <w:r w:rsidRPr="00F5723F">
        <w:t>a</w:t>
      </w:r>
      <w:r w:rsidRPr="00F5723F">
        <w:t>mentariskt sammansatta Kommundemokratikommittén.</w:t>
      </w:r>
    </w:p>
    <w:p w:rsidR="00B43C57" w:rsidRPr="00F5723F" w:rsidRDefault="00B43C57">
      <w:pPr>
        <w:pStyle w:val="Tryckort"/>
        <w:framePr w:wrap="around"/>
        <w:jc w:val="right"/>
      </w:pPr>
      <w:r w:rsidRPr="00F5723F">
        <w:t>Elanders Gotab, Stockholm  2006</w:t>
      </w:r>
    </w:p>
    <w:p w:rsidR="00B43C57" w:rsidRPr="00F5723F" w:rsidRDefault="00B43C57">
      <w:pPr>
        <w:pStyle w:val="Normaltindrag"/>
      </w:pPr>
    </w:p>
    <w:sectPr w:rsidR="00B43C57" w:rsidRPr="00F5723F">
      <w:headerReference w:type="even" r:id="rId118"/>
      <w:headerReference w:type="default" r:id="rId119"/>
      <w:footerReference w:type="even" r:id="rId120"/>
      <w:footerReference w:type="default" r:id="rId121"/>
      <w:headerReference w:type="first" r:id="rId122"/>
      <w:footerReference w:type="first" r:id="rId12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3C57" w:rsidRPr="00F5723F" w:rsidRDefault="00B43C57">
      <w:r w:rsidRPr="00F5723F">
        <w:separator/>
      </w:r>
    </w:p>
  </w:endnote>
  <w:endnote w:type="continuationSeparator" w:id="0">
    <w:p w:rsidR="00B43C57" w:rsidRPr="00F5723F" w:rsidRDefault="00B43C57">
      <w:r w:rsidRPr="00F5723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mbo">
    <w:charset w:val="00"/>
    <w:family w:val="roman"/>
    <w:pitch w:val="variable"/>
    <w:sig w:usb0="8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GillSans">
    <w:altName w:val="Calibri"/>
    <w:panose1 w:val="00000000000000000000"/>
    <w:charset w:val="00"/>
    <w:family w:val="swiss"/>
    <w:notTrueType/>
    <w:pitch w:val="variable"/>
    <w:sig w:usb0="00000003" w:usb1="00000000" w:usb2="00000000" w:usb3="00000000" w:csb0="00000001" w:csb1="00000000"/>
  </w:font>
  <w:font w:name="Sabon">
    <w:altName w:val="Times New Roman"/>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2</w:t>
    </w:r>
    <w:r w:rsidRPr="00F5723F">
      <w:fldChar w:fldCharType="end"/>
    </w:r>
  </w:p>
  <w:p w:rsidR="00B43C57" w:rsidRPr="00F5723F" w:rsidRDefault="00B43C57">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14</w:t>
    </w:r>
    <w:r w:rsidRPr="00F5723F">
      <w:fldChar w:fldCharType="end"/>
    </w:r>
  </w:p>
  <w:p w:rsidR="00B43C57" w:rsidRPr="00F5723F" w:rsidRDefault="00B43C57">
    <w:pPr>
      <w:pStyle w:val="Sidfot"/>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25</w:t>
    </w:r>
    <w:r w:rsidRPr="00F5723F">
      <w:fldChar w:fldCharType="end"/>
    </w:r>
  </w:p>
  <w:p w:rsidR="00B43C57" w:rsidRPr="00F5723F" w:rsidRDefault="00B43C57">
    <w:pPr>
      <w:pStyle w:val="Sidfot"/>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44</w:t>
    </w:r>
    <w:r w:rsidRPr="00F5723F">
      <w:fldChar w:fldCharType="end"/>
    </w:r>
  </w:p>
  <w:p w:rsidR="00B43C57" w:rsidRPr="00F5723F" w:rsidRDefault="00B43C57">
    <w:pPr>
      <w:pStyle w:val="Sidfot"/>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45</w:t>
    </w:r>
    <w:r w:rsidRPr="00F5723F">
      <w:fldChar w:fldCharType="end"/>
    </w:r>
  </w:p>
  <w:p w:rsidR="00B43C57" w:rsidRPr="00F5723F" w:rsidRDefault="00B43C57">
    <w:pPr>
      <w:pStyle w:val="Sidfot"/>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00F5723F">
      <w:rPr>
        <w:noProof/>
      </w:rPr>
      <w:instrText>29</w:instrText>
    </w:r>
    <w:r w:rsidRPr="00F5723F">
      <w:fldChar w:fldCharType="end"/>
    </w:r>
    <w:r w:rsidRPr="00F5723F">
      <w:instrText xml:space="preserve">/2 </w:instrText>
    </w:r>
    <w:r w:rsidRPr="00F5723F">
      <w:fldChar w:fldCharType="separate"/>
    </w:r>
    <w:r w:rsidR="00F5723F">
      <w:rPr>
        <w:noProof/>
      </w:rPr>
      <w:instrText>14,5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00F5723F">
      <w:rPr>
        <w:noProof/>
      </w:rPr>
      <w:instrText>29</w:instrText>
    </w:r>
    <w:r w:rsidRPr="00F5723F">
      <w:fldChar w:fldCharType="end"/>
    </w:r>
    <w:r w:rsidRPr="00F5723F">
      <w:instrText xml:space="preserve">/2) </w:instrText>
    </w:r>
    <w:r w:rsidRPr="00F5723F">
      <w:fldChar w:fldCharType="separate"/>
    </w:r>
    <w:r w:rsidR="00F5723F">
      <w:rPr>
        <w:noProof/>
      </w:rPr>
      <w:instrText>14</w:instrText>
    </w:r>
    <w:r w:rsidRPr="00F5723F">
      <w:fldChar w:fldCharType="end"/>
    </w:r>
    <w:r w:rsidRPr="00F5723F">
      <w:fldChar w:fldCharType="separate"/>
    </w:r>
    <w:r w:rsidR="00F5723F">
      <w:rPr>
        <w:noProof/>
      </w:rPr>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30</w:instrText>
    </w:r>
    <w:r w:rsidRPr="00F5723F">
      <w:fldChar w:fldCharType="end"/>
    </w:r>
  </w:p>
  <w:p w:rsidR="00B43C57" w:rsidRPr="00F5723F" w:rsidRDefault="00B43C57">
    <w:pPr>
      <w:pStyle w:val="SidfotH"/>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00F5723F">
      <w:rPr>
        <w:noProof/>
      </w:rPr>
      <w:instrText>29</w:instrText>
    </w:r>
    <w:r w:rsidRPr="00F5723F">
      <w:fldChar w:fldCharType="end"/>
    </w:r>
    <w:r w:rsidRPr="00F5723F">
      <w:instrText>"</w:instrText>
    </w:r>
    <w:r w:rsidRPr="00F5723F">
      <w:fldChar w:fldCharType="separate"/>
    </w:r>
    <w:r w:rsidR="00F5723F">
      <w:rPr>
        <w:noProof/>
      </w:rPr>
      <w:t>29</w:t>
    </w:r>
    <w:r w:rsidRPr="00F5723F">
      <w:fldChar w:fldCharType="end"/>
    </w:r>
  </w:p>
  <w:p w:rsidR="00B43C57" w:rsidRPr="00F5723F" w:rsidRDefault="00B43C57">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132</w:t>
    </w:r>
    <w:r w:rsidRPr="00F5723F">
      <w:fldChar w:fldCharType="end"/>
    </w:r>
  </w:p>
  <w:p w:rsidR="00B43C57" w:rsidRPr="00F5723F" w:rsidRDefault="00B43C57">
    <w:pPr>
      <w:pStyle w:val="Sidfot"/>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133</w:t>
    </w:r>
    <w:r w:rsidRPr="00F5723F">
      <w:fldChar w:fldCharType="end"/>
    </w:r>
  </w:p>
  <w:p w:rsidR="00B43C57" w:rsidRPr="00F5723F" w:rsidRDefault="00B43C57">
    <w:pPr>
      <w:pStyle w:val="Sidfot"/>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124</w:instrText>
    </w:r>
    <w:r w:rsidRPr="00F5723F">
      <w:fldChar w:fldCharType="end"/>
    </w:r>
    <w:r w:rsidRPr="00F5723F">
      <w:instrText xml:space="preserve">/2 </w:instrText>
    </w:r>
    <w:r w:rsidRPr="00F5723F">
      <w:fldChar w:fldCharType="separate"/>
    </w:r>
    <w:r w:rsidRPr="00F5723F">
      <w:instrText>62</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124</w:instrText>
    </w:r>
    <w:r w:rsidRPr="00F5723F">
      <w:fldChar w:fldCharType="end"/>
    </w:r>
    <w:r w:rsidRPr="00F5723F">
      <w:instrText xml:space="preserve">/2) </w:instrText>
    </w:r>
    <w:r w:rsidRPr="00F5723F">
      <w:fldChar w:fldCharType="separate"/>
    </w:r>
    <w:r w:rsidRPr="00F5723F">
      <w:instrText>62</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124</w:instrText>
    </w:r>
    <w:r w:rsidRPr="00F5723F">
      <w:fldChar w:fldCharType="end"/>
    </w:r>
  </w:p>
  <w:p w:rsidR="00B43C57" w:rsidRPr="00F5723F" w:rsidRDefault="00B43C57">
    <w:pPr>
      <w:pStyle w:val="SidfotV"/>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125</w:instrText>
    </w:r>
    <w:r w:rsidRPr="00F5723F">
      <w:fldChar w:fldCharType="end"/>
    </w:r>
    <w:r w:rsidRPr="00F5723F">
      <w:instrText>"</w:instrText>
    </w:r>
    <w:r w:rsidRPr="00F5723F">
      <w:fldChar w:fldCharType="separate"/>
    </w:r>
    <w:r w:rsidRPr="00F5723F">
      <w:t>124</w:t>
    </w:r>
  </w:p>
  <w:p w:rsidR="00B43C57" w:rsidRPr="00F5723F" w:rsidRDefault="00B43C57">
    <w:pPr>
      <w:pStyle w:val="SidfotH"/>
      <w:framePr w:w="8732" w:h="284" w:hRule="exact" w:hSpace="0" w:vSpace="0" w:wrap="around" w:xAlign="inside" w:y="13042" w:anchorLock="0"/>
    </w:pPr>
    <w:r w:rsidRPr="00F5723F">
      <w:fldChar w:fldCharType="end"/>
    </w:r>
  </w:p>
  <w:p w:rsidR="00B43C57" w:rsidRPr="00F5723F" w:rsidRDefault="00B43C57">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152</w:t>
    </w:r>
    <w:r w:rsidRPr="00F5723F">
      <w:fldChar w:fldCharType="end"/>
    </w:r>
  </w:p>
  <w:p w:rsidR="00B43C57" w:rsidRPr="00F5723F" w:rsidRDefault="00B43C57">
    <w:pPr>
      <w:pStyle w:val="Sidfot"/>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141</w:t>
    </w:r>
    <w:r w:rsidRPr="00F5723F">
      <w:fldChar w:fldCharType="end"/>
    </w:r>
  </w:p>
  <w:p w:rsidR="00B43C57" w:rsidRPr="00F5723F" w:rsidRDefault="00B43C57">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7</w:t>
    </w:r>
    <w:r w:rsidRPr="00F5723F">
      <w:fldChar w:fldCharType="end"/>
    </w:r>
  </w:p>
  <w:p w:rsidR="00B43C57" w:rsidRPr="00F5723F" w:rsidRDefault="00B43C57">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140</w:instrText>
    </w:r>
    <w:r w:rsidRPr="00F5723F">
      <w:fldChar w:fldCharType="end"/>
    </w:r>
    <w:r w:rsidRPr="00F5723F">
      <w:instrText xml:space="preserve">/2 </w:instrText>
    </w:r>
    <w:r w:rsidRPr="00F5723F">
      <w:fldChar w:fldCharType="separate"/>
    </w:r>
    <w:r w:rsidRPr="00F5723F">
      <w:instrText>70</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140</w:instrText>
    </w:r>
    <w:r w:rsidRPr="00F5723F">
      <w:fldChar w:fldCharType="end"/>
    </w:r>
    <w:r w:rsidRPr="00F5723F">
      <w:instrText xml:space="preserve">/2) </w:instrText>
    </w:r>
    <w:r w:rsidRPr="00F5723F">
      <w:fldChar w:fldCharType="separate"/>
    </w:r>
    <w:r w:rsidRPr="00F5723F">
      <w:instrText>70</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140</w:instrText>
    </w:r>
    <w:r w:rsidRPr="00F5723F">
      <w:fldChar w:fldCharType="end"/>
    </w:r>
  </w:p>
  <w:p w:rsidR="00B43C57" w:rsidRPr="00F5723F" w:rsidRDefault="00B43C57">
    <w:pPr>
      <w:pStyle w:val="SidfotV"/>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141</w:instrText>
    </w:r>
    <w:r w:rsidRPr="00F5723F">
      <w:fldChar w:fldCharType="end"/>
    </w:r>
    <w:r w:rsidRPr="00F5723F">
      <w:instrText>"</w:instrText>
    </w:r>
    <w:r w:rsidRPr="00F5723F">
      <w:fldChar w:fldCharType="separate"/>
    </w:r>
    <w:r w:rsidRPr="00F5723F">
      <w:t>140</w:t>
    </w:r>
  </w:p>
  <w:p w:rsidR="00B43C57" w:rsidRPr="00F5723F" w:rsidRDefault="00B43C57">
    <w:pPr>
      <w:pStyle w:val="SidfotH"/>
      <w:framePr w:w="8732" w:h="284" w:hRule="exact" w:hSpace="0" w:vSpace="0" w:wrap="around" w:xAlign="inside" w:y="13042" w:anchorLock="0"/>
    </w:pPr>
    <w:r w:rsidRPr="00F5723F">
      <w:fldChar w:fldCharType="end"/>
    </w:r>
  </w:p>
  <w:p w:rsidR="00B43C57" w:rsidRPr="00F5723F" w:rsidRDefault="00B43C57">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283" w:h="5896" w:hRule="exact" w:hSpace="0" w:vSpace="0" w:wrap="around" w:x="3629" w:y="2949" w:anchorLock="0"/>
      <w:textDirection w:val="tbRl"/>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158</w:t>
    </w:r>
    <w:r w:rsidRPr="00F5723F">
      <w:fldChar w:fldCharType="end"/>
    </w:r>
  </w:p>
  <w:p w:rsidR="00B43C57" w:rsidRPr="00F5723F" w:rsidRDefault="00B43C57">
    <w:pPr>
      <w:pStyle w:val="Sidfot"/>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283" w:h="5896" w:hRule="exact" w:hSpace="0" w:vSpace="0" w:wrap="around" w:x="3629" w:y="2949" w:anchorLock="0"/>
      <w:textDirection w:val="tbRl"/>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157</w:t>
    </w:r>
    <w:r w:rsidRPr="00F5723F">
      <w:fldChar w:fldCharType="end"/>
    </w:r>
  </w:p>
  <w:p w:rsidR="00B43C57" w:rsidRPr="00F5723F" w:rsidRDefault="00B43C57">
    <w:pPr>
      <w:pStyle w:val="Sidfot"/>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283" w:h="5896" w:hRule="exact" w:hSpace="0" w:vSpace="0" w:wrap="around" w:x="3629" w:y="2949" w:anchorLock="0"/>
      <w:textDirection w:val="tbRl"/>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154</w:instrText>
    </w:r>
    <w:r w:rsidRPr="00F5723F">
      <w:fldChar w:fldCharType="end"/>
    </w:r>
    <w:r w:rsidRPr="00F5723F">
      <w:instrText xml:space="preserve">/2 </w:instrText>
    </w:r>
    <w:r w:rsidRPr="00F5723F">
      <w:fldChar w:fldCharType="separate"/>
    </w:r>
    <w:r w:rsidRPr="00F5723F">
      <w:instrText>77</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154</w:instrText>
    </w:r>
    <w:r w:rsidRPr="00F5723F">
      <w:fldChar w:fldCharType="end"/>
    </w:r>
    <w:r w:rsidRPr="00F5723F">
      <w:instrText xml:space="preserve">/2) </w:instrText>
    </w:r>
    <w:r w:rsidRPr="00F5723F">
      <w:fldChar w:fldCharType="separate"/>
    </w:r>
    <w:r w:rsidRPr="00F5723F">
      <w:instrText>77</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154</w:instrText>
    </w:r>
    <w:r w:rsidRPr="00F5723F">
      <w:fldChar w:fldCharType="end"/>
    </w:r>
  </w:p>
  <w:p w:rsidR="00B43C57" w:rsidRPr="00F5723F" w:rsidRDefault="00B43C57">
    <w:pPr>
      <w:pStyle w:val="SidfotV"/>
      <w:framePr w:w="283" w:h="5896" w:hRule="exact" w:hSpace="0" w:vSpace="0" w:wrap="around" w:x="3629" w:y="2949" w:anchorLock="0"/>
      <w:textDirection w:val="tbRl"/>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155</w:instrText>
    </w:r>
    <w:r w:rsidRPr="00F5723F">
      <w:fldChar w:fldCharType="end"/>
    </w:r>
    <w:r w:rsidRPr="00F5723F">
      <w:instrText>"</w:instrText>
    </w:r>
    <w:r w:rsidRPr="00F5723F">
      <w:fldChar w:fldCharType="separate"/>
    </w:r>
    <w:r w:rsidRPr="00F5723F">
      <w:t>154</w:t>
    </w:r>
  </w:p>
  <w:p w:rsidR="00B43C57" w:rsidRPr="00F5723F" w:rsidRDefault="00B43C57">
    <w:pPr>
      <w:pStyle w:val="SidfotH"/>
      <w:framePr w:w="283" w:h="5896" w:hRule="exact" w:hSpace="0" w:vSpace="0" w:wrap="around" w:x="3629" w:y="2949" w:anchorLock="0"/>
      <w:textDirection w:val="tbRl"/>
    </w:pPr>
    <w:r w:rsidRPr="00F5723F">
      <w:fldChar w:fldCharType="end"/>
    </w:r>
  </w:p>
  <w:p w:rsidR="00B43C57" w:rsidRPr="00F5723F" w:rsidRDefault="00B43C57">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156</w:t>
    </w:r>
    <w:r w:rsidRPr="00F5723F">
      <w:fldChar w:fldCharType="end"/>
    </w:r>
  </w:p>
  <w:p w:rsidR="00B43C57" w:rsidRPr="00F5723F" w:rsidRDefault="00B43C57">
    <w:pPr>
      <w:pStyle w:val="Sidfot"/>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155</w:t>
    </w:r>
    <w:r w:rsidRPr="00F5723F">
      <w:fldChar w:fldCharType="end"/>
    </w:r>
  </w:p>
  <w:p w:rsidR="00B43C57" w:rsidRPr="00F5723F" w:rsidRDefault="00B43C57">
    <w:pPr>
      <w:pStyle w:val="Sidfot"/>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162</w:instrText>
    </w:r>
    <w:r w:rsidRPr="00F5723F">
      <w:fldChar w:fldCharType="end"/>
    </w:r>
    <w:r w:rsidRPr="00F5723F">
      <w:instrText xml:space="preserve">/2 </w:instrText>
    </w:r>
    <w:r w:rsidRPr="00F5723F">
      <w:fldChar w:fldCharType="separate"/>
    </w:r>
    <w:r w:rsidRPr="00F5723F">
      <w:instrText>81</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162</w:instrText>
    </w:r>
    <w:r w:rsidRPr="00F5723F">
      <w:fldChar w:fldCharType="end"/>
    </w:r>
    <w:r w:rsidRPr="00F5723F">
      <w:instrText xml:space="preserve">/2) </w:instrText>
    </w:r>
    <w:r w:rsidRPr="00F5723F">
      <w:fldChar w:fldCharType="separate"/>
    </w:r>
    <w:r w:rsidRPr="00F5723F">
      <w:instrText>81</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162</w:instrText>
    </w:r>
    <w:r w:rsidRPr="00F5723F">
      <w:fldChar w:fldCharType="end"/>
    </w:r>
  </w:p>
  <w:p w:rsidR="00B43C57" w:rsidRPr="00F5723F" w:rsidRDefault="00B43C57">
    <w:pPr>
      <w:pStyle w:val="SidfotV"/>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163</w:instrText>
    </w:r>
    <w:r w:rsidRPr="00F5723F">
      <w:fldChar w:fldCharType="end"/>
    </w:r>
    <w:r w:rsidRPr="00F5723F">
      <w:instrText>"</w:instrText>
    </w:r>
    <w:r w:rsidRPr="00F5723F">
      <w:fldChar w:fldCharType="separate"/>
    </w:r>
    <w:r w:rsidRPr="00F5723F">
      <w:t>162</w:t>
    </w:r>
  </w:p>
  <w:p w:rsidR="00B43C57" w:rsidRPr="00F5723F" w:rsidRDefault="00B43C57">
    <w:pPr>
      <w:pStyle w:val="SidfotH"/>
      <w:framePr w:w="8732" w:h="284" w:hRule="exact" w:hSpace="0" w:vSpace="0" w:wrap="around" w:xAlign="inside" w:y="13042" w:anchorLock="0"/>
    </w:pPr>
    <w:r w:rsidRPr="00F5723F">
      <w:fldChar w:fldCharType="end"/>
    </w:r>
  </w:p>
  <w:p w:rsidR="00B43C57" w:rsidRPr="00F5723F" w:rsidRDefault="00B43C57">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164</w:t>
    </w:r>
    <w:r w:rsidRPr="00F5723F">
      <w:fldChar w:fldCharType="end"/>
    </w:r>
  </w:p>
  <w:p w:rsidR="00B43C57" w:rsidRPr="00F5723F" w:rsidRDefault="00B43C57">
    <w:pPr>
      <w:pStyle w:val="Sidfot"/>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165</w:instrText>
    </w:r>
    <w:r w:rsidRPr="00F5723F">
      <w:fldChar w:fldCharType="end"/>
    </w:r>
    <w:r w:rsidRPr="00F5723F">
      <w:instrText xml:space="preserve">/2 </w:instrText>
    </w:r>
    <w:r w:rsidRPr="00F5723F">
      <w:fldChar w:fldCharType="separate"/>
    </w:r>
    <w:r w:rsidRPr="00F5723F">
      <w:instrText>82,5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165</w:instrText>
    </w:r>
    <w:r w:rsidRPr="00F5723F">
      <w:fldChar w:fldCharType="end"/>
    </w:r>
    <w:r w:rsidRPr="00F5723F">
      <w:instrText xml:space="preserve">/2) </w:instrText>
    </w:r>
    <w:r w:rsidRPr="00F5723F">
      <w:fldChar w:fldCharType="separate"/>
    </w:r>
    <w:r w:rsidRPr="00F5723F">
      <w:instrText>82</w:instrText>
    </w:r>
    <w:r w:rsidRPr="00F5723F">
      <w:fldChar w:fldCharType="end"/>
    </w:r>
    <w:r w:rsidRPr="00F5723F">
      <w:fldChar w:fldCharType="separate"/>
    </w:r>
    <w:r w:rsidRPr="00F5723F">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164</w:instrText>
    </w:r>
    <w:r w:rsidRPr="00F5723F">
      <w:fldChar w:fldCharType="end"/>
    </w:r>
  </w:p>
  <w:p w:rsidR="00B43C57" w:rsidRPr="00F5723F" w:rsidRDefault="00B43C57">
    <w:pPr>
      <w:pStyle w:val="SidfotH"/>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165</w:instrText>
    </w:r>
    <w:r w:rsidRPr="00F5723F">
      <w:fldChar w:fldCharType="end"/>
    </w:r>
    <w:r w:rsidRPr="00F5723F">
      <w:instrText>"</w:instrText>
    </w:r>
    <w:r w:rsidRPr="00F5723F">
      <w:fldChar w:fldCharType="separate"/>
    </w:r>
    <w:r w:rsidRPr="00F5723F">
      <w:t>165</w:t>
    </w:r>
    <w:r w:rsidRPr="00F5723F">
      <w:fldChar w:fldCharType="end"/>
    </w:r>
  </w:p>
  <w:p w:rsidR="00B43C57" w:rsidRPr="00F5723F" w:rsidRDefault="00B43C57">
    <w:pPr>
      <w:pStyle w:val="Sidfot"/>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
      <w:framePr w:w="283" w:h="5896" w:wrap="around" w:vAnchor="text" w:hAnchor="margin" w:x="3629" w:y="2949"/>
      <w:textDirection w:val="tbRl"/>
      <w:rPr>
        <w:rStyle w:val="Sidnummer"/>
      </w:rPr>
    </w:pPr>
    <w:r w:rsidRPr="00F5723F">
      <w:rPr>
        <w:rStyle w:val="Sidnummer"/>
      </w:rPr>
      <w:fldChar w:fldCharType="begin" w:fldLock="1"/>
    </w:r>
    <w:r w:rsidRPr="00F5723F">
      <w:rPr>
        <w:rStyle w:val="Sidnummer"/>
      </w:rPr>
      <w:instrText xml:space="preserve">PAGE  </w:instrText>
    </w:r>
    <w:r w:rsidRPr="00F5723F">
      <w:rPr>
        <w:rStyle w:val="Sidnummer"/>
      </w:rPr>
      <w:fldChar w:fldCharType="separate"/>
    </w:r>
    <w:r w:rsidRPr="00F5723F">
      <w:rPr>
        <w:rStyle w:val="Sidnummer"/>
      </w:rPr>
      <w:t>168</w:t>
    </w:r>
    <w:r w:rsidRPr="00F5723F">
      <w:rPr>
        <w:rStyle w:val="Sidnummer"/>
      </w:rPr>
      <w:fldChar w:fldCharType="end"/>
    </w:r>
  </w:p>
  <w:p w:rsidR="00B43C57" w:rsidRPr="00F5723F" w:rsidRDefault="00B43C57">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00F5723F">
      <w:rPr>
        <w:noProof/>
      </w:rPr>
      <w:instrText>1</w:instrText>
    </w:r>
    <w:r w:rsidRPr="00F5723F">
      <w:fldChar w:fldCharType="end"/>
    </w:r>
    <w:r w:rsidRPr="00F5723F">
      <w:instrText xml:space="preserve">/2 </w:instrText>
    </w:r>
    <w:r w:rsidRPr="00F5723F">
      <w:fldChar w:fldCharType="separate"/>
    </w:r>
    <w:r w:rsidR="00F5723F">
      <w:rPr>
        <w:noProof/>
      </w:rPr>
      <w:instrText>0,5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00F5723F">
      <w:rPr>
        <w:noProof/>
      </w:rPr>
      <w:instrText>1</w:instrText>
    </w:r>
    <w:r w:rsidRPr="00F5723F">
      <w:fldChar w:fldCharType="end"/>
    </w:r>
    <w:r w:rsidRPr="00F5723F">
      <w:instrText xml:space="preserve">/2) </w:instrText>
    </w:r>
    <w:r w:rsidRPr="00F5723F">
      <w:fldChar w:fldCharType="separate"/>
    </w:r>
    <w:r w:rsidR="00F5723F">
      <w:rPr>
        <w:noProof/>
      </w:rPr>
      <w:instrText>0</w:instrText>
    </w:r>
    <w:r w:rsidRPr="00F5723F">
      <w:fldChar w:fldCharType="end"/>
    </w:r>
    <w:r w:rsidRPr="00F5723F">
      <w:fldChar w:fldCharType="separate"/>
    </w:r>
    <w:r w:rsidR="00F5723F">
      <w:rPr>
        <w:noProof/>
      </w:rPr>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168</w:instrText>
    </w:r>
    <w:r w:rsidRPr="00F5723F">
      <w:fldChar w:fldCharType="end"/>
    </w:r>
  </w:p>
  <w:p w:rsidR="00B43C57" w:rsidRPr="00F5723F" w:rsidRDefault="00B43C57">
    <w:pPr>
      <w:pStyle w:val="SidfotH"/>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00F5723F">
      <w:rPr>
        <w:noProof/>
      </w:rPr>
      <w:instrText>1</w:instrText>
    </w:r>
    <w:r w:rsidRPr="00F5723F">
      <w:fldChar w:fldCharType="end"/>
    </w:r>
    <w:r w:rsidRPr="00F5723F">
      <w:instrText>"</w:instrText>
    </w:r>
    <w:r w:rsidRPr="00F5723F">
      <w:fldChar w:fldCharType="separate"/>
    </w:r>
    <w:r w:rsidR="00F5723F">
      <w:rPr>
        <w:noProof/>
      </w:rPr>
      <w:t>1</w:t>
    </w:r>
    <w:r w:rsidRPr="00F5723F">
      <w:fldChar w:fldCharType="end"/>
    </w:r>
  </w:p>
  <w:p w:rsidR="00B43C57" w:rsidRPr="00F5723F" w:rsidRDefault="00B43C57">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
      <w:framePr w:w="283" w:h="5896" w:wrap="around" w:vAnchor="text" w:hAnchor="margin" w:x="3629" w:y="2949"/>
      <w:textDirection w:val="tbRl"/>
      <w:rPr>
        <w:rStyle w:val="Sidnummer"/>
        <w:rFonts w:ascii="Garamond" w:hAnsi="Garamond"/>
      </w:rPr>
    </w:pPr>
    <w:r w:rsidRPr="00F5723F">
      <w:rPr>
        <w:rStyle w:val="Sidnummer"/>
        <w:rFonts w:ascii="Garamond" w:hAnsi="Garamond"/>
      </w:rPr>
      <w:fldChar w:fldCharType="begin" w:fldLock="1"/>
    </w:r>
    <w:r w:rsidRPr="00F5723F">
      <w:rPr>
        <w:rStyle w:val="Sidnummer"/>
        <w:rFonts w:ascii="Garamond" w:hAnsi="Garamond"/>
      </w:rPr>
      <w:instrText xml:space="preserve">PAGE  </w:instrText>
    </w:r>
    <w:r w:rsidRPr="00F5723F">
      <w:rPr>
        <w:rStyle w:val="Sidnummer"/>
        <w:rFonts w:ascii="Garamond" w:hAnsi="Garamond"/>
      </w:rPr>
      <w:fldChar w:fldCharType="separate"/>
    </w:r>
    <w:r w:rsidRPr="00F5723F">
      <w:rPr>
        <w:rStyle w:val="Sidnummer"/>
        <w:rFonts w:ascii="Garamond" w:hAnsi="Garamond"/>
      </w:rPr>
      <w:t>167</w:t>
    </w:r>
    <w:r w:rsidRPr="00F5723F">
      <w:rPr>
        <w:rStyle w:val="Sidnummer"/>
        <w:rFonts w:ascii="Garamond" w:hAnsi="Garamond"/>
      </w:rPr>
      <w:fldChar w:fldCharType="end"/>
    </w:r>
  </w:p>
  <w:p w:rsidR="00B43C57" w:rsidRPr="00F5723F" w:rsidRDefault="00B43C57">
    <w:pPr>
      <w:pStyle w:val="Sidfot"/>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283" w:h="5896" w:hRule="exact" w:hSpace="0" w:vSpace="0" w:wrap="around" w:x="3629" w:y="2949" w:anchorLock="0"/>
      <w:textDirection w:val="tbRl"/>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166</w:instrText>
    </w:r>
    <w:r w:rsidRPr="00F5723F">
      <w:fldChar w:fldCharType="end"/>
    </w:r>
    <w:r w:rsidRPr="00F5723F">
      <w:instrText xml:space="preserve">/2 </w:instrText>
    </w:r>
    <w:r w:rsidRPr="00F5723F">
      <w:fldChar w:fldCharType="separate"/>
    </w:r>
    <w:r w:rsidRPr="00F5723F">
      <w:instrText>83</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166</w:instrText>
    </w:r>
    <w:r w:rsidRPr="00F5723F">
      <w:fldChar w:fldCharType="end"/>
    </w:r>
    <w:r w:rsidRPr="00F5723F">
      <w:instrText xml:space="preserve">/2) </w:instrText>
    </w:r>
    <w:r w:rsidRPr="00F5723F">
      <w:fldChar w:fldCharType="separate"/>
    </w:r>
    <w:r w:rsidRPr="00F5723F">
      <w:instrText>83</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166</w:instrText>
    </w:r>
    <w:r w:rsidRPr="00F5723F">
      <w:fldChar w:fldCharType="end"/>
    </w:r>
  </w:p>
  <w:p w:rsidR="00B43C57" w:rsidRPr="00F5723F" w:rsidRDefault="00B43C57">
    <w:pPr>
      <w:pStyle w:val="SidfotV"/>
      <w:framePr w:w="283" w:h="5896" w:hRule="exact" w:hSpace="0" w:vSpace="0" w:wrap="around" w:x="3629" w:y="2949" w:anchorLock="0"/>
      <w:textDirection w:val="tbRl"/>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167</w:instrText>
    </w:r>
    <w:r w:rsidRPr="00F5723F">
      <w:fldChar w:fldCharType="end"/>
    </w:r>
    <w:r w:rsidRPr="00F5723F">
      <w:instrText>"</w:instrText>
    </w:r>
    <w:r w:rsidRPr="00F5723F">
      <w:fldChar w:fldCharType="separate"/>
    </w:r>
    <w:r w:rsidRPr="00F5723F">
      <w:t>166</w:t>
    </w:r>
  </w:p>
  <w:p w:rsidR="00B43C57" w:rsidRPr="00F5723F" w:rsidRDefault="00B43C57">
    <w:pPr>
      <w:pStyle w:val="SidfotH"/>
      <w:framePr w:w="283" w:h="5896" w:hRule="exact" w:hSpace="0" w:vSpace="0" w:wrap="around" w:x="3629" w:y="2949" w:anchorLock="0"/>
      <w:textDirection w:val="tbRl"/>
    </w:pPr>
    <w:r w:rsidRPr="00F5723F">
      <w:fldChar w:fldCharType="end"/>
    </w:r>
  </w:p>
  <w:p w:rsidR="00B43C57" w:rsidRPr="00F5723F" w:rsidRDefault="00B43C57">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957" w:h="283" w:hRule="exact" w:hSpace="0" w:vSpace="0" w:wrap="around" w:xAlign="inside" w:y="13040"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176</w:instrText>
    </w:r>
    <w:r w:rsidRPr="00F5723F">
      <w:fldChar w:fldCharType="end"/>
    </w:r>
    <w:r w:rsidRPr="00F5723F">
      <w:instrText xml:space="preserve">/2 </w:instrText>
    </w:r>
    <w:r w:rsidRPr="00F5723F">
      <w:fldChar w:fldCharType="separate"/>
    </w:r>
    <w:r w:rsidRPr="00F5723F">
      <w:instrText>88</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176</w:instrText>
    </w:r>
    <w:r w:rsidRPr="00F5723F">
      <w:fldChar w:fldCharType="end"/>
    </w:r>
    <w:r w:rsidRPr="00F5723F">
      <w:instrText xml:space="preserve">/2) </w:instrText>
    </w:r>
    <w:r w:rsidRPr="00F5723F">
      <w:fldChar w:fldCharType="separate"/>
    </w:r>
    <w:r w:rsidRPr="00F5723F">
      <w:instrText>88</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176</w:instrText>
    </w:r>
    <w:r w:rsidRPr="00F5723F">
      <w:fldChar w:fldCharType="end"/>
    </w:r>
  </w:p>
  <w:p w:rsidR="00B43C57" w:rsidRPr="00F5723F" w:rsidRDefault="00B43C57">
    <w:pPr>
      <w:pStyle w:val="SidfotV"/>
      <w:framePr w:w="8957" w:h="283" w:hRule="exact" w:hSpace="0" w:vSpace="0" w:wrap="around" w:xAlign="inside" w:y="13040"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169</w:instrText>
    </w:r>
    <w:r w:rsidRPr="00F5723F">
      <w:fldChar w:fldCharType="end"/>
    </w:r>
    <w:r w:rsidRPr="00F5723F">
      <w:instrText>"</w:instrText>
    </w:r>
    <w:r w:rsidRPr="00F5723F">
      <w:fldChar w:fldCharType="separate"/>
    </w:r>
    <w:r w:rsidRPr="00F5723F">
      <w:t>176</w:t>
    </w:r>
  </w:p>
  <w:p w:rsidR="00B43C57" w:rsidRPr="00F5723F" w:rsidRDefault="00B43C57">
    <w:pPr>
      <w:pStyle w:val="SidfotH"/>
      <w:framePr w:w="8957" w:h="283" w:hRule="exact" w:hSpace="0" w:vSpace="0" w:wrap="around" w:xAlign="inside" w:y="13040" w:anchorLock="0"/>
    </w:pPr>
    <w:r w:rsidRPr="00F5723F">
      <w:fldChar w:fldCharType="end"/>
    </w:r>
  </w:p>
  <w:p w:rsidR="00B43C57" w:rsidRPr="00F5723F" w:rsidRDefault="00B43C57">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957" w:h="283" w:hRule="exact" w:hSpace="0" w:vSpace="0" w:wrap="around" w:xAlign="inside" w:y="13040"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175</w:instrText>
    </w:r>
    <w:r w:rsidRPr="00F5723F">
      <w:fldChar w:fldCharType="end"/>
    </w:r>
    <w:r w:rsidRPr="00F5723F">
      <w:instrText xml:space="preserve">/2 </w:instrText>
    </w:r>
    <w:r w:rsidRPr="00F5723F">
      <w:fldChar w:fldCharType="separate"/>
    </w:r>
    <w:r w:rsidRPr="00F5723F">
      <w:instrText>87,5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175</w:instrText>
    </w:r>
    <w:r w:rsidRPr="00F5723F">
      <w:fldChar w:fldCharType="end"/>
    </w:r>
    <w:r w:rsidRPr="00F5723F">
      <w:instrText xml:space="preserve">/2) </w:instrText>
    </w:r>
    <w:r w:rsidRPr="00F5723F">
      <w:fldChar w:fldCharType="separate"/>
    </w:r>
    <w:r w:rsidRPr="00F5723F">
      <w:instrText>87</w:instrText>
    </w:r>
    <w:r w:rsidRPr="00F5723F">
      <w:fldChar w:fldCharType="end"/>
    </w:r>
    <w:r w:rsidRPr="00F5723F">
      <w:fldChar w:fldCharType="separate"/>
    </w:r>
    <w:r w:rsidRPr="00F5723F">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186</w:instrText>
    </w:r>
    <w:r w:rsidRPr="00F5723F">
      <w:fldChar w:fldCharType="end"/>
    </w:r>
  </w:p>
  <w:p w:rsidR="00B43C57" w:rsidRPr="00F5723F" w:rsidRDefault="00B43C57">
    <w:pPr>
      <w:pStyle w:val="SidfotH"/>
      <w:framePr w:w="8957" w:h="283" w:hRule="exact" w:hSpace="0" w:vSpace="0" w:wrap="around" w:xAlign="inside" w:y="13040"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175</w:instrText>
    </w:r>
    <w:r w:rsidRPr="00F5723F">
      <w:fldChar w:fldCharType="end"/>
    </w:r>
    <w:r w:rsidRPr="00F5723F">
      <w:instrText>"</w:instrText>
    </w:r>
    <w:r w:rsidRPr="00F5723F">
      <w:fldChar w:fldCharType="separate"/>
    </w:r>
    <w:r w:rsidRPr="00F5723F">
      <w:t>175</w:t>
    </w:r>
    <w:r w:rsidRPr="00F5723F">
      <w:fldChar w:fldCharType="end"/>
    </w:r>
  </w:p>
  <w:p w:rsidR="00B43C57" w:rsidRPr="00F5723F" w:rsidRDefault="00B43C57">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957" w:h="283" w:hRule="exact" w:hSpace="0" w:vSpace="0" w:wrap="around" w:xAlign="inside" w:y="13040"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167</w:instrText>
    </w:r>
    <w:r w:rsidRPr="00F5723F">
      <w:fldChar w:fldCharType="end"/>
    </w:r>
    <w:r w:rsidRPr="00F5723F">
      <w:instrText xml:space="preserve">/2 </w:instrText>
    </w:r>
    <w:r w:rsidRPr="00F5723F">
      <w:fldChar w:fldCharType="separate"/>
    </w:r>
    <w:r w:rsidRPr="00F5723F">
      <w:instrText>83,5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167</w:instrText>
    </w:r>
    <w:r w:rsidRPr="00F5723F">
      <w:fldChar w:fldCharType="end"/>
    </w:r>
    <w:r w:rsidRPr="00F5723F">
      <w:instrText xml:space="preserve">/2) </w:instrText>
    </w:r>
    <w:r w:rsidRPr="00F5723F">
      <w:fldChar w:fldCharType="separate"/>
    </w:r>
    <w:r w:rsidRPr="00F5723F">
      <w:instrText>83</w:instrText>
    </w:r>
    <w:r w:rsidRPr="00F5723F">
      <w:fldChar w:fldCharType="end"/>
    </w:r>
    <w:r w:rsidRPr="00F5723F">
      <w:fldChar w:fldCharType="separate"/>
    </w:r>
    <w:r w:rsidRPr="00F5723F">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168</w:instrText>
    </w:r>
    <w:r w:rsidRPr="00F5723F">
      <w:fldChar w:fldCharType="end"/>
    </w:r>
  </w:p>
  <w:p w:rsidR="00B43C57" w:rsidRPr="00F5723F" w:rsidRDefault="00B43C57">
    <w:pPr>
      <w:pStyle w:val="SidfotH"/>
      <w:framePr w:w="8957" w:h="283" w:hRule="exact" w:hSpace="0" w:vSpace="0" w:wrap="around" w:xAlign="inside" w:y="13040"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167</w:instrText>
    </w:r>
    <w:r w:rsidRPr="00F5723F">
      <w:fldChar w:fldCharType="end"/>
    </w:r>
    <w:r w:rsidRPr="00F5723F">
      <w:instrText>"</w:instrText>
    </w:r>
    <w:r w:rsidRPr="00F5723F">
      <w:fldChar w:fldCharType="separate"/>
    </w:r>
    <w:r w:rsidRPr="00F5723F">
      <w:t>167</w:t>
    </w:r>
    <w:r w:rsidRPr="00F5723F">
      <w:fldChar w:fldCharType="end"/>
    </w:r>
  </w:p>
  <w:p w:rsidR="00B43C57" w:rsidRPr="00F5723F" w:rsidRDefault="00B43C57">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957" w:h="283" w:hRule="exact" w:hSpace="0" w:vSpace="0" w:wrap="around" w:xAlign="inside" w:y="13040"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200</w:instrText>
    </w:r>
    <w:r w:rsidRPr="00F5723F">
      <w:fldChar w:fldCharType="end"/>
    </w:r>
    <w:r w:rsidRPr="00F5723F">
      <w:instrText xml:space="preserve">/2 </w:instrText>
    </w:r>
    <w:r w:rsidRPr="00F5723F">
      <w:fldChar w:fldCharType="separate"/>
    </w:r>
    <w:r w:rsidRPr="00F5723F">
      <w:instrText>100</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200</w:instrText>
    </w:r>
    <w:r w:rsidRPr="00F5723F">
      <w:fldChar w:fldCharType="end"/>
    </w:r>
    <w:r w:rsidRPr="00F5723F">
      <w:instrText xml:space="preserve">/2) </w:instrText>
    </w:r>
    <w:r w:rsidRPr="00F5723F">
      <w:fldChar w:fldCharType="separate"/>
    </w:r>
    <w:r w:rsidRPr="00F5723F">
      <w:instrText>100</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200</w:instrText>
    </w:r>
    <w:r w:rsidRPr="00F5723F">
      <w:fldChar w:fldCharType="end"/>
    </w:r>
  </w:p>
  <w:p w:rsidR="00B43C57" w:rsidRPr="00F5723F" w:rsidRDefault="00B43C57">
    <w:pPr>
      <w:pStyle w:val="SidfotV"/>
      <w:framePr w:w="8957" w:h="283" w:hRule="exact" w:hSpace="0" w:vSpace="0" w:wrap="around" w:xAlign="inside" w:y="13040"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185</w:instrText>
    </w:r>
    <w:r w:rsidRPr="00F5723F">
      <w:fldChar w:fldCharType="end"/>
    </w:r>
    <w:r w:rsidRPr="00F5723F">
      <w:instrText>"</w:instrText>
    </w:r>
    <w:r w:rsidRPr="00F5723F">
      <w:fldChar w:fldCharType="separate"/>
    </w:r>
    <w:r w:rsidRPr="00F5723F">
      <w:t>200</w:t>
    </w:r>
  </w:p>
  <w:p w:rsidR="00B43C57" w:rsidRPr="00F5723F" w:rsidRDefault="00B43C57">
    <w:pPr>
      <w:pStyle w:val="SidfotH"/>
      <w:framePr w:w="8957" w:h="283" w:hRule="exact" w:hSpace="0" w:vSpace="0" w:wrap="around" w:xAlign="inside" w:y="13040" w:anchorLock="0"/>
    </w:pPr>
    <w:r w:rsidRPr="00F5723F">
      <w:fldChar w:fldCharType="end"/>
    </w:r>
  </w:p>
  <w:p w:rsidR="00B43C57" w:rsidRPr="00F5723F" w:rsidRDefault="00B43C57">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191</w:instrText>
    </w:r>
    <w:r w:rsidRPr="00F5723F">
      <w:fldChar w:fldCharType="end"/>
    </w:r>
    <w:r w:rsidRPr="00F5723F">
      <w:instrText xml:space="preserve">/2 </w:instrText>
    </w:r>
    <w:r w:rsidRPr="00F5723F">
      <w:fldChar w:fldCharType="separate"/>
    </w:r>
    <w:r w:rsidRPr="00F5723F">
      <w:instrText>95,5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191</w:instrText>
    </w:r>
    <w:r w:rsidRPr="00F5723F">
      <w:fldChar w:fldCharType="end"/>
    </w:r>
    <w:r w:rsidRPr="00F5723F">
      <w:instrText xml:space="preserve">/2) </w:instrText>
    </w:r>
    <w:r w:rsidRPr="00F5723F">
      <w:fldChar w:fldCharType="separate"/>
    </w:r>
    <w:r w:rsidRPr="00F5723F">
      <w:instrText>95</w:instrText>
    </w:r>
    <w:r w:rsidRPr="00F5723F">
      <w:fldChar w:fldCharType="end"/>
    </w:r>
    <w:r w:rsidRPr="00F5723F">
      <w:fldChar w:fldCharType="separate"/>
    </w:r>
    <w:r w:rsidRPr="00F5723F">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190</w:instrText>
    </w:r>
    <w:r w:rsidRPr="00F5723F">
      <w:fldChar w:fldCharType="end"/>
    </w:r>
  </w:p>
  <w:p w:rsidR="00B43C57" w:rsidRPr="00F5723F" w:rsidRDefault="00B43C57">
    <w:pPr>
      <w:pStyle w:val="SidfotH"/>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191</w:instrText>
    </w:r>
    <w:r w:rsidRPr="00F5723F">
      <w:fldChar w:fldCharType="end"/>
    </w:r>
    <w:r w:rsidRPr="00F5723F">
      <w:instrText>"</w:instrText>
    </w:r>
    <w:r w:rsidRPr="00F5723F">
      <w:fldChar w:fldCharType="separate"/>
    </w:r>
    <w:r w:rsidRPr="00F5723F">
      <w:t>191</w:t>
    </w:r>
    <w:r w:rsidRPr="00F5723F">
      <w:fldChar w:fldCharType="end"/>
    </w:r>
  </w:p>
  <w:p w:rsidR="00B43C57" w:rsidRPr="00F5723F" w:rsidRDefault="00B43C57">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957" w:h="283" w:hRule="exact" w:hSpace="0" w:vSpace="0" w:wrap="around" w:xAlign="inside" w:y="13040"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190</w:instrText>
    </w:r>
    <w:r w:rsidRPr="00F5723F">
      <w:fldChar w:fldCharType="end"/>
    </w:r>
    <w:r w:rsidRPr="00F5723F">
      <w:instrText xml:space="preserve">/2 </w:instrText>
    </w:r>
    <w:r w:rsidRPr="00F5723F">
      <w:fldChar w:fldCharType="separate"/>
    </w:r>
    <w:r w:rsidRPr="00F5723F">
      <w:instrText>95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190</w:instrText>
    </w:r>
    <w:r w:rsidRPr="00F5723F">
      <w:fldChar w:fldCharType="end"/>
    </w:r>
    <w:r w:rsidRPr="00F5723F">
      <w:instrText xml:space="preserve">/2) </w:instrText>
    </w:r>
    <w:r w:rsidRPr="00F5723F">
      <w:fldChar w:fldCharType="separate"/>
    </w:r>
    <w:r w:rsidRPr="00F5723F">
      <w:instrText>95</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190</w:instrText>
    </w:r>
    <w:r w:rsidRPr="00F5723F">
      <w:fldChar w:fldCharType="end"/>
    </w:r>
  </w:p>
  <w:p w:rsidR="00B43C57" w:rsidRPr="00F5723F" w:rsidRDefault="00B43C57">
    <w:pPr>
      <w:pStyle w:val="SidfotV"/>
      <w:framePr w:w="8957" w:h="283" w:hRule="exact" w:hSpace="0" w:vSpace="0" w:wrap="around" w:xAlign="inside" w:y="13040"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189</w:instrText>
    </w:r>
    <w:r w:rsidRPr="00F5723F">
      <w:fldChar w:fldCharType="end"/>
    </w:r>
    <w:r w:rsidRPr="00F5723F">
      <w:instrText>"</w:instrText>
    </w:r>
    <w:r w:rsidRPr="00F5723F">
      <w:fldChar w:fldCharType="separate"/>
    </w:r>
    <w:r w:rsidRPr="00F5723F">
      <w:t>190</w:t>
    </w:r>
  </w:p>
  <w:p w:rsidR="00B43C57" w:rsidRPr="00F5723F" w:rsidRDefault="00B43C57">
    <w:pPr>
      <w:pStyle w:val="SidfotH"/>
      <w:framePr w:w="8957" w:h="283" w:hRule="exact" w:hSpace="0" w:vSpace="0" w:wrap="around" w:xAlign="inside" w:y="13040" w:anchorLock="0"/>
    </w:pPr>
    <w:r w:rsidRPr="00F5723F">
      <w:fldChar w:fldCharType="end"/>
    </w:r>
  </w:p>
  <w:p w:rsidR="00B43C57" w:rsidRPr="00F5723F" w:rsidRDefault="00B43C57">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957" w:h="283" w:hRule="exact" w:hSpace="0" w:vSpace="0" w:wrap="around" w:xAlign="inside" w:y="13040"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220</w:instrText>
    </w:r>
    <w:r w:rsidRPr="00F5723F">
      <w:fldChar w:fldCharType="end"/>
    </w:r>
    <w:r w:rsidRPr="00F5723F">
      <w:instrText xml:space="preserve">/2 </w:instrText>
    </w:r>
    <w:r w:rsidRPr="00F5723F">
      <w:fldChar w:fldCharType="separate"/>
    </w:r>
    <w:r w:rsidRPr="00F5723F">
      <w:instrText>110</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220</w:instrText>
    </w:r>
    <w:r w:rsidRPr="00F5723F">
      <w:fldChar w:fldCharType="end"/>
    </w:r>
    <w:r w:rsidRPr="00F5723F">
      <w:instrText xml:space="preserve">/2) </w:instrText>
    </w:r>
    <w:r w:rsidRPr="00F5723F">
      <w:fldChar w:fldCharType="separate"/>
    </w:r>
    <w:r w:rsidRPr="00F5723F">
      <w:instrText>110</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220</w:instrText>
    </w:r>
    <w:r w:rsidRPr="00F5723F">
      <w:fldChar w:fldCharType="end"/>
    </w:r>
  </w:p>
  <w:p w:rsidR="00B43C57" w:rsidRPr="00F5723F" w:rsidRDefault="00B43C57">
    <w:pPr>
      <w:pStyle w:val="SidfotV"/>
      <w:framePr w:w="8957" w:h="283" w:hRule="exact" w:hSpace="0" w:vSpace="0" w:wrap="around" w:xAlign="inside" w:y="13040"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185</w:instrText>
    </w:r>
    <w:r w:rsidRPr="00F5723F">
      <w:fldChar w:fldCharType="end"/>
    </w:r>
    <w:r w:rsidRPr="00F5723F">
      <w:instrText>"</w:instrText>
    </w:r>
    <w:r w:rsidRPr="00F5723F">
      <w:fldChar w:fldCharType="separate"/>
    </w:r>
    <w:r w:rsidRPr="00F5723F">
      <w:t>220</w:t>
    </w:r>
  </w:p>
  <w:p w:rsidR="00B43C57" w:rsidRPr="00F5723F" w:rsidRDefault="00B43C57">
    <w:pPr>
      <w:pStyle w:val="SidfotH"/>
      <w:framePr w:w="8957" w:h="283" w:hRule="exact" w:hSpace="0" w:vSpace="0" w:wrap="around" w:xAlign="inside" w:y="13040" w:anchorLock="0"/>
    </w:pPr>
    <w:r w:rsidRPr="00F5723F">
      <w:fldChar w:fldCharType="end"/>
    </w:r>
  </w:p>
  <w:p w:rsidR="00B43C57" w:rsidRPr="00F5723F" w:rsidRDefault="00B43C57">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219</w:instrText>
    </w:r>
    <w:r w:rsidRPr="00F5723F">
      <w:fldChar w:fldCharType="end"/>
    </w:r>
    <w:r w:rsidRPr="00F5723F">
      <w:instrText xml:space="preserve">/2 </w:instrText>
    </w:r>
    <w:r w:rsidRPr="00F5723F">
      <w:fldChar w:fldCharType="separate"/>
    </w:r>
    <w:r w:rsidRPr="00F5723F">
      <w:instrText>109,5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219</w:instrText>
    </w:r>
    <w:r w:rsidRPr="00F5723F">
      <w:fldChar w:fldCharType="end"/>
    </w:r>
    <w:r w:rsidRPr="00F5723F">
      <w:instrText xml:space="preserve">/2) </w:instrText>
    </w:r>
    <w:r w:rsidRPr="00F5723F">
      <w:fldChar w:fldCharType="separate"/>
    </w:r>
    <w:r w:rsidRPr="00F5723F">
      <w:instrText>109</w:instrText>
    </w:r>
    <w:r w:rsidRPr="00F5723F">
      <w:fldChar w:fldCharType="end"/>
    </w:r>
    <w:r w:rsidRPr="00F5723F">
      <w:fldChar w:fldCharType="separate"/>
    </w:r>
    <w:r w:rsidRPr="00F5723F">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190</w:instrText>
    </w:r>
    <w:r w:rsidRPr="00F5723F">
      <w:fldChar w:fldCharType="end"/>
    </w:r>
  </w:p>
  <w:p w:rsidR="00B43C57" w:rsidRPr="00F5723F" w:rsidRDefault="00B43C57">
    <w:pPr>
      <w:pStyle w:val="SidfotH"/>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219</w:instrText>
    </w:r>
    <w:r w:rsidRPr="00F5723F">
      <w:fldChar w:fldCharType="end"/>
    </w:r>
    <w:r w:rsidRPr="00F5723F">
      <w:instrText>"</w:instrText>
    </w:r>
    <w:r w:rsidRPr="00F5723F">
      <w:fldChar w:fldCharType="separate"/>
    </w:r>
    <w:r w:rsidRPr="00F5723F">
      <w:t>219</w:t>
    </w:r>
    <w:r w:rsidRPr="00F5723F">
      <w:fldChar w:fldCharType="end"/>
    </w:r>
  </w:p>
  <w:p w:rsidR="00B43C57" w:rsidRPr="00F5723F" w:rsidRDefault="00B43C5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8</w:t>
    </w:r>
    <w:r w:rsidRPr="00F5723F">
      <w:fldChar w:fldCharType="end"/>
    </w:r>
  </w:p>
  <w:p w:rsidR="00B43C57" w:rsidRPr="00F5723F" w:rsidRDefault="00B43C57">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217</w:instrText>
    </w:r>
    <w:r w:rsidRPr="00F5723F">
      <w:fldChar w:fldCharType="end"/>
    </w:r>
    <w:r w:rsidRPr="00F5723F">
      <w:instrText xml:space="preserve">/2 </w:instrText>
    </w:r>
    <w:r w:rsidRPr="00F5723F">
      <w:fldChar w:fldCharType="separate"/>
    </w:r>
    <w:r w:rsidRPr="00F5723F">
      <w:instrText>108,5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217</w:instrText>
    </w:r>
    <w:r w:rsidRPr="00F5723F">
      <w:fldChar w:fldCharType="end"/>
    </w:r>
    <w:r w:rsidRPr="00F5723F">
      <w:instrText xml:space="preserve">/2) </w:instrText>
    </w:r>
    <w:r w:rsidRPr="00F5723F">
      <w:fldChar w:fldCharType="separate"/>
    </w:r>
    <w:r w:rsidRPr="00F5723F">
      <w:instrText>108</w:instrText>
    </w:r>
    <w:r w:rsidRPr="00F5723F">
      <w:fldChar w:fldCharType="end"/>
    </w:r>
    <w:r w:rsidRPr="00F5723F">
      <w:fldChar w:fldCharType="separate"/>
    </w:r>
    <w:r w:rsidRPr="00F5723F">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218</w:instrText>
    </w:r>
    <w:r w:rsidRPr="00F5723F">
      <w:fldChar w:fldCharType="end"/>
    </w:r>
  </w:p>
  <w:p w:rsidR="00B43C57" w:rsidRPr="00F5723F" w:rsidRDefault="00B43C57">
    <w:pPr>
      <w:pStyle w:val="SidfotH"/>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217</w:instrText>
    </w:r>
    <w:r w:rsidRPr="00F5723F">
      <w:fldChar w:fldCharType="end"/>
    </w:r>
    <w:r w:rsidRPr="00F5723F">
      <w:instrText>"</w:instrText>
    </w:r>
    <w:r w:rsidRPr="00F5723F">
      <w:fldChar w:fldCharType="separate"/>
    </w:r>
    <w:r w:rsidRPr="00F5723F">
      <w:t>217</w:t>
    </w:r>
    <w:r w:rsidRPr="00F5723F">
      <w:fldChar w:fldCharType="end"/>
    </w:r>
  </w:p>
  <w:p w:rsidR="00B43C57" w:rsidRPr="00F5723F" w:rsidRDefault="00B43C5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957" w:h="283" w:hRule="exact" w:hSpace="0" w:vSpace="0" w:wrap="around" w:xAlign="inside" w:y="13040"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3</w:t>
    </w:r>
    <w:r w:rsidRPr="00F5723F">
      <w:fldChar w:fldCharType="end"/>
    </w:r>
  </w:p>
  <w:p w:rsidR="00B43C57" w:rsidRPr="00F5723F" w:rsidRDefault="00B43C57">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957" w:h="283" w:hRule="exact" w:hSpace="0" w:vSpace="0" w:wrap="around" w:xAlign="inside" w:y="13040"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00F5723F">
      <w:rPr>
        <w:noProof/>
      </w:rPr>
      <w:instrText>2</w:instrText>
    </w:r>
    <w:r w:rsidRPr="00F5723F">
      <w:fldChar w:fldCharType="end"/>
    </w:r>
    <w:r w:rsidRPr="00F5723F">
      <w:instrText xml:space="preserve">/2 </w:instrText>
    </w:r>
    <w:r w:rsidRPr="00F5723F">
      <w:fldChar w:fldCharType="separate"/>
    </w:r>
    <w:r w:rsidR="00F5723F">
      <w:rPr>
        <w:noProof/>
      </w:rPr>
      <w:instrText>1</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00F5723F">
      <w:rPr>
        <w:noProof/>
      </w:rPr>
      <w:instrText>2</w:instrText>
    </w:r>
    <w:r w:rsidRPr="00F5723F">
      <w:fldChar w:fldCharType="end"/>
    </w:r>
    <w:r w:rsidRPr="00F5723F">
      <w:instrText xml:space="preserve">/2) </w:instrText>
    </w:r>
    <w:r w:rsidRPr="00F5723F">
      <w:fldChar w:fldCharType="separate"/>
    </w:r>
    <w:r w:rsidR="00F5723F">
      <w:rPr>
        <w:noProof/>
      </w:rPr>
      <w:instrText>1</w:instrText>
    </w:r>
    <w:r w:rsidRPr="00F5723F">
      <w:fldChar w:fldCharType="end"/>
    </w:r>
    <w:r w:rsidRPr="00F5723F">
      <w:fldChar w:fldCharType="separate"/>
    </w:r>
    <w:r w:rsidR="00F5723F">
      <w:rPr>
        <w:noProof/>
      </w:rPr>
      <w:instrText>0</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00F5723F">
      <w:rPr>
        <w:noProof/>
      </w:rPr>
      <w:instrText>2</w:instrText>
    </w:r>
    <w:r w:rsidRPr="00F5723F">
      <w:fldChar w:fldCharType="end"/>
    </w:r>
  </w:p>
  <w:p w:rsidR="00F5723F" w:rsidRPr="00F5723F" w:rsidRDefault="00B43C57">
    <w:pPr>
      <w:pStyle w:val="SidfotV"/>
      <w:framePr w:w="8957" w:h="283" w:hRule="exact" w:hSpace="0" w:vSpace="0" w:wrap="around" w:xAlign="inside" w:y="13040" w:anchorLock="0"/>
      <w:rPr>
        <w:noProof/>
      </w:rPr>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167</w:instrText>
    </w:r>
    <w:r w:rsidRPr="00F5723F">
      <w:fldChar w:fldCharType="end"/>
    </w:r>
    <w:r w:rsidRPr="00F5723F">
      <w:instrText>"</w:instrText>
    </w:r>
    <w:r w:rsidRPr="00F5723F">
      <w:fldChar w:fldCharType="separate"/>
    </w:r>
    <w:r w:rsidR="00F5723F">
      <w:rPr>
        <w:noProof/>
      </w:rPr>
      <w:t>2</w:t>
    </w:r>
  </w:p>
  <w:p w:rsidR="00B43C57" w:rsidRPr="00F5723F" w:rsidRDefault="00B43C57">
    <w:pPr>
      <w:pStyle w:val="SidfotH"/>
      <w:framePr w:w="8957" w:h="283" w:hRule="exact" w:hSpace="0" w:vSpace="0" w:wrap="around" w:xAlign="inside" w:y="13040" w:anchorLock="0"/>
    </w:pPr>
    <w:r w:rsidRPr="00F5723F">
      <w:fldChar w:fldCharType="end"/>
    </w:r>
  </w:p>
  <w:p w:rsidR="00B43C57" w:rsidRPr="00F5723F" w:rsidRDefault="00B43C57">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12</w:t>
    </w:r>
    <w:r w:rsidRPr="00F5723F">
      <w:fldChar w:fldCharType="end"/>
    </w:r>
  </w:p>
  <w:p w:rsidR="00B43C57" w:rsidRPr="00F5723F" w:rsidRDefault="00B43C57">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H"/>
      <w:framePr w:w="8732" w:h="284" w:hRule="exact" w:hSpace="0" w:vSpace="0" w:wrap="around" w:xAlign="inside" w:y="13042" w:anchorLock="0"/>
    </w:pP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t>11</w:t>
    </w:r>
    <w:r w:rsidRPr="00F5723F">
      <w:fldChar w:fldCharType="end"/>
    </w:r>
  </w:p>
  <w:p w:rsidR="00B43C57" w:rsidRPr="00F5723F" w:rsidRDefault="00B43C57">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fotV"/>
      <w:framePr w:w="8732" w:h="284" w:hRule="exact" w:hSpace="0" w:vSpace="0" w:wrap="around" w:xAlign="inside" w:y="13042" w:anchorLock="0"/>
    </w:pP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00F5723F">
      <w:rPr>
        <w:noProof/>
      </w:rPr>
      <w:instrText>13</w:instrText>
    </w:r>
    <w:r w:rsidRPr="00F5723F">
      <w:fldChar w:fldCharType="end"/>
    </w:r>
    <w:r w:rsidRPr="00F5723F">
      <w:instrText xml:space="preserve">/2 </w:instrText>
    </w:r>
    <w:r w:rsidRPr="00F5723F">
      <w:fldChar w:fldCharType="separate"/>
    </w:r>
    <w:r w:rsidR="00F5723F">
      <w:rPr>
        <w:noProof/>
      </w:rPr>
      <w:instrText>6,5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00F5723F">
      <w:rPr>
        <w:noProof/>
      </w:rPr>
      <w:instrText>13</w:instrText>
    </w:r>
    <w:r w:rsidRPr="00F5723F">
      <w:fldChar w:fldCharType="end"/>
    </w:r>
    <w:r w:rsidRPr="00F5723F">
      <w:instrText xml:space="preserve">/2) </w:instrText>
    </w:r>
    <w:r w:rsidRPr="00F5723F">
      <w:fldChar w:fldCharType="separate"/>
    </w:r>
    <w:r w:rsidR="00F5723F">
      <w:rPr>
        <w:noProof/>
      </w:rPr>
      <w:instrText>6</w:instrText>
    </w:r>
    <w:r w:rsidRPr="00F5723F">
      <w:fldChar w:fldCharType="end"/>
    </w:r>
    <w:r w:rsidRPr="00F5723F">
      <w:fldChar w:fldCharType="separate"/>
    </w:r>
    <w:r w:rsidR="00F5723F">
      <w:rPr>
        <w:noProof/>
      </w:rPr>
      <w:instrText>0,5</w:instrText>
    </w:r>
    <w:r w:rsidRPr="00F5723F">
      <w:fldChar w:fldCharType="end"/>
    </w:r>
    <w:r w:rsidRPr="00F5723F">
      <w:instrText xml:space="preserve"> = 0 "</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Pr="00F5723F">
      <w:instrText>14</w:instrText>
    </w:r>
    <w:r w:rsidRPr="00F5723F">
      <w:fldChar w:fldCharType="end"/>
    </w:r>
  </w:p>
  <w:p w:rsidR="00B43C57" w:rsidRPr="00F5723F" w:rsidRDefault="00B43C57">
    <w:pPr>
      <w:pStyle w:val="SidfotH"/>
      <w:framePr w:w="8732" w:h="284" w:hRule="exact" w:hSpace="0" w:vSpace="0" w:wrap="around" w:xAlign="inside" w:y="13042" w:anchorLock="0"/>
    </w:pPr>
    <w:r w:rsidRPr="00F5723F">
      <w:instrText>""</w:instrText>
    </w:r>
    <w:r w:rsidRPr="00F5723F">
      <w:fldChar w:fldCharType="begin" w:fldLock="1"/>
    </w:r>
    <w:r w:rsidRPr="00F5723F">
      <w:instrText xml:space="preserve"> P</w:instrText>
    </w:r>
    <w:r w:rsidRPr="00F5723F">
      <w:instrText>A</w:instrText>
    </w:r>
    <w:r w:rsidRPr="00F5723F">
      <w:instrText xml:space="preserve">GE </w:instrText>
    </w:r>
    <w:r w:rsidRPr="00F5723F">
      <w:fldChar w:fldCharType="separate"/>
    </w:r>
    <w:r w:rsidR="00F5723F">
      <w:rPr>
        <w:noProof/>
      </w:rPr>
      <w:instrText>13</w:instrText>
    </w:r>
    <w:r w:rsidRPr="00F5723F">
      <w:fldChar w:fldCharType="end"/>
    </w:r>
    <w:r w:rsidRPr="00F5723F">
      <w:instrText>"</w:instrText>
    </w:r>
    <w:r w:rsidRPr="00F5723F">
      <w:fldChar w:fldCharType="separate"/>
    </w:r>
    <w:r w:rsidR="00F5723F">
      <w:rPr>
        <w:noProof/>
      </w:rPr>
      <w:t>13</w:t>
    </w:r>
    <w:r w:rsidRPr="00F5723F">
      <w:fldChar w:fldCharType="end"/>
    </w:r>
  </w:p>
  <w:p w:rsidR="00B43C57" w:rsidRPr="00F5723F" w:rsidRDefault="00B43C5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3C57" w:rsidRPr="00F5723F" w:rsidRDefault="00B43C57">
      <w:r w:rsidRPr="00F5723F">
        <w:separator/>
      </w:r>
    </w:p>
  </w:footnote>
  <w:footnote w:type="continuationSeparator" w:id="0">
    <w:p w:rsidR="00B43C57" w:rsidRPr="00F5723F" w:rsidRDefault="00B43C57">
      <w:r w:rsidRPr="00F5723F">
        <w:continuationSeparator/>
      </w:r>
    </w:p>
  </w:footnote>
  <w:footnote w:id="1">
    <w:p w:rsidR="00B43C57" w:rsidRPr="00F5723F" w:rsidRDefault="00B43C57">
      <w:pPr>
        <w:pStyle w:val="Fotnotstextindrag"/>
      </w:pPr>
      <w:r w:rsidRPr="00F5723F">
        <w:rPr>
          <w:rStyle w:val="Fotnotsreferens"/>
        </w:rPr>
        <w:footnoteRef/>
      </w:r>
      <w:r w:rsidRPr="00F5723F">
        <w:t xml:space="preserve"> För en diskussion om förtroendebegreppet, se till exempel Elliot 1997:37 ff.; Brothén 1998:64; Möller 1998:11 ff.; 2000:20 ff.; Strömbäck 2001:52 ff. </w:t>
      </w:r>
    </w:p>
  </w:footnote>
  <w:footnote w:id="2">
    <w:p w:rsidR="00B43C57" w:rsidRPr="00F5723F" w:rsidRDefault="00B43C57">
      <w:pPr>
        <w:pStyle w:val="Fotnotstextindrag"/>
      </w:pPr>
      <w:r w:rsidRPr="00F5723F">
        <w:rPr>
          <w:rStyle w:val="Fotnotsreferens"/>
        </w:rPr>
        <w:footnoteRef/>
      </w:r>
      <w:r w:rsidRPr="00F5723F">
        <w:t xml:space="preserve"> Historikern Torbjörn Nilsson har i en uppsats ifrågasatt om misstro mot politiker och riksdagsledamöter är något nytt fenomen. Han ger i uppsatsen exempel på fo</w:t>
      </w:r>
      <w:r w:rsidRPr="00F5723F">
        <w:t>l</w:t>
      </w:r>
      <w:r w:rsidRPr="00F5723F">
        <w:t>kets mis</w:t>
      </w:r>
      <w:r w:rsidRPr="00F5723F">
        <w:t>s</w:t>
      </w:r>
      <w:r w:rsidRPr="00F5723F">
        <w:t xml:space="preserve">tro gentemot ledande företrädare för riksdagen i ett 250-årigt perspektiv (Nilsson 1996). </w:t>
      </w:r>
    </w:p>
  </w:footnote>
  <w:footnote w:id="3">
    <w:p w:rsidR="00B43C57" w:rsidRPr="00F5723F" w:rsidRDefault="00B43C57">
      <w:pPr>
        <w:pStyle w:val="Fotnotstextindrag"/>
      </w:pPr>
      <w:r w:rsidRPr="00F5723F">
        <w:rPr>
          <w:rStyle w:val="Fotnotsreferens"/>
        </w:rPr>
        <w:footnoteRef/>
      </w:r>
      <w:r w:rsidRPr="00F5723F">
        <w:t xml:space="preserve"> Detta kapitel utgör en avrapportering för Riksdagskommittén, under talman Björn von Sydows ledning, men är även skrivet inom ramen för forskningsprojektet ”Bi</w:t>
      </w:r>
      <w:r w:rsidRPr="00F5723F">
        <w:t>l</w:t>
      </w:r>
      <w:r w:rsidRPr="00F5723F">
        <w:t>der av riksdagen – medborgare och riksdagsledamöter i den representativa dem</w:t>
      </w:r>
      <w:r w:rsidRPr="00F5723F">
        <w:t>o</w:t>
      </w:r>
      <w:r w:rsidRPr="00F5723F">
        <w:t>kratin”, finansierat av Riksbankens Jubileumsfond och med professor Sören Hol</w:t>
      </w:r>
      <w:r w:rsidRPr="00F5723F">
        <w:t>m</w:t>
      </w:r>
      <w:r w:rsidRPr="00F5723F">
        <w:t>berg som projektledare. Projektet avser att problematisera de bilder väljare och va</w:t>
      </w:r>
      <w:r w:rsidRPr="00F5723F">
        <w:t>l</w:t>
      </w:r>
      <w:r w:rsidRPr="00F5723F">
        <w:t>da har av politiker och politiska institutioner med fokus på institutionen riksdagen. Studien kommer att inriktas</w:t>
      </w:r>
      <w:r w:rsidRPr="00F5723F">
        <w:t xml:space="preserve"> på funktioner och arbetsuppgifter som ett modernt pa</w:t>
      </w:r>
      <w:r w:rsidRPr="00F5723F">
        <w:t>r</w:t>
      </w:r>
      <w:r w:rsidRPr="00F5723F">
        <w:t>lament har i en representativ demokrati och på hur riksdagen och dess ledamöter uppfattas av medborgare och riksdagsledamöter. Frågorna kommer att besvaras med hjälp av e</w:t>
      </w:r>
      <w:r w:rsidRPr="00F5723F">
        <w:t>n</w:t>
      </w:r>
      <w:r w:rsidRPr="00F5723F">
        <w:t>kätundersökningar bland både medborgare och riksdagsledamöter.</w:t>
      </w:r>
    </w:p>
  </w:footnote>
  <w:footnote w:id="4">
    <w:p w:rsidR="00B43C57" w:rsidRPr="00F5723F" w:rsidRDefault="00B43C57">
      <w:pPr>
        <w:pStyle w:val="Fotnotstextindrag"/>
      </w:pPr>
      <w:r w:rsidRPr="00F5723F">
        <w:rPr>
          <w:rStyle w:val="Fotnotsreferens"/>
        </w:rPr>
        <w:footnoteRef/>
      </w:r>
      <w:r w:rsidRPr="00F5723F">
        <w:t xml:space="preserve"> Huvudansvariga forskare för Valundersökning 2002 är Sören Holmberg och He</w:t>
      </w:r>
      <w:r w:rsidRPr="00F5723F">
        <w:t>n</w:t>
      </w:r>
      <w:r w:rsidRPr="00F5723F">
        <w:t>rik Oscarsson.</w:t>
      </w:r>
    </w:p>
  </w:footnote>
  <w:footnote w:id="5">
    <w:p w:rsidR="00B43C57" w:rsidRPr="00F5723F" w:rsidRDefault="00B43C57">
      <w:pPr>
        <w:pStyle w:val="Fotnotstextindrag"/>
      </w:pPr>
      <w:r w:rsidRPr="00F5723F">
        <w:rPr>
          <w:rStyle w:val="Fotnotsreferens"/>
        </w:rPr>
        <w:footnoteRef/>
      </w:r>
      <w:r w:rsidRPr="00F5723F">
        <w:t xml:space="preserve"> Frågan om förtroendet för olika samhällsinstitutioner har ställts i de båda SOM-undersökningarna hösten 2002. Urvalet för undersökningen har därför bestått av </w:t>
      </w:r>
    </w:p>
    <w:p w:rsidR="00B43C57" w:rsidRPr="00F5723F" w:rsidRDefault="00B43C57">
      <w:pPr>
        <w:pStyle w:val="Fotnotstextindrag"/>
      </w:pPr>
      <w:r w:rsidRPr="00F5723F">
        <w:t>6 000 personer i hela Sverige i åldrarna 15–85 år. Urvalet för undersökningarna har varierat något under tidsperioden 1986–2002. För att uppnå jämförbarhet för hela mätserien från 1986 och framåt ingår endast svarspersoner som är svenska medborg</w:t>
      </w:r>
      <w:r w:rsidRPr="00F5723F">
        <w:t>a</w:t>
      </w:r>
      <w:r w:rsidRPr="00F5723F">
        <w:t xml:space="preserve">re och som är mellan 15 och 75 år. I 1998 års undersökning saknas 15-åringarna helt, se Lithner 1999:401. För en diskussion om frågeformulering, se Brothén 1998:51. </w:t>
      </w:r>
    </w:p>
  </w:footnote>
  <w:footnote w:id="6">
    <w:p w:rsidR="00B43C57" w:rsidRPr="00F5723F" w:rsidRDefault="00B43C57">
      <w:pPr>
        <w:pStyle w:val="Fotnotstextindrag"/>
      </w:pPr>
      <w:r w:rsidRPr="00F5723F">
        <w:rPr>
          <w:rStyle w:val="Fotnotsreferens"/>
        </w:rPr>
        <w:footnoteRef/>
      </w:r>
      <w:r w:rsidRPr="00F5723F">
        <w:t xml:space="preserve"> Också andra undersökningar indikerar en sådan allmän elektoral cykel för förtroe</w:t>
      </w:r>
      <w:r w:rsidRPr="00F5723F">
        <w:t>n</w:t>
      </w:r>
      <w:r w:rsidRPr="00F5723F">
        <w:t>det för politiker. En studie kring allmänhetens förtroende för politiker i allmänhet mellan 1973 och 1994 visar till exempel på ett uppåtgående förtroende i samband med v</w:t>
      </w:r>
      <w:r w:rsidRPr="00F5723F">
        <w:t>a</w:t>
      </w:r>
      <w:r w:rsidRPr="00F5723F">
        <w:t xml:space="preserve">len, med undantag av valet 1979 (Österman 1995:16). </w:t>
      </w:r>
    </w:p>
  </w:footnote>
  <w:footnote w:id="7">
    <w:p w:rsidR="00B43C57" w:rsidRPr="00F5723F" w:rsidRDefault="00B43C57">
      <w:pPr>
        <w:pStyle w:val="Fotnotstextindrag"/>
      </w:pPr>
      <w:r w:rsidRPr="00F5723F">
        <w:rPr>
          <w:rStyle w:val="Fotnotsreferens"/>
        </w:rPr>
        <w:footnoteRef/>
      </w:r>
      <w:r w:rsidRPr="00F5723F">
        <w:t xml:space="preserve"> SOM-mätningarna genomförs normalt under tidsperioden oktober–januari, dvs. efter ett nytt riksmötes öppnande och därmed efter en nyvald riksdags första sa</w:t>
      </w:r>
      <w:r w:rsidRPr="00F5723F">
        <w:t>m</w:t>
      </w:r>
      <w:r w:rsidRPr="00F5723F">
        <w:t>manträde. 2002 års SOM-undersökning genomfördes mellan den 24 september 2002 och den 10 februari</w:t>
      </w:r>
      <w:r w:rsidRPr="00F5723F">
        <w:rPr>
          <w:b/>
        </w:rPr>
        <w:t xml:space="preserve"> </w:t>
      </w:r>
      <w:r w:rsidRPr="00F5723F">
        <w:t>2002. Medieakademin/NFO Infratest omfattar 750 telefoninte</w:t>
      </w:r>
      <w:r w:rsidRPr="00F5723F">
        <w:t>r</w:t>
      </w:r>
      <w:r w:rsidRPr="00F5723F">
        <w:t xml:space="preserve">vjuer mellan den 15 oktober och den 5 november 2002. Valårseffekten är inte lika tydlig i deras mätning. </w:t>
      </w:r>
    </w:p>
  </w:footnote>
  <w:footnote w:id="8">
    <w:p w:rsidR="00B43C57" w:rsidRPr="00F5723F" w:rsidRDefault="00B43C57">
      <w:pPr>
        <w:pStyle w:val="Fotnotstextindrag"/>
      </w:pPr>
      <w:r w:rsidRPr="00F5723F">
        <w:rPr>
          <w:rStyle w:val="Fotnotsreferens"/>
        </w:rPr>
        <w:footnoteRef/>
      </w:r>
      <w:r w:rsidRPr="00F5723F">
        <w:t xml:space="preserve"> För en diskussion om tidigare funktionsindelningar i litteraturen om de nationella parlamentens roll, se till exempel Holmberg &amp; Esaiasson 1988:250 ff.; Esaiasson &amp; Hol</w:t>
      </w:r>
      <w:r w:rsidRPr="00F5723F">
        <w:t>m</w:t>
      </w:r>
      <w:r w:rsidRPr="00F5723F">
        <w:t xml:space="preserve">berg 1996:237 ff. </w:t>
      </w:r>
    </w:p>
  </w:footnote>
  <w:footnote w:id="9">
    <w:p w:rsidR="00B43C57" w:rsidRPr="00F5723F" w:rsidRDefault="00B43C57">
      <w:pPr>
        <w:pStyle w:val="Fotnotstextindrag"/>
      </w:pPr>
      <w:r w:rsidRPr="00F5723F">
        <w:rPr>
          <w:rStyle w:val="Fotnotsreferens"/>
        </w:rPr>
        <w:footnoteRef/>
      </w:r>
      <w:r w:rsidRPr="00F5723F">
        <w:t xml:space="preserve"> Se 10 kap. 6 § regeringsformen: ”Regeringen skall fortlöpande informera riksd</w:t>
      </w:r>
      <w:r w:rsidRPr="00F5723F">
        <w:t>a</w:t>
      </w:r>
      <w:r w:rsidRPr="00F5723F">
        <w:t>gen och samråda med organ som utses av riksdagen om vad som sker inom ramen för samarbetet i Europeiska unionen. Närmare bestämmelser om informations- och sa</w:t>
      </w:r>
      <w:r w:rsidRPr="00F5723F">
        <w:t>m</w:t>
      </w:r>
      <w:r w:rsidRPr="00F5723F">
        <w:t>rådsskyldigheten meddelas i riksdagsordningen.” Se även 10 kap. riksdagsor</w:t>
      </w:r>
      <w:r w:rsidRPr="00F5723F">
        <w:t>d</w:t>
      </w:r>
      <w:r w:rsidRPr="00F5723F">
        <w:t>ningen: ”Behandlingen av frågor i Europeiska unionen”.</w:t>
      </w:r>
    </w:p>
  </w:footnote>
  <w:footnote w:id="10">
    <w:p w:rsidR="00B43C57" w:rsidRPr="00F5723F" w:rsidRDefault="00B43C57">
      <w:pPr>
        <w:pStyle w:val="Fotnotstextindrag"/>
      </w:pPr>
      <w:r w:rsidRPr="00F5723F">
        <w:rPr>
          <w:rStyle w:val="Fotnotsreferens"/>
        </w:rPr>
        <w:footnoteRef/>
      </w:r>
      <w:r w:rsidRPr="00F5723F">
        <w:t xml:space="preserve"> En ny uppgift har tillkommit i 4 kap. 16 § riksdagsordningen vari stadgas: ”I u</w:t>
      </w:r>
      <w:r w:rsidRPr="00F5723F">
        <w:t>t</w:t>
      </w:r>
      <w:r w:rsidRPr="00F5723F">
        <w:t>skottens beredning av ärendena skall ingå uppgiften att följa upp och utvärdera rik</w:t>
      </w:r>
      <w:r w:rsidRPr="00F5723F">
        <w:t>s</w:t>
      </w:r>
      <w:r w:rsidRPr="00F5723F">
        <w:t>dagsbeslut inom de ämnesområden som för varje utskott anges i 4–6 §§ med tillh</w:t>
      </w:r>
      <w:r w:rsidRPr="00F5723F">
        <w:t>ö</w:t>
      </w:r>
      <w:r w:rsidRPr="00F5723F">
        <w:t>rande tilläggsbestämmelser.” Denna uppgift har inte ingått i frågeformuläret till svarspers</w:t>
      </w:r>
      <w:r w:rsidRPr="00F5723F">
        <w:t>o</w:t>
      </w:r>
      <w:r w:rsidRPr="00F5723F">
        <w:t xml:space="preserve">nerna i SOM-undersökningen, däremot i </w:t>
      </w:r>
      <w:r w:rsidRPr="00F5723F">
        <w:rPr>
          <w:i/>
        </w:rPr>
        <w:t>Riksdagsenkät 2002</w:t>
      </w:r>
      <w:r w:rsidRPr="00F5723F">
        <w:t xml:space="preserve">. </w:t>
      </w:r>
    </w:p>
  </w:footnote>
  <w:footnote w:id="11">
    <w:p w:rsidR="00B43C57" w:rsidRPr="00F5723F" w:rsidRDefault="00B43C57">
      <w:pPr>
        <w:pStyle w:val="Fotnotstextindrag"/>
      </w:pPr>
      <w:r w:rsidRPr="00F5723F">
        <w:rPr>
          <w:rStyle w:val="Fotnotsreferens"/>
        </w:rPr>
        <w:footnoteRef/>
      </w:r>
      <w:r w:rsidRPr="00F5723F">
        <w:t xml:space="preserve"> Urvalet har bestått av 3 000 personer i hela Sverige i åldern 15–85 år. </w:t>
      </w:r>
    </w:p>
  </w:footnote>
  <w:footnote w:id="12">
    <w:p w:rsidR="00B43C57" w:rsidRPr="00F5723F" w:rsidRDefault="00B43C57">
      <w:pPr>
        <w:pStyle w:val="Fotnotstextindrag"/>
      </w:pPr>
      <w:r w:rsidRPr="00F5723F">
        <w:rPr>
          <w:rStyle w:val="Fotnotsreferens"/>
        </w:rPr>
        <w:footnoteRef/>
      </w:r>
      <w:r w:rsidRPr="00F5723F">
        <w:t xml:space="preserve"> Läsaren bör ha i åtanke att förhållandet skulle kunna vara det motsatta: Männi</w:t>
      </w:r>
      <w:r w:rsidRPr="00F5723F">
        <w:t>s</w:t>
      </w:r>
      <w:r w:rsidRPr="00F5723F">
        <w:t>kors allmänna bedömning av förtroendet för riksdagen färgar av sig på bedö</w:t>
      </w:r>
      <w:r w:rsidRPr="00F5723F">
        <w:t>m</w:t>
      </w:r>
      <w:r w:rsidRPr="00F5723F">
        <w:t xml:space="preserve">ningen av hur riksdagen sköter olika konkreta uppgifter. </w:t>
      </w:r>
    </w:p>
  </w:footnote>
  <w:footnote w:id="13">
    <w:p w:rsidR="00B43C57" w:rsidRPr="00F5723F" w:rsidRDefault="00B43C57">
      <w:pPr>
        <w:pStyle w:val="Fotnotstextindrag"/>
      </w:pPr>
      <w:r w:rsidRPr="00F5723F">
        <w:rPr>
          <w:rStyle w:val="Fotnotsreferens"/>
        </w:rPr>
        <w:footnoteRef/>
      </w:r>
      <w:r w:rsidRPr="00F5723F">
        <w:t xml:space="preserve"> I analysen har bedömningen av de sju riksdagsuppgifterna medtagits som tänkb</w:t>
      </w:r>
      <w:r w:rsidRPr="00F5723F">
        <w:t>a</w:t>
      </w:r>
      <w:r w:rsidRPr="00F5723F">
        <w:t>ra förklaringsfaktorer till förtroendet för riksdagen. Bedömningen av dessa sju up</w:t>
      </w:r>
      <w:r w:rsidRPr="00F5723F">
        <w:t>p</w:t>
      </w:r>
      <w:r w:rsidRPr="00F5723F">
        <w:t>gifter ses som oberoende variabler och kan i den multivariata regressionsanalysen variera mellan värdena 0 (</w:t>
      </w:r>
      <w:r w:rsidRPr="00F5723F">
        <w:t>”</w:t>
      </w:r>
      <w:r w:rsidRPr="00F5723F">
        <w:rPr>
          <w:i/>
        </w:rPr>
        <w:t>mycket dåligt</w:t>
      </w:r>
      <w:r w:rsidRPr="00F5723F">
        <w:t>”</w:t>
      </w:r>
      <w:r w:rsidRPr="00F5723F">
        <w:t>) och 4 (</w:t>
      </w:r>
      <w:r w:rsidRPr="00F5723F">
        <w:t>”</w:t>
      </w:r>
      <w:r w:rsidRPr="00F5723F">
        <w:rPr>
          <w:i/>
        </w:rPr>
        <w:t>mycket bra</w:t>
      </w:r>
      <w:r w:rsidRPr="00F5723F">
        <w:t>”</w:t>
      </w:r>
      <w:r w:rsidRPr="00F5723F">
        <w:t>). Den beroende variabeln – förtroendet för riksdagen – kan inta värden mellan 0 (</w:t>
      </w:r>
      <w:r w:rsidRPr="00F5723F">
        <w:t>”</w:t>
      </w:r>
      <w:r w:rsidRPr="00F5723F">
        <w:rPr>
          <w:i/>
        </w:rPr>
        <w:t>mycket litet fö</w:t>
      </w:r>
      <w:r w:rsidRPr="00F5723F">
        <w:rPr>
          <w:i/>
        </w:rPr>
        <w:t>r</w:t>
      </w:r>
      <w:r w:rsidRPr="00F5723F">
        <w:rPr>
          <w:i/>
        </w:rPr>
        <w:t>troende</w:t>
      </w:r>
      <w:r w:rsidRPr="00F5723F">
        <w:t>”</w:t>
      </w:r>
      <w:r w:rsidRPr="00F5723F">
        <w:t>) och 4 (</w:t>
      </w:r>
      <w:r w:rsidRPr="00F5723F">
        <w:t>”</w:t>
      </w:r>
      <w:r w:rsidRPr="00F5723F">
        <w:rPr>
          <w:i/>
        </w:rPr>
        <w:t>mycket stort förtroende</w:t>
      </w:r>
      <w:r w:rsidRPr="00F5723F">
        <w:t>”</w:t>
      </w:r>
      <w:r w:rsidRPr="00F5723F">
        <w:t xml:space="preserve">). Svarspersoner som svarat med mittenalternativen </w:t>
      </w:r>
      <w:r w:rsidRPr="00F5723F">
        <w:t>”</w:t>
      </w:r>
      <w:r w:rsidRPr="00F5723F">
        <w:rPr>
          <w:i/>
        </w:rPr>
        <w:t>va</w:t>
      </w:r>
      <w:r w:rsidRPr="00F5723F">
        <w:rPr>
          <w:i/>
        </w:rPr>
        <w:t>r</w:t>
      </w:r>
      <w:r w:rsidRPr="00F5723F">
        <w:rPr>
          <w:i/>
        </w:rPr>
        <w:t>ken bra ell</w:t>
      </w:r>
      <w:r w:rsidRPr="00F5723F">
        <w:rPr>
          <w:i/>
        </w:rPr>
        <w:t>er dåligt</w:t>
      </w:r>
      <w:r w:rsidRPr="00F5723F">
        <w:t>”</w:t>
      </w:r>
      <w:r w:rsidRPr="00F5723F">
        <w:t xml:space="preserve"> respektive </w:t>
      </w:r>
      <w:r w:rsidRPr="00F5723F">
        <w:t>”</w:t>
      </w:r>
      <w:r w:rsidRPr="00F5723F">
        <w:rPr>
          <w:i/>
        </w:rPr>
        <w:t>varken stort eller litet förtroende</w:t>
      </w:r>
      <w:r w:rsidRPr="00F5723F">
        <w:t>”</w:t>
      </w:r>
      <w:r w:rsidRPr="00F5723F">
        <w:rPr>
          <w:i/>
        </w:rPr>
        <w:t xml:space="preserve"> </w:t>
      </w:r>
      <w:r w:rsidRPr="00F5723F">
        <w:t>har medt</w:t>
      </w:r>
      <w:r w:rsidRPr="00F5723F">
        <w:t>a</w:t>
      </w:r>
      <w:r w:rsidRPr="00F5723F">
        <w:t>gits i denna analys och har i båda fallen givits värdet 2. Analysen görs därefter på osta</w:t>
      </w:r>
      <w:r w:rsidRPr="00F5723F">
        <w:t>n</w:t>
      </w:r>
      <w:r w:rsidRPr="00F5723F">
        <w:t>dardiserade regressionskoefficienter avseende både bivariata regressionsanal</w:t>
      </w:r>
      <w:r w:rsidRPr="00F5723F">
        <w:t>y</w:t>
      </w:r>
      <w:r w:rsidRPr="00F5723F">
        <w:t>ser med respektive förklaringsfaktor och en multivariat regressionsanalys med samtliga fö</w:t>
      </w:r>
      <w:r w:rsidRPr="00F5723F">
        <w:t>r</w:t>
      </w:r>
      <w:r w:rsidRPr="00F5723F">
        <w:t>klaringsfakt</w:t>
      </w:r>
      <w:r w:rsidRPr="00F5723F">
        <w:t>o</w:t>
      </w:r>
      <w:r w:rsidRPr="00F5723F">
        <w:t xml:space="preserve">rer. </w:t>
      </w:r>
    </w:p>
  </w:footnote>
  <w:footnote w:id="14">
    <w:p w:rsidR="00B43C57" w:rsidRPr="00F5723F" w:rsidRDefault="00B43C57">
      <w:pPr>
        <w:pStyle w:val="Fotnotstextindrag"/>
      </w:pPr>
      <w:r w:rsidRPr="00F5723F">
        <w:rPr>
          <w:rStyle w:val="Fotnotsreferens"/>
        </w:rPr>
        <w:footnoteRef/>
      </w:r>
      <w:r w:rsidRPr="00F5723F">
        <w:t xml:space="preserve"> Frågan har ställts i forskningsprojektets enkätundersökning med samtliga riksdag</w:t>
      </w:r>
      <w:r w:rsidRPr="00F5723F">
        <w:t>s</w:t>
      </w:r>
      <w:r w:rsidRPr="00F5723F">
        <w:t>ledamöter (Riksdagsenkät 2002). Svarsfrekvensen för undersö</w:t>
      </w:r>
      <w:r w:rsidRPr="00F5723F">
        <w:t>k</w:t>
      </w:r>
      <w:r w:rsidRPr="00F5723F">
        <w:t>ningen uppgick till 94 procent. Insamlingsperioden (12 november–7 maj 2003) har varit parallell med SOM-undersökningen (24 september 2002–10 februari 2003). Ansvarig för 2002 års rik</w:t>
      </w:r>
      <w:r w:rsidRPr="00F5723F">
        <w:t>s</w:t>
      </w:r>
      <w:r w:rsidRPr="00F5723F">
        <w:t xml:space="preserve">dagsundersökning har Martin Brothén varit. </w:t>
      </w:r>
    </w:p>
  </w:footnote>
  <w:footnote w:id="15">
    <w:p w:rsidR="00B43C57" w:rsidRPr="00F5723F" w:rsidRDefault="00B43C57">
      <w:pPr>
        <w:pStyle w:val="Fotnotstextindrag"/>
      </w:pPr>
      <w:r w:rsidRPr="00F5723F">
        <w:rPr>
          <w:rStyle w:val="Fotnotsreferens"/>
        </w:rPr>
        <w:footnoteRef/>
      </w:r>
      <w:r w:rsidRPr="00F5723F">
        <w:t xml:space="preserve"> I denna jämförelse finns det skäl att utnyttja balansmåttet eftersom andelen svara</w:t>
      </w:r>
      <w:r w:rsidRPr="00F5723F">
        <w:t>n</w:t>
      </w:r>
      <w:r w:rsidRPr="00F5723F">
        <w:t>de som uppgivit svarskategorin</w:t>
      </w:r>
      <w:r w:rsidRPr="00F5723F">
        <w:rPr>
          <w:i/>
        </w:rPr>
        <w:t xml:space="preserve"> </w:t>
      </w:r>
      <w:r w:rsidRPr="00F5723F">
        <w:t>”</w:t>
      </w:r>
      <w:r w:rsidRPr="00F5723F">
        <w:rPr>
          <w:i/>
        </w:rPr>
        <w:t>varken bra eller dåligt</w:t>
      </w:r>
      <w:r w:rsidRPr="00F5723F">
        <w:t>”</w:t>
      </w:r>
      <w:r w:rsidRPr="00F5723F">
        <w:t xml:space="preserve"> är ganska olika för medbo</w:t>
      </w:r>
      <w:r w:rsidRPr="00F5723F">
        <w:t>r</w:t>
      </w:r>
      <w:r w:rsidRPr="00F5723F">
        <w:t xml:space="preserve">gare och riksdagsledamöter. </w:t>
      </w:r>
    </w:p>
  </w:footnote>
  <w:footnote w:id="16">
    <w:p w:rsidR="00B43C57" w:rsidRPr="00F5723F" w:rsidRDefault="00B43C57">
      <w:pPr>
        <w:pStyle w:val="Fotnotstextindrag"/>
        <w:rPr>
          <w:sz w:val="20"/>
        </w:rPr>
      </w:pPr>
      <w:r w:rsidRPr="00F5723F">
        <w:rPr>
          <w:rStyle w:val="Fotnotsreferens"/>
        </w:rPr>
        <w:footnoteRef/>
      </w:r>
      <w:r w:rsidRPr="00F5723F">
        <w:t xml:space="preserve"> 1998 års riksdagsundersökning – Riksdagskandidat 1998 – genomfördes på up</w:t>
      </w:r>
      <w:r w:rsidRPr="00F5723F">
        <w:t>p</w:t>
      </w:r>
      <w:r w:rsidRPr="00F5723F">
        <w:t>drag av den parlamentariska utredningen Rådet för utvärdering av 1998 års val. Svarsfrekvensen för enkätundersökningen blev 94 procent. Insamlingen av enkä</w:t>
      </w:r>
      <w:r w:rsidRPr="00F5723F">
        <w:t>t</w:t>
      </w:r>
      <w:r w:rsidRPr="00F5723F">
        <w:t>svar ägde rum mellan den 13 oktober 1998 och den 1 mars 1999. Ansvarig för 1998 års riksdag</w:t>
      </w:r>
      <w:r w:rsidRPr="00F5723F">
        <w:t>s</w:t>
      </w:r>
      <w:r w:rsidRPr="00F5723F">
        <w:t>undersökning var Martin Brothén.</w:t>
      </w:r>
      <w:r w:rsidRPr="00F5723F">
        <w:rPr>
          <w:sz w:val="20"/>
        </w:rPr>
        <w:t xml:space="preserve"> </w:t>
      </w:r>
    </w:p>
  </w:footnote>
  <w:footnote w:id="17">
    <w:p w:rsidR="00B43C57" w:rsidRPr="00F5723F" w:rsidRDefault="00B43C57">
      <w:pPr>
        <w:pStyle w:val="Fotnotstextindrag"/>
      </w:pPr>
      <w:r w:rsidRPr="00F5723F">
        <w:rPr>
          <w:rStyle w:val="Fotnotsreferens"/>
        </w:rPr>
        <w:footnoteRef/>
      </w:r>
      <w:r w:rsidRPr="00F5723F">
        <w:t xml:space="preserve"> Spearmans rho var .52 år 2002. Spearmans rho är ett rangkorrelationsmått med vilket två rangordningars likhet kan jämföras. Måttet uttrycker graden av överen</w:t>
      </w:r>
      <w:r w:rsidRPr="00F5723F">
        <w:t>s</w:t>
      </w:r>
      <w:r w:rsidRPr="00F5723F">
        <w:t>stämmelse beträffande rangordningarna för medborgarnas respektive riksdagsled</w:t>
      </w:r>
      <w:r w:rsidRPr="00F5723F">
        <w:t>a</w:t>
      </w:r>
      <w:r w:rsidRPr="00F5723F">
        <w:t>möternas b</w:t>
      </w:r>
      <w:r w:rsidRPr="00F5723F">
        <w:t>e</w:t>
      </w:r>
      <w:r w:rsidRPr="00F5723F">
        <w:t>dömning av hur riksdagen fullgör sina uppgifter (jfr Brothén 1999:268). Måttet kan variera mellan –1,0 (hur riksdagen uppfyller sina uppgifter rangordnas helt olika av medborgare och folkvalda) och +1,0 (hur riksdagen uppfyller sina up</w:t>
      </w:r>
      <w:r w:rsidRPr="00F5723F">
        <w:t>p</w:t>
      </w:r>
      <w:r w:rsidRPr="00F5723F">
        <w:t xml:space="preserve">gifter rangordnas helt lika </w:t>
      </w:r>
      <w:r w:rsidRPr="00F5723F">
        <w:t>av medborgare och folkvalda). 1998 up</w:t>
      </w:r>
      <w:r w:rsidRPr="00F5723F">
        <w:t>p</w:t>
      </w:r>
      <w:r w:rsidRPr="00F5723F">
        <w:t>mättes Spearmans rho = .73 (Brothén 1999:268).</w:t>
      </w:r>
    </w:p>
  </w:footnote>
  <w:footnote w:id="18">
    <w:p w:rsidR="00B43C57" w:rsidRPr="00F5723F" w:rsidRDefault="00B43C57">
      <w:pPr>
        <w:pStyle w:val="Fotnotstextindrag"/>
      </w:pPr>
      <w:r w:rsidRPr="00F5723F">
        <w:rPr>
          <w:rStyle w:val="Fotnotsreferens"/>
        </w:rPr>
        <w:footnoteRef/>
      </w:r>
      <w:r w:rsidRPr="00F5723F">
        <w:t xml:space="preserve"> Statsvetarna Magnus Isberg och David Arter har i sina utvärderingar av riksd</w:t>
      </w:r>
      <w:r w:rsidRPr="00F5723F">
        <w:t>a</w:t>
      </w:r>
      <w:r w:rsidRPr="00F5723F">
        <w:t>gens starka och svaga sidor funnit att riksdagen är bäst på att formulera och initiera beslut och sämst när det gäller uppgiften att övervaka regeringsarbetet (se även Holmberg &amp; Esaiasson 1988:259; Esaiasson &amp; Holmberg 19967:244).</w:t>
      </w:r>
    </w:p>
  </w:footnote>
  <w:footnote w:id="19">
    <w:p w:rsidR="00B43C57" w:rsidRPr="00F5723F" w:rsidRDefault="00B43C57">
      <w:pPr>
        <w:pStyle w:val="Fotnotstextindrag"/>
      </w:pPr>
      <w:r w:rsidRPr="00F5723F">
        <w:rPr>
          <w:rStyle w:val="Fotnotsreferens"/>
        </w:rPr>
        <w:footnoteRef/>
      </w:r>
      <w:r w:rsidRPr="00F5723F">
        <w:t xml:space="preserve"> Lawrence D. Longley och Roger H. Davidson, ”Parliamentary Committees: Changing Perspectives on Changing Institutions”</w:t>
      </w:r>
      <w:r w:rsidRPr="00F5723F">
        <w:t>, i Longley och Davidson (red.)</w:t>
      </w:r>
      <w:r w:rsidRPr="00F5723F">
        <w:t xml:space="preserve"> </w:t>
      </w:r>
      <w:r w:rsidRPr="00F5723F">
        <w:rPr>
          <w:i/>
        </w:rPr>
        <w:t>The New Roles of Parliamentary Committees</w:t>
      </w:r>
      <w:r w:rsidRPr="00F5723F">
        <w:t xml:space="preserve"> (London: Frank Cass, 1998), s. </w:t>
      </w:r>
      <w:smartTag w:uri="urn:schemas-microsoft-com:office:smarttags" w:element="metricconverter">
        <w:smartTagPr>
          <w:attr w:name="ProductID" w:val="1 f"/>
        </w:smartTagPr>
        <w:r w:rsidRPr="00F5723F">
          <w:t>1 f</w:t>
        </w:r>
      </w:smartTag>
      <w:r w:rsidRPr="00F5723F">
        <w:t>.</w:t>
      </w:r>
    </w:p>
  </w:footnote>
  <w:footnote w:id="20">
    <w:p w:rsidR="00B43C57" w:rsidRPr="00F5723F" w:rsidRDefault="00B43C57">
      <w:pPr>
        <w:pStyle w:val="Fotnotstextindrag"/>
      </w:pPr>
      <w:r w:rsidRPr="00F5723F">
        <w:rPr>
          <w:rStyle w:val="Fotnotsreferens"/>
        </w:rPr>
        <w:footnoteRef/>
      </w:r>
      <w:r w:rsidRPr="00F5723F">
        <w:t xml:space="preserve"> Ingvar Mattson och Kaare Strøm, ”Parliamentary Committees”, i Herbert Döring (red.) </w:t>
      </w:r>
      <w:r w:rsidRPr="00F5723F">
        <w:rPr>
          <w:i/>
        </w:rPr>
        <w:t>Parliaments and Majority Rule in Western Europe</w:t>
      </w:r>
      <w:r w:rsidRPr="00F5723F">
        <w:t xml:space="preserve"> (Frankfurt: Campus Ve</w:t>
      </w:r>
      <w:r w:rsidRPr="00F5723F">
        <w:t>r</w:t>
      </w:r>
      <w:r w:rsidRPr="00F5723F">
        <w:t xml:space="preserve">lag), s. </w:t>
      </w:r>
      <w:smartTag w:uri="urn:schemas-microsoft-com:office:smarttags" w:element="metricconverter">
        <w:smartTagPr>
          <w:attr w:name="ProductID" w:val="250 f"/>
        </w:smartTagPr>
        <w:r w:rsidRPr="00F5723F">
          <w:t>250 f</w:t>
        </w:r>
      </w:smartTag>
      <w:r w:rsidRPr="00F5723F">
        <w:t>.</w:t>
      </w:r>
    </w:p>
  </w:footnote>
  <w:footnote w:id="21">
    <w:p w:rsidR="00B43C57" w:rsidRPr="00F5723F" w:rsidRDefault="00B43C57">
      <w:pPr>
        <w:pStyle w:val="Fotnotstextindrag"/>
      </w:pPr>
      <w:r w:rsidRPr="00F5723F">
        <w:rPr>
          <w:rStyle w:val="Fotnotsreferens"/>
        </w:rPr>
        <w:footnoteRef/>
      </w:r>
      <w:r w:rsidRPr="00F5723F">
        <w:t xml:space="preserve"> Lars Davidsson, ”Riksdagen”, i Ingvar Mattson och Olof Petersson (red.) </w:t>
      </w:r>
      <w:r w:rsidRPr="00F5723F">
        <w:rPr>
          <w:i/>
        </w:rPr>
        <w:t>Svensk författningspolitik</w:t>
      </w:r>
      <w:r w:rsidRPr="00F5723F">
        <w:t xml:space="preserve"> (Stockholm: SNS Förlag, 2003), s. </w:t>
      </w:r>
      <w:smartTag w:uri="urn:schemas-microsoft-com:office:smarttags" w:element="metricconverter">
        <w:smartTagPr>
          <w:attr w:name="ProductID" w:val="121 f"/>
        </w:smartTagPr>
        <w:r w:rsidRPr="00F5723F">
          <w:t>121 f</w:t>
        </w:r>
      </w:smartTag>
      <w:r w:rsidRPr="00F5723F">
        <w:t>.</w:t>
      </w:r>
    </w:p>
  </w:footnote>
  <w:footnote w:id="22">
    <w:p w:rsidR="00B43C57" w:rsidRPr="00F5723F" w:rsidRDefault="00B43C57">
      <w:pPr>
        <w:pStyle w:val="Fotnotstextindrag"/>
      </w:pPr>
      <w:r w:rsidRPr="00F5723F">
        <w:rPr>
          <w:rStyle w:val="Fotnotsreferens"/>
        </w:rPr>
        <w:footnoteRef/>
      </w:r>
      <w:r w:rsidRPr="00F5723F">
        <w:t xml:space="preserve"> Ibid.</w:t>
      </w:r>
    </w:p>
  </w:footnote>
  <w:footnote w:id="23">
    <w:p w:rsidR="00B43C57" w:rsidRPr="00F5723F" w:rsidRDefault="00B43C57">
      <w:pPr>
        <w:pStyle w:val="Fotnotstextindrag"/>
      </w:pPr>
      <w:r w:rsidRPr="00F5723F">
        <w:rPr>
          <w:rStyle w:val="Fotnotsreferens"/>
        </w:rPr>
        <w:footnoteRef/>
      </w:r>
      <w:r w:rsidRPr="00F5723F">
        <w:t xml:space="preserve"> Ulf Christoffersson, ”Utskottsindelningen”, PM (Kammarkansliet, 2004-08-03), s. 7.</w:t>
      </w:r>
    </w:p>
  </w:footnote>
  <w:footnote w:id="24">
    <w:p w:rsidR="00B43C57" w:rsidRPr="00F5723F" w:rsidRDefault="00B43C57">
      <w:pPr>
        <w:pStyle w:val="Fotnotstextindrag"/>
      </w:pPr>
      <w:r w:rsidRPr="00F5723F">
        <w:rPr>
          <w:rStyle w:val="Fotnotsreferens"/>
        </w:rPr>
        <w:footnoteRef/>
      </w:r>
      <w:r w:rsidRPr="00F5723F">
        <w:t xml:space="preserve"> De 16 utskotten är följande: konstitutionsutskottet, finansutskottet, skatteutsko</w:t>
      </w:r>
      <w:r w:rsidRPr="00F5723F">
        <w:t>t</w:t>
      </w:r>
      <w:r w:rsidRPr="00F5723F">
        <w:t>tet, justitieutskottet, lagutskottet, utrikesutskottet, försvarsutskottet, socialförsäkringsu</w:t>
      </w:r>
      <w:r w:rsidRPr="00F5723F">
        <w:t>t</w:t>
      </w:r>
      <w:r w:rsidRPr="00F5723F">
        <w:t>skottet, socialutskottet, kulturutskottet, utbildningsutskottet, trafikutskottet, miljö- och jordbruksutskottet, näringsutskottet, arbetsmarknadsutskottet och bostadsutsko</w:t>
      </w:r>
      <w:r w:rsidRPr="00F5723F">
        <w:t>t</w:t>
      </w:r>
      <w:r w:rsidRPr="00F5723F">
        <w:t>tet.</w:t>
      </w:r>
    </w:p>
  </w:footnote>
  <w:footnote w:id="25">
    <w:p w:rsidR="00B43C57" w:rsidRPr="00F5723F" w:rsidRDefault="00B43C57">
      <w:pPr>
        <w:pStyle w:val="Fotnotstextindrag"/>
      </w:pPr>
      <w:r w:rsidRPr="00F5723F">
        <w:rPr>
          <w:rStyle w:val="Fotnotsreferens"/>
        </w:rPr>
        <w:footnoteRef/>
      </w:r>
      <w:r w:rsidRPr="00F5723F">
        <w:t xml:space="preserve"> Erik Holmberg och Nils Stjernquist, </w:t>
      </w:r>
      <w:r w:rsidRPr="00F5723F">
        <w:rPr>
          <w:i/>
        </w:rPr>
        <w:t>Grundlagarna med tillhörande författningar</w:t>
      </w:r>
      <w:r w:rsidRPr="00F5723F">
        <w:t xml:space="preserve"> (Stockholm: Norstedt, 1980), s. 683.</w:t>
      </w:r>
    </w:p>
  </w:footnote>
  <w:footnote w:id="26">
    <w:p w:rsidR="00B43C57" w:rsidRPr="00F5723F" w:rsidRDefault="00B43C57">
      <w:pPr>
        <w:pStyle w:val="Fotnotstextindrag"/>
      </w:pPr>
      <w:r w:rsidRPr="00F5723F">
        <w:rPr>
          <w:rStyle w:val="Fotnotsreferens"/>
        </w:rPr>
        <w:footnoteRef/>
      </w:r>
      <w:r w:rsidRPr="00F5723F">
        <w:t xml:space="preserve"> Ulf Christoffersson, ”Utskottsindelningen”, PM (Kammarkansliet, 2004-08-03) s. 1.</w:t>
      </w:r>
    </w:p>
  </w:footnote>
  <w:footnote w:id="27">
    <w:p w:rsidR="00B43C57" w:rsidRPr="00F5723F" w:rsidRDefault="00B43C57">
      <w:pPr>
        <w:pStyle w:val="Fotnotstextindrag"/>
      </w:pPr>
      <w:r w:rsidRPr="00F5723F">
        <w:rPr>
          <w:rStyle w:val="Fotnotsreferens"/>
        </w:rPr>
        <w:footnoteRef/>
      </w:r>
      <w:r w:rsidRPr="00F5723F">
        <w:t xml:space="preserve"> Herbert Tingsten, </w:t>
      </w:r>
      <w:r w:rsidRPr="00F5723F">
        <w:rPr>
          <w:i/>
        </w:rPr>
        <w:t>Sveriges riksdag: historisk och statsvetenskaplig framställning. Elfte bandet. Utskottsväsendet</w:t>
      </w:r>
      <w:r w:rsidRPr="00F5723F">
        <w:t xml:space="preserve"> (Stockholm, 1934).</w:t>
      </w:r>
    </w:p>
  </w:footnote>
  <w:footnote w:id="28">
    <w:p w:rsidR="00B43C57" w:rsidRPr="00F5723F" w:rsidRDefault="00B43C57">
      <w:pPr>
        <w:pStyle w:val="Fotnotstextindrag"/>
      </w:pPr>
      <w:r w:rsidRPr="00F5723F">
        <w:rPr>
          <w:rStyle w:val="Fotnotsreferens"/>
        </w:rPr>
        <w:footnoteRef/>
      </w:r>
      <w:r w:rsidRPr="00F5723F">
        <w:t xml:space="preserve"> Ibid., s. </w:t>
      </w:r>
      <w:smartTag w:uri="urn:schemas-microsoft-com:office:smarttags" w:element="metricconverter">
        <w:smartTagPr>
          <w:attr w:name="ProductID" w:val="326 f"/>
        </w:smartTagPr>
        <w:r w:rsidRPr="00F5723F">
          <w:t>326 f</w:t>
        </w:r>
      </w:smartTag>
      <w:r w:rsidRPr="00F5723F">
        <w:t>.</w:t>
      </w:r>
    </w:p>
  </w:footnote>
  <w:footnote w:id="29">
    <w:p w:rsidR="00B43C57" w:rsidRPr="00F5723F" w:rsidRDefault="00B43C57">
      <w:pPr>
        <w:pStyle w:val="Fotnotstextindrag"/>
      </w:pPr>
      <w:r w:rsidRPr="00F5723F">
        <w:rPr>
          <w:rStyle w:val="Fotnotsreferens"/>
        </w:rPr>
        <w:footnoteRef/>
      </w:r>
      <w:r w:rsidRPr="00F5723F">
        <w:t xml:space="preserve"> Nils Stjernquist, </w:t>
      </w:r>
      <w:r w:rsidRPr="00F5723F">
        <w:rPr>
          <w:i/>
        </w:rPr>
        <w:t>Samhälle och riksdag: historisk och statsvetenskaplig framstäl</w:t>
      </w:r>
      <w:r w:rsidRPr="00F5723F">
        <w:rPr>
          <w:i/>
        </w:rPr>
        <w:t>l</w:t>
      </w:r>
      <w:r w:rsidRPr="00F5723F">
        <w:rPr>
          <w:i/>
        </w:rPr>
        <w:t>ning utgiven i anledning av tvåkammarriksdagens 100-åriga tillvaro. Del IV. Riksd</w:t>
      </w:r>
      <w:r w:rsidRPr="00F5723F">
        <w:rPr>
          <w:i/>
        </w:rPr>
        <w:t>a</w:t>
      </w:r>
      <w:r w:rsidRPr="00F5723F">
        <w:rPr>
          <w:i/>
        </w:rPr>
        <w:t>gens arbete och arbetsformer</w:t>
      </w:r>
      <w:r w:rsidRPr="00F5723F">
        <w:t xml:space="preserve"> (Stockholm: Almqvist &amp; Wiksell, 1966).</w:t>
      </w:r>
    </w:p>
  </w:footnote>
  <w:footnote w:id="30">
    <w:p w:rsidR="00B43C57" w:rsidRPr="00F5723F" w:rsidRDefault="00B43C57">
      <w:pPr>
        <w:pStyle w:val="Fotnotstextindrag"/>
      </w:pPr>
      <w:r w:rsidRPr="00F5723F">
        <w:rPr>
          <w:rStyle w:val="Fotnotsreferens"/>
        </w:rPr>
        <w:footnoteRef/>
      </w:r>
      <w:r w:rsidRPr="00F5723F">
        <w:t xml:space="preserve"> Ibid., s. 24.</w:t>
      </w:r>
    </w:p>
  </w:footnote>
  <w:footnote w:id="31">
    <w:p w:rsidR="00B43C57" w:rsidRPr="00F5723F" w:rsidRDefault="00B43C57">
      <w:pPr>
        <w:pStyle w:val="Fotnotstextindrag"/>
      </w:pPr>
      <w:r w:rsidRPr="00F5723F">
        <w:rPr>
          <w:rStyle w:val="Fotnotsreferens"/>
        </w:rPr>
        <w:footnoteRef/>
      </w:r>
      <w:r w:rsidRPr="00F5723F">
        <w:t xml:space="preserve"> Ibid., s. 25.</w:t>
      </w:r>
    </w:p>
  </w:footnote>
  <w:footnote w:id="32">
    <w:p w:rsidR="00B43C57" w:rsidRPr="00F5723F" w:rsidRDefault="00B43C57">
      <w:pPr>
        <w:pStyle w:val="Fotnotstextindrag"/>
      </w:pPr>
      <w:r w:rsidRPr="00F5723F">
        <w:rPr>
          <w:rStyle w:val="Fotnotsreferens"/>
        </w:rPr>
        <w:footnoteRef/>
      </w:r>
      <w:r w:rsidRPr="00F5723F">
        <w:t xml:space="preserve"> Ibid., s. 337.</w:t>
      </w:r>
    </w:p>
  </w:footnote>
  <w:footnote w:id="33">
    <w:p w:rsidR="00B43C57" w:rsidRPr="00F5723F" w:rsidRDefault="00B43C57">
      <w:pPr>
        <w:pStyle w:val="Fotnotstextindrag"/>
      </w:pPr>
      <w:r w:rsidRPr="00F5723F">
        <w:rPr>
          <w:rStyle w:val="Fotnotsreferens"/>
        </w:rPr>
        <w:footnoteRef/>
      </w:r>
      <w:r w:rsidRPr="00F5723F">
        <w:t xml:space="preserve"> Magnus Isberg, ”Utskottsväsendet i enkammarriksdagen”, stencil, s. </w:t>
      </w:r>
      <w:smartTag w:uri="urn:schemas-microsoft-com:office:smarttags" w:element="metricconverter">
        <w:smartTagPr>
          <w:attr w:name="ProductID" w:val="12 f"/>
        </w:smartTagPr>
        <w:r w:rsidRPr="00F5723F">
          <w:t>12 f</w:t>
        </w:r>
      </w:smartTag>
      <w:r w:rsidRPr="00F5723F">
        <w:t>.</w:t>
      </w:r>
    </w:p>
  </w:footnote>
  <w:footnote w:id="34">
    <w:p w:rsidR="00B43C57" w:rsidRPr="00F5723F" w:rsidRDefault="00B43C57">
      <w:pPr>
        <w:pStyle w:val="Fotnotstextindrag"/>
      </w:pPr>
      <w:r w:rsidRPr="00F5723F">
        <w:rPr>
          <w:rStyle w:val="Fotnotsreferens"/>
        </w:rPr>
        <w:footnoteRef/>
      </w:r>
      <w:r w:rsidRPr="00F5723F">
        <w:t xml:space="preserve"> Ibid. s. </w:t>
      </w:r>
      <w:smartTag w:uri="urn:schemas-microsoft-com:office:smarttags" w:element="metricconverter">
        <w:smartTagPr>
          <w:attr w:name="ProductID" w:val="13 f"/>
        </w:smartTagPr>
        <w:r w:rsidRPr="00F5723F">
          <w:t>13 f</w:t>
        </w:r>
      </w:smartTag>
      <w:r w:rsidRPr="00F5723F">
        <w:t>.</w:t>
      </w:r>
    </w:p>
  </w:footnote>
  <w:footnote w:id="35">
    <w:p w:rsidR="00B43C57" w:rsidRPr="00F5723F" w:rsidRDefault="00B43C57">
      <w:pPr>
        <w:pStyle w:val="Fotnotstextindrag"/>
      </w:pPr>
      <w:r w:rsidRPr="00F5723F">
        <w:rPr>
          <w:rStyle w:val="Fotnotsreferens"/>
        </w:rPr>
        <w:footnoteRef/>
      </w:r>
      <w:r w:rsidRPr="00F5723F">
        <w:t xml:space="preserve"> Ibid. s. </w:t>
      </w:r>
      <w:smartTag w:uri="urn:schemas-microsoft-com:office:smarttags" w:element="metricconverter">
        <w:smartTagPr>
          <w:attr w:name="ProductID" w:val="14 f"/>
        </w:smartTagPr>
        <w:r w:rsidRPr="00F5723F">
          <w:t>14 f</w:t>
        </w:r>
      </w:smartTag>
      <w:r w:rsidRPr="00F5723F">
        <w:t>.</w:t>
      </w:r>
    </w:p>
  </w:footnote>
  <w:footnote w:id="36">
    <w:p w:rsidR="00B43C57" w:rsidRPr="00F5723F" w:rsidRDefault="00B43C57">
      <w:pPr>
        <w:pStyle w:val="Fotnotstextindrag"/>
      </w:pPr>
      <w:r w:rsidRPr="00F5723F">
        <w:rPr>
          <w:rStyle w:val="Fotnotsreferens"/>
        </w:rPr>
        <w:footnoteRef/>
      </w:r>
      <w:r w:rsidRPr="00F5723F">
        <w:t xml:space="preserve"> Magnus Isberg, ”Riksdagsarbetets variationer”, PM 56 (Folkstyrelsekommittén, 1986-05-07), s. </w:t>
      </w:r>
      <w:smartTag w:uri="urn:schemas-microsoft-com:office:smarttags" w:element="metricconverter">
        <w:smartTagPr>
          <w:attr w:name="ProductID" w:val="8 f"/>
        </w:smartTagPr>
        <w:r w:rsidRPr="00F5723F">
          <w:t>8 f</w:t>
        </w:r>
      </w:smartTag>
      <w:r w:rsidRPr="00F5723F">
        <w:t>.</w:t>
      </w:r>
    </w:p>
  </w:footnote>
  <w:footnote w:id="37">
    <w:p w:rsidR="00B43C57" w:rsidRPr="00F5723F" w:rsidRDefault="00B43C57">
      <w:pPr>
        <w:pStyle w:val="Fotnotstextindrag"/>
      </w:pPr>
      <w:r w:rsidRPr="00F5723F">
        <w:rPr>
          <w:rStyle w:val="Fotnotsreferens"/>
        </w:rPr>
        <w:footnoteRef/>
      </w:r>
      <w:r w:rsidRPr="00F5723F">
        <w:t xml:space="preserve"> Riksdagsutredningens förslag till förändringar av riksdagens beslutsformer a</w:t>
      </w:r>
      <w:r w:rsidRPr="00F5723F">
        <w:t>n</w:t>
      </w:r>
      <w:r w:rsidRPr="00F5723F">
        <w:t>togs av riksdagen (bet. 1993/94:KU18, rskr. 1993/94:424 och bet. 1994/95:KU2, rskr. 1994/95:5). Sedan budgetåret 1997 är statsbudgeten indelad i utgiftsområden i likhet med Riksdagsutredningens förslag.</w:t>
      </w:r>
    </w:p>
  </w:footnote>
  <w:footnote w:id="38">
    <w:p w:rsidR="00B43C57" w:rsidRPr="00F5723F" w:rsidRDefault="00B43C57">
      <w:pPr>
        <w:pStyle w:val="Fotnotstextindrag"/>
      </w:pPr>
      <w:r w:rsidRPr="00F5723F">
        <w:rPr>
          <w:rStyle w:val="Fotnotsreferens"/>
        </w:rPr>
        <w:footnoteRef/>
      </w:r>
      <w:r w:rsidRPr="00F5723F">
        <w:t xml:space="preserve"> I sin årliga rapport till kammarkansliet inkluderar UU mottagningar av utländska besök som sammanträdestid. Detta är anledningen till att UU i statistiken har den längsta sammanträdestiden av samtliga utskott (förs. 2000/01:RS1 bil. 5 s. 211).</w:t>
      </w:r>
    </w:p>
  </w:footnote>
  <w:footnote w:id="39">
    <w:p w:rsidR="00B43C57" w:rsidRPr="00F5723F" w:rsidRDefault="00B43C57">
      <w:pPr>
        <w:pStyle w:val="Fotnotstextindrag"/>
      </w:pPr>
      <w:r w:rsidRPr="00F5723F">
        <w:rPr>
          <w:rStyle w:val="Fotnotsreferens"/>
        </w:rPr>
        <w:footnoteRef/>
      </w:r>
      <w:r w:rsidRPr="00F5723F">
        <w:t xml:space="preserve"> Avsnittet bygger i huvudsak på Ulf Christoffersson, ”Utskottsindelningen”, PM (Kammarkansliet, 2004-08-03) s. </w:t>
      </w:r>
      <w:smartTag w:uri="urn:schemas-microsoft-com:office:smarttags" w:element="metricconverter">
        <w:smartTagPr>
          <w:attr w:name="ProductID" w:val="7 f"/>
        </w:smartTagPr>
        <w:r w:rsidRPr="00F5723F">
          <w:t>7 f</w:t>
        </w:r>
      </w:smartTag>
      <w:r w:rsidRPr="00F5723F">
        <w:t>.</w:t>
      </w:r>
    </w:p>
  </w:footnote>
  <w:footnote w:id="40">
    <w:p w:rsidR="00B43C57" w:rsidRPr="00F5723F" w:rsidRDefault="00B43C57">
      <w:pPr>
        <w:pStyle w:val="Fotnotstextindrag"/>
      </w:pPr>
      <w:r w:rsidRPr="00F5723F">
        <w:rPr>
          <w:rStyle w:val="Fotnotsreferens"/>
        </w:rPr>
        <w:footnoteRef/>
      </w:r>
      <w:r w:rsidRPr="00F5723F">
        <w:t xml:space="preserve"> Kai Kronvall, ”Institutionella förhållanden i nationella parlament – en översikt”, PM (Riksdagskommittén, 2003-10-06).</w:t>
      </w:r>
    </w:p>
  </w:footnote>
  <w:footnote w:id="41">
    <w:p w:rsidR="00B43C57" w:rsidRPr="00F5723F" w:rsidRDefault="00B43C57">
      <w:pPr>
        <w:pStyle w:val="Fotnotstextindrag"/>
      </w:pPr>
      <w:r w:rsidRPr="00F5723F">
        <w:rPr>
          <w:rStyle w:val="Fotnotsreferens"/>
        </w:rPr>
        <w:footnoteRef/>
      </w:r>
      <w:r w:rsidRPr="00F5723F">
        <w:t xml:space="preserve"> Erik Holmberg och Nils Stjernquist, </w:t>
      </w:r>
      <w:r w:rsidRPr="00F5723F">
        <w:rPr>
          <w:i/>
        </w:rPr>
        <w:t>Vår författning</w:t>
      </w:r>
      <w:r w:rsidRPr="00F5723F">
        <w:t>, 13 uppl. rev. av Magnus I</w:t>
      </w:r>
      <w:r w:rsidRPr="00F5723F">
        <w:t>s</w:t>
      </w:r>
      <w:r w:rsidRPr="00F5723F">
        <w:t>berg och Göran Regner (Stockholm: Norstedts Juridik, 2003), s. 102.</w:t>
      </w:r>
    </w:p>
  </w:footnote>
  <w:footnote w:id="42">
    <w:p w:rsidR="00B43C57" w:rsidRPr="00F5723F" w:rsidRDefault="00B43C57">
      <w:pPr>
        <w:pStyle w:val="Fotnotstextindrag"/>
      </w:pPr>
      <w:r w:rsidRPr="00F5723F">
        <w:rPr>
          <w:rStyle w:val="Fotnotsreferens"/>
        </w:rPr>
        <w:footnoteRef/>
      </w:r>
      <w:r w:rsidRPr="00F5723F">
        <w:t xml:space="preserve"> Erik Holmberg och Nils Stjernquist, </w:t>
      </w:r>
      <w:r w:rsidRPr="00F5723F">
        <w:rPr>
          <w:i/>
        </w:rPr>
        <w:t>Grundlagarna med tillhörande författningar</w:t>
      </w:r>
      <w:r w:rsidRPr="00F5723F">
        <w:t xml:space="preserve"> (Stockholm: Norstedt, 1980), s. 688.</w:t>
      </w:r>
    </w:p>
  </w:footnote>
  <w:footnote w:id="43">
    <w:p w:rsidR="00B43C57" w:rsidRPr="00F5723F" w:rsidRDefault="00B43C57">
      <w:pPr>
        <w:pStyle w:val="Fotnotstextindrag"/>
      </w:pPr>
      <w:r w:rsidRPr="00F5723F">
        <w:rPr>
          <w:rStyle w:val="Fotnotsreferens"/>
        </w:rPr>
        <w:footnoteRef/>
      </w:r>
      <w:r w:rsidRPr="00F5723F">
        <w:t xml:space="preserve"> Erik Holmberg och Nils Stjernquist, </w:t>
      </w:r>
      <w:r w:rsidRPr="00F5723F">
        <w:rPr>
          <w:i/>
        </w:rPr>
        <w:t>Grundlagarna med tillhörande författningar</w:t>
      </w:r>
      <w:r w:rsidRPr="00F5723F">
        <w:t xml:space="preserve"> (Stockholm: Norstedt, 1980), s. </w:t>
      </w:r>
      <w:smartTag w:uri="urn:schemas-microsoft-com:office:smarttags" w:element="metricconverter">
        <w:smartTagPr>
          <w:attr w:name="ProductID" w:val="670 f"/>
        </w:smartTagPr>
        <w:r w:rsidRPr="00F5723F">
          <w:t>670 f</w:t>
        </w:r>
      </w:smartTag>
      <w:r w:rsidRPr="00F5723F">
        <w:t>.</w:t>
      </w:r>
    </w:p>
  </w:footnote>
  <w:footnote w:id="44">
    <w:p w:rsidR="00B43C57" w:rsidRPr="00F5723F" w:rsidRDefault="00B43C57">
      <w:pPr>
        <w:pStyle w:val="Fotnotstextindrag"/>
      </w:pPr>
      <w:r w:rsidRPr="00F5723F">
        <w:rPr>
          <w:rStyle w:val="Fotnotsreferens"/>
        </w:rPr>
        <w:footnoteRef/>
      </w:r>
      <w:r w:rsidRPr="00F5723F">
        <w:t xml:space="preserve"> Som skäl för att bokföra sådana aktiviteter som sammanträdestid har, från utrike</w:t>
      </w:r>
      <w:r w:rsidRPr="00F5723F">
        <w:t>s</w:t>
      </w:r>
      <w:r w:rsidRPr="00F5723F">
        <w:t>utskottets kansli, anförts att utrikesutskottets arbetssätt skiljer sig delvis från övriga utskotts. Den typ av besök och mottagningar som utrikesutskottet har när det tar emot delegationer med mera är en viktig del av utskottets arbete. Detta är en konsekvens av att riksdagens och utskottets roll inom utrikespolitiken konstitutionellt sett skiljer sig något från hur det ser ut inom andra beredningsområden.</w:t>
      </w:r>
    </w:p>
  </w:footnote>
  <w:footnote w:id="45">
    <w:p w:rsidR="00B43C57" w:rsidRPr="00F5723F" w:rsidRDefault="00B43C57">
      <w:pPr>
        <w:pStyle w:val="Fotnotstextindrag"/>
      </w:pPr>
      <w:r w:rsidRPr="00F5723F">
        <w:rPr>
          <w:rStyle w:val="Fotnotsreferens"/>
        </w:rPr>
        <w:footnoteRef/>
      </w:r>
      <w:r w:rsidRPr="00F5723F">
        <w:t xml:space="preserve"> Bilden blir densamma när jämförelsen avgränsas till endast de två första åren i respektive valperiod.</w:t>
      </w:r>
    </w:p>
  </w:footnote>
  <w:footnote w:id="46">
    <w:p w:rsidR="00B43C57" w:rsidRPr="00F5723F" w:rsidRDefault="00B43C57">
      <w:pPr>
        <w:pStyle w:val="Fotnotstextindrag"/>
      </w:pPr>
      <w:r w:rsidRPr="00F5723F">
        <w:rPr>
          <w:rStyle w:val="Fotnotsreferens"/>
        </w:rPr>
        <w:footnoteRef/>
      </w:r>
      <w:r w:rsidRPr="00F5723F">
        <w:t xml:space="preserve"> Uppgifter om utskottens sammanträdestid i början av 1970- och 1980-talen ko</w:t>
      </w:r>
      <w:r w:rsidRPr="00F5723F">
        <w:t>m</w:t>
      </w:r>
      <w:r w:rsidRPr="00F5723F">
        <w:t>mer från Magnus Isberg, ”Riksdagsarbetets variationer”, PM 56 (Folkstyrelseko</w:t>
      </w:r>
      <w:r w:rsidRPr="00F5723F">
        <w:t>m</w:t>
      </w:r>
      <w:r w:rsidRPr="00F5723F">
        <w:t>mittén, 1986-05-07), s. 14.</w:t>
      </w:r>
    </w:p>
  </w:footnote>
  <w:footnote w:id="47">
    <w:p w:rsidR="00B43C57" w:rsidRPr="00F5723F" w:rsidRDefault="00B43C57">
      <w:pPr>
        <w:pStyle w:val="Fotnotstextindrag"/>
      </w:pPr>
      <w:r w:rsidRPr="00F5723F">
        <w:rPr>
          <w:rStyle w:val="Fotnotsreferens"/>
        </w:rPr>
        <w:footnoteRef/>
      </w:r>
      <w:r w:rsidRPr="00F5723F">
        <w:t xml:space="preserve"> Se appendix 2 för respektive utskotts sammanträdestid 1988/89–2003/04 relativt g</w:t>
      </w:r>
      <w:r w:rsidRPr="00F5723F">
        <w:t>e</w:t>
      </w:r>
      <w:r w:rsidRPr="00F5723F">
        <w:t>nomsnittet.</w:t>
      </w:r>
    </w:p>
  </w:footnote>
  <w:footnote w:id="48">
    <w:p w:rsidR="00B43C57" w:rsidRPr="00F5723F" w:rsidRDefault="00B43C57">
      <w:pPr>
        <w:pStyle w:val="Fotnotstextindrag"/>
      </w:pPr>
      <w:r w:rsidRPr="00F5723F">
        <w:rPr>
          <w:rStyle w:val="Fotnotsreferens"/>
        </w:rPr>
        <w:footnoteRef/>
      </w:r>
      <w:r w:rsidRPr="00F5723F">
        <w:t xml:space="preserve"> Här bör noteras att en del aktiviteter delvis kan överlappa varandra. Till exempel kan utfrågningar ingå som en del i behandlingen av ett propositionsbetänkande. R</w:t>
      </w:r>
      <w:r w:rsidRPr="00F5723F">
        <w:t>e</w:t>
      </w:r>
      <w:r w:rsidRPr="00F5723F">
        <w:t>sultaten i tabellen skall därför ses som grova uppskattningar av hur stor del av utsko</w:t>
      </w:r>
      <w:r w:rsidRPr="00F5723F">
        <w:t>t</w:t>
      </w:r>
      <w:r w:rsidRPr="00F5723F">
        <w:t>tens sammanträdestid som ägnas åt olika aktiviteter.</w:t>
      </w:r>
    </w:p>
  </w:footnote>
  <w:footnote w:id="49">
    <w:p w:rsidR="00B43C57" w:rsidRPr="00F5723F" w:rsidRDefault="00B43C57">
      <w:pPr>
        <w:pStyle w:val="Fotnotstextindrag"/>
      </w:pPr>
      <w:r w:rsidRPr="00F5723F">
        <w:rPr>
          <w:rStyle w:val="Fotnotsreferens"/>
        </w:rPr>
        <w:footnoteRef/>
      </w:r>
      <w:r w:rsidRPr="00F5723F">
        <w:t xml:space="preserve"> Erik Holmberg och Nils Stjernquist, </w:t>
      </w:r>
      <w:r w:rsidRPr="00F5723F">
        <w:rPr>
          <w:i/>
        </w:rPr>
        <w:t>Grundlagarna med tillhörande författningar</w:t>
      </w:r>
      <w:r w:rsidRPr="00F5723F">
        <w:t xml:space="preserve"> (Stockholm: Norstedt, 1980), s. 695.</w:t>
      </w:r>
    </w:p>
  </w:footnote>
  <w:footnote w:id="50">
    <w:p w:rsidR="00B43C57" w:rsidRPr="00F5723F" w:rsidRDefault="00B43C57">
      <w:pPr>
        <w:pStyle w:val="Fotnotstextindrag"/>
      </w:pPr>
      <w:r w:rsidRPr="00F5723F">
        <w:rPr>
          <w:rStyle w:val="Fotnotsreferens"/>
        </w:rPr>
        <w:footnoteRef/>
      </w:r>
      <w:r w:rsidRPr="00F5723F">
        <w:t xml:space="preserve"> Se appendix 3 för antalet propositioner och skrivelser som remitterats till respekt</w:t>
      </w:r>
      <w:r w:rsidRPr="00F5723F">
        <w:t>i</w:t>
      </w:r>
      <w:r w:rsidRPr="00F5723F">
        <w:t>ve utskott 1988/89–2003/04 relativt genomsnittet.</w:t>
      </w:r>
    </w:p>
  </w:footnote>
  <w:footnote w:id="51">
    <w:p w:rsidR="00B43C57" w:rsidRPr="00F5723F" w:rsidRDefault="00B43C57">
      <w:pPr>
        <w:pStyle w:val="Fotnotstextindrag"/>
      </w:pPr>
      <w:r w:rsidRPr="00F5723F">
        <w:rPr>
          <w:rStyle w:val="Fotnotsreferens"/>
        </w:rPr>
        <w:footnoteRef/>
      </w:r>
      <w:r w:rsidRPr="00F5723F">
        <w:t xml:space="preserve"> Se appendix 4 för antalet motioner (eller delar därav) som remitterats till respe</w:t>
      </w:r>
      <w:r w:rsidRPr="00F5723F">
        <w:t>k</w:t>
      </w:r>
      <w:r w:rsidRPr="00F5723F">
        <w:t>tive utskott 1988/89–2003/04 relativt genomsnittet.</w:t>
      </w:r>
    </w:p>
  </w:footnote>
  <w:footnote w:id="52">
    <w:p w:rsidR="00B43C57" w:rsidRPr="00F5723F" w:rsidRDefault="00B43C57">
      <w:pPr>
        <w:pStyle w:val="Fotnotstextindrag"/>
      </w:pPr>
      <w:r w:rsidRPr="00F5723F">
        <w:rPr>
          <w:rStyle w:val="Fotnotsreferens"/>
        </w:rPr>
        <w:footnoteRef/>
      </w:r>
      <w:r w:rsidRPr="00F5723F">
        <w:t xml:space="preserve"> Se appendix 5 för antalet motionsyrkanden från allmän motionstid som remitt</w:t>
      </w:r>
      <w:r w:rsidRPr="00F5723F">
        <w:t>e</w:t>
      </w:r>
      <w:r w:rsidRPr="00F5723F">
        <w:t>rats till respektive utskott 1994/95–2003/04 relativt genomsnittet.</w:t>
      </w:r>
    </w:p>
  </w:footnote>
  <w:footnote w:id="53">
    <w:p w:rsidR="00B43C57" w:rsidRPr="00F5723F" w:rsidRDefault="00B43C57">
      <w:pPr>
        <w:pStyle w:val="Fotnotstextindrag"/>
      </w:pPr>
      <w:r w:rsidRPr="00F5723F">
        <w:rPr>
          <w:rStyle w:val="Fotnotsreferens"/>
        </w:rPr>
        <w:footnoteRef/>
      </w:r>
      <w:r w:rsidRPr="00F5723F">
        <w:t xml:space="preserve"> Se appendix 6 för antalet reservationer som avgetts i respektive utskott 1988/89–2003/04 relativt genomsnittet.</w:t>
      </w:r>
    </w:p>
  </w:footnote>
  <w:footnote w:id="54">
    <w:p w:rsidR="00B43C57" w:rsidRPr="00F5723F" w:rsidRDefault="00B43C57">
      <w:pPr>
        <w:pStyle w:val="Fotnotstextindrag"/>
      </w:pPr>
      <w:r w:rsidRPr="00F5723F">
        <w:rPr>
          <w:rStyle w:val="Fotnotsreferens"/>
        </w:rPr>
        <w:footnoteRef/>
      </w:r>
      <w:r w:rsidRPr="00F5723F">
        <w:t xml:space="preserve"> Se appendix 7 för antalet betänkanden som respektive utskott avlämnat 1988/89–2003/04 relativt genomsnittet.</w:t>
      </w:r>
    </w:p>
  </w:footnote>
  <w:footnote w:id="55">
    <w:p w:rsidR="00B43C57" w:rsidRPr="00F5723F" w:rsidRDefault="00B43C57">
      <w:pPr>
        <w:pStyle w:val="Fotnotstextindrag"/>
      </w:pPr>
      <w:r w:rsidRPr="00F5723F">
        <w:rPr>
          <w:rStyle w:val="Fotnotsreferens"/>
        </w:rPr>
        <w:footnoteRef/>
      </w:r>
      <w:r w:rsidRPr="00F5723F">
        <w:t xml:space="preserve"> Se appendix 8 för antalet yttranden som respektive utskott avgett 1988/89–2003/04 relativt genomsnittet.</w:t>
      </w:r>
    </w:p>
  </w:footnote>
  <w:footnote w:id="56">
    <w:p w:rsidR="00B43C57" w:rsidRPr="00F5723F" w:rsidRDefault="00B43C57">
      <w:pPr>
        <w:pStyle w:val="Fotnotstextindrag"/>
      </w:pPr>
      <w:r w:rsidRPr="00F5723F">
        <w:rPr>
          <w:rStyle w:val="Fotnotsreferens"/>
        </w:rPr>
        <w:footnoteRef/>
      </w:r>
      <w:r w:rsidRPr="00F5723F">
        <w:t xml:space="preserve"> Se appendix 9 för antalet trycksidor som respektive utskott producerat 1988/89–2003/04 relativt genomsnittet.</w:t>
      </w:r>
    </w:p>
  </w:footnote>
  <w:footnote w:id="57">
    <w:p w:rsidR="00B43C57" w:rsidRPr="00F5723F" w:rsidRDefault="00B43C57">
      <w:pPr>
        <w:pStyle w:val="Fotnotstextindrag"/>
      </w:pPr>
      <w:r w:rsidRPr="00F5723F">
        <w:rPr>
          <w:rStyle w:val="Fotnotsreferens"/>
        </w:rPr>
        <w:footnoteRef/>
      </w:r>
      <w:r w:rsidRPr="00F5723F">
        <w:t xml:space="preserve"> Här kan noteras att medan antalet propositioner mellan 1993/94 och 2003/04 min</w:t>
      </w:r>
      <w:r w:rsidRPr="00F5723F">
        <w:t>s</w:t>
      </w:r>
      <w:r w:rsidRPr="00F5723F">
        <w:t>kade med 87 (från 227 till 140) minskade antalet betänkanden under samma period med 219 (från 506 till 287). Antalet utskottsbetänkanden har alltså minskat klart mer än vad antalet propositioner påkallar.</w:t>
      </w:r>
    </w:p>
  </w:footnote>
  <w:footnote w:id="58">
    <w:p w:rsidR="00B43C57" w:rsidRPr="00F5723F" w:rsidRDefault="00B43C57">
      <w:pPr>
        <w:pStyle w:val="Fotnotstextindrag"/>
      </w:pPr>
      <w:r w:rsidRPr="00F5723F">
        <w:rPr>
          <w:rStyle w:val="Fotnotsreferens"/>
        </w:rPr>
        <w:footnoteRef/>
      </w:r>
      <w:r w:rsidRPr="00F5723F">
        <w:t xml:space="preserve"> Riksmöten som föregår val ingår inte i beräkningarna. Anledningen till det är att utskotten som regel inte uppskjuter motionsyrkanden över ett val. Under sådana riksmöten beslutas följdenligt som regel endast ett fåtal uppskov.</w:t>
      </w:r>
    </w:p>
  </w:footnote>
  <w:footnote w:id="59">
    <w:p w:rsidR="00B43C57" w:rsidRPr="00F5723F" w:rsidRDefault="00B43C57">
      <w:pPr>
        <w:pStyle w:val="Fotnotstextindrag"/>
      </w:pPr>
      <w:r w:rsidRPr="00F5723F">
        <w:rPr>
          <w:rStyle w:val="Fotnotsreferens"/>
        </w:rPr>
        <w:footnoteRef/>
      </w:r>
      <w:r w:rsidRPr="00F5723F">
        <w:t xml:space="preserve"> Under 1995/96 års riksmöte förekom ingen allmän motionstid med anledning av omläggningen till kalenderårsbudget med början år 1997.</w:t>
      </w:r>
    </w:p>
  </w:footnote>
  <w:footnote w:id="60">
    <w:p w:rsidR="00B43C57" w:rsidRPr="00F5723F" w:rsidRDefault="00B43C57">
      <w:pPr>
        <w:pStyle w:val="Fotnotstextindrag"/>
      </w:pPr>
      <w:r w:rsidRPr="00F5723F">
        <w:rPr>
          <w:rStyle w:val="Fotnotsreferens"/>
        </w:rPr>
        <w:footnoteRef/>
      </w:r>
      <w:r w:rsidRPr="00F5723F">
        <w:t xml:space="preserve"> Kai Kronvall, ”Utskottens arbete med forsknings- och framtidsfrågor”. Se rapport 3 i denna bilaga.</w:t>
      </w:r>
    </w:p>
  </w:footnote>
  <w:footnote w:id="61">
    <w:p w:rsidR="00B43C57" w:rsidRPr="00F5723F" w:rsidRDefault="00B43C57">
      <w:pPr>
        <w:pStyle w:val="Fotnotstextindrag"/>
      </w:pPr>
      <w:r w:rsidRPr="00F5723F">
        <w:rPr>
          <w:rStyle w:val="Fotnotsreferens"/>
        </w:rPr>
        <w:footnoteRef/>
      </w:r>
      <w:r w:rsidRPr="00F5723F">
        <w:t xml:space="preserve"> Ibid., s. </w:t>
      </w:r>
      <w:smartTag w:uri="urn:schemas-microsoft-com:office:smarttags" w:element="metricconverter">
        <w:smartTagPr>
          <w:attr w:name="ProductID" w:val="16 f"/>
        </w:smartTagPr>
        <w:r w:rsidRPr="00F5723F">
          <w:t>16 f</w:t>
        </w:r>
      </w:smartTag>
      <w:r w:rsidRPr="00F5723F">
        <w:t>.</w:t>
      </w:r>
    </w:p>
  </w:footnote>
  <w:footnote w:id="62">
    <w:p w:rsidR="00B43C57" w:rsidRPr="00F5723F" w:rsidRDefault="00B43C57">
      <w:pPr>
        <w:pStyle w:val="Fotnotstextindrag"/>
      </w:pPr>
      <w:r w:rsidRPr="00F5723F">
        <w:rPr>
          <w:rStyle w:val="Fotnotsreferens"/>
        </w:rPr>
        <w:footnoteRef/>
      </w:r>
      <w:r w:rsidRPr="00F5723F">
        <w:t xml:space="preserve"> Inhämtning av information från regeringen och Regeringskansliet i EU-frågor uppmärksammas nedan i avsnittet Arbete med EU-frågor.</w:t>
      </w:r>
    </w:p>
  </w:footnote>
  <w:footnote w:id="63">
    <w:p w:rsidR="00B43C57" w:rsidRPr="00F5723F" w:rsidRDefault="00B43C57">
      <w:pPr>
        <w:pStyle w:val="Fotnotstextindrag"/>
      </w:pPr>
      <w:r w:rsidRPr="00F5723F">
        <w:rPr>
          <w:rStyle w:val="Fotnotsreferens"/>
        </w:rPr>
        <w:footnoteRef/>
      </w:r>
      <w:r w:rsidRPr="00F5723F">
        <w:t xml:space="preserve"> Erik Holmberg och Nils Stjernquist, </w:t>
      </w:r>
      <w:r w:rsidRPr="00F5723F">
        <w:rPr>
          <w:i/>
        </w:rPr>
        <w:t>Grundlagarna med tillhörande författningar</w:t>
      </w:r>
      <w:r w:rsidRPr="00F5723F">
        <w:t xml:space="preserve"> (Stockholm: Norstedt, 1980), s. 693.</w:t>
      </w:r>
    </w:p>
  </w:footnote>
  <w:footnote w:id="64">
    <w:p w:rsidR="00B43C57" w:rsidRPr="00F5723F" w:rsidRDefault="00B43C57">
      <w:pPr>
        <w:pStyle w:val="Fotnotstextindrag"/>
      </w:pPr>
      <w:r w:rsidRPr="00F5723F">
        <w:rPr>
          <w:rStyle w:val="Fotnotsreferens"/>
        </w:rPr>
        <w:footnoteRef/>
      </w:r>
      <w:r w:rsidRPr="00F5723F">
        <w:t xml:space="preserve"> Christer Åström och Johan Hedlund, ”Genomförda, pågående och planerade up</w:t>
      </w:r>
      <w:r w:rsidRPr="00F5723F">
        <w:t>p</w:t>
      </w:r>
      <w:r w:rsidRPr="00F5723F">
        <w:t>följnings- och utvärderingsprojekt under innevarande mandatperiod”, PM (Riksd</w:t>
      </w:r>
      <w:r w:rsidRPr="00F5723F">
        <w:t>a</w:t>
      </w:r>
      <w:r w:rsidRPr="00F5723F">
        <w:t>gens utredningstjänst, 2004-11-23).</w:t>
      </w:r>
    </w:p>
  </w:footnote>
  <w:footnote w:id="65">
    <w:p w:rsidR="00B43C57" w:rsidRPr="00F5723F" w:rsidRDefault="00B43C57">
      <w:pPr>
        <w:pStyle w:val="Fotnotstextindrag"/>
      </w:pPr>
      <w:r w:rsidRPr="00F5723F">
        <w:rPr>
          <w:rStyle w:val="Fotnotsreferens"/>
        </w:rPr>
        <w:footnoteRef/>
      </w:r>
      <w:r w:rsidRPr="00F5723F">
        <w:t xml:space="preserve"> </w:t>
      </w:r>
      <w:r w:rsidRPr="00F5723F">
        <w:rPr>
          <w:i/>
        </w:rPr>
        <w:t>Riksdagens arbete med EU-frågor.</w:t>
      </w:r>
      <w:r w:rsidRPr="00F5723F">
        <w:t xml:space="preserve"> Rapport från Riksdagskommitténs referen</w:t>
      </w:r>
      <w:r w:rsidRPr="00F5723F">
        <w:t>s</w:t>
      </w:r>
      <w:r w:rsidRPr="00F5723F">
        <w:t>grupp för riksdagens arbete med EU-frågor (27 maj 2004).</w:t>
      </w:r>
    </w:p>
  </w:footnote>
  <w:footnote w:id="66">
    <w:p w:rsidR="00B43C57" w:rsidRPr="00F5723F" w:rsidRDefault="00B43C57">
      <w:pPr>
        <w:pStyle w:val="Fotnotstextindrag"/>
      </w:pPr>
      <w:r w:rsidRPr="00F5723F">
        <w:rPr>
          <w:rStyle w:val="Fotnotsreferens"/>
        </w:rPr>
        <w:footnoteRef/>
      </w:r>
      <w:r w:rsidRPr="00F5723F">
        <w:t xml:space="preserve"> </w:t>
      </w:r>
      <w:r w:rsidRPr="00F5723F">
        <w:rPr>
          <w:snapToGrid w:val="0"/>
        </w:rPr>
        <w:t>De EU-dokument som inkommer till kammarkansliet är i stor utsträckning ko</w:t>
      </w:r>
      <w:r w:rsidRPr="00F5723F">
        <w:rPr>
          <w:snapToGrid w:val="0"/>
        </w:rPr>
        <w:t>m</w:t>
      </w:r>
      <w:r w:rsidRPr="00F5723F">
        <w:rPr>
          <w:snapToGrid w:val="0"/>
        </w:rPr>
        <w:t>missionsdokument, till exempel förslag till EG-lagstiftning och grön- och vitböcker. Vidare i</w:t>
      </w:r>
      <w:r w:rsidRPr="00F5723F">
        <w:rPr>
          <w:snapToGrid w:val="0"/>
        </w:rPr>
        <w:t>n</w:t>
      </w:r>
      <w:r w:rsidRPr="00F5723F">
        <w:rPr>
          <w:snapToGrid w:val="0"/>
        </w:rPr>
        <w:t>kommer faktapromemorior och återrapporter efter möten i ministerrådet.</w:t>
      </w:r>
    </w:p>
  </w:footnote>
  <w:footnote w:id="67">
    <w:p w:rsidR="00B43C57" w:rsidRPr="00F5723F" w:rsidRDefault="00B43C57">
      <w:pPr>
        <w:pStyle w:val="Fotnotstextindrag"/>
      </w:pPr>
      <w:r w:rsidRPr="00F5723F">
        <w:rPr>
          <w:rStyle w:val="Fotnotsreferens"/>
        </w:rPr>
        <w:footnoteRef/>
      </w:r>
      <w:r w:rsidRPr="00F5723F">
        <w:t xml:space="preserve"> Hans Hegeland, </w:t>
      </w:r>
      <w:bookmarkStart w:id="84" w:name="_Toc84246137"/>
      <w:r w:rsidRPr="00F5723F">
        <w:t>”</w:t>
      </w:r>
      <w:r w:rsidRPr="00F5723F">
        <w:rPr>
          <w:snapToGrid w:val="0"/>
        </w:rPr>
        <w:t>Europeiska unionen i nationella parlament – inrikespolitik eller utrikespolitik?</w:t>
      </w:r>
      <w:bookmarkEnd w:id="84"/>
      <w:r w:rsidRPr="00F5723F">
        <w:rPr>
          <w:snapToGrid w:val="0"/>
        </w:rPr>
        <w:t xml:space="preserve">”, </w:t>
      </w:r>
      <w:r w:rsidRPr="00F5723F">
        <w:t>uppsats presenterad för arbetsgruppen Europaforskning vid Statsv</w:t>
      </w:r>
      <w:r w:rsidRPr="00F5723F">
        <w:t>e</w:t>
      </w:r>
      <w:r w:rsidRPr="00F5723F">
        <w:t xml:space="preserve">tenskapliga förbundets årsmöte (Stockholm 7–9 oktober 2004), s. </w:t>
      </w:r>
      <w:smartTag w:uri="urn:schemas-microsoft-com:office:smarttags" w:element="metricconverter">
        <w:smartTagPr>
          <w:attr w:name="ProductID" w:val="10 f"/>
        </w:smartTagPr>
        <w:r w:rsidRPr="00F5723F">
          <w:t>10 f</w:t>
        </w:r>
      </w:smartTag>
      <w:r w:rsidRPr="00F5723F">
        <w:t>.</w:t>
      </w:r>
    </w:p>
  </w:footnote>
  <w:footnote w:id="68">
    <w:p w:rsidR="00B43C57" w:rsidRPr="00F5723F" w:rsidRDefault="00B43C57">
      <w:pPr>
        <w:pStyle w:val="Fotnotstextindrag"/>
      </w:pPr>
      <w:r w:rsidRPr="00F5723F">
        <w:rPr>
          <w:rStyle w:val="Fotnotsreferens"/>
        </w:rPr>
        <w:footnoteRef/>
      </w:r>
      <w:r w:rsidRPr="00F5723F">
        <w:t xml:space="preserve"> Se appendix 10 för antalet EU-dokument, därav faktapromemorior, som inko</w:t>
      </w:r>
      <w:r w:rsidRPr="00F5723F">
        <w:t>m</w:t>
      </w:r>
      <w:r w:rsidRPr="00F5723F">
        <w:t>mit till respektive utskott 1995/96–2003/04 relativt genomsnittet.</w:t>
      </w:r>
    </w:p>
  </w:footnote>
  <w:footnote w:id="69">
    <w:p w:rsidR="00B43C57" w:rsidRPr="00F5723F" w:rsidRDefault="00B43C57">
      <w:pPr>
        <w:pStyle w:val="Fotnotstextindrag"/>
      </w:pPr>
      <w:r w:rsidRPr="00F5723F">
        <w:rPr>
          <w:rStyle w:val="Fotnotsreferens"/>
        </w:rPr>
        <w:footnoteRef/>
      </w:r>
      <w:r w:rsidRPr="00F5723F">
        <w:t xml:space="preserve"> cosac står för </w:t>
      </w:r>
      <w:r w:rsidRPr="00F5723F">
        <w:rPr>
          <w:snapToGrid w:val="0"/>
        </w:rPr>
        <w:t>Conférence des organes spécialisés dans les affaires communauta</w:t>
      </w:r>
      <w:r w:rsidRPr="00F5723F">
        <w:rPr>
          <w:snapToGrid w:val="0"/>
        </w:rPr>
        <w:t>i</w:t>
      </w:r>
      <w:r w:rsidRPr="00F5723F">
        <w:rPr>
          <w:snapToGrid w:val="0"/>
        </w:rPr>
        <w:t>res (Konferensen mellan organen för gemenskaps- och EU-frågor vid Europeiska uni</w:t>
      </w:r>
      <w:r w:rsidRPr="00F5723F">
        <w:rPr>
          <w:snapToGrid w:val="0"/>
        </w:rPr>
        <w:t>o</w:t>
      </w:r>
      <w:r w:rsidRPr="00F5723F">
        <w:rPr>
          <w:snapToGrid w:val="0"/>
        </w:rPr>
        <w:t>nens parlament).</w:t>
      </w:r>
    </w:p>
  </w:footnote>
  <w:footnote w:id="70">
    <w:p w:rsidR="00B43C57" w:rsidRPr="00F5723F" w:rsidRDefault="00B43C57">
      <w:pPr>
        <w:pStyle w:val="Fotnotstextindrag"/>
      </w:pPr>
      <w:r w:rsidRPr="00F5723F">
        <w:rPr>
          <w:rStyle w:val="Fotnotsreferens"/>
        </w:rPr>
        <w:footnoteRef/>
      </w:r>
      <w:r w:rsidRPr="00F5723F">
        <w:t xml:space="preserve"> </w:t>
      </w:r>
      <w:r w:rsidRPr="00F5723F">
        <w:rPr>
          <w:i/>
        </w:rPr>
        <w:t>Riksdagens arbete med EU-frågor.</w:t>
      </w:r>
      <w:r w:rsidRPr="00F5723F">
        <w:t xml:space="preserve"> Rapport från Riksdagskommitténs referen</w:t>
      </w:r>
      <w:r w:rsidRPr="00F5723F">
        <w:t>s</w:t>
      </w:r>
      <w:r w:rsidRPr="00F5723F">
        <w:t>grupp för riksdagens arbete med EU-frågor (27 maj 2004) s. 28.</w:t>
      </w:r>
    </w:p>
  </w:footnote>
  <w:footnote w:id="71">
    <w:p w:rsidR="00B43C57" w:rsidRPr="00F5723F" w:rsidRDefault="00B43C57">
      <w:pPr>
        <w:pStyle w:val="Fotnotstextindrag"/>
      </w:pPr>
      <w:r w:rsidRPr="00F5723F">
        <w:rPr>
          <w:rStyle w:val="Fotnotsreferens"/>
        </w:rPr>
        <w:footnoteRef/>
      </w:r>
      <w:r w:rsidRPr="00F5723F">
        <w:t xml:space="preserve"> Network of Parliamentary Committees for Equal Opportunities for Women and Men in the Parliaments of the E.U. Member States and the European Parliament (Nätverket för parlamentariska utskott för jämställdhetsfrågor i Europeiska u</w:t>
      </w:r>
      <w:r w:rsidRPr="00F5723F">
        <w:t>n</w:t>
      </w:r>
      <w:r w:rsidRPr="00F5723F">
        <w:t>ionen).</w:t>
      </w:r>
    </w:p>
  </w:footnote>
  <w:footnote w:id="72">
    <w:p w:rsidR="00B43C57" w:rsidRPr="00F5723F" w:rsidRDefault="00B43C57">
      <w:pPr>
        <w:pStyle w:val="Fotnotstextindrag"/>
      </w:pPr>
      <w:r w:rsidRPr="00F5723F">
        <w:rPr>
          <w:rStyle w:val="Fotnotsreferens"/>
        </w:rPr>
        <w:footnoteRef/>
      </w:r>
      <w:r w:rsidRPr="00F5723F">
        <w:t xml:space="preserve"> Se Olof Petersson m.fl., </w:t>
      </w:r>
      <w:r w:rsidRPr="00F5723F">
        <w:rPr>
          <w:i/>
        </w:rPr>
        <w:t>Demokrati över gränser. Demokratirådets rapport 1997</w:t>
      </w:r>
      <w:r w:rsidRPr="00F5723F">
        <w:t xml:space="preserve"> (Stockholm: SNS Förlag, 1997), s. </w:t>
      </w:r>
      <w:smartTag w:uri="urn:schemas-microsoft-com:office:smarttags" w:element="metricconverter">
        <w:smartTagPr>
          <w:attr w:name="ProductID" w:val="104 f"/>
        </w:smartTagPr>
        <w:r w:rsidRPr="00F5723F">
          <w:t>104 f</w:t>
        </w:r>
      </w:smartTag>
      <w:r w:rsidRPr="00F5723F">
        <w:t>.</w:t>
      </w:r>
    </w:p>
  </w:footnote>
  <w:footnote w:id="73">
    <w:p w:rsidR="00B43C57" w:rsidRPr="00F5723F" w:rsidRDefault="00B43C57">
      <w:pPr>
        <w:pStyle w:val="Fotnotstextindrag"/>
      </w:pPr>
      <w:r w:rsidRPr="00F5723F">
        <w:rPr>
          <w:rStyle w:val="Fotnotsreferens"/>
        </w:rPr>
        <w:footnoteRef/>
      </w:r>
      <w:r w:rsidRPr="00F5723F">
        <w:t xml:space="preserve"> Martin Brothén, </w:t>
      </w:r>
      <w:r w:rsidRPr="00F5723F">
        <w:rPr>
          <w:i/>
        </w:rPr>
        <w:t>I kontakt med omvärlden. Riksdagsledamöterna och internation</w:t>
      </w:r>
      <w:r w:rsidRPr="00F5723F">
        <w:rPr>
          <w:i/>
        </w:rPr>
        <w:t>a</w:t>
      </w:r>
      <w:r w:rsidRPr="00F5723F">
        <w:rPr>
          <w:i/>
        </w:rPr>
        <w:t>liseringen</w:t>
      </w:r>
      <w:r w:rsidRPr="00F5723F">
        <w:t xml:space="preserve"> (Stockholm: SNS Förlag), s. </w:t>
      </w:r>
      <w:smartTag w:uri="urn:schemas-microsoft-com:office:smarttags" w:element="metricconverter">
        <w:smartTagPr>
          <w:attr w:name="ProductID" w:val="57 f"/>
        </w:smartTagPr>
        <w:r w:rsidRPr="00F5723F">
          <w:t>57 f</w:t>
        </w:r>
      </w:smartTag>
      <w:r w:rsidRPr="00F5723F">
        <w:t>.</w:t>
      </w:r>
    </w:p>
  </w:footnote>
  <w:footnote w:id="74">
    <w:p w:rsidR="00B43C57" w:rsidRPr="00F5723F" w:rsidRDefault="00B43C57">
      <w:pPr>
        <w:pStyle w:val="Fotnotstextindrag"/>
      </w:pPr>
      <w:r w:rsidRPr="00F5723F">
        <w:rPr>
          <w:rStyle w:val="Fotnotsreferens"/>
        </w:rPr>
        <w:footnoteRef/>
      </w:r>
      <w:r w:rsidRPr="00F5723F">
        <w:t xml:space="preserve"> Anders Carlsson: Politiseringen har låtit aids spridas i Sydafrika; Axess 1/2004</w:t>
      </w:r>
    </w:p>
  </w:footnote>
  <w:footnote w:id="75">
    <w:p w:rsidR="00B43C57" w:rsidRPr="00F5723F" w:rsidRDefault="00B43C57">
      <w:pPr>
        <w:pStyle w:val="Fotnotstextindrag"/>
      </w:pPr>
      <w:r w:rsidRPr="00F5723F">
        <w:rPr>
          <w:rStyle w:val="Fotnotsreferens"/>
        </w:rPr>
        <w:footnoteRef/>
      </w:r>
      <w:r w:rsidRPr="00F5723F">
        <w:t xml:space="preserve"> Peter Weingart: African Solutions for African Problems. The Relation between Scie</w:t>
      </w:r>
      <w:r w:rsidRPr="00F5723F">
        <w:t>n</w:t>
      </w:r>
      <w:r w:rsidRPr="00F5723F">
        <w:t xml:space="preserve">tific Knowledge and Political Legitimacy; i Johann Mouton (red.) </w:t>
      </w:r>
      <w:r w:rsidRPr="00F5723F">
        <w:rPr>
          <w:i/>
        </w:rPr>
        <w:t>Proceedings of the Science in Africa Symposium</w:t>
      </w:r>
      <w:r w:rsidRPr="00F5723F">
        <w:t>, Stellenbosch, 2002.</w:t>
      </w:r>
    </w:p>
  </w:footnote>
  <w:footnote w:id="76">
    <w:p w:rsidR="00B43C57" w:rsidRPr="00F5723F" w:rsidRDefault="00B43C57">
      <w:pPr>
        <w:pStyle w:val="Fotnotstextindrag"/>
      </w:pPr>
      <w:r w:rsidRPr="00F5723F">
        <w:rPr>
          <w:rStyle w:val="Fotnotsreferens"/>
        </w:rPr>
        <w:footnoteRef/>
      </w:r>
      <w:r w:rsidRPr="00F5723F">
        <w:t xml:space="preserve"> H. Jonsson &amp; H. Hegeland: Konventet bakom kulisserna – om arbetsmetoden och förhandlingsspelet i Europeiska konventet. Svenska institutet för europapolitiska studier (Sieps) 2003:2u.</w:t>
      </w:r>
    </w:p>
  </w:footnote>
  <w:footnote w:id="77">
    <w:p w:rsidR="00B43C57" w:rsidRPr="00F5723F" w:rsidRDefault="00B43C57">
      <w:pPr>
        <w:pStyle w:val="Fotnotstextindrag"/>
      </w:pPr>
      <w:r w:rsidRPr="00F5723F">
        <w:rPr>
          <w:rStyle w:val="Fotnotsreferens"/>
          <w:rFonts w:ascii="Garamond" w:hAnsi="Garamond"/>
        </w:rPr>
        <w:footnoteRef/>
      </w:r>
      <w:r w:rsidRPr="00F5723F">
        <w:t xml:space="preserve"> Arbetsformsutredningen 1976; 1979; Gahrton 1983; Christoffersson 1986; Lar</w:t>
      </w:r>
      <w:r w:rsidRPr="00F5723F">
        <w:t>s</w:t>
      </w:r>
      <w:r w:rsidRPr="00F5723F">
        <w:t>son 1986; Barrling Hermansson 2004; Freidenvall 2005; Wängnerud m.fl. (ko</w:t>
      </w:r>
      <w:r w:rsidRPr="00F5723F">
        <w:t>m</w:t>
      </w:r>
      <w:r w:rsidRPr="00F5723F">
        <w:t>mande). Se också publikationerna Riksdagen inifrån (1991) o</w:t>
      </w:r>
      <w:r w:rsidRPr="00F5723F">
        <w:t>c</w:t>
      </w:r>
      <w:r w:rsidRPr="00F5723F">
        <w:t>h Riksdagsu</w:t>
      </w:r>
      <w:r w:rsidRPr="00F5723F">
        <w:t>t</w:t>
      </w:r>
      <w:r w:rsidRPr="00F5723F">
        <w:t>skotten inifrån (1996). Forskning om riksdagen som institution och om riksdagens roll i den repr</w:t>
      </w:r>
      <w:r w:rsidRPr="00F5723F">
        <w:t>e</w:t>
      </w:r>
      <w:r w:rsidRPr="00F5723F">
        <w:t>sentativa demokratin är mer omfattande: Holmberg 1974; Holmberg &amp; Esaia</w:t>
      </w:r>
      <w:r w:rsidRPr="00F5723F">
        <w:t>s</w:t>
      </w:r>
      <w:r w:rsidRPr="00F5723F">
        <w:t>son 1988; J</w:t>
      </w:r>
      <w:r w:rsidRPr="00F5723F">
        <w:t>o</w:t>
      </w:r>
      <w:r w:rsidRPr="00F5723F">
        <w:t xml:space="preserve">hansson </w:t>
      </w:r>
      <w:r w:rsidRPr="00F5723F">
        <w:t xml:space="preserve">1995; </w:t>
      </w:r>
      <w:r w:rsidRPr="00F5723F">
        <w:t xml:space="preserve">Esaiasson &amp; Holmberg 1996; Hagevi </w:t>
      </w:r>
      <w:r w:rsidRPr="00F5723F">
        <w:t>1998</w:t>
      </w:r>
      <w:r w:rsidRPr="00F5723F">
        <w:t xml:space="preserve">; Wängnerud </w:t>
      </w:r>
      <w:r w:rsidRPr="00F5723F">
        <w:t>1998</w:t>
      </w:r>
      <w:r w:rsidRPr="00F5723F">
        <w:t xml:space="preserve">; Roth </w:t>
      </w:r>
      <w:r w:rsidRPr="00F5723F">
        <w:t>1996</w:t>
      </w:r>
      <w:r w:rsidRPr="00F5723F">
        <w:t>; Brothén 2002; Esaiasson &amp; He</w:t>
      </w:r>
      <w:r w:rsidRPr="00F5723F">
        <w:t xml:space="preserve">idar 2000. </w:t>
      </w:r>
    </w:p>
  </w:footnote>
  <w:footnote w:id="78">
    <w:p w:rsidR="00B43C57" w:rsidRPr="00F5723F" w:rsidRDefault="00B43C57">
      <w:pPr>
        <w:pStyle w:val="Fotnotstextindrag"/>
      </w:pPr>
      <w:r w:rsidRPr="00F5723F">
        <w:rPr>
          <w:rStyle w:val="Fotnotsreferens"/>
          <w:rFonts w:ascii="Garamond" w:hAnsi="Garamond"/>
        </w:rPr>
        <w:footnoteRef/>
      </w:r>
      <w:r w:rsidRPr="00F5723F">
        <w:t xml:space="preserve"> Jfr Damgaard </w:t>
      </w:r>
      <w:r w:rsidRPr="00F5723F">
        <w:t>1977</w:t>
      </w:r>
      <w:r w:rsidRPr="00F5723F">
        <w:t>; 1983; Jensen 1993.</w:t>
      </w:r>
    </w:p>
  </w:footnote>
  <w:footnote w:id="79">
    <w:p w:rsidR="00B43C57" w:rsidRPr="00F5723F" w:rsidRDefault="00B43C57">
      <w:pPr>
        <w:pStyle w:val="Fotnotstextindrag"/>
      </w:pPr>
      <w:r w:rsidRPr="00F5723F">
        <w:rPr>
          <w:rStyle w:val="Fotnotsreferens"/>
          <w:rFonts w:ascii="Garamond" w:hAnsi="Garamond"/>
        </w:rPr>
        <w:footnoteRef/>
      </w:r>
      <w:r w:rsidRPr="00F5723F">
        <w:t xml:space="preserve"> Jensen 1993:133.</w:t>
      </w:r>
    </w:p>
  </w:footnote>
  <w:footnote w:id="80">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Forskningsprojektet ”Att representera folket: yrkesbana eller sidospår i karri</w:t>
      </w:r>
      <w:r w:rsidRPr="00F5723F">
        <w:t>ä</w:t>
      </w:r>
      <w:r w:rsidRPr="00F5723F">
        <w:t>ren?” leds av profe</w:t>
      </w:r>
      <w:r w:rsidRPr="00F5723F">
        <w:t>ssor Jörgen Hermansson och fil.</w:t>
      </w:r>
      <w:r w:rsidRPr="00F5723F">
        <w:t xml:space="preserve">dr Shirin Ahlbäck Öhberg vid Uppsala universitet och docent Lena Wängnerud vid Göteborgs universitet. </w:t>
      </w:r>
    </w:p>
  </w:footnote>
  <w:footnote w:id="81">
    <w:p w:rsidR="00B43C57" w:rsidRPr="00F5723F" w:rsidRDefault="00B43C57">
      <w:pPr>
        <w:pStyle w:val="Fotnotstextindrag"/>
      </w:pPr>
      <w:r w:rsidRPr="00F5723F">
        <w:rPr>
          <w:rStyle w:val="Fotnotsreferens"/>
          <w:rFonts w:ascii="Garamond" w:hAnsi="Garamond"/>
        </w:rPr>
        <w:footnoteRef/>
      </w:r>
      <w:r w:rsidRPr="00F5723F">
        <w:t xml:space="preserve"> Projektet skall redovisa sina resultat under 2005.</w:t>
      </w:r>
    </w:p>
  </w:footnote>
  <w:footnote w:id="82">
    <w:p w:rsidR="00B43C57" w:rsidRPr="00F5723F" w:rsidRDefault="00B43C57">
      <w:pPr>
        <w:pStyle w:val="Fotnotstextindrag"/>
      </w:pPr>
      <w:r w:rsidRPr="00F5723F">
        <w:rPr>
          <w:rStyle w:val="Fotnotsreferens"/>
          <w:rFonts w:ascii="Garamond" w:hAnsi="Garamond"/>
        </w:rPr>
        <w:footnoteRef/>
      </w:r>
      <w:r w:rsidRPr="00F5723F">
        <w:t xml:space="preserve"> Litteraturöversikten skall redovisas under våren 2005. </w:t>
      </w:r>
    </w:p>
  </w:footnote>
  <w:footnote w:id="83">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Petersson 2000:194–196.</w:t>
      </w:r>
    </w:p>
  </w:footnote>
  <w:footnote w:id="84">
    <w:p w:rsidR="00B43C57" w:rsidRPr="00F5723F" w:rsidRDefault="00B43C57">
      <w:pPr>
        <w:pStyle w:val="Fotnotstextindrag"/>
      </w:pPr>
      <w:r w:rsidRPr="00F5723F">
        <w:rPr>
          <w:rStyle w:val="Fotnotsreferens"/>
          <w:rFonts w:ascii="Garamond" w:hAnsi="Garamond"/>
        </w:rPr>
        <w:footnoteRef/>
      </w:r>
      <w:r w:rsidRPr="00F5723F">
        <w:t xml:space="preserve"> Se </w:t>
      </w:r>
      <w:r w:rsidRPr="00F5723F">
        <w:t>till exempel</w:t>
      </w:r>
      <w:r w:rsidRPr="00F5723F">
        <w:t xml:space="preserve"> SOU 1999:126.</w:t>
      </w:r>
    </w:p>
  </w:footnote>
  <w:footnote w:id="85">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 xml:space="preserve">Se </w:t>
      </w:r>
      <w:r w:rsidRPr="00F5723F">
        <w:t>till exempel</w:t>
      </w:r>
      <w:r w:rsidRPr="00F5723F">
        <w:t xml:space="preserve"> SOU 1996:66; Holmberg &amp; Möller 1999. </w:t>
      </w:r>
    </w:p>
  </w:footnote>
  <w:footnote w:id="86">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 xml:space="preserve">Se </w:t>
      </w:r>
      <w:r w:rsidRPr="00F5723F">
        <w:t>till exempel</w:t>
      </w:r>
      <w:r w:rsidRPr="00F5723F">
        <w:t xml:space="preserve"> SOU 1999:121.</w:t>
      </w:r>
    </w:p>
  </w:footnote>
  <w:footnote w:id="87">
    <w:p w:rsidR="00B43C57" w:rsidRPr="00F5723F" w:rsidRDefault="00B43C57">
      <w:pPr>
        <w:pStyle w:val="Fotnotstextindrag"/>
      </w:pPr>
      <w:r w:rsidRPr="00F5723F">
        <w:rPr>
          <w:rStyle w:val="Fotnotsreferens"/>
          <w:rFonts w:ascii="Garamond" w:hAnsi="Garamond"/>
        </w:rPr>
        <w:footnoteRef/>
      </w:r>
      <w:r w:rsidRPr="00F5723F">
        <w:t xml:space="preserve"> Se </w:t>
      </w:r>
      <w:r w:rsidRPr="00F5723F">
        <w:t>till exempel</w:t>
      </w:r>
      <w:r w:rsidRPr="00F5723F">
        <w:t xml:space="preserve"> Jerneck </w:t>
      </w:r>
      <w:r w:rsidRPr="00F5723F">
        <w:t xml:space="preserve">1987; 1990; 1994; </w:t>
      </w:r>
      <w:r w:rsidRPr="00F5723F">
        <w:t xml:space="preserve">Dahl 1989; Held </w:t>
      </w:r>
      <w:r w:rsidRPr="00F5723F">
        <w:t>1995</w:t>
      </w:r>
      <w:r w:rsidRPr="00F5723F">
        <w:t>; Giddens 2000; Brothén 2002.</w:t>
      </w:r>
    </w:p>
  </w:footnote>
  <w:footnote w:id="88">
    <w:p w:rsidR="00B43C57" w:rsidRPr="00F5723F" w:rsidRDefault="00B43C57">
      <w:pPr>
        <w:pStyle w:val="Fotnotstextindrag"/>
      </w:pPr>
      <w:r w:rsidRPr="00F5723F">
        <w:rPr>
          <w:rStyle w:val="Fotnotsreferens"/>
          <w:rFonts w:ascii="Garamond" w:hAnsi="Garamond"/>
        </w:rPr>
        <w:footnoteRef/>
      </w:r>
      <w:r w:rsidRPr="00F5723F">
        <w:t xml:space="preserve"> Nielsen 2004:27; Isberg 1986:14. </w:t>
      </w:r>
    </w:p>
  </w:footnote>
  <w:footnote w:id="89">
    <w:p w:rsidR="00B43C57" w:rsidRPr="00F5723F" w:rsidRDefault="00B43C57">
      <w:pPr>
        <w:pStyle w:val="Fotnotstextindrag"/>
      </w:pPr>
      <w:r w:rsidRPr="00F5723F">
        <w:rPr>
          <w:rStyle w:val="Fotnotsreferens"/>
          <w:rFonts w:ascii="Garamond" w:hAnsi="Garamond"/>
        </w:rPr>
        <w:footnoteRef/>
      </w:r>
      <w:r w:rsidRPr="00F5723F">
        <w:t xml:space="preserve"> Nielsen 2004:87.</w:t>
      </w:r>
    </w:p>
  </w:footnote>
  <w:footnote w:id="90">
    <w:p w:rsidR="00B43C57" w:rsidRPr="00F5723F" w:rsidRDefault="00B43C57">
      <w:pPr>
        <w:pStyle w:val="Fotnotstextindrag"/>
      </w:pPr>
      <w:r w:rsidRPr="00F5723F">
        <w:rPr>
          <w:rStyle w:val="Fotnotsreferens"/>
          <w:rFonts w:ascii="Garamond" w:hAnsi="Garamond"/>
        </w:rPr>
        <w:footnoteRef/>
      </w:r>
      <w:r w:rsidRPr="00F5723F">
        <w:t xml:space="preserve"> Riksdagen i siffror, riksdagens hemsida på Internet.</w:t>
      </w:r>
    </w:p>
  </w:footnote>
  <w:footnote w:id="91">
    <w:p w:rsidR="00B43C57" w:rsidRPr="00F5723F" w:rsidRDefault="00B43C57">
      <w:pPr>
        <w:pStyle w:val="Fotnotstextindrag"/>
      </w:pPr>
      <w:r w:rsidRPr="00F5723F">
        <w:rPr>
          <w:rStyle w:val="Fotnotsreferens"/>
          <w:rFonts w:ascii="Garamond" w:hAnsi="Garamond"/>
        </w:rPr>
        <w:footnoteRef/>
      </w:r>
      <w:r w:rsidRPr="00F5723F">
        <w:t xml:space="preserve"> Riksdagskommittén 2001:43 f.</w:t>
      </w:r>
    </w:p>
  </w:footnote>
  <w:footnote w:id="92">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Sådana undersökningar av riksdagsledamöternas arbetsvecka och arbetssitu</w:t>
      </w:r>
      <w:r w:rsidRPr="00F5723F">
        <w:t>a</w:t>
      </w:r>
      <w:r w:rsidRPr="00F5723F">
        <w:t>tion har gjorts 1974, 1977 och 1985 av statsvetarna Bengt Owe Birgersson, Magnus I</w:t>
      </w:r>
      <w:r w:rsidRPr="00F5723F">
        <w:t>s</w:t>
      </w:r>
      <w:r w:rsidRPr="00F5723F">
        <w:t xml:space="preserve">berg, Torbjörn Larsson och Ulf Christoffersson (Arbetsformsutredningen 1976; 1979; Christoffersson 1986). </w:t>
      </w:r>
    </w:p>
  </w:footnote>
  <w:footnote w:id="93">
    <w:p w:rsidR="00B43C57" w:rsidRPr="00F5723F" w:rsidRDefault="00B43C57">
      <w:pPr>
        <w:pStyle w:val="Fotnotstextindrag"/>
      </w:pPr>
      <w:r w:rsidRPr="00F5723F">
        <w:rPr>
          <w:rStyle w:val="Fotnotsreferens"/>
          <w:rFonts w:ascii="Garamond" w:hAnsi="Garamond"/>
        </w:rPr>
        <w:footnoteRef/>
      </w:r>
      <w:r w:rsidRPr="00F5723F">
        <w:t xml:space="preserve"> Några få ledamöter har i 2004 års dagboksstudie rapporterat arbete i egna firmor och liknande. Dessa uppgifter har inte medtagits i analysen av vilka riksdagsa</w:t>
      </w:r>
      <w:r w:rsidRPr="00F5723F">
        <w:t>n</w:t>
      </w:r>
      <w:r w:rsidRPr="00F5723F">
        <w:t>knutna uppgifter som ledamoten ägnat sig åt under undersökningsvec</w:t>
      </w:r>
      <w:r w:rsidRPr="00F5723F">
        <w:t>k</w:t>
      </w:r>
      <w:r w:rsidRPr="00F5723F">
        <w:t xml:space="preserve">an. </w:t>
      </w:r>
    </w:p>
  </w:footnote>
  <w:footnote w:id="94">
    <w:p w:rsidR="00B43C57" w:rsidRPr="00F5723F" w:rsidRDefault="00B43C57">
      <w:pPr>
        <w:pStyle w:val="Fotnotstextindrag"/>
      </w:pPr>
      <w:r w:rsidRPr="00F5723F">
        <w:rPr>
          <w:rStyle w:val="Fotnotsreferens"/>
          <w:rFonts w:ascii="Garamond" w:hAnsi="Garamond"/>
        </w:rPr>
        <w:footnoteRef/>
      </w:r>
      <w:r w:rsidRPr="00F5723F">
        <w:t xml:space="preserve"> 1974 återinfördes begreppen lagtima och urtima riksmöte i riksdagsordningen. Då fick riksdagen sin nuvarande sammanhängande arbetsperiod med ett lagtima rik</w:t>
      </w:r>
      <w:r w:rsidRPr="00F5723F">
        <w:t>s</w:t>
      </w:r>
      <w:r w:rsidRPr="00F5723F">
        <w:t>möte som inleds på hösten och avslutas senast i juni. Mellan lagtima riksm</w:t>
      </w:r>
      <w:r w:rsidRPr="00F5723F">
        <w:t>ö</w:t>
      </w:r>
      <w:r w:rsidRPr="00F5723F">
        <w:t>ten kan urtima riksmöte kallas in. Urtima riksmöte har inkallats vid ett tillfälle, nämligen i augusti 1980. År 1976 förlängdes sammanträdesperioden med o</w:t>
      </w:r>
      <w:r w:rsidRPr="00F5723F">
        <w:t>m</w:t>
      </w:r>
      <w:r w:rsidRPr="00F5723F">
        <w:t>kring två veckor genom att riksdagen under icke</w:t>
      </w:r>
      <w:r w:rsidRPr="00F5723F">
        <w:t>-</w:t>
      </w:r>
      <w:r w:rsidRPr="00F5723F">
        <w:t>valår skulle samlas första tisd</w:t>
      </w:r>
      <w:r w:rsidRPr="00F5723F">
        <w:t>a</w:t>
      </w:r>
      <w:r w:rsidRPr="00F5723F">
        <w:t xml:space="preserve">gen i oktober i stället för den 15 oktober. </w:t>
      </w:r>
      <w:r w:rsidRPr="00F5723F">
        <w:t xml:space="preserve">Syftet med ändringen var </w:t>
      </w:r>
      <w:r w:rsidRPr="00F5723F">
        <w:t>bland annat</w:t>
      </w:r>
      <w:r w:rsidRPr="00F5723F">
        <w:t xml:space="preserve"> att bereda utrymme för två samma</w:t>
      </w:r>
      <w:r w:rsidRPr="00F5723F">
        <w:t>n</w:t>
      </w:r>
      <w:r w:rsidRPr="00F5723F">
        <w:t>träde</w:t>
      </w:r>
      <w:r w:rsidRPr="00F5723F">
        <w:t>s</w:t>
      </w:r>
      <w:r w:rsidRPr="00F5723F">
        <w:t>fria veckor under arbetsåret (v. 9 och v. 44). Fr.o.m. år 1992 gällde vidare att riksmöte kan pågå till den 15 juni utan att det fordras ”synnerliga skäl” för att gå in i juni m</w:t>
      </w:r>
      <w:r w:rsidRPr="00F5723F">
        <w:t>å</w:t>
      </w:r>
      <w:r w:rsidRPr="00F5723F">
        <w:t>nad. År 1994 beslutades, efter förslag från Riksdagsutredningen, om större förändringar av bestämmelserna om riksmöte. Rik</w:t>
      </w:r>
      <w:r w:rsidRPr="00F5723F">
        <w:t>s</w:t>
      </w:r>
      <w:r w:rsidRPr="00F5723F">
        <w:t>dagsutredningen föreslog att ett riksmöte pågår till dess nästa riksmöte börjar. Något behov av urtima riksmöte för</w:t>
      </w:r>
      <w:r w:rsidRPr="00F5723F">
        <w:t>e</w:t>
      </w:r>
      <w:r w:rsidRPr="00F5723F">
        <w:t>låg då inte längre,</w:t>
      </w:r>
      <w:r w:rsidRPr="00F5723F">
        <w:t xml:space="preserve"> och de gamla termerna ”lagtima” och ”urtima” kunde slopas. En större flexibilitet i arbetsplaneringen kan därmed uppnås. Enligt utrednin</w:t>
      </w:r>
      <w:r w:rsidRPr="00F5723F">
        <w:t>g</w:t>
      </w:r>
      <w:r w:rsidRPr="00F5723F">
        <w:t>ens förslag kunde talmannen vidare på regeringens begäran på samma sätt som tidigare besluta att a</w:t>
      </w:r>
      <w:r w:rsidRPr="00F5723F">
        <w:t>v</w:t>
      </w:r>
      <w:r w:rsidRPr="00F5723F">
        <w:t>bryta kammarens sammanträden fram till nästa riksmöte om den förordnat om extra val. Talmannen kan avbryta sammanträdesuppehåll och kalla riksdagen till sammanträde och är skyldig att göra det om regeringen eller 115 av riksdagens led</w:t>
      </w:r>
      <w:r w:rsidRPr="00F5723F">
        <w:t>a</w:t>
      </w:r>
      <w:r w:rsidRPr="00F5723F">
        <w:t>möter begär det. Sommaruppehållet föresl</w:t>
      </w:r>
      <w:r w:rsidRPr="00F5723F">
        <w:t xml:space="preserve">ogs också bli kortare. I gengäld kunde fler plenifria veckor planeras in i arbetsschemat för att </w:t>
      </w:r>
      <w:r w:rsidRPr="00F5723F">
        <w:t>bland annat</w:t>
      </w:r>
      <w:r w:rsidRPr="00F5723F">
        <w:t xml:space="preserve"> underlätta ledamöte</w:t>
      </w:r>
      <w:r w:rsidRPr="00F5723F">
        <w:t>r</w:t>
      </w:r>
      <w:r w:rsidRPr="00F5723F">
        <w:t>nas kontakter med sina valkre</w:t>
      </w:r>
      <w:r w:rsidRPr="00F5723F">
        <w:t>t</w:t>
      </w:r>
      <w:r w:rsidRPr="00F5723F">
        <w:t xml:space="preserve">sar. </w:t>
      </w:r>
    </w:p>
  </w:footnote>
  <w:footnote w:id="95">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 xml:space="preserve">För 2003/04 redovisas plenitiden t.om. den 15 juni 2004. </w:t>
      </w:r>
    </w:p>
  </w:footnote>
  <w:footnote w:id="96">
    <w:p w:rsidR="00B43C57" w:rsidRPr="00F5723F" w:rsidRDefault="00B43C57">
      <w:pPr>
        <w:pStyle w:val="Fotnotstextindrag"/>
      </w:pPr>
      <w:r w:rsidRPr="00F5723F">
        <w:rPr>
          <w:rStyle w:val="Fotnotsreferens"/>
          <w:rFonts w:ascii="Garamond" w:hAnsi="Garamond"/>
        </w:rPr>
        <w:footnoteRef/>
      </w:r>
      <w:r w:rsidRPr="00F5723F">
        <w:t xml:space="preserve"> Åtminstone en ledamot har för dagboksbladets samtliga tidpunkter uppgivit sig ha bedrivit ”valka</w:t>
      </w:r>
      <w:r w:rsidRPr="00F5723F">
        <w:t>m</w:t>
      </w:r>
      <w:r w:rsidRPr="00F5723F">
        <w:t>panj” på resa.</w:t>
      </w:r>
    </w:p>
  </w:footnote>
  <w:footnote w:id="97">
    <w:p w:rsidR="00B43C57" w:rsidRPr="00F5723F" w:rsidRDefault="00B43C57">
      <w:pPr>
        <w:pStyle w:val="Fotnotstextindrag"/>
      </w:pPr>
      <w:r w:rsidRPr="00F5723F">
        <w:rPr>
          <w:rStyle w:val="Fotnotsreferens"/>
          <w:rFonts w:ascii="Garamond" w:hAnsi="Garamond"/>
        </w:rPr>
        <w:footnoteRef/>
      </w:r>
      <w:r w:rsidRPr="00F5723F">
        <w:t xml:space="preserve"> 23 timmar och 18 minuter (r</w:t>
      </w:r>
      <w:r w:rsidRPr="00F5723F">
        <w:t xml:space="preserve">iksdagens protokoll 2003/04:98–101). </w:t>
      </w:r>
    </w:p>
  </w:footnote>
  <w:footnote w:id="98">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Nämnden tog också emot ett internationellt besök på tisdagen under knappt en timma (Litauens Europau</w:t>
      </w:r>
      <w:r w:rsidRPr="00F5723F">
        <w:t>t</w:t>
      </w:r>
      <w:r w:rsidRPr="00F5723F">
        <w:t xml:space="preserve">skott). </w:t>
      </w:r>
    </w:p>
  </w:footnote>
  <w:footnote w:id="99">
    <w:p w:rsidR="00B43C57" w:rsidRPr="00F5723F" w:rsidRDefault="00B43C57">
      <w:pPr>
        <w:pStyle w:val="Fotnotstextindrag"/>
      </w:pPr>
      <w:r w:rsidRPr="00F5723F">
        <w:rPr>
          <w:rStyle w:val="Fotnotsreferens"/>
          <w:rFonts w:ascii="Garamond" w:hAnsi="Garamond"/>
        </w:rPr>
        <w:footnoteRef/>
      </w:r>
      <w:r w:rsidRPr="00F5723F">
        <w:t xml:space="preserve"> Andre vice talman Kerstin Heinemann (fp) var delegationsledare. I delegati</w:t>
      </w:r>
      <w:r w:rsidRPr="00F5723F">
        <w:t>o</w:t>
      </w:r>
      <w:r w:rsidRPr="00F5723F">
        <w:t>nen ingick vidare Car</w:t>
      </w:r>
      <w:r w:rsidRPr="00F5723F">
        <w:t>i</w:t>
      </w:r>
      <w:r w:rsidRPr="00F5723F">
        <w:t>na Hägg (s), Kent Härstedt (s), Göran Lennmarker (m), Cecilia Wigström (fp), Holger Gustafsson (kd), Lars Bäckström (v) och Agne Hansson (c). Dessutom deltog kansl</w:t>
      </w:r>
      <w:r w:rsidRPr="00F5723F">
        <w:t>i</w:t>
      </w:r>
      <w:r w:rsidRPr="00F5723F">
        <w:t>ch</w:t>
      </w:r>
      <w:r w:rsidRPr="00F5723F">
        <w:t>ef Thomas Hörberg och kanslichef</w:t>
      </w:r>
      <w:r w:rsidRPr="00F5723F">
        <w:t xml:space="preserve"> Lars Vargö.</w:t>
      </w:r>
    </w:p>
  </w:footnote>
  <w:footnote w:id="100">
    <w:p w:rsidR="00B43C57" w:rsidRPr="00F5723F" w:rsidRDefault="00B43C57">
      <w:pPr>
        <w:pStyle w:val="Fotnotstextindrag"/>
      </w:pPr>
      <w:r w:rsidRPr="00F5723F">
        <w:rPr>
          <w:rStyle w:val="Fotnotsreferens"/>
          <w:rFonts w:ascii="Garamond" w:hAnsi="Garamond"/>
        </w:rPr>
        <w:footnoteRef/>
      </w:r>
      <w:r w:rsidRPr="00F5723F">
        <w:t xml:space="preserve"> De ledamöter som deltog var Per Westerberg (m), Berndt Ekholm (s), Henrik S Järrel (m), Agneta Rin</w:t>
      </w:r>
      <w:r w:rsidRPr="00F5723F">
        <w:t>g</w:t>
      </w:r>
      <w:r w:rsidRPr="00F5723F">
        <w:t>man (s), Ana Maria Narti (fp), Anders Bengtsson (s), Peder Pedersen (v) samt Else-Marie Lindgren (kd). Dessutom deltog riksdagsdirektör A</w:t>
      </w:r>
      <w:r w:rsidRPr="00F5723F">
        <w:t>n</w:t>
      </w:r>
      <w:r w:rsidRPr="00F5723F">
        <w:t>ders Forsberg, se</w:t>
      </w:r>
      <w:r w:rsidRPr="00F5723F">
        <w:t>k</w:t>
      </w:r>
      <w:r w:rsidRPr="00F5723F">
        <w:t>tionschef Lars Starell, internationella sekreteraren Eva Brolin och chefr</w:t>
      </w:r>
      <w:r w:rsidRPr="00F5723F">
        <w:t>e</w:t>
      </w:r>
      <w:r w:rsidRPr="00F5723F">
        <w:t>daktören för tidningen Från Riksdag &amp; Departement Roger Älmeberg.</w:t>
      </w:r>
    </w:p>
  </w:footnote>
  <w:footnote w:id="101">
    <w:p w:rsidR="00B43C57" w:rsidRPr="00F5723F" w:rsidRDefault="00B43C57">
      <w:pPr>
        <w:pStyle w:val="Fotnotstextindrag"/>
      </w:pPr>
      <w:r w:rsidRPr="00F5723F">
        <w:rPr>
          <w:rStyle w:val="Fotnotsreferens"/>
          <w:rFonts w:ascii="Garamond" w:hAnsi="Garamond"/>
        </w:rPr>
        <w:footnoteRef/>
      </w:r>
      <w:r w:rsidRPr="00F5723F">
        <w:t xml:space="preserve"> Administrativt genomfördes undersökningen av Riksdagskommitténs huvudsekr</w:t>
      </w:r>
      <w:r w:rsidRPr="00F5723F">
        <w:t>e</w:t>
      </w:r>
      <w:r w:rsidRPr="00F5723F">
        <w:t>terare Martin Brothén. Avdelningsdirektör Ingegerd Larsson på riksdagens IT-enhet har tekniskt utformat den datormässiga versionen av dagboksstudien och enkätunde</w:t>
      </w:r>
      <w:r w:rsidRPr="00F5723F">
        <w:t>r</w:t>
      </w:r>
      <w:r w:rsidRPr="00F5723F">
        <w:t>sökningen samt ansvarat för att inrapporterade uppgifter o</w:t>
      </w:r>
      <w:r w:rsidRPr="00F5723F">
        <w:t>m</w:t>
      </w:r>
      <w:r w:rsidRPr="00F5723F">
        <w:t>vandlats till en statistiskt b</w:t>
      </w:r>
      <w:r w:rsidRPr="00F5723F">
        <w:t>earbetningsbar datamängd. Erik Norlander på r</w:t>
      </w:r>
      <w:r w:rsidRPr="00F5723F">
        <w:t>iksdagens utredning</w:t>
      </w:r>
      <w:r w:rsidRPr="00F5723F">
        <w:t>s</w:t>
      </w:r>
      <w:r w:rsidRPr="00F5723F">
        <w:t>tjänst har kodat svar på dagboksstudien och enkätundersöknin</w:t>
      </w:r>
      <w:r w:rsidRPr="00F5723F">
        <w:t>g</w:t>
      </w:r>
      <w:r w:rsidRPr="00F5723F">
        <w:t>en som lämnats av ledamöter som valt att använda pappersver</w:t>
      </w:r>
      <w:r w:rsidRPr="00F5723F">
        <w:t>sionen av undersökningen. Mari Eriksson har svarat för o</w:t>
      </w:r>
      <w:r w:rsidRPr="00F5723F">
        <w:t>m</w:t>
      </w:r>
      <w:r w:rsidRPr="00F5723F">
        <w:t>kodning av den slutliga dat</w:t>
      </w:r>
      <w:r w:rsidRPr="00F5723F">
        <w:t>a</w:t>
      </w:r>
      <w:r w:rsidRPr="00F5723F">
        <w:t xml:space="preserve">mängden. </w:t>
      </w:r>
    </w:p>
  </w:footnote>
  <w:footnote w:id="102">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Jfr Gahrton 1983.</w:t>
      </w:r>
    </w:p>
  </w:footnote>
  <w:footnote w:id="103">
    <w:p w:rsidR="00B43C57" w:rsidRPr="00F5723F" w:rsidRDefault="00B43C57">
      <w:pPr>
        <w:pStyle w:val="Fotnotstextindrag"/>
      </w:pPr>
      <w:r w:rsidRPr="00F5723F">
        <w:rPr>
          <w:rStyle w:val="Fotnotsreferens"/>
          <w:rFonts w:ascii="Garamond" w:hAnsi="Garamond"/>
        </w:rPr>
        <w:footnoteRef/>
      </w:r>
      <w:r w:rsidRPr="00F5723F">
        <w:t xml:space="preserve"> Praktiskt innebär det att de ledamöter som vid tillfället för utskicket av enk</w:t>
      </w:r>
      <w:r w:rsidRPr="00F5723F">
        <w:t>ä</w:t>
      </w:r>
      <w:r w:rsidRPr="00F5723F">
        <w:t>ten (torsdagen i veckan före undersökningsveckan) var tjänstgörande eller ersä</w:t>
      </w:r>
      <w:r w:rsidRPr="00F5723F">
        <w:t>t</w:t>
      </w:r>
      <w:r w:rsidRPr="00F5723F">
        <w:t>tare ingår i populati</w:t>
      </w:r>
      <w:r w:rsidRPr="00F5723F">
        <w:t>o</w:t>
      </w:r>
      <w:r w:rsidRPr="00F5723F">
        <w:t>nen.</w:t>
      </w:r>
    </w:p>
  </w:footnote>
  <w:footnote w:id="104">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Riksdagskalendern, nr</w:t>
      </w:r>
      <w:r w:rsidRPr="00F5723F">
        <w:t xml:space="preserve"> 28 2004 </w:t>
      </w:r>
      <w:r w:rsidRPr="00F5723F">
        <w:t xml:space="preserve">och </w:t>
      </w:r>
      <w:r w:rsidRPr="00F5723F">
        <w:t>riksdagens protokoll 2003/04:97–101. De u</w:t>
      </w:r>
      <w:r w:rsidRPr="00F5723F">
        <w:t>t</w:t>
      </w:r>
      <w:r w:rsidRPr="00F5723F">
        <w:t>ges av p</w:t>
      </w:r>
      <w:r w:rsidRPr="00F5723F">
        <w:t>ress- och informationskansliet varje fredag och innehåller uppgifter om ver</w:t>
      </w:r>
      <w:r w:rsidRPr="00F5723F">
        <w:t>k</w:t>
      </w:r>
      <w:r w:rsidRPr="00F5723F">
        <w:t>samh</w:t>
      </w:r>
      <w:r w:rsidRPr="00F5723F">
        <w:t>e</w:t>
      </w:r>
      <w:r w:rsidRPr="00F5723F">
        <w:t>ten i riksdagen under närmast efterföljande vecka. Kompletterande uppgifter om utskottens studiebesök och liknande har inhämtats från respektive utskottskan</w:t>
      </w:r>
      <w:r w:rsidRPr="00F5723F">
        <w:t>s</w:t>
      </w:r>
      <w:r w:rsidRPr="00F5723F">
        <w:t xml:space="preserve">li. </w:t>
      </w:r>
    </w:p>
  </w:footnote>
  <w:footnote w:id="105">
    <w:p w:rsidR="00B43C57" w:rsidRPr="00F5723F" w:rsidRDefault="00B43C57">
      <w:pPr>
        <w:pStyle w:val="Fotnotstextindrag"/>
      </w:pPr>
      <w:r w:rsidRPr="00F5723F">
        <w:rPr>
          <w:rStyle w:val="Fotnotsreferens"/>
          <w:rFonts w:ascii="Garamond" w:hAnsi="Garamond"/>
        </w:rPr>
        <w:footnoteRef/>
      </w:r>
      <w:r w:rsidRPr="00F5723F">
        <w:t xml:space="preserve"> Konstitutionsutskottet påbörjade på torsdagseftermiddagen dessutom sitt interna</w:t>
      </w:r>
      <w:r w:rsidRPr="00F5723F">
        <w:t>t</w:t>
      </w:r>
      <w:r w:rsidRPr="00F5723F">
        <w:t>sammanträde kring granskninsgverksamheten och sammanträdde 1 timme och 45 minuter under kvällen. Under fredagen sa</w:t>
      </w:r>
      <w:r w:rsidRPr="00F5723F">
        <w:t>m</w:t>
      </w:r>
      <w:r w:rsidRPr="00F5723F">
        <w:t xml:space="preserve">manträdde utskottet under 1 timme och 55 minuter. </w:t>
      </w:r>
    </w:p>
  </w:footnote>
  <w:footnote w:id="106">
    <w:p w:rsidR="00B43C57" w:rsidRPr="00F5723F" w:rsidRDefault="00B43C57">
      <w:pPr>
        <w:pStyle w:val="Fotnotstextindrag"/>
      </w:pPr>
      <w:r w:rsidRPr="00F5723F">
        <w:rPr>
          <w:rStyle w:val="Fotnotsreferens"/>
          <w:rFonts w:ascii="Garamond" w:hAnsi="Garamond"/>
        </w:rPr>
        <w:footnoteRef/>
      </w:r>
      <w:r w:rsidRPr="00F5723F">
        <w:t xml:space="preserve"> Jensen 1993:140 f.</w:t>
      </w:r>
    </w:p>
  </w:footnote>
  <w:footnote w:id="107">
    <w:p w:rsidR="00B43C57" w:rsidRPr="00F5723F" w:rsidRDefault="00B43C57">
      <w:pPr>
        <w:pStyle w:val="Fotnotstextindrag"/>
      </w:pPr>
      <w:r w:rsidRPr="00F5723F">
        <w:rPr>
          <w:rStyle w:val="Fotnotsreferens"/>
          <w:rFonts w:ascii="Garamond" w:hAnsi="Garamond"/>
        </w:rPr>
        <w:footnoteRef/>
      </w:r>
      <w:r w:rsidRPr="00F5723F">
        <w:t xml:space="preserve"> Underskattning av nedlagd arbetstid på olika uppgifter kan ha att göra med mä</w:t>
      </w:r>
      <w:r w:rsidRPr="00F5723F">
        <w:t>t</w:t>
      </w:r>
      <w:r w:rsidRPr="00F5723F">
        <w:t>tekniken; ledamöter kan ha haft svårt att i (det datormässiga) undersökningsformul</w:t>
      </w:r>
      <w:r w:rsidRPr="00F5723F">
        <w:t>ä</w:t>
      </w:r>
      <w:r w:rsidRPr="00F5723F">
        <w:t>ret få med samtliga genomförda arbetsuppgifter. Överskattning av nedlagd arbet</w:t>
      </w:r>
      <w:r w:rsidRPr="00F5723F">
        <w:t>s</w:t>
      </w:r>
      <w:r w:rsidRPr="00F5723F">
        <w:t>tid skulle kunna ha att göra med en önskan om att framställa sig själv, och riksdagsup</w:t>
      </w:r>
      <w:r w:rsidRPr="00F5723F">
        <w:t>p</w:t>
      </w:r>
      <w:r w:rsidRPr="00F5723F">
        <w:t xml:space="preserve">draget, i en så god dager som möjligt. </w:t>
      </w:r>
    </w:p>
  </w:footnote>
  <w:footnote w:id="108">
    <w:p w:rsidR="00B43C57" w:rsidRPr="00F5723F" w:rsidRDefault="00B43C57">
      <w:pPr>
        <w:pStyle w:val="Fotnotstextindrag"/>
      </w:pPr>
      <w:r w:rsidRPr="00F5723F">
        <w:rPr>
          <w:rStyle w:val="Fotnotsreferens"/>
          <w:rFonts w:ascii="Garamond" w:hAnsi="Garamond"/>
        </w:rPr>
        <w:footnoteRef/>
      </w:r>
      <w:r w:rsidRPr="00F5723F">
        <w:t xml:space="preserve"> Gahrton 1983.</w:t>
      </w:r>
    </w:p>
  </w:footnote>
  <w:footnote w:id="109">
    <w:p w:rsidR="00B43C57" w:rsidRPr="00F5723F" w:rsidRDefault="00B43C57">
      <w:pPr>
        <w:pStyle w:val="Fotnotstextindrag"/>
      </w:pPr>
      <w:r w:rsidRPr="00F5723F">
        <w:rPr>
          <w:rStyle w:val="Fotnotsreferens"/>
          <w:rFonts w:ascii="Garamond" w:hAnsi="Garamond"/>
        </w:rPr>
        <w:footnoteRef/>
      </w:r>
      <w:r w:rsidRPr="00F5723F">
        <w:t xml:space="preserve"> Göransson (kommande). Forskningsprojektet ”Kön och eliternas sociala reprodu</w:t>
      </w:r>
      <w:r w:rsidRPr="00F5723F">
        <w:t>k</w:t>
      </w:r>
      <w:r w:rsidRPr="00F5723F">
        <w:t>tion i ett komparativt perspektiv” finansieras av Riksbankens jubileum</w:t>
      </w:r>
      <w:r w:rsidRPr="00F5723F">
        <w:t>s</w:t>
      </w:r>
      <w:r w:rsidRPr="00F5723F">
        <w:t>fond. Inom projektet utkommer under 2005 ”Maktens kön” med professor Anita Göran</w:t>
      </w:r>
      <w:r w:rsidRPr="00F5723F">
        <w:t>s</w:t>
      </w:r>
      <w:r w:rsidRPr="00F5723F">
        <w:t xml:space="preserve">son som redaktör. </w:t>
      </w:r>
    </w:p>
  </w:footnote>
  <w:footnote w:id="110">
    <w:p w:rsidR="00B43C57" w:rsidRPr="00F5723F" w:rsidRDefault="00B43C57">
      <w:pPr>
        <w:pStyle w:val="Fotnotstextindrag"/>
      </w:pPr>
      <w:r w:rsidRPr="00F5723F">
        <w:rPr>
          <w:rStyle w:val="Fotnotsreferens"/>
          <w:rFonts w:ascii="Garamond" w:hAnsi="Garamond"/>
        </w:rPr>
        <w:footnoteRef/>
      </w:r>
      <w:r w:rsidRPr="00F5723F">
        <w:t xml:space="preserve"> Jensen 1993:135. </w:t>
      </w:r>
    </w:p>
  </w:footnote>
  <w:footnote w:id="111">
    <w:p w:rsidR="00B43C57" w:rsidRPr="00F5723F" w:rsidRDefault="00B43C57">
      <w:pPr>
        <w:pStyle w:val="Fotnotstextindrag"/>
      </w:pPr>
      <w:r w:rsidRPr="00F5723F">
        <w:rPr>
          <w:rStyle w:val="Fotnotsreferens"/>
          <w:rFonts w:ascii="Garamond" w:hAnsi="Garamond"/>
        </w:rPr>
        <w:footnoteRef/>
      </w:r>
      <w:r w:rsidRPr="00F5723F">
        <w:t xml:space="preserve"> Jensen 1993:16.</w:t>
      </w:r>
    </w:p>
  </w:footnote>
  <w:footnote w:id="112">
    <w:p w:rsidR="00B43C57" w:rsidRPr="00F5723F" w:rsidRDefault="00B43C57">
      <w:pPr>
        <w:pStyle w:val="Fotnotstextindrag"/>
      </w:pPr>
      <w:r w:rsidRPr="00F5723F">
        <w:rPr>
          <w:rStyle w:val="Fotnotsreferens"/>
          <w:rFonts w:ascii="Garamond" w:hAnsi="Garamond"/>
        </w:rPr>
        <w:footnoteRef/>
      </w:r>
      <w:r w:rsidRPr="00F5723F">
        <w:t xml:space="preserve"> Tidigare har under- och överskattningsproblematiken diskuterats och vilka svåri</w:t>
      </w:r>
      <w:r w:rsidRPr="00F5723F">
        <w:t>g</w:t>
      </w:r>
      <w:r w:rsidRPr="00F5723F">
        <w:t>heter ledamöter kan ha haft att överblicka sina avgivna svar om de fyllt i dagboksbl</w:t>
      </w:r>
      <w:r w:rsidRPr="00F5723F">
        <w:t>a</w:t>
      </w:r>
      <w:r w:rsidRPr="00F5723F">
        <w:t>det i dato</w:t>
      </w:r>
      <w:r w:rsidRPr="00F5723F">
        <w:t>r</w:t>
      </w:r>
      <w:r w:rsidRPr="00F5723F">
        <w:t>versionen.</w:t>
      </w:r>
    </w:p>
  </w:footnote>
  <w:footnote w:id="113">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I 1974 års undersökning kunde dock inga större partiskillnader identifieras (A</w:t>
      </w:r>
      <w:r w:rsidRPr="00F5723F">
        <w:t>r</w:t>
      </w:r>
      <w:r w:rsidRPr="00F5723F">
        <w:t>betsformsutredningen, 1976, Rik</w:t>
      </w:r>
      <w:r w:rsidRPr="00F5723F">
        <w:t>s</w:t>
      </w:r>
      <w:r w:rsidRPr="00F5723F">
        <w:t xml:space="preserve">dagsarbetets planering, Förs. 1975/76:15, s. </w:t>
      </w:r>
      <w:smartTag w:uri="urn:schemas-microsoft-com:office:smarttags" w:element="metricconverter">
        <w:smartTagPr>
          <w:attr w:name="ProductID" w:val="79 f"/>
        </w:smartTagPr>
        <w:r w:rsidRPr="00F5723F">
          <w:t>79 f</w:t>
        </w:r>
      </w:smartTag>
      <w:r w:rsidRPr="00F5723F">
        <w:t>.).</w:t>
      </w:r>
    </w:p>
  </w:footnote>
  <w:footnote w:id="114">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Arbetsformsutredningen (1979), Arbetsformsutredningens slutrapport, Förs. 1978/79:15, s. 27.</w:t>
      </w:r>
    </w:p>
  </w:footnote>
  <w:footnote w:id="115">
    <w:p w:rsidR="00B43C57" w:rsidRPr="00F5723F" w:rsidRDefault="00B43C57">
      <w:pPr>
        <w:pStyle w:val="Fotnotstextindrag"/>
      </w:pPr>
      <w:r w:rsidRPr="00F5723F">
        <w:rPr>
          <w:rStyle w:val="Fotnotsreferens"/>
          <w:rFonts w:ascii="Garamond" w:hAnsi="Garamond"/>
        </w:rPr>
        <w:footnoteRef/>
      </w:r>
      <w:r w:rsidRPr="00F5723F">
        <w:t xml:space="preserve"> Brothén 2002.</w:t>
      </w:r>
    </w:p>
  </w:footnote>
  <w:footnote w:id="116">
    <w:p w:rsidR="00B43C57" w:rsidRPr="00F5723F" w:rsidRDefault="00B43C57">
      <w:pPr>
        <w:pStyle w:val="Fotnotstextindrag"/>
      </w:pPr>
      <w:r w:rsidRPr="00F5723F">
        <w:rPr>
          <w:rStyle w:val="Fotnotsreferens"/>
          <w:rFonts w:ascii="Garamond" w:hAnsi="Garamond"/>
        </w:rPr>
        <w:footnoteRef/>
      </w:r>
      <w:r w:rsidRPr="00F5723F">
        <w:t xml:space="preserve"> Särlvik 1969. Representationsundersökningen genomfördes under ledning av Bo Särlvik vid Statsvetenskapliga institutionen, Göteborgs universitet. Per A</w:t>
      </w:r>
      <w:r w:rsidRPr="00F5723F">
        <w:t>n</w:t>
      </w:r>
      <w:r w:rsidRPr="00F5723F">
        <w:t>ders Roth ansvarade för genomförandet av undersö</w:t>
      </w:r>
      <w:r w:rsidRPr="00F5723F">
        <w:t>k</w:t>
      </w:r>
      <w:r w:rsidRPr="00F5723F">
        <w:t xml:space="preserve">ningen. </w:t>
      </w:r>
    </w:p>
  </w:footnote>
  <w:footnote w:id="117">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 xml:space="preserve">SOU 1986:27, s. 13–15 och 78–79. </w:t>
      </w:r>
    </w:p>
  </w:footnote>
  <w:footnote w:id="118">
    <w:p w:rsidR="00B43C57" w:rsidRPr="00F5723F" w:rsidRDefault="00B43C57">
      <w:pPr>
        <w:pStyle w:val="Fotnotstextindrag"/>
      </w:pPr>
      <w:r w:rsidRPr="00F5723F">
        <w:rPr>
          <w:rStyle w:val="Fotnotsreferens"/>
          <w:rFonts w:ascii="Garamond" w:hAnsi="Garamond"/>
        </w:rPr>
        <w:footnoteRef/>
      </w:r>
      <w:r w:rsidRPr="00F5723F">
        <w:t xml:space="preserve"> Fakta om folkvalda. Riksdagen 2002–2006, Stockholm: Sveriges riksdag.</w:t>
      </w:r>
    </w:p>
  </w:footnote>
  <w:footnote w:id="119">
    <w:p w:rsidR="00B43C57" w:rsidRPr="00F5723F" w:rsidRDefault="00B43C57">
      <w:pPr>
        <w:pStyle w:val="Fotnotstextindrag"/>
      </w:pPr>
      <w:r w:rsidRPr="00F5723F">
        <w:rPr>
          <w:rStyle w:val="Fotnotsreferens"/>
          <w:rFonts w:ascii="Garamond" w:hAnsi="Garamond"/>
        </w:rPr>
        <w:footnoteRef/>
      </w:r>
      <w:r w:rsidRPr="00F5723F">
        <w:t xml:space="preserve"> Sveriges statskalender 2003, 191:e årgången, Stockholm: Fritzes. </w:t>
      </w:r>
    </w:p>
  </w:footnote>
  <w:footnote w:id="120">
    <w:p w:rsidR="00B43C57" w:rsidRPr="00F5723F" w:rsidRDefault="00B43C57">
      <w:pPr>
        <w:pStyle w:val="Fotnotstextindrag"/>
      </w:pPr>
      <w:r w:rsidRPr="00F5723F">
        <w:rPr>
          <w:rStyle w:val="Fotnotsreferens"/>
          <w:rFonts w:ascii="Garamond" w:hAnsi="Garamond"/>
        </w:rPr>
        <w:footnoteRef/>
      </w:r>
      <w:r w:rsidRPr="00F5723F">
        <w:t xml:space="preserve"> Bäck &amp; Öhrvall 2004:5. Det totala antalet förtroendevalda har minskat kra</w:t>
      </w:r>
      <w:r w:rsidRPr="00F5723F">
        <w:t>f</w:t>
      </w:r>
      <w:r w:rsidRPr="00F5723F">
        <w:t>tigt sedan 1951. Det t</w:t>
      </w:r>
      <w:r w:rsidRPr="00F5723F">
        <w:t>o</w:t>
      </w:r>
      <w:r w:rsidRPr="00F5723F">
        <w:t>tala antalet förtroendevalda var 2003 ungefär 42 200, vilket är en femtedel av det totala antal personer som hade förtroendeuppdrag 1951. Samtidigt var den minskning som skedde under 1990-talet inte lika dram</w:t>
      </w:r>
      <w:r w:rsidRPr="00F5723F">
        <w:t>a</w:t>
      </w:r>
      <w:r w:rsidRPr="00F5723F">
        <w:t>tisk som den under 1980-talet, då politikerant</w:t>
      </w:r>
      <w:r w:rsidRPr="00F5723F">
        <w:t>a</w:t>
      </w:r>
      <w:r w:rsidRPr="00F5723F">
        <w:t>let minskade med ungefär 20 000 personer.</w:t>
      </w:r>
    </w:p>
    <w:p w:rsidR="00B43C57" w:rsidRPr="00F5723F" w:rsidRDefault="00B43C57"/>
  </w:footnote>
  <w:footnote w:id="121">
    <w:p w:rsidR="00B43C57" w:rsidRPr="00F5723F" w:rsidRDefault="00B43C57">
      <w:pPr>
        <w:pStyle w:val="Fotnotstextindrag"/>
      </w:pPr>
      <w:r w:rsidRPr="00F5723F">
        <w:rPr>
          <w:rStyle w:val="Fotnotsreferens"/>
          <w:rFonts w:ascii="Garamond" w:hAnsi="Garamond"/>
        </w:rPr>
        <w:footnoteRef/>
      </w:r>
      <w:r w:rsidRPr="00F5723F">
        <w:t xml:space="preserve"> Riksdagskommittén 2001:45.</w:t>
      </w:r>
    </w:p>
  </w:footnote>
  <w:footnote w:id="122">
    <w:p w:rsidR="00B43C57" w:rsidRPr="00F5723F" w:rsidRDefault="00B43C57">
      <w:pPr>
        <w:pStyle w:val="Fotnotstextindrag"/>
      </w:pPr>
      <w:r w:rsidRPr="00F5723F">
        <w:rPr>
          <w:rStyle w:val="Fotnotsreferens"/>
          <w:rFonts w:ascii="Garamond" w:hAnsi="Garamond"/>
        </w:rPr>
        <w:footnoteRef/>
      </w:r>
      <w:r w:rsidRPr="00F5723F">
        <w:t xml:space="preserve"> Disraeli lät dock uttalandet </w:t>
      </w:r>
      <w:r w:rsidRPr="00F5723F">
        <w:t>läggas i romanfiguren Mr Rigbys</w:t>
      </w:r>
      <w:r w:rsidRPr="00F5723F">
        <w:t xml:space="preserve"> mun.</w:t>
      </w:r>
    </w:p>
  </w:footnote>
  <w:footnote w:id="123">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Jewell 1985:101.</w:t>
      </w:r>
    </w:p>
  </w:footnote>
  <w:footnote w:id="124">
    <w:p w:rsidR="00B43C57" w:rsidRPr="00F5723F" w:rsidRDefault="00B43C57">
      <w:pPr>
        <w:pStyle w:val="Fotnotstextindrag"/>
      </w:pPr>
      <w:r w:rsidRPr="00F5723F">
        <w:rPr>
          <w:rStyle w:val="Fotnotsreferens"/>
          <w:rFonts w:ascii="Garamond" w:hAnsi="Garamond"/>
        </w:rPr>
        <w:footnoteRef/>
      </w:r>
      <w:r w:rsidRPr="00F5723F">
        <w:t xml:space="preserve"> SOU 1963:17, s. 121 och s. 295; SOU 1970:17, s. 41).</w:t>
      </w:r>
    </w:p>
  </w:footnote>
  <w:footnote w:id="125">
    <w:p w:rsidR="00B43C57" w:rsidRPr="00F5723F" w:rsidRDefault="00B43C57">
      <w:pPr>
        <w:pStyle w:val="Fotnotstextindrag"/>
      </w:pPr>
      <w:r w:rsidRPr="00F5723F">
        <w:rPr>
          <w:rStyle w:val="Fotnotsreferens"/>
          <w:rFonts w:ascii="Garamond" w:hAnsi="Garamond"/>
        </w:rPr>
        <w:footnoteRef/>
      </w:r>
      <w:r w:rsidRPr="00F5723F">
        <w:t xml:space="preserve"> Brändström 1972; Sköld 1958</w:t>
      </w:r>
      <w:r w:rsidRPr="00F5723F">
        <w:t xml:space="preserve">; Back &amp; Berglund 1978:103 ff.; </w:t>
      </w:r>
      <w:r w:rsidRPr="00F5723F">
        <w:t>SOU 1986:27.</w:t>
      </w:r>
    </w:p>
  </w:footnote>
  <w:footnote w:id="126">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SOU 1965:54, s. 45; Larsson 1986:73; Roth 1996:118 ff. Jfr Christoffersson 1986.</w:t>
      </w:r>
    </w:p>
  </w:footnote>
  <w:footnote w:id="127">
    <w:p w:rsidR="00B43C57" w:rsidRPr="00F5723F" w:rsidRDefault="00B43C57">
      <w:pPr>
        <w:pStyle w:val="Fotnotstextindrag"/>
      </w:pPr>
      <w:r w:rsidRPr="00F5723F">
        <w:rPr>
          <w:rStyle w:val="Fotnotsreferens"/>
          <w:rFonts w:ascii="Garamond" w:hAnsi="Garamond"/>
        </w:rPr>
        <w:footnoteRef/>
      </w:r>
      <w:r w:rsidRPr="00F5723F">
        <w:t xml:space="preserve"> SOU 1987:26, s. 10.</w:t>
      </w:r>
    </w:p>
  </w:footnote>
  <w:footnote w:id="128">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Undersökningarna har genomförts inom ramen för olika forskningsprojekt under ledning främst av Sören Holmberg, Peter Esaiasson och Martin Brothén.</w:t>
      </w:r>
    </w:p>
  </w:footnote>
  <w:footnote w:id="129">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Wängnerud m.fl. (kommande); Oskarson &amp; Wängnerud 1995:131–32.</w:t>
      </w:r>
    </w:p>
  </w:footnote>
  <w:footnote w:id="130">
    <w:p w:rsidR="00B43C57" w:rsidRPr="00F5723F" w:rsidRDefault="00B43C57">
      <w:pPr>
        <w:pStyle w:val="Fotnotstextindrag"/>
      </w:pPr>
      <w:r w:rsidRPr="00F5723F">
        <w:rPr>
          <w:rStyle w:val="Fotnotsreferens"/>
          <w:rFonts w:ascii="Garamond" w:hAnsi="Garamond"/>
        </w:rPr>
        <w:footnoteRef/>
      </w:r>
      <w:r w:rsidRPr="00F5723F">
        <w:t xml:space="preserve"> Totalt finns 15 sådana svar. </w:t>
      </w:r>
    </w:p>
  </w:footnote>
  <w:footnote w:id="131">
    <w:p w:rsidR="00B43C57" w:rsidRPr="00F5723F" w:rsidRDefault="00B43C57">
      <w:pPr>
        <w:pStyle w:val="Fotnotstextindrag"/>
      </w:pPr>
      <w:r w:rsidRPr="00F5723F">
        <w:rPr>
          <w:rStyle w:val="Fotnotsreferens"/>
          <w:rFonts w:ascii="Garamond" w:hAnsi="Garamond"/>
        </w:rPr>
        <w:footnoteRef/>
      </w:r>
      <w:r w:rsidRPr="00F5723F">
        <w:t xml:space="preserve"> Totalt finns 6 sådana svar. Jfr Jensen 1993.</w:t>
      </w:r>
    </w:p>
  </w:footnote>
  <w:footnote w:id="132">
    <w:p w:rsidR="00B43C57" w:rsidRPr="00F5723F" w:rsidRDefault="00B43C57">
      <w:pPr>
        <w:pStyle w:val="Fotnotstextindrag"/>
      </w:pPr>
      <w:r w:rsidRPr="00F5723F">
        <w:rPr>
          <w:rStyle w:val="Fotnotsreferens"/>
          <w:rFonts w:ascii="Garamond" w:hAnsi="Garamond"/>
        </w:rPr>
        <w:footnoteRef/>
      </w:r>
      <w:r w:rsidRPr="00F5723F">
        <w:t xml:space="preserve"> Holmberg &amp; Esaiasson 1988:19.</w:t>
      </w:r>
    </w:p>
  </w:footnote>
  <w:footnote w:id="133">
    <w:p w:rsidR="00B43C57" w:rsidRPr="00F5723F" w:rsidRDefault="00B43C57">
      <w:pPr>
        <w:pStyle w:val="Fotnotstextindrag"/>
      </w:pPr>
      <w:r w:rsidRPr="00F5723F">
        <w:rPr>
          <w:rStyle w:val="Fotnotsreferens"/>
          <w:rFonts w:ascii="Garamond" w:hAnsi="Garamond"/>
        </w:rPr>
        <w:footnoteRef/>
      </w:r>
      <w:r w:rsidRPr="00F5723F">
        <w:t xml:space="preserve"> Återigen har varje ledamots svar på den öppna frågan kodats med upp till tre olika uppgi</w:t>
      </w:r>
      <w:r w:rsidRPr="00F5723F">
        <w:t>f</w:t>
      </w:r>
      <w:r w:rsidRPr="00F5723F">
        <w:t>ter. Totalt har för denna fråga 297 svar/uppgifter angivits av ledamöte</w:t>
      </w:r>
      <w:r w:rsidRPr="00F5723F">
        <w:t>r</w:t>
      </w:r>
      <w:r w:rsidRPr="00F5723F">
        <w:t>na. Den procentuella fördelningen av uppgifterna på tretton olika kategorier har därefter b</w:t>
      </w:r>
      <w:r w:rsidRPr="00F5723F">
        <w:t>e</w:t>
      </w:r>
      <w:r w:rsidRPr="00F5723F">
        <w:t>räknats.</w:t>
      </w:r>
    </w:p>
  </w:footnote>
  <w:footnote w:id="134">
    <w:p w:rsidR="00B43C57" w:rsidRPr="00F5723F" w:rsidRDefault="00B43C57">
      <w:pPr>
        <w:pStyle w:val="Fotnotstextindrag"/>
      </w:pPr>
      <w:r w:rsidRPr="00F5723F">
        <w:rPr>
          <w:rStyle w:val="Fotnotsreferens"/>
          <w:rFonts w:ascii="Garamond" w:hAnsi="Garamond"/>
        </w:rPr>
        <w:footnoteRef/>
      </w:r>
      <w:r w:rsidRPr="00F5723F">
        <w:t xml:space="preserve"> Totalt var det 24 svar som sorterades ut; 22 svar innebar att ledamoten ansåg sig nöjd; 2 svar innebar att led</w:t>
      </w:r>
      <w:r w:rsidRPr="00F5723F">
        <w:t>a</w:t>
      </w:r>
      <w:r w:rsidRPr="00F5723F">
        <w:t xml:space="preserve">moten önskade mer tid. </w:t>
      </w:r>
    </w:p>
  </w:footnote>
  <w:footnote w:id="135">
    <w:p w:rsidR="00B43C57" w:rsidRPr="00F5723F" w:rsidRDefault="00B43C57">
      <w:pPr>
        <w:pStyle w:val="Fotnotstextindrag"/>
      </w:pPr>
      <w:r w:rsidRPr="00F5723F">
        <w:rPr>
          <w:rStyle w:val="Fotnotsreferens"/>
          <w:rFonts w:ascii="Garamond" w:hAnsi="Garamond"/>
        </w:rPr>
        <w:footnoteRef/>
      </w:r>
      <w:r w:rsidRPr="00F5723F">
        <w:t xml:space="preserve"> Det bör nämnas att undersökningen genomfördes vid en tidpunkt när det ännu inte hade gått att finna en tillfredsställande lösning på de många s.k. spam-mail som l</w:t>
      </w:r>
      <w:r w:rsidRPr="00F5723F">
        <w:t>e</w:t>
      </w:r>
      <w:r w:rsidRPr="00F5723F">
        <w:t>damöterna erhåller. Resultaten kan delvis vara en effekt av undersökningstekniken; undersökningen genomfördes datormässigt för det stora flertalet ledamöter. Någon stor effekt synes dock inte undersö</w:t>
      </w:r>
      <w:r w:rsidRPr="00F5723F">
        <w:t>k</w:t>
      </w:r>
      <w:r w:rsidRPr="00F5723F">
        <w:t>ningstekniken ha haft.</w:t>
      </w:r>
    </w:p>
  </w:footnote>
  <w:footnote w:id="136">
    <w:p w:rsidR="00B43C57" w:rsidRPr="00F5723F" w:rsidRDefault="00B43C57">
      <w:pPr>
        <w:pStyle w:val="Fotnotstextindrag"/>
      </w:pPr>
      <w:r w:rsidRPr="00F5723F">
        <w:rPr>
          <w:rStyle w:val="Fotnotsreferens"/>
          <w:rFonts w:ascii="Garamond" w:hAnsi="Garamond"/>
        </w:rPr>
        <w:footnoteRef/>
      </w:r>
      <w:r w:rsidRPr="00F5723F">
        <w:t xml:space="preserve"> Under riksmötet 2003/04 voterade riksdagen omkring 16 timmar. </w:t>
      </w:r>
    </w:p>
  </w:footnote>
  <w:footnote w:id="137">
    <w:p w:rsidR="00B43C57" w:rsidRPr="00F5723F" w:rsidRDefault="00B43C57">
      <w:pPr>
        <w:pStyle w:val="Fotnotstextindrag"/>
      </w:pPr>
      <w:r w:rsidRPr="00F5723F">
        <w:rPr>
          <w:vertAlign w:val="superscript"/>
        </w:rPr>
        <w:footnoteRef/>
      </w:r>
      <w:r w:rsidRPr="00F5723F">
        <w:rPr>
          <w:vertAlign w:val="superscript"/>
        </w:rPr>
        <w:t xml:space="preserve"> </w:t>
      </w:r>
      <w:r w:rsidRPr="00F5723F">
        <w:t xml:space="preserve">Varje ledamot har kunnat lämna förslag på tre olika åtgärder. </w:t>
      </w:r>
    </w:p>
  </w:footnote>
  <w:footnote w:id="138">
    <w:p w:rsidR="00B43C57" w:rsidRPr="00F5723F" w:rsidRDefault="00B43C57">
      <w:pPr>
        <w:pStyle w:val="Fotnotstextindrag"/>
      </w:pPr>
      <w:r w:rsidRPr="00F5723F">
        <w:rPr>
          <w:rStyle w:val="Fotnotsreferens"/>
          <w:rFonts w:ascii="Garamond" w:hAnsi="Garamond"/>
        </w:rPr>
        <w:footnoteRef/>
      </w:r>
      <w:r w:rsidRPr="00F5723F">
        <w:rPr>
          <w:rStyle w:val="Fotnotsreferens"/>
          <w:rFonts w:ascii="Garamond" w:hAnsi="Garamond"/>
        </w:rPr>
        <w:t xml:space="preserve"> </w:t>
      </w:r>
      <w:r w:rsidRPr="00F5723F">
        <w:t>Christoffersson 198</w:t>
      </w:r>
      <w:r w:rsidRPr="00F5723F">
        <w:t>6</w:t>
      </w:r>
      <w:r w:rsidRPr="00F5723F">
        <w:t>:32.</w:t>
      </w:r>
    </w:p>
  </w:footnote>
  <w:footnote w:id="139">
    <w:p w:rsidR="00B43C57" w:rsidRPr="00F5723F" w:rsidRDefault="00B43C57">
      <w:pPr>
        <w:pStyle w:val="Fotnotstextindrag"/>
      </w:pPr>
      <w:r w:rsidRPr="00F5723F">
        <w:rPr>
          <w:rStyle w:val="Fotnotsreferens"/>
          <w:rFonts w:ascii="Garamond" w:hAnsi="Garamond"/>
        </w:rPr>
        <w:footnoteRef/>
      </w:r>
      <w:r w:rsidRPr="00F5723F">
        <w:t xml:space="preserve"> Christoffersson 1986</w:t>
      </w:r>
      <w:r w:rsidRPr="00F5723F">
        <w:t>:32.</w:t>
      </w:r>
    </w:p>
  </w:footnote>
  <w:footnote w:id="140">
    <w:p w:rsidR="00B43C57" w:rsidRPr="00F5723F" w:rsidRDefault="00B43C57">
      <w:pPr>
        <w:pStyle w:val="Fotnotstextindrag"/>
      </w:pPr>
      <w:r w:rsidRPr="00F5723F">
        <w:rPr>
          <w:rStyle w:val="Fotnotsreferens"/>
          <w:sz w:val="20"/>
        </w:rPr>
        <w:footnoteRef/>
      </w:r>
      <w:r w:rsidRPr="00F5723F">
        <w:t xml:space="preserve"> Om valsystem, se </w:t>
      </w:r>
      <w:r w:rsidRPr="00F5723F">
        <w:t>till exempel</w:t>
      </w:r>
      <w:r w:rsidRPr="00F5723F">
        <w:t xml:space="preserve"> </w:t>
      </w:r>
      <w:r w:rsidRPr="00F5723F">
        <w:t>Grofman &amp; Lijphart, red, 2002; Lijphart 1999; Powell 2000; Rose, red, 2000; Shugart &amp; Watte</w:t>
      </w:r>
      <w:r w:rsidRPr="00F5723F">
        <w:t>n</w:t>
      </w:r>
      <w:r w:rsidRPr="00F5723F">
        <w:t xml:space="preserve">berg, red, 2001. </w:t>
      </w:r>
      <w:r w:rsidRPr="00F5723F">
        <w:t>Om valkam</w:t>
      </w:r>
      <w:r w:rsidRPr="00F5723F">
        <w:softHyphen/>
        <w:t>pan</w:t>
      </w:r>
      <w:r w:rsidRPr="00F5723F">
        <w:softHyphen/>
        <w:t>jer, se t</w:t>
      </w:r>
      <w:r w:rsidRPr="00F5723F">
        <w:t>.</w:t>
      </w:r>
      <w:r w:rsidRPr="00F5723F">
        <w:t xml:space="preserve"> ex</w:t>
      </w:r>
      <w:r w:rsidRPr="00F5723F">
        <w:t>.</w:t>
      </w:r>
      <w:r w:rsidRPr="00F5723F">
        <w:t xml:space="preserve"> Butler &amp; Ranney, red, 1992; Esaiasson 1990; Kavanagh 1995; Swanson &amp; Manc</w:t>
      </w:r>
      <w:r w:rsidRPr="00F5723F">
        <w:t>i</w:t>
      </w:r>
      <w:r w:rsidRPr="00F5723F">
        <w:t>ni, red, 1996.</w:t>
      </w:r>
    </w:p>
  </w:footnote>
  <w:footnote w:id="141">
    <w:p w:rsidR="00B43C57" w:rsidRPr="00F5723F" w:rsidRDefault="00B43C57">
      <w:pPr>
        <w:pStyle w:val="Fotnotstextindrag"/>
      </w:pPr>
      <w:r w:rsidRPr="00F5723F">
        <w:rPr>
          <w:rStyle w:val="Fotnotsreferens"/>
        </w:rPr>
        <w:footnoteRef/>
      </w:r>
      <w:r w:rsidRPr="00F5723F">
        <w:t xml:space="preserve"> Den minnesgode läsaren drar sig kanske till minnes att vi i boken </w:t>
      </w:r>
      <w:r w:rsidRPr="00F5723F">
        <w:rPr>
          <w:i/>
          <w:iCs/>
        </w:rPr>
        <w:t>Demokratins mekanismer</w:t>
      </w:r>
      <w:r w:rsidRPr="00F5723F">
        <w:t xml:space="preserve"> (Gilljam &amp; Hermansson, red, 2003:16) använder en vidare definition av begreppet valdemokrati som inkluderar vissa typer av kommunikation mellan me</w:t>
      </w:r>
      <w:r w:rsidRPr="00F5723F">
        <w:t>d</w:t>
      </w:r>
      <w:r w:rsidRPr="00F5723F">
        <w:t>borgare och representanter även mellan valen. I det här sammanhanget a</w:t>
      </w:r>
      <w:r w:rsidRPr="00F5723F">
        <w:t>n</w:t>
      </w:r>
      <w:r w:rsidRPr="00F5723F">
        <w:t>vänder vi en snäv definition där begreppet valdemokrati endast omfattar sådana kontakter som handlar om medborgerligt politiskt inflytande genom framröstande av politiska repr</w:t>
      </w:r>
      <w:r w:rsidRPr="00F5723F">
        <w:t>e</w:t>
      </w:r>
      <w:r w:rsidRPr="00F5723F">
        <w:t>sentanter i val.</w:t>
      </w:r>
    </w:p>
  </w:footnote>
  <w:footnote w:id="142">
    <w:p w:rsidR="00B43C57" w:rsidRPr="00F5723F" w:rsidRDefault="00B43C57">
      <w:pPr>
        <w:pStyle w:val="Fotnotstextindrag"/>
      </w:pPr>
      <w:r w:rsidRPr="00F5723F">
        <w:rPr>
          <w:rStyle w:val="Fotnotsreferens"/>
        </w:rPr>
        <w:footnoteRef/>
      </w:r>
      <w:r w:rsidRPr="00F5723F">
        <w:t xml:space="preserve"> Den franske statsvetaren Bernard Manin betraktar, med hänvisning till Max W</w:t>
      </w:r>
      <w:r w:rsidRPr="00F5723F">
        <w:t>e</w:t>
      </w:r>
      <w:r w:rsidRPr="00F5723F">
        <w:t>ber, ett politiskt system med imperativa och återkallningsbara mandat som direktd</w:t>
      </w:r>
      <w:r w:rsidRPr="00F5723F">
        <w:t>e</w:t>
      </w:r>
      <w:r w:rsidRPr="00F5723F">
        <w:t>mokratiskt och inte som representativt (Manin 1997/2002:180-1).</w:t>
      </w:r>
    </w:p>
  </w:footnote>
  <w:footnote w:id="143">
    <w:p w:rsidR="00B43C57" w:rsidRPr="00F5723F" w:rsidRDefault="00B43C57">
      <w:pPr>
        <w:pStyle w:val="Fotnotstextindrag"/>
      </w:pPr>
      <w:r w:rsidRPr="00F5723F">
        <w:rPr>
          <w:rStyle w:val="Fotnotsreferens"/>
          <w:sz w:val="20"/>
        </w:rPr>
        <w:footnoteRef/>
      </w:r>
      <w:r w:rsidRPr="00F5723F">
        <w:t xml:space="preserve"> Distinktionen mellan att informera/påverka och att informeras/påverkas behöver inte hanteras som en dikotomi. Ett exempel är Jan Teorells studie av interndemokr</w:t>
      </w:r>
      <w:r w:rsidRPr="00F5723F">
        <w:t>a</w:t>
      </w:r>
      <w:r w:rsidRPr="00F5723F">
        <w:t xml:space="preserve">tin inom de politiska partierna där </w:t>
      </w:r>
      <w:r w:rsidRPr="00F5723F">
        <w:t xml:space="preserve">författaren </w:t>
      </w:r>
      <w:r w:rsidRPr="00F5723F">
        <w:t xml:space="preserve">urskiljer ett flertal mellanformer som handlar om att partiledningen söker mandat, legitimitet </w:t>
      </w:r>
      <w:r w:rsidRPr="00F5723F">
        <w:t>respe</w:t>
      </w:r>
      <w:r w:rsidRPr="00F5723F">
        <w:t>k</w:t>
      </w:r>
      <w:r w:rsidRPr="00F5723F">
        <w:t>tive</w:t>
      </w:r>
      <w:r w:rsidRPr="00F5723F">
        <w:t xml:space="preserve"> förankring</w:t>
      </w:r>
      <w:r w:rsidRPr="00F5723F">
        <w:t>,</w:t>
      </w:r>
      <w:r w:rsidRPr="00F5723F">
        <w:t xml:space="preserve"> men utan någon egentlig vilja till medlemsdialog (Teorell 1998:30-4).</w:t>
      </w:r>
      <w:r w:rsidRPr="00F5723F">
        <w:t xml:space="preserve"> Se även Isberg 1999:kapitel 5.</w:t>
      </w:r>
    </w:p>
  </w:footnote>
  <w:footnote w:id="144">
    <w:p w:rsidR="00B43C57" w:rsidRPr="00F5723F" w:rsidRDefault="00B43C57">
      <w:pPr>
        <w:pStyle w:val="Fotnotstextindrag"/>
        <w:spacing w:before="125"/>
      </w:pPr>
      <w:r w:rsidRPr="00F5723F">
        <w:rPr>
          <w:rStyle w:val="Fotnotsreferens"/>
          <w:sz w:val="20"/>
        </w:rPr>
        <w:footnoteRef/>
      </w:r>
      <w:r w:rsidRPr="00F5723F">
        <w:t xml:space="preserve"> Standardreferensen här är Mayhew (1974:5) som utgår från ett antagande om ”United States </w:t>
      </w:r>
      <w:r w:rsidRPr="00F5723F">
        <w:t>congres</w:t>
      </w:r>
      <w:r w:rsidRPr="00F5723F">
        <w:t>s</w:t>
      </w:r>
      <w:r w:rsidRPr="00F5723F">
        <w:t>men as single-minded seekers of reelection</w:t>
      </w:r>
      <w:r w:rsidRPr="00F5723F">
        <w:t>”</w:t>
      </w:r>
      <w:r w:rsidRPr="00F5723F">
        <w:t>; se även Arnold (1990) och naturligtvis Downs (1957). Motivet att bli återvald som förkla</w:t>
      </w:r>
      <w:r w:rsidRPr="00F5723F">
        <w:t>r</w:t>
      </w:r>
      <w:r w:rsidRPr="00F5723F">
        <w:t>ing till representanters politiska agerande kopplas reflexmässigt samman med cynism och egenintresse. Men det är samt</w:t>
      </w:r>
      <w:r w:rsidRPr="00F5723F">
        <w:t>i</w:t>
      </w:r>
      <w:r w:rsidRPr="00F5723F">
        <w:t>digt svårt att tänka sig en väl fungerande representativ demokrati med politiker som inte vill bli återvalda och som därmed inte kan ställas till ansvar inför väl</w:t>
      </w:r>
      <w:r w:rsidRPr="00F5723F">
        <w:t>jarna (se till exempel Patrik Ö</w:t>
      </w:r>
      <w:r w:rsidRPr="00F5723F">
        <w:t>h</w:t>
      </w:r>
      <w:r w:rsidRPr="00F5723F">
        <w:t xml:space="preserve">bergs kapitel i denna volym). </w:t>
      </w:r>
    </w:p>
  </w:footnote>
  <w:footnote w:id="145">
    <w:p w:rsidR="00B43C57" w:rsidRPr="00F5723F" w:rsidRDefault="00B43C57">
      <w:pPr>
        <w:pStyle w:val="Fotnotstextindrag"/>
      </w:pPr>
      <w:r w:rsidRPr="00F5723F">
        <w:rPr>
          <w:rStyle w:val="Fotnotsreferens"/>
        </w:rPr>
        <w:footnoteRef/>
      </w:r>
      <w:r w:rsidRPr="00F5723F">
        <w:t xml:space="preserve"> Valet av fokus för studien innebär åtminstone tre avgränsningar. För det första innebär fokuseringen på Sverige att vi den här gången avsäger oss jämförelser med andra politiska system och därmed också möjligheterna att studera effekter av vals</w:t>
      </w:r>
      <w:r w:rsidRPr="00F5723F">
        <w:t>y</w:t>
      </w:r>
      <w:r w:rsidRPr="00F5723F">
        <w:t>stem och andra konstitutionella arrangemang. För det andra intresserar vi oss här enbart för de indirekta möjlighete</w:t>
      </w:r>
      <w:r w:rsidRPr="00F5723F">
        <w:t>r</w:t>
      </w:r>
      <w:r w:rsidRPr="00F5723F">
        <w:t>na till medborgarinflytande via påtryckningar och bortser från direkt folkligt inflytande genom folkinitiativ och folko</w:t>
      </w:r>
      <w:r w:rsidRPr="00F5723F">
        <w:t>m</w:t>
      </w:r>
      <w:r w:rsidRPr="00F5723F">
        <w:t>röstningar. För det tredje, s</w:t>
      </w:r>
      <w:r w:rsidRPr="00F5723F">
        <w:t>lutligen, har vi valt bort underifrånperspektivet och därmed också den typ av empiri som handlar om hur medborgarna ser på politisk representation och dem</w:t>
      </w:r>
      <w:r w:rsidRPr="00F5723F">
        <w:t>o</w:t>
      </w:r>
      <w:r w:rsidRPr="00F5723F">
        <w:t>krati och om medborgarnas kontakter med och påverkan</w:t>
      </w:r>
      <w:r w:rsidRPr="00F5723F">
        <w:t>s</w:t>
      </w:r>
      <w:r w:rsidRPr="00F5723F">
        <w:t>försök riktade mot valda representanter. I detta tredje avseende hänvisas den intresserade till exempelvis Gil</w:t>
      </w:r>
      <w:r w:rsidRPr="00F5723F">
        <w:t>l</w:t>
      </w:r>
      <w:r w:rsidRPr="00F5723F">
        <w:t>jam &amp; Jodal 2002, Hibbing &amp; Theiss-Morse 2002 och Brothén 2006.</w:t>
      </w:r>
    </w:p>
  </w:footnote>
  <w:footnote w:id="146">
    <w:p w:rsidR="00B43C57" w:rsidRPr="00F5723F" w:rsidRDefault="00B43C57">
      <w:pPr>
        <w:pStyle w:val="Fotnotstextindrag"/>
        <w:spacing w:before="125"/>
      </w:pPr>
      <w:r w:rsidRPr="00F5723F">
        <w:rPr>
          <w:rStyle w:val="Fotnotsreferens"/>
          <w:sz w:val="20"/>
        </w:rPr>
        <w:footnoteRef/>
      </w:r>
      <w:r w:rsidRPr="00F5723F">
        <w:t xml:space="preserve"> Den undersökning om riksdagsarbetet och riksdagens arbetsformer som Rik</w:t>
      </w:r>
      <w:r w:rsidRPr="00F5723F">
        <w:t>s</w:t>
      </w:r>
      <w:r w:rsidRPr="00F5723F">
        <w:t xml:space="preserve">dagskommittén lät genomföra på våren 2004 bestod av två delar. Dels genomfördes en </w:t>
      </w:r>
      <w:r w:rsidRPr="00F5723F">
        <w:rPr>
          <w:i/>
        </w:rPr>
        <w:t>tidsbudgetstudie</w:t>
      </w:r>
      <w:r w:rsidRPr="00F5723F">
        <w:t xml:space="preserve"> där ledamöterna i dagbok</w:t>
      </w:r>
      <w:r w:rsidRPr="00F5723F">
        <w:t>s</w:t>
      </w:r>
      <w:r w:rsidRPr="00F5723F">
        <w:t>form fick notera i vilken utsträckning och vid vilken tidpunkt de ägnat sig åt olika</w:t>
      </w:r>
      <w:r w:rsidRPr="00F5723F">
        <w:t xml:space="preserve"> </w:t>
      </w:r>
      <w:r w:rsidRPr="00F5723F">
        <w:t xml:space="preserve">arbetsuppgifter, dels genomfördes en mindre </w:t>
      </w:r>
      <w:r w:rsidRPr="00F5723F">
        <w:rPr>
          <w:i/>
        </w:rPr>
        <w:t>enkätundersökning</w:t>
      </w:r>
      <w:r w:rsidRPr="00F5723F">
        <w:t>. Enkäten delades ut till samtliga under vecka 17 tjänstg</w:t>
      </w:r>
      <w:r w:rsidRPr="00F5723F">
        <w:t>ö</w:t>
      </w:r>
      <w:r w:rsidRPr="00F5723F">
        <w:t>rande ledamöter och ersättare</w:t>
      </w:r>
      <w:r w:rsidRPr="00F5723F">
        <w:t>,</w:t>
      </w:r>
      <w:r w:rsidRPr="00F5723F">
        <w:t xml:space="preserve"> och 281 av de 349 ledamöterna (81 procent) besvarade undersökningens 13 frågor </w:t>
      </w:r>
      <w:r w:rsidRPr="00F5723F">
        <w:t>(se Brothén 2005). Valforskningsprogrammet i Göteborg har genomfört sju rik</w:t>
      </w:r>
      <w:r w:rsidRPr="00F5723F">
        <w:t>s</w:t>
      </w:r>
      <w:r w:rsidRPr="00F5723F">
        <w:t>dagsundersökningar (1969, 1985, 1988, 1994, 1996, 1998 och 2002). Undersökningarna finns beskrivna i Brothén 2002 och Brothén 2005.</w:t>
      </w:r>
    </w:p>
  </w:footnote>
  <w:footnote w:id="147">
    <w:p w:rsidR="00B43C57" w:rsidRPr="00F5723F" w:rsidRDefault="00B43C57">
      <w:pPr>
        <w:pStyle w:val="Fotnotstextindrag"/>
      </w:pPr>
      <w:r w:rsidRPr="00F5723F">
        <w:rPr>
          <w:rStyle w:val="Fotnotsreferens"/>
        </w:rPr>
        <w:footnoteRef/>
      </w:r>
      <w:r w:rsidRPr="00F5723F">
        <w:t xml:space="preserve"> Med ett enda undantag har samliga partiers ledamöter vid samtliga sex undersö</w:t>
      </w:r>
      <w:r w:rsidRPr="00F5723F">
        <w:t>k</w:t>
      </w:r>
      <w:r w:rsidRPr="00F5723F">
        <w:t>ningstillfällen bedömt det som klart vi</w:t>
      </w:r>
      <w:r w:rsidRPr="00F5723F">
        <w:t>k</w:t>
      </w:r>
      <w:r w:rsidRPr="00F5723F">
        <w:t>tigare att representera partiets politik än att representera valkretsen. Undantaget är Ce</w:t>
      </w:r>
      <w:r w:rsidRPr="00F5723F">
        <w:t>n</w:t>
      </w:r>
      <w:r w:rsidRPr="00F5723F">
        <w:t>terpartiets riksdagsledamöter 2002 där 71 procent tyckte det var mycket viktigt att representera partiet medan 81 procent tycket det var mycket viktigt att represe</w:t>
      </w:r>
      <w:r w:rsidRPr="00F5723F">
        <w:t>n</w:t>
      </w:r>
      <w:r w:rsidRPr="00F5723F">
        <w:t>tera valkretsen. Värt att notera är också att den stabila andelen ledamöter som anser att det är viktigt att representera valkretsen dö</w:t>
      </w:r>
      <w:r w:rsidRPr="00F5723F">
        <w:t>l</w:t>
      </w:r>
      <w:r w:rsidRPr="00F5723F">
        <w:t>jer</w:t>
      </w:r>
      <w:r w:rsidRPr="00F5723F">
        <w:t xml:space="preserve"> stora förändringar över tid för enskilda partier som följer ett vänster–högermönster: För ledamöterna från Vänsterpartiet, Miljöpartiet och i någon mån Socialdemokraterna har det sedan 1980-talet blivit mindre viktigt att represe</w:t>
      </w:r>
      <w:r w:rsidRPr="00F5723F">
        <w:t>n</w:t>
      </w:r>
      <w:r w:rsidRPr="00F5723F">
        <w:t>tera den egna valkretsen, medan det för de borgerliga ledamöterna har blivit betydligt viktig</w:t>
      </w:r>
      <w:r w:rsidRPr="00F5723F">
        <w:t>a</w:t>
      </w:r>
      <w:r w:rsidRPr="00F5723F">
        <w:t>re att föra fram den egna reg</w:t>
      </w:r>
      <w:r w:rsidRPr="00F5723F">
        <w:t>i</w:t>
      </w:r>
      <w:r w:rsidRPr="00F5723F">
        <w:t>onens/valkretsens intressen och åsikter.</w:t>
      </w:r>
    </w:p>
  </w:footnote>
  <w:footnote w:id="148">
    <w:p w:rsidR="00B43C57" w:rsidRPr="00F5723F" w:rsidRDefault="00B43C57">
      <w:pPr>
        <w:pStyle w:val="Fotnotstextindrag"/>
      </w:pPr>
      <w:r w:rsidRPr="00F5723F">
        <w:rPr>
          <w:rStyle w:val="Fotnotsreferens"/>
        </w:rPr>
        <w:footnoteRef/>
      </w:r>
      <w:r w:rsidRPr="00F5723F">
        <w:t xml:space="preserve"> Den klart största nedgången när det gäller uppgiften </w:t>
      </w:r>
      <w:r w:rsidRPr="00F5723F">
        <w:rPr>
          <w:szCs w:val="24"/>
        </w:rPr>
        <w:t>att arbeta med problem för enskilda välj</w:t>
      </w:r>
      <w:r w:rsidRPr="00F5723F">
        <w:rPr>
          <w:szCs w:val="24"/>
        </w:rPr>
        <w:t>a</w:t>
      </w:r>
      <w:r w:rsidRPr="00F5723F">
        <w:rPr>
          <w:szCs w:val="24"/>
        </w:rPr>
        <w:t xml:space="preserve">re/människor </w:t>
      </w:r>
      <w:r w:rsidRPr="00F5723F">
        <w:t>återfinns bland de socialdemokratiska ledamöterna (från 53 procent 1985 till 28 procent 2002). Nedgången återfinns däremot inte bland Ce</w:t>
      </w:r>
      <w:r w:rsidRPr="00F5723F">
        <w:t>n</w:t>
      </w:r>
      <w:r w:rsidRPr="00F5723F">
        <w:t>terpartiets och Moderaternas ledamöter (49 procent 1985 och 52 procent 2002 r</w:t>
      </w:r>
      <w:r w:rsidRPr="00F5723F">
        <w:t>e</w:t>
      </w:r>
      <w:r w:rsidRPr="00F5723F">
        <w:t xml:space="preserve">spektive 41 procent 1985 och 44 procent 2002). </w:t>
      </w:r>
    </w:p>
  </w:footnote>
  <w:footnote w:id="149">
    <w:p w:rsidR="00B43C57" w:rsidRPr="00F5723F" w:rsidRDefault="00B43C57">
      <w:pPr>
        <w:pStyle w:val="Fotnotstextindrag"/>
      </w:pPr>
      <w:r w:rsidRPr="00F5723F">
        <w:rPr>
          <w:rStyle w:val="Fotnotsreferens"/>
        </w:rPr>
        <w:footnoteRef/>
      </w:r>
      <w:r w:rsidRPr="00F5723F">
        <w:t xml:space="preserve"> Frågorna om representationsprinciper ingick även i 1969 års riksdagsundersö</w:t>
      </w:r>
      <w:r w:rsidRPr="00F5723F">
        <w:t>k</w:t>
      </w:r>
      <w:r w:rsidRPr="00F5723F">
        <w:t>ning och på den tiden var det individprincipen och inte partiprincipen som var mest omhuldad: individprincipen 57 procent, part</w:t>
      </w:r>
      <w:r w:rsidRPr="00F5723F">
        <w:t>i</w:t>
      </w:r>
      <w:r w:rsidRPr="00F5723F">
        <w:t>principen 35 procent och väljarprincipen 8 procent (Holmberg &amp; Esaiasson 1988:49-51). Sören Hol</w:t>
      </w:r>
      <w:r w:rsidRPr="00F5723F">
        <w:t>m</w:t>
      </w:r>
      <w:r w:rsidRPr="00F5723F">
        <w:t>berg och Peter Esaiasson är dock skeptiska till de stora skillnaderna mellan 1969 och 1985 års undersö</w:t>
      </w:r>
      <w:r w:rsidRPr="00F5723F">
        <w:t>k</w:t>
      </w:r>
      <w:r w:rsidRPr="00F5723F">
        <w:t>ningar. Deras bedömning är att skillnaden till stor del beror på att 1969 års undersökning genomfördes i for</w:t>
      </w:r>
      <w:r w:rsidRPr="00F5723F">
        <w:t>m av personliga intervjuer med riksdagsledamöterna medan 1985 års undersökning (och de därefter följande) genomfördes med hjälp av postenkäter. Mot Holmbergs och Esaiassons metodologiska tolkning av fö</w:t>
      </w:r>
      <w:r w:rsidRPr="00F5723F">
        <w:t>r</w:t>
      </w:r>
      <w:r w:rsidRPr="00F5723F">
        <w:t>ändringen mellan 1969 och 1985 talar dock att både förändringen i riktning mot en mer positiv instäl</w:t>
      </w:r>
      <w:r w:rsidRPr="00F5723F">
        <w:t>l</w:t>
      </w:r>
      <w:r w:rsidRPr="00F5723F">
        <w:t>ning till partiprincipen mellan 1969 och 1985 och förändringen i riktning mot en mer negativ inställning till samma princip mellan 1985 och 2002 i stor utsträckning beror på fö</w:t>
      </w:r>
      <w:r w:rsidRPr="00F5723F">
        <w:t>r</w:t>
      </w:r>
      <w:r w:rsidRPr="00F5723F">
        <w:t>ändringar bland Moderata samling</w:t>
      </w:r>
      <w:r w:rsidRPr="00F5723F">
        <w:t>spartiets riksdagsledamöter: Det är svårt att ko</w:t>
      </w:r>
      <w:r w:rsidRPr="00F5723F">
        <w:t>m</w:t>
      </w:r>
      <w:r w:rsidRPr="00F5723F">
        <w:t>ma på någon bra förklaring till varför i första hand de moderata ledamöterna skulle svara annorlunda på intervjufrågor än på enkätfrågor, vilket indik</w:t>
      </w:r>
      <w:r w:rsidRPr="00F5723F">
        <w:t>e</w:t>
      </w:r>
      <w:r w:rsidRPr="00F5723F">
        <w:t xml:space="preserve">rar att m-ledamöternas syn på de olika representationsprinciperna faktiskt har förändrats. </w:t>
      </w:r>
    </w:p>
  </w:footnote>
  <w:footnote w:id="150">
    <w:p w:rsidR="00B43C57" w:rsidRPr="00F5723F" w:rsidRDefault="00B43C57">
      <w:pPr>
        <w:pStyle w:val="Fotnotstextindrag"/>
      </w:pPr>
      <w:r w:rsidRPr="00F5723F">
        <w:rPr>
          <w:rStyle w:val="Fotnotsreferens"/>
        </w:rPr>
        <w:footnoteRef/>
      </w:r>
      <w:r w:rsidRPr="00F5723F">
        <w:t xml:space="preserve"> Se till exempel Holmberg &amp; Esaiasson 1988:62, 172–175; Wallin m. fl. 1999:106.</w:t>
      </w:r>
    </w:p>
  </w:footnote>
  <w:footnote w:id="151">
    <w:p w:rsidR="00B43C57" w:rsidRPr="00F5723F" w:rsidRDefault="00B43C57">
      <w:pPr>
        <w:pStyle w:val="Fotnotstextindrag"/>
      </w:pPr>
      <w:r w:rsidRPr="00F5723F">
        <w:rPr>
          <w:rStyle w:val="Fotnotsreferens"/>
          <w:sz w:val="20"/>
        </w:rPr>
        <w:footnoteRef/>
      </w:r>
      <w:r w:rsidRPr="00F5723F">
        <w:t xml:space="preserve"> </w:t>
      </w:r>
      <w:r w:rsidRPr="00F5723F">
        <w:t>En anna</w:t>
      </w:r>
      <w:r w:rsidRPr="00F5723F">
        <w:t>n</w:t>
      </w:r>
      <w:r w:rsidRPr="00F5723F">
        <w:t xml:space="preserve"> möjlighet att kartlägga </w:t>
      </w:r>
      <w:r w:rsidRPr="00F5723F">
        <w:t>mellanvals</w:t>
      </w:r>
      <w:r w:rsidRPr="00F5723F">
        <w:t>kontakter</w:t>
      </w:r>
      <w:r w:rsidRPr="00F5723F">
        <w:t xml:space="preserve"> mellan väljare och valda är att fråga medborgarna om deras kontakter med olika grupper av förtroendevalda. </w:t>
      </w:r>
      <w:r w:rsidRPr="00F5723F">
        <w:t xml:space="preserve">Från sådana studier </w:t>
      </w:r>
      <w:r w:rsidRPr="00F5723F">
        <w:t>vet</w:t>
      </w:r>
      <w:r w:rsidRPr="00F5723F">
        <w:t xml:space="preserve"> vi att ungefär var tionde medborgare har någon form av pol</w:t>
      </w:r>
      <w:r w:rsidRPr="00F5723F">
        <w:t>i</w:t>
      </w:r>
      <w:r w:rsidRPr="00F5723F">
        <w:t>tikerkontakt (</w:t>
      </w:r>
      <w:r w:rsidRPr="00F5723F">
        <w:t xml:space="preserve">se t. ex. </w:t>
      </w:r>
      <w:r w:rsidRPr="00F5723F">
        <w:t>Gilljam &amp; Holmberg 1995:180</w:t>
      </w:r>
      <w:r w:rsidRPr="00F5723F">
        <w:t>;</w:t>
      </w:r>
      <w:r w:rsidRPr="00F5723F">
        <w:t xml:space="preserve"> Petersson m</w:t>
      </w:r>
      <w:r w:rsidRPr="00F5723F">
        <w:t>.</w:t>
      </w:r>
      <w:r w:rsidRPr="00F5723F">
        <w:t>fl</w:t>
      </w:r>
      <w:r w:rsidRPr="00F5723F">
        <w:t>.</w:t>
      </w:r>
      <w:r w:rsidRPr="00F5723F">
        <w:t xml:space="preserve"> 1998:53</w:t>
      </w:r>
      <w:r w:rsidRPr="00F5723F">
        <w:t>–62</w:t>
      </w:r>
      <w:r w:rsidRPr="00F5723F">
        <w:t xml:space="preserve">). När det gäller kontakter med </w:t>
      </w:r>
      <w:r w:rsidRPr="00F5723F">
        <w:t xml:space="preserve">just </w:t>
      </w:r>
      <w:r w:rsidRPr="00F5723F">
        <w:t xml:space="preserve">riksdagsledamöter bör vi därför förvänta oss något lägre nivåer. Dessutom tror vi att kontakterna är mer omfattande </w:t>
      </w:r>
      <w:r w:rsidRPr="00F5723F">
        <w:t xml:space="preserve">under </w:t>
      </w:r>
      <w:r w:rsidRPr="00F5723F">
        <w:t xml:space="preserve">valår jämfört med </w:t>
      </w:r>
      <w:r w:rsidRPr="00F5723F">
        <w:t>under icke v</w:t>
      </w:r>
      <w:r w:rsidRPr="00F5723F">
        <w:t>al</w:t>
      </w:r>
      <w:r w:rsidRPr="00F5723F">
        <w:t>år</w:t>
      </w:r>
      <w:r w:rsidRPr="00F5723F">
        <w:t xml:space="preserve"> (Brothén 2002)</w:t>
      </w:r>
      <w:r w:rsidRPr="00F5723F">
        <w:t>.</w:t>
      </w:r>
    </w:p>
  </w:footnote>
  <w:footnote w:id="152">
    <w:p w:rsidR="00B43C57" w:rsidRPr="00F5723F" w:rsidRDefault="00B43C57">
      <w:pPr>
        <w:pStyle w:val="Fotnotstextindrag"/>
      </w:pPr>
      <w:r w:rsidRPr="00F5723F">
        <w:rPr>
          <w:rStyle w:val="Fotnotsreferens"/>
          <w:sz w:val="20"/>
        </w:rPr>
        <w:footnoteRef/>
      </w:r>
      <w:r w:rsidRPr="00F5723F">
        <w:t xml:space="preserve"> Mönstret för de f</w:t>
      </w:r>
      <w:r w:rsidRPr="00F5723F">
        <w:t>aktiska kontakterna i tabell</w:t>
      </w:r>
      <w:r w:rsidRPr="00F5723F">
        <w:t xml:space="preserve"> återfinns även inom flertalet part</w:t>
      </w:r>
      <w:r w:rsidRPr="00F5723F">
        <w:t>i</w:t>
      </w:r>
      <w:r w:rsidRPr="00F5723F">
        <w:t>grupper. V</w:t>
      </w:r>
      <w:r w:rsidRPr="00F5723F">
        <w:t>änsterpartiets och framförallt M</w:t>
      </w:r>
      <w:r w:rsidRPr="00F5723F">
        <w:t>iljöpartiets ledam</w:t>
      </w:r>
      <w:r w:rsidRPr="00F5723F">
        <w:t>ö</w:t>
      </w:r>
      <w:r w:rsidRPr="00F5723F">
        <w:t>ter avviker dock från den generella bilden och uppger att de har mest daglig kontakt med väljare i allmä</w:t>
      </w:r>
      <w:r w:rsidRPr="00F5723F">
        <w:t>n</w:t>
      </w:r>
      <w:r w:rsidRPr="00F5723F">
        <w:t>het utanför valkresten och inte med det egna partiets väljare i valkresten eller med väljare i valkretsen allmänt.</w:t>
      </w:r>
    </w:p>
  </w:footnote>
  <w:footnote w:id="153">
    <w:p w:rsidR="00B43C57" w:rsidRPr="00F5723F" w:rsidRDefault="00B43C57">
      <w:pPr>
        <w:pStyle w:val="Fotnotstextindrag"/>
      </w:pPr>
      <w:r w:rsidRPr="00F5723F">
        <w:rPr>
          <w:rStyle w:val="Fotnotsreferens"/>
        </w:rPr>
        <w:footnoteRef/>
      </w:r>
      <w:r w:rsidRPr="00F5723F">
        <w:t xml:space="preserve"> SOU 1986:27, s. 19. </w:t>
      </w:r>
    </w:p>
  </w:footnote>
  <w:footnote w:id="154">
    <w:p w:rsidR="00B43C57" w:rsidRPr="00F5723F" w:rsidRDefault="00B43C57">
      <w:pPr>
        <w:pStyle w:val="Fotnotstextindrag"/>
      </w:pPr>
      <w:r w:rsidRPr="00F5723F">
        <w:rPr>
          <w:rStyle w:val="Fotnotsreferens"/>
          <w:sz w:val="20"/>
        </w:rPr>
        <w:footnoteRef/>
      </w:r>
      <w:r w:rsidRPr="00F5723F">
        <w:t xml:space="preserve"> </w:t>
      </w:r>
      <w:r w:rsidRPr="00F5723F">
        <w:rPr>
          <w:szCs w:val="24"/>
        </w:rPr>
        <w:t>Brothén 2005. I den</w:t>
      </w:r>
      <w:r w:rsidRPr="00F5723F">
        <w:rPr>
          <w:szCs w:val="24"/>
        </w:rPr>
        <w:t>na</w:t>
      </w:r>
      <w:r w:rsidRPr="00F5723F">
        <w:rPr>
          <w:szCs w:val="24"/>
        </w:rPr>
        <w:t xml:space="preserve"> kategori av arbetsuppgifter ingår även att svara på brev och, i 2004 års unde</w:t>
      </w:r>
      <w:r w:rsidRPr="00F5723F">
        <w:rPr>
          <w:szCs w:val="24"/>
        </w:rPr>
        <w:t>r</w:t>
      </w:r>
      <w:r w:rsidRPr="00F5723F">
        <w:rPr>
          <w:szCs w:val="24"/>
        </w:rPr>
        <w:t>sökning, att svara på e-postbrev.</w:t>
      </w:r>
      <w:r w:rsidRPr="00F5723F">
        <w:rPr>
          <w:szCs w:val="24"/>
        </w:rPr>
        <w:t xml:space="preserve"> </w:t>
      </w:r>
    </w:p>
  </w:footnote>
  <w:footnote w:id="155">
    <w:p w:rsidR="00B43C57" w:rsidRPr="00F5723F" w:rsidRDefault="00B43C57">
      <w:pPr>
        <w:pStyle w:val="Fotnotstextindrag"/>
      </w:pPr>
      <w:r w:rsidRPr="00F5723F">
        <w:rPr>
          <w:rStyle w:val="Fotnotsreferens"/>
        </w:rPr>
        <w:footnoteRef/>
      </w:r>
      <w:r w:rsidRPr="00F5723F">
        <w:t xml:space="preserve"> </w:t>
      </w:r>
      <w:r w:rsidRPr="00F5723F">
        <w:t>Brothén 2005;</w:t>
      </w:r>
      <w:r w:rsidRPr="00F5723F">
        <w:t xml:space="preserve"> förslag 1975/76:15, s. 78; förslag 1978/79:15.</w:t>
      </w:r>
    </w:p>
  </w:footnote>
  <w:footnote w:id="156">
    <w:p w:rsidR="00B43C57" w:rsidRPr="00F5723F" w:rsidRDefault="00B43C57">
      <w:pPr>
        <w:pStyle w:val="Fotnotstextindrag"/>
      </w:pPr>
      <w:r w:rsidRPr="00F5723F">
        <w:rPr>
          <w:rStyle w:val="Fotnotsreferens"/>
        </w:rPr>
        <w:footnoteRef/>
      </w:r>
      <w:r w:rsidRPr="00F5723F">
        <w:t xml:space="preserve"> Brothén 2005. </w:t>
      </w:r>
    </w:p>
  </w:footnote>
  <w:footnote w:id="157">
    <w:p w:rsidR="00B43C57" w:rsidRPr="00F5723F" w:rsidRDefault="00B43C57">
      <w:pPr>
        <w:pStyle w:val="Fotnotstextindrag"/>
      </w:pPr>
      <w:r w:rsidRPr="00F5723F">
        <w:rPr>
          <w:rStyle w:val="Fotnotsreferens"/>
        </w:rPr>
        <w:footnoteRef/>
      </w:r>
      <w:r w:rsidRPr="00F5723F">
        <w:t xml:space="preserve"> Se till exempel Roth 1996; Teorell 1998; Isberg 1999. </w:t>
      </w:r>
    </w:p>
  </w:footnote>
  <w:footnote w:id="158">
    <w:p w:rsidR="00B43C57" w:rsidRPr="00F5723F" w:rsidRDefault="00B43C57">
      <w:pPr>
        <w:pStyle w:val="Fotnotstextindrag"/>
        <w:rPr>
          <w:szCs w:val="24"/>
        </w:rPr>
      </w:pPr>
      <w:r w:rsidRPr="00F5723F">
        <w:rPr>
          <w:rStyle w:val="Fotnotsreferens"/>
        </w:rPr>
        <w:footnoteRef/>
      </w:r>
      <w:r w:rsidRPr="00F5723F">
        <w:rPr>
          <w:rStyle w:val="Fotnotsreferens"/>
        </w:rPr>
        <w:t xml:space="preserve"> </w:t>
      </w:r>
      <w:r w:rsidRPr="00F5723F">
        <w:t>Tudelningen mellan sändare och mottagare återkommer också i den politiska m</w:t>
      </w:r>
      <w:r w:rsidRPr="00F5723F">
        <w:t>e</w:t>
      </w:r>
      <w:r w:rsidRPr="00F5723F">
        <w:t xml:space="preserve">moarlitteraturen. Ett exempel är boken </w:t>
      </w:r>
      <w:r w:rsidRPr="00F5723F">
        <w:rPr>
          <w:i/>
        </w:rPr>
        <w:t xml:space="preserve">Med mina ord </w:t>
      </w:r>
      <w:r w:rsidRPr="00F5723F">
        <w:t>där Mona Sahlin diskuterar den spänning som finns mellan de båda uppgifterna: ”Våra olika bilder av samma pr</w:t>
      </w:r>
      <w:r w:rsidRPr="00F5723F">
        <w:t>o</w:t>
      </w:r>
      <w:r w:rsidRPr="00F5723F">
        <w:t>blem tror jag beror på vilken roll man tar på sig när man åker ut på besök. Många verkar lära sig hur en lag eller regel fungerar och beger sig sedan ut för att fö</w:t>
      </w:r>
      <w:r w:rsidRPr="00F5723F">
        <w:t>r</w:t>
      </w:r>
      <w:r w:rsidRPr="00F5723F">
        <w:t>klara varför det ser ut som det gör. Försvara, med andra ord. Andra, och jag tror att jag efter hand kom att t</w:t>
      </w:r>
      <w:r w:rsidRPr="00F5723F">
        <w:t>illhöra denna grupp, åker ut för att höra och se hur det är – och sedan fundera på om de nya kunskaperna borde leda till krav på fö</w:t>
      </w:r>
      <w:r w:rsidRPr="00F5723F">
        <w:t>r</w:t>
      </w:r>
      <w:r w:rsidRPr="00F5723F">
        <w:t>ändring eller inte. Det är så lätt</w:t>
      </w:r>
      <w:r w:rsidRPr="00F5723F">
        <w:t xml:space="preserve"> att hamna i försvarsrollen. Dem</w:t>
      </w:r>
      <w:r w:rsidRPr="00F5723F">
        <w:t xml:space="preserve"> man möter fr</w:t>
      </w:r>
      <w:r w:rsidRPr="00F5723F">
        <w:t>å</w:t>
      </w:r>
      <w:r w:rsidRPr="00F5723F">
        <w:t>gar hela tiden varför det ser ut som det gör – och man tar på sig rollen att förklara. Men en politikers uppgift kan inte bara vara att förklara sakernas tillstånd. Man måste också vara öppen för att se vad som beh</w:t>
      </w:r>
      <w:r w:rsidRPr="00F5723F">
        <w:t>ö</w:t>
      </w:r>
      <w:r w:rsidRPr="00F5723F">
        <w:t>ver förändras” (Sahlin 1996:77).</w:t>
      </w:r>
      <w:r w:rsidRPr="00F5723F">
        <w:rPr>
          <w:szCs w:val="24"/>
        </w:rPr>
        <w:t xml:space="preserve"> </w:t>
      </w:r>
    </w:p>
  </w:footnote>
  <w:footnote w:id="159">
    <w:p w:rsidR="00B43C57" w:rsidRPr="00F5723F" w:rsidRDefault="00B43C57">
      <w:pPr>
        <w:pStyle w:val="Fotnotstextindrag"/>
      </w:pPr>
      <w:r w:rsidRPr="00F5723F">
        <w:rPr>
          <w:rStyle w:val="Fotnotsreferens"/>
        </w:rPr>
        <w:footnoteRef/>
      </w:r>
      <w:r w:rsidRPr="00F5723F">
        <w:t xml:space="preserve"> ”Mer utåtriktat arbete, där man kan diskutera frågor som behandlas i riksdagen”, är ett typiskt svar i kategorin sändarrollen. ”Fler möten i valkretsen. Studiebesök inom olika verksamheter och möten med människor för att LYS</w:t>
      </w:r>
      <w:r w:rsidRPr="00F5723F">
        <w:t>S</w:t>
      </w:r>
      <w:r w:rsidRPr="00F5723F">
        <w:t>NA och LÄRA, inte så mycket för att själv tala och berätta” är ett typiskt svar i kategorin mottagarrollen.</w:t>
      </w:r>
    </w:p>
  </w:footnote>
  <w:footnote w:id="160">
    <w:p w:rsidR="00B43C57" w:rsidRPr="00F5723F" w:rsidRDefault="00B43C57">
      <w:pPr>
        <w:pStyle w:val="Fotnotstextindrag"/>
      </w:pPr>
      <w:r w:rsidRPr="00F5723F">
        <w:rPr>
          <w:rStyle w:val="Fotnotsreferens"/>
        </w:rPr>
        <w:footnoteRef/>
      </w:r>
      <w:r w:rsidRPr="00F5723F">
        <w:t xml:space="preserve"> </w:t>
      </w:r>
      <w:r w:rsidRPr="00F5723F">
        <w:rPr>
          <w:szCs w:val="24"/>
        </w:rPr>
        <w:t>De moderata riksdagsledamöterna avviker här genom att inte på samma tydliga sätt betona tvåväg</w:t>
      </w:r>
      <w:r w:rsidRPr="00F5723F">
        <w:rPr>
          <w:szCs w:val="24"/>
        </w:rPr>
        <w:t>s</w:t>
      </w:r>
      <w:r w:rsidRPr="00F5723F">
        <w:rPr>
          <w:szCs w:val="24"/>
        </w:rPr>
        <w:t>kommunikationen: De moderata ledamöterna bedömer uppgiften att informeras om valkretsproblemen som betydligt viktigare än uppgiften att info</w:t>
      </w:r>
      <w:r w:rsidRPr="00F5723F">
        <w:rPr>
          <w:szCs w:val="24"/>
        </w:rPr>
        <w:t>r</w:t>
      </w:r>
      <w:r w:rsidRPr="00F5723F">
        <w:rPr>
          <w:szCs w:val="24"/>
        </w:rPr>
        <w:t>mera om riksdagsarbetet (88 procent mycket viktig mot 32). Resultatet går tvärs emot de tidigare nämnda studierna av riksdagsveteraner från olika partier (Isberg 1999) respektive den interna partidemokratin inom Moderaterna och Socialdemokraterna (Teorell 1998) där Moderater</w:t>
      </w:r>
      <w:r w:rsidRPr="00F5723F">
        <w:rPr>
          <w:szCs w:val="24"/>
        </w:rPr>
        <w:t>na istället betonar sändarrollen. Det är svårt att ha en b</w:t>
      </w:r>
      <w:r w:rsidRPr="00F5723F">
        <w:rPr>
          <w:szCs w:val="24"/>
        </w:rPr>
        <w:t>e</w:t>
      </w:r>
      <w:r w:rsidRPr="00F5723F">
        <w:rPr>
          <w:szCs w:val="24"/>
        </w:rPr>
        <w:t>stämd uppfattning om varför resultaten pekar i olika riktningar.</w:t>
      </w:r>
    </w:p>
  </w:footnote>
  <w:footnote w:id="161">
    <w:p w:rsidR="00B43C57" w:rsidRPr="00F5723F" w:rsidRDefault="00B43C57">
      <w:pPr>
        <w:pStyle w:val="Fotnotstextindrag"/>
      </w:pPr>
      <w:r w:rsidRPr="00F5723F">
        <w:rPr>
          <w:rStyle w:val="Fotnotsreferens"/>
          <w:rFonts w:ascii="Garamond" w:hAnsi="Garamond"/>
        </w:rPr>
        <w:footnoteRef/>
      </w:r>
      <w:r w:rsidRPr="00F5723F">
        <w:t xml:space="preserve"> För kommentarer till denna forskningsöversikt tackas särskilt doktorand Christina Aln</w:t>
      </w:r>
      <w:r w:rsidRPr="00F5723F">
        <w:t>e</w:t>
      </w:r>
      <w:r w:rsidRPr="00F5723F">
        <w:t xml:space="preserve">vall, </w:t>
      </w:r>
      <w:r w:rsidRPr="00F5723F">
        <w:t xml:space="preserve">Stockholms universitet, </w:t>
      </w:r>
      <w:r w:rsidRPr="00F5723F">
        <w:t xml:space="preserve">professor Drude Dahlerup, </w:t>
      </w:r>
      <w:r w:rsidRPr="00F5723F">
        <w:t xml:space="preserve">Stockholms universitet, </w:t>
      </w:r>
      <w:r w:rsidRPr="00F5723F">
        <w:t xml:space="preserve">docent Lena Wängnerud, </w:t>
      </w:r>
      <w:r w:rsidRPr="00F5723F">
        <w:t>Göteborgs universitet samt fil.dr Martin Brothén, Sveriges riksdag.</w:t>
      </w:r>
    </w:p>
  </w:footnote>
  <w:footnote w:id="162">
    <w:p w:rsidR="00B43C57" w:rsidRPr="00F5723F" w:rsidRDefault="00B43C57">
      <w:pPr>
        <w:pStyle w:val="Fotnotstextindrag"/>
      </w:pPr>
      <w:r w:rsidRPr="00F5723F">
        <w:rPr>
          <w:rStyle w:val="Fotnotsreferens"/>
          <w:rFonts w:ascii="Garamond" w:hAnsi="Garamond"/>
        </w:rPr>
        <w:footnoteRef/>
      </w:r>
      <w:r w:rsidRPr="00F5723F">
        <w:t xml:space="preserve"> Sverige</w:t>
      </w:r>
      <w:r w:rsidRPr="00F5723F">
        <w:t xml:space="preserve"> med 45 procent kvinnor i riksdagen</w:t>
      </w:r>
      <w:r w:rsidRPr="00F5723F">
        <w:t xml:space="preserve"> är nummer två på världsrank</w:t>
      </w:r>
      <w:r w:rsidRPr="00F5723F">
        <w:t>n</w:t>
      </w:r>
      <w:r w:rsidRPr="00F5723F">
        <w:t>ing</w:t>
      </w:r>
      <w:r w:rsidRPr="00F5723F">
        <w:t>s</w:t>
      </w:r>
      <w:r w:rsidRPr="00F5723F">
        <w:t>li</w:t>
      </w:r>
      <w:r w:rsidRPr="00F5723F">
        <w:t>s</w:t>
      </w:r>
      <w:r w:rsidRPr="00F5723F">
        <w:t>tan när det gäller kvinnors politiska representation i nationella parlament. Rwanda</w:t>
      </w:r>
      <w:r w:rsidRPr="00F5723F">
        <w:t>, med 49 procent kvinnor i sitt parlament,</w:t>
      </w:r>
      <w:r w:rsidRPr="00F5723F">
        <w:t xml:space="preserve"> övertog Sverige</w:t>
      </w:r>
      <w:r w:rsidRPr="00F5723F">
        <w:t>s</w:t>
      </w:r>
      <w:r w:rsidRPr="00F5723F">
        <w:t xml:space="preserve"> förstaplats </w:t>
      </w:r>
      <w:r w:rsidRPr="00F5723F">
        <w:t>2003, bland annat b</w:t>
      </w:r>
      <w:r w:rsidRPr="00F5723F">
        <w:t>e</w:t>
      </w:r>
      <w:r w:rsidRPr="00F5723F">
        <w:t>roende på lagstiftning om könskvotering</w:t>
      </w:r>
      <w:r w:rsidRPr="00F5723F">
        <w:t>.</w:t>
      </w:r>
      <w:r w:rsidRPr="00F5723F">
        <w:t xml:space="preserve"> Det internationella genomsnittet ligger på 15 procent kvinnor och 85 procent män i nationella parlament. www.ipu.org.</w:t>
      </w:r>
    </w:p>
  </w:footnote>
  <w:footnote w:id="163">
    <w:p w:rsidR="00B43C57" w:rsidRPr="00F5723F" w:rsidRDefault="00B43C57">
      <w:pPr>
        <w:pStyle w:val="Fotnotstextindrag"/>
      </w:pPr>
      <w:r w:rsidRPr="00F5723F">
        <w:rPr>
          <w:rStyle w:val="Fotnotsreferens"/>
          <w:rFonts w:ascii="Garamond" w:hAnsi="Garamond"/>
        </w:rPr>
        <w:footnoteRef/>
      </w:r>
      <w:r w:rsidRPr="00F5723F">
        <w:t xml:space="preserve"> </w:t>
      </w:r>
      <w:r w:rsidRPr="00F5723F">
        <w:rPr>
          <w:i/>
        </w:rPr>
        <w:t>15 förslag för en jämställd riksdag –</w:t>
      </w:r>
      <w:r w:rsidRPr="00F5723F">
        <w:rPr>
          <w:i/>
        </w:rPr>
        <w:t xml:space="preserve"> </w:t>
      </w:r>
      <w:r w:rsidRPr="00F5723F">
        <w:rPr>
          <w:i/>
        </w:rPr>
        <w:t>rapport från arbetsgruppen för en jämställd riksdag</w:t>
      </w:r>
      <w:r w:rsidRPr="00F5723F">
        <w:t>. Sverige r</w:t>
      </w:r>
      <w:r w:rsidRPr="00F5723F">
        <w:t>iksdag</w:t>
      </w:r>
      <w:r w:rsidRPr="00F5723F">
        <w:t xml:space="preserve"> 2004 (Utredningar från riksdagsförvaltningen 2004/05: URF1)</w:t>
      </w:r>
      <w:r w:rsidRPr="00F5723F">
        <w:t>.</w:t>
      </w:r>
    </w:p>
  </w:footnote>
  <w:footnote w:id="164">
    <w:p w:rsidR="00B43C57" w:rsidRPr="00F5723F" w:rsidRDefault="00B43C57">
      <w:pPr>
        <w:pStyle w:val="Fotnotstextindrag"/>
      </w:pPr>
      <w:r w:rsidRPr="00F5723F">
        <w:rPr>
          <w:rStyle w:val="Fotnotsreferens"/>
          <w:rFonts w:ascii="Garamond" w:hAnsi="Garamond"/>
        </w:rPr>
        <w:footnoteRef/>
      </w:r>
      <w:r w:rsidRPr="00F5723F">
        <w:t xml:space="preserve"> Sökningar har gjorts i databaserna Social Science Citatio</w:t>
      </w:r>
      <w:r w:rsidRPr="00F5723F">
        <w:t>n Index,</w:t>
      </w:r>
      <w:r w:rsidRPr="00F5723F">
        <w:t xml:space="preserve"> de svenska un</w:t>
      </w:r>
      <w:r w:rsidRPr="00F5723F">
        <w:t>i</w:t>
      </w:r>
      <w:r w:rsidRPr="00F5723F">
        <w:t>versitet</w:t>
      </w:r>
      <w:r w:rsidRPr="00F5723F">
        <w:t>s</w:t>
      </w:r>
      <w:r w:rsidRPr="00F5723F">
        <w:t>biblioteke</w:t>
      </w:r>
      <w:r w:rsidRPr="00F5723F">
        <w:t xml:space="preserve">ns gemensamma katalog Libris, </w:t>
      </w:r>
      <w:r w:rsidRPr="00F5723F">
        <w:t>Kvinnohistoriska samlingarnas katalog Kvinnsam</w:t>
      </w:r>
      <w:r w:rsidRPr="00F5723F">
        <w:t>, Gena samt Femdok</w:t>
      </w:r>
      <w:r w:rsidRPr="00F5723F">
        <w:t>.</w:t>
      </w:r>
      <w:r w:rsidRPr="00F5723F">
        <w:t xml:space="preserve"> Sökningar har även gjorts i databaserna K</w:t>
      </w:r>
      <w:r w:rsidRPr="00F5723F">
        <w:t>o</w:t>
      </w:r>
      <w:r w:rsidRPr="00F5723F">
        <w:t>ordinationen för könsforskning i Danmark och den norska databasen Kjönnsmakt.</w:t>
      </w:r>
    </w:p>
  </w:footnote>
  <w:footnote w:id="165">
    <w:p w:rsidR="00B43C57" w:rsidRPr="00F5723F" w:rsidRDefault="00B43C57">
      <w:pPr>
        <w:pStyle w:val="Fotnotstextindrag"/>
      </w:pPr>
      <w:r w:rsidRPr="00F5723F">
        <w:rPr>
          <w:rStyle w:val="Fotnotsreferens"/>
          <w:rFonts w:ascii="Garamond" w:hAnsi="Garamond"/>
        </w:rPr>
        <w:footnoteRef/>
      </w:r>
      <w:r w:rsidRPr="00F5723F">
        <w:t xml:space="preserve"> Det bör även noteras att Femdoks databaser sedan en tid tillbaka inte uppdateras.</w:t>
      </w:r>
    </w:p>
  </w:footnote>
  <w:footnote w:id="166">
    <w:p w:rsidR="00B43C57" w:rsidRPr="00F5723F" w:rsidRDefault="00B43C57">
      <w:pPr>
        <w:pStyle w:val="Fotnotstextindrag"/>
      </w:pPr>
      <w:r w:rsidRPr="00F5723F">
        <w:rPr>
          <w:rStyle w:val="Fotnotsreferens"/>
          <w:rFonts w:ascii="Garamond" w:hAnsi="Garamond"/>
        </w:rPr>
        <w:footnoteRef/>
      </w:r>
      <w:r w:rsidRPr="00F5723F">
        <w:t xml:space="preserve"> För en översikt över </w:t>
      </w:r>
      <w:r w:rsidRPr="00F5723F">
        <w:t xml:space="preserve">svensk statsvetenskaplig </w:t>
      </w:r>
      <w:r w:rsidRPr="00F5723F">
        <w:t>forsknin</w:t>
      </w:r>
      <w:r w:rsidRPr="00F5723F">
        <w:t>g om politik och genus</w:t>
      </w:r>
      <w:r w:rsidRPr="00F5723F">
        <w:t xml:space="preserve">, se </w:t>
      </w:r>
      <w:r w:rsidRPr="00F5723F">
        <w:t>till exempel</w:t>
      </w:r>
      <w:r w:rsidRPr="00F5723F">
        <w:t xml:space="preserve"> Christer Jönsson red. (2001), </w:t>
      </w:r>
      <w:r w:rsidRPr="00F5723F">
        <w:rPr>
          <w:i/>
        </w:rPr>
        <w:t>Rösträtten 80 år – forskarantologi,</w:t>
      </w:r>
      <w:r w:rsidRPr="00F5723F">
        <w:t xml:space="preserve"> Stoc</w:t>
      </w:r>
      <w:r w:rsidRPr="00F5723F">
        <w:t>k</w:t>
      </w:r>
      <w:r w:rsidRPr="00F5723F">
        <w:t>holm: Justitiedepart</w:t>
      </w:r>
      <w:r w:rsidRPr="00F5723F">
        <w:t>e</w:t>
      </w:r>
      <w:r w:rsidRPr="00F5723F">
        <w:t xml:space="preserve">mentet. För en nordisk översikt över </w:t>
      </w:r>
      <w:r w:rsidRPr="00F5723F">
        <w:t xml:space="preserve">statsvetenskaplig </w:t>
      </w:r>
      <w:r w:rsidRPr="00F5723F">
        <w:t xml:space="preserve">forskning om politik och genus, se </w:t>
      </w:r>
      <w:r w:rsidRPr="00F5723F">
        <w:t>till exempel</w:t>
      </w:r>
      <w:r w:rsidRPr="00F5723F">
        <w:t xml:space="preserve"> Christina Bergqvist red. (1999), </w:t>
      </w:r>
      <w:r w:rsidRPr="00F5723F">
        <w:rPr>
          <w:i/>
        </w:rPr>
        <w:t>Likestilte d</w:t>
      </w:r>
      <w:r w:rsidRPr="00F5723F">
        <w:rPr>
          <w:i/>
        </w:rPr>
        <w:t>e</w:t>
      </w:r>
      <w:r w:rsidRPr="00F5723F">
        <w:rPr>
          <w:i/>
        </w:rPr>
        <w:t>mokratier? Kjø</w:t>
      </w:r>
      <w:r w:rsidRPr="00F5723F">
        <w:rPr>
          <w:i/>
        </w:rPr>
        <w:t>nn og politikk i Norden</w:t>
      </w:r>
      <w:r w:rsidRPr="00F5723F">
        <w:t>, Oslo: Univers</w:t>
      </w:r>
      <w:r w:rsidRPr="00F5723F">
        <w:t>i</w:t>
      </w:r>
      <w:r w:rsidRPr="00F5723F">
        <w:t>tetsforlaget,</w:t>
      </w:r>
      <w:r w:rsidRPr="00F5723F">
        <w:t xml:space="preserve"> Lauri Karvonen och Per Selle red. </w:t>
      </w:r>
      <w:r w:rsidRPr="00F5723F">
        <w:t xml:space="preserve">(1995), </w:t>
      </w:r>
      <w:r w:rsidRPr="00F5723F">
        <w:rPr>
          <w:i/>
        </w:rPr>
        <w:t>Women in Nordic Politics. Closing the Gap</w:t>
      </w:r>
      <w:r w:rsidRPr="00F5723F">
        <w:t>,</w:t>
      </w:r>
      <w:r w:rsidRPr="00F5723F">
        <w:t xml:space="preserve"> Aldershot: </w:t>
      </w:r>
      <w:smartTag w:uri="urn:schemas-microsoft-com:office:smarttags" w:element="City">
        <w:r w:rsidRPr="00F5723F">
          <w:t>Dartmouth</w:t>
        </w:r>
      </w:smartTag>
      <w:r w:rsidRPr="00F5723F">
        <w:t xml:space="preserve"> sam</w:t>
      </w:r>
      <w:r w:rsidRPr="00F5723F">
        <w:t xml:space="preserve">t Elina Haavior-Mannila et al (1985), </w:t>
      </w:r>
      <w:r w:rsidRPr="00F5723F">
        <w:rPr>
          <w:i/>
        </w:rPr>
        <w:t>Unfinished Demo</w:t>
      </w:r>
      <w:r w:rsidRPr="00F5723F">
        <w:rPr>
          <w:i/>
        </w:rPr>
        <w:t>cracy: Women in Nordic Pol</w:t>
      </w:r>
      <w:r w:rsidRPr="00F5723F">
        <w:rPr>
          <w:i/>
        </w:rPr>
        <w:t>i</w:t>
      </w:r>
      <w:r w:rsidRPr="00F5723F">
        <w:rPr>
          <w:i/>
        </w:rPr>
        <w:t>tics,</w:t>
      </w:r>
      <w:r w:rsidRPr="00F5723F">
        <w:t xml:space="preserve"> </w:t>
      </w:r>
      <w:smartTag w:uri="urn:schemas-microsoft-com:office:smarttags" w:element="place">
        <w:smartTag w:uri="urn:schemas-microsoft-com:office:smarttags" w:element="State">
          <w:r w:rsidRPr="00F5723F">
            <w:t>New York</w:t>
          </w:r>
        </w:smartTag>
      </w:smartTag>
      <w:r w:rsidRPr="00F5723F">
        <w:t>: Pergamon.</w:t>
      </w:r>
    </w:p>
  </w:footnote>
  <w:footnote w:id="167">
    <w:p w:rsidR="00B43C57" w:rsidRPr="00F5723F" w:rsidRDefault="00B43C57">
      <w:pPr>
        <w:pStyle w:val="Fotnotstextindrag"/>
      </w:pPr>
      <w:r w:rsidRPr="00F5723F">
        <w:rPr>
          <w:rStyle w:val="Fotnotsreferens"/>
        </w:rPr>
        <w:footnoteRef/>
      </w:r>
      <w:r w:rsidRPr="00F5723F">
        <w:t xml:space="preserve"> Stinchcombe (196</w:t>
      </w:r>
      <w:r w:rsidRPr="00F5723F">
        <w:t>8) s</w:t>
      </w:r>
      <w:r w:rsidRPr="00F5723F">
        <w:t>. 182.</w:t>
      </w:r>
    </w:p>
  </w:footnote>
  <w:footnote w:id="168">
    <w:p w:rsidR="00B43C57" w:rsidRPr="00F5723F" w:rsidRDefault="00B43C57">
      <w:pPr>
        <w:pStyle w:val="Fotnotstextindrag"/>
      </w:pPr>
      <w:r w:rsidRPr="00F5723F">
        <w:rPr>
          <w:rStyle w:val="Fotnotsreferens"/>
        </w:rPr>
        <w:footnoteRef/>
      </w:r>
      <w:r w:rsidRPr="00F5723F">
        <w:t xml:space="preserve"> </w:t>
      </w:r>
      <w:r w:rsidRPr="00F5723F">
        <w:t>Från och med 1990-talet gjordes ett antal särskilda satsningar på genusforskning från statligt håll i propositi</w:t>
      </w:r>
      <w:r w:rsidRPr="00F5723F">
        <w:t>onerna Forskning och samhälle (p</w:t>
      </w:r>
      <w:r w:rsidRPr="00F5723F">
        <w:t>rop</w:t>
      </w:r>
      <w:r w:rsidRPr="00F5723F">
        <w:t>.</w:t>
      </w:r>
      <w:r w:rsidRPr="00F5723F">
        <w:t xml:space="preserve"> 1996/97:5</w:t>
      </w:r>
      <w:r w:rsidRPr="00F5723F">
        <w:t>) och Forskning och förnyelse (p</w:t>
      </w:r>
      <w:r w:rsidRPr="00F5723F">
        <w:t>rop. 2000/01:3). De sex specialdestinerade genusprofess</w:t>
      </w:r>
      <w:r w:rsidRPr="00F5723F">
        <w:t>u</w:t>
      </w:r>
      <w:r w:rsidRPr="00F5723F">
        <w:t>rerna, Natione</w:t>
      </w:r>
      <w:r w:rsidRPr="00F5723F">
        <w:t>l</w:t>
      </w:r>
      <w:r w:rsidRPr="00F5723F">
        <w:t>la sekretariatet för genusforskning, Tema Genus och Genusskolan är alla exempel på sådana satsningar. Syftet var att stärka genusforskningen som ansågs bidra med ny kunskap inom vetenskapssamhället och med kunskap som kan anvä</w:t>
      </w:r>
      <w:r w:rsidRPr="00F5723F">
        <w:t>n</w:t>
      </w:r>
      <w:r w:rsidRPr="00F5723F">
        <w:t>das</w:t>
      </w:r>
      <w:r w:rsidRPr="00F5723F">
        <w:t xml:space="preserve"> </w:t>
      </w:r>
      <w:r w:rsidRPr="00F5723F">
        <w:t>i jämställdhetspolit</w:t>
      </w:r>
      <w:r w:rsidRPr="00F5723F">
        <w:t>i</w:t>
      </w:r>
      <w:r w:rsidRPr="00F5723F">
        <w:t>ken.</w:t>
      </w:r>
    </w:p>
  </w:footnote>
  <w:footnote w:id="169">
    <w:p w:rsidR="00B43C57" w:rsidRPr="00F5723F" w:rsidRDefault="00B43C57">
      <w:pPr>
        <w:pStyle w:val="Fotnotstextindrag"/>
      </w:pPr>
      <w:r w:rsidRPr="00F5723F">
        <w:rPr>
          <w:rStyle w:val="Fotnotsreferens"/>
          <w:rFonts w:ascii="Garamond" w:hAnsi="Garamond"/>
        </w:rPr>
        <w:footnoteRef/>
      </w:r>
      <w:r w:rsidRPr="00F5723F">
        <w:t xml:space="preserve"> För aktuell läsning om genusforskning, dess frågor och villko</w:t>
      </w:r>
      <w:r w:rsidRPr="00F5723F">
        <w:t>r, se till exempel Britt-Marie Thurén red. (2002)</w:t>
      </w:r>
      <w:r w:rsidRPr="00F5723F">
        <w:t xml:space="preserve">, </w:t>
      </w:r>
      <w:r w:rsidRPr="00F5723F">
        <w:rPr>
          <w:i/>
        </w:rPr>
        <w:t>Genusvägar – en antologi om genusforsknin</w:t>
      </w:r>
      <w:r w:rsidRPr="00F5723F">
        <w:t>g, Malmö: Liber</w:t>
      </w:r>
      <w:r w:rsidRPr="00F5723F">
        <w:t>, Britt-Marie Thurén</w:t>
      </w:r>
      <w:r w:rsidRPr="00F5723F">
        <w:t xml:space="preserve"> (2003)</w:t>
      </w:r>
      <w:r w:rsidRPr="00F5723F">
        <w:rPr>
          <w:i/>
        </w:rPr>
        <w:t>, Genusforskning –</w:t>
      </w:r>
      <w:r w:rsidRPr="00F5723F">
        <w:rPr>
          <w:i/>
        </w:rPr>
        <w:t xml:space="preserve"> frågor, villkor och u</w:t>
      </w:r>
      <w:r w:rsidRPr="00F5723F">
        <w:rPr>
          <w:i/>
        </w:rPr>
        <w:t>t</w:t>
      </w:r>
      <w:r w:rsidRPr="00F5723F">
        <w:rPr>
          <w:i/>
        </w:rPr>
        <w:t xml:space="preserve">maningar, </w:t>
      </w:r>
      <w:r w:rsidRPr="00F5723F">
        <w:t>Stoc</w:t>
      </w:r>
      <w:r w:rsidRPr="00F5723F">
        <w:t>k</w:t>
      </w:r>
      <w:r w:rsidRPr="00F5723F">
        <w:t>holm:</w:t>
      </w:r>
      <w:r w:rsidRPr="00F5723F">
        <w:rPr>
          <w:i/>
        </w:rPr>
        <w:t xml:space="preserve"> </w:t>
      </w:r>
      <w:r w:rsidRPr="00F5723F">
        <w:t>Vetenskapsrådet,</w:t>
      </w:r>
      <w:r w:rsidRPr="00F5723F">
        <w:t xml:space="preserve"> samt Christina Carlsson </w:t>
      </w:r>
      <w:r w:rsidRPr="00F5723F">
        <w:t>Wetterberg och Anna Jansdotter red. (2004)</w:t>
      </w:r>
      <w:r w:rsidRPr="00F5723F">
        <w:t xml:space="preserve">, </w:t>
      </w:r>
      <w:r w:rsidRPr="00F5723F">
        <w:rPr>
          <w:i/>
        </w:rPr>
        <w:t>Genushistoria – en historiografisk exposé,</w:t>
      </w:r>
      <w:r w:rsidRPr="00F5723F">
        <w:t xml:space="preserve"> Lund: St</w:t>
      </w:r>
      <w:r w:rsidRPr="00F5723F">
        <w:t>u</w:t>
      </w:r>
      <w:r w:rsidRPr="00F5723F">
        <w:t>dentlitteratur. I Eva Gothlin (1999),</w:t>
      </w:r>
      <w:r w:rsidRPr="00F5723F">
        <w:t xml:space="preserve"> </w:t>
      </w:r>
      <w:r w:rsidRPr="00F5723F">
        <w:rPr>
          <w:i/>
        </w:rPr>
        <w:t xml:space="preserve">Kön eller genus? </w:t>
      </w:r>
      <w:r w:rsidRPr="00F5723F">
        <w:t>Göteborg:</w:t>
      </w:r>
      <w:r w:rsidRPr="00F5723F">
        <w:t xml:space="preserve"> Nationella sekret</w:t>
      </w:r>
      <w:r w:rsidRPr="00F5723F">
        <w:t>ar</w:t>
      </w:r>
      <w:r w:rsidRPr="00F5723F">
        <w:t>i</w:t>
      </w:r>
      <w:r w:rsidRPr="00F5723F">
        <w:t>atet för genusforskning, ges</w:t>
      </w:r>
      <w:r w:rsidRPr="00F5723F">
        <w:t xml:space="preserve"> en </w:t>
      </w:r>
      <w:r w:rsidRPr="00F5723F">
        <w:t xml:space="preserve">kortfattad introduktion i ämnet. Se även </w:t>
      </w:r>
      <w:r w:rsidRPr="00F5723F">
        <w:rPr>
          <w:i/>
        </w:rPr>
        <w:t>Genuspe</w:t>
      </w:r>
      <w:r w:rsidRPr="00F5723F">
        <w:rPr>
          <w:i/>
        </w:rPr>
        <w:t>r</w:t>
      </w:r>
      <w:r w:rsidRPr="00F5723F">
        <w:rPr>
          <w:i/>
        </w:rPr>
        <w:t>spektiv i forskningen</w:t>
      </w:r>
      <w:r w:rsidRPr="00F5723F">
        <w:t>, Ds 19</w:t>
      </w:r>
      <w:r w:rsidRPr="00F5723F">
        <w:t xml:space="preserve">96:26, Utbildningsdepartementet, samt Anne Marie Berggren red. (1999), </w:t>
      </w:r>
      <w:r w:rsidRPr="00F5723F">
        <w:rPr>
          <w:i/>
        </w:rPr>
        <w:t>Ma</w:t>
      </w:r>
      <w:r w:rsidRPr="00F5723F">
        <w:rPr>
          <w:i/>
        </w:rPr>
        <w:t>n</w:t>
      </w:r>
      <w:r w:rsidRPr="00F5723F">
        <w:rPr>
          <w:i/>
        </w:rPr>
        <w:t>ligt och omanligt i ett historiskt perspektiv</w:t>
      </w:r>
      <w:r w:rsidRPr="00F5723F">
        <w:t>, Stockholm: Forskning</w:t>
      </w:r>
      <w:r w:rsidRPr="00F5723F">
        <w:t>s</w:t>
      </w:r>
      <w:r w:rsidRPr="00F5723F">
        <w:t>rådsnämnden.</w:t>
      </w:r>
    </w:p>
  </w:footnote>
  <w:footnote w:id="170">
    <w:p w:rsidR="00B43C57" w:rsidRPr="00F5723F" w:rsidRDefault="00B43C57">
      <w:pPr>
        <w:pStyle w:val="Fotnotstextindrag"/>
      </w:pPr>
      <w:r w:rsidRPr="00F5723F">
        <w:rPr>
          <w:rStyle w:val="Fotnotsreferens"/>
          <w:rFonts w:ascii="Garamond" w:hAnsi="Garamond"/>
        </w:rPr>
        <w:footnoteRef/>
      </w:r>
      <w:r w:rsidRPr="00F5723F">
        <w:t xml:space="preserve"> SOU 1995:60</w:t>
      </w:r>
      <w:r w:rsidRPr="00F5723F">
        <w:rPr>
          <w:i/>
        </w:rPr>
        <w:t>.</w:t>
      </w:r>
    </w:p>
  </w:footnote>
  <w:footnote w:id="171">
    <w:p w:rsidR="00B43C57" w:rsidRPr="00F5723F" w:rsidRDefault="00B43C57">
      <w:pPr>
        <w:pStyle w:val="Fotnotstextindrag"/>
      </w:pPr>
      <w:r w:rsidRPr="00F5723F">
        <w:rPr>
          <w:rStyle w:val="Fotnotsreferens"/>
          <w:rFonts w:ascii="Garamond" w:hAnsi="Garamond"/>
        </w:rPr>
        <w:footnoteRef/>
      </w:r>
      <w:r w:rsidRPr="00F5723F">
        <w:t xml:space="preserve"> Antropologen Gayle Rubin brukar omn</w:t>
      </w:r>
      <w:r w:rsidRPr="00F5723F">
        <w:t xml:space="preserve">ämnas som innovatör av </w:t>
      </w:r>
      <w:r w:rsidRPr="00F5723F">
        <w:t xml:space="preserve">begreppet </w:t>
      </w:r>
      <w:r w:rsidRPr="00F5723F">
        <w:t xml:space="preserve">kön/genus </w:t>
      </w:r>
      <w:r w:rsidRPr="00F5723F">
        <w:t>(sex/gender system). Hennes artikel från 1975 är en genomgång av de tre teoretikerna Freud, Marx och Lévi-Strauss. För att kunna förhålla sig till dessa teor</w:t>
      </w:r>
      <w:r w:rsidRPr="00F5723F">
        <w:t>e</w:t>
      </w:r>
      <w:r w:rsidRPr="00F5723F">
        <w:t>tiker utvecklade hon ett nytt</w:t>
      </w:r>
      <w:r w:rsidRPr="00F5723F">
        <w:t xml:space="preserve"> begrepp, the sex/gender system. </w:t>
      </w:r>
      <w:r w:rsidRPr="00F5723F">
        <w:t>Se Gayle Ru</w:t>
      </w:r>
      <w:r w:rsidRPr="00F5723F">
        <w:t>b</w:t>
      </w:r>
      <w:r w:rsidRPr="00F5723F">
        <w:t xml:space="preserve">in (1975), ”The Traffic in Women: Notes on the Political Economy of Sex” i </w:t>
      </w:r>
      <w:r w:rsidRPr="00F5723F">
        <w:rPr>
          <w:i/>
        </w:rPr>
        <w:t>Towards an A</w:t>
      </w:r>
      <w:r w:rsidRPr="00F5723F">
        <w:rPr>
          <w:i/>
        </w:rPr>
        <w:t>n</w:t>
      </w:r>
      <w:r w:rsidRPr="00F5723F">
        <w:rPr>
          <w:i/>
        </w:rPr>
        <w:t>thropology of Women</w:t>
      </w:r>
      <w:r w:rsidRPr="00F5723F">
        <w:t xml:space="preserve">, ed. </w:t>
      </w:r>
      <w:r w:rsidRPr="00F5723F">
        <w:t>Reiter Monthly Review Press</w:t>
      </w:r>
      <w:r w:rsidRPr="00F5723F">
        <w:t xml:space="preserve">. </w:t>
      </w:r>
    </w:p>
  </w:footnote>
  <w:footnote w:id="172">
    <w:p w:rsidR="00B43C57" w:rsidRPr="00F5723F" w:rsidRDefault="00B43C57">
      <w:pPr>
        <w:pStyle w:val="Fotnotstextindrag"/>
        <w:rPr>
          <w:sz w:val="24"/>
        </w:rPr>
      </w:pPr>
      <w:r w:rsidRPr="00F5723F">
        <w:rPr>
          <w:rStyle w:val="Fotnotsreferens"/>
          <w:rFonts w:ascii="Garamond" w:hAnsi="Garamond"/>
        </w:rPr>
        <w:footnoteRef/>
      </w:r>
      <w:r w:rsidRPr="00F5723F">
        <w:t xml:space="preserve"> För en kortfattad översi</w:t>
      </w:r>
      <w:r w:rsidRPr="00F5723F">
        <w:t>kt på svenska, se till exempel Eva Gothlin</w:t>
      </w:r>
      <w:r w:rsidRPr="00F5723F">
        <w:t xml:space="preserve"> och C. Åsberg</w:t>
      </w:r>
      <w:r w:rsidRPr="00F5723F">
        <w:t xml:space="preserve"> (1988),</w:t>
      </w:r>
      <w:r w:rsidRPr="00F5723F">
        <w:t xml:space="preserve"> ”D</w:t>
      </w:r>
      <w:r w:rsidRPr="00F5723F">
        <w:t>e</w:t>
      </w:r>
      <w:r w:rsidRPr="00F5723F">
        <w:t>batten om begreppen –</w:t>
      </w:r>
      <w:r w:rsidRPr="00F5723F">
        <w:t>’genus’ i Kvinnovetenskaplig Tidskrift 1980</w:t>
      </w:r>
      <w:r w:rsidRPr="00F5723F">
        <w:t>–</w:t>
      </w:r>
      <w:r w:rsidRPr="00F5723F">
        <w:t>1998</w:t>
      </w:r>
      <w:r w:rsidRPr="00F5723F">
        <w:t>”</w:t>
      </w:r>
      <w:r w:rsidRPr="00F5723F">
        <w:t xml:space="preserve">, i </w:t>
      </w:r>
      <w:r w:rsidRPr="00F5723F">
        <w:rPr>
          <w:i/>
        </w:rPr>
        <w:t>Kvinnovetenskaplig Tidskrift 1998:2.</w:t>
      </w:r>
      <w:r w:rsidRPr="00F5723F">
        <w:t xml:space="preserve"> Se även Yvonne Hirdman (2001), </w:t>
      </w:r>
      <w:r w:rsidRPr="00F5723F">
        <w:rPr>
          <w:i/>
        </w:rPr>
        <w:t>G</w:t>
      </w:r>
      <w:r w:rsidRPr="00F5723F">
        <w:rPr>
          <w:i/>
        </w:rPr>
        <w:t>e</w:t>
      </w:r>
      <w:r w:rsidRPr="00F5723F">
        <w:rPr>
          <w:i/>
        </w:rPr>
        <w:t>nus – om d</w:t>
      </w:r>
      <w:r w:rsidRPr="00F5723F">
        <w:rPr>
          <w:i/>
        </w:rPr>
        <w:t>et stabilas föränderliga former,</w:t>
      </w:r>
      <w:r w:rsidRPr="00F5723F">
        <w:t xml:space="preserve"> </w:t>
      </w:r>
      <w:r w:rsidRPr="00F5723F">
        <w:t xml:space="preserve">Malmö: Liber. </w:t>
      </w:r>
      <w:r w:rsidRPr="00F5723F">
        <w:t>För en anglosaxisk öve</w:t>
      </w:r>
      <w:r w:rsidRPr="00F5723F">
        <w:t>r</w:t>
      </w:r>
      <w:r w:rsidRPr="00F5723F">
        <w:t>sikt, se Toril Moi</w:t>
      </w:r>
      <w:r w:rsidRPr="00F5723F">
        <w:t xml:space="preserve"> (1999)</w:t>
      </w:r>
      <w:r w:rsidRPr="00F5723F">
        <w:t xml:space="preserve">, </w:t>
      </w:r>
      <w:r w:rsidRPr="00F5723F">
        <w:rPr>
          <w:i/>
        </w:rPr>
        <w:t>What is a Woma</w:t>
      </w:r>
      <w:r w:rsidRPr="00F5723F">
        <w:rPr>
          <w:i/>
        </w:rPr>
        <w:t>n? and other essays</w:t>
      </w:r>
      <w:r w:rsidRPr="00F5723F">
        <w:t xml:space="preserve">, </w:t>
      </w:r>
      <w:smartTag w:uri="urn:schemas-microsoft-com:office:smarttags" w:element="City">
        <w:smartTag w:uri="urn:schemas-microsoft-com:office:smarttags" w:element="place">
          <w:r w:rsidRPr="00F5723F">
            <w:t>Oxford</w:t>
          </w:r>
        </w:smartTag>
      </w:smartTag>
      <w:r w:rsidRPr="00F5723F">
        <w:t>: Oxford Un</w:t>
      </w:r>
      <w:r w:rsidRPr="00F5723F">
        <w:t>i</w:t>
      </w:r>
      <w:r w:rsidRPr="00F5723F">
        <w:t>versity Press</w:t>
      </w:r>
      <w:r w:rsidRPr="00F5723F">
        <w:t>. Se även Sandra Hardings</w:t>
      </w:r>
      <w:r w:rsidRPr="00F5723F">
        <w:t xml:space="preserve"> (1986)</w:t>
      </w:r>
      <w:r w:rsidRPr="00F5723F">
        <w:t xml:space="preserve"> förståelse av b</w:t>
      </w:r>
      <w:r w:rsidRPr="00F5723F">
        <w:t>e</w:t>
      </w:r>
      <w:r w:rsidRPr="00F5723F">
        <w:t xml:space="preserve">greppet i </w:t>
      </w:r>
      <w:r w:rsidRPr="00F5723F">
        <w:rPr>
          <w:i/>
        </w:rPr>
        <w:t>The Science Question in Feminism</w:t>
      </w:r>
      <w:r w:rsidRPr="00F5723F">
        <w:t>, Connell U</w:t>
      </w:r>
      <w:r w:rsidRPr="00F5723F">
        <w:t>niversity Press och</w:t>
      </w:r>
      <w:r w:rsidRPr="00F5723F">
        <w:t xml:space="preserve"> </w:t>
      </w:r>
      <w:r w:rsidRPr="00F5723F">
        <w:t xml:space="preserve">Sandra Harding </w:t>
      </w:r>
      <w:r w:rsidRPr="00F5723F">
        <w:t>(1987),</w:t>
      </w:r>
      <w:r w:rsidRPr="00F5723F">
        <w:rPr>
          <w:i/>
        </w:rPr>
        <w:t xml:space="preserve"> Fem</w:t>
      </w:r>
      <w:r w:rsidRPr="00F5723F">
        <w:rPr>
          <w:i/>
        </w:rPr>
        <w:t>i</w:t>
      </w:r>
      <w:r w:rsidRPr="00F5723F">
        <w:rPr>
          <w:i/>
        </w:rPr>
        <w:t>nism and Methodology.</w:t>
      </w:r>
      <w:r w:rsidRPr="00F5723F">
        <w:t xml:space="preserve"> </w:t>
      </w:r>
      <w:smartTag w:uri="urn:schemas-microsoft-com:office:smarttags" w:element="place">
        <w:r w:rsidRPr="00F5723F">
          <w:t>Milton Keynes</w:t>
        </w:r>
      </w:smartTag>
      <w:r w:rsidRPr="00F5723F">
        <w:t>: Open University Press.</w:t>
      </w:r>
      <w:r w:rsidRPr="00F5723F">
        <w:rPr>
          <w:sz w:val="24"/>
        </w:rPr>
        <w:t xml:space="preserve"> </w:t>
      </w:r>
      <w:r w:rsidRPr="00F5723F">
        <w:t>Se även</w:t>
      </w:r>
      <w:r w:rsidRPr="00F5723F">
        <w:rPr>
          <w:sz w:val="24"/>
        </w:rPr>
        <w:t xml:space="preserve"> </w:t>
      </w:r>
      <w:r w:rsidRPr="00F5723F">
        <w:t>Joan</w:t>
      </w:r>
      <w:r w:rsidRPr="00F5723F">
        <w:t xml:space="preserve"> W. Scott</w:t>
      </w:r>
      <w:r w:rsidRPr="00F5723F">
        <w:t xml:space="preserve"> (1988)</w:t>
      </w:r>
      <w:r w:rsidRPr="00F5723F">
        <w:t xml:space="preserve">, </w:t>
      </w:r>
      <w:r w:rsidRPr="00F5723F">
        <w:rPr>
          <w:i/>
        </w:rPr>
        <w:t>Gender and the Politic</w:t>
      </w:r>
      <w:r w:rsidRPr="00F5723F">
        <w:rPr>
          <w:i/>
        </w:rPr>
        <w:t>s of History</w:t>
      </w:r>
      <w:r w:rsidRPr="00F5723F">
        <w:t xml:space="preserve">, </w:t>
      </w:r>
      <w:smartTag w:uri="urn:schemas-microsoft-com:office:smarttags" w:element="State">
        <w:smartTag w:uri="urn:schemas-microsoft-com:office:smarttags" w:element="place">
          <w:r w:rsidRPr="00F5723F">
            <w:t>New York</w:t>
          </w:r>
        </w:smartTag>
      </w:smartTag>
      <w:r w:rsidRPr="00F5723F">
        <w:t xml:space="preserve">: </w:t>
      </w:r>
      <w:r w:rsidRPr="00F5723F">
        <w:t>Col</w:t>
      </w:r>
      <w:r w:rsidRPr="00F5723F">
        <w:t xml:space="preserve">umbia University Press </w:t>
      </w:r>
      <w:r w:rsidRPr="00F5723F">
        <w:t xml:space="preserve">(särskilt kapitlet </w:t>
      </w:r>
      <w:r w:rsidRPr="00F5723F">
        <w:t>“</w:t>
      </w:r>
      <w:r w:rsidRPr="00F5723F">
        <w:t>Gender: A Useful Cate</w:t>
      </w:r>
      <w:r w:rsidRPr="00F5723F">
        <w:t>gory of Historical Analysis”), samt</w:t>
      </w:r>
      <w:r w:rsidRPr="00F5723F">
        <w:t xml:space="preserve"> Gisela Bock </w:t>
      </w:r>
      <w:r w:rsidRPr="00F5723F">
        <w:t xml:space="preserve">(1989), </w:t>
      </w:r>
      <w:r w:rsidRPr="00F5723F">
        <w:t>”Women’s History and Gender History, Asp</w:t>
      </w:r>
      <w:r w:rsidRPr="00F5723F">
        <w:t>ects of an Intern</w:t>
      </w:r>
      <w:r w:rsidRPr="00F5723F">
        <w:t>a</w:t>
      </w:r>
      <w:r w:rsidRPr="00F5723F">
        <w:t>tional Debate</w:t>
      </w:r>
      <w:r w:rsidRPr="00F5723F">
        <w:t xml:space="preserve">” i </w:t>
      </w:r>
      <w:r w:rsidRPr="00F5723F">
        <w:rPr>
          <w:i/>
        </w:rPr>
        <w:t>Gender and History</w:t>
      </w:r>
      <w:r w:rsidRPr="00F5723F">
        <w:t xml:space="preserve"> vol</w:t>
      </w:r>
      <w:r w:rsidRPr="00F5723F">
        <w:t>.</w:t>
      </w:r>
      <w:r w:rsidRPr="00F5723F">
        <w:t xml:space="preserve"> 1, nr 1 spring 1989. </w:t>
      </w:r>
    </w:p>
  </w:footnote>
  <w:footnote w:id="173">
    <w:p w:rsidR="00B43C57" w:rsidRPr="00F5723F" w:rsidRDefault="00B43C57">
      <w:pPr>
        <w:pStyle w:val="Fotnotstextindrag"/>
      </w:pPr>
      <w:r w:rsidRPr="00F5723F">
        <w:rPr>
          <w:rStyle w:val="Fotnotsreferens"/>
          <w:rFonts w:ascii="Garamond" w:hAnsi="Garamond"/>
        </w:rPr>
        <w:footnoteRef/>
      </w:r>
      <w:r w:rsidRPr="00F5723F">
        <w:t xml:space="preserve"> Rönnblom (2002), Tollin (2000).</w:t>
      </w:r>
    </w:p>
  </w:footnote>
  <w:footnote w:id="174">
    <w:p w:rsidR="00B43C57" w:rsidRPr="00F5723F" w:rsidRDefault="00B43C57">
      <w:pPr>
        <w:pStyle w:val="Fotnotstextindrag"/>
      </w:pPr>
      <w:r w:rsidRPr="00F5723F">
        <w:rPr>
          <w:rStyle w:val="Fotnotsreferens"/>
          <w:rFonts w:ascii="Garamond" w:hAnsi="Garamond"/>
        </w:rPr>
        <w:footnoteRef/>
      </w:r>
      <w:r w:rsidRPr="00F5723F">
        <w:t xml:space="preserve"> Hirdman (1990).</w:t>
      </w:r>
    </w:p>
  </w:footnote>
  <w:footnote w:id="175">
    <w:p w:rsidR="00B43C57" w:rsidRPr="00F5723F" w:rsidRDefault="00B43C57">
      <w:pPr>
        <w:pStyle w:val="Fotnotstextindrag"/>
      </w:pPr>
      <w:r w:rsidRPr="00F5723F">
        <w:rPr>
          <w:rStyle w:val="Fotnotsreferens"/>
          <w:rFonts w:ascii="Garamond" w:hAnsi="Garamond"/>
        </w:rPr>
        <w:footnoteRef/>
      </w:r>
      <w:r w:rsidRPr="00F5723F">
        <w:t xml:space="preserve"> Hirdman (1985, s</w:t>
      </w:r>
      <w:r w:rsidRPr="00F5723F">
        <w:t>. 11).</w:t>
      </w:r>
    </w:p>
  </w:footnote>
  <w:footnote w:id="176">
    <w:p w:rsidR="00B43C57" w:rsidRPr="00F5723F" w:rsidRDefault="00B43C57">
      <w:pPr>
        <w:pStyle w:val="Fotnotstextindrag"/>
      </w:pPr>
      <w:r w:rsidRPr="00F5723F">
        <w:rPr>
          <w:rStyle w:val="Fotnotsreferens"/>
          <w:rFonts w:ascii="Garamond" w:hAnsi="Garamond"/>
        </w:rPr>
        <w:footnoteRef/>
      </w:r>
      <w:r w:rsidRPr="00F5723F">
        <w:t xml:space="preserve"> Abrahamsson (2000).</w:t>
      </w:r>
    </w:p>
  </w:footnote>
  <w:footnote w:id="177">
    <w:p w:rsidR="00B43C57" w:rsidRPr="00F5723F" w:rsidRDefault="00B43C57">
      <w:pPr>
        <w:pStyle w:val="Fotnotstextindrag"/>
      </w:pPr>
      <w:r w:rsidRPr="00F5723F">
        <w:rPr>
          <w:rStyle w:val="Fotnotsreferens"/>
          <w:rFonts w:ascii="Garamond" w:hAnsi="Garamond"/>
        </w:rPr>
        <w:footnoteRef/>
      </w:r>
      <w:r w:rsidRPr="00F5723F">
        <w:t xml:space="preserve"> </w:t>
      </w:r>
      <w:r w:rsidRPr="00F5723F">
        <w:t>Hageman</w:t>
      </w:r>
      <w:r w:rsidRPr="00F5723F">
        <w:t xml:space="preserve">n och </w:t>
      </w:r>
      <w:r w:rsidRPr="00F5723F">
        <w:t xml:space="preserve">Åmark </w:t>
      </w:r>
      <w:r w:rsidRPr="00F5723F">
        <w:t>(</w:t>
      </w:r>
      <w:r w:rsidRPr="00F5723F">
        <w:t>2000</w:t>
      </w:r>
      <w:r w:rsidRPr="00F5723F">
        <w:t>)</w:t>
      </w:r>
      <w:r w:rsidRPr="00F5723F">
        <w:t>.</w:t>
      </w:r>
    </w:p>
  </w:footnote>
  <w:footnote w:id="178">
    <w:p w:rsidR="00B43C57" w:rsidRPr="00F5723F" w:rsidRDefault="00B43C57">
      <w:pPr>
        <w:pStyle w:val="Fotnotstextindrag"/>
      </w:pPr>
      <w:r w:rsidRPr="00F5723F">
        <w:rPr>
          <w:rStyle w:val="Fotnotsreferens"/>
          <w:rFonts w:ascii="Garamond" w:hAnsi="Garamond"/>
        </w:rPr>
        <w:footnoteRef/>
      </w:r>
      <w:r w:rsidRPr="00F5723F">
        <w:t xml:space="preserve"> Feminism </w:t>
      </w:r>
      <w:r w:rsidRPr="00F5723F">
        <w:t xml:space="preserve">som ideologisystem </w:t>
      </w:r>
      <w:r w:rsidRPr="00F5723F">
        <w:t xml:space="preserve">kan i sin tur delas in i flera olika grupper, </w:t>
      </w:r>
      <w:r w:rsidRPr="00F5723F">
        <w:t>bland annat</w:t>
      </w:r>
      <w:r w:rsidRPr="00F5723F">
        <w:t xml:space="preserve"> liberalfeminism, radikalfeminism, marxistisk/socialistisk feminism samt soci</w:t>
      </w:r>
      <w:r w:rsidRPr="00F5723F">
        <w:t>a</w:t>
      </w:r>
      <w:r w:rsidRPr="00F5723F">
        <w:t>listisk radika</w:t>
      </w:r>
      <w:r w:rsidRPr="00F5723F">
        <w:t xml:space="preserve">lfeminism. Andra </w:t>
      </w:r>
      <w:r w:rsidRPr="00F5723F">
        <w:t xml:space="preserve">indelningar kan göras utgående </w:t>
      </w:r>
      <w:r w:rsidRPr="00F5723F">
        <w:t>bland annat</w:t>
      </w:r>
      <w:r w:rsidRPr="00F5723F">
        <w:t xml:space="preserve"> från epi</w:t>
      </w:r>
      <w:r w:rsidRPr="00F5723F">
        <w:t>s</w:t>
      </w:r>
      <w:r w:rsidRPr="00F5723F">
        <w:t>temologiska och ontologiska aspekter (dvs. grundläggande antaganden om den soci</w:t>
      </w:r>
      <w:r w:rsidRPr="00F5723F">
        <w:t>a</w:t>
      </w:r>
      <w:r w:rsidRPr="00F5723F">
        <w:t>la ver</w:t>
      </w:r>
      <w:r w:rsidRPr="00F5723F">
        <w:t>k</w:t>
      </w:r>
      <w:r w:rsidRPr="00F5723F">
        <w:t xml:space="preserve">lighetens karaktär och om hur man skall utveckla en kvalificerad förståelse av den), men även från partipolitiska perspektiv. För vidare läsning, se </w:t>
      </w:r>
      <w:r w:rsidRPr="00F5723F">
        <w:t>till exempel</w:t>
      </w:r>
      <w:r w:rsidRPr="00F5723F">
        <w:t xml:space="preserve"> Lena Gemzöe, </w:t>
      </w:r>
      <w:r w:rsidRPr="00F5723F">
        <w:t>(</w:t>
      </w:r>
      <w:r w:rsidRPr="00F5723F">
        <w:t>20</w:t>
      </w:r>
      <w:r w:rsidRPr="00F5723F">
        <w:t>02</w:t>
      </w:r>
      <w:r w:rsidRPr="00F5723F">
        <w:t>)</w:t>
      </w:r>
      <w:r w:rsidRPr="00F5723F">
        <w:t xml:space="preserve">, </w:t>
      </w:r>
      <w:r w:rsidRPr="00F5723F">
        <w:rPr>
          <w:i/>
        </w:rPr>
        <w:t>F</w:t>
      </w:r>
      <w:r w:rsidRPr="00F5723F">
        <w:rPr>
          <w:i/>
        </w:rPr>
        <w:t>e</w:t>
      </w:r>
      <w:r w:rsidRPr="00F5723F">
        <w:rPr>
          <w:i/>
        </w:rPr>
        <w:t>minism,</w:t>
      </w:r>
      <w:r w:rsidRPr="00F5723F">
        <w:rPr>
          <w:i/>
        </w:rPr>
        <w:t xml:space="preserve"> </w:t>
      </w:r>
      <w:r w:rsidRPr="00F5723F">
        <w:t>Stockholm: Bilda förlag.</w:t>
      </w:r>
    </w:p>
  </w:footnote>
  <w:footnote w:id="179">
    <w:p w:rsidR="00B43C57" w:rsidRPr="00F5723F" w:rsidRDefault="00B43C57">
      <w:pPr>
        <w:pStyle w:val="Fotnotstextindrag"/>
      </w:pPr>
      <w:r w:rsidRPr="00F5723F">
        <w:rPr>
          <w:rStyle w:val="Fotnotsreferens"/>
          <w:rFonts w:ascii="Garamond" w:hAnsi="Garamond"/>
        </w:rPr>
        <w:footnoteRef/>
      </w:r>
      <w:r w:rsidRPr="00F5723F">
        <w:t xml:space="preserve"> För vidare läsning, se </w:t>
      </w:r>
      <w:r w:rsidRPr="00F5723F">
        <w:t>till exempel</w:t>
      </w:r>
      <w:r w:rsidRPr="00F5723F">
        <w:t xml:space="preserve"> Paulina de los Reyes, Irene Molina och Diana Mulinari, (2002), </w:t>
      </w:r>
      <w:r w:rsidRPr="00F5723F">
        <w:rPr>
          <w:i/>
        </w:rPr>
        <w:t>Maktens (o)lika förklädnader: kön, klass &amp; etnicitet i det postkol</w:t>
      </w:r>
      <w:r w:rsidRPr="00F5723F">
        <w:rPr>
          <w:i/>
        </w:rPr>
        <w:t>o</w:t>
      </w:r>
      <w:r w:rsidRPr="00F5723F">
        <w:rPr>
          <w:i/>
        </w:rPr>
        <w:t>niala Sv</w:t>
      </w:r>
      <w:r w:rsidRPr="00F5723F">
        <w:rPr>
          <w:i/>
        </w:rPr>
        <w:t>e</w:t>
      </w:r>
      <w:r w:rsidRPr="00F5723F">
        <w:rPr>
          <w:i/>
        </w:rPr>
        <w:t>rige: e</w:t>
      </w:r>
      <w:r w:rsidRPr="00F5723F">
        <w:rPr>
          <w:i/>
        </w:rPr>
        <w:t>n festskrift till Wuokko Knocke,</w:t>
      </w:r>
      <w:r w:rsidRPr="00F5723F">
        <w:t xml:space="preserve"> Stockholm: Atlas.</w:t>
      </w:r>
    </w:p>
  </w:footnote>
  <w:footnote w:id="180">
    <w:p w:rsidR="00B43C57" w:rsidRPr="00F5723F" w:rsidRDefault="00B43C57">
      <w:pPr>
        <w:pStyle w:val="Fotnotstextindrag"/>
      </w:pPr>
      <w:r w:rsidRPr="00F5723F">
        <w:rPr>
          <w:rStyle w:val="Fotnotsreferens"/>
          <w:rFonts w:ascii="Garamond" w:hAnsi="Garamond"/>
        </w:rPr>
        <w:footnoteRef/>
      </w:r>
      <w:r w:rsidRPr="00F5723F">
        <w:t xml:space="preserve"> För vidare läsning, se </w:t>
      </w:r>
      <w:r w:rsidRPr="00F5723F">
        <w:t>till exempel</w:t>
      </w:r>
      <w:r w:rsidRPr="00F5723F">
        <w:t xml:space="preserve"> Lena Gemzöe</w:t>
      </w:r>
      <w:r w:rsidRPr="00F5723F">
        <w:t xml:space="preserve"> (2002)</w:t>
      </w:r>
      <w:r w:rsidRPr="00F5723F">
        <w:t>,</w:t>
      </w:r>
      <w:r w:rsidRPr="00F5723F">
        <w:rPr>
          <w:i/>
        </w:rPr>
        <w:t xml:space="preserve"> Feminism,</w:t>
      </w:r>
      <w:r w:rsidRPr="00F5723F">
        <w:t xml:space="preserve"> Stockholm: Bilda Förlag</w:t>
      </w:r>
      <w:r w:rsidRPr="00F5723F">
        <w:t>, Johanna Es</w:t>
      </w:r>
      <w:r w:rsidRPr="00F5723F">
        <w:t>seveld och Lisbeth Larsson, red.</w:t>
      </w:r>
      <w:r w:rsidRPr="00F5723F">
        <w:t xml:space="preserve"> </w:t>
      </w:r>
      <w:r w:rsidRPr="00F5723F">
        <w:t>(</w:t>
      </w:r>
      <w:r w:rsidRPr="00F5723F">
        <w:t>1996</w:t>
      </w:r>
      <w:r w:rsidRPr="00F5723F">
        <w:t>)</w:t>
      </w:r>
      <w:r w:rsidRPr="00F5723F">
        <w:t xml:space="preserve">, </w:t>
      </w:r>
      <w:r w:rsidRPr="00F5723F">
        <w:rPr>
          <w:i/>
        </w:rPr>
        <w:t>Kvinnopolitiska nycke</w:t>
      </w:r>
      <w:r w:rsidRPr="00F5723F">
        <w:rPr>
          <w:i/>
        </w:rPr>
        <w:t>l</w:t>
      </w:r>
      <w:r w:rsidRPr="00F5723F">
        <w:rPr>
          <w:i/>
        </w:rPr>
        <w:t xml:space="preserve">texter, </w:t>
      </w:r>
      <w:r w:rsidRPr="00F5723F">
        <w:t>Yvonne Hirdman</w:t>
      </w:r>
      <w:r w:rsidRPr="00F5723F">
        <w:t xml:space="preserve"> (2001)</w:t>
      </w:r>
      <w:r w:rsidRPr="00F5723F">
        <w:t>,</w:t>
      </w:r>
      <w:r w:rsidRPr="00F5723F">
        <w:rPr>
          <w:i/>
        </w:rPr>
        <w:t xml:space="preserve"> Genus – om d</w:t>
      </w:r>
      <w:r w:rsidRPr="00F5723F">
        <w:rPr>
          <w:i/>
        </w:rPr>
        <w:t>et stabilas föränderliga former,</w:t>
      </w:r>
      <w:r w:rsidRPr="00F5723F">
        <w:rPr>
          <w:i/>
        </w:rPr>
        <w:t xml:space="preserve"> </w:t>
      </w:r>
      <w:r w:rsidRPr="00F5723F">
        <w:t>Malmö:</w:t>
      </w:r>
      <w:r w:rsidRPr="00F5723F">
        <w:rPr>
          <w:i/>
        </w:rPr>
        <w:t xml:space="preserve"> </w:t>
      </w:r>
      <w:r w:rsidRPr="00F5723F">
        <w:t>Liber, samt</w:t>
      </w:r>
      <w:r w:rsidRPr="00F5723F">
        <w:t xml:space="preserve"> Maud Eduards</w:t>
      </w:r>
      <w:r w:rsidRPr="00F5723F">
        <w:t xml:space="preserve"> (2002)</w:t>
      </w:r>
      <w:r w:rsidRPr="00F5723F">
        <w:t>,</w:t>
      </w:r>
      <w:r w:rsidRPr="00F5723F">
        <w:rPr>
          <w:i/>
        </w:rPr>
        <w:t xml:space="preserve"> Förbjuden handling. Om kvinnors org</w:t>
      </w:r>
      <w:r w:rsidRPr="00F5723F">
        <w:rPr>
          <w:i/>
        </w:rPr>
        <w:t>a</w:t>
      </w:r>
      <w:r w:rsidRPr="00F5723F">
        <w:rPr>
          <w:i/>
        </w:rPr>
        <w:t xml:space="preserve">nisering och feministisk teori, </w:t>
      </w:r>
      <w:r w:rsidRPr="00F5723F">
        <w:t>Malmö:</w:t>
      </w:r>
      <w:r w:rsidRPr="00F5723F">
        <w:rPr>
          <w:i/>
        </w:rPr>
        <w:t xml:space="preserve"> </w:t>
      </w:r>
      <w:r w:rsidRPr="00F5723F">
        <w:t>Liber</w:t>
      </w:r>
      <w:r w:rsidRPr="00F5723F">
        <w:t xml:space="preserve">. För </w:t>
      </w:r>
      <w:r w:rsidRPr="00F5723F">
        <w:t xml:space="preserve">en </w:t>
      </w:r>
      <w:r w:rsidRPr="00F5723F">
        <w:t>introduktion till feminism och politiskt tänkande</w:t>
      </w:r>
      <w:r w:rsidRPr="00F5723F">
        <w:t>,</w:t>
      </w:r>
      <w:r w:rsidRPr="00F5723F">
        <w:t xml:space="preserve"> se </w:t>
      </w:r>
      <w:r w:rsidRPr="00F5723F">
        <w:t>till exempel</w:t>
      </w:r>
      <w:r w:rsidRPr="00F5723F">
        <w:t xml:space="preserve"> Maria Wendt-Höjer och Cecilia Åse</w:t>
      </w:r>
      <w:r w:rsidRPr="00F5723F">
        <w:t xml:space="preserve"> (1996)</w:t>
      </w:r>
      <w:r w:rsidRPr="00F5723F">
        <w:t xml:space="preserve">, </w:t>
      </w:r>
      <w:r w:rsidRPr="00F5723F">
        <w:rPr>
          <w:i/>
        </w:rPr>
        <w:t>Polit</w:t>
      </w:r>
      <w:r w:rsidRPr="00F5723F">
        <w:rPr>
          <w:i/>
        </w:rPr>
        <w:t>i</w:t>
      </w:r>
      <w:r w:rsidRPr="00F5723F">
        <w:rPr>
          <w:i/>
        </w:rPr>
        <w:t>kens par</w:t>
      </w:r>
      <w:r w:rsidRPr="00F5723F">
        <w:rPr>
          <w:i/>
        </w:rPr>
        <w:t>a</w:t>
      </w:r>
      <w:r w:rsidRPr="00F5723F">
        <w:rPr>
          <w:i/>
        </w:rPr>
        <w:t>doxer,</w:t>
      </w:r>
      <w:r w:rsidRPr="00F5723F">
        <w:t xml:space="preserve"> Lund: Acade</w:t>
      </w:r>
      <w:r w:rsidRPr="00F5723F">
        <w:t>mica Adacta</w:t>
      </w:r>
      <w:r w:rsidRPr="00F5723F">
        <w:rPr>
          <w:i/>
        </w:rPr>
        <w:t xml:space="preserve"> </w:t>
      </w:r>
      <w:r w:rsidRPr="00F5723F">
        <w:t>samt</w:t>
      </w:r>
      <w:r w:rsidRPr="00F5723F">
        <w:rPr>
          <w:i/>
        </w:rPr>
        <w:t xml:space="preserve"> </w:t>
      </w:r>
      <w:r w:rsidRPr="00F5723F">
        <w:t>Claudia Lindén och Ulrika Milles red</w:t>
      </w:r>
      <w:r w:rsidRPr="00F5723F">
        <w:t>. (1995)</w:t>
      </w:r>
      <w:r w:rsidRPr="00F5723F">
        <w:t>,</w:t>
      </w:r>
      <w:r w:rsidRPr="00F5723F">
        <w:rPr>
          <w:i/>
        </w:rPr>
        <w:t xml:space="preserve"> Feministisk bruksansvisning,</w:t>
      </w:r>
      <w:r w:rsidRPr="00F5723F">
        <w:t xml:space="preserve"> Stockholm: Norstedts</w:t>
      </w:r>
      <w:r w:rsidRPr="00F5723F">
        <w:t>. Se även Sara Arrh</w:t>
      </w:r>
      <w:r w:rsidRPr="00F5723F">
        <w:t>e</w:t>
      </w:r>
      <w:r w:rsidRPr="00F5723F">
        <w:t>nius</w:t>
      </w:r>
      <w:r w:rsidRPr="00F5723F">
        <w:t xml:space="preserve"> (1999)</w:t>
      </w:r>
      <w:r w:rsidRPr="00F5723F">
        <w:t xml:space="preserve">, </w:t>
      </w:r>
      <w:r w:rsidRPr="00F5723F">
        <w:rPr>
          <w:i/>
        </w:rPr>
        <w:t>En riktig kvinna,</w:t>
      </w:r>
      <w:r w:rsidRPr="00F5723F">
        <w:t xml:space="preserve"> Pocky/Bokförlaget Tranan,</w:t>
      </w:r>
      <w:r w:rsidRPr="00F5723F">
        <w:t xml:space="preserve"> som är en argumentation mot e</w:t>
      </w:r>
      <w:r w:rsidRPr="00F5723F">
        <w:t>tt biologiskt synsätt på kön samt</w:t>
      </w:r>
      <w:r w:rsidRPr="00F5723F">
        <w:t xml:space="preserve"> Nina Björk</w:t>
      </w:r>
      <w:r w:rsidRPr="00F5723F">
        <w:t xml:space="preserve"> (1996)</w:t>
      </w:r>
      <w:r w:rsidRPr="00F5723F">
        <w:t xml:space="preserve">, </w:t>
      </w:r>
      <w:r w:rsidRPr="00F5723F">
        <w:rPr>
          <w:i/>
        </w:rPr>
        <w:t>Under det rosa täck</w:t>
      </w:r>
      <w:r w:rsidRPr="00F5723F">
        <w:rPr>
          <w:i/>
        </w:rPr>
        <w:t xml:space="preserve">et, </w:t>
      </w:r>
      <w:r w:rsidRPr="00F5723F">
        <w:t>Stockholm: Wahlström och Widstrand</w:t>
      </w:r>
      <w:r w:rsidRPr="00F5723F">
        <w:t>, som behandlar konstruktion av kvinnlighet. Tiina Rose</w:t>
      </w:r>
      <w:r w:rsidRPr="00F5723F">
        <w:t>n</w:t>
      </w:r>
      <w:r w:rsidRPr="00F5723F">
        <w:t>berg</w:t>
      </w:r>
      <w:r w:rsidRPr="00F5723F">
        <w:t xml:space="preserve"> (2002)</w:t>
      </w:r>
      <w:r w:rsidRPr="00F5723F">
        <w:t>,</w:t>
      </w:r>
      <w:r w:rsidRPr="00F5723F">
        <w:rPr>
          <w:i/>
        </w:rPr>
        <w:t xml:space="preserve"> Fe</w:t>
      </w:r>
      <w:r w:rsidRPr="00F5723F">
        <w:rPr>
          <w:i/>
        </w:rPr>
        <w:t>ministisk queerteoretisk agenda,</w:t>
      </w:r>
      <w:r w:rsidRPr="00F5723F">
        <w:rPr>
          <w:i/>
        </w:rPr>
        <w:t xml:space="preserve"> </w:t>
      </w:r>
      <w:r w:rsidRPr="00F5723F">
        <w:t>Stockholm: Atlas ger en introduktion till queert</w:t>
      </w:r>
      <w:r w:rsidRPr="00F5723F">
        <w:t>e</w:t>
      </w:r>
      <w:r w:rsidRPr="00F5723F">
        <w:t>ori.</w:t>
      </w:r>
    </w:p>
  </w:footnote>
  <w:footnote w:id="181">
    <w:p w:rsidR="00B43C57" w:rsidRPr="00F5723F" w:rsidRDefault="00B43C57">
      <w:pPr>
        <w:pStyle w:val="Fotnotstextindrag"/>
      </w:pPr>
      <w:r w:rsidRPr="00F5723F">
        <w:rPr>
          <w:rStyle w:val="Fotnotsreferens"/>
          <w:rFonts w:ascii="Garamond" w:hAnsi="Garamond"/>
        </w:rPr>
        <w:footnoteRef/>
      </w:r>
      <w:r w:rsidRPr="00F5723F">
        <w:t xml:space="preserve"> Det bör emellertid påpekas att begreppet ”könsmaktsordning” är svenskt och fö</w:t>
      </w:r>
      <w:r w:rsidRPr="00F5723F">
        <w:t>r</w:t>
      </w:r>
      <w:r w:rsidRPr="00F5723F">
        <w:t>hållande</w:t>
      </w:r>
      <w:r w:rsidRPr="00F5723F">
        <w:t>vis</w:t>
      </w:r>
      <w:r w:rsidRPr="00F5723F">
        <w:t xml:space="preserve"> svårt att översätta till engelska.</w:t>
      </w:r>
    </w:p>
  </w:footnote>
  <w:footnote w:id="182">
    <w:p w:rsidR="00B43C57" w:rsidRPr="00F5723F" w:rsidRDefault="00B43C57">
      <w:pPr>
        <w:pStyle w:val="Fotnotstextindrag"/>
      </w:pPr>
      <w:r w:rsidRPr="00F5723F">
        <w:rPr>
          <w:rStyle w:val="Fotnotsreferens"/>
          <w:rFonts w:ascii="Garamond" w:hAnsi="Garamond"/>
        </w:rPr>
        <w:footnoteRef/>
      </w:r>
      <w:r w:rsidRPr="00F5723F">
        <w:t xml:space="preserve"> www.ipu.org</w:t>
      </w:r>
      <w:r w:rsidRPr="00F5723F">
        <w:t>.</w:t>
      </w:r>
    </w:p>
  </w:footnote>
  <w:footnote w:id="183">
    <w:p w:rsidR="00B43C57" w:rsidRPr="00F5723F" w:rsidRDefault="00B43C57">
      <w:pPr>
        <w:pStyle w:val="Fotnotstextindrag"/>
      </w:pPr>
      <w:r w:rsidRPr="00F5723F">
        <w:rPr>
          <w:rStyle w:val="Fotnotsreferens"/>
          <w:rFonts w:ascii="Garamond" w:hAnsi="Garamond"/>
        </w:rPr>
        <w:footnoteRef/>
      </w:r>
      <w:r w:rsidRPr="00F5723F">
        <w:t xml:space="preserve"> Rwanda lagstiftade </w:t>
      </w:r>
      <w:r w:rsidRPr="00F5723F">
        <w:t>2003 om könskvotering till sitt nationella parlament</w:t>
      </w:r>
      <w:r w:rsidRPr="00F5723F">
        <w:t>.</w:t>
      </w:r>
    </w:p>
  </w:footnote>
  <w:footnote w:id="184">
    <w:p w:rsidR="00B43C57" w:rsidRPr="00F5723F" w:rsidRDefault="00B43C57">
      <w:pPr>
        <w:pStyle w:val="Fotnotstextindrag"/>
      </w:pPr>
      <w:r w:rsidRPr="00F5723F">
        <w:rPr>
          <w:rStyle w:val="Fotnotsreferens"/>
          <w:rFonts w:ascii="Garamond" w:hAnsi="Garamond"/>
        </w:rPr>
        <w:footnoteRef/>
      </w:r>
      <w:r w:rsidRPr="00F5723F">
        <w:t xml:space="preserve"> De nordiska länderna</w:t>
      </w:r>
      <w:r w:rsidRPr="00F5723F">
        <w:t xml:space="preserve"> har i ett historiskt perspektiv</w:t>
      </w:r>
      <w:r w:rsidRPr="00F5723F">
        <w:t xml:space="preserve"> haft en högre kvinnoreprese</w:t>
      </w:r>
      <w:r w:rsidRPr="00F5723F">
        <w:t>n</w:t>
      </w:r>
      <w:r w:rsidRPr="00F5723F">
        <w:t xml:space="preserve">tation </w:t>
      </w:r>
      <w:r w:rsidRPr="00F5723F">
        <w:t xml:space="preserve">i sina nationella parlament </w:t>
      </w:r>
      <w:r w:rsidRPr="00F5723F">
        <w:t>än övriga länder.</w:t>
      </w:r>
      <w:r w:rsidRPr="00F5723F">
        <w:t xml:space="preserve"> Utvecklingen sedan 1990-talet, där alltfler länder kommit att implementera könskvotering vid allmänna val, tyder på att de nordiska ländernas position kan vara utmanad. </w:t>
      </w:r>
      <w:r w:rsidRPr="00F5723F">
        <w:t>Se</w:t>
      </w:r>
      <w:r w:rsidRPr="00F5723F">
        <w:t xml:space="preserve"> www.quotaproject.org</w:t>
      </w:r>
      <w:r w:rsidRPr="00F5723F">
        <w:t>. Se även Freidenva</w:t>
      </w:r>
      <w:r w:rsidRPr="00F5723F">
        <w:t>ll, Dahlerup &amp; Skjeie</w:t>
      </w:r>
      <w:r w:rsidRPr="00F5723F">
        <w:t xml:space="preserve">, ”The Nordic countries: an incremental model” i Drude Dahlerup red. </w:t>
      </w:r>
      <w:r w:rsidRPr="00F5723F">
        <w:t xml:space="preserve">(kommande), </w:t>
      </w:r>
      <w:r w:rsidRPr="00F5723F">
        <w:rPr>
          <w:i/>
        </w:rPr>
        <w:t xml:space="preserve">Women in Politics: Electoral Quotas, Equality and Democracy. </w:t>
      </w:r>
      <w:r w:rsidRPr="00F5723F">
        <w:t>Lo</w:t>
      </w:r>
      <w:r w:rsidRPr="00F5723F">
        <w:t>n</w:t>
      </w:r>
      <w:r w:rsidRPr="00F5723F">
        <w:t>don: Routledge.</w:t>
      </w:r>
    </w:p>
  </w:footnote>
  <w:footnote w:id="185">
    <w:p w:rsidR="00B43C57" w:rsidRPr="00F5723F" w:rsidRDefault="00B43C57">
      <w:pPr>
        <w:pStyle w:val="Fotnotstextindrag"/>
      </w:pPr>
      <w:r w:rsidRPr="00F5723F">
        <w:rPr>
          <w:rStyle w:val="Fotnotsreferens"/>
          <w:rFonts w:ascii="Garamond" w:hAnsi="Garamond"/>
        </w:rPr>
        <w:footnoteRef/>
      </w:r>
      <w:r w:rsidRPr="00F5723F">
        <w:t xml:space="preserve"> Human Development Report 2000:165.</w:t>
      </w:r>
    </w:p>
  </w:footnote>
  <w:footnote w:id="186">
    <w:p w:rsidR="00B43C57" w:rsidRPr="00F5723F" w:rsidRDefault="00B43C57">
      <w:pPr>
        <w:pStyle w:val="Fotnotstextindrag"/>
      </w:pPr>
      <w:r w:rsidRPr="00F5723F">
        <w:rPr>
          <w:rStyle w:val="Fotnotsreferens"/>
          <w:rFonts w:ascii="Garamond" w:hAnsi="Garamond"/>
        </w:rPr>
        <w:footnoteRef/>
      </w:r>
      <w:r w:rsidRPr="00F5723F">
        <w:t xml:space="preserve"> Östberg (2001).</w:t>
      </w:r>
    </w:p>
  </w:footnote>
  <w:footnote w:id="187">
    <w:p w:rsidR="00B43C57" w:rsidRPr="00F5723F" w:rsidRDefault="00B43C57">
      <w:pPr>
        <w:pStyle w:val="Fotnotstextindrag"/>
      </w:pPr>
      <w:r w:rsidRPr="00F5723F">
        <w:rPr>
          <w:rStyle w:val="Fotnotsreferens"/>
          <w:rFonts w:ascii="Garamond" w:hAnsi="Garamond"/>
        </w:rPr>
        <w:footnoteRef/>
      </w:r>
      <w:r w:rsidRPr="00F5723F">
        <w:t xml:space="preserve"> Wängnerud (1999). Kvinnliga kandidater var vid den</w:t>
      </w:r>
      <w:r w:rsidRPr="00F5723F">
        <w:t>na tid ofta placerade längre ned</w:t>
      </w:r>
      <w:r w:rsidRPr="00F5723F">
        <w:t xml:space="preserve"> på partilistorna. När ett parti har stora valframgångar, innebär det att kvinnors möjligheter att bli invalda ökar.</w:t>
      </w:r>
    </w:p>
  </w:footnote>
  <w:footnote w:id="188">
    <w:p w:rsidR="00B43C57" w:rsidRPr="00F5723F" w:rsidRDefault="00B43C57">
      <w:pPr>
        <w:pStyle w:val="Fotnotstextindrag"/>
      </w:pPr>
      <w:r w:rsidRPr="00F5723F">
        <w:rPr>
          <w:rStyle w:val="Fotnotsreferens"/>
          <w:rFonts w:ascii="Garamond" w:hAnsi="Garamond"/>
        </w:rPr>
        <w:footnoteRef/>
      </w:r>
      <w:r w:rsidRPr="00F5723F">
        <w:t xml:space="preserve"> Freidenvall (2003), Wängnerud (2001).</w:t>
      </w:r>
    </w:p>
  </w:footnote>
  <w:footnote w:id="189">
    <w:p w:rsidR="00B43C57" w:rsidRPr="00F5723F" w:rsidRDefault="00B43C57">
      <w:pPr>
        <w:pStyle w:val="Fotnotstextindrag"/>
      </w:pPr>
      <w:r w:rsidRPr="00F5723F">
        <w:rPr>
          <w:rStyle w:val="Fotnotsreferens"/>
          <w:rFonts w:ascii="Garamond" w:hAnsi="Garamond"/>
        </w:rPr>
        <w:footnoteRef/>
      </w:r>
      <w:r w:rsidRPr="00F5723F">
        <w:t xml:space="preserve"> Rule (1981), Norris (1985), Oakes &amp; Almquist (1993), </w:t>
      </w:r>
      <w:r w:rsidRPr="00F5723F">
        <w:t>Lovenduski &amp; Norris red.</w:t>
      </w:r>
      <w:r w:rsidRPr="00F5723F">
        <w:t xml:space="preserve"> </w:t>
      </w:r>
      <w:r w:rsidRPr="00F5723F">
        <w:t>(1993), Moore &amp; Shackman (1996), Raaum (1995), Nor</w:t>
      </w:r>
      <w:r w:rsidRPr="00F5723F">
        <w:t>ris (1996), Paxton (1997), Matland (1995, 1998), Kenworthy &amp; Malami (1999), Reynolds (1999), Norris &amp; Inglehart (2001), Studlar &amp; MacA</w:t>
      </w:r>
      <w:r w:rsidRPr="00F5723F">
        <w:t>l</w:t>
      </w:r>
      <w:r w:rsidRPr="00F5723F">
        <w:t xml:space="preserve">lister (2002). </w:t>
      </w:r>
    </w:p>
  </w:footnote>
  <w:footnote w:id="190">
    <w:p w:rsidR="00B43C57" w:rsidRPr="00F5723F" w:rsidRDefault="00B43C57">
      <w:pPr>
        <w:pStyle w:val="Fotnotstextindrag"/>
      </w:pPr>
      <w:r w:rsidRPr="00F5723F">
        <w:rPr>
          <w:rStyle w:val="Fotnotsreferens"/>
          <w:rFonts w:ascii="Garamond" w:hAnsi="Garamond"/>
        </w:rPr>
        <w:footnoteRef/>
      </w:r>
      <w:r w:rsidRPr="00F5723F">
        <w:t xml:space="preserve"> Duverger (1955), Karvonen &amp; Selle (1995), Matland (1995, 1998), Rule &amp; Zi</w:t>
      </w:r>
      <w:r w:rsidRPr="00F5723F">
        <w:t>m</w:t>
      </w:r>
      <w:r w:rsidRPr="00F5723F">
        <w:t>mermann (1994).</w:t>
      </w:r>
    </w:p>
  </w:footnote>
  <w:footnote w:id="191">
    <w:p w:rsidR="00B43C57" w:rsidRPr="00F5723F" w:rsidRDefault="00B43C57">
      <w:pPr>
        <w:pStyle w:val="Fotnotstextindrag"/>
      </w:pPr>
      <w:r w:rsidRPr="00F5723F">
        <w:rPr>
          <w:rStyle w:val="Fotnotsreferens"/>
          <w:rFonts w:ascii="Garamond" w:hAnsi="Garamond"/>
        </w:rPr>
        <w:footnoteRef/>
      </w:r>
      <w:r w:rsidRPr="00F5723F">
        <w:t xml:space="preserve"> Randall (1982), Togeby (1994).</w:t>
      </w:r>
    </w:p>
  </w:footnote>
  <w:footnote w:id="192">
    <w:p w:rsidR="00B43C57" w:rsidRPr="00F5723F" w:rsidRDefault="00B43C57">
      <w:pPr>
        <w:pStyle w:val="Fotnotstextindrag"/>
      </w:pPr>
      <w:r w:rsidRPr="00F5723F">
        <w:rPr>
          <w:rStyle w:val="Fotnotsreferens"/>
          <w:rFonts w:ascii="Garamond" w:hAnsi="Garamond"/>
        </w:rPr>
        <w:footnoteRef/>
      </w:r>
      <w:r w:rsidRPr="00F5723F">
        <w:t xml:space="preserve"> Sapiro (1983).</w:t>
      </w:r>
    </w:p>
  </w:footnote>
  <w:footnote w:id="193">
    <w:p w:rsidR="00B43C57" w:rsidRPr="00F5723F" w:rsidRDefault="00B43C57">
      <w:pPr>
        <w:pStyle w:val="Fotnotstextindrag"/>
      </w:pPr>
      <w:r w:rsidRPr="00F5723F">
        <w:rPr>
          <w:rStyle w:val="Fotnotsreferens"/>
          <w:rFonts w:ascii="Garamond" w:hAnsi="Garamond"/>
        </w:rPr>
        <w:footnoteRef/>
      </w:r>
      <w:r w:rsidRPr="00F5723F">
        <w:t xml:space="preserve"> </w:t>
      </w:r>
      <w:smartTag w:uri="urn:schemas-microsoft-com:office:smarttags" w:element="City">
        <w:smartTag w:uri="urn:schemas-microsoft-com:office:smarttags" w:element="place">
          <w:r w:rsidRPr="00F5723F">
            <w:t>Hernes</w:t>
          </w:r>
        </w:smartTag>
      </w:smartTag>
      <w:r w:rsidRPr="00F5723F">
        <w:t xml:space="preserve"> (1987).</w:t>
      </w:r>
      <w:r w:rsidRPr="00F5723F">
        <w:rPr>
          <w:b/>
        </w:rPr>
        <w:t xml:space="preserve"> </w:t>
      </w:r>
    </w:p>
  </w:footnote>
  <w:footnote w:id="194">
    <w:p w:rsidR="00B43C57" w:rsidRPr="00F5723F" w:rsidRDefault="00B43C57">
      <w:pPr>
        <w:pStyle w:val="Fotnotstextindrag"/>
      </w:pPr>
      <w:r w:rsidRPr="00F5723F">
        <w:rPr>
          <w:rStyle w:val="Fotnotsreferens"/>
          <w:rFonts w:ascii="Garamond" w:hAnsi="Garamond"/>
        </w:rPr>
        <w:footnoteRef/>
      </w:r>
      <w:r w:rsidRPr="00F5723F">
        <w:t xml:space="preserve"> Bergqvist (1994), </w:t>
      </w:r>
      <w:smartTag w:uri="urn:schemas-microsoft-com:office:smarttags" w:element="City">
        <w:smartTag w:uri="urn:schemas-microsoft-com:office:smarttags" w:element="place">
          <w:r w:rsidRPr="00F5723F">
            <w:t>Hernes</w:t>
          </w:r>
        </w:smartTag>
      </w:smartTag>
      <w:r w:rsidRPr="00F5723F">
        <w:t xml:space="preserve"> (1987), Kuusipalo (1992</w:t>
      </w:r>
      <w:r w:rsidRPr="00F5723F">
        <w:t xml:space="preserve">). </w:t>
      </w:r>
    </w:p>
  </w:footnote>
  <w:footnote w:id="195">
    <w:p w:rsidR="00B43C57" w:rsidRPr="00F5723F" w:rsidRDefault="00B43C57">
      <w:pPr>
        <w:pStyle w:val="Fotnotstextindrag"/>
      </w:pPr>
      <w:r w:rsidRPr="00F5723F">
        <w:rPr>
          <w:rStyle w:val="Fotnotsreferens"/>
          <w:rFonts w:ascii="Garamond" w:hAnsi="Garamond"/>
        </w:rPr>
        <w:footnoteRef/>
      </w:r>
      <w:r w:rsidRPr="00F5723F">
        <w:t xml:space="preserve"> Dahlerup (1989).</w:t>
      </w:r>
    </w:p>
  </w:footnote>
  <w:footnote w:id="196">
    <w:p w:rsidR="00B43C57" w:rsidRPr="00F5723F" w:rsidRDefault="00B43C57">
      <w:pPr>
        <w:pStyle w:val="Fotnotstextindrag"/>
      </w:pPr>
      <w:r w:rsidRPr="00F5723F">
        <w:rPr>
          <w:rStyle w:val="Fotnotsreferens"/>
          <w:rFonts w:ascii="Garamond" w:hAnsi="Garamond"/>
        </w:rPr>
        <w:footnoteRef/>
      </w:r>
      <w:r w:rsidRPr="00F5723F">
        <w:t xml:space="preserve"> </w:t>
      </w:r>
      <w:smartTag w:uri="urn:schemas-microsoft-com:office:smarttags" w:element="City">
        <w:smartTag w:uri="urn:schemas-microsoft-com:office:smarttags" w:element="place">
          <w:r w:rsidRPr="00F5723F">
            <w:t>Hernes</w:t>
          </w:r>
        </w:smartTag>
      </w:smartTag>
      <w:r w:rsidRPr="00F5723F">
        <w:t xml:space="preserve"> (1987).</w:t>
      </w:r>
    </w:p>
  </w:footnote>
  <w:footnote w:id="197">
    <w:p w:rsidR="00B43C57" w:rsidRPr="00F5723F" w:rsidRDefault="00B43C57">
      <w:pPr>
        <w:pStyle w:val="Fotnotstextindrag"/>
      </w:pPr>
      <w:r w:rsidRPr="00F5723F">
        <w:rPr>
          <w:rStyle w:val="Fotnotsreferens"/>
          <w:rFonts w:ascii="Garamond" w:hAnsi="Garamond"/>
        </w:rPr>
        <w:footnoteRef/>
      </w:r>
      <w:r w:rsidRPr="00F5723F">
        <w:t xml:space="preserve"> Hernes (1987), Bergkvist (1992).</w:t>
      </w:r>
    </w:p>
  </w:footnote>
  <w:footnote w:id="198">
    <w:p w:rsidR="00B43C57" w:rsidRPr="00F5723F" w:rsidRDefault="00B43C57">
      <w:pPr>
        <w:pStyle w:val="Fotnotstextindrag"/>
      </w:pPr>
      <w:r w:rsidRPr="00F5723F">
        <w:rPr>
          <w:rStyle w:val="Fotnotsreferens"/>
          <w:rFonts w:ascii="Garamond" w:hAnsi="Garamond"/>
        </w:rPr>
        <w:footnoteRef/>
      </w:r>
      <w:r w:rsidRPr="00F5723F">
        <w:t xml:space="preserve"> Beckwith (1992), Caul (1999, 2001), Kaiser (2001), Lovenduski &amp; Norris red. </w:t>
      </w:r>
      <w:r w:rsidRPr="00F5723F">
        <w:t>(1993), Matland &amp; Studlar (1996), Sainsbury (1993, 1996), Wisler (1998), Wän</w:t>
      </w:r>
      <w:r w:rsidRPr="00F5723F">
        <w:t>g</w:t>
      </w:r>
      <w:r w:rsidRPr="00F5723F">
        <w:t>nerud (1998, 2000).</w:t>
      </w:r>
    </w:p>
  </w:footnote>
  <w:footnote w:id="199">
    <w:p w:rsidR="00B43C57" w:rsidRPr="00F5723F" w:rsidRDefault="00B43C57">
      <w:pPr>
        <w:pStyle w:val="Fotnotstextindrag"/>
      </w:pPr>
      <w:r w:rsidRPr="00F5723F">
        <w:rPr>
          <w:rStyle w:val="Fotnotsreferens"/>
          <w:rFonts w:ascii="Garamond" w:hAnsi="Garamond"/>
        </w:rPr>
        <w:footnoteRef/>
      </w:r>
      <w:r w:rsidRPr="00F5723F">
        <w:t xml:space="preserve"> Eduards (1988), Wängnerud (1997b).</w:t>
      </w:r>
    </w:p>
  </w:footnote>
  <w:footnote w:id="200">
    <w:p w:rsidR="00B43C57" w:rsidRPr="00F5723F" w:rsidRDefault="00B43C57">
      <w:pPr>
        <w:pStyle w:val="Fotnotstextindrag"/>
      </w:pPr>
      <w:r w:rsidRPr="00F5723F">
        <w:rPr>
          <w:rStyle w:val="Fotnotsreferens"/>
          <w:rFonts w:ascii="Garamond" w:hAnsi="Garamond"/>
        </w:rPr>
        <w:footnoteRef/>
      </w:r>
      <w:r w:rsidRPr="00F5723F">
        <w:t xml:space="preserve"> Se till exempel Bertil Björkegren (1982),</w:t>
      </w:r>
      <w:r w:rsidRPr="00F5723F">
        <w:rPr>
          <w:i/>
        </w:rPr>
        <w:t xml:space="preserve"> Kvinnokrav i manssamhälle. </w:t>
      </w:r>
      <w:r w:rsidRPr="00F5723F">
        <w:rPr>
          <w:i/>
        </w:rPr>
        <w:t>Rösträtt</w:t>
      </w:r>
      <w:r w:rsidRPr="00F5723F">
        <w:rPr>
          <w:i/>
        </w:rPr>
        <w:t>s</w:t>
      </w:r>
      <w:r w:rsidRPr="00F5723F">
        <w:rPr>
          <w:i/>
        </w:rPr>
        <w:t>kvinnorna och deras metoder som opinionsbildare oc</w:t>
      </w:r>
      <w:r w:rsidRPr="00F5723F">
        <w:rPr>
          <w:i/>
        </w:rPr>
        <w:t>h påtryckargrupp i Sverige 1902–</w:t>
      </w:r>
      <w:r w:rsidRPr="00F5723F">
        <w:rPr>
          <w:i/>
        </w:rPr>
        <w:t>1921</w:t>
      </w:r>
      <w:r w:rsidRPr="00F5723F">
        <w:t>, Uppsala</w:t>
      </w:r>
      <w:r w:rsidRPr="00F5723F">
        <w:t>. Christina Florin &amp; Josefin Rönnbäck</w:t>
      </w:r>
      <w:r w:rsidRPr="00F5723F">
        <w:t xml:space="preserve"> (2001), </w:t>
      </w:r>
      <w:r w:rsidRPr="00F5723F">
        <w:t>”Gamla och nya rum i polit</w:t>
      </w:r>
      <w:r w:rsidRPr="00F5723F">
        <w:t>i</w:t>
      </w:r>
      <w:r w:rsidRPr="00F5723F">
        <w:t>ken. Kvinnorösträt</w:t>
      </w:r>
      <w:r w:rsidRPr="00F5723F">
        <w:t>tsrörelsen som bildningsprojekt</w:t>
      </w:r>
      <w:r w:rsidRPr="00F5723F">
        <w:t xml:space="preserve">” i </w:t>
      </w:r>
      <w:r w:rsidRPr="00F5723F">
        <w:rPr>
          <w:i/>
        </w:rPr>
        <w:t>Rösträtten 80 år</w:t>
      </w:r>
      <w:r w:rsidRPr="00F5723F">
        <w:rPr>
          <w:i/>
        </w:rPr>
        <w:t>– forskarantologi</w:t>
      </w:r>
      <w:r w:rsidRPr="00F5723F">
        <w:t>, Christe</w:t>
      </w:r>
      <w:r w:rsidRPr="00F5723F">
        <w:t>r Jönsson red. (2001), Stockholm: Justitiedepartementet,</w:t>
      </w:r>
      <w:r w:rsidRPr="00F5723F">
        <w:t xml:space="preserve"> J</w:t>
      </w:r>
      <w:r w:rsidRPr="00F5723F">
        <w:t>o</w:t>
      </w:r>
      <w:r w:rsidRPr="00F5723F">
        <w:t>sefin Rönnbäck</w:t>
      </w:r>
      <w:r w:rsidRPr="00F5723F">
        <w:t xml:space="preserve"> (2000), ”Rösträttsrörelsens kvinnor –</w:t>
      </w:r>
      <w:r w:rsidRPr="00F5723F">
        <w:t xml:space="preserve"> konflikt och i samförstånd” i </w:t>
      </w:r>
      <w:r w:rsidRPr="00F5723F">
        <w:rPr>
          <w:i/>
        </w:rPr>
        <w:t>Kvinnovetenska</w:t>
      </w:r>
      <w:r w:rsidRPr="00F5723F">
        <w:rPr>
          <w:i/>
        </w:rPr>
        <w:t>p</w:t>
      </w:r>
      <w:r w:rsidRPr="00F5723F">
        <w:rPr>
          <w:i/>
        </w:rPr>
        <w:t>lig Tidskrift</w:t>
      </w:r>
      <w:r w:rsidRPr="00F5723F">
        <w:rPr>
          <w:i/>
        </w:rPr>
        <w:t>,</w:t>
      </w:r>
      <w:r w:rsidRPr="00F5723F">
        <w:t xml:space="preserve"> 2000:4, s. 29–</w:t>
      </w:r>
      <w:r w:rsidRPr="00F5723F">
        <w:t>50, Josefin Rönnbäck</w:t>
      </w:r>
      <w:r w:rsidRPr="00F5723F">
        <w:t xml:space="preserve"> (2004),</w:t>
      </w:r>
      <w:r w:rsidRPr="00F5723F">
        <w:t xml:space="preserve"> ”Dubbla strategier –</w:t>
      </w:r>
      <w:r w:rsidRPr="00F5723F">
        <w:t xml:space="preserve"> </w:t>
      </w:r>
      <w:r w:rsidRPr="00F5723F">
        <w:t>med och utan män</w:t>
      </w:r>
      <w:r w:rsidRPr="00F5723F">
        <w:t xml:space="preserve"> i kampen för kvinnors rösträtt</w:t>
      </w:r>
      <w:r w:rsidRPr="00F5723F">
        <w:t xml:space="preserve">” i </w:t>
      </w:r>
      <w:r w:rsidRPr="00F5723F">
        <w:rPr>
          <w:i/>
        </w:rPr>
        <w:t>Än män då? Kön och feminism i Sverige under 150 år</w:t>
      </w:r>
      <w:r w:rsidRPr="00F5723F">
        <w:t>, Yv</w:t>
      </w:r>
      <w:r w:rsidRPr="00F5723F">
        <w:t>onne Svanström &amp; Kjell Östberg red. (2004), Stockholm</w:t>
      </w:r>
      <w:r w:rsidRPr="00F5723F">
        <w:t>, s</w:t>
      </w:r>
      <w:r w:rsidRPr="00F5723F">
        <w:t>id. 85–115,</w:t>
      </w:r>
      <w:r w:rsidRPr="00F5723F">
        <w:t xml:space="preserve"> Christina Florin</w:t>
      </w:r>
      <w:r w:rsidRPr="00F5723F">
        <w:t xml:space="preserve"> (2004),</w:t>
      </w:r>
      <w:r w:rsidRPr="00F5723F">
        <w:t xml:space="preserve"> ”Män som strategi: Rösträttskvi</w:t>
      </w:r>
      <w:r w:rsidRPr="00F5723F">
        <w:t>n</w:t>
      </w:r>
      <w:r w:rsidRPr="00F5723F">
        <w:t>nornas informella vägar til</w:t>
      </w:r>
      <w:r w:rsidRPr="00F5723F">
        <w:t>l det politiska medborgarskapet</w:t>
      </w:r>
      <w:r w:rsidRPr="00F5723F">
        <w:t xml:space="preserve">” i </w:t>
      </w:r>
      <w:r w:rsidRPr="00F5723F">
        <w:rPr>
          <w:i/>
        </w:rPr>
        <w:t xml:space="preserve">Än män då? Kön och feminism i Sverige under </w:t>
      </w:r>
      <w:r w:rsidRPr="00F5723F">
        <w:t>150 år</w:t>
      </w:r>
      <w:r w:rsidRPr="00F5723F">
        <w:t>, Yv</w:t>
      </w:r>
      <w:r w:rsidRPr="00F5723F">
        <w:t>onne Sva</w:t>
      </w:r>
      <w:r w:rsidRPr="00F5723F">
        <w:t>n</w:t>
      </w:r>
      <w:r w:rsidRPr="00F5723F">
        <w:t>ström &amp; Kjell Östberg red. (2004), Stockholm</w:t>
      </w:r>
      <w:r w:rsidRPr="00F5723F">
        <w:t>, s</w:t>
      </w:r>
      <w:r w:rsidRPr="00F5723F">
        <w:t>id. 53–</w:t>
      </w:r>
      <w:r w:rsidRPr="00F5723F">
        <w:t>83.</w:t>
      </w:r>
    </w:p>
  </w:footnote>
  <w:footnote w:id="201">
    <w:p w:rsidR="00B43C57" w:rsidRPr="00F5723F" w:rsidRDefault="00B43C57">
      <w:pPr>
        <w:pStyle w:val="Fotnotstextindrag"/>
      </w:pPr>
      <w:r w:rsidRPr="00F5723F">
        <w:rPr>
          <w:rStyle w:val="Fotnotsreferens"/>
          <w:rFonts w:ascii="Garamond" w:hAnsi="Garamond"/>
        </w:rPr>
        <w:footnoteRef/>
      </w:r>
      <w:r w:rsidRPr="00F5723F">
        <w:t xml:space="preserve"> Rönnbäck (2004b).</w:t>
      </w:r>
    </w:p>
  </w:footnote>
  <w:footnote w:id="202">
    <w:p w:rsidR="00B43C57" w:rsidRPr="00F5723F" w:rsidRDefault="00B43C57">
      <w:pPr>
        <w:pStyle w:val="Fotnotstextindrag"/>
      </w:pPr>
      <w:r w:rsidRPr="00F5723F">
        <w:rPr>
          <w:rStyle w:val="Fotnotsreferens"/>
          <w:rFonts w:ascii="Garamond" w:hAnsi="Garamond"/>
        </w:rPr>
        <w:footnoteRef/>
      </w:r>
      <w:r w:rsidRPr="00F5723F">
        <w:t xml:space="preserve"> Se </w:t>
      </w:r>
      <w:r w:rsidRPr="00F5723F">
        <w:t>till exempel</w:t>
      </w:r>
      <w:r w:rsidRPr="00F5723F">
        <w:t xml:space="preserve"> Christina Carlsson (1986), </w:t>
      </w:r>
      <w:r w:rsidRPr="00F5723F">
        <w:rPr>
          <w:i/>
        </w:rPr>
        <w:t xml:space="preserve">Kvinnosyn och kvinnopolitik. </w:t>
      </w:r>
      <w:r w:rsidRPr="00F5723F">
        <w:rPr>
          <w:i/>
        </w:rPr>
        <w:t>En studie av svensk socialdemokrati 1880-1910</w:t>
      </w:r>
      <w:r w:rsidRPr="00F5723F">
        <w:t>, Lund: Lunds universitet,</w:t>
      </w:r>
      <w:r w:rsidRPr="00F5723F">
        <w:t xml:space="preserve"> Louise Drangel</w:t>
      </w:r>
      <w:r w:rsidRPr="00F5723F">
        <w:t xml:space="preserve"> (1984)</w:t>
      </w:r>
      <w:r w:rsidRPr="00F5723F">
        <w:t xml:space="preserve">, ”Folkpartiet och jämställdhetsfrågan” i </w:t>
      </w:r>
      <w:r w:rsidRPr="00F5723F">
        <w:rPr>
          <w:i/>
        </w:rPr>
        <w:t>Li</w:t>
      </w:r>
      <w:r w:rsidRPr="00F5723F">
        <w:rPr>
          <w:i/>
        </w:rPr>
        <w:t>beral ideologi och politik 1934–</w:t>
      </w:r>
      <w:r w:rsidRPr="00F5723F">
        <w:rPr>
          <w:i/>
        </w:rPr>
        <w:t>1984</w:t>
      </w:r>
      <w:r w:rsidRPr="00F5723F">
        <w:t>, Fa</w:t>
      </w:r>
      <w:r w:rsidRPr="00F5723F">
        <w:t>l</w:t>
      </w:r>
      <w:r w:rsidRPr="00F5723F">
        <w:t>köping: AB Folk och Samhälle,</w:t>
      </w:r>
      <w:r w:rsidRPr="00F5723F">
        <w:t xml:space="preserve"> Yvonne Hirdman</w:t>
      </w:r>
      <w:r w:rsidRPr="00F5723F">
        <w:t xml:space="preserve"> (1992)</w:t>
      </w:r>
      <w:r w:rsidRPr="00F5723F">
        <w:t>, ”Rosa Mayreders stora förtvivlan. En analys av det kvin</w:t>
      </w:r>
      <w:r w:rsidRPr="00F5723F">
        <w:t>novetenskapliga dilemmat samart–</w:t>
      </w:r>
      <w:r w:rsidRPr="00F5723F">
        <w:t xml:space="preserve">särart” i </w:t>
      </w:r>
      <w:r w:rsidRPr="00F5723F">
        <w:rPr>
          <w:i/>
        </w:rPr>
        <w:t>Kvinnovetenskaplig Tidskrift</w:t>
      </w:r>
      <w:r w:rsidRPr="00F5723F">
        <w:t>, 1992:2, s</w:t>
      </w:r>
      <w:r w:rsidRPr="00F5723F">
        <w:t>id. 35–</w:t>
      </w:r>
      <w:r w:rsidRPr="00F5723F">
        <w:t>49, Yvonne Hirdman</w:t>
      </w:r>
      <w:r w:rsidRPr="00F5723F">
        <w:t xml:space="preserve"> (1992)</w:t>
      </w:r>
      <w:r w:rsidRPr="00F5723F">
        <w:t xml:space="preserve">, </w:t>
      </w:r>
      <w:r w:rsidRPr="00F5723F">
        <w:rPr>
          <w:i/>
        </w:rPr>
        <w:t>Den s</w:t>
      </w:r>
      <w:r w:rsidRPr="00F5723F">
        <w:rPr>
          <w:i/>
        </w:rPr>
        <w:t>o</w:t>
      </w:r>
      <w:r w:rsidRPr="00F5723F">
        <w:rPr>
          <w:i/>
        </w:rPr>
        <w:t xml:space="preserve">cialistiska hemmafrun och andra </w:t>
      </w:r>
      <w:r w:rsidRPr="00F5723F">
        <w:rPr>
          <w:i/>
        </w:rPr>
        <w:t xml:space="preserve">kvinnohistorier, </w:t>
      </w:r>
      <w:r w:rsidRPr="00F5723F">
        <w:t>Stockholm</w:t>
      </w:r>
      <w:r w:rsidRPr="00F5723F">
        <w:t>, s</w:t>
      </w:r>
      <w:r w:rsidRPr="00F5723F">
        <w:t>id. 36–</w:t>
      </w:r>
      <w:r w:rsidRPr="00F5723F">
        <w:t>112, samt Stina Nicklasson</w:t>
      </w:r>
      <w:r w:rsidRPr="00F5723F">
        <w:t xml:space="preserve"> (1992)</w:t>
      </w:r>
      <w:r w:rsidRPr="00F5723F">
        <w:t xml:space="preserve">, </w:t>
      </w:r>
      <w:r w:rsidRPr="00F5723F">
        <w:rPr>
          <w:i/>
        </w:rPr>
        <w:t>Högerns kvinnor. Problem eller resurs för Allmänna valmans</w:t>
      </w:r>
      <w:r w:rsidRPr="00F5723F">
        <w:rPr>
          <w:i/>
        </w:rPr>
        <w:t>fö</w:t>
      </w:r>
      <w:r w:rsidRPr="00F5723F">
        <w:rPr>
          <w:i/>
        </w:rPr>
        <w:t>r</w:t>
      </w:r>
      <w:r w:rsidRPr="00F5723F">
        <w:rPr>
          <w:i/>
        </w:rPr>
        <w:t>bundet per</w:t>
      </w:r>
      <w:r w:rsidRPr="00F5723F">
        <w:rPr>
          <w:i/>
        </w:rPr>
        <w:t>i</w:t>
      </w:r>
      <w:r w:rsidRPr="00F5723F">
        <w:rPr>
          <w:i/>
        </w:rPr>
        <w:t>oden 1900–</w:t>
      </w:r>
      <w:r w:rsidRPr="00F5723F">
        <w:rPr>
          <w:i/>
        </w:rPr>
        <w:t>1936/37,</w:t>
      </w:r>
      <w:r w:rsidRPr="00F5723F">
        <w:t xml:space="preserve"> Sto</w:t>
      </w:r>
      <w:r w:rsidRPr="00F5723F">
        <w:t>ckholm: Almkvist &amp; Wiksell</w:t>
      </w:r>
      <w:r w:rsidRPr="00F5723F">
        <w:t>.</w:t>
      </w:r>
    </w:p>
  </w:footnote>
  <w:footnote w:id="203">
    <w:p w:rsidR="00B43C57" w:rsidRPr="00F5723F" w:rsidRDefault="00B43C57">
      <w:pPr>
        <w:pStyle w:val="Fotnotstextindrag"/>
      </w:pPr>
      <w:r w:rsidRPr="00F5723F">
        <w:rPr>
          <w:rStyle w:val="Fotnotsreferens"/>
          <w:rFonts w:ascii="Garamond" w:hAnsi="Garamond"/>
        </w:rPr>
        <w:footnoteRef/>
      </w:r>
      <w:r w:rsidRPr="00F5723F">
        <w:t xml:space="preserve"> Manns (1997).</w:t>
      </w:r>
    </w:p>
  </w:footnote>
  <w:footnote w:id="204">
    <w:p w:rsidR="00B43C57" w:rsidRPr="00F5723F" w:rsidRDefault="00B43C57">
      <w:pPr>
        <w:pStyle w:val="Fotnotstextindrag"/>
      </w:pPr>
      <w:r w:rsidRPr="00F5723F">
        <w:rPr>
          <w:rStyle w:val="Fotnotsreferens"/>
        </w:rPr>
        <w:footnoteRef/>
      </w:r>
      <w:r w:rsidRPr="00F5723F">
        <w:t xml:space="preserve"> Se </w:t>
      </w:r>
      <w:r w:rsidRPr="00F5723F">
        <w:t>till exempel</w:t>
      </w:r>
      <w:r w:rsidRPr="00F5723F">
        <w:t xml:space="preserve"> Niklas Stenlås (2001), ”Demokratins vedersakare? Högerns kamp för och emot demokratin” i </w:t>
      </w:r>
      <w:r w:rsidRPr="00F5723F">
        <w:rPr>
          <w:i/>
        </w:rPr>
        <w:t>Rösträtten 80 år–</w:t>
      </w:r>
      <w:r w:rsidRPr="00F5723F">
        <w:rPr>
          <w:i/>
        </w:rPr>
        <w:t xml:space="preserve"> forskarantologi</w:t>
      </w:r>
      <w:r w:rsidRPr="00F5723F">
        <w:t>, Christer Jönsson red. (2001), Stockholm: Just</w:t>
      </w:r>
      <w:r w:rsidRPr="00F5723F">
        <w:t>i</w:t>
      </w:r>
      <w:r w:rsidRPr="00F5723F">
        <w:t>tiedepartementet, Lenita Freidenvall (2003a), ”Debatten om den ’lilla’ rösträttsfrågan – en an</w:t>
      </w:r>
      <w:r w:rsidRPr="00F5723F">
        <w:t>alys av riksdagsdebatterna 1884–</w:t>
      </w:r>
      <w:r w:rsidRPr="00F5723F">
        <w:t xml:space="preserve">1921 om kvinnors rösträtt” </w:t>
      </w:r>
      <w:r w:rsidRPr="00F5723F">
        <w:rPr>
          <w:i/>
        </w:rPr>
        <w:t>Working Papers 2003:1</w:t>
      </w:r>
      <w:r w:rsidRPr="00F5723F">
        <w:t>, Statsvetenskapli</w:t>
      </w:r>
      <w:r w:rsidRPr="00F5723F">
        <w:t>ga institutionen, Stockholms u</w:t>
      </w:r>
      <w:r w:rsidRPr="00F5723F">
        <w:t>n</w:t>
      </w:r>
      <w:r w:rsidRPr="00F5723F">
        <w:t>i</w:t>
      </w:r>
      <w:r w:rsidRPr="00F5723F">
        <w:t xml:space="preserve">versitet, Görel Granström (1998), ”Kampen för kvinnlig rösträtt” i </w:t>
      </w:r>
      <w:r w:rsidRPr="00F5723F">
        <w:rPr>
          <w:i/>
        </w:rPr>
        <w:t>Folkets Historia</w:t>
      </w:r>
      <w:r w:rsidRPr="00F5723F">
        <w:t xml:space="preserve"> 26(1998):3/4, sid</w:t>
      </w:r>
      <w:r w:rsidRPr="00F5723F">
        <w:t>. 10–</w:t>
      </w:r>
      <w:r w:rsidRPr="00F5723F">
        <w:t>31, Barbro Björkhem, Christina Ber</w:t>
      </w:r>
      <w:r w:rsidRPr="00F5723F">
        <w:t>g</w:t>
      </w:r>
      <w:r w:rsidRPr="00F5723F">
        <w:t xml:space="preserve">qvist, Louise Gerdemo Holmgren och Lena Wängnerud (1994), </w:t>
      </w:r>
      <w:r w:rsidRPr="00F5723F">
        <w:rPr>
          <w:i/>
        </w:rPr>
        <w:t>Rätt att rösta 1919–</w:t>
      </w:r>
      <w:r w:rsidRPr="00F5723F">
        <w:rPr>
          <w:i/>
        </w:rPr>
        <w:t>1999. Så fick kvinnor politiskt inflytande</w:t>
      </w:r>
      <w:r w:rsidRPr="00F5723F">
        <w:t>, Stockholm: Sveriges r</w:t>
      </w:r>
      <w:r w:rsidRPr="00F5723F">
        <w:t>iksdag, samt Ruth Ha</w:t>
      </w:r>
      <w:r w:rsidRPr="00F5723F">
        <w:t>m</w:t>
      </w:r>
      <w:r w:rsidRPr="00F5723F">
        <w:t xml:space="preserve">rin red. (1969), </w:t>
      </w:r>
      <w:r w:rsidRPr="00F5723F">
        <w:rPr>
          <w:i/>
        </w:rPr>
        <w:t>Kvinnors röst och r</w:t>
      </w:r>
      <w:r w:rsidRPr="00F5723F">
        <w:rPr>
          <w:i/>
        </w:rPr>
        <w:t>ätt,</w:t>
      </w:r>
      <w:r w:rsidRPr="00F5723F">
        <w:t xml:space="preserve"> Stockholm: Allmänna förlaget.</w:t>
      </w:r>
    </w:p>
  </w:footnote>
  <w:footnote w:id="205">
    <w:p w:rsidR="00B43C57" w:rsidRPr="00F5723F" w:rsidRDefault="00B43C57">
      <w:pPr>
        <w:pStyle w:val="Fotnotstextindrag"/>
      </w:pPr>
      <w:r w:rsidRPr="00F5723F">
        <w:rPr>
          <w:rStyle w:val="Fotnotsreferens"/>
        </w:rPr>
        <w:footnoteRef/>
      </w:r>
      <w:r w:rsidRPr="00F5723F">
        <w:t xml:space="preserve"> Se under avsnittet Politisk representation.</w:t>
      </w:r>
    </w:p>
  </w:footnote>
  <w:footnote w:id="206">
    <w:p w:rsidR="00B43C57" w:rsidRPr="00F5723F" w:rsidRDefault="00B43C57">
      <w:pPr>
        <w:pStyle w:val="Fotnotstextindrag"/>
        <w:rPr>
          <w:rStyle w:val="FotnotstextindragChar"/>
        </w:rPr>
      </w:pPr>
      <w:r w:rsidRPr="00F5723F">
        <w:rPr>
          <w:rStyle w:val="Fotnotsreferens"/>
        </w:rPr>
        <w:footnoteRef/>
      </w:r>
      <w:r w:rsidRPr="00F5723F">
        <w:t xml:space="preserve"> </w:t>
      </w:r>
      <w:r w:rsidRPr="00F5723F">
        <w:rPr>
          <w:rStyle w:val="FotnotstextindragChar"/>
        </w:rPr>
        <w:t xml:space="preserve">För studier om kvinnorepresentation i de respektive nordiska länderna, se </w:t>
      </w:r>
      <w:r w:rsidRPr="00F5723F">
        <w:rPr>
          <w:rStyle w:val="FotnotstextindragChar"/>
        </w:rPr>
        <w:t>till e</w:t>
      </w:r>
      <w:r w:rsidRPr="00F5723F">
        <w:rPr>
          <w:rStyle w:val="FotnotstextindragChar"/>
        </w:rPr>
        <w:t>x</w:t>
      </w:r>
      <w:r w:rsidRPr="00F5723F">
        <w:rPr>
          <w:rStyle w:val="FotnotstextindragChar"/>
        </w:rPr>
        <w:t>empel</w:t>
      </w:r>
      <w:r w:rsidRPr="00F5723F">
        <w:rPr>
          <w:rStyle w:val="FotnotstextindragChar"/>
        </w:rPr>
        <w:t xml:space="preserve"> Danmark: Ellen Strange Peters red. (1965</w:t>
      </w:r>
      <w:r w:rsidRPr="00F5723F">
        <w:rPr>
          <w:rStyle w:val="FotnotstextindragChar"/>
          <w:i/>
        </w:rPr>
        <w:t>), Kvinderne og valgretten</w:t>
      </w:r>
      <w:r w:rsidRPr="00F5723F">
        <w:rPr>
          <w:rStyle w:val="FotnotstextindragChar"/>
        </w:rPr>
        <w:t>,</w:t>
      </w:r>
      <w:r w:rsidRPr="00F5723F">
        <w:rPr>
          <w:rStyle w:val="FotnotstextindragChar"/>
        </w:rPr>
        <w:t xml:space="preserve"> Köpe</w:t>
      </w:r>
      <w:r w:rsidRPr="00F5723F">
        <w:rPr>
          <w:rStyle w:val="FotnotstextindragChar"/>
        </w:rPr>
        <w:t>n</w:t>
      </w:r>
      <w:r w:rsidRPr="00F5723F">
        <w:rPr>
          <w:rStyle w:val="FotnotstextindragChar"/>
        </w:rPr>
        <w:t xml:space="preserve">hamn: Schults Förlag, Drude Dahlerup och Kristian Hvidt red. (1990), </w:t>
      </w:r>
      <w:r w:rsidRPr="00F5723F">
        <w:rPr>
          <w:rStyle w:val="FotnotstextindragChar"/>
          <w:i/>
        </w:rPr>
        <w:t>Kvinder på Tinge</w:t>
      </w:r>
      <w:r w:rsidRPr="00F5723F">
        <w:rPr>
          <w:rStyle w:val="FotnotstextindragChar"/>
        </w:rPr>
        <w:t xml:space="preserve">, Köpenhamn: Rosinante samt Anette Borchorst red. (2002), </w:t>
      </w:r>
      <w:r w:rsidRPr="00F5723F">
        <w:rPr>
          <w:rStyle w:val="FotnotstextindragChar"/>
          <w:i/>
        </w:rPr>
        <w:t>Kø</w:t>
      </w:r>
      <w:r w:rsidRPr="00F5723F">
        <w:rPr>
          <w:rStyle w:val="FotnotstextindragChar"/>
          <w:i/>
        </w:rPr>
        <w:t>nsmagt under forandring</w:t>
      </w:r>
      <w:r w:rsidRPr="00F5723F">
        <w:rPr>
          <w:rStyle w:val="FotnotstextindragChar"/>
        </w:rPr>
        <w:t>,</w:t>
      </w:r>
      <w:r w:rsidRPr="00F5723F">
        <w:rPr>
          <w:rStyle w:val="FotnotstextindragChar"/>
        </w:rPr>
        <w:t xml:space="preserve"> </w:t>
      </w:r>
      <w:r w:rsidRPr="00F5723F">
        <w:rPr>
          <w:rStyle w:val="FotnotstextindragChar"/>
        </w:rPr>
        <w:t>Köpenhamn: Hans Reitzels forlag;</w:t>
      </w:r>
      <w:r w:rsidRPr="00F5723F">
        <w:rPr>
          <w:rStyle w:val="FotnotstextindragChar"/>
        </w:rPr>
        <w:t xml:space="preserve"> Norge: Knut Heidar (1988), </w:t>
      </w:r>
      <w:r w:rsidRPr="00F5723F">
        <w:rPr>
          <w:rStyle w:val="FotnotstextindragChar"/>
          <w:i/>
        </w:rPr>
        <w:t>Partid</w:t>
      </w:r>
      <w:r w:rsidRPr="00F5723F">
        <w:rPr>
          <w:rStyle w:val="FotnotstextindragChar"/>
          <w:i/>
        </w:rPr>
        <w:t>e</w:t>
      </w:r>
      <w:r w:rsidRPr="00F5723F">
        <w:rPr>
          <w:rStyle w:val="FotnotstextindragChar"/>
          <w:i/>
        </w:rPr>
        <w:t>mokrati på prø</w:t>
      </w:r>
      <w:r w:rsidRPr="00F5723F">
        <w:rPr>
          <w:rStyle w:val="FotnotstextindragChar"/>
          <w:i/>
        </w:rPr>
        <w:t>ve</w:t>
      </w:r>
      <w:r w:rsidRPr="00F5723F">
        <w:rPr>
          <w:rStyle w:val="FotnotstextindragChar"/>
        </w:rPr>
        <w:t>,</w:t>
      </w:r>
      <w:r w:rsidRPr="00F5723F">
        <w:rPr>
          <w:rStyle w:val="FotnotstextindragChar"/>
        </w:rPr>
        <w:t xml:space="preserve"> Oslo: Universitetsforlaget och Hege Skjeie (1992), </w:t>
      </w:r>
      <w:r w:rsidRPr="00F5723F">
        <w:rPr>
          <w:rStyle w:val="FotnotstextindragChar"/>
          <w:i/>
        </w:rPr>
        <w:t>Den politiske bety</w:t>
      </w:r>
      <w:r w:rsidRPr="00F5723F">
        <w:rPr>
          <w:rStyle w:val="FotnotstextindragChar"/>
          <w:i/>
        </w:rPr>
        <w:t>d</w:t>
      </w:r>
      <w:r w:rsidRPr="00F5723F">
        <w:rPr>
          <w:rStyle w:val="FotnotstextindragChar"/>
          <w:i/>
        </w:rPr>
        <w:t>ningen</w:t>
      </w:r>
      <w:r w:rsidRPr="00F5723F">
        <w:rPr>
          <w:rStyle w:val="FotnotstextindragChar"/>
          <w:i/>
        </w:rPr>
        <w:t xml:space="preserve"> av kj</w:t>
      </w:r>
      <w:r w:rsidRPr="00F5723F">
        <w:rPr>
          <w:rStyle w:val="FotnotstextindragChar"/>
          <w:i/>
        </w:rPr>
        <w:t>ø</w:t>
      </w:r>
      <w:r w:rsidRPr="00F5723F">
        <w:rPr>
          <w:rStyle w:val="FotnotstextindragChar"/>
          <w:i/>
        </w:rPr>
        <w:t>nn</w:t>
      </w:r>
      <w:r w:rsidRPr="00F5723F">
        <w:rPr>
          <w:rStyle w:val="FotnotstextindragChar"/>
        </w:rPr>
        <w:t>,</w:t>
      </w:r>
      <w:r w:rsidRPr="00F5723F">
        <w:rPr>
          <w:rStyle w:val="FotnotstextindragChar"/>
        </w:rPr>
        <w:t xml:space="preserve"> En studie</w:t>
      </w:r>
      <w:r w:rsidRPr="00F5723F">
        <w:rPr>
          <w:rStyle w:val="FotnotstextindragChar"/>
        </w:rPr>
        <w:t xml:space="preserve"> av norsk topp-politikk. Rapport nr. 11. </w:t>
      </w:r>
      <w:smartTag w:uri="urn:schemas-microsoft-com:office:smarttags" w:element="City">
        <w:r w:rsidRPr="00F5723F">
          <w:rPr>
            <w:rStyle w:val="FotnotstextindragChar"/>
          </w:rPr>
          <w:t>Oslo</w:t>
        </w:r>
      </w:smartTag>
      <w:r w:rsidRPr="00F5723F">
        <w:rPr>
          <w:rStyle w:val="FotnotstextindragChar"/>
        </w:rPr>
        <w:t>: Institutt for sa</w:t>
      </w:r>
      <w:r w:rsidRPr="00F5723F">
        <w:rPr>
          <w:rStyle w:val="FotnotstextindragChar"/>
        </w:rPr>
        <w:t>m</w:t>
      </w:r>
      <w:r w:rsidRPr="00F5723F">
        <w:rPr>
          <w:rStyle w:val="FotnotstextindragChar"/>
        </w:rPr>
        <w:t xml:space="preserve">funnsforskning; </w:t>
      </w:r>
      <w:smartTag w:uri="urn:schemas-microsoft-com:office:smarttags" w:element="place">
        <w:r w:rsidRPr="00F5723F">
          <w:rPr>
            <w:rStyle w:val="FotnotstextindragChar"/>
          </w:rPr>
          <w:t>Island</w:t>
        </w:r>
      </w:smartTag>
      <w:r w:rsidRPr="00F5723F">
        <w:rPr>
          <w:rStyle w:val="FotnotstextindragChar"/>
        </w:rPr>
        <w:t xml:space="preserve">: Audur Styrkársdóttir (1998), </w:t>
      </w:r>
      <w:r w:rsidRPr="00F5723F">
        <w:rPr>
          <w:rStyle w:val="FotnotstextindragChar"/>
          <w:i/>
        </w:rPr>
        <w:t>From Feminism to Class Pol</w:t>
      </w:r>
      <w:r w:rsidRPr="00F5723F">
        <w:rPr>
          <w:rStyle w:val="FotnotstextindragChar"/>
          <w:i/>
        </w:rPr>
        <w:t>i</w:t>
      </w:r>
      <w:r w:rsidRPr="00F5723F">
        <w:rPr>
          <w:rStyle w:val="FotnotstextindragChar"/>
          <w:i/>
        </w:rPr>
        <w:t>tics. The Rise and Decline of Women’s Politics in Reykjavík</w:t>
      </w:r>
      <w:r w:rsidRPr="00F5723F">
        <w:rPr>
          <w:rStyle w:val="FotnotstextindragChar"/>
        </w:rPr>
        <w:t>, 1908–1922,</w:t>
      </w:r>
      <w:r w:rsidRPr="00F5723F">
        <w:rPr>
          <w:rStyle w:val="FotnotstextindragChar"/>
        </w:rPr>
        <w:t xml:space="preserve"> </w:t>
      </w:r>
      <w:smartTag w:uri="urn:schemas-microsoft-com:office:smarttags" w:element="PlaceName">
        <w:r w:rsidRPr="00F5723F">
          <w:rPr>
            <w:rStyle w:val="FotnotstextindragChar"/>
          </w:rPr>
          <w:t>Umeå</w:t>
        </w:r>
      </w:smartTag>
      <w:r w:rsidRPr="00F5723F">
        <w:rPr>
          <w:rStyle w:val="FotnotstextindragChar"/>
        </w:rPr>
        <w:t xml:space="preserve"> </w:t>
      </w:r>
      <w:smartTag w:uri="urn:schemas-microsoft-com:office:smarttags" w:element="PlaceType">
        <w:r w:rsidRPr="00F5723F">
          <w:rPr>
            <w:rStyle w:val="FotnotstextindragChar"/>
          </w:rPr>
          <w:t>Un</w:t>
        </w:r>
        <w:r w:rsidRPr="00F5723F">
          <w:rPr>
            <w:rStyle w:val="FotnotstextindragChar"/>
          </w:rPr>
          <w:t>i</w:t>
        </w:r>
        <w:r w:rsidRPr="00F5723F">
          <w:rPr>
            <w:rStyle w:val="FotnotstextindragChar"/>
          </w:rPr>
          <w:t>versity</w:t>
        </w:r>
      </w:smartTag>
      <w:r w:rsidRPr="00F5723F">
        <w:rPr>
          <w:rStyle w:val="FotnotstextindragChar"/>
        </w:rPr>
        <w:t xml:space="preserve">: Department of Political Science, samt </w:t>
      </w:r>
      <w:smartTag w:uri="urn:schemas-microsoft-com:office:smarttags" w:element="country-region">
        <w:smartTag w:uri="urn:schemas-microsoft-com:office:smarttags" w:element="place">
          <w:r w:rsidRPr="00F5723F">
            <w:rPr>
              <w:rStyle w:val="FotnotstextindragChar"/>
            </w:rPr>
            <w:t>Finland</w:t>
          </w:r>
        </w:smartTag>
      </w:smartTag>
      <w:r w:rsidRPr="00F5723F">
        <w:rPr>
          <w:rStyle w:val="FotnotstextindragChar"/>
        </w:rPr>
        <w:t xml:space="preserve">: Jaana Kuusipalo (1992), ”Finnish Women in Top-Level Politics” i Marja Keränen red. </w:t>
      </w:r>
      <w:r w:rsidRPr="00F5723F">
        <w:rPr>
          <w:rStyle w:val="FotnotstextindragChar"/>
          <w:i/>
        </w:rPr>
        <w:t>Finnish ”Undemo</w:t>
      </w:r>
      <w:r w:rsidRPr="00F5723F">
        <w:rPr>
          <w:rStyle w:val="FotnotstextindragChar"/>
          <w:i/>
        </w:rPr>
        <w:t>c</w:t>
      </w:r>
      <w:r w:rsidRPr="00F5723F">
        <w:rPr>
          <w:rStyle w:val="FotnotstextindragChar"/>
          <w:i/>
        </w:rPr>
        <w:t>racy”, Essays on Gender and Politics</w:t>
      </w:r>
      <w:r w:rsidRPr="00F5723F">
        <w:rPr>
          <w:rStyle w:val="FotnotstextindragChar"/>
        </w:rPr>
        <w:t>,</w:t>
      </w:r>
      <w:r w:rsidRPr="00F5723F">
        <w:rPr>
          <w:rStyle w:val="FotnotstextindragChar"/>
        </w:rPr>
        <w:t xml:space="preserve"> The Finnis</w:t>
      </w:r>
      <w:r w:rsidRPr="00F5723F">
        <w:rPr>
          <w:rStyle w:val="FotnotstextindragChar"/>
        </w:rPr>
        <w:t>h Political Science Association,</w:t>
      </w:r>
      <w:r w:rsidRPr="00F5723F">
        <w:rPr>
          <w:rStyle w:val="FotnotstextindragChar"/>
        </w:rPr>
        <w:t xml:space="preserve"> </w:t>
      </w:r>
      <w:r w:rsidRPr="00F5723F">
        <w:rPr>
          <w:rStyle w:val="FotnotstextindragChar"/>
        </w:rPr>
        <w:t>Jyväskylä: Gumm</w:t>
      </w:r>
      <w:r w:rsidRPr="00F5723F">
        <w:rPr>
          <w:rStyle w:val="FotnotstextindragChar"/>
        </w:rPr>
        <w:t>e</w:t>
      </w:r>
      <w:r w:rsidRPr="00F5723F">
        <w:rPr>
          <w:rStyle w:val="FotnotstextindragChar"/>
        </w:rPr>
        <w:t xml:space="preserve">rus. </w:t>
      </w:r>
      <w:r w:rsidRPr="00F5723F">
        <w:rPr>
          <w:rStyle w:val="FotnotstextindragChar"/>
        </w:rPr>
        <w:t>Sverige: För Sveriges del behan</w:t>
      </w:r>
      <w:r w:rsidRPr="00F5723F">
        <w:rPr>
          <w:rStyle w:val="FotnotstextindragChar"/>
        </w:rPr>
        <w:t xml:space="preserve">dlas kvinnorepresentationen i riksdagen i </w:t>
      </w:r>
      <w:r w:rsidRPr="00F5723F">
        <w:rPr>
          <w:rStyle w:val="FotnotstextindragChar"/>
        </w:rPr>
        <w:t>till exempel</w:t>
      </w:r>
      <w:r w:rsidRPr="00F5723F">
        <w:rPr>
          <w:rStyle w:val="FotnotstextindragChar"/>
        </w:rPr>
        <w:t xml:space="preserve"> följande studier: Christina Bergqvist (1994), </w:t>
      </w:r>
      <w:r w:rsidRPr="00F5723F">
        <w:rPr>
          <w:rStyle w:val="FotnotstextindragChar"/>
          <w:i/>
        </w:rPr>
        <w:t>Mäns makt och kvinnors intressen</w:t>
      </w:r>
      <w:r w:rsidRPr="00F5723F">
        <w:rPr>
          <w:rStyle w:val="FotnotstextindragChar"/>
        </w:rPr>
        <w:t>, Uppsala: Acta Universitatis Upsaliensis, Skrifter utgivna av Statsv</w:t>
      </w:r>
      <w:r w:rsidRPr="00F5723F">
        <w:rPr>
          <w:rStyle w:val="FotnotstextindragChar"/>
        </w:rPr>
        <w:t>e</w:t>
      </w:r>
      <w:r w:rsidRPr="00F5723F">
        <w:rPr>
          <w:rStyle w:val="FotnotstextindragChar"/>
        </w:rPr>
        <w:t xml:space="preserve">tenskapliga föreningen i Uppsala, Maud Eduards (1977), </w:t>
      </w:r>
      <w:r w:rsidRPr="00F5723F">
        <w:rPr>
          <w:rStyle w:val="FotnotstextindragChar"/>
          <w:i/>
        </w:rPr>
        <w:t>Kvinnor och politik – fakta och förklaringar</w:t>
      </w:r>
      <w:r w:rsidRPr="00F5723F">
        <w:rPr>
          <w:rStyle w:val="FotnotstextindragChar"/>
          <w:i/>
        </w:rPr>
        <w:t>,</w:t>
      </w:r>
      <w:r w:rsidRPr="00F5723F">
        <w:rPr>
          <w:rStyle w:val="FotnotstextindragChar"/>
        </w:rPr>
        <w:t xml:space="preserve"> Stockholm: Liber, Maud Eduards (1980), </w:t>
      </w:r>
      <w:r w:rsidRPr="00F5723F">
        <w:rPr>
          <w:rStyle w:val="FotnotstextindragChar"/>
          <w:i/>
        </w:rPr>
        <w:t>Kvinnoreprese</w:t>
      </w:r>
      <w:r w:rsidRPr="00F5723F">
        <w:rPr>
          <w:rStyle w:val="FotnotstextindragChar"/>
          <w:i/>
        </w:rPr>
        <w:t>n</w:t>
      </w:r>
      <w:r w:rsidRPr="00F5723F">
        <w:rPr>
          <w:rStyle w:val="FotnotstextindragChar"/>
          <w:i/>
        </w:rPr>
        <w:t>tation och kvinnomakt</w:t>
      </w:r>
      <w:r w:rsidRPr="00F5723F">
        <w:rPr>
          <w:rStyle w:val="FotnotstextindragChar"/>
        </w:rPr>
        <w:t>,</w:t>
      </w:r>
      <w:r w:rsidRPr="00F5723F">
        <w:rPr>
          <w:rStyle w:val="FotnotstextindragChar"/>
        </w:rPr>
        <w:t xml:space="preserve"> Forsknin</w:t>
      </w:r>
      <w:r w:rsidRPr="00F5723F">
        <w:rPr>
          <w:rStyle w:val="FotnotstextindragChar"/>
        </w:rPr>
        <w:t>gsrapporter 1980:2, Stockholms u</w:t>
      </w:r>
      <w:r w:rsidRPr="00F5723F">
        <w:rPr>
          <w:rStyle w:val="FotnotstextindragChar"/>
        </w:rPr>
        <w:t>niversitet: Statsv</w:t>
      </w:r>
      <w:r w:rsidRPr="00F5723F">
        <w:rPr>
          <w:rStyle w:val="FotnotstextindragChar"/>
        </w:rPr>
        <w:t>e</w:t>
      </w:r>
      <w:r w:rsidRPr="00F5723F">
        <w:rPr>
          <w:rStyle w:val="FotnotstextindragChar"/>
        </w:rPr>
        <w:t>te</w:t>
      </w:r>
      <w:r w:rsidRPr="00F5723F">
        <w:rPr>
          <w:rStyle w:val="FotnotstextindragChar"/>
        </w:rPr>
        <w:t>n</w:t>
      </w:r>
      <w:r w:rsidRPr="00F5723F">
        <w:rPr>
          <w:rStyle w:val="FotnotstextindragChar"/>
        </w:rPr>
        <w:t xml:space="preserve">skapliga institutionen, Camilla Norrbin (2004), </w:t>
      </w:r>
      <w:r w:rsidRPr="00F5723F">
        <w:rPr>
          <w:rStyle w:val="FotnotstextindragChar"/>
          <w:i/>
        </w:rPr>
        <w:t>Från isolering till in</w:t>
      </w:r>
      <w:r w:rsidRPr="00F5723F">
        <w:rPr>
          <w:rStyle w:val="FotnotstextindragChar"/>
          <w:i/>
        </w:rPr>
        <w:t>tegrering. En kollektivbiografisk studie över de kvinnliga riksdagsledamöterna under tvåkamma</w:t>
      </w:r>
      <w:r w:rsidRPr="00F5723F">
        <w:rPr>
          <w:rStyle w:val="FotnotstextindragChar"/>
          <w:i/>
        </w:rPr>
        <w:t>r</w:t>
      </w:r>
      <w:r w:rsidRPr="00F5723F">
        <w:rPr>
          <w:rStyle w:val="FotnotstextindragChar"/>
          <w:i/>
        </w:rPr>
        <w:t>riksda</w:t>
      </w:r>
      <w:r w:rsidRPr="00F5723F">
        <w:rPr>
          <w:rStyle w:val="FotnotstextindragChar"/>
          <w:i/>
        </w:rPr>
        <w:t>gens tid 1922–</w:t>
      </w:r>
      <w:r w:rsidRPr="00F5723F">
        <w:rPr>
          <w:rStyle w:val="FotnotstextindragChar"/>
          <w:i/>
        </w:rPr>
        <w:t>1970</w:t>
      </w:r>
      <w:r w:rsidRPr="00F5723F">
        <w:rPr>
          <w:rStyle w:val="FotnotstextindragChar"/>
        </w:rPr>
        <w:t>,</w:t>
      </w:r>
      <w:r w:rsidRPr="00F5723F">
        <w:rPr>
          <w:rStyle w:val="FotnotstextindragChar"/>
        </w:rPr>
        <w:t xml:space="preserve"> Umeå universitet: Institutionen för historiska studier, Lena Wängnerud (1998), </w:t>
      </w:r>
      <w:r w:rsidRPr="00F5723F">
        <w:rPr>
          <w:rStyle w:val="FotnotstextindragChar"/>
          <w:i/>
        </w:rPr>
        <w:t>Politikens andra sida: Om k</w:t>
      </w:r>
      <w:r w:rsidRPr="00F5723F">
        <w:rPr>
          <w:rStyle w:val="FotnotstextindragChar"/>
          <w:i/>
        </w:rPr>
        <w:t>vinnorepresentation i Sveriges r</w:t>
      </w:r>
      <w:r w:rsidRPr="00F5723F">
        <w:rPr>
          <w:rStyle w:val="FotnotstextindragChar"/>
          <w:i/>
        </w:rPr>
        <w:t>iks</w:t>
      </w:r>
      <w:r w:rsidRPr="00F5723F">
        <w:rPr>
          <w:rStyle w:val="FotnotstextindragChar"/>
          <w:i/>
        </w:rPr>
        <w:t>dag,</w:t>
      </w:r>
      <w:r w:rsidRPr="00F5723F">
        <w:rPr>
          <w:rStyle w:val="FotnotstextindragChar"/>
        </w:rPr>
        <w:t xml:space="preserve"> Göteborgs Universitet: Göteborg Studies in Politics 53, samt Lenita Fre</w:t>
      </w:r>
      <w:r w:rsidRPr="00F5723F">
        <w:rPr>
          <w:rStyle w:val="FotnotstextindragChar"/>
        </w:rPr>
        <w:t>i</w:t>
      </w:r>
      <w:r w:rsidRPr="00F5723F">
        <w:rPr>
          <w:rStyle w:val="FotnotstextindragChar"/>
        </w:rPr>
        <w:t xml:space="preserve">denvall (kommande), </w:t>
      </w:r>
      <w:r w:rsidRPr="00F5723F">
        <w:rPr>
          <w:rStyle w:val="FotnotstextindragChar"/>
          <w:i/>
        </w:rPr>
        <w:t>Från den obligatoriska kvinnan till varannan damernas. Pol</w:t>
      </w:r>
      <w:r w:rsidRPr="00F5723F">
        <w:rPr>
          <w:rStyle w:val="FotnotstextindragChar"/>
          <w:i/>
        </w:rPr>
        <w:t>i</w:t>
      </w:r>
      <w:r w:rsidRPr="00F5723F">
        <w:rPr>
          <w:rStyle w:val="FotnotstextindragChar"/>
          <w:i/>
        </w:rPr>
        <w:t>tiska partier, kvinnore</w:t>
      </w:r>
      <w:r w:rsidRPr="00F5723F">
        <w:rPr>
          <w:rStyle w:val="FotnotstextindragChar"/>
          <w:i/>
        </w:rPr>
        <w:t>presentation och kvotering 1970–</w:t>
      </w:r>
      <w:r w:rsidRPr="00F5723F">
        <w:rPr>
          <w:rStyle w:val="FotnotstextindragChar"/>
          <w:i/>
        </w:rPr>
        <w:t>2002</w:t>
      </w:r>
      <w:r w:rsidRPr="00F5723F">
        <w:rPr>
          <w:rStyle w:val="FotnotstextindragChar"/>
        </w:rPr>
        <w:t>,</w:t>
      </w:r>
      <w:r w:rsidRPr="00F5723F">
        <w:rPr>
          <w:rStyle w:val="FotnotstextindragChar"/>
        </w:rPr>
        <w:t xml:space="preserve"> Stockholm: Statsvete</w:t>
      </w:r>
      <w:r w:rsidRPr="00F5723F">
        <w:rPr>
          <w:rStyle w:val="FotnotstextindragChar"/>
        </w:rPr>
        <w:t>n</w:t>
      </w:r>
      <w:r w:rsidRPr="00F5723F">
        <w:rPr>
          <w:rStyle w:val="FotnotstextindragChar"/>
        </w:rPr>
        <w:t>skapliga inst</w:t>
      </w:r>
      <w:r w:rsidRPr="00F5723F">
        <w:rPr>
          <w:rStyle w:val="FotnotstextindragChar"/>
        </w:rPr>
        <w:t>i</w:t>
      </w:r>
      <w:r w:rsidRPr="00F5723F">
        <w:rPr>
          <w:rStyle w:val="FotnotstextindragChar"/>
        </w:rPr>
        <w:t xml:space="preserve">tutionen. För komparativa nordiska studier om kvinnorepresentation, se </w:t>
      </w:r>
      <w:r w:rsidRPr="00F5723F">
        <w:rPr>
          <w:rStyle w:val="FotnotstextindragChar"/>
        </w:rPr>
        <w:t>till exempel</w:t>
      </w:r>
      <w:r w:rsidRPr="00F5723F">
        <w:rPr>
          <w:rStyle w:val="FotnotstextindragChar"/>
        </w:rPr>
        <w:t xml:space="preserve"> Christina Bergquist red. (1999), </w:t>
      </w:r>
      <w:r w:rsidRPr="00F5723F">
        <w:rPr>
          <w:rStyle w:val="FotnotstextindragChar"/>
          <w:i/>
        </w:rPr>
        <w:t>Likestilte demokratier? Kjø</w:t>
      </w:r>
      <w:r w:rsidRPr="00F5723F">
        <w:rPr>
          <w:rStyle w:val="FotnotstextindragChar"/>
          <w:i/>
        </w:rPr>
        <w:t>nn og pol</w:t>
      </w:r>
      <w:r w:rsidRPr="00F5723F">
        <w:rPr>
          <w:rStyle w:val="FotnotstextindragChar"/>
          <w:i/>
        </w:rPr>
        <w:t>i</w:t>
      </w:r>
      <w:r w:rsidRPr="00F5723F">
        <w:rPr>
          <w:rStyle w:val="FotnotstextindragChar"/>
          <w:i/>
        </w:rPr>
        <w:t>tikk i No</w:t>
      </w:r>
      <w:r w:rsidRPr="00F5723F">
        <w:rPr>
          <w:rStyle w:val="FotnotstextindragChar"/>
          <w:i/>
        </w:rPr>
        <w:t>r</w:t>
      </w:r>
      <w:r w:rsidRPr="00F5723F">
        <w:rPr>
          <w:rStyle w:val="FotnotstextindragChar"/>
          <w:i/>
        </w:rPr>
        <w:t>den</w:t>
      </w:r>
      <w:r w:rsidRPr="00F5723F">
        <w:rPr>
          <w:rStyle w:val="FotnotstextindragChar"/>
        </w:rPr>
        <w:t>,</w:t>
      </w:r>
      <w:r w:rsidRPr="00F5723F">
        <w:rPr>
          <w:rStyle w:val="FotnotstextindragChar"/>
        </w:rPr>
        <w:t xml:space="preserve"> Oslo: Universitetsforlaget, Lauri Karvonen &amp; Per Selle red. </w:t>
      </w:r>
      <w:r w:rsidRPr="00F5723F">
        <w:rPr>
          <w:rStyle w:val="FotnotstextindragChar"/>
        </w:rPr>
        <w:t xml:space="preserve">(1995), </w:t>
      </w:r>
      <w:r w:rsidRPr="00F5723F">
        <w:rPr>
          <w:rStyle w:val="FotnotstextindragChar"/>
          <w:i/>
        </w:rPr>
        <w:t xml:space="preserve">Women in Nordic politics. </w:t>
      </w:r>
      <w:r w:rsidRPr="00F5723F">
        <w:rPr>
          <w:rStyle w:val="FotnotstextindragChar"/>
          <w:i/>
        </w:rPr>
        <w:t>Closing the Gap</w:t>
      </w:r>
      <w:r w:rsidRPr="00F5723F">
        <w:rPr>
          <w:rStyle w:val="FotnotstextindragChar"/>
        </w:rPr>
        <w:t xml:space="preserve">. Aldershot: </w:t>
      </w:r>
      <w:smartTag w:uri="urn:schemas-microsoft-com:office:smarttags" w:element="place">
        <w:smartTag w:uri="urn:schemas-microsoft-com:office:smarttags" w:element="City">
          <w:r w:rsidRPr="00F5723F">
            <w:rPr>
              <w:rStyle w:val="FotnotstextindragChar"/>
            </w:rPr>
            <w:t>Dartmouth</w:t>
          </w:r>
        </w:smartTag>
      </w:smartTag>
      <w:r w:rsidRPr="00F5723F">
        <w:rPr>
          <w:rStyle w:val="FotnotstextindragChar"/>
        </w:rPr>
        <w:t xml:space="preserve">, samt Elina Haavio-Mannila et al. red. </w:t>
      </w:r>
      <w:r w:rsidRPr="00F5723F">
        <w:rPr>
          <w:rStyle w:val="FotnotstextindragChar"/>
        </w:rPr>
        <w:t xml:space="preserve">(1983), </w:t>
      </w:r>
      <w:r w:rsidRPr="00F5723F">
        <w:rPr>
          <w:rStyle w:val="FotnotstextindragChar"/>
          <w:i/>
        </w:rPr>
        <w:t>Det uferdige demokratiet: Kvinner i nordisk pol</w:t>
      </w:r>
      <w:r w:rsidRPr="00F5723F">
        <w:rPr>
          <w:rStyle w:val="FotnotstextindragChar"/>
          <w:i/>
        </w:rPr>
        <w:t>i</w:t>
      </w:r>
      <w:r w:rsidRPr="00F5723F">
        <w:rPr>
          <w:rStyle w:val="FotnotstextindragChar"/>
          <w:i/>
        </w:rPr>
        <w:t>tikk</w:t>
      </w:r>
      <w:r w:rsidRPr="00F5723F">
        <w:rPr>
          <w:rStyle w:val="FotnotstextindragChar"/>
        </w:rPr>
        <w:t>,</w:t>
      </w:r>
      <w:r w:rsidRPr="00F5723F">
        <w:rPr>
          <w:rStyle w:val="FotnotstextindragChar"/>
        </w:rPr>
        <w:t xml:space="preserve"> Köpenhamn: Nordisk Ministerråd. </w:t>
      </w:r>
      <w:r w:rsidRPr="00F5723F">
        <w:rPr>
          <w:rStyle w:val="FotnotstextindragChar"/>
        </w:rPr>
        <w:t>För teoretiska analyser av kvinnorepresent</w:t>
      </w:r>
      <w:r w:rsidRPr="00F5723F">
        <w:rPr>
          <w:rStyle w:val="FotnotstextindragChar"/>
        </w:rPr>
        <w:t>a</w:t>
      </w:r>
      <w:r w:rsidRPr="00F5723F">
        <w:rPr>
          <w:rStyle w:val="FotnotstextindragChar"/>
        </w:rPr>
        <w:t>tion, se till exempel Hanna Pitkin</w:t>
      </w:r>
      <w:r w:rsidRPr="00F5723F">
        <w:rPr>
          <w:rStyle w:val="FotnotstextindragChar"/>
        </w:rPr>
        <w:t xml:space="preserve"> (1967</w:t>
      </w:r>
      <w:r w:rsidRPr="00F5723F">
        <w:rPr>
          <w:rStyle w:val="FotnotstextindragChar"/>
          <w:i/>
        </w:rPr>
        <w:t>), The Concept of Representation</w:t>
      </w:r>
      <w:r w:rsidRPr="00F5723F">
        <w:rPr>
          <w:rStyle w:val="FotnotstextindragChar"/>
        </w:rPr>
        <w:t xml:space="preserve">, Berkeley och Los Angeles: University of California Press och Anne Phillips (1995), </w:t>
      </w:r>
      <w:r w:rsidRPr="00F5723F">
        <w:rPr>
          <w:rStyle w:val="FotnotstextindragChar"/>
          <w:i/>
        </w:rPr>
        <w:t>The Pol</w:t>
      </w:r>
      <w:r w:rsidRPr="00F5723F">
        <w:rPr>
          <w:rStyle w:val="FotnotstextindragChar"/>
          <w:i/>
        </w:rPr>
        <w:t>i</w:t>
      </w:r>
      <w:r w:rsidRPr="00F5723F">
        <w:rPr>
          <w:rStyle w:val="FotnotstextindragChar"/>
          <w:i/>
        </w:rPr>
        <w:t>tics of Presence</w:t>
      </w:r>
      <w:r w:rsidRPr="00F5723F">
        <w:rPr>
          <w:rStyle w:val="FotnotstextindragChar"/>
        </w:rPr>
        <w:t>, Oxford: O</w:t>
      </w:r>
      <w:r w:rsidRPr="00F5723F">
        <w:rPr>
          <w:rStyle w:val="FotnotstextindragChar"/>
        </w:rPr>
        <w:t>x</w:t>
      </w:r>
      <w:r w:rsidRPr="00F5723F">
        <w:rPr>
          <w:rStyle w:val="FotnotstextindragChar"/>
        </w:rPr>
        <w:t xml:space="preserve">ford University Press. </w:t>
      </w:r>
    </w:p>
  </w:footnote>
  <w:footnote w:id="207">
    <w:p w:rsidR="00B43C57" w:rsidRPr="00F5723F" w:rsidRDefault="00B43C57">
      <w:pPr>
        <w:pStyle w:val="Fotnotstextindrag"/>
      </w:pPr>
      <w:r w:rsidRPr="00F5723F">
        <w:rPr>
          <w:rStyle w:val="Fotnotsreferens"/>
          <w:rFonts w:ascii="Garamond" w:hAnsi="Garamond"/>
        </w:rPr>
        <w:footnoteRef/>
      </w:r>
      <w:r w:rsidRPr="00F5723F">
        <w:t xml:space="preserve"> Christina Bergqvist (1994), </w:t>
      </w:r>
      <w:r w:rsidRPr="00F5723F">
        <w:rPr>
          <w:i/>
        </w:rPr>
        <w:t>Mäns makt och kvinnors intressen</w:t>
      </w:r>
      <w:r w:rsidRPr="00F5723F">
        <w:t>,</w:t>
      </w:r>
      <w:r w:rsidRPr="00F5723F">
        <w:t xml:space="preserve"> Uppsala: Acta Universitatis Upsaliensis, Skrifter utgivna av Statsvetenskapliga föreningen i Upps</w:t>
      </w:r>
      <w:r w:rsidRPr="00F5723F">
        <w:t>a</w:t>
      </w:r>
      <w:r w:rsidRPr="00F5723F">
        <w:t>la.</w:t>
      </w:r>
    </w:p>
  </w:footnote>
  <w:footnote w:id="208">
    <w:p w:rsidR="00B43C57" w:rsidRPr="00F5723F" w:rsidRDefault="00B43C57">
      <w:pPr>
        <w:pStyle w:val="Fotnotstextindrag"/>
      </w:pPr>
      <w:r w:rsidRPr="00F5723F">
        <w:rPr>
          <w:rStyle w:val="Fotnotsreferens"/>
          <w:rFonts w:ascii="Garamond" w:hAnsi="Garamond"/>
        </w:rPr>
        <w:footnoteRef/>
      </w:r>
      <w:r w:rsidRPr="00F5723F">
        <w:t xml:space="preserve"> Ibid.</w:t>
      </w:r>
    </w:p>
  </w:footnote>
  <w:footnote w:id="209">
    <w:p w:rsidR="00B43C57" w:rsidRPr="00F5723F" w:rsidRDefault="00B43C57">
      <w:pPr>
        <w:pStyle w:val="Fotnotstextindrag"/>
      </w:pPr>
      <w:r w:rsidRPr="00F5723F">
        <w:rPr>
          <w:rStyle w:val="Fotnotsreferens"/>
          <w:rFonts w:ascii="Garamond" w:hAnsi="Garamond"/>
        </w:rPr>
        <w:footnoteRef/>
      </w:r>
      <w:r w:rsidRPr="00F5723F">
        <w:t xml:space="preserve"> Se även Jan Sundberg (1995), </w:t>
      </w:r>
      <w:r w:rsidRPr="00F5723F">
        <w:rPr>
          <w:rStyle w:val="FotnotstextindragChar"/>
        </w:rPr>
        <w:t>”</w:t>
      </w:r>
      <w:r w:rsidRPr="00F5723F">
        <w:t xml:space="preserve">Women in Scandinavian party organization” i Lauri Karvonen och Per Selle red. (1995), </w:t>
      </w:r>
      <w:r w:rsidRPr="00F5723F">
        <w:rPr>
          <w:i/>
        </w:rPr>
        <w:t>Women in Nordic Politics: Closing the Gap</w:t>
      </w:r>
      <w:r w:rsidRPr="00F5723F">
        <w:t>,</w:t>
      </w:r>
      <w:r w:rsidRPr="00F5723F">
        <w:t xml:space="preserve"> Alde</w:t>
      </w:r>
      <w:r w:rsidRPr="00F5723F">
        <w:t>r</w:t>
      </w:r>
      <w:r w:rsidRPr="00F5723F">
        <w:t xml:space="preserve">shot: </w:t>
      </w:r>
      <w:smartTag w:uri="urn:schemas-microsoft-com:office:smarttags" w:element="place">
        <w:smartTag w:uri="urn:schemas-microsoft-com:office:smarttags" w:element="City">
          <w:r w:rsidRPr="00F5723F">
            <w:t>Dartmouth</w:t>
          </w:r>
        </w:smartTag>
      </w:smartTag>
      <w:r w:rsidRPr="00F5723F">
        <w:t>.</w:t>
      </w:r>
    </w:p>
  </w:footnote>
  <w:footnote w:id="210">
    <w:p w:rsidR="00B43C57" w:rsidRPr="00F5723F" w:rsidRDefault="00B43C57">
      <w:pPr>
        <w:pStyle w:val="Fotnotstextindrag"/>
        <w:rPr>
          <w:sz w:val="20"/>
        </w:rPr>
      </w:pPr>
      <w:r w:rsidRPr="00F5723F">
        <w:rPr>
          <w:rStyle w:val="Fotnotsreferens"/>
          <w:rFonts w:ascii="Garamond" w:hAnsi="Garamond"/>
        </w:rPr>
        <w:footnoteRef/>
      </w:r>
      <w:r w:rsidRPr="00F5723F">
        <w:t xml:space="preserve"> Sainsbury (1993). Se även Diane Sainsbury (1988</w:t>
      </w:r>
      <w:r w:rsidRPr="00F5723F">
        <w:t xml:space="preserve">), </w:t>
      </w:r>
      <w:r w:rsidRPr="00F5723F">
        <w:rPr>
          <w:rStyle w:val="FotnotstextindragChar"/>
        </w:rPr>
        <w:t>”</w:t>
      </w:r>
      <w:r w:rsidRPr="00F5723F">
        <w:t>The Scandinavian Model and Women’s Interests. The Issues of Universalism and Corporatism” i Scandin</w:t>
      </w:r>
      <w:r w:rsidRPr="00F5723F">
        <w:t>a</w:t>
      </w:r>
      <w:r w:rsidRPr="00F5723F">
        <w:t>vian</w:t>
      </w:r>
      <w:r w:rsidRPr="00F5723F">
        <w:t xml:space="preserve"> Political Studies, 4, sid. 337–</w:t>
      </w:r>
      <w:r w:rsidRPr="00F5723F">
        <w:t>346.</w:t>
      </w:r>
    </w:p>
  </w:footnote>
  <w:footnote w:id="211">
    <w:p w:rsidR="00B43C57" w:rsidRPr="00F5723F" w:rsidRDefault="00B43C57">
      <w:pPr>
        <w:pStyle w:val="Fotnotstextindrag"/>
      </w:pPr>
      <w:r w:rsidRPr="00F5723F">
        <w:rPr>
          <w:rStyle w:val="Fotnotsreferens"/>
        </w:rPr>
        <w:footnoteRef/>
      </w:r>
      <w:r w:rsidRPr="00F5723F">
        <w:t xml:space="preserve"> Sainsbury (1996), </w:t>
      </w:r>
      <w:r w:rsidRPr="00F5723F">
        <w:rPr>
          <w:i/>
        </w:rPr>
        <w:t>Gender, Equality and Welfare State Regimes</w:t>
      </w:r>
      <w:r w:rsidRPr="00F5723F">
        <w:t>,</w:t>
      </w:r>
      <w:r w:rsidRPr="00F5723F">
        <w:t xml:space="preserve"> </w:t>
      </w:r>
      <w:smartTag w:uri="urn:schemas-microsoft-com:office:smarttags" w:element="City">
        <w:r w:rsidRPr="00F5723F">
          <w:t>Oxford</w:t>
        </w:r>
      </w:smartTag>
      <w:r w:rsidRPr="00F5723F">
        <w:t xml:space="preserve">: </w:t>
      </w:r>
      <w:smartTag w:uri="urn:schemas-microsoft-com:office:smarttags" w:element="place">
        <w:smartTag w:uri="urn:schemas-microsoft-com:office:smarttags" w:element="PlaceName">
          <w:r w:rsidRPr="00F5723F">
            <w:t>Oxford</w:t>
          </w:r>
        </w:smartTag>
        <w:r w:rsidRPr="00F5723F">
          <w:t xml:space="preserve"> </w:t>
        </w:r>
        <w:smartTag w:uri="urn:schemas-microsoft-com:office:smarttags" w:element="PlaceType">
          <w:r w:rsidRPr="00F5723F">
            <w:t>University</w:t>
          </w:r>
        </w:smartTag>
      </w:smartTag>
      <w:r w:rsidRPr="00F5723F">
        <w:t xml:space="preserve"> Press.</w:t>
      </w:r>
    </w:p>
  </w:footnote>
  <w:footnote w:id="212">
    <w:p w:rsidR="00B43C57" w:rsidRPr="00F5723F" w:rsidRDefault="00B43C57">
      <w:pPr>
        <w:pStyle w:val="Fotnotstextindrag"/>
      </w:pPr>
      <w:r w:rsidRPr="00F5723F">
        <w:rPr>
          <w:rStyle w:val="Fotnotsreferens"/>
        </w:rPr>
        <w:footnoteRef/>
      </w:r>
      <w:r w:rsidRPr="00F5723F">
        <w:t xml:space="preserve"> Sainsbury (2004), ”Women’s Political Representation in </w:t>
      </w:r>
      <w:smartTag w:uri="urn:schemas-microsoft-com:office:smarttags" w:element="country-region">
        <w:smartTag w:uri="urn:schemas-microsoft-com:office:smarttags" w:element="place">
          <w:r w:rsidRPr="00F5723F">
            <w:t>Sweden</w:t>
          </w:r>
        </w:smartTag>
      </w:smartTag>
      <w:r w:rsidRPr="00F5723F">
        <w:t>: Discursive Pol</w:t>
      </w:r>
      <w:r w:rsidRPr="00F5723F">
        <w:t>i</w:t>
      </w:r>
      <w:r w:rsidRPr="00F5723F">
        <w:t>tic</w:t>
      </w:r>
      <w:r w:rsidRPr="00F5723F">
        <w:t>s and Institutional Presence”</w:t>
      </w:r>
      <w:r w:rsidRPr="00F5723F">
        <w:t xml:space="preserve"> </w:t>
      </w:r>
      <w:r w:rsidRPr="00F5723F">
        <w:rPr>
          <w:i/>
        </w:rPr>
        <w:t>Scandinavian Political Studies</w:t>
      </w:r>
      <w:r w:rsidRPr="00F5723F">
        <w:t xml:space="preserve"> 2004, vol. 27, no 1, sid. 65–</w:t>
      </w:r>
      <w:r w:rsidRPr="00F5723F">
        <w:t>87.</w:t>
      </w:r>
    </w:p>
  </w:footnote>
  <w:footnote w:id="213">
    <w:p w:rsidR="00B43C57" w:rsidRPr="00F5723F" w:rsidRDefault="00B43C57">
      <w:pPr>
        <w:pStyle w:val="Fotnotstextindrag"/>
      </w:pPr>
      <w:r w:rsidRPr="00F5723F">
        <w:rPr>
          <w:rStyle w:val="Fotnotsreferens"/>
        </w:rPr>
        <w:footnoteRef/>
      </w:r>
      <w:r w:rsidRPr="00F5723F">
        <w:t xml:space="preserve"> Se avsnittet Riksdagsledamöters intressen och åsikter.</w:t>
      </w:r>
    </w:p>
  </w:footnote>
  <w:footnote w:id="214">
    <w:p w:rsidR="00B43C57" w:rsidRPr="00F5723F" w:rsidRDefault="00B43C57">
      <w:pPr>
        <w:pStyle w:val="Fotnotstextindrag"/>
        <w:rPr>
          <w:i/>
        </w:rPr>
      </w:pPr>
      <w:r w:rsidRPr="00F5723F">
        <w:rPr>
          <w:rStyle w:val="Fotnotsreferens"/>
        </w:rPr>
        <w:footnoteRef/>
      </w:r>
      <w:r w:rsidRPr="00F5723F">
        <w:t xml:space="preserve"> Wängnerud (2001a), ”Kvinnors röst: En kamp mellan partier” i </w:t>
      </w:r>
      <w:r w:rsidRPr="00F5723F">
        <w:rPr>
          <w:i/>
        </w:rPr>
        <w:t xml:space="preserve">Rösträtten 80 år – </w:t>
      </w:r>
      <w:r w:rsidRPr="00F5723F">
        <w:rPr>
          <w:i/>
        </w:rPr>
        <w:t>fo</w:t>
      </w:r>
      <w:r w:rsidRPr="00F5723F">
        <w:rPr>
          <w:i/>
        </w:rPr>
        <w:t>r</w:t>
      </w:r>
      <w:r w:rsidRPr="00F5723F">
        <w:rPr>
          <w:i/>
        </w:rPr>
        <w:t xml:space="preserve">skarantologi, </w:t>
      </w:r>
      <w:r w:rsidRPr="00F5723F">
        <w:t>Christer</w:t>
      </w:r>
      <w:r w:rsidRPr="00F5723F">
        <w:rPr>
          <w:i/>
        </w:rPr>
        <w:t xml:space="preserve"> </w:t>
      </w:r>
      <w:r w:rsidRPr="00F5723F">
        <w:t>Jönsson red. (2001), Stockholm: Justitiedepartementet.</w:t>
      </w:r>
    </w:p>
  </w:footnote>
  <w:footnote w:id="215">
    <w:p w:rsidR="00B43C57" w:rsidRPr="00F5723F" w:rsidRDefault="00B43C57">
      <w:pPr>
        <w:pStyle w:val="Fotnotstextindrag"/>
        <w:rPr>
          <w:sz w:val="20"/>
        </w:rPr>
      </w:pPr>
      <w:r w:rsidRPr="00F5723F">
        <w:rPr>
          <w:rStyle w:val="Fotnotsreferens"/>
        </w:rPr>
        <w:footnoteRef/>
      </w:r>
      <w:r w:rsidRPr="00F5723F">
        <w:t xml:space="preserve"> www.quotaproject.org och </w:t>
      </w:r>
      <w:hyperlink r:id="rId1" w:history="1">
        <w:r w:rsidRPr="00F5723F">
          <w:t>www.statsvet.su.se/quotas</w:t>
        </w:r>
      </w:hyperlink>
      <w:r w:rsidRPr="00F5723F">
        <w:t xml:space="preserve">. </w:t>
      </w:r>
      <w:r w:rsidRPr="00F5723F">
        <w:t xml:space="preserve">Se även Drude Dahlerup </w:t>
      </w:r>
      <w:r w:rsidRPr="00F5723F">
        <w:t>red. (kommande</w:t>
      </w:r>
      <w:r w:rsidRPr="00F5723F">
        <w:rPr>
          <w:i/>
        </w:rPr>
        <w:t xml:space="preserve">), Women in Politics: Electoral Quotas, Equality and Democracy. </w:t>
      </w:r>
      <w:r w:rsidRPr="00F5723F">
        <w:rPr>
          <w:i/>
        </w:rPr>
        <w:t>Lo</w:t>
      </w:r>
      <w:r w:rsidRPr="00F5723F">
        <w:rPr>
          <w:i/>
        </w:rPr>
        <w:t>n</w:t>
      </w:r>
      <w:r w:rsidRPr="00F5723F">
        <w:rPr>
          <w:i/>
        </w:rPr>
        <w:t>don: Routledge.</w:t>
      </w:r>
      <w:r w:rsidRPr="00F5723F">
        <w:rPr>
          <w:sz w:val="20"/>
        </w:rPr>
        <w:t xml:space="preserve"> </w:t>
      </w:r>
    </w:p>
  </w:footnote>
  <w:footnote w:id="216">
    <w:p w:rsidR="00B43C57" w:rsidRPr="00F5723F" w:rsidRDefault="00B43C57">
      <w:pPr>
        <w:pStyle w:val="Fotnotstextindrag"/>
      </w:pPr>
      <w:r w:rsidRPr="00F5723F">
        <w:rPr>
          <w:rStyle w:val="Fotnotsreferens"/>
        </w:rPr>
        <w:footnoteRef/>
      </w:r>
      <w:r w:rsidRPr="00F5723F">
        <w:t xml:space="preserve"> </w:t>
      </w:r>
      <w:r w:rsidRPr="00F5723F">
        <w:t xml:space="preserve">www.quotaproject.org. </w:t>
      </w:r>
      <w:r w:rsidRPr="00F5723F">
        <w:t>Denna databas har konstruerats tillsammans med Intern</w:t>
      </w:r>
      <w:r w:rsidRPr="00F5723F">
        <w:t>a</w:t>
      </w:r>
      <w:r w:rsidRPr="00F5723F">
        <w:t>tional IDEA, Stoc</w:t>
      </w:r>
      <w:r w:rsidRPr="00F5723F">
        <w:t>k</w:t>
      </w:r>
      <w:r w:rsidRPr="00F5723F">
        <w:t>holm.</w:t>
      </w:r>
    </w:p>
  </w:footnote>
  <w:footnote w:id="217">
    <w:p w:rsidR="00B43C57" w:rsidRPr="00F5723F" w:rsidRDefault="00B43C57">
      <w:pPr>
        <w:pStyle w:val="Fotnotstextindrag"/>
      </w:pPr>
      <w:r w:rsidRPr="00F5723F">
        <w:rPr>
          <w:rStyle w:val="Fotnotsreferens"/>
        </w:rPr>
        <w:footnoteRef/>
      </w:r>
      <w:r w:rsidRPr="00F5723F">
        <w:t xml:space="preserve"> Till </w:t>
      </w:r>
      <w:r w:rsidRPr="00F5723F">
        <w:t>ex</w:t>
      </w:r>
      <w:r w:rsidRPr="00F5723F">
        <w:t>empel</w:t>
      </w:r>
      <w:r w:rsidRPr="00F5723F">
        <w:t>. C</w:t>
      </w:r>
      <w:r w:rsidRPr="00F5723F">
        <w:t>hristina Alnevall (kommande), ”</w:t>
      </w:r>
      <w:r w:rsidRPr="00F5723F">
        <w:t xml:space="preserve">Cuotas de Género; </w:t>
      </w:r>
      <w:smartTag w:uri="urn:schemas-microsoft-com:office:smarttags" w:element="PersonName">
        <w:smartTagPr>
          <w:attr w:name="ProductID" w:val="la Clave"/>
        </w:smartTagPr>
        <w:r w:rsidRPr="00F5723F">
          <w:t>la Clave</w:t>
        </w:r>
      </w:smartTag>
      <w:r w:rsidRPr="00F5723F">
        <w:t xml:space="preserve"> de Equ</w:t>
      </w:r>
      <w:r w:rsidRPr="00F5723F">
        <w:t>i</w:t>
      </w:r>
      <w:r w:rsidRPr="00F5723F">
        <w:t xml:space="preserve">dad en América Latina? </w:t>
      </w:r>
      <w:r w:rsidRPr="00F5723F">
        <w:t>Un análisis comparativo</w:t>
      </w:r>
      <w:r w:rsidRPr="00F5723F">
        <w:t>” The Research Program on Gender Quotas, Department of Political Science, Stockholm University, Lenita Fre</w:t>
      </w:r>
      <w:r w:rsidRPr="00F5723F">
        <w:t>i</w:t>
      </w:r>
      <w:r w:rsidRPr="00F5723F">
        <w:t>denvall (2003b),</w:t>
      </w:r>
      <w:r w:rsidRPr="00F5723F">
        <w:t xml:space="preserve"> ”Women’s political representation and gender quotas: the Swedish Case”, </w:t>
      </w:r>
      <w:r w:rsidRPr="00F5723F">
        <w:rPr>
          <w:i/>
        </w:rPr>
        <w:t>Working Paper Series 2003:2</w:t>
      </w:r>
      <w:r w:rsidRPr="00F5723F">
        <w:t>, The Research Program on G</w:t>
      </w:r>
      <w:r w:rsidRPr="00F5723F">
        <w:t>ender Quotas, D</w:t>
      </w:r>
      <w:r w:rsidRPr="00F5723F">
        <w:t>e</w:t>
      </w:r>
      <w:r w:rsidRPr="00F5723F">
        <w:t>partment of P</w:t>
      </w:r>
      <w:r w:rsidRPr="00F5723F">
        <w:t>o</w:t>
      </w:r>
      <w:r w:rsidRPr="00F5723F">
        <w:t>litical Science</w:t>
      </w:r>
      <w:r w:rsidRPr="00F5723F">
        <w:t xml:space="preserve">, Stockholm University, </w:t>
      </w:r>
      <w:r w:rsidRPr="00F5723F">
        <w:t xml:space="preserve">samt </w:t>
      </w:r>
      <w:r w:rsidRPr="00F5723F">
        <w:t>Judith Squires (2004), ”Gender Quotas in Britain: A Fast Trac</w:t>
      </w:r>
      <w:r w:rsidRPr="00F5723F">
        <w:t xml:space="preserve">k to Equality?” </w:t>
      </w:r>
      <w:r w:rsidRPr="00F5723F">
        <w:rPr>
          <w:i/>
        </w:rPr>
        <w:t>Working Paper Series 2004:1,</w:t>
      </w:r>
      <w:r w:rsidRPr="00F5723F">
        <w:t xml:space="preserve"> The Research Program on Gender Quota</w:t>
      </w:r>
      <w:r w:rsidRPr="00F5723F">
        <w:t>s, Department of Political Science, Stoc</w:t>
      </w:r>
      <w:r w:rsidRPr="00F5723F">
        <w:t>k</w:t>
      </w:r>
      <w:r w:rsidRPr="00F5723F">
        <w:t>holm University.</w:t>
      </w:r>
    </w:p>
  </w:footnote>
  <w:footnote w:id="218">
    <w:p w:rsidR="00B43C57" w:rsidRPr="00F5723F" w:rsidRDefault="00B43C57">
      <w:pPr>
        <w:pStyle w:val="Fotnotstextindrag"/>
        <w:rPr>
          <w:sz w:val="24"/>
        </w:rPr>
      </w:pPr>
      <w:r w:rsidRPr="00F5723F">
        <w:rPr>
          <w:rStyle w:val="Fotnotsreferens"/>
          <w:rFonts w:ascii="Garamond" w:hAnsi="Garamond"/>
        </w:rPr>
        <w:footnoteRef/>
      </w:r>
      <w:r w:rsidRPr="00F5723F">
        <w:t xml:space="preserve"> Dahlerup och </w:t>
      </w:r>
      <w:r w:rsidRPr="00F5723F">
        <w:t>Freidenvall (2003), ”Quotas as a fast track to equal political repr</w:t>
      </w:r>
      <w:r w:rsidRPr="00F5723F">
        <w:t>e</w:t>
      </w:r>
      <w:r w:rsidRPr="00F5723F">
        <w:t>sentation for women”</w:t>
      </w:r>
      <w:r w:rsidRPr="00F5723F">
        <w:t>,</w:t>
      </w:r>
      <w:r w:rsidRPr="00F5723F">
        <w:t xml:space="preserve"> Paper presented to the IPSA World Congress in Durban, South Africa, June 2003 and to the APSA Conference in Philadelphia, USA, August 2003. Se även Drude Dahlerup and Lenita Freidenvall (2005), ”Quotas as a Fast Track to Equal Representation of Women” i </w:t>
      </w:r>
      <w:r w:rsidRPr="00F5723F">
        <w:rPr>
          <w:i/>
        </w:rPr>
        <w:t>International Feminist Journal of Politics,</w:t>
      </w:r>
      <w:r w:rsidRPr="00F5723F">
        <w:t xml:space="preserve"> 7:1, Mars 2005, s. 1–</w:t>
      </w:r>
      <w:r w:rsidRPr="00F5723F">
        <w:t xml:space="preserve">22, </w:t>
      </w:r>
      <w:r w:rsidRPr="00F5723F">
        <w:t xml:space="preserve">samt </w:t>
      </w:r>
      <w:r w:rsidRPr="00F5723F">
        <w:t>Lenita Freidenvall, Drude Dahlerup och Hege Skjeie (kom</w:t>
      </w:r>
      <w:r w:rsidRPr="00F5723F">
        <w:t xml:space="preserve">mande), </w:t>
      </w:r>
      <w:r w:rsidRPr="00F5723F">
        <w:rPr>
          <w:rStyle w:val="FotnotstextindragChar"/>
        </w:rPr>
        <w:t>”</w:t>
      </w:r>
      <w:r w:rsidRPr="00F5723F">
        <w:t>The Nordic count</w:t>
      </w:r>
      <w:r w:rsidRPr="00F5723F">
        <w:t xml:space="preserve">ries – an incremental model” i Drude Dahlerup red. </w:t>
      </w:r>
      <w:r w:rsidRPr="00F5723F">
        <w:t xml:space="preserve">(kommande), </w:t>
      </w:r>
      <w:r w:rsidRPr="00F5723F">
        <w:rPr>
          <w:i/>
        </w:rPr>
        <w:t>Quotas as a Key to Equality</w:t>
      </w:r>
      <w:r w:rsidRPr="00F5723F">
        <w:t xml:space="preserve">, London: Routledge. </w:t>
      </w:r>
    </w:p>
  </w:footnote>
  <w:footnote w:id="219">
    <w:p w:rsidR="00B43C57" w:rsidRPr="00F5723F" w:rsidRDefault="00B43C57">
      <w:pPr>
        <w:pStyle w:val="Fotnotstextindrag"/>
      </w:pPr>
      <w:r w:rsidRPr="00F5723F">
        <w:rPr>
          <w:rStyle w:val="Fotnotsreferens"/>
          <w:rFonts w:ascii="Garamond" w:hAnsi="Garamond"/>
        </w:rPr>
        <w:footnoteRef/>
      </w:r>
      <w:r w:rsidRPr="00F5723F">
        <w:t xml:space="preserve"> För övrig forskning om kvotering i Norden, se </w:t>
      </w:r>
      <w:r w:rsidRPr="00F5723F">
        <w:t>till exempel Ann-Dorte Christensen (1999), ”</w:t>
      </w:r>
      <w:r w:rsidRPr="00F5723F">
        <w:t xml:space="preserve">Kvinder i de politiske partier” i Christina Bergqvist red. (1999), </w:t>
      </w:r>
      <w:r w:rsidRPr="00F5723F">
        <w:rPr>
          <w:i/>
        </w:rPr>
        <w:t>Likestilte demokr</w:t>
      </w:r>
      <w:r w:rsidRPr="00F5723F">
        <w:rPr>
          <w:i/>
        </w:rPr>
        <w:t>a</w:t>
      </w:r>
      <w:r w:rsidRPr="00F5723F">
        <w:rPr>
          <w:i/>
        </w:rPr>
        <w:t xml:space="preserve">tier? </w:t>
      </w:r>
      <w:r w:rsidRPr="00F5723F">
        <w:rPr>
          <w:i/>
        </w:rPr>
        <w:t>Kjø</w:t>
      </w:r>
      <w:r w:rsidRPr="00F5723F">
        <w:rPr>
          <w:i/>
        </w:rPr>
        <w:t>nn og politikk i Norden</w:t>
      </w:r>
      <w:r w:rsidRPr="00F5723F">
        <w:t xml:space="preserve">, </w:t>
      </w:r>
      <w:smartTag w:uri="urn:schemas-microsoft-com:office:smarttags" w:element="City">
        <w:r w:rsidRPr="00F5723F">
          <w:t>Oslo</w:t>
        </w:r>
      </w:smartTag>
      <w:r w:rsidRPr="00F5723F">
        <w:t>: Universitetsforlaget, s. 62–90, Anette Borchorst och Ann-Dorte Ch</w:t>
      </w:r>
      <w:r w:rsidRPr="00F5723F">
        <w:t xml:space="preserve">ristensen (2003), </w:t>
      </w:r>
      <w:r w:rsidRPr="00F5723F">
        <w:rPr>
          <w:rStyle w:val="FotnotstextindragChar"/>
        </w:rPr>
        <w:t>”</w:t>
      </w:r>
      <w:r w:rsidRPr="00F5723F">
        <w:t>Könskvotering I SF og i forskerstil</w:t>
      </w:r>
      <w:r w:rsidRPr="00F5723F">
        <w:t>l</w:t>
      </w:r>
      <w:r w:rsidRPr="00F5723F">
        <w:t xml:space="preserve">inger – diskursiv praksis og forandring” i Anette Borchorst och Drude Dahlerup (2003), </w:t>
      </w:r>
      <w:r w:rsidRPr="00F5723F">
        <w:rPr>
          <w:i/>
        </w:rPr>
        <w:t>Ligestillingspolitik som diskurs og praksis,</w:t>
      </w:r>
      <w:r w:rsidRPr="00F5723F">
        <w:t xml:space="preserve"> </w:t>
      </w:r>
      <w:smartTag w:uri="urn:schemas-microsoft-com:office:smarttags" w:element="City">
        <w:smartTag w:uri="urn:schemas-microsoft-com:office:smarttags" w:element="place">
          <w:r w:rsidRPr="00F5723F">
            <w:t>Frederiksberg</w:t>
          </w:r>
        </w:smartTag>
      </w:smartTag>
      <w:r w:rsidRPr="00F5723F">
        <w:t>: Samfundsli</w:t>
      </w:r>
      <w:r w:rsidRPr="00F5723F">
        <w:t>t</w:t>
      </w:r>
      <w:r w:rsidRPr="00F5723F">
        <w:t>teratur, sid. 101–</w:t>
      </w:r>
      <w:r w:rsidRPr="00F5723F">
        <w:t>123, Ingrid Guldvik (2003), ”Gender quota regimes and ideas of social ju</w:t>
      </w:r>
      <w:r w:rsidRPr="00F5723F">
        <w:t>s</w:t>
      </w:r>
      <w:r w:rsidRPr="00F5723F">
        <w:t>tice – The quota regime of the Norwegian Local Government Act”</w:t>
      </w:r>
      <w:r w:rsidRPr="00F5723F">
        <w:t>,</w:t>
      </w:r>
      <w:r w:rsidRPr="00F5723F">
        <w:t xml:space="preserve"> </w:t>
      </w:r>
      <w:r w:rsidRPr="00F5723F">
        <w:t>Paper presented at the General Conference of the European Consortium for Political Research, Ma</w:t>
      </w:r>
      <w:r w:rsidRPr="00F5723F">
        <w:t>r</w:t>
      </w:r>
      <w:r w:rsidRPr="00F5723F">
        <w:t>burg, Germany, 18–</w:t>
      </w:r>
      <w:r w:rsidRPr="00F5723F">
        <w:t>21 Septe</w:t>
      </w:r>
      <w:r w:rsidRPr="00F5723F">
        <w:t>mber, Anne Maria Holli (2004), “</w:t>
      </w:r>
      <w:r w:rsidRPr="00F5723F">
        <w:t xml:space="preserve">Quotas for indirectly elected bodies: a tailor-made solution for Finland” i </w:t>
      </w:r>
      <w:r w:rsidRPr="00F5723F">
        <w:rPr>
          <w:i/>
        </w:rPr>
        <w:t>European Political Science</w:t>
      </w:r>
      <w:r w:rsidRPr="00F5723F">
        <w:t xml:space="preserve">, Summer 2004, sid. 81–89, Sari Pikkala (2000), </w:t>
      </w:r>
      <w:r w:rsidRPr="00F5723F">
        <w:rPr>
          <w:rStyle w:val="FotnotstextindragChar"/>
        </w:rPr>
        <w:t>”</w:t>
      </w:r>
      <w:r w:rsidRPr="00F5723F">
        <w:t>Representation of women in Finnish Local Government: Effects of th</w:t>
      </w:r>
      <w:r w:rsidRPr="00F5723F">
        <w:t>e 19</w:t>
      </w:r>
      <w:r w:rsidRPr="00F5723F">
        <w:t>95 Gender Quota Legislation</w:t>
      </w:r>
      <w:r w:rsidRPr="00F5723F">
        <w:t>”</w:t>
      </w:r>
      <w:r w:rsidRPr="00F5723F">
        <w:t>,</w:t>
      </w:r>
      <w:r w:rsidRPr="00F5723F">
        <w:t xml:space="preserve"> Paper presented at the General Conference of the European Consortium for Political Research, C</w:t>
      </w:r>
      <w:r w:rsidRPr="00F5723F">
        <w:t>o</w:t>
      </w:r>
      <w:r w:rsidRPr="00F5723F">
        <w:t>penhagen, Den</w:t>
      </w:r>
      <w:r w:rsidRPr="00F5723F">
        <w:t>mark, 14–</w:t>
      </w:r>
      <w:r w:rsidRPr="00F5723F">
        <w:t>19 April.</w:t>
      </w:r>
      <w:r w:rsidRPr="00F5723F">
        <w:t xml:space="preserve"> Eva Raevaara (2003), </w:t>
      </w:r>
      <w:r w:rsidRPr="00F5723F">
        <w:rPr>
          <w:rStyle w:val="FotnotstextindragChar"/>
        </w:rPr>
        <w:t>”</w:t>
      </w:r>
      <w:r w:rsidRPr="00F5723F">
        <w:t>Talking about Equality, Acting for Change: Co</w:t>
      </w:r>
      <w:r w:rsidRPr="00F5723F">
        <w:t>n</w:t>
      </w:r>
      <w:r w:rsidRPr="00F5723F">
        <w:t>ceptualisations of Gender Equality in Parliamentary Debates in Finland and France”</w:t>
      </w:r>
      <w:r w:rsidRPr="00F5723F">
        <w:t>,</w:t>
      </w:r>
      <w:r w:rsidRPr="00F5723F">
        <w:t xml:space="preserve"> Paper presented at the General Conference of the Eur</w:t>
      </w:r>
      <w:r w:rsidRPr="00F5723F">
        <w:t>o</w:t>
      </w:r>
      <w:r w:rsidRPr="00F5723F">
        <w:t>pean Consortium for Political</w:t>
      </w:r>
      <w:r w:rsidRPr="00F5723F">
        <w:t xml:space="preserve"> Research, Marburg, Germany, 18–</w:t>
      </w:r>
      <w:r w:rsidRPr="00F5723F">
        <w:t xml:space="preserve">21 September, samt </w:t>
      </w:r>
      <w:r w:rsidRPr="00F5723F">
        <w:t>Hege Skjeie</w:t>
      </w:r>
      <w:r w:rsidRPr="00F5723F">
        <w:t xml:space="preserve"> (2001), ”Quotas, Parity and the Discursive</w:t>
      </w:r>
      <w:r w:rsidRPr="00F5723F">
        <w:t xml:space="preserve"> Dangers of Diff</w:t>
      </w:r>
      <w:r w:rsidRPr="00F5723F">
        <w:t xml:space="preserve">erence” i </w:t>
      </w:r>
      <w:r w:rsidRPr="00F5723F">
        <w:t xml:space="preserve">C.S. </w:t>
      </w:r>
      <w:r w:rsidRPr="00F5723F">
        <w:t>Maier</w:t>
      </w:r>
      <w:r w:rsidRPr="00F5723F">
        <w:t xml:space="preserve"> och Jytte Klausen, </w:t>
      </w:r>
      <w:r w:rsidRPr="00F5723F">
        <w:rPr>
          <w:i/>
        </w:rPr>
        <w:t>Has Liberalism Failed Women? Assuring Equal Represe</w:t>
      </w:r>
      <w:r w:rsidRPr="00F5723F">
        <w:rPr>
          <w:i/>
        </w:rPr>
        <w:t>n</w:t>
      </w:r>
      <w:r w:rsidRPr="00F5723F">
        <w:rPr>
          <w:i/>
        </w:rPr>
        <w:t xml:space="preserve">tation in Europe and in the </w:t>
      </w:r>
      <w:smartTag w:uri="urn:schemas-microsoft-com:office:smarttags" w:element="country-region">
        <w:smartTag w:uri="urn:schemas-microsoft-com:office:smarttags" w:element="place">
          <w:r w:rsidRPr="00F5723F">
            <w:rPr>
              <w:i/>
            </w:rPr>
            <w:t>United States</w:t>
          </w:r>
        </w:smartTag>
      </w:smartTag>
      <w:r w:rsidRPr="00F5723F">
        <w:rPr>
          <w:i/>
        </w:rPr>
        <w:t>.</w:t>
      </w:r>
      <w:r w:rsidRPr="00F5723F">
        <w:t xml:space="preserve"> </w:t>
      </w:r>
      <w:r w:rsidRPr="00F5723F">
        <w:t>New York: Palgr</w:t>
      </w:r>
      <w:r w:rsidRPr="00F5723F">
        <w:t>a</w:t>
      </w:r>
      <w:r w:rsidRPr="00F5723F">
        <w:t>ve, sid. 165–</w:t>
      </w:r>
      <w:r w:rsidRPr="00F5723F">
        <w:t>76.</w:t>
      </w:r>
    </w:p>
  </w:footnote>
  <w:footnote w:id="220">
    <w:p w:rsidR="00B43C57" w:rsidRPr="00F5723F" w:rsidRDefault="00B43C57">
      <w:pPr>
        <w:pStyle w:val="Fotnotstextindrag"/>
      </w:pPr>
      <w:r w:rsidRPr="00F5723F">
        <w:rPr>
          <w:rStyle w:val="Fotnotsreferens"/>
          <w:rFonts w:ascii="Garamond" w:hAnsi="Garamond"/>
        </w:rPr>
        <w:footnoteRef/>
      </w:r>
      <w:r w:rsidRPr="00F5723F">
        <w:t xml:space="preserve"> </w:t>
      </w:r>
      <w:r w:rsidRPr="00F5723F">
        <w:rPr>
          <w:snapToGrid w:val="0"/>
          <w:color w:val="000000"/>
        </w:rPr>
        <w:t xml:space="preserve">Freidenvall (kommande), </w:t>
      </w:r>
      <w:r w:rsidRPr="00F5723F">
        <w:rPr>
          <w:i/>
          <w:snapToGrid w:val="0"/>
          <w:color w:val="000000"/>
        </w:rPr>
        <w:t>Från den obligatoriska kvinnan till v</w:t>
      </w:r>
      <w:r w:rsidRPr="00F5723F">
        <w:rPr>
          <w:i/>
          <w:snapToGrid w:val="0"/>
          <w:color w:val="000000"/>
        </w:rPr>
        <w:t xml:space="preserve">arannan damernas. Politiska partier, </w:t>
      </w:r>
      <w:r w:rsidRPr="00F5723F">
        <w:rPr>
          <w:i/>
          <w:snapToGrid w:val="0"/>
          <w:color w:val="000000"/>
        </w:rPr>
        <w:t>kvinnorepresentation</w:t>
      </w:r>
      <w:r w:rsidRPr="00F5723F">
        <w:rPr>
          <w:i/>
          <w:snapToGrid w:val="0"/>
          <w:color w:val="000000"/>
        </w:rPr>
        <w:t xml:space="preserve"> och kvotering 1970–2002</w:t>
      </w:r>
      <w:r w:rsidRPr="00F5723F">
        <w:rPr>
          <w:snapToGrid w:val="0"/>
          <w:color w:val="000000"/>
        </w:rPr>
        <w:t>. Stockholm: Stat</w:t>
      </w:r>
      <w:r w:rsidRPr="00F5723F">
        <w:rPr>
          <w:snapToGrid w:val="0"/>
          <w:color w:val="000000"/>
        </w:rPr>
        <w:t>s</w:t>
      </w:r>
      <w:r w:rsidRPr="00F5723F">
        <w:rPr>
          <w:snapToGrid w:val="0"/>
          <w:color w:val="000000"/>
        </w:rPr>
        <w:t>vetenskapliga instituti</w:t>
      </w:r>
      <w:r w:rsidRPr="00F5723F">
        <w:rPr>
          <w:snapToGrid w:val="0"/>
          <w:color w:val="000000"/>
        </w:rPr>
        <w:t>o</w:t>
      </w:r>
      <w:r w:rsidRPr="00F5723F">
        <w:rPr>
          <w:snapToGrid w:val="0"/>
          <w:color w:val="000000"/>
        </w:rPr>
        <w:t>nen</w:t>
      </w:r>
      <w:r w:rsidRPr="00F5723F">
        <w:rPr>
          <w:i/>
          <w:snapToGrid w:val="0"/>
          <w:color w:val="000000"/>
        </w:rPr>
        <w:t>.</w:t>
      </w:r>
    </w:p>
  </w:footnote>
  <w:footnote w:id="221">
    <w:p w:rsidR="00B43C57" w:rsidRPr="00F5723F" w:rsidRDefault="00B43C57">
      <w:pPr>
        <w:pStyle w:val="Fotnotstextindrag"/>
      </w:pPr>
      <w:r w:rsidRPr="00F5723F">
        <w:rPr>
          <w:rStyle w:val="Fotnotsreferens"/>
          <w:rFonts w:ascii="Garamond" w:hAnsi="Garamond"/>
        </w:rPr>
        <w:footnoteRef/>
      </w:r>
      <w:r w:rsidRPr="00F5723F">
        <w:t xml:space="preserve"> Matland &amp; Montgomery (2003), Sainsbury (2004).</w:t>
      </w:r>
    </w:p>
  </w:footnote>
  <w:footnote w:id="222">
    <w:p w:rsidR="00B43C57" w:rsidRPr="00F5723F" w:rsidRDefault="00B43C57">
      <w:pPr>
        <w:pStyle w:val="Fotnotstextindrag"/>
      </w:pPr>
      <w:r w:rsidRPr="00F5723F">
        <w:rPr>
          <w:rStyle w:val="Fotnotsreferens"/>
          <w:rFonts w:ascii="Garamond" w:hAnsi="Garamond"/>
        </w:rPr>
        <w:footnoteRef/>
      </w:r>
      <w:r w:rsidRPr="00F5723F">
        <w:t xml:space="preserve"> Dahlerup (1989).</w:t>
      </w:r>
    </w:p>
  </w:footnote>
  <w:footnote w:id="223">
    <w:p w:rsidR="00B43C57" w:rsidRPr="00F5723F" w:rsidRDefault="00B43C57">
      <w:pPr>
        <w:pStyle w:val="Fotnotstextindrag"/>
      </w:pPr>
      <w:r w:rsidRPr="00F5723F">
        <w:rPr>
          <w:rStyle w:val="Fotnotsreferens"/>
          <w:rFonts w:ascii="Garamond" w:hAnsi="Garamond"/>
        </w:rPr>
        <w:footnoteRef/>
      </w:r>
      <w:r w:rsidRPr="00F5723F">
        <w:t xml:space="preserve"> Bergqvist (1995</w:t>
      </w:r>
      <w:r w:rsidRPr="00F5723F">
        <w:t>), Bergqvist red.</w:t>
      </w:r>
      <w:r w:rsidRPr="00F5723F">
        <w:t xml:space="preserve"> </w:t>
      </w:r>
      <w:r w:rsidRPr="00F5723F">
        <w:t>(</w:t>
      </w:r>
      <w:r w:rsidRPr="00F5723F">
        <w:t>1999</w:t>
      </w:r>
      <w:r w:rsidRPr="00F5723F">
        <w:t>)</w:t>
      </w:r>
      <w:r w:rsidRPr="00F5723F">
        <w:t xml:space="preserve">, Caul </w:t>
      </w:r>
      <w:r w:rsidRPr="00F5723F">
        <w:t>(</w:t>
      </w:r>
      <w:r w:rsidRPr="00F5723F">
        <w:t>2001</w:t>
      </w:r>
      <w:r w:rsidRPr="00F5723F">
        <w:t>)</w:t>
      </w:r>
      <w:r w:rsidRPr="00F5723F">
        <w:t xml:space="preserve">, Haavio-Mannila et al </w:t>
      </w:r>
      <w:r w:rsidRPr="00F5723F">
        <w:t>(</w:t>
      </w:r>
      <w:r w:rsidRPr="00F5723F">
        <w:t>1985</w:t>
      </w:r>
      <w:r w:rsidRPr="00F5723F">
        <w:t>)</w:t>
      </w:r>
      <w:r w:rsidRPr="00F5723F">
        <w:t xml:space="preserve">, Christensen </w:t>
      </w:r>
      <w:r w:rsidRPr="00F5723F">
        <w:t>(</w:t>
      </w:r>
      <w:r w:rsidRPr="00F5723F">
        <w:t>1999</w:t>
      </w:r>
      <w:r w:rsidRPr="00F5723F">
        <w:t>), Borchorst</w:t>
      </w:r>
      <w:r w:rsidRPr="00F5723F">
        <w:t xml:space="preserve"> &amp; Dahlerup red</w:t>
      </w:r>
      <w:r w:rsidRPr="00F5723F">
        <w:t xml:space="preserve">. (2003), </w:t>
      </w:r>
      <w:r w:rsidRPr="00F5723F">
        <w:t xml:space="preserve">Kaiser </w:t>
      </w:r>
      <w:r w:rsidRPr="00F5723F">
        <w:t>(</w:t>
      </w:r>
      <w:r w:rsidRPr="00F5723F">
        <w:t>2001</w:t>
      </w:r>
      <w:r w:rsidRPr="00F5723F">
        <w:t>)</w:t>
      </w:r>
      <w:r w:rsidRPr="00F5723F">
        <w:t>, Sain</w:t>
      </w:r>
      <w:r w:rsidRPr="00F5723F">
        <w:t>s</w:t>
      </w:r>
      <w:r w:rsidRPr="00F5723F">
        <w:t xml:space="preserve">bury </w:t>
      </w:r>
      <w:r w:rsidRPr="00F5723F">
        <w:t>(</w:t>
      </w:r>
      <w:r w:rsidRPr="00F5723F">
        <w:t>1993</w:t>
      </w:r>
      <w:r w:rsidRPr="00F5723F">
        <w:t>)</w:t>
      </w:r>
      <w:r w:rsidRPr="00F5723F">
        <w:t>, Sain</w:t>
      </w:r>
      <w:r w:rsidRPr="00F5723F">
        <w:t>s</w:t>
      </w:r>
      <w:r w:rsidRPr="00F5723F">
        <w:t xml:space="preserve">bury </w:t>
      </w:r>
      <w:r w:rsidRPr="00F5723F">
        <w:t>(</w:t>
      </w:r>
      <w:r w:rsidRPr="00F5723F">
        <w:t>2004</w:t>
      </w:r>
      <w:r w:rsidRPr="00F5723F">
        <w:t>), Sii</w:t>
      </w:r>
      <w:r w:rsidRPr="00F5723F">
        <w:t xml:space="preserve">m </w:t>
      </w:r>
      <w:r w:rsidRPr="00F5723F">
        <w:t>(</w:t>
      </w:r>
      <w:r w:rsidRPr="00F5723F">
        <w:t>2000</w:t>
      </w:r>
      <w:r w:rsidRPr="00F5723F">
        <w:t>)</w:t>
      </w:r>
      <w:r w:rsidRPr="00F5723F">
        <w:t xml:space="preserve">, Skard &amp; Haavio-Manila </w:t>
      </w:r>
      <w:r w:rsidRPr="00F5723F">
        <w:t>(</w:t>
      </w:r>
      <w:r w:rsidRPr="00F5723F">
        <w:t>1985</w:t>
      </w:r>
      <w:r w:rsidRPr="00F5723F">
        <w:t>)</w:t>
      </w:r>
      <w:r w:rsidRPr="00F5723F">
        <w:t xml:space="preserve">, Skjeie </w:t>
      </w:r>
      <w:r w:rsidRPr="00F5723F">
        <w:t>(</w:t>
      </w:r>
      <w:r w:rsidRPr="00F5723F">
        <w:t>1992</w:t>
      </w:r>
      <w:r w:rsidRPr="00F5723F">
        <w:t>)</w:t>
      </w:r>
      <w:r w:rsidRPr="00F5723F">
        <w:t xml:space="preserve">, Skjeie &amp; Siim </w:t>
      </w:r>
      <w:r w:rsidRPr="00F5723F">
        <w:t>(</w:t>
      </w:r>
      <w:r w:rsidRPr="00F5723F">
        <w:t>2000</w:t>
      </w:r>
      <w:r w:rsidRPr="00F5723F">
        <w:t>)</w:t>
      </w:r>
      <w:r w:rsidRPr="00F5723F">
        <w:t>.</w:t>
      </w:r>
    </w:p>
  </w:footnote>
  <w:footnote w:id="224">
    <w:p w:rsidR="00B43C57" w:rsidRPr="00F5723F" w:rsidRDefault="00B43C57">
      <w:pPr>
        <w:pStyle w:val="Fotnotstextindrag"/>
      </w:pPr>
      <w:r w:rsidRPr="00F5723F">
        <w:rPr>
          <w:rStyle w:val="Fotnotsreferens"/>
          <w:rFonts w:ascii="Garamond" w:hAnsi="Garamond"/>
        </w:rPr>
        <w:footnoteRef/>
      </w:r>
      <w:r w:rsidRPr="00F5723F">
        <w:t xml:space="preserve"> Bergqvist (1995), Dahlerup (1994), Sainsbury (2004).</w:t>
      </w:r>
    </w:p>
  </w:footnote>
  <w:footnote w:id="225">
    <w:p w:rsidR="00B43C57" w:rsidRPr="00F5723F" w:rsidRDefault="00B43C57">
      <w:pPr>
        <w:pStyle w:val="Fotnotstextindrag"/>
      </w:pPr>
      <w:r w:rsidRPr="00F5723F">
        <w:rPr>
          <w:rStyle w:val="Fotnotsreferens"/>
          <w:rFonts w:ascii="Garamond" w:hAnsi="Garamond"/>
        </w:rPr>
        <w:footnoteRef/>
      </w:r>
      <w:r w:rsidRPr="00F5723F">
        <w:t xml:space="preserve"> Kvinnoförbundens roll för kvinnors makt och inflytande i partierna har belysts i flera forskningsprojekt. </w:t>
      </w:r>
      <w:r w:rsidRPr="00F5723F">
        <w:t>För en översikt, se Kjell Östberg</w:t>
      </w:r>
      <w:r w:rsidRPr="00F5723F">
        <w:t xml:space="preserve"> (1997)</w:t>
      </w:r>
      <w:r w:rsidRPr="00F5723F">
        <w:t xml:space="preserve">, </w:t>
      </w:r>
      <w:r w:rsidRPr="00F5723F">
        <w:rPr>
          <w:i/>
        </w:rPr>
        <w:t>Efter rösträtten – kvinnors utry</w:t>
      </w:r>
      <w:r w:rsidRPr="00F5723F">
        <w:rPr>
          <w:i/>
        </w:rPr>
        <w:t>m</w:t>
      </w:r>
      <w:r w:rsidRPr="00F5723F">
        <w:rPr>
          <w:i/>
        </w:rPr>
        <w:t>me efter det demokratiska genombrottet</w:t>
      </w:r>
      <w:r w:rsidRPr="00F5723F">
        <w:t>, Stockholm.</w:t>
      </w:r>
    </w:p>
  </w:footnote>
  <w:footnote w:id="226">
    <w:p w:rsidR="00B43C57" w:rsidRPr="00F5723F" w:rsidRDefault="00B43C57">
      <w:pPr>
        <w:pStyle w:val="Fotnotstextindrag"/>
      </w:pPr>
      <w:r w:rsidRPr="00F5723F">
        <w:rPr>
          <w:rStyle w:val="Fotnotsreferens"/>
          <w:rFonts w:ascii="Garamond" w:hAnsi="Garamond"/>
        </w:rPr>
        <w:footnoteRef/>
      </w:r>
      <w:r w:rsidRPr="00F5723F">
        <w:t xml:space="preserve"> Dahlerup (1</w:t>
      </w:r>
      <w:r w:rsidRPr="00F5723F">
        <w:t>985</w:t>
      </w:r>
      <w:r w:rsidRPr="00F5723F">
        <w:t xml:space="preserve">) gör en åtskillnad mellan kvinnoförbundens stödtruppsfunktion och påtrycksfunktion. </w:t>
      </w:r>
      <w:r w:rsidRPr="00F5723F">
        <w:t>Se Dahlerup i Haavio-Manilla (1985).</w:t>
      </w:r>
    </w:p>
  </w:footnote>
  <w:footnote w:id="227">
    <w:p w:rsidR="00B43C57" w:rsidRPr="00F5723F" w:rsidRDefault="00B43C57">
      <w:pPr>
        <w:pStyle w:val="Fotnotstextindrag"/>
      </w:pPr>
      <w:r w:rsidRPr="00F5723F">
        <w:rPr>
          <w:rStyle w:val="Fotnotsreferens"/>
          <w:rFonts w:ascii="Garamond" w:hAnsi="Garamond"/>
        </w:rPr>
        <w:footnoteRef/>
      </w:r>
      <w:r w:rsidRPr="00F5723F">
        <w:t xml:space="preserve"> </w:t>
      </w:r>
      <w:r w:rsidRPr="00F5723F">
        <w:t>Dah</w:t>
      </w:r>
      <w:r w:rsidRPr="00F5723F">
        <w:t>l</w:t>
      </w:r>
      <w:r w:rsidRPr="00F5723F">
        <w:t>erup &amp; Gulli (1983), Sainsbury</w:t>
      </w:r>
      <w:r w:rsidRPr="00F5723F">
        <w:t xml:space="preserve"> (1993), Karlsson (1996), Östberg (2001).</w:t>
      </w:r>
    </w:p>
  </w:footnote>
  <w:footnote w:id="228">
    <w:p w:rsidR="00B43C57" w:rsidRPr="00F5723F" w:rsidRDefault="00B43C57">
      <w:pPr>
        <w:pStyle w:val="Fotnotstextindrag"/>
      </w:pPr>
      <w:r w:rsidRPr="00F5723F">
        <w:rPr>
          <w:rStyle w:val="Fotnotsreferens"/>
          <w:rFonts w:ascii="Garamond" w:hAnsi="Garamond"/>
        </w:rPr>
        <w:footnoteRef/>
      </w:r>
      <w:r w:rsidRPr="00F5723F">
        <w:t xml:space="preserve"> Gunnel Karlsson</w:t>
      </w:r>
      <w:r w:rsidRPr="00F5723F">
        <w:t xml:space="preserve"> (1996)</w:t>
      </w:r>
      <w:r w:rsidRPr="00F5723F">
        <w:t xml:space="preserve">, </w:t>
      </w:r>
      <w:r w:rsidRPr="00F5723F">
        <w:rPr>
          <w:i/>
        </w:rPr>
        <w:t>Från broderskap till systerskap. Det socialdemokratiska kvinnoförbu</w:t>
      </w:r>
      <w:r w:rsidRPr="00F5723F">
        <w:rPr>
          <w:i/>
        </w:rPr>
        <w:t>n</w:t>
      </w:r>
      <w:r w:rsidRPr="00F5723F">
        <w:rPr>
          <w:i/>
        </w:rPr>
        <w:t>dets kamp för inflytande och makt i SAP</w:t>
      </w:r>
      <w:r w:rsidRPr="00F5723F">
        <w:t xml:space="preserve">, Lund: Arkiv Förlag. Se även Gunnel Karlsson </w:t>
      </w:r>
      <w:r w:rsidRPr="00F5723F">
        <w:t xml:space="preserve">(1990), </w:t>
      </w:r>
      <w:r w:rsidRPr="00F5723F">
        <w:rPr>
          <w:i/>
        </w:rPr>
        <w:t>Man</w:t>
      </w:r>
      <w:r w:rsidRPr="00F5723F">
        <w:rPr>
          <w:i/>
        </w:rPr>
        <w:t>s</w:t>
      </w:r>
      <w:r w:rsidRPr="00F5723F">
        <w:rPr>
          <w:i/>
        </w:rPr>
        <w:t>samhället till behag,</w:t>
      </w:r>
      <w:r w:rsidRPr="00F5723F">
        <w:rPr>
          <w:i/>
        </w:rPr>
        <w:t xml:space="preserve"> </w:t>
      </w:r>
      <w:r w:rsidRPr="00F5723F">
        <w:t>Stockholm: SSKF och Tidens förlag på samma tema.</w:t>
      </w:r>
    </w:p>
  </w:footnote>
  <w:footnote w:id="229">
    <w:p w:rsidR="00B43C57" w:rsidRPr="00F5723F" w:rsidRDefault="00B43C57">
      <w:pPr>
        <w:pStyle w:val="Fotnotstextindrag"/>
      </w:pPr>
      <w:r w:rsidRPr="00F5723F">
        <w:rPr>
          <w:rStyle w:val="Fotnotsreferens"/>
          <w:rFonts w:ascii="Garamond" w:hAnsi="Garamond"/>
        </w:rPr>
        <w:footnoteRef/>
      </w:r>
      <w:r w:rsidRPr="00F5723F">
        <w:t xml:space="preserve"> Karlss</w:t>
      </w:r>
      <w:r w:rsidRPr="00F5723F">
        <w:t>on (1996)</w:t>
      </w:r>
      <w:r w:rsidRPr="00F5723F">
        <w:t>.</w:t>
      </w:r>
    </w:p>
  </w:footnote>
  <w:footnote w:id="230">
    <w:p w:rsidR="00B43C57" w:rsidRPr="00F5723F" w:rsidRDefault="00B43C57">
      <w:pPr>
        <w:pStyle w:val="Fotnotstextindrag"/>
      </w:pPr>
      <w:r w:rsidRPr="00F5723F">
        <w:rPr>
          <w:rStyle w:val="Fotnotsreferens"/>
          <w:rFonts w:ascii="Garamond" w:hAnsi="Garamond"/>
        </w:rPr>
        <w:footnoteRef/>
      </w:r>
      <w:r w:rsidRPr="00F5723F">
        <w:t xml:space="preserve"> Förutom </w:t>
      </w:r>
      <w:r w:rsidRPr="00F5723F">
        <w:t>Socialdemokratiska kvinnoförbundet har även Centerns kvinnofö</w:t>
      </w:r>
      <w:r w:rsidRPr="00F5723F">
        <w:t>r</w:t>
      </w:r>
      <w:r w:rsidRPr="00F5723F">
        <w:t xml:space="preserve">bund och Högerns kvinnoförbund blivit föremål för forskning. För vidare läsning, se Anita Dahlgren, Ole Elgström och Hans Albin Larsson (1985), </w:t>
      </w:r>
      <w:r w:rsidRPr="00F5723F">
        <w:rPr>
          <w:i/>
        </w:rPr>
        <w:t>Kvinnor påverkar. Centerns Kvinn</w:t>
      </w:r>
      <w:r w:rsidRPr="00F5723F">
        <w:rPr>
          <w:i/>
        </w:rPr>
        <w:t>o</w:t>
      </w:r>
      <w:r w:rsidRPr="00F5723F">
        <w:rPr>
          <w:i/>
        </w:rPr>
        <w:t>förbund ur tre vetenskapliga perspektiv</w:t>
      </w:r>
      <w:r w:rsidRPr="00F5723F">
        <w:t>, Stockholm:</w:t>
      </w:r>
      <w:r w:rsidRPr="00F5723F">
        <w:t xml:space="preserve"> LT:s förlag. Se även Maj Larsson (1973), </w:t>
      </w:r>
      <w:r w:rsidRPr="00F5723F">
        <w:rPr>
          <w:i/>
        </w:rPr>
        <w:t>Kvinnor i tidsspegel – En bok om centerns kvinnoförbund</w:t>
      </w:r>
      <w:r w:rsidRPr="00F5723F">
        <w:t>, Stoc</w:t>
      </w:r>
      <w:r w:rsidRPr="00F5723F">
        <w:t>k</w:t>
      </w:r>
      <w:r w:rsidRPr="00F5723F">
        <w:t>holm, samt</w:t>
      </w:r>
      <w:r w:rsidRPr="00F5723F">
        <w:t xml:space="preserve"> Stina Nicklasson (1992), </w:t>
      </w:r>
      <w:r w:rsidRPr="00F5723F">
        <w:rPr>
          <w:i/>
        </w:rPr>
        <w:t>Högerns kvinnor. Problem eller resurs för Al</w:t>
      </w:r>
      <w:r w:rsidRPr="00F5723F">
        <w:rPr>
          <w:i/>
        </w:rPr>
        <w:t>l</w:t>
      </w:r>
      <w:r w:rsidRPr="00F5723F">
        <w:rPr>
          <w:i/>
        </w:rPr>
        <w:t>männa</w:t>
      </w:r>
      <w:r w:rsidRPr="00F5723F">
        <w:rPr>
          <w:i/>
        </w:rPr>
        <w:t xml:space="preserve"> valmansförbundet perio</w:t>
      </w:r>
      <w:r w:rsidRPr="00F5723F">
        <w:rPr>
          <w:i/>
        </w:rPr>
        <w:t>den 1900–</w:t>
      </w:r>
      <w:r w:rsidRPr="00F5723F">
        <w:rPr>
          <w:i/>
        </w:rPr>
        <w:t>1936/37,</w:t>
      </w:r>
      <w:r w:rsidRPr="00F5723F">
        <w:t xml:space="preserve"> Stockholm:</w:t>
      </w:r>
      <w:r w:rsidRPr="00F5723F">
        <w:t xml:space="preserve"> Almkvist &amp; Wiksell. Veterligen har Folkpartiets och Kristdemokraternas kvinnoförbund inte uppmär</w:t>
      </w:r>
      <w:r w:rsidRPr="00F5723F">
        <w:t>k</w:t>
      </w:r>
      <w:r w:rsidRPr="00F5723F">
        <w:t xml:space="preserve">sammats i någon samlad vetenskaplig framställning. Enskilda texter finns, som </w:t>
      </w:r>
      <w:r w:rsidRPr="00F5723F">
        <w:t>till exempel</w:t>
      </w:r>
      <w:r w:rsidRPr="00F5723F">
        <w:t xml:space="preserve"> Louise Drangel (1984), ”Folkpartiet och jämställdhetsfrågan” i </w:t>
      </w:r>
      <w:r w:rsidRPr="00F5723F">
        <w:rPr>
          <w:i/>
        </w:rPr>
        <w:t>Li</w:t>
      </w:r>
      <w:r w:rsidRPr="00F5723F">
        <w:rPr>
          <w:i/>
        </w:rPr>
        <w:t>beral ide</w:t>
      </w:r>
      <w:r w:rsidRPr="00F5723F">
        <w:rPr>
          <w:i/>
        </w:rPr>
        <w:t>o</w:t>
      </w:r>
      <w:r w:rsidRPr="00F5723F">
        <w:rPr>
          <w:i/>
        </w:rPr>
        <w:t>logi och politik 1934–</w:t>
      </w:r>
      <w:r w:rsidRPr="00F5723F">
        <w:rPr>
          <w:i/>
        </w:rPr>
        <w:t>84</w:t>
      </w:r>
      <w:r w:rsidRPr="00F5723F">
        <w:t xml:space="preserve">, Falköping: AB Folk och Samhälle, och </w:t>
      </w:r>
      <w:r w:rsidRPr="00F5723F">
        <w:rPr>
          <w:i/>
        </w:rPr>
        <w:t>Det var så vi börj</w:t>
      </w:r>
      <w:r w:rsidRPr="00F5723F">
        <w:rPr>
          <w:i/>
        </w:rPr>
        <w:t>a</w:t>
      </w:r>
      <w:r w:rsidRPr="00F5723F">
        <w:rPr>
          <w:i/>
        </w:rPr>
        <w:t>de</w:t>
      </w:r>
      <w:r w:rsidRPr="00F5723F">
        <w:t xml:space="preserve"> (1979), Liberala kvinnor, Stoc</w:t>
      </w:r>
      <w:r w:rsidRPr="00F5723F">
        <w:t>k</w:t>
      </w:r>
      <w:r w:rsidRPr="00F5723F">
        <w:t>holm.</w:t>
      </w:r>
    </w:p>
  </w:footnote>
  <w:footnote w:id="231">
    <w:p w:rsidR="00B43C57" w:rsidRPr="00F5723F" w:rsidRDefault="00B43C57">
      <w:pPr>
        <w:pStyle w:val="Fotnotstextindrag"/>
      </w:pPr>
      <w:r w:rsidRPr="00F5723F">
        <w:rPr>
          <w:rStyle w:val="Fotnotsreferens"/>
          <w:rFonts w:ascii="Garamond" w:hAnsi="Garamond"/>
        </w:rPr>
        <w:footnoteRef/>
      </w:r>
      <w:r w:rsidRPr="00F5723F">
        <w:t xml:space="preserve"> Eduards (1992, 2002a, 2002b).</w:t>
      </w:r>
    </w:p>
  </w:footnote>
  <w:footnote w:id="232">
    <w:p w:rsidR="00B43C57" w:rsidRPr="00F5723F" w:rsidRDefault="00B43C57">
      <w:pPr>
        <w:pStyle w:val="Fotnotstextindrag"/>
      </w:pPr>
      <w:r w:rsidRPr="00F5723F">
        <w:rPr>
          <w:rStyle w:val="Fotnotsreferens"/>
          <w:rFonts w:ascii="Garamond" w:hAnsi="Garamond"/>
        </w:rPr>
        <w:footnoteRef/>
      </w:r>
      <w:r w:rsidRPr="00F5723F">
        <w:t xml:space="preserve"> Gustafsson, Eduards och </w:t>
      </w:r>
      <w:r w:rsidRPr="00F5723F">
        <w:t>Rönnblom (1997),</w:t>
      </w:r>
      <w:r w:rsidRPr="00F5723F">
        <w:rPr>
          <w:i/>
        </w:rPr>
        <w:t xml:space="preserve"> Towards </w:t>
      </w:r>
      <w:r w:rsidRPr="00F5723F">
        <w:rPr>
          <w:i/>
        </w:rPr>
        <w:t>a New Democratic Order</w:t>
      </w:r>
      <w:r w:rsidRPr="00F5723F">
        <w:t xml:space="preserve">, </w:t>
      </w:r>
      <w:smartTag w:uri="urn:schemas-microsoft-com:office:smarttags" w:element="City">
        <w:smartTag w:uri="urn:schemas-microsoft-com:office:smarttags" w:element="place">
          <w:r w:rsidRPr="00F5723F">
            <w:t>Stockholm</w:t>
          </w:r>
        </w:smartTag>
      </w:smartTag>
      <w:r w:rsidRPr="00F5723F">
        <w:t xml:space="preserve">: Publica. </w:t>
      </w:r>
    </w:p>
  </w:footnote>
  <w:footnote w:id="233">
    <w:p w:rsidR="00B43C57" w:rsidRPr="00F5723F" w:rsidRDefault="00B43C57">
      <w:pPr>
        <w:pStyle w:val="Fotnotstextindrag"/>
      </w:pPr>
      <w:r w:rsidRPr="00F5723F">
        <w:rPr>
          <w:rStyle w:val="Fotnotsreferens"/>
          <w:rFonts w:ascii="Garamond" w:hAnsi="Garamond"/>
        </w:rPr>
        <w:footnoteRef/>
      </w:r>
      <w:r w:rsidRPr="00F5723F">
        <w:t xml:space="preserve"> Under 1970-talet inleddes också arbetet för jämställdhet mellan kvinnor och män i de offentliga institutionerna.</w:t>
      </w:r>
    </w:p>
  </w:footnote>
  <w:footnote w:id="234">
    <w:p w:rsidR="00B43C57" w:rsidRPr="00F5723F" w:rsidRDefault="00B43C57">
      <w:pPr>
        <w:pStyle w:val="Fotnotstextindrag"/>
      </w:pPr>
      <w:r w:rsidRPr="00F5723F">
        <w:rPr>
          <w:rStyle w:val="Fotnotsreferens"/>
          <w:rFonts w:ascii="Garamond" w:hAnsi="Garamond"/>
        </w:rPr>
        <w:footnoteRef/>
      </w:r>
      <w:r w:rsidRPr="00F5723F">
        <w:t xml:space="preserve"> </w:t>
      </w:r>
      <w:r w:rsidRPr="00F5723F">
        <w:t>Stark (1997</w:t>
      </w:r>
      <w:r w:rsidRPr="00F5723F">
        <w:t>).</w:t>
      </w:r>
      <w:r w:rsidRPr="00F5723F">
        <w:t xml:space="preserve"> Se även Ulmanen (1998).</w:t>
      </w:r>
    </w:p>
  </w:footnote>
  <w:footnote w:id="235">
    <w:p w:rsidR="00B43C57" w:rsidRPr="00F5723F" w:rsidRDefault="00B43C57">
      <w:pPr>
        <w:pStyle w:val="Fotnotstextindrag"/>
      </w:pPr>
      <w:r w:rsidRPr="00F5723F">
        <w:rPr>
          <w:rStyle w:val="Fotnotsreferens"/>
          <w:rFonts w:ascii="Garamond" w:hAnsi="Garamond"/>
        </w:rPr>
        <w:footnoteRef/>
      </w:r>
      <w:r w:rsidRPr="00F5723F">
        <w:t xml:space="preserve"> Maud Eduards</w:t>
      </w:r>
      <w:r w:rsidRPr="00F5723F">
        <w:t xml:space="preserve"> (2002)</w:t>
      </w:r>
      <w:r w:rsidRPr="00F5723F">
        <w:t xml:space="preserve">, </w:t>
      </w:r>
      <w:r w:rsidRPr="00F5723F">
        <w:rPr>
          <w:i/>
        </w:rPr>
        <w:t>Förbjuden Handling. Om kvinnors organisering och fem</w:t>
      </w:r>
      <w:r w:rsidRPr="00F5723F">
        <w:rPr>
          <w:i/>
        </w:rPr>
        <w:t>i</w:t>
      </w:r>
      <w:r w:rsidRPr="00F5723F">
        <w:rPr>
          <w:i/>
        </w:rPr>
        <w:t>nistisk teori</w:t>
      </w:r>
      <w:r w:rsidRPr="00F5723F">
        <w:t>, Malmö: Liber</w:t>
      </w:r>
      <w:r w:rsidRPr="00F5723F">
        <w:t xml:space="preserve">. Se även </w:t>
      </w:r>
      <w:r w:rsidRPr="00F5723F">
        <w:t>Solveig Bergman (1999), ”Kvinnor i nya sociala rörelser” sid. 91–113 i Chri</w:t>
      </w:r>
      <w:r w:rsidRPr="00F5723F">
        <w:t>s</w:t>
      </w:r>
      <w:r w:rsidRPr="00F5723F">
        <w:t xml:space="preserve">tina Bergqvist et al red. </w:t>
      </w:r>
      <w:r w:rsidRPr="00F5723F">
        <w:rPr>
          <w:i/>
        </w:rPr>
        <w:t>Likestilte demokratier? Kjø</w:t>
      </w:r>
      <w:r w:rsidRPr="00F5723F">
        <w:rPr>
          <w:i/>
        </w:rPr>
        <w:t xml:space="preserve">nn og politikk i Norden, </w:t>
      </w:r>
      <w:r w:rsidRPr="00F5723F">
        <w:t xml:space="preserve">Oslo: Universitetsforlaget, Drude Dahlerup (1998), </w:t>
      </w:r>
      <w:r w:rsidRPr="00F5723F">
        <w:rPr>
          <w:i/>
        </w:rPr>
        <w:t>Rødstr</w:t>
      </w:r>
      <w:r w:rsidRPr="00F5723F">
        <w:rPr>
          <w:rStyle w:val="FotnotstextindragChar"/>
        </w:rPr>
        <w:t>ø</w:t>
      </w:r>
      <w:r w:rsidRPr="00F5723F">
        <w:rPr>
          <w:i/>
        </w:rPr>
        <w:t>mpe</w:t>
      </w:r>
      <w:r w:rsidRPr="00F5723F">
        <w:rPr>
          <w:i/>
        </w:rPr>
        <w:t>r</w:t>
      </w:r>
      <w:r w:rsidRPr="00F5723F">
        <w:rPr>
          <w:i/>
        </w:rPr>
        <w:t>ne. Den danske Rødstrø</w:t>
      </w:r>
      <w:r w:rsidRPr="00F5723F">
        <w:rPr>
          <w:i/>
        </w:rPr>
        <w:t>mpebevaegelses udvikling, nytaenk</w:t>
      </w:r>
      <w:r w:rsidRPr="00F5723F">
        <w:rPr>
          <w:i/>
        </w:rPr>
        <w:t>ning og gennemslag 1970–</w:t>
      </w:r>
      <w:r w:rsidRPr="00F5723F">
        <w:rPr>
          <w:i/>
        </w:rPr>
        <w:t>1985</w:t>
      </w:r>
      <w:r w:rsidRPr="00F5723F">
        <w:t xml:space="preserve">, </w:t>
      </w:r>
      <w:r w:rsidRPr="00F5723F">
        <w:t>I, II, Haslev: Gyldendal, Gunnel Gustafsson, Maud Eduards och Malin Rönnblom (1997),</w:t>
      </w:r>
      <w:r w:rsidRPr="00F5723F">
        <w:rPr>
          <w:i/>
        </w:rPr>
        <w:t xml:space="preserve"> Towards a New </w:t>
      </w:r>
      <w:r w:rsidRPr="00F5723F">
        <w:rPr>
          <w:i/>
        </w:rPr>
        <w:t>Democratic Order</w:t>
      </w:r>
      <w:r w:rsidRPr="00F5723F">
        <w:t xml:space="preserve">. </w:t>
      </w:r>
      <w:r w:rsidRPr="00F5723F">
        <w:t xml:space="preserve">Stockholm: Publica, </w:t>
      </w:r>
      <w:r w:rsidRPr="00F5723F">
        <w:t>Malin Rönnblom</w:t>
      </w:r>
      <w:r w:rsidRPr="00F5723F">
        <w:t xml:space="preserve"> (2002)</w:t>
      </w:r>
      <w:r w:rsidRPr="00F5723F">
        <w:rPr>
          <w:i/>
        </w:rPr>
        <w:t xml:space="preserve">, Ett eget rum? Kvinnors organisering möter etablerad politik, </w:t>
      </w:r>
      <w:r w:rsidRPr="00F5723F">
        <w:t>Umeå universitet,</w:t>
      </w:r>
      <w:r w:rsidRPr="00F5723F">
        <w:t xml:space="preserve"> </w:t>
      </w:r>
      <w:r w:rsidRPr="00F5723F">
        <w:rPr>
          <w:i/>
        </w:rPr>
        <w:t>SOU 2004:59</w:t>
      </w:r>
      <w:r w:rsidRPr="00F5723F">
        <w:t xml:space="preserve"> </w:t>
      </w:r>
      <w:r w:rsidRPr="00F5723F">
        <w:rPr>
          <w:i/>
        </w:rPr>
        <w:t>Kvinnors organisering,</w:t>
      </w:r>
      <w:r w:rsidRPr="00F5723F">
        <w:rPr>
          <w:i/>
        </w:rPr>
        <w:t xml:space="preserve"> </w:t>
      </w:r>
      <w:r w:rsidRPr="00F5723F">
        <w:t>Betänkande av utr</w:t>
      </w:r>
      <w:r w:rsidRPr="00F5723F">
        <w:t>edningen S</w:t>
      </w:r>
      <w:r w:rsidRPr="00F5723F">
        <w:t>tatligt</w:t>
      </w:r>
      <w:r w:rsidRPr="00F5723F">
        <w:t xml:space="preserve"> stöd för kvinnors organisering, Agneta Stark (1997), ”Combating the Bac</w:t>
      </w:r>
      <w:r w:rsidRPr="00F5723F">
        <w:t>k</w:t>
      </w:r>
      <w:r w:rsidRPr="00F5723F">
        <w:t>lash: How Swedish Women Won the War” sid. 224–244 i Ann Oakley &amp; Juliet Mi</w:t>
      </w:r>
      <w:r w:rsidRPr="00F5723F">
        <w:t>t</w:t>
      </w:r>
      <w:r w:rsidRPr="00F5723F">
        <w:t xml:space="preserve">chell (red), </w:t>
      </w:r>
      <w:r w:rsidRPr="00F5723F">
        <w:rPr>
          <w:i/>
        </w:rPr>
        <w:t>Who’s Afraid of Feminism?</w:t>
      </w:r>
      <w:r w:rsidRPr="00F5723F">
        <w:t xml:space="preserve"> New York: New Press, samt Petra Ulmanen (1998), </w:t>
      </w:r>
      <w:r w:rsidRPr="00F5723F">
        <w:rPr>
          <w:i/>
        </w:rPr>
        <w:t>(S)veket mot kvinnorna och hur högern stal feminismen.</w:t>
      </w:r>
      <w:r w:rsidRPr="00F5723F">
        <w:t xml:space="preserve"> </w:t>
      </w:r>
      <w:smartTag w:uri="urn:schemas-microsoft-com:office:smarttags" w:element="City">
        <w:smartTag w:uri="urn:schemas-microsoft-com:office:smarttags" w:element="place">
          <w:r w:rsidRPr="00F5723F">
            <w:t>Stoc</w:t>
          </w:r>
          <w:r w:rsidRPr="00F5723F">
            <w:t>k</w:t>
          </w:r>
          <w:r w:rsidRPr="00F5723F">
            <w:t>holm</w:t>
          </w:r>
        </w:smartTag>
      </w:smartTag>
      <w:r w:rsidRPr="00F5723F">
        <w:t>: At</w:t>
      </w:r>
      <w:r w:rsidRPr="00F5723F">
        <w:t>las.</w:t>
      </w:r>
    </w:p>
  </w:footnote>
  <w:footnote w:id="236">
    <w:p w:rsidR="00B43C57" w:rsidRPr="00F5723F" w:rsidRDefault="00B43C57">
      <w:pPr>
        <w:pStyle w:val="Fotnotstextindrag"/>
      </w:pPr>
      <w:r w:rsidRPr="00F5723F">
        <w:rPr>
          <w:rStyle w:val="Fotnotsreferens"/>
        </w:rPr>
        <w:footnoteRef/>
      </w:r>
      <w:r w:rsidRPr="00F5723F">
        <w:t xml:space="preserve"> </w:t>
      </w:r>
      <w:r w:rsidRPr="00F5723F">
        <w:t>Eduards (1997), ”Inter</w:t>
      </w:r>
      <w:r w:rsidRPr="00F5723F">
        <w:t>preting women’s organization” sid. 11–</w:t>
      </w:r>
      <w:r w:rsidRPr="00F5723F">
        <w:t>25 i</w:t>
      </w:r>
      <w:r w:rsidRPr="00F5723F">
        <w:t xml:space="preserve"> Gunnel Gustafsson red. (1997), </w:t>
      </w:r>
      <w:r w:rsidRPr="00F5723F">
        <w:rPr>
          <w:i/>
        </w:rPr>
        <w:t>Towards a New Democratic Order</w:t>
      </w:r>
      <w:r w:rsidRPr="00F5723F">
        <w:t xml:space="preserve"> </w:t>
      </w:r>
      <w:smartTag w:uri="urn:schemas-microsoft-com:office:smarttags" w:element="place">
        <w:smartTag w:uri="urn:schemas-microsoft-com:office:smarttags" w:element="City">
          <w:r w:rsidRPr="00F5723F">
            <w:t>Stockholm</w:t>
          </w:r>
        </w:smartTag>
      </w:smartTag>
      <w:r w:rsidRPr="00F5723F">
        <w:t>: Publica.</w:t>
      </w:r>
    </w:p>
  </w:footnote>
  <w:footnote w:id="237">
    <w:p w:rsidR="00B43C57" w:rsidRPr="00F5723F" w:rsidRDefault="00B43C57">
      <w:pPr>
        <w:pStyle w:val="Fotnotstextindrag"/>
      </w:pPr>
      <w:r w:rsidRPr="00F5723F">
        <w:rPr>
          <w:rStyle w:val="Fotnotsreferens"/>
          <w:rFonts w:ascii="Garamond" w:hAnsi="Garamond"/>
        </w:rPr>
        <w:footnoteRef/>
      </w:r>
      <w:r w:rsidRPr="00F5723F">
        <w:t xml:space="preserve"> </w:t>
      </w:r>
      <w:r w:rsidRPr="00F5723F">
        <w:t>Rönnblom (2002)</w:t>
      </w:r>
      <w:r w:rsidRPr="00F5723F">
        <w:rPr>
          <w:i/>
        </w:rPr>
        <w:t xml:space="preserve">, Ett eget rum? </w:t>
      </w:r>
      <w:r w:rsidRPr="00F5723F">
        <w:rPr>
          <w:i/>
        </w:rPr>
        <w:t xml:space="preserve">Kvinnors organisering möter etablerad politik, </w:t>
      </w:r>
      <w:r w:rsidRPr="00F5723F">
        <w:t>Umeå</w:t>
      </w:r>
      <w:r w:rsidRPr="00F5723F">
        <w:rPr>
          <w:i/>
        </w:rPr>
        <w:t xml:space="preserve">: </w:t>
      </w:r>
      <w:r w:rsidRPr="00F5723F">
        <w:t>Umeå un</w:t>
      </w:r>
      <w:r w:rsidRPr="00F5723F">
        <w:t>i</w:t>
      </w:r>
      <w:r w:rsidRPr="00F5723F">
        <w:t>versitet.</w:t>
      </w:r>
    </w:p>
  </w:footnote>
  <w:footnote w:id="238">
    <w:p w:rsidR="00B43C57" w:rsidRPr="00F5723F" w:rsidRDefault="00B43C57">
      <w:pPr>
        <w:pStyle w:val="Fotnotstextindrag"/>
      </w:pPr>
      <w:r w:rsidRPr="00F5723F">
        <w:rPr>
          <w:rStyle w:val="Fotnotsreferens"/>
          <w:rFonts w:ascii="Garamond" w:hAnsi="Garamond"/>
        </w:rPr>
        <w:footnoteRef/>
      </w:r>
      <w:r w:rsidRPr="00F5723F">
        <w:t xml:space="preserve"> Se </w:t>
      </w:r>
      <w:r w:rsidRPr="00F5723F">
        <w:t>till exempel</w:t>
      </w:r>
      <w:r w:rsidRPr="00F5723F">
        <w:t xml:space="preserve"> Ulrika Thomsson (2004), ”Striden om tiden: kvinnorörelsen och sex ti</w:t>
      </w:r>
      <w:r w:rsidRPr="00F5723F">
        <w:t>m</w:t>
      </w:r>
      <w:r w:rsidRPr="00F5723F">
        <w:t>mars arbetsdag” i Yvonne Svanström och Kjell Östberg red</w:t>
      </w:r>
      <w:r w:rsidRPr="00F5723F">
        <w:t>.</w:t>
      </w:r>
      <w:r w:rsidRPr="00F5723F">
        <w:t xml:space="preserve"> (2004), </w:t>
      </w:r>
      <w:r w:rsidRPr="00F5723F">
        <w:rPr>
          <w:i/>
        </w:rPr>
        <w:t>Än män d</w:t>
      </w:r>
      <w:r w:rsidRPr="00F5723F">
        <w:rPr>
          <w:i/>
        </w:rPr>
        <w:t>å? Kön och fem</w:t>
      </w:r>
      <w:r w:rsidRPr="00F5723F">
        <w:rPr>
          <w:i/>
        </w:rPr>
        <w:t>i</w:t>
      </w:r>
      <w:r w:rsidRPr="00F5723F">
        <w:rPr>
          <w:i/>
        </w:rPr>
        <w:t>nism i Sverige under</w:t>
      </w:r>
      <w:r w:rsidRPr="00F5723F">
        <w:rPr>
          <w:i/>
        </w:rPr>
        <w:t xml:space="preserve"> 150 år,</w:t>
      </w:r>
      <w:r w:rsidRPr="00F5723F">
        <w:t xml:space="preserve"> Stockholm: Atlas. </w:t>
      </w:r>
    </w:p>
  </w:footnote>
  <w:footnote w:id="239">
    <w:p w:rsidR="00B43C57" w:rsidRPr="00F5723F" w:rsidRDefault="00B43C57">
      <w:pPr>
        <w:pStyle w:val="Fotnotstextindrag"/>
      </w:pPr>
      <w:r w:rsidRPr="00F5723F">
        <w:rPr>
          <w:rStyle w:val="Fotnotsreferens"/>
          <w:rFonts w:ascii="Garamond" w:hAnsi="Garamond"/>
        </w:rPr>
        <w:footnoteRef/>
      </w:r>
      <w:r w:rsidRPr="00F5723F">
        <w:t xml:space="preserve"> För studier om riksdagens sammansättning, se </w:t>
      </w:r>
      <w:r w:rsidRPr="00F5723F">
        <w:t>till exempel</w:t>
      </w:r>
      <w:r w:rsidRPr="00F5723F">
        <w:t xml:space="preserve"> Nils Stjernquist</w:t>
      </w:r>
      <w:r w:rsidRPr="00F5723F">
        <w:t xml:space="preserve"> (1992)</w:t>
      </w:r>
      <w:r w:rsidRPr="00F5723F">
        <w:t xml:space="preserve">, ”Riksdagen i vår tid: perioden från </w:t>
      </w:r>
      <w:smartTag w:uri="urn:schemas-microsoft-com:office:smarttags" w:element="metricconverter">
        <w:smartTagPr>
          <w:attr w:name="ProductID" w:val="1921”"/>
        </w:smartTagPr>
        <w:r w:rsidRPr="00F5723F">
          <w:t>1921”</w:t>
        </w:r>
      </w:smartTag>
      <w:r w:rsidRPr="00F5723F">
        <w:t xml:space="preserve"> i </w:t>
      </w:r>
      <w:r w:rsidRPr="00F5723F">
        <w:rPr>
          <w:i/>
        </w:rPr>
        <w:t>Riksdagen genom tiderna</w:t>
      </w:r>
      <w:r w:rsidRPr="00F5723F">
        <w:t xml:space="preserve">, Herman Schuck, Göran Rystad, </w:t>
      </w:r>
      <w:r w:rsidRPr="00F5723F">
        <w:t>Michael F. Metcalf, Sten Carlsson &amp; Nils Stjernquist</w:t>
      </w:r>
      <w:r w:rsidRPr="00F5723F">
        <w:t xml:space="preserve"> red.</w:t>
      </w:r>
      <w:r w:rsidRPr="00F5723F">
        <w:t>, Stoc</w:t>
      </w:r>
      <w:r w:rsidRPr="00F5723F">
        <w:t>k</w:t>
      </w:r>
      <w:r w:rsidRPr="00F5723F">
        <w:t>holm</w:t>
      </w:r>
      <w:r w:rsidRPr="00F5723F">
        <w:t xml:space="preserve">, </w:t>
      </w:r>
      <w:r w:rsidRPr="00F5723F">
        <w:t>1992, Sören Holmberg</w:t>
      </w:r>
      <w:r w:rsidRPr="00F5723F">
        <w:t xml:space="preserve"> (1974)</w:t>
      </w:r>
      <w:r w:rsidRPr="00F5723F">
        <w:t xml:space="preserve">, </w:t>
      </w:r>
      <w:r w:rsidRPr="00F5723F">
        <w:rPr>
          <w:i/>
        </w:rPr>
        <w:t>Riksdagen representerar svenska folket. Empiriska studier i representativ demokrati,</w:t>
      </w:r>
      <w:r w:rsidRPr="00F5723F">
        <w:t xml:space="preserve"> Lund</w:t>
      </w:r>
      <w:r w:rsidRPr="00F5723F">
        <w:t>, Sören Holmberg &amp; Peter Esaia</w:t>
      </w:r>
      <w:r w:rsidRPr="00F5723F">
        <w:t>s</w:t>
      </w:r>
      <w:r w:rsidRPr="00F5723F">
        <w:t>son</w:t>
      </w:r>
      <w:r w:rsidRPr="00F5723F">
        <w:t xml:space="preserve"> (1988)</w:t>
      </w:r>
      <w:r w:rsidRPr="00F5723F">
        <w:t>,</w:t>
      </w:r>
      <w:r w:rsidRPr="00F5723F">
        <w:rPr>
          <w:i/>
        </w:rPr>
        <w:t xml:space="preserve"> De Folkvalda. En bok om riksdagsledamöterna och den representativa demokratin i Sverige</w:t>
      </w:r>
      <w:r w:rsidRPr="00F5723F">
        <w:t>, Stockholm,</w:t>
      </w:r>
      <w:r w:rsidRPr="00F5723F">
        <w:t xml:space="preserve"> Axel Brusewitz red. (1936)</w:t>
      </w:r>
      <w:r w:rsidRPr="00F5723F">
        <w:t xml:space="preserve">, </w:t>
      </w:r>
      <w:r w:rsidRPr="00F5723F">
        <w:rPr>
          <w:i/>
        </w:rPr>
        <w:t>Studier över den svenska riksd</w:t>
      </w:r>
      <w:r w:rsidRPr="00F5723F">
        <w:rPr>
          <w:i/>
        </w:rPr>
        <w:t>a</w:t>
      </w:r>
      <w:r w:rsidRPr="00F5723F">
        <w:rPr>
          <w:i/>
        </w:rPr>
        <w:t xml:space="preserve">gens sociala sammansättning, </w:t>
      </w:r>
      <w:r w:rsidRPr="00F5723F">
        <w:t>Uppsala, Stockholm.</w:t>
      </w:r>
    </w:p>
  </w:footnote>
  <w:footnote w:id="240">
    <w:p w:rsidR="00B43C57" w:rsidRPr="00F5723F" w:rsidRDefault="00B43C57">
      <w:pPr>
        <w:pStyle w:val="Fotnotstextindrag"/>
      </w:pPr>
      <w:r w:rsidRPr="00F5723F">
        <w:rPr>
          <w:rStyle w:val="Fotnotsreferens"/>
          <w:rFonts w:ascii="Garamond" w:hAnsi="Garamond"/>
        </w:rPr>
        <w:footnoteRef/>
      </w:r>
      <w:r w:rsidRPr="00F5723F">
        <w:t xml:space="preserve"> Brändström (1972), Palme (1969), Sköld (1958). Se även Duverger (1955).</w:t>
      </w:r>
    </w:p>
  </w:footnote>
  <w:footnote w:id="241">
    <w:p w:rsidR="00B43C57" w:rsidRPr="00F5723F" w:rsidRDefault="00B43C57">
      <w:pPr>
        <w:pStyle w:val="Fotnotstextindrag"/>
      </w:pPr>
      <w:r w:rsidRPr="00F5723F">
        <w:rPr>
          <w:rStyle w:val="Fotnotsreferens"/>
          <w:rFonts w:ascii="Garamond" w:hAnsi="Garamond"/>
        </w:rPr>
        <w:footnoteRef/>
      </w:r>
      <w:r w:rsidRPr="00F5723F">
        <w:t xml:space="preserve"> Undersökningen omfattar valåren 1948 och 1952 och innehåller en studie av part</w:t>
      </w:r>
      <w:r w:rsidRPr="00F5723F">
        <w:t>i</w:t>
      </w:r>
      <w:r w:rsidRPr="00F5723F">
        <w:t>ernas organisation, regler för nomineringsprocessen, förfarande, resultat samt analys. Utredningen avslutas med två komparativa kapitel. Det första av dessa kapitel b</w:t>
      </w:r>
      <w:r w:rsidRPr="00F5723F">
        <w:t>e</w:t>
      </w:r>
      <w:r w:rsidRPr="00F5723F">
        <w:t>handlar partilisto</w:t>
      </w:r>
      <w:r w:rsidRPr="00F5723F">
        <w:t>r</w:t>
      </w:r>
      <w:r w:rsidRPr="00F5723F">
        <w:t>nas sammansättning avseende de fyra bakgrundsvariablerna yrke, geografisk hemvist, kön och ålder. I det andra kapitlet analyseras väljarnas möjligh</w:t>
      </w:r>
      <w:r w:rsidRPr="00F5723F">
        <w:t>e</w:t>
      </w:r>
      <w:r w:rsidRPr="00F5723F">
        <w:t>ter till inflytande av listo</w:t>
      </w:r>
      <w:r w:rsidRPr="00F5723F">
        <w:t>r</w:t>
      </w:r>
      <w:r w:rsidRPr="00F5723F">
        <w:t>nas komposition.</w:t>
      </w:r>
    </w:p>
  </w:footnote>
  <w:footnote w:id="242">
    <w:p w:rsidR="00B43C57" w:rsidRPr="00F5723F" w:rsidRDefault="00B43C57">
      <w:pPr>
        <w:pStyle w:val="Fotnotstextindrag"/>
      </w:pPr>
      <w:r w:rsidRPr="00F5723F">
        <w:rPr>
          <w:rStyle w:val="Fotnotsreferens"/>
          <w:rFonts w:ascii="Garamond" w:hAnsi="Garamond"/>
        </w:rPr>
        <w:footnoteRef/>
      </w:r>
      <w:r w:rsidRPr="00F5723F">
        <w:t xml:space="preserve"> Denna studie omfattar samtliga då befintliga riksdagspartier och fokuserar på den enskilde medlemmens möjligheter att påverka </w:t>
      </w:r>
      <w:r w:rsidRPr="00F5723F">
        <w:t>val av person</w:t>
      </w:r>
      <w:r w:rsidRPr="00F5723F">
        <w:t xml:space="preserve"> och den slutgiltiga va</w:t>
      </w:r>
      <w:r w:rsidRPr="00F5723F">
        <w:t>l</w:t>
      </w:r>
      <w:r w:rsidRPr="00F5723F">
        <w:t>sedelns utseende.</w:t>
      </w:r>
    </w:p>
  </w:footnote>
  <w:footnote w:id="243">
    <w:p w:rsidR="00B43C57" w:rsidRPr="00F5723F" w:rsidRDefault="00B43C57">
      <w:pPr>
        <w:pStyle w:val="Fotnotstextindrag"/>
      </w:pPr>
      <w:r w:rsidRPr="00F5723F">
        <w:rPr>
          <w:rStyle w:val="Fotnotsreferens"/>
          <w:rFonts w:ascii="Garamond" w:hAnsi="Garamond"/>
        </w:rPr>
        <w:footnoteRef/>
      </w:r>
      <w:r w:rsidRPr="00F5723F">
        <w:t xml:space="preserve"> </w:t>
      </w:r>
      <w:r w:rsidRPr="00F5723F">
        <w:t>En uppföljning av utredningarna 1952 och 1972 har gjorts av Jon Pierre (1986), som har analyserat nomineringsprocessen på en övergripande nivå.</w:t>
      </w:r>
      <w:r w:rsidRPr="00F5723F">
        <w:t xml:space="preserve"> </w:t>
      </w:r>
    </w:p>
  </w:footnote>
  <w:footnote w:id="244">
    <w:p w:rsidR="00B43C57" w:rsidRPr="00F5723F" w:rsidRDefault="00B43C57">
      <w:pPr>
        <w:pStyle w:val="Fotnotstextindrag"/>
      </w:pPr>
      <w:r w:rsidRPr="00F5723F">
        <w:rPr>
          <w:rStyle w:val="Fotnotsreferens"/>
          <w:rFonts w:ascii="Garamond" w:hAnsi="Garamond"/>
        </w:rPr>
        <w:footnoteRef/>
      </w:r>
      <w:r w:rsidRPr="00F5723F">
        <w:t xml:space="preserve"> Jan Johansson (1999) har utfört en grundlig analys av hur ledningsrekryteringen inom de politiska partierna går till med utgångspunkt i kandidatnomineringarna till riksdagsvalet 1994. Johansson </w:t>
      </w:r>
      <w:r w:rsidRPr="00F5723F">
        <w:t xml:space="preserve">analyserar </w:t>
      </w:r>
      <w:r w:rsidRPr="00F5723F">
        <w:t>de faktorer som påverkar rangordningen av kandidaterna på riksdagslistorna med särskilt hänseen</w:t>
      </w:r>
      <w:r w:rsidRPr="00F5723F">
        <w:t>de på makt, explicit central respektive</w:t>
      </w:r>
      <w:r w:rsidRPr="00F5723F">
        <w:t xml:space="preserve"> lokal makt. En av Johanssons konklusioner är att de centrala partilednin</w:t>
      </w:r>
      <w:r w:rsidRPr="00F5723F">
        <w:t>g</w:t>
      </w:r>
      <w:r w:rsidRPr="00F5723F">
        <w:t>arna har en begränsad makt att påverka valkretsorganisationernas val av riksdagsl</w:t>
      </w:r>
      <w:r w:rsidRPr="00F5723F">
        <w:t>e</w:t>
      </w:r>
      <w:r w:rsidRPr="00F5723F">
        <w:t>damöter, även om</w:t>
      </w:r>
      <w:r w:rsidRPr="00F5723F">
        <w:t xml:space="preserve"> partivisa</w:t>
      </w:r>
      <w:r w:rsidRPr="00F5723F">
        <w:t xml:space="preserve"> skillnader föreligger. Inom Socialdemokraterna</w:t>
      </w:r>
      <w:r w:rsidRPr="00F5723F">
        <w:t xml:space="preserve"> ligger i praktiken ofta avgörandet inom de större arbetarkommunerna och inte hos partid</w:t>
      </w:r>
      <w:r w:rsidRPr="00F5723F">
        <w:t>i</w:t>
      </w:r>
      <w:r w:rsidRPr="00F5723F">
        <w:t xml:space="preserve">strikten. </w:t>
      </w:r>
      <w:r w:rsidRPr="00F5723F">
        <w:t xml:space="preserve">Inom de borgerliga partierna har det interna provvalet en viktig betydelse. </w:t>
      </w:r>
      <w:r w:rsidRPr="00F5723F">
        <w:t>Provvalsinstrume</w:t>
      </w:r>
      <w:r w:rsidRPr="00F5723F">
        <w:t>n</w:t>
      </w:r>
      <w:r w:rsidRPr="00F5723F">
        <w:t>tet som primärt används av d</w:t>
      </w:r>
      <w:r w:rsidRPr="00F5723F">
        <w:t xml:space="preserve">e borgerliga partierna kan </w:t>
      </w:r>
      <w:r w:rsidRPr="00F5723F">
        <w:t xml:space="preserve">betraktas </w:t>
      </w:r>
      <w:r w:rsidRPr="00F5723F">
        <w:t xml:space="preserve">dels </w:t>
      </w:r>
      <w:r w:rsidRPr="00F5723F">
        <w:t xml:space="preserve">som ett uttryck för </w:t>
      </w:r>
      <w:r w:rsidRPr="00F5723F">
        <w:t>medlemsdemokrati, dels som ett konserverande av beslutsfa</w:t>
      </w:r>
      <w:r w:rsidRPr="00F5723F">
        <w:t>t</w:t>
      </w:r>
      <w:r w:rsidRPr="00F5723F">
        <w:t>tandet som stärker de etablerade kandidaterna.</w:t>
      </w:r>
    </w:p>
  </w:footnote>
  <w:footnote w:id="245">
    <w:p w:rsidR="00B43C57" w:rsidRPr="00F5723F" w:rsidRDefault="00B43C57">
      <w:pPr>
        <w:pStyle w:val="Fotnotstextindrag"/>
      </w:pPr>
      <w:r w:rsidRPr="00F5723F">
        <w:rPr>
          <w:rStyle w:val="Fotnotsreferens"/>
          <w:rFonts w:ascii="Garamond" w:hAnsi="Garamond"/>
        </w:rPr>
        <w:footnoteRef/>
      </w:r>
      <w:r w:rsidRPr="00F5723F">
        <w:t xml:space="preserve"> Johansson (1999), sid. 318–</w:t>
      </w:r>
      <w:r w:rsidRPr="00F5723F">
        <w:t>323. För övrig nordisk forskning om rekryt</w:t>
      </w:r>
      <w:r w:rsidRPr="00F5723F">
        <w:t>e</w:t>
      </w:r>
      <w:r w:rsidRPr="00F5723F">
        <w:t xml:space="preserve">rings- och nomineringsprocesser där genus diskuteras, se </w:t>
      </w:r>
      <w:r w:rsidRPr="00F5723F">
        <w:t>till exempel</w:t>
      </w:r>
      <w:r w:rsidRPr="00F5723F">
        <w:t xml:space="preserve"> Roger Buch Jensen &amp; Ulrik Kjaer (1997), ”Rekryteringsprocessen: Udvaelgele og selvud</w:t>
      </w:r>
      <w:r w:rsidRPr="00F5723F">
        <w:t>vaelgelse” sid. 88–</w:t>
      </w:r>
      <w:r w:rsidRPr="00F5723F">
        <w:t xml:space="preserve">105 i Jörgen Elklit &amp; Roger Buch Jensen red. (1997), </w:t>
      </w:r>
      <w:r w:rsidRPr="00F5723F">
        <w:rPr>
          <w:i/>
        </w:rPr>
        <w:t>Kommunalvalg</w:t>
      </w:r>
      <w:r w:rsidRPr="00F5723F">
        <w:t>,</w:t>
      </w:r>
      <w:r w:rsidRPr="00F5723F">
        <w:t xml:space="preserve"> Odense: Ode</w:t>
      </w:r>
      <w:r w:rsidRPr="00F5723F">
        <w:t>n</w:t>
      </w:r>
      <w:r w:rsidRPr="00F5723F">
        <w:t xml:space="preserve">se University Press, Voitto Helander (1997), ”Finland” i Pippa Norris red. </w:t>
      </w:r>
      <w:r w:rsidRPr="00F5723F">
        <w:t xml:space="preserve">(1997), </w:t>
      </w:r>
      <w:r w:rsidRPr="00F5723F">
        <w:rPr>
          <w:i/>
        </w:rPr>
        <w:t>Pa</w:t>
      </w:r>
      <w:r w:rsidRPr="00F5723F">
        <w:rPr>
          <w:i/>
        </w:rPr>
        <w:t>s</w:t>
      </w:r>
      <w:r w:rsidRPr="00F5723F">
        <w:rPr>
          <w:i/>
        </w:rPr>
        <w:t>sages to Pow</w:t>
      </w:r>
      <w:r w:rsidRPr="00F5723F">
        <w:rPr>
          <w:i/>
        </w:rPr>
        <w:t>er. Legislative Recruitment in Advanced D</w:t>
      </w:r>
      <w:r w:rsidRPr="00F5723F">
        <w:rPr>
          <w:i/>
        </w:rPr>
        <w:t>emocracies</w:t>
      </w:r>
      <w:r w:rsidRPr="00F5723F">
        <w:t xml:space="preserve">, </w:t>
      </w:r>
      <w:smartTag w:uri="urn:schemas-microsoft-com:office:smarttags" w:element="City">
        <w:smartTag w:uri="urn:schemas-microsoft-com:office:smarttags" w:element="place">
          <w:r w:rsidRPr="00F5723F">
            <w:t>Cambridge</w:t>
          </w:r>
        </w:smartTag>
      </w:smartTag>
      <w:r w:rsidRPr="00F5723F">
        <w:t>: Cambridge Un</w:t>
      </w:r>
      <w:r w:rsidRPr="00F5723F">
        <w:t>i</w:t>
      </w:r>
      <w:r w:rsidRPr="00F5723F">
        <w:t>versi</w:t>
      </w:r>
      <w:r w:rsidRPr="00F5723F">
        <w:t>ty Press,</w:t>
      </w:r>
      <w:r w:rsidRPr="00F5723F">
        <w:t xml:space="preserve"> Sari Pikkala (1997), “</w:t>
      </w:r>
      <w:r w:rsidRPr="00F5723F">
        <w:t>Kvinno</w:t>
      </w:r>
      <w:r w:rsidRPr="00F5723F">
        <w:t>r i kommunfullmäktige” sid. 347–</w:t>
      </w:r>
      <w:r w:rsidRPr="00F5723F">
        <w:t xml:space="preserve">362 i Voitto Helander &amp; Siv Sandberg red. </w:t>
      </w:r>
      <w:r w:rsidRPr="00F5723F">
        <w:t xml:space="preserve">(1997), </w:t>
      </w:r>
      <w:r w:rsidRPr="00F5723F">
        <w:rPr>
          <w:i/>
        </w:rPr>
        <w:t>Festskrift till Krister Ståhlberg</w:t>
      </w:r>
      <w:r w:rsidRPr="00F5723F">
        <w:t>, Åbo: Åbo Akademis Förlag, Henry Va</w:t>
      </w:r>
      <w:r w:rsidRPr="00F5723F">
        <w:t>len (1988), ”Norway: Decentraliz</w:t>
      </w:r>
      <w:r w:rsidRPr="00F5723F">
        <w:t>a</w:t>
      </w:r>
      <w:r w:rsidRPr="00F5723F">
        <w:t xml:space="preserve">tion and Group Representation” i M Gallagher, and M Marsh red. </w:t>
      </w:r>
      <w:r w:rsidRPr="00F5723F">
        <w:t>(1988), Candidate S</w:t>
      </w:r>
      <w:r w:rsidRPr="00F5723F">
        <w:t>e</w:t>
      </w:r>
      <w:r w:rsidRPr="00F5723F">
        <w:t xml:space="preserve">lection in Comparative Perspective: The Secret Garden of Politics. </w:t>
      </w:r>
      <w:r w:rsidRPr="00F5723F">
        <w:t>London: Sage, samt Hanne Marthe Narud, Mog</w:t>
      </w:r>
      <w:r w:rsidRPr="00F5723F">
        <w:t>ens N. Pedersen och Henry Valen</w:t>
      </w:r>
      <w:r w:rsidRPr="00F5723F">
        <w:t xml:space="preserve"> red. </w:t>
      </w:r>
      <w:r w:rsidRPr="00F5723F">
        <w:t xml:space="preserve">(2002), Party </w:t>
      </w:r>
      <w:r w:rsidRPr="00F5723F">
        <w:t>Sovereignty and Citizen Control,</w:t>
      </w:r>
      <w:r w:rsidRPr="00F5723F">
        <w:t xml:space="preserve"> Odense: University Pres</w:t>
      </w:r>
      <w:r w:rsidRPr="00F5723F">
        <w:t>s of Southern De</w:t>
      </w:r>
      <w:r w:rsidRPr="00F5723F">
        <w:t>n</w:t>
      </w:r>
      <w:r w:rsidRPr="00F5723F">
        <w:t>mark.</w:t>
      </w:r>
    </w:p>
  </w:footnote>
  <w:footnote w:id="246">
    <w:p w:rsidR="00B43C57" w:rsidRPr="00F5723F" w:rsidRDefault="00B43C57">
      <w:pPr>
        <w:pStyle w:val="Fotnotstextindrag"/>
      </w:pPr>
      <w:r w:rsidRPr="00F5723F">
        <w:rPr>
          <w:rStyle w:val="Fotnotsreferens"/>
          <w:rFonts w:ascii="Garamond" w:hAnsi="Garamond"/>
        </w:rPr>
        <w:footnoteRef/>
      </w:r>
      <w:r w:rsidRPr="00F5723F">
        <w:t xml:space="preserve"> </w:t>
      </w:r>
      <w:r w:rsidRPr="00F5723F">
        <w:t>Johansson (1999), sid. 266.</w:t>
      </w:r>
    </w:p>
  </w:footnote>
  <w:footnote w:id="247">
    <w:p w:rsidR="00B43C57" w:rsidRPr="00F5723F" w:rsidRDefault="00B43C57">
      <w:pPr>
        <w:pStyle w:val="Fotnotstextindrag"/>
      </w:pPr>
      <w:r w:rsidRPr="00F5723F">
        <w:rPr>
          <w:rStyle w:val="Fotnotsreferens"/>
          <w:rFonts w:ascii="Garamond" w:hAnsi="Garamond"/>
        </w:rPr>
        <w:footnoteRef/>
      </w:r>
      <w:r w:rsidRPr="00F5723F">
        <w:t xml:space="preserve"> Hanne Marthe N</w:t>
      </w:r>
      <w:r w:rsidRPr="00F5723F">
        <w:t>arud,</w:t>
      </w:r>
      <w:r w:rsidRPr="00F5723F">
        <w:t xml:space="preserve"> Mogens N. Pedersen och Henry Valen </w:t>
      </w:r>
      <w:r w:rsidRPr="00F5723F">
        <w:t>red.</w:t>
      </w:r>
      <w:r w:rsidRPr="00F5723F">
        <w:t xml:space="preserve">(2002), </w:t>
      </w:r>
      <w:r w:rsidRPr="00F5723F">
        <w:rPr>
          <w:i/>
        </w:rPr>
        <w:t>Party So</w:t>
      </w:r>
      <w:r w:rsidRPr="00F5723F">
        <w:rPr>
          <w:i/>
        </w:rPr>
        <w:t>v</w:t>
      </w:r>
      <w:r w:rsidRPr="00F5723F">
        <w:rPr>
          <w:i/>
        </w:rPr>
        <w:t xml:space="preserve">ereignty and Citizen Control. Selecting Candidates for Parliamentary Elections in </w:t>
      </w:r>
      <w:smartTag w:uri="urn:schemas-microsoft-com:office:smarttags" w:element="country-region">
        <w:r w:rsidRPr="00F5723F">
          <w:rPr>
            <w:i/>
          </w:rPr>
          <w:t>Denmark</w:t>
        </w:r>
      </w:smartTag>
      <w:r w:rsidRPr="00F5723F">
        <w:rPr>
          <w:i/>
        </w:rPr>
        <w:t xml:space="preserve">, </w:t>
      </w:r>
      <w:smartTag w:uri="urn:schemas-microsoft-com:office:smarttags" w:element="country-region">
        <w:r w:rsidRPr="00F5723F">
          <w:rPr>
            <w:i/>
          </w:rPr>
          <w:t>Finland</w:t>
        </w:r>
      </w:smartTag>
      <w:r w:rsidRPr="00F5723F">
        <w:rPr>
          <w:i/>
        </w:rPr>
        <w:t xml:space="preserve">, </w:t>
      </w:r>
      <w:smartTag w:uri="urn:schemas-microsoft-com:office:smarttags" w:element="country-region">
        <w:r w:rsidRPr="00F5723F">
          <w:rPr>
            <w:i/>
          </w:rPr>
          <w:t>Iceland</w:t>
        </w:r>
      </w:smartTag>
      <w:r w:rsidRPr="00F5723F">
        <w:rPr>
          <w:i/>
        </w:rPr>
        <w:t xml:space="preserve"> and </w:t>
      </w:r>
      <w:smartTag w:uri="urn:schemas-microsoft-com:office:smarttags" w:element="country-region">
        <w:r w:rsidRPr="00F5723F">
          <w:rPr>
            <w:i/>
          </w:rPr>
          <w:t>Norway</w:t>
        </w:r>
      </w:smartTag>
      <w:r w:rsidRPr="00F5723F">
        <w:rPr>
          <w:i/>
        </w:rPr>
        <w:t>,</w:t>
      </w:r>
      <w:r w:rsidRPr="00F5723F">
        <w:t xml:space="preserve"> </w:t>
      </w:r>
      <w:smartTag w:uri="urn:schemas-microsoft-com:office:smarttags" w:element="City">
        <w:r w:rsidRPr="00F5723F">
          <w:t>Odense</w:t>
        </w:r>
      </w:smartTag>
      <w:r w:rsidRPr="00F5723F">
        <w:t xml:space="preserve">: University Press of </w:t>
      </w:r>
      <w:smartTag w:uri="urn:schemas-microsoft-com:office:smarttags" w:element="place">
        <w:r w:rsidRPr="00F5723F">
          <w:t>Southern De</w:t>
        </w:r>
        <w:r w:rsidRPr="00F5723F">
          <w:t>n</w:t>
        </w:r>
        <w:r w:rsidRPr="00F5723F">
          <w:t>mark</w:t>
        </w:r>
      </w:smartTag>
      <w:r w:rsidRPr="00F5723F">
        <w:t>. I denna studie ingår samtliga nordiska länder utom Sverige.</w:t>
      </w:r>
    </w:p>
  </w:footnote>
  <w:footnote w:id="248">
    <w:p w:rsidR="00B43C57" w:rsidRPr="00F5723F" w:rsidRDefault="00B43C57">
      <w:pPr>
        <w:pStyle w:val="Fotnotstextindrag"/>
      </w:pPr>
      <w:r w:rsidRPr="00F5723F">
        <w:rPr>
          <w:rStyle w:val="Fotnotsreferens"/>
          <w:rFonts w:ascii="Garamond" w:hAnsi="Garamond"/>
        </w:rPr>
        <w:footnoteRef/>
      </w:r>
      <w:r w:rsidRPr="00F5723F">
        <w:t xml:space="preserve"> Mogens Pedersen</w:t>
      </w:r>
      <w:r w:rsidRPr="00F5723F">
        <w:t xml:space="preserve"> (2002),</w:t>
      </w:r>
      <w:r w:rsidRPr="00F5723F">
        <w:t xml:space="preserve"> ”</w:t>
      </w:r>
      <w:smartTag w:uri="urn:schemas-microsoft-com:office:smarttags" w:element="country-region">
        <w:smartTag w:uri="urn:schemas-microsoft-com:office:smarttags" w:element="place">
          <w:r w:rsidRPr="00F5723F">
            <w:t>Denmark</w:t>
          </w:r>
        </w:smartTag>
      </w:smartTag>
      <w:r w:rsidRPr="00F5723F">
        <w:t>: The Interplay of Nominations a</w:t>
      </w:r>
      <w:r w:rsidRPr="00F5723F">
        <w:t>nd Elections in Danish Politics</w:t>
      </w:r>
      <w:r w:rsidRPr="00F5723F">
        <w:t xml:space="preserve">” </w:t>
      </w:r>
      <w:r w:rsidRPr="00F5723F">
        <w:t>i Narud</w:t>
      </w:r>
      <w:r w:rsidRPr="00F5723F">
        <w:t xml:space="preserve"> m.fl.</w:t>
      </w:r>
      <w:r w:rsidRPr="00F5723F">
        <w:t xml:space="preserve"> (2002), </w:t>
      </w:r>
      <w:r w:rsidRPr="00F5723F">
        <w:rPr>
          <w:i/>
        </w:rPr>
        <w:t xml:space="preserve">Party </w:t>
      </w:r>
      <w:r w:rsidRPr="00F5723F">
        <w:rPr>
          <w:i/>
        </w:rPr>
        <w:t xml:space="preserve">Sovereignty and Citizen Control, </w:t>
      </w:r>
      <w:smartTag w:uri="urn:schemas-microsoft-com:office:smarttags" w:element="City">
        <w:r w:rsidRPr="00F5723F">
          <w:t>Odense</w:t>
        </w:r>
      </w:smartTag>
      <w:r w:rsidRPr="00F5723F">
        <w:t>: Univers</w:t>
      </w:r>
      <w:r w:rsidRPr="00F5723F">
        <w:t>i</w:t>
      </w:r>
      <w:r w:rsidRPr="00F5723F">
        <w:t xml:space="preserve">ty Press of </w:t>
      </w:r>
      <w:smartTag w:uri="urn:schemas-microsoft-com:office:smarttags" w:element="place">
        <w:r w:rsidRPr="00F5723F">
          <w:t>Southern Denmark</w:t>
        </w:r>
      </w:smartTag>
      <w:r w:rsidRPr="00F5723F">
        <w:t xml:space="preserve">. </w:t>
      </w:r>
      <w:r w:rsidRPr="00F5723F">
        <w:t>Pedersen uttrycker emellertid en viss försiktighet mot alltför lån</w:t>
      </w:r>
      <w:r w:rsidRPr="00F5723F">
        <w:t>gt dragna slutsatser eftersom slutsatserna</w:t>
      </w:r>
      <w:r w:rsidRPr="00F5723F">
        <w:t xml:space="preserve"> baseras på obse</w:t>
      </w:r>
      <w:r w:rsidRPr="00F5723F">
        <w:t>r</w:t>
      </w:r>
      <w:r w:rsidRPr="00F5723F">
        <w:t>vationer av aggregerad data.</w:t>
      </w:r>
    </w:p>
  </w:footnote>
  <w:footnote w:id="249">
    <w:p w:rsidR="00B43C57" w:rsidRPr="00F5723F" w:rsidRDefault="00B43C57">
      <w:pPr>
        <w:pStyle w:val="Fotnotstextindrag"/>
      </w:pPr>
      <w:r w:rsidRPr="00F5723F">
        <w:rPr>
          <w:rStyle w:val="Fotnotsreferens"/>
          <w:rFonts w:ascii="Garamond" w:hAnsi="Garamond"/>
        </w:rPr>
        <w:footnoteRef/>
      </w:r>
      <w:r w:rsidRPr="00F5723F">
        <w:t xml:space="preserve"> </w:t>
      </w:r>
      <w:r w:rsidRPr="00F5723F">
        <w:t>Kuitunen (2002), ”</w:t>
      </w:r>
      <w:smartTag w:uri="urn:schemas-microsoft-com:office:smarttags" w:element="country-region">
        <w:smartTag w:uri="urn:schemas-microsoft-com:office:smarttags" w:element="place">
          <w:r w:rsidRPr="00F5723F">
            <w:t>Finland</w:t>
          </w:r>
        </w:smartTag>
      </w:smartTag>
      <w:r w:rsidRPr="00F5723F">
        <w:t xml:space="preserve">: Formalized Procedures with Member Predominance” </w:t>
      </w:r>
      <w:r w:rsidRPr="00F5723F">
        <w:t>i Narud</w:t>
      </w:r>
      <w:r w:rsidRPr="00F5723F">
        <w:t xml:space="preserve"> m.fl. (2002), </w:t>
      </w:r>
      <w:r w:rsidRPr="00F5723F">
        <w:rPr>
          <w:i/>
        </w:rPr>
        <w:t xml:space="preserve">Party </w:t>
      </w:r>
      <w:r w:rsidRPr="00F5723F">
        <w:rPr>
          <w:i/>
        </w:rPr>
        <w:t xml:space="preserve">Sovereignty and Citizen Control. </w:t>
      </w:r>
      <w:smartTag w:uri="urn:schemas-microsoft-com:office:smarttags" w:element="City">
        <w:r w:rsidRPr="00F5723F">
          <w:t>Odense</w:t>
        </w:r>
      </w:smartTag>
      <w:r w:rsidRPr="00F5723F">
        <w:t xml:space="preserve">: University Press of </w:t>
      </w:r>
      <w:smartTag w:uri="urn:schemas-microsoft-com:office:smarttags" w:element="place">
        <w:r w:rsidRPr="00F5723F">
          <w:t>Southern De</w:t>
        </w:r>
        <w:r w:rsidRPr="00F5723F">
          <w:t>n</w:t>
        </w:r>
        <w:r w:rsidRPr="00F5723F">
          <w:t>mark</w:t>
        </w:r>
      </w:smartTag>
      <w:r w:rsidRPr="00F5723F">
        <w:t>.</w:t>
      </w:r>
      <w:r w:rsidRPr="00F5723F">
        <w:t xml:space="preserve"> </w:t>
      </w:r>
    </w:p>
  </w:footnote>
  <w:footnote w:id="250">
    <w:p w:rsidR="00B43C57" w:rsidRPr="00F5723F" w:rsidRDefault="00B43C57">
      <w:pPr>
        <w:pStyle w:val="Fotnotstextindrag"/>
      </w:pPr>
      <w:r w:rsidRPr="00F5723F">
        <w:rPr>
          <w:rStyle w:val="Fotnotsreferens"/>
          <w:rFonts w:ascii="Garamond" w:hAnsi="Garamond"/>
        </w:rPr>
        <w:footnoteRef/>
      </w:r>
      <w:r w:rsidRPr="00F5723F">
        <w:t xml:space="preserve"> Valen, Narud och Skare</w:t>
      </w:r>
      <w:r w:rsidRPr="00F5723F">
        <w:t xml:space="preserve"> (2002), </w:t>
      </w:r>
      <w:r w:rsidRPr="00F5723F">
        <w:rPr>
          <w:rStyle w:val="FotnotstextindragChar"/>
        </w:rPr>
        <w:t>”</w:t>
      </w:r>
      <w:smartTag w:uri="urn:schemas-microsoft-com:office:smarttags" w:element="country-region">
        <w:smartTag w:uri="urn:schemas-microsoft-com:office:smarttags" w:element="place">
          <w:r w:rsidRPr="00F5723F">
            <w:t>Norway</w:t>
          </w:r>
        </w:smartTag>
      </w:smartTag>
      <w:r w:rsidRPr="00F5723F">
        <w:t xml:space="preserve">: Party Dominance and </w:t>
      </w:r>
      <w:r w:rsidRPr="00F5723F">
        <w:t>Decentralized Decision-Making” i Narud</w:t>
      </w:r>
      <w:r w:rsidRPr="00F5723F">
        <w:t xml:space="preserve"> m.fl. (2002), </w:t>
      </w:r>
      <w:r w:rsidRPr="00F5723F">
        <w:rPr>
          <w:i/>
        </w:rPr>
        <w:t xml:space="preserve">Party </w:t>
      </w:r>
      <w:r w:rsidRPr="00F5723F">
        <w:rPr>
          <w:i/>
        </w:rPr>
        <w:t>Sovereignty and Citizen Control</w:t>
      </w:r>
      <w:r w:rsidRPr="00F5723F">
        <w:rPr>
          <w:i/>
        </w:rPr>
        <w:t xml:space="preserve"> </w:t>
      </w:r>
      <w:r w:rsidRPr="00F5723F">
        <w:rPr>
          <w:snapToGrid w:val="0"/>
        </w:rPr>
        <w:t xml:space="preserve">Odense: University Press of </w:t>
      </w:r>
      <w:smartTag w:uri="urn:schemas-microsoft-com:office:smarttags" w:element="place">
        <w:r w:rsidRPr="00F5723F">
          <w:rPr>
            <w:snapToGrid w:val="0"/>
          </w:rPr>
          <w:t>Southern Denmark</w:t>
        </w:r>
      </w:smartTag>
      <w:r w:rsidRPr="00F5723F">
        <w:rPr>
          <w:snapToGrid w:val="0"/>
        </w:rPr>
        <w:t>.</w:t>
      </w:r>
      <w:r w:rsidRPr="00F5723F">
        <w:rPr>
          <w:i/>
        </w:rPr>
        <w:t xml:space="preserve"> </w:t>
      </w:r>
    </w:p>
  </w:footnote>
  <w:footnote w:id="251">
    <w:p w:rsidR="00B43C57" w:rsidRPr="00F5723F" w:rsidRDefault="00B43C57">
      <w:pPr>
        <w:pStyle w:val="Fotnotstextindrag"/>
      </w:pPr>
      <w:r w:rsidRPr="00F5723F">
        <w:rPr>
          <w:rStyle w:val="Fotnotsreferens"/>
          <w:rFonts w:ascii="Garamond" w:hAnsi="Garamond"/>
        </w:rPr>
        <w:footnoteRef/>
      </w:r>
      <w:r w:rsidRPr="00F5723F">
        <w:t xml:space="preserve"> </w:t>
      </w:r>
      <w:r w:rsidRPr="00F5723F">
        <w:t>Kristjánsson (2002), ”</w:t>
      </w:r>
      <w:smartTag w:uri="urn:schemas-microsoft-com:office:smarttags" w:element="country-region">
        <w:smartTag w:uri="urn:schemas-microsoft-com:office:smarttags" w:element="place">
          <w:r w:rsidRPr="00F5723F">
            <w:t>Iceland</w:t>
          </w:r>
        </w:smartTag>
      </w:smartTag>
      <w:r w:rsidRPr="00F5723F">
        <w:t>: From Party Rule to Plura</w:t>
      </w:r>
      <w:r w:rsidRPr="00F5723F">
        <w:t>list Political Society” i Narud</w:t>
      </w:r>
      <w:r w:rsidRPr="00F5723F">
        <w:t xml:space="preserve"> m.fl. (2002), </w:t>
      </w:r>
      <w:r w:rsidRPr="00F5723F">
        <w:rPr>
          <w:i/>
        </w:rPr>
        <w:t>Party</w:t>
      </w:r>
      <w:r w:rsidRPr="00F5723F">
        <w:rPr>
          <w:i/>
        </w:rPr>
        <w:t xml:space="preserve"> </w:t>
      </w:r>
      <w:r w:rsidRPr="00F5723F">
        <w:rPr>
          <w:i/>
        </w:rPr>
        <w:t>Sovereignty and Citizen Control,</w:t>
      </w:r>
      <w:r w:rsidRPr="00F5723F">
        <w:rPr>
          <w:i/>
        </w:rPr>
        <w:t xml:space="preserve"> </w:t>
      </w:r>
      <w:smartTag w:uri="urn:schemas-microsoft-com:office:smarttags" w:element="City">
        <w:r w:rsidRPr="00F5723F">
          <w:rPr>
            <w:snapToGrid w:val="0"/>
          </w:rPr>
          <w:t>Odense</w:t>
        </w:r>
      </w:smartTag>
      <w:r w:rsidRPr="00F5723F">
        <w:rPr>
          <w:snapToGrid w:val="0"/>
        </w:rPr>
        <w:t xml:space="preserve">: University Press of </w:t>
      </w:r>
      <w:smartTag w:uri="urn:schemas-microsoft-com:office:smarttags" w:element="place">
        <w:r w:rsidRPr="00F5723F">
          <w:rPr>
            <w:snapToGrid w:val="0"/>
          </w:rPr>
          <w:t>Southern Denmark</w:t>
        </w:r>
      </w:smartTag>
      <w:r w:rsidRPr="00F5723F">
        <w:rPr>
          <w:snapToGrid w:val="0"/>
        </w:rPr>
        <w:t>.</w:t>
      </w:r>
    </w:p>
  </w:footnote>
  <w:footnote w:id="252">
    <w:p w:rsidR="00B43C57" w:rsidRPr="00F5723F" w:rsidRDefault="00B43C57">
      <w:pPr>
        <w:pStyle w:val="Fotnotstextindrag"/>
      </w:pPr>
      <w:r w:rsidRPr="00F5723F">
        <w:rPr>
          <w:rStyle w:val="Fotnotsreferens"/>
          <w:rFonts w:ascii="Garamond" w:hAnsi="Garamond"/>
        </w:rPr>
        <w:footnoteRef/>
      </w:r>
      <w:r w:rsidRPr="00F5723F">
        <w:t xml:space="preserve"> Wallin m.fl. (1981), </w:t>
      </w:r>
      <w:r w:rsidRPr="00F5723F">
        <w:rPr>
          <w:i/>
        </w:rPr>
        <w:t>Kommunalpolitikerna,</w:t>
      </w:r>
      <w:r w:rsidRPr="00F5723F">
        <w:t xml:space="preserve"> </w:t>
      </w:r>
      <w:r w:rsidRPr="00F5723F">
        <w:t>del 1 och 2, DsKn 1981:17 och 18</w:t>
      </w:r>
      <w:r w:rsidRPr="00F5723F">
        <w:t>.</w:t>
      </w:r>
    </w:p>
  </w:footnote>
  <w:footnote w:id="253">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Petersson </w:t>
      </w:r>
      <w:r w:rsidRPr="00F5723F">
        <w:t>(1998) s</w:t>
      </w:r>
      <w:r w:rsidRPr="00F5723F">
        <w:t>id. 122–</w:t>
      </w:r>
      <w:r w:rsidRPr="00F5723F">
        <w:t>131.</w:t>
      </w:r>
    </w:p>
  </w:footnote>
  <w:footnote w:id="254">
    <w:p w:rsidR="00B43C57" w:rsidRPr="00F5723F" w:rsidRDefault="00B43C57">
      <w:pPr>
        <w:pStyle w:val="Fotnotstextindrag"/>
      </w:pPr>
      <w:r w:rsidRPr="00F5723F">
        <w:rPr>
          <w:rStyle w:val="Fotnotsreferens"/>
          <w:rFonts w:ascii="Garamond" w:hAnsi="Garamond"/>
        </w:rPr>
        <w:footnoteRef/>
      </w:r>
      <w:r w:rsidRPr="00F5723F">
        <w:t xml:space="preserve"> </w:t>
      </w:r>
      <w:r w:rsidRPr="00F5723F">
        <w:t>Bäck (2000)</w:t>
      </w:r>
      <w:r w:rsidRPr="00F5723F">
        <w:t xml:space="preserve">, </w:t>
      </w:r>
      <w:r w:rsidRPr="00F5723F">
        <w:rPr>
          <w:i/>
        </w:rPr>
        <w:t>Kommunpoliti</w:t>
      </w:r>
      <w:r w:rsidRPr="00F5723F">
        <w:rPr>
          <w:i/>
        </w:rPr>
        <w:t>ker i den stora nydaningens tid,</w:t>
      </w:r>
      <w:r w:rsidRPr="00F5723F">
        <w:t xml:space="preserve"> Malmö: Liber.</w:t>
      </w:r>
    </w:p>
  </w:footnote>
  <w:footnote w:id="255">
    <w:p w:rsidR="00B43C57" w:rsidRPr="00F5723F" w:rsidRDefault="00B43C57">
      <w:pPr>
        <w:pStyle w:val="Fotnotstextindrag"/>
      </w:pPr>
      <w:r w:rsidRPr="00F5723F">
        <w:rPr>
          <w:rStyle w:val="Fotnotsreferens"/>
          <w:rFonts w:ascii="Garamond" w:hAnsi="Garamond"/>
        </w:rPr>
        <w:footnoteRef/>
      </w:r>
      <w:r w:rsidRPr="00F5723F">
        <w:t xml:space="preserve"> Vägen från väljare till vald beskrivs ofta i termer av olika barriärer eller instituti</w:t>
      </w:r>
      <w:r w:rsidRPr="00F5723F">
        <w:t>o</w:t>
      </w:r>
      <w:r w:rsidRPr="00F5723F">
        <w:t>nella trösklar som måste passeras. Rokkan (1971) har identifierat fyra trösklar: leg</w:t>
      </w:r>
      <w:r w:rsidRPr="00F5723F">
        <w:t>i</w:t>
      </w:r>
      <w:r w:rsidRPr="00F5723F">
        <w:t>timering, inkorporering, representation och utövande makt. Hellevik och Skard (1985) talar om tre faser: mobilisering, rekrytering och val. Petersson (1998) beskr</w:t>
      </w:r>
      <w:r w:rsidRPr="00F5723F">
        <w:t>i</w:t>
      </w:r>
      <w:r w:rsidRPr="00F5723F">
        <w:t>ver vägen till ett förtroe</w:t>
      </w:r>
      <w:r w:rsidRPr="00F5723F">
        <w:t>n</w:t>
      </w:r>
      <w:r w:rsidRPr="00F5723F">
        <w:t>deuppdrag i tre etapper: kvalificering, nominering och val. Det är också brukligt att b</w:t>
      </w:r>
      <w:r w:rsidRPr="00F5723F">
        <w:t>e</w:t>
      </w:r>
      <w:r w:rsidRPr="00F5723F">
        <w:t>skriva rekryteringsprocessen som en tratt, där man utgår från</w:t>
      </w:r>
      <w:r w:rsidRPr="00F5723F">
        <w:t xml:space="preserve"> alla valbara medborgare som pote</w:t>
      </w:r>
      <w:r w:rsidRPr="00F5723F">
        <w:t>n</w:t>
      </w:r>
      <w:r w:rsidRPr="00F5723F">
        <w:t>tiella politiska kandidater, för att därefter studera alla mellanled i processen (trattens avsmalnande) fram till de valda politike</w:t>
      </w:r>
      <w:r w:rsidRPr="00F5723F">
        <w:t>r</w:t>
      </w:r>
      <w:r w:rsidRPr="00F5723F">
        <w:t>na. Tratten kan beskrivas i fem steg: alla valbara – uppdragsvilliga – partimedle</w:t>
      </w:r>
      <w:r w:rsidRPr="00F5723F">
        <w:t>m</w:t>
      </w:r>
      <w:r w:rsidRPr="00F5723F">
        <w:t>mar– nominerade –</w:t>
      </w:r>
      <w:r w:rsidRPr="00F5723F">
        <w:t xml:space="preserve"> valda. På motsvarande sätt talar Bäck (2000) om det läckande r</w:t>
      </w:r>
      <w:r w:rsidRPr="00F5723F">
        <w:t>ö</w:t>
      </w:r>
      <w:r w:rsidRPr="00F5723F">
        <w:t>ret, där alla teoretiskt se</w:t>
      </w:r>
      <w:r w:rsidRPr="00F5723F">
        <w:t xml:space="preserve">tt </w:t>
      </w:r>
      <w:r w:rsidRPr="00F5723F">
        <w:t xml:space="preserve">möjliga kandidater försvinner ut i rörets läckor. </w:t>
      </w:r>
    </w:p>
  </w:footnote>
  <w:footnote w:id="256">
    <w:p w:rsidR="00B43C57" w:rsidRPr="00F5723F" w:rsidRDefault="00B43C57">
      <w:pPr>
        <w:pStyle w:val="Fotnotstextindrag"/>
      </w:pPr>
      <w:r w:rsidRPr="00F5723F">
        <w:rPr>
          <w:rStyle w:val="Fotnotsreferens"/>
          <w:rFonts w:ascii="Garamond" w:hAnsi="Garamond"/>
        </w:rPr>
        <w:footnoteRef/>
      </w:r>
      <w:r w:rsidRPr="00F5723F">
        <w:t xml:space="preserve"> Hellevik och Skard (1985).</w:t>
      </w:r>
      <w:r w:rsidRPr="00F5723F">
        <w:rPr>
          <w:i/>
        </w:rPr>
        <w:t xml:space="preserve"> </w:t>
      </w:r>
    </w:p>
  </w:footnote>
  <w:footnote w:id="257">
    <w:p w:rsidR="00B43C57" w:rsidRPr="00F5723F" w:rsidRDefault="00B43C57">
      <w:pPr>
        <w:pStyle w:val="Fotnotstextindrag"/>
      </w:pPr>
      <w:r w:rsidRPr="00F5723F">
        <w:rPr>
          <w:rStyle w:val="Fotnotsreferens"/>
          <w:rFonts w:ascii="Garamond" w:hAnsi="Garamond"/>
        </w:rPr>
        <w:footnoteRef/>
      </w:r>
      <w:r w:rsidRPr="00F5723F">
        <w:t xml:space="preserve"> Hellevik &amp; Skard (1985) sid. 65–71.</w:t>
      </w:r>
    </w:p>
  </w:footnote>
  <w:footnote w:id="258">
    <w:p w:rsidR="00B43C57" w:rsidRPr="00F5723F" w:rsidRDefault="00B43C57">
      <w:pPr>
        <w:pStyle w:val="Fotnotstextindrag"/>
      </w:pPr>
      <w:r w:rsidRPr="00F5723F">
        <w:rPr>
          <w:rStyle w:val="Fotnotsreferens"/>
          <w:rFonts w:ascii="Garamond" w:hAnsi="Garamond"/>
        </w:rPr>
        <w:footnoteRef/>
      </w:r>
      <w:r w:rsidRPr="00F5723F">
        <w:t xml:space="preserve"> Kjaer (2001), </w:t>
      </w:r>
      <w:r w:rsidRPr="00F5723F">
        <w:rPr>
          <w:i/>
        </w:rPr>
        <w:t>Kommunbestyrelsernes sammansaetning</w:t>
      </w:r>
      <w:r w:rsidRPr="00F5723F">
        <w:t>,</w:t>
      </w:r>
      <w:r w:rsidRPr="00F5723F">
        <w:t xml:space="preserve"> </w:t>
      </w:r>
      <w:smartTag w:uri="urn:schemas-microsoft-com:office:smarttags" w:element="City">
        <w:r w:rsidRPr="00F5723F">
          <w:t>Odense</w:t>
        </w:r>
      </w:smartTag>
      <w:r w:rsidRPr="00F5723F">
        <w:t xml:space="preserve">: Faculty of Social Sciences, </w:t>
      </w:r>
      <w:smartTag w:uri="urn:schemas-microsoft-com:office:smarttags" w:element="place">
        <w:smartTag w:uri="urn:schemas-microsoft-com:office:smarttags" w:element="PlaceType">
          <w:r w:rsidRPr="00F5723F">
            <w:t>University</w:t>
          </w:r>
        </w:smartTag>
        <w:r w:rsidRPr="00F5723F">
          <w:t xml:space="preserve"> of </w:t>
        </w:r>
        <w:smartTag w:uri="urn:schemas-microsoft-com:office:smarttags" w:element="PlaceName">
          <w:r w:rsidRPr="00F5723F">
            <w:t>Southern Denmark</w:t>
          </w:r>
        </w:smartTag>
      </w:smartTag>
      <w:r w:rsidRPr="00F5723F">
        <w:t>.</w:t>
      </w:r>
      <w:r w:rsidRPr="00F5723F">
        <w:t xml:space="preserve"> </w:t>
      </w:r>
      <w:r w:rsidRPr="00F5723F">
        <w:t xml:space="preserve">Se även Roger Buch Jensen &amp; Ulrik </w:t>
      </w:r>
      <w:r w:rsidRPr="00F5723F">
        <w:t xml:space="preserve"> </w:t>
      </w:r>
      <w:r w:rsidRPr="00F5723F">
        <w:t>Kja</w:t>
      </w:r>
      <w:r w:rsidRPr="00F5723F">
        <w:t>er (1997), ”</w:t>
      </w:r>
      <w:r w:rsidRPr="00F5723F">
        <w:t>Rekryt</w:t>
      </w:r>
      <w:r w:rsidRPr="00F5723F">
        <w:t>e</w:t>
      </w:r>
      <w:r w:rsidRPr="00F5723F">
        <w:t>ringsprocessen: U</w:t>
      </w:r>
      <w:r w:rsidRPr="00F5723F">
        <w:t>dvaelgelse og selvudvaelgelse” i</w:t>
      </w:r>
      <w:r w:rsidRPr="00F5723F">
        <w:t xml:space="preserve"> Jörgen Elklit &amp; Roger Buch Jensen red. </w:t>
      </w:r>
      <w:r w:rsidRPr="00F5723F">
        <w:t xml:space="preserve">(1997), </w:t>
      </w:r>
      <w:r w:rsidRPr="00F5723F">
        <w:rPr>
          <w:i/>
        </w:rPr>
        <w:t>Kommunalvalg,</w:t>
      </w:r>
      <w:r w:rsidRPr="00F5723F">
        <w:t xml:space="preserve"> Odense: Odense University Press.</w:t>
      </w:r>
    </w:p>
  </w:footnote>
  <w:footnote w:id="259">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Dahlerup (2003), ”Kommunal ligestillingspolitik som bagtrop?” i Borchorst och Dahlerup (2003), </w:t>
      </w:r>
      <w:r w:rsidRPr="00F5723F">
        <w:rPr>
          <w:i/>
        </w:rPr>
        <w:t>Ligestillingspolitik som diskurs og prak</w:t>
      </w:r>
      <w:r w:rsidRPr="00F5723F">
        <w:rPr>
          <w:i/>
        </w:rPr>
        <w:t>sis,</w:t>
      </w:r>
      <w:r w:rsidRPr="00F5723F">
        <w:t xml:space="preserve"> </w:t>
      </w:r>
      <w:r w:rsidRPr="00F5723F">
        <w:t>Frederiksberg: Sa</w:t>
      </w:r>
      <w:r w:rsidRPr="00F5723F">
        <w:t>m</w:t>
      </w:r>
      <w:r w:rsidRPr="00F5723F">
        <w:t>fundslitteratur.</w:t>
      </w:r>
    </w:p>
  </w:footnote>
  <w:footnote w:id="260">
    <w:p w:rsidR="00B43C57" w:rsidRPr="00F5723F" w:rsidRDefault="00B43C57">
      <w:pPr>
        <w:pStyle w:val="Fotnotstextindrag"/>
      </w:pPr>
      <w:r w:rsidRPr="00F5723F">
        <w:rPr>
          <w:rStyle w:val="Fotnotsreferens"/>
          <w:rFonts w:ascii="Garamond" w:hAnsi="Garamond"/>
        </w:rPr>
        <w:footnoteRef/>
      </w:r>
      <w:r w:rsidRPr="00F5723F">
        <w:t xml:space="preserve"> </w:t>
      </w:r>
      <w:r w:rsidRPr="00F5723F">
        <w:rPr>
          <w:snapToGrid w:val="0"/>
        </w:rPr>
        <w:t>Dahlerup (1998) sid. 10, Dahlerup (2003).</w:t>
      </w:r>
    </w:p>
  </w:footnote>
  <w:footnote w:id="261">
    <w:p w:rsidR="00B43C57" w:rsidRPr="00F5723F" w:rsidRDefault="00B43C57">
      <w:pPr>
        <w:pStyle w:val="Fotnotstextindrag"/>
      </w:pPr>
      <w:r w:rsidRPr="00F5723F">
        <w:rPr>
          <w:rStyle w:val="Fotnotsreferens"/>
          <w:rFonts w:ascii="Garamond" w:hAnsi="Garamond"/>
        </w:rPr>
        <w:footnoteRef/>
      </w:r>
      <w:r w:rsidRPr="00F5723F">
        <w:t xml:space="preserve"> Se Birgitta Niklasson (2004), ”Contact Capital in the Political Elite”</w:t>
      </w:r>
      <w:r w:rsidRPr="00F5723F">
        <w:t>,</w:t>
      </w:r>
      <w:r w:rsidRPr="00F5723F">
        <w:t xml:space="preserve"> </w:t>
      </w:r>
      <w:r w:rsidRPr="00F5723F">
        <w:t>a</w:t>
      </w:r>
      <w:r w:rsidRPr="00F5723F">
        <w:t>vhandling</w:t>
      </w:r>
      <w:r w:rsidRPr="00F5723F">
        <w:t>s</w:t>
      </w:r>
      <w:r w:rsidRPr="00F5723F">
        <w:t>kapitel</w:t>
      </w:r>
      <w:r w:rsidRPr="00F5723F">
        <w:t xml:space="preserve"> </w:t>
      </w:r>
      <w:r w:rsidRPr="00F5723F">
        <w:t>presenterat vid VOD-seminariet vid Statsvetenskapliga institutionen, Göt</w:t>
      </w:r>
      <w:r w:rsidRPr="00F5723F">
        <w:t>e</w:t>
      </w:r>
      <w:r w:rsidRPr="00F5723F">
        <w:t>borgs universitet.</w:t>
      </w:r>
      <w:r w:rsidRPr="00F5723F">
        <w:t xml:space="preserve"> Se även Monika Djerf-Pierre och Birgitta Niklasson (2002), ”Vem vill ha jämställdhet?” i Sören Holmberg och Lennart Weibull red.</w:t>
      </w:r>
      <w:r w:rsidRPr="00F5723F">
        <w:rPr>
          <w:i/>
        </w:rPr>
        <w:t xml:space="preserve"> Det våras för pol</w:t>
      </w:r>
      <w:r w:rsidRPr="00F5723F">
        <w:rPr>
          <w:i/>
        </w:rPr>
        <w:t>i</w:t>
      </w:r>
      <w:r w:rsidRPr="00F5723F">
        <w:rPr>
          <w:i/>
        </w:rPr>
        <w:t xml:space="preserve">tiken. Trettiotvå artiklar </w:t>
      </w:r>
      <w:r w:rsidRPr="00F5723F">
        <w:rPr>
          <w:i/>
        </w:rPr>
        <w:t>om politik, medier och samhälle,</w:t>
      </w:r>
      <w:r w:rsidRPr="00F5723F">
        <w:rPr>
          <w:i/>
        </w:rPr>
        <w:t xml:space="preserve"> </w:t>
      </w:r>
      <w:r w:rsidRPr="00F5723F">
        <w:t>Göteborg: SOM-institutet, sid. 317–329.</w:t>
      </w:r>
    </w:p>
  </w:footnote>
  <w:footnote w:id="262">
    <w:p w:rsidR="00B43C57" w:rsidRPr="00F5723F" w:rsidRDefault="00B43C57">
      <w:pPr>
        <w:pStyle w:val="Fotnotstextindrag"/>
      </w:pPr>
      <w:r w:rsidRPr="00F5723F">
        <w:rPr>
          <w:rStyle w:val="Fotnotsreferens"/>
          <w:rFonts w:ascii="Garamond" w:hAnsi="Garamond"/>
        </w:rPr>
        <w:footnoteRef/>
      </w:r>
      <w:r w:rsidRPr="00F5723F">
        <w:t xml:space="preserve"> Skillnader mellan kvinnor och män avseende valdeltagande, röstning, partime</w:t>
      </w:r>
      <w:r w:rsidRPr="00F5723F">
        <w:t>d</w:t>
      </w:r>
      <w:r w:rsidRPr="00F5723F">
        <w:t>lemskap</w:t>
      </w:r>
      <w:r w:rsidRPr="00F5723F">
        <w:t xml:space="preserve"> etc. berörs inte i denna forskningsöversikt. För en aktuell rapport om valde</w:t>
      </w:r>
      <w:r w:rsidRPr="00F5723F">
        <w:t>l</w:t>
      </w:r>
      <w:r w:rsidRPr="00F5723F">
        <w:t xml:space="preserve">tagande, se </w:t>
      </w:r>
      <w:r w:rsidRPr="00F5723F">
        <w:t>till exempel Svante Erson och Jessika Wide</w:t>
      </w:r>
      <w:r w:rsidRPr="00F5723F">
        <w:t xml:space="preserve"> </w:t>
      </w:r>
      <w:r w:rsidRPr="00F5723F">
        <w:t>(</w:t>
      </w:r>
      <w:r w:rsidRPr="00F5723F">
        <w:t>2001</w:t>
      </w:r>
      <w:r w:rsidRPr="00F5723F">
        <w:t>)</w:t>
      </w:r>
      <w:r w:rsidRPr="00F5723F">
        <w:t>, ”Valdeltagandet i Sverige: Variation i tid och rum” i Christer Jönsson red</w:t>
      </w:r>
      <w:r w:rsidRPr="00F5723F">
        <w:t>.</w:t>
      </w:r>
      <w:r w:rsidRPr="00F5723F">
        <w:t xml:space="preserve"> (2001), </w:t>
      </w:r>
      <w:r w:rsidRPr="00F5723F">
        <w:rPr>
          <w:i/>
        </w:rPr>
        <w:t>R</w:t>
      </w:r>
      <w:r w:rsidRPr="00F5723F">
        <w:rPr>
          <w:i/>
        </w:rPr>
        <w:t>östrätten 80 år–forskarantologi</w:t>
      </w:r>
      <w:r w:rsidRPr="00F5723F">
        <w:t xml:space="preserve"> Stockholm: Justitiedepartementet. </w:t>
      </w:r>
      <w:r w:rsidRPr="00F5723F">
        <w:t>För en nordisk jämförelse avsee</w:t>
      </w:r>
      <w:r w:rsidRPr="00F5723F">
        <w:t>n</w:t>
      </w:r>
      <w:r w:rsidRPr="00F5723F">
        <w:t>de kvinnors och mäns valdeltagande, se till exempel Maria Oskarsson (1995), ”Ge</w:t>
      </w:r>
      <w:r w:rsidRPr="00F5723F">
        <w:t>n</w:t>
      </w:r>
      <w:r w:rsidRPr="00F5723F">
        <w:t>der Gaps in Nordic Votin</w:t>
      </w:r>
      <w:r w:rsidRPr="00F5723F">
        <w:t xml:space="preserve">g Behaviour” i Karvonen &amp; Selle red. (1995), </w:t>
      </w:r>
      <w:r w:rsidRPr="00F5723F">
        <w:rPr>
          <w:i/>
        </w:rPr>
        <w:t>Women in Nordic Politics: Closing the Gap</w:t>
      </w:r>
      <w:r w:rsidRPr="00F5723F">
        <w:t xml:space="preserve">, Aldershot: Dartmouth. </w:t>
      </w:r>
      <w:r w:rsidRPr="00F5723F">
        <w:t>För en analys av personv</w:t>
      </w:r>
      <w:r w:rsidRPr="00F5723F">
        <w:t>a</w:t>
      </w:r>
      <w:r w:rsidRPr="00F5723F">
        <w:t>lets kons</w:t>
      </w:r>
      <w:r w:rsidRPr="00F5723F">
        <w:t>e</w:t>
      </w:r>
      <w:r w:rsidRPr="00F5723F">
        <w:t xml:space="preserve">kvenser för kvinnor, se </w:t>
      </w:r>
      <w:r w:rsidRPr="00F5723F">
        <w:t>bland annat</w:t>
      </w:r>
      <w:r w:rsidRPr="00F5723F">
        <w:t xml:space="preserve"> </w:t>
      </w:r>
      <w:r w:rsidRPr="00F5723F">
        <w:t xml:space="preserve">Katharina Tollin (1997), </w:t>
      </w:r>
      <w:r w:rsidRPr="00F5723F">
        <w:t>”</w:t>
      </w:r>
      <w:r w:rsidRPr="00F5723F">
        <w:t>Må bäste man vinna – en fallstudie av personvalsförsöket 1994 ur ett könsteoretiskt perspe</w:t>
      </w:r>
      <w:r w:rsidRPr="00F5723F">
        <w:t>k</w:t>
      </w:r>
      <w:r w:rsidRPr="00F5723F">
        <w:t>tiv</w:t>
      </w:r>
      <w:r w:rsidRPr="00F5723F">
        <w:t>”</w:t>
      </w:r>
      <w:r w:rsidRPr="00F5723F">
        <w:t>, CD</w:t>
      </w:r>
      <w:r w:rsidRPr="00F5723F">
        <w:t>-uppsats, Umeå: Umeå universitet, Lena Wängnerud (</w:t>
      </w:r>
      <w:r w:rsidRPr="00F5723F">
        <w:t>1999</w:t>
      </w:r>
      <w:r w:rsidRPr="00F5723F">
        <w:t>b)</w:t>
      </w:r>
      <w:r w:rsidRPr="00F5723F">
        <w:t>, ”Kön och pe</w:t>
      </w:r>
      <w:r w:rsidRPr="00F5723F">
        <w:t>r</w:t>
      </w:r>
      <w:r w:rsidRPr="00F5723F">
        <w:t>sonrös</w:t>
      </w:r>
      <w:r w:rsidRPr="00F5723F">
        <w:t>t</w:t>
      </w:r>
      <w:r w:rsidRPr="00F5723F">
        <w:t xml:space="preserve">ning” i Sören Holmberg och Tommy Möller red. </w:t>
      </w:r>
      <w:r w:rsidRPr="00F5723F">
        <w:rPr>
          <w:i/>
        </w:rPr>
        <w:t>SO</w:t>
      </w:r>
      <w:r w:rsidRPr="00F5723F">
        <w:rPr>
          <w:i/>
        </w:rPr>
        <w:t>U 1999:92 Premiär för personval,</w:t>
      </w:r>
      <w:r w:rsidRPr="00F5723F">
        <w:t xml:space="preserve"> Stoc</w:t>
      </w:r>
      <w:r w:rsidRPr="00F5723F">
        <w:t>k</w:t>
      </w:r>
      <w:r w:rsidRPr="00F5723F">
        <w:t>holm: Fritzes</w:t>
      </w:r>
      <w:r w:rsidRPr="00F5723F">
        <w:t>, samt Anders Håkansson (</w:t>
      </w:r>
      <w:r w:rsidRPr="00F5723F">
        <w:t>1999</w:t>
      </w:r>
      <w:r w:rsidRPr="00F5723F">
        <w:t>)</w:t>
      </w:r>
      <w:r w:rsidRPr="00F5723F">
        <w:t>,</w:t>
      </w:r>
      <w:r w:rsidRPr="00F5723F">
        <w:t xml:space="preserve"> ”Vilka kandidater vinner på personval?” i samma skrift.</w:t>
      </w:r>
      <w:r w:rsidRPr="00F5723F">
        <w:t xml:space="preserve"> För övrigt hänvisas till Valforskningspr</w:t>
      </w:r>
      <w:r w:rsidRPr="00F5723F">
        <w:t>o</w:t>
      </w:r>
      <w:r w:rsidRPr="00F5723F">
        <w:t>grammet vid Statsvetenskapliga institutionen, Göteborgs un</w:t>
      </w:r>
      <w:r w:rsidRPr="00F5723F">
        <w:t>i</w:t>
      </w:r>
      <w:r w:rsidRPr="00F5723F">
        <w:t>versitet.</w:t>
      </w:r>
    </w:p>
  </w:footnote>
  <w:footnote w:id="263">
    <w:p w:rsidR="00B43C57" w:rsidRPr="00F5723F" w:rsidRDefault="00B43C57">
      <w:pPr>
        <w:pStyle w:val="Fotnotstextindrag"/>
      </w:pPr>
      <w:r w:rsidRPr="00F5723F">
        <w:rPr>
          <w:rStyle w:val="Fotnotsreferens"/>
          <w:rFonts w:ascii="Garamond" w:hAnsi="Garamond"/>
        </w:rPr>
        <w:footnoteRef/>
      </w:r>
      <w:r w:rsidRPr="00F5723F">
        <w:t xml:space="preserve"> Björkhem m.fl. (1994).</w:t>
      </w:r>
    </w:p>
  </w:footnote>
  <w:footnote w:id="264">
    <w:p w:rsidR="00B43C57" w:rsidRPr="00F5723F" w:rsidRDefault="00B43C57">
      <w:pPr>
        <w:pStyle w:val="Fotnotstextindrag"/>
      </w:pPr>
      <w:r w:rsidRPr="00F5723F">
        <w:rPr>
          <w:rStyle w:val="Fotnotsreferens"/>
          <w:rFonts w:ascii="Garamond" w:hAnsi="Garamond"/>
        </w:rPr>
        <w:footnoteRef/>
      </w:r>
      <w:r w:rsidRPr="00F5723F">
        <w:t xml:space="preserve"> </w:t>
      </w:r>
      <w:r w:rsidRPr="00F5723F">
        <w:t>Wängnerud</w:t>
      </w:r>
      <w:r w:rsidRPr="00F5723F">
        <w:rPr>
          <w:i/>
        </w:rPr>
        <w:t xml:space="preserve"> </w:t>
      </w:r>
      <w:r w:rsidRPr="00F5723F">
        <w:t>(1998),</w:t>
      </w:r>
      <w:r w:rsidRPr="00F5723F">
        <w:rPr>
          <w:i/>
        </w:rPr>
        <w:t xml:space="preserve"> Politiken</w:t>
      </w:r>
      <w:r w:rsidRPr="00F5723F">
        <w:rPr>
          <w:i/>
        </w:rPr>
        <w:t>s</w:t>
      </w:r>
      <w:r w:rsidRPr="00F5723F">
        <w:rPr>
          <w:i/>
        </w:rPr>
        <w:t xml:space="preserve"> andra sida. Om kvinnorepresentation i</w:t>
      </w:r>
      <w:r w:rsidRPr="00F5723F">
        <w:rPr>
          <w:i/>
        </w:rPr>
        <w:t xml:space="preserve"> Sveriges riksdag,</w:t>
      </w:r>
      <w:r w:rsidRPr="00F5723F">
        <w:t xml:space="preserve"> Göte</w:t>
      </w:r>
      <w:r w:rsidRPr="00F5723F">
        <w:t>borgs u</w:t>
      </w:r>
      <w:r w:rsidRPr="00F5723F">
        <w:t>niversitet, Göteb</w:t>
      </w:r>
      <w:r w:rsidRPr="00F5723F">
        <w:t>org Studies in Politics 53</w:t>
      </w:r>
      <w:r w:rsidRPr="00F5723F">
        <w:t xml:space="preserve">. Se även </w:t>
      </w:r>
      <w:r w:rsidRPr="00F5723F">
        <w:t>Lena Wän</w:t>
      </w:r>
      <w:r w:rsidRPr="00F5723F">
        <w:t>g</w:t>
      </w:r>
      <w:r w:rsidRPr="00F5723F">
        <w:t xml:space="preserve">nerud (2001b), ”Från diskriminering till jämlik behandling: om könsmönster i den svenska riksdagens utskott” i </w:t>
      </w:r>
      <w:r w:rsidRPr="00F5723F">
        <w:rPr>
          <w:i/>
        </w:rPr>
        <w:t>Kvinder, Kø</w:t>
      </w:r>
      <w:r w:rsidRPr="00F5723F">
        <w:rPr>
          <w:i/>
        </w:rPr>
        <w:t>n og Forskning</w:t>
      </w:r>
      <w:r w:rsidRPr="00F5723F">
        <w:t xml:space="preserve"> 10(2001):1, sid. 57–67, Lena Wängnerud (1999a), </w:t>
      </w:r>
      <w:r w:rsidRPr="00F5723F">
        <w:rPr>
          <w:i/>
        </w:rPr>
        <w:t>Kvinn</w:t>
      </w:r>
      <w:r w:rsidRPr="00F5723F">
        <w:rPr>
          <w:i/>
        </w:rPr>
        <w:t>o</w:t>
      </w:r>
      <w:r w:rsidRPr="00F5723F">
        <w:rPr>
          <w:i/>
        </w:rPr>
        <w:t>representation: m</w:t>
      </w:r>
      <w:r w:rsidRPr="00F5723F">
        <w:rPr>
          <w:i/>
        </w:rPr>
        <w:t>akt och möjligheter i Sveriges r</w:t>
      </w:r>
      <w:r w:rsidRPr="00F5723F">
        <w:rPr>
          <w:i/>
        </w:rPr>
        <w:t>iksdag</w:t>
      </w:r>
      <w:r w:rsidRPr="00F5723F">
        <w:t xml:space="preserve">, Lund: Studentlitteratur, </w:t>
      </w:r>
      <w:r w:rsidRPr="00F5723F">
        <w:t xml:space="preserve">Lena Wängnerud </w:t>
      </w:r>
      <w:r w:rsidRPr="00F5723F">
        <w:t>(1997a),</w:t>
      </w:r>
      <w:r w:rsidRPr="00F5723F">
        <w:t>”’Varannan damernas’ i riksdagens utskott”</w:t>
      </w:r>
      <w:r w:rsidRPr="00F5723F">
        <w:t xml:space="preserve"> </w:t>
      </w:r>
      <w:r w:rsidRPr="00F5723F">
        <w:t>i Ingvar Matts</w:t>
      </w:r>
      <w:r w:rsidRPr="00F5723F">
        <w:t>on och Lena Wängn</w:t>
      </w:r>
      <w:r w:rsidRPr="00F5723F">
        <w:t>e</w:t>
      </w:r>
      <w:r w:rsidRPr="00F5723F">
        <w:t>rud red.</w:t>
      </w:r>
      <w:r w:rsidRPr="00F5723F">
        <w:t>,</w:t>
      </w:r>
      <w:r w:rsidRPr="00F5723F">
        <w:rPr>
          <w:i/>
        </w:rPr>
        <w:t xml:space="preserve"> Riksdagen på nära håll,</w:t>
      </w:r>
      <w:r w:rsidRPr="00F5723F">
        <w:t xml:space="preserve"> Stockholm: SNS Förlag, samt </w:t>
      </w:r>
      <w:r w:rsidRPr="00F5723F">
        <w:t xml:space="preserve">Lena Wängnerud </w:t>
      </w:r>
      <w:r w:rsidRPr="00F5723F">
        <w:t xml:space="preserve">(1997b), </w:t>
      </w:r>
      <w:r w:rsidRPr="00F5723F">
        <w:t>”Ek</w:t>
      </w:r>
      <w:r w:rsidRPr="00F5723F">
        <w:t>o</w:t>
      </w:r>
      <w:r w:rsidRPr="00F5723F">
        <w:t>nomisk politik: ett ma</w:t>
      </w:r>
      <w:r w:rsidRPr="00F5723F">
        <w:t>nligt maktområde i riksdagen” i</w:t>
      </w:r>
      <w:r w:rsidRPr="00F5723F">
        <w:rPr>
          <w:i/>
        </w:rPr>
        <w:t xml:space="preserve"> SOU 1997:114 Styrsystem och jämställdhet: Inst</w:t>
      </w:r>
      <w:r w:rsidRPr="00F5723F">
        <w:rPr>
          <w:i/>
        </w:rPr>
        <w:t>i</w:t>
      </w:r>
      <w:r w:rsidRPr="00F5723F">
        <w:rPr>
          <w:i/>
        </w:rPr>
        <w:t>tutioner i för</w:t>
      </w:r>
      <w:r w:rsidRPr="00F5723F">
        <w:rPr>
          <w:i/>
        </w:rPr>
        <w:t>ändring och könsmaktens framtid,</w:t>
      </w:r>
      <w:r w:rsidRPr="00F5723F">
        <w:t xml:space="preserve"> Stockholm: Fritzes.</w:t>
      </w:r>
    </w:p>
  </w:footnote>
  <w:footnote w:id="265">
    <w:p w:rsidR="00B43C57" w:rsidRPr="00F5723F" w:rsidRDefault="00B43C57">
      <w:pPr>
        <w:pStyle w:val="Fotnotstextindrag"/>
      </w:pPr>
      <w:r w:rsidRPr="00F5723F">
        <w:rPr>
          <w:rStyle w:val="Fotnotsreferens"/>
          <w:rFonts w:ascii="Garamond" w:hAnsi="Garamond"/>
        </w:rPr>
        <w:footnoteRef/>
      </w:r>
      <w:r w:rsidRPr="00F5723F">
        <w:t xml:space="preserve"> I boken </w:t>
      </w:r>
      <w:r w:rsidRPr="00F5723F">
        <w:rPr>
          <w:i/>
        </w:rPr>
        <w:t xml:space="preserve">Det uferdiga demokratiet. Kvinner i nordisk politikk </w:t>
      </w:r>
      <w:r w:rsidRPr="00F5723F">
        <w:t>av H</w:t>
      </w:r>
      <w:r w:rsidRPr="00F5723F">
        <w:t>aaviao-Mannila m.fl. (1983) belys</w:t>
      </w:r>
      <w:r w:rsidRPr="00F5723F">
        <w:t>e</w:t>
      </w:r>
      <w:r w:rsidRPr="00F5723F">
        <w:t>r</w:t>
      </w:r>
      <w:r w:rsidRPr="00F5723F">
        <w:t xml:space="preserve"> forskare de hierarkiska och funktionella arbetsdelningarna me</w:t>
      </w:r>
      <w:r w:rsidRPr="00F5723F">
        <w:t>l</w:t>
      </w:r>
      <w:r w:rsidRPr="00F5723F">
        <w:t>lan könen i politiken.</w:t>
      </w:r>
      <w:r w:rsidRPr="00F5723F">
        <w:t xml:space="preserve"> </w:t>
      </w:r>
      <w:r w:rsidRPr="00F5723F">
        <w:t>Den funktionella arbetsdelningen visade ett mönster där kvi</w:t>
      </w:r>
      <w:r w:rsidRPr="00F5723F">
        <w:t>n</w:t>
      </w:r>
      <w:r w:rsidRPr="00F5723F">
        <w:t>nor i större utsträc</w:t>
      </w:r>
      <w:r w:rsidRPr="00F5723F">
        <w:t>k</w:t>
      </w:r>
      <w:r w:rsidRPr="00F5723F">
        <w:t>ning arbetade inom politikområden av social karaktär än inom politikområden av ekon</w:t>
      </w:r>
      <w:r w:rsidRPr="00F5723F">
        <w:t>o</w:t>
      </w:r>
      <w:r w:rsidRPr="00F5723F">
        <w:t>misk karaktär.</w:t>
      </w:r>
    </w:p>
  </w:footnote>
  <w:footnote w:id="266">
    <w:p w:rsidR="00B43C57" w:rsidRPr="00F5723F" w:rsidRDefault="00B43C57">
      <w:pPr>
        <w:pStyle w:val="Fotnotstextindrag"/>
      </w:pPr>
      <w:r w:rsidRPr="00F5723F">
        <w:rPr>
          <w:rStyle w:val="Fotnotsreferens"/>
          <w:rFonts w:ascii="Garamond" w:hAnsi="Garamond"/>
        </w:rPr>
        <w:footnoteRef/>
      </w:r>
      <w:r w:rsidRPr="00F5723F">
        <w:t xml:space="preserve"> </w:t>
      </w:r>
      <w:r w:rsidRPr="00F5723F">
        <w:t>Skjeie</w:t>
      </w:r>
      <w:r w:rsidRPr="00F5723F">
        <w:t xml:space="preserve"> </w:t>
      </w:r>
      <w:r w:rsidRPr="00F5723F">
        <w:t xml:space="preserve">(1992), </w:t>
      </w:r>
      <w:r w:rsidRPr="00F5723F">
        <w:rPr>
          <w:i/>
        </w:rPr>
        <w:t>Den politiske betydningen av kjø</w:t>
      </w:r>
      <w:r w:rsidRPr="00F5723F">
        <w:rPr>
          <w:i/>
        </w:rPr>
        <w:t>nn. En studie av norsk topp-politikk</w:t>
      </w:r>
      <w:r w:rsidRPr="00F5723F">
        <w:rPr>
          <w:i/>
        </w:rPr>
        <w:t>,</w:t>
      </w:r>
      <w:r w:rsidRPr="00F5723F">
        <w:rPr>
          <w:i/>
        </w:rPr>
        <w:t xml:space="preserve"> </w:t>
      </w:r>
      <w:r w:rsidRPr="00F5723F">
        <w:t>Rapport nr</w:t>
      </w:r>
      <w:r w:rsidRPr="00F5723F">
        <w:t xml:space="preserve"> 11, Oslo: Institutt for samfunnsforskning. För tidigare studier om kv</w:t>
      </w:r>
      <w:r w:rsidRPr="00F5723F">
        <w:t>innor och män i det norska S</w:t>
      </w:r>
      <w:r w:rsidRPr="00F5723F">
        <w:t xml:space="preserve">tortinget, se </w:t>
      </w:r>
      <w:r w:rsidRPr="00F5723F">
        <w:t>till exempel</w:t>
      </w:r>
      <w:r w:rsidRPr="00F5723F">
        <w:t xml:space="preserve"> B.H. Albrektsen (1977), </w:t>
      </w:r>
      <w:r w:rsidRPr="00F5723F">
        <w:rPr>
          <w:i/>
        </w:rPr>
        <w:t>Kvinner og politisk deltagelse</w:t>
      </w:r>
      <w:r w:rsidRPr="00F5723F">
        <w:t xml:space="preserve"> Oslo: Universitetsforlaget, Knut Heidar (1988), </w:t>
      </w:r>
      <w:r w:rsidRPr="00F5723F">
        <w:rPr>
          <w:i/>
        </w:rPr>
        <w:t>Part</w:t>
      </w:r>
      <w:r w:rsidRPr="00F5723F">
        <w:rPr>
          <w:i/>
        </w:rPr>
        <w:t>i</w:t>
      </w:r>
      <w:r w:rsidRPr="00F5723F">
        <w:rPr>
          <w:i/>
        </w:rPr>
        <w:t>demokrati på prø</w:t>
      </w:r>
      <w:r w:rsidRPr="00F5723F">
        <w:rPr>
          <w:i/>
        </w:rPr>
        <w:t xml:space="preserve">ve. </w:t>
      </w:r>
      <w:r w:rsidRPr="00F5723F">
        <w:t xml:space="preserve">Oslo: Universitetsforlaget, Helga Hernes (1982), </w:t>
      </w:r>
      <w:r w:rsidRPr="00F5723F">
        <w:rPr>
          <w:i/>
        </w:rPr>
        <w:t>Staten –</w:t>
      </w:r>
      <w:r w:rsidRPr="00F5723F">
        <w:rPr>
          <w:i/>
        </w:rPr>
        <w:t xml:space="preserve"> kvi</w:t>
      </w:r>
      <w:r w:rsidRPr="00F5723F">
        <w:rPr>
          <w:i/>
        </w:rPr>
        <w:t>n</w:t>
      </w:r>
      <w:r w:rsidRPr="00F5723F">
        <w:rPr>
          <w:i/>
        </w:rPr>
        <w:t>ner ingen a</w:t>
      </w:r>
      <w:r w:rsidRPr="00F5723F">
        <w:rPr>
          <w:i/>
        </w:rPr>
        <w:t>d</w:t>
      </w:r>
      <w:r w:rsidRPr="00F5723F">
        <w:rPr>
          <w:i/>
        </w:rPr>
        <w:t>gang?</w:t>
      </w:r>
      <w:r w:rsidRPr="00F5723F">
        <w:t xml:space="preserve"> Oslo: Universitetsforlaget, Elina Haavio</w:t>
      </w:r>
      <w:r w:rsidRPr="00F5723F">
        <w:t>-</w:t>
      </w:r>
      <w:r w:rsidRPr="00F5723F">
        <w:t xml:space="preserve">Mannila red. (1985), </w:t>
      </w:r>
      <w:r w:rsidRPr="00F5723F">
        <w:rPr>
          <w:i/>
        </w:rPr>
        <w:t>Unfinished d</w:t>
      </w:r>
      <w:r w:rsidRPr="00F5723F">
        <w:rPr>
          <w:i/>
        </w:rPr>
        <w:t>e</w:t>
      </w:r>
      <w:r w:rsidRPr="00F5723F">
        <w:rPr>
          <w:i/>
        </w:rPr>
        <w:t>mocracy.</w:t>
      </w:r>
      <w:r w:rsidRPr="00F5723F">
        <w:rPr>
          <w:i/>
        </w:rPr>
        <w:t xml:space="preserve"> Women in Nordic Politics,</w:t>
      </w:r>
      <w:r w:rsidRPr="00F5723F">
        <w:t xml:space="preserve"> Oxford: Pergamon Press, samt Ingunn Norde</w:t>
      </w:r>
      <w:r w:rsidRPr="00F5723F">
        <w:t>r</w:t>
      </w:r>
      <w:r w:rsidRPr="00F5723F">
        <w:t xml:space="preserve">val Means (1973), </w:t>
      </w:r>
      <w:r w:rsidRPr="00F5723F">
        <w:rPr>
          <w:i/>
        </w:rPr>
        <w:t>Kvinner i norsk politikk.</w:t>
      </w:r>
      <w:r w:rsidRPr="00F5723F">
        <w:t xml:space="preserve"> Oslo: Cappelen. Se även Ottar Hell</w:t>
      </w:r>
      <w:r w:rsidRPr="00F5723F">
        <w:t>e</w:t>
      </w:r>
      <w:r w:rsidRPr="00F5723F">
        <w:t xml:space="preserve">vik och Torild Skard (1985), </w:t>
      </w:r>
      <w:r w:rsidRPr="00F5723F">
        <w:rPr>
          <w:i/>
        </w:rPr>
        <w:t>Norske kommunestyr</w:t>
      </w:r>
      <w:r w:rsidRPr="00F5723F">
        <w:rPr>
          <w:i/>
        </w:rPr>
        <w:t xml:space="preserve">er – </w:t>
      </w:r>
      <w:r w:rsidRPr="00F5723F">
        <w:rPr>
          <w:i/>
        </w:rPr>
        <w:t xml:space="preserve"> plass for kvinner? </w:t>
      </w:r>
      <w:r w:rsidRPr="00F5723F">
        <w:t>Oslo: Unive</w:t>
      </w:r>
      <w:r w:rsidRPr="00F5723F">
        <w:t>r</w:t>
      </w:r>
      <w:r w:rsidRPr="00F5723F">
        <w:t>sitetsforlaget.</w:t>
      </w:r>
    </w:p>
  </w:footnote>
  <w:footnote w:id="267">
    <w:p w:rsidR="00B43C57" w:rsidRPr="00F5723F" w:rsidRDefault="00B43C57">
      <w:pPr>
        <w:pStyle w:val="Fotnotstextindrag"/>
      </w:pPr>
      <w:r w:rsidRPr="00F5723F">
        <w:rPr>
          <w:rStyle w:val="Fotnotsreferens"/>
          <w:rFonts w:ascii="Garamond" w:hAnsi="Garamond"/>
        </w:rPr>
        <w:footnoteRef/>
      </w:r>
      <w:r w:rsidRPr="00F5723F">
        <w:t xml:space="preserve"> Dansk forskning pekar på</w:t>
      </w:r>
      <w:r w:rsidRPr="00F5723F">
        <w:t xml:space="preserve"> </w:t>
      </w:r>
      <w:r w:rsidRPr="00F5723F">
        <w:t>år 1981</w:t>
      </w:r>
      <w:r w:rsidRPr="00F5723F">
        <w:t xml:space="preserve"> som ett skärningsår då könsskillnaderna i u</w:t>
      </w:r>
      <w:r w:rsidRPr="00F5723F">
        <w:t>t</w:t>
      </w:r>
      <w:r w:rsidRPr="00F5723F">
        <w:t>skottsplacering började jämna ut</w:t>
      </w:r>
      <w:r w:rsidRPr="00F5723F">
        <w:t xml:space="preserve"> </w:t>
      </w:r>
      <w:r w:rsidRPr="00F5723F">
        <w:t xml:space="preserve">sig. Se </w:t>
      </w:r>
      <w:r w:rsidRPr="00F5723F">
        <w:rPr>
          <w:i/>
        </w:rPr>
        <w:t>Kvinder på Tinge</w:t>
      </w:r>
      <w:r w:rsidRPr="00F5723F">
        <w:t>, s</w:t>
      </w:r>
      <w:r w:rsidRPr="00F5723F">
        <w:t>id</w:t>
      </w:r>
      <w:r w:rsidRPr="00F5723F">
        <w:t xml:space="preserve">. 120. </w:t>
      </w:r>
    </w:p>
  </w:footnote>
  <w:footnote w:id="268">
    <w:p w:rsidR="00B43C57" w:rsidRPr="00F5723F" w:rsidRDefault="00B43C57">
      <w:pPr>
        <w:pStyle w:val="Fotnotstextindrag"/>
      </w:pPr>
      <w:r w:rsidRPr="00F5723F">
        <w:rPr>
          <w:rStyle w:val="Fotnotsreferens"/>
          <w:rFonts w:ascii="Garamond" w:hAnsi="Garamond"/>
        </w:rPr>
        <w:footnoteRef/>
      </w:r>
      <w:r w:rsidRPr="00F5723F">
        <w:t xml:space="preserve"> Raaum (1995b), ”The political representation of women: a bird’s eye view” i La</w:t>
      </w:r>
      <w:r w:rsidRPr="00F5723F">
        <w:t>u</w:t>
      </w:r>
      <w:r w:rsidRPr="00F5723F">
        <w:t xml:space="preserve">ri Karvonen och Per Selle red. </w:t>
      </w:r>
      <w:r w:rsidRPr="00F5723F">
        <w:t xml:space="preserve">(1995), </w:t>
      </w:r>
      <w:r w:rsidRPr="00F5723F">
        <w:rPr>
          <w:i/>
        </w:rPr>
        <w:t>Women in Nordic Politics: Closing the Gap</w:t>
      </w:r>
      <w:r w:rsidRPr="00F5723F">
        <w:t>,</w:t>
      </w:r>
      <w:r w:rsidRPr="00F5723F">
        <w:t xml:space="preserve"> Aldershot: Dartmouth. Se även Nina Cecilie Raaum (1995</w:t>
      </w:r>
      <w:r w:rsidRPr="00F5723F">
        <w:t>c</w:t>
      </w:r>
      <w:r w:rsidRPr="00F5723F">
        <w:t>), “Women in local d</w:t>
      </w:r>
      <w:r w:rsidRPr="00F5723F">
        <w:t>e</w:t>
      </w:r>
      <w:r w:rsidRPr="00F5723F">
        <w:t>mocracy” i Lauri Kar</w:t>
      </w:r>
      <w:r w:rsidRPr="00F5723F">
        <w:t>vonen och Per Selle red. (1995),</w:t>
      </w:r>
      <w:r w:rsidRPr="00F5723F">
        <w:t xml:space="preserve"> </w:t>
      </w:r>
      <w:r w:rsidRPr="00F5723F">
        <w:rPr>
          <w:i/>
        </w:rPr>
        <w:t>Women in N</w:t>
      </w:r>
      <w:r w:rsidRPr="00F5723F">
        <w:rPr>
          <w:i/>
        </w:rPr>
        <w:t>ordic Politics: Closing the Gap,</w:t>
      </w:r>
      <w:r w:rsidRPr="00F5723F">
        <w:t xml:space="preserve"> Aldershot: </w:t>
      </w:r>
      <w:smartTag w:uri="urn:schemas-microsoft-com:office:smarttags" w:element="place">
        <w:smartTag w:uri="urn:schemas-microsoft-com:office:smarttags" w:element="City">
          <w:r w:rsidRPr="00F5723F">
            <w:t>Dar</w:t>
          </w:r>
          <w:r w:rsidRPr="00F5723F">
            <w:t>t</w:t>
          </w:r>
          <w:r w:rsidRPr="00F5723F">
            <w:t>mouth</w:t>
          </w:r>
        </w:smartTag>
      </w:smartTag>
      <w:r w:rsidRPr="00F5723F">
        <w:t>.</w:t>
      </w:r>
    </w:p>
  </w:footnote>
  <w:footnote w:id="269">
    <w:p w:rsidR="00B43C57" w:rsidRPr="00F5723F" w:rsidRDefault="00B43C57">
      <w:pPr>
        <w:pStyle w:val="Fotnotstextindrag"/>
      </w:pPr>
      <w:r w:rsidRPr="00F5723F">
        <w:rPr>
          <w:rStyle w:val="Fotnotsreferens"/>
          <w:rFonts w:ascii="Garamond" w:hAnsi="Garamond"/>
        </w:rPr>
        <w:footnoteRef/>
      </w:r>
      <w:r w:rsidRPr="00F5723F">
        <w:t xml:space="preserve"> Peter Esaiasson &amp; Sören Holmberg</w:t>
      </w:r>
      <w:r w:rsidRPr="00F5723F">
        <w:t xml:space="preserve"> (1996)</w:t>
      </w:r>
      <w:r w:rsidRPr="00F5723F">
        <w:t xml:space="preserve">, </w:t>
      </w:r>
      <w:r w:rsidRPr="00F5723F">
        <w:rPr>
          <w:i/>
        </w:rPr>
        <w:t>Representation from Above,</w:t>
      </w:r>
      <w:r w:rsidRPr="00F5723F">
        <w:t xml:space="preserve"> Hants: Dartmouth Publish</w:t>
      </w:r>
      <w:r w:rsidRPr="00F5723F">
        <w:t>ing Company Limited</w:t>
      </w:r>
      <w:r w:rsidRPr="00F5723F">
        <w:t>, s</w:t>
      </w:r>
      <w:r w:rsidRPr="00F5723F">
        <w:t>id</w:t>
      </w:r>
      <w:r w:rsidRPr="00F5723F">
        <w:t xml:space="preserve">. 69. </w:t>
      </w:r>
      <w:r w:rsidRPr="00F5723F">
        <w:t>Se även Sören Holm</w:t>
      </w:r>
      <w:r w:rsidRPr="00F5723F">
        <w:t>berg och Peter Esaiasson (1988),</w:t>
      </w:r>
      <w:r w:rsidRPr="00F5723F">
        <w:t xml:space="preserve"> </w:t>
      </w:r>
      <w:r w:rsidRPr="00F5723F">
        <w:rPr>
          <w:i/>
        </w:rPr>
        <w:t>De f</w:t>
      </w:r>
      <w:r w:rsidRPr="00F5723F">
        <w:rPr>
          <w:i/>
        </w:rPr>
        <w:t>olkvalda. En bok om riksdagsledamöterna och den represent</w:t>
      </w:r>
      <w:r w:rsidRPr="00F5723F">
        <w:rPr>
          <w:i/>
        </w:rPr>
        <w:t>a</w:t>
      </w:r>
      <w:r w:rsidRPr="00F5723F">
        <w:rPr>
          <w:i/>
        </w:rPr>
        <w:t>tiva demokratin i Sverige</w:t>
      </w:r>
      <w:r w:rsidRPr="00F5723F">
        <w:t>, Stockholm.</w:t>
      </w:r>
    </w:p>
  </w:footnote>
  <w:footnote w:id="270">
    <w:p w:rsidR="00B43C57" w:rsidRPr="00F5723F" w:rsidRDefault="00B43C57">
      <w:pPr>
        <w:pStyle w:val="Fotnotstextindrag"/>
        <w:rPr>
          <w:sz w:val="24"/>
          <w:szCs w:val="24"/>
        </w:rPr>
      </w:pPr>
      <w:r w:rsidRPr="00F5723F">
        <w:rPr>
          <w:rStyle w:val="Fotnotsreferens"/>
          <w:rFonts w:ascii="Garamond" w:hAnsi="Garamond"/>
        </w:rPr>
        <w:footnoteRef/>
      </w:r>
      <w:r w:rsidRPr="00F5723F">
        <w:t xml:space="preserve"> Oskarsson &amp; Wängnerud (1995), </w:t>
      </w:r>
      <w:r w:rsidRPr="00F5723F">
        <w:rPr>
          <w:i/>
        </w:rPr>
        <w:t>Kvinnor som väljare och valda,</w:t>
      </w:r>
      <w:r w:rsidRPr="00F5723F">
        <w:t xml:space="preserve"> Lund: Studen</w:t>
      </w:r>
      <w:r w:rsidRPr="00F5723F">
        <w:t>t</w:t>
      </w:r>
      <w:r w:rsidRPr="00F5723F">
        <w:t>litteratur,</w:t>
      </w:r>
      <w:r w:rsidRPr="00F5723F">
        <w:t xml:space="preserve"> sid. 135</w:t>
      </w:r>
      <w:r w:rsidRPr="00F5723F">
        <w:t xml:space="preserve">. Se även Maria Oskarsson och Lena Wängnerud (1996), ”Vem representerar kvinnorna?” sid. 199–226 i B. Särlvik och B. Rothstein red. (1996), </w:t>
      </w:r>
      <w:r w:rsidRPr="00F5723F">
        <w:rPr>
          <w:i/>
        </w:rPr>
        <w:t>Vetenskapen om politik. En festskrift till profes</w:t>
      </w:r>
      <w:r w:rsidRPr="00F5723F">
        <w:rPr>
          <w:i/>
        </w:rPr>
        <w:t>sor emeritus Jörgen Westerståhl,</w:t>
      </w:r>
      <w:r w:rsidRPr="00F5723F">
        <w:t xml:space="preserve"> G</w:t>
      </w:r>
      <w:r w:rsidRPr="00F5723F">
        <w:t>ö</w:t>
      </w:r>
      <w:r w:rsidRPr="00F5723F">
        <w:t xml:space="preserve">teborg: Statsvetenskapliga institutionen, </w:t>
      </w:r>
      <w:r w:rsidRPr="00F5723F">
        <w:t xml:space="preserve">Helena </w:t>
      </w:r>
      <w:r w:rsidRPr="00F5723F">
        <w:t xml:space="preserve">Rohdén </w:t>
      </w:r>
      <w:r w:rsidRPr="00F5723F">
        <w:t>och Maria Oskarsson (2002), ”Könsskillnade</w:t>
      </w:r>
      <w:r w:rsidRPr="00F5723F">
        <w:t xml:space="preserve">r i politiken – mönstren består” i </w:t>
      </w:r>
      <w:r w:rsidRPr="00F5723F">
        <w:t>Sören</w:t>
      </w:r>
      <w:r w:rsidRPr="00F5723F">
        <w:t xml:space="preserve"> Holmberg</w:t>
      </w:r>
      <w:r w:rsidRPr="00F5723F">
        <w:t xml:space="preserve"> och Le</w:t>
      </w:r>
      <w:r w:rsidRPr="00F5723F">
        <w:t>n</w:t>
      </w:r>
      <w:r w:rsidRPr="00F5723F">
        <w:t>nart We</w:t>
      </w:r>
      <w:r w:rsidRPr="00F5723F">
        <w:t>i</w:t>
      </w:r>
      <w:r w:rsidRPr="00F5723F">
        <w:t xml:space="preserve">bull (2002), </w:t>
      </w:r>
      <w:r w:rsidRPr="00F5723F">
        <w:rPr>
          <w:i/>
        </w:rPr>
        <w:t>Det våras fö</w:t>
      </w:r>
      <w:r w:rsidRPr="00F5723F">
        <w:rPr>
          <w:i/>
        </w:rPr>
        <w:t>r pol</w:t>
      </w:r>
      <w:r w:rsidRPr="00F5723F">
        <w:rPr>
          <w:i/>
        </w:rPr>
        <w:t>itiken. SOM-rapport nr 30,</w:t>
      </w:r>
      <w:r w:rsidRPr="00F5723F">
        <w:t xml:space="preserve"> Kungälv: SOM-in</w:t>
      </w:r>
      <w:r w:rsidRPr="00F5723F">
        <w:t>stitutet, Göteborgs universitet, samt Helena Rohdén (2003), ”Arbetstidsförkortning – en fråga om klass och kön?” i Henrik Oscarsson (2003),</w:t>
      </w:r>
      <w:r w:rsidRPr="00F5723F">
        <w:rPr>
          <w:i/>
        </w:rPr>
        <w:t xml:space="preserve"> Dem</w:t>
      </w:r>
      <w:r w:rsidRPr="00F5723F">
        <w:rPr>
          <w:i/>
        </w:rPr>
        <w:t>o</w:t>
      </w:r>
      <w:r w:rsidRPr="00F5723F">
        <w:rPr>
          <w:i/>
        </w:rPr>
        <w:t>krat</w:t>
      </w:r>
      <w:r w:rsidRPr="00F5723F">
        <w:rPr>
          <w:i/>
        </w:rPr>
        <w:t>itrender. SOM-rapport nr 32,</w:t>
      </w:r>
      <w:r w:rsidRPr="00F5723F">
        <w:rPr>
          <w:i/>
        </w:rPr>
        <w:t xml:space="preserve"> </w:t>
      </w:r>
      <w:r w:rsidRPr="00F5723F">
        <w:t xml:space="preserve">Kungälv: SOM-institutet, Göteborgs universitet. </w:t>
      </w:r>
    </w:p>
  </w:footnote>
  <w:footnote w:id="271">
    <w:p w:rsidR="00B43C57" w:rsidRPr="00F5723F" w:rsidRDefault="00B43C57">
      <w:pPr>
        <w:pStyle w:val="Fotnotstextindrag"/>
      </w:pPr>
      <w:r w:rsidRPr="00F5723F">
        <w:rPr>
          <w:rStyle w:val="Fotnotsreferens"/>
          <w:rFonts w:ascii="Garamond" w:hAnsi="Garamond"/>
        </w:rPr>
        <w:footnoteRef/>
      </w:r>
      <w:r w:rsidRPr="00F5723F">
        <w:t xml:space="preserve"> Maria Oskarsson (1994)</w:t>
      </w:r>
      <w:r w:rsidRPr="00F5723F">
        <w:t xml:space="preserve"> har </w:t>
      </w:r>
      <w:r w:rsidRPr="00F5723F">
        <w:t>till exempel</w:t>
      </w:r>
      <w:r w:rsidRPr="00F5723F">
        <w:t xml:space="preserve"> visat att kvinnor är mer oroade över Sv</w:t>
      </w:r>
      <w:r w:rsidRPr="00F5723F">
        <w:t>e</w:t>
      </w:r>
      <w:r w:rsidRPr="00F5723F">
        <w:t>rig</w:t>
      </w:r>
      <w:r w:rsidRPr="00F5723F">
        <w:t>es ekon</w:t>
      </w:r>
      <w:r w:rsidRPr="00F5723F">
        <w:t>o</w:t>
      </w:r>
      <w:r w:rsidRPr="00F5723F">
        <w:t xml:space="preserve">miska situation än män. Se </w:t>
      </w:r>
      <w:r w:rsidRPr="00F5723F">
        <w:t xml:space="preserve">”Den offentliga sektorns storlek: ekonomi eller ideologi?” i </w:t>
      </w:r>
      <w:r w:rsidRPr="00F5723F">
        <w:t>Lennart Nilsson</w:t>
      </w:r>
      <w:r w:rsidRPr="00F5723F">
        <w:t xml:space="preserve"> (red), </w:t>
      </w:r>
      <w:r w:rsidRPr="00F5723F">
        <w:rPr>
          <w:i/>
        </w:rPr>
        <w:t>Västsverige i fokus,</w:t>
      </w:r>
      <w:r w:rsidRPr="00F5723F">
        <w:t xml:space="preserve"> SOM-rapport nr 12, </w:t>
      </w:r>
      <w:r w:rsidRPr="00F5723F">
        <w:t>G</w:t>
      </w:r>
      <w:r w:rsidRPr="00F5723F">
        <w:t>ö</w:t>
      </w:r>
      <w:r w:rsidRPr="00F5723F">
        <w:t>teborgs universitet, s. 99–108</w:t>
      </w:r>
      <w:r w:rsidRPr="00F5723F">
        <w:t xml:space="preserve">. För studier om åsiktsskillnader mellan könen i vissa sakfrågor, se </w:t>
      </w:r>
      <w:r w:rsidRPr="00F5723F">
        <w:t>till exempel</w:t>
      </w:r>
      <w:r w:rsidRPr="00F5723F">
        <w:t xml:space="preserve"> </w:t>
      </w:r>
      <w:r w:rsidRPr="00F5723F">
        <w:t xml:space="preserve">Mikael </w:t>
      </w:r>
      <w:r w:rsidRPr="00F5723F">
        <w:t xml:space="preserve">Gilljam och </w:t>
      </w:r>
      <w:r w:rsidRPr="00F5723F">
        <w:t xml:space="preserve">Sören </w:t>
      </w:r>
      <w:r w:rsidRPr="00F5723F">
        <w:t>Holmb</w:t>
      </w:r>
      <w:r w:rsidRPr="00F5723F">
        <w:t xml:space="preserve">erg (1996), </w:t>
      </w:r>
      <w:r w:rsidRPr="00F5723F">
        <w:rPr>
          <w:i/>
        </w:rPr>
        <w:t>Väljarnas v</w:t>
      </w:r>
      <w:r w:rsidRPr="00F5723F">
        <w:rPr>
          <w:i/>
        </w:rPr>
        <w:t>al,</w:t>
      </w:r>
      <w:r w:rsidRPr="00F5723F">
        <w:t xml:space="preserve"> Stockholm: Fritzes, Sören Holmberg (2000), </w:t>
      </w:r>
      <w:r w:rsidRPr="00F5723F">
        <w:rPr>
          <w:i/>
        </w:rPr>
        <w:t>Välja parti,</w:t>
      </w:r>
      <w:r w:rsidRPr="00F5723F">
        <w:t xml:space="preserve"> Stockholm: Norstedts Jur</w:t>
      </w:r>
      <w:r w:rsidRPr="00F5723F">
        <w:t>i</w:t>
      </w:r>
      <w:r w:rsidRPr="00F5723F">
        <w:t>dik, Ulf Bjereld</w:t>
      </w:r>
      <w:r w:rsidRPr="00F5723F">
        <w:t xml:space="preserve"> </w:t>
      </w:r>
      <w:r w:rsidRPr="00F5723F">
        <w:t>(</w:t>
      </w:r>
      <w:r w:rsidRPr="00F5723F">
        <w:t>1995</w:t>
      </w:r>
      <w:r w:rsidRPr="00F5723F">
        <w:t>)</w:t>
      </w:r>
      <w:r w:rsidRPr="00F5723F">
        <w:t xml:space="preserve">, </w:t>
      </w:r>
      <w:r w:rsidRPr="00F5723F">
        <w:t>”</w:t>
      </w:r>
      <w:r w:rsidRPr="00F5723F">
        <w:t xml:space="preserve">Female Doves and Male Hawks?” i </w:t>
      </w:r>
      <w:r w:rsidRPr="00F5723F">
        <w:t>Alexa Robertson red</w:t>
      </w:r>
      <w:r w:rsidRPr="00F5723F">
        <w:rPr>
          <w:i/>
        </w:rPr>
        <w:t>, Opinion, the Media and I</w:t>
      </w:r>
      <w:r w:rsidRPr="00F5723F">
        <w:rPr>
          <w:i/>
        </w:rPr>
        <w:t>nternational Politics: A Reader,</w:t>
      </w:r>
      <w:r w:rsidRPr="00F5723F">
        <w:t xml:space="preserve"> </w:t>
      </w:r>
      <w:r w:rsidRPr="00F5723F">
        <w:t xml:space="preserve">Department of Political Science, Stockholm University, sid. 168–177, samt Ulf Bjereld (1998), </w:t>
      </w:r>
      <w:r w:rsidRPr="00F5723F">
        <w:rPr>
          <w:i/>
        </w:rPr>
        <w:t>Kön och pol</w:t>
      </w:r>
      <w:r w:rsidRPr="00F5723F">
        <w:rPr>
          <w:i/>
        </w:rPr>
        <w:t>i</w:t>
      </w:r>
      <w:r w:rsidRPr="00F5723F">
        <w:rPr>
          <w:i/>
        </w:rPr>
        <w:t>tiskt våld</w:t>
      </w:r>
      <w:r w:rsidRPr="00F5723F">
        <w:t>,</w:t>
      </w:r>
      <w:r w:rsidRPr="00F5723F">
        <w:t xml:space="preserve"> </w:t>
      </w:r>
      <w:r w:rsidRPr="00F5723F">
        <w:t>Stockholm: Gidlunds. Samtidigt som det finns</w:t>
      </w:r>
      <w:r w:rsidRPr="00F5723F">
        <w:t xml:space="preserve"> åsiktsskillnader mellan k</w:t>
      </w:r>
      <w:r w:rsidRPr="00F5723F">
        <w:t>ö</w:t>
      </w:r>
      <w:r w:rsidRPr="00F5723F">
        <w:t>nen i pol</w:t>
      </w:r>
      <w:r w:rsidRPr="00F5723F">
        <w:t>i</w:t>
      </w:r>
      <w:r w:rsidRPr="00F5723F">
        <w:t>tiska sakfrågor är skillnaderna små när det gäller partiidentifikation och partimedlemskap (Gil</w:t>
      </w:r>
      <w:r w:rsidRPr="00F5723F">
        <w:t>l</w:t>
      </w:r>
      <w:r w:rsidRPr="00F5723F">
        <w:t>jam &amp; Holmberg 1996).</w:t>
      </w:r>
    </w:p>
  </w:footnote>
  <w:footnote w:id="272">
    <w:p w:rsidR="00B43C57" w:rsidRPr="00F5723F" w:rsidRDefault="00B43C57">
      <w:pPr>
        <w:pStyle w:val="Fotnotstextindrag"/>
      </w:pPr>
      <w:r w:rsidRPr="00F5723F">
        <w:rPr>
          <w:rStyle w:val="Fotnotsreferens"/>
          <w:rFonts w:ascii="Garamond" w:hAnsi="Garamond"/>
        </w:rPr>
        <w:footnoteRef/>
      </w:r>
      <w:r w:rsidRPr="00F5723F">
        <w:t xml:space="preserve"> Liknande förhållande gäller jämställdhetspolitik, ett politikområde som kvinnor i större utsträckning än män drivit i sin partigrupp. Det motstånd kvinnliga politiker kan möta när de driver jämställdhetsfrågor beskrivs </w:t>
      </w:r>
      <w:r w:rsidRPr="00F5723F">
        <w:t>bland annat</w:t>
      </w:r>
      <w:r w:rsidRPr="00F5723F">
        <w:t xml:space="preserve"> av Ingrid Pincus (2002), </w:t>
      </w:r>
      <w:r w:rsidRPr="00F5723F">
        <w:rPr>
          <w:i/>
        </w:rPr>
        <w:t>The Politics o</w:t>
      </w:r>
      <w:r w:rsidRPr="00F5723F">
        <w:rPr>
          <w:i/>
        </w:rPr>
        <w:t>f Gender Equality Policy,</w:t>
      </w:r>
      <w:r w:rsidRPr="00F5723F">
        <w:t xml:space="preserve"> </w:t>
      </w:r>
      <w:r w:rsidRPr="00F5723F">
        <w:t>doktorsavhandling statsvetenskapliga i</w:t>
      </w:r>
      <w:r w:rsidRPr="00F5723F">
        <w:t>nstituti</w:t>
      </w:r>
      <w:r w:rsidRPr="00F5723F">
        <w:t>o</w:t>
      </w:r>
      <w:r w:rsidRPr="00F5723F">
        <w:t>nen. Örebro u</w:t>
      </w:r>
      <w:r w:rsidRPr="00F5723F">
        <w:t>niversitet.</w:t>
      </w:r>
    </w:p>
  </w:footnote>
  <w:footnote w:id="273">
    <w:p w:rsidR="00B43C57" w:rsidRPr="00F5723F" w:rsidRDefault="00B43C57">
      <w:pPr>
        <w:pStyle w:val="Fotnotstextindrag"/>
      </w:pPr>
      <w:r w:rsidRPr="00F5723F">
        <w:rPr>
          <w:rStyle w:val="Fotnotsreferens"/>
          <w:rFonts w:ascii="Garamond" w:hAnsi="Garamond"/>
        </w:rPr>
        <w:footnoteRef/>
      </w:r>
      <w:r w:rsidRPr="00F5723F">
        <w:t xml:space="preserve"> Helena Rohdéns avhandlingsprojekt belyser konfliktlinjer i termer av kön och klass i frågan om arbetstidsförkortning. I avhandlingen ingår en analys av opinion</w:t>
      </w:r>
      <w:r w:rsidRPr="00F5723F">
        <w:t>s</w:t>
      </w:r>
      <w:r w:rsidRPr="00F5723F">
        <w:t>data från 1970-talet fram till i dag och opinionen bland både väljare och riksdagsl</w:t>
      </w:r>
      <w:r w:rsidRPr="00F5723F">
        <w:t>e</w:t>
      </w:r>
      <w:r w:rsidRPr="00F5723F">
        <w:t>damöter kar</w:t>
      </w:r>
      <w:r w:rsidRPr="00F5723F">
        <w:t>t</w:t>
      </w:r>
      <w:r w:rsidRPr="00F5723F">
        <w:t>läggs. Se Helena Rohdén (2004), ”Striden om tiden. Starka konfliktlinjer i frågan om sex timmars arbetsdag”. Empiriskt avhandlingskapitel framlagt vid sem</w:t>
      </w:r>
      <w:r w:rsidRPr="00F5723F">
        <w:t>i</w:t>
      </w:r>
      <w:r w:rsidRPr="00F5723F">
        <w:t>nari</w:t>
      </w:r>
      <w:r w:rsidRPr="00F5723F">
        <w:t>et Val, Opinion och Demokrati, s</w:t>
      </w:r>
      <w:r w:rsidRPr="00F5723F">
        <w:t>tatsvetenskapliga institutionen, samt Helena Rohdén (2003), ”Arb</w:t>
      </w:r>
      <w:r w:rsidRPr="00F5723F">
        <w:t>etstidsförkortning – en fråga om klass och kön?” i Henrik O</w:t>
      </w:r>
      <w:r w:rsidRPr="00F5723F">
        <w:t>s</w:t>
      </w:r>
      <w:r w:rsidRPr="00F5723F">
        <w:t xml:space="preserve">carsson (2003), </w:t>
      </w:r>
      <w:r w:rsidRPr="00F5723F">
        <w:rPr>
          <w:i/>
        </w:rPr>
        <w:t>D</w:t>
      </w:r>
      <w:r w:rsidRPr="00F5723F">
        <w:rPr>
          <w:i/>
        </w:rPr>
        <w:t>emokratitrender. SOM-rapport nr 32,</w:t>
      </w:r>
      <w:r w:rsidRPr="00F5723F">
        <w:t xml:space="preserve"> Kungälv: SOM-Institutet, Göteborgs universitet</w:t>
      </w:r>
      <w:r w:rsidRPr="00F5723F">
        <w:t>.</w:t>
      </w:r>
    </w:p>
  </w:footnote>
  <w:footnote w:id="274">
    <w:p w:rsidR="00B43C57" w:rsidRPr="00F5723F" w:rsidRDefault="00B43C57">
      <w:pPr>
        <w:pStyle w:val="Fotnotstextindrag"/>
      </w:pPr>
      <w:r w:rsidRPr="00F5723F">
        <w:rPr>
          <w:rStyle w:val="Fotnotsreferens"/>
          <w:rFonts w:ascii="Garamond" w:hAnsi="Garamond"/>
        </w:rPr>
        <w:footnoteRef/>
      </w:r>
      <w:r w:rsidRPr="00F5723F">
        <w:t xml:space="preserve"> Se </w:t>
      </w:r>
      <w:r w:rsidRPr="00F5723F">
        <w:t>till exempel</w:t>
      </w:r>
      <w:r w:rsidRPr="00F5723F">
        <w:t xml:space="preserve"> polemiken mellan Hege Skjeie (1992) och Yvonne Hirdman (1990).</w:t>
      </w:r>
    </w:p>
  </w:footnote>
  <w:footnote w:id="275">
    <w:p w:rsidR="00B43C57" w:rsidRPr="00F5723F" w:rsidRDefault="00B43C57">
      <w:pPr>
        <w:pStyle w:val="Fotnotstextindrag"/>
      </w:pPr>
      <w:r w:rsidRPr="00F5723F">
        <w:rPr>
          <w:rStyle w:val="Fotnotsreferens"/>
          <w:rFonts w:ascii="Garamond" w:hAnsi="Garamond"/>
        </w:rPr>
        <w:footnoteRef/>
      </w:r>
      <w:r w:rsidRPr="00F5723F">
        <w:t xml:space="preserve"> </w:t>
      </w:r>
      <w:r w:rsidRPr="00F5723F">
        <w:t>Wängnerud (1998)</w:t>
      </w:r>
      <w:r w:rsidRPr="00F5723F">
        <w:t>. Se även</w:t>
      </w:r>
      <w:r w:rsidRPr="00F5723F">
        <w:t xml:space="preserve"> </w:t>
      </w:r>
      <w:r w:rsidRPr="00F5723F">
        <w:t>Lena Wängnerud (1996</w:t>
      </w:r>
      <w:r w:rsidRPr="00F5723F">
        <w:t xml:space="preserve">), </w:t>
      </w:r>
      <w:r w:rsidRPr="00F5723F">
        <w:t>”</w:t>
      </w:r>
      <w:r w:rsidRPr="00F5723F">
        <w:t>Intressen kontra stereot</w:t>
      </w:r>
      <w:r w:rsidRPr="00F5723F">
        <w:t>y</w:t>
      </w:r>
      <w:r w:rsidRPr="00F5723F">
        <w:t>per”</w:t>
      </w:r>
      <w:r w:rsidRPr="00F5723F">
        <w:t xml:space="preserve"> i </w:t>
      </w:r>
      <w:r w:rsidRPr="00F5723F">
        <w:rPr>
          <w:i/>
        </w:rPr>
        <w:t>Statsvetenskaplig Tidskrift</w:t>
      </w:r>
      <w:r w:rsidRPr="00F5723F">
        <w:t xml:space="preserve"> 1996 årg. 99, nr 2, sid. 129 –149.</w:t>
      </w:r>
    </w:p>
  </w:footnote>
  <w:footnote w:id="276">
    <w:p w:rsidR="00B43C57" w:rsidRPr="00F5723F" w:rsidRDefault="00B43C57">
      <w:pPr>
        <w:pStyle w:val="Fotnotstextindrag"/>
      </w:pPr>
      <w:r w:rsidRPr="00F5723F">
        <w:rPr>
          <w:rStyle w:val="Fotnotsreferens"/>
          <w:rFonts w:ascii="Garamond" w:hAnsi="Garamond"/>
        </w:rPr>
        <w:footnoteRef/>
      </w:r>
      <w:r w:rsidRPr="00F5723F">
        <w:t xml:space="preserve"> </w:t>
      </w:r>
      <w:r w:rsidRPr="00F5723F">
        <w:t>Thelander</w:t>
      </w:r>
      <w:r w:rsidRPr="00F5723F">
        <w:t xml:space="preserve"> (1986)</w:t>
      </w:r>
      <w:r w:rsidRPr="00F5723F">
        <w:t xml:space="preserve">, </w:t>
      </w:r>
      <w:r w:rsidRPr="00F5723F">
        <w:rPr>
          <w:i/>
        </w:rPr>
        <w:t>Politikerspråk i könsperspektiv</w:t>
      </w:r>
      <w:r w:rsidRPr="00F5723F">
        <w:t>, Ord och Stil, Språkvårdssa</w:t>
      </w:r>
      <w:r w:rsidRPr="00F5723F">
        <w:t>m</w:t>
      </w:r>
      <w:r w:rsidRPr="00F5723F">
        <w:t>fundets skri</w:t>
      </w:r>
      <w:r w:rsidRPr="00F5723F">
        <w:t>f</w:t>
      </w:r>
      <w:r w:rsidRPr="00F5723F">
        <w:t>t</w:t>
      </w:r>
      <w:r w:rsidRPr="00F5723F">
        <w:t>er 17, Uppsala universitet</w:t>
      </w:r>
      <w:r w:rsidRPr="00F5723F">
        <w:t>.</w:t>
      </w:r>
    </w:p>
  </w:footnote>
  <w:footnote w:id="277">
    <w:p w:rsidR="00B43C57" w:rsidRPr="00F5723F" w:rsidRDefault="00B43C57">
      <w:pPr>
        <w:pStyle w:val="Fotnotstextindrag"/>
      </w:pPr>
      <w:r w:rsidRPr="00F5723F">
        <w:rPr>
          <w:rStyle w:val="Fotnotsreferens"/>
          <w:rFonts w:ascii="Garamond" w:hAnsi="Garamond"/>
        </w:rPr>
        <w:footnoteRef/>
      </w:r>
      <w:r w:rsidRPr="00F5723F">
        <w:rPr>
          <w:rStyle w:val="Fotnotsreferens"/>
        </w:rPr>
        <w:t xml:space="preserve"> </w:t>
      </w:r>
      <w:r w:rsidRPr="00F5723F">
        <w:t xml:space="preserve">Gomard &amp; Krogstad red. (2001), Instead of the ideal debate. Doing politics and doing gender in Nordic political campaign discourse. Gylling: </w:t>
      </w:r>
      <w:smartTag w:uri="urn:schemas-microsoft-com:office:smarttags" w:element="place">
        <w:smartTag w:uri="urn:schemas-microsoft-com:office:smarttags" w:element="PlaceName">
          <w:r w:rsidRPr="00F5723F">
            <w:t>Aarhus</w:t>
          </w:r>
        </w:smartTag>
        <w:r w:rsidRPr="00F5723F">
          <w:t xml:space="preserve"> </w:t>
        </w:r>
        <w:smartTag w:uri="urn:schemas-microsoft-com:office:smarttags" w:element="PlaceType">
          <w:r w:rsidRPr="00F5723F">
            <w:t>University</w:t>
          </w:r>
        </w:smartTag>
      </w:smartTag>
      <w:r w:rsidRPr="00F5723F">
        <w:t xml:space="preserve"> Press. Se även Kirsten Gomard (2001), ”Political debates on Danish TV: Negotiating political competence and gender” i NORA no 2. </w:t>
      </w:r>
      <w:r w:rsidRPr="00F5723F">
        <w:t>Vol. 9, Anne Krogstad (1999), Im</w:t>
      </w:r>
      <w:r w:rsidRPr="00F5723F">
        <w:t>a</w:t>
      </w:r>
      <w:r w:rsidRPr="00F5723F">
        <w:t>ge i politikken. Visuelle og retoriske virkemidler. Oslo: Pax samt Anne Krogstad (2001), ”Image and issue</w:t>
      </w:r>
      <w:r w:rsidRPr="00F5723F">
        <w:t xml:space="preserve"> in televised debates” sid. 155–</w:t>
      </w:r>
      <w:r w:rsidRPr="00F5723F">
        <w:t xml:space="preserve">184 i Gomard och Krogstad red. </w:t>
      </w:r>
      <w:r w:rsidRPr="00F5723F">
        <w:t>(2001), Instead of the</w:t>
      </w:r>
      <w:r w:rsidRPr="00F5723F">
        <w:t xml:space="preserve"> ideal debate. Doing politics and doing gender in Nordic political campaign discou</w:t>
      </w:r>
      <w:r w:rsidRPr="00F5723F">
        <w:t>r</w:t>
      </w:r>
      <w:r w:rsidRPr="00F5723F">
        <w:t xml:space="preserve">se. Gylling: </w:t>
      </w:r>
      <w:smartTag w:uri="urn:schemas-microsoft-com:office:smarttags" w:element="place">
        <w:smartTag w:uri="urn:schemas-microsoft-com:office:smarttags" w:element="PlaceName">
          <w:r w:rsidRPr="00F5723F">
            <w:t>Aarhus</w:t>
          </w:r>
        </w:smartTag>
        <w:r w:rsidRPr="00F5723F">
          <w:t xml:space="preserve"> </w:t>
        </w:r>
        <w:smartTag w:uri="urn:schemas-microsoft-com:office:smarttags" w:element="PlaceType">
          <w:r w:rsidRPr="00F5723F">
            <w:t>University</w:t>
          </w:r>
        </w:smartTag>
      </w:smartTag>
      <w:r w:rsidRPr="00F5723F">
        <w:t xml:space="preserve"> Press.</w:t>
      </w:r>
    </w:p>
  </w:footnote>
  <w:footnote w:id="278">
    <w:p w:rsidR="00B43C57" w:rsidRPr="00F5723F" w:rsidRDefault="00B43C57">
      <w:pPr>
        <w:pStyle w:val="Fotnotstextindrag"/>
      </w:pPr>
      <w:r w:rsidRPr="00F5723F">
        <w:rPr>
          <w:rStyle w:val="Fotnotsreferens"/>
          <w:rFonts w:ascii="Garamond" w:hAnsi="Garamond"/>
        </w:rPr>
        <w:footnoteRef/>
      </w:r>
      <w:r w:rsidRPr="00F5723F">
        <w:t xml:space="preserve"> Gomard (2001),</w:t>
      </w:r>
      <w:r w:rsidRPr="00F5723F">
        <w:t xml:space="preserve"> ”Political debates on Danish TV: Negotiating political comp</w:t>
      </w:r>
      <w:r w:rsidRPr="00F5723F">
        <w:t>e</w:t>
      </w:r>
      <w:r w:rsidRPr="00F5723F">
        <w:t xml:space="preserve">tence and gender” i </w:t>
      </w:r>
      <w:r w:rsidRPr="00F5723F">
        <w:rPr>
          <w:i/>
        </w:rPr>
        <w:t xml:space="preserve">NORA </w:t>
      </w:r>
      <w:r w:rsidRPr="00F5723F">
        <w:t xml:space="preserve">no 2. </w:t>
      </w:r>
      <w:r w:rsidRPr="00F5723F">
        <w:t>Vol. 9.</w:t>
      </w:r>
    </w:p>
  </w:footnote>
  <w:footnote w:id="279">
    <w:p w:rsidR="00B43C57" w:rsidRPr="00F5723F" w:rsidRDefault="00B43C57">
      <w:pPr>
        <w:pStyle w:val="Fotnotstextindrag"/>
      </w:pPr>
      <w:r w:rsidRPr="00F5723F">
        <w:rPr>
          <w:rStyle w:val="Fotnotsreferens"/>
          <w:rFonts w:ascii="Garamond" w:hAnsi="Garamond"/>
        </w:rPr>
        <w:footnoteRef/>
      </w:r>
      <w:r w:rsidRPr="00F5723F">
        <w:t xml:space="preserve"> </w:t>
      </w:r>
      <w:r w:rsidRPr="00F5723F">
        <w:t>Lundblad</w:t>
      </w:r>
      <w:r w:rsidRPr="00F5723F">
        <w:t xml:space="preserve"> (1962)</w:t>
      </w:r>
      <w:r w:rsidRPr="00F5723F">
        <w:t xml:space="preserve">, </w:t>
      </w:r>
      <w:r w:rsidRPr="00F5723F">
        <w:rPr>
          <w:i/>
        </w:rPr>
        <w:t>De kvinnlig</w:t>
      </w:r>
      <w:r w:rsidRPr="00F5723F">
        <w:rPr>
          <w:i/>
        </w:rPr>
        <w:t>a riksdagsledamöterna åren 1922–</w:t>
      </w:r>
      <w:r w:rsidRPr="00F5723F">
        <w:rPr>
          <w:i/>
        </w:rPr>
        <w:t>1949. Bakgrund och arbete i riksd</w:t>
      </w:r>
      <w:r w:rsidRPr="00F5723F">
        <w:rPr>
          <w:i/>
        </w:rPr>
        <w:t>a</w:t>
      </w:r>
      <w:r w:rsidRPr="00F5723F">
        <w:rPr>
          <w:i/>
        </w:rPr>
        <w:t>gen</w:t>
      </w:r>
      <w:r w:rsidRPr="00F5723F">
        <w:t>,</w:t>
      </w:r>
      <w:r w:rsidRPr="00F5723F">
        <w:t xml:space="preserve"> </w:t>
      </w:r>
      <w:r w:rsidRPr="00F5723F">
        <w:t>Stockholms universitet: s</w:t>
      </w:r>
      <w:r w:rsidRPr="00F5723F">
        <w:t>tatsv</w:t>
      </w:r>
      <w:r w:rsidRPr="00F5723F">
        <w:t>etenskapliga institutionen.</w:t>
      </w:r>
    </w:p>
  </w:footnote>
  <w:footnote w:id="280">
    <w:p w:rsidR="00B43C57" w:rsidRPr="00F5723F" w:rsidRDefault="00B43C57">
      <w:pPr>
        <w:pStyle w:val="Fotnotstextindrag"/>
      </w:pPr>
      <w:r w:rsidRPr="00F5723F">
        <w:rPr>
          <w:rStyle w:val="Fotnotsreferens"/>
          <w:rFonts w:ascii="Garamond" w:hAnsi="Garamond"/>
        </w:rPr>
        <w:footnoteRef/>
      </w:r>
      <w:r w:rsidRPr="00F5723F">
        <w:t xml:space="preserve"> </w:t>
      </w:r>
      <w:r w:rsidRPr="00F5723F">
        <w:t>Östberg</w:t>
      </w:r>
      <w:r w:rsidRPr="00F5723F">
        <w:t xml:space="preserve"> (1997)</w:t>
      </w:r>
      <w:r w:rsidRPr="00F5723F">
        <w:t xml:space="preserve">, </w:t>
      </w:r>
      <w:r w:rsidRPr="00F5723F">
        <w:rPr>
          <w:i/>
        </w:rPr>
        <w:t>Eft</w:t>
      </w:r>
      <w:r w:rsidRPr="00F5723F">
        <w:rPr>
          <w:i/>
        </w:rPr>
        <w:t>er rösträtten, kvinnors utrymme</w:t>
      </w:r>
      <w:r w:rsidRPr="00F5723F">
        <w:rPr>
          <w:i/>
        </w:rPr>
        <w:t xml:space="preserve"> efter det demokratiska geno</w:t>
      </w:r>
      <w:r w:rsidRPr="00F5723F">
        <w:rPr>
          <w:i/>
        </w:rPr>
        <w:t>m</w:t>
      </w:r>
      <w:r w:rsidRPr="00F5723F">
        <w:rPr>
          <w:i/>
        </w:rPr>
        <w:t>brottet</w:t>
      </w:r>
      <w:r w:rsidRPr="00F5723F">
        <w:t>, Stoc</w:t>
      </w:r>
      <w:r w:rsidRPr="00F5723F">
        <w:t>k</w:t>
      </w:r>
      <w:r w:rsidRPr="00F5723F">
        <w:t>holm</w:t>
      </w:r>
      <w:r w:rsidRPr="00F5723F">
        <w:t>.</w:t>
      </w:r>
    </w:p>
  </w:footnote>
  <w:footnote w:id="281">
    <w:p w:rsidR="00B43C57" w:rsidRPr="00F5723F" w:rsidRDefault="00B43C57">
      <w:pPr>
        <w:pStyle w:val="Fotnotstextindrag"/>
      </w:pPr>
      <w:r w:rsidRPr="00F5723F">
        <w:rPr>
          <w:rStyle w:val="Fotnotsreferens"/>
          <w:rFonts w:ascii="Garamond" w:hAnsi="Garamond"/>
        </w:rPr>
        <w:footnoteRef/>
      </w:r>
      <w:r w:rsidRPr="00F5723F">
        <w:t xml:space="preserve"> Ås</w:t>
      </w:r>
      <w:r w:rsidRPr="00F5723F">
        <w:t xml:space="preserve"> </w:t>
      </w:r>
      <w:r w:rsidRPr="00F5723F">
        <w:t>(</w:t>
      </w:r>
      <w:r w:rsidRPr="00F5723F">
        <w:t>1982</w:t>
      </w:r>
      <w:r w:rsidRPr="00F5723F">
        <w:t>)</w:t>
      </w:r>
      <w:r w:rsidRPr="00F5723F">
        <w:t xml:space="preserve">. </w:t>
      </w:r>
      <w:r w:rsidRPr="00F5723F">
        <w:rPr>
          <w:i/>
        </w:rPr>
        <w:t>Kvinnor ti</w:t>
      </w:r>
      <w:r w:rsidRPr="00F5723F">
        <w:rPr>
          <w:i/>
        </w:rPr>
        <w:t>llsammans. Handbok i frigörelse,</w:t>
      </w:r>
      <w:r w:rsidRPr="00F5723F">
        <w:t xml:space="preserve"> Stockholm: Gidlunds.</w:t>
      </w:r>
    </w:p>
  </w:footnote>
  <w:footnote w:id="282">
    <w:p w:rsidR="00B43C57" w:rsidRPr="00F5723F" w:rsidRDefault="00B43C57">
      <w:pPr>
        <w:pStyle w:val="Fotnotstextindrag"/>
      </w:pPr>
      <w:r w:rsidRPr="00F5723F">
        <w:rPr>
          <w:rStyle w:val="Fotnotsreferens"/>
          <w:rFonts w:ascii="Garamond" w:hAnsi="Garamond"/>
        </w:rPr>
        <w:footnoteRef/>
      </w:r>
      <w:r w:rsidRPr="00F5723F">
        <w:t xml:space="preserve"> Norrbin</w:t>
      </w:r>
      <w:r w:rsidRPr="00F5723F">
        <w:t xml:space="preserve"> </w:t>
      </w:r>
      <w:r w:rsidRPr="00F5723F">
        <w:t>(</w:t>
      </w:r>
      <w:r w:rsidRPr="00F5723F">
        <w:t>2004</w:t>
      </w:r>
      <w:r w:rsidRPr="00F5723F">
        <w:t>)</w:t>
      </w:r>
      <w:r w:rsidRPr="00F5723F">
        <w:t xml:space="preserve">, </w:t>
      </w:r>
      <w:r w:rsidRPr="00F5723F">
        <w:rPr>
          <w:i/>
        </w:rPr>
        <w:t>Från isolering till integrering. En kollektivbiografisk studie över de kvinnliga riksdagsledamöterna und</w:t>
      </w:r>
      <w:r w:rsidRPr="00F5723F">
        <w:rPr>
          <w:i/>
        </w:rPr>
        <w:t>er tvåkammarriksdagens tid 1922–1970,</w:t>
      </w:r>
      <w:r w:rsidRPr="00F5723F">
        <w:t xml:space="preserve"> Inst</w:t>
      </w:r>
      <w:r w:rsidRPr="00F5723F">
        <w:t>i</w:t>
      </w:r>
      <w:r w:rsidRPr="00F5723F">
        <w:t>tutione</w:t>
      </w:r>
      <w:r w:rsidRPr="00F5723F">
        <w:t>n för historiska studier, Umeå u</w:t>
      </w:r>
      <w:r w:rsidRPr="00F5723F">
        <w:t>niversitet.</w:t>
      </w:r>
      <w:r w:rsidRPr="00F5723F">
        <w:t xml:space="preserve"> Se även Camilla Norrbin och Mik</w:t>
      </w:r>
      <w:r w:rsidRPr="00F5723F">
        <w:t>a</w:t>
      </w:r>
      <w:r w:rsidRPr="00F5723F">
        <w:t>el Sjögren (2001), ”Polisväsen, civilförsvar och allt arbete med landshövdingeutnä</w:t>
      </w:r>
      <w:r w:rsidRPr="00F5723F">
        <w:t>m</w:t>
      </w:r>
      <w:r w:rsidRPr="00F5723F">
        <w:t xml:space="preserve">ningar är minsann inget roligt! Om kvinnors arbete i riksdag och regering under 1950-talet” i Christina Florin och Lars Kvarnström (2001), </w:t>
      </w:r>
      <w:r w:rsidRPr="00F5723F">
        <w:rPr>
          <w:i/>
        </w:rPr>
        <w:t>Kvinnor på gränsen till medborgarskap</w:t>
      </w:r>
      <w:r w:rsidRPr="00F5723F">
        <w:rPr>
          <w:i/>
        </w:rPr>
        <w:t>: genu</w:t>
      </w:r>
      <w:r w:rsidRPr="00F5723F">
        <w:rPr>
          <w:i/>
        </w:rPr>
        <w:t>s, politik och offentlighet 1800–1950</w:t>
      </w:r>
      <w:r w:rsidRPr="00F5723F">
        <w:t>, Stockholm: Atlas, samt Camilla Norrbin (2000), ”Konsten att finna en nål i en höstack: eller de kvinnliga riksdagsledamöternas intressen och nätverk i 1940-talets rik</w:t>
      </w:r>
      <w:r w:rsidRPr="00F5723F">
        <w:t>s</w:t>
      </w:r>
      <w:r w:rsidRPr="00F5723F">
        <w:t xml:space="preserve">dag” i Tomas Nilsson red. (2000), </w:t>
      </w:r>
      <w:r w:rsidRPr="00F5723F">
        <w:rPr>
          <w:i/>
        </w:rPr>
        <w:t>Att synliggöra det osynliga. Sex uppsatser om socialt handlande och sociala nätverk</w:t>
      </w:r>
      <w:r w:rsidRPr="00F5723F">
        <w:t>, Göteborg: historiska institutionen, Göteborgs universitet.</w:t>
      </w:r>
    </w:p>
  </w:footnote>
  <w:footnote w:id="283">
    <w:p w:rsidR="00B43C57" w:rsidRPr="00F5723F" w:rsidRDefault="00B43C57">
      <w:pPr>
        <w:pStyle w:val="Fotnotstextindrag"/>
      </w:pPr>
      <w:r w:rsidRPr="00F5723F">
        <w:rPr>
          <w:rStyle w:val="Fotnotsreferens"/>
          <w:rFonts w:ascii="Garamond" w:hAnsi="Garamond"/>
        </w:rPr>
        <w:footnoteRef/>
      </w:r>
      <w:r w:rsidRPr="00F5723F">
        <w:t xml:space="preserve"> </w:t>
      </w:r>
      <w:r w:rsidRPr="00F5723F">
        <w:t>Norrbin och Sjögren (2001), ”Polisväsen, civilförsvar och allt arbete med lan</w:t>
      </w:r>
      <w:r w:rsidRPr="00F5723F">
        <w:t>d</w:t>
      </w:r>
      <w:r w:rsidRPr="00F5723F">
        <w:t xml:space="preserve">shövdingeutnämningar är minsann inget roligt! Om kvinnors arbete i riksdag och regering under 1950-talet” i Christina Florin och Lars Kvarnström (2001), </w:t>
      </w:r>
      <w:r w:rsidRPr="00F5723F">
        <w:rPr>
          <w:i/>
        </w:rPr>
        <w:t>Kvinnor på gränsen till medborgarskap</w:t>
      </w:r>
      <w:r w:rsidRPr="00F5723F">
        <w:rPr>
          <w:i/>
        </w:rPr>
        <w:t>: genus, politik och offentlighet 1800–1950</w:t>
      </w:r>
      <w:r w:rsidRPr="00F5723F">
        <w:t>, Stoc</w:t>
      </w:r>
      <w:r w:rsidRPr="00F5723F">
        <w:t>k</w:t>
      </w:r>
      <w:r w:rsidRPr="00F5723F">
        <w:t>holm: Atlas.</w:t>
      </w:r>
    </w:p>
  </w:footnote>
  <w:footnote w:id="284">
    <w:p w:rsidR="00B43C57" w:rsidRPr="00F5723F" w:rsidRDefault="00B43C57">
      <w:pPr>
        <w:pStyle w:val="Fotnotstextindrag"/>
      </w:pPr>
      <w:r w:rsidRPr="00F5723F">
        <w:rPr>
          <w:rStyle w:val="Fotnotsreferens"/>
        </w:rPr>
        <w:footnoteRef/>
      </w:r>
      <w:r w:rsidRPr="00F5723F">
        <w:t xml:space="preserve"> Norrbin och Sjögren (2001). </w:t>
      </w:r>
      <w:r w:rsidRPr="00F5723F">
        <w:t>Se även Mikael Sjögren (2003), ”Statsrådet och g</w:t>
      </w:r>
      <w:r w:rsidRPr="00F5723F">
        <w:t>e</w:t>
      </w:r>
      <w:r w:rsidRPr="00F5723F">
        <w:t>nu</w:t>
      </w:r>
      <w:r w:rsidRPr="00F5723F">
        <w:t>sordningen. Ulla Lindström 1954–</w:t>
      </w:r>
      <w:r w:rsidRPr="00F5723F">
        <w:t xml:space="preserve">1966” i </w:t>
      </w:r>
      <w:r w:rsidRPr="00F5723F">
        <w:rPr>
          <w:i/>
        </w:rPr>
        <w:t>Historisk tidskrift</w:t>
      </w:r>
      <w:r w:rsidRPr="00F5723F">
        <w:t xml:space="preserve"> 2003:1.</w:t>
      </w:r>
    </w:p>
  </w:footnote>
  <w:footnote w:id="285">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Ohlander (2001), ”’Mina herrar!’ Mansrepresentationen i Sveriges riksdag” i </w:t>
      </w:r>
      <w:r w:rsidRPr="00F5723F">
        <w:rPr>
          <w:i/>
        </w:rPr>
        <w:t>Rösträtten 80 år –</w:t>
      </w:r>
      <w:r w:rsidRPr="00F5723F">
        <w:rPr>
          <w:i/>
        </w:rPr>
        <w:t xml:space="preserve"> forskarantologi</w:t>
      </w:r>
      <w:r w:rsidRPr="00F5723F">
        <w:t>. Christer Jönsson red. (2001), Stockholm: Justiti</w:t>
      </w:r>
      <w:r w:rsidRPr="00F5723F">
        <w:t>e</w:t>
      </w:r>
      <w:r w:rsidRPr="00F5723F">
        <w:t xml:space="preserve">departementet. Se även Renée Frangeur (1998), </w:t>
      </w:r>
      <w:r w:rsidRPr="00F5723F">
        <w:rPr>
          <w:i/>
        </w:rPr>
        <w:t>Yrkeskvinna eller makens tjänari</w:t>
      </w:r>
      <w:r w:rsidRPr="00F5723F">
        <w:rPr>
          <w:i/>
        </w:rPr>
        <w:t>n</w:t>
      </w:r>
      <w:r w:rsidRPr="00F5723F">
        <w:rPr>
          <w:i/>
        </w:rPr>
        <w:t>na? Striden om yrkesrätten för gifta kvinnor i mellankrigstidens Sverige</w:t>
      </w:r>
      <w:r w:rsidRPr="00F5723F">
        <w:t>,</w:t>
      </w:r>
      <w:r w:rsidRPr="00F5723F">
        <w:t xml:space="preserve"> Stockholm:</w:t>
      </w:r>
      <w:r w:rsidRPr="00F5723F">
        <w:t xml:space="preserve"> Arkiv Förlag. </w:t>
      </w:r>
    </w:p>
  </w:footnote>
  <w:footnote w:id="286">
    <w:p w:rsidR="00B43C57" w:rsidRPr="00F5723F" w:rsidRDefault="00B43C57">
      <w:pPr>
        <w:pStyle w:val="Fotnotstextindrag"/>
      </w:pPr>
      <w:r w:rsidRPr="00F5723F">
        <w:rPr>
          <w:rStyle w:val="Fotnotsreferens"/>
          <w:rFonts w:ascii="Garamond" w:hAnsi="Garamond"/>
        </w:rPr>
        <w:footnoteRef/>
      </w:r>
      <w:r w:rsidRPr="00F5723F">
        <w:t xml:space="preserve"> Stjernquist red.</w:t>
      </w:r>
      <w:r w:rsidRPr="00F5723F">
        <w:t xml:space="preserve"> </w:t>
      </w:r>
      <w:r w:rsidRPr="00F5723F">
        <w:t>(</w:t>
      </w:r>
      <w:r w:rsidRPr="00F5723F">
        <w:t>1991</w:t>
      </w:r>
      <w:r w:rsidRPr="00F5723F">
        <w:t>)</w:t>
      </w:r>
      <w:r w:rsidRPr="00F5723F">
        <w:t xml:space="preserve">, </w:t>
      </w:r>
      <w:r w:rsidRPr="00F5723F">
        <w:rPr>
          <w:i/>
        </w:rPr>
        <w:t>Riksdagen inifrån –</w:t>
      </w:r>
      <w:r w:rsidRPr="00F5723F">
        <w:rPr>
          <w:i/>
        </w:rPr>
        <w:t xml:space="preserve"> Tolv riksdagsledamöters hågkom</w:t>
      </w:r>
      <w:r w:rsidRPr="00F5723F">
        <w:rPr>
          <w:i/>
        </w:rPr>
        <w:t>ster, erfarenheter och lärdomar,</w:t>
      </w:r>
      <w:r w:rsidRPr="00F5723F">
        <w:t xml:space="preserve"> Hedemora: Riksbankens Jubileumsfond i samarbete med Gidlunds Bokförlag</w:t>
      </w:r>
      <w:r w:rsidRPr="00F5723F">
        <w:t>, samt Lars Gustafsson</w:t>
      </w:r>
      <w:r w:rsidRPr="00F5723F">
        <w:t xml:space="preserve"> red</w:t>
      </w:r>
      <w:r w:rsidRPr="00F5723F">
        <w:t>.</w:t>
      </w:r>
      <w:r w:rsidRPr="00F5723F">
        <w:t xml:space="preserve"> </w:t>
      </w:r>
      <w:r w:rsidRPr="00F5723F">
        <w:t>(</w:t>
      </w:r>
      <w:r w:rsidRPr="00F5723F">
        <w:t>1996</w:t>
      </w:r>
      <w:r w:rsidRPr="00F5723F">
        <w:t>)</w:t>
      </w:r>
      <w:r w:rsidRPr="00F5723F">
        <w:t>,</w:t>
      </w:r>
      <w:r w:rsidRPr="00F5723F">
        <w:rPr>
          <w:i/>
        </w:rPr>
        <w:t xml:space="preserve"> Riksdagsutskotten inifrån </w:t>
      </w:r>
      <w:r w:rsidRPr="00F5723F">
        <w:rPr>
          <w:i/>
        </w:rPr>
        <w:t>– Tretton ledamöters hågkomster,</w:t>
      </w:r>
      <w:r w:rsidRPr="00F5723F">
        <w:rPr>
          <w:i/>
        </w:rPr>
        <w:t xml:space="preserve"> </w:t>
      </w:r>
      <w:r w:rsidRPr="00F5723F">
        <w:t>Riksbankens Jubileumsfond i samarbete med Gi</w:t>
      </w:r>
      <w:r w:rsidRPr="00F5723F">
        <w:t>d</w:t>
      </w:r>
      <w:r w:rsidRPr="00F5723F">
        <w:t>lunds Bokförlag</w:t>
      </w:r>
      <w:r w:rsidRPr="00F5723F">
        <w:t>.</w:t>
      </w:r>
    </w:p>
  </w:footnote>
  <w:footnote w:id="287">
    <w:p w:rsidR="00B43C57" w:rsidRPr="00F5723F" w:rsidRDefault="00B43C57">
      <w:pPr>
        <w:pStyle w:val="Fotnotstextindrag"/>
      </w:pPr>
      <w:r w:rsidRPr="00F5723F">
        <w:rPr>
          <w:rStyle w:val="Fotnotsreferens"/>
          <w:rFonts w:ascii="Garamond" w:hAnsi="Garamond"/>
        </w:rPr>
        <w:footnoteRef/>
      </w:r>
      <w:r w:rsidRPr="00F5723F">
        <w:t xml:space="preserve"> </w:t>
      </w:r>
      <w:r w:rsidRPr="00F5723F">
        <w:t>Krist</w:t>
      </w:r>
      <w:r w:rsidRPr="00F5723F">
        <w:t>ensson (1991), ”Såvitt jag minns</w:t>
      </w:r>
      <w:r w:rsidRPr="00F5723F">
        <w:t xml:space="preserve">” i </w:t>
      </w:r>
      <w:r w:rsidRPr="00F5723F">
        <w:rPr>
          <w:i/>
        </w:rPr>
        <w:t>Riksdagen inifrån</w:t>
      </w:r>
      <w:r w:rsidRPr="00F5723F">
        <w:t>, sid. 249.</w:t>
      </w:r>
    </w:p>
  </w:footnote>
  <w:footnote w:id="288">
    <w:p w:rsidR="00B43C57" w:rsidRPr="00F5723F" w:rsidRDefault="00B43C57">
      <w:pPr>
        <w:pStyle w:val="Fotnotstextindrag"/>
      </w:pPr>
      <w:r w:rsidRPr="00F5723F">
        <w:rPr>
          <w:rStyle w:val="Fotnotsreferens"/>
          <w:rFonts w:ascii="Garamond" w:hAnsi="Garamond"/>
        </w:rPr>
        <w:footnoteRef/>
      </w:r>
      <w:r w:rsidRPr="00F5723F">
        <w:t xml:space="preserve"> Jonäng</w:t>
      </w:r>
      <w:r w:rsidRPr="00F5723F">
        <w:t xml:space="preserve"> </w:t>
      </w:r>
      <w:r w:rsidRPr="00F5723F">
        <w:t>(</w:t>
      </w:r>
      <w:r w:rsidRPr="00F5723F">
        <w:t>1996</w:t>
      </w:r>
      <w:r w:rsidRPr="00F5723F">
        <w:t>)</w:t>
      </w:r>
      <w:r w:rsidRPr="00F5723F">
        <w:t xml:space="preserve">, ”Gunnel Jonäng (c) i </w:t>
      </w:r>
      <w:r w:rsidRPr="00F5723F">
        <w:rPr>
          <w:i/>
        </w:rPr>
        <w:t>Riksdagsutskotten inifrån</w:t>
      </w:r>
      <w:r w:rsidRPr="00F5723F">
        <w:t>, sid. 212.</w:t>
      </w:r>
    </w:p>
  </w:footnote>
  <w:footnote w:id="289">
    <w:p w:rsidR="00B43C57" w:rsidRPr="00F5723F" w:rsidRDefault="00B43C57">
      <w:pPr>
        <w:pStyle w:val="Fotnotstextindrag"/>
      </w:pPr>
      <w:r w:rsidRPr="00F5723F">
        <w:rPr>
          <w:rStyle w:val="Fotnotsreferens"/>
          <w:rFonts w:ascii="Garamond" w:hAnsi="Garamond"/>
        </w:rPr>
        <w:footnoteRef/>
      </w:r>
      <w:r w:rsidRPr="00F5723F">
        <w:t xml:space="preserve"> Ibid.</w:t>
      </w:r>
    </w:p>
  </w:footnote>
  <w:footnote w:id="290">
    <w:p w:rsidR="00B43C57" w:rsidRPr="00F5723F" w:rsidRDefault="00B43C57">
      <w:pPr>
        <w:pStyle w:val="Fotnotstextindrag"/>
      </w:pPr>
      <w:r w:rsidRPr="00F5723F">
        <w:rPr>
          <w:rStyle w:val="Fotnotsreferens"/>
          <w:rFonts w:ascii="Garamond" w:hAnsi="Garamond"/>
        </w:rPr>
        <w:footnoteRef/>
      </w:r>
      <w:r w:rsidRPr="00F5723F">
        <w:t xml:space="preserve"> Håvik (</w:t>
      </w:r>
      <w:r w:rsidRPr="00F5723F">
        <w:t>1996</w:t>
      </w:r>
      <w:r w:rsidRPr="00F5723F">
        <w:t>)</w:t>
      </w:r>
      <w:r w:rsidRPr="00F5723F">
        <w:t xml:space="preserve">, ”Doris Håvik (s) i </w:t>
      </w:r>
      <w:r w:rsidRPr="00F5723F">
        <w:rPr>
          <w:i/>
        </w:rPr>
        <w:t>Riksdagsutskotten inifrån</w:t>
      </w:r>
      <w:r w:rsidRPr="00F5723F">
        <w:t>, sid. 163.</w:t>
      </w:r>
    </w:p>
  </w:footnote>
  <w:footnote w:id="291">
    <w:p w:rsidR="00B43C57" w:rsidRPr="00F5723F" w:rsidRDefault="00B43C57">
      <w:pPr>
        <w:pStyle w:val="Fotnotstextindrag"/>
      </w:pPr>
      <w:r w:rsidRPr="00F5723F">
        <w:rPr>
          <w:rStyle w:val="Fotnotsreferens"/>
          <w:rFonts w:ascii="Garamond" w:hAnsi="Garamond"/>
        </w:rPr>
        <w:footnoteRef/>
      </w:r>
      <w:r w:rsidRPr="00F5723F">
        <w:t xml:space="preserve"> Mattson och Wängnerud red.</w:t>
      </w:r>
      <w:r w:rsidRPr="00F5723F">
        <w:t xml:space="preserve"> </w:t>
      </w:r>
      <w:r w:rsidRPr="00F5723F">
        <w:t>(</w:t>
      </w:r>
      <w:r w:rsidRPr="00F5723F">
        <w:t>1997</w:t>
      </w:r>
      <w:r w:rsidRPr="00F5723F">
        <w:t>)</w:t>
      </w:r>
      <w:r w:rsidRPr="00F5723F">
        <w:t xml:space="preserve">, </w:t>
      </w:r>
      <w:r w:rsidRPr="00F5723F">
        <w:rPr>
          <w:i/>
        </w:rPr>
        <w:t>Riksdagen på nära håll,</w:t>
      </w:r>
      <w:r w:rsidRPr="00F5723F">
        <w:rPr>
          <w:i/>
        </w:rPr>
        <w:t xml:space="preserve"> </w:t>
      </w:r>
      <w:r w:rsidRPr="00F5723F">
        <w:t>Stockholm: SNS Förlag.</w:t>
      </w:r>
    </w:p>
  </w:footnote>
  <w:footnote w:id="292">
    <w:p w:rsidR="00B43C57" w:rsidRPr="00F5723F" w:rsidRDefault="00B43C57">
      <w:pPr>
        <w:pStyle w:val="Fotnotstextindrag"/>
      </w:pPr>
      <w:r w:rsidRPr="00F5723F">
        <w:rPr>
          <w:rStyle w:val="Fotnotsreferens"/>
          <w:rFonts w:ascii="Garamond" w:hAnsi="Garamond"/>
        </w:rPr>
        <w:footnoteRef/>
      </w:r>
      <w:r w:rsidRPr="00F5723F">
        <w:t xml:space="preserve"> Dahlerup</w:t>
      </w:r>
      <w:r w:rsidRPr="00F5723F">
        <w:t xml:space="preserve"> </w:t>
      </w:r>
      <w:r w:rsidRPr="00F5723F">
        <w:t xml:space="preserve">(1989), </w:t>
      </w:r>
      <w:r w:rsidRPr="00F5723F">
        <w:rPr>
          <w:i/>
        </w:rPr>
        <w:t>Vi har väntat länge nog –</w:t>
      </w:r>
      <w:r w:rsidRPr="00F5723F">
        <w:rPr>
          <w:i/>
        </w:rPr>
        <w:t xml:space="preserve"> handbok i kvinnorepresentation,</w:t>
      </w:r>
      <w:r w:rsidRPr="00F5723F">
        <w:t xml:space="preserve"> K</w:t>
      </w:r>
      <w:r w:rsidRPr="00F5723F">
        <w:t>ö</w:t>
      </w:r>
      <w:r w:rsidRPr="00F5723F">
        <w:t>penha</w:t>
      </w:r>
      <w:r w:rsidRPr="00F5723F">
        <w:t>mn, No</w:t>
      </w:r>
      <w:r w:rsidRPr="00F5723F">
        <w:t>r</w:t>
      </w:r>
      <w:r w:rsidRPr="00F5723F">
        <w:t>diska ministerrådet</w:t>
      </w:r>
      <w:r w:rsidRPr="00F5723F">
        <w:t>.</w:t>
      </w:r>
    </w:p>
  </w:footnote>
  <w:footnote w:id="293">
    <w:p w:rsidR="00B43C57" w:rsidRPr="00F5723F" w:rsidRDefault="00B43C57">
      <w:pPr>
        <w:pStyle w:val="Fotnotstextindrag"/>
      </w:pPr>
      <w:r w:rsidRPr="00F5723F">
        <w:rPr>
          <w:rStyle w:val="Fotnotsreferens"/>
          <w:rFonts w:ascii="Garamond" w:hAnsi="Garamond"/>
        </w:rPr>
        <w:footnoteRef/>
      </w:r>
      <w:r w:rsidRPr="00F5723F">
        <w:t xml:space="preserve"> Ibid.</w:t>
      </w:r>
    </w:p>
  </w:footnote>
  <w:footnote w:id="294">
    <w:p w:rsidR="00B43C57" w:rsidRPr="00F5723F" w:rsidRDefault="00B43C57">
      <w:pPr>
        <w:pStyle w:val="Fotnotstextindrag"/>
      </w:pPr>
      <w:r w:rsidRPr="00F5723F">
        <w:rPr>
          <w:rStyle w:val="Fotnotsreferens"/>
        </w:rPr>
        <w:footnoteRef/>
      </w:r>
      <w:r w:rsidRPr="00F5723F">
        <w:t xml:space="preserve"> </w:t>
      </w:r>
      <w:r w:rsidRPr="00F5723F">
        <w:t xml:space="preserve">Se </w:t>
      </w:r>
      <w:r w:rsidRPr="00F5723F">
        <w:t>till exempel</w:t>
      </w:r>
      <w:r w:rsidRPr="00F5723F">
        <w:t xml:space="preserve"> Inger Marie Bakken</w:t>
      </w:r>
      <w:r w:rsidRPr="00F5723F">
        <w:t xml:space="preserve"> (1980)</w:t>
      </w:r>
      <w:r w:rsidRPr="00F5723F">
        <w:t xml:space="preserve">, </w:t>
      </w:r>
      <w:r w:rsidRPr="00F5723F">
        <w:rPr>
          <w:i/>
        </w:rPr>
        <w:t>Kvinnor i kommunestyret,</w:t>
      </w:r>
      <w:r w:rsidRPr="00F5723F">
        <w:t xml:space="preserve"> Trondhei</w:t>
      </w:r>
      <w:r w:rsidRPr="00F5723F">
        <w:t>m, Inst</w:t>
      </w:r>
      <w:r w:rsidRPr="00F5723F">
        <w:t>i</w:t>
      </w:r>
      <w:r w:rsidRPr="00F5723F">
        <w:t>tutt for sociologi</w:t>
      </w:r>
      <w:r w:rsidRPr="00F5723F">
        <w:t>, Gretelise Holm</w:t>
      </w:r>
      <w:r w:rsidRPr="00F5723F">
        <w:t xml:space="preserve"> (1982)</w:t>
      </w:r>
      <w:r w:rsidRPr="00F5723F">
        <w:t xml:space="preserve">, </w:t>
      </w:r>
      <w:r w:rsidRPr="00F5723F">
        <w:rPr>
          <w:i/>
        </w:rPr>
        <w:t>Et hjerteanliggende. Kvinde, samfund, l</w:t>
      </w:r>
      <w:r w:rsidRPr="00F5723F">
        <w:rPr>
          <w:i/>
        </w:rPr>
        <w:t>o</w:t>
      </w:r>
      <w:r w:rsidRPr="00F5723F">
        <w:rPr>
          <w:i/>
        </w:rPr>
        <w:t>kalpolitik,</w:t>
      </w:r>
      <w:r w:rsidRPr="00F5723F">
        <w:t xml:space="preserve"> Kommunetryck</w:t>
      </w:r>
      <w:r w:rsidRPr="00F5723F">
        <w:t>, Berit Nicolaysen</w:t>
      </w:r>
      <w:r w:rsidRPr="00F5723F">
        <w:t xml:space="preserve"> (1978),</w:t>
      </w:r>
      <w:r w:rsidRPr="00F5723F">
        <w:t xml:space="preserve"> </w:t>
      </w:r>
      <w:r w:rsidRPr="00F5723F">
        <w:rPr>
          <w:i/>
        </w:rPr>
        <w:t>Kjonn som politisk resurs,</w:t>
      </w:r>
      <w:r w:rsidRPr="00F5723F">
        <w:t xml:space="preserve"> Trondheim</w:t>
      </w:r>
      <w:r w:rsidRPr="00F5723F">
        <w:t xml:space="preserve">, Institutt for sosiologi. </w:t>
      </w:r>
      <w:r w:rsidRPr="00F5723F">
        <w:t xml:space="preserve">Se även </w:t>
      </w:r>
      <w:r w:rsidRPr="00F5723F">
        <w:t xml:space="preserve">Drude Dahlerup (1985), </w:t>
      </w:r>
      <w:r w:rsidRPr="00F5723F">
        <w:rPr>
          <w:i/>
        </w:rPr>
        <w:t>Blomster &amp; Spark. Samtaler med kvindeliga politikere i Norden om deres historiske rolle – og deres dagligdag</w:t>
      </w:r>
      <w:r w:rsidRPr="00F5723F">
        <w:t xml:space="preserve"> </w:t>
      </w:r>
      <w:r w:rsidRPr="00F5723F">
        <w:t>Köpenhamn: N</w:t>
      </w:r>
      <w:r w:rsidRPr="00F5723F">
        <w:t>ordiska m</w:t>
      </w:r>
      <w:r w:rsidRPr="00F5723F">
        <w:t>inisterrådet.</w:t>
      </w:r>
    </w:p>
  </w:footnote>
  <w:footnote w:id="295">
    <w:p w:rsidR="00B43C57" w:rsidRPr="00F5723F" w:rsidRDefault="00B43C57">
      <w:pPr>
        <w:pStyle w:val="Fotnotstextindrag"/>
      </w:pPr>
      <w:r w:rsidRPr="00F5723F">
        <w:rPr>
          <w:rStyle w:val="Fotnotsreferens"/>
          <w:rFonts w:ascii="Garamond" w:hAnsi="Garamond"/>
        </w:rPr>
        <w:footnoteRef/>
      </w:r>
      <w:r w:rsidRPr="00F5723F">
        <w:t xml:space="preserve"> Jfr Eduards och </w:t>
      </w:r>
      <w:r w:rsidRPr="00F5723F">
        <w:t xml:space="preserve">Åström (1993), </w:t>
      </w:r>
      <w:r w:rsidRPr="00F5723F">
        <w:rPr>
          <w:i/>
        </w:rPr>
        <w:t xml:space="preserve">Många </w:t>
      </w:r>
      <w:r w:rsidRPr="00F5723F">
        <w:rPr>
          <w:i/>
        </w:rPr>
        <w:t>kände sig manade men få kallade,</w:t>
      </w:r>
      <w:r w:rsidRPr="00F5723F">
        <w:t xml:space="preserve"> </w:t>
      </w:r>
      <w:r w:rsidRPr="00F5723F">
        <w:t>Stoc</w:t>
      </w:r>
      <w:r w:rsidRPr="00F5723F">
        <w:t>k</w:t>
      </w:r>
      <w:r w:rsidRPr="00F5723F">
        <w:t>holm: Socia</w:t>
      </w:r>
      <w:r w:rsidRPr="00F5723F">
        <w:t>l</w:t>
      </w:r>
      <w:r w:rsidRPr="00F5723F">
        <w:t>departementet.</w:t>
      </w:r>
    </w:p>
  </w:footnote>
  <w:footnote w:id="296">
    <w:p w:rsidR="00B43C57" w:rsidRPr="00F5723F" w:rsidRDefault="00B43C57">
      <w:pPr>
        <w:pStyle w:val="Fotnotstextindrag"/>
      </w:pPr>
      <w:r w:rsidRPr="00F5723F">
        <w:rPr>
          <w:rStyle w:val="Fotnotsreferens"/>
          <w:rFonts w:ascii="Garamond" w:hAnsi="Garamond"/>
        </w:rPr>
        <w:footnoteRef/>
      </w:r>
      <w:r w:rsidRPr="00F5723F">
        <w:t xml:space="preserve"> Moss Kanter</w:t>
      </w:r>
      <w:r w:rsidRPr="00F5723F">
        <w:t xml:space="preserve"> </w:t>
      </w:r>
      <w:r w:rsidRPr="00F5723F">
        <w:t xml:space="preserve">(1977), </w:t>
      </w:r>
      <w:r w:rsidRPr="00F5723F">
        <w:rPr>
          <w:i/>
        </w:rPr>
        <w:t>Men and Women of the Corporation</w:t>
      </w:r>
      <w:r w:rsidRPr="00F5723F">
        <w:t>,</w:t>
      </w:r>
      <w:r w:rsidRPr="00F5723F">
        <w:t xml:space="preserve"> </w:t>
      </w:r>
      <w:smartTag w:uri="urn:schemas-microsoft-com:office:smarttags" w:element="place">
        <w:smartTag w:uri="urn:schemas-microsoft-com:office:smarttags" w:element="City">
          <w:r w:rsidRPr="00F5723F">
            <w:t>London</w:t>
          </w:r>
        </w:smartTag>
      </w:smartTag>
      <w:r w:rsidRPr="00F5723F">
        <w:t>: Basic Books.</w:t>
      </w:r>
    </w:p>
  </w:footnote>
  <w:footnote w:id="297">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Dahlerup (1988), </w:t>
      </w:r>
      <w:r w:rsidRPr="00F5723F">
        <w:rPr>
          <w:rStyle w:val="FotnotstextindragChar"/>
        </w:rPr>
        <w:t>”</w:t>
      </w:r>
      <w:r w:rsidRPr="00F5723F">
        <w:t>From a small to a large minority: Women in Scandinavian Pol</w:t>
      </w:r>
      <w:r w:rsidRPr="00F5723F">
        <w:t>i</w:t>
      </w:r>
      <w:r w:rsidRPr="00F5723F">
        <w:t xml:space="preserve">tics” i </w:t>
      </w:r>
      <w:r w:rsidRPr="00F5723F">
        <w:rPr>
          <w:i/>
        </w:rPr>
        <w:t>Scandinavian Political Studies</w:t>
      </w:r>
      <w:r w:rsidRPr="00F5723F">
        <w:t xml:space="preserve"> 1988:4, sid. 275–298. </w:t>
      </w:r>
      <w:r w:rsidRPr="00F5723F">
        <w:t xml:space="preserve">Se även Drude Dahlerup (1989), </w:t>
      </w:r>
      <w:r w:rsidRPr="00F5723F">
        <w:rPr>
          <w:i/>
        </w:rPr>
        <w:t xml:space="preserve">Vi har väntat länge nog. </w:t>
      </w:r>
      <w:r w:rsidRPr="00F5723F">
        <w:rPr>
          <w:i/>
        </w:rPr>
        <w:t>Handbok i kvinnorepresentation,</w:t>
      </w:r>
      <w:r w:rsidRPr="00F5723F">
        <w:rPr>
          <w:i/>
        </w:rPr>
        <w:t xml:space="preserve"> </w:t>
      </w:r>
      <w:r w:rsidRPr="00F5723F">
        <w:t>Köpenhamn: No</w:t>
      </w:r>
      <w:r w:rsidRPr="00F5723F">
        <w:t>r</w:t>
      </w:r>
      <w:r w:rsidRPr="00F5723F">
        <w:t>diska ministerrådet</w:t>
      </w:r>
      <w:r w:rsidRPr="00F5723F">
        <w:t xml:space="preserve">. </w:t>
      </w:r>
    </w:p>
  </w:footnote>
  <w:footnote w:id="298">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Westerlund (1998), </w:t>
      </w:r>
      <w:r w:rsidRPr="00F5723F">
        <w:rPr>
          <w:i/>
        </w:rPr>
        <w:t>Kvinnorna tar plats i kommunalpolitiken</w:t>
      </w:r>
      <w:r w:rsidRPr="00F5723F">
        <w:t xml:space="preserve">, </w:t>
      </w:r>
      <w:r w:rsidRPr="00F5723F">
        <w:t>Umeå universitet: s</w:t>
      </w:r>
      <w:r w:rsidRPr="00F5723F">
        <w:t>tatsvete</w:t>
      </w:r>
      <w:r w:rsidRPr="00F5723F">
        <w:t>n</w:t>
      </w:r>
      <w:r w:rsidRPr="00F5723F">
        <w:t>skapliga</w:t>
      </w:r>
      <w:r w:rsidRPr="00F5723F">
        <w:t xml:space="preserve"> institutionen</w:t>
      </w:r>
      <w:r w:rsidRPr="00F5723F">
        <w:t>. Se även Westerlund (1996)</w:t>
      </w:r>
      <w:r w:rsidRPr="00F5723F">
        <w:t>,</w:t>
      </w:r>
      <w:r w:rsidRPr="00F5723F">
        <w:t xml:space="preserve"> </w:t>
      </w:r>
      <w:r w:rsidRPr="00F5723F">
        <w:rPr>
          <w:i/>
        </w:rPr>
        <w:t xml:space="preserve">Kvinnorna tar plats i kommunalpolitiken. En studie av Gällivare och Luleå </w:t>
      </w:r>
      <w:r w:rsidRPr="00F5723F">
        <w:rPr>
          <w:i/>
        </w:rPr>
        <w:t>kommuner under året 1994–</w:t>
      </w:r>
      <w:r w:rsidRPr="00F5723F">
        <w:rPr>
          <w:i/>
        </w:rPr>
        <w:t>1995</w:t>
      </w:r>
      <w:r w:rsidRPr="00F5723F">
        <w:t>, Länsstyrelsen i Norrbottens län.</w:t>
      </w:r>
    </w:p>
  </w:footnote>
  <w:footnote w:id="299">
    <w:p w:rsidR="00B43C57" w:rsidRPr="00F5723F" w:rsidRDefault="00B43C57">
      <w:pPr>
        <w:pStyle w:val="Fotnotstextindrag"/>
      </w:pPr>
      <w:r w:rsidRPr="00F5723F">
        <w:rPr>
          <w:rStyle w:val="Fotnotsreferens"/>
          <w:rFonts w:ascii="Garamond" w:hAnsi="Garamond"/>
        </w:rPr>
        <w:footnoteRef/>
      </w:r>
      <w:r w:rsidRPr="00F5723F">
        <w:t xml:space="preserve"> I rapporten </w:t>
      </w:r>
      <w:r w:rsidRPr="00F5723F">
        <w:rPr>
          <w:i/>
        </w:rPr>
        <w:t xml:space="preserve">Delad Kommunal Makt </w:t>
      </w:r>
      <w:r w:rsidRPr="00F5723F">
        <w:t>(1998) problematiseras förhållandet mellan formell representat</w:t>
      </w:r>
      <w:r w:rsidRPr="00F5723F">
        <w:t xml:space="preserve">ion och reell makt. I kapitlet </w:t>
      </w:r>
      <w:r w:rsidRPr="00F5723F">
        <w:rPr>
          <w:rStyle w:val="FotnotstextindragChar"/>
        </w:rPr>
        <w:t>”</w:t>
      </w:r>
      <w:r w:rsidRPr="00F5723F">
        <w:t>Sammanträdets självklarheter” ges en närbild av en kommundelsnämnd i arbete. Bilden från några sammanträden väcker frågor kring vilka maktmedel som finns i en nämnd och vad som påverkar politike</w:t>
      </w:r>
      <w:r w:rsidRPr="00F5723F">
        <w:t>r</w:t>
      </w:r>
      <w:r w:rsidRPr="00F5723F">
        <w:t>nas beslut.</w:t>
      </w:r>
      <w:r w:rsidRPr="00F5723F">
        <w:t xml:space="preserve"> </w:t>
      </w:r>
      <w:r w:rsidRPr="00F5723F">
        <w:t>Se Ulrika Lorentzi red. (1998),</w:t>
      </w:r>
      <w:r w:rsidRPr="00F5723F">
        <w:rPr>
          <w:i/>
        </w:rPr>
        <w:t xml:space="preserve"> Delad kommunal makt. En rapport från programberedningen </w:t>
      </w:r>
      <w:r w:rsidRPr="00F5723F">
        <w:rPr>
          <w:i/>
        </w:rPr>
        <w:t>Kommunerna och jämställdheten om jämställdhet och dem</w:t>
      </w:r>
      <w:r w:rsidRPr="00F5723F">
        <w:rPr>
          <w:i/>
        </w:rPr>
        <w:t>o</w:t>
      </w:r>
      <w:r w:rsidRPr="00F5723F">
        <w:rPr>
          <w:i/>
        </w:rPr>
        <w:t>krati,</w:t>
      </w:r>
      <w:r w:rsidRPr="00F5723F">
        <w:t xml:space="preserve"> Svenska Kommunförbundet.</w:t>
      </w:r>
    </w:p>
  </w:footnote>
  <w:footnote w:id="300">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Hedlund (1996), </w:t>
      </w:r>
      <w:r w:rsidRPr="00F5723F">
        <w:rPr>
          <w:i/>
        </w:rPr>
        <w:t>Det handlar om prioriteringar. Kvinnors villko</w:t>
      </w:r>
      <w:r w:rsidRPr="00F5723F">
        <w:rPr>
          <w:i/>
        </w:rPr>
        <w:t>r och intressen i lokal politik,</w:t>
      </w:r>
      <w:r w:rsidRPr="00F5723F">
        <w:rPr>
          <w:i/>
        </w:rPr>
        <w:t xml:space="preserve"> </w:t>
      </w:r>
      <w:r w:rsidRPr="00F5723F">
        <w:t>Göt</w:t>
      </w:r>
      <w:r w:rsidRPr="00F5723F">
        <w:t>e</w:t>
      </w:r>
      <w:r w:rsidRPr="00F5723F">
        <w:t>borg: s</w:t>
      </w:r>
      <w:r w:rsidRPr="00F5723F">
        <w:t xml:space="preserve">tatsvetenskapliga institutionen, (Örebro studies 14). Se även Gun Hedlund (1997), ”Kön, makt, organisation och ekonomi i svenska kommuner” i </w:t>
      </w:r>
      <w:r w:rsidRPr="00F5723F">
        <w:rPr>
          <w:i/>
        </w:rPr>
        <w:t xml:space="preserve">SOU 1997:114. </w:t>
      </w:r>
      <w:r w:rsidRPr="00F5723F">
        <w:t>Stockholm: Fritzes.</w:t>
      </w:r>
    </w:p>
  </w:footnote>
  <w:footnote w:id="301">
    <w:p w:rsidR="00B43C57" w:rsidRPr="00F5723F" w:rsidRDefault="00B43C57">
      <w:pPr>
        <w:pStyle w:val="Fotnotstextindrag"/>
      </w:pPr>
      <w:r w:rsidRPr="00F5723F">
        <w:rPr>
          <w:rStyle w:val="Fotnotsreferens"/>
          <w:rFonts w:ascii="Garamond" w:hAnsi="Garamond"/>
        </w:rPr>
        <w:footnoteRef/>
      </w:r>
      <w:r w:rsidRPr="00F5723F">
        <w:t xml:space="preserve"> Härskartekniker är ett begrepp som använts för att operationalisera de mekanismer som bidrar till att vidmakthålla mäns makt över kvinnor. Härskartekniker definieras som ”de sociale ordninger og prosesser som hindrer kvinner i og forstå og realisera sina interesser, evner o</w:t>
      </w:r>
      <w:r w:rsidRPr="00F5723F">
        <w:t>ch behov” (Harriet Holter 1996:</w:t>
      </w:r>
      <w:r w:rsidRPr="00F5723F">
        <w:t>64). Dessa tekniker för ko</w:t>
      </w:r>
      <w:r w:rsidRPr="00F5723F">
        <w:t>n</w:t>
      </w:r>
      <w:r w:rsidRPr="00F5723F">
        <w:t>troll av vissa sociala grupper är inte specifika för relatio</w:t>
      </w:r>
      <w:r w:rsidRPr="00F5723F">
        <w:t>ne</w:t>
      </w:r>
      <w:r w:rsidRPr="00F5723F">
        <w:t xml:space="preserve">rna mellan kvinnor och män utan kan </w:t>
      </w:r>
      <w:r w:rsidRPr="00F5723F">
        <w:t>också existera i andra dominans–</w:t>
      </w:r>
      <w:r w:rsidRPr="00F5723F">
        <w:t>underordnade relationer. Berit Ås (1982) talar om</w:t>
      </w:r>
      <w:r w:rsidRPr="00F5723F">
        <w:t xml:space="preserve"> de fem härskarteknikerna: att göra osynlig, förlöjligande, undanhå</w:t>
      </w:r>
      <w:r w:rsidRPr="00F5723F">
        <w:t>l</w:t>
      </w:r>
      <w:r w:rsidRPr="00F5723F">
        <w:t xml:space="preserve">lande av </w:t>
      </w:r>
      <w:r w:rsidRPr="00F5723F">
        <w:t>information, dubbelbestraffning</w:t>
      </w:r>
      <w:r w:rsidRPr="00F5723F">
        <w:t xml:space="preserve"> samt ge skuld och skam. Se Berit Ås (1982),</w:t>
      </w:r>
      <w:r w:rsidRPr="00F5723F">
        <w:rPr>
          <w:i/>
        </w:rPr>
        <w:t xml:space="preserve"> Kvi</w:t>
      </w:r>
      <w:r w:rsidRPr="00F5723F">
        <w:rPr>
          <w:i/>
        </w:rPr>
        <w:t>n</w:t>
      </w:r>
      <w:r w:rsidRPr="00F5723F">
        <w:rPr>
          <w:i/>
        </w:rPr>
        <w:t>nor ti</w:t>
      </w:r>
      <w:r w:rsidRPr="00F5723F">
        <w:rPr>
          <w:i/>
        </w:rPr>
        <w:t>llsammans. Handbok i frigörelse,</w:t>
      </w:r>
      <w:r w:rsidRPr="00F5723F">
        <w:t xml:space="preserve"> Stockholm: Gidlunds, samt Berit Ås (1978), Hersketeknikke</w:t>
      </w:r>
      <w:r w:rsidRPr="00F5723F">
        <w:t>r. Kjerrringråd. Nr 3. sid. 17–</w:t>
      </w:r>
      <w:r w:rsidRPr="00F5723F">
        <w:t xml:space="preserve">21. Se även Berit Ås (1992), </w:t>
      </w:r>
      <w:r w:rsidRPr="00F5723F">
        <w:rPr>
          <w:i/>
        </w:rPr>
        <w:t>De fem härskarteknikerna (videoupptagn</w:t>
      </w:r>
      <w:r w:rsidRPr="00F5723F">
        <w:rPr>
          <w:i/>
        </w:rPr>
        <w:t>ing): en teori om maktens språk,</w:t>
      </w:r>
      <w:r w:rsidRPr="00F5723F">
        <w:t xml:space="preserve"> Växjö: Växjö kommuns jämställdhetskommitté.</w:t>
      </w:r>
      <w:r w:rsidRPr="00F5723F">
        <w:t xml:space="preserve"> </w:t>
      </w:r>
    </w:p>
  </w:footnote>
  <w:footnote w:id="302">
    <w:p w:rsidR="00B43C57" w:rsidRPr="00F5723F" w:rsidRDefault="00B43C57">
      <w:pPr>
        <w:pStyle w:val="Fotnotstextindrag"/>
      </w:pPr>
      <w:r w:rsidRPr="00F5723F">
        <w:rPr>
          <w:rStyle w:val="Fotnotsreferens"/>
          <w:rFonts w:ascii="Garamond" w:hAnsi="Garamond"/>
        </w:rPr>
        <w:footnoteRef/>
      </w:r>
      <w:r w:rsidRPr="00F5723F">
        <w:t xml:space="preserve"> </w:t>
      </w:r>
      <w:r w:rsidRPr="00F5723F">
        <w:t>Freidenvall (1999),</w:t>
      </w:r>
      <w:r w:rsidRPr="00F5723F">
        <w:rPr>
          <w:i/>
        </w:rPr>
        <w:t xml:space="preserve"> Betydelsen av kön i kommunalpolitiken ur ett generationspe</w:t>
      </w:r>
      <w:r w:rsidRPr="00F5723F">
        <w:rPr>
          <w:i/>
        </w:rPr>
        <w:t>r</w:t>
      </w:r>
      <w:r w:rsidRPr="00F5723F">
        <w:rPr>
          <w:i/>
        </w:rPr>
        <w:t>spektiv</w:t>
      </w:r>
      <w:r w:rsidRPr="00F5723F">
        <w:t xml:space="preserve">. </w:t>
      </w:r>
      <w:r w:rsidRPr="00F5723F">
        <w:t>Se även Freidenvall (2000)</w:t>
      </w:r>
      <w:r w:rsidRPr="00F5723F">
        <w:t xml:space="preserve">, ”As Time Goes By – the meaning of gender for two gen(d)erations of women in local politics” i </w:t>
      </w:r>
      <w:r w:rsidRPr="00F5723F">
        <w:rPr>
          <w:i/>
        </w:rPr>
        <w:t>GEP International Conference R</w:t>
      </w:r>
      <w:r w:rsidRPr="00F5723F">
        <w:rPr>
          <w:i/>
        </w:rPr>
        <w:t>e</w:t>
      </w:r>
      <w:r w:rsidRPr="00F5723F">
        <w:rPr>
          <w:i/>
        </w:rPr>
        <w:t>port: Democracy, Modernity and Polit</w:t>
      </w:r>
      <w:r w:rsidRPr="00F5723F">
        <w:rPr>
          <w:i/>
        </w:rPr>
        <w:t>i</w:t>
      </w:r>
      <w:r w:rsidRPr="00F5723F">
        <w:rPr>
          <w:i/>
        </w:rPr>
        <w:t>cal Identities,</w:t>
      </w:r>
      <w:r w:rsidRPr="00F5723F">
        <w:t xml:space="preserve"> </w:t>
      </w:r>
      <w:r w:rsidRPr="00F5723F">
        <w:t xml:space="preserve">Aalborg: GEP. </w:t>
      </w:r>
    </w:p>
  </w:footnote>
  <w:footnote w:id="303">
    <w:p w:rsidR="00B43C57" w:rsidRPr="00F5723F" w:rsidRDefault="00B43C57">
      <w:pPr>
        <w:pStyle w:val="Fotnotstextindrag"/>
      </w:pPr>
      <w:r w:rsidRPr="00F5723F">
        <w:rPr>
          <w:rStyle w:val="Fotnotsreferens"/>
        </w:rPr>
        <w:footnoteRef/>
      </w:r>
      <w:r w:rsidRPr="00F5723F">
        <w:t xml:space="preserve"> </w:t>
      </w:r>
      <w:r w:rsidRPr="00F5723F">
        <w:t>Yngre politiker definierades som 40 år eller yngre.</w:t>
      </w:r>
    </w:p>
  </w:footnote>
  <w:footnote w:id="304">
    <w:p w:rsidR="00B43C57" w:rsidRPr="00F5723F" w:rsidRDefault="00B43C57">
      <w:pPr>
        <w:pStyle w:val="Fotnotstextindrag"/>
      </w:pPr>
      <w:r w:rsidRPr="00F5723F">
        <w:rPr>
          <w:rStyle w:val="Fotnotsreferens"/>
          <w:rFonts w:ascii="Garamond" w:hAnsi="Garamond"/>
        </w:rPr>
        <w:footnoteRef/>
      </w:r>
      <w:r w:rsidRPr="00F5723F">
        <w:t xml:space="preserve"> Den norska demokrati- och maktutredningens elitundersökning omfattade 1</w:t>
      </w:r>
      <w:r w:rsidRPr="00F5723F">
        <w:t xml:space="preserve"> </w:t>
      </w:r>
      <w:r w:rsidRPr="00F5723F">
        <w:t>725 personer på toppositioner i olika samhällssektorer i Norge. Regeringen blev intervj</w:t>
      </w:r>
      <w:r w:rsidRPr="00F5723F">
        <w:t>u</w:t>
      </w:r>
      <w:r w:rsidRPr="00F5723F">
        <w:t>ad om huvudteman i elitundersökningen. En enkät genomfördes även bland ett repr</w:t>
      </w:r>
      <w:r w:rsidRPr="00F5723F">
        <w:t>e</w:t>
      </w:r>
      <w:r w:rsidRPr="00F5723F">
        <w:t>sentativt urval av befolkningen vid sidan om en medborgarundersökning.</w:t>
      </w:r>
    </w:p>
  </w:footnote>
  <w:footnote w:id="305">
    <w:p w:rsidR="00B43C57" w:rsidRPr="00F5723F" w:rsidRDefault="00B43C57">
      <w:pPr>
        <w:pStyle w:val="Fotnotstextindrag"/>
      </w:pPr>
      <w:r w:rsidRPr="00F5723F">
        <w:rPr>
          <w:rStyle w:val="Fotnotsreferens"/>
          <w:rFonts w:ascii="Garamond" w:hAnsi="Garamond"/>
        </w:rPr>
        <w:footnoteRef/>
      </w:r>
      <w:r w:rsidRPr="00F5723F">
        <w:t xml:space="preserve"> Skjeie och</w:t>
      </w:r>
      <w:r w:rsidRPr="00F5723F">
        <w:t xml:space="preserve"> Teigen (2003), </w:t>
      </w:r>
      <w:r w:rsidRPr="00F5723F">
        <w:rPr>
          <w:i/>
        </w:rPr>
        <w:t>Menn imellom. Mannsdo</w:t>
      </w:r>
      <w:r w:rsidRPr="00F5723F">
        <w:rPr>
          <w:i/>
        </w:rPr>
        <w:t>minans og likestillingspolitikk,</w:t>
      </w:r>
      <w:r w:rsidRPr="00F5723F">
        <w:t xml:space="preserve"> Gyldendal Akademisk.</w:t>
      </w:r>
    </w:p>
  </w:footnote>
  <w:footnote w:id="306">
    <w:p w:rsidR="00B43C57" w:rsidRPr="00F5723F" w:rsidRDefault="00B43C57">
      <w:pPr>
        <w:pStyle w:val="Fotnotstextindrag"/>
      </w:pPr>
      <w:r w:rsidRPr="00F5723F">
        <w:rPr>
          <w:rStyle w:val="Fotnotsreferens"/>
          <w:rFonts w:ascii="Garamond" w:hAnsi="Garamond"/>
        </w:rPr>
        <w:footnoteRef/>
      </w:r>
      <w:r w:rsidRPr="00F5723F">
        <w:t xml:space="preserve"> Eduards och </w:t>
      </w:r>
      <w:r w:rsidRPr="00F5723F">
        <w:t xml:space="preserve">Thomsson (1999), Jämställdhet – en kommunal angelägenhet? i </w:t>
      </w:r>
      <w:r w:rsidRPr="00F5723F">
        <w:rPr>
          <w:i/>
        </w:rPr>
        <w:t>Kommunal ekonomi och politik</w:t>
      </w:r>
      <w:r w:rsidRPr="00F5723F">
        <w:t>, vol 3 nr 4, sid. 77–</w:t>
      </w:r>
      <w:r w:rsidRPr="00F5723F">
        <w:t>96.</w:t>
      </w:r>
    </w:p>
  </w:footnote>
  <w:footnote w:id="307">
    <w:p w:rsidR="00B43C57" w:rsidRPr="00F5723F" w:rsidRDefault="00B43C57">
      <w:pPr>
        <w:pStyle w:val="Fotnotstextindrag"/>
      </w:pPr>
      <w:r w:rsidRPr="00F5723F">
        <w:rPr>
          <w:rStyle w:val="Fotnotsreferens"/>
          <w:rFonts w:ascii="Garamond" w:hAnsi="Garamond"/>
        </w:rPr>
        <w:footnoteRef/>
      </w:r>
      <w:r w:rsidRPr="00F5723F">
        <w:t xml:space="preserve"> Ibid. sid. 91.</w:t>
      </w:r>
    </w:p>
  </w:footnote>
  <w:footnote w:id="308">
    <w:p w:rsidR="00B43C57" w:rsidRPr="00F5723F" w:rsidRDefault="00B43C57">
      <w:pPr>
        <w:pStyle w:val="Fotnotstextindrag"/>
      </w:pPr>
      <w:r w:rsidRPr="00F5723F">
        <w:rPr>
          <w:rStyle w:val="Fotnotsreferens"/>
          <w:rFonts w:ascii="Garamond" w:hAnsi="Garamond"/>
        </w:rPr>
        <w:footnoteRef/>
      </w:r>
      <w:r w:rsidRPr="00F5723F">
        <w:t xml:space="preserve"> Pincus (2002), </w:t>
      </w:r>
      <w:r w:rsidRPr="00F5723F">
        <w:rPr>
          <w:i/>
        </w:rPr>
        <w:t>The Politics of Gender Equality Policy,</w:t>
      </w:r>
      <w:r w:rsidRPr="00F5723F">
        <w:t xml:space="preserve"> doktorsavhandling, </w:t>
      </w:r>
      <w:r w:rsidRPr="00F5723F">
        <w:t>Stat</w:t>
      </w:r>
      <w:r w:rsidRPr="00F5723F">
        <w:t>s</w:t>
      </w:r>
      <w:r w:rsidRPr="00F5723F">
        <w:t>vetenskapl</w:t>
      </w:r>
      <w:r w:rsidRPr="00F5723F">
        <w:t>i</w:t>
      </w:r>
      <w:r w:rsidRPr="00F5723F">
        <w:t>ga institutionen, Örebro u</w:t>
      </w:r>
      <w:r w:rsidRPr="00F5723F">
        <w:t xml:space="preserve">niversitet. Se även Ingrid Pincus (1997), ”Män som hindrar och män som främjar jämställdhetsarbete” i Anna G Jónasdóttir red., </w:t>
      </w:r>
      <w:r w:rsidRPr="00F5723F">
        <w:rPr>
          <w:i/>
        </w:rPr>
        <w:t>SOU 1997:</w:t>
      </w:r>
      <w:r w:rsidRPr="00F5723F">
        <w:rPr>
          <w:i/>
        </w:rPr>
        <w:t>114 Styrsystem och jämställdhet,</w:t>
      </w:r>
      <w:r w:rsidRPr="00F5723F">
        <w:t xml:space="preserve"> Stockholm: Fritzes, Ingrid Pincus och Janneke van der Ros (1999), ”Vilje eller evne? Staten, kommunene og likestilling</w:t>
      </w:r>
      <w:r w:rsidRPr="00F5723F">
        <w:t>s</w:t>
      </w:r>
      <w:r w:rsidRPr="00F5723F">
        <w:t>politikken” sid.192</w:t>
      </w:r>
      <w:r w:rsidRPr="00F5723F">
        <w:t>–</w:t>
      </w:r>
      <w:r w:rsidRPr="00F5723F">
        <w:t>213 i Christina Ber</w:t>
      </w:r>
      <w:r w:rsidRPr="00F5723F">
        <w:t>g</w:t>
      </w:r>
      <w:r w:rsidRPr="00F5723F">
        <w:t xml:space="preserve">qvist, red. (1999), </w:t>
      </w:r>
      <w:r w:rsidRPr="00F5723F">
        <w:rPr>
          <w:i/>
        </w:rPr>
        <w:t>Likestilte demokratier? Kjø</w:t>
      </w:r>
      <w:r w:rsidRPr="00F5723F">
        <w:rPr>
          <w:i/>
        </w:rPr>
        <w:t>nn og politikk i Nor</w:t>
      </w:r>
      <w:r w:rsidRPr="00F5723F">
        <w:rPr>
          <w:i/>
        </w:rPr>
        <w:t>den,</w:t>
      </w:r>
      <w:r w:rsidRPr="00F5723F">
        <w:t xml:space="preserve"> Oslo: Universitetsforlaget, samt Annika Baude m.fl. red. (1998), </w:t>
      </w:r>
      <w:r w:rsidRPr="00F5723F">
        <w:rPr>
          <w:i/>
        </w:rPr>
        <w:t>Genus i praktiken – på hans eller hennes villkor?</w:t>
      </w:r>
      <w:r w:rsidRPr="00F5723F">
        <w:t xml:space="preserve"> Jä</w:t>
      </w:r>
      <w:r w:rsidRPr="00F5723F">
        <w:t>m</w:t>
      </w:r>
      <w:r w:rsidRPr="00F5723F">
        <w:t>ställdhetsarbetarnas förening.</w:t>
      </w:r>
    </w:p>
  </w:footnote>
  <w:footnote w:id="309">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van der Ros (1996a), ”Femokrat, hva slags fugl er nå det?” i Harriet Holter red. (1996), </w:t>
      </w:r>
      <w:r w:rsidRPr="00F5723F">
        <w:rPr>
          <w:i/>
        </w:rPr>
        <w:t>Hun og han – kjø</w:t>
      </w:r>
      <w:r w:rsidRPr="00F5723F">
        <w:rPr>
          <w:i/>
        </w:rPr>
        <w:t>nn i forskning og politikk</w:t>
      </w:r>
      <w:r w:rsidRPr="00F5723F">
        <w:t>,</w:t>
      </w:r>
      <w:r w:rsidRPr="00F5723F">
        <w:t xml:space="preserve"> Oslo: Pax. Se även Janneke van der Ros (1996b), ”Den staten, den staten” i Harriet Holter red. (1996), </w:t>
      </w:r>
      <w:r w:rsidRPr="00F5723F">
        <w:rPr>
          <w:i/>
        </w:rPr>
        <w:t>Hun og han – kjø</w:t>
      </w:r>
      <w:r w:rsidRPr="00F5723F">
        <w:rPr>
          <w:i/>
        </w:rPr>
        <w:t>nn i forskning og politikk</w:t>
      </w:r>
      <w:r w:rsidRPr="00F5723F">
        <w:t>,</w:t>
      </w:r>
      <w:r w:rsidRPr="00F5723F">
        <w:t xml:space="preserve"> Oslo: Pax, samt Ingrid Pincus och Janneke van der Ros (1999), ”Vilje eller evne? Staten, kommunene og li</w:t>
      </w:r>
      <w:r w:rsidRPr="00F5723F">
        <w:t>kestillingspolitikken” sid. 192–</w:t>
      </w:r>
      <w:r w:rsidRPr="00F5723F">
        <w:t xml:space="preserve">213 i Christina Bergqvist red. (1999), </w:t>
      </w:r>
      <w:r w:rsidRPr="00F5723F">
        <w:rPr>
          <w:i/>
        </w:rPr>
        <w:t xml:space="preserve">Likestilte demokratier? </w:t>
      </w:r>
      <w:r w:rsidRPr="00F5723F">
        <w:rPr>
          <w:i/>
        </w:rPr>
        <w:t>Kjø</w:t>
      </w:r>
      <w:r w:rsidRPr="00F5723F">
        <w:rPr>
          <w:i/>
        </w:rPr>
        <w:t>nn og politikk i No</w:t>
      </w:r>
      <w:r w:rsidRPr="00F5723F">
        <w:rPr>
          <w:i/>
        </w:rPr>
        <w:t>r</w:t>
      </w:r>
      <w:r w:rsidRPr="00F5723F">
        <w:rPr>
          <w:i/>
        </w:rPr>
        <w:t>den</w:t>
      </w:r>
      <w:r w:rsidRPr="00F5723F">
        <w:t xml:space="preserve"> Oslo:</w:t>
      </w:r>
      <w:r w:rsidRPr="00F5723F">
        <w:t xml:space="preserve"> Universitetsforlaget.</w:t>
      </w:r>
    </w:p>
  </w:footnote>
  <w:footnote w:id="310">
    <w:p w:rsidR="00B43C57" w:rsidRPr="00F5723F" w:rsidRDefault="00B43C57">
      <w:pPr>
        <w:pStyle w:val="Fotnotstextindrag"/>
        <w:rPr>
          <w:sz w:val="20"/>
        </w:rPr>
      </w:pPr>
      <w:r w:rsidRPr="00F5723F">
        <w:rPr>
          <w:rStyle w:val="Fotnotsreferens"/>
          <w:rFonts w:ascii="Garamond" w:hAnsi="Garamond"/>
          <w:sz w:val="20"/>
        </w:rPr>
        <w:footnoteRef/>
      </w:r>
      <w:r w:rsidRPr="00F5723F">
        <w:rPr>
          <w:sz w:val="20"/>
        </w:rPr>
        <w:t xml:space="preserve"> </w:t>
      </w:r>
      <w:r w:rsidRPr="00F5723F">
        <w:t xml:space="preserve">Burness (2000), </w:t>
      </w:r>
      <w:r w:rsidRPr="00F5723F">
        <w:rPr>
          <w:rStyle w:val="FotnotstextindragChar"/>
        </w:rPr>
        <w:t>”</w:t>
      </w:r>
      <w:r w:rsidRPr="00F5723F">
        <w:t>Young Swedish members of parliament: changing the world?” i NORA 8 (2000):2, sid. 93–106</w:t>
      </w:r>
      <w:r w:rsidRPr="00F5723F">
        <w:rPr>
          <w:sz w:val="20"/>
        </w:rPr>
        <w:t>.</w:t>
      </w:r>
    </w:p>
  </w:footnote>
  <w:footnote w:id="311">
    <w:p w:rsidR="00B43C57" w:rsidRPr="00F5723F" w:rsidRDefault="00B43C57">
      <w:pPr>
        <w:pStyle w:val="Fotnotstextindrag"/>
      </w:pPr>
      <w:r w:rsidRPr="00F5723F">
        <w:rPr>
          <w:rStyle w:val="Fotnotsreferens"/>
          <w:rFonts w:ascii="Garamond" w:hAnsi="Garamond"/>
        </w:rPr>
        <w:footnoteRef/>
      </w:r>
      <w:r w:rsidRPr="00F5723F">
        <w:t xml:space="preserve"> </w:t>
      </w:r>
      <w:r w:rsidRPr="00F5723F">
        <w:t>Eduards (2002</w:t>
      </w:r>
      <w:r w:rsidRPr="00F5723F">
        <w:t>a</w:t>
      </w:r>
      <w:r w:rsidRPr="00F5723F">
        <w:t xml:space="preserve">), </w:t>
      </w:r>
      <w:r w:rsidRPr="00F5723F">
        <w:rPr>
          <w:i/>
        </w:rPr>
        <w:t>Förbjuden handling.</w:t>
      </w:r>
      <w:r w:rsidRPr="00F5723F">
        <w:t xml:space="preserve"> </w:t>
      </w:r>
      <w:r w:rsidRPr="00F5723F">
        <w:t>Se även Maud Eduards (2002</w:t>
      </w:r>
      <w:r w:rsidRPr="00F5723F">
        <w:t>b</w:t>
      </w:r>
      <w:r w:rsidRPr="00F5723F">
        <w:t>)</w:t>
      </w:r>
      <w:r w:rsidRPr="00F5723F">
        <w:t>, ”Agerar män och kvinnor olika i politiken?” i</w:t>
      </w:r>
      <w:r w:rsidRPr="00F5723F">
        <w:t xml:space="preserve"> </w:t>
      </w:r>
      <w:r w:rsidRPr="00F5723F">
        <w:rPr>
          <w:i/>
        </w:rPr>
        <w:t>Jämställdhet – en modesak?</w:t>
      </w:r>
      <w:r w:rsidRPr="00F5723F">
        <w:rPr>
          <w:i/>
        </w:rPr>
        <w:t xml:space="preserve"> </w:t>
      </w:r>
      <w:r w:rsidRPr="00F5723F">
        <w:rPr>
          <w:i/>
        </w:rPr>
        <w:t>Talmannens nä</w:t>
      </w:r>
      <w:r w:rsidRPr="00F5723F">
        <w:rPr>
          <w:i/>
        </w:rPr>
        <w:t>t</w:t>
      </w:r>
      <w:r w:rsidRPr="00F5723F">
        <w:rPr>
          <w:i/>
        </w:rPr>
        <w:t>verk åren 1995–2002,</w:t>
      </w:r>
      <w:r w:rsidRPr="00F5723F">
        <w:rPr>
          <w:i/>
        </w:rPr>
        <w:t xml:space="preserve"> </w:t>
      </w:r>
      <w:smartTag w:uri="urn:schemas-microsoft-com:office:smarttags" w:element="place">
        <w:smartTag w:uri="urn:schemas-microsoft-com:office:smarttags" w:element="City">
          <w:r w:rsidRPr="00F5723F">
            <w:t>Stockholm</w:t>
          </w:r>
        </w:smartTag>
      </w:smartTag>
      <w:r w:rsidRPr="00F5723F">
        <w:t>: Sveriges r</w:t>
      </w:r>
      <w:r w:rsidRPr="00F5723F">
        <w:t>iksdag.</w:t>
      </w:r>
    </w:p>
  </w:footnote>
  <w:footnote w:id="312">
    <w:p w:rsidR="00B43C57" w:rsidRPr="00F5723F" w:rsidRDefault="00B43C57">
      <w:pPr>
        <w:pStyle w:val="Fotnotstextindrag"/>
      </w:pPr>
      <w:r w:rsidRPr="00F5723F">
        <w:rPr>
          <w:rStyle w:val="Fotnotsreferens"/>
          <w:rFonts w:ascii="Garamond" w:hAnsi="Garamond"/>
        </w:rPr>
        <w:footnoteRef/>
      </w:r>
      <w:r w:rsidRPr="00F5723F">
        <w:t xml:space="preserve"> Jfr </w:t>
      </w:r>
      <w:r w:rsidRPr="00F5723F">
        <w:t xml:space="preserve">Burness (2000), </w:t>
      </w:r>
      <w:r w:rsidRPr="00F5723F">
        <w:rPr>
          <w:rStyle w:val="FotnotstextindragChar"/>
        </w:rPr>
        <w:t>”</w:t>
      </w:r>
      <w:r w:rsidRPr="00F5723F">
        <w:t>Young Swedish members of parliament: changing the world?”</w:t>
      </w:r>
      <w:r w:rsidRPr="00F5723F">
        <w:t xml:space="preserve"> i </w:t>
      </w:r>
      <w:r w:rsidRPr="00F5723F">
        <w:rPr>
          <w:i/>
        </w:rPr>
        <w:t>NORA 8</w:t>
      </w:r>
      <w:r w:rsidRPr="00F5723F">
        <w:t xml:space="preserve"> (2000):2, sid. </w:t>
      </w:r>
      <w:r w:rsidRPr="00F5723F">
        <w:t>93–</w:t>
      </w:r>
      <w:r w:rsidRPr="00F5723F">
        <w:t xml:space="preserve">106. </w:t>
      </w:r>
    </w:p>
  </w:footnote>
  <w:footnote w:id="313">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Lindvert (2002), </w:t>
      </w:r>
      <w:r w:rsidRPr="00F5723F">
        <w:rPr>
          <w:i/>
        </w:rPr>
        <w:t>Feminism som politik. Sverige och Australien 1960</w:t>
      </w:r>
      <w:r w:rsidRPr="00F5723F">
        <w:rPr>
          <w:i/>
        </w:rPr>
        <w:t>–1990,</w:t>
      </w:r>
      <w:r w:rsidRPr="00F5723F">
        <w:t xml:space="preserve"> Umeå: Boréa. Se även Christina Florin och Bengt Nilsson (2000), </w:t>
      </w:r>
      <w:r w:rsidRPr="00F5723F">
        <w:rPr>
          <w:i/>
        </w:rPr>
        <w:t>Något som liknar en oblodig revolution. Jämställdhetens politisering under 1960- och 1970-talen</w:t>
      </w:r>
      <w:r w:rsidRPr="00F5723F">
        <w:t xml:space="preserve"> (</w:t>
      </w:r>
      <w:r w:rsidRPr="00F5723F">
        <w:t>oma</w:t>
      </w:r>
      <w:r w:rsidRPr="00F5723F">
        <w:t>r</w:t>
      </w:r>
      <w:r w:rsidRPr="00F5723F">
        <w:t>betad och översatt version),</w:t>
      </w:r>
      <w:r w:rsidRPr="00F5723F">
        <w:t xml:space="preserve"> Umeå: Jämställdhet</w:t>
      </w:r>
      <w:r w:rsidRPr="00F5723F">
        <w:t>s</w:t>
      </w:r>
      <w:r w:rsidRPr="00F5723F">
        <w:t>kommittén vid Umeå u</w:t>
      </w:r>
      <w:r w:rsidRPr="00F5723F">
        <w:t>niversitet, samt Anette Borchorst (1999), ”Hva</w:t>
      </w:r>
      <w:r w:rsidRPr="00F5723F">
        <w:t>d er det vi studerer?” sid. 151–</w:t>
      </w:r>
      <w:r w:rsidRPr="00F5723F">
        <w:t>155, samt ”Lige</w:t>
      </w:r>
      <w:r w:rsidRPr="00F5723F">
        <w:t>s</w:t>
      </w:r>
      <w:r w:rsidRPr="00F5723F">
        <w:t>ti</w:t>
      </w:r>
      <w:r w:rsidRPr="00F5723F">
        <w:t>llingsinstitutionerna” sid. 156–175</w:t>
      </w:r>
      <w:r w:rsidRPr="00F5723F">
        <w:t xml:space="preserve"> i Christina Bergqvist red. (1999), </w:t>
      </w:r>
      <w:r w:rsidRPr="00F5723F">
        <w:rPr>
          <w:i/>
        </w:rPr>
        <w:t>Likestilte d</w:t>
      </w:r>
      <w:r w:rsidRPr="00F5723F">
        <w:rPr>
          <w:i/>
        </w:rPr>
        <w:t>e</w:t>
      </w:r>
      <w:r w:rsidRPr="00F5723F">
        <w:rPr>
          <w:i/>
        </w:rPr>
        <w:t>mokrat</w:t>
      </w:r>
      <w:r w:rsidRPr="00F5723F">
        <w:rPr>
          <w:i/>
        </w:rPr>
        <w:t>ier? Kjønn og polit</w:t>
      </w:r>
      <w:r w:rsidRPr="00F5723F">
        <w:rPr>
          <w:i/>
        </w:rPr>
        <w:t>ikk i Norden,</w:t>
      </w:r>
      <w:r w:rsidRPr="00F5723F">
        <w:rPr>
          <w:i/>
        </w:rPr>
        <w:t xml:space="preserve"> </w:t>
      </w:r>
      <w:r w:rsidRPr="00F5723F">
        <w:t>Oslo: Universitetsforlaget.</w:t>
      </w:r>
      <w:r w:rsidRPr="00F5723F">
        <w:t xml:space="preserve"> </w:t>
      </w:r>
    </w:p>
  </w:footnote>
  <w:footnote w:id="314">
    <w:p w:rsidR="00B43C57" w:rsidRPr="00F5723F" w:rsidRDefault="00B43C57">
      <w:pPr>
        <w:pStyle w:val="Fotnotstextindrag"/>
      </w:pPr>
      <w:r w:rsidRPr="00F5723F">
        <w:rPr>
          <w:rStyle w:val="Fotnotsreferens"/>
          <w:rFonts w:ascii="Garamond" w:hAnsi="Garamond"/>
        </w:rPr>
        <w:footnoteRef/>
      </w:r>
      <w:r w:rsidRPr="00F5723F">
        <w:t xml:space="preserve"> Wängnerud (1998).</w:t>
      </w:r>
    </w:p>
  </w:footnote>
  <w:footnote w:id="315">
    <w:p w:rsidR="00B43C57" w:rsidRPr="00F5723F" w:rsidRDefault="00B43C57">
      <w:pPr>
        <w:pStyle w:val="Fotnotstextindrag"/>
        <w:rPr>
          <w:spacing w:val="-4"/>
          <w:szCs w:val="17"/>
        </w:rPr>
      </w:pPr>
      <w:r w:rsidRPr="00F5723F">
        <w:rPr>
          <w:rStyle w:val="Fotnotsreferens"/>
          <w:rFonts w:ascii="Garamond" w:hAnsi="Garamond"/>
        </w:rPr>
        <w:footnoteRef/>
      </w:r>
      <w:r w:rsidRPr="00F5723F">
        <w:t xml:space="preserve"> Den norska maktutredningen har resulterat i närmare 40 titlar och en rapportserie om mer än 70 titlar. För</w:t>
      </w:r>
      <w:r w:rsidRPr="00F5723F">
        <w:t xml:space="preserve"> vidare läsning, se</w:t>
      </w:r>
      <w:r w:rsidRPr="00F5723F">
        <w:t xml:space="preserve"> till exempel Hege Skjeie (2003) och </w:t>
      </w:r>
      <w:r w:rsidRPr="00F5723F">
        <w:t xml:space="preserve">NOU 2003:19 Slutrapport fra Makt- og demokratiutredningen, saeruttalelse: Demokrati, makt og </w:t>
      </w:r>
      <w:r w:rsidRPr="00F5723F">
        <w:rPr>
          <w:spacing w:val="-4"/>
          <w:szCs w:val="17"/>
        </w:rPr>
        <w:t>menneskerettigh</w:t>
      </w:r>
      <w:r w:rsidRPr="00F5723F">
        <w:rPr>
          <w:spacing w:val="-4"/>
          <w:szCs w:val="17"/>
        </w:rPr>
        <w:t>e</w:t>
      </w:r>
      <w:r w:rsidRPr="00F5723F">
        <w:rPr>
          <w:spacing w:val="-4"/>
          <w:szCs w:val="17"/>
        </w:rPr>
        <w:t>ter.</w:t>
      </w:r>
    </w:p>
  </w:footnote>
  <w:footnote w:id="316">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Borchorst red. (1992), </w:t>
      </w:r>
      <w:r w:rsidRPr="00F5723F">
        <w:rPr>
          <w:i/>
        </w:rPr>
        <w:t>Kønsmagt under forandring,</w:t>
      </w:r>
      <w:r w:rsidRPr="00F5723F">
        <w:t xml:space="preserve"> Magtutredningen,</w:t>
      </w:r>
      <w:r w:rsidRPr="00F5723F">
        <w:t xml:space="preserve"> Köpe</w:t>
      </w:r>
      <w:r w:rsidRPr="00F5723F">
        <w:t>n</w:t>
      </w:r>
      <w:r w:rsidRPr="00F5723F">
        <w:t>hamn: Hans Reitzels Forlag. Fö</w:t>
      </w:r>
      <w:r w:rsidRPr="00F5723F">
        <w:t>r vidare läsning om den danska m</w:t>
      </w:r>
      <w:r w:rsidRPr="00F5723F">
        <w:t xml:space="preserve">aktutredningen, se </w:t>
      </w:r>
      <w:r w:rsidRPr="00F5723F">
        <w:t>till exempel</w:t>
      </w:r>
      <w:r w:rsidRPr="00F5723F">
        <w:t xml:space="preserve"> Peter Munk Christiansen, Birgit Moller och Lise Togeby (2001), </w:t>
      </w:r>
      <w:r w:rsidRPr="00F5723F">
        <w:rPr>
          <w:i/>
        </w:rPr>
        <w:t>Den danske elite</w:t>
      </w:r>
      <w:r w:rsidRPr="00F5723F">
        <w:t>,</w:t>
      </w:r>
      <w:r w:rsidRPr="00F5723F">
        <w:t xml:space="preserve"> Köpenhamn: Hans Reitzel</w:t>
      </w:r>
      <w:r w:rsidRPr="00F5723F">
        <w:t>s Forlag. Se även www. ps.au.dk/magt</w:t>
      </w:r>
      <w:r w:rsidRPr="00F5723F">
        <w:t>udredningen.</w:t>
      </w:r>
      <w:r w:rsidRPr="00F5723F">
        <w:t xml:space="preserve"> </w:t>
      </w:r>
    </w:p>
  </w:footnote>
  <w:footnote w:id="317">
    <w:p w:rsidR="00B43C57" w:rsidRPr="00F5723F" w:rsidRDefault="00B43C57">
      <w:pPr>
        <w:pStyle w:val="Fotnotstextindrag"/>
      </w:pPr>
      <w:r w:rsidRPr="00F5723F">
        <w:rPr>
          <w:rStyle w:val="Fotnotsreferens"/>
          <w:rFonts w:ascii="Garamond" w:hAnsi="Garamond"/>
        </w:rPr>
        <w:footnoteRef/>
      </w:r>
      <w:r w:rsidRPr="00F5723F">
        <w:t xml:space="preserve"> Dahlerup (2002), ”</w:t>
      </w:r>
      <w:r w:rsidRPr="00F5723F">
        <w:t xml:space="preserve">Er ligestilling opnået? Ligestillingsdebattens forskellighed </w:t>
      </w:r>
      <w:r w:rsidRPr="00F5723F">
        <w:t>i Danmark och Sverige” sid. 226–</w:t>
      </w:r>
      <w:r w:rsidRPr="00F5723F">
        <w:t xml:space="preserve">246 i Anette Borchorst red. </w:t>
      </w:r>
      <w:r w:rsidRPr="00F5723F">
        <w:t xml:space="preserve">(1992), </w:t>
      </w:r>
      <w:r w:rsidRPr="00F5723F">
        <w:rPr>
          <w:i/>
        </w:rPr>
        <w:t>Kø</w:t>
      </w:r>
      <w:r w:rsidRPr="00F5723F">
        <w:rPr>
          <w:i/>
        </w:rPr>
        <w:t>nsmagt under forandring.</w:t>
      </w:r>
      <w:r w:rsidRPr="00F5723F">
        <w:t xml:space="preserve"> Ma</w:t>
      </w:r>
      <w:r w:rsidRPr="00F5723F">
        <w:t>g</w:t>
      </w:r>
      <w:r w:rsidRPr="00F5723F">
        <w:t xml:space="preserve">tudredningen. Köpenhamn: </w:t>
      </w:r>
      <w:r w:rsidRPr="00F5723F">
        <w:t>Hans Reitzels Forlag.</w:t>
      </w:r>
    </w:p>
  </w:footnote>
  <w:footnote w:id="318">
    <w:p w:rsidR="00B43C57" w:rsidRPr="00F5723F" w:rsidRDefault="00B43C57">
      <w:pPr>
        <w:pStyle w:val="Fotnotstextindrag"/>
      </w:pPr>
      <w:r w:rsidRPr="00F5723F">
        <w:rPr>
          <w:rStyle w:val="Fotnotsreferens"/>
          <w:rFonts w:ascii="Garamond" w:hAnsi="Garamond"/>
        </w:rPr>
        <w:footnoteRef/>
      </w:r>
      <w:r w:rsidRPr="00F5723F">
        <w:t xml:space="preserve"> Se även Anette Borchorst och Drude Dahlerup (2003), </w:t>
      </w:r>
      <w:r w:rsidRPr="00F5723F">
        <w:rPr>
          <w:i/>
        </w:rPr>
        <w:t>Ligestillingspolitik som diskurs og praksis</w:t>
      </w:r>
      <w:r w:rsidRPr="00F5723F">
        <w:t>,</w:t>
      </w:r>
      <w:r w:rsidRPr="00F5723F">
        <w:t xml:space="preserve"> </w:t>
      </w:r>
      <w:r w:rsidRPr="00F5723F">
        <w:t xml:space="preserve">Frederiksberg: Samfundslitteratur. </w:t>
      </w:r>
    </w:p>
  </w:footnote>
  <w:footnote w:id="319">
    <w:p w:rsidR="00B43C57" w:rsidRPr="00F5723F" w:rsidRDefault="00B43C57">
      <w:pPr>
        <w:pStyle w:val="Fotnotstextindrag"/>
      </w:pPr>
      <w:r w:rsidRPr="00F5723F">
        <w:rPr>
          <w:rStyle w:val="Fotnotsreferens"/>
          <w:rFonts w:ascii="Garamond" w:hAnsi="Garamond"/>
        </w:rPr>
        <w:footnoteRef/>
      </w:r>
      <w:r w:rsidRPr="00F5723F">
        <w:t xml:space="preserve"> </w:t>
      </w:r>
      <w:r w:rsidRPr="00F5723F">
        <w:t>Magnuss</w:t>
      </w:r>
      <w:r w:rsidRPr="00F5723F">
        <w:t>on (2000),”</w:t>
      </w:r>
      <w:r w:rsidRPr="00F5723F">
        <w:t xml:space="preserve">Party-political rhetoric on gender equality in </w:t>
      </w:r>
      <w:smartTag w:uri="urn:schemas-microsoft-com:office:smarttags" w:element="place">
        <w:smartTag w:uri="urn:schemas-microsoft-com:office:smarttags" w:element="country-region">
          <w:r w:rsidRPr="00F5723F">
            <w:t>Sweden</w:t>
          </w:r>
        </w:smartTag>
      </w:smartTag>
      <w:r w:rsidRPr="00F5723F">
        <w:t xml:space="preserve">: The uses of uniformity and heterogeneity” i </w:t>
      </w:r>
      <w:r w:rsidRPr="00F5723F">
        <w:rPr>
          <w:i/>
        </w:rPr>
        <w:t>NORA</w:t>
      </w:r>
      <w:r w:rsidRPr="00F5723F">
        <w:t>, no 2, v</w:t>
      </w:r>
      <w:r w:rsidRPr="00F5723F">
        <w:t>ol. 8.</w:t>
      </w:r>
    </w:p>
  </w:footnote>
  <w:footnote w:id="320">
    <w:p w:rsidR="00B43C57" w:rsidRPr="00F5723F" w:rsidRDefault="00B43C57">
      <w:pPr>
        <w:pStyle w:val="Fotnotstextindrag"/>
      </w:pPr>
      <w:r w:rsidRPr="00F5723F">
        <w:rPr>
          <w:rStyle w:val="Fotnotsreferens"/>
          <w:rFonts w:ascii="Garamond" w:hAnsi="Garamond"/>
        </w:rPr>
        <w:footnoteRef/>
      </w:r>
      <w:r w:rsidRPr="00F5723F">
        <w:t xml:space="preserve"> </w:t>
      </w:r>
      <w:r w:rsidRPr="00F5723F">
        <w:t>I samma projekct, se till exempel</w:t>
      </w:r>
      <w:r w:rsidRPr="00F5723F">
        <w:t xml:space="preserve"> Maria Carbin och Anne Maria Holli (2002), </w:t>
      </w:r>
      <w:r w:rsidRPr="00F5723F">
        <w:rPr>
          <w:rStyle w:val="FotnotstextindragChar"/>
        </w:rPr>
        <w:t>”</w:t>
      </w:r>
      <w:r w:rsidRPr="00F5723F">
        <w:t>The Mea</w:t>
      </w:r>
      <w:r w:rsidRPr="00F5723F">
        <w:t>n</w:t>
      </w:r>
      <w:r w:rsidRPr="00F5723F">
        <w:t xml:space="preserve">ings of Gender Equality, a Discursive Analysis of the Socialist Parties in </w:t>
      </w:r>
      <w:smartTag w:uri="urn:schemas-microsoft-com:office:smarttags" w:element="country-region">
        <w:r w:rsidRPr="00F5723F">
          <w:t>Sweden</w:t>
        </w:r>
      </w:smartTag>
      <w:r w:rsidRPr="00F5723F">
        <w:t xml:space="preserve"> and </w:t>
      </w:r>
      <w:smartTag w:uri="urn:schemas-microsoft-com:office:smarttags" w:element="country-region">
        <w:smartTag w:uri="urn:schemas-microsoft-com:office:smarttags" w:element="place">
          <w:r w:rsidRPr="00F5723F">
            <w:t>Finland</w:t>
          </w:r>
        </w:smartTag>
      </w:smartTag>
      <w:r w:rsidRPr="00F5723F">
        <w:t>”</w:t>
      </w:r>
      <w:r w:rsidRPr="00F5723F">
        <w:t xml:space="preserve">. </w:t>
      </w:r>
      <w:r w:rsidRPr="00F5723F">
        <w:t xml:space="preserve">Paper presented at the NOPSA Conference, </w:t>
      </w:r>
      <w:smartTag w:uri="urn:schemas-microsoft-com:office:smarttags" w:element="place">
        <w:smartTag w:uri="urn:schemas-microsoft-com:office:smarttags" w:element="PlaceName">
          <w:r w:rsidRPr="00F5723F">
            <w:t>Aalborg</w:t>
          </w:r>
        </w:smartTag>
        <w:r w:rsidRPr="00F5723F">
          <w:t xml:space="preserve"> </w:t>
        </w:r>
        <w:smartTag w:uri="urn:schemas-microsoft-com:office:smarttags" w:element="PlaceType">
          <w:r w:rsidRPr="00F5723F">
            <w:t>Unive</w:t>
          </w:r>
          <w:r w:rsidRPr="00F5723F">
            <w:t>r</w:t>
          </w:r>
          <w:r w:rsidRPr="00F5723F">
            <w:t>sity</w:t>
          </w:r>
        </w:smartTag>
      </w:smartTag>
      <w:r w:rsidRPr="00F5723F">
        <w:t>, August 15–17.</w:t>
      </w:r>
    </w:p>
  </w:footnote>
  <w:footnote w:id="321">
    <w:p w:rsidR="00B43C57" w:rsidRPr="00F5723F" w:rsidRDefault="00B43C57">
      <w:pPr>
        <w:pStyle w:val="Fotnotstextindrag"/>
      </w:pPr>
      <w:r w:rsidRPr="00F5723F">
        <w:rPr>
          <w:rStyle w:val="Fotnotsreferens"/>
          <w:rFonts w:ascii="Garamond" w:hAnsi="Garamond"/>
        </w:rPr>
        <w:footnoteRef/>
      </w:r>
      <w:r w:rsidRPr="00F5723F">
        <w:t xml:space="preserve"> Lehn, Lykke Nielsen och Sjörup, (2003), ”Mainstreaming som ligestillingsstrategi – muligheter og faldgruber” i Anette Borchorst och Drude Dahlerup (2003), </w:t>
      </w:r>
      <w:r w:rsidRPr="00F5723F">
        <w:rPr>
          <w:i/>
        </w:rPr>
        <w:t>Ligesti</w:t>
      </w:r>
      <w:r w:rsidRPr="00F5723F">
        <w:rPr>
          <w:i/>
        </w:rPr>
        <w:t>l</w:t>
      </w:r>
      <w:r w:rsidRPr="00F5723F">
        <w:rPr>
          <w:i/>
        </w:rPr>
        <w:t>lingspolitik som diskurs og praksis</w:t>
      </w:r>
      <w:r w:rsidRPr="00F5723F">
        <w:t xml:space="preserve">, </w:t>
      </w:r>
      <w:r w:rsidRPr="00F5723F">
        <w:t>Frederiksberg: Samfundslitteratur.</w:t>
      </w:r>
      <w:r w:rsidRPr="00F5723F">
        <w:t xml:space="preserve"> Se även Sine Lehn &amp; Mette Lykke Nielsen (2001), </w:t>
      </w:r>
      <w:r w:rsidRPr="00F5723F">
        <w:rPr>
          <w:i/>
        </w:rPr>
        <w:t>Mainstream</w:t>
      </w:r>
      <w:r w:rsidRPr="00F5723F">
        <w:rPr>
          <w:i/>
        </w:rPr>
        <w:t>ing – fra strategi till praksis,</w:t>
      </w:r>
      <w:r w:rsidRPr="00F5723F">
        <w:rPr>
          <w:i/>
        </w:rPr>
        <w:t xml:space="preserve"> </w:t>
      </w:r>
      <w:r w:rsidRPr="00F5723F">
        <w:t>K</w:t>
      </w:r>
      <w:r w:rsidRPr="00F5723F">
        <w:t>ö</w:t>
      </w:r>
      <w:r w:rsidRPr="00F5723F">
        <w:t>penhamn: Videnscenter for Ligestilling, Signe Arnfred (2001), ”Om mainstreaming, magt og kønsforskningens kritiske fortalere” i</w:t>
      </w:r>
      <w:r w:rsidRPr="00F5723F">
        <w:rPr>
          <w:i/>
        </w:rPr>
        <w:t xml:space="preserve"> Kvinder, Kø</w:t>
      </w:r>
      <w:r w:rsidRPr="00F5723F">
        <w:rPr>
          <w:i/>
        </w:rPr>
        <w:t>n og Forskning</w:t>
      </w:r>
      <w:r w:rsidRPr="00F5723F">
        <w:t>, nr 3:87–91, Iris Rittenhofer</w:t>
      </w:r>
      <w:r w:rsidRPr="00F5723F">
        <w:t xml:space="preserve"> (2000), ”Könsforskning og mainstreaming” i </w:t>
      </w:r>
      <w:r w:rsidRPr="00F5723F">
        <w:rPr>
          <w:i/>
        </w:rPr>
        <w:t>Kvinder, kø</w:t>
      </w:r>
      <w:r w:rsidRPr="00F5723F">
        <w:rPr>
          <w:i/>
        </w:rPr>
        <w:t>n og forskning</w:t>
      </w:r>
      <w:r w:rsidRPr="00F5723F">
        <w:t xml:space="preserve"> nr 2: 62–69, samt Helle Skjerbaek red. (2001),</w:t>
      </w:r>
      <w:r w:rsidRPr="00F5723F">
        <w:rPr>
          <w:i/>
        </w:rPr>
        <w:t xml:space="preserve"> Midt i strömmen. Om lige</w:t>
      </w:r>
      <w:r w:rsidRPr="00F5723F">
        <w:rPr>
          <w:i/>
        </w:rPr>
        <w:t xml:space="preserve"> </w:t>
      </w:r>
      <w:r w:rsidRPr="00F5723F">
        <w:rPr>
          <w:i/>
        </w:rPr>
        <w:t>stilling</w:t>
      </w:r>
      <w:r w:rsidRPr="00F5723F">
        <w:rPr>
          <w:i/>
        </w:rPr>
        <w:t>, mainstreaming og mangfoldighe,</w:t>
      </w:r>
      <w:r w:rsidRPr="00F5723F">
        <w:t xml:space="preserve"> Köpenhamn: Jurist- och Ökonomforbu</w:t>
      </w:r>
      <w:r w:rsidRPr="00F5723F">
        <w:t>n</w:t>
      </w:r>
      <w:r w:rsidRPr="00F5723F">
        <w:t>dets Fo</w:t>
      </w:r>
      <w:r w:rsidRPr="00F5723F">
        <w:t>r</w:t>
      </w:r>
      <w:r w:rsidRPr="00F5723F">
        <w:t>lag.</w:t>
      </w:r>
    </w:p>
  </w:footnote>
  <w:footnote w:id="322">
    <w:p w:rsidR="00B43C57" w:rsidRPr="00F5723F" w:rsidRDefault="00B43C57">
      <w:pPr>
        <w:pStyle w:val="Fotnotstextindrag"/>
      </w:pPr>
      <w:r w:rsidRPr="00F5723F">
        <w:rPr>
          <w:rStyle w:val="Fotnotsreferens"/>
          <w:rFonts w:ascii="Garamond" w:hAnsi="Garamond"/>
        </w:rPr>
        <w:footnoteRef/>
      </w:r>
      <w:r w:rsidRPr="00F5723F">
        <w:t xml:space="preserve"> Holter (1971).</w:t>
      </w:r>
    </w:p>
  </w:footnote>
  <w:footnote w:id="323">
    <w:p w:rsidR="00B43C57" w:rsidRPr="00F5723F" w:rsidRDefault="00B43C57">
      <w:pPr>
        <w:pStyle w:val="Fotnotstextindrag"/>
      </w:pPr>
      <w:r w:rsidRPr="00F5723F">
        <w:rPr>
          <w:rStyle w:val="Fotnotsreferens"/>
          <w:rFonts w:ascii="Garamond" w:hAnsi="Garamond"/>
        </w:rPr>
        <w:footnoteRef/>
      </w:r>
      <w:r w:rsidRPr="00F5723F">
        <w:t xml:space="preserve"> Jfr</w:t>
      </w:r>
      <w:r w:rsidRPr="00F5723F">
        <w:t xml:space="preserve"> Moss Kanter (1977), Dahlerup (1988).</w:t>
      </w:r>
    </w:p>
  </w:footnote>
  <w:footnote w:id="324">
    <w:p w:rsidR="00B43C57" w:rsidRPr="00F5723F" w:rsidRDefault="00B43C57">
      <w:pPr>
        <w:pStyle w:val="Fotnotstextindrag"/>
      </w:pPr>
      <w:r w:rsidRPr="00F5723F">
        <w:rPr>
          <w:rStyle w:val="Fotnotsreferens"/>
          <w:rFonts w:ascii="Garamond" w:hAnsi="Garamond"/>
        </w:rPr>
        <w:footnoteRef/>
      </w:r>
      <w:r w:rsidRPr="00F5723F">
        <w:t xml:space="preserve"> Haavio-Mannila (1983).</w:t>
      </w:r>
    </w:p>
  </w:footnote>
  <w:footnote w:id="325">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Dahlerup (1984), ”Overcoming the barriers: An approach to the study of how women’s issues are kept from the political agenda” i Stiehm, Judith H, red. (1984), </w:t>
      </w:r>
      <w:r w:rsidRPr="00F5723F">
        <w:rPr>
          <w:i/>
        </w:rPr>
        <w:t>Women’s View</w:t>
      </w:r>
      <w:r w:rsidRPr="00F5723F">
        <w:rPr>
          <w:i/>
        </w:rPr>
        <w:t>s of the Political World of Men,</w:t>
      </w:r>
      <w:r w:rsidRPr="00F5723F">
        <w:rPr>
          <w:i/>
        </w:rPr>
        <w:t xml:space="preserve"> </w:t>
      </w:r>
      <w:r w:rsidRPr="00F5723F">
        <w:t>New York, Transnational Publishe</w:t>
      </w:r>
      <w:r w:rsidRPr="00F5723F">
        <w:t>rs, Inc., Drude Dahlerup (1988)</w:t>
      </w:r>
      <w:r w:rsidRPr="00F5723F">
        <w:t xml:space="preserve"> ”From a Small to a Large Minority: Women in Scand</w:t>
      </w:r>
      <w:r w:rsidRPr="00F5723F">
        <w:t>i</w:t>
      </w:r>
      <w:r w:rsidRPr="00F5723F">
        <w:t xml:space="preserve">navian Politics” i </w:t>
      </w:r>
      <w:r w:rsidRPr="00F5723F">
        <w:rPr>
          <w:i/>
        </w:rPr>
        <w:t>Scandinavian Political Studies</w:t>
      </w:r>
      <w:r w:rsidRPr="00F5723F">
        <w:t>, 1988:4, sid. 275–</w:t>
      </w:r>
      <w:r w:rsidRPr="00F5723F">
        <w:t>298, Maud Ed</w:t>
      </w:r>
      <w:r w:rsidRPr="00F5723F">
        <w:t>u</w:t>
      </w:r>
      <w:r w:rsidRPr="00F5723F">
        <w:t xml:space="preserve">ards (2002), </w:t>
      </w:r>
      <w:r w:rsidRPr="00F5723F">
        <w:rPr>
          <w:i/>
        </w:rPr>
        <w:t xml:space="preserve">Förbjuden handling – om kvinnors organisering och feministisk teori, </w:t>
      </w:r>
      <w:r w:rsidRPr="00F5723F">
        <w:t>Malmö: Liber, samt Anna Jónasd</w:t>
      </w:r>
      <w:r w:rsidRPr="00F5723F">
        <w:t>óttir (1991),</w:t>
      </w:r>
      <w:r w:rsidRPr="00F5723F">
        <w:rPr>
          <w:i/>
        </w:rPr>
        <w:t xml:space="preserve"> Love Power and Political Interests</w:t>
      </w:r>
      <w:r w:rsidRPr="00F5723F">
        <w:rPr>
          <w:i/>
        </w:rPr>
        <w:t>,</w:t>
      </w:r>
      <w:r w:rsidRPr="00F5723F">
        <w:t xml:space="preserve"> Örebro: Örebro Studies 7.</w:t>
      </w:r>
    </w:p>
  </w:footnote>
  <w:footnote w:id="326">
    <w:p w:rsidR="00B43C57" w:rsidRPr="00F5723F" w:rsidRDefault="00B43C57">
      <w:pPr>
        <w:pStyle w:val="Fotnotstextindrag"/>
      </w:pPr>
      <w:r w:rsidRPr="00F5723F">
        <w:rPr>
          <w:rStyle w:val="Fotnotsreferens"/>
          <w:rFonts w:ascii="Garamond" w:hAnsi="Garamond"/>
        </w:rPr>
        <w:footnoteRef/>
      </w:r>
      <w:r w:rsidRPr="00F5723F">
        <w:t xml:space="preserve"> </w:t>
      </w:r>
      <w:r w:rsidRPr="00F5723F">
        <w:t>Hirdman (1990:79).</w:t>
      </w:r>
    </w:p>
  </w:footnote>
  <w:footnote w:id="327">
    <w:p w:rsidR="00B43C57" w:rsidRPr="00F5723F" w:rsidRDefault="00B43C57">
      <w:pPr>
        <w:pStyle w:val="Fotnotstextindrag"/>
      </w:pPr>
      <w:r w:rsidRPr="00F5723F">
        <w:rPr>
          <w:rStyle w:val="Fotnotsreferens"/>
          <w:rFonts w:ascii="Garamond" w:hAnsi="Garamond"/>
        </w:rPr>
        <w:footnoteRef/>
      </w:r>
      <w:r w:rsidRPr="00F5723F">
        <w:t xml:space="preserve"> </w:t>
      </w:r>
      <w:r w:rsidRPr="00F5723F">
        <w:t>Jónasdóttir (1991),</w:t>
      </w:r>
      <w:r w:rsidRPr="00F5723F">
        <w:rPr>
          <w:i/>
        </w:rPr>
        <w:t xml:space="preserve"> Love Power and Political Interests</w:t>
      </w:r>
      <w:r w:rsidRPr="00F5723F">
        <w:t xml:space="preserve">. </w:t>
      </w:r>
      <w:r w:rsidRPr="00F5723F">
        <w:t>Örebro: Örebro Studies 7.</w:t>
      </w:r>
    </w:p>
  </w:footnote>
  <w:footnote w:id="328">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Eduards (2002a), </w:t>
      </w:r>
      <w:r w:rsidRPr="00F5723F">
        <w:rPr>
          <w:i/>
        </w:rPr>
        <w:t>Förbjuden handling</w:t>
      </w:r>
      <w:r w:rsidRPr="00F5723F">
        <w:rPr>
          <w:i/>
        </w:rPr>
        <w:t xml:space="preserve"> – </w:t>
      </w:r>
      <w:r w:rsidRPr="00F5723F">
        <w:rPr>
          <w:i/>
        </w:rPr>
        <w:t xml:space="preserve">om kvinnors organisering och feministisk teori, </w:t>
      </w:r>
      <w:r w:rsidRPr="00F5723F">
        <w:t>Malmö: Liber.</w:t>
      </w:r>
    </w:p>
  </w:footnote>
  <w:footnote w:id="329">
    <w:p w:rsidR="00B43C57" w:rsidRPr="00F5723F" w:rsidRDefault="00B43C57">
      <w:pPr>
        <w:pStyle w:val="Fotnotstextindrag"/>
      </w:pPr>
      <w:r w:rsidRPr="00F5723F">
        <w:rPr>
          <w:rStyle w:val="Fotnotsreferens"/>
          <w:rFonts w:ascii="Garamond" w:hAnsi="Garamond"/>
        </w:rPr>
        <w:footnoteRef/>
      </w:r>
      <w:r w:rsidRPr="00F5723F">
        <w:t xml:space="preserve"> </w:t>
      </w:r>
      <w:r w:rsidRPr="00F5723F">
        <w:t>Eduards (1997), ”Interpreting Women’s Or</w:t>
      </w:r>
      <w:r w:rsidRPr="00F5723F">
        <w:t>ganization” sid. 11–</w:t>
      </w:r>
      <w:r w:rsidRPr="00F5723F">
        <w:t xml:space="preserve">25 i Gunnel Gustafsson red. </w:t>
      </w:r>
      <w:r w:rsidRPr="00F5723F">
        <w:t xml:space="preserve">(1997), </w:t>
      </w:r>
      <w:r w:rsidRPr="00F5723F">
        <w:rPr>
          <w:i/>
        </w:rPr>
        <w:t>Towards a New Democratic Order</w:t>
      </w:r>
      <w:r w:rsidRPr="00F5723F">
        <w:t>,</w:t>
      </w:r>
      <w:r w:rsidRPr="00F5723F">
        <w:t xml:space="preserve"> Stockholm: Publica.</w:t>
      </w:r>
    </w:p>
  </w:footnote>
  <w:footnote w:id="330">
    <w:p w:rsidR="00B43C57" w:rsidRPr="00F5723F" w:rsidRDefault="00B43C57">
      <w:pPr>
        <w:pStyle w:val="Fotnotstextindrag"/>
      </w:pPr>
      <w:r w:rsidRPr="00F5723F">
        <w:rPr>
          <w:rStyle w:val="Fotnotsreferens"/>
          <w:rFonts w:ascii="Garamond" w:hAnsi="Garamond"/>
        </w:rPr>
        <w:footnoteRef/>
      </w:r>
      <w:r w:rsidRPr="00F5723F">
        <w:t xml:space="preserve"> </w:t>
      </w:r>
      <w:r w:rsidRPr="00F5723F">
        <w:t xml:space="preserve">Skjeie (1992). </w:t>
      </w:r>
      <w:r w:rsidRPr="00F5723F">
        <w:rPr>
          <w:i/>
        </w:rPr>
        <w:t>Den politiske betydningen av kjø</w:t>
      </w:r>
      <w:r w:rsidRPr="00F5723F">
        <w:rPr>
          <w:i/>
        </w:rPr>
        <w:t>nn. En studie av norsk topp-politikk</w:t>
      </w:r>
      <w:r w:rsidRPr="00F5723F">
        <w:t>. Rapport nr 11,</w:t>
      </w:r>
      <w:r w:rsidRPr="00F5723F">
        <w:t xml:space="preserve"> Oslo: Institutt for samfunnsforskning.</w:t>
      </w:r>
    </w:p>
  </w:footnote>
  <w:footnote w:id="331">
    <w:p w:rsidR="00B43C57" w:rsidRPr="00F5723F" w:rsidRDefault="00B43C57">
      <w:pPr>
        <w:pStyle w:val="Fotnotstextindrag"/>
      </w:pPr>
      <w:r w:rsidRPr="00F5723F">
        <w:rPr>
          <w:rStyle w:val="Fotnotsreferens"/>
          <w:rFonts w:ascii="Garamond" w:hAnsi="Garamond"/>
        </w:rPr>
        <w:footnoteRef/>
      </w:r>
      <w:r w:rsidRPr="00F5723F">
        <w:t xml:space="preserve"> Se även Skjeie (1999)</w:t>
      </w:r>
      <w:r w:rsidRPr="00F5723F">
        <w:t>, ”Likestillingsprosesser og kjønnsmakt” sid. 94–</w:t>
      </w:r>
      <w:r w:rsidRPr="00F5723F">
        <w:t>114 i Ö</w:t>
      </w:r>
      <w:r w:rsidRPr="00F5723F">
        <w:t>i</w:t>
      </w:r>
      <w:r w:rsidRPr="00F5723F">
        <w:t>vind Österud m.fl. (red</w:t>
      </w:r>
      <w:r w:rsidRPr="00F5723F">
        <w:t>.</w:t>
      </w:r>
      <w:r w:rsidRPr="00F5723F">
        <w:t xml:space="preserve">), </w:t>
      </w:r>
      <w:r w:rsidRPr="00F5723F">
        <w:rPr>
          <w:i/>
        </w:rPr>
        <w:t>Mot en ny maktutredning,</w:t>
      </w:r>
      <w:r w:rsidRPr="00F5723F">
        <w:t xml:space="preserve"> Oslo: Gyldendal, samt Skjeie och Teigen (1993), ”Kvinnenes inntog i topp-politikken: et uttrykk for polit</w:t>
      </w:r>
      <w:r w:rsidRPr="00F5723F">
        <w:t>i</w:t>
      </w:r>
      <w:r w:rsidRPr="00F5723F">
        <w:t>kkens marg</w:t>
      </w:r>
      <w:r w:rsidRPr="00F5723F">
        <w:t>i</w:t>
      </w:r>
      <w:r w:rsidRPr="00F5723F">
        <w:t>nalisering?” i Rasch, B.E. (</w:t>
      </w:r>
      <w:r w:rsidRPr="00F5723F">
        <w:t>r</w:t>
      </w:r>
      <w:r w:rsidRPr="00F5723F">
        <w:t>ed</w:t>
      </w:r>
      <w:r w:rsidRPr="00F5723F">
        <w:t>.</w:t>
      </w:r>
      <w:r w:rsidRPr="00F5723F">
        <w:t xml:space="preserve">), </w:t>
      </w:r>
      <w:r w:rsidRPr="00F5723F">
        <w:rPr>
          <w:i/>
        </w:rPr>
        <w:t>Symbolpol</w:t>
      </w:r>
      <w:r w:rsidRPr="00F5723F">
        <w:rPr>
          <w:i/>
        </w:rPr>
        <w:t>itikk og parlamentarisk styring,</w:t>
      </w:r>
      <w:r w:rsidRPr="00F5723F">
        <w:rPr>
          <w:i/>
        </w:rPr>
        <w:t>.</w:t>
      </w:r>
      <w:r w:rsidRPr="00F5723F">
        <w:t xml:space="preserve"> </w:t>
      </w:r>
      <w:smartTag w:uri="urn:schemas-microsoft-com:office:smarttags" w:element="place">
        <w:smartTag w:uri="urn:schemas-microsoft-com:office:smarttags" w:element="City">
          <w:r w:rsidRPr="00F5723F">
            <w:t>Oslo</w:t>
          </w:r>
        </w:smartTag>
      </w:smartTag>
      <w:r w:rsidRPr="00F5723F">
        <w:t>: Un</w:t>
      </w:r>
      <w:r w:rsidRPr="00F5723F">
        <w:t>i</w:t>
      </w:r>
      <w:r w:rsidRPr="00F5723F">
        <w:t>versitetsforlaget.</w:t>
      </w:r>
    </w:p>
  </w:footnote>
  <w:footnote w:id="332">
    <w:p w:rsidR="00B43C57" w:rsidRPr="00F5723F" w:rsidRDefault="00B43C57">
      <w:pPr>
        <w:pStyle w:val="Fotnotstextindrag"/>
      </w:pPr>
      <w:r w:rsidRPr="00F5723F">
        <w:rPr>
          <w:rStyle w:val="Fotnotsreferens"/>
          <w:rFonts w:ascii="Garamond" w:hAnsi="Garamond"/>
        </w:rPr>
        <w:footnoteRef/>
      </w:r>
      <w:r w:rsidRPr="00F5723F">
        <w:t xml:space="preserve"> Bergqvist (1994).</w:t>
      </w:r>
    </w:p>
  </w:footnote>
  <w:footnote w:id="333">
    <w:p w:rsidR="00B43C57" w:rsidRPr="00F5723F" w:rsidRDefault="00B43C57">
      <w:pPr>
        <w:pStyle w:val="Fotnotstextindrag"/>
      </w:pPr>
      <w:r w:rsidRPr="00F5723F">
        <w:rPr>
          <w:rStyle w:val="Fotnotsreferens"/>
          <w:rFonts w:ascii="Garamond" w:hAnsi="Garamond"/>
        </w:rPr>
        <w:footnoteRef/>
      </w:r>
      <w:r w:rsidRPr="00F5723F">
        <w:t xml:space="preserve"> Bergqvist (1995), </w:t>
      </w:r>
      <w:r w:rsidRPr="00F5723F">
        <w:rPr>
          <w:rStyle w:val="FotnotstextindragChar"/>
        </w:rPr>
        <w:t>”</w:t>
      </w:r>
      <w:r w:rsidRPr="00F5723F">
        <w:t>The declining corporative state and the political gender dime</w:t>
      </w:r>
      <w:r w:rsidRPr="00F5723F">
        <w:t>n</w:t>
      </w:r>
      <w:r w:rsidRPr="00F5723F">
        <w:t>sion” i Lauri</w:t>
      </w:r>
      <w:r w:rsidRPr="00F5723F">
        <w:t xml:space="preserve"> Karvonen och Per Selle (1995), </w:t>
      </w:r>
      <w:r w:rsidRPr="00F5723F">
        <w:rPr>
          <w:i/>
        </w:rPr>
        <w:t>Women in Nordic Politics: Closing the Gap</w:t>
      </w:r>
      <w:r w:rsidRPr="00F5723F">
        <w:t>,</w:t>
      </w:r>
      <w:r w:rsidRPr="00F5723F">
        <w:t xml:space="preserve"> </w:t>
      </w:r>
      <w:r w:rsidRPr="00F5723F">
        <w:t xml:space="preserve">Aldershot: </w:t>
      </w:r>
      <w:smartTag w:uri="urn:schemas-microsoft-com:office:smarttags" w:element="City">
        <w:smartTag w:uri="urn:schemas-microsoft-com:office:smarttags" w:element="place">
          <w:r w:rsidRPr="00F5723F">
            <w:t>Dartmouth</w:t>
          </w:r>
        </w:smartTag>
      </w:smartTag>
      <w:r w:rsidRPr="00F5723F">
        <w:t>.</w:t>
      </w:r>
    </w:p>
  </w:footnote>
  <w:footnote w:id="334">
    <w:p w:rsidR="00B43C57" w:rsidRPr="00F5723F" w:rsidRDefault="00B43C57">
      <w:pPr>
        <w:pStyle w:val="Fotnotstextindrag"/>
      </w:pPr>
      <w:r w:rsidRPr="00F5723F">
        <w:rPr>
          <w:rStyle w:val="Fotnotsreferens"/>
          <w:rFonts w:ascii="Garamond" w:hAnsi="Garamond"/>
        </w:rPr>
        <w:footnoteRef/>
      </w:r>
      <w:r w:rsidRPr="00F5723F">
        <w:t xml:space="preserve"> Borchorst, Christensen och Siim (2002), ”Diskurser om kø</w:t>
      </w:r>
      <w:r w:rsidRPr="00F5723F">
        <w:t xml:space="preserve">n, magt og politik i Skandinavien” i Anette Borchorst red. (1992), </w:t>
      </w:r>
      <w:r w:rsidRPr="00F5723F">
        <w:rPr>
          <w:i/>
        </w:rPr>
        <w:t>Kø</w:t>
      </w:r>
      <w:r w:rsidRPr="00F5723F">
        <w:rPr>
          <w:i/>
        </w:rPr>
        <w:t>nsmagt under forandring.</w:t>
      </w:r>
      <w:r w:rsidRPr="00F5723F">
        <w:t xml:space="preserve"> Magtu</w:t>
      </w:r>
      <w:r w:rsidRPr="00F5723F">
        <w:t>d</w:t>
      </w:r>
      <w:r w:rsidRPr="00F5723F">
        <w:t>redningen,</w:t>
      </w:r>
      <w:r w:rsidRPr="00F5723F">
        <w:t xml:space="preserve"> Köpe</w:t>
      </w:r>
      <w:r w:rsidRPr="00F5723F">
        <w:t>n</w:t>
      </w:r>
      <w:r w:rsidRPr="00F5723F">
        <w:t>hamn: Hans Reitzels Forlag.</w:t>
      </w:r>
    </w:p>
  </w:footnote>
  <w:footnote w:id="335">
    <w:p w:rsidR="00B43C57" w:rsidRPr="00F5723F" w:rsidRDefault="00B43C57">
      <w:pPr>
        <w:pStyle w:val="Fotnotstextindrag"/>
      </w:pPr>
      <w:r w:rsidRPr="00F5723F">
        <w:rPr>
          <w:rStyle w:val="Fotnotsreferens"/>
          <w:rFonts w:ascii="Garamond" w:hAnsi="Garamond"/>
        </w:rPr>
        <w:footnoteRef/>
      </w:r>
      <w:r w:rsidRPr="00F5723F">
        <w:t xml:space="preserve"> Denna indelning har i sin tur kritise</w:t>
      </w:r>
      <w:r w:rsidRPr="00F5723F">
        <w:t xml:space="preserve">rats av Yvonne Hirdman. </w:t>
      </w:r>
    </w:p>
  </w:footnote>
  <w:footnote w:id="336">
    <w:p w:rsidR="00B43C57" w:rsidRPr="00F5723F" w:rsidRDefault="00B43C57">
      <w:pPr>
        <w:pStyle w:val="Fotnotstextindrag"/>
      </w:pPr>
      <w:r w:rsidRPr="00F5723F">
        <w:rPr>
          <w:rStyle w:val="Fotnotsreferens"/>
          <w:rFonts w:ascii="Garamond" w:hAnsi="Garamond"/>
        </w:rPr>
        <w:footnoteRef/>
      </w:r>
      <w:r w:rsidRPr="00F5723F">
        <w:t xml:space="preserve"> Se </w:t>
      </w:r>
      <w:r w:rsidRPr="00F5723F">
        <w:t>till exempel</w:t>
      </w:r>
      <w:r w:rsidRPr="00F5723F">
        <w:t xml:space="preserve"> Ann-Dorte Christensen, Anne-Birte Ravn och Iris Rittenhofer red. </w:t>
      </w:r>
      <w:r w:rsidRPr="00F5723F">
        <w:t xml:space="preserve">(1997), </w:t>
      </w:r>
      <w:r w:rsidRPr="00F5723F">
        <w:rPr>
          <w:i/>
        </w:rPr>
        <w:t>Det kø</w:t>
      </w:r>
      <w:r w:rsidRPr="00F5723F">
        <w:rPr>
          <w:i/>
        </w:rPr>
        <w:t>nne</w:t>
      </w:r>
      <w:r w:rsidRPr="00F5723F">
        <w:rPr>
          <w:i/>
        </w:rPr>
        <w:t>de samfund. Forståelser af køn og social forandring,</w:t>
      </w:r>
      <w:r w:rsidRPr="00F5723F">
        <w:t>. Aa</w:t>
      </w:r>
      <w:r w:rsidRPr="00F5723F">
        <w:t>lborg: Aalborg Univ</w:t>
      </w:r>
      <w:r w:rsidRPr="00F5723F">
        <w:t>ersitetsforlag.</w:t>
      </w:r>
      <w:r w:rsidRPr="00F5723F">
        <w:t xml:space="preserve"> Dorthe Marie Söndergaard (1996), </w:t>
      </w:r>
      <w:r w:rsidRPr="00F5723F">
        <w:rPr>
          <w:i/>
        </w:rPr>
        <w:t>Tegnet pa kroppen</w:t>
      </w:r>
      <w:r w:rsidRPr="00F5723F">
        <w:t>,</w:t>
      </w:r>
      <w:r w:rsidRPr="00F5723F">
        <w:t xml:space="preserve"> Köpenhamn: M</w:t>
      </w:r>
      <w:r w:rsidRPr="00F5723F">
        <w:t>u</w:t>
      </w:r>
      <w:r w:rsidRPr="00F5723F">
        <w:t>seum Tusculanums Forlag.</w:t>
      </w:r>
    </w:p>
  </w:footnote>
  <w:footnote w:id="337">
    <w:p w:rsidR="00B43C57" w:rsidRPr="00F5723F" w:rsidRDefault="00B43C57">
      <w:pPr>
        <w:pStyle w:val="Fotnotstextindrag"/>
      </w:pPr>
      <w:r w:rsidRPr="00F5723F">
        <w:rPr>
          <w:rStyle w:val="Fotnotsreferens"/>
          <w:rFonts w:ascii="Garamond" w:hAnsi="Garamond"/>
        </w:rPr>
        <w:footnoteRef/>
      </w:r>
      <w:r w:rsidRPr="00F5723F">
        <w:t xml:space="preserve"> Anna Jónasdóttirs recension av Hege Skjeies avhandling ger uttryck för en ko</w:t>
      </w:r>
      <w:r w:rsidRPr="00F5723F">
        <w:t>n</w:t>
      </w:r>
      <w:r w:rsidRPr="00F5723F">
        <w:t xml:space="preserve">fliktlinje mellan dessa två perspektiv. Se Jónasdóttir (1994). </w:t>
      </w:r>
    </w:p>
  </w:footnote>
  <w:footnote w:id="338">
    <w:p w:rsidR="00B43C57" w:rsidRPr="00F5723F" w:rsidRDefault="00B43C57">
      <w:pPr>
        <w:pStyle w:val="Fotnotstextindrag"/>
      </w:pPr>
      <w:r w:rsidRPr="00F5723F">
        <w:rPr>
          <w:rStyle w:val="Fotnotsreferens"/>
          <w:rFonts w:ascii="Garamond" w:hAnsi="Garamond"/>
        </w:rPr>
        <w:footnoteRef/>
      </w:r>
      <w:r w:rsidRPr="00F5723F">
        <w:t xml:space="preserve"> Borchorst, Christensen och Siim (2002), </w:t>
      </w:r>
      <w:r w:rsidRPr="00F5723F">
        <w:rPr>
          <w:rStyle w:val="FotnotstextindragChar"/>
        </w:rPr>
        <w:t>”</w:t>
      </w:r>
      <w:r w:rsidRPr="00F5723F">
        <w:t>Dis</w:t>
      </w:r>
      <w:r w:rsidRPr="00F5723F">
        <w:t>kurser om køn, magt og politik i</w:t>
      </w:r>
      <w:r w:rsidRPr="00F5723F">
        <w:t xml:space="preserve"> Skandinavien” i Anette Borchorst, red. (2002), </w:t>
      </w:r>
      <w:r w:rsidRPr="00F5723F">
        <w:rPr>
          <w:i/>
        </w:rPr>
        <w:t>Kønsmagt under forandring,</w:t>
      </w:r>
      <w:r w:rsidRPr="00F5723F">
        <w:t xml:space="preserve"> Köpe</w:t>
      </w:r>
      <w:r w:rsidRPr="00F5723F">
        <w:t>n</w:t>
      </w:r>
      <w:r w:rsidRPr="00F5723F">
        <w:t>hamn: Hans Reitzels Forlag.</w:t>
      </w:r>
    </w:p>
  </w:footnote>
  <w:footnote w:id="339">
    <w:p w:rsidR="00B43C57" w:rsidRPr="00F5723F" w:rsidRDefault="00B43C57">
      <w:pPr>
        <w:pStyle w:val="Fotnotstextindrag"/>
      </w:pPr>
      <w:r w:rsidRPr="00F5723F">
        <w:rPr>
          <w:rStyle w:val="Fotnotsreferens"/>
          <w:rFonts w:ascii="Garamond" w:hAnsi="Garamond"/>
        </w:rPr>
        <w:footnoteRef/>
      </w:r>
      <w:r w:rsidRPr="00F5723F">
        <w:t xml:space="preserve"> Halsaa (2001), </w:t>
      </w:r>
      <w:r w:rsidRPr="00F5723F">
        <w:rPr>
          <w:i/>
        </w:rPr>
        <w:t>Uferdige eller likestillde demokratier?</w:t>
      </w:r>
      <w:r w:rsidRPr="00F5723F">
        <w:t xml:space="preserve"> Tekst 1. GEP,</w:t>
      </w:r>
      <w:r w:rsidRPr="00F5723F">
        <w:t xml:space="preserve"> Aalborg: Aalborg un</w:t>
      </w:r>
      <w:r w:rsidRPr="00F5723F">
        <w:t>i</w:t>
      </w:r>
      <w:r w:rsidRPr="00F5723F">
        <w:t>versitet.</w:t>
      </w:r>
    </w:p>
  </w:footnote>
  <w:footnote w:id="340">
    <w:p w:rsidR="00B43C57" w:rsidRPr="00F5723F" w:rsidRDefault="00B43C57">
      <w:pPr>
        <w:pStyle w:val="Fotnotstextindrag"/>
      </w:pPr>
      <w:r w:rsidRPr="00F5723F">
        <w:rPr>
          <w:rStyle w:val="Fotnotsreferens"/>
          <w:rFonts w:ascii="Garamond" w:hAnsi="Garamond"/>
        </w:rPr>
        <w:footnoteRef/>
      </w:r>
      <w:r w:rsidRPr="00F5723F">
        <w:t xml:space="preserve"> Borchorst, Christensen coh Siim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Förord</w:t>
    </w:r>
    <w:r w:rsidRPr="00F5723F">
      <w:rPr>
        <w:rStyle w:val="SidhuvudRubrikReferens"/>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00F5723F">
      <w:rPr>
        <w:rStyle w:val="SidhuvudRubrikReferens"/>
        <w:noProof/>
      </w:rPr>
      <w:t>Utskottsundersökning 2004</w:t>
    </w:r>
    <w:r w:rsidRPr="00F5723F">
      <w:rPr>
        <w:rStyle w:val="SidhuvudRubrikReferens"/>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00F5723F">
      <w:rPr>
        <w:rStyle w:val="SidhuvudRubrikReferens"/>
        <w:noProof/>
      </w:rPr>
      <w:t>Utskottsundersökning 2004</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fldChar w:fldCharType="begin" w:fldLock="1"/>
    </w:r>
    <w:r w:rsidRPr="00F5723F">
      <w:instrText xml:space="preserve"> if </w:instrText>
    </w:r>
    <w:r w:rsidRPr="00F5723F">
      <w:fldChar w:fldCharType="begin" w:fldLock="1"/>
    </w:r>
    <w:r w:rsidRPr="00F5723F">
      <w:instrText xml:space="preserve"> page</w:instrText>
    </w:r>
    <w:r w:rsidRPr="00F5723F">
      <w:fldChar w:fldCharType="separate"/>
    </w:r>
    <w:r w:rsidR="00F5723F">
      <w:rPr>
        <w:noProof/>
      </w:rPr>
      <w:instrText>29</w:instrText>
    </w:r>
    <w:r w:rsidRPr="00F5723F">
      <w:fldChar w:fldCharType="end"/>
    </w:r>
    <w:r w:rsidRPr="00F5723F">
      <w:instrText xml:space="preserve"> &gt; 1 "</w:instrText>
    </w: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00F5723F">
      <w:rPr>
        <w:noProof/>
      </w:rPr>
      <w:instrText>29</w:instrText>
    </w:r>
    <w:r w:rsidRPr="00F5723F">
      <w:fldChar w:fldCharType="end"/>
    </w:r>
    <w:r w:rsidRPr="00F5723F">
      <w:instrText xml:space="preserve">/2 </w:instrText>
    </w:r>
    <w:r w:rsidRPr="00F5723F">
      <w:fldChar w:fldCharType="separate"/>
    </w:r>
    <w:r w:rsidR="00F5723F">
      <w:rPr>
        <w:noProof/>
      </w:rPr>
      <w:instrText>14,5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00F5723F">
      <w:rPr>
        <w:noProof/>
      </w:rPr>
      <w:instrText>29</w:instrText>
    </w:r>
    <w:r w:rsidRPr="00F5723F">
      <w:fldChar w:fldCharType="end"/>
    </w:r>
    <w:r w:rsidRPr="00F5723F">
      <w:instrText xml:space="preserve">/2) </w:instrText>
    </w:r>
    <w:r w:rsidRPr="00F5723F">
      <w:fldChar w:fldCharType="separate"/>
    </w:r>
    <w:r w:rsidR="00F5723F">
      <w:rPr>
        <w:noProof/>
      </w:rPr>
      <w:instrText>14</w:instrText>
    </w:r>
    <w:r w:rsidRPr="00F5723F">
      <w:fldChar w:fldCharType="end"/>
    </w:r>
    <w:r w:rsidRPr="00F5723F">
      <w:fldChar w:fldCharType="separate"/>
    </w:r>
    <w:r w:rsidR="00F5723F">
      <w:rPr>
        <w:noProof/>
      </w:rPr>
      <w:instrText>0,5</w:instrText>
    </w:r>
    <w:r w:rsidRPr="00F5723F">
      <w:fldChar w:fldCharType="end"/>
    </w:r>
    <w:r w:rsidRPr="00F5723F">
      <w:instrText xml:space="preserve"> = 0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w:instrText>
    </w:r>
    <w:r w:rsidRPr="00F5723F">
      <w:rPr>
        <w:rStyle w:val="SidhuvudUtskott"/>
      </w:rPr>
      <w:instrText>R</w:instrText>
    </w:r>
    <w:r w:rsidRPr="00F5723F">
      <w:rPr>
        <w:rStyle w:val="SidhuvudUtskott"/>
      </w:rPr>
      <w:instrText>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r w:rsidRPr="00F5723F">
      <w:instrText xml:space="preserve">    </w:instrText>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RubrikReferens"/>
        <w:smallCaps w:val="0"/>
      </w:rPr>
      <w:instrText xml:space="preserve"> </w:instrText>
    </w:r>
    <w:r w:rsidRPr="00F5723F">
      <w:instrText xml:space="preserve">"  "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p>
  <w:p w:rsidR="00F5723F" w:rsidRPr="00F5723F" w:rsidRDefault="00B43C57">
    <w:pPr>
      <w:pStyle w:val="SidhuvudKantUdda"/>
      <w:framePr w:w="8732" w:h="567" w:hRule="exact" w:vSpace="0" w:wrap="around" w:vAnchor="page" w:y="341" w:anchorLock="0"/>
      <w:rPr>
        <w:noProof/>
      </w:rPr>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r w:rsidRPr="00F5723F">
      <w:instrText>"</w:instrText>
    </w:r>
    <w:r w:rsidRPr="00F5723F">
      <w:fldChar w:fldCharType="separate"/>
    </w:r>
    <w:r w:rsidR="00F5723F" w:rsidRPr="00F5723F">
      <w:rPr>
        <w:noProof/>
      </w:rPr>
      <w:instrText xml:space="preserve">  </w:instrText>
    </w:r>
    <w:r w:rsidR="00F5723F" w:rsidRPr="00F5723F">
      <w:rPr>
        <w:rStyle w:val="SidhuvudUtskott"/>
        <w:noProof/>
      </w:rPr>
      <w:instrText>2005/06:RS3</w:instrText>
    </w:r>
  </w:p>
  <w:p w:rsidR="00F5723F" w:rsidRPr="00F5723F" w:rsidRDefault="00B43C57">
    <w:pPr>
      <w:pStyle w:val="SidhuvudKantUdda"/>
      <w:framePr w:w="8732" w:h="567" w:hRule="exact" w:vSpace="0" w:wrap="around" w:vAnchor="page" w:y="341" w:anchorLock="0"/>
      <w:rPr>
        <w:noProof/>
      </w:rPr>
    </w:pPr>
    <w:r w:rsidRPr="00F5723F">
      <w:fldChar w:fldCharType="end"/>
    </w:r>
    <w:r w:rsidRPr="00F5723F">
      <w:instrText>" " "</w:instrText>
    </w:r>
    <w:r w:rsidRPr="00F5723F">
      <w:fldChar w:fldCharType="separate"/>
    </w:r>
    <w:r w:rsidR="00F5723F" w:rsidRPr="00F5723F">
      <w:rPr>
        <w:noProof/>
      </w:rPr>
      <w:t xml:space="preserve">  </w:t>
    </w:r>
    <w:r w:rsidR="00F5723F" w:rsidRPr="00F5723F">
      <w:rPr>
        <w:rStyle w:val="SidhuvudUtskott"/>
        <w:noProof/>
      </w:rPr>
      <w:t>2005/06:RS3</w:t>
    </w:r>
  </w:p>
  <w:p w:rsidR="00B43C57" w:rsidRPr="00F5723F" w:rsidRDefault="00B43C57">
    <w:pPr>
      <w:pStyle w:val="SidhuvudKantUdda"/>
      <w:framePr w:w="8732" w:h="567" w:hRule="exact" w:vSpace="0" w:wrap="around" w:vAnchor="page" w:y="341" w:anchorLock="0"/>
    </w:pPr>
    <w:r w:rsidRPr="00F5723F">
      <w:fldChar w:fldCharType="end"/>
    </w:r>
  </w:p>
  <w:p w:rsidR="00B43C57" w:rsidRPr="00F5723F" w:rsidRDefault="00B43C57">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Utskottens arbete med forsknings- och framtidsfrågor</w:t>
    </w:r>
    <w:r w:rsidRPr="00F5723F">
      <w:rPr>
        <w:rStyle w:val="SidhuvudRubrikReferens"/>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Utskottens arbete med forsknings- och framtidsfrågor</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fldChar w:fldCharType="begin" w:fldLock="1"/>
    </w:r>
    <w:r w:rsidRPr="00F5723F">
      <w:instrText xml:space="preserve"> if </w:instrText>
    </w:r>
    <w:r w:rsidRPr="00F5723F">
      <w:fldChar w:fldCharType="begin" w:fldLock="1"/>
    </w:r>
    <w:r w:rsidRPr="00F5723F">
      <w:instrText xml:space="preserve"> page</w:instrText>
    </w:r>
    <w:r w:rsidRPr="00F5723F">
      <w:fldChar w:fldCharType="separate"/>
    </w:r>
    <w:r w:rsidRPr="00F5723F">
      <w:instrText>124</w:instrText>
    </w:r>
    <w:r w:rsidRPr="00F5723F">
      <w:fldChar w:fldCharType="end"/>
    </w:r>
    <w:r w:rsidRPr="00F5723F">
      <w:instrText xml:space="preserve"> &gt; 1 "</w:instrText>
    </w: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124</w:instrText>
    </w:r>
    <w:r w:rsidRPr="00F5723F">
      <w:fldChar w:fldCharType="end"/>
    </w:r>
    <w:r w:rsidRPr="00F5723F">
      <w:instrText xml:space="preserve">/2 </w:instrText>
    </w:r>
    <w:r w:rsidRPr="00F5723F">
      <w:fldChar w:fldCharType="separate"/>
    </w:r>
    <w:r w:rsidRPr="00F5723F">
      <w:instrText>62</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124</w:instrText>
    </w:r>
    <w:r w:rsidRPr="00F5723F">
      <w:fldChar w:fldCharType="end"/>
    </w:r>
    <w:r w:rsidRPr="00F5723F">
      <w:instrText xml:space="preserve">/2) </w:instrText>
    </w:r>
    <w:r w:rsidRPr="00F5723F">
      <w:fldChar w:fldCharType="separate"/>
    </w:r>
    <w:r w:rsidRPr="00F5723F">
      <w:instrText>62</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w:instrText>
    </w:r>
    <w:r w:rsidRPr="00F5723F">
      <w:rPr>
        <w:rStyle w:val="SidhuvudUtskott"/>
      </w:rPr>
      <w:instrText>R</w:instrText>
    </w:r>
    <w:r w:rsidRPr="00F5723F">
      <w:rPr>
        <w:rStyle w:val="SidhuvudUtskott"/>
      </w:rPr>
      <w:instrText>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r w:rsidRPr="00F5723F">
      <w:instrText xml:space="preserve">    </w:instrText>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RubrikReferens"/>
        <w:smallCaps w:val="0"/>
      </w:rPr>
      <w:instrText xml:space="preserve"> </w:instrText>
    </w:r>
    <w:r w:rsidRPr="00F5723F">
      <w:instrText xml:space="preserve">"  "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r w:rsidRPr="00F5723F">
      <w:instrText>"</w:instrText>
    </w:r>
    <w:r w:rsidRPr="00F5723F">
      <w:fldChar w:fldCharType="separate"/>
    </w:r>
    <w:r w:rsidRPr="00F5723F">
      <w:rPr>
        <w:rStyle w:val="SidhuvudUtskott"/>
      </w:rPr>
      <w:instrText>2005/06:RS3</w:instrText>
    </w:r>
    <w:r w:rsidRPr="00F5723F">
      <w:instrText xml:space="preserve">    </w:instrText>
    </w:r>
  </w:p>
  <w:p w:rsidR="00B43C57" w:rsidRPr="00F5723F" w:rsidRDefault="00B43C57">
    <w:pPr>
      <w:pStyle w:val="SidhuvudKantJmn"/>
      <w:framePr w:w="8732" w:h="567" w:hRule="exact" w:vSpace="0" w:wrap="around" w:vAnchor="page" w:y="341" w:anchorLock="0"/>
    </w:pPr>
  </w:p>
  <w:p w:rsidR="00B43C57" w:rsidRPr="00F5723F" w:rsidRDefault="00B43C57">
    <w:pPr>
      <w:pStyle w:val="SidhuvudKantJmn"/>
      <w:framePr w:w="8732" w:h="567" w:hRule="exact" w:vSpace="0" w:wrap="around" w:vAnchor="page" w:y="341" w:anchorLock="0"/>
    </w:pPr>
    <w:r w:rsidRPr="00F5723F">
      <w:rPr>
        <w:rStyle w:val="SidhuvudRubrikReferens"/>
        <w:smallCaps w:val="0"/>
      </w:rPr>
      <w:instrText xml:space="preserve"> </w:instrText>
    </w:r>
    <w:r w:rsidRPr="00F5723F">
      <w:fldChar w:fldCharType="end"/>
    </w:r>
    <w:r w:rsidRPr="00F5723F">
      <w:instrText>" " "</w:instrText>
    </w:r>
    <w:r w:rsidRPr="00F5723F">
      <w:fldChar w:fldCharType="separate"/>
    </w:r>
    <w:r w:rsidRPr="00F5723F">
      <w:rPr>
        <w:rStyle w:val="SidhuvudUtskott"/>
      </w:rPr>
      <w:t>2005/06:RS3</w:t>
    </w:r>
    <w:r w:rsidRPr="00F5723F">
      <w:t xml:space="preserve">    </w:t>
    </w:r>
  </w:p>
  <w:p w:rsidR="00B43C57" w:rsidRPr="00F5723F" w:rsidRDefault="00B43C57">
    <w:pPr>
      <w:pStyle w:val="SidhuvudKantJmn"/>
      <w:framePr w:w="8732" w:h="567" w:hRule="exact" w:vSpace="0" w:wrap="around" w:vAnchor="page" w:y="341" w:anchorLock="0"/>
    </w:pPr>
  </w:p>
  <w:p w:rsidR="00B43C57" w:rsidRPr="00F5723F" w:rsidRDefault="00B43C57">
    <w:pPr>
      <w:pStyle w:val="SidhuvudKantUdda"/>
      <w:framePr w:w="8732" w:h="567" w:hRule="exact" w:vSpace="0" w:wrap="around" w:vAnchor="page" w:y="341" w:anchorLock="0"/>
    </w:pPr>
    <w:r w:rsidRPr="00F5723F">
      <w:rPr>
        <w:rStyle w:val="SidhuvudRubrikReferens"/>
        <w:smallCaps w:val="0"/>
      </w:rPr>
      <w:t xml:space="preserve"> </w:t>
    </w:r>
    <w:r w:rsidRPr="00F5723F">
      <w:fldChar w:fldCharType="end"/>
    </w:r>
  </w:p>
  <w:p w:rsidR="00B43C57" w:rsidRPr="00F5723F" w:rsidRDefault="00B43C57">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fldChar w:fldCharType="begin" w:fldLock="1"/>
    </w:r>
    <w:r w:rsidRPr="00F5723F">
      <w:instrText xml:space="preserve"> if </w:instrText>
    </w:r>
    <w:r w:rsidRPr="00F5723F">
      <w:fldChar w:fldCharType="begin" w:fldLock="1"/>
    </w:r>
    <w:r w:rsidRPr="00F5723F">
      <w:instrText xml:space="preserve"> page</w:instrText>
    </w:r>
    <w:r w:rsidRPr="00F5723F">
      <w:fldChar w:fldCharType="separate"/>
    </w:r>
    <w:r w:rsidRPr="00F5723F">
      <w:instrText>140</w:instrText>
    </w:r>
    <w:r w:rsidRPr="00F5723F">
      <w:fldChar w:fldCharType="end"/>
    </w:r>
    <w:r w:rsidRPr="00F5723F">
      <w:instrText xml:space="preserve"> &gt; 1 "</w:instrText>
    </w: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140</w:instrText>
    </w:r>
    <w:r w:rsidRPr="00F5723F">
      <w:fldChar w:fldCharType="end"/>
    </w:r>
    <w:r w:rsidRPr="00F5723F">
      <w:instrText xml:space="preserve">/2 </w:instrText>
    </w:r>
    <w:r w:rsidRPr="00F5723F">
      <w:fldChar w:fldCharType="separate"/>
    </w:r>
    <w:r w:rsidRPr="00F5723F">
      <w:instrText>70</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140</w:instrText>
    </w:r>
    <w:r w:rsidRPr="00F5723F">
      <w:fldChar w:fldCharType="end"/>
    </w:r>
    <w:r w:rsidRPr="00F5723F">
      <w:instrText xml:space="preserve">/2) </w:instrText>
    </w:r>
    <w:r w:rsidRPr="00F5723F">
      <w:fldChar w:fldCharType="separate"/>
    </w:r>
    <w:r w:rsidRPr="00F5723F">
      <w:instrText>70</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w:instrText>
    </w:r>
    <w:r w:rsidRPr="00F5723F">
      <w:rPr>
        <w:rStyle w:val="SidhuvudUtskott"/>
      </w:rPr>
      <w:instrText>R</w:instrText>
    </w:r>
    <w:r w:rsidRPr="00F5723F">
      <w:rPr>
        <w:rStyle w:val="SidhuvudUtskott"/>
      </w:rPr>
      <w:instrText>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r w:rsidRPr="00F5723F">
      <w:instrText xml:space="preserve">    </w:instrText>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RubrikReferens"/>
        <w:smallCaps w:val="0"/>
      </w:rPr>
      <w:instrText xml:space="preserve"> </w:instrText>
    </w:r>
    <w:r w:rsidRPr="00F5723F">
      <w:instrText xml:space="preserve">"  "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r w:rsidRPr="00F5723F">
      <w:instrText>"</w:instrText>
    </w:r>
    <w:r w:rsidRPr="00F5723F">
      <w:fldChar w:fldCharType="separate"/>
    </w:r>
    <w:r w:rsidRPr="00F5723F">
      <w:rPr>
        <w:rStyle w:val="SidhuvudUtskott"/>
      </w:rPr>
      <w:instrText>2005/06:RS3</w:instrText>
    </w:r>
    <w:r w:rsidRPr="00F5723F">
      <w:instrText xml:space="preserve">    </w:instrText>
    </w:r>
  </w:p>
  <w:p w:rsidR="00B43C57" w:rsidRPr="00F5723F" w:rsidRDefault="00B43C57">
    <w:pPr>
      <w:pStyle w:val="SidhuvudKantJmn"/>
      <w:framePr w:w="8732" w:h="567" w:hRule="exact" w:vSpace="0" w:wrap="around" w:vAnchor="page" w:y="341" w:anchorLock="0"/>
    </w:pPr>
  </w:p>
  <w:p w:rsidR="00B43C57" w:rsidRPr="00F5723F" w:rsidRDefault="00B43C57">
    <w:pPr>
      <w:pStyle w:val="SidhuvudKantJmn"/>
      <w:framePr w:w="8732" w:h="567" w:hRule="exact" w:vSpace="0" w:wrap="around" w:vAnchor="page" w:y="341" w:anchorLock="0"/>
    </w:pPr>
    <w:r w:rsidRPr="00F5723F">
      <w:rPr>
        <w:rStyle w:val="SidhuvudRubrikReferens"/>
        <w:smallCaps w:val="0"/>
      </w:rPr>
      <w:instrText xml:space="preserve"> </w:instrText>
    </w:r>
    <w:r w:rsidRPr="00F5723F">
      <w:fldChar w:fldCharType="end"/>
    </w:r>
    <w:r w:rsidRPr="00F5723F">
      <w:instrText>" " "</w:instrText>
    </w:r>
    <w:r w:rsidRPr="00F5723F">
      <w:fldChar w:fldCharType="separate"/>
    </w:r>
    <w:r w:rsidRPr="00F5723F">
      <w:rPr>
        <w:rStyle w:val="SidhuvudUtskott"/>
      </w:rPr>
      <w:t>2005/06:RS3</w:t>
    </w:r>
    <w:r w:rsidRPr="00F5723F">
      <w:t xml:space="preserve">    </w:t>
    </w:r>
  </w:p>
  <w:p w:rsidR="00B43C57" w:rsidRPr="00F5723F" w:rsidRDefault="00B43C57">
    <w:pPr>
      <w:pStyle w:val="SidhuvudKantJmn"/>
      <w:framePr w:w="8732" w:h="567" w:hRule="exact" w:vSpace="0" w:wrap="around" w:vAnchor="page" w:y="341" w:anchorLock="0"/>
    </w:pPr>
  </w:p>
  <w:p w:rsidR="00B43C57" w:rsidRPr="00F5723F" w:rsidRDefault="00B43C57">
    <w:pPr>
      <w:pStyle w:val="SidhuvudKantUdda"/>
      <w:framePr w:w="8732" w:h="567" w:hRule="exact" w:vSpace="0" w:wrap="around" w:vAnchor="page" w:y="341" w:anchorLock="0"/>
    </w:pPr>
    <w:r w:rsidRPr="00F5723F">
      <w:rPr>
        <w:rStyle w:val="SidhuvudRubrikReferens"/>
        <w:smallCaps w:val="0"/>
      </w:rPr>
      <w:t xml:space="preserve"> </w:t>
    </w:r>
    <w:r w:rsidRPr="00F5723F">
      <w:fldChar w:fldCharType="end"/>
    </w:r>
  </w:p>
  <w:p w:rsidR="00B43C57" w:rsidRPr="00F5723F" w:rsidRDefault="00B43C57">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567" w:h="5896" w:hRule="exact" w:vSpace="0" w:wrap="around" w:vAnchor="page" w:x="15960" w:y="2949" w:anchorLock="0"/>
      <w:textDirection w:val="tbRl"/>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p>
  <w:p w:rsidR="00B43C57" w:rsidRPr="00F5723F" w:rsidRDefault="00B43C57">
    <w:pPr>
      <w:pStyle w:val="SidhuvudKantJmn"/>
      <w:framePr w:w="567" w:h="5896" w:hRule="exact" w:vSpace="0" w:wrap="around" w:vAnchor="page" w:x="15960" w:y="2949" w:anchorLock="0"/>
      <w:textDirection w:val="tbRl"/>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Förord</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567" w:h="5896" w:hRule="exact" w:vSpace="0" w:wrap="around" w:vAnchor="page" w:x="15960" w:y="2949" w:anchorLock="0"/>
      <w:textDirection w:val="tbRl"/>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567" w:h="5896" w:hRule="exact" w:vSpace="0" w:wrap="around" w:vAnchor="page" w:x="15960" w:y="2949" w:anchorLock="0"/>
      <w:textDirection w:val="tbRl"/>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567" w:h="5896" w:hRule="exact" w:vSpace="0" w:wrap="around" w:vAnchor="page" w:x="15960" w:y="2949" w:anchorLock="0"/>
      <w:textDirection w:val="tbRl"/>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p>
  <w:p w:rsidR="00B43C57" w:rsidRPr="00F5723F" w:rsidRDefault="00B43C57">
    <w:pPr>
      <w:pStyle w:val="SidhuvudKantUdda"/>
      <w:framePr w:w="567" w:h="5896" w:hRule="exact" w:vSpace="0" w:wrap="around" w:vAnchor="page" w:x="15960" w:y="2949" w:anchorLock="0"/>
      <w:textDirection w:val="tbRl"/>
    </w:pPr>
  </w:p>
  <w:p w:rsidR="00B43C57" w:rsidRPr="00F5723F" w:rsidRDefault="00B43C57">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p>
  <w:p w:rsidR="00B43C57" w:rsidRPr="00F5723F" w:rsidRDefault="00B43C57">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567" w:h="5896" w:hRule="exact" w:vSpace="0" w:wrap="around" w:vAnchor="page" w:x="15960" w:y="2949" w:anchorLock="0"/>
      <w:textDirection w:val="tbRl"/>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p>
  <w:p w:rsidR="00B43C57" w:rsidRPr="00F5723F" w:rsidRDefault="00B43C57">
    <w:pPr>
      <w:pStyle w:val="SidhuvudKantJmn"/>
      <w:framePr w:w="567" w:h="5896" w:hRule="exact" w:vSpace="0" w:wrap="around" w:vAnchor="page" w:x="15960" w:y="2949" w:anchorLock="0"/>
      <w:textDirection w:val="tbRl"/>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567" w:h="5896" w:hRule="exact" w:vSpace="0" w:wrap="around" w:vAnchor="page" w:x="15960" w:y="2949" w:anchorLock="0"/>
      <w:textDirection w:val="tbRl"/>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567" w:h="5896" w:hRule="exact" w:vSpace="0" w:wrap="around" w:vAnchor="page" w:x="15960" w:y="2949" w:anchorLock="0"/>
      <w:textDirection w:val="tbRl"/>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567" w:h="5896" w:hRule="exact" w:vSpace="0" w:wrap="around" w:vAnchor="page" w:x="15960" w:y="2949" w:anchorLock="0"/>
      <w:textDirection w:val="tbRl"/>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567" w:h="5896" w:hRule="exact" w:vSpace="0" w:wrap="around" w:vAnchor="page" w:x="15960" w:y="2949" w:anchorLock="0"/>
      <w:textDirection w:val="tbRl"/>
    </w:pPr>
  </w:p>
  <w:p w:rsidR="00B43C57" w:rsidRPr="00F5723F" w:rsidRDefault="00B43C57">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1"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p>
  <w:p w:rsidR="00B43C57" w:rsidRPr="00F5723F" w:rsidRDefault="00B43C57">
    <w:pPr>
      <w:pStyle w:val="SidhuvudKantJmn"/>
      <w:framePr w:w="8731"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1"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1"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t xml:space="preserve"> </w:t>
    </w:r>
  </w:p>
  <w:p w:rsidR="00B43C57" w:rsidRPr="00F5723F" w:rsidRDefault="00B43C57">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Riksdagsledamöternas arbetsvecka</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1"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Mellanvalsdemokrati</w:t>
    </w:r>
    <w:r w:rsidRPr="00F5723F">
      <w:rPr>
        <w:rStyle w:val="SidhuvudRubrikReferens"/>
      </w:rPr>
      <w:fldChar w:fldCharType="end"/>
    </w:r>
  </w:p>
  <w:p w:rsidR="00B43C57" w:rsidRPr="00F5723F" w:rsidRDefault="00B43C57">
    <w:pPr>
      <w:pStyle w:val="SidhuvudKantJmn"/>
      <w:framePr w:w="8731"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1"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Mellanvalsdemokrati</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1"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1" w:h="567" w:hRule="exact" w:vSpace="0" w:wrap="around" w:vAnchor="page" w:y="341" w:anchorLock="0"/>
    </w:pPr>
    <w:r w:rsidRPr="00F5723F">
      <w:fldChar w:fldCharType="begin" w:fldLock="1"/>
    </w:r>
    <w:r w:rsidRPr="00F5723F">
      <w:instrText xml:space="preserve"> if </w:instrText>
    </w:r>
    <w:r w:rsidRPr="00F5723F">
      <w:fldChar w:fldCharType="begin" w:fldLock="1"/>
    </w:r>
    <w:r w:rsidRPr="00F5723F">
      <w:instrText xml:space="preserve"> page</w:instrText>
    </w:r>
    <w:r w:rsidRPr="00F5723F">
      <w:fldChar w:fldCharType="separate"/>
    </w:r>
    <w:r w:rsidRPr="00F5723F">
      <w:instrText>190</w:instrText>
    </w:r>
    <w:r w:rsidRPr="00F5723F">
      <w:fldChar w:fldCharType="end"/>
    </w:r>
    <w:r w:rsidRPr="00F5723F">
      <w:instrText xml:space="preserve"> &gt; 1 "</w:instrText>
    </w: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190</w:instrText>
    </w:r>
    <w:r w:rsidRPr="00F5723F">
      <w:fldChar w:fldCharType="end"/>
    </w:r>
    <w:r w:rsidRPr="00F5723F">
      <w:instrText xml:space="preserve">/2 </w:instrText>
    </w:r>
    <w:r w:rsidRPr="00F5723F">
      <w:fldChar w:fldCharType="separate"/>
    </w:r>
    <w:r w:rsidRPr="00F5723F">
      <w:instrText>95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190</w:instrText>
    </w:r>
    <w:r w:rsidRPr="00F5723F">
      <w:fldChar w:fldCharType="end"/>
    </w:r>
    <w:r w:rsidRPr="00F5723F">
      <w:instrText xml:space="preserve">/2) </w:instrText>
    </w:r>
    <w:r w:rsidRPr="00F5723F">
      <w:fldChar w:fldCharType="separate"/>
    </w:r>
    <w:r w:rsidRPr="00F5723F">
      <w:instrText>95</w:instrText>
    </w:r>
    <w:r w:rsidRPr="00F5723F">
      <w:fldChar w:fldCharType="end"/>
    </w:r>
    <w:r w:rsidRPr="00F5723F">
      <w:fldChar w:fldCharType="separate"/>
    </w:r>
    <w:r w:rsidRPr="00F5723F">
      <w:instrText>0</w:instrText>
    </w:r>
    <w:r w:rsidRPr="00F5723F">
      <w:fldChar w:fldCharType="end"/>
    </w:r>
    <w:r w:rsidRPr="00F5723F">
      <w:instrText xml:space="preserve"> = 0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w:instrText>
    </w:r>
    <w:r w:rsidRPr="00F5723F">
      <w:rPr>
        <w:rStyle w:val="SidhuvudUtskott"/>
      </w:rPr>
      <w:instrText>R</w:instrText>
    </w:r>
    <w:r w:rsidRPr="00F5723F">
      <w:rPr>
        <w:rStyle w:val="SidhuvudUtskott"/>
      </w:rPr>
      <w:instrText>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r w:rsidRPr="00F5723F">
      <w:instrText xml:space="preserve">    </w:instrText>
    </w:r>
  </w:p>
  <w:p w:rsidR="00B43C57" w:rsidRPr="00F5723F" w:rsidRDefault="00B43C57">
    <w:pPr>
      <w:pStyle w:val="SidhuvudKantJmn"/>
      <w:framePr w:w="8731"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KantUdda"/>
      <w:framePr w:w="8731" w:h="567" w:hRule="exact" w:vSpace="0" w:wrap="around" w:vAnchor="page" w:y="341" w:anchorLock="0"/>
    </w:pPr>
    <w:r w:rsidRPr="00F5723F">
      <w:rPr>
        <w:rStyle w:val="SidhuvudRubrikReferens"/>
        <w:smallCaps w:val="0"/>
      </w:rPr>
      <w:instrText xml:space="preserve"> </w:instrText>
    </w:r>
    <w:r w:rsidRPr="00F5723F">
      <w:instrText xml:space="preserve">"  "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p>
  <w:p w:rsidR="00B43C57" w:rsidRPr="00F5723F" w:rsidRDefault="00B43C57">
    <w:pPr>
      <w:pStyle w:val="SidhuvudKantJmn"/>
      <w:framePr w:w="8731"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r w:rsidRPr="00F5723F">
      <w:instrText>"</w:instrText>
    </w:r>
    <w:r w:rsidRPr="00F5723F">
      <w:fldChar w:fldCharType="separate"/>
    </w:r>
    <w:r w:rsidRPr="00F5723F">
      <w:rPr>
        <w:rStyle w:val="SidhuvudUtskott"/>
      </w:rPr>
      <w:instrText>2005/06:RS3</w:instrText>
    </w:r>
    <w:r w:rsidRPr="00F5723F">
      <w:instrText xml:space="preserve">    </w:instrText>
    </w:r>
  </w:p>
  <w:p w:rsidR="00B43C57" w:rsidRPr="00F5723F" w:rsidRDefault="00B43C57">
    <w:pPr>
      <w:pStyle w:val="SidhuvudKantJmn"/>
      <w:framePr w:w="8731" w:h="567" w:hRule="exact" w:vSpace="0" w:wrap="around" w:vAnchor="page" w:y="341" w:anchorLock="0"/>
    </w:pPr>
  </w:p>
  <w:p w:rsidR="00B43C57" w:rsidRPr="00F5723F" w:rsidRDefault="00B43C57">
    <w:pPr>
      <w:pStyle w:val="SidhuvudKantJmn"/>
      <w:framePr w:w="8731" w:h="567" w:hRule="exact" w:vSpace="0" w:wrap="around" w:vAnchor="page" w:y="341" w:anchorLock="0"/>
    </w:pPr>
    <w:r w:rsidRPr="00F5723F">
      <w:rPr>
        <w:rStyle w:val="SidhuvudRubrikReferens"/>
        <w:smallCaps w:val="0"/>
      </w:rPr>
      <w:instrText xml:space="preserve"> </w:instrText>
    </w:r>
    <w:r w:rsidRPr="00F5723F">
      <w:fldChar w:fldCharType="end"/>
    </w:r>
    <w:r w:rsidRPr="00F5723F">
      <w:instrText>" " "</w:instrText>
    </w:r>
    <w:r w:rsidRPr="00F5723F">
      <w:fldChar w:fldCharType="separate"/>
    </w:r>
    <w:r w:rsidRPr="00F5723F">
      <w:rPr>
        <w:rStyle w:val="SidhuvudUtskott"/>
      </w:rPr>
      <w:t>2005/06:RS3</w:t>
    </w:r>
    <w:r w:rsidRPr="00F5723F">
      <w:t xml:space="preserve">    </w:t>
    </w:r>
  </w:p>
  <w:p w:rsidR="00B43C57" w:rsidRPr="00F5723F" w:rsidRDefault="00B43C57">
    <w:pPr>
      <w:pStyle w:val="SidhuvudKantJmn"/>
      <w:framePr w:w="8731" w:h="567" w:hRule="exact" w:vSpace="0" w:wrap="around" w:vAnchor="page" w:y="341" w:anchorLock="0"/>
    </w:pPr>
  </w:p>
  <w:p w:rsidR="00B43C57" w:rsidRPr="00F5723F" w:rsidRDefault="00B43C57">
    <w:pPr>
      <w:pStyle w:val="SidhuvudKantUdda"/>
      <w:framePr w:w="8731" w:h="567" w:hRule="exact" w:vSpace="0" w:wrap="around" w:vAnchor="page" w:y="341" w:anchorLock="0"/>
    </w:pPr>
    <w:r w:rsidRPr="00F5723F">
      <w:rPr>
        <w:rStyle w:val="SidhuvudRubrikReferens"/>
        <w:smallCaps w:val="0"/>
      </w:rPr>
      <w:t xml:space="preserve"> </w:t>
    </w:r>
    <w:r w:rsidRPr="00F5723F">
      <w:fldChar w:fldCharType="end"/>
    </w:r>
  </w:p>
  <w:p w:rsidR="00B43C57" w:rsidRPr="00F5723F" w:rsidRDefault="00B43C57">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t>3</w:t>
    </w:r>
    <w:r w:rsidRPr="00F5723F">
      <w:rPr>
        <w:rStyle w:val="SidhuvudUtskott"/>
      </w:rPr>
      <w:fldChar w:fldCharType="end"/>
    </w:r>
    <w:r w:rsidRPr="00F5723F">
      <w:t xml:space="preserve">  </w:t>
    </w: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Riksdagen ur ett genusperspektiv</w:t>
    </w:r>
    <w:r w:rsidRPr="00F5723F">
      <w:rPr>
        <w:rStyle w:val="SidhuvudRubrikReferens"/>
      </w:rPr>
      <w:fldChar w:fldCharType="end"/>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fldChar w:fldCharType="begin" w:fldLock="1"/>
    </w:r>
    <w:r w:rsidRPr="00F5723F">
      <w:rPr>
        <w:rStyle w:val="SidhuvudRubrikReferens"/>
      </w:rPr>
      <w:instrText xml:space="preserve"> StyleREF "Rubrik 1" </w:instrText>
    </w:r>
    <w:r w:rsidRPr="00F5723F">
      <w:rPr>
        <w:rStyle w:val="SidhuvudRubrikReferens"/>
      </w:rPr>
      <w:fldChar w:fldCharType="separate"/>
    </w:r>
    <w:r w:rsidRPr="00F5723F">
      <w:rPr>
        <w:rStyle w:val="SidhuvudRubrikReferens"/>
      </w:rPr>
      <w:t>Riksdagen ur ett genusperspektiv</w:t>
    </w:r>
    <w:r w:rsidRPr="00F5723F">
      <w:rPr>
        <w:rStyle w:val="SidhuvudRubrikReferens"/>
      </w:rPr>
      <w:fldChar w:fldCharType="end"/>
    </w:r>
    <w:r w:rsidRPr="00F5723F">
      <w:rPr>
        <w:rStyle w:val="SidhuvudBilaga"/>
      </w:rPr>
      <w:t xml:space="preserve"> </w:t>
    </w:r>
    <w:r w:rsidRPr="00F5723F">
      <w:t xml:space="preserve"> </w: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t>2005/06</w:t>
    </w:r>
    <w:r w:rsidRPr="00F5723F">
      <w:rPr>
        <w:rStyle w:val="SidhuvudUtskott"/>
      </w:rPr>
      <w:fldChar w:fldCharType="end"/>
    </w:r>
    <w:r w:rsidRPr="00F5723F">
      <w:rPr>
        <w:rStyle w:val="SidhuvudUtskott"/>
      </w:rPr>
      <w:t>:</w:t>
    </w:r>
    <w:r w:rsidRPr="00F5723F">
      <w:rPr>
        <w:rStyle w:val="SidhuvudUtskott"/>
      </w:rPr>
      <w:fldChar w:fldCharType="begin" w:fldLock="1"/>
    </w:r>
    <w:r w:rsidRPr="00F5723F">
      <w:rPr>
        <w:rStyle w:val="SidhuvudUtskott"/>
      </w:rPr>
      <w:instrText xml:space="preserve"> DOCPROPERTY</w:instrText>
    </w:r>
    <w:r w:rsidRPr="00F5723F">
      <w:instrText xml:space="preserve"> </w:instrText>
    </w:r>
    <w:r w:rsidRPr="00F5723F">
      <w:rPr>
        <w:rStyle w:val="SidhuvudUtskott"/>
      </w:rPr>
      <w:instrText>Utskott</w:instrText>
    </w:r>
    <w:r w:rsidRPr="00F5723F">
      <w:rPr>
        <w:rStyle w:val="SidhuvudUtskott"/>
      </w:rPr>
      <w:fldChar w:fldCharType="separate"/>
    </w:r>
    <w:r w:rsidRPr="00F5723F">
      <w:rPr>
        <w:rStyle w:val="SidhuvudUtskott"/>
      </w:rPr>
      <w:t>RS</w: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w:instrText>
    </w:r>
    <w:r w:rsidRPr="00F5723F">
      <w:rPr>
        <w:rStyle w:val="SidhuvudUtskott"/>
      </w:rPr>
      <w:instrText>n</w:instrText>
    </w:r>
    <w:r w:rsidRPr="00F5723F">
      <w:rPr>
        <w:rStyle w:val="SidhuvudUtskott"/>
      </w:rPr>
      <w:instrText>kandeNr</w:instrText>
    </w:r>
    <w:r w:rsidRPr="00F5723F">
      <w:rPr>
        <w:rStyle w:val="SidhuvudUtskott"/>
      </w:rPr>
      <w:fldChar w:fldCharType="separate"/>
    </w:r>
    <w:r w:rsidRPr="00F5723F">
      <w:rPr>
        <w:rStyle w:val="SidhuvudUtskott"/>
      </w:rPr>
      <w:t>3</w: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p>
  <w:p w:rsidR="00B43C57" w:rsidRPr="00F5723F" w:rsidRDefault="00B43C57">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fldChar w:fldCharType="begin" w:fldLock="1"/>
    </w:r>
    <w:r w:rsidRPr="00F5723F">
      <w:instrText xml:space="preserve"> if </w:instrText>
    </w:r>
    <w:r w:rsidRPr="00F5723F">
      <w:fldChar w:fldCharType="begin" w:fldLock="1"/>
    </w:r>
    <w:r w:rsidRPr="00F5723F">
      <w:instrText xml:space="preserve"> page</w:instrText>
    </w:r>
    <w:r w:rsidRPr="00F5723F">
      <w:fldChar w:fldCharType="separate"/>
    </w:r>
    <w:r w:rsidRPr="00F5723F">
      <w:instrText>217</w:instrText>
    </w:r>
    <w:r w:rsidRPr="00F5723F">
      <w:fldChar w:fldCharType="end"/>
    </w:r>
    <w:r w:rsidRPr="00F5723F">
      <w:instrText xml:space="preserve"> &gt; 1 "</w:instrText>
    </w:r>
    <w:r w:rsidRPr="00F5723F">
      <w:fldChar w:fldCharType="begin" w:fldLock="1"/>
    </w:r>
    <w:r w:rsidRPr="00F5723F">
      <w:instrText xml:space="preserve"> if </w:instrText>
    </w:r>
    <w:r w:rsidRPr="00F5723F">
      <w:fldChar w:fldCharType="begin" w:fldLock="1"/>
    </w:r>
    <w:r w:rsidRPr="00F5723F">
      <w:instrText xml:space="preserve"> = </w:instrText>
    </w:r>
    <w:r w:rsidRPr="00F5723F">
      <w:fldChar w:fldCharType="begin" w:fldLock="1"/>
    </w:r>
    <w:r w:rsidRPr="00F5723F">
      <w:instrText xml:space="preserve"> = </w:instrText>
    </w:r>
    <w:r w:rsidRPr="00F5723F">
      <w:fldChar w:fldCharType="begin" w:fldLock="1"/>
    </w:r>
    <w:r w:rsidRPr="00F5723F">
      <w:instrText xml:space="preserve"> page</w:instrText>
    </w:r>
    <w:r w:rsidRPr="00F5723F">
      <w:fldChar w:fldCharType="separate"/>
    </w:r>
    <w:r w:rsidRPr="00F5723F">
      <w:instrText>217</w:instrText>
    </w:r>
    <w:r w:rsidRPr="00F5723F">
      <w:fldChar w:fldCharType="end"/>
    </w:r>
    <w:r w:rsidRPr="00F5723F">
      <w:instrText xml:space="preserve">/2 </w:instrText>
    </w:r>
    <w:r w:rsidRPr="00F5723F">
      <w:fldChar w:fldCharType="separate"/>
    </w:r>
    <w:r w:rsidRPr="00F5723F">
      <w:instrText>108,5</w:instrText>
    </w:r>
    <w:r w:rsidRPr="00F5723F">
      <w:fldChar w:fldCharType="end"/>
    </w:r>
    <w:r w:rsidRPr="00F5723F">
      <w:instrText xml:space="preserve"> - </w:instrText>
    </w:r>
    <w:r w:rsidRPr="00F5723F">
      <w:fldChar w:fldCharType="begin" w:fldLock="1"/>
    </w:r>
    <w:r w:rsidRPr="00F5723F">
      <w:instrText xml:space="preserve"> = int(</w:instrText>
    </w:r>
    <w:r w:rsidRPr="00F5723F">
      <w:fldChar w:fldCharType="begin" w:fldLock="1"/>
    </w:r>
    <w:r w:rsidRPr="00F5723F">
      <w:instrText xml:space="preserve"> page</w:instrText>
    </w:r>
    <w:r w:rsidRPr="00F5723F">
      <w:fldChar w:fldCharType="separate"/>
    </w:r>
    <w:r w:rsidRPr="00F5723F">
      <w:instrText>217</w:instrText>
    </w:r>
    <w:r w:rsidRPr="00F5723F">
      <w:fldChar w:fldCharType="end"/>
    </w:r>
    <w:r w:rsidRPr="00F5723F">
      <w:instrText xml:space="preserve">/2) </w:instrText>
    </w:r>
    <w:r w:rsidRPr="00F5723F">
      <w:fldChar w:fldCharType="separate"/>
    </w:r>
    <w:r w:rsidRPr="00F5723F">
      <w:instrText>108</w:instrText>
    </w:r>
    <w:r w:rsidRPr="00F5723F">
      <w:fldChar w:fldCharType="end"/>
    </w:r>
    <w:r w:rsidRPr="00F5723F">
      <w:fldChar w:fldCharType="separate"/>
    </w:r>
    <w:r w:rsidRPr="00F5723F">
      <w:instrText>0,5</w:instrText>
    </w:r>
    <w:r w:rsidRPr="00F5723F">
      <w:fldChar w:fldCharType="end"/>
    </w:r>
    <w:r w:rsidRPr="00F5723F">
      <w:instrText xml:space="preserve"> = 0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w:instrText>
    </w:r>
    <w:r w:rsidRPr="00F5723F">
      <w:rPr>
        <w:rStyle w:val="SidhuvudUtskott"/>
      </w:rPr>
      <w:instrText>R</w:instrText>
    </w:r>
    <w:r w:rsidRPr="00F5723F">
      <w:rPr>
        <w:rStyle w:val="SidhuvudUtskott"/>
      </w:rPr>
      <w:instrText>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r w:rsidRPr="00F5723F">
      <w:instrText xml:space="preserve">    </w:instrText>
    </w:r>
  </w:p>
  <w:p w:rsidR="00B43C57" w:rsidRPr="00F5723F" w:rsidRDefault="00B43C57">
    <w:pPr>
      <w:pStyle w:val="SidhuvudKantJmn"/>
      <w:framePr w:w="8732" w:h="567" w:hRule="exact" w:vSpace="0" w:wrap="around" w:vAnchor="page" w:y="341" w:anchorLock="0"/>
    </w:pPr>
    <w:r w:rsidRPr="00F5723F">
      <w:rPr>
        <w:rStyle w:val="SidhuvudUtskott"/>
      </w:rPr>
      <w:fldChar w:fldCharType="begin" w:fldLock="1"/>
    </w:r>
    <w:r w:rsidRPr="00F5723F">
      <w:rPr>
        <w:rStyle w:val="SidhuvudUtskott"/>
      </w:rPr>
      <w:instrText xml:space="preserve"> DOCPROPERTY Status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    </w:instrText>
    </w:r>
    <w:r w:rsidRPr="00F5723F">
      <w:rPr>
        <w:rStyle w:val="SidhuvudUtskott"/>
      </w:rPr>
      <w:fldChar w:fldCharType="begin" w:fldLock="1"/>
    </w:r>
    <w:r w:rsidRPr="00F5723F">
      <w:rPr>
        <w:rStyle w:val="SidhuvudUtskott"/>
      </w:rPr>
      <w:instrText xml:space="preserve"> PRINTDATE \@ "yyyy-MM-dd HH.mm"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RubrikReferens"/>
        <w:smallCaps w:val="0"/>
      </w:rPr>
      <w:instrText xml:space="preserve"> </w:instrText>
    </w:r>
    <w:r w:rsidRPr="00F5723F">
      <w:instrText xml:space="preserve">"  "  </w:instrText>
    </w:r>
    <w:r w:rsidRPr="00F5723F">
      <w:rPr>
        <w:rStyle w:val="SidhuvudUtskott"/>
      </w:rPr>
      <w:fldChar w:fldCharType="begin" w:fldLock="1"/>
    </w:r>
    <w:r w:rsidRPr="00F5723F">
      <w:rPr>
        <w:rStyle w:val="SidhuvudUtskott"/>
      </w:rPr>
      <w:instrText xml:space="preserve"> DOCPROPERTY BetänkandeÅr</w:instrText>
    </w:r>
    <w:r w:rsidRPr="00F5723F">
      <w:rPr>
        <w:rStyle w:val="SidhuvudUtskott"/>
      </w:rPr>
      <w:fldChar w:fldCharType="separate"/>
    </w:r>
    <w:r w:rsidRPr="00F5723F">
      <w:rPr>
        <w:rStyle w:val="SidhuvudUtskott"/>
      </w:rPr>
      <w:instrText>2005/06</w:instrText>
    </w:r>
    <w:r w:rsidRPr="00F5723F">
      <w:rPr>
        <w:rStyle w:val="SidhuvudUtskott"/>
      </w:rPr>
      <w:fldChar w:fldCharType="end"/>
    </w:r>
    <w:r w:rsidRPr="00F5723F">
      <w:rPr>
        <w:rStyle w:val="SidhuvudUtskott"/>
      </w:rPr>
      <w:instrText>:</w:instrText>
    </w:r>
    <w:r w:rsidRPr="00F5723F">
      <w:rPr>
        <w:rStyle w:val="SidhuvudUtskott"/>
      </w:rPr>
      <w:fldChar w:fldCharType="begin" w:fldLock="1"/>
    </w:r>
    <w:r w:rsidRPr="00F5723F">
      <w:rPr>
        <w:rStyle w:val="SidhuvudUtskott"/>
      </w:rPr>
      <w:instrText xml:space="preserve"> DOCPROPERTY Utskott</w:instrText>
    </w:r>
    <w:r w:rsidRPr="00F5723F">
      <w:rPr>
        <w:rStyle w:val="SidhuvudUtskott"/>
      </w:rPr>
      <w:fldChar w:fldCharType="separate"/>
    </w:r>
    <w:r w:rsidRPr="00F5723F">
      <w:rPr>
        <w:rStyle w:val="SidhuvudUtskott"/>
      </w:rPr>
      <w:instrText>RS</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DOCPROPERTY BetänkandeNr</w:instrText>
    </w:r>
    <w:r w:rsidRPr="00F5723F">
      <w:rPr>
        <w:rStyle w:val="SidhuvudUtskott"/>
      </w:rPr>
      <w:fldChar w:fldCharType="separate"/>
    </w:r>
    <w:r w:rsidRPr="00F5723F">
      <w:rPr>
        <w:rStyle w:val="SidhuvudUtskott"/>
      </w:rPr>
      <w:instrText>3</w:instrText>
    </w:r>
    <w:r w:rsidRPr="00F5723F">
      <w:rPr>
        <w:rStyle w:val="SidhuvudUtskott"/>
      </w:rPr>
      <w:fldChar w:fldCharType="end"/>
    </w:r>
  </w:p>
  <w:p w:rsidR="00B43C57" w:rsidRPr="00F5723F" w:rsidRDefault="00B43C57">
    <w:pPr>
      <w:pStyle w:val="SidhuvudKantUdda"/>
      <w:framePr w:w="8732" w:h="567" w:hRule="exact" w:vSpace="0" w:wrap="around" w:vAnchor="page" w:y="341" w:anchorLock="0"/>
    </w:pPr>
    <w:r w:rsidRPr="00F5723F">
      <w:rPr>
        <w:rStyle w:val="SidhuvudUtskott"/>
      </w:rPr>
      <w:fldChar w:fldCharType="begin" w:fldLock="1"/>
    </w:r>
    <w:r w:rsidRPr="00F5723F">
      <w:rPr>
        <w:rStyle w:val="SidhuvudUtskott"/>
      </w:rPr>
      <w:instrText xml:space="preserve"> if </w:instrText>
    </w:r>
    <w:r w:rsidRPr="00F5723F">
      <w:rPr>
        <w:rStyle w:val="SidhuvudUtskott"/>
      </w:rPr>
      <w:fldChar w:fldCharType="begin" w:fldLock="1"/>
    </w:r>
    <w:r w:rsidRPr="00F5723F">
      <w:rPr>
        <w:rStyle w:val="SidhuvudUtskott"/>
      </w:rPr>
      <w:instrText xml:space="preserve"> DOCPROPERTY "UtkastDatum"</w:instrText>
    </w:r>
    <w:r w:rsidRPr="00F5723F">
      <w:rPr>
        <w:rStyle w:val="SidhuvudUtskott"/>
      </w:rPr>
      <w:fldChar w:fldCharType="separate"/>
    </w:r>
    <w:r w:rsidRPr="00F5723F">
      <w:rPr>
        <w:rStyle w:val="SidhuvudUtskott"/>
      </w:rPr>
      <w:instrText>Nej</w:instrText>
    </w:r>
    <w:r w:rsidRPr="00F5723F">
      <w:rPr>
        <w:rStyle w:val="SidhuvudUtskott"/>
      </w:rPr>
      <w:fldChar w:fldCharType="end"/>
    </w:r>
    <w:r w:rsidRPr="00F5723F">
      <w:rPr>
        <w:rStyle w:val="SidhuvudUtskott"/>
      </w:rPr>
      <w:instrText xml:space="preserve"> = "Ja" "</w:instrText>
    </w:r>
    <w:r w:rsidRPr="00F5723F">
      <w:rPr>
        <w:rStyle w:val="SidhuvudUtskott"/>
      </w:rPr>
      <w:fldChar w:fldCharType="begin" w:fldLock="1"/>
    </w:r>
    <w:r w:rsidRPr="00F5723F">
      <w:rPr>
        <w:rStyle w:val="SidhuvudUtskott"/>
      </w:rPr>
      <w:instrText xml:space="preserve"> PRINTDATE \@ "yyyy-MM-dd HH.mm    " </w:instrText>
    </w:r>
    <w:r w:rsidRPr="00F5723F">
      <w:rPr>
        <w:rStyle w:val="SidhuvudUtskott"/>
      </w:rPr>
      <w:fldChar w:fldCharType="separate"/>
    </w:r>
    <w:r w:rsidRPr="00F5723F">
      <w:rPr>
        <w:rStyle w:val="SidhuvudUtskott"/>
      </w:rPr>
      <w:instrText>2000-08-11 16.42</w:instrText>
    </w:r>
    <w:r w:rsidRPr="00F5723F">
      <w:rPr>
        <w:rStyle w:val="SidhuvudUtskott"/>
      </w:rPr>
      <w:fldChar w:fldCharType="end"/>
    </w:r>
    <w:r w:rsidRPr="00F5723F">
      <w:rPr>
        <w:rStyle w:val="SidhuvudUtskott"/>
      </w:rPr>
      <w:instrText xml:space="preserve">" </w:instrText>
    </w:r>
    <w:r w:rsidRPr="00F5723F">
      <w:rPr>
        <w:rStyle w:val="SidhuvudUtskott"/>
      </w:rPr>
      <w:fldChar w:fldCharType="end"/>
    </w:r>
    <w:r w:rsidRPr="00F5723F">
      <w:rPr>
        <w:rStyle w:val="SidhuvudUtskott"/>
      </w:rPr>
      <w:fldChar w:fldCharType="begin" w:fldLock="1"/>
    </w:r>
    <w:r w:rsidRPr="00F5723F">
      <w:rPr>
        <w:rStyle w:val="SidhuvudUtskott"/>
      </w:rPr>
      <w:instrText xml:space="preserve"> DOCPR</w:instrText>
    </w:r>
    <w:r w:rsidRPr="00F5723F">
      <w:rPr>
        <w:rStyle w:val="SidhuvudUtskott"/>
      </w:rPr>
      <w:instrText>O</w:instrText>
    </w:r>
    <w:r w:rsidRPr="00F5723F">
      <w:rPr>
        <w:rStyle w:val="SidhuvudUtskott"/>
      </w:rPr>
      <w:instrText>PERTY Status</w:instrText>
    </w:r>
    <w:r w:rsidRPr="00F5723F">
      <w:rPr>
        <w:rStyle w:val="SidhuvudUtskott"/>
      </w:rPr>
      <w:fldChar w:fldCharType="end"/>
    </w:r>
    <w:r w:rsidRPr="00F5723F">
      <w:instrText>"</w:instrText>
    </w:r>
    <w:r w:rsidRPr="00F5723F">
      <w:fldChar w:fldCharType="separate"/>
    </w:r>
    <w:r w:rsidRPr="00F5723F">
      <w:instrText xml:space="preserve">  </w:instrText>
    </w:r>
    <w:r w:rsidRPr="00F5723F">
      <w:rPr>
        <w:rStyle w:val="SidhuvudUtskott"/>
      </w:rPr>
      <w:instrText>2005/06:RS3</w:instrText>
    </w:r>
  </w:p>
  <w:p w:rsidR="00B43C57" w:rsidRPr="00F5723F" w:rsidRDefault="00B43C57">
    <w:pPr>
      <w:pStyle w:val="SidhuvudKantUdda"/>
      <w:framePr w:w="8732" w:h="567" w:hRule="exact" w:vSpace="0" w:wrap="around" w:vAnchor="page" w:y="341" w:anchorLock="0"/>
    </w:pPr>
    <w:r w:rsidRPr="00F5723F">
      <w:fldChar w:fldCharType="end"/>
    </w:r>
    <w:r w:rsidRPr="00F5723F">
      <w:instrText>" " "</w:instrText>
    </w:r>
    <w:r w:rsidRPr="00F5723F">
      <w:fldChar w:fldCharType="separate"/>
    </w:r>
    <w:r w:rsidRPr="00F5723F">
      <w:t xml:space="preserve">  </w:t>
    </w:r>
    <w:r w:rsidRPr="00F5723F">
      <w:rPr>
        <w:rStyle w:val="SidhuvudUtskott"/>
      </w:rPr>
      <w:t>2005/06:RS3</w:t>
    </w:r>
  </w:p>
  <w:p w:rsidR="00B43C57" w:rsidRPr="00F5723F" w:rsidRDefault="00B43C57">
    <w:pPr>
      <w:pStyle w:val="SidhuvudKantUdda"/>
      <w:framePr w:w="8732" w:h="567" w:hRule="exact" w:vSpace="0" w:wrap="around" w:vAnchor="page" w:y="341" w:anchorLock="0"/>
    </w:pPr>
    <w:r w:rsidRPr="00F5723F">
      <w:fldChar w:fldCharType="end"/>
    </w:r>
  </w:p>
  <w:p w:rsidR="00B43C57" w:rsidRPr="00F5723F" w:rsidRDefault="00B43C57">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1" w:h="567" w:hRule="exact" w:vSpace="0" w:wrap="around" w:vAnchor="page" w:y="341" w:anchorLock="0"/>
    </w:pPr>
    <w:r w:rsidRPr="00F5723F">
      <w:rPr>
        <w:rStyle w:val="SidhuvudUtskott"/>
      </w:rPr>
      <w:t>2005/06:RS3</w:t>
    </w:r>
    <w:r w:rsidRPr="00F5723F">
      <w:t xml:space="preserve">  </w:t>
    </w:r>
    <w:r w:rsidRPr="00F5723F">
      <w:rPr>
        <w:rStyle w:val="SidhuvudRubrikReferens"/>
      </w:rPr>
      <w:t>Förord</w:t>
    </w:r>
  </w:p>
  <w:p w:rsidR="00B43C57" w:rsidRPr="00F5723F" w:rsidRDefault="00B43C57">
    <w:pPr>
      <w:pStyle w:val="SidhuvudKantJmn"/>
      <w:framePr w:w="8731" w:h="567" w:hRule="exact" w:vSpace="0" w:wrap="around" w:vAnchor="page" w:y="341" w:anchorLock="0"/>
    </w:pPr>
  </w:p>
  <w:p w:rsidR="00B43C57" w:rsidRPr="00F5723F" w:rsidRDefault="00B43C57">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1" w:h="567" w:hRule="exact" w:vSpace="0" w:wrap="around" w:vAnchor="page" w:y="341" w:anchorLock="0"/>
    </w:pPr>
    <w:r w:rsidRPr="00F5723F">
      <w:rPr>
        <w:rStyle w:val="SidhuvudRubrikReferens"/>
      </w:rPr>
      <w:t>Förord</w:t>
    </w:r>
    <w:r w:rsidRPr="00F5723F">
      <w:rPr>
        <w:rStyle w:val="SidhuvudBilaga"/>
      </w:rPr>
      <w:t xml:space="preserve"> </w:t>
    </w:r>
    <w:r w:rsidRPr="00F5723F">
      <w:t xml:space="preserve"> </w:t>
    </w:r>
    <w:r w:rsidRPr="00F5723F">
      <w:rPr>
        <w:rStyle w:val="SidhuvudUtskott"/>
      </w:rPr>
      <w:t>2005/06:RS3</w:t>
    </w:r>
  </w:p>
  <w:p w:rsidR="00B43C57" w:rsidRPr="00F5723F" w:rsidRDefault="00B43C57">
    <w:pPr>
      <w:pStyle w:val="SidhuvudKantUdda"/>
      <w:framePr w:w="8731" w:h="567" w:hRule="exact" w:vSpace="0" w:wrap="around" w:vAnchor="page" w:y="341" w:anchorLock="0"/>
    </w:pPr>
  </w:p>
  <w:p w:rsidR="00B43C57" w:rsidRPr="00F5723F" w:rsidRDefault="00B43C57">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1" w:h="567" w:hRule="exact" w:vSpace="0" w:wrap="around" w:vAnchor="page" w:y="341" w:anchorLock="0"/>
    </w:pPr>
    <w:r w:rsidRPr="00F5723F">
      <w:rPr>
        <w:rStyle w:val="SidhuvudUtskott"/>
      </w:rPr>
      <w:t>2005/06:RS3</w:t>
    </w:r>
    <w:r w:rsidRPr="00F5723F">
      <w:t xml:space="preserve">    </w:t>
    </w:r>
  </w:p>
  <w:p w:rsidR="00B43C57" w:rsidRPr="00F5723F" w:rsidRDefault="00B43C57">
    <w:pPr>
      <w:pStyle w:val="SidhuvudKantJmn"/>
      <w:framePr w:w="8731" w:h="567" w:hRule="exact" w:vSpace="0" w:wrap="around" w:vAnchor="page" w:y="341" w:anchorLock="0"/>
    </w:pPr>
  </w:p>
  <w:p w:rsidR="00B43C57" w:rsidRPr="00F5723F" w:rsidRDefault="00B43C57">
    <w:pPr>
      <w:pStyle w:val="SidhuvudKantUdda"/>
      <w:framePr w:w="8731" w:h="567" w:hRule="exact" w:vSpace="0" w:wrap="around" w:vAnchor="page" w:y="341" w:anchorLock="0"/>
    </w:pPr>
    <w:r w:rsidRPr="00F5723F">
      <w:rPr>
        <w:rStyle w:val="SidhuvudRubrikReferens"/>
        <w:smallCaps w:val="0"/>
      </w:rPr>
      <w:t xml:space="preserve"> </w:t>
    </w:r>
  </w:p>
  <w:p w:rsidR="00B43C57" w:rsidRPr="00F5723F" w:rsidRDefault="00B43C57">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Jmn"/>
      <w:framePr w:w="8732" w:h="567" w:hRule="exact" w:vSpace="0" w:wrap="around" w:vAnchor="page" w:y="341" w:anchorLock="0"/>
    </w:pPr>
    <w:r w:rsidRPr="00F5723F">
      <w:rPr>
        <w:rStyle w:val="SidhuvudUtskott"/>
      </w:rPr>
      <w:t>2005/06:RS3</w:t>
    </w:r>
    <w:r w:rsidRPr="00F5723F">
      <w:t xml:space="preserve">  </w:t>
    </w:r>
    <w:r w:rsidRPr="00F5723F">
      <w:rPr>
        <w:rStyle w:val="SidhuvudRubrikReferens"/>
      </w:rPr>
      <w:t>Innehållsförteckning</w:t>
    </w:r>
  </w:p>
  <w:p w:rsidR="00B43C57" w:rsidRPr="00F5723F" w:rsidRDefault="00B43C57">
    <w:pPr>
      <w:pStyle w:val="SidhuvudKantJmn"/>
      <w:framePr w:w="8732" w:h="567" w:hRule="exact" w:vSpace="0" w:wrap="around" w:vAnchor="page" w:y="341" w:anchorLock="0"/>
    </w:pPr>
  </w:p>
  <w:p w:rsidR="00B43C57" w:rsidRPr="00F5723F" w:rsidRDefault="00B43C57">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rPr>
        <w:rStyle w:val="SidhuvudRubrikReferens"/>
      </w:rPr>
      <w:t>Innehållsförteckning</w:t>
    </w:r>
    <w:r w:rsidRPr="00F5723F">
      <w:rPr>
        <w:rStyle w:val="SidhuvudBilaga"/>
      </w:rPr>
      <w:t xml:space="preserve"> </w:t>
    </w:r>
    <w:r w:rsidRPr="00F5723F">
      <w:t xml:space="preserve"> </w:t>
    </w:r>
    <w:r w:rsidRPr="00F5723F">
      <w:rPr>
        <w:rStyle w:val="SidhuvudUtskott"/>
      </w:rPr>
      <w:t>2005/06:RS3</w:t>
    </w:r>
  </w:p>
  <w:p w:rsidR="00B43C57" w:rsidRPr="00F5723F" w:rsidRDefault="00B43C57">
    <w:pPr>
      <w:pStyle w:val="SidhuvudKantUdda"/>
      <w:framePr w:w="8732" w:h="567" w:hRule="exact" w:vSpace="0" w:wrap="around" w:vAnchor="page" w:y="341" w:anchorLock="0"/>
    </w:pPr>
  </w:p>
  <w:p w:rsidR="00B43C57" w:rsidRPr="00F5723F" w:rsidRDefault="00B43C57">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3C57" w:rsidRPr="00F5723F" w:rsidRDefault="00B43C57">
    <w:pPr>
      <w:pStyle w:val="SidhuvudKantUdda"/>
      <w:framePr w:w="8732" w:h="567" w:hRule="exact" w:vSpace="0" w:wrap="around" w:vAnchor="page" w:y="341" w:anchorLock="0"/>
    </w:pPr>
    <w:r w:rsidRPr="00F5723F">
      <w:t xml:space="preserve">  </w:t>
    </w:r>
    <w:r w:rsidRPr="00F5723F">
      <w:rPr>
        <w:rStyle w:val="SidhuvudUtskott"/>
      </w:rPr>
      <w:t>2005/06:RS3</w:t>
    </w:r>
  </w:p>
  <w:p w:rsidR="00B43C57" w:rsidRPr="00F5723F" w:rsidRDefault="00B43C57">
    <w:pPr>
      <w:pStyle w:val="SidhuvudKantUdda"/>
      <w:framePr w:w="8732" w:h="567" w:hRule="exact" w:vSpace="0" w:wrap="around" w:vAnchor="page" w:y="341" w:anchorLock="0"/>
    </w:pPr>
  </w:p>
  <w:p w:rsidR="00B43C57" w:rsidRPr="00F5723F" w:rsidRDefault="00B43C57">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13C0"/>
    <w:multiLevelType w:val="hybridMultilevel"/>
    <w:tmpl w:val="B46E884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16613B"/>
    <w:multiLevelType w:val="hybridMultilevel"/>
    <w:tmpl w:val="D62E3C16"/>
    <w:lvl w:ilvl="0" w:tplc="041D0001">
      <w:start w:val="1"/>
      <w:numFmt w:val="bullet"/>
      <w:lvlText w:val=""/>
      <w:lvlJc w:val="left"/>
      <w:pPr>
        <w:tabs>
          <w:tab w:val="num" w:pos="780"/>
        </w:tabs>
        <w:ind w:left="780" w:hanging="360"/>
      </w:pPr>
      <w:rPr>
        <w:rFonts w:ascii="Symbol" w:hAnsi="Symbol" w:hint="default"/>
      </w:rPr>
    </w:lvl>
    <w:lvl w:ilvl="1" w:tplc="041D0003" w:tentative="1">
      <w:start w:val="1"/>
      <w:numFmt w:val="bullet"/>
      <w:lvlText w:val="o"/>
      <w:lvlJc w:val="left"/>
      <w:pPr>
        <w:tabs>
          <w:tab w:val="num" w:pos="1500"/>
        </w:tabs>
        <w:ind w:left="1500" w:hanging="360"/>
      </w:pPr>
      <w:rPr>
        <w:rFonts w:ascii="Courier New" w:hAnsi="Courier New" w:cs="Courier New" w:hint="default"/>
      </w:rPr>
    </w:lvl>
    <w:lvl w:ilvl="2" w:tplc="041D0005" w:tentative="1">
      <w:start w:val="1"/>
      <w:numFmt w:val="bullet"/>
      <w:lvlText w:val=""/>
      <w:lvlJc w:val="left"/>
      <w:pPr>
        <w:tabs>
          <w:tab w:val="num" w:pos="2220"/>
        </w:tabs>
        <w:ind w:left="2220" w:hanging="360"/>
      </w:pPr>
      <w:rPr>
        <w:rFonts w:ascii="Wingdings" w:hAnsi="Wingdings" w:hint="default"/>
      </w:rPr>
    </w:lvl>
    <w:lvl w:ilvl="3" w:tplc="041D0001" w:tentative="1">
      <w:start w:val="1"/>
      <w:numFmt w:val="bullet"/>
      <w:lvlText w:val=""/>
      <w:lvlJc w:val="left"/>
      <w:pPr>
        <w:tabs>
          <w:tab w:val="num" w:pos="2940"/>
        </w:tabs>
        <w:ind w:left="2940" w:hanging="360"/>
      </w:pPr>
      <w:rPr>
        <w:rFonts w:ascii="Symbol" w:hAnsi="Symbol" w:hint="default"/>
      </w:rPr>
    </w:lvl>
    <w:lvl w:ilvl="4" w:tplc="041D0003" w:tentative="1">
      <w:start w:val="1"/>
      <w:numFmt w:val="bullet"/>
      <w:lvlText w:val="o"/>
      <w:lvlJc w:val="left"/>
      <w:pPr>
        <w:tabs>
          <w:tab w:val="num" w:pos="3660"/>
        </w:tabs>
        <w:ind w:left="3660" w:hanging="360"/>
      </w:pPr>
      <w:rPr>
        <w:rFonts w:ascii="Courier New" w:hAnsi="Courier New" w:cs="Courier New" w:hint="default"/>
      </w:rPr>
    </w:lvl>
    <w:lvl w:ilvl="5" w:tplc="041D0005" w:tentative="1">
      <w:start w:val="1"/>
      <w:numFmt w:val="bullet"/>
      <w:lvlText w:val=""/>
      <w:lvlJc w:val="left"/>
      <w:pPr>
        <w:tabs>
          <w:tab w:val="num" w:pos="4380"/>
        </w:tabs>
        <w:ind w:left="4380" w:hanging="360"/>
      </w:pPr>
      <w:rPr>
        <w:rFonts w:ascii="Wingdings" w:hAnsi="Wingdings" w:hint="default"/>
      </w:rPr>
    </w:lvl>
    <w:lvl w:ilvl="6" w:tplc="041D0001" w:tentative="1">
      <w:start w:val="1"/>
      <w:numFmt w:val="bullet"/>
      <w:lvlText w:val=""/>
      <w:lvlJc w:val="left"/>
      <w:pPr>
        <w:tabs>
          <w:tab w:val="num" w:pos="5100"/>
        </w:tabs>
        <w:ind w:left="5100" w:hanging="360"/>
      </w:pPr>
      <w:rPr>
        <w:rFonts w:ascii="Symbol" w:hAnsi="Symbol" w:hint="default"/>
      </w:rPr>
    </w:lvl>
    <w:lvl w:ilvl="7" w:tplc="041D0003" w:tentative="1">
      <w:start w:val="1"/>
      <w:numFmt w:val="bullet"/>
      <w:lvlText w:val="o"/>
      <w:lvlJc w:val="left"/>
      <w:pPr>
        <w:tabs>
          <w:tab w:val="num" w:pos="5820"/>
        </w:tabs>
        <w:ind w:left="5820" w:hanging="360"/>
      </w:pPr>
      <w:rPr>
        <w:rFonts w:ascii="Courier New" w:hAnsi="Courier New" w:cs="Courier New" w:hint="default"/>
      </w:rPr>
    </w:lvl>
    <w:lvl w:ilvl="8" w:tplc="041D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2C334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6E776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8862677"/>
    <w:multiLevelType w:val="hybridMultilevel"/>
    <w:tmpl w:val="ABE86E7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Gill Sans M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Gill Sans M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Gill Sans M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B1026A"/>
    <w:multiLevelType w:val="hybridMultilevel"/>
    <w:tmpl w:val="DC3EB11A"/>
    <w:lvl w:ilvl="0" w:tplc="041D0001">
      <w:start w:val="1"/>
      <w:numFmt w:val="bullet"/>
      <w:lvlText w:val=""/>
      <w:lvlJc w:val="left"/>
      <w:pPr>
        <w:tabs>
          <w:tab w:val="num" w:pos="947"/>
        </w:tabs>
        <w:ind w:left="947" w:hanging="360"/>
      </w:pPr>
      <w:rPr>
        <w:rFonts w:ascii="Symbol" w:hAnsi="Symbol"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16" w15:restartNumberingAfterBreak="0">
    <w:nsid w:val="0E231476"/>
    <w:multiLevelType w:val="hybridMultilevel"/>
    <w:tmpl w:val="B8E820B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3C0D90"/>
    <w:multiLevelType w:val="hybridMultilevel"/>
    <w:tmpl w:val="87C28F8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9" w15:restartNumberingAfterBreak="0">
    <w:nsid w:val="15DB23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A2360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B634E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D4649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785A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435D44"/>
    <w:multiLevelType w:val="hybridMultilevel"/>
    <w:tmpl w:val="9BFCA11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Gill Sans M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Gill Sans M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Gill Sans M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893EE2"/>
    <w:multiLevelType w:val="singleLevel"/>
    <w:tmpl w:val="B1B4F29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91A07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995785B"/>
    <w:multiLevelType w:val="hybridMultilevel"/>
    <w:tmpl w:val="06F643A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8" w15:restartNumberingAfterBreak="0">
    <w:nsid w:val="31B94863"/>
    <w:multiLevelType w:val="hybridMultilevel"/>
    <w:tmpl w:val="880EE83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70300F"/>
    <w:multiLevelType w:val="hybridMultilevel"/>
    <w:tmpl w:val="EADA38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F128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1FE5FC9"/>
    <w:multiLevelType w:val="hybridMultilevel"/>
    <w:tmpl w:val="D03E87B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EA6E7A"/>
    <w:multiLevelType w:val="hybridMultilevel"/>
    <w:tmpl w:val="982EB7D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6121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86C71AF"/>
    <w:multiLevelType w:val="singleLevel"/>
    <w:tmpl w:val="041D0013"/>
    <w:lvl w:ilvl="0">
      <w:start w:val="1"/>
      <w:numFmt w:val="upperRoman"/>
      <w:lvlText w:val="%1."/>
      <w:lvlJc w:val="left"/>
      <w:pPr>
        <w:tabs>
          <w:tab w:val="num" w:pos="720"/>
        </w:tabs>
        <w:ind w:left="720" w:hanging="720"/>
      </w:pPr>
    </w:lvl>
  </w:abstractNum>
  <w:abstractNum w:abstractNumId="35" w15:restartNumberingAfterBreak="0">
    <w:nsid w:val="5E6E65EA"/>
    <w:multiLevelType w:val="hybridMultilevel"/>
    <w:tmpl w:val="C69016D2"/>
    <w:lvl w:ilvl="0" w:tplc="041D0001">
      <w:start w:val="1"/>
      <w:numFmt w:val="bullet"/>
      <w:lvlText w:val=""/>
      <w:lvlJc w:val="left"/>
      <w:pPr>
        <w:tabs>
          <w:tab w:val="num" w:pos="947"/>
        </w:tabs>
        <w:ind w:left="947" w:hanging="360"/>
      </w:pPr>
      <w:rPr>
        <w:rFonts w:ascii="Symbol" w:hAnsi="Symbol"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36" w15:restartNumberingAfterBreak="0">
    <w:nsid w:val="62D269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6DC5540"/>
    <w:multiLevelType w:val="hybridMultilevel"/>
    <w:tmpl w:val="86BEB93A"/>
    <w:lvl w:ilvl="0" w:tplc="041D0001">
      <w:start w:val="1"/>
      <w:numFmt w:val="bullet"/>
      <w:lvlText w:val=""/>
      <w:lvlJc w:val="left"/>
      <w:pPr>
        <w:tabs>
          <w:tab w:val="num" w:pos="947"/>
        </w:tabs>
        <w:ind w:left="947" w:hanging="360"/>
      </w:pPr>
      <w:rPr>
        <w:rFonts w:ascii="Symbol" w:hAnsi="Symbol" w:hint="default"/>
      </w:rPr>
    </w:lvl>
    <w:lvl w:ilvl="1" w:tplc="041D0003" w:tentative="1">
      <w:start w:val="1"/>
      <w:numFmt w:val="bullet"/>
      <w:lvlText w:val="o"/>
      <w:lvlJc w:val="left"/>
      <w:pPr>
        <w:tabs>
          <w:tab w:val="num" w:pos="1667"/>
        </w:tabs>
        <w:ind w:left="1667" w:hanging="360"/>
      </w:pPr>
      <w:rPr>
        <w:rFonts w:ascii="Courier New" w:hAnsi="Courier New" w:cs="Courier New" w:hint="default"/>
      </w:rPr>
    </w:lvl>
    <w:lvl w:ilvl="2" w:tplc="041D0005" w:tentative="1">
      <w:start w:val="1"/>
      <w:numFmt w:val="bullet"/>
      <w:lvlText w:val=""/>
      <w:lvlJc w:val="left"/>
      <w:pPr>
        <w:tabs>
          <w:tab w:val="num" w:pos="2387"/>
        </w:tabs>
        <w:ind w:left="2387" w:hanging="360"/>
      </w:pPr>
      <w:rPr>
        <w:rFonts w:ascii="Wingdings" w:hAnsi="Wingdings" w:hint="default"/>
      </w:rPr>
    </w:lvl>
    <w:lvl w:ilvl="3" w:tplc="041D0001" w:tentative="1">
      <w:start w:val="1"/>
      <w:numFmt w:val="bullet"/>
      <w:lvlText w:val=""/>
      <w:lvlJc w:val="left"/>
      <w:pPr>
        <w:tabs>
          <w:tab w:val="num" w:pos="3107"/>
        </w:tabs>
        <w:ind w:left="3107" w:hanging="360"/>
      </w:pPr>
      <w:rPr>
        <w:rFonts w:ascii="Symbol" w:hAnsi="Symbol" w:hint="default"/>
      </w:rPr>
    </w:lvl>
    <w:lvl w:ilvl="4" w:tplc="041D0003" w:tentative="1">
      <w:start w:val="1"/>
      <w:numFmt w:val="bullet"/>
      <w:lvlText w:val="o"/>
      <w:lvlJc w:val="left"/>
      <w:pPr>
        <w:tabs>
          <w:tab w:val="num" w:pos="3827"/>
        </w:tabs>
        <w:ind w:left="3827" w:hanging="360"/>
      </w:pPr>
      <w:rPr>
        <w:rFonts w:ascii="Courier New" w:hAnsi="Courier New" w:cs="Courier New" w:hint="default"/>
      </w:rPr>
    </w:lvl>
    <w:lvl w:ilvl="5" w:tplc="041D0005" w:tentative="1">
      <w:start w:val="1"/>
      <w:numFmt w:val="bullet"/>
      <w:lvlText w:val=""/>
      <w:lvlJc w:val="left"/>
      <w:pPr>
        <w:tabs>
          <w:tab w:val="num" w:pos="4547"/>
        </w:tabs>
        <w:ind w:left="4547" w:hanging="360"/>
      </w:pPr>
      <w:rPr>
        <w:rFonts w:ascii="Wingdings" w:hAnsi="Wingdings" w:hint="default"/>
      </w:rPr>
    </w:lvl>
    <w:lvl w:ilvl="6" w:tplc="041D0001" w:tentative="1">
      <w:start w:val="1"/>
      <w:numFmt w:val="bullet"/>
      <w:lvlText w:val=""/>
      <w:lvlJc w:val="left"/>
      <w:pPr>
        <w:tabs>
          <w:tab w:val="num" w:pos="5267"/>
        </w:tabs>
        <w:ind w:left="5267" w:hanging="360"/>
      </w:pPr>
      <w:rPr>
        <w:rFonts w:ascii="Symbol" w:hAnsi="Symbol" w:hint="default"/>
      </w:rPr>
    </w:lvl>
    <w:lvl w:ilvl="7" w:tplc="041D0003" w:tentative="1">
      <w:start w:val="1"/>
      <w:numFmt w:val="bullet"/>
      <w:lvlText w:val="o"/>
      <w:lvlJc w:val="left"/>
      <w:pPr>
        <w:tabs>
          <w:tab w:val="num" w:pos="5987"/>
        </w:tabs>
        <w:ind w:left="5987" w:hanging="360"/>
      </w:pPr>
      <w:rPr>
        <w:rFonts w:ascii="Courier New" w:hAnsi="Courier New" w:cs="Courier New" w:hint="default"/>
      </w:rPr>
    </w:lvl>
    <w:lvl w:ilvl="8" w:tplc="041D0005" w:tentative="1">
      <w:start w:val="1"/>
      <w:numFmt w:val="bullet"/>
      <w:lvlText w:val=""/>
      <w:lvlJc w:val="left"/>
      <w:pPr>
        <w:tabs>
          <w:tab w:val="num" w:pos="6707"/>
        </w:tabs>
        <w:ind w:left="6707" w:hanging="360"/>
      </w:pPr>
      <w:rPr>
        <w:rFonts w:ascii="Wingdings" w:hAnsi="Wingdings" w:hint="default"/>
      </w:rPr>
    </w:lvl>
  </w:abstractNum>
  <w:abstractNum w:abstractNumId="38" w15:restartNumberingAfterBreak="0">
    <w:nsid w:val="688C0B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20D3D0D"/>
    <w:multiLevelType w:val="hybridMultilevel"/>
    <w:tmpl w:val="9962EB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5969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8F80A0F"/>
    <w:multiLevelType w:val="hybridMultilevel"/>
    <w:tmpl w:val="20E8A624"/>
    <w:lvl w:ilvl="0" w:tplc="FFFFFFFF">
      <w:start w:val="14"/>
      <w:numFmt w:val="bullet"/>
      <w:lvlText w:val="-"/>
      <w:lvlJc w:val="left"/>
      <w:pPr>
        <w:tabs>
          <w:tab w:val="num" w:pos="720"/>
        </w:tabs>
        <w:ind w:left="720" w:hanging="360"/>
      </w:pPr>
      <w:rPr>
        <w:rFonts w:ascii="Garamond" w:eastAsia="Times New Roman" w:hAnsi="Garamond" w:cs="Times New Roman" w:hint="default"/>
      </w:rPr>
    </w:lvl>
    <w:lvl w:ilvl="1" w:tplc="FFFFFFFF" w:tentative="1">
      <w:start w:val="1"/>
      <w:numFmt w:val="bullet"/>
      <w:lvlText w:val="o"/>
      <w:lvlJc w:val="left"/>
      <w:pPr>
        <w:tabs>
          <w:tab w:val="num" w:pos="1440"/>
        </w:tabs>
        <w:ind w:left="1440" w:hanging="360"/>
      </w:pPr>
      <w:rPr>
        <w:rFonts w:ascii="Courier New" w:hAnsi="Courier New" w:cs="Gill Sans M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Gill Sans M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Gill Sans M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BC7B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F9A1671"/>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16cid:durableId="1212691357">
    <w:abstractNumId w:val="18"/>
  </w:num>
  <w:num w:numId="2" w16cid:durableId="1043024245">
    <w:abstractNumId w:val="8"/>
  </w:num>
  <w:num w:numId="3" w16cid:durableId="1533877254">
    <w:abstractNumId w:val="3"/>
  </w:num>
  <w:num w:numId="4" w16cid:durableId="1289237660">
    <w:abstractNumId w:val="2"/>
  </w:num>
  <w:num w:numId="5" w16cid:durableId="1997801904">
    <w:abstractNumId w:val="1"/>
  </w:num>
  <w:num w:numId="6" w16cid:durableId="1173716213">
    <w:abstractNumId w:val="0"/>
  </w:num>
  <w:num w:numId="7" w16cid:durableId="316350054">
    <w:abstractNumId w:val="9"/>
  </w:num>
  <w:num w:numId="8" w16cid:durableId="1593510835">
    <w:abstractNumId w:val="7"/>
  </w:num>
  <w:num w:numId="9" w16cid:durableId="308941816">
    <w:abstractNumId w:val="6"/>
  </w:num>
  <w:num w:numId="10" w16cid:durableId="1298098370">
    <w:abstractNumId w:val="5"/>
  </w:num>
  <w:num w:numId="11" w16cid:durableId="360404305">
    <w:abstractNumId w:val="4"/>
  </w:num>
  <w:num w:numId="12" w16cid:durableId="1448507520">
    <w:abstractNumId w:val="33"/>
  </w:num>
  <w:num w:numId="13" w16cid:durableId="229770488">
    <w:abstractNumId w:val="19"/>
  </w:num>
  <w:num w:numId="14" w16cid:durableId="1488521468">
    <w:abstractNumId w:val="11"/>
  </w:num>
  <w:num w:numId="15" w16cid:durableId="1544515506">
    <w:abstractNumId w:val="10"/>
  </w:num>
  <w:num w:numId="16" w16cid:durableId="1423839182">
    <w:abstractNumId w:val="27"/>
  </w:num>
  <w:num w:numId="17" w16cid:durableId="233903259">
    <w:abstractNumId w:val="32"/>
  </w:num>
  <w:num w:numId="18" w16cid:durableId="612446876">
    <w:abstractNumId w:val="29"/>
  </w:num>
  <w:num w:numId="19" w16cid:durableId="1033379353">
    <w:abstractNumId w:val="39"/>
  </w:num>
  <w:num w:numId="20" w16cid:durableId="1290474599">
    <w:abstractNumId w:val="31"/>
  </w:num>
  <w:num w:numId="21" w16cid:durableId="1700206609">
    <w:abstractNumId w:val="14"/>
  </w:num>
  <w:num w:numId="22" w16cid:durableId="1949853532">
    <w:abstractNumId w:val="12"/>
  </w:num>
  <w:num w:numId="23" w16cid:durableId="106891138">
    <w:abstractNumId w:val="41"/>
  </w:num>
  <w:num w:numId="24" w16cid:durableId="807435765">
    <w:abstractNumId w:val="24"/>
  </w:num>
  <w:num w:numId="25" w16cid:durableId="1690450730">
    <w:abstractNumId w:val="34"/>
  </w:num>
  <w:num w:numId="26" w16cid:durableId="1942177848">
    <w:abstractNumId w:val="22"/>
  </w:num>
  <w:num w:numId="27" w16cid:durableId="1522552904">
    <w:abstractNumId w:val="30"/>
  </w:num>
  <w:num w:numId="28" w16cid:durableId="743257815">
    <w:abstractNumId w:val="25"/>
  </w:num>
  <w:num w:numId="29" w16cid:durableId="518930043">
    <w:abstractNumId w:val="23"/>
  </w:num>
  <w:num w:numId="30" w16cid:durableId="1098140859">
    <w:abstractNumId w:val="36"/>
  </w:num>
  <w:num w:numId="31" w16cid:durableId="1905141522">
    <w:abstractNumId w:val="26"/>
  </w:num>
  <w:num w:numId="32" w16cid:durableId="470245086">
    <w:abstractNumId w:val="38"/>
  </w:num>
  <w:num w:numId="33" w16cid:durableId="659425714">
    <w:abstractNumId w:val="43"/>
  </w:num>
  <w:num w:numId="34" w16cid:durableId="700057944">
    <w:abstractNumId w:val="20"/>
  </w:num>
  <w:num w:numId="35" w16cid:durableId="441537461">
    <w:abstractNumId w:val="21"/>
  </w:num>
  <w:num w:numId="36" w16cid:durableId="493498110">
    <w:abstractNumId w:val="42"/>
  </w:num>
  <w:num w:numId="37" w16cid:durableId="196549567">
    <w:abstractNumId w:val="13"/>
  </w:num>
  <w:num w:numId="38" w16cid:durableId="742140320">
    <w:abstractNumId w:val="40"/>
  </w:num>
  <w:num w:numId="39" w16cid:durableId="553389776">
    <w:abstractNumId w:val="17"/>
  </w:num>
  <w:num w:numId="40" w16cid:durableId="1791778519">
    <w:abstractNumId w:val="28"/>
  </w:num>
  <w:num w:numId="41" w16cid:durableId="772431489">
    <w:abstractNumId w:val="16"/>
  </w:num>
  <w:num w:numId="42" w16cid:durableId="989594553">
    <w:abstractNumId w:val="15"/>
  </w:num>
  <w:num w:numId="43" w16cid:durableId="1996911924">
    <w:abstractNumId w:val="37"/>
  </w:num>
  <w:num w:numId="44" w16cid:durableId="44946958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utrikesutskottets"/>
    <w:docVar w:name="Skapår" w:val="0506"/>
  </w:docVars>
  <w:rsids>
    <w:rsidRoot w:val="005E727E"/>
    <w:rsid w:val="005E727E"/>
    <w:rsid w:val="00B43C57"/>
    <w:rsid w:val="00F5723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83"/>
    <o:shapelayout v:ext="edit">
      <o:idmap v:ext="edit" data="1"/>
    </o:shapelayout>
  </w:shapeDefaults>
  <w:decimalSymbol w:val=","/>
  <w:listSeparator w:val=";"/>
  <w15:chartTrackingRefBased/>
  <w15:docId w15:val="{1C64F1EF-2994-4A8B-94AC-F55206919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link w:val="Rubrik1Char"/>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link w:val="Rubrik3Char"/>
    <w:qFormat/>
    <w:pPr>
      <w:spacing w:before="360" w:after="0" w:line="250" w:lineRule="exact"/>
      <w:outlineLvl w:val="2"/>
    </w:pPr>
    <w:rPr>
      <w:b/>
      <w:sz w:val="21"/>
    </w:rPr>
  </w:style>
  <w:style w:type="paragraph" w:styleId="Rubrik4">
    <w:name w:val="heading 4"/>
    <w:basedOn w:val="Rubrik3"/>
    <w:next w:val="Normal"/>
    <w:link w:val="Rubrik4Char"/>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link w:val="NormaltindragChar"/>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link w:val="TabellrubrikChar"/>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aliases w:val="SFS Fotnotstext"/>
    <w:basedOn w:val="Normal"/>
    <w:next w:val="Fotnotstextindrag"/>
    <w:link w:val="FotnotstextChar"/>
    <w:semiHidden/>
    <w:pPr>
      <w:spacing w:before="0" w:line="170" w:lineRule="exact"/>
    </w:pPr>
    <w:rPr>
      <w:sz w:val="17"/>
    </w:rPr>
  </w:style>
  <w:style w:type="paragraph" w:customStyle="1" w:styleId="Fotnotstextindrag">
    <w:name w:val="Fotnotstext indrag"/>
    <w:basedOn w:val="Fotnotstext"/>
    <w:link w:val="FotnotstextindragChar"/>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character" w:styleId="Hyperlnk">
    <w:name w:val="Hyperlink"/>
    <w:basedOn w:val="Standardstycketeckensnitt"/>
    <w:rPr>
      <w:color w:val="0000FF"/>
      <w:u w:val="single"/>
    </w:rPr>
  </w:style>
  <w:style w:type="paragraph" w:customStyle="1" w:styleId="body">
    <w:name w:val="body"/>
    <w:basedOn w:val="Normal"/>
    <w:pPr>
      <w:spacing w:before="100" w:beforeAutospacing="1" w:after="100" w:afterAutospacing="1" w:line="240" w:lineRule="auto"/>
      <w:jc w:val="left"/>
    </w:pPr>
    <w:rPr>
      <w:rFonts w:ascii="Verdana" w:hAnsi="Verdana"/>
      <w:sz w:val="18"/>
      <w:szCs w:val="18"/>
    </w:rPr>
  </w:style>
  <w:style w:type="paragraph" w:customStyle="1" w:styleId="rubrik10">
    <w:name w:val="rubrik1"/>
    <w:basedOn w:val="Normal"/>
    <w:pPr>
      <w:spacing w:before="100" w:beforeAutospacing="1" w:after="100" w:afterAutospacing="1" w:line="240" w:lineRule="auto"/>
      <w:jc w:val="left"/>
    </w:pPr>
    <w:rPr>
      <w:rFonts w:ascii="Arial" w:hAnsi="Arial" w:cs="Arial"/>
      <w:b/>
      <w:bCs/>
      <w:sz w:val="27"/>
      <w:szCs w:val="27"/>
    </w:rPr>
  </w:style>
  <w:style w:type="paragraph" w:customStyle="1" w:styleId="adress">
    <w:name w:val="adress"/>
    <w:basedOn w:val="Normal"/>
    <w:pPr>
      <w:spacing w:before="100" w:beforeAutospacing="1" w:after="100" w:afterAutospacing="1" w:line="240" w:lineRule="auto"/>
      <w:jc w:val="left"/>
    </w:pPr>
    <w:rPr>
      <w:rFonts w:ascii="Verdana" w:hAnsi="Verdana"/>
      <w:color w:val="FFFFFF"/>
      <w:sz w:val="15"/>
      <w:szCs w:val="15"/>
    </w:rPr>
  </w:style>
  <w:style w:type="paragraph" w:styleId="Normalwebb">
    <w:name w:val="Normal (Web)"/>
    <w:basedOn w:val="Normal"/>
    <w:pPr>
      <w:spacing w:before="100" w:beforeAutospacing="1" w:after="100" w:afterAutospacing="1" w:line="240" w:lineRule="auto"/>
      <w:jc w:val="left"/>
    </w:pPr>
    <w:rPr>
      <w:sz w:val="24"/>
      <w:szCs w:val="24"/>
    </w:rPr>
  </w:style>
  <w:style w:type="character" w:customStyle="1" w:styleId="adress1">
    <w:name w:val="adress1"/>
    <w:basedOn w:val="Standardstycketeckensnitt"/>
    <w:rPr>
      <w:rFonts w:ascii="Verdana" w:hAnsi="Verdana" w:hint="default"/>
      <w:color w:val="FFFFFF"/>
      <w:sz w:val="15"/>
      <w:szCs w:val="15"/>
    </w:rPr>
  </w:style>
  <w:style w:type="character" w:customStyle="1" w:styleId="navigering">
    <w:name w:val="navigering"/>
    <w:basedOn w:val="Standardstycketeckensnitt"/>
  </w:style>
  <w:style w:type="character" w:customStyle="1" w:styleId="bodyvit1">
    <w:name w:val="bodyvit1"/>
    <w:basedOn w:val="Standardstycketeckensnitt"/>
    <w:rPr>
      <w:rFonts w:ascii="Verdana" w:hAnsi="Verdana" w:hint="default"/>
      <w:color w:val="FFFFFF"/>
      <w:sz w:val="18"/>
      <w:szCs w:val="18"/>
    </w:rPr>
  </w:style>
  <w:style w:type="character" w:customStyle="1" w:styleId="body1">
    <w:name w:val="body1"/>
    <w:basedOn w:val="Standardstycketeckensnitt"/>
    <w:rPr>
      <w:rFonts w:ascii="Verdana" w:hAnsi="Verdana" w:hint="default"/>
      <w:sz w:val="18"/>
      <w:szCs w:val="18"/>
    </w:rPr>
  </w:style>
  <w:style w:type="paragraph" w:styleId="Brdtext">
    <w:name w:val="Body Text"/>
    <w:basedOn w:val="Normal"/>
    <w:pPr>
      <w:spacing w:before="0" w:line="240" w:lineRule="auto"/>
      <w:ind w:right="-18"/>
      <w:jc w:val="left"/>
    </w:pPr>
    <w:rPr>
      <w:rFonts w:ascii="Garamond" w:hAnsi="Garamond"/>
      <w:sz w:val="22"/>
    </w:rPr>
  </w:style>
  <w:style w:type="character" w:styleId="HTML-skrivmaskin">
    <w:name w:val="HTML Typewriter"/>
    <w:basedOn w:val="Standardstycketeckensnitt"/>
    <w:rPr>
      <w:rFonts w:ascii="Courier New" w:eastAsia="Times New Roman" w:hAnsi="Courier New" w:cs="Gill Sans MT"/>
      <w:sz w:val="20"/>
      <w:szCs w:val="20"/>
    </w:rPr>
  </w:style>
  <w:style w:type="character" w:styleId="AnvndHyperlnk">
    <w:name w:val="FollowedHyperlink"/>
    <w:basedOn w:val="Standardstycketeckensnitt"/>
    <w:rPr>
      <w:color w:val="800080"/>
      <w:u w:val="single"/>
    </w:rPr>
  </w:style>
  <w:style w:type="character" w:styleId="Slutnotsreferens">
    <w:name w:val="endnote reference"/>
    <w:basedOn w:val="Standardstycketeckensnitt"/>
    <w:semiHidden/>
    <w:rPr>
      <w:vertAlign w:val="superscript"/>
    </w:rPr>
  </w:style>
  <w:style w:type="paragraph" w:customStyle="1" w:styleId="Bembo1014Versaler">
    <w:name w:val="Bembo10/14Versaler"/>
    <w:basedOn w:val="Normal"/>
    <w:pPr>
      <w:spacing w:before="0" w:line="280" w:lineRule="atLeast"/>
      <w:jc w:val="left"/>
    </w:pPr>
    <w:rPr>
      <w:rFonts w:ascii="Bembo" w:hAnsi="Bembo"/>
      <w:caps/>
      <w:spacing w:val="40"/>
      <w:sz w:val="20"/>
      <w:szCs w:val="24"/>
    </w:rPr>
  </w:style>
  <w:style w:type="paragraph" w:customStyle="1" w:styleId="logo">
    <w:name w:val="logo"/>
    <w:basedOn w:val="Normal"/>
    <w:pPr>
      <w:framePr w:wrap="around" w:vAnchor="page" w:hAnchor="page" w:x="7939" w:y="511" w:anchorLock="1"/>
      <w:spacing w:before="0" w:line="240" w:lineRule="auto"/>
      <w:jc w:val="left"/>
    </w:pPr>
    <w:rPr>
      <w:rFonts w:ascii="Bembo" w:hAnsi="Bembo"/>
      <w:sz w:val="20"/>
    </w:rPr>
  </w:style>
  <w:style w:type="paragraph" w:customStyle="1" w:styleId="logo2">
    <w:name w:val="logo2"/>
    <w:basedOn w:val="logo"/>
    <w:pPr>
      <w:framePr w:wrap="around" w:x="9016"/>
    </w:pPr>
  </w:style>
  <w:style w:type="paragraph" w:customStyle="1" w:styleId="NormalCourier">
    <w:name w:val="NormalCourier"/>
    <w:basedOn w:val="Normal"/>
    <w:pPr>
      <w:spacing w:before="0" w:line="280" w:lineRule="atLeast"/>
      <w:jc w:val="left"/>
    </w:pPr>
    <w:rPr>
      <w:rFonts w:ascii="Courier" w:hAnsi="Courier"/>
      <w:sz w:val="24"/>
    </w:rPr>
  </w:style>
  <w:style w:type="paragraph" w:customStyle="1" w:styleId="KantHuvud">
    <w:name w:val="KantHuvud"/>
    <w:basedOn w:val="Normal"/>
    <w:pPr>
      <w:framePr w:w="2552" w:hSpace="284" w:wrap="around" w:vAnchor="page" w:hAnchor="page" w:x="8279" w:y="2326" w:anchorLock="1"/>
      <w:spacing w:before="0" w:line="280" w:lineRule="atLeast"/>
      <w:jc w:val="left"/>
    </w:pPr>
    <w:rPr>
      <w:rFonts w:ascii="Bembo" w:hAnsi="Bembo"/>
      <w:sz w:val="24"/>
    </w:rPr>
  </w:style>
  <w:style w:type="paragraph" w:customStyle="1" w:styleId="Bembo10">
    <w:name w:val="Bembo10"/>
    <w:basedOn w:val="Normal"/>
    <w:pPr>
      <w:spacing w:before="40" w:line="240" w:lineRule="auto"/>
      <w:jc w:val="left"/>
    </w:pPr>
    <w:rPr>
      <w:rFonts w:ascii="Bembo" w:hAnsi="Bembo"/>
      <w:sz w:val="20"/>
    </w:rPr>
  </w:style>
  <w:style w:type="paragraph" w:customStyle="1" w:styleId="Bembo10Kursiv">
    <w:name w:val="Bembo10/Kursiv"/>
    <w:basedOn w:val="Normal"/>
    <w:pPr>
      <w:spacing w:before="0" w:line="240" w:lineRule="auto"/>
      <w:jc w:val="left"/>
    </w:pPr>
    <w:rPr>
      <w:rFonts w:ascii="Bembo" w:hAnsi="Bembo"/>
      <w:i/>
      <w:sz w:val="20"/>
    </w:rPr>
  </w:style>
  <w:style w:type="paragraph" w:customStyle="1" w:styleId="BemboFrvaltningskontor">
    <w:name w:val="BemboFörvaltningskontor"/>
    <w:basedOn w:val="Normal"/>
    <w:pPr>
      <w:pBdr>
        <w:bottom w:val="single" w:sz="4" w:space="1" w:color="auto"/>
      </w:pBdr>
      <w:spacing w:before="0" w:line="280" w:lineRule="atLeast"/>
      <w:ind w:right="284"/>
      <w:jc w:val="left"/>
    </w:pPr>
    <w:rPr>
      <w:rFonts w:ascii="Bembo" w:hAnsi="Bembo"/>
      <w:caps/>
      <w:spacing w:val="40"/>
      <w:sz w:val="20"/>
    </w:rPr>
  </w:style>
  <w:style w:type="character" w:customStyle="1" w:styleId="FotnotstextChar">
    <w:name w:val="Fotnotstext Char"/>
    <w:aliases w:val="SFS Fotnotstext Char"/>
    <w:basedOn w:val="Standardstycketeckensnitt"/>
    <w:link w:val="Fotnotstext"/>
    <w:rPr>
      <w:sz w:val="17"/>
      <w:lang w:val="sv-SE" w:eastAsia="sv-SE" w:bidi="ar-SA"/>
    </w:rPr>
  </w:style>
  <w:style w:type="character" w:customStyle="1" w:styleId="FotnotstextindragChar">
    <w:name w:val="Fotnotstext indrag Char"/>
    <w:basedOn w:val="FotnotstextChar"/>
    <w:link w:val="Fotnotstextindrag"/>
    <w:rPr>
      <w:sz w:val="17"/>
      <w:lang w:val="sv-SE" w:eastAsia="sv-SE" w:bidi="ar-SA"/>
    </w:rPr>
  </w:style>
  <w:style w:type="character" w:customStyle="1" w:styleId="TabellrubrikChar">
    <w:name w:val="Tabellrubrik Char"/>
    <w:basedOn w:val="Standardstycketeckensnitt"/>
    <w:link w:val="Tabellrubrik"/>
    <w:rPr>
      <w:caps/>
      <w:spacing w:val="8"/>
      <w:sz w:val="14"/>
      <w:lang w:val="sv-SE" w:eastAsia="sv-SE" w:bidi="ar-SA"/>
    </w:rPr>
  </w:style>
  <w:style w:type="character" w:customStyle="1" w:styleId="Rubrik1Char">
    <w:name w:val="Rubrik 1 Char"/>
    <w:basedOn w:val="Standardstycketeckensnitt"/>
    <w:link w:val="Rubrik1"/>
    <w:rPr>
      <w:noProof/>
      <w:sz w:val="32"/>
      <w:lang w:val="sv-SE" w:eastAsia="sv-SE" w:bidi="ar-SA"/>
    </w:rPr>
  </w:style>
  <w:style w:type="character" w:customStyle="1" w:styleId="Rubrik3Char">
    <w:name w:val="Rubrik 3 Char"/>
    <w:basedOn w:val="Rubrik1Char"/>
    <w:link w:val="Rubrik3"/>
    <w:rPr>
      <w:b/>
      <w:noProof/>
      <w:sz w:val="21"/>
      <w:lang w:val="sv-SE" w:eastAsia="sv-SE" w:bidi="ar-SA"/>
    </w:rPr>
  </w:style>
  <w:style w:type="character" w:customStyle="1" w:styleId="Rubrik4Char">
    <w:name w:val="Rubrik 4 Char"/>
    <w:basedOn w:val="Rubrik3Char"/>
    <w:link w:val="Rubrik4"/>
    <w:rPr>
      <w:b/>
      <w:i/>
      <w:noProof/>
      <w:sz w:val="21"/>
      <w:lang w:val="sv-SE" w:eastAsia="sv-SE" w:bidi="ar-SA"/>
    </w:rPr>
  </w:style>
  <w:style w:type="paragraph" w:styleId="Ballongtext">
    <w:name w:val="Balloon Text"/>
    <w:basedOn w:val="Normal"/>
    <w:semiHidden/>
    <w:rPr>
      <w:rFonts w:ascii="Tahoma" w:hAnsi="Tahoma" w:cs="Tahoma"/>
      <w:sz w:val="16"/>
      <w:szCs w:val="16"/>
    </w:rPr>
  </w:style>
  <w:style w:type="character" w:customStyle="1" w:styleId="NormaltindragChar">
    <w:name w:val="Normalt indrag Char"/>
    <w:basedOn w:val="Standardstycketeckensnitt"/>
    <w:link w:val="Normaltindrag"/>
    <w:rPr>
      <w:sz w:val="19"/>
      <w:lang w:val="sv-SE" w:eastAsia="sv-SE" w:bidi="ar-SA"/>
    </w:rPr>
  </w:style>
  <w:style w:type="table" w:styleId="Tabellrutnt">
    <w:name w:val="Table Grid"/>
    <w:basedOn w:val="Normaltabel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medindrag">
    <w:name w:val="Body Text Indent"/>
    <w:basedOn w:val="Normal"/>
    <w:pPr>
      <w:spacing w:after="120"/>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footer" Target="footer37.xml"/><Relationship Id="rId21" Type="http://schemas.openxmlformats.org/officeDocument/2006/relationships/footer" Target="footer7.xml"/><Relationship Id="rId42" Type="http://schemas.openxmlformats.org/officeDocument/2006/relationships/image" Target="media/image9.wmf"/><Relationship Id="rId47" Type="http://schemas.openxmlformats.org/officeDocument/2006/relationships/oleObject" Target="embeddings/oleObject9.bin"/><Relationship Id="rId63" Type="http://schemas.openxmlformats.org/officeDocument/2006/relationships/header" Target="header13.xml"/><Relationship Id="rId68" Type="http://schemas.openxmlformats.org/officeDocument/2006/relationships/footer" Target="footer17.xml"/><Relationship Id="rId84" Type="http://schemas.openxmlformats.org/officeDocument/2006/relationships/image" Target="media/image23.emf"/><Relationship Id="rId89" Type="http://schemas.openxmlformats.org/officeDocument/2006/relationships/footer" Target="footer24.xml"/><Relationship Id="rId112" Type="http://schemas.openxmlformats.org/officeDocument/2006/relationships/header" Target="header31.xml"/><Relationship Id="rId16" Type="http://schemas.openxmlformats.org/officeDocument/2006/relationships/footer" Target="footer5.xml"/><Relationship Id="rId107" Type="http://schemas.openxmlformats.org/officeDocument/2006/relationships/header" Target="header29.xml"/><Relationship Id="rId11" Type="http://schemas.openxmlformats.org/officeDocument/2006/relationships/header" Target="header3.xml"/><Relationship Id="rId32" Type="http://schemas.openxmlformats.org/officeDocument/2006/relationships/oleObject" Target="embeddings/Microsoft_Excel_97-2003_Worksheet.xls"/><Relationship Id="rId37" Type="http://schemas.openxmlformats.org/officeDocument/2006/relationships/oleObject" Target="embeddings/oleObject4.bin"/><Relationship Id="rId53" Type="http://schemas.openxmlformats.org/officeDocument/2006/relationships/image" Target="media/image17.wmf"/><Relationship Id="rId58" Type="http://schemas.openxmlformats.org/officeDocument/2006/relationships/header" Target="header11.xml"/><Relationship Id="rId74" Type="http://schemas.openxmlformats.org/officeDocument/2006/relationships/footer" Target="footer19.xml"/><Relationship Id="rId79" Type="http://schemas.openxmlformats.org/officeDocument/2006/relationships/footer" Target="footer21.xml"/><Relationship Id="rId102" Type="http://schemas.openxmlformats.org/officeDocument/2006/relationships/image" Target="media/image27.png"/><Relationship Id="rId123" Type="http://schemas.openxmlformats.org/officeDocument/2006/relationships/footer" Target="footer40.xml"/><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header" Target="header25.xml"/><Relationship Id="rId22" Type="http://schemas.openxmlformats.org/officeDocument/2006/relationships/footer" Target="footer8.xml"/><Relationship Id="rId27" Type="http://schemas.openxmlformats.org/officeDocument/2006/relationships/image" Target="media/image2.wmf"/><Relationship Id="rId43" Type="http://schemas.openxmlformats.org/officeDocument/2006/relationships/oleObject" Target="embeddings/oleObject7.bin"/><Relationship Id="rId48" Type="http://schemas.openxmlformats.org/officeDocument/2006/relationships/image" Target="media/image12.emf"/><Relationship Id="rId64" Type="http://schemas.openxmlformats.org/officeDocument/2006/relationships/header" Target="header14.xml"/><Relationship Id="rId69" Type="http://schemas.openxmlformats.org/officeDocument/2006/relationships/image" Target="media/image21.wmf"/><Relationship Id="rId113" Type="http://schemas.openxmlformats.org/officeDocument/2006/relationships/header" Target="header32.xml"/><Relationship Id="rId118" Type="http://schemas.openxmlformats.org/officeDocument/2006/relationships/header" Target="header34.xml"/><Relationship Id="rId80" Type="http://schemas.openxmlformats.org/officeDocument/2006/relationships/footer" Target="footer22.xml"/><Relationship Id="rId85" Type="http://schemas.openxmlformats.org/officeDocument/2006/relationships/image" Target="media/image24.emf"/><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4.wmf"/><Relationship Id="rId38" Type="http://schemas.openxmlformats.org/officeDocument/2006/relationships/image" Target="media/image7.wmf"/><Relationship Id="rId59" Type="http://schemas.openxmlformats.org/officeDocument/2006/relationships/footer" Target="footer12.xml"/><Relationship Id="rId103" Type="http://schemas.openxmlformats.org/officeDocument/2006/relationships/image" Target="media/image28.png"/><Relationship Id="rId108" Type="http://schemas.openxmlformats.org/officeDocument/2006/relationships/footer" Target="footer32.xml"/><Relationship Id="rId124" Type="http://schemas.openxmlformats.org/officeDocument/2006/relationships/fontTable" Target="fontTable.xml"/><Relationship Id="rId54" Type="http://schemas.openxmlformats.org/officeDocument/2006/relationships/image" Target="media/image18.emf"/><Relationship Id="rId70" Type="http://schemas.openxmlformats.org/officeDocument/2006/relationships/oleObject" Target="embeddings/oleObject10.bin"/><Relationship Id="rId75" Type="http://schemas.openxmlformats.org/officeDocument/2006/relationships/header" Target="header18.xml"/><Relationship Id="rId91" Type="http://schemas.openxmlformats.org/officeDocument/2006/relationships/header" Target="header24.xml"/><Relationship Id="rId96"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oleObject" Target="embeddings/oleObject2.bin"/><Relationship Id="rId49" Type="http://schemas.openxmlformats.org/officeDocument/2006/relationships/image" Target="media/image13.wmf"/><Relationship Id="rId114" Type="http://schemas.openxmlformats.org/officeDocument/2006/relationships/footer" Target="footer35.xml"/><Relationship Id="rId119" Type="http://schemas.openxmlformats.org/officeDocument/2006/relationships/header" Target="header35.xml"/><Relationship Id="rId44" Type="http://schemas.openxmlformats.org/officeDocument/2006/relationships/image" Target="media/image10.wmf"/><Relationship Id="rId60" Type="http://schemas.openxmlformats.org/officeDocument/2006/relationships/footer" Target="footer13.xml"/><Relationship Id="rId65" Type="http://schemas.openxmlformats.org/officeDocument/2006/relationships/footer" Target="footer15.xml"/><Relationship Id="rId81" Type="http://schemas.openxmlformats.org/officeDocument/2006/relationships/header" Target="header21.xml"/><Relationship Id="rId86" Type="http://schemas.openxmlformats.org/officeDocument/2006/relationships/image" Target="media/image25.emf"/><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oleObject" Target="embeddings/oleObject5.bin"/><Relationship Id="rId109" Type="http://schemas.openxmlformats.org/officeDocument/2006/relationships/footer" Target="footer33.xml"/><Relationship Id="rId34" Type="http://schemas.openxmlformats.org/officeDocument/2006/relationships/oleObject" Target="embeddings/oleObject3.bin"/><Relationship Id="rId50" Type="http://schemas.openxmlformats.org/officeDocument/2006/relationships/image" Target="media/image14.wmf"/><Relationship Id="rId55" Type="http://schemas.openxmlformats.org/officeDocument/2006/relationships/image" Target="media/image19.wmf"/><Relationship Id="rId76" Type="http://schemas.openxmlformats.org/officeDocument/2006/relationships/footer" Target="footer20.xml"/><Relationship Id="rId97" Type="http://schemas.openxmlformats.org/officeDocument/2006/relationships/footer" Target="footer29.xml"/><Relationship Id="rId104" Type="http://schemas.openxmlformats.org/officeDocument/2006/relationships/image" Target="media/image29.png"/><Relationship Id="rId120" Type="http://schemas.openxmlformats.org/officeDocument/2006/relationships/footer" Target="footer38.xml"/><Relationship Id="rId125"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16.xml"/><Relationship Id="rId92" Type="http://schemas.openxmlformats.org/officeDocument/2006/relationships/footer" Target="footer26.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9.xml"/><Relationship Id="rId40" Type="http://schemas.openxmlformats.org/officeDocument/2006/relationships/image" Target="media/image8.wmf"/><Relationship Id="rId45" Type="http://schemas.openxmlformats.org/officeDocument/2006/relationships/oleObject" Target="embeddings/oleObject8.bin"/><Relationship Id="rId66" Type="http://schemas.openxmlformats.org/officeDocument/2006/relationships/footer" Target="footer16.xml"/><Relationship Id="rId87" Type="http://schemas.openxmlformats.org/officeDocument/2006/relationships/header" Target="header22.xml"/><Relationship Id="rId110" Type="http://schemas.openxmlformats.org/officeDocument/2006/relationships/header" Target="header30.xml"/><Relationship Id="rId115" Type="http://schemas.openxmlformats.org/officeDocument/2006/relationships/footer" Target="footer36.xml"/><Relationship Id="rId61" Type="http://schemas.openxmlformats.org/officeDocument/2006/relationships/header" Target="header12.xml"/><Relationship Id="rId82" Type="http://schemas.openxmlformats.org/officeDocument/2006/relationships/footer" Target="footer23.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1.xml"/><Relationship Id="rId35" Type="http://schemas.openxmlformats.org/officeDocument/2006/relationships/image" Target="media/image5.wmf"/><Relationship Id="rId56" Type="http://schemas.openxmlformats.org/officeDocument/2006/relationships/image" Target="media/image20.wmf"/><Relationship Id="rId77" Type="http://schemas.openxmlformats.org/officeDocument/2006/relationships/header" Target="header19.xml"/><Relationship Id="rId100" Type="http://schemas.openxmlformats.org/officeDocument/2006/relationships/footer" Target="footer31.xml"/><Relationship Id="rId105" Type="http://schemas.openxmlformats.org/officeDocument/2006/relationships/image" Target="media/image30.png"/><Relationship Id="rId8" Type="http://schemas.openxmlformats.org/officeDocument/2006/relationships/header" Target="header2.xml"/><Relationship Id="rId51" Type="http://schemas.openxmlformats.org/officeDocument/2006/relationships/image" Target="media/image15.emf"/><Relationship Id="rId72" Type="http://schemas.openxmlformats.org/officeDocument/2006/relationships/header" Target="header17.xml"/><Relationship Id="rId93" Type="http://schemas.openxmlformats.org/officeDocument/2006/relationships/footer" Target="footer27.xml"/><Relationship Id="rId98" Type="http://schemas.openxmlformats.org/officeDocument/2006/relationships/footer" Target="footer30.xml"/><Relationship Id="rId121" Type="http://schemas.openxmlformats.org/officeDocument/2006/relationships/footer" Target="footer39.xml"/><Relationship Id="rId3" Type="http://schemas.openxmlformats.org/officeDocument/2006/relationships/settings" Target="settings.xml"/><Relationship Id="rId25" Type="http://schemas.openxmlformats.org/officeDocument/2006/relationships/image" Target="media/image1.wmf"/><Relationship Id="rId46" Type="http://schemas.openxmlformats.org/officeDocument/2006/relationships/image" Target="media/image11.wmf"/><Relationship Id="rId67" Type="http://schemas.openxmlformats.org/officeDocument/2006/relationships/header" Target="header15.xml"/><Relationship Id="rId116" Type="http://schemas.openxmlformats.org/officeDocument/2006/relationships/header" Target="header33.xml"/><Relationship Id="rId20" Type="http://schemas.openxmlformats.org/officeDocument/2006/relationships/header" Target="header8.xml"/><Relationship Id="rId41" Type="http://schemas.openxmlformats.org/officeDocument/2006/relationships/oleObject" Target="embeddings/oleObject6.bin"/><Relationship Id="rId62" Type="http://schemas.openxmlformats.org/officeDocument/2006/relationships/footer" Target="footer14.xml"/><Relationship Id="rId83" Type="http://schemas.openxmlformats.org/officeDocument/2006/relationships/image" Target="media/image22.emf"/><Relationship Id="rId88" Type="http://schemas.openxmlformats.org/officeDocument/2006/relationships/header" Target="header23.xml"/><Relationship Id="rId111" Type="http://schemas.openxmlformats.org/officeDocument/2006/relationships/footer" Target="footer34.xml"/><Relationship Id="rId15" Type="http://schemas.openxmlformats.org/officeDocument/2006/relationships/footer" Target="footer4.xml"/><Relationship Id="rId36" Type="http://schemas.openxmlformats.org/officeDocument/2006/relationships/image" Target="media/image6.wmf"/><Relationship Id="rId57" Type="http://schemas.openxmlformats.org/officeDocument/2006/relationships/header" Target="header10.xml"/><Relationship Id="rId106" Type="http://schemas.openxmlformats.org/officeDocument/2006/relationships/header" Target="header28.xml"/><Relationship Id="rId10" Type="http://schemas.openxmlformats.org/officeDocument/2006/relationships/footer" Target="footer2.xml"/><Relationship Id="rId31" Type="http://schemas.openxmlformats.org/officeDocument/2006/relationships/image" Target="media/image3.wmf"/><Relationship Id="rId52" Type="http://schemas.openxmlformats.org/officeDocument/2006/relationships/image" Target="media/image16.emf"/><Relationship Id="rId73" Type="http://schemas.openxmlformats.org/officeDocument/2006/relationships/footer" Target="footer18.xml"/><Relationship Id="rId78" Type="http://schemas.openxmlformats.org/officeDocument/2006/relationships/header" Target="header20.xml"/><Relationship Id="rId94" Type="http://schemas.openxmlformats.org/officeDocument/2006/relationships/footer" Target="footer28.xml"/><Relationship Id="rId99" Type="http://schemas.openxmlformats.org/officeDocument/2006/relationships/header" Target="header27.xml"/><Relationship Id="rId101" Type="http://schemas.openxmlformats.org/officeDocument/2006/relationships/image" Target="media/image26.png"/><Relationship Id="rId122"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tatsvet.su.se/quota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90566</Words>
  <Characters>556983</Characters>
  <Application>Microsoft Office Word</Application>
  <DocSecurity>4</DocSecurity>
  <Lines>16381</Lines>
  <Paragraphs>7994</Paragraphs>
  <ScaleCrop>false</ScaleCrop>
  <HeadingPairs>
    <vt:vector size="2" baseType="variant">
      <vt:variant>
        <vt:lpstr>Rubrik</vt:lpstr>
      </vt:variant>
      <vt:variant>
        <vt:i4>1</vt:i4>
      </vt:variant>
    </vt:vector>
  </HeadingPairs>
  <TitlesOfParts>
    <vt:vector size="1" baseType="lpstr">
      <vt:lpstr>2005/06:UU777</vt:lpstr>
    </vt:vector>
  </TitlesOfParts>
  <Company>Riksdagen</Company>
  <LinksUpToDate>false</LinksUpToDate>
  <CharactersWithSpaces>639555</CharactersWithSpaces>
  <SharedDoc>false</SharedDoc>
  <HLinks>
    <vt:vector size="6" baseType="variant">
      <vt:variant>
        <vt:i4>5898261</vt:i4>
      </vt:variant>
      <vt:variant>
        <vt:i4>0</vt:i4>
      </vt:variant>
      <vt:variant>
        <vt:i4>0</vt:i4>
      </vt:variant>
      <vt:variant>
        <vt:i4>5</vt:i4>
      </vt:variant>
      <vt:variant>
        <vt:lpwstr>http://www.statsvet.su.se/quotas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2005/06:UU777</dc:title>
  <dc:subject>2005/06:UU777</dc:subject>
  <dc:creator>Riksdagen</dc:creator>
  <cp:keywords>Riksdagen</cp:keywords>
  <dc:description/>
  <cp:lastModifiedBy>Lars Brink</cp:lastModifiedBy>
  <cp:revision>2</cp:revision>
  <cp:lastPrinted>2006-01-11T15:35:00Z</cp:lastPrinted>
  <dcterms:created xsi:type="dcterms:W3CDTF">2025-12-16T22:24:00Z</dcterms:created>
  <dcterms:modified xsi:type="dcterms:W3CDTF">2025-12-16T22:24:00Z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3</vt:lpwstr>
  </property>
  <property fmtid="{D5CDD505-2E9C-101B-9397-08002B2CF9AE}" pid="3" name="Utskott">
    <vt:lpwstr>RS</vt:lpwstr>
  </property>
  <property fmtid="{D5CDD505-2E9C-101B-9397-08002B2CF9AE}" pid="4" name="BetänkandeÅr">
    <vt:lpwstr>2005/06</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