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24CFF">
        <w:trPr>
          <w:gridAfter w:val="2"/>
          <w:wAfter w:w="1758" w:type="dxa"/>
          <w:cantSplit/>
          <w:trHeight w:val="1320"/>
        </w:trPr>
        <w:tc>
          <w:tcPr>
            <w:tcW w:w="5897" w:type="dxa"/>
          </w:tcPr>
          <w:p w:rsidR="00BF3AFA" w:rsidRPr="00924CFF" w:rsidRDefault="00BF3AFA">
            <w:pPr>
              <w:pStyle w:val="HuvudRubrik"/>
            </w:pPr>
            <w:r w:rsidRPr="00924CFF">
              <w:t>Regeringskansliet</w:t>
            </w:r>
          </w:p>
          <w:p w:rsidR="00BF3AFA" w:rsidRPr="00924CFF" w:rsidRDefault="00BF3AFA">
            <w:pPr>
              <w:pStyle w:val="HuvudRubrik"/>
            </w:pPr>
            <w:r w:rsidRPr="00924CFF">
              <w:t>Faktapromemoria  2011/12:FPM137</w:t>
            </w:r>
          </w:p>
        </w:tc>
      </w:tr>
      <w:tr w:rsidR="00000000" w:rsidRPr="00924CFF">
        <w:trPr>
          <w:gridAfter w:val="2"/>
          <w:wAfter w:w="1758" w:type="dxa"/>
          <w:cantSplit/>
          <w:trHeight w:val="240"/>
        </w:trPr>
        <w:tc>
          <w:tcPr>
            <w:tcW w:w="5897" w:type="dxa"/>
          </w:tcPr>
          <w:p w:rsidR="00BF3AFA" w:rsidRPr="00924CFF" w:rsidRDefault="00BF3AFA">
            <w:pPr>
              <w:pStyle w:val="HuvudRubrik"/>
            </w:pPr>
            <w:r w:rsidRPr="00924CFF">
              <w:t>Ändring av batteridirektivet</w:t>
            </w:r>
          </w:p>
        </w:tc>
      </w:tr>
      <w:tr w:rsidR="00000000" w:rsidRPr="00924CFF">
        <w:trPr>
          <w:cantSplit/>
          <w:trHeight w:val="285"/>
        </w:trPr>
        <w:tc>
          <w:tcPr>
            <w:tcW w:w="7655" w:type="dxa"/>
            <w:gridSpan w:val="3"/>
          </w:tcPr>
          <w:p w:rsidR="00BF3AFA" w:rsidRPr="00924CFF" w:rsidRDefault="00BF3AFA">
            <w:pPr>
              <w:pStyle w:val="Departement"/>
              <w:rPr>
                <w:sz w:val="28"/>
              </w:rPr>
            </w:pPr>
            <w:r w:rsidRPr="00924CFF">
              <w:t>Miljödepartementet</w:t>
            </w:r>
          </w:p>
        </w:tc>
      </w:tr>
      <w:tr w:rsidR="00000000" w:rsidRPr="00924CFF">
        <w:trPr>
          <w:cantSplit/>
          <w:trHeight w:val="240"/>
        </w:trPr>
        <w:tc>
          <w:tcPr>
            <w:tcW w:w="7655" w:type="dxa"/>
            <w:gridSpan w:val="3"/>
          </w:tcPr>
          <w:p w:rsidR="00BF3AFA" w:rsidRPr="00924CFF" w:rsidRDefault="00BF3AFA">
            <w:pPr>
              <w:pStyle w:val="Dokumentdatum"/>
            </w:pPr>
            <w:r w:rsidRPr="00924CFF">
              <w:t>2012-04-30</w:t>
            </w:r>
          </w:p>
        </w:tc>
      </w:tr>
      <w:tr w:rsidR="00000000" w:rsidRPr="00924CFF">
        <w:trPr>
          <w:cantSplit/>
          <w:trHeight w:val="726"/>
        </w:trPr>
        <w:tc>
          <w:tcPr>
            <w:tcW w:w="7655" w:type="dxa"/>
            <w:gridSpan w:val="3"/>
            <w:vAlign w:val="bottom"/>
          </w:tcPr>
          <w:p w:rsidR="00BF3AFA" w:rsidRPr="00924CFF" w:rsidRDefault="00BF3AFA">
            <w:pPr>
              <w:pStyle w:val="Dokumentbeteckning"/>
            </w:pPr>
            <w:r w:rsidRPr="00924CFF">
              <w:t>Dokumentbeteckning</w:t>
            </w:r>
          </w:p>
        </w:tc>
      </w:tr>
      <w:tr w:rsidR="00000000" w:rsidRPr="00924CFF">
        <w:trPr>
          <w:gridAfter w:val="1"/>
          <w:wAfter w:w="1560" w:type="dxa"/>
          <w:trHeight w:val="120"/>
        </w:trPr>
        <w:tc>
          <w:tcPr>
            <w:tcW w:w="6095" w:type="dxa"/>
            <w:gridSpan w:val="2"/>
          </w:tcPr>
          <w:p w:rsidR="00BF3AFA" w:rsidRPr="00924CFF" w:rsidRDefault="00BF3AFA">
            <w:bookmarkStart w:id="0" w:name="KomNr"/>
            <w:bookmarkEnd w:id="0"/>
            <w:r w:rsidRPr="00924CFF">
              <w:t>KOM(2012) 136 slutlig</w:t>
            </w:r>
          </w:p>
        </w:tc>
      </w:tr>
      <w:tr w:rsidR="00000000" w:rsidRPr="00924CFF">
        <w:trPr>
          <w:gridAfter w:val="1"/>
          <w:wAfter w:w="1560" w:type="dxa"/>
          <w:trHeight w:val="120"/>
        </w:trPr>
        <w:tc>
          <w:tcPr>
            <w:tcW w:w="6095" w:type="dxa"/>
            <w:gridSpan w:val="2"/>
          </w:tcPr>
          <w:p w:rsidR="00BF3AFA" w:rsidRPr="00924CFF" w:rsidRDefault="00BF3AFA">
            <w:pPr>
              <w:pStyle w:val="Dokumentbeteckning-titel"/>
            </w:pPr>
            <w:r w:rsidRPr="00924CFF">
              <w:t>Förslag till ändring av direktiv 2006/66/EG om batterier och ackumulatorer och förbrukade batterier och ackumulatorer vad gäller utsläppande på marknaden av bärbara batterier och ackumulatorer som innehåller kadmium och som är avsedda att användas i sladdlösa elektriska handverktyg</w:t>
            </w:r>
          </w:p>
        </w:tc>
      </w:tr>
    </w:tbl>
    <w:p w:rsidR="00BF3AFA" w:rsidRPr="00924CFF" w:rsidRDefault="00BF3AFA">
      <w:pPr>
        <w:pStyle w:val="Rubrik1"/>
        <w:numPr>
          <w:ilvl w:val="0"/>
          <w:numId w:val="0"/>
        </w:numPr>
      </w:pPr>
      <w:r w:rsidRPr="00924CFF">
        <w:t>Sammanfattning</w:t>
      </w:r>
    </w:p>
    <w:p w:rsidR="00BF3AFA" w:rsidRPr="00924CFF" w:rsidRDefault="00BF3AFA">
      <w:r w:rsidRPr="00924CFF">
        <w:t xml:space="preserve">Syftet med batteridirektivet är att göra batteri- och ackumulatoranvändningen, i verksamheterna hos alla aktörer som ingår i deras livscykel, mindre skadlig för miljön. I direktivet finns särskilda regler för utsläppande på marknaden av batterier och ackumulatorer och för insamling, behandling, återvinning, och bortskaffande av förbrukade batterier och ackumulatorer. </w:t>
      </w:r>
    </w:p>
    <w:p w:rsidR="00BF3AFA" w:rsidRPr="00924CFF" w:rsidRDefault="00BF3AFA">
      <w:r w:rsidRPr="00924CFF">
        <w:t xml:space="preserve">Kommissionen har lagt ett förslag som  innebär att  nuvarande undantag om </w:t>
      </w:r>
      <w:r w:rsidRPr="00924CFF">
        <w:t xml:space="preserve">kadmium i bärbara batterier och ackumulatorer som är avsedda att användas i sladdlösa elektriska handverktyg </w:t>
      </w:r>
      <w:r w:rsidRPr="00924CFF">
        <w:t>upphör den 31 december 2015.</w:t>
      </w:r>
    </w:p>
    <w:p w:rsidR="00BF3AFA" w:rsidRPr="00924CFF" w:rsidRDefault="00BF3AFA"/>
    <w:p w:rsidR="00BF3AFA" w:rsidRPr="00924CFF" w:rsidRDefault="00BF3AFA">
      <w:r w:rsidRPr="00924CFF">
        <w:t>I Sverige har redan kadmiuminnehållande batterier i sladdverktyg fasats ut till 80-90 % varvid återstående konsekvenser bedöms marginella.</w:t>
      </w:r>
    </w:p>
    <w:p w:rsidR="00BF3AFA" w:rsidRPr="00924CFF" w:rsidRDefault="00BF3AFA">
      <w:r w:rsidRPr="00924CFF">
        <w:t>Regeringen stöder kommissionens förslag. Sverige var redan under förhandlingen av batteridirektivet av den åsikten att det fanns substitut till kadmiuminnehållande batterier till sladdlösa elektriska handverktyg och att inget undantag behövdes.</w:t>
      </w:r>
    </w:p>
    <w:p w:rsidR="00BF3AFA" w:rsidRPr="00924CFF" w:rsidRDefault="00BF3AFA">
      <w:pPr>
        <w:pStyle w:val="Rubrik1"/>
      </w:pPr>
      <w:r w:rsidRPr="00924CFF">
        <w:t>Förslaget</w:t>
      </w:r>
    </w:p>
    <w:p w:rsidR="00BF3AFA" w:rsidRPr="00924CFF" w:rsidRDefault="00BF3AFA">
      <w:pPr>
        <w:pStyle w:val="Rubrik2"/>
      </w:pPr>
      <w:r w:rsidRPr="00924CFF">
        <w:t>Ärendets bakgrund</w:t>
      </w:r>
    </w:p>
    <w:p w:rsidR="00BF3AFA" w:rsidRPr="00924CFF" w:rsidRDefault="00BF3AFA">
      <w:r w:rsidRPr="00924CFF">
        <w:t xml:space="preserve">Syftet med batteridirektivet (direktiv 2006/66/EG ) är att göra batteri- och ackumulatoranvändningen, i verksamheterna hos alla aktörer som ingår i </w:t>
      </w:r>
      <w:r w:rsidRPr="00924CFF">
        <w:lastRenderedPageBreak/>
        <w:t>deras livscykel, mindre skadlig för miljön. I direktivet finns särskilda regler för utsläppande på marknaden av batterier och ackumulatorer och för insamling, behandling, återvinning, och bortskaffande av förbrukade batterier och ackumulatorer.</w:t>
      </w:r>
    </w:p>
    <w:p w:rsidR="00BF3AFA" w:rsidRPr="00924CFF" w:rsidRDefault="00BF3AFA">
      <w:pPr>
        <w:ind w:firstLine="142"/>
      </w:pPr>
      <w:r w:rsidRPr="00924CFF">
        <w:t>I direktivet förbjuds utsläppande på marknaden av batterier och ackumulatorer som innehåller kvicksilver och kadmium.</w:t>
      </w:r>
    </w:p>
    <w:p w:rsidR="00BF3AFA" w:rsidRPr="00924CFF" w:rsidRDefault="00BF3AFA">
      <w:pPr>
        <w:spacing w:after="240"/>
        <w:ind w:firstLine="142"/>
      </w:pPr>
      <w:r w:rsidRPr="00924CFF">
        <w:t>I artikel 4.3 undantas bärbara batterier och ackumulatorer som är avsedda att användas i sladdlösa elektriska handverktyg.</w:t>
      </w:r>
    </w:p>
    <w:p w:rsidR="00BF3AFA" w:rsidRPr="00924CFF" w:rsidRDefault="00BF3AFA">
      <w:r w:rsidRPr="00924CFF">
        <w:t>I artikel 4.4 i batteridirektivet krävs att kommissionen ska se över undantaget av förbudet mot kadmium i bärbara batterier och ackumulatorer som är avsedda att användas i sladdlösa elektriska handverktyg (artikel 4.3 c). Kommissione har därav lagt fram ett slag till ändring av direktivet att om att batterier som är avsedda att användas i sladdlösa elektriska handverktyg sladdlösa batterierska omfattas från den 1 januari 2016.</w:t>
      </w:r>
    </w:p>
    <w:p w:rsidR="00BF3AFA" w:rsidRPr="00924CFF" w:rsidRDefault="00BF3AFA"/>
    <w:p w:rsidR="00BF3AFA" w:rsidRPr="00924CFF" w:rsidRDefault="00BF3AFA">
      <w:pPr>
        <w:pStyle w:val="Rubrik2"/>
      </w:pPr>
      <w:r w:rsidRPr="00924CFF">
        <w:t>Förslagets innehåll</w:t>
      </w:r>
    </w:p>
    <w:p w:rsidR="00BF3AFA" w:rsidRPr="00924CFF" w:rsidRDefault="00BF3AFA">
      <w:r w:rsidRPr="00924CFF">
        <w:t xml:space="preserve">Förslaget innebär att  nuvarande undantag om </w:t>
      </w:r>
      <w:r w:rsidRPr="00924CFF">
        <w:t xml:space="preserve">kadmium i bärbara batterier och ackumulatorer som är avsedda att användas i sladdlösa elektriska handverktyg </w:t>
      </w:r>
      <w:r w:rsidRPr="00924CFF">
        <w:t>upphör den 31 december 2015.</w:t>
      </w:r>
    </w:p>
    <w:p w:rsidR="00BF3AFA" w:rsidRPr="00924CFF" w:rsidRDefault="00BF3AFA"/>
    <w:p w:rsidR="00BF3AFA" w:rsidRPr="00924CFF" w:rsidRDefault="00BF3AFA">
      <w:r w:rsidRPr="00924CFF">
        <w:t>Övriga ändringar som föreslås kommer t</w:t>
      </w:r>
      <w:r w:rsidRPr="00924CFF">
        <w:t xml:space="preserve">ill följd av ikraftträdandet av Lissabonfördraget. De befogenheter som tilldelas kommissionen i enlighet med direktiv 2006/66/EG måste anpassas till artiklarna 290 och 291 i fördraget. </w:t>
      </w:r>
    </w:p>
    <w:p w:rsidR="00BF3AFA" w:rsidRPr="00924CFF" w:rsidRDefault="00BF3AFA"/>
    <w:p w:rsidR="00BF3AFA" w:rsidRPr="00924CFF" w:rsidRDefault="00BF3AFA">
      <w:r w:rsidRPr="00924CFF">
        <w:t>Kommissionen föreslås få befogenhet att anta akter i enlighet med artikel 290 i fördraget vad gäller bilaga III avseende krav på behandling och återvinning, kriterier för undersökning av motsvarande krav avseende behandling och återvinning utanför Europeiska unionen, registrering av producenter, märkning av kapaciteten hos bärbara batterier och bilbatterier, och undantag från märkningskraven.</w:t>
      </w:r>
    </w:p>
    <w:p w:rsidR="00BF3AFA" w:rsidRPr="00924CFF" w:rsidRDefault="00BF3AFA"/>
    <w:p w:rsidR="00BF3AFA" w:rsidRPr="00924CFF" w:rsidRDefault="00BF3AFA">
      <w:r w:rsidRPr="00924CFF">
        <w:t>Kommissionen föreslås få genomförandebefogenheter avseende på övergångsbestämmelser om lägsta insamlingsnivåer, en gemensam metod för beräkningen av den årliga försäljningen av bärbara batterier och ackumulatorer till slutanvändarna och ett frågeformulär eller en förlaga för nationella genomföranderapporter.</w:t>
      </w:r>
    </w:p>
    <w:p w:rsidR="00BF3AFA" w:rsidRPr="00924CFF" w:rsidRDefault="00BF3AFA"/>
    <w:p w:rsidR="00BF3AFA" w:rsidRPr="00924CFF" w:rsidRDefault="00BF3AFA">
      <w:r w:rsidRPr="00924CFF">
        <w:t>Förslaget ska genomföras i medlemsstaterna inom 18 månder efter ikraftträdande.</w:t>
      </w:r>
    </w:p>
    <w:p w:rsidR="00BF3AFA" w:rsidRPr="00924CFF" w:rsidRDefault="00BF3AFA">
      <w:pPr>
        <w:pStyle w:val="Rubrik2"/>
      </w:pPr>
      <w:r w:rsidRPr="00924CFF">
        <w:t>Gällande svenska regler och förslagets effekt på dessa</w:t>
      </w:r>
    </w:p>
    <w:p w:rsidR="00BF3AFA" w:rsidRPr="00924CFF" w:rsidRDefault="00BF3AFA">
      <w:r w:rsidRPr="00924CFF">
        <w:t>Gällande direktiv är genomförd i svensk lagstiftning främst genom f</w:t>
      </w:r>
      <w:r w:rsidRPr="00924CFF">
        <w:rPr>
          <w:bCs/>
        </w:rPr>
        <w:t xml:space="preserve">örordning (2008:834) om producentansvar för batterier och </w:t>
      </w:r>
      <w:r w:rsidRPr="00924CFF">
        <w:t>förordningen (1998:944) om förbud  m.m. i vissa fall i samband med hantering, införsel och utförsel av kemiska produkter.</w:t>
      </w:r>
    </w:p>
    <w:p w:rsidR="00BF3AFA" w:rsidRPr="00924CFF" w:rsidRDefault="00BF3AFA">
      <w:pPr>
        <w:ind w:firstLine="142"/>
      </w:pPr>
      <w:r w:rsidRPr="00924CFF">
        <w:rPr>
          <w:bCs/>
        </w:rPr>
        <w:t xml:space="preserve">Naturvårdsverket är ansvarig myndighet gällande att sammanställa uppgifter från producenter och se till att producenter följer kraven i förordning (2008:834) om producentansvar för batterier. </w:t>
      </w:r>
      <w:r w:rsidRPr="00924CFF">
        <w:t xml:space="preserve">Tillsyn över begränsningar av kvicksilver och kadmium i batterier utövas av Kemikalieinspektion och kommuner. </w:t>
      </w:r>
    </w:p>
    <w:p w:rsidR="00BF3AFA" w:rsidRPr="00924CFF" w:rsidRDefault="00BF3AFA">
      <w:pPr>
        <w:ind w:firstLine="142"/>
      </w:pPr>
      <w:r w:rsidRPr="00924CFF">
        <w:t xml:space="preserve">Kommissionens förslag kommer att innebära att de svenska reglerna måste anpassas till den ändring som  antas vilket huvudsakligen berör förordningen (1998:944) om förbud  m.m. i vissa fall i samband med hantering, införsel och utförsel av kemiska produkter. </w:t>
      </w:r>
    </w:p>
    <w:p w:rsidR="00BF3AFA" w:rsidRPr="00924CFF" w:rsidRDefault="00BF3AFA">
      <w:pPr>
        <w:pStyle w:val="Rubrik2"/>
      </w:pPr>
      <w:r w:rsidRPr="00924CFF">
        <w:t>Budgetära konsekvenser / Konsekvensanalys</w:t>
      </w:r>
    </w:p>
    <w:p w:rsidR="00BF3AFA" w:rsidRPr="00924CFF" w:rsidRDefault="00BF3AFA">
      <w:r w:rsidRPr="00924CFF">
        <w:t>I konsekvensbedömningen drar kommissionen slutsatsen att om undantaget upphävs år 2016 skulle miljöfördelarna vara aningen lägre jämfört ett omedelbart upphävande men kostnaderna skulle vara mycket lägre jämfört med omedelbart upphävande. Konsumenter kan komma att påverkas av den högre tillverkningskostnaden för alternativ batteriteknik som  tillämpas på sladdlösa elektriska handverktyg som används. Under perioden 2013–2025 kommer sladdlösa elektriska handverktyg med alternativ batterikemi att, beroende på</w:t>
      </w:r>
      <w:r w:rsidRPr="00924CFF">
        <w:t xml:space="preserve"> vilken alternativ batterikemi som väljs (nickelmetallhydrid eller litiumjon), kosta 0,4 euro respektive 0,9 euro mer vid upphävande år 2016.</w:t>
      </w:r>
    </w:p>
    <w:p w:rsidR="00BF3AFA" w:rsidRPr="00924CFF" w:rsidRDefault="00BF3AFA">
      <w:pPr>
        <w:ind w:firstLine="142"/>
      </w:pPr>
      <w:r w:rsidRPr="00924CFF">
        <w:t>De sociala konsekvenserna och den administrativa bördan är begränsad och de bör inte leda till några problem avseende efterlevnad.</w:t>
      </w:r>
    </w:p>
    <w:p w:rsidR="00BF3AFA" w:rsidRPr="00924CFF" w:rsidRDefault="00BF3AFA"/>
    <w:p w:rsidR="00BF3AFA" w:rsidRPr="00924CFF" w:rsidRDefault="00BF3AFA">
      <w:r w:rsidRPr="00924CFF">
        <w:t>I Sverige har redan kadmiuminnehållande batterier i sladdverktyg fasats ut till 80-90 % varvid återstående konsekvenser bedöms marginella.</w:t>
      </w:r>
    </w:p>
    <w:p w:rsidR="00BF3AFA" w:rsidRPr="00924CFF" w:rsidRDefault="00BF3AFA"/>
    <w:p w:rsidR="00BF3AFA" w:rsidRPr="00924CFF" w:rsidRDefault="00BF3AFA">
      <w:pPr>
        <w:pStyle w:val="Rubrik1"/>
      </w:pPr>
      <w:r w:rsidRPr="00924CFF">
        <w:t>Ståndpunkter</w:t>
      </w:r>
    </w:p>
    <w:p w:rsidR="00BF3AFA" w:rsidRPr="00924CFF" w:rsidRDefault="00BF3AFA">
      <w:pPr>
        <w:pStyle w:val="Rubrik2"/>
      </w:pPr>
      <w:r w:rsidRPr="00924CFF">
        <w:t>Preliminär svensk ståndpunkt</w:t>
      </w:r>
    </w:p>
    <w:p w:rsidR="00BF3AFA" w:rsidRPr="00924CFF" w:rsidRDefault="00BF3AFA"/>
    <w:p w:rsidR="00BF3AFA" w:rsidRPr="00924CFF" w:rsidRDefault="00BF3AFA">
      <w:r w:rsidRPr="00924CFF">
        <w:t>Regeringen stöder kommissionens förslag då tidpunkten då undantaget ska upphöra är väl avvägd med tanke på tid för genomförande i medlemsstater. Sverige var redan under förhandlingen av batteridirektivet av den åsikten att det fanns substitut till kadmiuminnehållande batterier till sladdlösa elektriska handverktyg och att inget undantag behövdes. Regeringen kan acceptera att tiden för undantaget tas bort tidigare än 2016 men har svårigheter att acceptera ytterligare föreningar bortom 2016 om så skulle bli a</w:t>
      </w:r>
      <w:r w:rsidRPr="00924CFF">
        <w:t>ktuellt. Regeringen hade dessutom önskat att kommissionen  inom  ramen för denna förhandling hade varit redo för beslut även att ta bort undantaget för kvicksilver i knappcellsbatterier enligt art 4.2. Regeringen ser att stöd finns för detta utifrån entydiga slutsatser i en konsultrapport som  kommissionen  låtit göra. Regeringen kommer att uppmana kommissionen att skyndsamt arbeta för att lägga fram ett förslag om kvicksilver i knappcellsbatterier.</w:t>
      </w:r>
    </w:p>
    <w:p w:rsidR="00BF3AFA" w:rsidRPr="00924CFF" w:rsidRDefault="00BF3AFA">
      <w:pPr>
        <w:pStyle w:val="Rubrik2"/>
      </w:pPr>
      <w:r w:rsidRPr="00924CFF">
        <w:t>Medlemsstaternas ståndpunkter</w:t>
      </w:r>
    </w:p>
    <w:p w:rsidR="00BF3AFA" w:rsidRPr="00924CFF" w:rsidRDefault="00BF3AFA">
      <w:r w:rsidRPr="00924CFF">
        <w:t>Förslaget har presenterats i rådsarbetsgruppen och de flesta medlemsstater ser positivt på kommissionens förslag.</w:t>
      </w:r>
    </w:p>
    <w:p w:rsidR="00BF3AFA" w:rsidRPr="00924CFF" w:rsidRDefault="00BF3AFA">
      <w:pPr>
        <w:pStyle w:val="Rubrik2"/>
      </w:pPr>
      <w:r w:rsidRPr="00924CFF">
        <w:t>Institutionernas ståndpunkter</w:t>
      </w:r>
    </w:p>
    <w:p w:rsidR="00BF3AFA" w:rsidRPr="00924CFF" w:rsidRDefault="00BF3AFA">
      <w:r w:rsidRPr="00924CFF">
        <w:t>Institutionernas ståndpunkter är för närvarande inte kända. Europaparlamentet har ännu inte utsett någon rapportör för förslaget.</w:t>
      </w:r>
    </w:p>
    <w:p w:rsidR="00BF3AFA" w:rsidRPr="00924CFF" w:rsidRDefault="00BF3AFA">
      <w:pPr>
        <w:pStyle w:val="Rubrik2"/>
      </w:pPr>
      <w:r w:rsidRPr="00924CFF">
        <w:t>Remissinstansernas ståndpunkter</w:t>
      </w:r>
    </w:p>
    <w:p w:rsidR="00BF3AFA" w:rsidRPr="00924CFF" w:rsidRDefault="00BF3AFA">
      <w:r w:rsidRPr="00924CFF">
        <w:t>Förslaget har inte remitterats.</w:t>
      </w:r>
    </w:p>
    <w:p w:rsidR="00BF3AFA" w:rsidRPr="00924CFF" w:rsidRDefault="00BF3AFA">
      <w:pPr>
        <w:pStyle w:val="Rubrik1"/>
      </w:pPr>
      <w:r w:rsidRPr="00924CFF">
        <w:t>Förslagets förutsättningar</w:t>
      </w:r>
    </w:p>
    <w:p w:rsidR="00BF3AFA" w:rsidRPr="00924CFF" w:rsidRDefault="00BF3AFA">
      <w:pPr>
        <w:pStyle w:val="Rubrik2"/>
      </w:pPr>
      <w:r w:rsidRPr="00924CFF">
        <w:t>Rättslig grund och beslutsförfarande</w:t>
      </w:r>
    </w:p>
    <w:p w:rsidR="00BF3AFA" w:rsidRPr="00924CFF" w:rsidRDefault="00BF3AFA">
      <w:pPr>
        <w:ind w:firstLine="142"/>
      </w:pPr>
      <w:r w:rsidRPr="00924CFF">
        <w:rPr>
          <w:rFonts w:cs="Helv"/>
          <w:color w:val="000000"/>
          <w:szCs w:val="24"/>
        </w:rPr>
        <w:t xml:space="preserve">Artikel 192.1 i </w:t>
      </w:r>
      <w:r w:rsidRPr="00924CFF">
        <w:t>fördraget om Europeiska unionens funktionssätt</w:t>
      </w:r>
      <w:r w:rsidRPr="00924CFF">
        <w:rPr>
          <w:rFonts w:cs="Helv"/>
          <w:color w:val="000000"/>
          <w:szCs w:val="24"/>
        </w:rPr>
        <w:t xml:space="preserve"> (EUF-fördraget)</w:t>
      </w:r>
      <w:r w:rsidRPr="00924CFF">
        <w:rPr>
          <w:szCs w:val="24"/>
        </w:rPr>
        <w:t>.</w:t>
      </w:r>
      <w:r w:rsidRPr="00924CFF">
        <w:t xml:space="preserve"> Beslut fattas av rådet med kvalificerad majoritet efter ordinarie lagstiftningsförfarande med Europaparlamentet enligt artikel 294 EUF-fördraget.</w:t>
      </w:r>
    </w:p>
    <w:p w:rsidR="00BF3AFA" w:rsidRPr="00924CFF" w:rsidRDefault="00BF3AFA">
      <w:pPr>
        <w:pStyle w:val="Rubrik2"/>
      </w:pPr>
      <w:r w:rsidRPr="00924CFF">
        <w:t>Subsidiaritets- och proportionalitetsprincipen</w:t>
      </w:r>
    </w:p>
    <w:p w:rsidR="00BF3AFA" w:rsidRPr="00924CFF" w:rsidRDefault="00BF3AFA">
      <w:r w:rsidRPr="00924CFF">
        <w:t>Kommissionen anför att förslaget är förenligt med subsidiaritets- och proportionalitetsprincipen eftersom ett användningsförbud och undantag redan finns infört på unionsnivå samt att kommissionen  i batteridirektivet har blivit ombedd att se över undantaget för kadmium i sladdlösa handverktyg.</w:t>
      </w:r>
    </w:p>
    <w:p w:rsidR="00BF3AFA" w:rsidRPr="00924CFF" w:rsidRDefault="00BF3AFA">
      <w:pPr>
        <w:pStyle w:val="Rubrik1"/>
      </w:pPr>
      <w:r w:rsidRPr="00924CFF">
        <w:t>Övrigt</w:t>
      </w:r>
    </w:p>
    <w:p w:rsidR="00BF3AFA" w:rsidRPr="00924CFF" w:rsidRDefault="00BF3AFA">
      <w:pPr>
        <w:pStyle w:val="Rubrik2"/>
      </w:pPr>
      <w:r w:rsidRPr="00924CFF">
        <w:t>Fortsatt behandling av ärendet</w:t>
      </w:r>
    </w:p>
    <w:p w:rsidR="00BF3AFA" w:rsidRPr="00924CFF" w:rsidRDefault="00BF3AFA"/>
    <w:p w:rsidR="00BF3AFA" w:rsidRPr="00924CFF" w:rsidRDefault="00BF3AFA">
      <w:r w:rsidRPr="00924CFF">
        <w:t>Behandling har påbörjats i rådsarbetsgruppen för miljö och det förväntas kunna slutföras inom  r</w:t>
      </w:r>
      <w:bookmarkStart w:id="1" w:name="_GoBack"/>
      <w:bookmarkEnd w:id="1"/>
      <w:r w:rsidRPr="00924CFF">
        <w:t>elativt  kort tid så de flesta medlemsstater är positiva till förslaget. Europaparlamentet har ännu utnämnt någon rapportör för ärendet.</w:t>
      </w:r>
    </w:p>
    <w:p w:rsidR="00BF3AFA" w:rsidRPr="00924CFF" w:rsidRDefault="00BF3AFA"/>
    <w:p w:rsidR="00BF3AFA" w:rsidRPr="00924CFF" w:rsidRDefault="00BF3AFA">
      <w:pPr>
        <w:pStyle w:val="Rubrik2"/>
      </w:pPr>
      <w:r w:rsidRPr="00924CFF">
        <w:t>Fackuttryck/termer</w:t>
      </w:r>
    </w:p>
    <w:p w:rsidR="00BF3AFA" w:rsidRPr="00924CFF" w:rsidRDefault="00BF3AFA"/>
    <w:sectPr w:rsidR="00BF3AFA" w:rsidRPr="00924CF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AFA" w:rsidRPr="00924CFF" w:rsidRDefault="00BF3AFA">
      <w:r w:rsidRPr="00924CFF">
        <w:separator/>
      </w:r>
    </w:p>
  </w:endnote>
  <w:endnote w:type="continuationSeparator" w:id="0">
    <w:p w:rsidR="00BF3AFA" w:rsidRPr="00924CFF" w:rsidRDefault="00BF3AFA">
      <w:r w:rsidRPr="00924C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AFA" w:rsidRPr="00924CFF" w:rsidRDefault="00BF3A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AFA" w:rsidRPr="00924CFF" w:rsidRDefault="00BF3AFA">
    <w:pPr>
      <w:pStyle w:val="SidfotH"/>
      <w:framePr w:wrap="around"/>
    </w:pPr>
    <w:r w:rsidRPr="00924CFF">
      <w:fldChar w:fldCharType="begin" w:fldLock="1"/>
    </w:r>
    <w:r w:rsidRPr="00924CFF">
      <w:instrText xml:space="preserve"> PAGE </w:instrText>
    </w:r>
    <w:r w:rsidRPr="00924CFF">
      <w:fldChar w:fldCharType="separate"/>
    </w:r>
    <w:r w:rsidRPr="00924CFF">
      <w:t>5</w:t>
    </w:r>
    <w:r w:rsidRPr="00924CFF">
      <w:fldChar w:fldCharType="end"/>
    </w:r>
  </w:p>
  <w:p w:rsidR="00BF3AFA" w:rsidRPr="00924CFF" w:rsidRDefault="00BF3AF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AFA" w:rsidRPr="00924CFF" w:rsidRDefault="00BF3AFA">
    <w:pPr>
      <w:pStyle w:val="SidfotH"/>
      <w:framePr w:wrap="around"/>
    </w:pPr>
    <w:r w:rsidRPr="00924CFF">
      <w:fldChar w:fldCharType="begin" w:fldLock="1"/>
    </w:r>
    <w:r w:rsidRPr="00924CFF">
      <w:instrText xml:space="preserve"> PAGE </w:instrText>
    </w:r>
    <w:r w:rsidRPr="00924CFF">
      <w:fldChar w:fldCharType="separate"/>
    </w:r>
    <w:r w:rsidRPr="00924CFF">
      <w:t>1</w:t>
    </w:r>
    <w:r w:rsidRPr="00924CFF">
      <w:fldChar w:fldCharType="end"/>
    </w:r>
  </w:p>
  <w:p w:rsidR="00BF3AFA" w:rsidRPr="00924CFF" w:rsidRDefault="00BF3A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AFA" w:rsidRPr="00924CFF" w:rsidRDefault="00BF3AFA">
      <w:r w:rsidRPr="00924CFF">
        <w:separator/>
      </w:r>
    </w:p>
  </w:footnote>
  <w:footnote w:type="continuationSeparator" w:id="0">
    <w:p w:rsidR="00BF3AFA" w:rsidRPr="00924CFF" w:rsidRDefault="00BF3AFA">
      <w:r w:rsidRPr="00924C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AFA" w:rsidRPr="00924CFF" w:rsidRDefault="00BF3A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AFA" w:rsidRPr="00924CFF" w:rsidRDefault="00BF3AFA">
    <w:pPr>
      <w:pStyle w:val="Kantrubrik"/>
      <w:framePr w:h="1157" w:hRule="exact" w:wrap="around" w:y="738"/>
    </w:pPr>
    <w:r w:rsidRPr="00924CFF">
      <w:t>2011/12:FPM137</w:t>
    </w:r>
  </w:p>
  <w:p w:rsidR="00BF3AFA" w:rsidRPr="00924CFF" w:rsidRDefault="00BF3AF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AFA" w:rsidRPr="00924CFF" w:rsidRDefault="00924CFF">
    <w:pPr>
      <w:pStyle w:val="Sidhuvud"/>
    </w:pPr>
    <w:r w:rsidRPr="00924CF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AFA" w:rsidRDefault="00BF3AF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0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F3AFA" w:rsidRDefault="00BF3AFA">
                    <w:pPr>
                      <w:pStyle w:val="Logo"/>
                    </w:pPr>
                    <w:r>
                      <w:object w:dxaOrig="840" w:dyaOrig="1545">
                        <v:shape id="_x0000_i1025" type="#_x0000_t75" style="width:42pt;height:77.15pt" filled="t">
                          <v:imagedata r:id="rId1" o:title=""/>
                        </v:shape>
                        <o:OLEObject Type="Embed" ProgID="Word.Picture.8" ShapeID="_x0000_i1025" DrawAspect="Content" ObjectID="_182751650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547453771">
    <w:abstractNumId w:val="4"/>
  </w:num>
  <w:num w:numId="2" w16cid:durableId="592474598">
    <w:abstractNumId w:val="1"/>
  </w:num>
  <w:num w:numId="3" w16cid:durableId="1215848854">
    <w:abstractNumId w:val="2"/>
  </w:num>
  <w:num w:numId="4" w16cid:durableId="301810786">
    <w:abstractNumId w:val="3"/>
  </w:num>
  <w:num w:numId="5" w16cid:durableId="326903229">
    <w:abstractNumId w:val="5"/>
  </w:num>
  <w:num w:numId="6" w16cid:durableId="181170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4-30"/>
    <w:docVar w:name="Ar" w:val="2011/12"/>
    <w:docVar w:name="Dep" w:val="Miljödepartementet"/>
    <w:docVar w:name="DepWeb" w:val="Miljödepartementet"/>
    <w:docVar w:name="GDB1" w:val="KOM(2012) 13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ändring av direktiv 2006/66/EG om batterier och ackumulatorer och förbrukade batterier och ackumulatorer vad gäller utsläppande på marknaden av bärbara batterier och ackumulatorer som innehåller kadmium och som är avsedda att användas i sladdlösa elektriska handverkty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136 slutlig"/>
    <w:docVar w:name="Nr" w:val="137"/>
    <w:docVar w:name="RD_APPVERSION" w:val="3.00"/>
    <w:docVar w:name="Rub" w:val="Ändring av batteridirektivet"/>
    <w:docVar w:name="UppDat" w:val="2012-04-30"/>
    <w:docVar w:name="Utsk" w:val="Miljö- och jordbruksutskottet"/>
  </w:docVars>
  <w:rsids>
    <w:rsidRoot w:val="00233105"/>
    <w:rsid w:val="00233105"/>
    <w:rsid w:val="00924CFF"/>
    <w:rsid w:val="00BF3A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0D2DB6-BEF4-4267-AC2B-A137D5BE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Point0">
    <w:name w:val="Point 0"/>
    <w:basedOn w:val="Normal"/>
    <w:pPr>
      <w:spacing w:before="120" w:after="120" w:line="240" w:lineRule="auto"/>
      <w:ind w:left="850" w:hanging="850"/>
    </w:pPr>
    <w:rPr>
      <w:sz w:val="24"/>
      <w:szCs w:val="24"/>
      <w:lang w:eastAsia="en-US"/>
    </w:rPr>
  </w:style>
  <w:style w:type="paragraph" w:styleId="HTML-frformaterad">
    <w:name w:val="HTML Preformatted"/>
    <w:basedOn w:val="Normal"/>
    <w:link w:val="HTML-frformateradChar"/>
    <w:pPr>
      <w:spacing w:before="0" w:line="240" w:lineRule="auto"/>
    </w:pPr>
    <w:rPr>
      <w:rFonts w:ascii="Consolas" w:hAnsi="Consolas"/>
      <w:sz w:val="20"/>
    </w:rPr>
  </w:style>
  <w:style w:type="character" w:customStyle="1" w:styleId="HTML-frformateradChar">
    <w:name w:val="HTML - förformaterad Char"/>
    <w:basedOn w:val="Standardstycketeckensnitt"/>
    <w:link w:val="HTML-frformaterad"/>
    <w:locked/>
    <w:rPr>
      <w:rFonts w:ascii="Consolas" w:hAnsi="Consola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1028</Words>
  <Characters>6839</Characters>
  <Application>Microsoft Office Word</Application>
  <DocSecurity>4</DocSecurity>
  <Lines>145</Lines>
  <Paragraphs>58</Paragraphs>
  <ScaleCrop>false</ScaleCrop>
  <HeadingPairs>
    <vt:vector size="2" baseType="variant">
      <vt:variant>
        <vt:lpstr>Rubrik</vt:lpstr>
      </vt:variant>
      <vt:variant>
        <vt:i4>1</vt:i4>
      </vt:variant>
    </vt:vector>
  </HeadingPairs>
  <TitlesOfParts>
    <vt:vector size="1" baseType="lpstr">
      <vt:lpstr>FPM_201112__137</vt:lpstr>
    </vt:vector>
  </TitlesOfParts>
  <Company>RD-DTSL</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FPM_201112__137</dc:title>
  <dc:subject>FPM_201112__137</dc:subject>
  <dc:creator>Riksdagen</dc:creator>
  <cp:keywords>Riksdagen</cp:keywords>
  <dc:description>KP2004-version.  Ändringarna påverkar enbart användningen inom Riksdagen. 050429 nya departement DTSL.</dc:description>
  <cp:lastModifiedBy>Lars Brink</cp:lastModifiedBy>
  <cp:revision>2</cp:revision>
  <cp:lastPrinted>2012-05-02T04:53:00Z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137</vt:lpwstr>
  </property>
  <property fmtid="{D5CDD505-2E9C-101B-9397-08002B2CF9AE}" pid="4" name="GDB1">
    <vt:lpwstr>KOM(2012) 136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Ändring av batteridirektivet</vt:lpwstr>
  </property>
  <property fmtid="{D5CDD505-2E9C-101B-9397-08002B2CF9AE}" pid="8" name="UppDat">
    <vt:lpwstr>2012-04-30</vt:lpwstr>
  </property>
  <property fmtid="{D5CDD505-2E9C-101B-9397-08002B2CF9AE}" pid="9" name="AnkDat">
    <vt:lpwstr>2012-04-30</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11;0;0;311</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_dlc_DocIdItemGuid">
    <vt:lpwstr>609378b7-a87e-4c9d-b63a-5e1e323f66d1</vt:lpwstr>
  </property>
  <property fmtid="{D5CDD505-2E9C-101B-9397-08002B2CF9AE}" pid="44" name="RKOrdnaDiarienummer">
    <vt:lpwstr/>
  </property>
  <property fmtid="{D5CDD505-2E9C-101B-9397-08002B2CF9AE}" pid="45" name="RKOrdnaCheckInComment">
    <vt:lpwstr/>
  </property>
  <property fmtid="{D5CDD505-2E9C-101B-9397-08002B2CF9AE}" pid="46" name="RKOrdnaClass">
    <vt:lpwstr/>
  </property>
  <property fmtid="{D5CDD505-2E9C-101B-9397-08002B2CF9AE}" pid="47" name="RKOrdnaSarskildSkyddsvard">
    <vt:lpwstr/>
  </property>
  <property fmtid="{D5CDD505-2E9C-101B-9397-08002B2CF9AE}" pid="48" name="RKOrdnaDepartement2">
    <vt:lpwstr>Miljödepartementet</vt:lpwstr>
  </property>
  <property fmtid="{D5CDD505-2E9C-101B-9397-08002B2CF9AE}" pid="49" name="RKOrdnaSearchKeywords">
    <vt:lpwstr/>
  </property>
  <property fmtid="{D5CDD505-2E9C-101B-9397-08002B2CF9AE}" pid="50" name="RKOrdnaActivityCategory2">
    <vt:lpwstr>4.1.6. Europaparlamentet</vt:lpwstr>
  </property>
  <property fmtid="{D5CDD505-2E9C-101B-9397-08002B2CF9AE}" pid="51" name="Integrations- och jämställdhetsdepartementet">
    <vt:lpwstr>NEJ</vt:lpwstr>
  </property>
  <property fmtid="{D5CDD505-2E9C-101B-9397-08002B2CF9AE}" pid="52" name="Jordbruksdepartementet">
    <vt:lpwstr>NEJ</vt:lpwstr>
  </property>
</Properties>
</file>