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268"/>
        <w:gridCol w:w="1134"/>
        <w:gridCol w:w="1865"/>
      </w:tblGrid>
      <w:tr w:rsidR="00FE7F91" w:rsidTr="00DD4A52">
        <w:tc>
          <w:tcPr>
            <w:tcW w:w="2268" w:type="dxa"/>
          </w:tcPr>
          <w:p w:rsidR="00FE7F91" w:rsidRDefault="00FE7F9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FE7F91" w:rsidRPr="009C08BA" w:rsidRDefault="00FE7F91" w:rsidP="009C08BA">
            <w:pPr>
              <w:framePr w:w="5035" w:h="1644" w:wrap="notBeside" w:vAnchor="page" w:hAnchor="page" w:x="6573" w:y="721"/>
              <w:jc w:val="right"/>
              <w:rPr>
                <w:rFonts w:ascii="TradeGothic" w:hAnsi="TradeGothic"/>
                <w:sz w:val="18"/>
              </w:rPr>
            </w:pPr>
            <w:r>
              <w:rPr>
                <w:rFonts w:ascii="TradeGothic" w:hAnsi="TradeGothic"/>
                <w:sz w:val="18"/>
              </w:rPr>
              <w:t>KKR, dp. 7e</w:t>
            </w:r>
          </w:p>
        </w:tc>
      </w:tr>
      <w:tr w:rsidR="00FE7F91" w:rsidTr="00DD4A52">
        <w:tc>
          <w:tcPr>
            <w:tcW w:w="5267" w:type="dxa"/>
            <w:gridSpan w:val="3"/>
          </w:tcPr>
          <w:p w:rsidR="00FE7F91" w:rsidRDefault="00FE7F9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FE7F91" w:rsidTr="00DD4A52">
        <w:tc>
          <w:tcPr>
            <w:tcW w:w="3402" w:type="dxa"/>
            <w:gridSpan w:val="2"/>
          </w:tcPr>
          <w:p w:rsidR="00FE7F91" w:rsidRDefault="00FE7F9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FE7F91" w:rsidRDefault="00FE7F91" w:rsidP="007242A3">
            <w:pPr>
              <w:framePr w:w="5035" w:h="1644" w:wrap="notBeside" w:vAnchor="page" w:hAnchor="page" w:x="6573" w:y="721"/>
            </w:pPr>
          </w:p>
        </w:tc>
      </w:tr>
      <w:tr w:rsidR="00FE7F91" w:rsidTr="00DD4A52">
        <w:tc>
          <w:tcPr>
            <w:tcW w:w="2268" w:type="dxa"/>
          </w:tcPr>
          <w:p w:rsidR="00FE7F91" w:rsidRDefault="00FE7F91" w:rsidP="007242A3">
            <w:pPr>
              <w:framePr w:w="5035" w:h="1644" w:wrap="notBeside" w:vAnchor="page" w:hAnchor="page" w:x="6573" w:y="721"/>
            </w:pPr>
            <w:r>
              <w:t>2013-09-13</w:t>
            </w: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:rsidR="00FE7F91" w:rsidRPr="00ED583F" w:rsidRDefault="00FE7F9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FE7F91" w:rsidTr="00DD4A52">
        <w:tc>
          <w:tcPr>
            <w:tcW w:w="2268" w:type="dxa"/>
          </w:tcPr>
          <w:p w:rsidR="00FE7F91" w:rsidRDefault="00FE7F9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FE7F91" w:rsidRDefault="00FE7F9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/>
      </w:tblPr>
      <w:tblGrid>
        <w:gridCol w:w="4911"/>
      </w:tblGrid>
      <w:tr w:rsidR="00FE7F91">
        <w:trPr>
          <w:trHeight w:val="284"/>
        </w:trPr>
        <w:tc>
          <w:tcPr>
            <w:tcW w:w="4911" w:type="dxa"/>
          </w:tcPr>
          <w:p w:rsidR="00FE7F91" w:rsidRDefault="00FE7F9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Utbildningsdepartementet</w:t>
            </w:r>
          </w:p>
        </w:tc>
      </w:tr>
      <w:tr w:rsidR="00FE7F91">
        <w:trPr>
          <w:trHeight w:val="284"/>
        </w:trPr>
        <w:tc>
          <w:tcPr>
            <w:tcW w:w="4911" w:type="dxa"/>
          </w:tcPr>
          <w:p w:rsidR="00FE7F91" w:rsidRDefault="00FE7F9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E7F91">
        <w:trPr>
          <w:trHeight w:val="284"/>
        </w:trPr>
        <w:tc>
          <w:tcPr>
            <w:tcW w:w="4911" w:type="dxa"/>
          </w:tcPr>
          <w:p w:rsidR="00FE7F91" w:rsidRDefault="00FE7F9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Forskningspolitiska enheten</w:t>
            </w:r>
          </w:p>
        </w:tc>
      </w:tr>
      <w:tr w:rsidR="00FE7F91">
        <w:trPr>
          <w:trHeight w:val="284"/>
        </w:trPr>
        <w:tc>
          <w:tcPr>
            <w:tcW w:w="4911" w:type="dxa"/>
          </w:tcPr>
          <w:p w:rsidR="00FE7F91" w:rsidRDefault="00FE7F9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E7F91">
        <w:trPr>
          <w:trHeight w:val="284"/>
        </w:trPr>
        <w:tc>
          <w:tcPr>
            <w:tcW w:w="4911" w:type="dxa"/>
          </w:tcPr>
          <w:p w:rsidR="00FE7F91" w:rsidRDefault="00FE7F9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E7F91">
        <w:trPr>
          <w:trHeight w:val="284"/>
        </w:trPr>
        <w:tc>
          <w:tcPr>
            <w:tcW w:w="4911" w:type="dxa"/>
          </w:tcPr>
          <w:p w:rsidR="00FE7F91" w:rsidRDefault="00FE7F9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E7F91">
        <w:trPr>
          <w:trHeight w:val="284"/>
        </w:trPr>
        <w:tc>
          <w:tcPr>
            <w:tcW w:w="4911" w:type="dxa"/>
          </w:tcPr>
          <w:p w:rsidR="00FE7F91" w:rsidRDefault="00FE7F9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E7F91">
        <w:trPr>
          <w:trHeight w:val="284"/>
        </w:trPr>
        <w:tc>
          <w:tcPr>
            <w:tcW w:w="4911" w:type="dxa"/>
          </w:tcPr>
          <w:p w:rsidR="00FE7F91" w:rsidRDefault="00FE7F9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FE7F91">
        <w:trPr>
          <w:trHeight w:val="284"/>
        </w:trPr>
        <w:tc>
          <w:tcPr>
            <w:tcW w:w="4911" w:type="dxa"/>
          </w:tcPr>
          <w:p w:rsidR="00FE7F91" w:rsidRDefault="00FE7F9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FE7F91" w:rsidRPr="00DD4A52" w:rsidRDefault="00FE7F91">
      <w:pPr>
        <w:framePr w:w="4400" w:h="2523" w:wrap="notBeside" w:vAnchor="page" w:hAnchor="page" w:x="6453" w:y="2445"/>
        <w:ind w:left="142"/>
        <w:rPr>
          <w:b/>
        </w:rPr>
      </w:pPr>
    </w:p>
    <w:p w:rsidR="00FE7F91" w:rsidRDefault="00FE7F91">
      <w:pPr>
        <w:pStyle w:val="RKrubrik"/>
        <w:pBdr>
          <w:bottom w:val="single" w:sz="6" w:space="1" w:color="auto"/>
        </w:pBdr>
      </w:pPr>
      <w:bookmarkStart w:id="1" w:name="bRubrik"/>
      <w:bookmarkEnd w:id="1"/>
      <w:r>
        <w:t>Rådets möte (KKR) den 27/9 2013</w:t>
      </w:r>
    </w:p>
    <w:p w:rsidR="00FE7F91" w:rsidRDefault="00FE7F91">
      <w:pPr>
        <w:pStyle w:val="RKnormal"/>
      </w:pPr>
    </w:p>
    <w:p w:rsidR="00FE7F91" w:rsidRDefault="00FE7F91">
      <w:pPr>
        <w:pStyle w:val="RKnormal"/>
      </w:pPr>
      <w:r w:rsidRPr="005435FC">
        <w:rPr>
          <w:b/>
        </w:rPr>
        <w:t>Dagordningspunkt:</w:t>
      </w:r>
      <w:r>
        <w:t xml:space="preserve"> 7e)</w:t>
      </w:r>
    </w:p>
    <w:p w:rsidR="00FE7F91" w:rsidRDefault="00FE7F91">
      <w:pPr>
        <w:pStyle w:val="RKnormal"/>
      </w:pPr>
    </w:p>
    <w:p w:rsidR="00FE7F91" w:rsidRPr="00846059" w:rsidRDefault="00FE7F91" w:rsidP="005435FC">
      <w:pPr>
        <w:pStyle w:val="RKnormal"/>
      </w:pPr>
      <w:r w:rsidRPr="005435FC">
        <w:rPr>
          <w:b/>
        </w:rPr>
        <w:t>Rubrik:</w:t>
      </w:r>
      <w:r>
        <w:rPr>
          <w:b/>
        </w:rPr>
        <w:t xml:space="preserve"> </w:t>
      </w:r>
      <w:r w:rsidRPr="00846059">
        <w:t>Rådets förordning om det andra gemensamma företaget för initiativet för innovativa läkemedel</w:t>
      </w:r>
    </w:p>
    <w:p w:rsidR="00FE7F91" w:rsidRPr="005435FC" w:rsidRDefault="00FE7F91">
      <w:pPr>
        <w:pStyle w:val="RKnormal"/>
      </w:pPr>
    </w:p>
    <w:p w:rsidR="00FE7F91" w:rsidRPr="005435FC" w:rsidRDefault="00FE7F91">
      <w:pPr>
        <w:pStyle w:val="RKnormal"/>
        <w:rPr>
          <w:b/>
        </w:rPr>
      </w:pPr>
      <w:r w:rsidRPr="005435FC">
        <w:rPr>
          <w:b/>
        </w:rPr>
        <w:t>Dokument:</w:t>
      </w:r>
      <w:r>
        <w:rPr>
          <w:b/>
        </w:rPr>
        <w:t xml:space="preserve"> </w:t>
      </w:r>
      <w:r>
        <w:t>KOM (2013) 495</w:t>
      </w:r>
    </w:p>
    <w:p w:rsidR="00FE7F91" w:rsidRDefault="00FE7F91">
      <w:pPr>
        <w:pStyle w:val="RKrubrik"/>
      </w:pPr>
      <w:r>
        <w:t>Bakgrund</w:t>
      </w:r>
    </w:p>
    <w:p w:rsidR="00FE7F91" w:rsidRDefault="00FE7F91" w:rsidP="00656B86">
      <w:pPr>
        <w:pStyle w:val="RKnormal"/>
      </w:pPr>
      <w:r>
        <w:t xml:space="preserve">Det föreslagna programmet är en fortsättning på det nuvarande partnerskapsprogrammet Initiativet för innovativa läkemedel (IMI1), som pågår under FP7. </w:t>
      </w:r>
    </w:p>
    <w:p w:rsidR="00FE7F91" w:rsidRDefault="00FE7F91" w:rsidP="00656B86">
      <w:pPr>
        <w:pStyle w:val="RKnormal"/>
      </w:pPr>
    </w:p>
    <w:p w:rsidR="00FE7F91" w:rsidRDefault="00FE7F91" w:rsidP="00656B86">
      <w:pPr>
        <w:pStyle w:val="RKnormal"/>
      </w:pPr>
      <w:r>
        <w:t>IMI1 har finansierat forskning om bl.a. följande: cancer, hjärnans sjukdomar, inflammatoriska sjukdomar, infektionssjukdomar och metabola sjukdomar.</w:t>
      </w:r>
    </w:p>
    <w:p w:rsidR="00FE7F91" w:rsidRDefault="00FE7F91">
      <w:pPr>
        <w:pStyle w:val="RKrubrik"/>
      </w:pPr>
      <w:r>
        <w:t>Rättslig grund och beslutsförfarande</w:t>
      </w:r>
    </w:p>
    <w:p w:rsidR="00FE7F91" w:rsidRDefault="00FE7F91" w:rsidP="00FD3301">
      <w:pPr>
        <w:pStyle w:val="RKnormal"/>
      </w:pPr>
      <w:r>
        <w:t>Art 187, rådet beslutar efter att ha hört Europaparlamentet och Ekonomiska och sociala kommittén.</w:t>
      </w:r>
    </w:p>
    <w:p w:rsidR="00FE7F91" w:rsidRDefault="00FE7F91">
      <w:pPr>
        <w:pStyle w:val="RKrubrik"/>
        <w:rPr>
          <w:i/>
          <w:iCs/>
        </w:rPr>
      </w:pPr>
      <w:r>
        <w:rPr>
          <w:i/>
          <w:iCs/>
        </w:rPr>
        <w:t>Svensk ståndpunkt</w:t>
      </w:r>
    </w:p>
    <w:p w:rsidR="00FE7F91" w:rsidRDefault="00FE7F91">
      <w:pPr>
        <w:pStyle w:val="RKnormal"/>
      </w:pPr>
      <w:r>
        <w:t xml:space="preserve">SE välkomnar förslaget till IMI2. </w:t>
      </w:r>
    </w:p>
    <w:p w:rsidR="00FE7F91" w:rsidRDefault="00FE7F91">
      <w:pPr>
        <w:pStyle w:val="RKnormal"/>
      </w:pPr>
    </w:p>
    <w:p w:rsidR="00FE7F91" w:rsidRDefault="00FE7F91">
      <w:pPr>
        <w:pStyle w:val="RKnormal"/>
      </w:pPr>
      <w:r>
        <w:t>Det är av stor betydelse att stärka utvecklingen av nya läkemedel i samverkan med industrin. Programmet kommer att motverka de problem med flaskhalsar, fragmentering, kritisk massa och höga risker som kännetecknar läkemedelsforskningen i Europa.</w:t>
      </w:r>
    </w:p>
    <w:p w:rsidR="00FE7F91" w:rsidRDefault="00FE7F91">
      <w:pPr>
        <w:pStyle w:val="RKnormal"/>
      </w:pPr>
    </w:p>
    <w:p w:rsidR="00FE7F91" w:rsidRDefault="00FE7F91">
      <w:pPr>
        <w:pStyle w:val="RKnormal"/>
      </w:pPr>
      <w:r>
        <w:t>För att säkerställa att programmet får den finansiering som beslutas är det viktigt med väl fungerande uppföljning och revision av de in-kind-bidrag som är en stor del av finansieringen.</w:t>
      </w:r>
    </w:p>
    <w:p w:rsidR="00FE7F91" w:rsidRPr="0037260C" w:rsidRDefault="00FE7F91">
      <w:pPr>
        <w:pStyle w:val="RKnormal"/>
        <w:rPr>
          <w:u w:val="single"/>
        </w:rPr>
      </w:pPr>
    </w:p>
    <w:p w:rsidR="00FE7F91" w:rsidRDefault="00FE7F91">
      <w:pPr>
        <w:pStyle w:val="RKnormal"/>
      </w:pPr>
      <w:r w:rsidRPr="009258B8">
        <w:t>Mot bakgrund av programmets storlek är SE berett att föra en diskussion om hur MS inflytande över bl.a. programmets prioriteringar skulle kunna öka. Dock måste detta i så fall ske utan att man riskerar minskad effektivitet i beslutsfattande och genomförande.</w:t>
      </w:r>
    </w:p>
    <w:p w:rsidR="00FE7F91" w:rsidRDefault="00FE7F91">
      <w:pPr>
        <w:pStyle w:val="RKnormal"/>
      </w:pPr>
    </w:p>
    <w:p w:rsidR="00FE7F91" w:rsidRPr="00FA6B97" w:rsidRDefault="00FE7F91" w:rsidP="00FA6B97">
      <w:pPr>
        <w:pStyle w:val="RKnormal"/>
      </w:pPr>
      <w:r w:rsidRPr="00FA6B97">
        <w:t xml:space="preserve">För att förbättra medlemsstaternas möjlighet att följa deltagandet även i de program som genomförs under artikel 187 finns ett behov av ökad tillgänglighet till statistik över genomförandet av </w:t>
      </w:r>
      <w:r>
        <w:t>IMI2.</w:t>
      </w:r>
    </w:p>
    <w:p w:rsidR="00FE7F91" w:rsidRPr="009258B8" w:rsidRDefault="00FE7F91">
      <w:pPr>
        <w:pStyle w:val="RKnormal"/>
      </w:pPr>
    </w:p>
    <w:p w:rsidR="00FE7F91" w:rsidRDefault="00FE7F91">
      <w:pPr>
        <w:pStyle w:val="RKrubrik"/>
      </w:pPr>
      <w:r>
        <w:t>Europaparlamentets inställning</w:t>
      </w:r>
    </w:p>
    <w:p w:rsidR="00FE7F91" w:rsidRDefault="00FE7F91">
      <w:pPr>
        <w:pStyle w:val="RKnormal"/>
      </w:pPr>
      <w:r>
        <w:t>Ej känt.</w:t>
      </w:r>
    </w:p>
    <w:p w:rsidR="00FE7F91" w:rsidRDefault="00FE7F91">
      <w:pPr>
        <w:pStyle w:val="RKrubrik"/>
        <w:rPr>
          <w:i/>
          <w:iCs/>
        </w:rPr>
      </w:pPr>
      <w:r>
        <w:rPr>
          <w:i/>
          <w:iCs/>
        </w:rPr>
        <w:t>Förslaget</w:t>
      </w:r>
    </w:p>
    <w:p w:rsidR="00FE7F91" w:rsidRPr="00BD6577" w:rsidRDefault="00FE7F91" w:rsidP="00BD6577">
      <w:pPr>
        <w:pStyle w:val="RKnormal"/>
      </w:pPr>
      <w:r w:rsidRPr="00BD6577">
        <w:t>Förslaget till ett offentlig-privat partnerskap bygger på det gemensamma företaget för</w:t>
      </w:r>
      <w:r>
        <w:t xml:space="preserve"> </w:t>
      </w:r>
      <w:r w:rsidRPr="00BD6577">
        <w:t>initiativet för innovativa läkemedel som inrättats inom det sjunde ramprogrammet för</w:t>
      </w:r>
      <w:r>
        <w:t xml:space="preserve"> </w:t>
      </w:r>
      <w:r w:rsidRPr="00BD6577">
        <w:t>forskning</w:t>
      </w:r>
      <w:r>
        <w:t>.</w:t>
      </w:r>
      <w:r w:rsidRPr="00BD6577">
        <w:t xml:space="preserve"> Det gemensamma företaget är ett offentlig-privat partnerskap mellan</w:t>
      </w:r>
      <w:r>
        <w:t xml:space="preserve"> </w:t>
      </w:r>
      <w:r w:rsidRPr="00BD6577">
        <w:t>Europeiska kommissionen och bioläkemedelsindustrin, och syftet är att förbättra utvecklingen</w:t>
      </w:r>
    </w:p>
    <w:p w:rsidR="00FE7F91" w:rsidRPr="00BD6577" w:rsidRDefault="00FE7F91" w:rsidP="00BD6577">
      <w:pPr>
        <w:pStyle w:val="RKnormal"/>
      </w:pPr>
      <w:r w:rsidRPr="00BD6577">
        <w:t>av läkemedel</w:t>
      </w:r>
      <w:r>
        <w:t>. Detta ska ske</w:t>
      </w:r>
      <w:r w:rsidRPr="00BD6577">
        <w:t xml:space="preserve"> genom att stödja ett mer ändamålsenligt forsknings- och utvecklingssamarbete</w:t>
      </w:r>
      <w:r>
        <w:t xml:space="preserve"> </w:t>
      </w:r>
      <w:r w:rsidRPr="00BD6577">
        <w:t>mellan forskare, små och medelstora företag och bioläkemedelsindustrin, för att få fram bättre</w:t>
      </w:r>
      <w:r>
        <w:t xml:space="preserve"> </w:t>
      </w:r>
      <w:r w:rsidRPr="00BD6577">
        <w:t>och säkrare läkemedel för patienter.</w:t>
      </w:r>
    </w:p>
    <w:p w:rsidR="00FE7F91" w:rsidRDefault="00FE7F91">
      <w:pPr>
        <w:pStyle w:val="RKrubrik"/>
        <w:rPr>
          <w:i/>
          <w:iCs/>
        </w:rPr>
      </w:pPr>
      <w:r>
        <w:rPr>
          <w:i/>
          <w:iCs/>
        </w:rPr>
        <w:t>Gällande svenska regler och förslagets effekter på dessa</w:t>
      </w:r>
    </w:p>
    <w:p w:rsidR="00FE7F91" w:rsidRDefault="00FE7F91">
      <w:pPr>
        <w:pStyle w:val="RKnormal"/>
      </w:pPr>
      <w:r>
        <w:t>Ej aktuellt.</w:t>
      </w:r>
    </w:p>
    <w:p w:rsidR="00FE7F91" w:rsidRDefault="00FE7F91">
      <w:pPr>
        <w:pStyle w:val="RKrubrik"/>
      </w:pPr>
      <w:r>
        <w:t>Ekonomiska konsekvenser</w:t>
      </w:r>
    </w:p>
    <w:p w:rsidR="00FE7F91" w:rsidRDefault="00FE7F91" w:rsidP="0073721C">
      <w:pPr>
        <w:pStyle w:val="RKnormal"/>
      </w:pPr>
      <w:r>
        <w:t>KOM föreslår att EU deltar med 1725 miljoner euro och att industrin deltar med lika mycket.</w:t>
      </w:r>
    </w:p>
    <w:p w:rsidR="00FE7F91" w:rsidRDefault="00FE7F91" w:rsidP="0073721C">
      <w:pPr>
        <w:pStyle w:val="RKnormal"/>
      </w:pPr>
    </w:p>
    <w:p w:rsidR="00FE7F91" w:rsidRDefault="00FE7F91" w:rsidP="0073721C">
      <w:pPr>
        <w:pStyle w:val="RKnormal"/>
      </w:pPr>
      <w:r>
        <w:t xml:space="preserve">Förslaget har inga konsekvenser för statsbudgeten. Det är industrin som kommer delta i programmet, inte medlemsstaterna. </w:t>
      </w:r>
    </w:p>
    <w:p w:rsidR="00FE7F91" w:rsidRPr="005A4854" w:rsidRDefault="00FE7F91" w:rsidP="005A4854">
      <w:pPr>
        <w:pStyle w:val="RKnormal"/>
      </w:pPr>
    </w:p>
    <w:p w:rsidR="00FE7F91" w:rsidRDefault="00FE7F91">
      <w:pPr>
        <w:pStyle w:val="RKrubrik"/>
      </w:pPr>
      <w:r>
        <w:t>Övrigt</w:t>
      </w:r>
    </w:p>
    <w:p w:rsidR="00FE7F91" w:rsidRDefault="00FE7F91">
      <w:pPr>
        <w:pStyle w:val="RKnormal"/>
      </w:pPr>
    </w:p>
    <w:p w:rsidR="00FE7F91" w:rsidRDefault="00FE7F91">
      <w:pPr>
        <w:pStyle w:val="RKnormal"/>
        <w:rPr>
          <w:i/>
          <w:iCs/>
        </w:rPr>
      </w:pPr>
    </w:p>
    <w:p w:rsidR="00FE7F91" w:rsidRDefault="00FE7F91">
      <w:pPr>
        <w:pStyle w:val="RKnormal"/>
        <w:ind w:left="-1134"/>
      </w:pPr>
    </w:p>
    <w:p w:rsidR="00FE7F91" w:rsidRDefault="00FE7F91">
      <w:pPr>
        <w:pStyle w:val="RKrubrik"/>
        <w:spacing w:before="0" w:after="0"/>
      </w:pPr>
    </w:p>
    <w:p w:rsidR="00FE7F91" w:rsidRDefault="00FE7F91">
      <w:pPr>
        <w:pStyle w:val="RKnormal"/>
      </w:pPr>
    </w:p>
    <w:sectPr w:rsidR="00FE7F91" w:rsidSect="007F417E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7F91" w:rsidRDefault="00FE7F91">
      <w:r>
        <w:separator/>
      </w:r>
    </w:p>
  </w:endnote>
  <w:endnote w:type="continuationSeparator" w:id="0">
    <w:p w:rsidR="00FE7F91" w:rsidRDefault="00FE7F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7F91" w:rsidRDefault="00FE7F91">
      <w:r>
        <w:separator/>
      </w:r>
    </w:p>
  </w:footnote>
  <w:footnote w:type="continuationSeparator" w:id="0">
    <w:p w:rsidR="00FE7F91" w:rsidRDefault="00FE7F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F91" w:rsidRDefault="00FE7F9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FE7F91">
      <w:trPr>
        <w:cantSplit/>
      </w:trPr>
      <w:tc>
        <w:tcPr>
          <w:tcW w:w="3119" w:type="dxa"/>
        </w:tcPr>
        <w:p w:rsidR="00FE7F91" w:rsidRDefault="00FE7F91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FE7F91" w:rsidRDefault="00FE7F91">
          <w:pPr>
            <w:pStyle w:val="Header"/>
            <w:ind w:right="360"/>
          </w:pPr>
        </w:p>
      </w:tc>
      <w:tc>
        <w:tcPr>
          <w:tcW w:w="1525" w:type="dxa"/>
        </w:tcPr>
        <w:p w:rsidR="00FE7F91" w:rsidRDefault="00FE7F91">
          <w:pPr>
            <w:pStyle w:val="Header"/>
            <w:ind w:right="360"/>
          </w:pPr>
        </w:p>
      </w:tc>
    </w:tr>
  </w:tbl>
  <w:p w:rsidR="00FE7F91" w:rsidRDefault="00FE7F91">
    <w:pPr>
      <w:pStyle w:val="Header"/>
      <w:ind w:right="357" w:firstLine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F91" w:rsidRDefault="00FE7F9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FE7F91">
      <w:trPr>
        <w:cantSplit/>
      </w:trPr>
      <w:tc>
        <w:tcPr>
          <w:tcW w:w="3119" w:type="dxa"/>
        </w:tcPr>
        <w:p w:rsidR="00FE7F91" w:rsidRDefault="00FE7F91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FE7F91" w:rsidRDefault="00FE7F91">
          <w:pPr>
            <w:pStyle w:val="Header"/>
            <w:ind w:right="360"/>
          </w:pPr>
        </w:p>
      </w:tc>
      <w:tc>
        <w:tcPr>
          <w:tcW w:w="1525" w:type="dxa"/>
        </w:tcPr>
        <w:p w:rsidR="00FE7F91" w:rsidRDefault="00FE7F91">
          <w:pPr>
            <w:pStyle w:val="Header"/>
            <w:ind w:right="360"/>
          </w:pPr>
        </w:p>
      </w:tc>
    </w:tr>
  </w:tbl>
  <w:p w:rsidR="00FE7F91" w:rsidRDefault="00FE7F91">
    <w:pPr>
      <w:pStyle w:val="Header"/>
      <w:ind w:right="357" w:firstLine="35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F91" w:rsidRDefault="00FE7F91">
    <w:pPr>
      <w:framePr w:w="2948" w:h="1321" w:hRule="exact" w:wrap="notBeside" w:vAnchor="page" w:hAnchor="page" w:x="1362" w:y="653"/>
    </w:pPr>
    <w:r w:rsidRPr="00235697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147pt;height:66pt;visibility:visible">
          <v:imagedata r:id="rId1" o:title=""/>
        </v:shape>
      </w:pict>
    </w:r>
  </w:p>
  <w:p w:rsidR="00FE7F91" w:rsidRDefault="00FE7F9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FE7F91" w:rsidRDefault="00FE7F91">
    <w:pPr>
      <w:rPr>
        <w:rFonts w:ascii="TradeGothic" w:hAnsi="TradeGothic"/>
        <w:b/>
        <w:bCs/>
        <w:spacing w:val="12"/>
        <w:sz w:val="22"/>
      </w:rPr>
    </w:pPr>
  </w:p>
  <w:p w:rsidR="00FE7F91" w:rsidRDefault="00FE7F91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FE7F91" w:rsidRDefault="00FE7F91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001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epartement" w:val="Utbildningsdepartementet"/>
    <w:docVar w:name="Regering" w:val="N"/>
  </w:docVars>
  <w:rsids>
    <w:rsidRoot w:val="00DD4A52"/>
    <w:rsid w:val="0003153B"/>
    <w:rsid w:val="000376A3"/>
    <w:rsid w:val="000B5EB9"/>
    <w:rsid w:val="000C574D"/>
    <w:rsid w:val="00112EBD"/>
    <w:rsid w:val="00150384"/>
    <w:rsid w:val="00160901"/>
    <w:rsid w:val="001805B7"/>
    <w:rsid w:val="001F4D3F"/>
    <w:rsid w:val="00225C48"/>
    <w:rsid w:val="00235697"/>
    <w:rsid w:val="00255D83"/>
    <w:rsid w:val="00306479"/>
    <w:rsid w:val="00367B1C"/>
    <w:rsid w:val="0037260C"/>
    <w:rsid w:val="003D45BA"/>
    <w:rsid w:val="00413D18"/>
    <w:rsid w:val="004A328D"/>
    <w:rsid w:val="004D6C63"/>
    <w:rsid w:val="00524670"/>
    <w:rsid w:val="005435FC"/>
    <w:rsid w:val="00565946"/>
    <w:rsid w:val="0058762B"/>
    <w:rsid w:val="005A4854"/>
    <w:rsid w:val="005C0B50"/>
    <w:rsid w:val="005E2EB6"/>
    <w:rsid w:val="00656B86"/>
    <w:rsid w:val="006E4E11"/>
    <w:rsid w:val="007242A3"/>
    <w:rsid w:val="0073721C"/>
    <w:rsid w:val="007A20B4"/>
    <w:rsid w:val="007A6855"/>
    <w:rsid w:val="007C62F7"/>
    <w:rsid w:val="007F417E"/>
    <w:rsid w:val="00800251"/>
    <w:rsid w:val="00846059"/>
    <w:rsid w:val="008C7754"/>
    <w:rsid w:val="008D5E42"/>
    <w:rsid w:val="008E7BB6"/>
    <w:rsid w:val="0092027A"/>
    <w:rsid w:val="009258B8"/>
    <w:rsid w:val="00955E31"/>
    <w:rsid w:val="009769E1"/>
    <w:rsid w:val="00992E72"/>
    <w:rsid w:val="009C08BA"/>
    <w:rsid w:val="00A437C0"/>
    <w:rsid w:val="00A56EA0"/>
    <w:rsid w:val="00AE0D58"/>
    <w:rsid w:val="00AE2039"/>
    <w:rsid w:val="00AF26D1"/>
    <w:rsid w:val="00BD6577"/>
    <w:rsid w:val="00CA335D"/>
    <w:rsid w:val="00D133D7"/>
    <w:rsid w:val="00D5137C"/>
    <w:rsid w:val="00D62340"/>
    <w:rsid w:val="00DD4A52"/>
    <w:rsid w:val="00E230C1"/>
    <w:rsid w:val="00E80146"/>
    <w:rsid w:val="00E904D0"/>
    <w:rsid w:val="00EC25F9"/>
    <w:rsid w:val="00ED583F"/>
    <w:rsid w:val="00F0617F"/>
    <w:rsid w:val="00FA6B97"/>
    <w:rsid w:val="00FD3301"/>
    <w:rsid w:val="00FE7F91"/>
    <w:rsid w:val="00FF1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17E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szCs w:val="20"/>
      <w:lang w:eastAsia="en-US"/>
    </w:rPr>
  </w:style>
  <w:style w:type="paragraph" w:styleId="Heading1">
    <w:name w:val="heading 1"/>
    <w:basedOn w:val="Normal"/>
    <w:next w:val="RKnormal"/>
    <w:link w:val="Heading1Char"/>
    <w:uiPriority w:val="99"/>
    <w:qFormat/>
    <w:rsid w:val="007F417E"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Heading2">
    <w:name w:val="heading 2"/>
    <w:basedOn w:val="Heading1"/>
    <w:next w:val="RKnormal"/>
    <w:link w:val="Heading2Char"/>
    <w:uiPriority w:val="99"/>
    <w:qFormat/>
    <w:rsid w:val="007F417E"/>
    <w:pPr>
      <w:spacing w:before="360"/>
      <w:outlineLvl w:val="1"/>
    </w:pPr>
  </w:style>
  <w:style w:type="paragraph" w:styleId="Heading3">
    <w:name w:val="heading 3"/>
    <w:basedOn w:val="Heading2"/>
    <w:next w:val="RKnormal"/>
    <w:link w:val="Heading3Char"/>
    <w:uiPriority w:val="99"/>
    <w:qFormat/>
    <w:rsid w:val="007F417E"/>
    <w:pPr>
      <w:spacing w:after="120" w:line="240" w:lineRule="atLeast"/>
      <w:outlineLvl w:val="2"/>
    </w:pPr>
    <w:rPr>
      <w:b w:val="0"/>
    </w:rPr>
  </w:style>
  <w:style w:type="paragraph" w:styleId="Heading4">
    <w:name w:val="heading 4"/>
    <w:basedOn w:val="Heading3"/>
    <w:next w:val="RKnormal"/>
    <w:link w:val="Heading4Char"/>
    <w:uiPriority w:val="99"/>
    <w:qFormat/>
    <w:rsid w:val="007F417E"/>
    <w:pPr>
      <w:spacing w:after="40"/>
      <w:outlineLvl w:val="3"/>
    </w:pPr>
    <w:rPr>
      <w:rFonts w:ascii="OrigGarmnd BT" w:hAnsi="OrigGarmnd BT"/>
      <w:b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B9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B9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B9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B9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rsid w:val="00DD4A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DD4A52"/>
    <w:rPr>
      <w:rFonts w:ascii="Tahoma" w:hAnsi="Tahoma" w:cs="Tahoma"/>
      <w:sz w:val="16"/>
      <w:szCs w:val="16"/>
      <w:lang w:eastAsia="en-US"/>
    </w:rPr>
  </w:style>
  <w:style w:type="paragraph" w:customStyle="1" w:styleId="Avsndare">
    <w:name w:val="Avsändare"/>
    <w:basedOn w:val="Normal"/>
    <w:uiPriority w:val="99"/>
    <w:rsid w:val="007F417E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Footer">
    <w:name w:val="footer"/>
    <w:basedOn w:val="Normal"/>
    <w:link w:val="FooterChar"/>
    <w:uiPriority w:val="99"/>
    <w:rsid w:val="007F417E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00B9B"/>
    <w:rPr>
      <w:rFonts w:ascii="OrigGarmnd BT" w:hAnsi="OrigGarmnd BT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7F417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0B9B"/>
    <w:rPr>
      <w:rFonts w:ascii="OrigGarmnd BT" w:hAnsi="OrigGarmnd BT"/>
      <w:sz w:val="24"/>
      <w:szCs w:val="20"/>
      <w:lang w:eastAsia="en-US"/>
    </w:rPr>
  </w:style>
  <w:style w:type="paragraph" w:customStyle="1" w:styleId="RKnormal">
    <w:name w:val="RKnormal"/>
    <w:basedOn w:val="Normal"/>
    <w:uiPriority w:val="99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uiPriority w:val="99"/>
    <w:rsid w:val="007F417E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PageNumber">
    <w:name w:val="page number"/>
    <w:basedOn w:val="DefaultParagraphFont"/>
    <w:uiPriority w:val="99"/>
    <w:rsid w:val="007F417E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682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1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354</Words>
  <Characters>2296</Characters>
  <Application>Microsoft Office Outlook</Application>
  <DocSecurity>0</DocSecurity>
  <Lines>0</Lines>
  <Paragraphs>0</Paragraphs>
  <ScaleCrop>false</ScaleCrop>
  <Company>Regeringskansliet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KKR, dp</dc:title>
  <dc:subject/>
  <dc:creator>Per-Erik Yngwe</dc:creator>
  <cp:keywords/>
  <dc:description/>
  <cp:lastModifiedBy>kn0320aa</cp:lastModifiedBy>
  <cp:revision>2</cp:revision>
  <cp:lastPrinted>2013-09-16T11:34:00Z</cp:lastPrinted>
  <dcterms:created xsi:type="dcterms:W3CDTF">2013-09-16T11:35:00Z</dcterms:created>
  <dcterms:modified xsi:type="dcterms:W3CDTF">2013-09-16T11:35:00Z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7;0;0;266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Id">
    <vt:lpwstr>0x01010053E1D612BA3F4E21AA250ECD751942B30071C30A2A98223B4594CDC4429D65CC14</vt:lpwstr>
  </property>
  <property fmtid="{D5CDD505-2E9C-101B-9397-08002B2CF9AE}" pid="6" name="_dlc_DocIdItemGuid">
    <vt:lpwstr>25415d5e-10c5-4993-8000-dcf1b9b9ff41</vt:lpwstr>
  </property>
  <property fmtid="{D5CDD505-2E9C-101B-9397-08002B2CF9AE}" pid="7" name="TaxCatchAll">
    <vt:lpwstr/>
  </property>
  <property fmtid="{D5CDD505-2E9C-101B-9397-08002B2CF9AE}" pid="8" name="c9cd366cc722410295b9eacffbd73909">
    <vt:lpwstr/>
  </property>
  <property fmtid="{D5CDD505-2E9C-101B-9397-08002B2CF9AE}" pid="9" name="k46d94c0acf84ab9a79866a9d8b1905f">
    <vt:lpwstr/>
  </property>
  <property fmtid="{D5CDD505-2E9C-101B-9397-08002B2CF9AE}" pid="10" name="RKOrdnaClass">
    <vt:lpwstr/>
  </property>
  <property fmtid="{D5CDD505-2E9C-101B-9397-08002B2CF9AE}" pid="11" name="Diarienummer">
    <vt:lpwstr/>
  </property>
  <property fmtid="{D5CDD505-2E9C-101B-9397-08002B2CF9AE}" pid="12" name="RKOrdnaCheckInComment">
    <vt:lpwstr/>
  </property>
  <property fmtid="{D5CDD505-2E9C-101B-9397-08002B2CF9AE}" pid="13" name="Nyckelord">
    <vt:lpwstr/>
  </property>
  <property fmtid="{D5CDD505-2E9C-101B-9397-08002B2CF9AE}" pid="14" name="Sekretess">
    <vt:lpwstr/>
  </property>
  <property fmtid="{D5CDD505-2E9C-101B-9397-08002B2CF9AE}" pid="15" name="_dlc_DocId">
    <vt:lpwstr>WC5HESE2CEK2-13-4262</vt:lpwstr>
  </property>
  <property fmtid="{D5CDD505-2E9C-101B-9397-08002B2CF9AE}" pid="16" name="_dlc_DocIdUrl">
    <vt:lpwstr>http://rkdhs-u/enhet/FP/_layouts/DocIdRedir.aspx?ID=WC5HESE2CEK2-13-4262, WC5HESE2CEK2-13-4262</vt:lpwstr>
  </property>
</Properties>
</file>