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harts/colors3.xml" ContentType="application/vnd.ms-office.chartcolorstyle+xml"/>
  <Override PartName="/word/charts/style3.xml" ContentType="application/vnd.ms-office.chartstyle+xml"/>
  <Override PartName="/word/charts/chart4.xml" ContentType="application/vnd.openxmlformats-officedocument.drawingml.chart+xml"/>
  <Override PartName="/word/charts/chart3.xml" ContentType="application/vnd.openxmlformats-officedocument.drawingml.chart+xml"/>
  <Override PartName="/word/charts/colors4.xml" ContentType="application/vnd.ms-office.chartcolorstyle+xml"/>
  <Override PartName="/word/theme/theme1.xml" ContentType="application/vnd.openxmlformats-officedocument.theme+xml"/>
  <Override PartName="/word/charts/style4.xml" ContentType="application/vnd.ms-office.chartstyle+xml"/>
  <Override PartName="/word/charts/style2.xml" ContentType="application/vnd.ms-office.chartstyle+xml"/>
  <Override PartName="/word/charts/colors2.xml" ContentType="application/vnd.ms-office.chartcolorstyl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6CFF94A9084390846DC34295E96DF1"/>
        </w:placeholder>
        <w:text/>
      </w:sdtPr>
      <w:sdtEndPr/>
      <w:sdtContent>
        <w:p w:rsidRPr="009B062B" w:rsidR="00AF30DD" w:rsidP="00430D4E" w:rsidRDefault="00AF30DD" w14:paraId="5986EF18" w14:textId="77777777">
          <w:pPr>
            <w:pStyle w:val="Rubrik1"/>
            <w:spacing w:after="300"/>
          </w:pPr>
          <w:r w:rsidRPr="009B062B">
            <w:t>Förslag till riksdagsbeslut</w:t>
          </w:r>
        </w:p>
      </w:sdtContent>
    </w:sdt>
    <w:sdt>
      <w:sdtPr>
        <w:alias w:val="Yrkande 1"/>
        <w:tag w:val="603711ab-a840-453e-ac30-9b77ea5e4c2e"/>
        <w:id w:val="98537163"/>
        <w:lock w:val="sdtLocked"/>
      </w:sdtPr>
      <w:sdtEndPr/>
      <w:sdtContent>
        <w:p w:rsidR="00481FC9" w:rsidRDefault="00227C4D" w14:paraId="11BA926B" w14:textId="29E001A2">
          <w:pPr>
            <w:pStyle w:val="Frslagstext"/>
          </w:pPr>
          <w:r>
            <w:t>Riksdagen godkänner ändrade ramar för utgiftsområden och anvisar ändrade anslag enligt regeringens förslag med de ändringar som framgår i tabell</w:t>
          </w:r>
          <w:r w:rsidR="0045542D">
            <w:t> </w:t>
          </w:r>
          <w:r>
            <w:t>1 i motionen.</w:t>
          </w:r>
        </w:p>
      </w:sdtContent>
    </w:sdt>
    <w:sdt>
      <w:sdtPr>
        <w:alias w:val="Yrkande 2"/>
        <w:tag w:val="fa8547b6-291c-486d-9639-69580a1adcc0"/>
        <w:id w:val="1386765951"/>
        <w:lock w:val="sdtLocked"/>
      </w:sdtPr>
      <w:sdtEndPr/>
      <w:sdtContent>
        <w:p w:rsidR="00481FC9" w:rsidRDefault="00227C4D" w14:paraId="304A315E" w14:textId="77777777">
          <w:pPr>
            <w:pStyle w:val="Frslagstext"/>
          </w:pPr>
          <w:r>
            <w:t>Riksdagen ställer sig bakom det som anförs i motionen om att regeringen bör utvärdera storleken på biståndsramen och tillkännager detta för regeringen.</w:t>
          </w:r>
        </w:p>
      </w:sdtContent>
    </w:sdt>
    <w:sdt>
      <w:sdtPr>
        <w:alias w:val="Yrkande 3"/>
        <w:tag w:val="bc78c6fe-7b7e-4fdd-b547-ef3b867d7393"/>
        <w:id w:val="-1730686410"/>
        <w:lock w:val="sdtLocked"/>
      </w:sdtPr>
      <w:sdtEndPr/>
      <w:sdtContent>
        <w:p w:rsidR="00481FC9" w:rsidRDefault="00227C4D" w14:paraId="3988B3F2" w14:textId="77777777">
          <w:pPr>
            <w:pStyle w:val="Frslagstext"/>
          </w:pPr>
          <w:r>
            <w:t>Riksdagen ställer sig bakom det som anförs i motionen om att regeringen bör utvärdera anslaget för rättsväsendet och tillkännager detta för regeringen.</w:t>
          </w:r>
        </w:p>
      </w:sdtContent>
    </w:sdt>
    <w:sdt>
      <w:sdtPr>
        <w:alias w:val="Yrkande 4"/>
        <w:tag w:val="4ecf4d5e-8e58-40a8-814f-cecb6a96ef7a"/>
        <w:id w:val="665440188"/>
        <w:lock w:val="sdtLocked"/>
      </w:sdtPr>
      <w:sdtEndPr/>
      <w:sdtContent>
        <w:p w:rsidR="00481FC9" w:rsidRDefault="00227C4D" w14:paraId="6B22098A" w14:textId="77777777">
          <w:pPr>
            <w:pStyle w:val="Frslagstext"/>
          </w:pPr>
          <w:r>
            <w:t>Riksdagen avslår regeringens föreslagna användning av anslaget 1:7 Energieffektivisering och renovering av flerbostadshus och utomhusmiljöer inom utgiftsområde 18 Samhällsplanering, bostadsförsörjning och byggande samt konsumentpolitik.</w:t>
          </w:r>
        </w:p>
      </w:sdtContent>
    </w:sdt>
    <w:bookmarkStart w:name="MotionsStart" w:displacedByCustomXml="next" w:id="0"/>
    <w:bookmarkEnd w:displacedByCustomXml="next" w:id="0"/>
    <w:sdt>
      <w:sdtPr>
        <w:alias w:val="CC_Motivering_Rubrik"/>
        <w:tag w:val="CC_Motivering_Rubrik"/>
        <w:id w:val="1433397530"/>
        <w:lock w:val="sdtLocked"/>
        <w:placeholder>
          <w:docPart w:val="9AFBCB4C7F57440D91C08E4101D145C0"/>
        </w:placeholder>
        <w:text/>
      </w:sdtPr>
      <w:sdtEndPr/>
      <w:sdtContent>
        <w:p w:rsidRPr="005068A9" w:rsidR="006D79C9" w:rsidP="00430D4E" w:rsidRDefault="006D79C9" w14:paraId="16C2A6EB" w14:textId="3556645F">
          <w:pPr>
            <w:pStyle w:val="Rubrik1"/>
          </w:pPr>
          <w:r>
            <w:t>Motivering</w:t>
          </w:r>
        </w:p>
      </w:sdtContent>
    </w:sdt>
    <w:p w:rsidRPr="005068A9" w:rsidR="00422B9E" w:rsidP="00D03C6D" w:rsidRDefault="005E0719" w14:paraId="448A383F" w14:textId="659E5538">
      <w:pPr>
        <w:pStyle w:val="Normalutanindragellerluft"/>
      </w:pPr>
      <w:r w:rsidRPr="005068A9">
        <w:t>I normalläget hanterar riksdagen två ändringsbudgetar per år, vårändringsbudgeten och höständringsbudgeten. Det gång</w:t>
      </w:r>
      <w:r w:rsidR="0045542D">
        <w:t>n</w:t>
      </w:r>
      <w:r w:rsidRPr="005068A9">
        <w:t>a året, och börja</w:t>
      </w:r>
      <w:r w:rsidR="0045542D">
        <w:t>n</w:t>
      </w:r>
      <w:r w:rsidRPr="005068A9">
        <w:t xml:space="preserve"> på detta år, har dock varit allt annat än normalt. </w:t>
      </w:r>
      <w:r w:rsidRPr="005068A9" w:rsidR="00DE797B">
        <w:t>Hittills</w:t>
      </w:r>
      <w:r w:rsidRPr="005068A9" w:rsidR="002E608C">
        <w:t xml:space="preserve"> i år</w:t>
      </w:r>
      <w:r w:rsidRPr="005068A9" w:rsidR="00DE797B">
        <w:t xml:space="preserve"> har finansutskottet hanterat sex extra ändringsbudgetar från re</w:t>
      </w:r>
      <w:r w:rsidR="00E807B8">
        <w:softHyphen/>
      </w:r>
      <w:r w:rsidRPr="005068A9" w:rsidR="00DE797B">
        <w:t xml:space="preserve">geringen och på egen hand tagit initiativ till en extra ändringsbudget med förstärkningar för att </w:t>
      </w:r>
      <w:r w:rsidR="0045542D">
        <w:t>bl.a.</w:t>
      </w:r>
      <w:r w:rsidRPr="005068A9" w:rsidR="00DE797B">
        <w:t xml:space="preserve"> möjliggöra ökad medicinsk kompetens, färre timanställningar och ökad personalkontinuitet. De föreslagna anslagsförändringarna i årets vårändringsbudget är </w:t>
      </w:r>
      <w:r w:rsidRPr="005068A9" w:rsidR="0055329A">
        <w:t>mindre</w:t>
      </w:r>
      <w:r w:rsidRPr="005068A9" w:rsidR="00DE797B">
        <w:t xml:space="preserve"> än föregående års vårändringsbudget, men alltjämt </w:t>
      </w:r>
      <w:r w:rsidRPr="005068A9" w:rsidR="00DE797B">
        <w:lastRenderedPageBreak/>
        <w:t>omfattande, och en stor del utgörs av stödåtgärder med anledning av pandemin</w:t>
      </w:r>
      <w:r w:rsidRPr="005068A9" w:rsidR="002E608C">
        <w:t>, vilket</w:t>
      </w:r>
      <w:r w:rsidRPr="005068A9" w:rsidR="00DE797B">
        <w:t xml:space="preserve"> är positivt.</w:t>
      </w:r>
    </w:p>
    <w:p w:rsidRPr="00E807B8" w:rsidR="00DE797B" w:rsidP="00D03C6D" w:rsidRDefault="00DE797B" w14:paraId="059CAF8B" w14:textId="41EFA248">
      <w:pPr>
        <w:rPr>
          <w:spacing w:val="-1"/>
        </w:rPr>
      </w:pPr>
      <w:r w:rsidRPr="00E807B8">
        <w:rPr>
          <w:spacing w:val="-1"/>
        </w:rPr>
        <w:t>Givet den osäkerhet som råder gällande vaccinationstakt, risker för ytterligare smitt</w:t>
      </w:r>
      <w:r w:rsidRPr="00E807B8" w:rsidR="00E807B8">
        <w:rPr>
          <w:spacing w:val="-1"/>
        </w:rPr>
        <w:softHyphen/>
      </w:r>
      <w:r w:rsidRPr="00E807B8">
        <w:rPr>
          <w:spacing w:val="-1"/>
        </w:rPr>
        <w:t xml:space="preserve">vågor, </w:t>
      </w:r>
      <w:r w:rsidRPr="00E807B8" w:rsidR="00111FF9">
        <w:rPr>
          <w:spacing w:val="-1"/>
        </w:rPr>
        <w:t xml:space="preserve">långsiktiga effekter för ekonomin </w:t>
      </w:r>
      <w:r w:rsidRPr="00E807B8" w:rsidR="0045542D">
        <w:rPr>
          <w:spacing w:val="-1"/>
        </w:rPr>
        <w:t>osv.</w:t>
      </w:r>
      <w:r w:rsidRPr="00E807B8" w:rsidR="00111FF9">
        <w:rPr>
          <w:spacing w:val="-1"/>
        </w:rPr>
        <w:t xml:space="preserve"> bör det redan nu ske en översyn </w:t>
      </w:r>
      <w:r w:rsidRPr="00E807B8" w:rsidR="0045542D">
        <w:rPr>
          <w:spacing w:val="-1"/>
        </w:rPr>
        <w:t>av</w:t>
      </w:r>
      <w:r w:rsidRPr="00E807B8" w:rsidR="00111FF9">
        <w:rPr>
          <w:spacing w:val="-1"/>
        </w:rPr>
        <w:t xml:space="preserve"> utgifter</w:t>
      </w:r>
      <w:r w:rsidRPr="00E807B8" w:rsidR="00E807B8">
        <w:rPr>
          <w:spacing w:val="-1"/>
        </w:rPr>
        <w:softHyphen/>
      </w:r>
      <w:r w:rsidRPr="00E807B8" w:rsidR="00111FF9">
        <w:rPr>
          <w:spacing w:val="-1"/>
        </w:rPr>
        <w:t>na med utgångspunkt i vilka besparingar som kan ske på kort, medellång eller lång sikt som minskar den offentliga skuldsättningen utan att påverka den ekonomiska återhämt</w:t>
      </w:r>
      <w:r w:rsidR="00E807B8">
        <w:rPr>
          <w:spacing w:val="-1"/>
        </w:rPr>
        <w:softHyphen/>
      </w:r>
      <w:r w:rsidRPr="00E807B8" w:rsidR="00111FF9">
        <w:rPr>
          <w:spacing w:val="-1"/>
        </w:rPr>
        <w:t>ningen.</w:t>
      </w:r>
    </w:p>
    <w:p w:rsidRPr="00D03C6D" w:rsidR="0083069C" w:rsidP="00D03C6D" w:rsidRDefault="0083069C" w14:paraId="03B36870" w14:textId="3074573E">
      <w:pPr>
        <w:pStyle w:val="Rubrik1numrerat"/>
      </w:pPr>
      <w:r w:rsidRPr="00D03C6D">
        <w:t>Trygghet</w:t>
      </w:r>
    </w:p>
    <w:p w:rsidRPr="005068A9" w:rsidR="0083069C" w:rsidP="00D03C6D" w:rsidRDefault="0083069C" w14:paraId="14BA3C4C" w14:textId="4C87FF7B">
      <w:pPr>
        <w:pStyle w:val="Normalutanindragellerluft"/>
      </w:pPr>
      <w:r w:rsidRPr="005068A9">
        <w:t xml:space="preserve">Rättsväsendet får ett </w:t>
      </w:r>
      <w:r w:rsidRPr="005068A9" w:rsidR="001B64A1">
        <w:t>marginellt</w:t>
      </w:r>
      <w:r w:rsidRPr="005068A9">
        <w:t xml:space="preserve"> tillskott</w:t>
      </w:r>
      <w:r w:rsidR="0045542D">
        <w:t>; d</w:t>
      </w:r>
      <w:r w:rsidRPr="005068A9" w:rsidR="00D057D8">
        <w:t>et är behövligt</w:t>
      </w:r>
      <w:r w:rsidRPr="005068A9">
        <w:t xml:space="preserve"> för Åklagarmyndigheten som redan i samband med budgetpropositionen för 2021 tilldelades 50 miljoner kronor mindre än vad de begärt. Det bör i sammanhanget noteras att syftet med </w:t>
      </w:r>
      <w:proofErr w:type="spellStart"/>
      <w:r w:rsidRPr="005068A9">
        <w:t>vårändrings</w:t>
      </w:r>
      <w:r w:rsidR="00E807B8">
        <w:softHyphen/>
      </w:r>
      <w:r w:rsidRPr="005068A9">
        <w:t>budgeten</w:t>
      </w:r>
      <w:proofErr w:type="spellEnd"/>
      <w:r w:rsidRPr="005068A9">
        <w:t xml:space="preserve"> är att förslagen ska gälla ändringar på grund av händelser som inte var kända vid arbetet med budgetpropositionen</w:t>
      </w:r>
      <w:r w:rsidRPr="005068A9" w:rsidR="0055329A">
        <w:t xml:space="preserve">. </w:t>
      </w:r>
      <w:r w:rsidRPr="00E807B8" w:rsidR="0055329A">
        <w:rPr>
          <w:spacing w:val="-1"/>
        </w:rPr>
        <w:t>U</w:t>
      </w:r>
      <w:r w:rsidRPr="00E807B8">
        <w:rPr>
          <w:spacing w:val="-1"/>
        </w:rPr>
        <w:t>nderskottet till Åklagarmyndigheten och möjliga konsekvenser av detta var väl kän</w:t>
      </w:r>
      <w:r w:rsidRPr="00E807B8" w:rsidR="0045542D">
        <w:rPr>
          <w:spacing w:val="-1"/>
        </w:rPr>
        <w:t>da</w:t>
      </w:r>
      <w:r w:rsidRPr="00E807B8">
        <w:rPr>
          <w:spacing w:val="-1"/>
        </w:rPr>
        <w:t>, vilket inte minst framkom i flertalet av oppositions</w:t>
      </w:r>
      <w:r w:rsidRPr="00E807B8" w:rsidR="00E807B8">
        <w:rPr>
          <w:spacing w:val="-1"/>
        </w:rPr>
        <w:softHyphen/>
      </w:r>
      <w:r w:rsidRPr="00E807B8">
        <w:rPr>
          <w:spacing w:val="-1"/>
        </w:rPr>
        <w:t xml:space="preserve">partiernas egna budgetförslag. </w:t>
      </w:r>
      <w:r w:rsidRPr="00E807B8">
        <w:rPr>
          <w:spacing w:val="-2"/>
        </w:rPr>
        <w:t>Tillskottet är dock välbehövligt och det är viktigt att säker</w:t>
      </w:r>
      <w:r w:rsidRPr="00E807B8" w:rsidR="00E807B8">
        <w:rPr>
          <w:spacing w:val="-2"/>
        </w:rPr>
        <w:softHyphen/>
      </w:r>
      <w:r w:rsidRPr="00E807B8">
        <w:rPr>
          <w:spacing w:val="-2"/>
        </w:rPr>
        <w:t xml:space="preserve">ställa </w:t>
      </w:r>
      <w:r w:rsidRPr="00E807B8">
        <w:rPr>
          <w:spacing w:val="-1"/>
        </w:rPr>
        <w:t>att Åklagarmyndigheten får långsiktiga och stabila planeringsförutsättningar. Polis</w:t>
      </w:r>
      <w:r w:rsidR="00E807B8">
        <w:rPr>
          <w:spacing w:val="-1"/>
        </w:rPr>
        <w:softHyphen/>
      </w:r>
      <w:r w:rsidRPr="00E807B8">
        <w:rPr>
          <w:spacing w:val="-1"/>
        </w:rPr>
        <w:t>myndighetens tillskott i regeringens förslag till ändringsbudget är dock obefintligt, vilket är bekymmersamt.</w:t>
      </w:r>
    </w:p>
    <w:p w:rsidRPr="005068A9" w:rsidR="0083069C" w:rsidP="00D03C6D" w:rsidRDefault="0083069C" w14:paraId="47A7FE82" w14:textId="1860F258">
      <w:r w:rsidRPr="005068A9">
        <w:t xml:space="preserve">Under 2020 har </w:t>
      </w:r>
      <w:r w:rsidR="0045542D">
        <w:t>p</w:t>
      </w:r>
      <w:r w:rsidRPr="005068A9">
        <w:t>olisen gripit flera ledande nätverkspersoner misstänkta för grov brottslighet och i samband med att den franska polisen har fått åtkomst till krypterings</w:t>
      </w:r>
      <w:r w:rsidR="00E807B8">
        <w:softHyphen/>
      </w:r>
      <w:r w:rsidRPr="005068A9">
        <w:t xml:space="preserve">tjänsten </w:t>
      </w:r>
      <w:proofErr w:type="spellStart"/>
      <w:r w:rsidRPr="005068A9">
        <w:t>Encrochat</w:t>
      </w:r>
      <w:proofErr w:type="spellEnd"/>
      <w:r w:rsidRPr="005068A9">
        <w:t xml:space="preserve"> har detta resulterat i att 125 fängelseår har utdömts i utredningar med bevisning från det verktyget. Under det kommande halvåret beräknas även ett sjuttiotal personer ha åtalats för grova brott kopplade till skjutvapenvåldet och gängkriminaliteten i Stockholm.</w:t>
      </w:r>
    </w:p>
    <w:p w:rsidRPr="005068A9" w:rsidR="0083069C" w:rsidP="00D03C6D" w:rsidRDefault="0083069C" w14:paraId="61E4547E" w14:textId="1A6A1426">
      <w:r w:rsidRPr="005068A9">
        <w:t>Sammantaget innebär detta att det kan förväntas bli en högre belastning för polis, åklagare, domstolar och kriminalvård, vilket i sin tur kan öka behovet av resurstillskott på kort sikt. Därför är det Sverigedemokraternas mening att regeringen bör utvärdera om tillskottet till rättsväsendet är tillräckligt</w:t>
      </w:r>
      <w:r w:rsidRPr="005068A9" w:rsidR="00D057D8">
        <w:t>.</w:t>
      </w:r>
    </w:p>
    <w:p w:rsidRPr="00D03C6D" w:rsidR="00111FF9" w:rsidP="00D03C6D" w:rsidRDefault="00111FF9" w14:paraId="67071520" w14:textId="72D8A5D7">
      <w:pPr>
        <w:pStyle w:val="Rubrik1numrerat"/>
      </w:pPr>
      <w:r w:rsidRPr="00D03C6D">
        <w:lastRenderedPageBreak/>
        <w:t>Tillämpningen av ramverket för finanspolitiken</w:t>
      </w:r>
    </w:p>
    <w:p w:rsidRPr="005068A9" w:rsidR="006B7640" w:rsidP="00D03C6D" w:rsidRDefault="00111FF9" w14:paraId="15C25E38" w14:textId="5A3DD995">
      <w:pPr>
        <w:pStyle w:val="Normalutanindragellerluft"/>
      </w:pPr>
      <w:r w:rsidRPr="005068A9">
        <w:t xml:space="preserve">Riksrevisionen har tidigare granskat tillämpningen av ramverket för finanspolitiken </w:t>
      </w:r>
      <w:r w:rsidRPr="005068A9" w:rsidR="006B7640">
        <w:t xml:space="preserve">där kritik riktas mot att regeringen inte anger en plan för återgång till överskottsmålet. Enligt regeringen är det inte lämpligt att i det här läget ange annat än en övergripande plan med anledning av </w:t>
      </w:r>
      <w:r w:rsidRPr="005068A9" w:rsidR="0055329A">
        <w:t>den pågående pandemin</w:t>
      </w:r>
      <w:r w:rsidR="00D672B8">
        <w:t>. R</w:t>
      </w:r>
      <w:r w:rsidRPr="005068A9" w:rsidR="006B7640">
        <w:t xml:space="preserve">egeringen avser i stället </w:t>
      </w:r>
      <w:r w:rsidR="0085404F">
        <w:t xml:space="preserve">att </w:t>
      </w:r>
      <w:r w:rsidRPr="005068A9" w:rsidR="006B7640">
        <w:t>åter</w:t>
      </w:r>
      <w:r w:rsidR="00E807B8">
        <w:softHyphen/>
      </w:r>
      <w:r w:rsidRPr="005068A9" w:rsidR="006B7640">
        <w:t>komma med en mer detaljerad plan när utvecklingen är mer föruts</w:t>
      </w:r>
      <w:r w:rsidR="0085404F">
        <w:t>e</w:t>
      </w:r>
      <w:r w:rsidRPr="005068A9" w:rsidR="006B7640">
        <w:t>bar.</w:t>
      </w:r>
    </w:p>
    <w:p w:rsidRPr="005068A9" w:rsidR="006B7640" w:rsidP="00D03C6D" w:rsidRDefault="006B7640" w14:paraId="5CA54BE8" w14:textId="0C075716">
      <w:r w:rsidRPr="005068A9">
        <w:t>Regeringens ställningstagande är inte oproblematiskt. Budgetlagens bestämmelser om att regeringen vid en bedömd avvikelse från överskottsmålet även ska redogöra för hur en återgång till målet</w:t>
      </w:r>
      <w:r w:rsidR="0085404F">
        <w:t xml:space="preserve"> ska ske</w:t>
      </w:r>
      <w:r w:rsidRPr="005068A9">
        <w:t xml:space="preserve"> är särskilt viktiga vid plötsliga konjunkturnedgångar</w:t>
      </w:r>
      <w:r w:rsidR="0085404F">
        <w:t>;</w:t>
      </w:r>
      <w:r w:rsidRPr="005068A9">
        <w:t xml:space="preserve"> det är just då en plan för återgång behövs.</w:t>
      </w:r>
    </w:p>
    <w:p w:rsidRPr="005068A9" w:rsidR="006B7640" w:rsidP="00D03C6D" w:rsidRDefault="006B7640" w14:paraId="4C5DDAA6" w14:textId="77777777">
      <w:r w:rsidRPr="005068A9">
        <w:t xml:space="preserve">Även på ett övergripande plan bör det finnas en tydlig uppsättning åtgärder som vidtas, eller kan vidtas, för att förhindra att </w:t>
      </w:r>
      <w:r w:rsidRPr="005068A9" w:rsidR="00BA12EB">
        <w:t>det strukturella sparandet försvagas mer än nödvändigt. Flera av dessa åtgärder bör genomföras redan under innevarande år.</w:t>
      </w:r>
    </w:p>
    <w:p w:rsidRPr="00D03C6D" w:rsidR="00BA12EB" w:rsidP="00D03C6D" w:rsidRDefault="00BA12EB" w14:paraId="4799E434" w14:textId="2628FE4D">
      <w:pPr>
        <w:pStyle w:val="Rubrik1numrerat"/>
      </w:pPr>
      <w:r w:rsidRPr="00D03C6D">
        <w:t>Revidering av det internationella biståndet</w:t>
      </w:r>
    </w:p>
    <w:p w:rsidRPr="005068A9" w:rsidR="00BA12EB" w:rsidP="00D03C6D" w:rsidRDefault="00BA12EB" w14:paraId="75D466D2" w14:textId="265E11D3">
      <w:pPr>
        <w:pStyle w:val="Normalutanindragellerluft"/>
      </w:pPr>
      <w:r w:rsidRPr="005068A9">
        <w:t>Sveriges kostnad för internationellt bistånd har ökat i enorm utsträckning jämfört med myndigheternas eller de övriga utgiftsområdenas kostnadsutveckling. Volymen innebär att det är svårare att säkerställa att medlen nyttjas på ett så effektivt sätt som möjligt</w:t>
      </w:r>
      <w:r w:rsidRPr="005068A9" w:rsidR="002E608C">
        <w:t>.</w:t>
      </w:r>
      <w:r w:rsidRPr="005068A9">
        <w:t xml:space="preserve"> </w:t>
      </w:r>
      <w:r w:rsidRPr="005068A9" w:rsidR="002E608C">
        <w:t>R</w:t>
      </w:r>
      <w:r w:rsidRPr="005068A9">
        <w:t>iksdagen beslutar om en summa som sedan ska fördelas i stället för att börja i andra änden med att det finns ett behov.</w:t>
      </w:r>
    </w:p>
    <w:p w:rsidRPr="00D03C6D" w:rsidR="004406DB" w:rsidP="00D03C6D" w:rsidRDefault="004406DB" w14:paraId="36B04DD4" w14:textId="5E292504">
      <w:pPr>
        <w:pStyle w:val="Tabellrubrik"/>
        <w:keepNext/>
      </w:pPr>
      <w:r w:rsidRPr="00D03C6D">
        <w:t xml:space="preserve">Figur </w:t>
      </w:r>
      <w:r w:rsidR="00CC06C4">
        <w:t>1</w:t>
      </w:r>
      <w:r w:rsidRPr="00D03C6D">
        <w:t xml:space="preserve"> Biståndets utveckling i förhållande till andra utgiftsområden 2000–2024, miljarder kronor</w:t>
      </w:r>
    </w:p>
    <w:p w:rsidRPr="005068A9" w:rsidR="00BA12EB" w:rsidP="00D03C6D" w:rsidRDefault="00BA12EB" w14:paraId="70796E83" w14:textId="77777777">
      <w:pPr>
        <w:ind w:left="-113" w:firstLine="0"/>
      </w:pPr>
      <w:r w:rsidRPr="005068A9">
        <w:rPr>
          <w:noProof/>
          <w14:numSpacing w14:val="default"/>
        </w:rPr>
        <w:drawing>
          <wp:inline distT="0" distB="0" distL="0" distR="0" wp14:anchorId="6FEBA8C5" wp14:editId="0DF5146B">
            <wp:extent cx="5457825" cy="2816838"/>
            <wp:effectExtent l="0" t="0" r="0" b="3175"/>
            <wp:docPr id="5" name="Diagram 5" descr="">
              <a:extLst xmlns:a="http://schemas.openxmlformats.org/drawingml/2006/main">
                <a:ext uri="{FF2B5EF4-FFF2-40B4-BE49-F238E27FC236}">
                  <a16:creationId xmlns:a16="http://schemas.microsoft.com/office/drawing/2014/main" id="{7AA57BF8-15E8-4556-891A-C4C75AA84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03C6D" w:rsidR="004406DB" w:rsidP="00D03C6D" w:rsidRDefault="004406DB" w14:paraId="06803E0C" w14:textId="7D2C695E">
      <w:pPr>
        <w:pStyle w:val="Tabellrubrik"/>
        <w:keepNext/>
      </w:pPr>
      <w:r w:rsidRPr="00D03C6D">
        <w:lastRenderedPageBreak/>
        <w:t xml:space="preserve">Figur </w:t>
      </w:r>
      <w:r w:rsidR="00CC06C4">
        <w:t>2</w:t>
      </w:r>
      <w:r w:rsidRPr="00D03C6D">
        <w:t xml:space="preserve"> Internationellt bistånd som andel av summan av samtliga utgiftsområden, andel i procent</w:t>
      </w:r>
    </w:p>
    <w:p w:rsidRPr="005068A9" w:rsidR="00BA12EB" w:rsidP="00D03C6D" w:rsidRDefault="00BA12EB" w14:paraId="7D918AE7" w14:textId="77777777">
      <w:pPr>
        <w:ind w:left="-113" w:firstLine="0"/>
      </w:pPr>
      <w:r w:rsidRPr="005068A9">
        <w:rPr>
          <w:noProof/>
          <w14:numSpacing w14:val="default"/>
        </w:rPr>
        <w:drawing>
          <wp:inline distT="0" distB="0" distL="0" distR="0" wp14:anchorId="78B4FAFD" wp14:editId="5DBD54D3">
            <wp:extent cx="5534025" cy="2225584"/>
            <wp:effectExtent l="0" t="0" r="0" b="3810"/>
            <wp:docPr id="11" name="Diagram 11" descr="">
              <a:extLst xmlns:a="http://schemas.openxmlformats.org/drawingml/2006/main">
                <a:ext uri="{FF2B5EF4-FFF2-40B4-BE49-F238E27FC236}">
                  <a16:creationId xmlns:a16="http://schemas.microsoft.com/office/drawing/2014/main" id="{C05BE049-0FAA-49F8-A3F3-B3BFF6C84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5068A9" w:rsidR="00BA12EB" w:rsidP="00D03C6D" w:rsidRDefault="00BA12EB" w14:paraId="538AAEBC" w14:textId="6923F780">
      <w:pPr>
        <w:pStyle w:val="Normalutanindragellerluft"/>
        <w:spacing w:before="150"/>
      </w:pPr>
      <w:r w:rsidRPr="005068A9">
        <w:t>Med den överhängande risken att pandemin blir mer långvarig eller får större ekono</w:t>
      </w:r>
      <w:r w:rsidR="00E807B8">
        <w:softHyphen/>
      </w:r>
      <w:r w:rsidRPr="005068A9">
        <w:t xml:space="preserve">miska konsekvenser än planerat bör regeringen redan nu utvärdera om biståndsramen är för omfattande. Biståndsprojekten är ofta fleråriga varpå det kan finnas begränsningar för hur </w:t>
      </w:r>
      <w:r w:rsidRPr="005068A9" w:rsidR="0055329A">
        <w:t>stor</w:t>
      </w:r>
      <w:r w:rsidRPr="005068A9">
        <w:t xml:space="preserve"> en besparing kan vara</w:t>
      </w:r>
      <w:r w:rsidRPr="005068A9" w:rsidR="002E608C">
        <w:t>.</w:t>
      </w:r>
      <w:r w:rsidRPr="005068A9">
        <w:t xml:space="preserve"> </w:t>
      </w:r>
      <w:r w:rsidRPr="005068A9" w:rsidR="002E608C">
        <w:t>E</w:t>
      </w:r>
      <w:r w:rsidRPr="005068A9">
        <w:t>n utgångspunkt bör vara att regeringen kraftigt be</w:t>
      </w:r>
      <w:r w:rsidR="00E807B8">
        <w:softHyphen/>
      </w:r>
      <w:r w:rsidRPr="005068A9">
        <w:t>gränsar nya åtaganden under den återstående delen av året till dess att utvecklingen är mer föruts</w:t>
      </w:r>
      <w:r w:rsidR="0085404F">
        <w:t>e</w:t>
      </w:r>
      <w:r w:rsidRPr="005068A9">
        <w:t>bar.</w:t>
      </w:r>
    </w:p>
    <w:p w:rsidRPr="00D03C6D" w:rsidR="0083069C" w:rsidP="00D03C6D" w:rsidRDefault="0083069C" w14:paraId="6977E7EA" w14:textId="3678130D">
      <w:pPr>
        <w:pStyle w:val="Rubrik1numrerat"/>
      </w:pPr>
      <w:bookmarkStart w:name="_Hlk70594691" w:id="1"/>
      <w:r w:rsidRPr="00D03C6D">
        <w:t>Arbetsmarknadspolitiska program och insatser</w:t>
      </w:r>
    </w:p>
    <w:p w:rsidRPr="005068A9" w:rsidR="004406DB" w:rsidP="00D03C6D" w:rsidRDefault="0083069C" w14:paraId="3FCFD975" w14:textId="203EB053">
      <w:pPr>
        <w:pStyle w:val="Normalutanindragellerluft"/>
      </w:pPr>
      <w:r w:rsidRPr="005068A9">
        <w:t xml:space="preserve">Arbetslösheten i Sverige har ökat betydligt under pandemin, </w:t>
      </w:r>
      <w:r w:rsidR="0085404F">
        <w:t>och</w:t>
      </w:r>
      <w:r w:rsidRPr="005068A9">
        <w:t xml:space="preserve"> ökningen har varit större bland utrikes födda än </w:t>
      </w:r>
      <w:r w:rsidR="0085404F">
        <w:t xml:space="preserve">bland </w:t>
      </w:r>
      <w:r w:rsidRPr="005068A9">
        <w:t>inrikes födda. För utrikes födda uppgick arbetslös</w:t>
      </w:r>
      <w:r w:rsidR="00E807B8">
        <w:softHyphen/>
      </w:r>
      <w:r w:rsidRPr="005068A9">
        <w:t>heten till 18,8 procent 2020, en ökning på 3,7 procentenheter jämfört med föregående år. För inrikes födda uppgick arbetslösheten till 5,1 procent 2020, en ökning på 0,7 procent</w:t>
      </w:r>
      <w:r w:rsidR="00E807B8">
        <w:softHyphen/>
      </w:r>
      <w:r w:rsidRPr="005068A9">
        <w:t>enheter jämfört med föregående år.</w:t>
      </w:r>
    </w:p>
    <w:p w:rsidRPr="00D03C6D" w:rsidR="004406DB" w:rsidP="00D03C6D" w:rsidRDefault="004406DB" w14:paraId="4B0653CE" w14:textId="52F9DB49">
      <w:pPr>
        <w:pStyle w:val="Tabellrubrik"/>
        <w:keepNext/>
      </w:pPr>
      <w:r w:rsidRPr="00D03C6D">
        <w:t xml:space="preserve">Figur </w:t>
      </w:r>
      <w:r w:rsidR="00CC06C4">
        <w:t>3</w:t>
      </w:r>
      <w:r w:rsidRPr="00D03C6D">
        <w:t xml:space="preserve"> Arbetslöshet för inrikes och utrikes födda 2005–2021</w:t>
      </w:r>
    </w:p>
    <w:p w:rsidRPr="005068A9" w:rsidR="008B66CC" w:rsidP="00D03C6D" w:rsidRDefault="008B66CC" w14:paraId="4EF4776C" w14:textId="57830914">
      <w:pPr>
        <w:ind w:left="-113" w:firstLine="0"/>
      </w:pPr>
      <w:r w:rsidRPr="005068A9">
        <w:rPr>
          <w:noProof/>
        </w:rPr>
        <w:drawing>
          <wp:inline distT="0" distB="0" distL="0" distR="0" wp14:anchorId="5900376E" wp14:editId="67746C92">
            <wp:extent cx="5549340" cy="2257425"/>
            <wp:effectExtent l="0" t="0" r="0" b="0"/>
            <wp:docPr id="8" name="Diagram 8" descr="">
              <a:extLst xmlns:a="http://schemas.openxmlformats.org/drawingml/2006/main">
                <a:ext uri="{FF2B5EF4-FFF2-40B4-BE49-F238E27FC236}">
                  <a16:creationId xmlns:a16="http://schemas.microsoft.com/office/drawing/2014/main" id="{093D4599-83C6-4F5D-B0C2-6AB7D0829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5068A9" w:rsidR="00737771" w:rsidP="00E807B8" w:rsidRDefault="00737771" w14:paraId="0CC2844F" w14:textId="0AC1D32F">
      <w:pPr>
        <w:pStyle w:val="Normalutanindragellerluft"/>
        <w:spacing w:before="150"/>
      </w:pPr>
      <w:r w:rsidRPr="005068A9">
        <w:t>Sverige hade den fjärde högsta arbetslöshet i hela EU under hösten och har nu den femte högsta arbetslösheten, vilket fortfarande är att betrakta som höga nivåer. Arbets</w:t>
      </w:r>
      <w:r w:rsidR="00E807B8">
        <w:softHyphen/>
      </w:r>
      <w:r w:rsidRPr="005068A9">
        <w:t>lösheten överstiger vida genomsnittet för EU-länderna</w:t>
      </w:r>
      <w:r w:rsidR="0085404F">
        <w:t>. D</w:t>
      </w:r>
      <w:r w:rsidRPr="005068A9">
        <w:t>et kvarstår endast att konsta</w:t>
      </w:r>
      <w:r w:rsidR="00E807B8">
        <w:softHyphen/>
      </w:r>
      <w:r w:rsidRPr="005068A9">
        <w:t xml:space="preserve">tera att Sverige nu är längre </w:t>
      </w:r>
      <w:r w:rsidR="0085404F">
        <w:t>i</w:t>
      </w:r>
      <w:r w:rsidRPr="005068A9">
        <w:t>från regeringens mål om EU:s lägsta arbetslöshet 2020 än när målet introducerades.</w:t>
      </w:r>
    </w:p>
    <w:p w:rsidRPr="00D03C6D" w:rsidR="004406DB" w:rsidP="00D03C6D" w:rsidRDefault="004406DB" w14:paraId="39D8089F" w14:textId="59143E3B">
      <w:pPr>
        <w:pStyle w:val="Tabellrubrik"/>
        <w:keepNext/>
      </w:pPr>
      <w:r w:rsidRPr="00D03C6D">
        <w:t xml:space="preserve">Figur </w:t>
      </w:r>
      <w:r w:rsidR="00CC06C4">
        <w:t>4</w:t>
      </w:r>
      <w:r w:rsidRPr="00D03C6D">
        <w:t xml:space="preserve"> Internationell arbetslöshet, februari 2021</w:t>
      </w:r>
    </w:p>
    <w:p w:rsidRPr="005068A9" w:rsidR="00737771" w:rsidP="00D03C6D" w:rsidRDefault="00737771" w14:paraId="39D0726D" w14:textId="377EA0E0">
      <w:pPr>
        <w:ind w:left="-113" w:firstLine="0"/>
      </w:pPr>
      <w:r w:rsidRPr="005068A9">
        <w:rPr>
          <w:noProof/>
        </w:rPr>
        <w:drawing>
          <wp:inline distT="0" distB="0" distL="0" distR="0" wp14:anchorId="69D358A0" wp14:editId="5160888B">
            <wp:extent cx="5399405" cy="3650615"/>
            <wp:effectExtent l="0" t="0" r="0" b="6985"/>
            <wp:docPr id="9" name="Diagram 9" descr="">
              <a:extLst xmlns:a="http://schemas.openxmlformats.org/drawingml/2006/main">
                <a:ext uri="{FF2B5EF4-FFF2-40B4-BE49-F238E27FC236}">
                  <a16:creationId xmlns:a16="http://schemas.microsoft.com/office/drawing/2014/main" id="{C385AB78-E946-47E2-B6ED-7AD34AC3D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5068A9" w:rsidR="0083069C" w:rsidP="00D03C6D" w:rsidRDefault="0083069C" w14:paraId="65893EB2" w14:textId="48CF786F">
      <w:pPr>
        <w:pStyle w:val="Normalutanindragellerluft"/>
        <w:spacing w:before="150"/>
      </w:pPr>
      <w:r w:rsidRPr="005068A9">
        <w:t xml:space="preserve">Regeringens tidigare riktade åtgärder i form av </w:t>
      </w:r>
      <w:r w:rsidR="0085404F">
        <w:t>bl.a.</w:t>
      </w:r>
      <w:r w:rsidRPr="005068A9">
        <w:t xml:space="preserve"> subventionerade jobb har varit ineffektiva. Trots detta är den fortsatta inriktningen statligt finansierad sysselsättning i form av extratjänster och introduktionsjobb som medför kraftiga undanträngnings</w:t>
      </w:r>
      <w:r w:rsidR="00E807B8">
        <w:softHyphen/>
      </w:r>
      <w:r w:rsidRPr="005068A9">
        <w:t xml:space="preserve">effekter i stället för lärlingsanställningar och ett större fokus på yrkesutbildningsplatser – åtgärder som </w:t>
      </w:r>
      <w:r w:rsidRPr="005068A9" w:rsidR="008B66CC">
        <w:t xml:space="preserve">har en högre grad av effektivitet för att skapa sysselsättning som inte är beroende av kontinuerlig statlig </w:t>
      </w:r>
      <w:r w:rsidRPr="005068A9" w:rsidR="00C0398F">
        <w:t>finansiering</w:t>
      </w:r>
      <w:r w:rsidRPr="005068A9">
        <w:t>. Det blir allt tydligare att regeringens försök att anpassa arbetsmarknaden efter nyanlända i stället för att anpassa nyanlända till arbetsmarknaden har varit en misslyckad strategi.</w:t>
      </w:r>
    </w:p>
    <w:bookmarkEnd w:id="1"/>
    <w:p w:rsidRPr="00D03C6D" w:rsidR="00C0398F" w:rsidP="00D03C6D" w:rsidRDefault="00C0398F" w14:paraId="66216C3C" w14:textId="6F1EBEE0">
      <w:pPr>
        <w:pStyle w:val="Rubrik1numrerat"/>
      </w:pPr>
      <w:r w:rsidRPr="00D03C6D">
        <w:t>Mediestöd</w:t>
      </w:r>
    </w:p>
    <w:p w:rsidRPr="005068A9" w:rsidR="00C0398F" w:rsidP="00D03C6D" w:rsidRDefault="00C0398F" w14:paraId="0B5E2501" w14:textId="0B0F58B7">
      <w:pPr>
        <w:pStyle w:val="Normalutanindragellerluft"/>
      </w:pPr>
      <w:r w:rsidRPr="005068A9">
        <w:t>För att möjliggöra en fortsatt spridning av tryckta nyhetstidningar i områden där tidningsdistributionen påverkats av varannandagsutdelning, och hantera de ökade utgifterna för det rättighetsbaserade driftsstödet, behöver anslaget tillföras ytterligare medel</w:t>
      </w:r>
      <w:r w:rsidR="0085404F">
        <w:t>,</w:t>
      </w:r>
      <w:r w:rsidRPr="005068A9">
        <w:t xml:space="preserve"> anser regeringen</w:t>
      </w:r>
      <w:r w:rsidR="0085404F">
        <w:t>,</w:t>
      </w:r>
      <w:r w:rsidRPr="005068A9">
        <w:t xml:space="preserve"> som föreslår att anslaget 8:1 Mediestöd ökas med 100</w:t>
      </w:r>
      <w:r w:rsidR="0085404F">
        <w:t> </w:t>
      </w:r>
      <w:r w:rsidRPr="005068A9">
        <w:t>000</w:t>
      </w:r>
      <w:r w:rsidR="0085404F">
        <w:t> </w:t>
      </w:r>
      <w:r w:rsidRPr="005068A9">
        <w:t>000 kronor. Sverigedemokraterna är visserligen inte emot samdistribution och vill stödja den lokala journalistiken men menar att de redan aviserade höjningarna av anslaget som avser andra stödformer i stället torde kunna riktas över till distribution. Vi avvisar därför höjningen.</w:t>
      </w:r>
    </w:p>
    <w:p w:rsidRPr="00D03C6D" w:rsidR="000F568C" w:rsidP="00D03C6D" w:rsidRDefault="000F568C" w14:paraId="4AF261D1" w14:textId="5F5A7C9B">
      <w:pPr>
        <w:pStyle w:val="Rubrik1numrerat"/>
      </w:pPr>
      <w:r w:rsidRPr="00D03C6D">
        <w:t>Energieffektivisering</w:t>
      </w:r>
    </w:p>
    <w:p w:rsidRPr="005068A9" w:rsidR="000F568C" w:rsidP="00D03C6D" w:rsidRDefault="000F568C" w14:paraId="76C84A62" w14:textId="14572738">
      <w:pPr>
        <w:pStyle w:val="Normalutanindragellerluft"/>
      </w:pPr>
      <w:r w:rsidRPr="005068A9">
        <w:t xml:space="preserve">Sverigedemokraterna är positiva till energieffektivisering men negativa till den statliga satsningen i denna form då energieffektivisering av bostadshus är en mycket kostsam åtgärd i förhållande till klimatnytta. Vi avslår därför den </w:t>
      </w:r>
      <w:r w:rsidRPr="005068A9">
        <w:rPr>
          <w:rStyle w:val="FrslagstextChar"/>
        </w:rPr>
        <w:t>föreslagna användningen av anslaget 1:7 Energieffektivisering och renovering av flerbostadshus och utomhusmiljöer inom utgiftsområde 18 Samhällsplanering, bostadsförsörjning och byggande samt konsumentpolitik.</w:t>
      </w:r>
    </w:p>
    <w:p w:rsidRPr="00D03C6D" w:rsidR="000F568C" w:rsidP="00D03C6D" w:rsidRDefault="000F568C" w14:paraId="3F672E14" w14:textId="2220F9D2">
      <w:pPr>
        <w:pStyle w:val="Rubrik1numrerat"/>
      </w:pPr>
      <w:r w:rsidRPr="00D03C6D">
        <w:t>Energiteknik</w:t>
      </w:r>
    </w:p>
    <w:p w:rsidR="00E807B8" w:rsidP="00D03C6D" w:rsidRDefault="006A69B4" w14:paraId="5EE4BA27" w14:textId="25BC46CB">
      <w:pPr>
        <w:pStyle w:val="Normalutanindragellerluft"/>
      </w:pPr>
      <w:r w:rsidRPr="005068A9">
        <w:t>Dagens investeringsstöd för installation av solceller kan på goda grunder ifrågasättas då solceller nästan uteslutande producerar elenergi vid tidpunkter då Sverige redan har ett stort produktionsöverskott. Då anslaget uteslutande under budgetperioden avser inve</w:t>
      </w:r>
      <w:r w:rsidR="00E807B8">
        <w:softHyphen/>
      </w:r>
      <w:r w:rsidRPr="005068A9">
        <w:t>steringsstöd till solceller samt stöd till energilagring har Sverigedemokraterna tidigare föreslagit att anslaget</w:t>
      </w:r>
      <w:r w:rsidRPr="005068A9" w:rsidR="008570EC">
        <w:t xml:space="preserve"> 1:7 </w:t>
      </w:r>
      <w:r w:rsidR="0085404F">
        <w:t>inom</w:t>
      </w:r>
      <w:r w:rsidRPr="005068A9" w:rsidR="008570EC">
        <w:t xml:space="preserve"> utgiftsområde 21</w:t>
      </w:r>
      <w:r w:rsidRPr="005068A9">
        <w:t xml:space="preserve"> ska tas bort i sin helhet för att minska snedvridningen på energimarknaden. Vi avvisar därför höjningen</w:t>
      </w:r>
      <w:r w:rsidRPr="005068A9" w:rsidR="008570EC">
        <w:t>.</w:t>
      </w:r>
    </w:p>
    <w:p w:rsidR="00E807B8" w:rsidRDefault="00E807B8" w14:paraId="42F49F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2"/>
      <w:bookmarkEnd w:id="2"/>
    </w:p>
    <w:p w:rsidRPr="00D03C6D" w:rsidR="006B7640" w:rsidP="00D03C6D" w:rsidRDefault="00D057D8" w14:paraId="07C66521" w14:textId="645D6CAB">
      <w:pPr>
        <w:pStyle w:val="Rubrik1numrerat"/>
      </w:pPr>
      <w:r w:rsidRPr="00D03C6D">
        <w:t xml:space="preserve">Förslag till ändrade ramar för utgiftsområden och anslag </w:t>
      </w:r>
    </w:p>
    <w:p w:rsidRPr="00D03C6D" w:rsidR="0001066B" w:rsidP="00D03C6D" w:rsidRDefault="0001066B" w14:paraId="07E8C348" w14:textId="41E567CB">
      <w:pPr>
        <w:pStyle w:val="Tabellrubrik"/>
        <w:keepNext/>
      </w:pPr>
      <w:r w:rsidRPr="00D03C6D">
        <w:t>Tabell</w:t>
      </w:r>
      <w:r w:rsidR="00CC06C4">
        <w:t xml:space="preserve"> 1</w:t>
      </w:r>
      <w:r w:rsidRPr="00D03C6D">
        <w:t xml:space="preserve"> Sverigedemokraternas förslag till anslag för 2021, avvikelse mot regeringen, 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808"/>
        <w:gridCol w:w="2648"/>
        <w:gridCol w:w="1154"/>
        <w:gridCol w:w="1298"/>
        <w:gridCol w:w="1154"/>
        <w:gridCol w:w="1443"/>
      </w:tblGrid>
      <w:tr w:rsidRPr="00CC06C4" w:rsidR="0001066B" w:rsidTr="009F4EFC" w14:paraId="5F931A4A" w14:textId="77777777">
        <w:trPr>
          <w:cantSplit/>
        </w:trPr>
        <w:tc>
          <w:tcPr>
            <w:tcW w:w="808" w:type="dxa"/>
            <w:tcBorders>
              <w:top w:val="single" w:color="auto" w:sz="4" w:space="0"/>
              <w:bottom w:val="single" w:color="auto" w:sz="4" w:space="0"/>
            </w:tcBorders>
            <w:hideMark/>
          </w:tcPr>
          <w:p w:rsidRPr="00CC06C4" w:rsidR="0001066B" w:rsidP="00D03C6D" w:rsidRDefault="0001066B" w14:paraId="6547F0AB" w14:textId="77FAB058">
            <w:pPr>
              <w:spacing w:before="80" w:line="240" w:lineRule="exact"/>
              <w:ind w:firstLine="0"/>
              <w:jc w:val="both"/>
              <w:rPr>
                <w:rFonts w:asciiTheme="majorHAnsi" w:hAnsiTheme="majorHAnsi" w:cstheme="majorHAnsi"/>
                <w:b/>
                <w:sz w:val="20"/>
                <w:szCs w:val="20"/>
              </w:rPr>
            </w:pPr>
            <w:r w:rsidRPr="00CC06C4">
              <w:rPr>
                <w:rFonts w:asciiTheme="majorHAnsi" w:hAnsiTheme="majorHAnsi" w:cstheme="majorHAnsi"/>
                <w:b/>
                <w:sz w:val="20"/>
                <w:szCs w:val="20"/>
              </w:rPr>
              <w:t>Anslag</w:t>
            </w:r>
          </w:p>
        </w:tc>
        <w:tc>
          <w:tcPr>
            <w:tcW w:w="2648" w:type="dxa"/>
            <w:tcBorders>
              <w:top w:val="single" w:color="auto" w:sz="4" w:space="0"/>
              <w:bottom w:val="single" w:color="auto" w:sz="4" w:space="0"/>
            </w:tcBorders>
            <w:hideMark/>
          </w:tcPr>
          <w:p w:rsidRPr="00CC06C4" w:rsidR="0001066B" w:rsidP="00D03C6D" w:rsidRDefault="0001066B" w14:paraId="619EBF16" w14:textId="77777777">
            <w:pPr>
              <w:spacing w:before="80" w:line="240" w:lineRule="exact"/>
              <w:ind w:firstLine="0"/>
              <w:rPr>
                <w:rFonts w:asciiTheme="majorHAnsi" w:hAnsiTheme="majorHAnsi" w:cstheme="majorHAnsi"/>
                <w:b/>
                <w:sz w:val="20"/>
                <w:szCs w:val="20"/>
              </w:rPr>
            </w:pPr>
            <w:r w:rsidRPr="00CC06C4">
              <w:rPr>
                <w:rFonts w:asciiTheme="majorHAnsi" w:hAnsiTheme="majorHAnsi" w:cstheme="majorHAnsi"/>
                <w:b/>
                <w:sz w:val="20"/>
                <w:szCs w:val="20"/>
              </w:rPr>
              <w:t> </w:t>
            </w:r>
          </w:p>
        </w:tc>
        <w:tc>
          <w:tcPr>
            <w:tcW w:w="1154" w:type="dxa"/>
            <w:tcBorders>
              <w:top w:val="single" w:color="auto" w:sz="4" w:space="0"/>
              <w:bottom w:val="single" w:color="auto" w:sz="4" w:space="0"/>
            </w:tcBorders>
            <w:tcMar>
              <w:left w:w="57" w:type="dxa"/>
              <w:right w:w="57" w:type="dxa"/>
            </w:tcMar>
            <w:hideMark/>
          </w:tcPr>
          <w:p w:rsidRPr="00CC06C4" w:rsidR="0001066B" w:rsidP="009F4EFC" w:rsidRDefault="0001066B" w14:paraId="22159F50" w14:textId="77777777">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Beslutad ram/anvisat anslag</w:t>
            </w:r>
          </w:p>
        </w:tc>
        <w:tc>
          <w:tcPr>
            <w:tcW w:w="1298" w:type="dxa"/>
            <w:tcBorders>
              <w:top w:val="single" w:color="auto" w:sz="4" w:space="0"/>
              <w:bottom w:val="single" w:color="auto" w:sz="4" w:space="0"/>
            </w:tcBorders>
            <w:tcMar>
              <w:left w:w="57" w:type="dxa"/>
              <w:right w:w="57" w:type="dxa"/>
            </w:tcMar>
            <w:hideMark/>
          </w:tcPr>
          <w:p w:rsidRPr="00CC06C4" w:rsidR="0001066B" w:rsidP="009F4EFC" w:rsidRDefault="0001066B" w14:paraId="328D7E41" w14:textId="77777777">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Förändring av ram/anslag</w:t>
            </w:r>
          </w:p>
        </w:tc>
        <w:tc>
          <w:tcPr>
            <w:tcW w:w="1154" w:type="dxa"/>
            <w:tcBorders>
              <w:top w:val="single" w:color="auto" w:sz="4" w:space="0"/>
              <w:bottom w:val="single" w:color="auto" w:sz="4" w:space="0"/>
            </w:tcBorders>
            <w:tcMar>
              <w:left w:w="57" w:type="dxa"/>
              <w:right w:w="57" w:type="dxa"/>
            </w:tcMar>
            <w:hideMark/>
          </w:tcPr>
          <w:p w:rsidRPr="00CC06C4" w:rsidR="0001066B" w:rsidP="009F4EFC" w:rsidRDefault="0001066B" w14:paraId="7931544F" w14:textId="77777777">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Ny ram/Ny anslagsnivå</w:t>
            </w:r>
          </w:p>
        </w:tc>
        <w:tc>
          <w:tcPr>
            <w:tcW w:w="1443" w:type="dxa"/>
            <w:tcBorders>
              <w:top w:val="single" w:color="auto" w:sz="4" w:space="0"/>
              <w:bottom w:val="single" w:color="auto" w:sz="4" w:space="0"/>
            </w:tcBorders>
            <w:tcMar>
              <w:left w:w="57" w:type="dxa"/>
              <w:right w:w="57" w:type="dxa"/>
            </w:tcMar>
            <w:hideMark/>
          </w:tcPr>
          <w:p w:rsidRPr="00CC06C4" w:rsidR="0001066B" w:rsidP="009F4EFC" w:rsidRDefault="0001066B" w14:paraId="747C4C96" w14:textId="50239283">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Avvikelse mot regeringen (SD)</w:t>
            </w:r>
          </w:p>
        </w:tc>
      </w:tr>
      <w:tr w:rsidRPr="00CC06C4" w:rsidR="0001066B" w:rsidTr="009F4EFC" w14:paraId="6155677B" w14:textId="77777777">
        <w:trPr>
          <w:cantSplit/>
        </w:trPr>
        <w:tc>
          <w:tcPr>
            <w:tcW w:w="808" w:type="dxa"/>
            <w:tcBorders>
              <w:top w:val="single" w:color="auto" w:sz="4" w:space="0"/>
            </w:tcBorders>
            <w:vAlign w:val="bottom"/>
            <w:hideMark/>
          </w:tcPr>
          <w:p w:rsidRPr="00CC06C4" w:rsidR="0001066B" w:rsidP="009F4EFC" w:rsidRDefault="0001066B" w14:paraId="29647634"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1</w:t>
            </w:r>
          </w:p>
        </w:tc>
        <w:tc>
          <w:tcPr>
            <w:tcW w:w="2648" w:type="dxa"/>
            <w:tcBorders>
              <w:top w:val="single" w:color="auto" w:sz="4" w:space="0"/>
            </w:tcBorders>
            <w:hideMark/>
          </w:tcPr>
          <w:p w:rsidRPr="00CC06C4" w:rsidR="0001066B" w:rsidP="00D03C6D" w:rsidRDefault="0001066B" w14:paraId="371330B3"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Rikets styrelse</w:t>
            </w:r>
          </w:p>
        </w:tc>
        <w:tc>
          <w:tcPr>
            <w:tcW w:w="1154" w:type="dxa"/>
            <w:tcBorders>
              <w:top w:val="single" w:color="auto" w:sz="4" w:space="0"/>
            </w:tcBorders>
            <w:vAlign w:val="bottom"/>
            <w:hideMark/>
          </w:tcPr>
          <w:p w:rsidRPr="00CC06C4" w:rsidR="0001066B" w:rsidP="009F4EFC" w:rsidRDefault="0001066B" w14:paraId="764025EE" w14:textId="6DA39536">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16</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354</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164</w:t>
            </w:r>
          </w:p>
        </w:tc>
        <w:tc>
          <w:tcPr>
            <w:tcW w:w="1298" w:type="dxa"/>
            <w:tcBorders>
              <w:top w:val="single" w:color="auto" w:sz="4" w:space="0"/>
            </w:tcBorders>
            <w:vAlign w:val="bottom"/>
            <w:hideMark/>
          </w:tcPr>
          <w:p w:rsidRPr="00CC06C4" w:rsidR="0001066B" w:rsidP="009F4EFC" w:rsidRDefault="0001066B" w14:paraId="15FC12AD" w14:textId="168B9AAA">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149</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000</w:t>
            </w:r>
          </w:p>
        </w:tc>
        <w:tc>
          <w:tcPr>
            <w:tcW w:w="1154" w:type="dxa"/>
            <w:tcBorders>
              <w:top w:val="single" w:color="auto" w:sz="4" w:space="0"/>
            </w:tcBorders>
            <w:vAlign w:val="bottom"/>
            <w:hideMark/>
          </w:tcPr>
          <w:p w:rsidRPr="00CC06C4" w:rsidR="0001066B" w:rsidP="009F4EFC" w:rsidRDefault="0001066B" w14:paraId="02652A07" w14:textId="65EBA078">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16</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503</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164</w:t>
            </w:r>
          </w:p>
        </w:tc>
        <w:tc>
          <w:tcPr>
            <w:tcW w:w="1443" w:type="dxa"/>
            <w:tcBorders>
              <w:top w:val="single" w:color="auto" w:sz="4" w:space="0"/>
            </w:tcBorders>
            <w:noWrap/>
            <w:vAlign w:val="bottom"/>
            <w:hideMark/>
          </w:tcPr>
          <w:p w:rsidRPr="00CC06C4" w:rsidR="0001066B" w:rsidP="009F4EFC" w:rsidRDefault="0085404F" w14:paraId="7E0A0457" w14:textId="652C0831">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w:t>
            </w:r>
            <w:r w:rsidRPr="00CC06C4" w:rsidR="0001066B">
              <w:rPr>
                <w:rFonts w:asciiTheme="majorHAnsi" w:hAnsiTheme="majorHAnsi" w:cstheme="majorHAnsi"/>
                <w:b/>
                <w:sz w:val="20"/>
                <w:szCs w:val="20"/>
              </w:rPr>
              <w:t>100</w:t>
            </w:r>
            <w:r w:rsidR="009F4EFC">
              <w:rPr>
                <w:rFonts w:asciiTheme="majorHAnsi" w:hAnsiTheme="majorHAnsi" w:cstheme="majorHAnsi"/>
                <w:b/>
                <w:sz w:val="20"/>
                <w:szCs w:val="20"/>
              </w:rPr>
              <w:t> </w:t>
            </w:r>
            <w:r w:rsidRPr="00CC06C4" w:rsidR="0001066B">
              <w:rPr>
                <w:rFonts w:asciiTheme="majorHAnsi" w:hAnsiTheme="majorHAnsi" w:cstheme="majorHAnsi"/>
                <w:b/>
                <w:sz w:val="20"/>
                <w:szCs w:val="20"/>
              </w:rPr>
              <w:t>000</w:t>
            </w:r>
          </w:p>
        </w:tc>
      </w:tr>
      <w:tr w:rsidRPr="00CC06C4" w:rsidR="0001066B" w:rsidTr="009F4EFC" w14:paraId="43392290" w14:textId="77777777">
        <w:trPr>
          <w:cantSplit/>
        </w:trPr>
        <w:tc>
          <w:tcPr>
            <w:tcW w:w="808" w:type="dxa"/>
            <w:vAlign w:val="bottom"/>
            <w:hideMark/>
          </w:tcPr>
          <w:p w:rsidRPr="00CC06C4" w:rsidR="0001066B" w:rsidP="009F4EFC" w:rsidRDefault="0001066B" w14:paraId="246FBD6A" w14:textId="3B21AD8A">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t>8:1</w:t>
            </w:r>
          </w:p>
        </w:tc>
        <w:tc>
          <w:tcPr>
            <w:tcW w:w="2648" w:type="dxa"/>
            <w:hideMark/>
          </w:tcPr>
          <w:p w:rsidRPr="00CC06C4" w:rsidR="0001066B" w:rsidP="00D03C6D" w:rsidRDefault="0001066B" w14:paraId="545B08A7" w14:textId="77777777">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t>Mediestöd</w:t>
            </w:r>
          </w:p>
        </w:tc>
        <w:tc>
          <w:tcPr>
            <w:tcW w:w="1154" w:type="dxa"/>
            <w:vAlign w:val="bottom"/>
            <w:hideMark/>
          </w:tcPr>
          <w:p w:rsidRPr="00CC06C4" w:rsidR="0001066B" w:rsidP="009F4EFC" w:rsidRDefault="0001066B" w14:paraId="4367C80F" w14:textId="5C43C2D7">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932</w:t>
            </w:r>
            <w:r w:rsidR="009F4EFC">
              <w:rPr>
                <w:rFonts w:asciiTheme="majorHAnsi" w:hAnsiTheme="majorHAnsi" w:cstheme="majorHAnsi"/>
                <w:sz w:val="20"/>
                <w:szCs w:val="20"/>
              </w:rPr>
              <w:t> </w:t>
            </w:r>
            <w:r w:rsidRPr="00CC06C4">
              <w:rPr>
                <w:rFonts w:asciiTheme="majorHAnsi" w:hAnsiTheme="majorHAnsi" w:cstheme="majorHAnsi"/>
                <w:sz w:val="20"/>
                <w:szCs w:val="20"/>
              </w:rPr>
              <w:t>119</w:t>
            </w:r>
          </w:p>
        </w:tc>
        <w:tc>
          <w:tcPr>
            <w:tcW w:w="1298" w:type="dxa"/>
            <w:vAlign w:val="bottom"/>
            <w:hideMark/>
          </w:tcPr>
          <w:p w:rsidRPr="00CC06C4" w:rsidR="0001066B" w:rsidP="009F4EFC" w:rsidRDefault="0001066B" w14:paraId="7F72B5AC" w14:textId="63A59081">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100</w:t>
            </w:r>
            <w:r w:rsidR="009F4EFC">
              <w:rPr>
                <w:rFonts w:asciiTheme="majorHAnsi" w:hAnsiTheme="majorHAnsi" w:cstheme="majorHAnsi"/>
                <w:sz w:val="20"/>
                <w:szCs w:val="20"/>
              </w:rPr>
              <w:t> </w:t>
            </w:r>
            <w:r w:rsidRPr="00CC06C4">
              <w:rPr>
                <w:rFonts w:asciiTheme="majorHAnsi" w:hAnsiTheme="majorHAnsi" w:cstheme="majorHAnsi"/>
                <w:sz w:val="20"/>
                <w:szCs w:val="20"/>
              </w:rPr>
              <w:t>000</w:t>
            </w:r>
          </w:p>
        </w:tc>
        <w:tc>
          <w:tcPr>
            <w:tcW w:w="1154" w:type="dxa"/>
            <w:vAlign w:val="bottom"/>
            <w:hideMark/>
          </w:tcPr>
          <w:p w:rsidRPr="00CC06C4" w:rsidR="0001066B" w:rsidP="009F4EFC" w:rsidRDefault="0001066B" w14:paraId="6EB07999" w14:textId="2A8ECBCE">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w:t>
            </w:r>
            <w:r w:rsidR="009F4EFC">
              <w:rPr>
                <w:rFonts w:asciiTheme="majorHAnsi" w:hAnsiTheme="majorHAnsi" w:cstheme="majorHAnsi"/>
                <w:sz w:val="20"/>
                <w:szCs w:val="20"/>
              </w:rPr>
              <w:t> </w:t>
            </w:r>
            <w:r w:rsidRPr="00CC06C4">
              <w:rPr>
                <w:rFonts w:asciiTheme="majorHAnsi" w:hAnsiTheme="majorHAnsi" w:cstheme="majorHAnsi"/>
                <w:sz w:val="20"/>
                <w:szCs w:val="20"/>
              </w:rPr>
              <w:t>032</w:t>
            </w:r>
            <w:r w:rsidR="009F4EFC">
              <w:rPr>
                <w:rFonts w:asciiTheme="majorHAnsi" w:hAnsiTheme="majorHAnsi" w:cstheme="majorHAnsi"/>
                <w:sz w:val="20"/>
                <w:szCs w:val="20"/>
              </w:rPr>
              <w:t> </w:t>
            </w:r>
            <w:r w:rsidRPr="00CC06C4">
              <w:rPr>
                <w:rFonts w:asciiTheme="majorHAnsi" w:hAnsiTheme="majorHAnsi" w:cstheme="majorHAnsi"/>
                <w:sz w:val="20"/>
                <w:szCs w:val="20"/>
              </w:rPr>
              <w:t>119</w:t>
            </w:r>
          </w:p>
        </w:tc>
        <w:tc>
          <w:tcPr>
            <w:tcW w:w="1443" w:type="dxa"/>
            <w:vAlign w:val="bottom"/>
            <w:hideMark/>
          </w:tcPr>
          <w:p w:rsidRPr="00CC06C4" w:rsidR="0001066B" w:rsidP="009F4EFC" w:rsidRDefault="0085404F" w14:paraId="0335D500" w14:textId="402A327B">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w:t>
            </w:r>
            <w:r w:rsidRPr="00CC06C4" w:rsidR="0001066B">
              <w:rPr>
                <w:rFonts w:asciiTheme="majorHAnsi" w:hAnsiTheme="majorHAnsi" w:cstheme="majorHAnsi"/>
                <w:sz w:val="20"/>
                <w:szCs w:val="20"/>
              </w:rPr>
              <w:t>100</w:t>
            </w:r>
            <w:r w:rsidR="009F4EFC">
              <w:rPr>
                <w:rFonts w:asciiTheme="majorHAnsi" w:hAnsiTheme="majorHAnsi" w:cstheme="majorHAnsi"/>
                <w:sz w:val="20"/>
                <w:szCs w:val="20"/>
              </w:rPr>
              <w:t> </w:t>
            </w:r>
            <w:r w:rsidRPr="00CC06C4" w:rsidR="0001066B">
              <w:rPr>
                <w:rFonts w:asciiTheme="majorHAnsi" w:hAnsiTheme="majorHAnsi" w:cstheme="majorHAnsi"/>
                <w:sz w:val="20"/>
                <w:szCs w:val="20"/>
              </w:rPr>
              <w:t>000</w:t>
            </w:r>
          </w:p>
        </w:tc>
      </w:tr>
      <w:tr w:rsidRPr="00CC06C4" w:rsidR="0001066B" w:rsidTr="009F4EFC" w14:paraId="339F0CD8" w14:textId="77777777">
        <w:trPr>
          <w:cantSplit/>
        </w:trPr>
        <w:tc>
          <w:tcPr>
            <w:tcW w:w="808" w:type="dxa"/>
            <w:vAlign w:val="bottom"/>
            <w:hideMark/>
          </w:tcPr>
          <w:p w:rsidRPr="00CC06C4" w:rsidR="0001066B" w:rsidP="009F4EFC" w:rsidRDefault="0001066B" w14:paraId="01EFC5AF"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14</w:t>
            </w:r>
          </w:p>
        </w:tc>
        <w:tc>
          <w:tcPr>
            <w:tcW w:w="2648" w:type="dxa"/>
            <w:hideMark/>
          </w:tcPr>
          <w:p w:rsidRPr="00CC06C4" w:rsidR="0001066B" w:rsidP="00D03C6D" w:rsidRDefault="0001066B" w14:paraId="46555067"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Arbetsmarknad och arbetsliv</w:t>
            </w:r>
          </w:p>
        </w:tc>
        <w:tc>
          <w:tcPr>
            <w:tcW w:w="1154" w:type="dxa"/>
            <w:vAlign w:val="bottom"/>
            <w:hideMark/>
          </w:tcPr>
          <w:p w:rsidRPr="00CC06C4" w:rsidR="0001066B" w:rsidP="009F4EFC" w:rsidRDefault="0001066B" w14:paraId="51FA591B" w14:textId="35D4D738">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105</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770</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319</w:t>
            </w:r>
          </w:p>
        </w:tc>
        <w:tc>
          <w:tcPr>
            <w:tcW w:w="1298" w:type="dxa"/>
            <w:vAlign w:val="bottom"/>
            <w:hideMark/>
          </w:tcPr>
          <w:p w:rsidRPr="00CC06C4" w:rsidR="0001066B" w:rsidP="009F4EFC" w:rsidRDefault="0001066B" w14:paraId="0C394AE9" w14:textId="6A1C0321">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528</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300</w:t>
            </w:r>
          </w:p>
        </w:tc>
        <w:tc>
          <w:tcPr>
            <w:tcW w:w="1154" w:type="dxa"/>
            <w:vAlign w:val="bottom"/>
            <w:hideMark/>
          </w:tcPr>
          <w:p w:rsidRPr="00CC06C4" w:rsidR="0001066B" w:rsidP="009F4EFC" w:rsidRDefault="0001066B" w14:paraId="0CFB87EB" w14:textId="108D5393">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106</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298</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619</w:t>
            </w:r>
          </w:p>
        </w:tc>
        <w:tc>
          <w:tcPr>
            <w:tcW w:w="1443" w:type="dxa"/>
            <w:noWrap/>
            <w:vAlign w:val="bottom"/>
            <w:hideMark/>
          </w:tcPr>
          <w:p w:rsidRPr="00CC06C4" w:rsidR="0001066B" w:rsidP="009F4EFC" w:rsidRDefault="0085404F" w14:paraId="2899E97C" w14:textId="63150A58">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w:t>
            </w:r>
            <w:r w:rsidRPr="00CC06C4" w:rsidR="0001066B">
              <w:rPr>
                <w:rFonts w:asciiTheme="majorHAnsi" w:hAnsiTheme="majorHAnsi" w:cstheme="majorHAnsi"/>
                <w:b/>
                <w:sz w:val="20"/>
                <w:szCs w:val="20"/>
              </w:rPr>
              <w:t>350</w:t>
            </w:r>
            <w:r w:rsidR="009F4EFC">
              <w:rPr>
                <w:rFonts w:asciiTheme="majorHAnsi" w:hAnsiTheme="majorHAnsi" w:cstheme="majorHAnsi"/>
                <w:b/>
                <w:sz w:val="20"/>
                <w:szCs w:val="20"/>
              </w:rPr>
              <w:t> </w:t>
            </w:r>
            <w:r w:rsidRPr="00CC06C4" w:rsidR="0001066B">
              <w:rPr>
                <w:rFonts w:asciiTheme="majorHAnsi" w:hAnsiTheme="majorHAnsi" w:cstheme="majorHAnsi"/>
                <w:b/>
                <w:sz w:val="20"/>
                <w:szCs w:val="20"/>
              </w:rPr>
              <w:t>000</w:t>
            </w:r>
          </w:p>
        </w:tc>
      </w:tr>
      <w:tr w:rsidRPr="00CC06C4" w:rsidR="0001066B" w:rsidTr="009F4EFC" w14:paraId="61B1103E" w14:textId="77777777">
        <w:trPr>
          <w:cantSplit/>
        </w:trPr>
        <w:tc>
          <w:tcPr>
            <w:tcW w:w="808" w:type="dxa"/>
            <w:vAlign w:val="bottom"/>
            <w:hideMark/>
          </w:tcPr>
          <w:p w:rsidRPr="00CC06C4" w:rsidR="0001066B" w:rsidP="009F4EFC" w:rsidRDefault="0001066B" w14:paraId="77BC894A" w14:textId="4EB65511">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lastRenderedPageBreak/>
              <w:t>1:3</w:t>
            </w:r>
          </w:p>
        </w:tc>
        <w:tc>
          <w:tcPr>
            <w:tcW w:w="2648" w:type="dxa"/>
            <w:hideMark/>
          </w:tcPr>
          <w:p w:rsidRPr="00CC06C4" w:rsidR="0001066B" w:rsidP="00D03C6D" w:rsidRDefault="0001066B" w14:paraId="71E5840C" w14:textId="77777777">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t>Kostnader för arbetsmarknadspolitiska program och insatser</w:t>
            </w:r>
          </w:p>
        </w:tc>
        <w:tc>
          <w:tcPr>
            <w:tcW w:w="1154" w:type="dxa"/>
            <w:vAlign w:val="bottom"/>
            <w:hideMark/>
          </w:tcPr>
          <w:p w:rsidRPr="00CC06C4" w:rsidR="0001066B" w:rsidP="009F4EFC" w:rsidRDefault="0001066B" w14:paraId="0D07AB36" w14:textId="6727B82D">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11</w:t>
            </w:r>
            <w:r w:rsidR="009F4EFC">
              <w:rPr>
                <w:rFonts w:asciiTheme="majorHAnsi" w:hAnsiTheme="majorHAnsi" w:cstheme="majorHAnsi"/>
                <w:sz w:val="20"/>
                <w:szCs w:val="20"/>
              </w:rPr>
              <w:t> </w:t>
            </w:r>
            <w:r w:rsidRPr="00CC06C4">
              <w:rPr>
                <w:rFonts w:asciiTheme="majorHAnsi" w:hAnsiTheme="majorHAnsi" w:cstheme="majorHAnsi"/>
                <w:sz w:val="20"/>
                <w:szCs w:val="20"/>
              </w:rPr>
              <w:t>731</w:t>
            </w:r>
            <w:r w:rsidR="009F4EFC">
              <w:rPr>
                <w:rFonts w:asciiTheme="majorHAnsi" w:hAnsiTheme="majorHAnsi" w:cstheme="majorHAnsi"/>
                <w:sz w:val="20"/>
                <w:szCs w:val="20"/>
              </w:rPr>
              <w:t> </w:t>
            </w:r>
            <w:r w:rsidRPr="00CC06C4">
              <w:rPr>
                <w:rFonts w:asciiTheme="majorHAnsi" w:hAnsiTheme="majorHAnsi" w:cstheme="majorHAnsi"/>
                <w:sz w:val="20"/>
                <w:szCs w:val="20"/>
              </w:rPr>
              <w:t>323</w:t>
            </w:r>
          </w:p>
        </w:tc>
        <w:tc>
          <w:tcPr>
            <w:tcW w:w="1298" w:type="dxa"/>
            <w:vAlign w:val="bottom"/>
            <w:hideMark/>
          </w:tcPr>
          <w:p w:rsidRPr="00CC06C4" w:rsidR="0001066B" w:rsidP="009F4EFC" w:rsidRDefault="0001066B" w14:paraId="7A3FEAFD" w14:textId="73848AB3">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634</w:t>
            </w:r>
            <w:r w:rsidR="009F4EFC">
              <w:rPr>
                <w:rFonts w:asciiTheme="majorHAnsi" w:hAnsiTheme="majorHAnsi" w:cstheme="majorHAnsi"/>
                <w:sz w:val="20"/>
                <w:szCs w:val="20"/>
              </w:rPr>
              <w:t> </w:t>
            </w:r>
            <w:r w:rsidRPr="00CC06C4">
              <w:rPr>
                <w:rFonts w:asciiTheme="majorHAnsi" w:hAnsiTheme="majorHAnsi" w:cstheme="majorHAnsi"/>
                <w:sz w:val="20"/>
                <w:szCs w:val="20"/>
              </w:rPr>
              <w:t>800</w:t>
            </w:r>
          </w:p>
        </w:tc>
        <w:tc>
          <w:tcPr>
            <w:tcW w:w="1154" w:type="dxa"/>
            <w:vAlign w:val="bottom"/>
            <w:hideMark/>
          </w:tcPr>
          <w:p w:rsidRPr="00CC06C4" w:rsidR="0001066B" w:rsidP="009F4EFC" w:rsidRDefault="0001066B" w14:paraId="0126EAD8" w14:textId="1FBF339F">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12</w:t>
            </w:r>
            <w:r w:rsidR="009F4EFC">
              <w:rPr>
                <w:rFonts w:asciiTheme="majorHAnsi" w:hAnsiTheme="majorHAnsi" w:cstheme="majorHAnsi"/>
                <w:sz w:val="20"/>
                <w:szCs w:val="20"/>
              </w:rPr>
              <w:t> </w:t>
            </w:r>
            <w:r w:rsidRPr="00CC06C4">
              <w:rPr>
                <w:rFonts w:asciiTheme="majorHAnsi" w:hAnsiTheme="majorHAnsi" w:cstheme="majorHAnsi"/>
                <w:sz w:val="20"/>
                <w:szCs w:val="20"/>
              </w:rPr>
              <w:t>366</w:t>
            </w:r>
            <w:r w:rsidR="009F4EFC">
              <w:rPr>
                <w:rFonts w:asciiTheme="majorHAnsi" w:hAnsiTheme="majorHAnsi" w:cstheme="majorHAnsi"/>
                <w:sz w:val="20"/>
                <w:szCs w:val="20"/>
              </w:rPr>
              <w:t> </w:t>
            </w:r>
            <w:r w:rsidRPr="00CC06C4">
              <w:rPr>
                <w:rFonts w:asciiTheme="majorHAnsi" w:hAnsiTheme="majorHAnsi" w:cstheme="majorHAnsi"/>
                <w:sz w:val="20"/>
                <w:szCs w:val="20"/>
              </w:rPr>
              <w:t>123</w:t>
            </w:r>
          </w:p>
        </w:tc>
        <w:tc>
          <w:tcPr>
            <w:tcW w:w="1443" w:type="dxa"/>
            <w:vAlign w:val="bottom"/>
            <w:hideMark/>
          </w:tcPr>
          <w:p w:rsidRPr="00CC06C4" w:rsidR="0001066B" w:rsidP="009F4EFC" w:rsidRDefault="0085404F" w14:paraId="4D0C088E" w14:textId="0B01F419">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w:t>
            </w:r>
            <w:r w:rsidRPr="00CC06C4" w:rsidR="0001066B">
              <w:rPr>
                <w:rFonts w:asciiTheme="majorHAnsi" w:hAnsiTheme="majorHAnsi" w:cstheme="majorHAnsi"/>
                <w:sz w:val="20"/>
                <w:szCs w:val="20"/>
              </w:rPr>
              <w:t>350</w:t>
            </w:r>
            <w:r w:rsidR="009F4EFC">
              <w:rPr>
                <w:rFonts w:asciiTheme="majorHAnsi" w:hAnsiTheme="majorHAnsi" w:cstheme="majorHAnsi"/>
                <w:sz w:val="20"/>
                <w:szCs w:val="20"/>
              </w:rPr>
              <w:t> </w:t>
            </w:r>
            <w:r w:rsidRPr="00CC06C4" w:rsidR="0001066B">
              <w:rPr>
                <w:rFonts w:asciiTheme="majorHAnsi" w:hAnsiTheme="majorHAnsi" w:cstheme="majorHAnsi"/>
                <w:sz w:val="20"/>
                <w:szCs w:val="20"/>
              </w:rPr>
              <w:t>000</w:t>
            </w:r>
          </w:p>
        </w:tc>
      </w:tr>
      <w:tr w:rsidRPr="00CC06C4" w:rsidR="0001066B" w:rsidTr="009F4EFC" w14:paraId="6E473DF4" w14:textId="77777777">
        <w:trPr>
          <w:cantSplit/>
        </w:trPr>
        <w:tc>
          <w:tcPr>
            <w:tcW w:w="808" w:type="dxa"/>
            <w:vAlign w:val="bottom"/>
            <w:hideMark/>
          </w:tcPr>
          <w:p w:rsidRPr="00CC06C4" w:rsidR="0001066B" w:rsidP="009F4EFC" w:rsidRDefault="0001066B" w14:paraId="60C90BF7"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21</w:t>
            </w:r>
          </w:p>
        </w:tc>
        <w:tc>
          <w:tcPr>
            <w:tcW w:w="2648" w:type="dxa"/>
            <w:hideMark/>
          </w:tcPr>
          <w:p w:rsidRPr="00CC06C4" w:rsidR="0001066B" w:rsidP="00D03C6D" w:rsidRDefault="0001066B" w14:paraId="030C5E75" w14:textId="77777777">
            <w:pPr>
              <w:spacing w:before="80" w:line="240" w:lineRule="exact"/>
              <w:ind w:firstLine="0"/>
              <w:rPr>
                <w:rFonts w:asciiTheme="majorHAnsi" w:hAnsiTheme="majorHAnsi" w:cstheme="majorHAnsi"/>
                <w:b/>
                <w:bCs/>
                <w:sz w:val="20"/>
                <w:szCs w:val="20"/>
              </w:rPr>
            </w:pPr>
            <w:r w:rsidRPr="00CC06C4">
              <w:rPr>
                <w:rFonts w:asciiTheme="majorHAnsi" w:hAnsiTheme="majorHAnsi" w:cstheme="majorHAnsi"/>
                <w:b/>
                <w:bCs/>
                <w:sz w:val="20"/>
                <w:szCs w:val="20"/>
              </w:rPr>
              <w:t>Energi</w:t>
            </w:r>
          </w:p>
        </w:tc>
        <w:tc>
          <w:tcPr>
            <w:tcW w:w="1154" w:type="dxa"/>
            <w:vAlign w:val="bottom"/>
            <w:hideMark/>
          </w:tcPr>
          <w:p w:rsidRPr="00CC06C4" w:rsidR="0001066B" w:rsidP="009F4EFC" w:rsidRDefault="0001066B" w14:paraId="0C90594B" w14:textId="238E197C">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4</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514</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129</w:t>
            </w:r>
          </w:p>
        </w:tc>
        <w:tc>
          <w:tcPr>
            <w:tcW w:w="1298" w:type="dxa"/>
            <w:vAlign w:val="bottom"/>
            <w:hideMark/>
          </w:tcPr>
          <w:p w:rsidRPr="00CC06C4" w:rsidR="0001066B" w:rsidP="009F4EFC" w:rsidRDefault="0001066B" w14:paraId="18BE3ADD" w14:textId="141DB064">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180</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000</w:t>
            </w:r>
          </w:p>
        </w:tc>
        <w:tc>
          <w:tcPr>
            <w:tcW w:w="1154" w:type="dxa"/>
            <w:vAlign w:val="bottom"/>
            <w:hideMark/>
          </w:tcPr>
          <w:p w:rsidRPr="00CC06C4" w:rsidR="0001066B" w:rsidP="009F4EFC" w:rsidRDefault="0001066B" w14:paraId="54E4E5A0" w14:textId="0DDACC04">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4</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694</w:t>
            </w:r>
            <w:r w:rsidR="009F4EFC">
              <w:rPr>
                <w:rFonts w:asciiTheme="majorHAnsi" w:hAnsiTheme="majorHAnsi" w:cstheme="majorHAnsi"/>
                <w:b/>
                <w:bCs/>
                <w:sz w:val="20"/>
                <w:szCs w:val="20"/>
              </w:rPr>
              <w:t> </w:t>
            </w:r>
            <w:r w:rsidRPr="00CC06C4">
              <w:rPr>
                <w:rFonts w:asciiTheme="majorHAnsi" w:hAnsiTheme="majorHAnsi" w:cstheme="majorHAnsi"/>
                <w:b/>
                <w:bCs/>
                <w:sz w:val="20"/>
                <w:szCs w:val="20"/>
              </w:rPr>
              <w:t>129</w:t>
            </w:r>
          </w:p>
        </w:tc>
        <w:tc>
          <w:tcPr>
            <w:tcW w:w="1443" w:type="dxa"/>
            <w:noWrap/>
            <w:vAlign w:val="bottom"/>
            <w:hideMark/>
          </w:tcPr>
          <w:p w:rsidRPr="00CC06C4" w:rsidR="0001066B" w:rsidP="009F4EFC" w:rsidRDefault="0085404F" w14:paraId="6C4A024D" w14:textId="07DB2B4E">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w:t>
            </w:r>
            <w:r w:rsidRPr="00CC06C4" w:rsidR="0001066B">
              <w:rPr>
                <w:rFonts w:asciiTheme="majorHAnsi" w:hAnsiTheme="majorHAnsi" w:cstheme="majorHAnsi"/>
                <w:b/>
                <w:sz w:val="20"/>
                <w:szCs w:val="20"/>
              </w:rPr>
              <w:t>260</w:t>
            </w:r>
            <w:r w:rsidR="009F4EFC">
              <w:rPr>
                <w:rFonts w:asciiTheme="majorHAnsi" w:hAnsiTheme="majorHAnsi" w:cstheme="majorHAnsi"/>
                <w:b/>
                <w:sz w:val="20"/>
                <w:szCs w:val="20"/>
              </w:rPr>
              <w:t> </w:t>
            </w:r>
            <w:r w:rsidRPr="00CC06C4" w:rsidR="0001066B">
              <w:rPr>
                <w:rFonts w:asciiTheme="majorHAnsi" w:hAnsiTheme="majorHAnsi" w:cstheme="majorHAnsi"/>
                <w:b/>
                <w:sz w:val="20"/>
                <w:szCs w:val="20"/>
              </w:rPr>
              <w:t>000</w:t>
            </w:r>
          </w:p>
        </w:tc>
      </w:tr>
      <w:tr w:rsidRPr="00CC06C4" w:rsidR="0001066B" w:rsidTr="009F4EFC" w14:paraId="25FDDBA9" w14:textId="77777777">
        <w:trPr>
          <w:cantSplit/>
        </w:trPr>
        <w:tc>
          <w:tcPr>
            <w:tcW w:w="808" w:type="dxa"/>
            <w:vAlign w:val="bottom"/>
            <w:hideMark/>
          </w:tcPr>
          <w:p w:rsidRPr="00CC06C4" w:rsidR="0001066B" w:rsidP="009F4EFC" w:rsidRDefault="0001066B" w14:paraId="3E20AEC1" w14:textId="160B688B">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t>1:7</w:t>
            </w:r>
          </w:p>
        </w:tc>
        <w:tc>
          <w:tcPr>
            <w:tcW w:w="2648" w:type="dxa"/>
            <w:hideMark/>
          </w:tcPr>
          <w:p w:rsidRPr="00CC06C4" w:rsidR="0001066B" w:rsidP="00D03C6D" w:rsidRDefault="0001066B" w14:paraId="66309785" w14:textId="77777777">
            <w:pPr>
              <w:spacing w:before="80" w:line="240" w:lineRule="exact"/>
              <w:ind w:firstLine="0"/>
              <w:rPr>
                <w:rFonts w:asciiTheme="majorHAnsi" w:hAnsiTheme="majorHAnsi" w:cstheme="majorHAnsi"/>
                <w:sz w:val="20"/>
                <w:szCs w:val="20"/>
              </w:rPr>
            </w:pPr>
            <w:r w:rsidRPr="00CC06C4">
              <w:rPr>
                <w:rFonts w:asciiTheme="majorHAnsi" w:hAnsiTheme="majorHAnsi" w:cstheme="majorHAnsi"/>
                <w:sz w:val="20"/>
                <w:szCs w:val="20"/>
              </w:rPr>
              <w:t>Energiteknik</w:t>
            </w:r>
          </w:p>
        </w:tc>
        <w:tc>
          <w:tcPr>
            <w:tcW w:w="1154" w:type="dxa"/>
            <w:vAlign w:val="bottom"/>
            <w:hideMark/>
          </w:tcPr>
          <w:p w:rsidRPr="00CC06C4" w:rsidR="0001066B" w:rsidP="009F4EFC" w:rsidRDefault="0001066B" w14:paraId="7131A8B3" w14:textId="4C40EC2A">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w:t>
            </w:r>
            <w:r w:rsidR="009F4EFC">
              <w:rPr>
                <w:rFonts w:asciiTheme="majorHAnsi" w:hAnsiTheme="majorHAnsi" w:cstheme="majorHAnsi"/>
                <w:sz w:val="20"/>
                <w:szCs w:val="20"/>
              </w:rPr>
              <w:t> </w:t>
            </w:r>
            <w:r w:rsidRPr="00CC06C4">
              <w:rPr>
                <w:rFonts w:asciiTheme="majorHAnsi" w:hAnsiTheme="majorHAnsi" w:cstheme="majorHAnsi"/>
                <w:sz w:val="20"/>
                <w:szCs w:val="20"/>
              </w:rPr>
              <w:t>462</w:t>
            </w:r>
            <w:r w:rsidR="009F4EFC">
              <w:rPr>
                <w:rFonts w:asciiTheme="majorHAnsi" w:hAnsiTheme="majorHAnsi" w:cstheme="majorHAnsi"/>
                <w:sz w:val="20"/>
                <w:szCs w:val="20"/>
              </w:rPr>
              <w:t> </w:t>
            </w:r>
            <w:r w:rsidRPr="00CC06C4">
              <w:rPr>
                <w:rFonts w:asciiTheme="majorHAnsi" w:hAnsiTheme="majorHAnsi" w:cstheme="majorHAnsi"/>
                <w:sz w:val="20"/>
                <w:szCs w:val="20"/>
              </w:rPr>
              <w:t>400</w:t>
            </w:r>
          </w:p>
        </w:tc>
        <w:tc>
          <w:tcPr>
            <w:tcW w:w="1298" w:type="dxa"/>
            <w:vAlign w:val="bottom"/>
            <w:hideMark/>
          </w:tcPr>
          <w:p w:rsidRPr="00CC06C4" w:rsidR="0001066B" w:rsidP="009F4EFC" w:rsidRDefault="0001066B" w14:paraId="1921BDA3" w14:textId="2B3F3C2B">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260</w:t>
            </w:r>
            <w:r w:rsidR="009F4EFC">
              <w:rPr>
                <w:rFonts w:asciiTheme="majorHAnsi" w:hAnsiTheme="majorHAnsi" w:cstheme="majorHAnsi"/>
                <w:sz w:val="20"/>
                <w:szCs w:val="20"/>
              </w:rPr>
              <w:t> </w:t>
            </w:r>
            <w:r w:rsidRPr="00CC06C4">
              <w:rPr>
                <w:rFonts w:asciiTheme="majorHAnsi" w:hAnsiTheme="majorHAnsi" w:cstheme="majorHAnsi"/>
                <w:sz w:val="20"/>
                <w:szCs w:val="20"/>
              </w:rPr>
              <w:t>000</w:t>
            </w:r>
          </w:p>
        </w:tc>
        <w:tc>
          <w:tcPr>
            <w:tcW w:w="1154" w:type="dxa"/>
            <w:vAlign w:val="bottom"/>
            <w:hideMark/>
          </w:tcPr>
          <w:p w:rsidRPr="00CC06C4" w:rsidR="0001066B" w:rsidP="009F4EFC" w:rsidRDefault="0001066B" w14:paraId="3E74CB31" w14:textId="4189BED0">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1</w:t>
            </w:r>
            <w:r w:rsidR="009F4EFC">
              <w:rPr>
                <w:rFonts w:asciiTheme="majorHAnsi" w:hAnsiTheme="majorHAnsi" w:cstheme="majorHAnsi"/>
                <w:sz w:val="20"/>
                <w:szCs w:val="20"/>
              </w:rPr>
              <w:t> </w:t>
            </w:r>
            <w:r w:rsidRPr="00CC06C4">
              <w:rPr>
                <w:rFonts w:asciiTheme="majorHAnsi" w:hAnsiTheme="majorHAnsi" w:cstheme="majorHAnsi"/>
                <w:sz w:val="20"/>
                <w:szCs w:val="20"/>
              </w:rPr>
              <w:t>722</w:t>
            </w:r>
            <w:r w:rsidR="009F4EFC">
              <w:rPr>
                <w:rFonts w:asciiTheme="majorHAnsi" w:hAnsiTheme="majorHAnsi" w:cstheme="majorHAnsi"/>
                <w:sz w:val="20"/>
                <w:szCs w:val="20"/>
              </w:rPr>
              <w:t> </w:t>
            </w:r>
            <w:r w:rsidRPr="00CC06C4">
              <w:rPr>
                <w:rFonts w:asciiTheme="majorHAnsi" w:hAnsiTheme="majorHAnsi" w:cstheme="majorHAnsi"/>
                <w:sz w:val="20"/>
                <w:szCs w:val="20"/>
              </w:rPr>
              <w:t>400</w:t>
            </w:r>
          </w:p>
        </w:tc>
        <w:tc>
          <w:tcPr>
            <w:tcW w:w="1443" w:type="dxa"/>
            <w:vAlign w:val="bottom"/>
            <w:hideMark/>
          </w:tcPr>
          <w:p w:rsidRPr="00CC06C4" w:rsidR="0001066B" w:rsidP="009F4EFC" w:rsidRDefault="0085404F" w14:paraId="21A3DA63" w14:textId="69DA1062">
            <w:pPr>
              <w:spacing w:before="80" w:line="240" w:lineRule="exact"/>
              <w:ind w:firstLine="0"/>
              <w:jc w:val="right"/>
              <w:rPr>
                <w:rFonts w:asciiTheme="majorHAnsi" w:hAnsiTheme="majorHAnsi" w:cstheme="majorHAnsi"/>
                <w:sz w:val="20"/>
                <w:szCs w:val="20"/>
              </w:rPr>
            </w:pPr>
            <w:r w:rsidRPr="00CC06C4">
              <w:rPr>
                <w:rFonts w:asciiTheme="majorHAnsi" w:hAnsiTheme="majorHAnsi" w:cstheme="majorHAnsi"/>
                <w:sz w:val="20"/>
                <w:szCs w:val="20"/>
              </w:rPr>
              <w:t>–</w:t>
            </w:r>
            <w:r w:rsidRPr="00CC06C4" w:rsidR="0001066B">
              <w:rPr>
                <w:rFonts w:asciiTheme="majorHAnsi" w:hAnsiTheme="majorHAnsi" w:cstheme="majorHAnsi"/>
                <w:sz w:val="20"/>
                <w:szCs w:val="20"/>
              </w:rPr>
              <w:t>260</w:t>
            </w:r>
            <w:r w:rsidR="009F4EFC">
              <w:rPr>
                <w:rFonts w:asciiTheme="majorHAnsi" w:hAnsiTheme="majorHAnsi" w:cstheme="majorHAnsi"/>
                <w:sz w:val="20"/>
                <w:szCs w:val="20"/>
              </w:rPr>
              <w:t> </w:t>
            </w:r>
            <w:r w:rsidRPr="00CC06C4" w:rsidR="0001066B">
              <w:rPr>
                <w:rFonts w:asciiTheme="majorHAnsi" w:hAnsiTheme="majorHAnsi" w:cstheme="majorHAnsi"/>
                <w:sz w:val="20"/>
                <w:szCs w:val="20"/>
              </w:rPr>
              <w:t>000</w:t>
            </w:r>
          </w:p>
        </w:tc>
      </w:tr>
      <w:tr w:rsidRPr="00CC06C4" w:rsidR="009F4EFC" w:rsidTr="009F4EFC" w14:paraId="2E17FB8F" w14:textId="77777777">
        <w:trPr>
          <w:cantSplit/>
        </w:trPr>
        <w:tc>
          <w:tcPr>
            <w:tcW w:w="3456" w:type="dxa"/>
            <w:gridSpan w:val="2"/>
            <w:tcBorders>
              <w:bottom w:val="single" w:color="auto" w:sz="4" w:space="0"/>
            </w:tcBorders>
            <w:vAlign w:val="bottom"/>
            <w:hideMark/>
          </w:tcPr>
          <w:p w:rsidRPr="00CC06C4" w:rsidR="009F4EFC" w:rsidP="00D03C6D" w:rsidRDefault="009F4EFC" w14:paraId="22E3E400" w14:textId="046F3386">
            <w:pPr>
              <w:spacing w:before="80" w:line="240" w:lineRule="exact"/>
              <w:ind w:firstLine="0"/>
              <w:rPr>
                <w:rFonts w:asciiTheme="majorHAnsi" w:hAnsiTheme="majorHAnsi" w:cstheme="majorHAnsi"/>
                <w:b/>
                <w:sz w:val="20"/>
                <w:szCs w:val="20"/>
              </w:rPr>
            </w:pPr>
            <w:r w:rsidRPr="00CC06C4">
              <w:rPr>
                <w:rFonts w:asciiTheme="majorHAnsi" w:hAnsiTheme="majorHAnsi" w:cstheme="majorHAnsi"/>
                <w:b/>
                <w:sz w:val="20"/>
                <w:szCs w:val="20"/>
              </w:rPr>
              <w:t>Summa anslagsförändring på ändringsbudget</w:t>
            </w:r>
          </w:p>
        </w:tc>
        <w:tc>
          <w:tcPr>
            <w:tcW w:w="1154" w:type="dxa"/>
            <w:tcBorders>
              <w:bottom w:val="single" w:color="auto" w:sz="4" w:space="0"/>
            </w:tcBorders>
            <w:noWrap/>
            <w:vAlign w:val="bottom"/>
            <w:hideMark/>
          </w:tcPr>
          <w:p w:rsidRPr="00CC06C4" w:rsidR="009F4EFC" w:rsidP="009F4EFC" w:rsidRDefault="009F4EFC" w14:paraId="1BAE8D9F" w14:textId="77777777">
            <w:pPr>
              <w:spacing w:before="80" w:line="240" w:lineRule="exact"/>
              <w:ind w:firstLine="0"/>
              <w:jc w:val="right"/>
              <w:rPr>
                <w:rFonts w:asciiTheme="majorHAnsi" w:hAnsiTheme="majorHAnsi" w:cstheme="majorHAnsi"/>
                <w:sz w:val="20"/>
                <w:szCs w:val="20"/>
              </w:rPr>
            </w:pPr>
          </w:p>
        </w:tc>
        <w:tc>
          <w:tcPr>
            <w:tcW w:w="1298" w:type="dxa"/>
            <w:tcBorders>
              <w:bottom w:val="single" w:color="auto" w:sz="4" w:space="0"/>
            </w:tcBorders>
            <w:vAlign w:val="bottom"/>
            <w:hideMark/>
          </w:tcPr>
          <w:p w:rsidRPr="00CC06C4" w:rsidR="009F4EFC" w:rsidP="009F4EFC" w:rsidRDefault="009F4EFC" w14:paraId="127BDA64" w14:textId="6F8969F2">
            <w:pPr>
              <w:spacing w:before="80" w:line="240" w:lineRule="exact"/>
              <w:ind w:firstLine="0"/>
              <w:jc w:val="right"/>
              <w:rPr>
                <w:rFonts w:asciiTheme="majorHAnsi" w:hAnsiTheme="majorHAnsi" w:cstheme="majorHAnsi"/>
                <w:b/>
                <w:bCs/>
                <w:sz w:val="20"/>
                <w:szCs w:val="20"/>
              </w:rPr>
            </w:pPr>
            <w:r w:rsidRPr="00CC06C4">
              <w:rPr>
                <w:rFonts w:asciiTheme="majorHAnsi" w:hAnsiTheme="majorHAnsi" w:cstheme="majorHAnsi"/>
                <w:b/>
                <w:bCs/>
                <w:sz w:val="20"/>
                <w:szCs w:val="20"/>
              </w:rPr>
              <w:t>19</w:t>
            </w:r>
            <w:r>
              <w:rPr>
                <w:rFonts w:asciiTheme="majorHAnsi" w:hAnsiTheme="majorHAnsi" w:cstheme="majorHAnsi"/>
                <w:b/>
                <w:bCs/>
                <w:sz w:val="20"/>
                <w:szCs w:val="20"/>
              </w:rPr>
              <w:t> </w:t>
            </w:r>
            <w:r w:rsidRPr="00CC06C4">
              <w:rPr>
                <w:rFonts w:asciiTheme="majorHAnsi" w:hAnsiTheme="majorHAnsi" w:cstheme="majorHAnsi"/>
                <w:b/>
                <w:bCs/>
                <w:sz w:val="20"/>
                <w:szCs w:val="20"/>
              </w:rPr>
              <w:t>523</w:t>
            </w:r>
            <w:r>
              <w:rPr>
                <w:rFonts w:asciiTheme="majorHAnsi" w:hAnsiTheme="majorHAnsi" w:cstheme="majorHAnsi"/>
                <w:b/>
                <w:bCs/>
                <w:sz w:val="20"/>
                <w:szCs w:val="20"/>
              </w:rPr>
              <w:t> </w:t>
            </w:r>
            <w:r w:rsidRPr="00CC06C4">
              <w:rPr>
                <w:rFonts w:asciiTheme="majorHAnsi" w:hAnsiTheme="majorHAnsi" w:cstheme="majorHAnsi"/>
                <w:b/>
                <w:bCs/>
                <w:sz w:val="20"/>
                <w:szCs w:val="20"/>
              </w:rPr>
              <w:t>700</w:t>
            </w:r>
          </w:p>
        </w:tc>
        <w:tc>
          <w:tcPr>
            <w:tcW w:w="1154" w:type="dxa"/>
            <w:tcBorders>
              <w:bottom w:val="single" w:color="auto" w:sz="4" w:space="0"/>
            </w:tcBorders>
            <w:noWrap/>
            <w:vAlign w:val="bottom"/>
            <w:hideMark/>
          </w:tcPr>
          <w:p w:rsidRPr="00CC06C4" w:rsidR="009F4EFC" w:rsidP="009F4EFC" w:rsidRDefault="009F4EFC" w14:paraId="3475E8B3" w14:textId="77777777">
            <w:pPr>
              <w:spacing w:before="80" w:line="240" w:lineRule="exact"/>
              <w:ind w:firstLine="0"/>
              <w:jc w:val="right"/>
              <w:rPr>
                <w:rFonts w:asciiTheme="majorHAnsi" w:hAnsiTheme="majorHAnsi" w:cstheme="majorHAnsi"/>
                <w:b/>
                <w:bCs/>
                <w:sz w:val="20"/>
                <w:szCs w:val="20"/>
              </w:rPr>
            </w:pPr>
          </w:p>
        </w:tc>
        <w:tc>
          <w:tcPr>
            <w:tcW w:w="1443" w:type="dxa"/>
            <w:tcBorders>
              <w:bottom w:val="single" w:color="auto" w:sz="4" w:space="0"/>
            </w:tcBorders>
            <w:noWrap/>
            <w:vAlign w:val="bottom"/>
            <w:hideMark/>
          </w:tcPr>
          <w:p w:rsidRPr="00CC06C4" w:rsidR="009F4EFC" w:rsidP="009F4EFC" w:rsidRDefault="009F4EFC" w14:paraId="2A6CE19D" w14:textId="28F5EFF5">
            <w:pPr>
              <w:spacing w:before="80" w:line="240" w:lineRule="exact"/>
              <w:ind w:firstLine="0"/>
              <w:jc w:val="right"/>
              <w:rPr>
                <w:rFonts w:asciiTheme="majorHAnsi" w:hAnsiTheme="majorHAnsi" w:cstheme="majorHAnsi"/>
                <w:b/>
                <w:sz w:val="20"/>
                <w:szCs w:val="20"/>
              </w:rPr>
            </w:pPr>
            <w:r w:rsidRPr="00CC06C4">
              <w:rPr>
                <w:rFonts w:asciiTheme="majorHAnsi" w:hAnsiTheme="majorHAnsi" w:cstheme="majorHAnsi"/>
                <w:b/>
                <w:sz w:val="20"/>
                <w:szCs w:val="20"/>
              </w:rPr>
              <w:t>–710</w:t>
            </w:r>
            <w:r>
              <w:rPr>
                <w:rFonts w:asciiTheme="majorHAnsi" w:hAnsiTheme="majorHAnsi" w:cstheme="majorHAnsi"/>
                <w:b/>
                <w:sz w:val="20"/>
                <w:szCs w:val="20"/>
              </w:rPr>
              <w:t> </w:t>
            </w:r>
            <w:r w:rsidRPr="00CC06C4">
              <w:rPr>
                <w:rFonts w:asciiTheme="majorHAnsi" w:hAnsiTheme="majorHAnsi" w:cstheme="majorHAnsi"/>
                <w:b/>
                <w:sz w:val="20"/>
                <w:szCs w:val="20"/>
              </w:rPr>
              <w:t>000</w:t>
            </w:r>
          </w:p>
        </w:tc>
      </w:tr>
    </w:tbl>
    <w:sdt>
      <w:sdtPr>
        <w:alias w:val="CC_Underskrifter"/>
        <w:tag w:val="CC_Underskrifter"/>
        <w:id w:val="583496634"/>
        <w:lock w:val="sdtContentLocked"/>
        <w:placeholder>
          <w:docPart w:val="9EEC231F83024B04B5BA6B4593C587AD"/>
        </w:placeholder>
      </w:sdtPr>
      <w:sdtEndPr/>
      <w:sdtContent>
        <w:p w:rsidR="00430D4E" w:rsidP="005068A9" w:rsidRDefault="00430D4E" w14:paraId="46BB8694" w14:textId="77777777"/>
        <w:p w:rsidRPr="008E0FE2" w:rsidR="004801AC" w:rsidP="005068A9" w:rsidRDefault="00E807B8" w14:paraId="13BA5F6E" w14:textId="6FF873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AF038C" w:rsidRDefault="00AF038C" w14:paraId="35CC3307" w14:textId="77777777"/>
    <w:sectPr w:rsidR="00AF038C" w:rsidSect="00C16A70">
      <w:headerReference w:type="even" r:id="rId16"/>
      <w:headerReference w:type="default" r:id="rId17"/>
      <w:footerReference w:type="even" r:id="rId18"/>
      <w:footerReference w:type="default" r:id="rId19"/>
      <w:headerReference w:type="first" r:id="rId20"/>
      <w:footerReference w:type="first" r:id="rId2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34E0" w14:textId="77777777" w:rsidR="007F5316" w:rsidRDefault="007F5316" w:rsidP="000C1CAD">
      <w:pPr>
        <w:spacing w:line="240" w:lineRule="auto"/>
      </w:pPr>
      <w:r>
        <w:separator/>
      </w:r>
    </w:p>
  </w:endnote>
  <w:endnote w:type="continuationSeparator" w:id="0">
    <w:p w14:paraId="49C52D54" w14:textId="77777777" w:rsidR="007F5316" w:rsidRDefault="007F5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9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33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6ED6" w14:textId="2E06A4F2" w:rsidR="00262EA3" w:rsidRPr="005068A9" w:rsidRDefault="00262EA3" w:rsidP="00506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9DB1F" w14:textId="77777777" w:rsidR="007F5316" w:rsidRDefault="007F5316" w:rsidP="000C1CAD">
      <w:pPr>
        <w:spacing w:line="240" w:lineRule="auto"/>
      </w:pPr>
      <w:r>
        <w:separator/>
      </w:r>
    </w:p>
  </w:footnote>
  <w:footnote w:type="continuationSeparator" w:id="0">
    <w:p w14:paraId="3B3DB42D" w14:textId="77777777" w:rsidR="007F5316" w:rsidRDefault="007F5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3AE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E7680" wp14:anchorId="2B6AA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7B8" w14:paraId="72635FEF" w14:textId="77777777">
                          <w:pPr>
                            <w:jc w:val="right"/>
                          </w:pPr>
                          <w:sdt>
                            <w:sdtPr>
                              <w:alias w:val="CC_Noformat_Partikod"/>
                              <w:tag w:val="CC_Noformat_Partikod"/>
                              <w:id w:val="-53464382"/>
                              <w:placeholder>
                                <w:docPart w:val="895926D8E1084B82AC472F3D11D7BA6E"/>
                              </w:placeholder>
                              <w:text/>
                            </w:sdtPr>
                            <w:sdtEndPr/>
                            <w:sdtContent>
                              <w:r w:rsidR="004E102C">
                                <w:t>SD</w:t>
                              </w:r>
                            </w:sdtContent>
                          </w:sdt>
                          <w:sdt>
                            <w:sdtPr>
                              <w:alias w:val="CC_Noformat_Partinummer"/>
                              <w:tag w:val="CC_Noformat_Partinummer"/>
                              <w:id w:val="-1709555926"/>
                              <w:placeholder>
                                <w:docPart w:val="F47EC2FE957A4871BD1A30E7FE6792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AA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7B8" w14:paraId="72635FEF" w14:textId="77777777">
                    <w:pPr>
                      <w:jc w:val="right"/>
                    </w:pPr>
                    <w:sdt>
                      <w:sdtPr>
                        <w:alias w:val="CC_Noformat_Partikod"/>
                        <w:tag w:val="CC_Noformat_Partikod"/>
                        <w:id w:val="-53464382"/>
                        <w:placeholder>
                          <w:docPart w:val="895926D8E1084B82AC472F3D11D7BA6E"/>
                        </w:placeholder>
                        <w:text/>
                      </w:sdtPr>
                      <w:sdtEndPr/>
                      <w:sdtContent>
                        <w:r w:rsidR="004E102C">
                          <w:t>SD</w:t>
                        </w:r>
                      </w:sdtContent>
                    </w:sdt>
                    <w:sdt>
                      <w:sdtPr>
                        <w:alias w:val="CC_Noformat_Partinummer"/>
                        <w:tag w:val="CC_Noformat_Partinummer"/>
                        <w:id w:val="-1709555926"/>
                        <w:placeholder>
                          <w:docPart w:val="F47EC2FE957A4871BD1A30E7FE6792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09A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81A93C" w14:textId="77777777">
    <w:pPr>
      <w:jc w:val="right"/>
    </w:pPr>
  </w:p>
  <w:p w:rsidR="00262EA3" w:rsidP="00776B74" w:rsidRDefault="00262EA3" w14:paraId="62463A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7B8" w14:paraId="30B340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97391" wp14:anchorId="1B34C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7B8" w14:paraId="67B7A7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102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07B8" w14:paraId="0BA23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7B8" w14:paraId="68B164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:4034</w:t>
        </w:r>
      </w:sdtContent>
    </w:sdt>
  </w:p>
  <w:p w:rsidR="00262EA3" w:rsidP="00E03A3D" w:rsidRDefault="00E807B8" w14:paraId="785ECD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Oscar Sjöstedt m.fl. (SD)</w:t>
        </w:r>
      </w:sdtContent>
    </w:sdt>
  </w:p>
  <w:sdt>
    <w:sdtPr>
      <w:alias w:val="CC_Noformat_Rubtext"/>
      <w:tag w:val="CC_Noformat_Rubtext"/>
      <w:id w:val="-218060500"/>
      <w:lock w:val="sdtLocked"/>
      <w:placeholder>
        <w:docPart w:val="617B1CE950E641529CD57262402C3879"/>
      </w:placeholder>
      <w:text/>
    </w:sdtPr>
    <w:sdtEndPr/>
    <w:sdtContent>
      <w:p w:rsidR="00262EA3" w:rsidP="00283E0F" w:rsidRDefault="005934DA" w14:paraId="67FCA072" w14:textId="77777777">
        <w:pPr>
          <w:pStyle w:val="FSHRub2"/>
        </w:pPr>
        <w:r>
          <w:t>med anledning av prop. 2020/21:99 Vårändringsbudget för 2021</w:t>
        </w:r>
      </w:p>
    </w:sdtContent>
  </w:sdt>
  <w:sdt>
    <w:sdtPr>
      <w:alias w:val="CC_Boilerplate_3"/>
      <w:tag w:val="CC_Boilerplate_3"/>
      <w:id w:val="1606463544"/>
      <w:lock w:val="sdtContentLocked"/>
      <w15:appearance w15:val="hidden"/>
      <w:text w:multiLine="1"/>
    </w:sdtPr>
    <w:sdtEndPr/>
    <w:sdtContent>
      <w:p w:rsidR="00262EA3" w:rsidP="00283E0F" w:rsidRDefault="00262EA3" w14:paraId="61A43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5439C7"/>
    <w:multiLevelType w:val="hybridMultilevel"/>
    <w:tmpl w:val="DACE9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420F62"/>
    <w:multiLevelType w:val="hybridMultilevel"/>
    <w:tmpl w:val="501223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E1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16"/>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A79"/>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5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68C"/>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F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4A1"/>
    <w:rsid w:val="001B6645"/>
    <w:rsid w:val="001B66CE"/>
    <w:rsid w:val="001B6716"/>
    <w:rsid w:val="001B697A"/>
    <w:rsid w:val="001B7753"/>
    <w:rsid w:val="001C0645"/>
    <w:rsid w:val="001C1DDA"/>
    <w:rsid w:val="001C2470"/>
    <w:rsid w:val="001C3B42"/>
    <w:rsid w:val="001C4D33"/>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C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C4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C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D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FE"/>
    <w:rsid w:val="002D778F"/>
    <w:rsid w:val="002D7A20"/>
    <w:rsid w:val="002E0A17"/>
    <w:rsid w:val="002E0C77"/>
    <w:rsid w:val="002E0E38"/>
    <w:rsid w:val="002E19D1"/>
    <w:rsid w:val="002E250F"/>
    <w:rsid w:val="002E500B"/>
    <w:rsid w:val="002E59A6"/>
    <w:rsid w:val="002E59D4"/>
    <w:rsid w:val="002E5B01"/>
    <w:rsid w:val="002E608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7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4F"/>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A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4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D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2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C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02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A9"/>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0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29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D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3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9"/>
    <w:rsid w:val="005E1016"/>
    <w:rsid w:val="005E1161"/>
    <w:rsid w:val="005E13A4"/>
    <w:rsid w:val="005E1482"/>
    <w:rsid w:val="005E16E0"/>
    <w:rsid w:val="005E18FF"/>
    <w:rsid w:val="005E282D"/>
    <w:rsid w:val="005E31AD"/>
    <w:rsid w:val="005E3559"/>
    <w:rsid w:val="005E3D5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A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9B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4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7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16"/>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7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EF"/>
    <w:rsid w:val="00826F78"/>
    <w:rsid w:val="008272B7"/>
    <w:rsid w:val="008272C5"/>
    <w:rsid w:val="00827BA1"/>
    <w:rsid w:val="0083069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4F"/>
    <w:rsid w:val="00854251"/>
    <w:rsid w:val="008543C4"/>
    <w:rsid w:val="00854ACF"/>
    <w:rsid w:val="0085531D"/>
    <w:rsid w:val="008555D4"/>
    <w:rsid w:val="0085565F"/>
    <w:rsid w:val="00855876"/>
    <w:rsid w:val="00855BA6"/>
    <w:rsid w:val="008563AC"/>
    <w:rsid w:val="008566A8"/>
    <w:rsid w:val="008570E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FE"/>
    <w:rsid w:val="008B66C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6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9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EF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8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2E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8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C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6D"/>
    <w:rsid w:val="00D03CE4"/>
    <w:rsid w:val="00D04591"/>
    <w:rsid w:val="00D047CF"/>
    <w:rsid w:val="00D054DD"/>
    <w:rsid w:val="00D057D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B8"/>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0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7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B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DE"/>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608"/>
    <w:rsid w:val="00F428FA"/>
    <w:rsid w:val="00F42E8D"/>
    <w:rsid w:val="00F43544"/>
    <w:rsid w:val="00F442D3"/>
    <w:rsid w:val="00F449F0"/>
    <w:rsid w:val="00F45191"/>
    <w:rsid w:val="00F458E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1C2E21"/>
  <w15:chartTrackingRefBased/>
  <w15:docId w15:val="{5B581CE7-B49A-4781-8BF8-8149470F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58"/>
    <w:unhideWhenUsed/>
    <w:qFormat/>
    <w:locked/>
    <w:rsid w:val="0001066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5"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chart" Target="charts/chart4.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Blad1!$C$3</c:f>
              <c:strCache>
                <c:ptCount val="1"/>
                <c:pt idx="0">
                  <c:v>Rättsväsendet</c:v>
                </c:pt>
              </c:strCache>
            </c:strRef>
          </c:tx>
          <c:spPr>
            <a:ln w="28575" cap="rnd">
              <a:solidFill>
                <a:schemeClr val="bg2">
                  <a:lumMod val="75000"/>
                </a:schemeClr>
              </a:solidFill>
              <a:prstDash val="sysDot"/>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Blad1!$D$3:$AB$3</c:f>
              <c:numCache>
                <c:formatCode>General</c:formatCode>
                <c:ptCount val="25"/>
                <c:pt idx="0">
                  <c:v>22.67</c:v>
                </c:pt>
                <c:pt idx="1">
                  <c:v>23.97</c:v>
                </c:pt>
                <c:pt idx="2">
                  <c:v>23.64</c:v>
                </c:pt>
                <c:pt idx="3">
                  <c:v>24.58</c:v>
                </c:pt>
                <c:pt idx="4">
                  <c:v>26.43</c:v>
                </c:pt>
                <c:pt idx="5">
                  <c:v>27.3</c:v>
                </c:pt>
                <c:pt idx="6">
                  <c:v>29.02</c:v>
                </c:pt>
                <c:pt idx="7">
                  <c:v>30.75</c:v>
                </c:pt>
                <c:pt idx="8">
                  <c:v>31.38</c:v>
                </c:pt>
                <c:pt idx="9">
                  <c:v>32.619999999999997</c:v>
                </c:pt>
                <c:pt idx="10">
                  <c:v>35.840000000000003</c:v>
                </c:pt>
                <c:pt idx="11">
                  <c:v>36.76</c:v>
                </c:pt>
                <c:pt idx="12">
                  <c:v>37.869999999999997</c:v>
                </c:pt>
                <c:pt idx="13">
                  <c:v>39.39</c:v>
                </c:pt>
                <c:pt idx="14">
                  <c:v>40.29</c:v>
                </c:pt>
                <c:pt idx="15">
                  <c:v>40.76</c:v>
                </c:pt>
                <c:pt idx="16">
                  <c:v>41.57</c:v>
                </c:pt>
                <c:pt idx="17">
                  <c:v>42.47</c:v>
                </c:pt>
                <c:pt idx="18">
                  <c:v>45.78</c:v>
                </c:pt>
                <c:pt idx="19">
                  <c:v>46.34</c:v>
                </c:pt>
                <c:pt idx="20">
                  <c:v>51.73</c:v>
                </c:pt>
                <c:pt idx="21">
                  <c:v>56.66</c:v>
                </c:pt>
                <c:pt idx="22">
                  <c:v>58.22</c:v>
                </c:pt>
                <c:pt idx="23">
                  <c:v>59.07</c:v>
                </c:pt>
                <c:pt idx="24">
                  <c:v>59.71</c:v>
                </c:pt>
              </c:numCache>
            </c:numRef>
          </c:val>
          <c:smooth val="0"/>
          <c:extLst>
            <c:ext xmlns:c16="http://schemas.microsoft.com/office/drawing/2014/chart" uri="{C3380CC4-5D6E-409C-BE32-E72D297353CC}">
              <c16:uniqueId val="{00000000-A382-4115-84E3-36828C59F9B5}"/>
            </c:ext>
          </c:extLst>
        </c:ser>
        <c:ser>
          <c:idx val="1"/>
          <c:order val="1"/>
          <c:tx>
            <c:strRef>
              <c:f>Blad1!$C$4</c:f>
              <c:strCache>
                <c:ptCount val="1"/>
                <c:pt idx="0">
                  <c:v>Internationellt bistånd</c:v>
                </c:pt>
              </c:strCache>
            </c:strRef>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Blad1!$D$4:$AB$4</c:f>
              <c:numCache>
                <c:formatCode>General</c:formatCode>
                <c:ptCount val="25"/>
                <c:pt idx="0">
                  <c:v>13.24</c:v>
                </c:pt>
                <c:pt idx="1">
                  <c:v>14.97</c:v>
                </c:pt>
                <c:pt idx="2">
                  <c:v>15.04</c:v>
                </c:pt>
                <c:pt idx="3">
                  <c:v>17.14</c:v>
                </c:pt>
                <c:pt idx="4">
                  <c:v>19.86</c:v>
                </c:pt>
                <c:pt idx="5">
                  <c:v>22.42</c:v>
                </c:pt>
                <c:pt idx="6">
                  <c:v>26.06</c:v>
                </c:pt>
                <c:pt idx="7">
                  <c:v>26.66</c:v>
                </c:pt>
                <c:pt idx="8">
                  <c:v>27.7</c:v>
                </c:pt>
                <c:pt idx="9">
                  <c:v>30.11</c:v>
                </c:pt>
                <c:pt idx="10">
                  <c:v>27.02</c:v>
                </c:pt>
                <c:pt idx="11">
                  <c:v>30.51</c:v>
                </c:pt>
                <c:pt idx="12">
                  <c:v>30.26</c:v>
                </c:pt>
                <c:pt idx="13">
                  <c:v>31.19</c:v>
                </c:pt>
                <c:pt idx="14">
                  <c:v>31.83</c:v>
                </c:pt>
                <c:pt idx="15">
                  <c:v>30.01</c:v>
                </c:pt>
                <c:pt idx="16">
                  <c:v>32.36</c:v>
                </c:pt>
                <c:pt idx="17">
                  <c:v>34.99</c:v>
                </c:pt>
                <c:pt idx="18">
                  <c:v>42.99</c:v>
                </c:pt>
                <c:pt idx="19">
                  <c:v>44.95</c:v>
                </c:pt>
                <c:pt idx="20">
                  <c:v>45.99</c:v>
                </c:pt>
                <c:pt idx="21">
                  <c:v>47.13</c:v>
                </c:pt>
                <c:pt idx="22">
                  <c:v>50.53</c:v>
                </c:pt>
                <c:pt idx="23">
                  <c:v>52.22</c:v>
                </c:pt>
                <c:pt idx="24">
                  <c:v>54</c:v>
                </c:pt>
              </c:numCache>
            </c:numRef>
          </c:val>
          <c:smooth val="0"/>
          <c:extLst>
            <c:ext xmlns:c16="http://schemas.microsoft.com/office/drawing/2014/chart" uri="{C3380CC4-5D6E-409C-BE32-E72D297353CC}">
              <c16:uniqueId val="{00000001-A382-4115-84E3-36828C59F9B5}"/>
            </c:ext>
          </c:extLst>
        </c:ser>
        <c:ser>
          <c:idx val="2"/>
          <c:order val="2"/>
          <c:tx>
            <c:strRef>
              <c:f>Blad1!$C$5</c:f>
              <c:strCache>
                <c:ptCount val="1"/>
                <c:pt idx="0">
                  <c:v>Ekonomisk trygghet vid ålderdom</c:v>
                </c:pt>
              </c:strCache>
            </c:strRef>
          </c:tx>
          <c:spPr>
            <a:ln w="28575" cap="rnd">
              <a:solidFill>
                <a:schemeClr val="bg2">
                  <a:lumMod val="50000"/>
                </a:schemeClr>
              </a:solidFill>
              <a:prstDash val="dash"/>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Blad1!$D$5:$AB$5</c:f>
              <c:numCache>
                <c:formatCode>General</c:formatCode>
                <c:ptCount val="25"/>
                <c:pt idx="0">
                  <c:v>33.619999999999997</c:v>
                </c:pt>
                <c:pt idx="1">
                  <c:v>33.78</c:v>
                </c:pt>
                <c:pt idx="2">
                  <c:v>33.53</c:v>
                </c:pt>
                <c:pt idx="3">
                  <c:v>52.55</c:v>
                </c:pt>
                <c:pt idx="4">
                  <c:v>50.66</c:v>
                </c:pt>
                <c:pt idx="5">
                  <c:v>46.41</c:v>
                </c:pt>
                <c:pt idx="6">
                  <c:v>45.3</c:v>
                </c:pt>
                <c:pt idx="7">
                  <c:v>44.2</c:v>
                </c:pt>
                <c:pt idx="8">
                  <c:v>42.95</c:v>
                </c:pt>
                <c:pt idx="9">
                  <c:v>42.46</c:v>
                </c:pt>
                <c:pt idx="10">
                  <c:v>41.5</c:v>
                </c:pt>
                <c:pt idx="11">
                  <c:v>40.619999999999997</c:v>
                </c:pt>
                <c:pt idx="12">
                  <c:v>41.06</c:v>
                </c:pt>
                <c:pt idx="13">
                  <c:v>40</c:v>
                </c:pt>
                <c:pt idx="14">
                  <c:v>39.01</c:v>
                </c:pt>
                <c:pt idx="15">
                  <c:v>38.17</c:v>
                </c:pt>
                <c:pt idx="16">
                  <c:v>36.18</c:v>
                </c:pt>
                <c:pt idx="17">
                  <c:v>34.770000000000003</c:v>
                </c:pt>
                <c:pt idx="18">
                  <c:v>34.64</c:v>
                </c:pt>
                <c:pt idx="19">
                  <c:v>34.450000000000003</c:v>
                </c:pt>
                <c:pt idx="20">
                  <c:v>36.54</c:v>
                </c:pt>
                <c:pt idx="21">
                  <c:v>37.18</c:v>
                </c:pt>
                <c:pt idx="22">
                  <c:v>40.72</c:v>
                </c:pt>
                <c:pt idx="23">
                  <c:v>39.24</c:v>
                </c:pt>
                <c:pt idx="24">
                  <c:v>38.43</c:v>
                </c:pt>
              </c:numCache>
            </c:numRef>
          </c:val>
          <c:smooth val="0"/>
          <c:extLst>
            <c:ext xmlns:c16="http://schemas.microsoft.com/office/drawing/2014/chart" uri="{C3380CC4-5D6E-409C-BE32-E72D297353CC}">
              <c16:uniqueId val="{00000002-A382-4115-84E3-36828C59F9B5}"/>
            </c:ext>
          </c:extLst>
        </c:ser>
        <c:dLbls>
          <c:showLegendKey val="0"/>
          <c:showVal val="0"/>
          <c:showCatName val="0"/>
          <c:showSerName val="0"/>
          <c:showPercent val="0"/>
          <c:showBubbleSize val="0"/>
        </c:dLbls>
        <c:smooth val="0"/>
        <c:axId val="425345952"/>
        <c:axId val="425346936"/>
      </c:lineChart>
      <c:catAx>
        <c:axId val="42534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346936"/>
        <c:crosses val="autoZero"/>
        <c:auto val="1"/>
        <c:lblAlgn val="ctr"/>
        <c:lblOffset val="100"/>
        <c:noMultiLvlLbl val="0"/>
      </c:catAx>
      <c:valAx>
        <c:axId val="425346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34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Blad1!$C$7</c:f>
              <c:strCache>
                <c:ptCount val="1"/>
                <c:pt idx="0">
                  <c:v>Internationellt bistånd som andel</c:v>
                </c:pt>
              </c:strCache>
            </c:strRef>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Blad1!$D$8:$AB$8</c:f>
              <c:numCache>
                <c:formatCode>General</c:formatCode>
                <c:ptCount val="25"/>
                <c:pt idx="0">
                  <c:v>1.8933218933218934</c:v>
                </c:pt>
                <c:pt idx="1">
                  <c:v>2.1050707315015327</c:v>
                </c:pt>
                <c:pt idx="2">
                  <c:v>2.101204280644891</c:v>
                </c:pt>
                <c:pt idx="3">
                  <c:v>2.3947243412412331</c:v>
                </c:pt>
                <c:pt idx="4">
                  <c:v>2.6915310285009553</c:v>
                </c:pt>
                <c:pt idx="5">
                  <c:v>3.037940379403794</c:v>
                </c:pt>
                <c:pt idx="6">
                  <c:v>3.397387427319897</c:v>
                </c:pt>
                <c:pt idx="7">
                  <c:v>3.4340623953422469</c:v>
                </c:pt>
                <c:pt idx="8">
                  <c:v>3.6148666283864905</c:v>
                </c:pt>
                <c:pt idx="9">
                  <c:v>3.9163913529824921</c:v>
                </c:pt>
                <c:pt idx="10">
                  <c:v>3.3332510917569267</c:v>
                </c:pt>
                <c:pt idx="11">
                  <c:v>3.7631822386679001</c:v>
                </c:pt>
                <c:pt idx="12">
                  <c:v>3.7053363700928177</c:v>
                </c:pt>
                <c:pt idx="13">
                  <c:v>3.7377017747792016</c:v>
                </c:pt>
                <c:pt idx="14">
                  <c:v>3.7151594378822539</c:v>
                </c:pt>
                <c:pt idx="15">
                  <c:v>3.3685037602424512</c:v>
                </c:pt>
                <c:pt idx="16">
                  <c:v>3.4936572199730094</c:v>
                </c:pt>
                <c:pt idx="17">
                  <c:v>3.6028707641298645</c:v>
                </c:pt>
                <c:pt idx="18">
                  <c:v>4.2968086275999244</c:v>
                </c:pt>
                <c:pt idx="19">
                  <c:v>4.3784031247869244</c:v>
                </c:pt>
                <c:pt idx="20">
                  <c:v>4.3289187586479541</c:v>
                </c:pt>
                <c:pt idx="21">
                  <c:v>3.6810822209899015</c:v>
                </c:pt>
                <c:pt idx="22">
                  <c:v>4.4242286274647151</c:v>
                </c:pt>
                <c:pt idx="23">
                  <c:v>4.7166147315178604</c:v>
                </c:pt>
                <c:pt idx="24">
                  <c:v>4.8285852245292133</c:v>
                </c:pt>
              </c:numCache>
            </c:numRef>
          </c:val>
          <c:smooth val="0"/>
          <c:extLst>
            <c:ext xmlns:c16="http://schemas.microsoft.com/office/drawing/2014/chart" uri="{C3380CC4-5D6E-409C-BE32-E72D297353CC}">
              <c16:uniqueId val="{00000000-0986-48EB-A552-A52D392E1C87}"/>
            </c:ext>
          </c:extLst>
        </c:ser>
        <c:dLbls>
          <c:showLegendKey val="0"/>
          <c:showVal val="0"/>
          <c:showCatName val="0"/>
          <c:showSerName val="0"/>
          <c:showPercent val="0"/>
          <c:showBubbleSize val="0"/>
        </c:dLbls>
        <c:smooth val="0"/>
        <c:axId val="421949800"/>
        <c:axId val="421947832"/>
      </c:lineChart>
      <c:catAx>
        <c:axId val="42194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7832"/>
        <c:crosses val="autoZero"/>
        <c:auto val="1"/>
        <c:lblAlgn val="ctr"/>
        <c:lblOffset val="100"/>
        <c:noMultiLvlLbl val="0"/>
      </c:catAx>
      <c:valAx>
        <c:axId val="42194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9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Blad1!$A$65</c:f>
              <c:strCache>
                <c:ptCount val="1"/>
                <c:pt idx="0">
                  <c:v>inrikes födda</c:v>
                </c:pt>
              </c:strCache>
            </c:strRef>
          </c:tx>
          <c:spPr>
            <a:ln w="28575" cap="rnd">
              <a:solidFill>
                <a:schemeClr val="tx1"/>
              </a:solidFill>
              <a:round/>
            </a:ln>
            <a:effectLst/>
          </c:spPr>
          <c:marker>
            <c:symbol val="none"/>
          </c:marker>
          <c:cat>
            <c:numRef>
              <c:f>Blad1!$B$64:$Q$64</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Blad1!$B$65:$Q$65</c:f>
              <c:numCache>
                <c:formatCode>General</c:formatCode>
                <c:ptCount val="16"/>
                <c:pt idx="0">
                  <c:v>6.8</c:v>
                </c:pt>
                <c:pt idx="1">
                  <c:v>6.1</c:v>
                </c:pt>
                <c:pt idx="2">
                  <c:v>5.2</c:v>
                </c:pt>
                <c:pt idx="3">
                  <c:v>5.2</c:v>
                </c:pt>
                <c:pt idx="4">
                  <c:v>7.1</c:v>
                </c:pt>
                <c:pt idx="5">
                  <c:v>7.2</c:v>
                </c:pt>
                <c:pt idx="6">
                  <c:v>6.1</c:v>
                </c:pt>
                <c:pt idx="7">
                  <c:v>6.4</c:v>
                </c:pt>
                <c:pt idx="8">
                  <c:v>6.3</c:v>
                </c:pt>
                <c:pt idx="9">
                  <c:v>6.1</c:v>
                </c:pt>
                <c:pt idx="10">
                  <c:v>5.4</c:v>
                </c:pt>
                <c:pt idx="11">
                  <c:v>4.8</c:v>
                </c:pt>
                <c:pt idx="12">
                  <c:v>4.4000000000000004</c:v>
                </c:pt>
                <c:pt idx="13">
                  <c:v>4</c:v>
                </c:pt>
                <c:pt idx="14">
                  <c:v>4.4000000000000004</c:v>
                </c:pt>
                <c:pt idx="15">
                  <c:v>5.0999999999999996</c:v>
                </c:pt>
              </c:numCache>
            </c:numRef>
          </c:val>
          <c:smooth val="0"/>
          <c:extLst>
            <c:ext xmlns:c16="http://schemas.microsoft.com/office/drawing/2014/chart" uri="{C3380CC4-5D6E-409C-BE32-E72D297353CC}">
              <c16:uniqueId val="{00000000-8580-48B6-8A37-5DFA5CB4FB46}"/>
            </c:ext>
          </c:extLst>
        </c:ser>
        <c:ser>
          <c:idx val="1"/>
          <c:order val="1"/>
          <c:tx>
            <c:strRef>
              <c:f>Blad1!$A$66</c:f>
              <c:strCache>
                <c:ptCount val="1"/>
                <c:pt idx="0">
                  <c:v>utrikes födda</c:v>
                </c:pt>
              </c:strCache>
            </c:strRef>
          </c:tx>
          <c:spPr>
            <a:ln w="28575" cap="rnd">
              <a:solidFill>
                <a:schemeClr val="bg2">
                  <a:lumMod val="90000"/>
                </a:schemeClr>
              </a:solidFill>
              <a:round/>
            </a:ln>
            <a:effectLst/>
          </c:spPr>
          <c:marker>
            <c:symbol val="none"/>
          </c:marker>
          <c:cat>
            <c:numRef>
              <c:f>Blad1!$B$64:$Q$64</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Blad1!$B$66:$Q$66</c:f>
              <c:numCache>
                <c:formatCode>General</c:formatCode>
                <c:ptCount val="16"/>
                <c:pt idx="0">
                  <c:v>14.1</c:v>
                </c:pt>
                <c:pt idx="1">
                  <c:v>13.1</c:v>
                </c:pt>
                <c:pt idx="2">
                  <c:v>11.9</c:v>
                </c:pt>
                <c:pt idx="3">
                  <c:v>12</c:v>
                </c:pt>
                <c:pt idx="4">
                  <c:v>15.1</c:v>
                </c:pt>
                <c:pt idx="5">
                  <c:v>16.2</c:v>
                </c:pt>
                <c:pt idx="6">
                  <c:v>16.100000000000001</c:v>
                </c:pt>
                <c:pt idx="7">
                  <c:v>15.9</c:v>
                </c:pt>
                <c:pt idx="8">
                  <c:v>16.2</c:v>
                </c:pt>
                <c:pt idx="9">
                  <c:v>16.100000000000001</c:v>
                </c:pt>
                <c:pt idx="10">
                  <c:v>16</c:v>
                </c:pt>
                <c:pt idx="11">
                  <c:v>15.6</c:v>
                </c:pt>
                <c:pt idx="12">
                  <c:v>15.1</c:v>
                </c:pt>
                <c:pt idx="13">
                  <c:v>14.7</c:v>
                </c:pt>
                <c:pt idx="14">
                  <c:v>15.1</c:v>
                </c:pt>
                <c:pt idx="15">
                  <c:v>18.8</c:v>
                </c:pt>
              </c:numCache>
            </c:numRef>
          </c:val>
          <c:smooth val="0"/>
          <c:extLst>
            <c:ext xmlns:c16="http://schemas.microsoft.com/office/drawing/2014/chart" uri="{C3380CC4-5D6E-409C-BE32-E72D297353CC}">
              <c16:uniqueId val="{00000001-8580-48B6-8A37-5DFA5CB4FB46}"/>
            </c:ext>
          </c:extLst>
        </c:ser>
        <c:dLbls>
          <c:showLegendKey val="0"/>
          <c:showVal val="0"/>
          <c:showCatName val="0"/>
          <c:showSerName val="0"/>
          <c:showPercent val="0"/>
          <c:showBubbleSize val="0"/>
        </c:dLbls>
        <c:smooth val="0"/>
        <c:axId val="554034912"/>
        <c:axId val="554032616"/>
      </c:lineChart>
      <c:catAx>
        <c:axId val="5540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4032616"/>
        <c:crosses val="autoZero"/>
        <c:auto val="1"/>
        <c:lblAlgn val="ctr"/>
        <c:lblOffset val="100"/>
        <c:noMultiLvlLbl val="0"/>
      </c:catAx>
      <c:valAx>
        <c:axId val="55403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40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bg2">
                <a:lumMod val="90000"/>
              </a:schemeClr>
            </a:solidFill>
            <a:ln>
              <a:noFill/>
            </a:ln>
            <a:effectLst/>
          </c:spPr>
          <c:invertIfNegative val="0"/>
          <c:dPt>
            <c:idx val="4"/>
            <c:invertIfNegative val="0"/>
            <c:bubble3D val="0"/>
            <c:spPr>
              <a:solidFill>
                <a:schemeClr val="bg2">
                  <a:lumMod val="25000"/>
                </a:schemeClr>
              </a:solidFill>
              <a:ln>
                <a:noFill/>
              </a:ln>
              <a:effectLst/>
            </c:spPr>
            <c:extLst>
              <c:ext xmlns:c16="http://schemas.microsoft.com/office/drawing/2014/chart" uri="{C3380CC4-5D6E-409C-BE32-E72D297353CC}">
                <c16:uniqueId val="{00000001-8351-41A1-A5D4-33CF01EFBBFA}"/>
              </c:ext>
            </c:extLst>
          </c:dPt>
          <c:cat>
            <c:strRef>
              <c:f>Blad1!$A$85:$A$116</c:f>
              <c:strCache>
                <c:ptCount val="32"/>
                <c:pt idx="0">
                  <c:v>Grekland</c:v>
                </c:pt>
                <c:pt idx="1">
                  <c:v>Spanien</c:v>
                </c:pt>
                <c:pt idx="2">
                  <c:v>Litauen</c:v>
                </c:pt>
                <c:pt idx="3">
                  <c:v>Italien</c:v>
                </c:pt>
                <c:pt idx="4">
                  <c:v>Sverige</c:v>
                </c:pt>
                <c:pt idx="5">
                  <c:v>Lettland </c:v>
                </c:pt>
                <c:pt idx="6">
                  <c:v>Euroområdet </c:v>
                </c:pt>
                <c:pt idx="7">
                  <c:v>Finland </c:v>
                </c:pt>
                <c:pt idx="8">
                  <c:v>Frankrike</c:v>
                </c:pt>
                <c:pt idx="9">
                  <c:v>EU </c:v>
                </c:pt>
                <c:pt idx="10">
                  <c:v>Portugal</c:v>
                </c:pt>
                <c:pt idx="11">
                  <c:v>Slovakien </c:v>
                </c:pt>
                <c:pt idx="12">
                  <c:v>Island </c:v>
                </c:pt>
                <c:pt idx="13">
                  <c:v>Kroatien</c:v>
                </c:pt>
                <c:pt idx="14">
                  <c:v>Estland</c:v>
                </c:pt>
                <c:pt idx="15">
                  <c:v>Cypern</c:v>
                </c:pt>
                <c:pt idx="16">
                  <c:v>Luxemburg </c:v>
                </c:pt>
                <c:pt idx="17">
                  <c:v>Danmark</c:v>
                </c:pt>
                <c:pt idx="18">
                  <c:v>Irland</c:v>
                </c:pt>
                <c:pt idx="19">
                  <c:v>Österrike </c:v>
                </c:pt>
                <c:pt idx="20">
                  <c:v>Belgien</c:v>
                </c:pt>
                <c:pt idx="21">
                  <c:v>Bulgarien </c:v>
                </c:pt>
                <c:pt idx="22">
                  <c:v>Rumänien </c:v>
                </c:pt>
                <c:pt idx="23">
                  <c:v>Schweiz</c:v>
                </c:pt>
                <c:pt idx="24">
                  <c:v>Norge </c:v>
                </c:pt>
                <c:pt idx="25">
                  <c:v>Ungern</c:v>
                </c:pt>
                <c:pt idx="26">
                  <c:v>Slovenien </c:v>
                </c:pt>
                <c:pt idx="27">
                  <c:v>Tyskland</c:v>
                </c:pt>
                <c:pt idx="28">
                  <c:v>Malta </c:v>
                </c:pt>
                <c:pt idx="29">
                  <c:v>Nederländerna </c:v>
                </c:pt>
                <c:pt idx="30">
                  <c:v>Tjeckien</c:v>
                </c:pt>
                <c:pt idx="31">
                  <c:v>Polen</c:v>
                </c:pt>
              </c:strCache>
            </c:strRef>
          </c:cat>
          <c:val>
            <c:numRef>
              <c:f>Blad1!$B$85:$B$116</c:f>
              <c:numCache>
                <c:formatCode>General</c:formatCode>
                <c:ptCount val="32"/>
                <c:pt idx="0">
                  <c:v>16.2</c:v>
                </c:pt>
                <c:pt idx="1">
                  <c:v>16</c:v>
                </c:pt>
                <c:pt idx="2">
                  <c:v>9.6</c:v>
                </c:pt>
                <c:pt idx="3">
                  <c:v>9</c:v>
                </c:pt>
                <c:pt idx="4">
                  <c:v>8.8000000000000007</c:v>
                </c:pt>
                <c:pt idx="5">
                  <c:v>8.5</c:v>
                </c:pt>
                <c:pt idx="6">
                  <c:v>8.1</c:v>
                </c:pt>
                <c:pt idx="7">
                  <c:v>8.1</c:v>
                </c:pt>
                <c:pt idx="8">
                  <c:v>7.9</c:v>
                </c:pt>
                <c:pt idx="9">
                  <c:v>7.3</c:v>
                </c:pt>
                <c:pt idx="10">
                  <c:v>7.2</c:v>
                </c:pt>
                <c:pt idx="11">
                  <c:v>7.2</c:v>
                </c:pt>
                <c:pt idx="12">
                  <c:v>7.2</c:v>
                </c:pt>
                <c:pt idx="13">
                  <c:v>7.1</c:v>
                </c:pt>
                <c:pt idx="14">
                  <c:v>6.9</c:v>
                </c:pt>
                <c:pt idx="15">
                  <c:v>6.8</c:v>
                </c:pt>
                <c:pt idx="16">
                  <c:v>6.8</c:v>
                </c:pt>
                <c:pt idx="17">
                  <c:v>6.1</c:v>
                </c:pt>
                <c:pt idx="18">
                  <c:v>5.8</c:v>
                </c:pt>
                <c:pt idx="19">
                  <c:v>5.7</c:v>
                </c:pt>
                <c:pt idx="20">
                  <c:v>5.6</c:v>
                </c:pt>
                <c:pt idx="21">
                  <c:v>5.5</c:v>
                </c:pt>
                <c:pt idx="22">
                  <c:v>5.2</c:v>
                </c:pt>
                <c:pt idx="23">
                  <c:v>5.2</c:v>
                </c:pt>
                <c:pt idx="24">
                  <c:v>5</c:v>
                </c:pt>
                <c:pt idx="25">
                  <c:v>4.9000000000000004</c:v>
                </c:pt>
                <c:pt idx="26">
                  <c:v>4.7</c:v>
                </c:pt>
                <c:pt idx="27">
                  <c:v>4.5999999999999996</c:v>
                </c:pt>
                <c:pt idx="28">
                  <c:v>4.4000000000000004</c:v>
                </c:pt>
                <c:pt idx="29">
                  <c:v>3.6</c:v>
                </c:pt>
                <c:pt idx="30">
                  <c:v>3.2</c:v>
                </c:pt>
                <c:pt idx="31">
                  <c:v>3.1</c:v>
                </c:pt>
              </c:numCache>
            </c:numRef>
          </c:val>
          <c:extLst>
            <c:ext xmlns:c16="http://schemas.microsoft.com/office/drawing/2014/chart" uri="{C3380CC4-5D6E-409C-BE32-E72D297353CC}">
              <c16:uniqueId val="{00000002-8351-41A1-A5D4-33CF01EFBBFA}"/>
            </c:ext>
          </c:extLst>
        </c:ser>
        <c:dLbls>
          <c:showLegendKey val="0"/>
          <c:showVal val="0"/>
          <c:showCatName val="0"/>
          <c:showSerName val="0"/>
          <c:showPercent val="0"/>
          <c:showBubbleSize val="0"/>
        </c:dLbls>
        <c:gapWidth val="150"/>
        <c:overlap val="100"/>
        <c:axId val="441978560"/>
        <c:axId val="450414168"/>
      </c:barChart>
      <c:catAx>
        <c:axId val="44197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450414168"/>
        <c:crosses val="autoZero"/>
        <c:auto val="1"/>
        <c:lblAlgn val="ctr"/>
        <c:lblOffset val="100"/>
        <c:noMultiLvlLbl val="0"/>
      </c:catAx>
      <c:valAx>
        <c:axId val="450414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1978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CFF94A9084390846DC34295E96DF1"/>
        <w:category>
          <w:name w:val="Allmänt"/>
          <w:gallery w:val="placeholder"/>
        </w:category>
        <w:types>
          <w:type w:val="bbPlcHdr"/>
        </w:types>
        <w:behaviors>
          <w:behavior w:val="content"/>
        </w:behaviors>
        <w:guid w:val="{1971ED85-1F0C-4623-8EDD-AFD83C4032B2}"/>
      </w:docPartPr>
      <w:docPartBody>
        <w:p w:rsidR="00E01184" w:rsidRDefault="0079247F">
          <w:pPr>
            <w:pStyle w:val="6D6CFF94A9084390846DC34295E96DF1"/>
          </w:pPr>
          <w:r w:rsidRPr="005A0A93">
            <w:rPr>
              <w:rStyle w:val="Platshllartext"/>
            </w:rPr>
            <w:t>Förslag till riksdagsbeslut</w:t>
          </w:r>
        </w:p>
      </w:docPartBody>
    </w:docPart>
    <w:docPart>
      <w:docPartPr>
        <w:name w:val="9AFBCB4C7F57440D91C08E4101D145C0"/>
        <w:category>
          <w:name w:val="Allmänt"/>
          <w:gallery w:val="placeholder"/>
        </w:category>
        <w:types>
          <w:type w:val="bbPlcHdr"/>
        </w:types>
        <w:behaviors>
          <w:behavior w:val="content"/>
        </w:behaviors>
        <w:guid w:val="{EC3FB15D-E425-4B79-ABBA-F614A3D4A928}"/>
      </w:docPartPr>
      <w:docPartBody>
        <w:p w:rsidR="00E01184" w:rsidRDefault="0079247F">
          <w:pPr>
            <w:pStyle w:val="9AFBCB4C7F57440D91C08E4101D145C0"/>
          </w:pPr>
          <w:r w:rsidRPr="005A0A93">
            <w:rPr>
              <w:rStyle w:val="Platshllartext"/>
            </w:rPr>
            <w:t>Motivering</w:t>
          </w:r>
        </w:p>
      </w:docPartBody>
    </w:docPart>
    <w:docPart>
      <w:docPartPr>
        <w:name w:val="895926D8E1084B82AC472F3D11D7BA6E"/>
        <w:category>
          <w:name w:val="Allmänt"/>
          <w:gallery w:val="placeholder"/>
        </w:category>
        <w:types>
          <w:type w:val="bbPlcHdr"/>
        </w:types>
        <w:behaviors>
          <w:behavior w:val="content"/>
        </w:behaviors>
        <w:guid w:val="{976290AF-12B0-402A-B041-6966DC13E2EF}"/>
      </w:docPartPr>
      <w:docPartBody>
        <w:p w:rsidR="00E01184" w:rsidRDefault="0079247F">
          <w:pPr>
            <w:pStyle w:val="895926D8E1084B82AC472F3D11D7BA6E"/>
          </w:pPr>
          <w:r>
            <w:rPr>
              <w:rStyle w:val="Platshllartext"/>
            </w:rPr>
            <w:t xml:space="preserve"> </w:t>
          </w:r>
        </w:p>
      </w:docPartBody>
    </w:docPart>
    <w:docPart>
      <w:docPartPr>
        <w:name w:val="F47EC2FE957A4871BD1A30E7FE67922D"/>
        <w:category>
          <w:name w:val="Allmänt"/>
          <w:gallery w:val="placeholder"/>
        </w:category>
        <w:types>
          <w:type w:val="bbPlcHdr"/>
        </w:types>
        <w:behaviors>
          <w:behavior w:val="content"/>
        </w:behaviors>
        <w:guid w:val="{B89BEC6E-E816-405A-A933-5F71BED6ABDE}"/>
      </w:docPartPr>
      <w:docPartBody>
        <w:p w:rsidR="00E01184" w:rsidRDefault="0079247F">
          <w:pPr>
            <w:pStyle w:val="F47EC2FE957A4871BD1A30E7FE67922D"/>
          </w:pPr>
          <w:r>
            <w:t xml:space="preserve"> </w:t>
          </w:r>
        </w:p>
      </w:docPartBody>
    </w:docPart>
    <w:docPart>
      <w:docPartPr>
        <w:name w:val="DefaultPlaceholder_-1854013440"/>
        <w:category>
          <w:name w:val="Allmänt"/>
          <w:gallery w:val="placeholder"/>
        </w:category>
        <w:types>
          <w:type w:val="bbPlcHdr"/>
        </w:types>
        <w:behaviors>
          <w:behavior w:val="content"/>
        </w:behaviors>
        <w:guid w:val="{564A290D-1A68-4810-90E0-B0C6A31BF897}"/>
      </w:docPartPr>
      <w:docPartBody>
        <w:p w:rsidR="00E01184" w:rsidRDefault="0053477F">
          <w:r w:rsidRPr="00BB735C">
            <w:rPr>
              <w:rStyle w:val="Platshllartext"/>
            </w:rPr>
            <w:t>Klicka eller tryck här för att ange text.</w:t>
          </w:r>
        </w:p>
      </w:docPartBody>
    </w:docPart>
    <w:docPart>
      <w:docPartPr>
        <w:name w:val="617B1CE950E641529CD57262402C3879"/>
        <w:category>
          <w:name w:val="Allmänt"/>
          <w:gallery w:val="placeholder"/>
        </w:category>
        <w:types>
          <w:type w:val="bbPlcHdr"/>
        </w:types>
        <w:behaviors>
          <w:behavior w:val="content"/>
        </w:behaviors>
        <w:guid w:val="{A90B518D-E6BC-4B63-A0C3-CDBA57B49694}"/>
      </w:docPartPr>
      <w:docPartBody>
        <w:p w:rsidR="00E01184" w:rsidRDefault="0053477F">
          <w:r w:rsidRPr="00BB735C">
            <w:rPr>
              <w:rStyle w:val="Platshllartext"/>
            </w:rPr>
            <w:t>[ange din text här]</w:t>
          </w:r>
        </w:p>
      </w:docPartBody>
    </w:docPart>
    <w:docPart>
      <w:docPartPr>
        <w:name w:val="9EEC231F83024B04B5BA6B4593C587AD"/>
        <w:category>
          <w:name w:val="Allmänt"/>
          <w:gallery w:val="placeholder"/>
        </w:category>
        <w:types>
          <w:type w:val="bbPlcHdr"/>
        </w:types>
        <w:behaviors>
          <w:behavior w:val="content"/>
        </w:behaviors>
        <w:guid w:val="{0090FB76-FAAE-4206-9B1C-52FD9C9A7413}"/>
      </w:docPartPr>
      <w:docPartBody>
        <w:p w:rsidR="00377852" w:rsidRDefault="00377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7F"/>
    <w:rsid w:val="0025027A"/>
    <w:rsid w:val="00377852"/>
    <w:rsid w:val="0053477F"/>
    <w:rsid w:val="0079247F"/>
    <w:rsid w:val="00841044"/>
    <w:rsid w:val="009C333E"/>
    <w:rsid w:val="009D3BD3"/>
    <w:rsid w:val="00BF37F2"/>
    <w:rsid w:val="00D01EFC"/>
    <w:rsid w:val="00E01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77F"/>
    <w:rPr>
      <w:color w:val="F4B083" w:themeColor="accent2" w:themeTint="99"/>
    </w:rPr>
  </w:style>
  <w:style w:type="paragraph" w:customStyle="1" w:styleId="6D6CFF94A9084390846DC34295E96DF1">
    <w:name w:val="6D6CFF94A9084390846DC34295E96DF1"/>
  </w:style>
  <w:style w:type="paragraph" w:customStyle="1" w:styleId="B534AAEDDEF447E989A991C6554FC955">
    <w:name w:val="B534AAEDDEF447E989A991C6554FC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9CC40E41FB45808483F2071F7B28C1">
    <w:name w:val="FD9CC40E41FB45808483F2071F7B28C1"/>
  </w:style>
  <w:style w:type="paragraph" w:customStyle="1" w:styleId="9AFBCB4C7F57440D91C08E4101D145C0">
    <w:name w:val="9AFBCB4C7F57440D91C08E4101D145C0"/>
  </w:style>
  <w:style w:type="paragraph" w:customStyle="1" w:styleId="C37A8046E680450A9B08D0D501C86FA8">
    <w:name w:val="C37A8046E680450A9B08D0D501C86FA8"/>
  </w:style>
  <w:style w:type="paragraph" w:customStyle="1" w:styleId="4B3CC0D7B5D343998ED43107DF75AD1F">
    <w:name w:val="4B3CC0D7B5D343998ED43107DF75AD1F"/>
  </w:style>
  <w:style w:type="paragraph" w:customStyle="1" w:styleId="895926D8E1084B82AC472F3D11D7BA6E">
    <w:name w:val="895926D8E1084B82AC472F3D11D7BA6E"/>
  </w:style>
  <w:style w:type="paragraph" w:customStyle="1" w:styleId="F47EC2FE957A4871BD1A30E7FE67922D">
    <w:name w:val="F47EC2FE957A4871BD1A30E7FE679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DB8D2-CFB0-4E4E-A1A3-D25EE6B783AD}"/>
</file>

<file path=customXml/itemProps2.xml><?xml version="1.0" encoding="utf-8"?>
<ds:datastoreItem xmlns:ds="http://schemas.openxmlformats.org/officeDocument/2006/customXml" ds:itemID="{04CA505E-6CC8-403B-9067-544606C46C7D}"/>
</file>

<file path=customXml/itemProps3.xml><?xml version="1.0" encoding="utf-8"?>
<ds:datastoreItem xmlns:ds="http://schemas.openxmlformats.org/officeDocument/2006/customXml" ds:itemID="{542BB3F2-6473-4922-85D9-1211A8D7694F}"/>
</file>

<file path=docProps/app.xml><?xml version="1.0" encoding="utf-8"?>
<Properties xmlns="http://schemas.openxmlformats.org/officeDocument/2006/extended-properties" xmlns:vt="http://schemas.openxmlformats.org/officeDocument/2006/docPropsVTypes">
  <Template>Normal</Template>
  <TotalTime>121</TotalTime>
  <Pages>6</Pages>
  <Words>1319</Words>
  <Characters>8157</Characters>
  <Application>Microsoft Office Word</Application>
  <DocSecurity>0</DocSecurity>
  <Lines>209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99 Vårändringsbudget för 2021</vt:lpstr>
      <vt:lpstr>
      </vt:lpstr>
    </vt:vector>
  </TitlesOfParts>
  <Company>Sveriges riksdag</Company>
  <LinksUpToDate>false</LinksUpToDate>
  <CharactersWithSpaces>9381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