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4AA" w:rsidRPr="006234AA" w:rsidRDefault="006234AA">
      <w:pPr>
        <w:pStyle w:val="Frslagsrubrik"/>
      </w:pPr>
      <w:r w:rsidRPr="006234AA">
        <w:t>Förslag till riksdagsbeslut</w:t>
      </w:r>
    </w:p>
    <w:p w:rsidR="006234AA" w:rsidRPr="006234AA" w:rsidRDefault="006234AA">
      <w:pPr>
        <w:pStyle w:val="Hemstlatt"/>
      </w:pPr>
      <w:r w:rsidRPr="006234AA">
        <w:t>Riksdagen tillkännager för regeringen som sin mening vad som anförs i motionen om</w:t>
      </w:r>
      <w:r w:rsidRPr="006234AA">
        <w:rPr>
          <w:color w:val="000000"/>
          <w:szCs w:val="24"/>
        </w:rPr>
        <w:t xml:space="preserve"> avskaffande av bolagsstämmokravet för små privata aktiebolag.</w:t>
      </w:r>
    </w:p>
    <w:p w:rsidR="006234AA" w:rsidRPr="006234AA" w:rsidRDefault="006234AA">
      <w:pPr>
        <w:pStyle w:val="Rubrik1"/>
      </w:pPr>
      <w:r w:rsidRPr="006234AA">
        <w:t>Motivering</w:t>
      </w:r>
    </w:p>
    <w:p w:rsidR="006234AA" w:rsidRPr="006234AA" w:rsidRDefault="006234AA">
      <w:r w:rsidRPr="006234AA">
        <w:t>Vad beträffar aktiebolagets organisation präglas idag ABL av en stor del dispositiva regler. De dispositiva reglerna kännetecknas av att de syftar till att utgöra ett skydd för minoritetsaktieägare i bolaget.</w:t>
      </w:r>
      <w:r w:rsidRPr="006234AA">
        <w:rPr>
          <w:rStyle w:val="Fotnotsreferens"/>
          <w:szCs w:val="26"/>
        </w:rPr>
        <w:footnoteReference w:id="2"/>
      </w:r>
      <w:r w:rsidRPr="006234AA">
        <w:t xml:space="preserve"> Om samtliga aktieägare samtycker till ett beslut fyller regeln således ingen funktion och kan därför frånträdas.</w:t>
      </w:r>
    </w:p>
    <w:p w:rsidR="006234AA" w:rsidRPr="006234AA" w:rsidRDefault="006234AA">
      <w:pPr>
        <w:pStyle w:val="Normaltindrag"/>
      </w:pPr>
      <w:r w:rsidRPr="006234AA">
        <w:t xml:space="preserve">I ABL 7 kap. 1 </w:t>
      </w:r>
      <w:r w:rsidRPr="006234AA">
        <w:rPr>
          <w:rFonts w:ascii="Arial Narrow" w:hAnsi="Arial Narrow"/>
        </w:rPr>
        <w:t>§</w:t>
      </w:r>
      <w:r w:rsidRPr="006234AA">
        <w:t xml:space="preserve"> stadgas att aktieägarnas rätt skall utövas vid bolagsstä</w:t>
      </w:r>
      <w:r w:rsidRPr="006234AA">
        <w:t>m</w:t>
      </w:r>
      <w:r w:rsidRPr="006234AA">
        <w:t xml:space="preserve">ma och vidare i 7 kap. 10 </w:t>
      </w:r>
      <w:r w:rsidRPr="006234AA">
        <w:rPr>
          <w:rFonts w:ascii="Arial Narrow" w:hAnsi="Arial Narrow"/>
        </w:rPr>
        <w:t>§</w:t>
      </w:r>
      <w:r w:rsidRPr="006234AA">
        <w:t xml:space="preserve"> att sådan skall avhållas minst en gång årligen. Syftet bakom bolagsstämmoorganet är att aktieägarna skall kunna utöva en aktiv roll i bolaget.</w:t>
      </w:r>
      <w:r w:rsidRPr="006234AA">
        <w:rPr>
          <w:rStyle w:val="Fotnotsreferens"/>
          <w:szCs w:val="26"/>
        </w:rPr>
        <w:footnoteReference w:id="3"/>
      </w:r>
      <w:r w:rsidRPr="006234AA">
        <w:t xml:space="preserve"> I små aktiebolag är ofta aktieägarna direkt involverade i driften av bolaget och har genom detta en aktiv roll i bolaget. Bolagsstämm</w:t>
      </w:r>
      <w:r w:rsidRPr="006234AA">
        <w:t>o</w:t>
      </w:r>
      <w:r w:rsidRPr="006234AA">
        <w:t>bestämmelserna synes ta sikte på bolag med stor ägarspridning, där bolag</w:t>
      </w:r>
      <w:r w:rsidRPr="006234AA">
        <w:t>s</w:t>
      </w:r>
      <w:r w:rsidRPr="006234AA">
        <w:t>stämman är aktieägarens enda möjlighet att utöva en aktiv roll i bolaget. Gentemot små aktiebolag framstår därför ändamålsenligheten av bestämme</w:t>
      </w:r>
      <w:r w:rsidRPr="006234AA">
        <w:t>l</w:t>
      </w:r>
      <w:r w:rsidRPr="006234AA">
        <w:t>sen som begränsad. Regeringens försvar för upprätthållande av kravet har varit att beslutsfattande i bolaget på något sätt måste stadfästas.</w:t>
      </w:r>
      <w:r w:rsidRPr="006234AA">
        <w:rPr>
          <w:rStyle w:val="Fotnotsreferens"/>
          <w:szCs w:val="26"/>
        </w:rPr>
        <w:footnoteReference w:id="4"/>
      </w:r>
      <w:r w:rsidRPr="006234AA">
        <w:t xml:space="preserve"> Det förefaller i mina ögon som en ganska inkonsekvent hållning från regeringens sida. Detta </w:t>
      </w:r>
      <w:r w:rsidRPr="006234AA">
        <w:lastRenderedPageBreak/>
        <w:t>sedan man beträffande förslaget till de s.k. SPE-bolagens organisation inte upprätthållit något krav på bolagsstämma.</w:t>
      </w:r>
      <w:r w:rsidRPr="006234AA">
        <w:rPr>
          <w:rStyle w:val="Fotnotsreferens"/>
          <w:szCs w:val="26"/>
        </w:rPr>
        <w:footnoteReference w:id="5"/>
      </w:r>
    </w:p>
    <w:p w:rsidR="006234AA" w:rsidRPr="006234AA" w:rsidRDefault="006234AA">
      <w:pPr>
        <w:pStyle w:val="Normaltindrag"/>
      </w:pPr>
      <w:r w:rsidRPr="006234AA">
        <w:t>SPE-bolagen, vilka uppstått just för att vara en organisationsform som överensstämmer med små bolags organisationsbehov, förefaller i detta avs</w:t>
      </w:r>
      <w:r w:rsidRPr="006234AA">
        <w:t>e</w:t>
      </w:r>
      <w:r w:rsidRPr="006234AA">
        <w:t>ende vara betydligt mer ändamålsanpassade. Därav menar vi att bolagsstä</w:t>
      </w:r>
      <w:r w:rsidRPr="006234AA">
        <w:t>m</w:t>
      </w:r>
      <w:r w:rsidRPr="006234AA">
        <w:t>mans obligatorium för små aktiebolag borde inte heller ter sig nödvändig i ABL.</w:t>
      </w:r>
    </w:p>
    <w:p w:rsidR="006234AA" w:rsidRPr="006234AA" w:rsidRDefault="006234AA">
      <w:pPr>
        <w:pStyle w:val="Normaltindrag"/>
      </w:pPr>
      <w:r w:rsidRPr="006234AA">
        <w:t>I SOU 2009:34 försvaras bolagsstämmokravet med att aktieägarna kan samtycka till s.k. skrivbordsstämma innebärande att bolagsstämmobesluten fattas skriftligen genom att samtliga aktieägare skriver på ett stämmoprot</w:t>
      </w:r>
      <w:r w:rsidRPr="006234AA">
        <w:t>o</w:t>
      </w:r>
      <w:r w:rsidRPr="006234AA">
        <w:t>koll. Information om denna möjlighet ges ej explicit i lagen och utredaren föreslår ej heller att sådan skall införas. Istället skall denna information til</w:t>
      </w:r>
      <w:r w:rsidRPr="006234AA">
        <w:t>l</w:t>
      </w:r>
      <w:r w:rsidRPr="006234AA">
        <w:t>handahållas av Bolagsverket enligt förslaget. Därmed menar utredaren att bolagsstämmoinsitutet kan förenklas i så stor utsträckning att kravet inte län</w:t>
      </w:r>
      <w:r w:rsidRPr="006234AA">
        <w:t>g</w:t>
      </w:r>
      <w:r w:rsidRPr="006234AA">
        <w:t>re är ett problem.</w:t>
      </w:r>
      <w:r w:rsidRPr="006234AA">
        <w:rPr>
          <w:rStyle w:val="Fotnotsreferens"/>
          <w:szCs w:val="26"/>
        </w:rPr>
        <w:footnoteReference w:id="6"/>
      </w:r>
    </w:p>
    <w:p w:rsidR="006234AA" w:rsidRPr="006234AA" w:rsidRDefault="006234AA">
      <w:pPr>
        <w:pStyle w:val="Normaltindrag"/>
      </w:pPr>
      <w:r w:rsidRPr="006234AA">
        <w:t>I våra ögon är det ett problematiskt förhållningssätt till lagstiftningen att värja sig med att regeln i praktiken kan marginaliseras och därför inte vållar några problem. Om nu bolagsstämmokravet alltjämt måste finnas kvar för</w:t>
      </w:r>
      <w:r w:rsidRPr="006234AA">
        <w:t>e</w:t>
      </w:r>
      <w:r w:rsidRPr="006234AA">
        <w:t>faller det rimligt att möjligheten till ett skrivbordsstämmoförfarande tas in direkt i lagtexten så som skett i exempelvis finsk rätt.</w:t>
      </w:r>
      <w:r w:rsidRPr="006234AA">
        <w:rPr>
          <w:rStyle w:val="Fotnotsreferens"/>
          <w:szCs w:val="26"/>
        </w:rPr>
        <w:footnoteReference w:id="7"/>
      </w:r>
      <w:r w:rsidRPr="006234AA">
        <w:t xml:space="preserve"> Ett annat alternativ som kan tänkas ha fördelar är den franska regleringen av s.k. SARL-bolag</w:t>
      </w:r>
      <w:r w:rsidRPr="006234AA">
        <w:rPr>
          <w:rStyle w:val="Fotnotsreferens"/>
          <w:szCs w:val="26"/>
        </w:rPr>
        <w:footnoteReference w:id="8"/>
      </w:r>
      <w:r w:rsidRPr="006234AA">
        <w:t>. I fransk rätt ges uttryckligen möjligheten att införa bestämmelser om att stä</w:t>
      </w:r>
      <w:r w:rsidRPr="006234AA">
        <w:t>m</w:t>
      </w:r>
      <w:r w:rsidRPr="006234AA">
        <w:t>moförfarandet skall vara skriftligt i bolagsordningen.</w:t>
      </w:r>
      <w:r w:rsidRPr="006234AA">
        <w:rPr>
          <w:rStyle w:val="Fotnotsreferens"/>
          <w:szCs w:val="26"/>
        </w:rPr>
        <w:footnoteReference w:id="9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34AA">
        <w:trPr>
          <w:cantSplit/>
        </w:trPr>
        <w:tc>
          <w:tcPr>
            <w:tcW w:w="3046" w:type="dxa"/>
          </w:tcPr>
          <w:p w:rsidR="006234AA" w:rsidRPr="006234AA" w:rsidRDefault="006234AA">
            <w:pPr>
              <w:pStyle w:val="UnderskriftDatum"/>
              <w:spacing w:before="240"/>
            </w:pPr>
            <w:r w:rsidRPr="006234AA">
              <w:t>Stockholm den 26 oktober 2010</w:t>
            </w:r>
          </w:p>
        </w:tc>
        <w:tc>
          <w:tcPr>
            <w:tcW w:w="3047" w:type="dxa"/>
          </w:tcPr>
          <w:p w:rsidR="006234AA" w:rsidRPr="006234AA" w:rsidRDefault="006234AA">
            <w:pPr>
              <w:pStyle w:val="Underskrifter"/>
              <w:spacing w:before="240"/>
            </w:pPr>
          </w:p>
        </w:tc>
      </w:tr>
      <w:tr w:rsidR="00000000" w:rsidRPr="006234AA">
        <w:trPr>
          <w:cantSplit/>
        </w:trPr>
        <w:tc>
          <w:tcPr>
            <w:tcW w:w="3046" w:type="dxa"/>
          </w:tcPr>
          <w:p w:rsidR="006234AA" w:rsidRPr="006234AA" w:rsidRDefault="006234AA">
            <w:pPr>
              <w:pStyle w:val="Underskrifter"/>
            </w:pPr>
            <w:r w:rsidRPr="006234AA">
              <w:t>Carl-Oskar Bohlin (M)</w:t>
            </w:r>
          </w:p>
        </w:tc>
        <w:tc>
          <w:tcPr>
            <w:tcW w:w="3046" w:type="dxa"/>
          </w:tcPr>
          <w:p w:rsidR="006234AA" w:rsidRPr="006234AA" w:rsidRDefault="006234AA">
            <w:pPr>
              <w:pStyle w:val="Underskrifter"/>
            </w:pPr>
            <w:r w:rsidRPr="006234AA">
              <w:t>Erik Bengtzboe (M)</w:t>
            </w:r>
          </w:p>
        </w:tc>
      </w:tr>
    </w:tbl>
    <w:p w:rsidR="006234AA" w:rsidRPr="006234AA" w:rsidRDefault="006234AA">
      <w:pPr>
        <w:pStyle w:val="Normaltindrag"/>
      </w:pPr>
    </w:p>
    <w:sectPr w:rsidR="00000000" w:rsidRPr="00623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4AA" w:rsidRPr="006234AA" w:rsidRDefault="006234AA">
      <w:r w:rsidRPr="006234AA">
        <w:separator/>
      </w:r>
    </w:p>
  </w:endnote>
  <w:endnote w:type="continuationSeparator" w:id="0">
    <w:p w:rsidR="006234AA" w:rsidRPr="006234AA" w:rsidRDefault="006234AA">
      <w:r w:rsidRPr="006234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Sidfot"/>
    </w:pPr>
    <w:r w:rsidRPr="006234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3172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AA" w:rsidRDefault="006234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34AA" w:rsidRDefault="006234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Sidfot"/>
    </w:pPr>
    <w:r w:rsidRPr="006234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8535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AA" w:rsidRDefault="006234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4AA" w:rsidRDefault="006234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Sidfot"/>
    </w:pPr>
    <w:r w:rsidRPr="006234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6547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AA" w:rsidRDefault="006234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4AA" w:rsidRDefault="006234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4AA" w:rsidRPr="006234AA" w:rsidRDefault="006234AA">
      <w:pPr>
        <w:pStyle w:val="Sidfot"/>
      </w:pPr>
    </w:p>
  </w:footnote>
  <w:footnote w:type="continuationSeparator" w:id="0">
    <w:p w:rsidR="006234AA" w:rsidRPr="006234AA" w:rsidRDefault="006234AA">
      <w:pPr>
        <w:pStyle w:val="Sidfot"/>
      </w:pPr>
    </w:p>
  </w:footnote>
  <w:footnote w:type="continuationNotice" w:id="1">
    <w:p w:rsidR="006234AA" w:rsidRPr="006234AA" w:rsidRDefault="006234AA">
      <w:pPr>
        <w:pStyle w:val="Sidfot"/>
      </w:pPr>
    </w:p>
  </w:footnote>
  <w:footnote w:id="2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SOU 2009:34 s. </w:t>
      </w:r>
      <w:smartTag w:uri="urn:schemas-microsoft-com:office:smarttags" w:element="metricconverter">
        <w:smartTagPr>
          <w:attr w:name="ProductID" w:val="209 f"/>
        </w:smartTagPr>
        <w:r w:rsidRPr="006234AA">
          <w:rPr>
            <w:sz w:val="16"/>
            <w:szCs w:val="16"/>
          </w:rPr>
          <w:t>209 f</w:t>
        </w:r>
      </w:smartTag>
      <w:r w:rsidRPr="006234AA">
        <w:rPr>
          <w:sz w:val="16"/>
          <w:szCs w:val="16"/>
        </w:rPr>
        <w:t>.</w:t>
      </w:r>
    </w:p>
  </w:footnote>
  <w:footnote w:id="3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Prop. 2004/05:85 s. 291.</w:t>
      </w:r>
    </w:p>
  </w:footnote>
  <w:footnote w:id="4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SOU 2009:34 s. 208.</w:t>
      </w:r>
    </w:p>
  </w:footnote>
  <w:footnote w:id="5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Faktapromemoria 2007/08:FPM133 s. 2.</w:t>
      </w:r>
    </w:p>
  </w:footnote>
  <w:footnote w:id="6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SOU 2009:34 s. 208.</w:t>
      </w:r>
    </w:p>
  </w:footnote>
  <w:footnote w:id="7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5 kap. 1 § finska aktiebolagslagen (624/2006).  </w:t>
      </w:r>
    </w:p>
  </w:footnote>
  <w:footnote w:id="8">
    <w:p w:rsidR="006234AA" w:rsidRPr="006234AA" w:rsidRDefault="006234AA">
      <w:pPr>
        <w:pStyle w:val="Fotnotstext"/>
        <w:spacing w:before="0" w:line="200" w:lineRule="atLeast"/>
        <w:rPr>
          <w:sz w:val="16"/>
          <w:szCs w:val="16"/>
        </w:rPr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</w:t>
      </w:r>
      <w:r w:rsidRPr="006234AA">
        <w:rPr>
          <w:rFonts w:cs="Book Antiqua"/>
          <w:sz w:val="16"/>
          <w:szCs w:val="16"/>
        </w:rPr>
        <w:t>Société à responsabilité limitée.</w:t>
      </w:r>
    </w:p>
  </w:footnote>
  <w:footnote w:id="9">
    <w:p w:rsidR="006234AA" w:rsidRPr="006234AA" w:rsidRDefault="006234AA">
      <w:pPr>
        <w:pStyle w:val="Fotnotstext"/>
        <w:spacing w:before="0" w:line="200" w:lineRule="atLeast"/>
      </w:pPr>
      <w:r w:rsidRPr="006234AA">
        <w:rPr>
          <w:rStyle w:val="Fotnotsreferens"/>
          <w:sz w:val="16"/>
          <w:szCs w:val="16"/>
        </w:rPr>
        <w:footnoteRef/>
      </w:r>
      <w:r w:rsidRPr="006234AA">
        <w:rPr>
          <w:sz w:val="16"/>
          <w:szCs w:val="16"/>
        </w:rPr>
        <w:t xml:space="preserve"> SOU 1995:44 s. 115.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Sidhuvud"/>
    </w:pPr>
    <w:r w:rsidRPr="006234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16274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AA" w:rsidRDefault="006234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34AA" w:rsidRDefault="006234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Sidhuvud"/>
    </w:pPr>
    <w:r w:rsidRPr="006234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1680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AA" w:rsidRDefault="006234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34AA" w:rsidRDefault="006234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AA" w:rsidRPr="006234AA" w:rsidRDefault="006234AA">
    <w:pPr>
      <w:pStyle w:val="FSHNormal"/>
      <w:tabs>
        <w:tab w:val="right" w:pos="5840"/>
      </w:tabs>
    </w:pPr>
    <w:r w:rsidRPr="006234AA">
      <w:br/>
    </w:r>
    <w:r w:rsidRPr="006234AA">
      <w:fldChar w:fldCharType="begin" w:fldLock="1"/>
    </w:r>
    <w:r w:rsidRPr="006234AA">
      <w:instrText xml:space="preserve"> DOCPROPERTY</w:instrText>
    </w:r>
    <w:r w:rsidRPr="006234AA">
      <w:rPr>
        <w:sz w:val="18"/>
      </w:rPr>
      <w:instrText xml:space="preserve"> "YearUser" *\charformat </w:instrText>
    </w:r>
    <w:r w:rsidRPr="006234AA">
      <w:fldChar w:fldCharType="separate"/>
    </w:r>
    <w:r w:rsidRPr="006234AA">
      <w:t>2010/11</w:t>
    </w:r>
    <w:r w:rsidRPr="006234AA">
      <w:fldChar w:fldCharType="end"/>
    </w:r>
    <w:r w:rsidRPr="006234AA">
      <w:t xml:space="preserve"> </w:t>
    </w:r>
    <w:r w:rsidRPr="006234AA">
      <w:tab/>
      <w:t xml:space="preserve">mnr: </w:t>
    </w:r>
    <w:r w:rsidRPr="006234AA">
      <w:fldChar w:fldCharType="begin" w:fldLock="1"/>
    </w:r>
    <w:r w:rsidRPr="006234AA">
      <w:instrText xml:space="preserve"> DOCPROPERTY</w:instrText>
    </w:r>
    <w:r w:rsidRPr="006234AA">
      <w:rPr>
        <w:sz w:val="18"/>
      </w:rPr>
      <w:instrText xml:space="preserve"> "Motionsnummer" *\charformat </w:instrText>
    </w:r>
    <w:r w:rsidRPr="006234AA">
      <w:fldChar w:fldCharType="separate"/>
    </w:r>
    <w:r w:rsidRPr="006234AA">
      <w:t>C258</w:t>
    </w:r>
    <w:r w:rsidRPr="006234AA">
      <w:fldChar w:fldCharType="end"/>
    </w:r>
    <w:r w:rsidRPr="006234AA">
      <w:br/>
    </w:r>
    <w:r w:rsidRPr="006234AA">
      <w:fldChar w:fldCharType="begin" w:fldLock="1"/>
    </w:r>
    <w:r w:rsidRPr="006234AA">
      <w:instrText xml:space="preserve"> DOCPROPERTY</w:instrText>
    </w:r>
    <w:r w:rsidRPr="006234AA">
      <w:rPr>
        <w:sz w:val="18"/>
      </w:rPr>
      <w:instrText xml:space="preserve"> "Samling" *\charformat </w:instrText>
    </w:r>
    <w:r w:rsidRPr="006234AA">
      <w:fldChar w:fldCharType="end"/>
    </w:r>
    <w:r w:rsidRPr="006234AA">
      <w:tab/>
      <w:t xml:space="preserve">pnr: </w:t>
    </w:r>
    <w:r w:rsidRPr="006234AA">
      <w:fldChar w:fldCharType="begin" w:fldLock="1"/>
    </w:r>
    <w:r w:rsidRPr="006234AA">
      <w:instrText xml:space="preserve"> DOCPROPERTY</w:instrText>
    </w:r>
    <w:r w:rsidRPr="006234AA">
      <w:rPr>
        <w:sz w:val="18"/>
      </w:rPr>
      <w:instrText xml:space="preserve"> "Partinummer" *\charformat </w:instrText>
    </w:r>
    <w:r w:rsidRPr="006234AA">
      <w:fldChar w:fldCharType="separate"/>
    </w:r>
    <w:r w:rsidRPr="006234AA">
      <w:t>M1935</w:t>
    </w:r>
    <w:r w:rsidRPr="006234AA">
      <w:fldChar w:fldCharType="end"/>
    </w:r>
  </w:p>
  <w:p w:rsidR="006234AA" w:rsidRPr="006234AA" w:rsidRDefault="006234AA">
    <w:pPr>
      <w:pStyle w:val="FSHRub1"/>
    </w:pPr>
    <w:r w:rsidRPr="006234AA">
      <w:t>Motion till riksdagen</w:t>
    </w:r>
    <w:r w:rsidRPr="006234AA">
      <w:br/>
    </w:r>
    <w:r w:rsidRPr="006234AA">
      <w:fldChar w:fldCharType="begin" w:fldLock="1"/>
    </w:r>
    <w:r w:rsidRPr="006234AA">
      <w:instrText xml:space="preserve"> DOCPROPERTY "YearUser" *\charformat </w:instrText>
    </w:r>
    <w:r w:rsidRPr="006234AA">
      <w:fldChar w:fldCharType="separate"/>
    </w:r>
    <w:r w:rsidRPr="006234AA">
      <w:t>2010/11</w:t>
    </w:r>
    <w:r w:rsidRPr="006234AA">
      <w:fldChar w:fldCharType="end"/>
    </w:r>
    <w:r w:rsidRPr="006234AA">
      <w:t>:</w:t>
    </w:r>
    <w:r w:rsidRPr="006234AA">
      <w:fldChar w:fldCharType="begin" w:fldLock="1"/>
    </w:r>
    <w:r w:rsidRPr="006234AA">
      <w:instrText xml:space="preserve"> DOCPROPERTY "Motionsnummer" *\charformat </w:instrText>
    </w:r>
    <w:r w:rsidRPr="006234AA">
      <w:fldChar w:fldCharType="separate"/>
    </w:r>
    <w:r w:rsidRPr="006234AA">
      <w:t>C258</w:t>
    </w:r>
    <w:r w:rsidRPr="006234AA">
      <w:fldChar w:fldCharType="end"/>
    </w:r>
  </w:p>
  <w:p w:rsidR="006234AA" w:rsidRPr="006234AA" w:rsidRDefault="006234AA">
    <w:pPr>
      <w:pStyle w:val="FSHNormalS5"/>
    </w:pPr>
    <w:r w:rsidRPr="006234AA">
      <w:fldChar w:fldCharType="begin" w:fldLock="1"/>
    </w:r>
    <w:r w:rsidRPr="006234AA">
      <w:instrText xml:space="preserve"> DOCPROPERTY "MotionarText" *\charformat </w:instrText>
    </w:r>
    <w:r w:rsidRPr="006234AA">
      <w:fldChar w:fldCharType="separate"/>
    </w:r>
    <w:r w:rsidRPr="006234AA">
      <w:t>av Carl-Oskar Bohlin och Erik Bengtzboe (M)</w:t>
    </w:r>
    <w:r w:rsidRPr="006234AA">
      <w:fldChar w:fldCharType="end"/>
    </w:r>
    <w:r w:rsidRPr="006234AA">
      <w:br/>
    </w:r>
    <w:r w:rsidRPr="006234AA">
      <w:fldChar w:fldCharType="begin" w:fldLock="1"/>
    </w:r>
    <w:r w:rsidRPr="006234AA">
      <w:instrText xml:space="preserve"> DOCPROPERTY "SvarFrasKort" *\charformat </w:instrText>
    </w:r>
    <w:r w:rsidRPr="006234AA">
      <w:fldChar w:fldCharType="end"/>
    </w:r>
  </w:p>
  <w:p w:rsidR="006234AA" w:rsidRPr="006234AA" w:rsidRDefault="006234AA">
    <w:pPr>
      <w:pStyle w:val="FSHTitel"/>
    </w:pPr>
    <w:r w:rsidRPr="006234AA">
      <w:fldChar w:fldCharType="begin" w:fldLock="1"/>
    </w:r>
    <w:r w:rsidRPr="006234AA">
      <w:instrText xml:space="preserve"> DOCPROPERTY</w:instrText>
    </w:r>
    <w:r w:rsidRPr="006234AA">
      <w:rPr>
        <w:sz w:val="18"/>
      </w:rPr>
      <w:instrText xml:space="preserve"> "RubrikSvar" *\charformat </w:instrText>
    </w:r>
    <w:r w:rsidRPr="006234AA">
      <w:fldChar w:fldCharType="separate"/>
    </w:r>
    <w:r w:rsidRPr="006234AA">
      <w:t>Avskaffande av bolagsstämmokravet för små aktiebolag</w:t>
    </w:r>
    <w:r w:rsidRPr="006234AA">
      <w:fldChar w:fldCharType="end"/>
    </w:r>
  </w:p>
  <w:p w:rsidR="006234AA" w:rsidRPr="006234AA" w:rsidRDefault="006234AA">
    <w:pPr>
      <w:pStyle w:val="Normal00"/>
    </w:pPr>
  </w:p>
  <w:p w:rsidR="006234AA" w:rsidRPr="006234AA" w:rsidRDefault="006234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4172400">
    <w:abstractNumId w:val="3"/>
  </w:num>
  <w:num w:numId="2" w16cid:durableId="771975281">
    <w:abstractNumId w:val="2"/>
  </w:num>
  <w:num w:numId="3" w16cid:durableId="184756741">
    <w:abstractNumId w:val="1"/>
  </w:num>
  <w:num w:numId="4" w16cid:durableId="991254958">
    <w:abstractNumId w:val="0"/>
  </w:num>
  <w:num w:numId="5" w16cid:durableId="955258666">
    <w:abstractNumId w:val="7"/>
  </w:num>
  <w:num w:numId="6" w16cid:durableId="1539662941">
    <w:abstractNumId w:val="6"/>
  </w:num>
  <w:num w:numId="7" w16cid:durableId="149836562">
    <w:abstractNumId w:val="5"/>
  </w:num>
  <w:num w:numId="8" w16cid:durableId="514879561">
    <w:abstractNumId w:val="4"/>
  </w:num>
  <w:num w:numId="9" w16cid:durableId="1722097288">
    <w:abstractNumId w:val="8"/>
  </w:num>
  <w:num w:numId="10" w16cid:durableId="1898936653">
    <w:abstractNumId w:val="9"/>
  </w:num>
  <w:num w:numId="11" w16cid:durableId="1452171086">
    <w:abstractNumId w:val="10"/>
  </w:num>
  <w:num w:numId="12" w16cid:durableId="145971654">
    <w:abstractNumId w:val="13"/>
  </w:num>
  <w:num w:numId="13" w16cid:durableId="1539927432">
    <w:abstractNumId w:val="15"/>
  </w:num>
  <w:num w:numId="14" w16cid:durableId="1125732984">
    <w:abstractNumId w:val="16"/>
  </w:num>
  <w:num w:numId="15" w16cid:durableId="90903592">
    <w:abstractNumId w:val="11"/>
  </w:num>
  <w:num w:numId="16" w16cid:durableId="2092966548">
    <w:abstractNumId w:val="18"/>
  </w:num>
  <w:num w:numId="17" w16cid:durableId="810445444">
    <w:abstractNumId w:val="17"/>
  </w:num>
  <w:num w:numId="18" w16cid:durableId="274677918">
    <w:abstractNumId w:val="14"/>
  </w:num>
  <w:num w:numId="19" w16cid:durableId="615138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E119DC42-C8C8-4AF2-B456-B99CA87B6C98},{98C43398-08DC-47F1-A313-AC3F942DAC04}"/>
  </w:docVars>
  <w:rsids>
    <w:rsidRoot w:val="00A074E9"/>
    <w:rsid w:val="006234AA"/>
    <w:rsid w:val="00A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EECB1B6-485C-48A0-B054-CE62B650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link w:val="FotnotstextChar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tnotstextChar">
    <w:name w:val="Fotnotstext Char"/>
    <w:basedOn w:val="Standardstycketeckensnitt"/>
    <w:link w:val="Fotnotstext"/>
    <w:semiHidden/>
    <w:locked/>
    <w:rPr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2545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m1935</vt:lpstr>
    </vt:vector>
  </TitlesOfParts>
  <Company>Riksdagen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m1935</dc:title>
  <dc:subject>m1935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2010-12-01T08:57:00Z</cp:lastPrinted>
  <dcterms:created xsi:type="dcterms:W3CDTF">2025-12-18T00:29:00Z</dcterms:created>
  <dcterms:modified xsi:type="dcterms:W3CDTF">2025-12-18T00:29:00Z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LM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Avskaffande av bolagsstämmokravet för små aktiebolag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bolagsstämmokravet för små aktiebolag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Carl-Oskar Bohlin och Erik Bengtzboe (M)</vt:lpwstr>
  </property>
  <property fmtid="{D5CDD505-2E9C-101B-9397-08002B2CF9AE}" pid="26" name="MotionarLista">
    <vt:lpwstr>Bohlin, Carl-Oskar (M)\Bengtzboe, Erik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Carl-Oskar Bohlin (M), Erik Bengtzboe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20102011000000000109000019350069</vt:lpwstr>
  </property>
  <property fmtid="{D5CDD505-2E9C-101B-9397-08002B2CF9AE}" pid="47" name="datum">
    <vt:lpwstr>101026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20102011000000000109000019350069</vt:lpwstr>
  </property>
  <property fmtid="{D5CDD505-2E9C-101B-9397-08002B2CF9AE}" pid="50" name="nummer">
    <vt:lpwstr>258</vt:lpwstr>
  </property>
  <property fmtid="{D5CDD505-2E9C-101B-9397-08002B2CF9AE}" pid="51" name="utskottsbeteckning">
    <vt:lpwstr>C</vt:lpwstr>
  </property>
  <property fmtid="{D5CDD505-2E9C-101B-9397-08002B2CF9AE}" pid="52" name="GlobalUID">
    <vt:lpwstr>{8F4E9F5D-1E82-4958-9485-23B150162062}</vt:lpwstr>
  </property>
  <property fmtid="{D5CDD505-2E9C-101B-9397-08002B2CF9AE}" pid="53" name="Överföringar">
    <vt:i4>0</vt:i4>
  </property>
  <property fmtid="{D5CDD505-2E9C-101B-9397-08002B2CF9AE}" pid="54" name="Checksum">
    <vt:lpwstr>*1003623209095*</vt:lpwstr>
  </property>
  <property fmtid="{D5CDD505-2E9C-101B-9397-08002B2CF9AE}" pid="55" name="skuggnummer">
    <vt:lpwstr>1075</vt:lpwstr>
  </property>
  <property fmtid="{D5CDD505-2E9C-101B-9397-08002B2CF9AE}" pid="56" name="urixVersion">
    <vt:lpwstr>4.3.2.0</vt:lpwstr>
  </property>
  <property fmtid="{D5CDD505-2E9C-101B-9397-08002B2CF9AE}" pid="57" name="urixOrigin">
    <vt:lpwstr>101201 09:57:09.775</vt:lpwstr>
  </property>
  <property fmtid="{D5CDD505-2E9C-101B-9397-08002B2CF9AE}" pid="58" name="urixGuid">
    <vt:lpwstr>{35207C94-BEA2-4779-98DB-480D23D61F6A}</vt:lpwstr>
  </property>
</Properties>
</file>