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13601">
        <w:tblPrEx>
          <w:tblCellMar>
            <w:top w:w="0" w:type="dxa"/>
            <w:bottom w:w="0" w:type="dxa"/>
          </w:tblCellMar>
        </w:tblPrEx>
        <w:tc>
          <w:tcPr>
            <w:tcW w:w="2268" w:type="dxa"/>
          </w:tcPr>
          <w:p w:rsidR="006E4E11" w:rsidRPr="00B1360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13601" w:rsidRDefault="006E4E11" w:rsidP="007242A3">
            <w:pPr>
              <w:framePr w:w="5035" w:h="1644" w:wrap="notBeside" w:vAnchor="page" w:hAnchor="page" w:x="6573" w:y="721"/>
              <w:rPr>
                <w:rFonts w:ascii="TradeGothic" w:hAnsi="TradeGothic"/>
                <w:i/>
                <w:sz w:val="18"/>
              </w:rPr>
            </w:pPr>
          </w:p>
        </w:tc>
      </w:tr>
      <w:tr w:rsidR="006E4E11" w:rsidRPr="00B13601">
        <w:tblPrEx>
          <w:tblCellMar>
            <w:top w:w="0" w:type="dxa"/>
            <w:bottom w:w="0" w:type="dxa"/>
          </w:tblCellMar>
        </w:tblPrEx>
        <w:tc>
          <w:tcPr>
            <w:tcW w:w="2268" w:type="dxa"/>
          </w:tcPr>
          <w:p w:rsidR="006E4E11" w:rsidRPr="00B13601" w:rsidRDefault="00F21E40" w:rsidP="007242A3">
            <w:pPr>
              <w:framePr w:w="5035" w:h="1644" w:wrap="notBeside" w:vAnchor="page" w:hAnchor="page" w:x="6573" w:y="721"/>
              <w:rPr>
                <w:rFonts w:ascii="TradeGothic" w:hAnsi="TradeGothic"/>
                <w:b/>
                <w:sz w:val="20"/>
              </w:rPr>
            </w:pPr>
            <w:r w:rsidRPr="00B13601">
              <w:rPr>
                <w:rFonts w:ascii="TradeGothic" w:hAnsi="TradeGothic"/>
                <w:b/>
                <w:sz w:val="20"/>
              </w:rPr>
              <w:t>Kommenterad dagordning Konkurrenskraftsråde</w:t>
            </w:r>
            <w:r w:rsidR="005154C0" w:rsidRPr="00B13601">
              <w:rPr>
                <w:rFonts w:ascii="TradeGothic" w:hAnsi="TradeGothic"/>
                <w:b/>
                <w:sz w:val="20"/>
              </w:rPr>
              <w:t>t</w:t>
            </w:r>
          </w:p>
        </w:tc>
        <w:tc>
          <w:tcPr>
            <w:tcW w:w="2999" w:type="dxa"/>
            <w:gridSpan w:val="2"/>
          </w:tcPr>
          <w:p w:rsidR="006E4E11" w:rsidRPr="00B13601" w:rsidRDefault="006E4E11" w:rsidP="007242A3">
            <w:pPr>
              <w:framePr w:w="5035" w:h="1644" w:wrap="notBeside" w:vAnchor="page" w:hAnchor="page" w:x="6573" w:y="721"/>
              <w:rPr>
                <w:rFonts w:ascii="TradeGothic" w:hAnsi="TradeGothic"/>
                <w:b/>
                <w:sz w:val="22"/>
              </w:rPr>
            </w:pPr>
          </w:p>
        </w:tc>
      </w:tr>
      <w:tr w:rsidR="006E4E11" w:rsidRPr="00B13601">
        <w:tblPrEx>
          <w:tblCellMar>
            <w:top w:w="0" w:type="dxa"/>
            <w:bottom w:w="0" w:type="dxa"/>
          </w:tblCellMar>
        </w:tblPrEx>
        <w:tc>
          <w:tcPr>
            <w:tcW w:w="3402" w:type="dxa"/>
            <w:gridSpan w:val="2"/>
          </w:tcPr>
          <w:p w:rsidR="006E4E11" w:rsidRPr="00B13601" w:rsidRDefault="00F21E40" w:rsidP="007242A3">
            <w:pPr>
              <w:framePr w:w="5035" w:h="1644" w:wrap="notBeside" w:vAnchor="page" w:hAnchor="page" w:x="6573" w:y="721"/>
            </w:pPr>
            <w:r w:rsidRPr="00B13601">
              <w:t xml:space="preserve">inför samråd med EU-nämnden </w:t>
            </w:r>
            <w:r w:rsidR="00CB38EB" w:rsidRPr="00B13601">
              <w:t>3</w:t>
            </w:r>
            <w:r w:rsidRPr="00B13601">
              <w:t xml:space="preserve"> </w:t>
            </w:r>
            <w:r w:rsidR="00CB38EB" w:rsidRPr="00B13601">
              <w:t>december</w:t>
            </w:r>
            <w:r w:rsidR="00A32687" w:rsidRPr="00B13601">
              <w:t xml:space="preserve"> </w:t>
            </w:r>
            <w:r w:rsidRPr="00B13601">
              <w:t>2010</w:t>
            </w:r>
          </w:p>
        </w:tc>
        <w:tc>
          <w:tcPr>
            <w:tcW w:w="1865" w:type="dxa"/>
          </w:tcPr>
          <w:p w:rsidR="006E4E11" w:rsidRPr="00B13601" w:rsidRDefault="006E4E11" w:rsidP="007242A3">
            <w:pPr>
              <w:framePr w:w="5035" w:h="1644" w:wrap="notBeside" w:vAnchor="page" w:hAnchor="page" w:x="6573" w:y="721"/>
            </w:pPr>
          </w:p>
        </w:tc>
      </w:tr>
      <w:tr w:rsidR="006E4E11" w:rsidRPr="00B13601">
        <w:tblPrEx>
          <w:tblCellMar>
            <w:top w:w="0" w:type="dxa"/>
            <w:bottom w:w="0" w:type="dxa"/>
          </w:tblCellMar>
        </w:tblPrEx>
        <w:tc>
          <w:tcPr>
            <w:tcW w:w="2268" w:type="dxa"/>
          </w:tcPr>
          <w:p w:rsidR="006E4E11" w:rsidRPr="00B13601" w:rsidRDefault="00A67166" w:rsidP="007242A3">
            <w:pPr>
              <w:framePr w:w="5035" w:h="1644" w:wrap="notBeside" w:vAnchor="page" w:hAnchor="page" w:x="6573" w:y="721"/>
            </w:pPr>
            <w:r w:rsidRPr="00B13601">
              <w:t>2010-</w:t>
            </w:r>
            <w:r w:rsidR="00CB38EB" w:rsidRPr="00B13601">
              <w:t>11</w:t>
            </w:r>
            <w:r w:rsidRPr="00B13601">
              <w:t>-</w:t>
            </w:r>
            <w:r w:rsidR="00CB38EB" w:rsidRPr="00B13601">
              <w:t>2</w:t>
            </w:r>
            <w:r w:rsidR="005154C0" w:rsidRPr="00B13601">
              <w:t>9</w:t>
            </w:r>
          </w:p>
        </w:tc>
        <w:tc>
          <w:tcPr>
            <w:tcW w:w="2999" w:type="dxa"/>
            <w:gridSpan w:val="2"/>
          </w:tcPr>
          <w:p w:rsidR="006E4E11" w:rsidRPr="00B13601" w:rsidRDefault="006E4E11" w:rsidP="007242A3">
            <w:pPr>
              <w:framePr w:w="5035" w:h="1644" w:wrap="notBeside" w:vAnchor="page" w:hAnchor="page" w:x="6573" w:y="721"/>
            </w:pPr>
          </w:p>
        </w:tc>
      </w:tr>
      <w:tr w:rsidR="006E4E11" w:rsidRPr="00B13601">
        <w:tblPrEx>
          <w:tblCellMar>
            <w:top w:w="0" w:type="dxa"/>
            <w:bottom w:w="0" w:type="dxa"/>
          </w:tblCellMar>
        </w:tblPrEx>
        <w:tc>
          <w:tcPr>
            <w:tcW w:w="2268" w:type="dxa"/>
          </w:tcPr>
          <w:p w:rsidR="006E4E11" w:rsidRPr="00B13601" w:rsidRDefault="006E4E11" w:rsidP="007242A3">
            <w:pPr>
              <w:framePr w:w="5035" w:h="1644" w:wrap="notBeside" w:vAnchor="page" w:hAnchor="page" w:x="6573" w:y="721"/>
            </w:pPr>
          </w:p>
        </w:tc>
        <w:tc>
          <w:tcPr>
            <w:tcW w:w="2999" w:type="dxa"/>
            <w:gridSpan w:val="2"/>
          </w:tcPr>
          <w:p w:rsidR="006E4E11" w:rsidRPr="00B1360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13601">
        <w:tblPrEx>
          <w:tblCellMar>
            <w:top w:w="0" w:type="dxa"/>
            <w:bottom w:w="0" w:type="dxa"/>
          </w:tblCellMar>
        </w:tblPrEx>
        <w:trPr>
          <w:trHeight w:val="284"/>
        </w:trPr>
        <w:tc>
          <w:tcPr>
            <w:tcW w:w="4911" w:type="dxa"/>
          </w:tcPr>
          <w:p w:rsidR="006E4E11" w:rsidRPr="00B13601" w:rsidRDefault="00F21E40">
            <w:pPr>
              <w:pStyle w:val="Avsndare"/>
              <w:framePr w:h="2483" w:wrap="notBeside" w:x="1504"/>
              <w:rPr>
                <w:b/>
                <w:i w:val="0"/>
                <w:sz w:val="22"/>
              </w:rPr>
            </w:pPr>
            <w:r w:rsidRPr="00B13601">
              <w:rPr>
                <w:b/>
                <w:i w:val="0"/>
                <w:sz w:val="22"/>
              </w:rPr>
              <w:t>Utrikesdepartementet</w:t>
            </w:r>
          </w:p>
          <w:p w:rsidR="002104E6" w:rsidRPr="00B13601" w:rsidRDefault="002104E6">
            <w:pPr>
              <w:pStyle w:val="Avsndare"/>
              <w:framePr w:h="2483" w:wrap="notBeside" w:x="1504"/>
              <w:rPr>
                <w:b/>
                <w:i w:val="0"/>
                <w:sz w:val="22"/>
              </w:rPr>
            </w:pPr>
          </w:p>
        </w:tc>
      </w:tr>
      <w:tr w:rsidR="006E4E11" w:rsidRPr="00B13601">
        <w:tblPrEx>
          <w:tblCellMar>
            <w:top w:w="0" w:type="dxa"/>
            <w:bottom w:w="0" w:type="dxa"/>
          </w:tblCellMar>
        </w:tblPrEx>
        <w:trPr>
          <w:trHeight w:val="284"/>
        </w:trPr>
        <w:tc>
          <w:tcPr>
            <w:tcW w:w="4911" w:type="dxa"/>
          </w:tcPr>
          <w:p w:rsidR="006E4E11" w:rsidRPr="00B13601" w:rsidRDefault="006E4E11">
            <w:pPr>
              <w:pStyle w:val="Avsndare"/>
              <w:framePr w:h="2483" w:wrap="notBeside" w:x="1504"/>
              <w:rPr>
                <w:bCs/>
                <w:iCs/>
              </w:rPr>
            </w:pPr>
          </w:p>
        </w:tc>
      </w:tr>
      <w:tr w:rsidR="006E4E11" w:rsidRPr="00B13601">
        <w:tblPrEx>
          <w:tblCellMar>
            <w:top w:w="0" w:type="dxa"/>
            <w:bottom w:w="0" w:type="dxa"/>
          </w:tblCellMar>
        </w:tblPrEx>
        <w:trPr>
          <w:trHeight w:val="284"/>
        </w:trPr>
        <w:tc>
          <w:tcPr>
            <w:tcW w:w="4911" w:type="dxa"/>
          </w:tcPr>
          <w:p w:rsidR="006E4E11" w:rsidRPr="00B13601" w:rsidRDefault="006E4E11">
            <w:pPr>
              <w:pStyle w:val="Avsndare"/>
              <w:framePr w:h="2483" w:wrap="notBeside" w:x="1504"/>
              <w:rPr>
                <w:bCs/>
                <w:iCs/>
              </w:rPr>
            </w:pPr>
          </w:p>
        </w:tc>
      </w:tr>
      <w:tr w:rsidR="006E4E11" w:rsidRPr="00B13601">
        <w:tblPrEx>
          <w:tblCellMar>
            <w:top w:w="0" w:type="dxa"/>
            <w:bottom w:w="0" w:type="dxa"/>
          </w:tblCellMar>
        </w:tblPrEx>
        <w:trPr>
          <w:trHeight w:val="284"/>
        </w:trPr>
        <w:tc>
          <w:tcPr>
            <w:tcW w:w="4911" w:type="dxa"/>
          </w:tcPr>
          <w:p w:rsidR="006E4E11" w:rsidRPr="00B13601" w:rsidRDefault="006E4E11">
            <w:pPr>
              <w:pStyle w:val="Avsndare"/>
              <w:framePr w:h="2483" w:wrap="notBeside" w:x="1504"/>
              <w:rPr>
                <w:bCs/>
                <w:iCs/>
              </w:rPr>
            </w:pPr>
          </w:p>
        </w:tc>
      </w:tr>
      <w:tr w:rsidR="006E4E11" w:rsidRPr="00B13601">
        <w:tblPrEx>
          <w:tblCellMar>
            <w:top w:w="0" w:type="dxa"/>
            <w:bottom w:w="0" w:type="dxa"/>
          </w:tblCellMar>
        </w:tblPrEx>
        <w:trPr>
          <w:trHeight w:val="284"/>
        </w:trPr>
        <w:tc>
          <w:tcPr>
            <w:tcW w:w="4911" w:type="dxa"/>
          </w:tcPr>
          <w:p w:rsidR="006E4E11" w:rsidRPr="00B13601" w:rsidRDefault="006E4E11">
            <w:pPr>
              <w:pStyle w:val="Avsndare"/>
              <w:framePr w:h="2483" w:wrap="notBeside" w:x="1504"/>
              <w:rPr>
                <w:bCs/>
                <w:iCs/>
              </w:rPr>
            </w:pPr>
          </w:p>
        </w:tc>
      </w:tr>
      <w:tr w:rsidR="006E4E11" w:rsidRPr="00B13601">
        <w:tblPrEx>
          <w:tblCellMar>
            <w:top w:w="0" w:type="dxa"/>
            <w:bottom w:w="0" w:type="dxa"/>
          </w:tblCellMar>
        </w:tblPrEx>
        <w:trPr>
          <w:trHeight w:val="284"/>
        </w:trPr>
        <w:tc>
          <w:tcPr>
            <w:tcW w:w="4911" w:type="dxa"/>
          </w:tcPr>
          <w:p w:rsidR="006E4E11" w:rsidRPr="00B13601" w:rsidRDefault="006E4E11">
            <w:pPr>
              <w:pStyle w:val="Avsndare"/>
              <w:framePr w:h="2483" w:wrap="notBeside" w:x="1504"/>
              <w:rPr>
                <w:bCs/>
                <w:iCs/>
              </w:rPr>
            </w:pPr>
          </w:p>
        </w:tc>
      </w:tr>
      <w:tr w:rsidR="00F21E40" w:rsidRPr="00B13601">
        <w:tblPrEx>
          <w:tblCellMar>
            <w:top w:w="0" w:type="dxa"/>
            <w:bottom w:w="0" w:type="dxa"/>
          </w:tblCellMar>
        </w:tblPrEx>
        <w:trPr>
          <w:trHeight w:val="284"/>
        </w:trPr>
        <w:tc>
          <w:tcPr>
            <w:tcW w:w="4911" w:type="dxa"/>
          </w:tcPr>
          <w:p w:rsidR="00F21E40" w:rsidRPr="00B13601" w:rsidRDefault="00F21E40">
            <w:pPr>
              <w:pStyle w:val="Avsndare"/>
              <w:framePr w:h="2483" w:wrap="notBeside" w:x="1504"/>
              <w:rPr>
                <w:bCs/>
                <w:iCs/>
              </w:rPr>
            </w:pPr>
          </w:p>
        </w:tc>
      </w:tr>
    </w:tbl>
    <w:p w:rsidR="006E4E11" w:rsidRPr="00B13601" w:rsidRDefault="006E4E11">
      <w:pPr>
        <w:framePr w:w="4400" w:h="2523" w:wrap="notBeside" w:vAnchor="page" w:hAnchor="page" w:x="6453" w:y="2445"/>
        <w:ind w:left="142"/>
      </w:pPr>
    </w:p>
    <w:p w:rsidR="006E4E11" w:rsidRPr="00B13601" w:rsidRDefault="00CE5411" w:rsidP="00F21E40">
      <w:pPr>
        <w:pStyle w:val="RKrubrik"/>
        <w:pBdr>
          <w:bottom w:val="single" w:sz="4" w:space="1" w:color="000000"/>
        </w:pBdr>
        <w:spacing w:before="0" w:after="0"/>
        <w:rPr>
          <w:sz w:val="28"/>
          <w:szCs w:val="28"/>
        </w:rPr>
      </w:pPr>
      <w:r w:rsidRPr="00B13601">
        <w:rPr>
          <w:sz w:val="28"/>
          <w:szCs w:val="28"/>
        </w:rPr>
        <w:t>Kommenterad dagordning inför k</w:t>
      </w:r>
      <w:r w:rsidR="00F21E40" w:rsidRPr="00B13601">
        <w:rPr>
          <w:sz w:val="28"/>
          <w:szCs w:val="28"/>
        </w:rPr>
        <w:t xml:space="preserve">onkurrenskraftsrådet den </w:t>
      </w:r>
      <w:r w:rsidR="00524CCB" w:rsidRPr="00B13601">
        <w:rPr>
          <w:sz w:val="28"/>
          <w:szCs w:val="28"/>
        </w:rPr>
        <w:t>10 december</w:t>
      </w:r>
      <w:r w:rsidR="00F21E40" w:rsidRPr="00B13601">
        <w:rPr>
          <w:sz w:val="28"/>
          <w:szCs w:val="28"/>
        </w:rPr>
        <w:t xml:space="preserve"> – </w:t>
      </w:r>
      <w:r w:rsidRPr="00B13601">
        <w:rPr>
          <w:sz w:val="28"/>
          <w:szCs w:val="28"/>
        </w:rPr>
        <w:t>inför samråd med EU-nämnden 3 december</w:t>
      </w:r>
    </w:p>
    <w:p w:rsidR="00CE5411" w:rsidRPr="00B13601" w:rsidRDefault="00CE5411" w:rsidP="000B797D">
      <w:pPr>
        <w:pStyle w:val="RKnormal"/>
        <w:rPr>
          <w:szCs w:val="24"/>
        </w:rPr>
      </w:pPr>
    </w:p>
    <w:p w:rsidR="00CE5411" w:rsidRPr="00B13601" w:rsidRDefault="00CE5411" w:rsidP="000B797D">
      <w:pPr>
        <w:pStyle w:val="RKnormal"/>
        <w:rPr>
          <w:b/>
          <w:szCs w:val="24"/>
        </w:rPr>
      </w:pPr>
    </w:p>
    <w:p w:rsidR="0082645C" w:rsidRPr="00B13601" w:rsidRDefault="00C513CE" w:rsidP="000B797D">
      <w:pPr>
        <w:pStyle w:val="RKnormal"/>
        <w:rPr>
          <w:b/>
          <w:sz w:val="28"/>
          <w:szCs w:val="28"/>
        </w:rPr>
      </w:pPr>
      <w:r w:rsidRPr="00B13601">
        <w:rPr>
          <w:b/>
          <w:sz w:val="28"/>
          <w:szCs w:val="28"/>
        </w:rPr>
        <w:t>dp</w:t>
      </w:r>
      <w:r w:rsidR="00517881" w:rsidRPr="00B13601">
        <w:rPr>
          <w:b/>
          <w:sz w:val="28"/>
          <w:szCs w:val="28"/>
        </w:rPr>
        <w:t xml:space="preserve"> 3) </w:t>
      </w:r>
      <w:r w:rsidR="0082645C" w:rsidRPr="00B13601">
        <w:rPr>
          <w:b/>
          <w:sz w:val="28"/>
          <w:szCs w:val="28"/>
        </w:rPr>
        <w:t>Förslag till Europaparlamentets och rådets direktiv om konsumenträttigheter</w:t>
      </w:r>
    </w:p>
    <w:p w:rsidR="00E31F32" w:rsidRPr="00B13601" w:rsidRDefault="00E31F32" w:rsidP="000B797D">
      <w:pPr>
        <w:pStyle w:val="RKnormal"/>
        <w:rPr>
          <w:b/>
          <w:szCs w:val="24"/>
        </w:rPr>
      </w:pPr>
    </w:p>
    <w:p w:rsidR="0082645C" w:rsidRPr="00B13601" w:rsidRDefault="0082645C" w:rsidP="000B797D">
      <w:pPr>
        <w:pStyle w:val="RKnormal"/>
        <w:rPr>
          <w:szCs w:val="24"/>
        </w:rPr>
      </w:pPr>
      <w:r w:rsidRPr="00B13601">
        <w:rPr>
          <w:szCs w:val="24"/>
        </w:rPr>
        <w:t>– Riktlinjedebatt</w:t>
      </w:r>
    </w:p>
    <w:p w:rsidR="0082645C" w:rsidRPr="00B13601" w:rsidRDefault="0082645C" w:rsidP="000B797D">
      <w:pPr>
        <w:pStyle w:val="RKnormal"/>
        <w:rPr>
          <w:szCs w:val="24"/>
        </w:rPr>
      </w:pPr>
      <w:r w:rsidRPr="00B13601">
        <w:rPr>
          <w:szCs w:val="24"/>
        </w:rPr>
        <w:t>– Ev. Beslut om allmän inriktning</w:t>
      </w:r>
    </w:p>
    <w:p w:rsidR="00C513CE" w:rsidRPr="00B13601" w:rsidRDefault="00C513CE" w:rsidP="000B797D">
      <w:pPr>
        <w:pStyle w:val="RKnormal"/>
        <w:rPr>
          <w:szCs w:val="24"/>
        </w:rPr>
      </w:pPr>
      <w:r w:rsidRPr="00B13601">
        <w:rPr>
          <w:szCs w:val="24"/>
        </w:rPr>
        <w:t>16933/10 CONSOM 112 JUSTCIV 212 CODEC 1379</w:t>
      </w:r>
    </w:p>
    <w:p w:rsidR="004C0840" w:rsidRPr="00B13601" w:rsidRDefault="004C0840" w:rsidP="000B797D">
      <w:pPr>
        <w:pStyle w:val="RKnormal"/>
        <w:rPr>
          <w:b/>
          <w:szCs w:val="24"/>
        </w:rPr>
      </w:pPr>
      <w:r w:rsidRPr="00B13601">
        <w:rPr>
          <w:b/>
          <w:szCs w:val="24"/>
        </w:rPr>
        <w:t>Ansvar</w:t>
      </w:r>
      <w:r w:rsidR="00756116" w:rsidRPr="00B13601">
        <w:rPr>
          <w:b/>
          <w:szCs w:val="24"/>
        </w:rPr>
        <w:t>ig</w:t>
      </w:r>
      <w:r w:rsidRPr="00B13601">
        <w:rPr>
          <w:b/>
          <w:szCs w:val="24"/>
        </w:rPr>
        <w:t xml:space="preserve">: </w:t>
      </w:r>
      <w:r w:rsidR="00540CD6" w:rsidRPr="00B13601">
        <w:rPr>
          <w:b/>
          <w:szCs w:val="24"/>
        </w:rPr>
        <w:t xml:space="preserve">sr </w:t>
      </w:r>
      <w:r w:rsidRPr="00B13601">
        <w:rPr>
          <w:b/>
          <w:szCs w:val="24"/>
        </w:rPr>
        <w:t>Birgitta O</w:t>
      </w:r>
      <w:r w:rsidR="00921813" w:rsidRPr="00B13601">
        <w:rPr>
          <w:b/>
          <w:szCs w:val="24"/>
        </w:rPr>
        <w:t>h</w:t>
      </w:r>
      <w:r w:rsidRPr="00B13601">
        <w:rPr>
          <w:b/>
          <w:szCs w:val="24"/>
        </w:rPr>
        <w:t>lsson</w:t>
      </w:r>
    </w:p>
    <w:p w:rsidR="0082645C" w:rsidRPr="00B13601" w:rsidRDefault="0082645C" w:rsidP="000B797D">
      <w:pPr>
        <w:pStyle w:val="RKnormal"/>
        <w:rPr>
          <w:szCs w:val="24"/>
        </w:rPr>
      </w:pPr>
    </w:p>
    <w:p w:rsidR="0082645C" w:rsidRPr="00B13601" w:rsidRDefault="0082645C" w:rsidP="000B797D">
      <w:pPr>
        <w:pStyle w:val="RKnormal"/>
        <w:rPr>
          <w:szCs w:val="24"/>
        </w:rPr>
      </w:pPr>
      <w:r w:rsidRPr="00B13601">
        <w:rPr>
          <w:szCs w:val="24"/>
        </w:rPr>
        <w:t>Europeiska kommissionen presenterade i oktober 2008 ett förslag till ett direktiv om konsumenträttigheter. Förslaget, som är ett led i arbetet med att se över EU:s konsumentregelverk, innebär en revidering och en sammanslagning av de nuvarande direktiven om distansavtal, hemför</w:t>
      </w:r>
      <w:r w:rsidRPr="00B13601">
        <w:rPr>
          <w:szCs w:val="24"/>
        </w:rPr>
        <w:softHyphen/>
        <w:t xml:space="preserve">säljning, konsumentköp och oskäliga avtalsvillkor. Kommissionens förslag syftar till att fullharmonisera de delar av konsumentavtalsrätten som har relevans för den inre marknaden. Vid konkurrenskraftsrådets möte kommer eventuellt ett beslut om en allmän inriktning för direktivet att antas. Det är dock högst osäkert att det kommer att lyckas. Direktivförslaget behandlades senast av EU-nämnden inför </w:t>
      </w:r>
      <w:r w:rsidR="00773027" w:rsidRPr="00B13601">
        <w:rPr>
          <w:szCs w:val="24"/>
        </w:rPr>
        <w:t>K</w:t>
      </w:r>
      <w:r w:rsidRPr="00B13601">
        <w:rPr>
          <w:szCs w:val="24"/>
        </w:rPr>
        <w:t>onkurrenskraftsrådet 25-26 maj 2010.</w:t>
      </w:r>
    </w:p>
    <w:p w:rsidR="0082645C" w:rsidRPr="00B13601" w:rsidRDefault="0082645C" w:rsidP="000B797D">
      <w:pPr>
        <w:pStyle w:val="RKnormal"/>
        <w:rPr>
          <w:b/>
          <w:szCs w:val="24"/>
        </w:rPr>
      </w:pPr>
      <w:r w:rsidRPr="00B13601">
        <w:rPr>
          <w:szCs w:val="24"/>
          <w:u w:val="single"/>
        </w:rPr>
        <w:t>Förslag till svensk ståndpunkt:</w:t>
      </w:r>
      <w:r w:rsidRPr="00B13601">
        <w:rPr>
          <w:szCs w:val="24"/>
        </w:rPr>
        <w:t xml:space="preserve"> Regeringen förespråkar, som en utgångspunkt, fullharmonisering på en hög konsumentskydds</w:t>
      </w:r>
      <w:r w:rsidRPr="00B13601">
        <w:rPr>
          <w:szCs w:val="24"/>
        </w:rPr>
        <w:softHyphen/>
        <w:t>nivå.</w:t>
      </w:r>
    </w:p>
    <w:p w:rsidR="00773027" w:rsidRPr="00B13601" w:rsidRDefault="00773027" w:rsidP="000B797D">
      <w:pPr>
        <w:pStyle w:val="RKnormal"/>
        <w:rPr>
          <w:i/>
          <w:szCs w:val="24"/>
        </w:rPr>
      </w:pPr>
    </w:p>
    <w:p w:rsidR="0082645C" w:rsidRPr="00B13601" w:rsidRDefault="0082645C" w:rsidP="000B797D">
      <w:pPr>
        <w:pStyle w:val="RKnormal"/>
        <w:rPr>
          <w:szCs w:val="24"/>
        </w:rPr>
      </w:pPr>
      <w:r w:rsidRPr="00B13601">
        <w:rPr>
          <w:szCs w:val="24"/>
        </w:rPr>
        <w:t>Se även rådspromemoria</w:t>
      </w:r>
    </w:p>
    <w:p w:rsidR="0082645C" w:rsidRPr="00B13601" w:rsidRDefault="0082645C" w:rsidP="000B797D">
      <w:pPr>
        <w:pStyle w:val="RKnormal"/>
        <w:rPr>
          <w:b/>
          <w:szCs w:val="24"/>
        </w:rPr>
      </w:pPr>
    </w:p>
    <w:p w:rsidR="00E31F32" w:rsidRPr="00B13601" w:rsidRDefault="00E31F32" w:rsidP="000B797D">
      <w:pPr>
        <w:pStyle w:val="RKnormal"/>
        <w:rPr>
          <w:b/>
          <w:szCs w:val="24"/>
        </w:rPr>
      </w:pPr>
    </w:p>
    <w:p w:rsidR="00741E2A" w:rsidRPr="00B13601" w:rsidRDefault="00194FA5" w:rsidP="000B797D">
      <w:pPr>
        <w:pStyle w:val="RKnormal"/>
        <w:rPr>
          <w:b/>
          <w:sz w:val="28"/>
          <w:szCs w:val="28"/>
        </w:rPr>
      </w:pPr>
      <w:r w:rsidRPr="00B13601">
        <w:rPr>
          <w:b/>
          <w:sz w:val="28"/>
          <w:szCs w:val="28"/>
        </w:rPr>
        <w:t xml:space="preserve">dp </w:t>
      </w:r>
      <w:r w:rsidR="0021380F" w:rsidRPr="00B13601">
        <w:rPr>
          <w:b/>
          <w:sz w:val="28"/>
          <w:szCs w:val="28"/>
        </w:rPr>
        <w:t>6</w:t>
      </w:r>
      <w:r w:rsidRPr="00B13601">
        <w:rPr>
          <w:b/>
          <w:sz w:val="28"/>
          <w:szCs w:val="28"/>
        </w:rPr>
        <w:t xml:space="preserve">) </w:t>
      </w:r>
      <w:r w:rsidR="00773027" w:rsidRPr="00B13601">
        <w:rPr>
          <w:b/>
          <w:sz w:val="28"/>
          <w:szCs w:val="28"/>
        </w:rPr>
        <w:t>EU Patentet: Möjligheterna för fördjupat samarbete</w:t>
      </w:r>
    </w:p>
    <w:p w:rsidR="006B148D" w:rsidRPr="00B13601" w:rsidRDefault="006B148D" w:rsidP="000B797D">
      <w:pPr>
        <w:pStyle w:val="RKnormal"/>
        <w:rPr>
          <w:b/>
          <w:szCs w:val="24"/>
        </w:rPr>
      </w:pPr>
    </w:p>
    <w:p w:rsidR="00741E2A" w:rsidRPr="00B13601" w:rsidRDefault="00E31F32" w:rsidP="000B797D">
      <w:pPr>
        <w:pStyle w:val="RKnormal"/>
        <w:rPr>
          <w:szCs w:val="24"/>
        </w:rPr>
      </w:pPr>
      <w:r w:rsidRPr="00B13601">
        <w:rPr>
          <w:b/>
          <w:szCs w:val="24"/>
        </w:rPr>
        <w:t xml:space="preserve">- </w:t>
      </w:r>
      <w:r w:rsidR="00773027" w:rsidRPr="00B13601">
        <w:rPr>
          <w:szCs w:val="24"/>
        </w:rPr>
        <w:t>Diskussion</w:t>
      </w:r>
    </w:p>
    <w:p w:rsidR="00540CD6" w:rsidRPr="00B13601" w:rsidRDefault="00540CD6" w:rsidP="000B797D">
      <w:pPr>
        <w:pStyle w:val="RKnormal"/>
        <w:rPr>
          <w:b/>
          <w:szCs w:val="24"/>
        </w:rPr>
      </w:pPr>
      <w:r w:rsidRPr="00B13601">
        <w:rPr>
          <w:b/>
          <w:szCs w:val="24"/>
        </w:rPr>
        <w:t>Ansvar</w:t>
      </w:r>
      <w:r w:rsidR="00756116" w:rsidRPr="00B13601">
        <w:rPr>
          <w:b/>
          <w:szCs w:val="24"/>
        </w:rPr>
        <w:t>ig</w:t>
      </w:r>
      <w:r w:rsidRPr="00B13601">
        <w:rPr>
          <w:b/>
          <w:szCs w:val="24"/>
        </w:rPr>
        <w:t>: sr Ewa Björling</w:t>
      </w:r>
    </w:p>
    <w:p w:rsidR="00741E2A" w:rsidRPr="00B13601" w:rsidRDefault="00741E2A" w:rsidP="000B797D">
      <w:pPr>
        <w:pStyle w:val="RKnormal"/>
        <w:rPr>
          <w:i/>
          <w:color w:val="000000"/>
          <w:szCs w:val="24"/>
        </w:rPr>
      </w:pPr>
    </w:p>
    <w:p w:rsidR="00741E2A" w:rsidRPr="00B13601" w:rsidRDefault="00741E2A" w:rsidP="000B797D">
      <w:pPr>
        <w:pStyle w:val="RKnormal"/>
        <w:rPr>
          <w:szCs w:val="24"/>
        </w:rPr>
      </w:pPr>
      <w:r w:rsidRPr="00B13601">
        <w:rPr>
          <w:szCs w:val="24"/>
        </w:rPr>
        <w:lastRenderedPageBreak/>
        <w:t>Ett förbättrat patentsystem i Europa med ett EU-patent och en enhetlig europeisk patentdomstol är en av de viktigaste åtgärderna för att främja innovation på den inre marknaden. Under det svenska ordförandeskapet antogs en allmän inriktning om förslaget till EU-patentförordning. Frågan om EU-patentets över</w:t>
      </w:r>
      <w:r w:rsidRPr="00B13601">
        <w:rPr>
          <w:szCs w:val="24"/>
        </w:rPr>
        <w:softHyphen/>
        <w:t>sättnings</w:t>
      </w:r>
      <w:r w:rsidRPr="00B13601">
        <w:rPr>
          <w:szCs w:val="24"/>
        </w:rPr>
        <w:softHyphen/>
        <w:t>regim fanns inte med i den allmänna inriktningen, eftersom Lissabonfördraget innebar att det krävdes ett nytt förslag från kommissionen i denna del. Kommissionen presenterade sitt förslag till förordning för EU-patentets översättnings</w:t>
      </w:r>
      <w:r w:rsidRPr="00B13601">
        <w:rPr>
          <w:szCs w:val="24"/>
        </w:rPr>
        <w:softHyphen/>
        <w:t>regim i somras. En sådan förordning är nödvändig för att EU-patentförordningen ska träda i kraft. Förslaget överensstämmer i stort med det ursprungliga förslaget som kommissionen presenterade redan år 2000.</w:t>
      </w:r>
    </w:p>
    <w:p w:rsidR="00741E2A" w:rsidRPr="00B13601" w:rsidRDefault="00741E2A" w:rsidP="000B797D">
      <w:pPr>
        <w:pStyle w:val="RKnormal"/>
        <w:rPr>
          <w:szCs w:val="24"/>
        </w:rPr>
      </w:pPr>
    </w:p>
    <w:p w:rsidR="00741E2A" w:rsidRPr="00B13601" w:rsidRDefault="00741E2A" w:rsidP="000B797D">
      <w:pPr>
        <w:pStyle w:val="RKnormal"/>
        <w:rPr>
          <w:szCs w:val="24"/>
        </w:rPr>
      </w:pPr>
      <w:r w:rsidRPr="00B13601">
        <w:rPr>
          <w:szCs w:val="24"/>
        </w:rPr>
        <w:t xml:space="preserve">Förordningen reglerar vilka språk EU-patentet ska kunna beviljas på och under vilka förutsättningar översättningar av EU-patentet ska ske. Förslaget innebär att ett EU-patent ska kunna beviljas på något av de befintliga arbetsspråken vid det Europeiska patentverket  – engelska, tyska eller franska. Vidare innehåller förslaget bl.a. bestämmelser om att översättning av patentet ska kunna krävas vid händelse av tvist samt innebär att maskinöversättningar för informationsbruk ska kunna tillhandahållas. </w:t>
      </w:r>
    </w:p>
    <w:p w:rsidR="00741E2A" w:rsidRPr="00B13601" w:rsidRDefault="00741E2A" w:rsidP="000B797D">
      <w:pPr>
        <w:pStyle w:val="RKnormal"/>
        <w:rPr>
          <w:szCs w:val="24"/>
        </w:rPr>
      </w:pPr>
    </w:p>
    <w:p w:rsidR="00741E2A" w:rsidRPr="00B13601" w:rsidRDefault="00741E2A" w:rsidP="000B797D">
      <w:pPr>
        <w:pStyle w:val="RKnormal"/>
        <w:rPr>
          <w:szCs w:val="24"/>
        </w:rPr>
      </w:pPr>
      <w:r w:rsidRPr="00B13601">
        <w:rPr>
          <w:szCs w:val="24"/>
        </w:rPr>
        <w:t>Kommissionens förslag har förhandlats under hösten och ordförandeskapet har presenterat ett antal tillägg till detta i syfte att nå en kompromiss. Vid konkurrenskraftsrådet den 10 november stod det emellertid klart att rådet inte kunde anta ordförandeskapets förslag till politisk riktlinje som baserades på kommissionens förslag med ytterligare tillägg. Frågan om EU-patentets översättningsregim togs upp som en övrig fråga vid konkurrenskraftsrådet den 25 november och såväl kommissionen som rådets rättstjänst förklarade att de ser positivt på tillåtligheten av ett fördjupat samarbete. Vid konkurrenskraftsrådet den 10 december har ordföranden föreslagit en diskussion om vägen framåt för EU-patentet och möjligheten till ett fördjupat samarbete.</w:t>
      </w:r>
    </w:p>
    <w:p w:rsidR="00741E2A" w:rsidRPr="00B13601" w:rsidRDefault="00741E2A" w:rsidP="000B797D">
      <w:pPr>
        <w:pStyle w:val="RKnormal"/>
        <w:rPr>
          <w:szCs w:val="24"/>
        </w:rPr>
      </w:pPr>
    </w:p>
    <w:p w:rsidR="00741E2A" w:rsidRPr="00B13601" w:rsidRDefault="00741E2A" w:rsidP="000B797D">
      <w:pPr>
        <w:pStyle w:val="RKnormal"/>
        <w:rPr>
          <w:bCs/>
          <w:iCs/>
          <w:szCs w:val="24"/>
        </w:rPr>
      </w:pPr>
      <w:r w:rsidRPr="00B13601">
        <w:rPr>
          <w:szCs w:val="24"/>
          <w:u w:val="single"/>
        </w:rPr>
        <w:t>Förslag till svensk ståndpunkt</w:t>
      </w:r>
      <w:r w:rsidRPr="00B13601">
        <w:rPr>
          <w:szCs w:val="24"/>
        </w:rPr>
        <w:t xml:space="preserve">: Eftersom det har visat sig omöjligt att nå enhällighet på grundval av förslaget från kommissionen stödjer Sverige att arbete inleds mot ett fördjupat samarbete. Sverige beklagar att enhällighet inte kan nås, vilket stod klart redan den 10 november.  Sverige motsätter sig inte att detta faktum fastställs även den 10 december. Sverige ska ingå bland de nio MS som ska rikta en begäran till KOM om att presentera ett förslag till ett fördjupat samarbete. Sverige anser att det fördjupade samarbetet om ett enhetligt EU-patent ska baseras på kommissionens förslag till EU-patentförordningen, den allmänna inriktningen om förordningen och rådsslutsatserna till den del de avser EU-patentet som antogs av konkurrenskraftsrådet 4/12 2009 samt kommissionens förslag till förordning för EU-patentets översättningsregim, med sådana tillägg som har fått ett starkt stöd i rådet </w:t>
      </w:r>
    </w:p>
    <w:p w:rsidR="00741E2A" w:rsidRPr="00B13601" w:rsidRDefault="00741E2A" w:rsidP="000B797D">
      <w:pPr>
        <w:pStyle w:val="RKnormal"/>
        <w:rPr>
          <w:szCs w:val="24"/>
        </w:rPr>
      </w:pPr>
    </w:p>
    <w:p w:rsidR="00741E2A" w:rsidRPr="00B13601" w:rsidRDefault="00741E2A" w:rsidP="000B797D">
      <w:pPr>
        <w:pStyle w:val="RKnormal"/>
        <w:rPr>
          <w:szCs w:val="24"/>
        </w:rPr>
      </w:pPr>
      <w:r w:rsidRPr="00B13601">
        <w:rPr>
          <w:szCs w:val="24"/>
        </w:rPr>
        <w:t>Se vidare rådspromemoria</w:t>
      </w:r>
    </w:p>
    <w:p w:rsidR="0082645C" w:rsidRPr="00B13601" w:rsidRDefault="0082645C" w:rsidP="000B797D">
      <w:pPr>
        <w:pStyle w:val="RKnormal"/>
        <w:rPr>
          <w:b/>
          <w:szCs w:val="24"/>
        </w:rPr>
      </w:pPr>
    </w:p>
    <w:p w:rsidR="00741E2A" w:rsidRPr="00B13601" w:rsidRDefault="00741E2A" w:rsidP="000B797D">
      <w:pPr>
        <w:pStyle w:val="RKnormal"/>
        <w:rPr>
          <w:b/>
          <w:szCs w:val="24"/>
        </w:rPr>
      </w:pPr>
    </w:p>
    <w:p w:rsidR="00012BBB" w:rsidRPr="00B13601" w:rsidRDefault="004D042D" w:rsidP="000B797D">
      <w:pPr>
        <w:pStyle w:val="RKnormal"/>
        <w:rPr>
          <w:b/>
          <w:sz w:val="28"/>
          <w:szCs w:val="28"/>
        </w:rPr>
      </w:pPr>
      <w:r w:rsidRPr="00B13601">
        <w:rPr>
          <w:b/>
          <w:sz w:val="28"/>
          <w:szCs w:val="28"/>
        </w:rPr>
        <w:t>dp 7</w:t>
      </w:r>
      <w:r w:rsidR="00986D9F" w:rsidRPr="00B13601">
        <w:rPr>
          <w:b/>
          <w:sz w:val="28"/>
          <w:szCs w:val="28"/>
        </w:rPr>
        <w:t>)</w:t>
      </w:r>
      <w:r w:rsidR="00012BBB" w:rsidRPr="00B13601">
        <w:rPr>
          <w:b/>
          <w:sz w:val="28"/>
          <w:szCs w:val="28"/>
        </w:rPr>
        <w:t xml:space="preserve"> På väg mot en inre marknadsakt för en verkligt konkurrenskraftig social marknadsekonomi</w:t>
      </w:r>
    </w:p>
    <w:p w:rsidR="006B148D" w:rsidRPr="00B13601" w:rsidRDefault="006B148D" w:rsidP="000B797D">
      <w:pPr>
        <w:pStyle w:val="RKnormal"/>
        <w:rPr>
          <w:i/>
          <w:szCs w:val="24"/>
        </w:rPr>
      </w:pPr>
    </w:p>
    <w:p w:rsidR="00012BBB" w:rsidRPr="00B13601" w:rsidRDefault="00012BBB" w:rsidP="000B797D">
      <w:pPr>
        <w:pStyle w:val="RKnormal"/>
        <w:rPr>
          <w:szCs w:val="24"/>
        </w:rPr>
      </w:pPr>
      <w:r w:rsidRPr="00B13601">
        <w:rPr>
          <w:szCs w:val="24"/>
        </w:rPr>
        <w:t xml:space="preserve">- Diskussion </w:t>
      </w:r>
    </w:p>
    <w:p w:rsidR="00012BBB" w:rsidRPr="00B13601" w:rsidRDefault="00012BBB" w:rsidP="000B797D">
      <w:pPr>
        <w:pStyle w:val="RKnormal"/>
        <w:rPr>
          <w:szCs w:val="24"/>
        </w:rPr>
      </w:pPr>
      <w:r w:rsidRPr="00B13601">
        <w:rPr>
          <w:szCs w:val="24"/>
        </w:rPr>
        <w:t xml:space="preserve">- Antagande av rådsslutsatser </w:t>
      </w:r>
    </w:p>
    <w:p w:rsidR="00012BBB" w:rsidRPr="00B13601" w:rsidRDefault="00012BBB" w:rsidP="000B797D">
      <w:pPr>
        <w:pStyle w:val="RKnormal"/>
        <w:rPr>
          <w:szCs w:val="24"/>
        </w:rPr>
      </w:pPr>
      <w:r w:rsidRPr="00B13601">
        <w:rPr>
          <w:szCs w:val="24"/>
        </w:rPr>
        <w:t xml:space="preserve">Dokument: dok. 13977/10 COMPET 252 MI 325 SOC 572 ENT 119 CONSOM 79 POLGEN 136 FIN 408 </w:t>
      </w:r>
    </w:p>
    <w:p w:rsidR="009A00DD" w:rsidRPr="00B13601" w:rsidRDefault="009A00DD" w:rsidP="000B797D">
      <w:pPr>
        <w:pStyle w:val="RKnormal"/>
        <w:rPr>
          <w:b/>
          <w:szCs w:val="24"/>
        </w:rPr>
      </w:pPr>
      <w:r w:rsidRPr="00B13601">
        <w:rPr>
          <w:b/>
          <w:szCs w:val="24"/>
        </w:rPr>
        <w:t>Ansvar</w:t>
      </w:r>
      <w:r w:rsidR="00756116" w:rsidRPr="00B13601">
        <w:rPr>
          <w:b/>
          <w:szCs w:val="24"/>
        </w:rPr>
        <w:t>ig</w:t>
      </w:r>
      <w:r w:rsidRPr="00B13601">
        <w:rPr>
          <w:b/>
          <w:szCs w:val="24"/>
        </w:rPr>
        <w:t>: sr Ewa Björling</w:t>
      </w:r>
    </w:p>
    <w:p w:rsidR="00C513CE" w:rsidRPr="00B13601" w:rsidRDefault="00C513CE" w:rsidP="000B797D">
      <w:pPr>
        <w:pStyle w:val="RKnormal"/>
        <w:rPr>
          <w:i/>
          <w:szCs w:val="24"/>
        </w:rPr>
      </w:pPr>
    </w:p>
    <w:p w:rsidR="00012BBB" w:rsidRPr="00B13601" w:rsidRDefault="00012BBB" w:rsidP="000B797D">
      <w:pPr>
        <w:pStyle w:val="RKnormal"/>
        <w:rPr>
          <w:szCs w:val="24"/>
        </w:rPr>
      </w:pPr>
      <w:r w:rsidRPr="00B13601">
        <w:rPr>
          <w:szCs w:val="24"/>
        </w:rPr>
        <w:t xml:space="preserve">Frågan behandlades i EU-nämnden den 8 oktober, innan kommissionens meddelande presenterats. Näringsutskottet informerades den 25 november. </w:t>
      </w:r>
    </w:p>
    <w:p w:rsidR="00DB0CE8" w:rsidRPr="00B13601" w:rsidRDefault="00DB0CE8" w:rsidP="000B797D">
      <w:pPr>
        <w:pStyle w:val="RKnormal"/>
        <w:rPr>
          <w:szCs w:val="24"/>
        </w:rPr>
      </w:pPr>
    </w:p>
    <w:p w:rsidR="00012BBB" w:rsidRPr="00B13601" w:rsidRDefault="00012BBB" w:rsidP="000B797D">
      <w:pPr>
        <w:pStyle w:val="RKnormal"/>
        <w:rPr>
          <w:szCs w:val="24"/>
        </w:rPr>
      </w:pPr>
      <w:r w:rsidRPr="00B13601">
        <w:rPr>
          <w:szCs w:val="24"/>
        </w:rPr>
        <w:t xml:space="preserve">På basis av bl.a. professor Mario Montis rapport om </w:t>
      </w:r>
      <w:r w:rsidRPr="00B13601">
        <w:rPr>
          <w:i/>
          <w:szCs w:val="24"/>
        </w:rPr>
        <w:t>En ny strategi för den inre marknaden</w:t>
      </w:r>
      <w:r w:rsidRPr="00B13601">
        <w:rPr>
          <w:szCs w:val="24"/>
        </w:rPr>
        <w:t xml:space="preserve"> presenterade kommissionen den 27 oktober ett förslag, i form av ett meddelande (13977/10) : </w:t>
      </w:r>
      <w:r w:rsidRPr="00B13601">
        <w:rPr>
          <w:i/>
          <w:szCs w:val="24"/>
        </w:rPr>
        <w:t>”På väg mot en inre marknadsakt – att skapa en verkligt konkurrenskraftig social marknadsekonomi” (Towards a Single Market Act)</w:t>
      </w:r>
      <w:r w:rsidRPr="00B13601">
        <w:rPr>
          <w:szCs w:val="24"/>
        </w:rPr>
        <w:t xml:space="preserve">. Förslaget består av 50 åtgärder som syftar till en stark hållbar tillväxt, ökad tillit bland konsumenter och medborgare samt partnerskap, dialog och utvärdering för att förbättra den inre marknadens funktionssätt. Den inre marknadsakten utgör en oundgänglig del av Europa 2020-strategin och dess flaggskeppsinitiativ om </w:t>
      </w:r>
      <w:r w:rsidRPr="00B13601">
        <w:rPr>
          <w:i/>
          <w:szCs w:val="24"/>
        </w:rPr>
        <w:t>en smart och hållbar tillväxt för alla.</w:t>
      </w:r>
      <w:r w:rsidRPr="00B13601">
        <w:rPr>
          <w:szCs w:val="24"/>
        </w:rPr>
        <w:t xml:space="preserve">   </w:t>
      </w:r>
    </w:p>
    <w:p w:rsidR="00012BBB" w:rsidRPr="00B13601" w:rsidRDefault="00012BBB" w:rsidP="000B797D">
      <w:pPr>
        <w:pStyle w:val="RKnormal"/>
        <w:rPr>
          <w:szCs w:val="24"/>
        </w:rPr>
      </w:pPr>
    </w:p>
    <w:p w:rsidR="00012BBB" w:rsidRPr="00B13601" w:rsidRDefault="00012BBB" w:rsidP="000B797D">
      <w:pPr>
        <w:pStyle w:val="RKnormal"/>
        <w:rPr>
          <w:szCs w:val="24"/>
        </w:rPr>
      </w:pPr>
      <w:r w:rsidRPr="00B13601">
        <w:rPr>
          <w:szCs w:val="24"/>
        </w:rPr>
        <w:t xml:space="preserve">Kommissionens förslag är föremål för ett s.k. offentligt samråd under fyra månader (oktober 2010 – februari 2011), med möjlighet för  aktörer  i samtliga medlemsstater att lämna synpunkter och kommentarer. Därefter kommer den slutliga utformningen av förslaget  att antas för att åtgärder och lagstiftningsarbete ska kunna genomföras under perioden 2011-2012. </w:t>
      </w:r>
    </w:p>
    <w:p w:rsidR="00012BBB" w:rsidRPr="00B13601" w:rsidRDefault="00012BBB" w:rsidP="000B797D">
      <w:pPr>
        <w:pStyle w:val="RKnormal"/>
        <w:rPr>
          <w:szCs w:val="24"/>
        </w:rPr>
      </w:pPr>
    </w:p>
    <w:p w:rsidR="00012BBB" w:rsidRPr="00B13601" w:rsidRDefault="00012BBB" w:rsidP="000B797D">
      <w:pPr>
        <w:pStyle w:val="RKnormal"/>
        <w:rPr>
          <w:szCs w:val="24"/>
        </w:rPr>
      </w:pPr>
      <w:r w:rsidRPr="00B13601">
        <w:rPr>
          <w:szCs w:val="24"/>
        </w:rPr>
        <w:t xml:space="preserve">Parallellt med kommissionens offentliga samråd har ett remissförfarande inletts i Sverige för att inhämta kommentarer och synpunkter på meddelandet. Remissperioden avslutas den 31 januari, varefter ett svenskt svar sammanställs och skickas till kommissionen.  </w:t>
      </w:r>
    </w:p>
    <w:p w:rsidR="00012BBB" w:rsidRPr="00B13601" w:rsidRDefault="00012BBB" w:rsidP="000B797D">
      <w:pPr>
        <w:pStyle w:val="RKnormal"/>
        <w:rPr>
          <w:szCs w:val="24"/>
        </w:rPr>
      </w:pPr>
    </w:p>
    <w:p w:rsidR="00012BBB" w:rsidRPr="00B13601" w:rsidRDefault="00012BBB" w:rsidP="000B797D">
      <w:pPr>
        <w:pStyle w:val="RKnormal"/>
        <w:rPr>
          <w:szCs w:val="24"/>
        </w:rPr>
      </w:pPr>
      <w:r w:rsidRPr="00B13601">
        <w:rPr>
          <w:szCs w:val="24"/>
        </w:rPr>
        <w:t xml:space="preserve">Vid Konkurrenskraftsrådets möte förutses en diskussion och antagande av rådsslutsatser, som alltjämt förhandlas.  </w:t>
      </w:r>
    </w:p>
    <w:p w:rsidR="00DB0CE8" w:rsidRPr="00B13601" w:rsidRDefault="00DB0CE8" w:rsidP="000B797D">
      <w:pPr>
        <w:pStyle w:val="RKnormal"/>
        <w:rPr>
          <w:i/>
          <w:iCs/>
          <w:szCs w:val="24"/>
        </w:rPr>
      </w:pPr>
    </w:p>
    <w:p w:rsidR="00012BBB" w:rsidRPr="00B13601" w:rsidRDefault="00773027" w:rsidP="000B797D">
      <w:pPr>
        <w:pStyle w:val="RKnormal"/>
        <w:rPr>
          <w:iCs/>
          <w:szCs w:val="24"/>
          <w:u w:val="single"/>
        </w:rPr>
      </w:pPr>
      <w:r w:rsidRPr="00B13601">
        <w:rPr>
          <w:iCs/>
          <w:szCs w:val="24"/>
          <w:u w:val="single"/>
        </w:rPr>
        <w:t xml:space="preserve">Förslag till </w:t>
      </w:r>
      <w:r w:rsidR="00012BBB" w:rsidRPr="00B13601">
        <w:rPr>
          <w:iCs/>
          <w:szCs w:val="24"/>
          <w:u w:val="single"/>
        </w:rPr>
        <w:t>Svensk ståndpunkt</w:t>
      </w:r>
    </w:p>
    <w:p w:rsidR="00012BBB" w:rsidRPr="00B13601" w:rsidRDefault="00012BBB" w:rsidP="000B797D">
      <w:pPr>
        <w:pStyle w:val="RKnormal"/>
        <w:rPr>
          <w:szCs w:val="24"/>
        </w:rPr>
      </w:pPr>
      <w:r w:rsidRPr="00B13601">
        <w:rPr>
          <w:szCs w:val="24"/>
        </w:rPr>
        <w:t xml:space="preserve">Regeringen välkomnar att kommissionen presenterat ett förslag till en inre marknadsakt, för att effektivisera och modernisera EU:s inre marknad. Förslaget utgör en mycket viktig komponent för att uppnå målsättningarna i Europa 2020-strategin och dess flaggskeppsinitiativ. Det är därför av stor vikt att ett brett spektrum av åtgärder omfattas av förslaget i syfte att stärka Europas konkurrenskraft. Ökad tillväxt och sysselsättning stärker därigenom även tilltron till den inre marknaden bland medborgarna. </w:t>
      </w:r>
    </w:p>
    <w:p w:rsidR="00012BBB" w:rsidRPr="00B13601" w:rsidRDefault="00012BBB" w:rsidP="000B797D">
      <w:pPr>
        <w:pStyle w:val="RKnormal"/>
        <w:rPr>
          <w:szCs w:val="24"/>
        </w:rPr>
      </w:pPr>
    </w:p>
    <w:p w:rsidR="00012BBB" w:rsidRPr="00B13601" w:rsidRDefault="00012BBB" w:rsidP="000B797D">
      <w:pPr>
        <w:pStyle w:val="RKnormal"/>
        <w:rPr>
          <w:szCs w:val="24"/>
        </w:rPr>
      </w:pPr>
      <w:r w:rsidRPr="00B13601">
        <w:rPr>
          <w:szCs w:val="24"/>
        </w:rPr>
        <w:t>För regeringen är det också mycket viktigt att åtgärderna går hand i hand med en fortsatt öppenhet gentemot tredje land och att protektionistiska tendenser motarbetas. Det är också angeläget att förnyelsen av den inre marknaden integreras med EU:s övergripande mål om en hållbar tillväxt och behovet av ett sammanhängande och effektivt europeiskt transportsystem.</w:t>
      </w:r>
    </w:p>
    <w:p w:rsidR="00012BBB" w:rsidRPr="00B13601" w:rsidRDefault="00012BBB" w:rsidP="000B797D">
      <w:pPr>
        <w:pStyle w:val="RKnormal"/>
        <w:rPr>
          <w:szCs w:val="24"/>
        </w:rPr>
      </w:pPr>
    </w:p>
    <w:p w:rsidR="00012BBB" w:rsidRPr="00B13601" w:rsidRDefault="00012BBB" w:rsidP="000B797D">
      <w:pPr>
        <w:pStyle w:val="RKnormal"/>
        <w:rPr>
          <w:szCs w:val="24"/>
        </w:rPr>
      </w:pPr>
      <w:r w:rsidRPr="00B13601">
        <w:rPr>
          <w:szCs w:val="24"/>
        </w:rPr>
        <w:t xml:space="preserve">Regeringen ser positivt på att flera av de prioriteringar som drivits från svensk sida omfattas av kommissionens meddelande. Till dessa hör bl.a. en hållbar tillväxt, utvecklingen av en digital inre marknad, ett gemensamt europeiskt patentsystem, ett sammanhängande och effektivt transportsystem, regelförenkling (bl.a. offentlig upphandling), tjänstesektorns viktiga roll, ett starkt konsumentfokus samt standardiseringen, som utgör ett effektivt instrument för ekonomisk utveckling och spridning av innovation. </w:t>
      </w:r>
    </w:p>
    <w:p w:rsidR="00012BBB" w:rsidRPr="00B13601" w:rsidRDefault="00012BBB" w:rsidP="000B797D">
      <w:pPr>
        <w:pStyle w:val="RKnormal"/>
        <w:rPr>
          <w:szCs w:val="24"/>
        </w:rPr>
      </w:pPr>
    </w:p>
    <w:p w:rsidR="00012BBB" w:rsidRPr="00B13601" w:rsidRDefault="00012BBB" w:rsidP="000B797D">
      <w:pPr>
        <w:pStyle w:val="RKnormal"/>
        <w:rPr>
          <w:szCs w:val="24"/>
        </w:rPr>
      </w:pPr>
      <w:r w:rsidRPr="00B13601">
        <w:rPr>
          <w:szCs w:val="24"/>
        </w:rPr>
        <w:t>För att garantera EU-medborgarnas och företagens förtroende för EU och den inre marknaden är det grundläggande att gemensamt beslutade unionsakter och åtgärder får genomslag och tillämpas nationellt. Regeringen ställer sig därför positiv till kommissionens ambitioner om förbättrad utvärdering och uppföljning av genomförandet av EU-lagstiftningen i medlemsländerna. Konkurrenskraftsrådet ges ett särskilt samordnande ansvar för att garantera en övergripande samstämmighet i frågor som relaterar till den inre marknaden och uppföljningen av inre marknadsakten samt att söka samråd med relevanta rådsformationer.</w:t>
      </w:r>
    </w:p>
    <w:p w:rsidR="00012BBB" w:rsidRPr="00B13601" w:rsidRDefault="00012BBB" w:rsidP="000B797D">
      <w:pPr>
        <w:pStyle w:val="RKnormal"/>
        <w:rPr>
          <w:szCs w:val="24"/>
        </w:rPr>
      </w:pPr>
    </w:p>
    <w:p w:rsidR="00012BBB" w:rsidRPr="00B13601" w:rsidRDefault="00012BBB" w:rsidP="000B797D">
      <w:pPr>
        <w:pStyle w:val="RKnormal"/>
        <w:rPr>
          <w:szCs w:val="24"/>
        </w:rPr>
      </w:pPr>
      <w:r w:rsidRPr="00B13601">
        <w:rPr>
          <w:szCs w:val="24"/>
        </w:rPr>
        <w:t>Regeringen strävar efter att de svenska ståndpunkterna ska få tydligt genomslag i de rådsslutsatser som alltjämt förhandlas.</w:t>
      </w:r>
    </w:p>
    <w:p w:rsidR="00773027" w:rsidRPr="00B13601" w:rsidRDefault="00773027" w:rsidP="000B797D">
      <w:pPr>
        <w:pStyle w:val="RKnormal"/>
        <w:rPr>
          <w:szCs w:val="24"/>
        </w:rPr>
      </w:pPr>
    </w:p>
    <w:p w:rsidR="00773027" w:rsidRPr="00B13601" w:rsidRDefault="00773027" w:rsidP="000B797D">
      <w:pPr>
        <w:pStyle w:val="RKnormal"/>
        <w:rPr>
          <w:szCs w:val="24"/>
        </w:rPr>
      </w:pPr>
      <w:r w:rsidRPr="00B13601">
        <w:rPr>
          <w:szCs w:val="24"/>
        </w:rPr>
        <w:t>Se vidare rådspromemoria.</w:t>
      </w:r>
    </w:p>
    <w:p w:rsidR="00012BBB" w:rsidRPr="00B13601" w:rsidRDefault="00012BBB" w:rsidP="000B797D">
      <w:pPr>
        <w:pStyle w:val="RKnormal"/>
        <w:rPr>
          <w:szCs w:val="24"/>
        </w:rPr>
      </w:pPr>
    </w:p>
    <w:p w:rsidR="00EE47E5" w:rsidRPr="00B13601" w:rsidRDefault="00EE47E5" w:rsidP="000B797D">
      <w:pPr>
        <w:pStyle w:val="RKnormal"/>
        <w:rPr>
          <w:b/>
          <w:szCs w:val="24"/>
        </w:rPr>
      </w:pPr>
    </w:p>
    <w:p w:rsidR="00DB0CE8" w:rsidRPr="00B13601" w:rsidRDefault="00DB0CE8" w:rsidP="000B797D">
      <w:pPr>
        <w:pStyle w:val="RKnormal"/>
        <w:rPr>
          <w:b/>
          <w:sz w:val="28"/>
          <w:szCs w:val="28"/>
        </w:rPr>
      </w:pPr>
      <w:r w:rsidRPr="00B13601">
        <w:rPr>
          <w:b/>
          <w:sz w:val="28"/>
          <w:szCs w:val="28"/>
        </w:rPr>
        <w:t>d</w:t>
      </w:r>
      <w:r w:rsidR="00B847A3" w:rsidRPr="00B13601">
        <w:rPr>
          <w:b/>
          <w:sz w:val="28"/>
          <w:szCs w:val="28"/>
        </w:rPr>
        <w:t xml:space="preserve">p </w:t>
      </w:r>
      <w:r w:rsidR="0021380F" w:rsidRPr="00B13601">
        <w:rPr>
          <w:b/>
          <w:sz w:val="28"/>
          <w:szCs w:val="28"/>
        </w:rPr>
        <w:t>8</w:t>
      </w:r>
      <w:r w:rsidRPr="00B13601">
        <w:rPr>
          <w:b/>
          <w:sz w:val="28"/>
          <w:szCs w:val="28"/>
        </w:rPr>
        <w:t>)</w:t>
      </w:r>
      <w:r w:rsidR="00773027" w:rsidRPr="00B13601">
        <w:rPr>
          <w:b/>
          <w:sz w:val="28"/>
          <w:szCs w:val="28"/>
        </w:rPr>
        <w:t xml:space="preserve"> </w:t>
      </w:r>
      <w:r w:rsidR="009C5EC4" w:rsidRPr="00B13601">
        <w:rPr>
          <w:b/>
          <w:sz w:val="28"/>
          <w:szCs w:val="28"/>
        </w:rPr>
        <w:t xml:space="preserve">Rådsslutsatser </w:t>
      </w:r>
      <w:r w:rsidR="00773027" w:rsidRPr="00B13601">
        <w:rPr>
          <w:b/>
          <w:sz w:val="28"/>
          <w:szCs w:val="28"/>
        </w:rPr>
        <w:t>s</w:t>
      </w:r>
      <w:r w:rsidR="009C5EC4" w:rsidRPr="00B13601">
        <w:rPr>
          <w:b/>
          <w:sz w:val="28"/>
          <w:szCs w:val="28"/>
        </w:rPr>
        <w:t>pel –</w:t>
      </w:r>
      <w:r w:rsidR="009C5EC4" w:rsidRPr="00B13601">
        <w:rPr>
          <w:sz w:val="28"/>
          <w:szCs w:val="28"/>
        </w:rPr>
        <w:t xml:space="preserve"> </w:t>
      </w:r>
      <w:r w:rsidR="009C5EC4" w:rsidRPr="00B13601">
        <w:rPr>
          <w:b/>
          <w:sz w:val="28"/>
          <w:szCs w:val="28"/>
        </w:rPr>
        <w:t xml:space="preserve">Den rättsliga ramen för hasardspel och vadhållning i Europeiska </w:t>
      </w:r>
      <w:r w:rsidRPr="00B13601">
        <w:rPr>
          <w:b/>
          <w:sz w:val="28"/>
          <w:szCs w:val="28"/>
        </w:rPr>
        <w:t>u</w:t>
      </w:r>
      <w:r w:rsidR="009C5EC4" w:rsidRPr="00B13601">
        <w:rPr>
          <w:b/>
          <w:sz w:val="28"/>
          <w:szCs w:val="28"/>
        </w:rPr>
        <w:t xml:space="preserve">nionens medlemsstater </w:t>
      </w:r>
    </w:p>
    <w:p w:rsidR="006B148D" w:rsidRPr="00B13601" w:rsidRDefault="006B148D" w:rsidP="000B797D">
      <w:pPr>
        <w:pStyle w:val="RKnormal"/>
        <w:rPr>
          <w:szCs w:val="24"/>
        </w:rPr>
      </w:pPr>
    </w:p>
    <w:p w:rsidR="009C5EC4" w:rsidRPr="00B13601" w:rsidRDefault="009C5EC4" w:rsidP="000B797D">
      <w:pPr>
        <w:pStyle w:val="RKnormal"/>
        <w:rPr>
          <w:szCs w:val="24"/>
        </w:rPr>
      </w:pPr>
      <w:r w:rsidRPr="00B13601">
        <w:rPr>
          <w:szCs w:val="24"/>
        </w:rPr>
        <w:t>- Ordförandeskapets rådsslutsatser</w:t>
      </w:r>
    </w:p>
    <w:p w:rsidR="009C5EC4" w:rsidRPr="00B13601" w:rsidRDefault="00656E2C" w:rsidP="000B797D">
      <w:pPr>
        <w:pStyle w:val="RKnormal"/>
        <w:rPr>
          <w:szCs w:val="24"/>
        </w:rPr>
      </w:pPr>
      <w:r w:rsidRPr="00B13601">
        <w:rPr>
          <w:szCs w:val="24"/>
        </w:rPr>
        <w:t xml:space="preserve">15483/10 IND 131 COMPET 313 </w:t>
      </w:r>
    </w:p>
    <w:p w:rsidR="00656E2C" w:rsidRPr="00B13601" w:rsidRDefault="00656E2C" w:rsidP="000B797D">
      <w:pPr>
        <w:pStyle w:val="RKnormal"/>
        <w:rPr>
          <w:szCs w:val="24"/>
        </w:rPr>
      </w:pPr>
      <w:r w:rsidRPr="00B13601">
        <w:rPr>
          <w:szCs w:val="24"/>
        </w:rPr>
        <w:t>16937/10 IND 164 SOMPET 394</w:t>
      </w:r>
    </w:p>
    <w:p w:rsidR="00DB0CE8" w:rsidRPr="00B13601" w:rsidRDefault="00DB0CE8" w:rsidP="000B797D">
      <w:pPr>
        <w:pStyle w:val="RKnormal"/>
        <w:rPr>
          <w:b/>
          <w:szCs w:val="24"/>
        </w:rPr>
      </w:pPr>
      <w:r w:rsidRPr="00B13601">
        <w:rPr>
          <w:b/>
          <w:szCs w:val="24"/>
        </w:rPr>
        <w:t>Ansvar</w:t>
      </w:r>
      <w:r w:rsidR="00756116" w:rsidRPr="00B13601">
        <w:rPr>
          <w:b/>
          <w:szCs w:val="24"/>
        </w:rPr>
        <w:t>ig</w:t>
      </w:r>
      <w:r w:rsidRPr="00B13601">
        <w:rPr>
          <w:b/>
          <w:szCs w:val="24"/>
        </w:rPr>
        <w:t>: sr Ewa Björling</w:t>
      </w:r>
    </w:p>
    <w:p w:rsidR="009C5EC4" w:rsidRPr="00B13601" w:rsidRDefault="009C5EC4" w:rsidP="000B797D">
      <w:pPr>
        <w:pStyle w:val="RKnormal"/>
        <w:rPr>
          <w:szCs w:val="24"/>
        </w:rPr>
      </w:pPr>
    </w:p>
    <w:p w:rsidR="009C5EC4" w:rsidRPr="00B13601" w:rsidRDefault="009C5EC4" w:rsidP="000B797D">
      <w:pPr>
        <w:pStyle w:val="RKnormal"/>
        <w:rPr>
          <w:szCs w:val="24"/>
        </w:rPr>
      </w:pPr>
      <w:r w:rsidRPr="00B13601">
        <w:rPr>
          <w:szCs w:val="24"/>
        </w:rPr>
        <w:t xml:space="preserve">Frågor om spel har tidigare behandlats i </w:t>
      </w:r>
      <w:r w:rsidR="00773027" w:rsidRPr="00B13601">
        <w:rPr>
          <w:szCs w:val="24"/>
        </w:rPr>
        <w:t>Konkurrenskraftsrådet</w:t>
      </w:r>
      <w:r w:rsidRPr="00B13601">
        <w:rPr>
          <w:szCs w:val="24"/>
        </w:rPr>
        <w:t xml:space="preserve"> under det franska, svenska och spanska ordförandeskapet och behandlats i EU-nämnden den 28 november 2008, den 27 november 2009 och den 21 maj 2010.</w:t>
      </w:r>
    </w:p>
    <w:p w:rsidR="009C5EC4" w:rsidRPr="00B13601" w:rsidRDefault="009C5EC4" w:rsidP="000B797D">
      <w:pPr>
        <w:pStyle w:val="RKnormal"/>
        <w:rPr>
          <w:szCs w:val="24"/>
        </w:rPr>
      </w:pPr>
    </w:p>
    <w:p w:rsidR="009C5EC4" w:rsidRPr="00B13601" w:rsidRDefault="009C5EC4" w:rsidP="000B797D">
      <w:pPr>
        <w:pStyle w:val="RKnormal"/>
        <w:rPr>
          <w:szCs w:val="24"/>
        </w:rPr>
      </w:pPr>
    </w:p>
    <w:p w:rsidR="009C5EC4" w:rsidRPr="00B13601" w:rsidRDefault="009C5EC4" w:rsidP="000B797D">
      <w:pPr>
        <w:pStyle w:val="RKnormal"/>
        <w:rPr>
          <w:szCs w:val="24"/>
        </w:rPr>
      </w:pPr>
      <w:r w:rsidRPr="00B13601">
        <w:rPr>
          <w:szCs w:val="24"/>
        </w:rPr>
        <w:t>Rådsslutsatserna som drivits av det belgiska ordförandeskapet behandlar  gränsöverskridande frågor, behovet av nationella tillsynsmyndigheter i medlemsländerna och deras eventuella roll, behovet av ett effektivt samarbete mellan tillsynsmyndigheterna rörande spelfrågor samt att bidrag från statliga lotterier eller lotterier som är licensierade av behöriga statliga myndigheter kan spela en viktig roll för samhället, exempelvis via ”good causes”. Det faktum att spelområdet är ett icke-harmoniserat område följer av slutsatserna.</w:t>
      </w:r>
    </w:p>
    <w:p w:rsidR="009C5EC4" w:rsidRPr="00B13601" w:rsidRDefault="009C5EC4" w:rsidP="000B797D">
      <w:pPr>
        <w:pStyle w:val="RKnormal"/>
        <w:rPr>
          <w:szCs w:val="24"/>
        </w:rPr>
      </w:pPr>
    </w:p>
    <w:p w:rsidR="009C5EC4" w:rsidRPr="00B13601" w:rsidRDefault="00A97668" w:rsidP="000B797D">
      <w:pPr>
        <w:pStyle w:val="RKnormal"/>
        <w:rPr>
          <w:szCs w:val="24"/>
        </w:rPr>
      </w:pPr>
      <w:r w:rsidRPr="00B13601">
        <w:rPr>
          <w:szCs w:val="24"/>
          <w:u w:val="single"/>
        </w:rPr>
        <w:t>Förslag till svensk ståndpunkt</w:t>
      </w:r>
      <w:r w:rsidRPr="00B13601">
        <w:rPr>
          <w:szCs w:val="24"/>
        </w:rPr>
        <w:t xml:space="preserve">: </w:t>
      </w:r>
      <w:r w:rsidR="009C5EC4" w:rsidRPr="00B13601">
        <w:rPr>
          <w:szCs w:val="24"/>
        </w:rPr>
        <w:t xml:space="preserve">Sverige välkomnar rådsslutsatserna och anser att arbetet i rådsarbetsgruppen bör fortsätta eftersom arbetet där är värdefullt då det är en arena för utbyte av erfarenheter med KOM som åhörare. </w:t>
      </w:r>
    </w:p>
    <w:p w:rsidR="00A97668" w:rsidRPr="00B13601" w:rsidRDefault="00A97668" w:rsidP="000B797D">
      <w:pPr>
        <w:pStyle w:val="RKnormal"/>
        <w:rPr>
          <w:szCs w:val="24"/>
        </w:rPr>
      </w:pPr>
    </w:p>
    <w:p w:rsidR="00A97668" w:rsidRPr="00B13601" w:rsidRDefault="00A97668" w:rsidP="000B797D">
      <w:pPr>
        <w:pStyle w:val="RKnormal"/>
        <w:rPr>
          <w:szCs w:val="24"/>
        </w:rPr>
      </w:pPr>
    </w:p>
    <w:p w:rsidR="006E4E11" w:rsidRPr="00B13601" w:rsidRDefault="00927A94" w:rsidP="000B797D">
      <w:pPr>
        <w:pStyle w:val="RKnormal"/>
        <w:rPr>
          <w:b/>
          <w:sz w:val="28"/>
          <w:szCs w:val="28"/>
        </w:rPr>
      </w:pPr>
      <w:r w:rsidRPr="00B13601">
        <w:rPr>
          <w:b/>
          <w:sz w:val="28"/>
          <w:szCs w:val="28"/>
        </w:rPr>
        <w:t>Övriga punkter</w:t>
      </w:r>
    </w:p>
    <w:p w:rsidR="00DB490A" w:rsidRPr="00B13601" w:rsidRDefault="00DB490A" w:rsidP="000B797D">
      <w:pPr>
        <w:pStyle w:val="RKnormal"/>
        <w:rPr>
          <w:b/>
          <w:sz w:val="28"/>
          <w:szCs w:val="28"/>
        </w:rPr>
      </w:pPr>
    </w:p>
    <w:p w:rsidR="00DB0CE8" w:rsidRPr="00B13601" w:rsidRDefault="00DB0CE8" w:rsidP="000B797D">
      <w:pPr>
        <w:pStyle w:val="RKnormal"/>
        <w:rPr>
          <w:b/>
          <w:szCs w:val="24"/>
        </w:rPr>
      </w:pPr>
    </w:p>
    <w:p w:rsidR="00DB490A" w:rsidRPr="00B13601" w:rsidRDefault="00DB0CE8" w:rsidP="000B797D">
      <w:pPr>
        <w:pStyle w:val="RKnormal"/>
        <w:rPr>
          <w:b/>
          <w:sz w:val="28"/>
          <w:szCs w:val="28"/>
        </w:rPr>
      </w:pPr>
      <w:r w:rsidRPr="00B13601">
        <w:rPr>
          <w:b/>
          <w:sz w:val="28"/>
          <w:szCs w:val="28"/>
        </w:rPr>
        <w:t>dp</w:t>
      </w:r>
      <w:r w:rsidR="004F6044" w:rsidRPr="00B13601">
        <w:rPr>
          <w:b/>
          <w:sz w:val="28"/>
          <w:szCs w:val="28"/>
        </w:rPr>
        <w:t xml:space="preserve"> </w:t>
      </w:r>
      <w:r w:rsidR="00DB490A" w:rsidRPr="00B13601">
        <w:rPr>
          <w:b/>
          <w:sz w:val="28"/>
          <w:szCs w:val="28"/>
        </w:rPr>
        <w:t>1</w:t>
      </w:r>
      <w:r w:rsidR="0052695E" w:rsidRPr="00B13601">
        <w:rPr>
          <w:b/>
          <w:sz w:val="28"/>
          <w:szCs w:val="28"/>
        </w:rPr>
        <w:t>0</w:t>
      </w:r>
      <w:r w:rsidRPr="00B13601">
        <w:rPr>
          <w:b/>
          <w:sz w:val="28"/>
          <w:szCs w:val="28"/>
        </w:rPr>
        <w:t xml:space="preserve"> </w:t>
      </w:r>
      <w:r w:rsidR="00DB490A" w:rsidRPr="00B13601">
        <w:rPr>
          <w:b/>
          <w:sz w:val="28"/>
          <w:szCs w:val="28"/>
        </w:rPr>
        <w:t>a) Den fjärde resultattavlan för konsumentmarknader</w:t>
      </w:r>
    </w:p>
    <w:p w:rsidR="006B148D" w:rsidRPr="00B13601" w:rsidRDefault="006B148D" w:rsidP="000B797D">
      <w:pPr>
        <w:pStyle w:val="RKnormal"/>
        <w:rPr>
          <w:i/>
          <w:szCs w:val="24"/>
        </w:rPr>
      </w:pPr>
    </w:p>
    <w:p w:rsidR="00DB490A" w:rsidRPr="00B13601" w:rsidRDefault="00DB490A" w:rsidP="000B797D">
      <w:pPr>
        <w:pStyle w:val="RKnormal"/>
        <w:rPr>
          <w:szCs w:val="24"/>
        </w:rPr>
      </w:pPr>
      <w:r w:rsidRPr="00B13601">
        <w:rPr>
          <w:szCs w:val="24"/>
        </w:rPr>
        <w:t>- Information från kommissionen</w:t>
      </w:r>
    </w:p>
    <w:p w:rsidR="0052695E" w:rsidRPr="00B13601" w:rsidRDefault="0052695E" w:rsidP="000B797D">
      <w:pPr>
        <w:pStyle w:val="RKnormal"/>
        <w:rPr>
          <w:szCs w:val="24"/>
        </w:rPr>
      </w:pPr>
      <w:r w:rsidRPr="00B13601">
        <w:rPr>
          <w:szCs w:val="24"/>
        </w:rPr>
        <w:t>dok. 15407/10 CONSOM 93</w:t>
      </w:r>
    </w:p>
    <w:p w:rsidR="009A00DD" w:rsidRPr="00B13601" w:rsidRDefault="009A00DD" w:rsidP="000B797D">
      <w:pPr>
        <w:pStyle w:val="RKnormal"/>
        <w:rPr>
          <w:b/>
          <w:i/>
          <w:szCs w:val="24"/>
        </w:rPr>
      </w:pPr>
      <w:r w:rsidRPr="00B13601">
        <w:rPr>
          <w:b/>
          <w:szCs w:val="24"/>
        </w:rPr>
        <w:t>Ansvar</w:t>
      </w:r>
      <w:r w:rsidR="00756116" w:rsidRPr="00B13601">
        <w:rPr>
          <w:b/>
          <w:szCs w:val="24"/>
        </w:rPr>
        <w:t>ig</w:t>
      </w:r>
      <w:r w:rsidRPr="00B13601">
        <w:rPr>
          <w:b/>
          <w:szCs w:val="24"/>
        </w:rPr>
        <w:t>: Birgitta Ohlsson</w:t>
      </w:r>
    </w:p>
    <w:p w:rsidR="00DB490A" w:rsidRPr="00B13601" w:rsidRDefault="00DB490A" w:rsidP="000B797D">
      <w:pPr>
        <w:pStyle w:val="RKnormal"/>
        <w:rPr>
          <w:szCs w:val="24"/>
        </w:rPr>
      </w:pPr>
    </w:p>
    <w:p w:rsidR="00DB490A" w:rsidRPr="00B13601" w:rsidRDefault="00DB490A" w:rsidP="000B797D">
      <w:pPr>
        <w:pStyle w:val="RKnormal"/>
        <w:rPr>
          <w:szCs w:val="24"/>
        </w:rPr>
      </w:pPr>
      <w:r w:rsidRPr="00B13601">
        <w:rPr>
          <w:szCs w:val="24"/>
        </w:rPr>
        <w:t>Resultattavlan för konsumentmarknader, som Europeiska kommissionen presenterar regelbundet sedan 2008, presenteras i år i två delar. Den första delen, som presenterades i våras,  behandlade dels utvecklingen av den inre marknaden, dels konsumentmiljön i medlemsstaterna. Den andra delen publicerades i slutet av oktober. Den redovisar situationen på ett stort antal konsumentmarknader och indikerar vilka marknader som inte fungerar väl för konsumenterna. På rådsmötet kommer kommissionen att informera om sitt arbete med resultattavlan. Tidigare har arbetet med resultattavlan för konsumentmarknader behandlats av EU-nämnden inför konkurrenskraftsrådet den 25 februari 2008, 5-6 mars 2009, den 25 maj 2010 och då också som informationspunkt.</w:t>
      </w:r>
    </w:p>
    <w:p w:rsidR="000A4906" w:rsidRPr="00B13601" w:rsidRDefault="000A4906" w:rsidP="000B797D">
      <w:pPr>
        <w:pStyle w:val="RKnormal"/>
        <w:rPr>
          <w:szCs w:val="24"/>
          <w:u w:val="single"/>
        </w:rPr>
      </w:pPr>
    </w:p>
    <w:p w:rsidR="00DB490A" w:rsidRPr="00B13601" w:rsidRDefault="00DB490A" w:rsidP="000B797D">
      <w:pPr>
        <w:pStyle w:val="RKnormal"/>
        <w:rPr>
          <w:b/>
          <w:szCs w:val="24"/>
        </w:rPr>
      </w:pPr>
      <w:r w:rsidRPr="00B13601">
        <w:rPr>
          <w:szCs w:val="24"/>
          <w:u w:val="single"/>
        </w:rPr>
        <w:t>Förslag till svensk ståndpunkt</w:t>
      </w:r>
      <w:r w:rsidRPr="00B13601">
        <w:rPr>
          <w:szCs w:val="24"/>
        </w:rPr>
        <w:t xml:space="preserve">: Regeringen stödjer kommissionens arbete med en resultattavla för konsumentmarknader.    </w:t>
      </w:r>
    </w:p>
    <w:p w:rsidR="00DB490A" w:rsidRPr="00B13601" w:rsidRDefault="00DB490A" w:rsidP="000B797D">
      <w:pPr>
        <w:pStyle w:val="RKnormal"/>
        <w:rPr>
          <w:b/>
          <w:szCs w:val="24"/>
        </w:rPr>
      </w:pPr>
    </w:p>
    <w:p w:rsidR="00F15EB5" w:rsidRPr="00B13601" w:rsidRDefault="00F15EB5" w:rsidP="000B797D">
      <w:pPr>
        <w:pStyle w:val="RKnormal"/>
        <w:rPr>
          <w:b/>
          <w:szCs w:val="24"/>
        </w:rPr>
      </w:pPr>
    </w:p>
    <w:p w:rsidR="004F6044" w:rsidRPr="00B13601" w:rsidRDefault="004F6044" w:rsidP="000B797D">
      <w:pPr>
        <w:pStyle w:val="RKnormal"/>
        <w:rPr>
          <w:b/>
          <w:i/>
          <w:szCs w:val="24"/>
        </w:rPr>
      </w:pPr>
      <w:r w:rsidRPr="00B13601">
        <w:rPr>
          <w:b/>
          <w:sz w:val="28"/>
          <w:szCs w:val="28"/>
        </w:rPr>
        <w:t xml:space="preserve">dp 10 </w:t>
      </w:r>
      <w:r w:rsidR="00F15EB5" w:rsidRPr="00B13601">
        <w:rPr>
          <w:b/>
          <w:sz w:val="28"/>
          <w:szCs w:val="28"/>
        </w:rPr>
        <w:t>b</w:t>
      </w:r>
      <w:r w:rsidRPr="00B13601">
        <w:rPr>
          <w:b/>
          <w:sz w:val="28"/>
          <w:szCs w:val="28"/>
        </w:rPr>
        <w:t>)</w:t>
      </w:r>
      <w:r w:rsidRPr="00B13601">
        <w:rPr>
          <w:b/>
          <w:sz w:val="28"/>
          <w:szCs w:val="28"/>
        </w:rPr>
        <w:tab/>
      </w:r>
      <w:r w:rsidR="00F15EB5" w:rsidRPr="00B13601">
        <w:rPr>
          <w:b/>
          <w:sz w:val="28"/>
          <w:szCs w:val="28"/>
        </w:rPr>
        <w:t>(</w:t>
      </w:r>
      <w:r w:rsidR="000A4906" w:rsidRPr="00B13601">
        <w:rPr>
          <w:b/>
          <w:sz w:val="28"/>
          <w:szCs w:val="28"/>
        </w:rPr>
        <w:t>ev</w:t>
      </w:r>
      <w:r w:rsidR="00F15EB5" w:rsidRPr="00B13601">
        <w:rPr>
          <w:b/>
          <w:sz w:val="28"/>
          <w:szCs w:val="28"/>
        </w:rPr>
        <w:t>.) Allmän konsultation : Mot ett samlat europeiskt angreppssätt i fråga om kollektiv prövning</w:t>
      </w:r>
      <w:r w:rsidR="00F15EB5" w:rsidRPr="00B13601">
        <w:rPr>
          <w:b/>
          <w:i/>
          <w:szCs w:val="24"/>
        </w:rPr>
        <w:t xml:space="preserve"> </w:t>
      </w:r>
    </w:p>
    <w:p w:rsidR="006B148D" w:rsidRPr="00B13601" w:rsidRDefault="006B148D" w:rsidP="000B797D">
      <w:pPr>
        <w:pStyle w:val="RKnormal"/>
        <w:rPr>
          <w:i/>
          <w:szCs w:val="24"/>
        </w:rPr>
      </w:pPr>
    </w:p>
    <w:p w:rsidR="00F15EB5" w:rsidRPr="00B13601" w:rsidRDefault="00F15EB5" w:rsidP="000B797D">
      <w:pPr>
        <w:pStyle w:val="RKnormal"/>
        <w:rPr>
          <w:szCs w:val="24"/>
        </w:rPr>
      </w:pPr>
      <w:r w:rsidRPr="00B13601">
        <w:rPr>
          <w:szCs w:val="24"/>
        </w:rPr>
        <w:t>– information från kommissionen</w:t>
      </w:r>
    </w:p>
    <w:p w:rsidR="00921813" w:rsidRPr="00B13601" w:rsidRDefault="00921813" w:rsidP="000B797D">
      <w:pPr>
        <w:pStyle w:val="RKnormal"/>
        <w:rPr>
          <w:b/>
          <w:i/>
          <w:szCs w:val="24"/>
        </w:rPr>
      </w:pPr>
      <w:r w:rsidRPr="00B13601">
        <w:rPr>
          <w:b/>
          <w:szCs w:val="24"/>
        </w:rPr>
        <w:t>Ansvar</w:t>
      </w:r>
      <w:r w:rsidR="00756116" w:rsidRPr="00B13601">
        <w:rPr>
          <w:b/>
          <w:szCs w:val="24"/>
        </w:rPr>
        <w:t>ig</w:t>
      </w:r>
      <w:r w:rsidRPr="00B13601">
        <w:rPr>
          <w:b/>
          <w:szCs w:val="24"/>
        </w:rPr>
        <w:t>: sr Birgitta Ohlsson</w:t>
      </w:r>
    </w:p>
    <w:p w:rsidR="00921813" w:rsidRPr="00B13601" w:rsidRDefault="00921813" w:rsidP="000B797D">
      <w:pPr>
        <w:pStyle w:val="RKnormal"/>
        <w:rPr>
          <w:i/>
          <w:szCs w:val="24"/>
        </w:rPr>
      </w:pPr>
    </w:p>
    <w:p w:rsidR="00F15EB5" w:rsidRPr="00B13601" w:rsidRDefault="00F15EB5" w:rsidP="000B797D">
      <w:pPr>
        <w:pStyle w:val="RKnormal"/>
        <w:rPr>
          <w:szCs w:val="24"/>
        </w:rPr>
      </w:pPr>
      <w:r w:rsidRPr="00B13601">
        <w:rPr>
          <w:szCs w:val="24"/>
        </w:rPr>
        <w:t xml:space="preserve">I sin strategi för konsumentpolitiken 2007–2013 meddelade EU-kommissionen att den kommer att överväga insatser när det gäller kollektiva prövningsmöjligheter för konsumenter. Den 27 november 2008 presenterade kommissionen en grönbok i frågan. Grönboken har varit föremål för konsultation bland medlemsstater och andra intressenter. </w:t>
      </w:r>
    </w:p>
    <w:p w:rsidR="00F15EB5" w:rsidRPr="00B13601" w:rsidRDefault="00F15EB5" w:rsidP="000B797D">
      <w:pPr>
        <w:pStyle w:val="RKnormal"/>
        <w:rPr>
          <w:szCs w:val="24"/>
        </w:rPr>
      </w:pPr>
    </w:p>
    <w:p w:rsidR="00F15EB5" w:rsidRPr="00B13601" w:rsidRDefault="00F15EB5" w:rsidP="000B797D">
      <w:pPr>
        <w:pStyle w:val="RKnormal"/>
        <w:rPr>
          <w:szCs w:val="24"/>
        </w:rPr>
      </w:pPr>
      <w:r w:rsidRPr="00B13601">
        <w:rPr>
          <w:szCs w:val="24"/>
        </w:rPr>
        <w:t>Den 5 oktober 2010 har kommissionärerna med ansvar för rättsliga frågor, konkurrens respektive konsumentpolitik (Reding, Almunia och Dalli) i en gemensam informations</w:t>
      </w:r>
      <w:r w:rsidRPr="00B13601">
        <w:rPr>
          <w:szCs w:val="24"/>
        </w:rPr>
        <w:softHyphen/>
        <w:t>promemoria presenterat de kommande stegen när det gäller åtgärder på området för kollektiva prövningsmöjligheter. I promemorian förutskickas att kommissionen kommer att inleda en ny bred konsultation i frågan under november 2010. Vid mötet i Konkurrenskraftsrådet den 10 december 2010 väntas kommissionen informera om den kommande konsultationen.</w:t>
      </w:r>
    </w:p>
    <w:p w:rsidR="00F15EB5" w:rsidRPr="00B13601" w:rsidRDefault="00F15EB5" w:rsidP="000B797D">
      <w:pPr>
        <w:pStyle w:val="RKnormal"/>
        <w:rPr>
          <w:szCs w:val="24"/>
        </w:rPr>
      </w:pPr>
    </w:p>
    <w:p w:rsidR="00F15EB5" w:rsidRPr="00B13601" w:rsidRDefault="00F15EB5" w:rsidP="000B797D">
      <w:pPr>
        <w:pStyle w:val="RKnormal"/>
        <w:rPr>
          <w:szCs w:val="24"/>
        </w:rPr>
      </w:pPr>
      <w:r w:rsidRPr="00B13601">
        <w:rPr>
          <w:szCs w:val="24"/>
        </w:rPr>
        <w:t>Frågan om kollektiva prövningsmöjligheter var uppe på EU-nämndens dagordning inför möten i Konkurrenskraftsrådet den 22–23 november 2007 och den 1–2 december 2008.</w:t>
      </w:r>
    </w:p>
    <w:p w:rsidR="00F15EB5" w:rsidRPr="00B13601" w:rsidRDefault="00F15EB5" w:rsidP="000B797D">
      <w:pPr>
        <w:pStyle w:val="RKnormal"/>
        <w:rPr>
          <w:szCs w:val="24"/>
        </w:rPr>
      </w:pPr>
    </w:p>
    <w:p w:rsidR="00F15EB5" w:rsidRPr="00B13601" w:rsidRDefault="00F15EB5" w:rsidP="000B797D">
      <w:pPr>
        <w:pStyle w:val="RKnormal"/>
        <w:rPr>
          <w:szCs w:val="24"/>
        </w:rPr>
      </w:pPr>
      <w:r w:rsidRPr="00B13601">
        <w:rPr>
          <w:szCs w:val="24"/>
          <w:u w:val="single"/>
        </w:rPr>
        <w:t>Förslag till svensk ståndpunkt</w:t>
      </w:r>
      <w:r w:rsidRPr="00B13601">
        <w:rPr>
          <w:szCs w:val="24"/>
        </w:rPr>
        <w:t>:</w:t>
      </w:r>
    </w:p>
    <w:p w:rsidR="00F15EB5" w:rsidRPr="00B13601" w:rsidRDefault="00F15EB5" w:rsidP="000B797D">
      <w:pPr>
        <w:pStyle w:val="RKnormal"/>
        <w:rPr>
          <w:szCs w:val="24"/>
        </w:rPr>
      </w:pPr>
      <w:r w:rsidRPr="00B13601">
        <w:rPr>
          <w:szCs w:val="24"/>
        </w:rPr>
        <w:t>Regeringen ser det som angeläget att följa de diskussioner i frågan som förs på europeisk nivå. Det är viktigt att se till att eventuella framtida rättsakter utgår från en europeisk rättstradition.</w:t>
      </w:r>
    </w:p>
    <w:p w:rsidR="000A4906" w:rsidRPr="00B13601" w:rsidRDefault="000A4906" w:rsidP="000B797D">
      <w:pPr>
        <w:pStyle w:val="RKnormal"/>
        <w:rPr>
          <w:szCs w:val="24"/>
        </w:rPr>
      </w:pPr>
    </w:p>
    <w:p w:rsidR="000A4906" w:rsidRPr="00B13601" w:rsidRDefault="000A4906" w:rsidP="000B797D">
      <w:pPr>
        <w:pStyle w:val="RKnormal"/>
        <w:rPr>
          <w:szCs w:val="24"/>
        </w:rPr>
      </w:pPr>
      <w:r w:rsidRPr="00B13601">
        <w:rPr>
          <w:szCs w:val="24"/>
        </w:rPr>
        <w:t xml:space="preserve">Se vidare rådspromemoria. </w:t>
      </w:r>
    </w:p>
    <w:p w:rsidR="00F15EB5" w:rsidRPr="00B13601" w:rsidRDefault="00F15EB5" w:rsidP="000B797D">
      <w:pPr>
        <w:pStyle w:val="RKnormal"/>
        <w:rPr>
          <w:szCs w:val="24"/>
        </w:rPr>
      </w:pPr>
    </w:p>
    <w:p w:rsidR="00DB490A" w:rsidRPr="00B13601" w:rsidRDefault="00DB490A" w:rsidP="000B797D">
      <w:pPr>
        <w:pStyle w:val="RKnormal"/>
        <w:rPr>
          <w:b/>
          <w:szCs w:val="24"/>
        </w:rPr>
      </w:pPr>
    </w:p>
    <w:p w:rsidR="00DB490A" w:rsidRPr="00B13601" w:rsidRDefault="00DB490A" w:rsidP="000B797D">
      <w:pPr>
        <w:pStyle w:val="RKnormal"/>
        <w:rPr>
          <w:szCs w:val="24"/>
        </w:rPr>
      </w:pPr>
    </w:p>
    <w:p w:rsidR="00DE1CA3" w:rsidRPr="00B13601" w:rsidRDefault="00DE1CA3" w:rsidP="000B797D">
      <w:pPr>
        <w:pStyle w:val="RKnormal"/>
        <w:rPr>
          <w:b/>
          <w:sz w:val="28"/>
          <w:szCs w:val="28"/>
        </w:rPr>
      </w:pPr>
      <w:r w:rsidRPr="00B13601">
        <w:rPr>
          <w:b/>
          <w:sz w:val="28"/>
          <w:szCs w:val="28"/>
        </w:rPr>
        <w:t>dp 1</w:t>
      </w:r>
      <w:r w:rsidR="00DB490A" w:rsidRPr="00B13601">
        <w:rPr>
          <w:b/>
          <w:sz w:val="28"/>
          <w:szCs w:val="28"/>
        </w:rPr>
        <w:t>0</w:t>
      </w:r>
      <w:r w:rsidRPr="00B13601">
        <w:rPr>
          <w:b/>
          <w:sz w:val="28"/>
          <w:szCs w:val="28"/>
        </w:rPr>
        <w:t xml:space="preserve"> </w:t>
      </w:r>
      <w:r w:rsidR="00340913" w:rsidRPr="00B13601">
        <w:rPr>
          <w:b/>
          <w:sz w:val="28"/>
          <w:szCs w:val="28"/>
        </w:rPr>
        <w:t>c</w:t>
      </w:r>
      <w:r w:rsidR="00756116" w:rsidRPr="00B13601">
        <w:rPr>
          <w:b/>
          <w:sz w:val="28"/>
          <w:szCs w:val="28"/>
        </w:rPr>
        <w:t>)</w:t>
      </w:r>
      <w:r w:rsidR="000A4906" w:rsidRPr="00B13601">
        <w:rPr>
          <w:b/>
          <w:sz w:val="28"/>
          <w:szCs w:val="28"/>
        </w:rPr>
        <w:t xml:space="preserve"> </w:t>
      </w:r>
      <w:r w:rsidRPr="00B13601">
        <w:rPr>
          <w:b/>
          <w:sz w:val="28"/>
          <w:szCs w:val="28"/>
        </w:rPr>
        <w:t>Genomförande av EU-direktiv</w:t>
      </w:r>
    </w:p>
    <w:p w:rsidR="006B148D" w:rsidRPr="00B13601" w:rsidRDefault="006B148D" w:rsidP="000B797D">
      <w:pPr>
        <w:pStyle w:val="RKnormal"/>
        <w:rPr>
          <w:szCs w:val="24"/>
        </w:rPr>
      </w:pPr>
    </w:p>
    <w:p w:rsidR="00DE1CA3" w:rsidRPr="00B13601" w:rsidRDefault="00DE1CA3" w:rsidP="000B797D">
      <w:pPr>
        <w:pStyle w:val="RKnormal"/>
        <w:rPr>
          <w:szCs w:val="24"/>
        </w:rPr>
      </w:pPr>
      <w:r w:rsidRPr="00B13601">
        <w:rPr>
          <w:szCs w:val="24"/>
        </w:rPr>
        <w:t>- information från ordförandeskapet</w:t>
      </w:r>
    </w:p>
    <w:p w:rsidR="00B11918" w:rsidRPr="00B13601" w:rsidRDefault="00B11918" w:rsidP="000B797D">
      <w:pPr>
        <w:pStyle w:val="RKnormal"/>
        <w:rPr>
          <w:b/>
          <w:szCs w:val="24"/>
        </w:rPr>
      </w:pPr>
      <w:r w:rsidRPr="00B13601">
        <w:rPr>
          <w:b/>
          <w:szCs w:val="24"/>
        </w:rPr>
        <w:t>Ansvarig: sr Ewa Björling</w:t>
      </w:r>
    </w:p>
    <w:p w:rsidR="00DE1CA3" w:rsidRPr="00B13601" w:rsidRDefault="00DE1CA3" w:rsidP="000B797D">
      <w:pPr>
        <w:pStyle w:val="RKnormal"/>
        <w:rPr>
          <w:szCs w:val="24"/>
        </w:rPr>
      </w:pPr>
    </w:p>
    <w:p w:rsidR="00DE1CA3" w:rsidRPr="00B13601" w:rsidRDefault="00DE1CA3" w:rsidP="000B797D">
      <w:pPr>
        <w:pStyle w:val="RKnormal"/>
        <w:rPr>
          <w:szCs w:val="24"/>
        </w:rPr>
      </w:pPr>
      <w:r w:rsidRPr="00B13601">
        <w:rPr>
          <w:szCs w:val="24"/>
        </w:rPr>
        <w:t xml:space="preserve">BE Ordf. arrangerade en konferens om genomförande av EU-direktiv i Bryssel 22-23 november som en del av en temavecka med fokus på genomförande och tillämpning av inremarknadsdirektiv. Vid konferensen närvarade ca. 150 tjänstemän från samtliga medlemsländer för att utbyta tankar och ”best practice” för en effektiv nationell genomförandeprocess. Större fokus på genomförande- och tillämpningsfrågor följer i kölvattnet till Lissabonfördraget som givit kommissionen nya befogenheter att yrka skadestånd för försent genomförda direktiv i EU-domstolen redan första gången överträdelsen är föremål för domstolens bedömning. Detta kommer att innebära minskade möjligheter för medlemsländerna att genomföra EU-direktiv för sent eftersom man riskerar skadeståndsprocess redan sex månader efter det att direktivet skulle varit genomfört. EU:s institutioner (kommissionen och EU-domstolen, samt videolänk från EP) närvarade också och gav sin syn på betydelsen av tidsenligt genomförande och resonerade kring vad de nya befogenheterna för kommissionen kan komma att leda till. </w:t>
      </w:r>
    </w:p>
    <w:p w:rsidR="00DE1CA3" w:rsidRPr="00B13601" w:rsidRDefault="00DE1CA3" w:rsidP="000B797D">
      <w:pPr>
        <w:pStyle w:val="RKnormal"/>
        <w:rPr>
          <w:szCs w:val="24"/>
        </w:rPr>
      </w:pPr>
    </w:p>
    <w:p w:rsidR="00DE1CA3" w:rsidRPr="00B13601" w:rsidRDefault="00DE1CA3" w:rsidP="000B797D">
      <w:pPr>
        <w:pStyle w:val="RKnormal"/>
        <w:rPr>
          <w:szCs w:val="24"/>
        </w:rPr>
      </w:pPr>
      <w:r w:rsidRPr="00B13601">
        <w:rPr>
          <w:szCs w:val="24"/>
          <w:u w:val="single"/>
        </w:rPr>
        <w:t>Förslag till svensk ståndpunkt:</w:t>
      </w:r>
      <w:r w:rsidRPr="00B13601">
        <w:rPr>
          <w:szCs w:val="24"/>
        </w:rPr>
        <w:t xml:space="preserve"> Regeringen anser att konferensen gav berättigat fokus till frågan om genomförande i ljuset av de nya befogenheter kommissionen fått i Lissabonfördraget.</w:t>
      </w:r>
    </w:p>
    <w:p w:rsidR="000A4906" w:rsidRPr="00B13601" w:rsidRDefault="000A4906" w:rsidP="000B797D">
      <w:pPr>
        <w:pStyle w:val="RKnormal"/>
        <w:rPr>
          <w:szCs w:val="24"/>
        </w:rPr>
      </w:pPr>
    </w:p>
    <w:p w:rsidR="000A4906" w:rsidRPr="00B13601" w:rsidRDefault="000A4906" w:rsidP="000B797D">
      <w:pPr>
        <w:pStyle w:val="RKnormal"/>
        <w:rPr>
          <w:szCs w:val="24"/>
        </w:rPr>
      </w:pPr>
      <w:r w:rsidRPr="00B13601">
        <w:rPr>
          <w:szCs w:val="24"/>
        </w:rPr>
        <w:t xml:space="preserve">Se vidare rådspromemoria. </w:t>
      </w:r>
    </w:p>
    <w:p w:rsidR="00DE1CA3" w:rsidRPr="00B13601" w:rsidRDefault="00DE1CA3" w:rsidP="000B797D">
      <w:pPr>
        <w:pStyle w:val="RKnormal"/>
        <w:rPr>
          <w:szCs w:val="24"/>
        </w:rPr>
      </w:pPr>
    </w:p>
    <w:p w:rsidR="00557ABD" w:rsidRPr="00B13601" w:rsidRDefault="00557ABD" w:rsidP="000B797D">
      <w:pPr>
        <w:pStyle w:val="RKnormal"/>
        <w:rPr>
          <w:b/>
          <w:sz w:val="28"/>
          <w:szCs w:val="28"/>
        </w:rPr>
      </w:pPr>
    </w:p>
    <w:p w:rsidR="006B148D" w:rsidRPr="00B13601" w:rsidRDefault="00927A94" w:rsidP="000B797D">
      <w:pPr>
        <w:pStyle w:val="RKnormal"/>
        <w:rPr>
          <w:b/>
          <w:sz w:val="28"/>
          <w:szCs w:val="28"/>
        </w:rPr>
      </w:pPr>
      <w:r w:rsidRPr="00B13601">
        <w:rPr>
          <w:b/>
          <w:sz w:val="28"/>
          <w:szCs w:val="28"/>
        </w:rPr>
        <w:t>dp 1</w:t>
      </w:r>
      <w:r w:rsidR="002D43F7" w:rsidRPr="00B13601">
        <w:rPr>
          <w:b/>
          <w:sz w:val="28"/>
          <w:szCs w:val="28"/>
        </w:rPr>
        <w:t>0</w:t>
      </w:r>
      <w:r w:rsidRPr="00B13601">
        <w:rPr>
          <w:b/>
          <w:sz w:val="28"/>
          <w:szCs w:val="28"/>
        </w:rPr>
        <w:t xml:space="preserve"> </w:t>
      </w:r>
      <w:r w:rsidR="002D43F7" w:rsidRPr="00B13601">
        <w:rPr>
          <w:b/>
          <w:sz w:val="28"/>
          <w:szCs w:val="28"/>
        </w:rPr>
        <w:t>d</w:t>
      </w:r>
      <w:r w:rsidRPr="00B13601">
        <w:rPr>
          <w:b/>
          <w:sz w:val="28"/>
          <w:szCs w:val="28"/>
        </w:rPr>
        <w:t xml:space="preserve">) Inre marknaden </w:t>
      </w:r>
      <w:r w:rsidR="001C2BA7" w:rsidRPr="00B13601">
        <w:rPr>
          <w:b/>
          <w:sz w:val="28"/>
          <w:szCs w:val="28"/>
        </w:rPr>
        <w:t>- Tjänstedirektivet</w:t>
      </w:r>
      <w:r w:rsidRPr="00B13601">
        <w:rPr>
          <w:b/>
          <w:sz w:val="28"/>
          <w:szCs w:val="28"/>
        </w:rPr>
        <w:t xml:space="preserve">                                                                                      </w:t>
      </w:r>
    </w:p>
    <w:p w:rsidR="006B148D" w:rsidRPr="00B13601" w:rsidRDefault="006B148D" w:rsidP="000B797D">
      <w:pPr>
        <w:pStyle w:val="RKnormal"/>
        <w:rPr>
          <w:b/>
          <w:sz w:val="28"/>
          <w:szCs w:val="28"/>
        </w:rPr>
      </w:pPr>
    </w:p>
    <w:p w:rsidR="002D43F7" w:rsidRPr="00B13601" w:rsidRDefault="00927A94" w:rsidP="000B797D">
      <w:pPr>
        <w:pStyle w:val="RKnormal"/>
        <w:rPr>
          <w:szCs w:val="24"/>
        </w:rPr>
      </w:pPr>
      <w:r w:rsidRPr="00B13601">
        <w:rPr>
          <w:szCs w:val="24"/>
        </w:rPr>
        <w:t>–</w:t>
      </w:r>
      <w:r w:rsidR="002D43F7" w:rsidRPr="00B13601">
        <w:rPr>
          <w:szCs w:val="24"/>
        </w:rPr>
        <w:t xml:space="preserve"> Lägesrapport om genomförandet</w:t>
      </w:r>
    </w:p>
    <w:p w:rsidR="002D43F7" w:rsidRPr="00B13601" w:rsidRDefault="002D43F7" w:rsidP="000B797D">
      <w:pPr>
        <w:pStyle w:val="RKnormal"/>
        <w:rPr>
          <w:szCs w:val="24"/>
        </w:rPr>
      </w:pPr>
      <w:r w:rsidRPr="00B13601">
        <w:rPr>
          <w:szCs w:val="24"/>
        </w:rPr>
        <w:sym w:font="Symbol" w:char="F02D"/>
      </w:r>
      <w:r w:rsidR="00340913" w:rsidRPr="00B13601">
        <w:rPr>
          <w:szCs w:val="24"/>
        </w:rPr>
        <w:t xml:space="preserve"> </w:t>
      </w:r>
      <w:r w:rsidRPr="00B13601">
        <w:rPr>
          <w:szCs w:val="24"/>
        </w:rPr>
        <w:t>Den ömsesidiga utvärderingen</w:t>
      </w:r>
    </w:p>
    <w:p w:rsidR="002D43F7" w:rsidRPr="00B13601" w:rsidRDefault="002D43F7" w:rsidP="000B797D">
      <w:pPr>
        <w:pStyle w:val="RKnormal"/>
        <w:rPr>
          <w:szCs w:val="24"/>
        </w:rPr>
      </w:pPr>
      <w:r w:rsidRPr="00B13601">
        <w:rPr>
          <w:szCs w:val="24"/>
        </w:rPr>
        <w:t>Information från kommissionen</w:t>
      </w:r>
    </w:p>
    <w:p w:rsidR="00B11918" w:rsidRPr="00B13601" w:rsidRDefault="00B11918" w:rsidP="000B797D">
      <w:pPr>
        <w:pStyle w:val="RKnormal"/>
        <w:rPr>
          <w:b/>
          <w:szCs w:val="24"/>
        </w:rPr>
      </w:pPr>
      <w:r w:rsidRPr="00B13601">
        <w:rPr>
          <w:b/>
          <w:szCs w:val="24"/>
        </w:rPr>
        <w:t>Ansvarig: sr Ewa Björling</w:t>
      </w:r>
    </w:p>
    <w:p w:rsidR="002D43F7" w:rsidRPr="00B13601" w:rsidRDefault="002D43F7" w:rsidP="000B797D">
      <w:pPr>
        <w:pStyle w:val="RKnormal"/>
        <w:rPr>
          <w:i/>
          <w:szCs w:val="24"/>
        </w:rPr>
      </w:pPr>
    </w:p>
    <w:p w:rsidR="002D43F7" w:rsidRPr="00B13601" w:rsidRDefault="002D43F7" w:rsidP="000B797D">
      <w:pPr>
        <w:pStyle w:val="RKnormal"/>
        <w:rPr>
          <w:szCs w:val="24"/>
        </w:rPr>
      </w:pPr>
      <w:r w:rsidRPr="00B13601">
        <w:rPr>
          <w:szCs w:val="24"/>
        </w:rPr>
        <w:t xml:space="preserve">På en begäran från den nederländska delegationen ska kommissionen ge en lägesuppdatering såvitt avser genomförandet ute i medlemsstaterna samt hur arbetet fortlöper med anledning av den nu avslutade processen med ömsesidig utvärdering. </w:t>
      </w:r>
    </w:p>
    <w:p w:rsidR="002D43F7" w:rsidRPr="00B13601" w:rsidRDefault="002D43F7" w:rsidP="000B797D">
      <w:pPr>
        <w:pStyle w:val="RKnormal"/>
        <w:rPr>
          <w:szCs w:val="24"/>
        </w:rPr>
      </w:pPr>
    </w:p>
    <w:p w:rsidR="002D43F7" w:rsidRPr="00B13601" w:rsidRDefault="002D43F7" w:rsidP="000B797D">
      <w:pPr>
        <w:pStyle w:val="RKnormal"/>
        <w:rPr>
          <w:szCs w:val="24"/>
        </w:rPr>
      </w:pPr>
      <w:r w:rsidRPr="00B13601">
        <w:rPr>
          <w:szCs w:val="24"/>
          <w:u w:val="single"/>
        </w:rPr>
        <w:t>Förslag till svensk ståndpunkt:</w:t>
      </w:r>
      <w:r w:rsidRPr="00B13601">
        <w:rPr>
          <w:szCs w:val="24"/>
        </w:rPr>
        <w:t xml:space="preserve"> Tjänstedirektivet är centralt i arbetet med att stärka den inre marknaden och ett väl genomfört direktiv kan bidra till en ökad tjänstehandel i Europa. Sverige välkomnar att en regelbunden rapportering görs till KKR kring genomförandet av direktivet i nationell rätt. Vidare ställer sig Sverige positivt till metoden med ömsesidig utvärdering och arbetet så här långt.</w:t>
      </w:r>
    </w:p>
    <w:p w:rsidR="005B4622" w:rsidRPr="00B13601" w:rsidRDefault="005B4622" w:rsidP="000B797D">
      <w:pPr>
        <w:pStyle w:val="RKnormal"/>
        <w:rPr>
          <w:szCs w:val="24"/>
        </w:rPr>
      </w:pPr>
    </w:p>
    <w:p w:rsidR="005B4622" w:rsidRPr="00B13601" w:rsidRDefault="005B4622" w:rsidP="000B797D">
      <w:pPr>
        <w:pStyle w:val="RKnormal"/>
        <w:rPr>
          <w:szCs w:val="24"/>
        </w:rPr>
      </w:pPr>
    </w:p>
    <w:sectPr w:rsidR="005B4622" w:rsidRPr="00B1360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ABE" w:rsidRPr="00B13601" w:rsidRDefault="00E60ABE">
      <w:r w:rsidRPr="00B13601">
        <w:separator/>
      </w:r>
    </w:p>
  </w:endnote>
  <w:endnote w:type="continuationSeparator" w:id="0">
    <w:p w:rsidR="00E60ABE" w:rsidRPr="00B13601" w:rsidRDefault="00E60ABE">
      <w:r w:rsidRPr="00B136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ABE" w:rsidRPr="00B13601" w:rsidRDefault="00E60ABE">
      <w:r w:rsidRPr="00B13601">
        <w:separator/>
      </w:r>
    </w:p>
  </w:footnote>
  <w:footnote w:type="continuationSeparator" w:id="0">
    <w:p w:rsidR="00E60ABE" w:rsidRPr="00B13601" w:rsidRDefault="00E60ABE">
      <w:r w:rsidRPr="00B136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C98" w:rsidRPr="00B13601" w:rsidRDefault="00AC1C98">
    <w:pPr>
      <w:pStyle w:val="Sidhuvud"/>
      <w:framePr w:wrap="around" w:vAnchor="text" w:hAnchor="margin" w:xAlign="right" w:y="1"/>
      <w:rPr>
        <w:rStyle w:val="Sidnummer"/>
      </w:rPr>
    </w:pPr>
    <w:r w:rsidRPr="00B13601">
      <w:rPr>
        <w:rStyle w:val="Sidnummer"/>
      </w:rPr>
      <w:fldChar w:fldCharType="begin" w:fldLock="1"/>
    </w:r>
    <w:r w:rsidRPr="00B13601">
      <w:rPr>
        <w:rStyle w:val="Sidnummer"/>
      </w:rPr>
      <w:instrText xml:space="preserve">PAGE  </w:instrText>
    </w:r>
    <w:r w:rsidRPr="00B13601">
      <w:rPr>
        <w:rStyle w:val="Sidnummer"/>
      </w:rPr>
      <w:fldChar w:fldCharType="separate"/>
    </w:r>
    <w:r w:rsidR="005012A5" w:rsidRPr="00B13601">
      <w:rPr>
        <w:rStyle w:val="Sidnummer"/>
      </w:rPr>
      <w:t>6</w:t>
    </w:r>
    <w:r w:rsidRPr="00B1360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C1C98" w:rsidRPr="00B13601">
      <w:tblPrEx>
        <w:tblCellMar>
          <w:top w:w="0" w:type="dxa"/>
          <w:bottom w:w="0" w:type="dxa"/>
        </w:tblCellMar>
      </w:tblPrEx>
      <w:trPr>
        <w:cantSplit/>
      </w:trPr>
      <w:tc>
        <w:tcPr>
          <w:tcW w:w="3119" w:type="dxa"/>
        </w:tcPr>
        <w:p w:rsidR="00AC1C98" w:rsidRPr="00B13601" w:rsidRDefault="00AC1C98">
          <w:pPr>
            <w:pStyle w:val="Sidhuvud"/>
            <w:spacing w:line="200" w:lineRule="atLeast"/>
            <w:ind w:right="357"/>
            <w:rPr>
              <w:rFonts w:ascii="TradeGothic" w:hAnsi="TradeGothic"/>
              <w:b/>
              <w:bCs/>
              <w:sz w:val="16"/>
            </w:rPr>
          </w:pPr>
        </w:p>
      </w:tc>
      <w:tc>
        <w:tcPr>
          <w:tcW w:w="4111" w:type="dxa"/>
          <w:tcMar>
            <w:left w:w="567" w:type="dxa"/>
          </w:tcMar>
        </w:tcPr>
        <w:p w:rsidR="00AC1C98" w:rsidRPr="00B13601" w:rsidRDefault="00AC1C98">
          <w:pPr>
            <w:pStyle w:val="Sidhuvud"/>
            <w:ind w:right="360"/>
          </w:pPr>
        </w:p>
      </w:tc>
      <w:tc>
        <w:tcPr>
          <w:tcW w:w="1525" w:type="dxa"/>
        </w:tcPr>
        <w:p w:rsidR="00AC1C98" w:rsidRPr="00B13601" w:rsidRDefault="00AC1C98">
          <w:pPr>
            <w:pStyle w:val="Sidhuvud"/>
            <w:ind w:right="360"/>
          </w:pPr>
        </w:p>
      </w:tc>
    </w:tr>
  </w:tbl>
  <w:p w:rsidR="00AC1C98" w:rsidRPr="00B13601" w:rsidRDefault="00AC1C9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C98" w:rsidRPr="00B13601" w:rsidRDefault="00AC1C98">
    <w:pPr>
      <w:pStyle w:val="Sidhuvud"/>
      <w:framePr w:wrap="around" w:vAnchor="text" w:hAnchor="margin" w:xAlign="right" w:y="1"/>
      <w:rPr>
        <w:rStyle w:val="Sidnummer"/>
      </w:rPr>
    </w:pPr>
    <w:r w:rsidRPr="00B13601">
      <w:rPr>
        <w:rStyle w:val="Sidnummer"/>
      </w:rPr>
      <w:fldChar w:fldCharType="begin" w:fldLock="1"/>
    </w:r>
    <w:r w:rsidRPr="00B13601">
      <w:rPr>
        <w:rStyle w:val="Sidnummer"/>
      </w:rPr>
      <w:instrText xml:space="preserve">PAGE  </w:instrText>
    </w:r>
    <w:r w:rsidRPr="00B13601">
      <w:rPr>
        <w:rStyle w:val="Sidnummer"/>
      </w:rPr>
      <w:fldChar w:fldCharType="separate"/>
    </w:r>
    <w:r w:rsidR="005012A5" w:rsidRPr="00B13601">
      <w:rPr>
        <w:rStyle w:val="Sidnummer"/>
      </w:rPr>
      <w:t>7</w:t>
    </w:r>
    <w:r w:rsidRPr="00B1360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C1C98" w:rsidRPr="00B13601">
      <w:tblPrEx>
        <w:tblCellMar>
          <w:top w:w="0" w:type="dxa"/>
          <w:bottom w:w="0" w:type="dxa"/>
        </w:tblCellMar>
      </w:tblPrEx>
      <w:trPr>
        <w:cantSplit/>
      </w:trPr>
      <w:tc>
        <w:tcPr>
          <w:tcW w:w="3119" w:type="dxa"/>
        </w:tcPr>
        <w:p w:rsidR="00AC1C98" w:rsidRPr="00B13601" w:rsidRDefault="00AC1C98">
          <w:pPr>
            <w:pStyle w:val="Sidhuvud"/>
            <w:spacing w:line="200" w:lineRule="atLeast"/>
            <w:ind w:right="357"/>
            <w:rPr>
              <w:rFonts w:ascii="TradeGothic" w:hAnsi="TradeGothic"/>
              <w:b/>
              <w:bCs/>
              <w:sz w:val="16"/>
            </w:rPr>
          </w:pPr>
        </w:p>
      </w:tc>
      <w:tc>
        <w:tcPr>
          <w:tcW w:w="4111" w:type="dxa"/>
          <w:tcMar>
            <w:left w:w="567" w:type="dxa"/>
          </w:tcMar>
        </w:tcPr>
        <w:p w:rsidR="00AC1C98" w:rsidRPr="00B13601" w:rsidRDefault="00AC1C98">
          <w:pPr>
            <w:pStyle w:val="Sidhuvud"/>
            <w:ind w:right="360"/>
          </w:pPr>
        </w:p>
      </w:tc>
      <w:tc>
        <w:tcPr>
          <w:tcW w:w="1525" w:type="dxa"/>
        </w:tcPr>
        <w:p w:rsidR="00AC1C98" w:rsidRPr="00B13601" w:rsidRDefault="00AC1C98">
          <w:pPr>
            <w:pStyle w:val="Sidhuvud"/>
            <w:ind w:right="360"/>
          </w:pPr>
        </w:p>
      </w:tc>
    </w:tr>
  </w:tbl>
  <w:p w:rsidR="00AC1C98" w:rsidRPr="00B13601" w:rsidRDefault="00AC1C9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C98" w:rsidRPr="00B13601" w:rsidRDefault="00B13601">
    <w:pPr>
      <w:framePr w:w="2948" w:h="1321" w:hRule="exact" w:wrap="notBeside" w:vAnchor="page" w:hAnchor="page" w:x="1362" w:y="653"/>
    </w:pPr>
    <w:r w:rsidRPr="00B1360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C1C98" w:rsidRPr="00B13601" w:rsidRDefault="00AC1C98">
    <w:pPr>
      <w:pStyle w:val="RKrubrik"/>
      <w:keepNext w:val="0"/>
      <w:tabs>
        <w:tab w:val="clear" w:pos="1134"/>
        <w:tab w:val="clear" w:pos="2835"/>
      </w:tabs>
      <w:spacing w:before="0" w:after="0" w:line="320" w:lineRule="atLeast"/>
      <w:rPr>
        <w:bCs/>
      </w:rPr>
    </w:pPr>
  </w:p>
  <w:p w:rsidR="00AC1C98" w:rsidRPr="00B13601" w:rsidRDefault="00AC1C98">
    <w:pPr>
      <w:rPr>
        <w:rFonts w:ascii="TradeGothic" w:hAnsi="TradeGothic"/>
        <w:b/>
        <w:bCs/>
        <w:spacing w:val="12"/>
        <w:sz w:val="22"/>
      </w:rPr>
    </w:pPr>
  </w:p>
  <w:p w:rsidR="00AC1C98" w:rsidRPr="00B13601" w:rsidRDefault="00AC1C98">
    <w:pPr>
      <w:pStyle w:val="RKrubrik"/>
      <w:keepNext w:val="0"/>
      <w:tabs>
        <w:tab w:val="clear" w:pos="1134"/>
        <w:tab w:val="clear" w:pos="2835"/>
      </w:tabs>
      <w:spacing w:before="0" w:after="0" w:line="320" w:lineRule="atLeast"/>
      <w:rPr>
        <w:bCs/>
      </w:rPr>
    </w:pPr>
  </w:p>
  <w:p w:rsidR="00AC1C98" w:rsidRPr="00B13601" w:rsidRDefault="00AC1C9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CE2"/>
    <w:multiLevelType w:val="multilevel"/>
    <w:tmpl w:val="D42C4938"/>
    <w:lvl w:ilvl="0">
      <w:start w:val="1"/>
      <w:numFmt w:val="decimal"/>
      <w:lvlText w:val="%1."/>
      <w:lvlJc w:val="left"/>
      <w:pPr>
        <w:tabs>
          <w:tab w:val="num" w:pos="1500"/>
        </w:tabs>
        <w:ind w:left="1500" w:hanging="11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D029C3"/>
    <w:multiLevelType w:val="hybridMultilevel"/>
    <w:tmpl w:val="9B1AD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F43C50"/>
    <w:multiLevelType w:val="hybridMultilevel"/>
    <w:tmpl w:val="07C6A2FA"/>
    <w:lvl w:ilvl="0" w:tplc="8FF8AC2A">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7E27F8"/>
    <w:multiLevelType w:val="hybridMultilevel"/>
    <w:tmpl w:val="FEEE890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8882A9E"/>
    <w:multiLevelType w:val="hybridMultilevel"/>
    <w:tmpl w:val="49DE29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94454E0"/>
    <w:multiLevelType w:val="hybridMultilevel"/>
    <w:tmpl w:val="D56C234C"/>
    <w:lvl w:ilvl="0" w:tplc="52808608">
      <w:start w:val="13"/>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2A454BB5"/>
    <w:multiLevelType w:val="multilevel"/>
    <w:tmpl w:val="E820AEEE"/>
    <w:lvl w:ilvl="0">
      <w:start w:val="14"/>
      <w:numFmt w:val="decimal"/>
      <w:lvlText w:val="%1."/>
      <w:lvlJc w:val="left"/>
      <w:pPr>
        <w:tabs>
          <w:tab w:val="num" w:pos="1500"/>
        </w:tabs>
        <w:ind w:left="1500" w:hanging="11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37C1360"/>
    <w:multiLevelType w:val="hybridMultilevel"/>
    <w:tmpl w:val="D42C4938"/>
    <w:lvl w:ilvl="0" w:tplc="6388C55C">
      <w:start w:val="1"/>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63684E4B"/>
    <w:multiLevelType w:val="multilevel"/>
    <w:tmpl w:val="D42C4938"/>
    <w:lvl w:ilvl="0">
      <w:start w:val="1"/>
      <w:numFmt w:val="decimal"/>
      <w:lvlText w:val="%1."/>
      <w:lvlJc w:val="left"/>
      <w:pPr>
        <w:tabs>
          <w:tab w:val="num" w:pos="1500"/>
        </w:tabs>
        <w:ind w:left="1500" w:hanging="11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B031C86"/>
    <w:multiLevelType w:val="hybridMultilevel"/>
    <w:tmpl w:val="E820AEEE"/>
    <w:lvl w:ilvl="0" w:tplc="DEAAD4A2">
      <w:start w:val="14"/>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0777336">
    <w:abstractNumId w:val="2"/>
  </w:num>
  <w:num w:numId="2" w16cid:durableId="1415131860">
    <w:abstractNumId w:val="3"/>
  </w:num>
  <w:num w:numId="3" w16cid:durableId="693729748">
    <w:abstractNumId w:val="4"/>
  </w:num>
  <w:num w:numId="4" w16cid:durableId="2069110108">
    <w:abstractNumId w:val="7"/>
  </w:num>
  <w:num w:numId="5" w16cid:durableId="1999962426">
    <w:abstractNumId w:val="0"/>
  </w:num>
  <w:num w:numId="6" w16cid:durableId="900022480">
    <w:abstractNumId w:val="9"/>
  </w:num>
  <w:num w:numId="7" w16cid:durableId="847986128">
    <w:abstractNumId w:val="6"/>
  </w:num>
  <w:num w:numId="8" w16cid:durableId="409080201">
    <w:abstractNumId w:val="5"/>
  </w:num>
  <w:num w:numId="9" w16cid:durableId="2050296560">
    <w:abstractNumId w:val="8"/>
  </w:num>
  <w:num w:numId="10" w16cid:durableId="149070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F21E40"/>
    <w:rsid w:val="00012BBB"/>
    <w:rsid w:val="000325BF"/>
    <w:rsid w:val="000634C3"/>
    <w:rsid w:val="00095A5C"/>
    <w:rsid w:val="000967DA"/>
    <w:rsid w:val="000A4906"/>
    <w:rsid w:val="000B4CC4"/>
    <w:rsid w:val="000B797D"/>
    <w:rsid w:val="000C6BEB"/>
    <w:rsid w:val="000D1AA2"/>
    <w:rsid w:val="000D1B67"/>
    <w:rsid w:val="00150384"/>
    <w:rsid w:val="001511D1"/>
    <w:rsid w:val="00155B49"/>
    <w:rsid w:val="001805B7"/>
    <w:rsid w:val="00194FA5"/>
    <w:rsid w:val="001B5D49"/>
    <w:rsid w:val="001C2BA7"/>
    <w:rsid w:val="001C5C2D"/>
    <w:rsid w:val="001E5494"/>
    <w:rsid w:val="0020238A"/>
    <w:rsid w:val="002104E6"/>
    <w:rsid w:val="0021380F"/>
    <w:rsid w:val="0025442B"/>
    <w:rsid w:val="00256FD1"/>
    <w:rsid w:val="002A2215"/>
    <w:rsid w:val="002B024B"/>
    <w:rsid w:val="002B6946"/>
    <w:rsid w:val="002D43F7"/>
    <w:rsid w:val="00340913"/>
    <w:rsid w:val="00351F55"/>
    <w:rsid w:val="0035259D"/>
    <w:rsid w:val="003C47B4"/>
    <w:rsid w:val="003D5B1B"/>
    <w:rsid w:val="00411D99"/>
    <w:rsid w:val="0043301A"/>
    <w:rsid w:val="00434BB6"/>
    <w:rsid w:val="00446161"/>
    <w:rsid w:val="00481334"/>
    <w:rsid w:val="004A328D"/>
    <w:rsid w:val="004A3533"/>
    <w:rsid w:val="004B3F70"/>
    <w:rsid w:val="004C0840"/>
    <w:rsid w:val="004C1094"/>
    <w:rsid w:val="004D042D"/>
    <w:rsid w:val="004F6044"/>
    <w:rsid w:val="005012A5"/>
    <w:rsid w:val="005154C0"/>
    <w:rsid w:val="00517881"/>
    <w:rsid w:val="00524CCB"/>
    <w:rsid w:val="0052695E"/>
    <w:rsid w:val="00534D20"/>
    <w:rsid w:val="00540CD6"/>
    <w:rsid w:val="00542844"/>
    <w:rsid w:val="00544411"/>
    <w:rsid w:val="00557ABD"/>
    <w:rsid w:val="005B4622"/>
    <w:rsid w:val="005D6BCB"/>
    <w:rsid w:val="00656E2C"/>
    <w:rsid w:val="006A2027"/>
    <w:rsid w:val="006B148D"/>
    <w:rsid w:val="006C18A9"/>
    <w:rsid w:val="006E4E11"/>
    <w:rsid w:val="007242A3"/>
    <w:rsid w:val="00724F62"/>
    <w:rsid w:val="00741E2A"/>
    <w:rsid w:val="0075394F"/>
    <w:rsid w:val="00756116"/>
    <w:rsid w:val="00773027"/>
    <w:rsid w:val="007A4AD0"/>
    <w:rsid w:val="0082645C"/>
    <w:rsid w:val="00841634"/>
    <w:rsid w:val="00862CF9"/>
    <w:rsid w:val="008A0FC4"/>
    <w:rsid w:val="008F7684"/>
    <w:rsid w:val="00921813"/>
    <w:rsid w:val="00927A94"/>
    <w:rsid w:val="00986D9F"/>
    <w:rsid w:val="009946A5"/>
    <w:rsid w:val="009A00DD"/>
    <w:rsid w:val="009A2060"/>
    <w:rsid w:val="009A3C90"/>
    <w:rsid w:val="009B1542"/>
    <w:rsid w:val="009C5651"/>
    <w:rsid w:val="009C5B78"/>
    <w:rsid w:val="009C5EC4"/>
    <w:rsid w:val="009C6363"/>
    <w:rsid w:val="009E773D"/>
    <w:rsid w:val="00A00CF7"/>
    <w:rsid w:val="00A32687"/>
    <w:rsid w:val="00A67166"/>
    <w:rsid w:val="00A720AD"/>
    <w:rsid w:val="00A97668"/>
    <w:rsid w:val="00AA63BB"/>
    <w:rsid w:val="00AC1C98"/>
    <w:rsid w:val="00AE1CA8"/>
    <w:rsid w:val="00AF6122"/>
    <w:rsid w:val="00B01B0B"/>
    <w:rsid w:val="00B11918"/>
    <w:rsid w:val="00B13601"/>
    <w:rsid w:val="00B847A3"/>
    <w:rsid w:val="00BB079D"/>
    <w:rsid w:val="00BF2E14"/>
    <w:rsid w:val="00C002AE"/>
    <w:rsid w:val="00C07617"/>
    <w:rsid w:val="00C11A59"/>
    <w:rsid w:val="00C20181"/>
    <w:rsid w:val="00C31A41"/>
    <w:rsid w:val="00C33EA7"/>
    <w:rsid w:val="00C506C8"/>
    <w:rsid w:val="00C513CE"/>
    <w:rsid w:val="00C94329"/>
    <w:rsid w:val="00C95F81"/>
    <w:rsid w:val="00CB38EB"/>
    <w:rsid w:val="00CC66D3"/>
    <w:rsid w:val="00CE0ACA"/>
    <w:rsid w:val="00CE5411"/>
    <w:rsid w:val="00D55151"/>
    <w:rsid w:val="00D57206"/>
    <w:rsid w:val="00D630BA"/>
    <w:rsid w:val="00DB0CE8"/>
    <w:rsid w:val="00DB369D"/>
    <w:rsid w:val="00DB490A"/>
    <w:rsid w:val="00DE1CA3"/>
    <w:rsid w:val="00DE3786"/>
    <w:rsid w:val="00DF22DE"/>
    <w:rsid w:val="00E31F32"/>
    <w:rsid w:val="00E60ABE"/>
    <w:rsid w:val="00E630C0"/>
    <w:rsid w:val="00E74B02"/>
    <w:rsid w:val="00EA0F02"/>
    <w:rsid w:val="00EC25F9"/>
    <w:rsid w:val="00EE3A43"/>
    <w:rsid w:val="00EE405F"/>
    <w:rsid w:val="00EE47E5"/>
    <w:rsid w:val="00EF0E8C"/>
    <w:rsid w:val="00F15EB5"/>
    <w:rsid w:val="00F21E40"/>
    <w:rsid w:val="00F249F7"/>
    <w:rsid w:val="00F42949"/>
    <w:rsid w:val="00F50C04"/>
    <w:rsid w:val="00F6649D"/>
    <w:rsid w:val="00F808AC"/>
    <w:rsid w:val="00FB77C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7A96768-0F33-4BE7-9A5B-22654D0C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181"/>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semiHidden/>
    <w:rsid w:val="00F249F7"/>
    <w:rPr>
      <w:vertAlign w:val="superscript"/>
    </w:rPr>
  </w:style>
  <w:style w:type="paragraph" w:styleId="Fotnotstext">
    <w:name w:val="footnote text"/>
    <w:basedOn w:val="Normal"/>
    <w:semiHidden/>
    <w:rsid w:val="00F249F7"/>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RKnormalChar">
    <w:name w:val="RKnormal Char"/>
    <w:basedOn w:val="Standardstycketeckensnitt"/>
    <w:link w:val="RKnormal"/>
    <w:rsid w:val="00012BB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1941</Words>
  <Characters>12404</Characters>
  <Application>Microsoft Office Word</Application>
  <DocSecurity>4</DocSecurity>
  <Lines>344</Lines>
  <Paragraphs>88</Paragraphs>
  <ScaleCrop>false</ScaleCrop>
  <HeadingPairs>
    <vt:vector size="2" baseType="variant">
      <vt:variant>
        <vt:lpstr>Rubrik</vt:lpstr>
      </vt:variant>
      <vt:variant>
        <vt:i4>1</vt:i4>
      </vt:variant>
    </vt:vector>
  </HeadingPairs>
  <TitlesOfParts>
    <vt:vector size="1" baseType="lpstr">
      <vt:lpstr>Kommenterad dagordning inför </vt:lpstr>
    </vt:vector>
  </TitlesOfParts>
  <Company>Regeringskansliet</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dc:title>
  <dc:subject>Kommenterad dagordning inför </dc:subject>
  <dc:creator>Riksdagen</dc:creator>
  <cp:keywords>Riksdagen</cp:keywords>
  <dc:description/>
  <cp:lastModifiedBy>Lars Brink</cp:lastModifiedBy>
  <cp:revision>2</cp:revision>
  <cp:lastPrinted>2010-11-29T09:56:00Z</cp:lastPrinted>
  <dcterms:created xsi:type="dcterms:W3CDTF">2025-12-18T03:52:00Z</dcterms:created>
  <dcterms:modified xsi:type="dcterms:W3CDTF">2025-12-18T03:52:00Z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RKOrdnaDepartement">
    <vt:lpwstr>Utrikesdepartementet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Maria Arenbjörk</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Henrik Gorbow</vt:lpwstr>
  </property>
  <property fmtid="{D5CDD505-2E9C-101B-9397-08002B2CF9AE}" pid="18" name="_SharedFileIndex">
    <vt:lpwstr/>
  </property>
  <property fmtid="{D5CDD505-2E9C-101B-9397-08002B2CF9AE}" pid="19" name="QFMSP source name">
    <vt:lpwstr/>
  </property>
</Properties>
</file>