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566BEB" w:rsidTr="001E488F">
        <w:tc>
          <w:tcPr>
            <w:tcW w:w="2268" w:type="dxa"/>
          </w:tcPr>
          <w:p w:rsidR="00566BEB" w:rsidRDefault="00566BEB"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566BEB" w:rsidRDefault="00566BEB" w:rsidP="007242A3">
            <w:pPr>
              <w:framePr w:w="5035" w:h="1644" w:wrap="notBeside" w:vAnchor="page" w:hAnchor="page" w:x="6573" w:y="721"/>
              <w:rPr>
                <w:rFonts w:ascii="TradeGothic" w:hAnsi="TradeGothic"/>
                <w:i/>
                <w:sz w:val="18"/>
              </w:rPr>
            </w:pPr>
          </w:p>
        </w:tc>
      </w:tr>
      <w:tr w:rsidR="00566BEB" w:rsidTr="001E488F">
        <w:tc>
          <w:tcPr>
            <w:tcW w:w="5267" w:type="dxa"/>
            <w:gridSpan w:val="3"/>
          </w:tcPr>
          <w:p w:rsidR="00566BEB" w:rsidRDefault="00566BEB"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566BEB" w:rsidTr="001E488F">
        <w:tc>
          <w:tcPr>
            <w:tcW w:w="3402" w:type="dxa"/>
            <w:gridSpan w:val="2"/>
          </w:tcPr>
          <w:p w:rsidR="00566BEB" w:rsidRDefault="00566BEB" w:rsidP="007242A3">
            <w:pPr>
              <w:framePr w:w="5035" w:h="1644" w:wrap="notBeside" w:vAnchor="page" w:hAnchor="page" w:x="6573" w:y="721"/>
            </w:pPr>
          </w:p>
        </w:tc>
        <w:tc>
          <w:tcPr>
            <w:tcW w:w="1865" w:type="dxa"/>
          </w:tcPr>
          <w:p w:rsidR="00566BEB" w:rsidRDefault="00566BEB" w:rsidP="007242A3">
            <w:pPr>
              <w:framePr w:w="5035" w:h="1644" w:wrap="notBeside" w:vAnchor="page" w:hAnchor="page" w:x="6573" w:y="721"/>
            </w:pPr>
          </w:p>
        </w:tc>
      </w:tr>
      <w:tr w:rsidR="00566BEB" w:rsidTr="001E488F">
        <w:tc>
          <w:tcPr>
            <w:tcW w:w="2268" w:type="dxa"/>
          </w:tcPr>
          <w:p w:rsidR="00566BEB" w:rsidRDefault="00566BEB" w:rsidP="007242A3">
            <w:pPr>
              <w:framePr w:w="5035" w:h="1644" w:wrap="notBeside" w:vAnchor="page" w:hAnchor="page" w:x="6573" w:y="721"/>
            </w:pPr>
            <w:r>
              <w:t>2011-11-29</w:t>
            </w:r>
          </w:p>
        </w:tc>
        <w:tc>
          <w:tcPr>
            <w:tcW w:w="2999" w:type="dxa"/>
            <w:gridSpan w:val="2"/>
          </w:tcPr>
          <w:p w:rsidR="00566BEB" w:rsidRPr="00ED583F" w:rsidRDefault="00566BEB" w:rsidP="007242A3">
            <w:pPr>
              <w:framePr w:w="5035" w:h="1644" w:wrap="notBeside" w:vAnchor="page" w:hAnchor="page" w:x="6573" w:y="721"/>
              <w:rPr>
                <w:sz w:val="20"/>
              </w:rPr>
            </w:pPr>
          </w:p>
        </w:tc>
      </w:tr>
      <w:tr w:rsidR="00566BEB" w:rsidTr="001E488F">
        <w:tc>
          <w:tcPr>
            <w:tcW w:w="2268" w:type="dxa"/>
          </w:tcPr>
          <w:p w:rsidR="00566BEB" w:rsidRDefault="00566BEB" w:rsidP="007242A3">
            <w:pPr>
              <w:framePr w:w="5035" w:h="1644" w:wrap="notBeside" w:vAnchor="page" w:hAnchor="page" w:x="6573" w:y="721"/>
            </w:pPr>
          </w:p>
        </w:tc>
        <w:tc>
          <w:tcPr>
            <w:tcW w:w="2999" w:type="dxa"/>
            <w:gridSpan w:val="2"/>
          </w:tcPr>
          <w:p w:rsidR="00566BEB" w:rsidRDefault="00566BEB" w:rsidP="007242A3">
            <w:pPr>
              <w:framePr w:w="5035" w:h="1644" w:wrap="notBeside" w:vAnchor="page" w:hAnchor="page" w:x="6573" w:y="721"/>
            </w:pPr>
          </w:p>
        </w:tc>
      </w:tr>
    </w:tbl>
    <w:tbl>
      <w:tblPr>
        <w:tblW w:w="0" w:type="auto"/>
        <w:tblLayout w:type="fixed"/>
        <w:tblLook w:val="0000"/>
      </w:tblPr>
      <w:tblGrid>
        <w:gridCol w:w="4911"/>
      </w:tblGrid>
      <w:tr w:rsidR="00566BEB">
        <w:trPr>
          <w:trHeight w:val="284"/>
        </w:trPr>
        <w:tc>
          <w:tcPr>
            <w:tcW w:w="4911" w:type="dxa"/>
          </w:tcPr>
          <w:p w:rsidR="00566BEB" w:rsidRDefault="00566BEB">
            <w:pPr>
              <w:pStyle w:val="Avsndare"/>
              <w:framePr w:h="2483" w:wrap="notBeside" w:x="1504"/>
              <w:rPr>
                <w:b/>
                <w:i w:val="0"/>
                <w:sz w:val="22"/>
              </w:rPr>
            </w:pPr>
            <w:r>
              <w:rPr>
                <w:b/>
                <w:i w:val="0"/>
                <w:sz w:val="22"/>
              </w:rPr>
              <w:t>Näringsdepartementet</w:t>
            </w:r>
          </w:p>
        </w:tc>
      </w:tr>
      <w:tr w:rsidR="00566BEB">
        <w:trPr>
          <w:trHeight w:val="284"/>
        </w:trPr>
        <w:tc>
          <w:tcPr>
            <w:tcW w:w="4911" w:type="dxa"/>
          </w:tcPr>
          <w:p w:rsidR="00566BEB" w:rsidRDefault="00566BEB">
            <w:pPr>
              <w:pStyle w:val="Avsndare"/>
              <w:framePr w:h="2483" w:wrap="notBeside" w:x="1504"/>
              <w:rPr>
                <w:bCs/>
                <w:iCs/>
              </w:rPr>
            </w:pPr>
          </w:p>
        </w:tc>
      </w:tr>
      <w:tr w:rsidR="00566BEB">
        <w:trPr>
          <w:trHeight w:val="284"/>
        </w:trPr>
        <w:tc>
          <w:tcPr>
            <w:tcW w:w="4911" w:type="dxa"/>
          </w:tcPr>
          <w:p w:rsidR="00566BEB" w:rsidRDefault="00566BEB">
            <w:pPr>
              <w:pStyle w:val="Avsndare"/>
              <w:framePr w:h="2483" w:wrap="notBeside" w:x="1504"/>
              <w:rPr>
                <w:bCs/>
                <w:iCs/>
              </w:rPr>
            </w:pPr>
            <w:r>
              <w:rPr>
                <w:bCs/>
                <w:iCs/>
              </w:rPr>
              <w:t>IT-politik</w:t>
            </w:r>
          </w:p>
        </w:tc>
      </w:tr>
      <w:tr w:rsidR="00566BEB">
        <w:trPr>
          <w:trHeight w:val="284"/>
        </w:trPr>
        <w:tc>
          <w:tcPr>
            <w:tcW w:w="4911" w:type="dxa"/>
          </w:tcPr>
          <w:p w:rsidR="00566BEB" w:rsidRDefault="00566BEB">
            <w:pPr>
              <w:pStyle w:val="Avsndare"/>
              <w:framePr w:h="2483" w:wrap="notBeside" w:x="1504"/>
              <w:rPr>
                <w:bCs/>
                <w:iCs/>
              </w:rPr>
            </w:pPr>
          </w:p>
        </w:tc>
      </w:tr>
      <w:tr w:rsidR="00566BEB">
        <w:trPr>
          <w:trHeight w:val="284"/>
        </w:trPr>
        <w:tc>
          <w:tcPr>
            <w:tcW w:w="4911" w:type="dxa"/>
          </w:tcPr>
          <w:p w:rsidR="00566BEB" w:rsidRDefault="00566BEB">
            <w:pPr>
              <w:pStyle w:val="Avsndare"/>
              <w:framePr w:h="2483" w:wrap="notBeside" w:x="1504"/>
              <w:rPr>
                <w:bCs/>
                <w:iCs/>
              </w:rPr>
            </w:pPr>
          </w:p>
        </w:tc>
      </w:tr>
      <w:tr w:rsidR="00566BEB">
        <w:trPr>
          <w:trHeight w:val="284"/>
        </w:trPr>
        <w:tc>
          <w:tcPr>
            <w:tcW w:w="4911" w:type="dxa"/>
          </w:tcPr>
          <w:p w:rsidR="00566BEB" w:rsidRDefault="00566BEB">
            <w:pPr>
              <w:pStyle w:val="Avsndare"/>
              <w:framePr w:h="2483" w:wrap="notBeside" w:x="1504"/>
              <w:rPr>
                <w:bCs/>
                <w:iCs/>
              </w:rPr>
            </w:pPr>
          </w:p>
        </w:tc>
      </w:tr>
      <w:tr w:rsidR="00566BEB">
        <w:trPr>
          <w:trHeight w:val="284"/>
        </w:trPr>
        <w:tc>
          <w:tcPr>
            <w:tcW w:w="4911" w:type="dxa"/>
          </w:tcPr>
          <w:p w:rsidR="00566BEB" w:rsidRDefault="00566BEB">
            <w:pPr>
              <w:pStyle w:val="Avsndare"/>
              <w:framePr w:h="2483" w:wrap="notBeside" w:x="1504"/>
              <w:rPr>
                <w:bCs/>
                <w:iCs/>
              </w:rPr>
            </w:pPr>
          </w:p>
        </w:tc>
      </w:tr>
      <w:tr w:rsidR="00566BEB">
        <w:trPr>
          <w:trHeight w:val="284"/>
        </w:trPr>
        <w:tc>
          <w:tcPr>
            <w:tcW w:w="4911" w:type="dxa"/>
          </w:tcPr>
          <w:p w:rsidR="00566BEB" w:rsidRDefault="00566BEB">
            <w:pPr>
              <w:pStyle w:val="Avsndare"/>
              <w:framePr w:h="2483" w:wrap="notBeside" w:x="1504"/>
              <w:rPr>
                <w:bCs/>
                <w:iCs/>
              </w:rPr>
            </w:pPr>
          </w:p>
        </w:tc>
      </w:tr>
      <w:tr w:rsidR="00566BEB">
        <w:trPr>
          <w:trHeight w:val="284"/>
        </w:trPr>
        <w:tc>
          <w:tcPr>
            <w:tcW w:w="4911" w:type="dxa"/>
          </w:tcPr>
          <w:p w:rsidR="00566BEB" w:rsidRDefault="00566BEB">
            <w:pPr>
              <w:pStyle w:val="Avsndare"/>
              <w:framePr w:h="2483" w:wrap="notBeside" w:x="1504"/>
              <w:rPr>
                <w:bCs/>
                <w:iCs/>
              </w:rPr>
            </w:pPr>
          </w:p>
        </w:tc>
      </w:tr>
    </w:tbl>
    <w:p w:rsidR="00566BEB" w:rsidRPr="001E488F" w:rsidRDefault="00566BEB">
      <w:pPr>
        <w:framePr w:w="4400" w:h="2523" w:wrap="notBeside" w:vAnchor="page" w:hAnchor="page" w:x="6453" w:y="2445"/>
        <w:ind w:left="142"/>
        <w:rPr>
          <w:b/>
        </w:rPr>
      </w:pPr>
    </w:p>
    <w:p w:rsidR="00566BEB" w:rsidRDefault="00566BEB">
      <w:pPr>
        <w:pStyle w:val="RKrubrik"/>
        <w:pBdr>
          <w:bottom w:val="single" w:sz="6" w:space="1" w:color="auto"/>
        </w:pBdr>
      </w:pPr>
      <w:bookmarkStart w:id="1" w:name="bRubrik"/>
      <w:bookmarkEnd w:id="1"/>
      <w:r>
        <w:t>Rådets möte TTE-telekom den 13 december 2011</w:t>
      </w:r>
    </w:p>
    <w:p w:rsidR="00566BEB" w:rsidRDefault="00566BEB">
      <w:pPr>
        <w:pStyle w:val="RKnormal"/>
      </w:pPr>
    </w:p>
    <w:p w:rsidR="00566BEB" w:rsidRPr="001E488F" w:rsidRDefault="00566BEB">
      <w:pPr>
        <w:pStyle w:val="RKnormal"/>
        <w:rPr>
          <w:lang w:val="en-US"/>
        </w:rPr>
      </w:pPr>
      <w:r w:rsidRPr="001E488F">
        <w:rPr>
          <w:lang w:val="en-US"/>
        </w:rPr>
        <w:t>Dagordningspunkt 11</w:t>
      </w:r>
    </w:p>
    <w:p w:rsidR="00566BEB" w:rsidRPr="001E488F" w:rsidRDefault="00566BEB">
      <w:pPr>
        <w:pStyle w:val="RKnormal"/>
        <w:rPr>
          <w:lang w:val="en-US"/>
        </w:rPr>
      </w:pPr>
    </w:p>
    <w:p w:rsidR="00566BEB" w:rsidRPr="001E488F" w:rsidRDefault="00566BEB" w:rsidP="001E488F">
      <w:pPr>
        <w:pStyle w:val="RKnormal"/>
        <w:rPr>
          <w:lang w:val="en-US"/>
        </w:rPr>
      </w:pPr>
      <w:r w:rsidRPr="001E488F">
        <w:rPr>
          <w:lang w:val="en-US"/>
        </w:rPr>
        <w:t>Rubrik: Proposal for a Regulation of the European Parliament and of the Council on roaming on public mobile networks within the Community (Inter-institutional file 2011/0187 (COD))</w:t>
      </w:r>
    </w:p>
    <w:p w:rsidR="00566BEB" w:rsidRPr="001E488F" w:rsidRDefault="00566BEB" w:rsidP="001E488F">
      <w:pPr>
        <w:pStyle w:val="RKnormal"/>
        <w:rPr>
          <w:lang w:val="en-US"/>
        </w:rPr>
      </w:pPr>
      <w:r w:rsidRPr="001E488F">
        <w:rPr>
          <w:lang w:val="en-US"/>
        </w:rPr>
        <w:t>-</w:t>
      </w:r>
      <w:r>
        <w:rPr>
          <w:lang w:val="en-US"/>
        </w:rPr>
        <w:t xml:space="preserve"> </w:t>
      </w:r>
      <w:r w:rsidRPr="001E488F">
        <w:rPr>
          <w:lang w:val="en-US"/>
        </w:rPr>
        <w:t>Progress report</w:t>
      </w:r>
    </w:p>
    <w:p w:rsidR="00566BEB" w:rsidRPr="001E488F" w:rsidRDefault="00566BEB" w:rsidP="001E488F">
      <w:pPr>
        <w:pStyle w:val="RKnormal"/>
        <w:rPr>
          <w:lang w:val="en-US"/>
        </w:rPr>
      </w:pPr>
      <w:r w:rsidRPr="001E488F">
        <w:rPr>
          <w:lang w:val="en-US"/>
        </w:rPr>
        <w:t>-</w:t>
      </w:r>
      <w:r>
        <w:rPr>
          <w:lang w:val="en-US"/>
        </w:rPr>
        <w:t xml:space="preserve"> </w:t>
      </w:r>
      <w:r w:rsidRPr="001E488F">
        <w:rPr>
          <w:lang w:val="en-US"/>
        </w:rPr>
        <w:t>Exchange of views</w:t>
      </w:r>
    </w:p>
    <w:p w:rsidR="00566BEB" w:rsidRPr="001E488F" w:rsidRDefault="00566BEB">
      <w:pPr>
        <w:pStyle w:val="RKnormal"/>
        <w:rPr>
          <w:lang w:val="en-US"/>
        </w:rPr>
      </w:pPr>
    </w:p>
    <w:p w:rsidR="00566BEB" w:rsidRDefault="00566BEB" w:rsidP="001E488F">
      <w:pPr>
        <w:pStyle w:val="RKnormal"/>
        <w:rPr>
          <w:lang w:val="en-US"/>
        </w:rPr>
      </w:pPr>
      <w:r w:rsidRPr="00ED20A8">
        <w:rPr>
          <w:lang w:val="en-US"/>
        </w:rPr>
        <w:t>Dokument:</w:t>
      </w:r>
      <w:r w:rsidRPr="001E488F">
        <w:rPr>
          <w:lang w:val="en-US"/>
        </w:rPr>
        <w:t xml:space="preserve"> </w:t>
      </w:r>
    </w:p>
    <w:p w:rsidR="00566BEB" w:rsidRDefault="00566BEB" w:rsidP="002C1027">
      <w:pPr>
        <w:pStyle w:val="RKnormal"/>
      </w:pPr>
      <w:r>
        <w:t xml:space="preserve">12639/11 TELECOM 99 COMPET 352 MI 355 CONSOM 116 </w:t>
      </w:r>
    </w:p>
    <w:p w:rsidR="00566BEB" w:rsidRDefault="00566BEB" w:rsidP="002C1027">
      <w:pPr>
        <w:pStyle w:val="RKnormal"/>
      </w:pPr>
      <w:r>
        <w:t>CODEC 1182 + REV 1 (en, fr, de) (</w:t>
      </w:r>
      <w:r w:rsidRPr="00CB0E27">
        <w:rPr>
          <w:i/>
        </w:rPr>
        <w:t>KOM:s förslag</w:t>
      </w:r>
      <w:r>
        <w:t>)</w:t>
      </w:r>
    </w:p>
    <w:p w:rsidR="00566BEB" w:rsidRDefault="00566BEB" w:rsidP="002C1027">
      <w:pPr>
        <w:pStyle w:val="RKnormal"/>
      </w:pPr>
      <w:r>
        <w:t xml:space="preserve">17439/1/11 TELECOM 185 COMPET 552 MI 603 CONSOM 191 </w:t>
      </w:r>
    </w:p>
    <w:p w:rsidR="00566BEB" w:rsidRDefault="00566BEB" w:rsidP="002C1027">
      <w:pPr>
        <w:pStyle w:val="RKnormal"/>
      </w:pPr>
      <w:r>
        <w:t>CODEC 2169 REV 1 (</w:t>
      </w:r>
      <w:r>
        <w:rPr>
          <w:i/>
        </w:rPr>
        <w:t>progress report</w:t>
      </w:r>
      <w:r>
        <w:t>)</w:t>
      </w:r>
    </w:p>
    <w:p w:rsidR="00566BEB" w:rsidRDefault="00566BEB" w:rsidP="002C1027">
      <w:pPr>
        <w:pStyle w:val="RKnormal"/>
      </w:pPr>
    </w:p>
    <w:p w:rsidR="00566BEB" w:rsidRPr="00CB0E27" w:rsidRDefault="00566BEB" w:rsidP="002C1027">
      <w:pPr>
        <w:pStyle w:val="RKnormal"/>
      </w:pPr>
      <w:r>
        <w:t xml:space="preserve">Ett dokument 17751/11 innehåller frågor som ordförandeskapet upprättat. </w:t>
      </w:r>
    </w:p>
    <w:p w:rsidR="00566BEB" w:rsidRPr="002C1027" w:rsidRDefault="00566BEB">
      <w:pPr>
        <w:pStyle w:val="RKnormal"/>
      </w:pPr>
    </w:p>
    <w:p w:rsidR="00566BEB" w:rsidRDefault="00566BEB">
      <w:pPr>
        <w:pStyle w:val="RKnormal"/>
      </w:pPr>
      <w:r>
        <w:t>Tidigare dokument: Faktapromemoria 2010/11:FPM145</w:t>
      </w:r>
    </w:p>
    <w:p w:rsidR="00566BEB" w:rsidRDefault="00566BEB" w:rsidP="00E103E4">
      <w:pPr>
        <w:pStyle w:val="RKnormal"/>
        <w:tabs>
          <w:tab w:val="clear" w:pos="2835"/>
          <w:tab w:val="left" w:pos="4187"/>
        </w:tabs>
      </w:pPr>
      <w:r>
        <w:tab/>
      </w:r>
    </w:p>
    <w:p w:rsidR="00566BEB" w:rsidRDefault="00566BEB">
      <w:pPr>
        <w:pStyle w:val="RKnormal"/>
      </w:pPr>
      <w:r>
        <w:t>Tidigare behandlad vid samråd med EU-nämnden: –</w:t>
      </w:r>
    </w:p>
    <w:p w:rsidR="00566BEB" w:rsidRDefault="00566BEB">
      <w:pPr>
        <w:pStyle w:val="RKnormal"/>
      </w:pPr>
    </w:p>
    <w:p w:rsidR="00566BEB" w:rsidRDefault="00566BEB">
      <w:pPr>
        <w:pStyle w:val="RKrubrik"/>
      </w:pPr>
      <w:r>
        <w:t>Bakgrund</w:t>
      </w:r>
    </w:p>
    <w:p w:rsidR="00566BEB" w:rsidRPr="00E67779" w:rsidRDefault="00566BEB" w:rsidP="00513E2F">
      <w:pPr>
        <w:pStyle w:val="RKnormal"/>
      </w:pPr>
      <w:r>
        <w:t xml:space="preserve">Med </w:t>
      </w:r>
      <w:r>
        <w:rPr>
          <w:i/>
        </w:rPr>
        <w:t>roaming</w:t>
      </w:r>
      <w:r>
        <w:t xml:space="preserve"> avses i detta sammanhang situationen när en mobilkund som är abonnent i ett mobilnät i sitt hemland (hemmanätet) vistas utomlands och ringer i ett mobilnät i det landet (värdnätet). Värdnätsoperatören tar då ut en avgift av hemmanätsoperatören (grossistpriset), som i sin tur fakturerar sin kund (slutkundspriset).</w:t>
      </w:r>
    </w:p>
    <w:p w:rsidR="00566BEB" w:rsidRDefault="00566BEB" w:rsidP="00513E2F">
      <w:pPr>
        <w:pStyle w:val="RKnormal"/>
      </w:pPr>
    </w:p>
    <w:p w:rsidR="00566BEB" w:rsidRDefault="00566BEB" w:rsidP="00513E2F">
      <w:pPr>
        <w:pStyle w:val="RKnormal"/>
      </w:pPr>
      <w:r>
        <w:t>EU:s roamingförordning 717/2007 sätter tak på grossist- och slutkundspriset för roaming inom EU. Förordningen utökades 2009 till att gälla även sms- och dataroaming. För dataroaming gäller dock endast ett pristak på grossistmarknaderna. Förordningen upphör (i nuvarande lydelse) att gälla den 30 juni 2012.</w:t>
      </w:r>
    </w:p>
    <w:p w:rsidR="00566BEB" w:rsidRDefault="00566BEB" w:rsidP="00513E2F">
      <w:pPr>
        <w:pStyle w:val="RKnormal"/>
      </w:pPr>
    </w:p>
    <w:p w:rsidR="00566BEB" w:rsidRDefault="00566BEB" w:rsidP="00513E2F">
      <w:pPr>
        <w:pStyle w:val="RKnormal"/>
      </w:pPr>
      <w:r>
        <w:t>Kommissionen har i juli 2011 publicerat ett förslag till omarbetning av roamingförordningen (KOM(2011) 402 slutlig). Till detta finns fogat en rapport samt en konsekvensutredning (KOM(2011) 407 slutlig).</w:t>
      </w:r>
    </w:p>
    <w:p w:rsidR="00566BEB" w:rsidRDefault="00566BEB" w:rsidP="00513E2F">
      <w:pPr>
        <w:pStyle w:val="RKnormal"/>
      </w:pPr>
    </w:p>
    <w:p w:rsidR="00566BEB" w:rsidRDefault="00566BEB" w:rsidP="00513E2F">
      <w:pPr>
        <w:pStyle w:val="RKnormal"/>
      </w:pPr>
      <w:r>
        <w:t>Förslaget har under hösten 2011 behandlats i rådsarbetsgrupp. Ambitionen är att tidigt 2012 (under det danska ordförandeskapet) ta fram en ståndpunkt i rådet som kan ligga till grund för förhandlingar med parlamentet under våren 2012. Behandlingen är tidskritisk då en ny roamingförordning måste finnas på plats senast juni 2012, när den gamla upphör att gälla.</w:t>
      </w:r>
    </w:p>
    <w:p w:rsidR="00566BEB" w:rsidRDefault="00566BEB">
      <w:pPr>
        <w:pStyle w:val="RKrubrik"/>
      </w:pPr>
      <w:r>
        <w:t>Rättslig grund och beslutsförfarande</w:t>
      </w:r>
    </w:p>
    <w:p w:rsidR="00566BEB" w:rsidRDefault="00566BEB" w:rsidP="00513E2F">
      <w:pPr>
        <w:pStyle w:val="RKnormal"/>
      </w:pPr>
      <w:r>
        <w:t>Artikel 114 fördraget om Europeiska Unionens funktionssätt (FEUF)</w:t>
      </w:r>
    </w:p>
    <w:p w:rsidR="00566BEB" w:rsidRDefault="00566BEB" w:rsidP="00513E2F">
      <w:pPr>
        <w:pStyle w:val="RKnormal"/>
      </w:pPr>
      <w:r>
        <w:t>Ordinarie lagstiftningsförfarandet</w:t>
      </w:r>
    </w:p>
    <w:p w:rsidR="00566BEB" w:rsidRDefault="00566BEB">
      <w:pPr>
        <w:pStyle w:val="RKrubrik"/>
        <w:rPr>
          <w:i/>
          <w:iCs/>
        </w:rPr>
      </w:pPr>
      <w:r>
        <w:rPr>
          <w:i/>
          <w:iCs/>
        </w:rPr>
        <w:t>Svensk ståndpunkt</w:t>
      </w:r>
    </w:p>
    <w:p w:rsidR="00566BEB" w:rsidRPr="00C37169" w:rsidRDefault="00566BEB" w:rsidP="00BD7956">
      <w:pPr>
        <w:pStyle w:val="RKnormal"/>
        <w:rPr>
          <w:i/>
        </w:rPr>
      </w:pPr>
      <w:r>
        <w:rPr>
          <w:i/>
        </w:rPr>
        <w:t>Allmänt</w:t>
      </w:r>
    </w:p>
    <w:p w:rsidR="00566BEB" w:rsidRDefault="00566BEB" w:rsidP="00BD7956">
      <w:pPr>
        <w:pStyle w:val="RKnormal"/>
      </w:pPr>
      <w:r>
        <w:t xml:space="preserve">Sverige har tidigare motsatt sig prisreglering på främst slutkundsnivå. Skäl till detta har bl.a. varit att prisreglering riskerar att skapa bestående ”fasta” prisnivåer som inte ger utrymme för verklig priskonkurrens. </w:t>
      </w:r>
    </w:p>
    <w:p w:rsidR="00566BEB" w:rsidRDefault="00566BEB" w:rsidP="00BD7956">
      <w:pPr>
        <w:pStyle w:val="RKnormal"/>
      </w:pPr>
    </w:p>
    <w:p w:rsidR="00566BEB" w:rsidRDefault="00566BEB" w:rsidP="00BD7956">
      <w:pPr>
        <w:pStyle w:val="RKnormal"/>
      </w:pPr>
      <w:r>
        <w:t>Det är emellertid tydligt att roaming inom EU kännetecknas av marknadsmisslyckanden. Det står också klart att pristaken har varit till fördel för konsumenterna. Mot den bakgrunden godtar Sverige förlängning av prisregleringen – trots Sveriges principiellt negativa inställning till detta slags reglering.</w:t>
      </w:r>
    </w:p>
    <w:p w:rsidR="00566BEB" w:rsidRDefault="00566BEB" w:rsidP="00BD7956">
      <w:pPr>
        <w:pStyle w:val="RKnormal"/>
      </w:pPr>
    </w:p>
    <w:p w:rsidR="00566BEB" w:rsidRPr="00C37169" w:rsidRDefault="00566BEB" w:rsidP="00BD7956">
      <w:pPr>
        <w:pStyle w:val="RKnormal"/>
        <w:rPr>
          <w:i/>
        </w:rPr>
      </w:pPr>
      <w:r w:rsidRPr="00C37169">
        <w:rPr>
          <w:i/>
        </w:rPr>
        <w:t>Den strukturella lösningen</w:t>
      </w:r>
    </w:p>
    <w:p w:rsidR="00566BEB" w:rsidRDefault="00566BEB" w:rsidP="00BD7956">
      <w:pPr>
        <w:pStyle w:val="RKnormal"/>
      </w:pPr>
      <w:r>
        <w:t xml:space="preserve">Sverige ställer sig positivt till införandet av en strukturell lösning som kan möjliggöra verklig konkurrens på marknaderna för roaming inom EU. En sådan lösning ger på sikt utrymme för att lyfta av prisregleringen. </w:t>
      </w:r>
    </w:p>
    <w:p w:rsidR="00566BEB" w:rsidRDefault="00566BEB" w:rsidP="00BD7956">
      <w:pPr>
        <w:pStyle w:val="RKnormal"/>
      </w:pPr>
    </w:p>
    <w:p w:rsidR="00566BEB" w:rsidRDefault="00566BEB" w:rsidP="00BD7956">
      <w:pPr>
        <w:pStyle w:val="RKnormal"/>
      </w:pPr>
      <w:r>
        <w:t>Sverige godtar kommissionens förslag om skyldighet för mobiloperatörer att ge tillträde till virtuella roamingoperatörer. Det ska dock göras tydligt i förslaget att en mobiloperatör som tillhandahåller tillträde till en virtuell operatör kan betinga sig en skälig och rättvis ersättning för fasta kostnader respektive återkommande kostnader för tillträdet.</w:t>
      </w:r>
    </w:p>
    <w:p w:rsidR="00566BEB" w:rsidRDefault="00566BEB" w:rsidP="00BD7956">
      <w:pPr>
        <w:pStyle w:val="RKnormal"/>
      </w:pPr>
    </w:p>
    <w:p w:rsidR="00566BEB" w:rsidRDefault="00566BEB" w:rsidP="00BD7956">
      <w:pPr>
        <w:pStyle w:val="RKnormal"/>
      </w:pPr>
      <w:r>
        <w:t>Sverige stöder också införandet av ”de-coupling” av roamingtjänsten, dvs. möjlighet för användare inom EU att köpa roamingtjänst av en annan operatör än hemmanätsoperatören. Kommissionens förordande av ”dual-IMSI” för teknisk implementering av ”de-coupling” ger dock upphov till svåra frågor.</w:t>
      </w:r>
    </w:p>
    <w:p w:rsidR="00566BEB" w:rsidRDefault="00566BEB" w:rsidP="00BD7956">
      <w:pPr>
        <w:pStyle w:val="RKnormal"/>
        <w:numPr>
          <w:ilvl w:val="0"/>
          <w:numId w:val="1"/>
        </w:numPr>
      </w:pPr>
      <w:r>
        <w:t>Kostnaderna för införande av ”dual-IMSI” är inte tillräckligt utredda. Det kan ifrågasättas om kommissionens siffra på 300 miljoner € är realistisk. Kostnaderna kan bli betydligt högre än så.</w:t>
      </w:r>
    </w:p>
    <w:p w:rsidR="00566BEB" w:rsidRDefault="00566BEB" w:rsidP="00BD7956">
      <w:pPr>
        <w:pStyle w:val="RKnormal"/>
        <w:numPr>
          <w:ilvl w:val="0"/>
          <w:numId w:val="1"/>
        </w:numPr>
      </w:pPr>
      <w:r>
        <w:t xml:space="preserve">Om ”dual-IMSI” kräver standardisering av GSM, UMTS och LTE uppkommer frågan hur EU ska ”styra” globala standarder. </w:t>
      </w:r>
    </w:p>
    <w:p w:rsidR="00566BEB" w:rsidRDefault="00566BEB" w:rsidP="00BD7956">
      <w:pPr>
        <w:pStyle w:val="RKnormal"/>
        <w:numPr>
          <w:ilvl w:val="0"/>
          <w:numId w:val="1"/>
        </w:numPr>
      </w:pPr>
      <w:r>
        <w:t>”Dual-IMSI” riskerar att bara införas av operatörer inom EU. En teknisk lösning inom EU får enligt svensk uppfattning inte innebära att abonnenter i EU utestängs från roaming i länder utanför EU.</w:t>
      </w:r>
    </w:p>
    <w:p w:rsidR="00566BEB" w:rsidRDefault="00566BEB" w:rsidP="00BD7956">
      <w:pPr>
        <w:pStyle w:val="RKnormal"/>
      </w:pPr>
    </w:p>
    <w:p w:rsidR="00566BEB" w:rsidRPr="00C37169" w:rsidRDefault="00566BEB" w:rsidP="00BD7956">
      <w:pPr>
        <w:pStyle w:val="RKnormal"/>
      </w:pPr>
      <w:r>
        <w:t>I dagsläget saknas det tillräcklig utredning av dessa komplexa tekniska frågor. Sverige anser därför att bindande detaljerade bestämmelser om implementeringen av ”decoupling” bör antas som genomförande akter enligt artikel 291.2 i FEUF. De genomförande akterna ska beslutas av kommissionen enligt det granskningsförfarande som föreskrivs i artikel 5 i förordning 182/2011.</w:t>
      </w:r>
    </w:p>
    <w:p w:rsidR="00566BEB" w:rsidRDefault="00566BEB" w:rsidP="00BD7956">
      <w:pPr>
        <w:pStyle w:val="RKnormal"/>
      </w:pPr>
    </w:p>
    <w:p w:rsidR="00566BEB" w:rsidRPr="00C37169" w:rsidRDefault="00566BEB" w:rsidP="00BD7956">
      <w:pPr>
        <w:pStyle w:val="RKnormal"/>
        <w:rPr>
          <w:i/>
        </w:rPr>
      </w:pPr>
      <w:r w:rsidRPr="00C37169">
        <w:rPr>
          <w:i/>
        </w:rPr>
        <w:t>Pristaken</w:t>
      </w:r>
    </w:p>
    <w:p w:rsidR="00566BEB" w:rsidRDefault="00566BEB" w:rsidP="00BD7956">
      <w:pPr>
        <w:pStyle w:val="RKnormal"/>
      </w:pPr>
      <w:r>
        <w:t>Det finns delvis en målkonflikt när det gäller pristakens nivåer. Från konsumentperspektiv kan det förefalla som att priserna på roaming fortfarande är höga och att en sänkning av slutkundspriserna därför ger direkt positiva effekter för konsumenterna. En hög marginal mellan pristaken på grossist- och slutkundsnivå skapar dock drivkrafter för nya aktörer att ta sig in på marknaden och sänka slutkundspriserna.</w:t>
      </w:r>
    </w:p>
    <w:p w:rsidR="00566BEB" w:rsidRDefault="00566BEB" w:rsidP="00BD7956">
      <w:pPr>
        <w:pStyle w:val="RKnormal"/>
      </w:pPr>
    </w:p>
    <w:p w:rsidR="00566BEB" w:rsidRDefault="00566BEB" w:rsidP="00BD7956">
      <w:pPr>
        <w:pStyle w:val="RKnormal"/>
      </w:pPr>
      <w:r>
        <w:t>Avsikten är att pristaken på grossistnivå ska vara kostnadsorienterade. Nivåerna bygger på beräkningar som gjorts av BEREC (EU-myndigheten för elektronisk kommunikation).</w:t>
      </w:r>
    </w:p>
    <w:p w:rsidR="00566BEB" w:rsidRDefault="00566BEB" w:rsidP="00BD7956">
      <w:pPr>
        <w:pStyle w:val="RKnormal"/>
      </w:pPr>
    </w:p>
    <w:p w:rsidR="00566BEB" w:rsidRDefault="00566BEB" w:rsidP="00BD7956">
      <w:pPr>
        <w:pStyle w:val="RKnormal"/>
      </w:pPr>
      <w:r>
        <w:t>Sverige kan mot den angivna bakgrunden godta de pristak som kommissionen föreslår.</w:t>
      </w:r>
    </w:p>
    <w:p w:rsidR="00566BEB" w:rsidRDefault="00566BEB" w:rsidP="00BD7956">
      <w:pPr>
        <w:pStyle w:val="RKnormal"/>
      </w:pPr>
    </w:p>
    <w:p w:rsidR="00566BEB" w:rsidRDefault="00566BEB" w:rsidP="00BD7956">
      <w:pPr>
        <w:pStyle w:val="RKnormal"/>
      </w:pPr>
      <w:r>
        <w:t>Kommissionens förslag innebär att pristaken på slutkundsnivå ska lyftas 2016. Detta bygger på bedömningen att den strukturella lösningen vid denna tidpunkt kommer att visa sig effektiv och att pristak därmed inte längre kommer att behövas. Sverige anser att viss försiktighet är påkallad i denna del och att det inte kan förutsättas att marknaden är redo för en total avlyftning av slutkundspristaken redan 2016. Sverige bör mot denna bakgrund inte motsätta sig förslag att låta slutkundspristaken gälla längre än 2016.</w:t>
      </w:r>
    </w:p>
    <w:p w:rsidR="00566BEB" w:rsidRDefault="00566BEB" w:rsidP="00BD7956">
      <w:pPr>
        <w:pStyle w:val="RKnormal"/>
      </w:pPr>
    </w:p>
    <w:p w:rsidR="00566BEB" w:rsidRPr="007B2E6A" w:rsidRDefault="00566BEB" w:rsidP="00BD7956">
      <w:pPr>
        <w:pStyle w:val="RKnormal"/>
        <w:rPr>
          <w:i/>
        </w:rPr>
      </w:pPr>
      <w:r w:rsidRPr="007B2E6A">
        <w:rPr>
          <w:i/>
        </w:rPr>
        <w:t>Pristak för dataroaming</w:t>
      </w:r>
      <w:r>
        <w:rPr>
          <w:i/>
        </w:rPr>
        <w:t xml:space="preserve"> på slutkundsnivå</w:t>
      </w:r>
    </w:p>
    <w:p w:rsidR="00566BEB" w:rsidRDefault="00566BEB" w:rsidP="00BD7956">
      <w:pPr>
        <w:pStyle w:val="RKnormal"/>
      </w:pPr>
      <w:r>
        <w:t>Sverige har tidigare varit negativt till att införa pristak på dataroaming på slutkundsnivå. De marknadsmisslyckanden som identifierats utgör emellertid starkt stöd för kommissionens förslag att införa pristak på dataroaming på slutkundsnivå. Förslaget framstår också som positivt för konsumenterna. Sverige godtar därför att det införs pristak på dataroaming på slutkundsnivå.</w:t>
      </w:r>
    </w:p>
    <w:p w:rsidR="00566BEB" w:rsidRDefault="00566BEB" w:rsidP="00BD7956">
      <w:pPr>
        <w:pStyle w:val="RKnormal"/>
      </w:pPr>
    </w:p>
    <w:p w:rsidR="00566BEB" w:rsidRDefault="00566BEB" w:rsidP="00BD7956">
      <w:pPr>
        <w:pStyle w:val="RKnormal"/>
        <w:rPr>
          <w:i/>
        </w:rPr>
      </w:pPr>
      <w:r>
        <w:rPr>
          <w:i/>
        </w:rPr>
        <w:t>Övriga bestämmelser</w:t>
      </w:r>
    </w:p>
    <w:p w:rsidR="00566BEB" w:rsidRDefault="00566BEB" w:rsidP="00BD7956">
      <w:pPr>
        <w:pStyle w:val="RKnormal"/>
      </w:pPr>
      <w:r>
        <w:t>Övriga bestämmelser i förordningsförslaget handlar främst om konsumentskydd (automatiska meddelanden om priser, varningar vid höga kostnader m.m.) och är i stor utsträckning oförändrade från gällande förordning. Sverige har inte några invändningar mot förslagen i dessa delar.</w:t>
      </w:r>
    </w:p>
    <w:p w:rsidR="00566BEB" w:rsidRDefault="00566BEB" w:rsidP="00BD7956">
      <w:pPr>
        <w:pStyle w:val="RKnormal"/>
      </w:pPr>
    </w:p>
    <w:p w:rsidR="00566BEB" w:rsidRPr="006C41AA" w:rsidRDefault="00566BEB" w:rsidP="00BD7956">
      <w:pPr>
        <w:pStyle w:val="RKnormal"/>
      </w:pPr>
      <w:r>
        <w:t>Vissa MS har uttryckt en vilja att konsumentskyddsbestämmelserna ska gälla för abonnenter i EU även när de utnyttjar roamingtjänster utanför EU. Det är f.n. rättsligt oklart om en sådan bestämmelse skulle kunna införas i förordningen om denna ska beslutas enligt det ordinarie lagstiftningsförfarandet. Sverige anser att prioriteten nu måste vara att få en förlängning av förordningen på plats före juli 2012. Om det är möjligt att uppnå detta samtidigt som konsumentskyddsbestämmelserna utvidgas på angivet sätt har Sverige dock inte några invändningar.</w:t>
      </w:r>
    </w:p>
    <w:p w:rsidR="00566BEB" w:rsidRDefault="00566BEB">
      <w:pPr>
        <w:pStyle w:val="RKrubrik"/>
      </w:pPr>
      <w:r>
        <w:t>Europaparlamentets inställning</w:t>
      </w:r>
    </w:p>
    <w:p w:rsidR="00566BEB" w:rsidRDefault="00566BEB">
      <w:pPr>
        <w:pStyle w:val="RKnormal"/>
      </w:pPr>
      <w:r>
        <w:t>Ännu inte känd.</w:t>
      </w:r>
    </w:p>
    <w:p w:rsidR="00566BEB" w:rsidRDefault="00566BEB">
      <w:pPr>
        <w:pStyle w:val="RKrubrik"/>
        <w:rPr>
          <w:i/>
          <w:iCs/>
        </w:rPr>
      </w:pPr>
      <w:r>
        <w:rPr>
          <w:i/>
          <w:iCs/>
        </w:rPr>
        <w:t>Förslaget</w:t>
      </w:r>
    </w:p>
    <w:p w:rsidR="00566BEB" w:rsidRDefault="00566BEB" w:rsidP="00E103E4">
      <w:pPr>
        <w:pStyle w:val="RKnormal"/>
      </w:pPr>
      <w:r>
        <w:t>Kommissionens förslag till omarbetad förordning innebär i huvudsak följande.</w:t>
      </w:r>
    </w:p>
    <w:p w:rsidR="00566BEB" w:rsidRDefault="00566BEB" w:rsidP="00E103E4">
      <w:pPr>
        <w:pStyle w:val="RKnormal"/>
        <w:numPr>
          <w:ilvl w:val="0"/>
          <w:numId w:val="2"/>
        </w:numPr>
      </w:pPr>
      <w:r>
        <w:t>Förordningens giltighetstid utsträcks till 2022</w:t>
      </w:r>
    </w:p>
    <w:p w:rsidR="00566BEB" w:rsidRDefault="00566BEB" w:rsidP="00E103E4">
      <w:pPr>
        <w:pStyle w:val="RKnormal"/>
        <w:numPr>
          <w:ilvl w:val="0"/>
          <w:numId w:val="2"/>
        </w:numPr>
      </w:pPr>
      <w:r>
        <w:t>En strukturell lösning införs för att skapa konkurrens på marknaderna för roamingtjänster. Denna innebär enligt förslaget följande.</w:t>
      </w:r>
    </w:p>
    <w:p w:rsidR="00566BEB" w:rsidRDefault="00566BEB" w:rsidP="00133769">
      <w:pPr>
        <w:pStyle w:val="RKnormal"/>
        <w:numPr>
          <w:ilvl w:val="1"/>
          <w:numId w:val="2"/>
        </w:numPr>
      </w:pPr>
      <w:r>
        <w:t xml:space="preserve">S.k. virtuella operatörer ska få tillträde till mobilnät för att erbjuda roamingtjänster till kunder. </w:t>
      </w:r>
    </w:p>
    <w:p w:rsidR="00566BEB" w:rsidRDefault="00566BEB" w:rsidP="00133769">
      <w:pPr>
        <w:pStyle w:val="RKnormal"/>
        <w:numPr>
          <w:ilvl w:val="1"/>
          <w:numId w:val="2"/>
        </w:numPr>
      </w:pPr>
      <w:r>
        <w:t>En kund ska kunna välja en särskild operatör för roamingtjänsten, oberoende av vilken nationell operatör kunden har.</w:t>
      </w:r>
    </w:p>
    <w:p w:rsidR="00566BEB" w:rsidRDefault="00566BEB" w:rsidP="00E103E4">
      <w:pPr>
        <w:pStyle w:val="RKnormal"/>
        <w:numPr>
          <w:ilvl w:val="0"/>
          <w:numId w:val="2"/>
        </w:numPr>
      </w:pPr>
      <w:r>
        <w:t>Den strukturella lösningen ska kunna genomföras med s.k. ”dual-IMSI SIM card”. Detta innebär förenklat att ett SIM-kort ska kunna ha två operatörer, en för hemmanätet och en vid roaming. Förslaget lämnar dock öppet även för andra tekniska lösningar.</w:t>
      </w:r>
    </w:p>
    <w:p w:rsidR="00566BEB" w:rsidRDefault="00566BEB" w:rsidP="00E103E4">
      <w:pPr>
        <w:pStyle w:val="RKnormal"/>
        <w:numPr>
          <w:ilvl w:val="0"/>
          <w:numId w:val="2"/>
        </w:numPr>
      </w:pPr>
      <w:r>
        <w:t>Pristaken på grossistnivå för röstsamtal, sms och data sänks stegvis fram till och med 2014.</w:t>
      </w:r>
    </w:p>
    <w:p w:rsidR="00566BEB" w:rsidRDefault="00566BEB" w:rsidP="00E103E4">
      <w:pPr>
        <w:pStyle w:val="RKnormal"/>
        <w:numPr>
          <w:ilvl w:val="0"/>
          <w:numId w:val="2"/>
        </w:numPr>
      </w:pPr>
      <w:r>
        <w:t>Pristaken på slutkundsnivå för röstsamtal och sms sänks stegvis fram till och med 2014.</w:t>
      </w:r>
    </w:p>
    <w:p w:rsidR="00566BEB" w:rsidRDefault="00566BEB" w:rsidP="00E103E4">
      <w:pPr>
        <w:pStyle w:val="RKnormal"/>
        <w:numPr>
          <w:ilvl w:val="0"/>
          <w:numId w:val="2"/>
        </w:numPr>
      </w:pPr>
      <w:r>
        <w:t>Pristak införs på slutkundsnivå för dataroaming. Pristaket sänks stegvis till och med 2014.</w:t>
      </w:r>
    </w:p>
    <w:p w:rsidR="00566BEB" w:rsidRDefault="00566BEB" w:rsidP="00E103E4">
      <w:pPr>
        <w:pStyle w:val="RKnormal"/>
        <w:numPr>
          <w:ilvl w:val="0"/>
          <w:numId w:val="2"/>
        </w:numPr>
      </w:pPr>
      <w:r>
        <w:t>Pristaken på grossistnivå kan upphöra att gälla efter 2018 om vissa förutsättningar är uppfyllda (utveckling av verklig konkurrens)</w:t>
      </w:r>
    </w:p>
    <w:p w:rsidR="00566BEB" w:rsidRDefault="00566BEB" w:rsidP="00E103E4">
      <w:pPr>
        <w:pStyle w:val="RKnormal"/>
        <w:numPr>
          <w:ilvl w:val="0"/>
          <w:numId w:val="2"/>
        </w:numPr>
      </w:pPr>
      <w:r>
        <w:t>Pristaken på slutkundsnivå upphör att gälla 2016.</w:t>
      </w:r>
    </w:p>
    <w:p w:rsidR="00566BEB" w:rsidRDefault="00566BEB">
      <w:pPr>
        <w:pStyle w:val="RKnormal"/>
      </w:pPr>
    </w:p>
    <w:p w:rsidR="00566BEB" w:rsidRDefault="00566BEB">
      <w:pPr>
        <w:pStyle w:val="RKnormal"/>
      </w:pPr>
      <w:r>
        <w:t>Föreslagna pristak på slutkundsnivå enligt följande tabell:</w:t>
      </w:r>
    </w:p>
    <w:tbl>
      <w:tblPr>
        <w:tblW w:w="8613" w:type="dxa"/>
        <w:tblLook w:val="01E0"/>
      </w:tblPr>
      <w:tblGrid>
        <w:gridCol w:w="3174"/>
        <w:gridCol w:w="1241"/>
        <w:gridCol w:w="1399"/>
        <w:gridCol w:w="1400"/>
        <w:gridCol w:w="1399"/>
      </w:tblGrid>
      <w:tr w:rsidR="00566BEB" w:rsidRPr="0044499F" w:rsidTr="00352B6E">
        <w:tc>
          <w:tcPr>
            <w:tcW w:w="3227" w:type="dxa"/>
            <w:tcBorders>
              <w:bottom w:val="single" w:sz="12" w:space="0" w:color="000000"/>
              <w:right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i/>
                <w:szCs w:val="24"/>
              </w:rPr>
            </w:pPr>
          </w:p>
        </w:tc>
        <w:tc>
          <w:tcPr>
            <w:tcW w:w="1134" w:type="dxa"/>
            <w:tcBorders>
              <w:bottom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
                <w:bCs/>
                <w:szCs w:val="24"/>
                <w:lang w:val="en-US"/>
              </w:rPr>
              <w:t>Gällande</w:t>
            </w:r>
          </w:p>
        </w:tc>
        <w:tc>
          <w:tcPr>
            <w:tcW w:w="1417" w:type="dxa"/>
            <w:tcBorders>
              <w:bottom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
                <w:bCs/>
                <w:szCs w:val="24"/>
                <w:lang w:val="en-US"/>
              </w:rPr>
              <w:t>2012-07-01</w:t>
            </w:r>
          </w:p>
        </w:tc>
        <w:tc>
          <w:tcPr>
            <w:tcW w:w="1418" w:type="dxa"/>
            <w:tcBorders>
              <w:bottom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
                <w:bCs/>
                <w:szCs w:val="24"/>
                <w:lang w:val="en-US"/>
              </w:rPr>
              <w:t>2013-07-01</w:t>
            </w:r>
          </w:p>
        </w:tc>
        <w:tc>
          <w:tcPr>
            <w:tcW w:w="1417" w:type="dxa"/>
            <w:tcBorders>
              <w:bottom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
                <w:bCs/>
                <w:szCs w:val="24"/>
                <w:lang w:val="en-US"/>
              </w:rPr>
              <w:t>2014-07-01</w:t>
            </w:r>
          </w:p>
        </w:tc>
      </w:tr>
      <w:tr w:rsidR="00566BEB" w:rsidRPr="0044499F" w:rsidTr="00352B6E">
        <w:tc>
          <w:tcPr>
            <w:tcW w:w="3227" w:type="dxa"/>
            <w:tcBorders>
              <w:right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i/>
                <w:szCs w:val="24"/>
                <w:lang w:val="en-US"/>
              </w:rPr>
            </w:pPr>
            <w:r w:rsidRPr="00352B6E">
              <w:rPr>
                <w:bCs/>
                <w:i/>
                <w:szCs w:val="24"/>
                <w:lang w:val="en-US"/>
              </w:rPr>
              <w:t>Data (per MB)</w:t>
            </w:r>
          </w:p>
        </w:tc>
        <w:tc>
          <w:tcPr>
            <w:tcW w:w="1134"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w:t>
            </w:r>
          </w:p>
        </w:tc>
        <w:tc>
          <w:tcPr>
            <w:tcW w:w="1417"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90 cent</w:t>
            </w:r>
          </w:p>
        </w:tc>
        <w:tc>
          <w:tcPr>
            <w:tcW w:w="1418"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70 cent</w:t>
            </w:r>
          </w:p>
        </w:tc>
        <w:tc>
          <w:tcPr>
            <w:tcW w:w="1417" w:type="dxa"/>
            <w:tcBorders>
              <w:top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50 cent</w:t>
            </w:r>
          </w:p>
        </w:tc>
      </w:tr>
      <w:tr w:rsidR="00566BEB" w:rsidRPr="0044499F" w:rsidTr="00352B6E">
        <w:tc>
          <w:tcPr>
            <w:tcW w:w="3227" w:type="dxa"/>
            <w:tcBorders>
              <w:right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i/>
                <w:szCs w:val="24"/>
                <w:lang w:val="en-US"/>
              </w:rPr>
            </w:pPr>
            <w:r w:rsidRPr="00352B6E">
              <w:rPr>
                <w:bCs/>
                <w:i/>
                <w:szCs w:val="24"/>
                <w:lang w:val="en-US"/>
              </w:rPr>
              <w:t>Uppringda samtal (per minut)</w:t>
            </w:r>
          </w:p>
        </w:tc>
        <w:tc>
          <w:tcPr>
            <w:tcW w:w="1134"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35 cent</w:t>
            </w:r>
          </w:p>
        </w:tc>
        <w:tc>
          <w:tcPr>
            <w:tcW w:w="1417"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32 cent</w:t>
            </w:r>
          </w:p>
        </w:tc>
        <w:tc>
          <w:tcPr>
            <w:tcW w:w="1418"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28 cent</w:t>
            </w:r>
          </w:p>
        </w:tc>
        <w:tc>
          <w:tcPr>
            <w:tcW w:w="1417"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24 cent</w:t>
            </w:r>
          </w:p>
        </w:tc>
      </w:tr>
      <w:tr w:rsidR="00566BEB" w:rsidRPr="0044499F" w:rsidTr="00352B6E">
        <w:tc>
          <w:tcPr>
            <w:tcW w:w="3227" w:type="dxa"/>
            <w:tcBorders>
              <w:right w:val="single" w:sz="4" w:space="0" w:color="auto"/>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i/>
                <w:szCs w:val="24"/>
                <w:lang w:val="en-US"/>
              </w:rPr>
            </w:pPr>
            <w:r w:rsidRPr="00352B6E">
              <w:rPr>
                <w:bCs/>
                <w:i/>
                <w:szCs w:val="24"/>
                <w:lang w:val="en-US"/>
              </w:rPr>
              <w:t>Mottagna samtal (per minut)</w:t>
            </w:r>
          </w:p>
        </w:tc>
        <w:tc>
          <w:tcPr>
            <w:tcW w:w="1134" w:type="dxa"/>
            <w:tcBorders>
              <w:left w:val="single" w:sz="4" w:space="0" w:color="auto"/>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11 cent</w:t>
            </w:r>
          </w:p>
        </w:tc>
        <w:tc>
          <w:tcPr>
            <w:tcW w:w="1417"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11 cent</w:t>
            </w:r>
          </w:p>
        </w:tc>
        <w:tc>
          <w:tcPr>
            <w:tcW w:w="1418"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10 cent</w:t>
            </w:r>
          </w:p>
        </w:tc>
        <w:tc>
          <w:tcPr>
            <w:tcW w:w="1417"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10 cent</w:t>
            </w:r>
          </w:p>
        </w:tc>
      </w:tr>
      <w:tr w:rsidR="00566BEB" w:rsidRPr="0044499F" w:rsidTr="00352B6E">
        <w:tc>
          <w:tcPr>
            <w:tcW w:w="3227" w:type="dxa"/>
            <w:tcBorders>
              <w:right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i/>
                <w:szCs w:val="24"/>
                <w:lang w:val="en-US"/>
              </w:rPr>
            </w:pPr>
            <w:r w:rsidRPr="00352B6E">
              <w:rPr>
                <w:bCs/>
                <w:i/>
                <w:szCs w:val="24"/>
                <w:lang w:val="en-US"/>
              </w:rPr>
              <w:t xml:space="preserve">SMS </w:t>
            </w:r>
          </w:p>
        </w:tc>
        <w:tc>
          <w:tcPr>
            <w:tcW w:w="1134"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11 cent</w:t>
            </w:r>
          </w:p>
        </w:tc>
        <w:tc>
          <w:tcPr>
            <w:tcW w:w="1417"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10 cent</w:t>
            </w:r>
          </w:p>
        </w:tc>
        <w:tc>
          <w:tcPr>
            <w:tcW w:w="1418"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10 cent</w:t>
            </w:r>
          </w:p>
        </w:tc>
        <w:tc>
          <w:tcPr>
            <w:tcW w:w="1417"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10 cent</w:t>
            </w:r>
          </w:p>
        </w:tc>
      </w:tr>
    </w:tbl>
    <w:p w:rsidR="00566BEB" w:rsidRDefault="00566BEB">
      <w:pPr>
        <w:pStyle w:val="RKnormal"/>
      </w:pPr>
    </w:p>
    <w:p w:rsidR="00566BEB" w:rsidRDefault="00566BEB">
      <w:pPr>
        <w:pStyle w:val="RKnormal"/>
      </w:pPr>
      <w:r>
        <w:t>Föreslagna pristak på grossistnivå enligt följande tabell:</w:t>
      </w:r>
    </w:p>
    <w:tbl>
      <w:tblPr>
        <w:tblW w:w="8613" w:type="dxa"/>
        <w:tblLook w:val="01E0"/>
      </w:tblPr>
      <w:tblGrid>
        <w:gridCol w:w="3175"/>
        <w:gridCol w:w="1241"/>
        <w:gridCol w:w="1399"/>
        <w:gridCol w:w="1399"/>
        <w:gridCol w:w="1399"/>
      </w:tblGrid>
      <w:tr w:rsidR="00566BEB" w:rsidRPr="0044499F" w:rsidTr="00352B6E">
        <w:tc>
          <w:tcPr>
            <w:tcW w:w="3227" w:type="dxa"/>
            <w:tcBorders>
              <w:bottom w:val="single" w:sz="12" w:space="0" w:color="000000"/>
              <w:right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i/>
                <w:szCs w:val="24"/>
              </w:rPr>
            </w:pPr>
          </w:p>
        </w:tc>
        <w:tc>
          <w:tcPr>
            <w:tcW w:w="1134" w:type="dxa"/>
            <w:tcBorders>
              <w:bottom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
                <w:bCs/>
                <w:szCs w:val="24"/>
                <w:lang w:val="en-US"/>
              </w:rPr>
              <w:t>Gällande</w:t>
            </w:r>
          </w:p>
        </w:tc>
        <w:tc>
          <w:tcPr>
            <w:tcW w:w="1417" w:type="dxa"/>
            <w:tcBorders>
              <w:bottom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
                <w:bCs/>
                <w:szCs w:val="24"/>
                <w:lang w:val="en-US"/>
              </w:rPr>
              <w:t>2012-07-01</w:t>
            </w:r>
          </w:p>
        </w:tc>
        <w:tc>
          <w:tcPr>
            <w:tcW w:w="1418" w:type="dxa"/>
            <w:tcBorders>
              <w:bottom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
                <w:bCs/>
                <w:szCs w:val="24"/>
                <w:lang w:val="en-US"/>
              </w:rPr>
              <w:t>2013-07-01</w:t>
            </w:r>
          </w:p>
        </w:tc>
        <w:tc>
          <w:tcPr>
            <w:tcW w:w="1417" w:type="dxa"/>
            <w:tcBorders>
              <w:bottom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
                <w:bCs/>
                <w:szCs w:val="24"/>
                <w:lang w:val="en-US"/>
              </w:rPr>
              <w:t>2014-07-01</w:t>
            </w:r>
          </w:p>
        </w:tc>
      </w:tr>
      <w:tr w:rsidR="00566BEB" w:rsidRPr="0044499F" w:rsidTr="00352B6E">
        <w:tc>
          <w:tcPr>
            <w:tcW w:w="3227" w:type="dxa"/>
            <w:tcBorders>
              <w:right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i/>
                <w:szCs w:val="24"/>
                <w:lang w:val="en-US"/>
              </w:rPr>
            </w:pPr>
            <w:r w:rsidRPr="00352B6E">
              <w:rPr>
                <w:bCs/>
                <w:i/>
                <w:szCs w:val="24"/>
                <w:lang w:val="en-US"/>
              </w:rPr>
              <w:t>Data (per MB)</w:t>
            </w:r>
          </w:p>
        </w:tc>
        <w:tc>
          <w:tcPr>
            <w:tcW w:w="1134"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50 cent</w:t>
            </w:r>
          </w:p>
        </w:tc>
        <w:tc>
          <w:tcPr>
            <w:tcW w:w="1417"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30 cent</w:t>
            </w:r>
          </w:p>
        </w:tc>
        <w:tc>
          <w:tcPr>
            <w:tcW w:w="1418"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20 cent</w:t>
            </w:r>
          </w:p>
        </w:tc>
        <w:tc>
          <w:tcPr>
            <w:tcW w:w="1417" w:type="dxa"/>
            <w:tcBorders>
              <w:top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10 cent</w:t>
            </w:r>
          </w:p>
        </w:tc>
      </w:tr>
      <w:tr w:rsidR="00566BEB" w:rsidRPr="0044499F" w:rsidTr="00352B6E">
        <w:tc>
          <w:tcPr>
            <w:tcW w:w="3227" w:type="dxa"/>
            <w:tcBorders>
              <w:right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i/>
                <w:szCs w:val="24"/>
                <w:lang w:val="en-US"/>
              </w:rPr>
            </w:pPr>
            <w:r w:rsidRPr="00352B6E">
              <w:rPr>
                <w:bCs/>
                <w:i/>
                <w:szCs w:val="24"/>
                <w:lang w:val="en-US"/>
              </w:rPr>
              <w:t>Röstsamtal (per minut)</w:t>
            </w:r>
          </w:p>
        </w:tc>
        <w:tc>
          <w:tcPr>
            <w:tcW w:w="1134"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18 cent</w:t>
            </w:r>
          </w:p>
        </w:tc>
        <w:tc>
          <w:tcPr>
            <w:tcW w:w="1417"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14 cent</w:t>
            </w:r>
          </w:p>
        </w:tc>
        <w:tc>
          <w:tcPr>
            <w:tcW w:w="1418"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szCs w:val="24"/>
                <w:lang w:val="en-US"/>
              </w:rPr>
            </w:pPr>
            <w:r w:rsidRPr="00352B6E">
              <w:rPr>
                <w:szCs w:val="24"/>
                <w:lang w:val="en-US"/>
              </w:rPr>
              <w:t>10 cent</w:t>
            </w:r>
          </w:p>
        </w:tc>
        <w:tc>
          <w:tcPr>
            <w:tcW w:w="1417"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6 cent</w:t>
            </w:r>
          </w:p>
        </w:tc>
      </w:tr>
      <w:tr w:rsidR="00566BEB" w:rsidRPr="0044499F" w:rsidTr="00352B6E">
        <w:tc>
          <w:tcPr>
            <w:tcW w:w="3227" w:type="dxa"/>
            <w:tcBorders>
              <w:right w:val="single" w:sz="12" w:space="0" w:color="000000"/>
            </w:tcBorders>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i/>
                <w:szCs w:val="24"/>
                <w:lang w:val="en-US"/>
              </w:rPr>
            </w:pPr>
            <w:r w:rsidRPr="00352B6E">
              <w:rPr>
                <w:bCs/>
                <w:i/>
                <w:szCs w:val="24"/>
                <w:lang w:val="en-US"/>
              </w:rPr>
              <w:t xml:space="preserve">SMS </w:t>
            </w:r>
          </w:p>
        </w:tc>
        <w:tc>
          <w:tcPr>
            <w:tcW w:w="1134"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4 cent</w:t>
            </w:r>
          </w:p>
        </w:tc>
        <w:tc>
          <w:tcPr>
            <w:tcW w:w="1417"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3 cent</w:t>
            </w:r>
          </w:p>
        </w:tc>
        <w:tc>
          <w:tcPr>
            <w:tcW w:w="1418"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3 cent</w:t>
            </w:r>
          </w:p>
        </w:tc>
        <w:tc>
          <w:tcPr>
            <w:tcW w:w="1417" w:type="dxa"/>
          </w:tcPr>
          <w:p w:rsidR="00566BEB" w:rsidRPr="00352B6E" w:rsidRDefault="00566BEB" w:rsidP="00352B6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b/>
                <w:bCs/>
                <w:szCs w:val="24"/>
                <w:lang w:val="en-US"/>
              </w:rPr>
            </w:pPr>
            <w:r w:rsidRPr="00352B6E">
              <w:rPr>
                <w:bCs/>
                <w:szCs w:val="24"/>
                <w:lang w:val="en-US"/>
              </w:rPr>
              <w:t>2 cent</w:t>
            </w:r>
          </w:p>
        </w:tc>
      </w:tr>
    </w:tbl>
    <w:p w:rsidR="00566BEB" w:rsidRDefault="00566BEB">
      <w:pPr>
        <w:pStyle w:val="RKnormal"/>
      </w:pPr>
    </w:p>
    <w:p w:rsidR="00566BEB" w:rsidRDefault="00566BEB">
      <w:pPr>
        <w:pStyle w:val="RKrubrik"/>
        <w:rPr>
          <w:i/>
          <w:iCs/>
        </w:rPr>
      </w:pPr>
      <w:r>
        <w:rPr>
          <w:i/>
          <w:iCs/>
        </w:rPr>
        <w:t>Gällande svenska regler och förslagets effekter på dessa</w:t>
      </w:r>
    </w:p>
    <w:p w:rsidR="00566BEB" w:rsidRDefault="00566BEB">
      <w:pPr>
        <w:pStyle w:val="RKnormal"/>
      </w:pPr>
      <w:r>
        <w:t>Förordningen blir direkt tillämplig i Sverige utan genomförandeåtgärder. I 7 kap. 10 § första stycket 1 lagen (2003:389) om elektronisk kommunikation finns det bestämmelser om avgörande av tvister med anledning av förordningen.</w:t>
      </w:r>
    </w:p>
    <w:p w:rsidR="00566BEB" w:rsidRDefault="00566BEB">
      <w:pPr>
        <w:pStyle w:val="RKrubrik"/>
      </w:pPr>
      <w:r>
        <w:t>Ekonomiska konsekvenser</w:t>
      </w:r>
    </w:p>
    <w:p w:rsidR="00566BEB" w:rsidRDefault="00566BEB">
      <w:pPr>
        <w:pStyle w:val="RKnormal"/>
      </w:pPr>
      <w:r>
        <w:t xml:space="preserve">Förslaget bedöms inte få några effekter på statsbudgeten. </w:t>
      </w:r>
    </w:p>
    <w:p w:rsidR="00566BEB" w:rsidRDefault="00566BEB">
      <w:pPr>
        <w:pStyle w:val="RKrubrik"/>
      </w:pPr>
      <w:r>
        <w:t>Övrigt</w:t>
      </w:r>
    </w:p>
    <w:p w:rsidR="00566BEB" w:rsidRDefault="00566BEB">
      <w:pPr>
        <w:pStyle w:val="RKnormal"/>
      </w:pPr>
      <w:r>
        <w:t>Förslaget om ”de-coupling” kan få ekonomiska följder för svenska mobiloperatörer.</w:t>
      </w:r>
    </w:p>
    <w:p w:rsidR="00566BEB" w:rsidRDefault="00566BEB">
      <w:pPr>
        <w:pStyle w:val="RKnormal"/>
        <w:rPr>
          <w:i/>
          <w:iCs/>
        </w:rPr>
      </w:pPr>
    </w:p>
    <w:p w:rsidR="00566BEB" w:rsidRDefault="00566BEB">
      <w:pPr>
        <w:pStyle w:val="RKnormal"/>
        <w:ind w:left="-1134"/>
      </w:pPr>
    </w:p>
    <w:p w:rsidR="00566BEB" w:rsidRDefault="00566BEB">
      <w:pPr>
        <w:pStyle w:val="RKrubrik"/>
        <w:spacing w:before="0" w:after="0"/>
      </w:pPr>
    </w:p>
    <w:p w:rsidR="00566BEB" w:rsidRDefault="00566BEB">
      <w:pPr>
        <w:pStyle w:val="RKnormal"/>
      </w:pPr>
    </w:p>
    <w:p w:rsidR="00566BEB" w:rsidRDefault="00566BEB">
      <w:pPr>
        <w:pStyle w:val="RKnormal"/>
      </w:pPr>
    </w:p>
    <w:sectPr w:rsidR="00566BEB" w:rsidSect="00F370D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BEB" w:rsidRDefault="00566BEB">
      <w:r>
        <w:separator/>
      </w:r>
    </w:p>
  </w:endnote>
  <w:endnote w:type="continuationSeparator" w:id="0">
    <w:p w:rsidR="00566BEB" w:rsidRDefault="00566B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BEB" w:rsidRDefault="00566BEB">
      <w:r>
        <w:separator/>
      </w:r>
    </w:p>
  </w:footnote>
  <w:footnote w:type="continuationSeparator" w:id="0">
    <w:p w:rsidR="00566BEB" w:rsidRDefault="00566B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BEB" w:rsidRDefault="00566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566BEB">
      <w:trPr>
        <w:cantSplit/>
      </w:trPr>
      <w:tc>
        <w:tcPr>
          <w:tcW w:w="3119" w:type="dxa"/>
        </w:tcPr>
        <w:p w:rsidR="00566BEB" w:rsidRDefault="00566BEB">
          <w:pPr>
            <w:pStyle w:val="Header"/>
            <w:spacing w:line="200" w:lineRule="atLeast"/>
            <w:ind w:right="357"/>
            <w:rPr>
              <w:rFonts w:ascii="TradeGothic" w:hAnsi="TradeGothic"/>
              <w:b/>
              <w:bCs/>
              <w:sz w:val="16"/>
            </w:rPr>
          </w:pPr>
        </w:p>
      </w:tc>
      <w:tc>
        <w:tcPr>
          <w:tcW w:w="4111" w:type="dxa"/>
          <w:tcMar>
            <w:left w:w="567" w:type="dxa"/>
          </w:tcMar>
        </w:tcPr>
        <w:p w:rsidR="00566BEB" w:rsidRDefault="00566BEB">
          <w:pPr>
            <w:pStyle w:val="Header"/>
            <w:ind w:right="360"/>
          </w:pPr>
        </w:p>
      </w:tc>
      <w:tc>
        <w:tcPr>
          <w:tcW w:w="1525" w:type="dxa"/>
        </w:tcPr>
        <w:p w:rsidR="00566BEB" w:rsidRDefault="00566BEB">
          <w:pPr>
            <w:pStyle w:val="Header"/>
            <w:ind w:right="360"/>
          </w:pPr>
        </w:p>
      </w:tc>
    </w:tr>
  </w:tbl>
  <w:p w:rsidR="00566BEB" w:rsidRDefault="00566BE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BEB" w:rsidRDefault="00566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566BEB">
      <w:trPr>
        <w:cantSplit/>
      </w:trPr>
      <w:tc>
        <w:tcPr>
          <w:tcW w:w="3119" w:type="dxa"/>
        </w:tcPr>
        <w:p w:rsidR="00566BEB" w:rsidRDefault="00566BEB">
          <w:pPr>
            <w:pStyle w:val="Header"/>
            <w:spacing w:line="200" w:lineRule="atLeast"/>
            <w:ind w:right="357"/>
            <w:rPr>
              <w:rFonts w:ascii="TradeGothic" w:hAnsi="TradeGothic"/>
              <w:b/>
              <w:bCs/>
              <w:sz w:val="16"/>
            </w:rPr>
          </w:pPr>
        </w:p>
      </w:tc>
      <w:tc>
        <w:tcPr>
          <w:tcW w:w="4111" w:type="dxa"/>
          <w:tcMar>
            <w:left w:w="567" w:type="dxa"/>
          </w:tcMar>
        </w:tcPr>
        <w:p w:rsidR="00566BEB" w:rsidRDefault="00566BEB">
          <w:pPr>
            <w:pStyle w:val="Header"/>
            <w:ind w:right="360"/>
          </w:pPr>
        </w:p>
      </w:tc>
      <w:tc>
        <w:tcPr>
          <w:tcW w:w="1525" w:type="dxa"/>
        </w:tcPr>
        <w:p w:rsidR="00566BEB" w:rsidRDefault="00566BEB">
          <w:pPr>
            <w:pStyle w:val="Header"/>
            <w:ind w:right="360"/>
          </w:pPr>
        </w:p>
      </w:tc>
    </w:tr>
  </w:tbl>
  <w:p w:rsidR="00566BEB" w:rsidRDefault="00566BE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BEB" w:rsidRDefault="00566BEB">
    <w:pPr>
      <w:framePr w:w="2948" w:h="1321" w:hRule="exact" w:wrap="notBeside" w:vAnchor="page" w:hAnchor="page" w:x="1362" w:y="653"/>
    </w:pPr>
    <w:r w:rsidRPr="00526D4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5.25pt;visibility:visible">
          <v:imagedata r:id="rId1" o:title=""/>
        </v:shape>
      </w:pict>
    </w:r>
  </w:p>
  <w:p w:rsidR="00566BEB" w:rsidRDefault="00566BEB">
    <w:pPr>
      <w:pStyle w:val="RKrubrik"/>
      <w:keepNext w:val="0"/>
      <w:tabs>
        <w:tab w:val="clear" w:pos="1134"/>
        <w:tab w:val="clear" w:pos="2835"/>
      </w:tabs>
      <w:spacing w:before="0" w:after="0" w:line="320" w:lineRule="atLeast"/>
      <w:rPr>
        <w:bCs/>
      </w:rPr>
    </w:pPr>
  </w:p>
  <w:p w:rsidR="00566BEB" w:rsidRDefault="00566BEB">
    <w:pPr>
      <w:rPr>
        <w:rFonts w:ascii="TradeGothic" w:hAnsi="TradeGothic"/>
        <w:b/>
        <w:bCs/>
        <w:spacing w:val="12"/>
        <w:sz w:val="22"/>
      </w:rPr>
    </w:pPr>
  </w:p>
  <w:p w:rsidR="00566BEB" w:rsidRDefault="00566BEB">
    <w:pPr>
      <w:pStyle w:val="RKrubrik"/>
      <w:keepNext w:val="0"/>
      <w:tabs>
        <w:tab w:val="clear" w:pos="1134"/>
        <w:tab w:val="clear" w:pos="2835"/>
      </w:tabs>
      <w:spacing w:before="0" w:after="0" w:line="320" w:lineRule="atLeast"/>
      <w:rPr>
        <w:bCs/>
      </w:rPr>
    </w:pPr>
  </w:p>
  <w:p w:rsidR="00566BEB" w:rsidRDefault="00566BEB">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B7E60"/>
    <w:multiLevelType w:val="hybridMultilevel"/>
    <w:tmpl w:val="D5E2BF60"/>
    <w:lvl w:ilvl="0" w:tplc="B3E61B66">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5DB94EA5"/>
    <w:multiLevelType w:val="hybridMultilevel"/>
    <w:tmpl w:val="B8702E30"/>
    <w:lvl w:ilvl="0" w:tplc="B3E61B66">
      <w:start w:val="1"/>
      <w:numFmt w:val="bullet"/>
      <w:lvlText w:val=""/>
      <w:lvlJc w:val="left"/>
      <w:pPr>
        <w:tabs>
          <w:tab w:val="num" w:pos="360"/>
        </w:tabs>
        <w:ind w:left="36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1E488F"/>
    <w:rsid w:val="00071E74"/>
    <w:rsid w:val="00133769"/>
    <w:rsid w:val="00150384"/>
    <w:rsid w:val="001805B7"/>
    <w:rsid w:val="001E488F"/>
    <w:rsid w:val="002C1027"/>
    <w:rsid w:val="00301D2D"/>
    <w:rsid w:val="00352B6E"/>
    <w:rsid w:val="00401190"/>
    <w:rsid w:val="0044499F"/>
    <w:rsid w:val="004A328D"/>
    <w:rsid w:val="00513E2F"/>
    <w:rsid w:val="00526D45"/>
    <w:rsid w:val="00566BEB"/>
    <w:rsid w:val="0058762B"/>
    <w:rsid w:val="006C41AA"/>
    <w:rsid w:val="006E4E11"/>
    <w:rsid w:val="007220CF"/>
    <w:rsid w:val="007242A3"/>
    <w:rsid w:val="007637C9"/>
    <w:rsid w:val="007A6855"/>
    <w:rsid w:val="007B2E6A"/>
    <w:rsid w:val="0092027A"/>
    <w:rsid w:val="00984E82"/>
    <w:rsid w:val="00BB08EB"/>
    <w:rsid w:val="00BB5E61"/>
    <w:rsid w:val="00BD7956"/>
    <w:rsid w:val="00C37169"/>
    <w:rsid w:val="00C430D5"/>
    <w:rsid w:val="00C6372C"/>
    <w:rsid w:val="00CA3E53"/>
    <w:rsid w:val="00CB0E27"/>
    <w:rsid w:val="00D133D7"/>
    <w:rsid w:val="00D41B55"/>
    <w:rsid w:val="00D42F6D"/>
    <w:rsid w:val="00E103E4"/>
    <w:rsid w:val="00E67779"/>
    <w:rsid w:val="00EC25F9"/>
    <w:rsid w:val="00ED20A8"/>
    <w:rsid w:val="00ED583F"/>
    <w:rsid w:val="00F370D5"/>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2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370D5"/>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370D5"/>
    <w:pPr>
      <w:spacing w:before="360"/>
      <w:outlineLvl w:val="1"/>
    </w:pPr>
  </w:style>
  <w:style w:type="paragraph" w:styleId="Heading3">
    <w:name w:val="heading 3"/>
    <w:basedOn w:val="Heading2"/>
    <w:next w:val="RKnormal"/>
    <w:link w:val="Heading3Char"/>
    <w:uiPriority w:val="99"/>
    <w:qFormat/>
    <w:rsid w:val="00F370D5"/>
    <w:pPr>
      <w:spacing w:after="120" w:line="240" w:lineRule="atLeast"/>
      <w:outlineLvl w:val="2"/>
    </w:pPr>
    <w:rPr>
      <w:b w:val="0"/>
    </w:rPr>
  </w:style>
  <w:style w:type="paragraph" w:styleId="Heading4">
    <w:name w:val="heading 4"/>
    <w:basedOn w:val="Heading3"/>
    <w:next w:val="RKnormal"/>
    <w:link w:val="Heading4Char"/>
    <w:uiPriority w:val="99"/>
    <w:qFormat/>
    <w:rsid w:val="00F370D5"/>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1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B391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B391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B391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370D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370D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B3912"/>
    <w:rPr>
      <w:rFonts w:ascii="OrigGarmnd BT" w:hAnsi="OrigGarmnd BT"/>
      <w:sz w:val="24"/>
      <w:szCs w:val="20"/>
      <w:lang w:eastAsia="en-US"/>
    </w:rPr>
  </w:style>
  <w:style w:type="paragraph" w:styleId="Header">
    <w:name w:val="header"/>
    <w:basedOn w:val="Normal"/>
    <w:link w:val="HeaderChar"/>
    <w:uiPriority w:val="99"/>
    <w:rsid w:val="00F370D5"/>
    <w:pPr>
      <w:tabs>
        <w:tab w:val="center" w:pos="4153"/>
        <w:tab w:val="right" w:pos="8306"/>
      </w:tabs>
    </w:pPr>
  </w:style>
  <w:style w:type="character" w:customStyle="1" w:styleId="HeaderChar">
    <w:name w:val="Header Char"/>
    <w:basedOn w:val="DefaultParagraphFont"/>
    <w:link w:val="Header"/>
    <w:uiPriority w:val="99"/>
    <w:semiHidden/>
    <w:rsid w:val="000B3912"/>
    <w:rPr>
      <w:rFonts w:ascii="OrigGarmnd BT" w:hAnsi="OrigGarmnd BT"/>
      <w:sz w:val="24"/>
      <w:szCs w:val="20"/>
      <w:lang w:eastAsia="en-US"/>
    </w:rPr>
  </w:style>
  <w:style w:type="paragraph" w:customStyle="1" w:styleId="RKnormal">
    <w:name w:val="RKnormal"/>
    <w:basedOn w:val="Normal"/>
    <w:uiPriority w:val="99"/>
    <w:rsid w:val="00F370D5"/>
    <w:pPr>
      <w:tabs>
        <w:tab w:val="left" w:pos="2835"/>
      </w:tabs>
      <w:spacing w:line="240" w:lineRule="atLeast"/>
    </w:pPr>
  </w:style>
  <w:style w:type="paragraph" w:customStyle="1" w:styleId="RKrubrik">
    <w:name w:val="RKrubrik"/>
    <w:basedOn w:val="RKnormal"/>
    <w:next w:val="RKnormal"/>
    <w:uiPriority w:val="99"/>
    <w:rsid w:val="00F370D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370D5"/>
    <w:rPr>
      <w:rFonts w:cs="Times New Roman"/>
    </w:rPr>
  </w:style>
  <w:style w:type="paragraph" w:styleId="BalloonText">
    <w:name w:val="Balloon Text"/>
    <w:basedOn w:val="Normal"/>
    <w:link w:val="BalloonTextChar"/>
    <w:uiPriority w:val="99"/>
    <w:rsid w:val="00BB08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B08EB"/>
    <w:rPr>
      <w:rFonts w:ascii="Tahoma" w:hAnsi="Tahoma" w:cs="Tahoma"/>
      <w:sz w:val="16"/>
      <w:szCs w:val="16"/>
      <w:lang w:eastAsia="en-US"/>
    </w:rPr>
  </w:style>
  <w:style w:type="table" w:styleId="TableSimple2">
    <w:name w:val="Table Simple 2"/>
    <w:basedOn w:val="TableNormal"/>
    <w:uiPriority w:val="99"/>
    <w:rsid w:val="00133769"/>
    <w:pPr>
      <w:overflowPunct w:val="0"/>
      <w:autoSpaceDE w:val="0"/>
      <w:autoSpaceDN w:val="0"/>
      <w:adjustRightInd w:val="0"/>
      <w:spacing w:line="320" w:lineRule="atLeast"/>
      <w:textAlignment w:val="baseline"/>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1214</Words>
  <Characters>7934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Per G. Andersson</dc:creator>
  <cp:keywords/>
  <dc:description/>
  <cp:lastModifiedBy>Agota Földes</cp:lastModifiedBy>
  <cp:revision>2</cp:revision>
  <cp:lastPrinted>2011-12-05T15:09:00Z</cp:lastPrinted>
  <dcterms:created xsi:type="dcterms:W3CDTF">2011-12-05T15:10:00Z</dcterms:created>
  <dcterms:modified xsi:type="dcterms:W3CDTF">2011-12-05T15:10:00Z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0x010100D4E2D80DC721422ABBDF033BB3857F490300B631DC3BDAF9BF4BA9F6F5A42AC35DF2</vt:lpwstr>
  </property>
  <property fmtid="{D5CDD505-2E9C-101B-9397-08002B2CF9AE}" pid="6" name="RKOrdnaDiarienummer">
    <vt:lpwstr/>
  </property>
  <property fmtid="{D5CDD505-2E9C-101B-9397-08002B2CF9AE}" pid="7" name="RKOrdnaSarskildSkyddsvard">
    <vt:lpwstr/>
  </property>
  <property fmtid="{D5CDD505-2E9C-101B-9397-08002B2CF9AE}" pid="8" name="RKOrdnaDepartement2">
    <vt:lpwstr>Näringsdepartementet</vt:lpwstr>
  </property>
  <property fmtid="{D5CDD505-2E9C-101B-9397-08002B2CF9AE}" pid="9" name="RKOrdnaCheckInComment">
    <vt:lpwstr/>
  </property>
  <property fmtid="{D5CDD505-2E9C-101B-9397-08002B2CF9AE}" pid="10" name="RKOrdnaClass">
    <vt:lpwstr/>
  </property>
  <property fmtid="{D5CDD505-2E9C-101B-9397-08002B2CF9AE}" pid="11" name="RKOrdnaSearchKeywords">
    <vt:lpwstr/>
  </property>
  <property fmtid="{D5CDD505-2E9C-101B-9397-08002B2CF9AE}" pid="12" name="RKOrdnaActivityCategory2">
    <vt:lpwstr>4.1. Europeiska unionen</vt:lpwstr>
  </property>
  <property fmtid="{D5CDD505-2E9C-101B-9397-08002B2CF9AE}" pid="13" name="QFMSP source name">
    <vt:lpwstr/>
  </property>
</Properties>
</file>