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0773B" w:rsidRPr="00124E73" w:rsidP="0060773B">
      <w:pPr>
        <w:pStyle w:val="Title"/>
        <w:rPr>
          <w:sz w:val="25"/>
          <w:szCs w:val="25"/>
        </w:rPr>
      </w:pPr>
      <w:r w:rsidRPr="00124E73">
        <w:rPr>
          <w:sz w:val="25"/>
          <w:szCs w:val="25"/>
        </w:rPr>
        <w:t>Svar på fråga 20</w:t>
      </w:r>
      <w:r w:rsidR="00946408">
        <w:rPr>
          <w:sz w:val="25"/>
          <w:szCs w:val="25"/>
        </w:rPr>
        <w:t>2</w:t>
      </w:r>
      <w:r w:rsidR="00661E48">
        <w:rPr>
          <w:sz w:val="25"/>
          <w:szCs w:val="25"/>
        </w:rPr>
        <w:t>1</w:t>
      </w:r>
      <w:r w:rsidRPr="00124E73">
        <w:rPr>
          <w:sz w:val="25"/>
          <w:szCs w:val="25"/>
        </w:rPr>
        <w:t>/</w:t>
      </w:r>
      <w:r w:rsidR="00661E48">
        <w:rPr>
          <w:sz w:val="25"/>
          <w:szCs w:val="25"/>
        </w:rPr>
        <w:t>22:1</w:t>
      </w:r>
      <w:r w:rsidRPr="00124E73">
        <w:rPr>
          <w:sz w:val="25"/>
          <w:szCs w:val="25"/>
        </w:rPr>
        <w:t>2</w:t>
      </w:r>
      <w:r w:rsidR="00661E48">
        <w:rPr>
          <w:sz w:val="25"/>
          <w:szCs w:val="25"/>
        </w:rPr>
        <w:t>34</w:t>
      </w:r>
      <w:r w:rsidRPr="00124E73">
        <w:rPr>
          <w:sz w:val="25"/>
          <w:szCs w:val="25"/>
        </w:rPr>
        <w:t xml:space="preserve"> av </w:t>
      </w:r>
      <w:r w:rsidR="00811DFC">
        <w:rPr>
          <w:sz w:val="25"/>
          <w:szCs w:val="25"/>
        </w:rPr>
        <w:t xml:space="preserve">Markus </w:t>
      </w:r>
      <w:r w:rsidR="00811DFC">
        <w:rPr>
          <w:sz w:val="25"/>
          <w:szCs w:val="25"/>
        </w:rPr>
        <w:t>Wiechel</w:t>
      </w:r>
      <w:r w:rsidR="00946408">
        <w:rPr>
          <w:sz w:val="25"/>
          <w:szCs w:val="25"/>
        </w:rPr>
        <w:t xml:space="preserve"> (SD)</w:t>
      </w:r>
      <w:r w:rsidRPr="00124E73">
        <w:rPr>
          <w:sz w:val="25"/>
          <w:szCs w:val="25"/>
        </w:rPr>
        <w:t xml:space="preserve"> </w:t>
      </w:r>
    </w:p>
    <w:p w:rsidR="0060773B" w:rsidRPr="00124E73" w:rsidP="0060773B">
      <w:pPr>
        <w:pStyle w:val="Title"/>
        <w:rPr>
          <w:sz w:val="25"/>
          <w:szCs w:val="25"/>
        </w:rPr>
      </w:pPr>
      <w:r>
        <w:rPr>
          <w:sz w:val="25"/>
          <w:szCs w:val="25"/>
        </w:rPr>
        <w:t xml:space="preserve">Utvisning av rysk underrättelsepersonal </w:t>
      </w:r>
    </w:p>
    <w:p w:rsidR="00FB4888" w:rsidP="00FB4888">
      <w:pPr>
        <w:autoSpaceDE w:val="0"/>
        <w:autoSpaceDN w:val="0"/>
        <w:adjustRightInd w:val="0"/>
        <w:spacing w:after="0"/>
      </w:pPr>
      <w:bookmarkStart w:id="0" w:name="_Hlk50100012"/>
      <w:r>
        <w:t xml:space="preserve">Markus </w:t>
      </w:r>
      <w:r>
        <w:t>Wiechel</w:t>
      </w:r>
      <w:r>
        <w:t xml:space="preserve"> </w:t>
      </w:r>
      <w:r w:rsidRPr="00124E73" w:rsidR="0060773B">
        <w:t>har</w:t>
      </w:r>
      <w:r w:rsidR="00C973DA">
        <w:t xml:space="preserve"> frågat om jag </w:t>
      </w:r>
      <w:r w:rsidR="00661E48">
        <w:t xml:space="preserve">avser att verka för att ryska diplomater som kan identifieras som spioner ska utvisas från Sverige, och på vilket sätt jag och regeringen arbetar med </w:t>
      </w:r>
      <w:r w:rsidR="009941F3">
        <w:t>att förhindra</w:t>
      </w:r>
      <w:r w:rsidR="00661E48">
        <w:t xml:space="preserve"> den typen av verksamhet. </w:t>
      </w:r>
    </w:p>
    <w:p w:rsidR="00FB4888" w:rsidP="00FB4888">
      <w:pPr>
        <w:autoSpaceDE w:val="0"/>
        <w:autoSpaceDN w:val="0"/>
        <w:adjustRightInd w:val="0"/>
        <w:spacing w:after="0"/>
      </w:pPr>
    </w:p>
    <w:p w:rsidR="00E30AFB" w:rsidP="00E30AFB">
      <w:pPr>
        <w:autoSpaceDE w:val="0"/>
        <w:autoSpaceDN w:val="0"/>
        <w:adjustRightInd w:val="0"/>
        <w:spacing w:after="0"/>
      </w:pPr>
      <w:bookmarkEnd w:id="0"/>
      <w:r>
        <w:t xml:space="preserve">Sveriges regering agerar och protesterar kraftfullt när rysk diplomatisk personal ägnar sig åt aktiviteter som bryter mot Wienkonventionen om diplomatiska förbindelser. Vad gäller eventuella framtida utvisningar av rysk diplomatisk personal i ljuset av den ryska aggressionen mot Ukraina </w:t>
      </w:r>
      <w:r w:rsidR="00462692">
        <w:t>utesluter Sverige i dagsläget inga åtgärder men vi understryker</w:t>
      </w:r>
      <w:r>
        <w:t xml:space="preserve"> vikten av ett samordnat och enigt agerande inom EU. </w:t>
      </w:r>
    </w:p>
    <w:p w:rsidR="00E30AFB" w:rsidP="00E30AFB">
      <w:pPr>
        <w:autoSpaceDE w:val="0"/>
        <w:autoSpaceDN w:val="0"/>
        <w:adjustRightInd w:val="0"/>
        <w:spacing w:after="0"/>
      </w:pPr>
    </w:p>
    <w:p w:rsidR="00462692" w:rsidRPr="00FD44E3" w:rsidP="00980ABF">
      <w:pPr>
        <w:autoSpaceDE w:val="0"/>
        <w:autoSpaceDN w:val="0"/>
        <w:adjustRightInd w:val="0"/>
        <w:spacing w:after="0"/>
      </w:pPr>
      <w:r>
        <w:t>Som en direkt konsekvens av den ryska aggressionen mot Ukraina beslutade EU den 25 februari om en partiell suspendering av det viseringsförenklings</w:t>
      </w:r>
      <w:r>
        <w:softHyphen/>
        <w:t xml:space="preserve">avtal som dittills gällt. Suspenderingen tar sikte på bland annat diplomater </w:t>
      </w:r>
      <w:r w:rsidRPr="00462692">
        <w:t xml:space="preserve">vars viseringsfrihet hävs. </w:t>
      </w:r>
      <w:r>
        <w:t>Beslutet trädde i</w:t>
      </w:r>
      <w:r w:rsidR="004D1358">
        <w:t xml:space="preserve"> </w:t>
      </w:r>
      <w:r>
        <w:t>kraft den 28 februari</w:t>
      </w:r>
      <w:r w:rsidR="00F62B12">
        <w:t xml:space="preserve"> 2022.</w:t>
      </w:r>
    </w:p>
    <w:p w:rsidR="00FD44E3" w:rsidP="00980ABF">
      <w:pPr>
        <w:autoSpaceDE w:val="0"/>
        <w:autoSpaceDN w:val="0"/>
        <w:adjustRightInd w:val="0"/>
        <w:spacing w:after="0"/>
      </w:pPr>
    </w:p>
    <w:p w:rsidR="00EB16A8" w:rsidP="00EB16A8">
      <w:pPr>
        <w:rPr>
          <w:rFonts w:ascii="Garamond" w:hAnsi="Garamond"/>
        </w:rPr>
      </w:pPr>
      <w:r>
        <w:rPr>
          <w:rFonts w:ascii="Garamond" w:hAnsi="Garamond"/>
        </w:rPr>
        <w:t>För att motverka spioneri bedriver Säkerhetspolisen kontraspionage. Det innebär att Säkerhetspolisen vidtar flera olika typer av åtgärder för att motverka säkerhetshotande verksamhet från andra länder. Regeringen har de senaste åren tillfört betydande resurser till Säkerhetspolisen för att möta säkerhetshot mot Sverige.</w:t>
      </w:r>
    </w:p>
    <w:p w:rsidR="0060773B" w:rsidP="00E8763C">
      <w:pPr>
        <w:pStyle w:val="BodyText"/>
        <w:tabs>
          <w:tab w:val="clear" w:pos="3600"/>
          <w:tab w:val="left" w:pos="4785"/>
          <w:tab w:val="clear" w:pos="5387"/>
        </w:tabs>
      </w:pPr>
      <w:r w:rsidRPr="00124E73">
        <w:t xml:space="preserve">Stockholm den </w:t>
      </w:r>
      <w:r w:rsidR="00946408">
        <w:t>1</w:t>
      </w:r>
      <w:r w:rsidR="00661E48">
        <w:t>6 mars 2022</w:t>
      </w:r>
      <w:r w:rsidR="00E8763C">
        <w:tab/>
      </w:r>
    </w:p>
    <w:p w:rsidR="00E8763C" w:rsidRPr="00124E73" w:rsidP="00E8763C">
      <w:pPr>
        <w:pStyle w:val="BodyText"/>
        <w:tabs>
          <w:tab w:val="clear" w:pos="3600"/>
          <w:tab w:val="left" w:pos="4785"/>
          <w:tab w:val="clear" w:pos="5387"/>
        </w:tabs>
      </w:pPr>
    </w:p>
    <w:p w:rsidR="0060773B" w:rsidRPr="00124E73" w:rsidP="0060773B">
      <w:pPr>
        <w:pStyle w:val="BodyText"/>
      </w:pPr>
      <w:r w:rsidRPr="00124E73">
        <w:t>Ann Linde</w:t>
      </w:r>
    </w:p>
    <w:sectPr w:rsidSect="00811DFC">
      <w:footerReference w:type="default" r:id="rId9"/>
      <w:headerReference w:type="first" r:id="rId10"/>
      <w:footerReference w:type="first" r:id="rId11"/>
      <w:pgSz w:w="11906" w:h="16838" w:code="9"/>
      <w:pgMar w:top="2041" w:right="1985" w:bottom="426"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5E4E8C">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5E4E8C">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07"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17"/>
      <w:gridCol w:w="3160"/>
      <w:gridCol w:w="1130"/>
    </w:tblGrid>
    <w:tr w:rsidTr="00811DFC">
      <w:tblPrEx>
        <w:tblW w:w="9807"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00"/>
      </w:trPr>
      <w:tc>
        <w:tcPr>
          <w:tcW w:w="5517" w:type="dxa"/>
        </w:tcPr>
        <w:p w:rsidR="003D7550" w:rsidRPr="007D73AB">
          <w:pPr>
            <w:pStyle w:val="Header"/>
          </w:pPr>
        </w:p>
      </w:tc>
      <w:tc>
        <w:tcPr>
          <w:tcW w:w="3160" w:type="dxa"/>
          <w:vAlign w:val="bottom"/>
        </w:tcPr>
        <w:p w:rsidR="003D7550" w:rsidRPr="007D73AB" w:rsidP="00340DE0">
          <w:pPr>
            <w:pStyle w:val="Header"/>
          </w:pPr>
        </w:p>
      </w:tc>
      <w:tc>
        <w:tcPr>
          <w:tcW w:w="1130" w:type="dxa"/>
        </w:tcPr>
        <w:p w:rsidR="003D7550" w:rsidP="005A703A">
          <w:pPr>
            <w:pStyle w:val="Header"/>
          </w:pPr>
        </w:p>
      </w:tc>
    </w:tr>
    <w:tr w:rsidTr="00811DFC">
      <w:tblPrEx>
        <w:tblW w:w="9807" w:type="dxa"/>
        <w:tblInd w:w="-1474" w:type="dxa"/>
        <w:tblLayout w:type="fixed"/>
        <w:tblCellMar>
          <w:left w:w="0" w:type="dxa"/>
          <w:right w:w="0" w:type="dxa"/>
        </w:tblCellMar>
        <w:tblLook w:val="0600"/>
      </w:tblPrEx>
      <w:trPr>
        <w:trHeight w:val="1705"/>
      </w:trPr>
      <w:tc>
        <w:tcPr>
          <w:tcW w:w="5517" w:type="dxa"/>
        </w:tcPr>
        <w:p w:rsidR="003D7550" w:rsidRPr="00340DE0" w:rsidP="00340DE0">
          <w:pPr>
            <w:pStyle w:val="Header"/>
          </w:pPr>
          <w:r>
            <w:rPr>
              <w:noProof/>
            </w:rPr>
            <w:drawing>
              <wp:inline distT="0" distB="0" distL="0" distR="0">
                <wp:extent cx="1743633" cy="505162"/>
                <wp:effectExtent l="0" t="0" r="0" b="9525"/>
                <wp:docPr id="14" name="Bildobjekt 14"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60" w:type="dxa"/>
        </w:tcPr>
        <w:p w:rsidR="003D7550" w:rsidRPr="00710A6C" w:rsidP="00EE3C0F">
          <w:pPr>
            <w:pStyle w:val="Header"/>
            <w:rPr>
              <w:b/>
            </w:rPr>
          </w:pPr>
        </w:p>
        <w:p w:rsidR="003D7550" w:rsidP="00EE3C0F">
          <w:pPr>
            <w:pStyle w:val="Header"/>
          </w:pPr>
        </w:p>
        <w:p w:rsidR="003D7550" w:rsidP="00EE3C0F">
          <w:pPr>
            <w:pStyle w:val="Header"/>
          </w:pPr>
        </w:p>
        <w:p w:rsidR="003D7550" w:rsidP="00EE3C0F">
          <w:pPr>
            <w:pStyle w:val="Header"/>
          </w:pPr>
        </w:p>
        <w:sdt>
          <w:sdtPr>
            <w:alias w:val="Dnr"/>
            <w:tag w:val="ccRKShow_Dnr"/>
            <w:id w:val="-829283628"/>
            <w:dataBinding w:xpath="/ns0:DocumentInfo[1]/ns0:BaseInfo[1]/ns0:Dnr[1]" w:storeItemID="{87832E82-63CA-4BEB-9A0D-EC3CB50F1C50}" w:prefixMappings="xmlns:ns0='http://lp/documentinfo/RK' "/>
            <w:text/>
          </w:sdtPr>
          <w:sdtContent>
            <w:p w:rsidR="003D7550" w:rsidP="00EE3C0F">
              <w:pPr>
                <w:pStyle w:val="Header"/>
              </w:pPr>
              <w:r>
                <w:t>UD2022/03972</w:t>
              </w:r>
            </w:p>
          </w:sdtContent>
        </w:sdt>
        <w:sdt>
          <w:sdtPr>
            <w:alias w:val="DocNumber"/>
            <w:tag w:val="DocNumber"/>
            <w:id w:val="1726028884"/>
            <w:showingPlcHdr/>
            <w:dataBinding w:xpath="/ns0:DocumentInfo[1]/ns0:BaseInfo[1]/ns0:DocNumber[1]" w:storeItemID="{87832E82-63CA-4BEB-9A0D-EC3CB50F1C50}" w:prefixMappings="xmlns:ns0='http://lp/documentinfo/RK' "/>
            <w:text/>
          </w:sdtPr>
          <w:sdtContent>
            <w:p w:rsidR="003D7550" w:rsidP="00EE3C0F">
              <w:pPr>
                <w:pStyle w:val="Header"/>
              </w:pPr>
              <w:r>
                <w:rPr>
                  <w:rStyle w:val="PlaceholderText"/>
                </w:rPr>
                <w:t xml:space="preserve"> </w:t>
              </w:r>
            </w:p>
          </w:sdtContent>
        </w:sdt>
        <w:p w:rsidR="003D7550" w:rsidP="00EE3C0F">
          <w:pPr>
            <w:pStyle w:val="Header"/>
          </w:pPr>
        </w:p>
      </w:tc>
      <w:tc>
        <w:tcPr>
          <w:tcW w:w="1130" w:type="dxa"/>
        </w:tcPr>
        <w:p w:rsidR="003D7550" w:rsidP="0094502D">
          <w:pPr>
            <w:pStyle w:val="Header"/>
          </w:pPr>
        </w:p>
        <w:p w:rsidR="003D7550" w:rsidRPr="0094502D" w:rsidP="00EC71A6">
          <w:pPr>
            <w:pStyle w:val="Header"/>
          </w:pPr>
        </w:p>
      </w:tc>
    </w:tr>
    <w:tr w:rsidTr="00811DFC">
      <w:tblPrEx>
        <w:tblW w:w="9807" w:type="dxa"/>
        <w:tblInd w:w="-1474" w:type="dxa"/>
        <w:tblLayout w:type="fixed"/>
        <w:tblCellMar>
          <w:left w:w="0" w:type="dxa"/>
          <w:right w:w="0" w:type="dxa"/>
        </w:tblCellMar>
        <w:tblLook w:val="0600"/>
      </w:tblPrEx>
      <w:trPr>
        <w:trHeight w:val="2005"/>
      </w:trPr>
      <w:sdt>
        <w:sdtPr>
          <w:rPr>
            <w:b/>
          </w:rPr>
          <w:alias w:val="SenderText"/>
          <w:tag w:val="ccRKShow_SenderText"/>
          <w:id w:val="1374046025"/>
          <w:richText/>
        </w:sdtPr>
        <w:sdtEndPr>
          <w:rPr>
            <w:b w:val="0"/>
          </w:rPr>
        </w:sdtEndPr>
        <w:sdtContent>
          <w:tc>
            <w:tcPr>
              <w:tcW w:w="5517" w:type="dxa"/>
              <w:tcMar>
                <w:right w:w="1134" w:type="dxa"/>
              </w:tcMar>
            </w:tcPr>
            <w:p w:rsidR="007404E5" w:rsidRPr="007404E5" w:rsidP="00340DE0">
              <w:pPr>
                <w:pStyle w:val="Header"/>
                <w:rPr>
                  <w:b/>
                </w:rPr>
              </w:pPr>
              <w:r w:rsidRPr="007404E5">
                <w:rPr>
                  <w:b/>
                </w:rPr>
                <w:t>Utrikesdepartementet</w:t>
              </w:r>
            </w:p>
            <w:p w:rsidR="007404E5" w:rsidP="00340DE0">
              <w:pPr>
                <w:pStyle w:val="Header"/>
              </w:pPr>
              <w:r w:rsidRPr="007404E5">
                <w:t>Utrikesministern</w:t>
              </w:r>
            </w:p>
            <w:p w:rsidR="00811DFC" w:rsidP="00340DE0">
              <w:pPr>
                <w:pStyle w:val="Header"/>
              </w:pPr>
            </w:p>
            <w:p w:rsidR="003D7550" w:rsidRPr="00340DE0" w:rsidP="00811DFC">
              <w:pPr>
                <w:pStyle w:val="Header"/>
              </w:pPr>
            </w:p>
          </w:tc>
        </w:sdtContent>
      </w:sdt>
      <w:sdt>
        <w:sdtPr>
          <w:alias w:val="Recipient"/>
          <w:tag w:val="ccRKShow_Recipient"/>
          <w:id w:val="-28344517"/>
          <w:dataBinding w:xpath="/ns0:DocumentInfo[1]/ns0:BaseInfo[1]/ns0:Recipient[1]" w:storeItemID="{87832E82-63CA-4BEB-9A0D-EC3CB50F1C50}" w:prefixMappings="xmlns:ns0='http://lp/documentinfo/RK' "/>
          <w:text w:multiLine="1"/>
        </w:sdtPr>
        <w:sdtContent>
          <w:tc>
            <w:tcPr>
              <w:tcW w:w="3160" w:type="dxa"/>
            </w:tcPr>
            <w:p w:rsidR="003D7550" w:rsidP="00547B89">
              <w:pPr>
                <w:pStyle w:val="Header"/>
              </w:pPr>
              <w:r>
                <w:t>Till riksdagen</w:t>
              </w:r>
              <w:r>
                <w:br/>
              </w:r>
              <w:r>
                <w:br/>
              </w:r>
              <w:r>
                <w:br/>
              </w:r>
              <w:r>
                <w:br/>
              </w:r>
            </w:p>
          </w:tc>
        </w:sdtContent>
      </w:sdt>
      <w:tc>
        <w:tcPr>
          <w:tcW w:w="1130" w:type="dxa"/>
        </w:tcPr>
        <w:p w:rsidR="003D75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341657B"/>
    <w:multiLevelType w:val="hybridMultilevel"/>
    <w:tmpl w:val="6C34A8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51B5490"/>
    <w:multiLevelType w:val="multilevel"/>
    <w:tmpl w:val="1B563932"/>
    <w:numStyleLink w:val="RKNumreradlista"/>
  </w:abstractNum>
  <w:abstractNum w:abstractNumId="12">
    <w:nsid w:val="1F88532F"/>
    <w:multiLevelType w:val="multilevel"/>
    <w:tmpl w:val="1B563932"/>
    <w:numStyleLink w:val="RKNumreradlista"/>
  </w:abstractNum>
  <w:abstractNum w:abstractNumId="13">
    <w:nsid w:val="2AB05199"/>
    <w:multiLevelType w:val="multilevel"/>
    <w:tmpl w:val="186C6512"/>
    <w:numStyleLink w:val="Strecklistan"/>
  </w:abstractNum>
  <w:abstractNum w:abstractNumId="14">
    <w:nsid w:val="2BE361F1"/>
    <w:multiLevelType w:val="multilevel"/>
    <w:tmpl w:val="1B563932"/>
    <w:numStyleLink w:val="RKNumreradlista"/>
  </w:abstractNum>
  <w:abstractNum w:abstractNumId="15">
    <w:nsid w:val="2C9B0453"/>
    <w:multiLevelType w:val="multilevel"/>
    <w:tmpl w:val="1A20A4CA"/>
    <w:numStyleLink w:val="RKPunktlista"/>
  </w:abstractNum>
  <w:abstractNum w:abstractNumId="16">
    <w:nsid w:val="2ECF6BA1"/>
    <w:multiLevelType w:val="multilevel"/>
    <w:tmpl w:val="1B563932"/>
    <w:numStyleLink w:val="RKNumreradlista"/>
  </w:abstractNum>
  <w:abstractNum w:abstractNumId="17">
    <w:nsid w:val="2F604539"/>
    <w:multiLevelType w:val="multilevel"/>
    <w:tmpl w:val="1B563932"/>
    <w:numStyleLink w:val="RKNumreradlista"/>
  </w:abstractNum>
  <w:abstractNum w:abstractNumId="18">
    <w:nsid w:val="348522EF"/>
    <w:multiLevelType w:val="multilevel"/>
    <w:tmpl w:val="1B563932"/>
    <w:numStyleLink w:val="RKNumreradlista"/>
  </w:abstractNum>
  <w:abstractNum w:abstractNumId="19">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D3D0E02"/>
    <w:multiLevelType w:val="multilevel"/>
    <w:tmpl w:val="1B563932"/>
    <w:numStyleLink w:val="RKNumreradlista"/>
  </w:abstractNum>
  <w:abstractNum w:abstractNumId="21">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270774A"/>
    <w:multiLevelType w:val="multilevel"/>
    <w:tmpl w:val="1B563932"/>
    <w:numStyleLink w:val="RKNumreradlista"/>
  </w:abstractNum>
  <w:abstractNum w:abstractNumId="23">
    <w:nsid w:val="4C84297C"/>
    <w:multiLevelType w:val="multilevel"/>
    <w:tmpl w:val="1B563932"/>
    <w:numStyleLink w:val="RKNumreradlista"/>
  </w:abstractNum>
  <w:abstractNum w:abstractNumId="24">
    <w:nsid w:val="4D904BDB"/>
    <w:multiLevelType w:val="multilevel"/>
    <w:tmpl w:val="1B563932"/>
    <w:numStyleLink w:val="RKNumreradlista"/>
  </w:abstractNum>
  <w:abstractNum w:abstractNumId="25">
    <w:nsid w:val="4DAD38FF"/>
    <w:multiLevelType w:val="multilevel"/>
    <w:tmpl w:val="1B563932"/>
    <w:numStyleLink w:val="RKNumreradlista"/>
  </w:abstractNum>
  <w:abstractNum w:abstractNumId="26">
    <w:nsid w:val="53A05A92"/>
    <w:multiLevelType w:val="multilevel"/>
    <w:tmpl w:val="1B563932"/>
    <w:numStyleLink w:val="RKNumreradlista"/>
  </w:abstractNum>
  <w:abstractNum w:abstractNumId="27">
    <w:nsid w:val="5C6843F9"/>
    <w:multiLevelType w:val="multilevel"/>
    <w:tmpl w:val="1A20A4CA"/>
    <w:numStyleLink w:val="RKPunktlista"/>
  </w:abstractNum>
  <w:abstractNum w:abstractNumId="28">
    <w:nsid w:val="61AC437A"/>
    <w:multiLevelType w:val="multilevel"/>
    <w:tmpl w:val="E2FEA49E"/>
    <w:numStyleLink w:val="RKNumreraderubriker"/>
  </w:abstractNum>
  <w:abstractNum w:abstractNumId="29">
    <w:nsid w:val="64780D1B"/>
    <w:multiLevelType w:val="multilevel"/>
    <w:tmpl w:val="1B563932"/>
    <w:numStyleLink w:val="RKNumreradlista"/>
  </w:abstractNum>
  <w:abstractNum w:abstractNumId="30">
    <w:nsid w:val="65E67263"/>
    <w:multiLevelType w:val="hybridMultilevel"/>
    <w:tmpl w:val="778240A4"/>
    <w:lvl w:ilvl="0">
      <w:start w:val="1"/>
      <w:numFmt w:val="lowerLetter"/>
      <w:lvlText w:val="%1."/>
      <w:lvlJc w:val="left"/>
      <w:pPr>
        <w:ind w:left="778" w:hanging="360"/>
      </w:pPr>
      <w:rPr>
        <w:rFonts w:ascii="Arial" w:hAnsi="Arial" w:cs="Arial" w:hint="default"/>
        <w:sz w:val="20"/>
        <w:szCs w:val="2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31">
    <w:nsid w:val="664239C2"/>
    <w:multiLevelType w:val="multilevel"/>
    <w:tmpl w:val="1A20A4CA"/>
    <w:numStyleLink w:val="RKPunktlista"/>
  </w:abstractNum>
  <w:abstractNum w:abstractNumId="32">
    <w:nsid w:val="6AA87A6A"/>
    <w:multiLevelType w:val="multilevel"/>
    <w:tmpl w:val="186C6512"/>
    <w:numStyleLink w:val="Strecklistan"/>
  </w:abstractNum>
  <w:abstractNum w:abstractNumId="33">
    <w:nsid w:val="6D8C68B4"/>
    <w:multiLevelType w:val="multilevel"/>
    <w:tmpl w:val="1B563932"/>
    <w:numStyleLink w:val="RKNumreradlista"/>
  </w:abstractNum>
  <w:abstractNum w:abstractNumId="34">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4466A28"/>
    <w:multiLevelType w:val="multilevel"/>
    <w:tmpl w:val="1A20A4CA"/>
    <w:numStyleLink w:val="RKPunktlista"/>
  </w:abstractNum>
  <w:abstractNum w:abstractNumId="36">
    <w:nsid w:val="76322898"/>
    <w:multiLevelType w:val="multilevel"/>
    <w:tmpl w:val="186C6512"/>
    <w:numStyleLink w:val="Strecklistan"/>
  </w:abstractNum>
  <w:num w:numId="1">
    <w:abstractNumId w:val="21"/>
  </w:num>
  <w:num w:numId="2">
    <w:abstractNumId w:val="28"/>
  </w:num>
  <w:num w:numId="3">
    <w:abstractNumId w:val="4"/>
  </w:num>
  <w:num w:numId="4">
    <w:abstractNumId w:val="1"/>
  </w:num>
  <w:num w:numId="5">
    <w:abstractNumId w:val="5"/>
  </w:num>
  <w:num w:numId="6">
    <w:abstractNumId w:val="3"/>
  </w:num>
  <w:num w:numId="7">
    <w:abstractNumId w:val="19"/>
  </w:num>
  <w:num w:numId="8">
    <w:abstractNumId w:val="17"/>
  </w:num>
  <w:num w:numId="9">
    <w:abstractNumId w:val="8"/>
  </w:num>
  <w:num w:numId="10">
    <w:abstractNumId w:val="14"/>
  </w:num>
  <w:num w:numId="11">
    <w:abstractNumId w:val="18"/>
  </w:num>
  <w:num w:numId="12">
    <w:abstractNumId w:val="34"/>
  </w:num>
  <w:num w:numId="13">
    <w:abstractNumId w:val="26"/>
  </w:num>
  <w:num w:numId="14">
    <w:abstractNumId w:val="9"/>
  </w:num>
  <w:num w:numId="15">
    <w:abstractNumId w:val="7"/>
  </w:num>
  <w:num w:numId="16">
    <w:abstractNumId w:val="31"/>
  </w:num>
  <w:num w:numId="17">
    <w:abstractNumId w:val="27"/>
  </w:num>
  <w:num w:numId="18">
    <w:abstractNumId w:val="6"/>
  </w:num>
  <w:num w:numId="19">
    <w:abstractNumId w:val="0"/>
  </w:num>
  <w:num w:numId="20">
    <w:abstractNumId w:val="2"/>
  </w:num>
  <w:num w:numId="21">
    <w:abstractNumId w:val="16"/>
  </w:num>
  <w:num w:numId="22">
    <w:abstractNumId w:val="11"/>
  </w:num>
  <w:num w:numId="23">
    <w:abstractNumId w:val="23"/>
  </w:num>
  <w:num w:numId="24">
    <w:abstractNumId w:val="24"/>
  </w:num>
  <w:num w:numId="25">
    <w:abstractNumId w:val="35"/>
  </w:num>
  <w:num w:numId="26">
    <w:abstractNumId w:val="20"/>
  </w:num>
  <w:num w:numId="27">
    <w:abstractNumId w:val="32"/>
  </w:num>
  <w:num w:numId="28">
    <w:abstractNumId w:val="15"/>
  </w:num>
  <w:num w:numId="29">
    <w:abstractNumId w:val="13"/>
  </w:num>
  <w:num w:numId="30">
    <w:abstractNumId w:val="33"/>
  </w:num>
  <w:num w:numId="31">
    <w:abstractNumId w:val="12"/>
  </w:num>
  <w:num w:numId="32">
    <w:abstractNumId w:val="25"/>
  </w:num>
  <w:num w:numId="33">
    <w:abstractNumId w:val="29"/>
  </w:num>
  <w:num w:numId="34">
    <w:abstractNumId w:val="36"/>
  </w:num>
  <w:num w:numId="35">
    <w:abstractNumId w:val="22"/>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73B"/>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957413"/>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7413"/>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NoSpacing">
    <w:name w:val="No Spacing"/>
    <w:basedOn w:val="Normal"/>
    <w:uiPriority w:val="1"/>
    <w:qFormat/>
    <w:rsid w:val="0060773B"/>
    <w:pPr>
      <w:spacing w:after="0" w:line="240" w:lineRule="auto"/>
    </w:pPr>
    <w:rPr>
      <w:rFonts w:ascii="Arial" w:hAnsi="Arial" w:cs="Arial"/>
      <w:sz w:val="20"/>
      <w:szCs w:val="20"/>
    </w:rPr>
  </w:style>
  <w:style w:type="character" w:customStyle="1" w:styleId="css-1cvxhd1">
    <w:name w:val="css-1cvxhd1"/>
    <w:basedOn w:val="DefaultParagraphFont"/>
    <w:rsid w:val="005E4E8C"/>
  </w:style>
  <w:style w:type="paragraph" w:styleId="NormalWeb">
    <w:name w:val="Normal (Web)"/>
    <w:basedOn w:val="Normal"/>
    <w:uiPriority w:val="99"/>
    <w:semiHidden/>
    <w:unhideWhenUsed/>
    <w:rsid w:val="005E4E8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onText">
    <w:name w:val="Balloon Text"/>
    <w:basedOn w:val="Normal"/>
    <w:link w:val="BallongtextChar"/>
    <w:uiPriority w:val="99"/>
    <w:semiHidden/>
    <w:unhideWhenUsed/>
    <w:rsid w:val="00124E73"/>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24E73"/>
    <w:rPr>
      <w:rFonts w:ascii="Segoe UI" w:hAnsi="Segoe UI" w:cs="Segoe UI"/>
      <w:sz w:val="18"/>
      <w:szCs w:val="18"/>
    </w:rPr>
  </w:style>
  <w:style w:type="character" w:customStyle="1" w:styleId="ListstyckeChar">
    <w:name w:val="Liststycke Char"/>
    <w:basedOn w:val="DefaultParagraphFont"/>
    <w:link w:val="ListParagraph"/>
    <w:uiPriority w:val="34"/>
    <w:locked/>
    <w:rsid w:val="00E957D1"/>
  </w:style>
  <w:style w:type="paragraph" w:styleId="ListParagraph">
    <w:name w:val="List Paragraph"/>
    <w:basedOn w:val="Normal"/>
    <w:link w:val="ListstyckeChar"/>
    <w:uiPriority w:val="34"/>
    <w:qFormat/>
    <w:rsid w:val="00E957D1"/>
    <w:pPr>
      <w:spacing w:after="0" w:line="240" w:lineRule="auto"/>
      <w:ind w:left="720"/>
    </w:pPr>
  </w:style>
  <w:style w:type="character" w:customStyle="1" w:styleId="UnresolvedMention">
    <w:name w:val="Unresolved Mention"/>
    <w:basedOn w:val="DefaultParagraphFont"/>
    <w:uiPriority w:val="99"/>
    <w:semiHidden/>
    <w:unhideWhenUsed/>
    <w:rsid w:val="00811DF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a4156131-cc7a-4eec-be2e-bb9565181d31</RD_Svarsid>
  </documentManagement>
</p:properties>
</file>

<file path=customXml/item5.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UD2022/03972</Dnr>
    <ParagrafNr/>
    <DocumentTitle/>
    <VisitingAddress/>
    <Extra1/>
    <Extra2/>
    <Extra3/>
    <Number/>
    <Recipient>Till riksdagen
</Recipient>
    <SenderText/>
    <DocNumber/>
    <Doclanguage/>
    <Appendix/>
    <LogotypeName/>
  </BaseInfo>
</DocumentInfo>
</file>

<file path=customXml/itemProps1.xml><?xml version="1.0" encoding="utf-8"?>
<ds:datastoreItem xmlns:ds="http://schemas.openxmlformats.org/officeDocument/2006/customXml" ds:itemID="{936C4E65-911A-4E79-87CE-F89157232A01}"/>
</file>

<file path=customXml/itemProps2.xml><?xml version="1.0" encoding="utf-8"?>
<ds:datastoreItem xmlns:ds="http://schemas.openxmlformats.org/officeDocument/2006/customXml" ds:itemID="{06624C1A-3FFA-4293-A61C-5F5BA3E734C8}"/>
</file>

<file path=customXml/itemProps3.xml><?xml version="1.0" encoding="utf-8"?>
<ds:datastoreItem xmlns:ds="http://schemas.openxmlformats.org/officeDocument/2006/customXml" ds:itemID="{2DE3EABD-3914-4ABA-B459-9E910E2AC532}"/>
</file>

<file path=customXml/itemProps4.xml><?xml version="1.0" encoding="utf-8"?>
<ds:datastoreItem xmlns:ds="http://schemas.openxmlformats.org/officeDocument/2006/customXml" ds:itemID="{3244645B-09FD-4624-8838-8EE8942D2855}"/>
</file>

<file path=customXml/itemProps5.xml><?xml version="1.0" encoding="utf-8"?>
<ds:datastoreItem xmlns:ds="http://schemas.openxmlformats.org/officeDocument/2006/customXml" ds:itemID="{87832E82-63CA-4BEB-9A0D-EC3CB50F1C50}"/>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1163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1234 av Markus Wiechel (SD) Utvisning av rysk underrättelsepersonal.docx</dc:title>
  <cp:revision>2</cp:revision>
  <cp:lastPrinted>2020-09-09T09:42:00Z</cp:lastPrinted>
  <dcterms:created xsi:type="dcterms:W3CDTF">2022-03-16T08:36:00Z</dcterms:created>
  <dcterms:modified xsi:type="dcterms:W3CDTF">2022-03-16T08:36:00Z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9760085f-f18c-4953-b059-405edb3e9580</vt:lpwstr>
  </property>
</Properties>
</file>