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03EED">
        <w:tblPrEx>
          <w:tblCellMar>
            <w:top w:w="0" w:type="dxa"/>
            <w:bottom w:w="0" w:type="dxa"/>
          </w:tblCellMar>
        </w:tblPrEx>
        <w:trPr>
          <w:cantSplit/>
          <w:trHeight w:val="1720"/>
        </w:trPr>
        <w:tc>
          <w:tcPr>
            <w:tcW w:w="6024" w:type="dxa"/>
            <w:gridSpan w:val="2"/>
          </w:tcPr>
          <w:p w:rsidR="00F047E9" w:rsidRPr="00903EED" w:rsidRDefault="00F047E9">
            <w:pPr>
              <w:pStyle w:val="Rubrik1"/>
              <w:spacing w:after="0"/>
              <w:rPr>
                <w:noProof w:val="0"/>
              </w:rPr>
            </w:pPr>
            <w:r w:rsidRPr="00903EED">
              <w:rPr>
                <w:noProof w:val="0"/>
              </w:rPr>
              <w:t>Socialförsäkringsutskottets yttrande</w:t>
            </w:r>
          </w:p>
          <w:p w:rsidR="00F047E9" w:rsidRPr="00903EED" w:rsidRDefault="00F047E9">
            <w:pPr>
              <w:pStyle w:val="HuvudRubrikRad2"/>
            </w:pPr>
            <w:bookmarkStart w:id="0" w:name="BetänkandeNr"/>
            <w:bookmarkEnd w:id="0"/>
            <w:r w:rsidRPr="00903EED">
              <w:t>2000/01:SfU5y</w:t>
            </w:r>
          </w:p>
        </w:tc>
        <w:tc>
          <w:tcPr>
            <w:tcW w:w="1418" w:type="dxa"/>
            <w:tcBorders>
              <w:bottom w:val="nil"/>
            </w:tcBorders>
          </w:tcPr>
          <w:p w:rsidR="00F047E9" w:rsidRPr="00903EED" w:rsidRDefault="00903EED">
            <w:pPr>
              <w:spacing w:line="230" w:lineRule="auto"/>
              <w:jc w:val="center"/>
            </w:pPr>
            <w:r w:rsidRPr="00903EE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47E9" w:rsidRPr="00903EED" w:rsidRDefault="00F047E9">
            <w:pPr>
              <w:pStyle w:val="Normaltindrag"/>
              <w:jc w:val="center"/>
            </w:pPr>
          </w:p>
          <w:p w:rsidR="00F047E9" w:rsidRPr="00903EED" w:rsidRDefault="00F047E9">
            <w:pPr>
              <w:pStyle w:val="StatusSida1"/>
            </w:pPr>
          </w:p>
          <w:p w:rsidR="00F047E9" w:rsidRPr="00903EED" w:rsidRDefault="00F047E9">
            <w:pPr>
              <w:pStyle w:val="UtskriftsdatumSida1"/>
              <w:framePr w:wrap="around"/>
            </w:pPr>
          </w:p>
        </w:tc>
      </w:tr>
      <w:tr w:rsidR="00000000" w:rsidRPr="00903EED">
        <w:tblPrEx>
          <w:tblCellMar>
            <w:top w:w="0" w:type="dxa"/>
            <w:bottom w:w="0" w:type="dxa"/>
          </w:tblCellMar>
        </w:tblPrEx>
        <w:trPr>
          <w:cantSplit/>
        </w:trPr>
        <w:tc>
          <w:tcPr>
            <w:tcW w:w="6024" w:type="dxa"/>
            <w:gridSpan w:val="2"/>
            <w:tcBorders>
              <w:bottom w:val="single" w:sz="4" w:space="0" w:color="auto"/>
            </w:tcBorders>
          </w:tcPr>
          <w:p w:rsidR="00F047E9" w:rsidRPr="00903EED" w:rsidRDefault="00F047E9">
            <w:pPr>
              <w:pStyle w:val="DokumentRubrik"/>
              <w:rPr>
                <w:noProof w:val="0"/>
              </w:rPr>
            </w:pPr>
            <w:bookmarkStart w:id="1" w:name="Huvudrubrik"/>
            <w:bookmarkEnd w:id="1"/>
            <w:r w:rsidRPr="00903EED">
              <w:rPr>
                <w:noProof w:val="0"/>
              </w:rPr>
              <w:t>Preliminära ramar för utgiftsområdena 8, 10, 11 och 12 samt ålderspensionssystemet vid sidan av statsbudgeten</w:t>
            </w:r>
          </w:p>
        </w:tc>
        <w:tc>
          <w:tcPr>
            <w:tcW w:w="1418" w:type="dxa"/>
            <w:tcBorders>
              <w:bottom w:val="nil"/>
            </w:tcBorders>
          </w:tcPr>
          <w:p w:rsidR="00F047E9" w:rsidRPr="00903EED" w:rsidRDefault="00F047E9"/>
        </w:tc>
      </w:tr>
      <w:tr w:rsidR="00000000" w:rsidRPr="00903EED">
        <w:tblPrEx>
          <w:tblCellMar>
            <w:top w:w="0" w:type="dxa"/>
            <w:bottom w:w="0" w:type="dxa"/>
          </w:tblCellMar>
        </w:tblPrEx>
        <w:trPr>
          <w:cantSplit/>
          <w:trHeight w:hRule="exact" w:val="360"/>
        </w:trPr>
        <w:tc>
          <w:tcPr>
            <w:tcW w:w="3012" w:type="dxa"/>
          </w:tcPr>
          <w:p w:rsidR="00F047E9" w:rsidRPr="00903EED" w:rsidRDefault="00F047E9"/>
        </w:tc>
        <w:tc>
          <w:tcPr>
            <w:tcW w:w="3012" w:type="dxa"/>
          </w:tcPr>
          <w:p w:rsidR="00F047E9" w:rsidRPr="00903EED" w:rsidRDefault="00F047E9"/>
        </w:tc>
        <w:tc>
          <w:tcPr>
            <w:tcW w:w="1418" w:type="dxa"/>
          </w:tcPr>
          <w:p w:rsidR="00F047E9" w:rsidRPr="00903EED" w:rsidRDefault="00F047E9"/>
        </w:tc>
      </w:tr>
    </w:tbl>
    <w:p w:rsidR="00F047E9" w:rsidRPr="00903EED" w:rsidRDefault="00F047E9">
      <w:pPr>
        <w:pStyle w:val="R1"/>
      </w:pPr>
      <w:r w:rsidRPr="00903EED">
        <w:t>Till finansutskottet</w:t>
      </w:r>
    </w:p>
    <w:p w:rsidR="00F047E9" w:rsidRPr="00903EED" w:rsidRDefault="00F047E9">
      <w:bookmarkStart w:id="2" w:name="TextStart"/>
      <w:bookmarkEnd w:id="2"/>
      <w:r w:rsidRPr="00903EED">
        <w:t>Finansutskottet har den 19 april 2001 beslutat att bereda övriga utskott til</w:t>
      </w:r>
      <w:r w:rsidRPr="00903EED">
        <w:t>l</w:t>
      </w:r>
      <w:r w:rsidRPr="00903EED">
        <w:t>fälle att yttra sig över 2001 års ekonomiska vårproposition (2000/01:100), i vad avser den ekonomiska politiken och utgiftstaket m.m. (yrkandena 1–5) jämte de motioner som kan komma att väckas, allt i de delar som berör r</w:t>
      </w:r>
      <w:r w:rsidRPr="00903EED">
        <w:t>e</w:t>
      </w:r>
      <w:r w:rsidRPr="00903EED">
        <w:t>spektive utskotts beredningsområde. Vårpropositionen är resultatet av ett samarbete mellan Socialdemokraterna, Vänsterpartiet och Milj</w:t>
      </w:r>
      <w:r w:rsidRPr="00903EED">
        <w:t>ö</w:t>
      </w:r>
      <w:r w:rsidRPr="00903EED">
        <w:t>partiet.</w:t>
      </w:r>
    </w:p>
    <w:p w:rsidR="00F047E9" w:rsidRPr="00903EED" w:rsidRDefault="00F047E9">
      <w:pPr>
        <w:pStyle w:val="Normaltindrag"/>
      </w:pPr>
      <w:r w:rsidRPr="00903EED">
        <w:t>De delar av vårpropositionen som utskottet yttrar sig över är regeringens förslag till preliminär fördelning av statsbudgetens utgifter på utgift</w:t>
      </w:r>
      <w:r w:rsidRPr="00903EED">
        <w:t>sområd</w:t>
      </w:r>
      <w:r w:rsidRPr="00903EED">
        <w:t>e</w:t>
      </w:r>
      <w:r w:rsidRPr="00903EED">
        <w:t>na 8, 10, 11 och 12. Yttrandet omfattar också beräkningen av utgifter för ålderspensionssystemet vid sidan av statsbudgeten samt motionsyrkanden rörande socialavgifter. I detta sammanhang kan nämnas att utskottet har tagit del av Årsredovisning för staten 2000 (skr. 2000/01:101).</w:t>
      </w:r>
    </w:p>
    <w:p w:rsidR="00F047E9" w:rsidRPr="00903EED" w:rsidRDefault="00F047E9">
      <w:pPr>
        <w:pStyle w:val="Normaltindrag"/>
      </w:pPr>
      <w:r w:rsidRPr="00903EED">
        <w:t>Utskottet yttrar sig över följande motioner till den del de rör utskottets b</w:t>
      </w:r>
      <w:r w:rsidRPr="00903EED">
        <w:t>e</w:t>
      </w:r>
      <w:r w:rsidRPr="00903EED">
        <w:t>redningsområde:</w:t>
      </w:r>
    </w:p>
    <w:p w:rsidR="00F047E9" w:rsidRPr="00903EED" w:rsidRDefault="00F047E9">
      <w:pPr>
        <w:pStyle w:val="Normaltindrag"/>
      </w:pPr>
      <w:r w:rsidRPr="00903EED">
        <w:t>Fi17 yrkandena 5, 13 och 15 av Bo Lundgren m.fl. (m),</w:t>
      </w:r>
    </w:p>
    <w:p w:rsidR="00F047E9" w:rsidRPr="00903EED" w:rsidRDefault="00F047E9">
      <w:pPr>
        <w:pStyle w:val="Normaltindrag"/>
      </w:pPr>
      <w:r w:rsidRPr="00903EED">
        <w:t xml:space="preserve">Fi18 yrkandena 5 och 7 av Alf Svensson m.fl. (kd), </w:t>
      </w:r>
    </w:p>
    <w:p w:rsidR="00F047E9" w:rsidRPr="00903EED" w:rsidRDefault="00F047E9">
      <w:pPr>
        <w:pStyle w:val="Normaltindrag"/>
      </w:pPr>
      <w:r w:rsidRPr="00903EED">
        <w:t xml:space="preserve">Fi19 yrkandena 4, 5 och 13  av Agne Hansson m.fl. (c), </w:t>
      </w:r>
    </w:p>
    <w:p w:rsidR="00F047E9" w:rsidRPr="00903EED" w:rsidRDefault="00F047E9">
      <w:pPr>
        <w:pStyle w:val="Normaltindrag"/>
      </w:pPr>
      <w:r w:rsidRPr="00903EED">
        <w:t xml:space="preserve">Fi20 yrkandena 4, 6, 11, 12, 20 och 23 av Lars Leijonborg m.fl. (fp), </w:t>
      </w:r>
    </w:p>
    <w:p w:rsidR="00F047E9" w:rsidRPr="00903EED" w:rsidRDefault="00F047E9">
      <w:pPr>
        <w:pStyle w:val="Normaltindrag"/>
      </w:pPr>
      <w:r w:rsidRPr="00903EED">
        <w:t>Fi33 av Bo Lundgren m.fl. (m).</w:t>
      </w:r>
    </w:p>
    <w:p w:rsidR="00F047E9" w:rsidRPr="00903EED" w:rsidRDefault="00F047E9">
      <w:pPr>
        <w:pStyle w:val="R2"/>
      </w:pPr>
      <w:r w:rsidRPr="00903EED">
        <w:t>Inledning</w:t>
      </w:r>
    </w:p>
    <w:p w:rsidR="00F047E9" w:rsidRPr="00903EED" w:rsidRDefault="00F047E9">
      <w:r w:rsidRPr="00903EED">
        <w:t>I propositionen redovisas förslag om ett statligt utgiftstak inklusive ålderspe</w:t>
      </w:r>
      <w:r w:rsidRPr="00903EED">
        <w:t>n</w:t>
      </w:r>
      <w:r w:rsidRPr="00903EED">
        <w:t>sionssystemet vid sidan av statsbudgeten för 2002 på 814 miljarder kronor, för 2003 på 844 miljarder kronor och för 2004 på 877 miljarder kronor.</w:t>
      </w:r>
    </w:p>
    <w:p w:rsidR="00F047E9" w:rsidRPr="00903EED" w:rsidRDefault="00F047E9">
      <w:pPr>
        <w:pStyle w:val="Normaltindrag"/>
      </w:pPr>
      <w:r w:rsidRPr="00903EED">
        <w:lastRenderedPageBreak/>
        <w:t>Regeringen begär att riksdagen godkänner den preliminära fördelningen av utgifterna på utgiftsområden åren 2002–2004 som riktlinje för regeringens budgetarbete.</w:t>
      </w:r>
    </w:p>
    <w:p w:rsidR="00F047E9" w:rsidRPr="00903EED" w:rsidRDefault="00F047E9">
      <w:pPr>
        <w:pStyle w:val="R2"/>
      </w:pPr>
      <w:r w:rsidRPr="00903EED">
        <w:t>Utgiftsområde 8 Invandrare och flyktingar</w:t>
      </w:r>
    </w:p>
    <w:p w:rsidR="00F047E9" w:rsidRPr="00903EED" w:rsidRDefault="00F047E9">
      <w:pPr>
        <w:pStyle w:val="R3"/>
        <w:spacing w:before="235"/>
      </w:pPr>
      <w:r w:rsidRPr="00903EED">
        <w:t>Propositionen</w:t>
      </w:r>
    </w:p>
    <w:p w:rsidR="00F047E9" w:rsidRPr="00903EED" w:rsidRDefault="00F047E9">
      <w:r w:rsidRPr="00903EED">
        <w:t>Utgiftsområdet omfattar politikområdena Migrationspolitik, Integrationspol</w:t>
      </w:r>
      <w:r w:rsidRPr="00903EED">
        <w:t>i</w:t>
      </w:r>
      <w:r w:rsidRPr="00903EED">
        <w:t>tik, Storstadspolitik och Minoritetspolitik. För 2001 uppgår de totala anslagen enligt statsbudgeten för utgiftsområdet till 4,9 miljarder kronor, varav 2,0 miljarder kronor till migrationspolitiken och 2,4 miljarder kronor till integr</w:t>
      </w:r>
      <w:r w:rsidRPr="00903EED">
        <w:t>a</w:t>
      </w:r>
      <w:r w:rsidRPr="00903EED">
        <w:t xml:space="preserve">tionspolitiken. </w:t>
      </w:r>
    </w:p>
    <w:p w:rsidR="00F047E9" w:rsidRPr="00903EED" w:rsidRDefault="00F047E9">
      <w:pPr>
        <w:pStyle w:val="Normaltindrag"/>
      </w:pPr>
      <w:r w:rsidRPr="00903EED">
        <w:t>Regeringen föreslår en preliminär beräkning av ramen för utgiftsområdet för 2002 till 4 827 miljoner kronor, för 2003 till 4 850 miljoner kronor och för 2004 till 4 330 miljoner kronor.</w:t>
      </w:r>
    </w:p>
    <w:p w:rsidR="00F047E9" w:rsidRPr="00903EED" w:rsidRDefault="00F047E9">
      <w:pPr>
        <w:pStyle w:val="Normaltindrag"/>
      </w:pPr>
      <w:r w:rsidRPr="00903EED">
        <w:t>Beräknade resurser för utgiftsområdet ökar med 144 miljoner kronor för 2002 och med 133 miljoner kronor för 2003 jämfört med de beräknade r</w:t>
      </w:r>
      <w:r w:rsidRPr="00903EED">
        <w:t>a</w:t>
      </w:r>
      <w:r w:rsidRPr="00903EED">
        <w:t>marna i budgetpropositionen för 2001. Förändringen förklaras huvudsakligen av att regeringen har beräknat tillskott på 40 miljoner kronor 2002 och 50 miljoner kronor 2003 för asylsökande barns tillgång till förskoleverksamhet, skolbarnsomsorg och utbildning på i huvudsak samma villkor som gäller för barn som är bosatta i landet. Vidare beräknar regeringen en ökning av utgift</w:t>
      </w:r>
      <w:r w:rsidRPr="00903EED">
        <w:t>s</w:t>
      </w:r>
      <w:r w:rsidRPr="00903EED">
        <w:t>områdesramen för 2002 med 32 miljoner kronor för Europeiska flyktingfo</w:t>
      </w:r>
      <w:r w:rsidRPr="00903EED">
        <w:t>n</w:t>
      </w:r>
      <w:r w:rsidRPr="00903EED">
        <w:t>den. Fondens medel skall användas för projekt i syfte att unde</w:t>
      </w:r>
      <w:r w:rsidRPr="00903EED">
        <w:t>rlätta för EU-länderna att ta emot asylsökande och flyktingar. Anslagsbeloppet motsvarar EU:s finansiering av pr</w:t>
      </w:r>
      <w:r w:rsidRPr="00903EED">
        <w:t>o</w:t>
      </w:r>
      <w:r w:rsidRPr="00903EED">
        <w:t xml:space="preserve">jekten. </w:t>
      </w:r>
    </w:p>
    <w:p w:rsidR="00F047E9" w:rsidRPr="00903EED" w:rsidRDefault="00F047E9">
      <w:pPr>
        <w:pStyle w:val="Normaltindrag"/>
      </w:pPr>
      <w:r w:rsidRPr="00903EED">
        <w:t>Enligt regeringen är det viktigt att stödja grupper och organisationer som har en tydlig målsättning att värna det demokratiska samhället mot rasism, främlingsfientlighet, homofobi och diskriminering. Från och med 2002 b</w:t>
      </w:r>
      <w:r w:rsidRPr="00903EED">
        <w:t>e</w:t>
      </w:r>
      <w:r w:rsidRPr="00903EED">
        <w:t>räknas 10 miljoner kronor för att förstärka det antirasistiska arbetet. Vidare anför regeringen att en försöksverksamhet bör inledas med lokala och regi</w:t>
      </w:r>
      <w:r w:rsidRPr="00903EED">
        <w:t>o</w:t>
      </w:r>
      <w:r w:rsidRPr="00903EED">
        <w:t>nala diskrimineringsombud. För detta ändamål tillförs 4 miljoner kronor fr.o.m. 2002.</w:t>
      </w:r>
    </w:p>
    <w:p w:rsidR="00F047E9" w:rsidRPr="00903EED" w:rsidRDefault="00F047E9">
      <w:pPr>
        <w:pStyle w:val="Normaltindrag"/>
      </w:pPr>
      <w:r w:rsidRPr="00903EED">
        <w:t>År 2003 beräknar regeringen minska ramen för utgiftsområdet med 20 miljoner kronor och ytterligare med 310 miljoner kronor 2004 i syfte att finansiera förslag som innebär att ett äldreförsörjningsstöd inrättas för pers</w:t>
      </w:r>
      <w:r w:rsidRPr="00903EED">
        <w:t>o</w:t>
      </w:r>
      <w:r w:rsidRPr="00903EED">
        <w:t>ner över 65 år som inte uppfyller bosättningskravet i pensionssystemet.</w:t>
      </w:r>
    </w:p>
    <w:p w:rsidR="00F047E9" w:rsidRPr="00903EED" w:rsidRDefault="00F047E9">
      <w:pPr>
        <w:pStyle w:val="Normaltindrag"/>
      </w:pPr>
      <w:r w:rsidRPr="00903EED">
        <w:t>Vidare anförs att riksdagen har tillkännagivit att regeringen i samband med den ekonomiska vårpropositionen 2001 bör redovisa ett sätt att möjliggöra flexiblare utnyttjande av anslagen på migrationsområdet och då i första hand anslagen 12:1 Migrationsverket och 12:2 Mottagande av asylsökande (bet. 2000/01:SfU2). Regeringen konstaterar att nuvarande anslagssystem är ko</w:t>
      </w:r>
      <w:r w:rsidRPr="00903EED">
        <w:t>n</w:t>
      </w:r>
      <w:r w:rsidRPr="00903EED">
        <w:t>struerat så att flexibilitet finns inbyggd i systemet dels genom möjligheten till anslagskredit respektive anslagssparande, dels genom omprioritering i tilläggsbudget. Vidare anser regeringen att det är en viktig princip att förval</w:t>
      </w:r>
      <w:r w:rsidRPr="00903EED">
        <w:t>t</w:t>
      </w:r>
      <w:r w:rsidRPr="00903EED">
        <w:t>ningsanslag och sakanslag skall hållas åtskilda. Anslagsstrukturen inom migrationsområdet är konstruerad så att myndigheternas förvaltningsutgifter och övriga utgifter hålls isär. Därför anser regeringen att det nu inte finns behov av att lägga fram förslag till särskilda åtgärd</w:t>
      </w:r>
      <w:r w:rsidRPr="00903EED">
        <w:t>er med anledning av soc</w:t>
      </w:r>
      <w:r w:rsidRPr="00903EED">
        <w:t>i</w:t>
      </w:r>
      <w:r w:rsidRPr="00903EED">
        <w:t>alförsäkringsutskottets initiativ.</w:t>
      </w:r>
    </w:p>
    <w:p w:rsidR="00F047E9" w:rsidRPr="00903EED" w:rsidRDefault="00F047E9">
      <w:pPr>
        <w:pStyle w:val="R3"/>
      </w:pPr>
      <w:r w:rsidRPr="00903EED">
        <w:t>Motionerna</w:t>
      </w:r>
    </w:p>
    <w:p w:rsidR="00F047E9" w:rsidRPr="00903EED" w:rsidRDefault="00F047E9">
      <w:pPr>
        <w:pStyle w:val="R4"/>
      </w:pPr>
      <w:r w:rsidRPr="00903EED">
        <w:t>Moderaterna</w:t>
      </w:r>
    </w:p>
    <w:p w:rsidR="00F047E9" w:rsidRPr="00903EED" w:rsidRDefault="00F047E9">
      <w:r w:rsidRPr="00903EED">
        <w:t>I stället för att anslå budgetmedel till vissa utsatta bostadsområden i storst</w:t>
      </w:r>
      <w:r w:rsidRPr="00903EED">
        <w:t>ä</w:t>
      </w:r>
      <w:r w:rsidRPr="00903EED">
        <w:t>derna vill Moderaterna pröva andra vägar som innebär en mindre belastning på statsbudgeten. Enligt motionärerna skulle en avreglering av den svenska arbets- och bostadsmarknaden öka den sociala och geografiska rörligheten i det svenska samhället och därmed få positiva effekter för integrationsarbetet. Vidare anförs att väntetiderna för de asylsökande är alltför långa, vilket mot</w:t>
      </w:r>
      <w:r w:rsidRPr="00903EED">
        <w:t>i</w:t>
      </w:r>
      <w:r w:rsidRPr="00903EED">
        <w:t>verar att Migrationsverkets resurser bör öka med 50 miljoner kronor utöver regeringens förslag. Även Utlänningsnämndens budget bö</w:t>
      </w:r>
      <w:r w:rsidRPr="00903EED">
        <w:t>r förstärkas, medan Integr</w:t>
      </w:r>
      <w:r w:rsidRPr="00903EED">
        <w:t>a</w:t>
      </w:r>
      <w:r w:rsidRPr="00903EED">
        <w:t>tionsverket föreslås få minskat anslag.</w:t>
      </w:r>
    </w:p>
    <w:p w:rsidR="00F047E9" w:rsidRPr="00903EED" w:rsidRDefault="00F047E9">
      <w:pPr>
        <w:pStyle w:val="Normaltindrag"/>
      </w:pPr>
      <w:r w:rsidRPr="00903EED">
        <w:t>Moderaterna föreslår i motion Fi17 yrkande 5 att ramen minskas i förhå</w:t>
      </w:r>
      <w:r w:rsidRPr="00903EED">
        <w:t>l</w:t>
      </w:r>
      <w:r w:rsidRPr="00903EED">
        <w:t>lande till regeringens förslag med 130 miljoner kronor för 2002, 244 miljoner kronor för 2003 och med 14 miljoner kronor för 2004.</w:t>
      </w:r>
    </w:p>
    <w:p w:rsidR="00F047E9" w:rsidRPr="00903EED" w:rsidRDefault="00F047E9">
      <w:pPr>
        <w:pStyle w:val="R4"/>
      </w:pPr>
      <w:r w:rsidRPr="00903EED">
        <w:t>Kristdemokraterna</w:t>
      </w:r>
    </w:p>
    <w:p w:rsidR="00F047E9" w:rsidRPr="00903EED" w:rsidRDefault="00F047E9">
      <w:r w:rsidRPr="00903EED">
        <w:t>Kristdemokraterna har tidigare ställt sig bakom att statsbidrag lämnats till vissa kommuner i framför allt storstadsregionerna för att stimulera till insatser i utsatta bostadsområden. Motionärerna avvisar emellertid en förlängning av projektet, vilket motsvarar ett anslag om 230 miljoner kronor 2003. Kristd</w:t>
      </w:r>
      <w:r w:rsidRPr="00903EED">
        <w:t>e</w:t>
      </w:r>
      <w:r w:rsidRPr="00903EED">
        <w:t>mokraterna anser vidare att Integrationsverket bör läggas ned från den 1 juni 2002. Vissa uppgifter bör övertas av Migrationsverket, Ombudsmannen mot etnisk diskriminering och Riksförsäkringsverket.</w:t>
      </w:r>
    </w:p>
    <w:p w:rsidR="00F047E9" w:rsidRPr="00903EED" w:rsidRDefault="00F047E9">
      <w:pPr>
        <w:pStyle w:val="Normaltindrag"/>
      </w:pPr>
      <w:r w:rsidRPr="00903EED">
        <w:t>Kristdemokraterna föreslår i motion Fi18 yrkande 7 att ramen minskas i förhållande till regeringens förslag med 43 miljoner kronor för 2002, 297 miljoner kronor för 2003 och med 69 miljoner kronor för 2004.</w:t>
      </w:r>
    </w:p>
    <w:p w:rsidR="00F047E9" w:rsidRPr="00903EED" w:rsidRDefault="00F047E9">
      <w:pPr>
        <w:pStyle w:val="R4"/>
      </w:pPr>
      <w:r w:rsidRPr="00903EED">
        <w:t>Centerpartiet</w:t>
      </w:r>
    </w:p>
    <w:p w:rsidR="00F047E9" w:rsidRPr="00903EED" w:rsidRDefault="00F047E9">
      <w:pPr>
        <w:spacing w:line="240" w:lineRule="atLeast"/>
        <w:ind w:left="23"/>
        <w:rPr>
          <w:snapToGrid w:val="0"/>
          <w:color w:val="000000"/>
          <w:lang w:eastAsia="sv-SE"/>
        </w:rPr>
      </w:pPr>
      <w:r w:rsidRPr="00903EED">
        <w:rPr>
          <w:snapToGrid w:val="0"/>
          <w:color w:val="000000"/>
          <w:lang w:eastAsia="sv-SE"/>
        </w:rPr>
        <w:t>Centerpartiet anser att Sverige skall ha en öppen och generös flyktingpolitik samtidigt som asylproceduren måste förbättras och rättssäkerheten öka. For</w:t>
      </w:r>
      <w:r w:rsidRPr="00903EED">
        <w:rPr>
          <w:snapToGrid w:val="0"/>
          <w:color w:val="000000"/>
          <w:lang w:eastAsia="sv-SE"/>
        </w:rPr>
        <w:t>t</w:t>
      </w:r>
      <w:r w:rsidRPr="00903EED">
        <w:rPr>
          <w:snapToGrid w:val="0"/>
          <w:color w:val="000000"/>
          <w:lang w:eastAsia="sv-SE"/>
        </w:rPr>
        <w:t>farande är väntetiderna alltför långa och flyktingmottagandet bör därför m</w:t>
      </w:r>
      <w:r w:rsidRPr="00903EED">
        <w:rPr>
          <w:snapToGrid w:val="0"/>
          <w:color w:val="000000"/>
          <w:lang w:eastAsia="sv-SE"/>
        </w:rPr>
        <w:t>o</w:t>
      </w:r>
      <w:r w:rsidRPr="00903EED">
        <w:rPr>
          <w:snapToGrid w:val="0"/>
          <w:color w:val="000000"/>
          <w:lang w:eastAsia="sv-SE"/>
        </w:rPr>
        <w:t>derniseras och effektiviseras. Enligt Centerpartiet är det uppenbart att det finns möjligheter att göra besparingar när det gäller Migrationsverkets adm</w:t>
      </w:r>
      <w:r w:rsidRPr="00903EED">
        <w:rPr>
          <w:snapToGrid w:val="0"/>
          <w:color w:val="000000"/>
          <w:lang w:eastAsia="sv-SE"/>
        </w:rPr>
        <w:t>i</w:t>
      </w:r>
      <w:r w:rsidRPr="00903EED">
        <w:rPr>
          <w:snapToGrid w:val="0"/>
          <w:color w:val="000000"/>
          <w:lang w:eastAsia="sv-SE"/>
        </w:rPr>
        <w:t>nistration. Effektiviseringar tillsammans med ökade möjligheter för flyktin</w:t>
      </w:r>
      <w:r w:rsidRPr="00903EED">
        <w:rPr>
          <w:snapToGrid w:val="0"/>
          <w:color w:val="000000"/>
          <w:lang w:eastAsia="sv-SE"/>
        </w:rPr>
        <w:t>g</w:t>
      </w:r>
      <w:r w:rsidRPr="00903EED">
        <w:rPr>
          <w:snapToGrid w:val="0"/>
          <w:color w:val="000000"/>
          <w:lang w:eastAsia="sv-SE"/>
        </w:rPr>
        <w:t>ar att delta i arbetslivet kan ge besparingar på 100 miljoner kronor. Utlä</w:t>
      </w:r>
      <w:r w:rsidRPr="00903EED">
        <w:rPr>
          <w:snapToGrid w:val="0"/>
          <w:color w:val="000000"/>
          <w:lang w:eastAsia="sv-SE"/>
        </w:rPr>
        <w:t>n</w:t>
      </w:r>
      <w:r w:rsidRPr="00903EED">
        <w:rPr>
          <w:snapToGrid w:val="0"/>
          <w:color w:val="000000"/>
          <w:lang w:eastAsia="sv-SE"/>
        </w:rPr>
        <w:t xml:space="preserve">ningsnämnden bör enligt Centerpartiet avvecklas och asylärendena överföras till förvaltningsdomstolarna. </w:t>
      </w:r>
    </w:p>
    <w:p w:rsidR="00F047E9" w:rsidRPr="00903EED" w:rsidRDefault="00F047E9">
      <w:pPr>
        <w:pStyle w:val="Normaltindrag"/>
      </w:pPr>
      <w:r w:rsidRPr="00903EED">
        <w:rPr>
          <w:snapToGrid w:val="0"/>
          <w:color w:val="000000"/>
          <w:lang w:eastAsia="sv-SE"/>
        </w:rPr>
        <w:t>Centerpartiet föreslår i m</w:t>
      </w:r>
      <w:r w:rsidRPr="00903EED">
        <w:rPr>
          <w:snapToGrid w:val="0"/>
          <w:color w:val="000000"/>
          <w:lang w:eastAsia="sv-SE"/>
        </w:rPr>
        <w:t>otion Fi19 yrkande 4 att ramen minskas i förhå</w:t>
      </w:r>
      <w:r w:rsidRPr="00903EED">
        <w:rPr>
          <w:snapToGrid w:val="0"/>
          <w:color w:val="000000"/>
          <w:lang w:eastAsia="sv-SE"/>
        </w:rPr>
        <w:t>l</w:t>
      </w:r>
      <w:r w:rsidRPr="00903EED">
        <w:rPr>
          <w:snapToGrid w:val="0"/>
          <w:color w:val="000000"/>
          <w:lang w:eastAsia="sv-SE"/>
        </w:rPr>
        <w:t>lande till regeringens förslag med 450 miljoner kronor för 2002, 565 miljoner kronor för 2003 och med 335 miljoner kronor för 2004.</w:t>
      </w:r>
    </w:p>
    <w:p w:rsidR="00F047E9" w:rsidRPr="00903EED" w:rsidRDefault="00F047E9">
      <w:pPr>
        <w:pStyle w:val="R4"/>
      </w:pPr>
      <w:r w:rsidRPr="00903EED">
        <w:t>Folkpartiet</w:t>
      </w:r>
    </w:p>
    <w:p w:rsidR="00F047E9" w:rsidRPr="00903EED" w:rsidRDefault="00F047E9">
      <w:r w:rsidRPr="00903EED">
        <w:t>I Folkpartiets motion Fi20 yrkande 20 begärs ett tillkännagivande om behovet av ökad integration av invandrare. De nuvarande förhållandena, som lett till att invandrare inte kommit in på arbetsmarknaden, kritiseras. Enligt motion</w:t>
      </w:r>
      <w:r w:rsidRPr="00903EED">
        <w:t>ä</w:t>
      </w:r>
      <w:r w:rsidRPr="00903EED">
        <w:t>re</w:t>
      </w:r>
      <w:r w:rsidRPr="00903EED">
        <w:t>r</w:t>
      </w:r>
      <w:r w:rsidRPr="00903EED">
        <w:t>na krävs en radikal politik för att främja arbete och företagande.</w:t>
      </w:r>
    </w:p>
    <w:p w:rsidR="00F047E9" w:rsidRPr="00903EED" w:rsidRDefault="00F047E9">
      <w:pPr>
        <w:pStyle w:val="Normaltindrag"/>
      </w:pPr>
      <w:r w:rsidRPr="00903EED">
        <w:t>Folkpartiet anser att ökade resurser bör läggas på ett bättre flyktingmott</w:t>
      </w:r>
      <w:r w:rsidRPr="00903EED">
        <w:t>a</w:t>
      </w:r>
      <w:r w:rsidRPr="00903EED">
        <w:t>gande. Om satsningar görs för att förbättra omhändertagande och handläg</w:t>
      </w:r>
      <w:r w:rsidRPr="00903EED">
        <w:t>g</w:t>
      </w:r>
      <w:r w:rsidRPr="00903EED">
        <w:t>ning kan kostnaderna för asylpolitiken minska jämfört med regeringens b</w:t>
      </w:r>
      <w:r w:rsidRPr="00903EED">
        <w:t>e</w:t>
      </w:r>
      <w:r w:rsidRPr="00903EED">
        <w:t xml:space="preserve">räkning. </w:t>
      </w:r>
    </w:p>
    <w:p w:rsidR="00F047E9" w:rsidRPr="00903EED" w:rsidRDefault="00F047E9">
      <w:pPr>
        <w:pStyle w:val="Normaltindrag"/>
        <w:rPr>
          <w:snapToGrid w:val="0"/>
          <w:color w:val="000000"/>
          <w:lang w:eastAsia="sv-SE"/>
        </w:rPr>
      </w:pPr>
      <w:r w:rsidRPr="00903EED">
        <w:rPr>
          <w:snapToGrid w:val="0"/>
          <w:color w:val="000000"/>
          <w:lang w:eastAsia="sv-SE"/>
        </w:rPr>
        <w:t>Folkpartiet föreslår i motion Fi20 yrkande 4 att ramen minskas i förhålla</w:t>
      </w:r>
      <w:r w:rsidRPr="00903EED">
        <w:rPr>
          <w:snapToGrid w:val="0"/>
          <w:color w:val="000000"/>
          <w:lang w:eastAsia="sv-SE"/>
        </w:rPr>
        <w:t>n</w:t>
      </w:r>
      <w:r w:rsidRPr="00903EED">
        <w:rPr>
          <w:snapToGrid w:val="0"/>
          <w:color w:val="000000"/>
          <w:lang w:eastAsia="sv-SE"/>
        </w:rPr>
        <w:t>de till regeringens förslag med 490 miljoner kronor för 2002, 966 miljoner kronor för 2003 och med 1 183 miljoner kronor för 2004.</w:t>
      </w:r>
    </w:p>
    <w:p w:rsidR="00F047E9" w:rsidRPr="00903EED" w:rsidRDefault="00F047E9">
      <w:pPr>
        <w:pStyle w:val="R3"/>
      </w:pPr>
      <w:r w:rsidRPr="00903EED">
        <w:t>Utskottet</w:t>
      </w:r>
    </w:p>
    <w:p w:rsidR="00F047E9" w:rsidRPr="00903EED" w:rsidRDefault="00F047E9">
      <w:r w:rsidRPr="00903EED">
        <w:t>Förslag till preliminär ram för åren 2002, 2003 och 2004, miljoner kronor</w:t>
      </w:r>
    </w:p>
    <w:p w:rsidR="00F047E9" w:rsidRPr="00903EED" w:rsidRDefault="00F047E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33"/>
        <w:gridCol w:w="301"/>
        <w:gridCol w:w="900"/>
        <w:gridCol w:w="801"/>
        <w:gridCol w:w="851"/>
        <w:gridCol w:w="425"/>
      </w:tblGrid>
      <w:tr w:rsidR="00000000" w:rsidRPr="00903EED">
        <w:tblPrEx>
          <w:tblCellMar>
            <w:top w:w="0" w:type="dxa"/>
            <w:bottom w:w="0" w:type="dxa"/>
          </w:tblCellMar>
        </w:tblPrEx>
        <w:trPr>
          <w:trHeight w:hRule="exact" w:val="320"/>
        </w:trPr>
        <w:tc>
          <w:tcPr>
            <w:tcW w:w="637" w:type="dxa"/>
            <w:tcBorders>
              <w:top w:val="single" w:sz="4" w:space="0" w:color="auto"/>
              <w:bottom w:val="single" w:sz="4" w:space="0" w:color="auto"/>
            </w:tcBorders>
          </w:tcPr>
          <w:p w:rsidR="00F047E9" w:rsidRPr="00903EED" w:rsidRDefault="00F047E9">
            <w:pPr>
              <w:pStyle w:val="Normaltindrag"/>
              <w:ind w:firstLine="0"/>
            </w:pPr>
            <w:r w:rsidRPr="00903EED">
              <w:t>År</w:t>
            </w:r>
          </w:p>
        </w:tc>
        <w:tc>
          <w:tcPr>
            <w:tcW w:w="1134" w:type="dxa"/>
            <w:tcBorders>
              <w:top w:val="single" w:sz="4" w:space="0" w:color="auto"/>
              <w:bottom w:val="single" w:sz="4" w:space="0" w:color="auto"/>
            </w:tcBorders>
          </w:tcPr>
          <w:p w:rsidR="00F047E9" w:rsidRPr="00903EED" w:rsidRDefault="00F047E9">
            <w:pPr>
              <w:pStyle w:val="Normaltindrag"/>
              <w:ind w:firstLine="0"/>
              <w:jc w:val="right"/>
            </w:pPr>
            <w:r w:rsidRPr="00903EED">
              <w:t>Regeringen</w:t>
            </w:r>
          </w:p>
        </w:tc>
        <w:tc>
          <w:tcPr>
            <w:tcW w:w="833" w:type="dxa"/>
            <w:tcBorders>
              <w:top w:val="single" w:sz="4" w:space="0" w:color="auto"/>
              <w:bottom w:val="single" w:sz="4" w:space="0" w:color="auto"/>
            </w:tcBorders>
          </w:tcPr>
          <w:p w:rsidR="00F047E9" w:rsidRPr="00903EED" w:rsidRDefault="00F047E9">
            <w:pPr>
              <w:pStyle w:val="Normaltindrag"/>
              <w:ind w:firstLine="0"/>
              <w:jc w:val="right"/>
            </w:pPr>
            <w:r w:rsidRPr="00903EED">
              <w:t>m</w:t>
            </w:r>
          </w:p>
        </w:tc>
        <w:tc>
          <w:tcPr>
            <w:tcW w:w="301" w:type="dxa"/>
            <w:tcBorders>
              <w:top w:val="single" w:sz="4" w:space="0" w:color="auto"/>
              <w:bottom w:val="single" w:sz="4" w:space="0" w:color="auto"/>
            </w:tcBorders>
          </w:tcPr>
          <w:p w:rsidR="00F047E9" w:rsidRPr="00903EED" w:rsidRDefault="00F047E9">
            <w:pPr>
              <w:pStyle w:val="Normaltindrag"/>
              <w:ind w:firstLine="0"/>
              <w:jc w:val="right"/>
            </w:pPr>
            <w:r w:rsidRPr="00903EED">
              <w:t>v</w:t>
            </w:r>
          </w:p>
        </w:tc>
        <w:tc>
          <w:tcPr>
            <w:tcW w:w="900" w:type="dxa"/>
            <w:tcBorders>
              <w:top w:val="single" w:sz="4" w:space="0" w:color="auto"/>
              <w:bottom w:val="single" w:sz="4" w:space="0" w:color="auto"/>
            </w:tcBorders>
          </w:tcPr>
          <w:p w:rsidR="00F047E9" w:rsidRPr="00903EED" w:rsidRDefault="00F047E9">
            <w:pPr>
              <w:pStyle w:val="Normaltindrag"/>
              <w:ind w:firstLine="0"/>
              <w:jc w:val="right"/>
            </w:pPr>
            <w:r w:rsidRPr="00903EED">
              <w:t>kd</w:t>
            </w:r>
          </w:p>
        </w:tc>
        <w:tc>
          <w:tcPr>
            <w:tcW w:w="801" w:type="dxa"/>
            <w:tcBorders>
              <w:top w:val="single" w:sz="4" w:space="0" w:color="auto"/>
              <w:bottom w:val="single" w:sz="4" w:space="0" w:color="auto"/>
            </w:tcBorders>
          </w:tcPr>
          <w:p w:rsidR="00F047E9" w:rsidRPr="00903EED" w:rsidRDefault="00F047E9">
            <w:pPr>
              <w:pStyle w:val="Normaltindrag"/>
              <w:ind w:firstLine="0"/>
              <w:jc w:val="right"/>
            </w:pPr>
            <w:r w:rsidRPr="00903EED">
              <w:t>c</w:t>
            </w:r>
          </w:p>
        </w:tc>
        <w:tc>
          <w:tcPr>
            <w:tcW w:w="851" w:type="dxa"/>
            <w:tcBorders>
              <w:top w:val="single" w:sz="4" w:space="0" w:color="auto"/>
              <w:bottom w:val="single" w:sz="4" w:space="0" w:color="auto"/>
            </w:tcBorders>
          </w:tcPr>
          <w:p w:rsidR="00F047E9" w:rsidRPr="00903EED" w:rsidRDefault="00F047E9">
            <w:pPr>
              <w:pStyle w:val="Normaltindrag"/>
              <w:ind w:firstLine="0"/>
              <w:jc w:val="right"/>
            </w:pPr>
            <w:r w:rsidRPr="00903EED">
              <w:t>fp</w:t>
            </w:r>
          </w:p>
        </w:tc>
        <w:tc>
          <w:tcPr>
            <w:tcW w:w="425" w:type="dxa"/>
            <w:tcBorders>
              <w:top w:val="single" w:sz="4" w:space="0" w:color="auto"/>
              <w:bottom w:val="single" w:sz="4" w:space="0" w:color="auto"/>
            </w:tcBorders>
          </w:tcPr>
          <w:p w:rsidR="00F047E9" w:rsidRPr="00903EED" w:rsidRDefault="00F047E9">
            <w:pPr>
              <w:pStyle w:val="Normaltindrag"/>
              <w:ind w:firstLine="0"/>
              <w:jc w:val="right"/>
            </w:pPr>
            <w:r w:rsidRPr="00903EED">
              <w:t>mp</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2002</w:t>
            </w:r>
          </w:p>
        </w:tc>
        <w:tc>
          <w:tcPr>
            <w:tcW w:w="1134" w:type="dxa"/>
          </w:tcPr>
          <w:p w:rsidR="00F047E9" w:rsidRPr="00903EED" w:rsidRDefault="00F047E9">
            <w:pPr>
              <w:pStyle w:val="Normaltindrag"/>
              <w:ind w:firstLine="0"/>
              <w:jc w:val="right"/>
            </w:pPr>
            <w:r w:rsidRPr="00903EED">
              <w:t>4 827</w:t>
            </w:r>
          </w:p>
        </w:tc>
        <w:tc>
          <w:tcPr>
            <w:tcW w:w="833" w:type="dxa"/>
          </w:tcPr>
          <w:p w:rsidR="00F047E9" w:rsidRPr="00903EED" w:rsidRDefault="00F047E9">
            <w:pPr>
              <w:pStyle w:val="Normaltindrag"/>
              <w:ind w:firstLine="0"/>
              <w:jc w:val="right"/>
            </w:pPr>
            <w:r w:rsidRPr="00903EED">
              <w:t>- 130</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43</w:t>
            </w:r>
          </w:p>
        </w:tc>
        <w:tc>
          <w:tcPr>
            <w:tcW w:w="801" w:type="dxa"/>
          </w:tcPr>
          <w:p w:rsidR="00F047E9" w:rsidRPr="00903EED" w:rsidRDefault="00F047E9">
            <w:pPr>
              <w:pStyle w:val="Normaltindrag"/>
              <w:ind w:firstLine="0"/>
              <w:jc w:val="right"/>
            </w:pPr>
            <w:r w:rsidRPr="00903EED">
              <w:t>- 450</w:t>
            </w:r>
          </w:p>
        </w:tc>
        <w:tc>
          <w:tcPr>
            <w:tcW w:w="851" w:type="dxa"/>
          </w:tcPr>
          <w:p w:rsidR="00F047E9" w:rsidRPr="00903EED" w:rsidRDefault="00F047E9">
            <w:pPr>
              <w:pStyle w:val="Normaltindrag"/>
              <w:ind w:firstLine="0"/>
              <w:jc w:val="right"/>
            </w:pPr>
            <w:r w:rsidRPr="00903EED">
              <w:t>-   490</w:t>
            </w:r>
          </w:p>
        </w:tc>
        <w:tc>
          <w:tcPr>
            <w:tcW w:w="425" w:type="dxa"/>
          </w:tcPr>
          <w:p w:rsidR="00F047E9" w:rsidRPr="00903EED" w:rsidRDefault="00F047E9">
            <w:pPr>
              <w:pStyle w:val="Normaltindrag"/>
              <w:ind w:firstLine="0"/>
              <w:jc w:val="right"/>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2003</w:t>
            </w:r>
          </w:p>
        </w:tc>
        <w:tc>
          <w:tcPr>
            <w:tcW w:w="1134" w:type="dxa"/>
          </w:tcPr>
          <w:p w:rsidR="00F047E9" w:rsidRPr="00903EED" w:rsidRDefault="00F047E9">
            <w:pPr>
              <w:pStyle w:val="Normaltindrag"/>
              <w:ind w:firstLine="0"/>
              <w:jc w:val="right"/>
            </w:pPr>
            <w:r w:rsidRPr="00903EED">
              <w:t>4 850</w:t>
            </w:r>
          </w:p>
        </w:tc>
        <w:tc>
          <w:tcPr>
            <w:tcW w:w="833" w:type="dxa"/>
          </w:tcPr>
          <w:p w:rsidR="00F047E9" w:rsidRPr="00903EED" w:rsidRDefault="00F047E9">
            <w:pPr>
              <w:pStyle w:val="Normaltindrag"/>
              <w:ind w:firstLine="0"/>
              <w:jc w:val="right"/>
            </w:pPr>
            <w:r w:rsidRPr="00903EED">
              <w:t>- 244</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- 297</w:t>
            </w:r>
          </w:p>
        </w:tc>
        <w:tc>
          <w:tcPr>
            <w:tcW w:w="801" w:type="dxa"/>
          </w:tcPr>
          <w:p w:rsidR="00F047E9" w:rsidRPr="00903EED" w:rsidRDefault="00F047E9">
            <w:pPr>
              <w:pStyle w:val="Normaltindrag"/>
              <w:ind w:firstLine="0"/>
              <w:jc w:val="right"/>
            </w:pPr>
            <w:r w:rsidRPr="00903EED">
              <w:t>- 565</w:t>
            </w:r>
          </w:p>
        </w:tc>
        <w:tc>
          <w:tcPr>
            <w:tcW w:w="851" w:type="dxa"/>
          </w:tcPr>
          <w:p w:rsidR="00F047E9" w:rsidRPr="00903EED" w:rsidRDefault="00F047E9">
            <w:pPr>
              <w:pStyle w:val="Normaltindrag"/>
              <w:ind w:firstLine="0"/>
              <w:jc w:val="right"/>
            </w:pPr>
            <w:r w:rsidRPr="00903EED">
              <w:t>-   966</w:t>
            </w:r>
          </w:p>
        </w:tc>
        <w:tc>
          <w:tcPr>
            <w:tcW w:w="425" w:type="dxa"/>
          </w:tcPr>
          <w:p w:rsidR="00F047E9" w:rsidRPr="00903EED" w:rsidRDefault="00F047E9">
            <w:pPr>
              <w:pStyle w:val="Normaltindrag"/>
              <w:ind w:firstLine="0"/>
              <w:jc w:val="right"/>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2004</w:t>
            </w:r>
          </w:p>
        </w:tc>
        <w:tc>
          <w:tcPr>
            <w:tcW w:w="1134" w:type="dxa"/>
          </w:tcPr>
          <w:p w:rsidR="00F047E9" w:rsidRPr="00903EED" w:rsidRDefault="00F047E9">
            <w:pPr>
              <w:pStyle w:val="Normaltindrag"/>
              <w:ind w:firstLine="0"/>
              <w:jc w:val="right"/>
            </w:pPr>
            <w:r w:rsidRPr="00903EED">
              <w:t>4 330</w:t>
            </w:r>
          </w:p>
        </w:tc>
        <w:tc>
          <w:tcPr>
            <w:tcW w:w="833" w:type="dxa"/>
          </w:tcPr>
          <w:p w:rsidR="00F047E9" w:rsidRPr="00903EED" w:rsidRDefault="00F047E9">
            <w:pPr>
              <w:pStyle w:val="Normaltindrag"/>
              <w:ind w:firstLine="0"/>
              <w:jc w:val="right"/>
            </w:pPr>
            <w:r w:rsidRPr="00903EED">
              <w:t>-   14</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69</w:t>
            </w:r>
          </w:p>
        </w:tc>
        <w:tc>
          <w:tcPr>
            <w:tcW w:w="801" w:type="dxa"/>
          </w:tcPr>
          <w:p w:rsidR="00F047E9" w:rsidRPr="00903EED" w:rsidRDefault="00F047E9">
            <w:pPr>
              <w:pStyle w:val="Normaltindrag"/>
              <w:ind w:firstLine="0"/>
              <w:jc w:val="right"/>
            </w:pPr>
            <w:r w:rsidRPr="00903EED">
              <w:t>- 335</w:t>
            </w:r>
          </w:p>
        </w:tc>
        <w:tc>
          <w:tcPr>
            <w:tcW w:w="851" w:type="dxa"/>
          </w:tcPr>
          <w:p w:rsidR="00F047E9" w:rsidRPr="00903EED" w:rsidRDefault="00F047E9">
            <w:pPr>
              <w:pStyle w:val="Normaltindrag"/>
              <w:ind w:firstLine="0"/>
              <w:jc w:val="right"/>
            </w:pPr>
            <w:r w:rsidRPr="00903EED">
              <w:t>- 1 183</w:t>
            </w:r>
          </w:p>
        </w:tc>
        <w:tc>
          <w:tcPr>
            <w:tcW w:w="425" w:type="dxa"/>
          </w:tcPr>
          <w:p w:rsidR="00F047E9" w:rsidRPr="00903EED" w:rsidRDefault="00F047E9">
            <w:pPr>
              <w:pStyle w:val="Normaltindrag"/>
              <w:ind w:firstLine="0"/>
              <w:jc w:val="right"/>
            </w:pPr>
            <w:r w:rsidRPr="00903EED">
              <w:t>–</w:t>
            </w:r>
          </w:p>
        </w:tc>
      </w:tr>
    </w:tbl>
    <w:p w:rsidR="00F047E9" w:rsidRPr="00903EED" w:rsidRDefault="00F047E9">
      <w:pPr>
        <w:pStyle w:val="Normaltindrag"/>
        <w:ind w:firstLine="0"/>
      </w:pPr>
    </w:p>
    <w:p w:rsidR="00F047E9" w:rsidRPr="00903EED" w:rsidRDefault="00F047E9">
      <w:pPr>
        <w:pStyle w:val="Normaltindrag"/>
        <w:ind w:firstLine="0"/>
      </w:pPr>
      <w:r w:rsidRPr="00903EED">
        <w:t>Utskottet noterar att regeringen har beräknat vissa ökade resurser för utgift</w:t>
      </w:r>
      <w:r w:rsidRPr="00903EED">
        <w:t>s</w:t>
      </w:r>
      <w:r w:rsidRPr="00903EED">
        <w:t>området för att täcka kostnader för asylsökande barns tillgång till förskol</w:t>
      </w:r>
      <w:r w:rsidRPr="00903EED">
        <w:t>e</w:t>
      </w:r>
      <w:r w:rsidRPr="00903EED">
        <w:t xml:space="preserve">verksamhet, skolbarnsomsorg och utbildning på i stort sett samma villkor som gäller för barn bosatta i landet. </w:t>
      </w:r>
    </w:p>
    <w:p w:rsidR="00F047E9" w:rsidRPr="00903EED" w:rsidRDefault="00F047E9">
      <w:pPr>
        <w:pStyle w:val="Normaltindrag"/>
      </w:pPr>
      <w:r w:rsidRPr="00903EED">
        <w:t>I sammanhanget kan erinras om att utskottet vid behandling av budgetpr</w:t>
      </w:r>
      <w:r w:rsidRPr="00903EED">
        <w:t>o</w:t>
      </w:r>
      <w:r w:rsidRPr="00903EED">
        <w:t>positionen för 2001, utgiftsområde 8 Invandrare och flyktingar, anfört att Migrationsverkets organiserade verksamhet för asylsökande barn skall hålla samma standard som den allmänna förskolan (bet. 2000/01:SfU2). Nyligen har regeringen lagt fram en proposition om asylsökande barns skolgång m.m. (prop. 2000/01:115), där bl.a. dessa frågor tas upp. Utskottet konstaterar att regeringen avser att ge Migrationsverket i uppdrag att i samverkan med Sko</w:t>
      </w:r>
      <w:r w:rsidRPr="00903EED">
        <w:t>l</w:t>
      </w:r>
      <w:r w:rsidRPr="00903EED">
        <w:t>verket redovisa hur kvaliteten i Migrationsverkets familjebas</w:t>
      </w:r>
      <w:r w:rsidRPr="00903EED">
        <w:t>erade barnver</w:t>
      </w:r>
      <w:r w:rsidRPr="00903EED">
        <w:t>k</w:t>
      </w:r>
      <w:r w:rsidRPr="00903EED">
        <w:t>samhet kan förbättras, i vilken omfattning asylsökande barn tas emot i ko</w:t>
      </w:r>
      <w:r w:rsidRPr="00903EED">
        <w:t>m</w:t>
      </w:r>
      <w:r w:rsidRPr="00903EED">
        <w:t>munens förskola och vilka insa</w:t>
      </w:r>
      <w:r w:rsidRPr="00903EED">
        <w:t>t</w:t>
      </w:r>
      <w:r w:rsidRPr="00903EED">
        <w:t xml:space="preserve">ser som görs för dessa barn.      </w:t>
      </w:r>
    </w:p>
    <w:p w:rsidR="00F047E9" w:rsidRPr="00903EED" w:rsidRDefault="00F047E9">
      <w:pPr>
        <w:pStyle w:val="Normaltindrag"/>
      </w:pPr>
      <w:r w:rsidRPr="00903EED">
        <w:t>Utskottet anser liksom tidigare att storstadspolitiken är en viktig del i a</w:t>
      </w:r>
      <w:r w:rsidRPr="00903EED">
        <w:t>r</w:t>
      </w:r>
      <w:r w:rsidRPr="00903EED">
        <w:t>betet med att bryta segregationen och förbättra storstadsregionernas förutsät</w:t>
      </w:r>
      <w:r w:rsidRPr="00903EED">
        <w:t>t</w:t>
      </w:r>
      <w:r w:rsidRPr="00903EED">
        <w:t>ningar. Därför ser utskottet positivt på att utvecklingsarbetet i storstadsregi</w:t>
      </w:r>
      <w:r w:rsidRPr="00903EED">
        <w:t>o</w:t>
      </w:r>
      <w:r w:rsidRPr="00903EED">
        <w:t>nerna förlängs. Liksom föregående år (yttr. 1999/2000:SfU7y) förutsätter utskottet att regeringen i budgetpropositionen för 2003 preciserar grunderna för arbetet och medelsfördelningen för den planerade förlängningen av sto</w:t>
      </w:r>
      <w:r w:rsidRPr="00903EED">
        <w:t>r</w:t>
      </w:r>
      <w:r w:rsidRPr="00903EED">
        <w:t>stadssatsningen. I detta sammanhang kan nämnas att utskottet har tagit del av regeringens skrivelse (skr. 2000/01:102) om utveckl</w:t>
      </w:r>
      <w:r w:rsidRPr="00903EED">
        <w:t>ingen i den kommunala sektorn. Bland annat redovisas mål och måluppfyllelse inom integrationspol</w:t>
      </w:r>
      <w:r w:rsidRPr="00903EED">
        <w:t>i</w:t>
      </w:r>
      <w:r w:rsidRPr="00903EED">
        <w:t>tikens och storstadspolitikens områden.</w:t>
      </w:r>
    </w:p>
    <w:p w:rsidR="00F047E9" w:rsidRPr="00903EED" w:rsidRDefault="00F047E9">
      <w:pPr>
        <w:pStyle w:val="Normaltindrag"/>
      </w:pPr>
      <w:r w:rsidRPr="00903EED">
        <w:t>En stor del av utgifterna inom området avser handläggningen av asyläre</w:t>
      </w:r>
      <w:r w:rsidRPr="00903EED">
        <w:t>n</w:t>
      </w:r>
      <w:r w:rsidRPr="00903EED">
        <w:t>den och mottagande av asylsökande. Antalet asylsökande är naturligtvis av avgörande betydelse för kostnadernas utveckling. Prognosen för antalet asylsökande är alltid mycket osäker, och olika händelser kan kraftigt påverka antalet ansökningar. De långa handläggningstiderna är dessutom kostsamma i asylärenden bl.a. på grund av att de sökande under tiden vistas i Migr</w:t>
      </w:r>
      <w:r w:rsidRPr="00903EED">
        <w:t>a</w:t>
      </w:r>
      <w:r w:rsidRPr="00903EED">
        <w:t xml:space="preserve">tionsverkets mottagningssystem. Vid behandlingen av budgeten för 2001 ansåg utskottet (bet. 2000/01:SfU2) att den ansvariga myndigheten måste </w:t>
      </w:r>
      <w:r w:rsidRPr="00903EED">
        <w:t>kunna utnyttja de samlade resurserna på bästa möjliga sätt i en verksamhet som kan fluktuera snabbt och där det är av stor vikt med tidiga insatser. Reg</w:t>
      </w:r>
      <w:r w:rsidRPr="00903EED">
        <w:t>e</w:t>
      </w:r>
      <w:r w:rsidRPr="00903EED">
        <w:t>ringen anser emellertid att det inte nu föreligger behov av några särskilda åtgärder. Eftersom ett flexiblare utnyttjande av medlen för detta område ryms inom den föreslagna utgiftsramen konstaterar utskottet att de närmare villk</w:t>
      </w:r>
      <w:r w:rsidRPr="00903EED">
        <w:t>o</w:t>
      </w:r>
      <w:r w:rsidRPr="00903EED">
        <w:t>ren för anslagen 12:1 och 12:2 blir aktuella först i samband med budgeten för 2002. Utskottet vill redan nu understryka att prior</w:t>
      </w:r>
      <w:r w:rsidRPr="00903EED">
        <w:t>iteringar inom andra omr</w:t>
      </w:r>
      <w:r w:rsidRPr="00903EED">
        <w:t>å</w:t>
      </w:r>
      <w:r w:rsidRPr="00903EED">
        <w:t>den också kan få betydelse för detta utgiftsområde. Av betydelse för budgeten kan också bli den granskning av handläggningstider, anslagsstruktur och budgetarbete inom migrationspolitiken som för närvarande genomförs av Riksd</w:t>
      </w:r>
      <w:r w:rsidRPr="00903EED">
        <w:t>a</w:t>
      </w:r>
      <w:r w:rsidRPr="00903EED">
        <w:t xml:space="preserve">gens revisorer. </w:t>
      </w:r>
    </w:p>
    <w:p w:rsidR="00F047E9" w:rsidRPr="00903EED" w:rsidRDefault="00F047E9">
      <w:pPr>
        <w:pStyle w:val="Normaltindrag"/>
      </w:pPr>
      <w:r w:rsidRPr="00903EED">
        <w:t>Utskottet tillstyrker regeringens förslag till preliminära ramar för budge</w:t>
      </w:r>
      <w:r w:rsidRPr="00903EED">
        <w:t>t</w:t>
      </w:r>
      <w:r w:rsidRPr="00903EED">
        <w:t>åren 2002, 2003 och 2004 och avstyrker motionerna Fi17, Fi18, Fi19 och Fi20 i aktuella delar.</w:t>
      </w:r>
    </w:p>
    <w:p w:rsidR="00F047E9" w:rsidRPr="00903EED" w:rsidRDefault="00F047E9">
      <w:pPr>
        <w:pStyle w:val="R2"/>
      </w:pPr>
      <w:r w:rsidRPr="00903EED">
        <w:t>Utgiftsområde 10 Ekonomisk trygghet vid sjukdom och handikapp</w:t>
      </w:r>
    </w:p>
    <w:p w:rsidR="00F047E9" w:rsidRPr="00903EED" w:rsidRDefault="00F047E9">
      <w:pPr>
        <w:pStyle w:val="R3"/>
        <w:spacing w:before="235"/>
      </w:pPr>
      <w:r w:rsidRPr="00903EED">
        <w:t>Propositionen</w:t>
      </w:r>
    </w:p>
    <w:p w:rsidR="00F047E9" w:rsidRPr="00903EED" w:rsidRDefault="00F047E9">
      <w:r w:rsidRPr="00903EED">
        <w:t>Utgiftsområdet omfattar politikområdet Ersät</w:t>
      </w:r>
      <w:r w:rsidRPr="00903EED">
        <w:t>t</w:t>
      </w:r>
      <w:r w:rsidRPr="00903EED">
        <w:t>ning vid arbetsoförmåga.</w:t>
      </w:r>
    </w:p>
    <w:p w:rsidR="00F047E9" w:rsidRPr="00903EED" w:rsidRDefault="00F047E9">
      <w:pPr>
        <w:pStyle w:val="Normaltindrag"/>
      </w:pPr>
      <w:r w:rsidRPr="00903EED">
        <w:t>Regeringen beräknar ökade resurser för utgiftsområdet med ca 6 209 mi</w:t>
      </w:r>
      <w:r w:rsidRPr="00903EED">
        <w:t>l</w:t>
      </w:r>
      <w:r w:rsidRPr="00903EED">
        <w:t>joner kronor för 2002 och 10 853 miljoner kronor för 2003 i jämförelse med de beräknade ramarna i budgetpropositionen för 2001. För 2001 visar progn</w:t>
      </w:r>
      <w:r w:rsidRPr="00903EED">
        <w:t>o</w:t>
      </w:r>
      <w:r w:rsidRPr="00903EED">
        <w:t>sen att utgifterna inom utgiftsområdet ökar med 4 794 miljoner kronor, varav merparten av ökningen härrör från anslaget för sjukpenning och rehabi</w:t>
      </w:r>
      <w:r w:rsidRPr="00903EED">
        <w:softHyphen/>
        <w:t>litering m.m. Ökningarna beror huvudsakligen på att antagandena om antalet sju</w:t>
      </w:r>
      <w:r w:rsidRPr="00903EED">
        <w:t>k</w:t>
      </w:r>
      <w:r w:rsidRPr="00903EED">
        <w:t>skrivna och antalet förtidspensionärer har höjts. Prognosen för antalet nett</w:t>
      </w:r>
      <w:r w:rsidRPr="00903EED">
        <w:t>o</w:t>
      </w:r>
      <w:r w:rsidRPr="00903EED">
        <w:t xml:space="preserve">dagar med sjukpenning har ökat med ca 13 % för innevarande </w:t>
      </w:r>
      <w:r w:rsidRPr="00903EED">
        <w:t>år jämfört med bedömningen som gjordes i budgetpropositionen för 2001. För 2003 förklaras knappt 3 miljarder kronor av ökningen sedan budgetproposi</w:t>
      </w:r>
      <w:r w:rsidRPr="00903EED">
        <w:softHyphen/>
        <w:t>tionen för 2001 av att det särskilda grundavdraget för folkpensionärer (SGA) sl</w:t>
      </w:r>
      <w:r w:rsidRPr="00903EED">
        <w:t>o</w:t>
      </w:r>
      <w:r w:rsidRPr="00903EED">
        <w:t xml:space="preserve">pas. </w:t>
      </w:r>
    </w:p>
    <w:p w:rsidR="00F047E9" w:rsidRPr="00903EED" w:rsidRDefault="00F047E9">
      <w:pPr>
        <w:pStyle w:val="Normaltindrag"/>
      </w:pPr>
      <w:r w:rsidRPr="00903EED">
        <w:t>Regeringen föreslår en preliminär beräkning av ramen för utgiftsområdet för 2002 till 110 711 miljoner kronor, för 2003 till 117 738 miljoner kronor samt för 2004 till 120 821 miljoner kronor.</w:t>
      </w:r>
    </w:p>
    <w:p w:rsidR="00F047E9" w:rsidRPr="00903EED" w:rsidRDefault="00F047E9">
      <w:pPr>
        <w:pStyle w:val="Normaltindrag"/>
      </w:pPr>
      <w:r w:rsidRPr="00903EED">
        <w:t>Av propositionen framgår att regeringen avser att föreslå riksdagen att a</w:t>
      </w:r>
      <w:r w:rsidRPr="00903EED">
        <w:t>r</w:t>
      </w:r>
      <w:r w:rsidRPr="00903EED">
        <w:softHyphen/>
        <w:t>betsskadeförsäkringen reformeras, vilket beräknas medföra utgiftsökningar med högst 500 miljoner kronor 2002 och en varaktig årlig utgiftsökning på högst 1 000 miljoner kronor fr.o.m. 2003. Regeringen har också för avsikt att föreslå att 100 miljoner kronor tillförs utgiftsområdet för försöks</w:t>
      </w:r>
      <w:r w:rsidRPr="00903EED">
        <w:softHyphen/>
        <w:t>verksamhet för att motverka långtid</w:t>
      </w:r>
      <w:r w:rsidRPr="00903EED">
        <w:t>s</w:t>
      </w:r>
      <w:r w:rsidRPr="00903EED">
        <w:t xml:space="preserve">sjukskrivningar. </w:t>
      </w:r>
    </w:p>
    <w:p w:rsidR="00F047E9" w:rsidRPr="00903EED" w:rsidRDefault="00F047E9">
      <w:pPr>
        <w:pStyle w:val="Normaltindrag"/>
      </w:pPr>
      <w:r w:rsidRPr="00903EED">
        <w:t>Av propositionen framgår vidare att allt fler förvärvsarbetande har i</w:t>
      </w:r>
      <w:r w:rsidRPr="00903EED">
        <w:t>n</w:t>
      </w:r>
      <w:r w:rsidRPr="00903EED">
        <w:t>komster över inkomsttaket i sjukförsäkringssystemet. Då det är angeläget att bevara och utveckla den generella välfärden avser regeringen att se över ersättnings</w:t>
      </w:r>
      <w:r w:rsidRPr="00903EED">
        <w:softHyphen/>
        <w:t>nivåerna i socialförsäkringssystemen och återkomma till frågan i budgetpr</w:t>
      </w:r>
      <w:r w:rsidRPr="00903EED">
        <w:t>o</w:t>
      </w:r>
      <w:r w:rsidRPr="00903EED">
        <w:softHyphen/>
        <w:t>positionen för 2002.</w:t>
      </w:r>
    </w:p>
    <w:p w:rsidR="00F047E9" w:rsidRPr="00903EED" w:rsidRDefault="00F047E9">
      <w:pPr>
        <w:pStyle w:val="Normaltindrag"/>
      </w:pPr>
      <w:r w:rsidRPr="00903EED">
        <w:t>Regeringen överlämnade den 22 mars 2001 proposition 2000/01:96 Sj</w:t>
      </w:r>
      <w:r w:rsidRPr="00903EED">
        <w:t>u</w:t>
      </w:r>
      <w:r w:rsidRPr="00903EED">
        <w:t>k-ersättning och aktivitetsersättning i stället för förtidspension till riksdagen. I propositionen redovisar regeringen förslag till ett reformerat förtid</w:t>
      </w:r>
      <w:r w:rsidRPr="00903EED">
        <w:t>s</w:t>
      </w:r>
      <w:r w:rsidRPr="00903EED">
        <w:t>pen</w:t>
      </w:r>
      <w:r w:rsidRPr="00903EED">
        <w:softHyphen/>
        <w:t>sionssystem, vilket till stor del är en konsekvens av att ett nytt ålderspe</w:t>
      </w:r>
      <w:r w:rsidRPr="00903EED">
        <w:t>n</w:t>
      </w:r>
      <w:r w:rsidRPr="00903EED">
        <w:softHyphen/>
        <w:t>sionssystem har införts. Det är i huvudsak fråga om nya beräkningsregler. Ändringarna a</w:t>
      </w:r>
      <w:r w:rsidRPr="00903EED">
        <w:t>v</w:t>
      </w:r>
      <w:r w:rsidRPr="00903EED">
        <w:t xml:space="preserve">ses träda i kraft den 1 januari 2003. </w:t>
      </w:r>
    </w:p>
    <w:p w:rsidR="00F047E9" w:rsidRPr="00903EED" w:rsidRDefault="00F047E9">
      <w:pPr>
        <w:pStyle w:val="Normaltindrag"/>
      </w:pPr>
      <w:r w:rsidRPr="00903EED">
        <w:t>Ett viktigt inslag i reformeringen av förtidspensionssystemet är att det sä</w:t>
      </w:r>
      <w:r w:rsidRPr="00903EED">
        <w:t>r</w:t>
      </w:r>
      <w:r w:rsidRPr="00903EED">
        <w:softHyphen/>
        <w:t>skilda grundavdraget (SGA) avskaffas. För att försäkringens nettoersättningar skall vara oförändrade måste bruttobeloppen höjas. Bruttoutgifterna för a</w:t>
      </w:r>
      <w:r w:rsidRPr="00903EED">
        <w:t>n</w:t>
      </w:r>
      <w:r w:rsidRPr="00903EED">
        <w:softHyphen/>
        <w:t>slaget Förtidspensioner har således ökats med ca 2,9 miljarder kronor fr.o.m. 2003. Härigenom ökar det kommunala skatteunderlaget. Kommunsek</w:t>
      </w:r>
      <w:r w:rsidRPr="00903EED">
        <w:softHyphen/>
        <w:t>torns ökade skatteinkomster innebär att det generella statsbidraget till kom</w:t>
      </w:r>
      <w:r w:rsidRPr="00903EED">
        <w:softHyphen/>
        <w:t>muner och landsting inom utgiftsområde 25 reduceras med ca 2,8 miljarder kronor fr.o.m. 2003. Beloppet kan komma att revideras då den slutl</w:t>
      </w:r>
      <w:r w:rsidRPr="00903EED">
        <w:t>iga juste</w:t>
      </w:r>
      <w:r w:rsidRPr="00903EED">
        <w:softHyphen/>
        <w:t>ringen sker i budgetpropositi</w:t>
      </w:r>
      <w:r w:rsidRPr="00903EED">
        <w:t>o</w:t>
      </w:r>
      <w:r w:rsidRPr="00903EED">
        <w:t>nen för 2003.</w:t>
      </w:r>
    </w:p>
    <w:p w:rsidR="00F047E9" w:rsidRPr="00903EED" w:rsidRDefault="00F047E9">
      <w:pPr>
        <w:pStyle w:val="R3"/>
      </w:pPr>
      <w:r w:rsidRPr="00903EED">
        <w:t>Motionerna</w:t>
      </w:r>
    </w:p>
    <w:p w:rsidR="00F047E9" w:rsidRPr="00903EED" w:rsidRDefault="00F047E9">
      <w:pPr>
        <w:pStyle w:val="R4"/>
      </w:pPr>
      <w:r w:rsidRPr="00903EED">
        <w:t>Moderaterna</w:t>
      </w:r>
    </w:p>
    <w:p w:rsidR="00F047E9" w:rsidRPr="00903EED" w:rsidRDefault="00F047E9">
      <w:r w:rsidRPr="00903EED">
        <w:t>Moderaterna anser att Sverige behöver en socialförsäkringsreform i pension</w:t>
      </w:r>
      <w:r w:rsidRPr="00903EED">
        <w:t>s</w:t>
      </w:r>
      <w:r w:rsidRPr="00903EED">
        <w:softHyphen/>
        <w:t>reformens fotspår. Målsättningen bör vara ett robust och oberoende socialfö</w:t>
      </w:r>
      <w:r w:rsidRPr="00903EED">
        <w:t>r</w:t>
      </w:r>
      <w:r w:rsidRPr="00903EED">
        <w:softHyphen/>
        <w:t>säkringssystem där förmåner och avgifter relaterar till varandra och inte p</w:t>
      </w:r>
      <w:r w:rsidRPr="00903EED">
        <w:t>å</w:t>
      </w:r>
      <w:r w:rsidRPr="00903EED">
        <w:softHyphen/>
        <w:t>verkas av finansieringen av de offentliga finanserna.</w:t>
      </w:r>
    </w:p>
    <w:p w:rsidR="00F047E9" w:rsidRPr="00903EED" w:rsidRDefault="00F047E9">
      <w:pPr>
        <w:pStyle w:val="Normaltindrag"/>
      </w:pPr>
      <w:r w:rsidRPr="00903EED">
        <w:t>Som ett första steg i reformarbetet måste enligt Moderaterna sjukskri</w:t>
      </w:r>
      <w:r w:rsidRPr="00903EED">
        <w:t>v</w:t>
      </w:r>
      <w:r w:rsidRPr="00903EED">
        <w:softHyphen/>
        <w:t>ningarna handhas på ett medicinskt genomtänkt sätt och behovet härav måste bestämmas av medicinska överväganden och inte, som nu ofta är fallet, av patientens önskemål. En fördjupad samverkan mellan försäkringskassan, företagsläkaren och arbetsledningen kan vidare bidra till att minska använ</w:t>
      </w:r>
      <w:r w:rsidRPr="00903EED">
        <w:t>d</w:t>
      </w:r>
      <w:r w:rsidRPr="00903EED">
        <w:softHyphen/>
        <w:t xml:space="preserve">ningen av sjukskrivningar. En genomtänkt användning av sjukskrivningen ger även positiva effekter för de långtidssjuka eftersom deras rehabilitering då kan prioriteras. Moderaterna vill vidare tillföra resurser till </w:t>
      </w:r>
      <w:r w:rsidRPr="00903EED">
        <w:t>försäkringskas</w:t>
      </w:r>
      <w:r w:rsidRPr="00903EED">
        <w:softHyphen/>
        <w:t>sorna för att höja kvaliteten på verksamheten och komma till rätta med de köproblem som föreligger. Försäkringskassorna bör vidare ges större själ</w:t>
      </w:r>
      <w:r w:rsidRPr="00903EED">
        <w:t>v</w:t>
      </w:r>
      <w:r w:rsidRPr="00903EED">
        <w:softHyphen/>
        <w:t>ständighet samt ett tydligt ekonomiskt och finansiellt ansvar för rehabilit</w:t>
      </w:r>
      <w:r w:rsidRPr="00903EED">
        <w:t>e</w:t>
      </w:r>
      <w:r w:rsidRPr="00903EED">
        <w:softHyphen/>
        <w:t>ringsverksamheten. Moderaterna föreslår vidare att kompensationen i sjukfö</w:t>
      </w:r>
      <w:r w:rsidRPr="00903EED">
        <w:t>r</w:t>
      </w:r>
      <w:r w:rsidRPr="00903EED">
        <w:softHyphen/>
        <w:t>säkringen skall vara 75 % av den sjukpenninggrundande inkomsten (SGI). Vidare skall ytterligare en karensdag införas i sjukförsäkringen.</w:t>
      </w:r>
    </w:p>
    <w:p w:rsidR="00F047E9" w:rsidRPr="00903EED" w:rsidRDefault="00F047E9">
      <w:pPr>
        <w:pStyle w:val="Normaltindrag"/>
      </w:pPr>
      <w:r w:rsidRPr="00903EED">
        <w:t>Kostnader till följd av trafikolyckor skall enligt Moderate</w:t>
      </w:r>
      <w:r w:rsidRPr="00903EED">
        <w:t>rna bekostas via den obligatoriska trafikförsäkringen. Vidare påverkas utgifterna av Moder</w:t>
      </w:r>
      <w:r w:rsidRPr="00903EED">
        <w:t>a</w:t>
      </w:r>
      <w:r w:rsidRPr="00903EED">
        <w:softHyphen/>
        <w:t xml:space="preserve">ternas förslag om att arbetsskadeförsäkringen skall lyftas ut ur den offentliga försäkringen. </w:t>
      </w:r>
    </w:p>
    <w:p w:rsidR="00F047E9" w:rsidRPr="00903EED" w:rsidRDefault="00F047E9">
      <w:pPr>
        <w:pStyle w:val="Normaltindrag"/>
      </w:pPr>
      <w:r w:rsidRPr="00903EED">
        <w:t>Moderaterna föreslår i motion Fi17 yrkande 5 att ramen minskas i förhå</w:t>
      </w:r>
      <w:r w:rsidRPr="00903EED">
        <w:t>l</w:t>
      </w:r>
      <w:r w:rsidRPr="00903EED">
        <w:softHyphen/>
        <w:t>lande till regeringens förslag med 13 268 miljoner kronor för 2002, med 19 639 miljoner kronor för 2003 samt med 24 570 miljoner kronor för 2004.</w:t>
      </w:r>
    </w:p>
    <w:p w:rsidR="00F047E9" w:rsidRPr="00903EED" w:rsidRDefault="00F047E9">
      <w:pPr>
        <w:pStyle w:val="Normaltindrag"/>
      </w:pPr>
      <w:r w:rsidRPr="00903EED">
        <w:t>I motion Fi17 yrkande 13 begär Moderaterna ett tillkännagivande om en socialförsäkringsreform.</w:t>
      </w:r>
    </w:p>
    <w:p w:rsidR="00F047E9" w:rsidRPr="00903EED" w:rsidRDefault="00F047E9">
      <w:pPr>
        <w:pStyle w:val="R4"/>
      </w:pPr>
      <w:r w:rsidRPr="00903EED">
        <w:t>Kristdemokraterna</w:t>
      </w:r>
    </w:p>
    <w:p w:rsidR="00F047E9" w:rsidRPr="00903EED" w:rsidRDefault="00F047E9">
      <w:r w:rsidRPr="00903EED">
        <w:t>Kristdemokraterna vill att den rehabiliteringsförsäkring som föreslås i betä</w:t>
      </w:r>
      <w:r w:rsidRPr="00903EED">
        <w:t>n</w:t>
      </w:r>
      <w:r w:rsidRPr="00903EED">
        <w:softHyphen/>
        <w:t>kandet SOU 2000:78 i alla väsentliga huvuddrag genomförs från den 1 juli 2002. Även om totalkostnaden ökar det första året leder reformen till en ne</w:t>
      </w:r>
      <w:r w:rsidRPr="00903EED">
        <w:t>t</w:t>
      </w:r>
      <w:r w:rsidRPr="00903EED">
        <w:softHyphen/>
        <w:t>tovinst i form av minskade utgifter för sjukpenning och förtidspension.</w:t>
      </w:r>
    </w:p>
    <w:p w:rsidR="00F047E9" w:rsidRPr="00903EED" w:rsidRDefault="00F047E9">
      <w:pPr>
        <w:pStyle w:val="Normaltindrag"/>
      </w:pPr>
      <w:r w:rsidRPr="00903EED">
        <w:t>Vidare föreslår Kristdemokraterna att SGI skall beräknas på snittinkom</w:t>
      </w:r>
      <w:r w:rsidRPr="00903EED">
        <w:t>s</w:t>
      </w:r>
      <w:r w:rsidRPr="00903EED">
        <w:softHyphen/>
        <w:t>ten under de senaste två åren samt att skattepliktiga förmåner och semestere</w:t>
      </w:r>
      <w:r w:rsidRPr="00903EED">
        <w:t>r</w:t>
      </w:r>
      <w:r w:rsidRPr="00903EED">
        <w:softHyphen/>
        <w:t>sättning skall vara SGI-grundande. Sjukförsäkringen skall innehålla två k</w:t>
      </w:r>
      <w:r w:rsidRPr="00903EED">
        <w:t>a</w:t>
      </w:r>
      <w:r w:rsidRPr="00903EED">
        <w:softHyphen/>
        <w:t xml:space="preserve">rensdagar med ett högriskskydd på tio dagar per år. </w:t>
      </w:r>
    </w:p>
    <w:p w:rsidR="00F047E9" w:rsidRPr="00903EED" w:rsidRDefault="00F047E9">
      <w:pPr>
        <w:pStyle w:val="Normaltindrag"/>
      </w:pPr>
      <w:r w:rsidRPr="00903EED">
        <w:t>Kristdemokraterna föreslår också en ny modell där samtliga personskad</w:t>
      </w:r>
      <w:r w:rsidRPr="00903EED">
        <w:t>e</w:t>
      </w:r>
      <w:r w:rsidRPr="00903EED">
        <w:softHyphen/>
        <w:t xml:space="preserve">kostnader i samband med trafikolycksfall förs över till trafikförsäkringen. Ett sådant alternativ innebär minskade utgifter med ca 4 miljarder kronor. </w:t>
      </w:r>
    </w:p>
    <w:p w:rsidR="00F047E9" w:rsidRPr="00903EED" w:rsidRDefault="00F047E9">
      <w:pPr>
        <w:pStyle w:val="Normaltindrag"/>
      </w:pPr>
      <w:r w:rsidRPr="00903EED">
        <w:t>Kristdemokraterna föreslår i motion Fi18 yrkande 7 att ramen minskas i förhållande till regeringens förslag med 5 990 miljoner kronor för 2002, med 7 285 miljoner kronor för 2003 samt med 9 475 miljoner kronor för 2004.</w:t>
      </w:r>
    </w:p>
    <w:p w:rsidR="00F047E9" w:rsidRPr="00903EED" w:rsidRDefault="00F047E9">
      <w:pPr>
        <w:pStyle w:val="R4"/>
      </w:pPr>
      <w:r w:rsidRPr="00903EED">
        <w:t>Centerpartiet</w:t>
      </w:r>
    </w:p>
    <w:p w:rsidR="00F047E9" w:rsidRPr="00903EED" w:rsidRDefault="00F047E9">
      <w:r w:rsidRPr="00903EED">
        <w:t>Centerpartiet vill ha en övergång från passivt stöd till aktiva åtgärder. Därför föreslås att 3,3 miljarder kronor överförs från sjukpenningen till rehabilit</w:t>
      </w:r>
      <w:r w:rsidRPr="00903EED">
        <w:t>e</w:t>
      </w:r>
      <w:r w:rsidRPr="00903EED">
        <w:softHyphen/>
        <w:t>ringsersättning och rehabiliteringsstöd. I detta sammanhang bör den finans</w:t>
      </w:r>
      <w:r w:rsidRPr="00903EED">
        <w:t>i</w:t>
      </w:r>
      <w:r w:rsidRPr="00903EED">
        <w:softHyphen/>
        <w:t>ella samordningen påskyndas och utökas samt ske med utgångspunkt från de lokala förutsättningarna så att de olika organisationernas specifika erfarenh</w:t>
      </w:r>
      <w:r w:rsidRPr="00903EED">
        <w:t>e</w:t>
      </w:r>
      <w:r w:rsidRPr="00903EED">
        <w:softHyphen/>
        <w:t>ter tas till vara. Centerpartiet föreslår en växling av sjukpenning till rehabilit</w:t>
      </w:r>
      <w:r w:rsidRPr="00903EED">
        <w:t>e</w:t>
      </w:r>
      <w:r w:rsidRPr="00903EED">
        <w:softHyphen/>
        <w:t>ringsstöd senast efter fyra månaders sjukskrivning. Förslaget medför enligt Rehabiliteringsutredningen sänkta kostnader för sjukpenningen med 2,5 mi</w:t>
      </w:r>
      <w:r w:rsidRPr="00903EED">
        <w:t>l</w:t>
      </w:r>
      <w:r w:rsidRPr="00903EED">
        <w:softHyphen/>
        <w:t>jarder kronor för 2002. Centerpartiet föreslår v</w:t>
      </w:r>
      <w:r w:rsidRPr="00903EED">
        <w:t>idare att SGI skall beräknas på historisk inkomst, varmed utgifterna minskar med 1 670 miljoner kronor 2002. En besparing inom Riksförsäkringsverkets administration minskar utgifterna med 70 mi</w:t>
      </w:r>
      <w:r w:rsidRPr="00903EED">
        <w:t>l</w:t>
      </w:r>
      <w:r w:rsidRPr="00903EED">
        <w:t>joner kronor per år.</w:t>
      </w:r>
    </w:p>
    <w:p w:rsidR="00F047E9" w:rsidRPr="00903EED" w:rsidRDefault="00F047E9">
      <w:pPr>
        <w:pStyle w:val="Normaltindrag"/>
      </w:pPr>
      <w:r w:rsidRPr="00903EED">
        <w:t>Vidare föreslår Centerpartiet att sjuklöneperioden för arbetsgivare inom den offentliga sektorn förlängs till två månader. Härigenom måste arbetsg</w:t>
      </w:r>
      <w:r w:rsidRPr="00903EED">
        <w:t>i</w:t>
      </w:r>
      <w:r w:rsidRPr="00903EED">
        <w:softHyphen/>
        <w:t>varna ta ett större ansvar för arbetsmiljön och för att sjuktalen minskar. Fö</w:t>
      </w:r>
      <w:r w:rsidRPr="00903EED">
        <w:t>r</w:t>
      </w:r>
      <w:r w:rsidRPr="00903EED">
        <w:t>slaget medför sänkta kostnader för sjukpenningen med drygt 3,6 miljarder kronor. En sänkning av arbetsgivaravgiften görs för att kompensera den ök</w:t>
      </w:r>
      <w:r w:rsidRPr="00903EED">
        <w:t>a</w:t>
      </w:r>
      <w:r w:rsidRPr="00903EED">
        <w:t>de kos</w:t>
      </w:r>
      <w:r w:rsidRPr="00903EED">
        <w:t>t</w:t>
      </w:r>
      <w:r w:rsidRPr="00903EED">
        <w:softHyphen/>
        <w:t xml:space="preserve">naden. </w:t>
      </w:r>
    </w:p>
    <w:p w:rsidR="00F047E9" w:rsidRPr="00903EED" w:rsidRDefault="00F047E9">
      <w:pPr>
        <w:pStyle w:val="Normaltindrag"/>
      </w:pPr>
      <w:r w:rsidRPr="00903EED">
        <w:t>Centerpartiet föreslår i motion Fi19 yrkande 4 att ramen minskas i förhå</w:t>
      </w:r>
      <w:r w:rsidRPr="00903EED">
        <w:t>l</w:t>
      </w:r>
      <w:r w:rsidRPr="00903EED">
        <w:softHyphen/>
        <w:t>lande till regeringens förslag med 5 740 miljoner kronor för 2002, med 8 070 miljoner kronor för 2003 samt med 9 900 miljoner kronor för 2004.</w:t>
      </w:r>
    </w:p>
    <w:p w:rsidR="00F047E9" w:rsidRPr="00903EED" w:rsidRDefault="00F047E9">
      <w:pPr>
        <w:pStyle w:val="R4"/>
      </w:pPr>
      <w:r w:rsidRPr="00903EED">
        <w:t>Folkpartiet</w:t>
      </w:r>
    </w:p>
    <w:p w:rsidR="00F047E9" w:rsidRPr="00903EED" w:rsidRDefault="00F047E9">
      <w:r w:rsidRPr="00903EED">
        <w:t>Folkpartiet förordar en stor socialförsäkringsreform. Dagens socialförsäkring (utom föräldraförsäkringen) bör utformas som tre från statsbudgeten friståe</w:t>
      </w:r>
      <w:r w:rsidRPr="00903EED">
        <w:t>n</w:t>
      </w:r>
      <w:r w:rsidRPr="00903EED">
        <w:t>de för</w:t>
      </w:r>
      <w:r w:rsidRPr="00903EED">
        <w:softHyphen/>
        <w:t>säkringar: en allmän pensionsförsäkring, en allmän sjukförsäkring (i</w:t>
      </w:r>
      <w:r w:rsidRPr="00903EED">
        <w:t>n</w:t>
      </w:r>
      <w:r w:rsidRPr="00903EED">
        <w:t>klusive förtidspensionen) och en allmän arbetslöshetsförsäkring. Enligt Fol</w:t>
      </w:r>
      <w:r w:rsidRPr="00903EED">
        <w:t>k</w:t>
      </w:r>
      <w:r w:rsidRPr="00903EED">
        <w:t>partiet bör högsta nivån vid beräkning av SGI höjas till tio basbelopp. Fol</w:t>
      </w:r>
      <w:r w:rsidRPr="00903EED">
        <w:t>k</w:t>
      </w:r>
      <w:r w:rsidRPr="00903EED">
        <w:t>partiet föreslår ett stort antal åtgärder för att bekämpa den ökade långtidsfrå</w:t>
      </w:r>
      <w:r w:rsidRPr="00903EED">
        <w:t>n</w:t>
      </w:r>
      <w:r w:rsidRPr="00903EED">
        <w:t>varon, bl.a. kraftigt ökade resurser till rehabilitering, samverkan mellan akt</w:t>
      </w:r>
      <w:r w:rsidRPr="00903EED">
        <w:t>ö</w:t>
      </w:r>
      <w:r w:rsidRPr="00903EED">
        <w:t>rerna genom FINSAM, förstärkt företagshälsovård, samt rehabiliteringsg</w:t>
      </w:r>
      <w:r w:rsidRPr="00903EED">
        <w:t>a</w:t>
      </w:r>
      <w:r w:rsidRPr="00903EED">
        <w:t>ranti innebärande att den sjukskrivne senast fyra vec</w:t>
      </w:r>
      <w:r w:rsidRPr="00903EED">
        <w:t>kor efter sjukskrivningen skall få en rehabiliteringsutredning genom fö</w:t>
      </w:r>
      <w:r w:rsidRPr="00903EED">
        <w:t>r</w:t>
      </w:r>
      <w:r w:rsidRPr="00903EED">
        <w:t xml:space="preserve">säkringskassans försorg. </w:t>
      </w:r>
    </w:p>
    <w:p w:rsidR="00F047E9" w:rsidRPr="00903EED" w:rsidRDefault="00F047E9">
      <w:pPr>
        <w:pStyle w:val="Normaltindrag"/>
      </w:pPr>
      <w:r w:rsidRPr="00903EED">
        <w:t>Vidare föreslås att sjukförsäkringens kostnader för trafikolycksfall förs över till trafikförsäkringen.</w:t>
      </w:r>
    </w:p>
    <w:p w:rsidR="00F047E9" w:rsidRPr="00903EED" w:rsidRDefault="00F047E9">
      <w:pPr>
        <w:pStyle w:val="Normaltindrag"/>
      </w:pPr>
      <w:r w:rsidRPr="00903EED">
        <w:t>Folkpartiet föreslår i motion Fi20 yrkande 4 att ramen minskas i förhål</w:t>
      </w:r>
      <w:r w:rsidRPr="00903EED">
        <w:softHyphen/>
        <w:t xml:space="preserve">lande till regeringens förslag med 3 910 miljoner kronor för 2002, med 8 095 miljoner kronor för 2003 samt med 11 640 miljoner kronor för 2004. </w:t>
      </w:r>
    </w:p>
    <w:p w:rsidR="00F047E9" w:rsidRPr="00903EED" w:rsidRDefault="00F047E9">
      <w:pPr>
        <w:pStyle w:val="Normaltindrag"/>
      </w:pPr>
      <w:r w:rsidRPr="00903EED">
        <w:t>I motion Fi20 yrkande 11 begär Folkpartiet att riksdagen godkänner vad som anförts om en socialförsäkringsreform. Vidare framhåller Folkpartiet i motion Fi20 yrkande 12 (delvis) att basbeloppssystemet visserligen kompe</w:t>
      </w:r>
      <w:r w:rsidRPr="00903EED">
        <w:t>n</w:t>
      </w:r>
      <w:r w:rsidRPr="00903EED">
        <w:softHyphen/>
        <w:t>serar för inflation men inte för reallöneökningar, varför en höjning av taket i bl.a. sjukförsäkringen till tio basbelopp bör genomföras. I motionen begärs ett tillkännagivande härom och framförs att höjningen av taket bör genomföras från 2002.</w:t>
      </w:r>
    </w:p>
    <w:p w:rsidR="00F047E9" w:rsidRPr="00903EED" w:rsidRDefault="00F047E9">
      <w:pPr>
        <w:pStyle w:val="R3"/>
      </w:pPr>
      <w:r w:rsidRPr="00903EED">
        <w:t>Utskottet</w:t>
      </w:r>
    </w:p>
    <w:p w:rsidR="00F047E9" w:rsidRPr="00903EED" w:rsidRDefault="00F047E9">
      <w:r w:rsidRPr="00903EED">
        <w:t>Förslag till preliminär ram för åren 2002, 2003 och 2004, miljoner kronor</w:t>
      </w:r>
    </w:p>
    <w:p w:rsidR="00F047E9" w:rsidRPr="00903EED" w:rsidRDefault="00F047E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33"/>
        <w:gridCol w:w="301"/>
        <w:gridCol w:w="900"/>
        <w:gridCol w:w="801"/>
        <w:gridCol w:w="851"/>
        <w:gridCol w:w="425"/>
      </w:tblGrid>
      <w:tr w:rsidR="00000000" w:rsidRPr="00903EED">
        <w:tblPrEx>
          <w:tblCellMar>
            <w:top w:w="0" w:type="dxa"/>
            <w:bottom w:w="0" w:type="dxa"/>
          </w:tblCellMar>
        </w:tblPrEx>
        <w:trPr>
          <w:trHeight w:hRule="exact" w:val="320"/>
        </w:trPr>
        <w:tc>
          <w:tcPr>
            <w:tcW w:w="637" w:type="dxa"/>
            <w:tcBorders>
              <w:top w:val="single" w:sz="4" w:space="0" w:color="auto"/>
              <w:bottom w:val="single" w:sz="4" w:space="0" w:color="auto"/>
            </w:tcBorders>
          </w:tcPr>
          <w:p w:rsidR="00F047E9" w:rsidRPr="00903EED" w:rsidRDefault="00F047E9">
            <w:pPr>
              <w:pStyle w:val="Normaltindrag"/>
              <w:ind w:firstLine="0"/>
            </w:pPr>
            <w:r w:rsidRPr="00903EED">
              <w:t>År</w:t>
            </w:r>
          </w:p>
        </w:tc>
        <w:tc>
          <w:tcPr>
            <w:tcW w:w="1134" w:type="dxa"/>
            <w:tcBorders>
              <w:top w:val="single" w:sz="4" w:space="0" w:color="auto"/>
              <w:bottom w:val="single" w:sz="4" w:space="0" w:color="auto"/>
            </w:tcBorders>
          </w:tcPr>
          <w:p w:rsidR="00F047E9" w:rsidRPr="00903EED" w:rsidRDefault="00F047E9">
            <w:pPr>
              <w:pStyle w:val="Normaltindrag"/>
              <w:ind w:firstLine="0"/>
              <w:jc w:val="right"/>
            </w:pPr>
            <w:r w:rsidRPr="00903EED">
              <w:t>Regeringen</w:t>
            </w:r>
          </w:p>
        </w:tc>
        <w:tc>
          <w:tcPr>
            <w:tcW w:w="833" w:type="dxa"/>
            <w:tcBorders>
              <w:top w:val="single" w:sz="4" w:space="0" w:color="auto"/>
              <w:bottom w:val="single" w:sz="4" w:space="0" w:color="auto"/>
            </w:tcBorders>
          </w:tcPr>
          <w:p w:rsidR="00F047E9" w:rsidRPr="00903EED" w:rsidRDefault="00F047E9">
            <w:pPr>
              <w:pStyle w:val="Normaltindrag"/>
              <w:ind w:firstLine="0"/>
              <w:jc w:val="right"/>
            </w:pPr>
            <w:r w:rsidRPr="00903EED">
              <w:t>m</w:t>
            </w:r>
          </w:p>
        </w:tc>
        <w:tc>
          <w:tcPr>
            <w:tcW w:w="301" w:type="dxa"/>
            <w:tcBorders>
              <w:top w:val="single" w:sz="4" w:space="0" w:color="auto"/>
              <w:bottom w:val="single" w:sz="4" w:space="0" w:color="auto"/>
            </w:tcBorders>
          </w:tcPr>
          <w:p w:rsidR="00F047E9" w:rsidRPr="00903EED" w:rsidRDefault="00F047E9">
            <w:pPr>
              <w:pStyle w:val="Normaltindrag"/>
              <w:ind w:firstLine="0"/>
              <w:jc w:val="right"/>
            </w:pPr>
            <w:r w:rsidRPr="00903EED">
              <w:t>v</w:t>
            </w:r>
          </w:p>
        </w:tc>
        <w:tc>
          <w:tcPr>
            <w:tcW w:w="900" w:type="dxa"/>
            <w:tcBorders>
              <w:top w:val="single" w:sz="4" w:space="0" w:color="auto"/>
              <w:bottom w:val="single" w:sz="4" w:space="0" w:color="auto"/>
            </w:tcBorders>
          </w:tcPr>
          <w:p w:rsidR="00F047E9" w:rsidRPr="00903EED" w:rsidRDefault="00F047E9">
            <w:pPr>
              <w:pStyle w:val="Normaltindrag"/>
              <w:ind w:firstLine="0"/>
              <w:jc w:val="right"/>
            </w:pPr>
            <w:r w:rsidRPr="00903EED">
              <w:t>kd</w:t>
            </w:r>
          </w:p>
        </w:tc>
        <w:tc>
          <w:tcPr>
            <w:tcW w:w="801" w:type="dxa"/>
            <w:tcBorders>
              <w:top w:val="single" w:sz="4" w:space="0" w:color="auto"/>
              <w:bottom w:val="single" w:sz="4" w:space="0" w:color="auto"/>
            </w:tcBorders>
          </w:tcPr>
          <w:p w:rsidR="00F047E9" w:rsidRPr="00903EED" w:rsidRDefault="00F047E9">
            <w:pPr>
              <w:pStyle w:val="Normaltindrag"/>
              <w:ind w:firstLine="0"/>
              <w:jc w:val="right"/>
            </w:pPr>
            <w:r w:rsidRPr="00903EED">
              <w:t>c</w:t>
            </w:r>
          </w:p>
        </w:tc>
        <w:tc>
          <w:tcPr>
            <w:tcW w:w="851" w:type="dxa"/>
            <w:tcBorders>
              <w:top w:val="single" w:sz="4" w:space="0" w:color="auto"/>
              <w:bottom w:val="single" w:sz="4" w:space="0" w:color="auto"/>
            </w:tcBorders>
          </w:tcPr>
          <w:p w:rsidR="00F047E9" w:rsidRPr="00903EED" w:rsidRDefault="00F047E9">
            <w:pPr>
              <w:pStyle w:val="Normaltindrag"/>
              <w:ind w:firstLine="0"/>
              <w:jc w:val="right"/>
            </w:pPr>
            <w:r w:rsidRPr="00903EED">
              <w:t>Fp</w:t>
            </w:r>
          </w:p>
        </w:tc>
        <w:tc>
          <w:tcPr>
            <w:tcW w:w="425" w:type="dxa"/>
            <w:tcBorders>
              <w:top w:val="single" w:sz="4" w:space="0" w:color="auto"/>
              <w:bottom w:val="single" w:sz="4" w:space="0" w:color="auto"/>
            </w:tcBorders>
          </w:tcPr>
          <w:p w:rsidR="00F047E9" w:rsidRPr="00903EED" w:rsidRDefault="00F047E9">
            <w:pPr>
              <w:pStyle w:val="Normaltindrag"/>
              <w:ind w:firstLine="0"/>
            </w:pPr>
            <w:r w:rsidRPr="00903EED">
              <w:t>mp</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2002</w:t>
            </w:r>
          </w:p>
        </w:tc>
        <w:tc>
          <w:tcPr>
            <w:tcW w:w="1134" w:type="dxa"/>
          </w:tcPr>
          <w:p w:rsidR="00F047E9" w:rsidRPr="00903EED" w:rsidRDefault="00F047E9">
            <w:pPr>
              <w:pStyle w:val="Normaltindrag"/>
              <w:ind w:firstLine="0"/>
              <w:jc w:val="right"/>
            </w:pPr>
            <w:r w:rsidRPr="00903EED">
              <w:t>110 711</w:t>
            </w:r>
          </w:p>
        </w:tc>
        <w:tc>
          <w:tcPr>
            <w:tcW w:w="833" w:type="dxa"/>
          </w:tcPr>
          <w:p w:rsidR="00F047E9" w:rsidRPr="00903EED" w:rsidRDefault="00F047E9">
            <w:pPr>
              <w:pStyle w:val="Normaltindrag"/>
              <w:ind w:firstLine="0"/>
              <w:jc w:val="right"/>
            </w:pPr>
            <w:r w:rsidRPr="00903EED">
              <w:t>- 13 268</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- 5 990</w:t>
            </w:r>
          </w:p>
        </w:tc>
        <w:tc>
          <w:tcPr>
            <w:tcW w:w="801" w:type="dxa"/>
          </w:tcPr>
          <w:p w:rsidR="00F047E9" w:rsidRPr="00903EED" w:rsidRDefault="00F047E9">
            <w:pPr>
              <w:pStyle w:val="Normaltindrag"/>
              <w:ind w:firstLine="0"/>
              <w:jc w:val="right"/>
            </w:pPr>
            <w:r w:rsidRPr="00903EED">
              <w:t>- 5 740</w:t>
            </w:r>
          </w:p>
        </w:tc>
        <w:tc>
          <w:tcPr>
            <w:tcW w:w="851" w:type="dxa"/>
          </w:tcPr>
          <w:p w:rsidR="00F047E9" w:rsidRPr="00903EED" w:rsidRDefault="00F047E9">
            <w:pPr>
              <w:pStyle w:val="Normaltindrag"/>
              <w:ind w:firstLine="0"/>
              <w:jc w:val="right"/>
            </w:pPr>
            <w:r w:rsidRPr="00903EED">
              <w:t>-  3 910</w:t>
            </w:r>
          </w:p>
        </w:tc>
        <w:tc>
          <w:tcPr>
            <w:tcW w:w="425" w:type="dxa"/>
          </w:tcPr>
          <w:p w:rsidR="00F047E9" w:rsidRPr="00903EED" w:rsidRDefault="00F047E9">
            <w:pPr>
              <w:pStyle w:val="Normaltindrag"/>
              <w:ind w:firstLine="0"/>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2003</w:t>
            </w:r>
          </w:p>
        </w:tc>
        <w:tc>
          <w:tcPr>
            <w:tcW w:w="1134" w:type="dxa"/>
          </w:tcPr>
          <w:p w:rsidR="00F047E9" w:rsidRPr="00903EED" w:rsidRDefault="00F047E9">
            <w:pPr>
              <w:pStyle w:val="Normaltindrag"/>
              <w:ind w:firstLine="0"/>
              <w:jc w:val="right"/>
            </w:pPr>
            <w:r w:rsidRPr="00903EED">
              <w:t>117 738</w:t>
            </w:r>
          </w:p>
        </w:tc>
        <w:tc>
          <w:tcPr>
            <w:tcW w:w="833" w:type="dxa"/>
          </w:tcPr>
          <w:p w:rsidR="00F047E9" w:rsidRPr="00903EED" w:rsidRDefault="00F047E9">
            <w:pPr>
              <w:pStyle w:val="Normaltindrag"/>
              <w:ind w:firstLine="0"/>
              <w:jc w:val="right"/>
            </w:pPr>
            <w:r w:rsidRPr="00903EED">
              <w:t>- 19 639</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- 7 285</w:t>
            </w:r>
          </w:p>
        </w:tc>
        <w:tc>
          <w:tcPr>
            <w:tcW w:w="801" w:type="dxa"/>
          </w:tcPr>
          <w:p w:rsidR="00F047E9" w:rsidRPr="00903EED" w:rsidRDefault="00F047E9">
            <w:pPr>
              <w:pStyle w:val="Normaltindrag"/>
              <w:ind w:firstLine="0"/>
              <w:jc w:val="right"/>
            </w:pPr>
            <w:r w:rsidRPr="00903EED">
              <w:t>- 8 070</w:t>
            </w:r>
          </w:p>
        </w:tc>
        <w:tc>
          <w:tcPr>
            <w:tcW w:w="851" w:type="dxa"/>
          </w:tcPr>
          <w:p w:rsidR="00F047E9" w:rsidRPr="00903EED" w:rsidRDefault="00F047E9">
            <w:pPr>
              <w:pStyle w:val="Normaltindrag"/>
              <w:ind w:firstLine="0"/>
              <w:jc w:val="right"/>
            </w:pPr>
            <w:r w:rsidRPr="00903EED">
              <w:t>-  8 095</w:t>
            </w:r>
          </w:p>
        </w:tc>
        <w:tc>
          <w:tcPr>
            <w:tcW w:w="425" w:type="dxa"/>
          </w:tcPr>
          <w:p w:rsidR="00F047E9" w:rsidRPr="00903EED" w:rsidRDefault="00F047E9">
            <w:pPr>
              <w:pStyle w:val="Normaltindrag"/>
              <w:ind w:firstLine="0"/>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2004</w:t>
            </w:r>
          </w:p>
        </w:tc>
        <w:tc>
          <w:tcPr>
            <w:tcW w:w="1134" w:type="dxa"/>
          </w:tcPr>
          <w:p w:rsidR="00F047E9" w:rsidRPr="00903EED" w:rsidRDefault="00F047E9">
            <w:pPr>
              <w:pStyle w:val="Normaltindrag"/>
              <w:ind w:firstLine="0"/>
              <w:jc w:val="right"/>
            </w:pPr>
            <w:r w:rsidRPr="00903EED">
              <w:t>120 821</w:t>
            </w:r>
          </w:p>
        </w:tc>
        <w:tc>
          <w:tcPr>
            <w:tcW w:w="833" w:type="dxa"/>
          </w:tcPr>
          <w:p w:rsidR="00F047E9" w:rsidRPr="00903EED" w:rsidRDefault="00F047E9">
            <w:pPr>
              <w:pStyle w:val="Normaltindrag"/>
              <w:ind w:firstLine="0"/>
              <w:jc w:val="right"/>
            </w:pPr>
            <w:r w:rsidRPr="00903EED">
              <w:t>- 24 570</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- 9 475</w:t>
            </w:r>
          </w:p>
        </w:tc>
        <w:tc>
          <w:tcPr>
            <w:tcW w:w="801" w:type="dxa"/>
          </w:tcPr>
          <w:p w:rsidR="00F047E9" w:rsidRPr="00903EED" w:rsidRDefault="00F047E9">
            <w:pPr>
              <w:pStyle w:val="Normaltindrag"/>
              <w:ind w:firstLine="0"/>
              <w:jc w:val="right"/>
            </w:pPr>
            <w:r w:rsidRPr="00903EED">
              <w:t>- 9 900</w:t>
            </w:r>
          </w:p>
        </w:tc>
        <w:tc>
          <w:tcPr>
            <w:tcW w:w="851" w:type="dxa"/>
          </w:tcPr>
          <w:p w:rsidR="00F047E9" w:rsidRPr="00903EED" w:rsidRDefault="00F047E9">
            <w:pPr>
              <w:pStyle w:val="Normaltindrag"/>
              <w:ind w:firstLine="0"/>
              <w:jc w:val="right"/>
            </w:pPr>
            <w:r w:rsidRPr="00903EED">
              <w:t>- 11 640</w:t>
            </w:r>
          </w:p>
        </w:tc>
        <w:tc>
          <w:tcPr>
            <w:tcW w:w="425" w:type="dxa"/>
          </w:tcPr>
          <w:p w:rsidR="00F047E9" w:rsidRPr="00903EED" w:rsidRDefault="00F047E9">
            <w:pPr>
              <w:pStyle w:val="Normaltindrag"/>
              <w:ind w:firstLine="0"/>
            </w:pPr>
            <w:r w:rsidRPr="00903EED">
              <w:t>–</w:t>
            </w:r>
          </w:p>
        </w:tc>
      </w:tr>
    </w:tbl>
    <w:p w:rsidR="00F047E9" w:rsidRPr="00903EED" w:rsidRDefault="00F047E9">
      <w:pPr>
        <w:pStyle w:val="Normaltindrag"/>
        <w:ind w:firstLine="0"/>
      </w:pPr>
    </w:p>
    <w:p w:rsidR="00F047E9" w:rsidRPr="00903EED" w:rsidRDefault="00F047E9">
      <w:r w:rsidRPr="00903EED">
        <w:t>Enligt propositionen visar aktuell beräkning för utgiftsområdet för 2001 att utgifterna kan förväntas uppgå till 106,7 miljarder kronor, vilket är ca 4,8 miljarder kronor högre än vad som anvisades på statsbudgeten. Prognosen för  utvecklingen under 2001 innebär en fortsatt ökning av sjukfrånvaron och en ökning av antalet förtidspensionerade.</w:t>
      </w:r>
    </w:p>
    <w:p w:rsidR="00F047E9" w:rsidRPr="00903EED" w:rsidRDefault="00F047E9">
      <w:pPr>
        <w:pStyle w:val="Normaltindrag"/>
        <w:rPr>
          <w:snapToGrid w:val="0"/>
          <w:color w:val="000000"/>
          <w:lang w:eastAsia="sv-SE"/>
        </w:rPr>
      </w:pPr>
      <w:r w:rsidRPr="00903EED">
        <w:t>Utskottet noterar att vad gäller utgifterna för 2001 föreslår regeringen att anslaget 19:1 Sjukpenning och rehabilitering m.m. ökas med 3 miljarder kronor. Enligt tilläggsbudgeten är de prognoser som ligger till grund för b</w:t>
      </w:r>
      <w:r w:rsidRPr="00903EED">
        <w:t>e</w:t>
      </w:r>
      <w:r w:rsidRPr="00903EED">
        <w:softHyphen/>
        <w:t>dömningen för 2001 osäkra varför de kan behöva justeras ytterligare. Rege</w:t>
      </w:r>
      <w:r w:rsidRPr="00903EED">
        <w:softHyphen/>
        <w:t>ringen avser att noga följa utvecklingen för att bedöma huruvida den före</w:t>
      </w:r>
      <w:r w:rsidRPr="00903EED">
        <w:softHyphen/>
        <w:t xml:space="preserve">slagna ökningen är tillräcklig. </w:t>
      </w:r>
      <w:r w:rsidRPr="00903EED">
        <w:rPr>
          <w:snapToGrid w:val="0"/>
          <w:color w:val="000000"/>
          <w:lang w:eastAsia="sv-SE"/>
        </w:rPr>
        <w:t>Kostnaderna för sjukförsäkringen har ökat under flera år och utskottet har tidigare redovisat sin syn på denna utveckling. Vid behandlingen av budgeten för 2001 noterade utskottet i betänkande 2000/01:SfU1 att kostnaderna för sjukpenningen, exklusive ålderspe</w:t>
      </w:r>
      <w:r w:rsidRPr="00903EED">
        <w:rPr>
          <w:snapToGrid w:val="0"/>
          <w:color w:val="000000"/>
          <w:lang w:eastAsia="sv-SE"/>
        </w:rPr>
        <w:t>n</w:t>
      </w:r>
      <w:r w:rsidRPr="00903EED">
        <w:rPr>
          <w:snapToGrid w:val="0"/>
          <w:color w:val="000000"/>
          <w:lang w:eastAsia="sv-SE"/>
        </w:rPr>
        <w:t>sionsavgiften, ökade med 30 % 1999 jämfört med 1998. Utgifterna hade f</w:t>
      </w:r>
      <w:r w:rsidRPr="00903EED">
        <w:rPr>
          <w:snapToGrid w:val="0"/>
          <w:color w:val="000000"/>
          <w:lang w:eastAsia="sv-SE"/>
        </w:rPr>
        <w:t>ortsatt att stiga under 2000, dock i avtagande takt. Vidare noterades att ant</w:t>
      </w:r>
      <w:r w:rsidRPr="00903EED">
        <w:rPr>
          <w:snapToGrid w:val="0"/>
          <w:color w:val="000000"/>
          <w:lang w:eastAsia="sv-SE"/>
        </w:rPr>
        <w:t>a</w:t>
      </w:r>
      <w:r w:rsidRPr="00903EED">
        <w:rPr>
          <w:snapToGrid w:val="0"/>
          <w:color w:val="000000"/>
          <w:lang w:eastAsia="sv-SE"/>
        </w:rPr>
        <w:t>let sjukskrivna hade ökat kraftigt under de senaste åren. Utskottet delade regeringens bedömning att orsakssambanden är mycket komplexa och att det finns flera förklaringar till det rådande förhållandet med ökande sjukfrånvaro. Utskottet ansåg att det måste utformas en strategi för att komma till rätta med utvecklingen av den arbetsbetingade ohälsan och för att åstadkomma en fö</w:t>
      </w:r>
      <w:r w:rsidRPr="00903EED">
        <w:rPr>
          <w:snapToGrid w:val="0"/>
          <w:color w:val="000000"/>
          <w:lang w:eastAsia="sv-SE"/>
        </w:rPr>
        <w:t>r</w:t>
      </w:r>
      <w:r w:rsidRPr="00903EED">
        <w:rPr>
          <w:snapToGrid w:val="0"/>
          <w:color w:val="000000"/>
          <w:lang w:eastAsia="sv-SE"/>
        </w:rPr>
        <w:t>nyelse av arbetsmiljöarbetet som ökar människors möjl</w:t>
      </w:r>
      <w:r w:rsidRPr="00903EED">
        <w:rPr>
          <w:snapToGrid w:val="0"/>
          <w:color w:val="000000"/>
          <w:lang w:eastAsia="sv-SE"/>
        </w:rPr>
        <w:t>igheter att delta i arbetslivet. Detta bör ske genom förebyggande åtgärder, förbättrad arbet</w:t>
      </w:r>
      <w:r w:rsidRPr="00903EED">
        <w:rPr>
          <w:snapToGrid w:val="0"/>
          <w:color w:val="000000"/>
          <w:lang w:eastAsia="sv-SE"/>
        </w:rPr>
        <w:t>s</w:t>
      </w:r>
      <w:r w:rsidRPr="00903EED">
        <w:rPr>
          <w:snapToGrid w:val="0"/>
          <w:color w:val="000000"/>
          <w:lang w:eastAsia="sv-SE"/>
        </w:rPr>
        <w:t xml:space="preserve">miljö, bättre rehabilitering och effektivare försäkringssystem. Beredningen av dessa frågor inom Regeringskansliet borde avvaktas och utskottet utgick från att regeringen återkommer till riksdagen med ett samlat förslag så snart som möjligt. </w:t>
      </w:r>
    </w:p>
    <w:p w:rsidR="00F047E9" w:rsidRPr="00903EED" w:rsidRDefault="00F047E9">
      <w:pPr>
        <w:pStyle w:val="Normaltindrag"/>
      </w:pPr>
      <w:r w:rsidRPr="00903EED">
        <w:rPr>
          <w:snapToGrid w:val="0"/>
          <w:color w:val="000000"/>
          <w:lang w:eastAsia="sv-SE"/>
        </w:rPr>
        <w:t xml:space="preserve">Utskottet kan nu åter konstatera att regeringen </w:t>
      </w:r>
      <w:r w:rsidRPr="00903EED">
        <w:t>har inlett en omfattande översyn av orsakerna till den ökade ohälsan i arbetslivet. Arbetet avses resu</w:t>
      </w:r>
      <w:r w:rsidRPr="00903EED">
        <w:t>l</w:t>
      </w:r>
      <w:r w:rsidRPr="00903EED">
        <w:t>tera i en handlingsplan för ökad hälsa i arbets</w:t>
      </w:r>
      <w:r w:rsidRPr="00903EED">
        <w:softHyphen/>
        <w:t>livet. Planen är under utarbeta</w:t>
      </w:r>
      <w:r w:rsidRPr="00903EED">
        <w:t>n</w:t>
      </w:r>
      <w:r w:rsidRPr="00903EED">
        <w:t>de av en särskild utredare. Enligt uppgift avses en delredovisning av arbetet att ske den 1 juni 2001 medan arbetet avses att slutredovisas den 15 december 2001. Med hänsyn härtill har utskottet inte anledning att ifrågasätta regerin</w:t>
      </w:r>
      <w:r w:rsidRPr="00903EED">
        <w:t>g</w:t>
      </w:r>
      <w:r w:rsidRPr="00903EED">
        <w:t>ens bedöm</w:t>
      </w:r>
      <w:r w:rsidRPr="00903EED">
        <w:softHyphen/>
        <w:t>ning av utgifternas storlek.</w:t>
      </w:r>
    </w:p>
    <w:p w:rsidR="00F047E9" w:rsidRPr="00903EED" w:rsidRDefault="00F047E9">
      <w:pPr>
        <w:pStyle w:val="Normaltindrag"/>
      </w:pPr>
      <w:r w:rsidRPr="00903EED">
        <w:t>Utskottet välkomnar regeringens satsning under utgiftsom</w:t>
      </w:r>
      <w:r w:rsidRPr="00903EED">
        <w:t>rådet för att r</w:t>
      </w:r>
      <w:r w:rsidRPr="00903EED">
        <w:t>e</w:t>
      </w:r>
      <w:r w:rsidRPr="00903EED">
        <w:t>formera arbetsskadeförsäkringen och för att bedriva försöksverksamhet för att motverka långtidssjukskrivningar.</w:t>
      </w:r>
    </w:p>
    <w:p w:rsidR="00F047E9" w:rsidRPr="00903EED" w:rsidRDefault="00F047E9">
      <w:pPr>
        <w:pStyle w:val="Normaltindrag"/>
      </w:pPr>
      <w:r w:rsidRPr="00903EED">
        <w:t>Utskottet har tidigare uttalat (bet. 2000/01:SfU1 s. 31) att det är viktigt att utformningen av intjänandetaket, även i de delar av socialförsäkringssystemet som inte rör det reformerade ålderspensionssystemet, inte leder till att allt fler försäkrade genom en normal löneutveckling delvis hamnar utanför försä</w:t>
      </w:r>
      <w:r w:rsidRPr="00903EED">
        <w:t>k</w:t>
      </w:r>
      <w:r w:rsidRPr="00903EED">
        <w:softHyphen/>
        <w:t xml:space="preserve">ringsskyddet. Utskottet uttalade i detta sammanhang även att en höjning av taket i socialförsäkringssystemen bör ske så snart utrymme finns. </w:t>
      </w:r>
    </w:p>
    <w:p w:rsidR="00F047E9" w:rsidRPr="00903EED" w:rsidRDefault="00F047E9">
      <w:pPr>
        <w:pStyle w:val="Normaltindrag"/>
      </w:pPr>
      <w:r w:rsidRPr="00903EED">
        <w:t>Utskottet ser mot denna bakgrund mycket positivt på att regeringen nu av samma skäl avser att se över ersättningsnivåerna i sjukförsä</w:t>
      </w:r>
      <w:r w:rsidRPr="00903EED">
        <w:t>k</w:t>
      </w:r>
      <w:r w:rsidRPr="00903EED">
        <w:t xml:space="preserve">ringen. </w:t>
      </w:r>
    </w:p>
    <w:p w:rsidR="00F047E9" w:rsidRPr="00903EED" w:rsidRDefault="00F047E9">
      <w:pPr>
        <w:pStyle w:val="Normaltindrag"/>
      </w:pPr>
      <w:r w:rsidRPr="00903EED">
        <w:t>När det gäller socialförsäkringsadministrationen kan nämnas att utskottet noga följer försäkringskassornas handläggning och arbetssituation.</w:t>
      </w:r>
    </w:p>
    <w:p w:rsidR="00F047E9" w:rsidRPr="00903EED" w:rsidRDefault="00F047E9">
      <w:pPr>
        <w:pStyle w:val="Normaltindrag"/>
      </w:pPr>
      <w:r w:rsidRPr="00903EED">
        <w:t>De partier som framställt yrkanden under utgiftsområdet har förslag som innebär kraftiga minskningar av ramen i förhållande till regeringens förslag. Vad gäller partiernas olika sakförslag har det stora flertalet av dessa tidigare behandlats och avvisats av utskottet (se främst bet. 2000/01:SfU1). Utskottet vill ändå kort kommentera några av förslagen. Att införa ytterligare en ka</w:t>
      </w:r>
      <w:r w:rsidRPr="00903EED">
        <w:softHyphen/>
        <w:t>rensdag i sjukpenningförsäkringen skulle, i enlighet med vad utskottet tidi</w:t>
      </w:r>
      <w:r w:rsidRPr="00903EED">
        <w:softHyphen/>
        <w:t xml:space="preserve">gare uttalat, innebära mycket svåra påfrestningar för redan utsatta gruppers försörjningssituation. I än högre grad gäller detta om det skulle kombineras med en sänkning av ersättningsnivån i sjukförsäkringen. Vad gäller frågan huruvida sjukdomsfall och skador till följd av trafiken skall överföras till trafikförsäkringen har utskottet uttalat att ett system där vissa skadetyper inte ryms inom den allmänna försäkringen knappast är </w:t>
      </w:r>
      <w:r w:rsidRPr="00903EED">
        <w:t>tänkbart med hänsyn till försäkringska</w:t>
      </w:r>
      <w:r w:rsidRPr="00903EED">
        <w:t>s</w:t>
      </w:r>
      <w:r w:rsidRPr="00903EED">
        <w:t>sans ansvar för samordning och tillsyn av rehabiliteringsverk</w:t>
      </w:r>
      <w:r w:rsidRPr="00903EED">
        <w:softHyphen/>
        <w:t>samheten. U</w:t>
      </w:r>
      <w:r w:rsidRPr="00903EED">
        <w:t>t</w:t>
      </w:r>
      <w:r w:rsidRPr="00903EED">
        <w:t xml:space="preserve">skottet vidhåller denna uppfattning. </w:t>
      </w:r>
    </w:p>
    <w:p w:rsidR="00F047E9" w:rsidRPr="00903EED" w:rsidRDefault="00F047E9">
      <w:pPr>
        <w:pStyle w:val="Normaltindrag"/>
      </w:pPr>
      <w:r w:rsidRPr="00903EED">
        <w:t>Utskottet har, senast i betänkandet med anledning av regeringens för</w:t>
      </w:r>
      <w:r w:rsidRPr="00903EED">
        <w:softHyphen/>
        <w:t>slag till anslag m.m. inom det aktuella utgiftsområdet (bet. 2000/01:SfU1 s. 51 f.), vartill hänvisas, utvecklat sin uppfattning vad gäller den arbetslivsin</w:t>
      </w:r>
      <w:r w:rsidRPr="00903EED">
        <w:softHyphen/>
        <w:t>riktade rehabiliteringen och samarbetet mellan myndigheterna. I samman</w:t>
      </w:r>
      <w:r w:rsidRPr="00903EED">
        <w:softHyphen/>
        <w:t>hanget kan nämnas att Centerpartiet föreslår att sjuklöneperioden för offent</w:t>
      </w:r>
      <w:r w:rsidRPr="00903EED">
        <w:softHyphen/>
        <w:t>liga arbetsg</w:t>
      </w:r>
      <w:r w:rsidRPr="00903EED">
        <w:t>i</w:t>
      </w:r>
      <w:r w:rsidRPr="00903EED">
        <w:t>vare skall förlängas till två månader. Utskottet vill här liksom tidigare peka på att ett av syftena med den lagstadgade sjuklönen är att öka arbetsgivarens ansvar för de anställdas arbetsmiljö</w:t>
      </w:r>
      <w:r w:rsidRPr="00903EED">
        <w:t xml:space="preserve"> och hälsa. Frågan om arbetsgivarens rehabiliteringsansvar omfattas för övrigt av den handlingsplan avseende ökad hälsa i arbetslivet som är under utarbetande. Utskottet anser inte att den avis</w:t>
      </w:r>
      <w:r w:rsidRPr="00903EED">
        <w:t>e</w:t>
      </w:r>
      <w:r w:rsidRPr="00903EED">
        <w:t>rade handlingsplanen bör föregripas.</w:t>
      </w:r>
    </w:p>
    <w:p w:rsidR="00F047E9" w:rsidRPr="00903EED" w:rsidRDefault="00F047E9">
      <w:pPr>
        <w:pStyle w:val="Normaltindrag"/>
      </w:pPr>
      <w:r w:rsidRPr="00903EED">
        <w:t>Utskottet har tidigare avstyrkt motionsyrkanden från Folkpartiet av in</w:t>
      </w:r>
      <w:r w:rsidRPr="00903EED">
        <w:softHyphen/>
        <w:t>nebörd att en ny socialförsäkring bör utformas som tre från statsbudgeten fristående försäkringar (se bl.a. bet. 2000/01:SfU1 och 2000/01:SfU15). U</w:t>
      </w:r>
      <w:r w:rsidRPr="00903EED">
        <w:t>t</w:t>
      </w:r>
      <w:r w:rsidRPr="00903EED">
        <w:t>skottet har inte ändrat uppfat</w:t>
      </w:r>
      <w:r w:rsidRPr="00903EED">
        <w:t>t</w:t>
      </w:r>
      <w:r w:rsidRPr="00903EED">
        <w:t xml:space="preserve">ning i saken. </w:t>
      </w:r>
    </w:p>
    <w:p w:rsidR="00F047E9" w:rsidRPr="00903EED" w:rsidRDefault="00F047E9">
      <w:pPr>
        <w:pStyle w:val="Normaltindrag"/>
      </w:pPr>
      <w:r w:rsidRPr="00903EED">
        <w:t>Beräkningen av ramen för 2003 och 2004 utgår bl.a. från förslag om en re</w:t>
      </w:r>
      <w:r w:rsidRPr="00903EED">
        <w:softHyphen/>
        <w:t xml:space="preserve">formering av förtidspensionssystemet som regeringen lagt fram i proposition 2000/01:96, Sjukersättning och aktivitetsersättning i stället för förtidspension. Utskottet har denna dag tillstyrkt propositionen (bet. 2000/01:SfU15). </w:t>
      </w:r>
    </w:p>
    <w:p w:rsidR="00F047E9" w:rsidRPr="00903EED" w:rsidRDefault="00F047E9">
      <w:pPr>
        <w:pStyle w:val="Normaltindrag"/>
      </w:pPr>
      <w:r w:rsidRPr="00903EED">
        <w:t xml:space="preserve">Mot bakgrund av det anförda kan utskottet godta regeringens förslag till preliminär fördelning av utgifter för budgetåret 2002. Utskottet godtar även regeringens förslag till preliminär fördelning av utgifter för budgetåren 2003 och 2004. </w:t>
      </w:r>
    </w:p>
    <w:p w:rsidR="00F047E9" w:rsidRPr="00903EED" w:rsidRDefault="00F047E9">
      <w:pPr>
        <w:pStyle w:val="Normaltindrag"/>
      </w:pPr>
      <w:r w:rsidRPr="00903EED">
        <w:t xml:space="preserve">Med det anförda tillstyrker utskottet regeringens förslag till preliminära ramar för budgetåren 2002, 2003 och 2004 och avstyrker motionerna Fi17, Fi18, Fi19 och Fi20 i dessa delar. </w:t>
      </w:r>
    </w:p>
    <w:p w:rsidR="00F047E9" w:rsidRPr="00903EED" w:rsidRDefault="00F047E9">
      <w:pPr>
        <w:pStyle w:val="Normaltindrag"/>
      </w:pPr>
      <w:r w:rsidRPr="00903EED">
        <w:t>Mot bakgrund av det redovisade anser utskottet att yrkande 12 (delvis) i motion Fi20 får anses i huvu</w:t>
      </w:r>
      <w:r w:rsidRPr="00903EED">
        <w:t>d</w:t>
      </w:r>
      <w:r w:rsidRPr="00903EED">
        <w:t>sak tillgodosett. Yrkandet avstyrks därför.</w:t>
      </w:r>
    </w:p>
    <w:p w:rsidR="00F047E9" w:rsidRPr="00903EED" w:rsidRDefault="00F047E9">
      <w:pPr>
        <w:pStyle w:val="Normaltindrag"/>
      </w:pPr>
      <w:r w:rsidRPr="00903EED">
        <w:t xml:space="preserve">Utskottet avstyrker även motionerna Fi17 yrkande 13 och Fi20 yrkande 11. </w:t>
      </w:r>
    </w:p>
    <w:p w:rsidR="00F047E9" w:rsidRPr="00903EED" w:rsidRDefault="00F047E9">
      <w:pPr>
        <w:pStyle w:val="R2"/>
      </w:pPr>
      <w:r w:rsidRPr="00903EED">
        <w:t>Utgiftsområde 11 Ekonomisk trygghet vid ålderdom</w:t>
      </w:r>
    </w:p>
    <w:p w:rsidR="00F047E9" w:rsidRPr="00903EED" w:rsidRDefault="00F047E9">
      <w:pPr>
        <w:pStyle w:val="R3"/>
        <w:spacing w:before="235"/>
      </w:pPr>
      <w:r w:rsidRPr="00903EED">
        <w:t>Propositionen</w:t>
      </w:r>
    </w:p>
    <w:p w:rsidR="00F047E9" w:rsidRPr="00903EED" w:rsidRDefault="00F047E9">
      <w:r w:rsidRPr="00903EED">
        <w:t>Utgiftsområdet omfattar politikområdet Ek</w:t>
      </w:r>
      <w:r w:rsidRPr="00903EED">
        <w:t>o</w:t>
      </w:r>
      <w:r w:rsidRPr="00903EED">
        <w:t xml:space="preserve">nomisk äldrepolitik. </w:t>
      </w:r>
    </w:p>
    <w:p w:rsidR="00F047E9" w:rsidRPr="00903EED" w:rsidRDefault="00F047E9">
      <w:pPr>
        <w:pStyle w:val="Normaltindrag"/>
      </w:pPr>
      <w:r w:rsidRPr="00903EED">
        <w:t>För 2002 ökas beräknade resurser för utgiftsområdet med 91 miljoner kr</w:t>
      </w:r>
      <w:r w:rsidRPr="00903EED">
        <w:t>o</w:t>
      </w:r>
      <w:r w:rsidRPr="00903EED">
        <w:softHyphen/>
        <w:t>nor i jämförelse med den beräknade ramen i budgetpropositionen för 2001. Ökningen beror i huvudsak på att 160 miljoner kronor föreslås tillskjutas utgiftsområdet med anledning av ett förslag om en höjning av bostadstillägget till pensionärer. Denna utgiftsökning motverkas dock till viss del av nedrevi</w:t>
      </w:r>
      <w:r w:rsidRPr="00903EED">
        <w:softHyphen/>
        <w:t>derade prognoser, varför nettoe</w:t>
      </w:r>
      <w:r w:rsidRPr="00903EED">
        <w:t>f</w:t>
      </w:r>
      <w:r w:rsidRPr="00903EED">
        <w:t>fekten blir 91 miljoner kronor.</w:t>
      </w:r>
    </w:p>
    <w:p w:rsidR="00F047E9" w:rsidRPr="00903EED" w:rsidRDefault="00F047E9">
      <w:pPr>
        <w:pStyle w:val="Normaltindrag"/>
      </w:pPr>
      <w:r w:rsidRPr="00903EED">
        <w:t>Regeringen föreslår en preliminär beräkning av ramen för utgiftsområdet för 2002 till 33 241 miljoner kronor, för 2003 till 51 615 miljoner kro</w:t>
      </w:r>
      <w:r w:rsidRPr="00903EED">
        <w:t>nor samt för 2004 till 51 201 miljoner kronor.</w:t>
      </w:r>
    </w:p>
    <w:p w:rsidR="00F047E9" w:rsidRPr="00903EED" w:rsidRDefault="00F047E9">
      <w:pPr>
        <w:pStyle w:val="Normaltindrag"/>
      </w:pPr>
      <w:r w:rsidRPr="00903EED">
        <w:t>Enligt propositionen beror den kraftiga utgiftsökningen mellan åren 2002 och 2003 dels på att utgifterna för den bosättningsbaserade folkpensionen till pensionärer som även uppbär ATP flyttas från ålderspensionssystemet vid sidan av statsbudgeten till utgiftsområde 11, dels på att det särskilda grunda</w:t>
      </w:r>
      <w:r w:rsidRPr="00903EED">
        <w:t>v</w:t>
      </w:r>
      <w:r w:rsidRPr="00903EED">
        <w:softHyphen/>
        <w:t>draget (SGA) avskaffas 2003. Då SGA avskaffas omvandlas denna skatt</w:t>
      </w:r>
      <w:r w:rsidRPr="00903EED">
        <w:t>e</w:t>
      </w:r>
      <w:r w:rsidRPr="00903EED">
        <w:softHyphen/>
        <w:t>förmån tillsammans med nuvarande bosättningsbaserade folkpension samt pensionstillskott till en beskattad garantipension på budgetens utgiftss</w:t>
      </w:r>
      <w:r w:rsidRPr="00903EED">
        <w:t>i</w:t>
      </w:r>
      <w:r w:rsidRPr="00903EED">
        <w:t xml:space="preserve">da. </w:t>
      </w:r>
    </w:p>
    <w:p w:rsidR="00F047E9" w:rsidRPr="00903EED" w:rsidRDefault="00F047E9">
      <w:pPr>
        <w:pStyle w:val="Normaltindrag"/>
      </w:pPr>
      <w:r w:rsidRPr="00903EED">
        <w:t>I och med att SGA höjdes den 1 januari 2001 beräknas kostnaderna för g</w:t>
      </w:r>
      <w:r w:rsidRPr="00903EED">
        <w:t>a</w:t>
      </w:r>
      <w:r w:rsidRPr="00903EED">
        <w:softHyphen/>
        <w:t>rantipensionen bli ca 385 miljoner kronor högre för 2003 och framöver, jä</w:t>
      </w:r>
      <w:r w:rsidRPr="00903EED">
        <w:t>m</w:t>
      </w:r>
      <w:r w:rsidRPr="00903EED">
        <w:t>fört med vad som beräknades i budgetpropos</w:t>
      </w:r>
      <w:r w:rsidRPr="00903EED">
        <w:t>i</w:t>
      </w:r>
      <w:r w:rsidRPr="00903EED">
        <w:t xml:space="preserve">tionen för 2001. </w:t>
      </w:r>
    </w:p>
    <w:p w:rsidR="00F047E9" w:rsidRPr="00903EED" w:rsidRDefault="00F047E9">
      <w:pPr>
        <w:pStyle w:val="Normaltindrag"/>
      </w:pPr>
      <w:r w:rsidRPr="00903EED">
        <w:t xml:space="preserve">Regeringen avser vidare föreslå förbättringar inom bostadstillägget till pensionärer (BTP). I dag ersätter BTP boendekostnader upp till 4 500 kr med 90 % av kostnaden. Regeringen avser att i budgetpropositionen för 2002 föreslå att ersättningsnivån höjs till 91 %. Förändringen innebär en förbättring för pensionärer med BTP på i genomsnitt ca 400 kr per år och som mest med </w:t>
      </w:r>
      <w:r w:rsidRPr="00903EED">
        <w:t>540 kr per år.</w:t>
      </w:r>
    </w:p>
    <w:p w:rsidR="00F047E9" w:rsidRPr="00903EED" w:rsidRDefault="00F047E9">
      <w:pPr>
        <w:pStyle w:val="Normaltindrag"/>
      </w:pPr>
      <w:r w:rsidRPr="00903EED">
        <w:t>Av propositionen framgår att regeringen avser att i en särskild proposition  föreslå att ett äldreförsörjningsstöd (ÄFS) införs 2003 för bl.a. äldre invandr</w:t>
      </w:r>
      <w:r w:rsidRPr="00903EED">
        <w:t>a</w:t>
      </w:r>
      <w:r w:rsidRPr="00903EED">
        <w:t>re som inte uppfyller bosättningskravet för svensk folkpension. Utgiftsomr</w:t>
      </w:r>
      <w:r w:rsidRPr="00903EED">
        <w:t>å</w:t>
      </w:r>
      <w:r w:rsidRPr="00903EED">
        <w:t>det tillförs 710 miljoner kronor fr.o.m. 2003 för att finansiera denna re</w:t>
      </w:r>
      <w:r w:rsidRPr="00903EED">
        <w:softHyphen/>
        <w:t>form. En stor del av dessa ökade kostnader på utgiftsområdet motsvaras dock av minskade kostnader för socialbidrag till gruppen äldre invandrare. I bu</w:t>
      </w:r>
      <w:r w:rsidRPr="00903EED">
        <w:t>d</w:t>
      </w:r>
      <w:r w:rsidRPr="00903EED">
        <w:softHyphen/>
        <w:t>getpropositionen för 2003 avser regeringen föreslå att ett nytt anslag anvisas för äldreförsörjning</w:t>
      </w:r>
      <w:r w:rsidRPr="00903EED">
        <w:t>s</w:t>
      </w:r>
      <w:r w:rsidRPr="00903EED">
        <w:t>stödet.</w:t>
      </w:r>
    </w:p>
    <w:p w:rsidR="00F047E9" w:rsidRPr="00903EED" w:rsidRDefault="00F047E9">
      <w:pPr>
        <w:pStyle w:val="R3"/>
      </w:pPr>
      <w:r w:rsidRPr="00903EED">
        <w:t>Motionerna</w:t>
      </w:r>
    </w:p>
    <w:p w:rsidR="00F047E9" w:rsidRPr="00903EED" w:rsidRDefault="00F047E9">
      <w:pPr>
        <w:pStyle w:val="R4"/>
      </w:pPr>
      <w:r w:rsidRPr="00903EED">
        <w:t>Moderaterna</w:t>
      </w:r>
    </w:p>
    <w:p w:rsidR="00F047E9" w:rsidRPr="00903EED" w:rsidRDefault="00F047E9">
      <w:r w:rsidRPr="00903EED">
        <w:t>Moderaterna anser att utformningen av BTP har verkat kostnadsdrivande på framför allt kommunernas hyressättning. De säger därför nej till en föreslagen höjning av bostadstillägget. Moderaterna föreslår i stället att den skäliga levnadsnivån i BTP höjs med 12 procentenheter.</w:t>
      </w:r>
    </w:p>
    <w:p w:rsidR="00F047E9" w:rsidRPr="00903EED" w:rsidRDefault="00F047E9">
      <w:pPr>
        <w:pStyle w:val="Normaltindrag"/>
      </w:pPr>
      <w:r w:rsidRPr="00903EED">
        <w:t>Vidare föreslår Moderaterna att folkpensionerna, för dem som var folkpe</w:t>
      </w:r>
      <w:r w:rsidRPr="00903EED">
        <w:t>n</w:t>
      </w:r>
      <w:r w:rsidRPr="00903EED">
        <w:softHyphen/>
        <w:t xml:space="preserve">sionärer under perioden 1993–1998, skall beräknas på två extra procent av basbeloppet under den kommande sexårsperioden. Detta är en kompensation för den lägre indexuppräkning som gjordes för den tidigare perioden. </w:t>
      </w:r>
    </w:p>
    <w:p w:rsidR="00F047E9" w:rsidRPr="00903EED" w:rsidRDefault="00F047E9">
      <w:pPr>
        <w:pStyle w:val="Normaltindrag"/>
      </w:pPr>
      <w:r w:rsidRPr="00903EED">
        <w:t>Moderaterna föreslår vidare att inkomstprövningen av änkepensionerna skall tas bort.</w:t>
      </w:r>
    </w:p>
    <w:p w:rsidR="00F047E9" w:rsidRPr="00903EED" w:rsidRDefault="00F047E9">
      <w:pPr>
        <w:pStyle w:val="Normaltindrag"/>
      </w:pPr>
      <w:r w:rsidRPr="00903EED">
        <w:t>Moderaterna föreslår i motion Fi17 yrkande 5 att ramen ökas i förhållande till regeringens förslag med 180 miljoner kronor för 2002, med 580 miljo</w:t>
      </w:r>
      <w:r w:rsidRPr="00903EED">
        <w:softHyphen/>
        <w:t>ner kronor för 2003 samt med 880 miljoner kronor för 2004.</w:t>
      </w:r>
    </w:p>
    <w:p w:rsidR="00F047E9" w:rsidRPr="00903EED" w:rsidRDefault="00F047E9">
      <w:pPr>
        <w:pStyle w:val="R4"/>
      </w:pPr>
      <w:r w:rsidRPr="00903EED">
        <w:t>Kristdemokraterna</w:t>
      </w:r>
    </w:p>
    <w:p w:rsidR="00F047E9" w:rsidRPr="00903EED" w:rsidRDefault="00F047E9">
      <w:r w:rsidRPr="00903EED">
        <w:t>Kristdemokraterna anser att omställningspensionen skall återställas till tolv månader i ett steg redan 2002. Vidare föreslås att inkomstprövningen vid beräkning av änkepension skall tas bort. Dessutom föreslås att innehav av fritidsfastighet inte skall räk</w:t>
      </w:r>
      <w:r w:rsidRPr="00903EED">
        <w:softHyphen/>
        <w:t>nas med i inkomsten vid beräkning av b</w:t>
      </w:r>
      <w:r w:rsidRPr="00903EED">
        <w:t>o</w:t>
      </w:r>
      <w:r w:rsidRPr="00903EED">
        <w:t>stadstillägg för pensi</w:t>
      </w:r>
      <w:r w:rsidRPr="00903EED">
        <w:t>o</w:t>
      </w:r>
      <w:r w:rsidRPr="00903EED">
        <w:t xml:space="preserve">närer. </w:t>
      </w:r>
    </w:p>
    <w:p w:rsidR="00F047E9" w:rsidRPr="00903EED" w:rsidRDefault="00F047E9">
      <w:pPr>
        <w:pStyle w:val="Normaltindrag"/>
      </w:pPr>
      <w:r w:rsidRPr="00903EED">
        <w:t>För att förbättra de sämst ställda pensionärernas ekonomi föreslår Kris</w:t>
      </w:r>
      <w:r w:rsidRPr="00903EED">
        <w:t>t</w:t>
      </w:r>
      <w:r w:rsidRPr="00903EED">
        <w:softHyphen/>
        <w:t>demokraterna ett höjt pensionstillskott med 200 kr per månad för 2002.</w:t>
      </w:r>
    </w:p>
    <w:p w:rsidR="00F047E9" w:rsidRPr="00903EED" w:rsidRDefault="00F047E9">
      <w:pPr>
        <w:pStyle w:val="Normaltindrag"/>
      </w:pPr>
      <w:r w:rsidRPr="00903EED">
        <w:t>Kristdemokraterna föreslår i motion Fi18 yrkande 7 att ramen ökas i fö</w:t>
      </w:r>
      <w:r w:rsidRPr="00903EED">
        <w:t>r</w:t>
      </w:r>
      <w:r w:rsidRPr="00903EED">
        <w:softHyphen/>
        <w:t>hållande till regeringens förslag med 1 920 miljoner kronor för 2002, med 1 213 miljoner kronor för 2003 samt med 1 320 miljoner kronor för 2004.</w:t>
      </w:r>
    </w:p>
    <w:p w:rsidR="00F047E9" w:rsidRPr="00903EED" w:rsidRDefault="00F047E9">
      <w:pPr>
        <w:pStyle w:val="R4"/>
      </w:pPr>
      <w:r w:rsidRPr="00903EED">
        <w:t>Centerpartiet</w:t>
      </w:r>
    </w:p>
    <w:p w:rsidR="00F047E9" w:rsidRPr="00903EED" w:rsidRDefault="00F047E9">
      <w:r w:rsidRPr="00903EED">
        <w:t>I stället för regeringens förslag till ändringar av BPT föreslår Centerpartiet att bostadstillägget skall ersätta boendekostnader upp till 4 000 kr med 80 % av kostnaden. Centerpartiet föreslår vidare en generell höjning av pe</w:t>
      </w:r>
      <w:r w:rsidRPr="00903EED">
        <w:t>n</w:t>
      </w:r>
      <w:r w:rsidRPr="00903EED">
        <w:softHyphen/>
        <w:t>sionstillskottet med 6 000 kr för 2002. Från och med 2003 när det nya pe</w:t>
      </w:r>
      <w:r w:rsidRPr="00903EED">
        <w:t>n</w:t>
      </w:r>
      <w:r w:rsidRPr="00903EED">
        <w:t>sionssystemet träder i kraft föreslås dessutom att grundpensionen höjs med 6 000 kr.</w:t>
      </w:r>
    </w:p>
    <w:p w:rsidR="00F047E9" w:rsidRPr="00903EED" w:rsidRDefault="00F047E9">
      <w:pPr>
        <w:pStyle w:val="Normaltindrag"/>
      </w:pPr>
      <w:r w:rsidRPr="00903EED">
        <w:t>Centerpartiet föreslår i motion Fi19 yrkande 4 att ramen ökas i förhållande till regeringens förslag med 790 miljoner kronor för 2002, med 380 miljo</w:t>
      </w:r>
      <w:r w:rsidRPr="00903EED">
        <w:softHyphen/>
        <w:t xml:space="preserve">ner kronor för 2003 samt med 380 miljoner kronor för 2004. </w:t>
      </w:r>
    </w:p>
    <w:p w:rsidR="00F047E9" w:rsidRPr="00903EED" w:rsidRDefault="00F047E9">
      <w:pPr>
        <w:pStyle w:val="R4"/>
      </w:pPr>
      <w:r w:rsidRPr="00903EED">
        <w:t>Folkpartiet</w:t>
      </w:r>
    </w:p>
    <w:p w:rsidR="00F047E9" w:rsidRPr="00903EED" w:rsidRDefault="00F047E9">
      <w:r w:rsidRPr="00903EED">
        <w:t>Folkpartiet anser att inkomstprövningen av änkepensionerna måste tas bort och att tiden för omställningspensionen bör förlängas till tolv månader.</w:t>
      </w:r>
    </w:p>
    <w:p w:rsidR="00F047E9" w:rsidRPr="00903EED" w:rsidRDefault="00F047E9">
      <w:pPr>
        <w:pStyle w:val="Normaltindrag"/>
      </w:pPr>
      <w:r w:rsidRPr="00903EED">
        <w:t>Folkpartiet föreslår i motion Fi20 yrkande 4 att ramen ökas i förhållande till regeringens förslag med 970 miljoner kronor för 2002, med 1 210 mi</w:t>
      </w:r>
      <w:r w:rsidRPr="00903EED">
        <w:t>l</w:t>
      </w:r>
      <w:r w:rsidRPr="00903EED">
        <w:softHyphen/>
        <w:t xml:space="preserve">joner kronor för 2003 samt med 1 350 miljoner kronor för 2004. </w:t>
      </w:r>
    </w:p>
    <w:p w:rsidR="00F047E9" w:rsidRPr="00903EED" w:rsidRDefault="00F047E9">
      <w:pPr>
        <w:pStyle w:val="R3"/>
      </w:pPr>
      <w:r w:rsidRPr="00903EED">
        <w:t>Utskottet</w:t>
      </w:r>
    </w:p>
    <w:p w:rsidR="00F047E9" w:rsidRPr="00903EED" w:rsidRDefault="00F047E9">
      <w:r w:rsidRPr="00903EED">
        <w:t>Förslag till preliminär ram för åren 2002, 2003 och 2004, miljoner kronor</w:t>
      </w:r>
    </w:p>
    <w:p w:rsidR="00F047E9" w:rsidRPr="00903EED" w:rsidRDefault="00F047E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33"/>
        <w:gridCol w:w="301"/>
        <w:gridCol w:w="900"/>
        <w:gridCol w:w="801"/>
        <w:gridCol w:w="851"/>
        <w:gridCol w:w="425"/>
      </w:tblGrid>
      <w:tr w:rsidR="00000000" w:rsidRPr="00903EED">
        <w:tblPrEx>
          <w:tblCellMar>
            <w:top w:w="0" w:type="dxa"/>
            <w:bottom w:w="0" w:type="dxa"/>
          </w:tblCellMar>
        </w:tblPrEx>
        <w:trPr>
          <w:trHeight w:hRule="exact" w:val="320"/>
        </w:trPr>
        <w:tc>
          <w:tcPr>
            <w:tcW w:w="637" w:type="dxa"/>
            <w:tcBorders>
              <w:top w:val="single" w:sz="4" w:space="0" w:color="auto"/>
              <w:bottom w:val="single" w:sz="4" w:space="0" w:color="auto"/>
            </w:tcBorders>
          </w:tcPr>
          <w:p w:rsidR="00F047E9" w:rsidRPr="00903EED" w:rsidRDefault="00F047E9">
            <w:pPr>
              <w:pStyle w:val="Normaltindrag"/>
              <w:ind w:firstLine="0"/>
            </w:pPr>
            <w:r w:rsidRPr="00903EED">
              <w:t>År</w:t>
            </w:r>
          </w:p>
          <w:p w:rsidR="00F047E9" w:rsidRPr="00903EED" w:rsidRDefault="00F047E9">
            <w:pPr>
              <w:pStyle w:val="Normaltindrag"/>
              <w:ind w:firstLine="0"/>
            </w:pPr>
            <w:r w:rsidRPr="00903EED">
              <w:t>År</w:t>
            </w:r>
          </w:p>
        </w:tc>
        <w:tc>
          <w:tcPr>
            <w:tcW w:w="1134" w:type="dxa"/>
            <w:tcBorders>
              <w:top w:val="single" w:sz="4" w:space="0" w:color="auto"/>
              <w:bottom w:val="single" w:sz="4" w:space="0" w:color="auto"/>
            </w:tcBorders>
          </w:tcPr>
          <w:p w:rsidR="00F047E9" w:rsidRPr="00903EED" w:rsidRDefault="00F047E9">
            <w:pPr>
              <w:pStyle w:val="Normaltindrag"/>
              <w:ind w:firstLine="0"/>
              <w:jc w:val="right"/>
            </w:pPr>
            <w:r w:rsidRPr="00903EED">
              <w:t>Regeringen</w:t>
            </w:r>
          </w:p>
        </w:tc>
        <w:tc>
          <w:tcPr>
            <w:tcW w:w="833" w:type="dxa"/>
            <w:tcBorders>
              <w:top w:val="single" w:sz="4" w:space="0" w:color="auto"/>
              <w:bottom w:val="single" w:sz="4" w:space="0" w:color="auto"/>
            </w:tcBorders>
          </w:tcPr>
          <w:p w:rsidR="00F047E9" w:rsidRPr="00903EED" w:rsidRDefault="00F047E9">
            <w:pPr>
              <w:pStyle w:val="Normaltindrag"/>
              <w:ind w:firstLine="0"/>
              <w:jc w:val="right"/>
            </w:pPr>
            <w:r w:rsidRPr="00903EED">
              <w:t>m</w:t>
            </w:r>
          </w:p>
        </w:tc>
        <w:tc>
          <w:tcPr>
            <w:tcW w:w="301" w:type="dxa"/>
            <w:tcBorders>
              <w:top w:val="single" w:sz="4" w:space="0" w:color="auto"/>
              <w:bottom w:val="single" w:sz="4" w:space="0" w:color="auto"/>
            </w:tcBorders>
          </w:tcPr>
          <w:p w:rsidR="00F047E9" w:rsidRPr="00903EED" w:rsidRDefault="00F047E9">
            <w:pPr>
              <w:pStyle w:val="Normaltindrag"/>
              <w:ind w:firstLine="0"/>
              <w:jc w:val="right"/>
            </w:pPr>
            <w:r w:rsidRPr="00903EED">
              <w:t>v</w:t>
            </w:r>
          </w:p>
        </w:tc>
        <w:tc>
          <w:tcPr>
            <w:tcW w:w="900" w:type="dxa"/>
            <w:tcBorders>
              <w:top w:val="single" w:sz="4" w:space="0" w:color="auto"/>
              <w:bottom w:val="single" w:sz="4" w:space="0" w:color="auto"/>
            </w:tcBorders>
          </w:tcPr>
          <w:p w:rsidR="00F047E9" w:rsidRPr="00903EED" w:rsidRDefault="00F047E9">
            <w:pPr>
              <w:pStyle w:val="Normaltindrag"/>
              <w:ind w:firstLine="0"/>
              <w:jc w:val="right"/>
            </w:pPr>
            <w:r w:rsidRPr="00903EED">
              <w:t>kd</w:t>
            </w:r>
          </w:p>
        </w:tc>
        <w:tc>
          <w:tcPr>
            <w:tcW w:w="801" w:type="dxa"/>
            <w:tcBorders>
              <w:top w:val="single" w:sz="4" w:space="0" w:color="auto"/>
              <w:bottom w:val="single" w:sz="4" w:space="0" w:color="auto"/>
            </w:tcBorders>
          </w:tcPr>
          <w:p w:rsidR="00F047E9" w:rsidRPr="00903EED" w:rsidRDefault="00F047E9">
            <w:pPr>
              <w:pStyle w:val="Normaltindrag"/>
              <w:ind w:firstLine="0"/>
              <w:jc w:val="right"/>
            </w:pPr>
            <w:r w:rsidRPr="00903EED">
              <w:t>c</w:t>
            </w:r>
          </w:p>
        </w:tc>
        <w:tc>
          <w:tcPr>
            <w:tcW w:w="851" w:type="dxa"/>
            <w:tcBorders>
              <w:top w:val="single" w:sz="4" w:space="0" w:color="auto"/>
              <w:bottom w:val="single" w:sz="4" w:space="0" w:color="auto"/>
            </w:tcBorders>
          </w:tcPr>
          <w:p w:rsidR="00F047E9" w:rsidRPr="00903EED" w:rsidRDefault="00F047E9">
            <w:pPr>
              <w:pStyle w:val="Normaltindrag"/>
              <w:ind w:firstLine="0"/>
              <w:jc w:val="right"/>
            </w:pPr>
            <w:r w:rsidRPr="00903EED">
              <w:t>fp</w:t>
            </w:r>
          </w:p>
        </w:tc>
        <w:tc>
          <w:tcPr>
            <w:tcW w:w="425" w:type="dxa"/>
            <w:tcBorders>
              <w:top w:val="single" w:sz="4" w:space="0" w:color="auto"/>
              <w:bottom w:val="single" w:sz="4" w:space="0" w:color="auto"/>
            </w:tcBorders>
          </w:tcPr>
          <w:p w:rsidR="00F047E9" w:rsidRPr="00903EED" w:rsidRDefault="00F047E9">
            <w:pPr>
              <w:pStyle w:val="Normaltindrag"/>
              <w:ind w:firstLine="0"/>
            </w:pPr>
            <w:r w:rsidRPr="00903EED">
              <w:t>Mp</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2002</w:t>
            </w:r>
          </w:p>
        </w:tc>
        <w:tc>
          <w:tcPr>
            <w:tcW w:w="1134" w:type="dxa"/>
          </w:tcPr>
          <w:p w:rsidR="00F047E9" w:rsidRPr="00903EED" w:rsidRDefault="00F047E9">
            <w:pPr>
              <w:pStyle w:val="Normaltindrag"/>
              <w:ind w:firstLine="0"/>
              <w:jc w:val="right"/>
            </w:pPr>
            <w:r w:rsidRPr="00903EED">
              <w:t>33 241</w:t>
            </w:r>
          </w:p>
        </w:tc>
        <w:tc>
          <w:tcPr>
            <w:tcW w:w="833" w:type="dxa"/>
          </w:tcPr>
          <w:p w:rsidR="00F047E9" w:rsidRPr="00903EED" w:rsidRDefault="00F047E9">
            <w:pPr>
              <w:pStyle w:val="Normaltindrag"/>
              <w:ind w:firstLine="0"/>
              <w:jc w:val="right"/>
            </w:pPr>
            <w:r w:rsidRPr="00903EED">
              <w:t>+ 180</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+ 1 920</w:t>
            </w:r>
          </w:p>
        </w:tc>
        <w:tc>
          <w:tcPr>
            <w:tcW w:w="801" w:type="dxa"/>
          </w:tcPr>
          <w:p w:rsidR="00F047E9" w:rsidRPr="00903EED" w:rsidRDefault="00F047E9">
            <w:pPr>
              <w:pStyle w:val="Normaltindrag"/>
              <w:ind w:firstLine="0"/>
              <w:jc w:val="right"/>
            </w:pPr>
            <w:r w:rsidRPr="00903EED">
              <w:t>+ 790</w:t>
            </w:r>
          </w:p>
        </w:tc>
        <w:tc>
          <w:tcPr>
            <w:tcW w:w="851" w:type="dxa"/>
          </w:tcPr>
          <w:p w:rsidR="00F047E9" w:rsidRPr="00903EED" w:rsidRDefault="00F047E9">
            <w:pPr>
              <w:pStyle w:val="Normaltindrag"/>
              <w:ind w:firstLine="0"/>
              <w:jc w:val="right"/>
            </w:pPr>
            <w:r w:rsidRPr="00903EED">
              <w:t>+ 970</w:t>
            </w:r>
          </w:p>
        </w:tc>
        <w:tc>
          <w:tcPr>
            <w:tcW w:w="425" w:type="dxa"/>
          </w:tcPr>
          <w:p w:rsidR="00F047E9" w:rsidRPr="00903EED" w:rsidRDefault="00F047E9">
            <w:pPr>
              <w:pStyle w:val="Normaltindrag"/>
              <w:ind w:firstLine="0"/>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2003</w:t>
            </w:r>
          </w:p>
        </w:tc>
        <w:tc>
          <w:tcPr>
            <w:tcW w:w="1134" w:type="dxa"/>
          </w:tcPr>
          <w:p w:rsidR="00F047E9" w:rsidRPr="00903EED" w:rsidRDefault="00F047E9">
            <w:pPr>
              <w:pStyle w:val="Normaltindrag"/>
              <w:ind w:firstLine="0"/>
              <w:jc w:val="right"/>
            </w:pPr>
            <w:r w:rsidRPr="00903EED">
              <w:t>51 615</w:t>
            </w:r>
          </w:p>
        </w:tc>
        <w:tc>
          <w:tcPr>
            <w:tcW w:w="833" w:type="dxa"/>
          </w:tcPr>
          <w:p w:rsidR="00F047E9" w:rsidRPr="00903EED" w:rsidRDefault="00F047E9">
            <w:pPr>
              <w:pStyle w:val="Normaltindrag"/>
              <w:ind w:firstLine="0"/>
              <w:jc w:val="right"/>
            </w:pPr>
            <w:r w:rsidRPr="00903EED">
              <w:t>+ 580</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+ 1 213</w:t>
            </w:r>
          </w:p>
        </w:tc>
        <w:tc>
          <w:tcPr>
            <w:tcW w:w="801" w:type="dxa"/>
          </w:tcPr>
          <w:p w:rsidR="00F047E9" w:rsidRPr="00903EED" w:rsidRDefault="00F047E9">
            <w:pPr>
              <w:pStyle w:val="Normaltindrag"/>
              <w:ind w:firstLine="0"/>
              <w:jc w:val="right"/>
            </w:pPr>
            <w:r w:rsidRPr="00903EED">
              <w:t>+ 380</w:t>
            </w:r>
          </w:p>
        </w:tc>
        <w:tc>
          <w:tcPr>
            <w:tcW w:w="851" w:type="dxa"/>
          </w:tcPr>
          <w:p w:rsidR="00F047E9" w:rsidRPr="00903EED" w:rsidRDefault="00F047E9">
            <w:pPr>
              <w:pStyle w:val="Normaltindrag"/>
              <w:ind w:firstLine="0"/>
              <w:jc w:val="right"/>
            </w:pPr>
            <w:r w:rsidRPr="00903EED">
              <w:t>+ 1 210</w:t>
            </w:r>
          </w:p>
        </w:tc>
        <w:tc>
          <w:tcPr>
            <w:tcW w:w="425" w:type="dxa"/>
          </w:tcPr>
          <w:p w:rsidR="00F047E9" w:rsidRPr="00903EED" w:rsidRDefault="00F047E9">
            <w:pPr>
              <w:pStyle w:val="Normaltindrag"/>
              <w:ind w:firstLine="0"/>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2004</w:t>
            </w:r>
          </w:p>
        </w:tc>
        <w:tc>
          <w:tcPr>
            <w:tcW w:w="1134" w:type="dxa"/>
          </w:tcPr>
          <w:p w:rsidR="00F047E9" w:rsidRPr="00903EED" w:rsidRDefault="00F047E9">
            <w:pPr>
              <w:pStyle w:val="Normaltindrag"/>
              <w:ind w:firstLine="0"/>
              <w:jc w:val="right"/>
            </w:pPr>
            <w:r w:rsidRPr="00903EED">
              <w:t>51 201</w:t>
            </w:r>
          </w:p>
        </w:tc>
        <w:tc>
          <w:tcPr>
            <w:tcW w:w="833" w:type="dxa"/>
          </w:tcPr>
          <w:p w:rsidR="00F047E9" w:rsidRPr="00903EED" w:rsidRDefault="00F047E9">
            <w:pPr>
              <w:pStyle w:val="Normaltindrag"/>
              <w:ind w:firstLine="0"/>
              <w:jc w:val="right"/>
            </w:pPr>
            <w:r w:rsidRPr="00903EED">
              <w:t>+ 880</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+ 1 320</w:t>
            </w:r>
          </w:p>
        </w:tc>
        <w:tc>
          <w:tcPr>
            <w:tcW w:w="801" w:type="dxa"/>
          </w:tcPr>
          <w:p w:rsidR="00F047E9" w:rsidRPr="00903EED" w:rsidRDefault="00F047E9">
            <w:pPr>
              <w:pStyle w:val="Normaltindrag"/>
              <w:ind w:firstLine="0"/>
              <w:jc w:val="right"/>
            </w:pPr>
            <w:r w:rsidRPr="00903EED">
              <w:t>+ 380</w:t>
            </w:r>
          </w:p>
        </w:tc>
        <w:tc>
          <w:tcPr>
            <w:tcW w:w="851" w:type="dxa"/>
          </w:tcPr>
          <w:p w:rsidR="00F047E9" w:rsidRPr="00903EED" w:rsidRDefault="00F047E9">
            <w:pPr>
              <w:pStyle w:val="Normaltindrag"/>
              <w:ind w:firstLine="0"/>
              <w:jc w:val="right"/>
            </w:pPr>
            <w:r w:rsidRPr="00903EED">
              <w:t>+ 1 350</w:t>
            </w:r>
          </w:p>
        </w:tc>
        <w:tc>
          <w:tcPr>
            <w:tcW w:w="425" w:type="dxa"/>
          </w:tcPr>
          <w:p w:rsidR="00F047E9" w:rsidRPr="00903EED" w:rsidRDefault="00F047E9">
            <w:pPr>
              <w:pStyle w:val="Normaltindrag"/>
              <w:ind w:firstLine="0"/>
            </w:pPr>
            <w:r w:rsidRPr="00903EED">
              <w:t>–</w:t>
            </w:r>
          </w:p>
        </w:tc>
      </w:tr>
    </w:tbl>
    <w:p w:rsidR="00F047E9" w:rsidRPr="00903EED" w:rsidRDefault="00F047E9">
      <w:pPr>
        <w:pStyle w:val="Normaltindrag"/>
        <w:ind w:firstLine="0"/>
      </w:pPr>
    </w:p>
    <w:p w:rsidR="00F047E9" w:rsidRPr="00903EED" w:rsidRDefault="00F047E9">
      <w:r w:rsidRPr="00903EED">
        <w:t>Bland annat äldre invandrare som inte uppfyller bosättningskravet för svensk folk</w:t>
      </w:r>
      <w:r w:rsidRPr="00903EED">
        <w:softHyphen/>
        <w:t>pension är som regeringen påpekar hänvisade till ekonomiskt bistånd för sin försörjning. Utskottet har efterlyst en lösning på proble</w:t>
      </w:r>
      <w:r w:rsidRPr="00903EED">
        <w:softHyphen/>
        <w:t>met alltsedan 1992/93 års riksmöte, då riksdagen gjorde ett tillkän</w:t>
      </w:r>
      <w:r w:rsidRPr="00903EED">
        <w:softHyphen/>
        <w:t>nagivande om att det fanns anledning för regeringen att närmare utreda de problem som fanns och kunde uppkomma i framtiden när det gällde försörj</w:t>
      </w:r>
      <w:r w:rsidRPr="00903EED">
        <w:softHyphen/>
        <w:t>ningen av dessa personer (bet. 1992/93:SfU4). Utskottet ser därför positivt på regeringens avsikt att nu i en särskild proposition föreslå att i Sverige bosatta pe</w:t>
      </w:r>
      <w:r w:rsidRPr="00903EED">
        <w:t>rsoner som är 65 år eller äldre skall garanteras en viss lägsta levnadsnivå i form av ett äldrefö</w:t>
      </w:r>
      <w:r w:rsidRPr="00903EED">
        <w:t>r</w:t>
      </w:r>
      <w:r w:rsidRPr="00903EED">
        <w:t>sörj</w:t>
      </w:r>
      <w:r w:rsidRPr="00903EED">
        <w:softHyphen/>
        <w:t>ning</w:t>
      </w:r>
      <w:r w:rsidRPr="00903EED">
        <w:t>s</w:t>
      </w:r>
      <w:r w:rsidRPr="00903EED">
        <w:t xml:space="preserve">stöd. </w:t>
      </w:r>
    </w:p>
    <w:p w:rsidR="00F047E9" w:rsidRPr="00903EED" w:rsidRDefault="00F047E9">
      <w:pPr>
        <w:pStyle w:val="Normaltindrag"/>
      </w:pPr>
      <w:r w:rsidRPr="00903EED">
        <w:t>Utskottet välkomnar också regeringens förslag till ytterligare förbättringar inom bostadstillägget för pensionärer.</w:t>
      </w:r>
    </w:p>
    <w:p w:rsidR="00F047E9" w:rsidRPr="00903EED" w:rsidRDefault="00F047E9">
      <w:pPr>
        <w:pStyle w:val="Normaltindrag"/>
      </w:pPr>
      <w:r w:rsidRPr="00903EED">
        <w:t>När det gäller inkomstprövningen av änkepensioner vill utskottet peka på att regeringen i fjolårets ekonomiska vårproposition (prop. 1999/2000:100) uppgav att utgiftsområdet skulle tillföras 30 miljoner kronor för att göra in</w:t>
      </w:r>
      <w:r w:rsidRPr="00903EED">
        <w:softHyphen/>
        <w:t>komstprövningen av dessa pensioner generösare och enklare. I budgetprop</w:t>
      </w:r>
      <w:r w:rsidRPr="00903EED">
        <w:t>o</w:t>
      </w:r>
      <w:r w:rsidRPr="00903EED">
        <w:softHyphen/>
        <w:t>sitionen för 2001 anges vidare att den närmare utformningen skall beredas i samband med arbetet om ett nytt system för bostadsstöd till pensionärer och förslag läggas fram under 2001. Vidare vill utskottet peka på att riksdagen tidigare har beslutat att om</w:t>
      </w:r>
      <w:r w:rsidRPr="00903EED">
        <w:softHyphen/>
        <w:t xml:space="preserve">ställningspensionen skall förlängas från sex till tio månader fr.o.m. 2003 och att regeringen har för avsikt att återkomma med förslag som förlänger omställningspensionen till tolv </w:t>
      </w:r>
      <w:r w:rsidRPr="00903EED">
        <w:t>månader 2005 (prop. 1999/2000:91, bet. 1999/2000:SfU13, rskr. 1999/2000:235). Vidare förutsä</w:t>
      </w:r>
      <w:r w:rsidRPr="00903EED">
        <w:t>t</w:t>
      </w:r>
      <w:r w:rsidRPr="00903EED">
        <w:t>ter utskottet i betän</w:t>
      </w:r>
      <w:r w:rsidRPr="00903EED">
        <w:softHyphen/>
        <w:t>kandet (s. 28) att regeringen återkommer med förslag till riksdagen om det visar sig ekonomiskt möjligt att tidigarelägga den aviserade förlängningen av den inledande omställn</w:t>
      </w:r>
      <w:r w:rsidRPr="00903EED">
        <w:t>i</w:t>
      </w:r>
      <w:r w:rsidRPr="00903EED">
        <w:t>ngspensionen till tolv månader.</w:t>
      </w:r>
    </w:p>
    <w:p w:rsidR="00F047E9" w:rsidRPr="00903EED" w:rsidRDefault="00F047E9">
      <w:pPr>
        <w:pStyle w:val="Normaltindrag"/>
      </w:pPr>
      <w:r w:rsidRPr="00903EED">
        <w:t>Med det anförda tillstyrker utskottet regeringens förslag till preliminära ramar för budgetåren 2002, 2003 och 2004 och avstyrker motionerna Fi17, Fi18, Fi19 och Fi20 i dessa delar.</w:t>
      </w:r>
    </w:p>
    <w:p w:rsidR="00F047E9" w:rsidRPr="00903EED" w:rsidRDefault="00F047E9">
      <w:pPr>
        <w:pStyle w:val="R2"/>
      </w:pPr>
      <w:r w:rsidRPr="00903EED">
        <w:t>Utgiftsområde 12 Ekonomisk trygghet för familjer och barn</w:t>
      </w:r>
    </w:p>
    <w:p w:rsidR="00F047E9" w:rsidRPr="00903EED" w:rsidRDefault="00F047E9">
      <w:pPr>
        <w:pStyle w:val="R3"/>
        <w:spacing w:before="235"/>
      </w:pPr>
      <w:r w:rsidRPr="00903EED">
        <w:t>Propositionen</w:t>
      </w:r>
    </w:p>
    <w:p w:rsidR="00F047E9" w:rsidRPr="00903EED" w:rsidRDefault="00F047E9">
      <w:r w:rsidRPr="00903EED">
        <w:t>Utgiftsområdet omfattar politikområdet Ek</w:t>
      </w:r>
      <w:r w:rsidRPr="00903EED">
        <w:t>o</w:t>
      </w:r>
      <w:r w:rsidRPr="00903EED">
        <w:t>nomisk familjepolitik.</w:t>
      </w:r>
    </w:p>
    <w:p w:rsidR="00F047E9" w:rsidRPr="00903EED" w:rsidRDefault="00F047E9">
      <w:pPr>
        <w:pStyle w:val="Normaltindrag"/>
      </w:pPr>
      <w:r w:rsidRPr="00903EED">
        <w:t>Beräknade resurser för utgiftsområdet ökar med 714 miljoner kronor för 2002 och 862 miljoner kronor för 2003 i jämförelse med de beräknade ra</w:t>
      </w:r>
      <w:r w:rsidRPr="00903EED">
        <w:softHyphen/>
        <w:t>marna i budgetpropositionen för 2001. Ökningarna förklaras till större delen av högre utgifter för föräldraförsäkringen, vilket framför allt beror på ett högre antagande om antalet födda barn och den höjning av garanti</w:t>
      </w:r>
      <w:r w:rsidRPr="00903EED">
        <w:softHyphen/>
        <w:t>ersätt</w:t>
      </w:r>
      <w:r w:rsidRPr="00903EED">
        <w:softHyphen/>
        <w:t xml:space="preserve">ningen som regeringen föreslår i denna proposition. </w:t>
      </w:r>
    </w:p>
    <w:p w:rsidR="00F047E9" w:rsidRPr="00903EED" w:rsidRDefault="00F047E9">
      <w:pPr>
        <w:pStyle w:val="Normaltindrag"/>
      </w:pPr>
      <w:r w:rsidRPr="00903EED">
        <w:t>Regeringen föreslår en preliminär beräkning av ramen för utgiftsområdet för 2002 till 49 645 miljoner kronor, för 2003 till 51 619 miljoner kronor samt för 2004 till 52 529 miljoner kronor.</w:t>
      </w:r>
    </w:p>
    <w:p w:rsidR="00F047E9" w:rsidRPr="00903EED" w:rsidRDefault="00F047E9">
      <w:pPr>
        <w:pStyle w:val="Normaltindrag"/>
      </w:pPr>
      <w:r w:rsidRPr="00903EED">
        <w:t>Föräldrapenning enligt garantinivå utges till föräldrar som saknar inkomst, har låg inkomst eller inte uppfyller kvalifikationskraven inom föräldraförsä</w:t>
      </w:r>
      <w:r w:rsidRPr="00903EED">
        <w:t>k</w:t>
      </w:r>
      <w:r w:rsidRPr="00903EED">
        <w:softHyphen/>
        <w:t>ringen. Garantiersättningen har varit oförändrad sedan 1987 och uppgår till 60 kr per dag. Om hänsyn tas till inflation skulle garantinivån i dag uppgå till ca 95 kr. Regeringen avser att höja garantinivån i föräldraför</w:t>
      </w:r>
      <w:r w:rsidRPr="00903EED">
        <w:softHyphen/>
        <w:t>säkringen med 60 kr till 120 kr per dag fr.o.m. den 1 januari 2002. Vidare avser regeringen att höja garantinivån till 150 kr 2003 och till 180 kr per dag fr.o.m. 2004. Höjningen avser den del av försäkringen som utger ersättning motsvarande förälderns sjukpenninggrundande inkomst, dvs. 39</w:t>
      </w:r>
      <w:r w:rsidRPr="00903EED">
        <w:t>0 dagar fr.o.m. den 1 jan</w:t>
      </w:r>
      <w:r w:rsidRPr="00903EED">
        <w:t>u</w:t>
      </w:r>
      <w:r w:rsidRPr="00903EED">
        <w:t>ari 2002. I ramen för utgiftsområdet har utgift</w:t>
      </w:r>
      <w:r w:rsidRPr="00903EED">
        <w:softHyphen/>
        <w:t>sökningar i föräldra-försäkringen med anledning av höjningen av garantier</w:t>
      </w:r>
      <w:r w:rsidRPr="00903EED">
        <w:softHyphen/>
        <w:t>sättningen beaktats med 200 miljoner kronor 2002, 300 miljoner kronor 2003 och 400 miljoner kronor 2004.</w:t>
      </w:r>
    </w:p>
    <w:p w:rsidR="00F047E9" w:rsidRPr="00903EED" w:rsidRDefault="00F047E9">
      <w:pPr>
        <w:pStyle w:val="Normaltindrag"/>
      </w:pPr>
      <w:r w:rsidRPr="00903EED">
        <w:t>I dag uppgår inkomsttaket i föräldraförsäkringen till 7,5 prisbasbelopp, vil</w:t>
      </w:r>
      <w:r w:rsidRPr="00903EED">
        <w:softHyphen/>
        <w:t>ket motsvarar en månadslön på drygt 23 000 kr. Alltfler förvärvsarbe</w:t>
      </w:r>
      <w:r w:rsidRPr="00903EED">
        <w:softHyphen/>
        <w:t>tande har inkomster över inkomsttaket. Det är angeläget att bevara och ut</w:t>
      </w:r>
      <w:r w:rsidRPr="00903EED">
        <w:softHyphen/>
        <w:t>veckla den generella välfärden. Regeringen avser därför att se över ersätt</w:t>
      </w:r>
      <w:r w:rsidRPr="00903EED">
        <w:softHyphen/>
        <w:t>ningsnivåerna i socialförsäkringssystemet och återkomma till frågan i budget</w:t>
      </w:r>
      <w:r w:rsidRPr="00903EED">
        <w:softHyphen/>
        <w:t>propositionen för 2002.</w:t>
      </w:r>
    </w:p>
    <w:p w:rsidR="00F047E9" w:rsidRPr="00903EED" w:rsidRDefault="00F047E9">
      <w:pPr>
        <w:pStyle w:val="R3"/>
      </w:pPr>
      <w:r w:rsidRPr="00903EED">
        <w:t>Motionerna</w:t>
      </w:r>
    </w:p>
    <w:p w:rsidR="00F047E9" w:rsidRPr="00903EED" w:rsidRDefault="00F047E9">
      <w:pPr>
        <w:pStyle w:val="R4"/>
      </w:pPr>
      <w:r w:rsidRPr="00903EED">
        <w:t>Moderaterna</w:t>
      </w:r>
    </w:p>
    <w:p w:rsidR="00F047E9" w:rsidRPr="00903EED" w:rsidRDefault="00F047E9">
      <w:r w:rsidRPr="00903EED">
        <w:t>Moderaterna vill öka möjligheten för föräldrar att mer fritt disponera de ska</w:t>
      </w:r>
      <w:r w:rsidRPr="00903EED">
        <w:t>t</w:t>
      </w:r>
      <w:r w:rsidRPr="00903EED">
        <w:softHyphen/>
        <w:t>tepengar som i dag används för att stödja barnfamiljerna på olika sätt. Mod</w:t>
      </w:r>
      <w:r w:rsidRPr="00903EED">
        <w:t>e</w:t>
      </w:r>
      <w:r w:rsidRPr="00903EED">
        <w:softHyphen/>
        <w:t>raterna föreslår därför att ett särskilt barnomsorgskonto inrättas för barn i förskoleåldern fr.o.m. den 1 januari 2002. Moderaterna föreslår vidare att en avdragsrätt på 50 000 kr per barn och år införs vad beträffar styrkta barno</w:t>
      </w:r>
      <w:r w:rsidRPr="00903EED">
        <w:t>m</w:t>
      </w:r>
      <w:r w:rsidRPr="00903EED">
        <w:t>sorgskostnader.</w:t>
      </w:r>
    </w:p>
    <w:p w:rsidR="00F047E9" w:rsidRPr="00903EED" w:rsidRDefault="00F047E9">
      <w:pPr>
        <w:pStyle w:val="Normaltindrag"/>
      </w:pPr>
      <w:r w:rsidRPr="00903EED">
        <w:t>Moderaterna avvisar regeringens förslag till en extra månad i föräldrafö</w:t>
      </w:r>
      <w:r w:rsidRPr="00903EED">
        <w:t>r</w:t>
      </w:r>
      <w:r w:rsidRPr="00903EED">
        <w:softHyphen/>
        <w:t>säkringen. Förslaget att återinföra kontaktdagarna i skolan avvisas eftersom detta är en pekpinne för föräldrarnas disposition av ledighet. Moderaterna anser vidare att kompensationsnivån i föräldraförsäkringen skall vara 75 % och att taket skall indexeras genom inkomstbasbeloppet i stället för prisba</w:t>
      </w:r>
      <w:r w:rsidRPr="00903EED">
        <w:t>s</w:t>
      </w:r>
      <w:r w:rsidRPr="00903EED">
        <w:softHyphen/>
        <w:t>beloppet. Vidare föreslår Moderaterna att underhållsstödet ersätts med ett ensamståendestöd. Förslaget innebär att stödet behovsprövas i förhållande till både underhålls- och boförälderns inkomst. Vidare an</w:t>
      </w:r>
      <w:r w:rsidRPr="00903EED">
        <w:t xml:space="preserve">ser Moderaterna att bidraget för kostnader för internationella adoptioner skall höjas till maximalt 55 000 kr. </w:t>
      </w:r>
    </w:p>
    <w:p w:rsidR="00F047E9" w:rsidRPr="00903EED" w:rsidRDefault="00F047E9">
      <w:pPr>
        <w:pStyle w:val="Normaltindrag"/>
      </w:pPr>
      <w:r w:rsidRPr="00903EED">
        <w:t>Moderaterna föreslår i motion Fi17 yrkande 5 att ramen ökas i förhållande till regeringens förslag med 158 miljoner kronor för 2002, och med 8 miljoner kronor för 2003 samt minskas med 92 miljoner kronor för 2004.</w:t>
      </w:r>
    </w:p>
    <w:p w:rsidR="00F047E9" w:rsidRPr="00903EED" w:rsidRDefault="00F047E9">
      <w:pPr>
        <w:pStyle w:val="Normaltindrag"/>
      </w:pPr>
      <w:r w:rsidRPr="00903EED">
        <w:t>I motion Fi17 yrkande 15 begärs ett tillkännagivande om behovet av en politik som gör det lättare att förena arbete och familj.</w:t>
      </w:r>
    </w:p>
    <w:p w:rsidR="00F047E9" w:rsidRPr="00903EED" w:rsidRDefault="00F047E9">
      <w:pPr>
        <w:pStyle w:val="Normaltindrag"/>
      </w:pPr>
      <w:r w:rsidRPr="00903EED">
        <w:t>I motion Fi33 begärs att riksdagen beslutar att arbetet genast inleds för att förändra familjepolitiken på ett sätt som är mera rättvist och inriktat på att stödja familjernas egna val.</w:t>
      </w:r>
    </w:p>
    <w:p w:rsidR="00F047E9" w:rsidRPr="00903EED" w:rsidRDefault="00F047E9">
      <w:pPr>
        <w:pStyle w:val="R4"/>
      </w:pPr>
      <w:r w:rsidRPr="00903EED">
        <w:t>Kristdemokaraterna</w:t>
      </w:r>
    </w:p>
    <w:p w:rsidR="00F047E9" w:rsidRPr="00903EED" w:rsidRDefault="00F047E9">
      <w:r w:rsidRPr="00903EED">
        <w:t>Kristdemokraterna betonar familjens rätt att avgöra barnomsorgsform inkl</w:t>
      </w:r>
      <w:r w:rsidRPr="00903EED">
        <w:t>u</w:t>
      </w:r>
      <w:r w:rsidRPr="00903EED">
        <w:softHyphen/>
        <w:t>sive egen omsorg i hemmet och hänvisar till det alternativ till maxtaxereform som partiet lagt fram tillsammans med Moderaterna, Centerpartiet och Fol</w:t>
      </w:r>
      <w:r w:rsidRPr="00903EED">
        <w:t>k</w:t>
      </w:r>
      <w:r w:rsidRPr="00903EED">
        <w:softHyphen/>
        <w:t>partiet. Kristdemokraterna föreslår att garantinivån i föräldraförsäkringen skall höjas i två steg till 200 kr per dag 2004.</w:t>
      </w:r>
    </w:p>
    <w:p w:rsidR="00F047E9" w:rsidRPr="00903EED" w:rsidRDefault="00F047E9">
      <w:pPr>
        <w:pStyle w:val="Normaltindrag"/>
      </w:pPr>
      <w:r w:rsidRPr="00903EED">
        <w:t>Kristdemokraterna välkomnar regeringens förslag att återinföra kontaktd</w:t>
      </w:r>
      <w:r w:rsidRPr="00903EED">
        <w:t>a</w:t>
      </w:r>
      <w:r w:rsidRPr="00903EED">
        <w:softHyphen/>
        <w:t>garna i föräldraförsäkringen men anser att föräldrar från 2002 skall ges mö</w:t>
      </w:r>
      <w:r w:rsidRPr="00903EED">
        <w:t>j</w:t>
      </w:r>
      <w:r w:rsidRPr="00903EED">
        <w:t>lighet att ta ut två kontaktdagar per barn och år för barn mellan fyra och tolv år. Från 2004 skall denna möjlighet ges vad beträffar barn mellan fyra och femton år.</w:t>
      </w:r>
    </w:p>
    <w:p w:rsidR="00F047E9" w:rsidRPr="00903EED" w:rsidRDefault="00F047E9">
      <w:pPr>
        <w:pStyle w:val="Normaltindrag"/>
      </w:pPr>
      <w:r w:rsidRPr="00903EED">
        <w:t>Vidare föreslår Kristdemokraterna att SGI skall beräknas på snittinkom</w:t>
      </w:r>
      <w:r w:rsidRPr="00903EED">
        <w:t>s</w:t>
      </w:r>
      <w:r w:rsidRPr="00903EED">
        <w:softHyphen/>
        <w:t>ten under de senaste två åren samt att skattepliktiga förmåner och semestere</w:t>
      </w:r>
      <w:r w:rsidRPr="00903EED">
        <w:t>r</w:t>
      </w:r>
      <w:r w:rsidRPr="00903EED">
        <w:softHyphen/>
        <w:t xml:space="preserve">sättning skall vara SGI-grundande. </w:t>
      </w:r>
    </w:p>
    <w:p w:rsidR="00F047E9" w:rsidRPr="00903EED" w:rsidRDefault="00F047E9">
      <w:pPr>
        <w:pStyle w:val="Normaltindrag"/>
      </w:pPr>
      <w:r w:rsidRPr="00903EED">
        <w:t>Kristdemokraterna föreslår i motion Fi18 yrkande 7 att ramen ökas i fö</w:t>
      </w:r>
      <w:r w:rsidRPr="00903EED">
        <w:t>r</w:t>
      </w:r>
      <w:r w:rsidRPr="00903EED">
        <w:softHyphen/>
        <w:t>hållande till regeringens förslag med 641 miljoner kronor för 2002, med 301 miljoner kronor för 2003 samt med 451 miljoner kronor för 2004.</w:t>
      </w:r>
    </w:p>
    <w:p w:rsidR="00F047E9" w:rsidRPr="00903EED" w:rsidRDefault="00F047E9">
      <w:pPr>
        <w:pStyle w:val="R4"/>
      </w:pPr>
      <w:r w:rsidRPr="00903EED">
        <w:t>Centerpartiet</w:t>
      </w:r>
    </w:p>
    <w:p w:rsidR="00F047E9" w:rsidRPr="00903EED" w:rsidRDefault="00F047E9">
      <w:r w:rsidRPr="00903EED">
        <w:t>Centerpartiet vill förnya familjepolitiken så att den utgår från barnens och familjernas behov. Ett barnomsorgskonto i kombination med avdragsrätt för styrkta barnomsorgskostnader bör införas. Föräldrarna skall ges möjlighet att använda medlen för att kunna minska sin arbetstid, delta i förskolans aktivi</w:t>
      </w:r>
      <w:r w:rsidRPr="00903EED">
        <w:softHyphen/>
        <w:t>teter, k</w:t>
      </w:r>
      <w:r w:rsidRPr="00903EED">
        <w:t>ö</w:t>
      </w:r>
      <w:r w:rsidRPr="00903EED">
        <w:t>pa barnomsorgstjänster m.m.</w:t>
      </w:r>
    </w:p>
    <w:p w:rsidR="00F047E9" w:rsidRPr="00903EED" w:rsidRDefault="00F047E9">
      <w:pPr>
        <w:pStyle w:val="Normaltindrag"/>
      </w:pPr>
      <w:r w:rsidRPr="00903EED">
        <w:t xml:space="preserve">Centerpartiet vill höja garantinivån i föräldraförsäkringen från 60 till 200 kr per dag under de första 390 dagarna. Vidare föreslår Centerpartiet att SGI skall beräknas på historisk inkomst, varmed utgifterna minskar med 710 miljoner kronor. Slutligen avvisar Centerpartiet regeringens förslag om en extra mamma/pappamånad. </w:t>
      </w:r>
    </w:p>
    <w:p w:rsidR="00F047E9" w:rsidRPr="00903EED" w:rsidRDefault="00F047E9">
      <w:pPr>
        <w:pStyle w:val="Normaltindrag"/>
      </w:pPr>
      <w:r w:rsidRPr="00903EED">
        <w:t>Centerpartiet föreslår i motion Fi19 yrkande 4 att ramen ökas i förhållande till regeringens förslag med 1 520 miljoner kronor för 2002, med 1 410 milj</w:t>
      </w:r>
      <w:r w:rsidRPr="00903EED">
        <w:t>o</w:t>
      </w:r>
      <w:r w:rsidRPr="00903EED">
        <w:t>ner kronor för 2003 samt med 1 300 miljoner kronor för 2004.</w:t>
      </w:r>
    </w:p>
    <w:p w:rsidR="00F047E9" w:rsidRPr="00903EED" w:rsidRDefault="00F047E9">
      <w:pPr>
        <w:pStyle w:val="Normaltindrag"/>
      </w:pPr>
      <w:r w:rsidRPr="00903EED">
        <w:t>I motion Fi19 yrkande 13 begärs ett tillkännagivande om familjepolitiken.</w:t>
      </w:r>
    </w:p>
    <w:p w:rsidR="00F047E9" w:rsidRPr="00903EED" w:rsidRDefault="00F047E9">
      <w:pPr>
        <w:pStyle w:val="R4"/>
      </w:pPr>
      <w:r w:rsidRPr="00903EED">
        <w:t>Folkpartiet</w:t>
      </w:r>
    </w:p>
    <w:p w:rsidR="00F047E9" w:rsidRPr="00903EED" w:rsidRDefault="00F047E9">
      <w:r w:rsidRPr="00903EED">
        <w:t>Folkpartiet vill genomföra en familjepolitisk reform som ger mera makt och marginaler i barnfamiljernas vardag. Ett barnomsorgskonto med avdragsrätt för styrkta barnomsorgskostnader upp till 50 000 kronor bör införas. Etabl</w:t>
      </w:r>
      <w:r w:rsidRPr="00903EED">
        <w:t>e</w:t>
      </w:r>
      <w:r w:rsidRPr="00903EED">
        <w:softHyphen/>
        <w:t>ringsfrihet för privata alternativ i barnomsorgen (barnomsorgspeng) garant</w:t>
      </w:r>
      <w:r w:rsidRPr="00903EED">
        <w:t>e</w:t>
      </w:r>
      <w:r w:rsidRPr="00903EED">
        <w:softHyphen/>
        <w:t>rar valfriheten mellan olika barnomsorgsformer med likvärdig kommunal subventionering.</w:t>
      </w:r>
    </w:p>
    <w:p w:rsidR="00F047E9" w:rsidRPr="00903EED" w:rsidRDefault="00F047E9">
      <w:pPr>
        <w:pStyle w:val="Normaltindrag"/>
      </w:pPr>
      <w:r w:rsidRPr="00903EED">
        <w:t>Folkpartiet föreslår vidare, för att öka jämställdheten och förbättra kvin</w:t>
      </w:r>
      <w:r w:rsidRPr="00903EED">
        <w:softHyphen/>
        <w:t>nors position på arbetsmarknaden, att ersättning under ma</w:t>
      </w:r>
      <w:r w:rsidRPr="00903EED">
        <w:t>m</w:t>
      </w:r>
      <w:r w:rsidRPr="00903EED">
        <w:t>ma/pappamånaden skall utgå med 90 % av den sjukpenninggrun</w:t>
      </w:r>
      <w:r w:rsidRPr="00903EED">
        <w:softHyphen/>
        <w:t>dande i</w:t>
      </w:r>
      <w:r w:rsidRPr="00903EED">
        <w:t>n</w:t>
      </w:r>
      <w:r w:rsidRPr="00903EED">
        <w:t>komsten. Slutligen föreslår Folkpartiet att taket för ersättning i för</w:t>
      </w:r>
      <w:r w:rsidRPr="00903EED">
        <w:softHyphen/>
        <w:t xml:space="preserve">äldraförsäkringen höjs till tio basbelopp. </w:t>
      </w:r>
    </w:p>
    <w:p w:rsidR="00F047E9" w:rsidRPr="00903EED" w:rsidRDefault="00F047E9">
      <w:pPr>
        <w:pStyle w:val="Normaltindrag"/>
      </w:pPr>
      <w:r w:rsidRPr="00903EED">
        <w:t>Folkpartiet begär i motion Fi20 yrkande 12 (delvis) ett tillkännagivande om höjda tak i bl.a. föräldraförsäkringen till tio basbelopp.</w:t>
      </w:r>
    </w:p>
    <w:p w:rsidR="00F047E9" w:rsidRPr="00903EED" w:rsidRDefault="00F047E9">
      <w:pPr>
        <w:pStyle w:val="Normaltindrag"/>
      </w:pPr>
      <w:r w:rsidRPr="00903EED">
        <w:t>Folkpartiet föreslår i motion Fi20 yrkande 4 att ramen ökas i förhållande till regeringens förslag med 2 400 miljoner kronor för 2002, med 1 945 milj</w:t>
      </w:r>
      <w:r w:rsidRPr="00903EED">
        <w:t>o</w:t>
      </w:r>
      <w:r w:rsidRPr="00903EED">
        <w:t>ner kronor för 2003 samt med 1 920 miljoner kronor för 2004.</w:t>
      </w:r>
    </w:p>
    <w:p w:rsidR="00F047E9" w:rsidRPr="00903EED" w:rsidRDefault="00F047E9">
      <w:pPr>
        <w:pStyle w:val="Normaltindrag"/>
      </w:pPr>
      <w:r w:rsidRPr="00903EED">
        <w:t>I motion Fi20 yrkande 23 begärs ett tillkännagivande om behovet av en r</w:t>
      </w:r>
      <w:r w:rsidRPr="00903EED">
        <w:t>e</w:t>
      </w:r>
      <w:r w:rsidRPr="00903EED">
        <w:t>formerad familjepolitik.</w:t>
      </w:r>
    </w:p>
    <w:p w:rsidR="00F047E9" w:rsidRPr="00903EED" w:rsidRDefault="00F047E9">
      <w:pPr>
        <w:pStyle w:val="R3"/>
      </w:pPr>
      <w:r w:rsidRPr="00903EED">
        <w:t>Utskottet</w:t>
      </w:r>
    </w:p>
    <w:p w:rsidR="00F047E9" w:rsidRPr="00903EED" w:rsidRDefault="00F047E9">
      <w:r w:rsidRPr="00903EED">
        <w:t>Förslag till preliminär ram för åren 2002, 2003 och 2004, miljoner kronor</w:t>
      </w:r>
    </w:p>
    <w:p w:rsidR="00F047E9" w:rsidRPr="00903EED" w:rsidRDefault="00F047E9">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134"/>
        <w:gridCol w:w="833"/>
        <w:gridCol w:w="301"/>
        <w:gridCol w:w="900"/>
        <w:gridCol w:w="801"/>
        <w:gridCol w:w="851"/>
        <w:gridCol w:w="425"/>
      </w:tblGrid>
      <w:tr w:rsidR="00000000" w:rsidRPr="00903EED">
        <w:tblPrEx>
          <w:tblCellMar>
            <w:top w:w="0" w:type="dxa"/>
            <w:bottom w:w="0" w:type="dxa"/>
          </w:tblCellMar>
        </w:tblPrEx>
        <w:trPr>
          <w:trHeight w:hRule="exact" w:val="320"/>
        </w:trPr>
        <w:tc>
          <w:tcPr>
            <w:tcW w:w="637" w:type="dxa"/>
            <w:tcBorders>
              <w:top w:val="single" w:sz="4" w:space="0" w:color="auto"/>
              <w:bottom w:val="single" w:sz="4" w:space="0" w:color="auto"/>
            </w:tcBorders>
          </w:tcPr>
          <w:p w:rsidR="00F047E9" w:rsidRPr="00903EED" w:rsidRDefault="00F047E9">
            <w:pPr>
              <w:pStyle w:val="Normaltindrag"/>
              <w:ind w:firstLine="0"/>
            </w:pPr>
            <w:r w:rsidRPr="00903EED">
              <w:t>År</w:t>
            </w:r>
          </w:p>
          <w:p w:rsidR="00F047E9" w:rsidRPr="00903EED" w:rsidRDefault="00F047E9">
            <w:pPr>
              <w:pStyle w:val="Normaltindrag"/>
              <w:ind w:firstLine="0"/>
            </w:pPr>
            <w:r w:rsidRPr="00903EED">
              <w:t>År</w:t>
            </w:r>
          </w:p>
        </w:tc>
        <w:tc>
          <w:tcPr>
            <w:tcW w:w="1134" w:type="dxa"/>
            <w:tcBorders>
              <w:top w:val="single" w:sz="4" w:space="0" w:color="auto"/>
              <w:bottom w:val="single" w:sz="4" w:space="0" w:color="auto"/>
            </w:tcBorders>
          </w:tcPr>
          <w:p w:rsidR="00F047E9" w:rsidRPr="00903EED" w:rsidRDefault="00F047E9">
            <w:pPr>
              <w:pStyle w:val="Normaltindrag"/>
              <w:ind w:firstLine="0"/>
              <w:jc w:val="right"/>
            </w:pPr>
            <w:r w:rsidRPr="00903EED">
              <w:t>Regeringen</w:t>
            </w:r>
          </w:p>
        </w:tc>
        <w:tc>
          <w:tcPr>
            <w:tcW w:w="833" w:type="dxa"/>
            <w:tcBorders>
              <w:top w:val="single" w:sz="4" w:space="0" w:color="auto"/>
              <w:bottom w:val="single" w:sz="4" w:space="0" w:color="auto"/>
            </w:tcBorders>
          </w:tcPr>
          <w:p w:rsidR="00F047E9" w:rsidRPr="00903EED" w:rsidRDefault="00F047E9">
            <w:pPr>
              <w:pStyle w:val="Normaltindrag"/>
              <w:ind w:firstLine="0"/>
              <w:jc w:val="right"/>
            </w:pPr>
            <w:r w:rsidRPr="00903EED">
              <w:t>m</w:t>
            </w:r>
          </w:p>
        </w:tc>
        <w:tc>
          <w:tcPr>
            <w:tcW w:w="301" w:type="dxa"/>
            <w:tcBorders>
              <w:top w:val="single" w:sz="4" w:space="0" w:color="auto"/>
              <w:bottom w:val="single" w:sz="4" w:space="0" w:color="auto"/>
            </w:tcBorders>
          </w:tcPr>
          <w:p w:rsidR="00F047E9" w:rsidRPr="00903EED" w:rsidRDefault="00F047E9">
            <w:pPr>
              <w:pStyle w:val="Normaltindrag"/>
              <w:ind w:firstLine="0"/>
              <w:jc w:val="right"/>
            </w:pPr>
            <w:r w:rsidRPr="00903EED">
              <w:t>v</w:t>
            </w:r>
          </w:p>
        </w:tc>
        <w:tc>
          <w:tcPr>
            <w:tcW w:w="900" w:type="dxa"/>
            <w:tcBorders>
              <w:top w:val="single" w:sz="4" w:space="0" w:color="auto"/>
              <w:bottom w:val="single" w:sz="4" w:space="0" w:color="auto"/>
            </w:tcBorders>
          </w:tcPr>
          <w:p w:rsidR="00F047E9" w:rsidRPr="00903EED" w:rsidRDefault="00F047E9">
            <w:pPr>
              <w:pStyle w:val="Normaltindrag"/>
              <w:ind w:firstLine="0"/>
              <w:jc w:val="right"/>
            </w:pPr>
            <w:r w:rsidRPr="00903EED">
              <w:t>kd</w:t>
            </w:r>
          </w:p>
        </w:tc>
        <w:tc>
          <w:tcPr>
            <w:tcW w:w="801" w:type="dxa"/>
            <w:tcBorders>
              <w:top w:val="single" w:sz="4" w:space="0" w:color="auto"/>
              <w:bottom w:val="single" w:sz="4" w:space="0" w:color="auto"/>
            </w:tcBorders>
          </w:tcPr>
          <w:p w:rsidR="00F047E9" w:rsidRPr="00903EED" w:rsidRDefault="00F047E9">
            <w:pPr>
              <w:pStyle w:val="Normaltindrag"/>
              <w:ind w:firstLine="0"/>
              <w:jc w:val="right"/>
            </w:pPr>
            <w:r w:rsidRPr="00903EED">
              <w:t>c</w:t>
            </w:r>
          </w:p>
        </w:tc>
        <w:tc>
          <w:tcPr>
            <w:tcW w:w="851" w:type="dxa"/>
            <w:tcBorders>
              <w:top w:val="single" w:sz="4" w:space="0" w:color="auto"/>
              <w:bottom w:val="single" w:sz="4" w:space="0" w:color="auto"/>
            </w:tcBorders>
          </w:tcPr>
          <w:p w:rsidR="00F047E9" w:rsidRPr="00903EED" w:rsidRDefault="00F047E9">
            <w:pPr>
              <w:pStyle w:val="Normaltindrag"/>
              <w:ind w:firstLine="0"/>
              <w:jc w:val="right"/>
            </w:pPr>
            <w:r w:rsidRPr="00903EED">
              <w:t>fp</w:t>
            </w:r>
          </w:p>
        </w:tc>
        <w:tc>
          <w:tcPr>
            <w:tcW w:w="425" w:type="dxa"/>
            <w:tcBorders>
              <w:top w:val="single" w:sz="4" w:space="0" w:color="auto"/>
              <w:bottom w:val="single" w:sz="4" w:space="0" w:color="auto"/>
            </w:tcBorders>
          </w:tcPr>
          <w:p w:rsidR="00F047E9" w:rsidRPr="00903EED" w:rsidRDefault="00F047E9">
            <w:pPr>
              <w:pStyle w:val="Normaltindrag"/>
              <w:ind w:firstLine="0"/>
              <w:jc w:val="right"/>
            </w:pPr>
            <w:r w:rsidRPr="00903EED">
              <w:t>mp</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2002</w:t>
            </w:r>
          </w:p>
        </w:tc>
        <w:tc>
          <w:tcPr>
            <w:tcW w:w="1134" w:type="dxa"/>
          </w:tcPr>
          <w:p w:rsidR="00F047E9" w:rsidRPr="00903EED" w:rsidRDefault="00F047E9">
            <w:pPr>
              <w:pStyle w:val="Normaltindrag"/>
              <w:ind w:firstLine="0"/>
              <w:jc w:val="right"/>
            </w:pPr>
            <w:r w:rsidRPr="00903EED">
              <w:t>49 645</w:t>
            </w:r>
          </w:p>
        </w:tc>
        <w:tc>
          <w:tcPr>
            <w:tcW w:w="833" w:type="dxa"/>
          </w:tcPr>
          <w:p w:rsidR="00F047E9" w:rsidRPr="00903EED" w:rsidRDefault="00F047E9">
            <w:pPr>
              <w:pStyle w:val="Normaltindrag"/>
              <w:ind w:firstLine="0"/>
              <w:jc w:val="right"/>
            </w:pPr>
            <w:r w:rsidRPr="00903EED">
              <w:t>+ 158</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+ 641</w:t>
            </w:r>
          </w:p>
        </w:tc>
        <w:tc>
          <w:tcPr>
            <w:tcW w:w="801" w:type="dxa"/>
          </w:tcPr>
          <w:p w:rsidR="00F047E9" w:rsidRPr="00903EED" w:rsidRDefault="00F047E9">
            <w:pPr>
              <w:pStyle w:val="Normaltindrag"/>
              <w:ind w:firstLine="0"/>
              <w:jc w:val="right"/>
            </w:pPr>
            <w:r w:rsidRPr="00903EED">
              <w:t>+ 1 520</w:t>
            </w:r>
          </w:p>
        </w:tc>
        <w:tc>
          <w:tcPr>
            <w:tcW w:w="851" w:type="dxa"/>
          </w:tcPr>
          <w:p w:rsidR="00F047E9" w:rsidRPr="00903EED" w:rsidRDefault="00F047E9">
            <w:pPr>
              <w:pStyle w:val="Normaltindrag"/>
              <w:ind w:firstLine="0"/>
              <w:jc w:val="right"/>
            </w:pPr>
            <w:r w:rsidRPr="00903EED">
              <w:t>+ 2 400</w:t>
            </w:r>
          </w:p>
        </w:tc>
        <w:tc>
          <w:tcPr>
            <w:tcW w:w="425" w:type="dxa"/>
          </w:tcPr>
          <w:p w:rsidR="00F047E9" w:rsidRPr="00903EED" w:rsidRDefault="00F047E9">
            <w:pPr>
              <w:pStyle w:val="Normaltindrag"/>
              <w:ind w:firstLine="0"/>
              <w:jc w:val="right"/>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2003</w:t>
            </w:r>
          </w:p>
        </w:tc>
        <w:tc>
          <w:tcPr>
            <w:tcW w:w="1134" w:type="dxa"/>
          </w:tcPr>
          <w:p w:rsidR="00F047E9" w:rsidRPr="00903EED" w:rsidRDefault="00F047E9">
            <w:pPr>
              <w:pStyle w:val="Normaltindrag"/>
              <w:ind w:firstLine="0"/>
              <w:jc w:val="right"/>
            </w:pPr>
            <w:r w:rsidRPr="00903EED">
              <w:t>51 619</w:t>
            </w:r>
          </w:p>
        </w:tc>
        <w:tc>
          <w:tcPr>
            <w:tcW w:w="833" w:type="dxa"/>
          </w:tcPr>
          <w:p w:rsidR="00F047E9" w:rsidRPr="00903EED" w:rsidRDefault="00F047E9">
            <w:pPr>
              <w:pStyle w:val="Normaltindrag"/>
              <w:ind w:firstLine="0"/>
              <w:jc w:val="right"/>
            </w:pPr>
            <w:r w:rsidRPr="00903EED">
              <w:t>+    8</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+ 301</w:t>
            </w:r>
          </w:p>
        </w:tc>
        <w:tc>
          <w:tcPr>
            <w:tcW w:w="801" w:type="dxa"/>
          </w:tcPr>
          <w:p w:rsidR="00F047E9" w:rsidRPr="00903EED" w:rsidRDefault="00F047E9">
            <w:pPr>
              <w:pStyle w:val="Normaltindrag"/>
              <w:ind w:firstLine="0"/>
              <w:jc w:val="right"/>
            </w:pPr>
            <w:r w:rsidRPr="00903EED">
              <w:t>+ 1 410</w:t>
            </w:r>
          </w:p>
        </w:tc>
        <w:tc>
          <w:tcPr>
            <w:tcW w:w="851" w:type="dxa"/>
          </w:tcPr>
          <w:p w:rsidR="00F047E9" w:rsidRPr="00903EED" w:rsidRDefault="00F047E9">
            <w:pPr>
              <w:pStyle w:val="Normaltindrag"/>
              <w:ind w:firstLine="0"/>
              <w:jc w:val="right"/>
            </w:pPr>
            <w:r w:rsidRPr="00903EED">
              <w:t>+ 1 945</w:t>
            </w:r>
          </w:p>
        </w:tc>
        <w:tc>
          <w:tcPr>
            <w:tcW w:w="425" w:type="dxa"/>
          </w:tcPr>
          <w:p w:rsidR="00F047E9" w:rsidRPr="00903EED" w:rsidRDefault="00F047E9">
            <w:pPr>
              <w:pStyle w:val="Normaltindrag"/>
              <w:ind w:firstLine="0"/>
              <w:jc w:val="right"/>
            </w:pPr>
            <w:r w:rsidRPr="00903EED">
              <w:t>–</w:t>
            </w:r>
          </w:p>
        </w:tc>
      </w:tr>
      <w:tr w:rsidR="00000000" w:rsidRPr="00903EED">
        <w:tblPrEx>
          <w:tblCellMar>
            <w:top w:w="0" w:type="dxa"/>
            <w:bottom w:w="0" w:type="dxa"/>
          </w:tblCellMar>
        </w:tblPrEx>
        <w:trPr>
          <w:trHeight w:hRule="exact" w:val="320"/>
        </w:trPr>
        <w:tc>
          <w:tcPr>
            <w:tcW w:w="637" w:type="dxa"/>
          </w:tcPr>
          <w:p w:rsidR="00F047E9" w:rsidRPr="00903EED" w:rsidRDefault="00F047E9">
            <w:pPr>
              <w:pStyle w:val="Normaltindrag"/>
              <w:ind w:firstLine="0"/>
            </w:pPr>
            <w:r w:rsidRPr="00903EED">
              <w:t>2004</w:t>
            </w:r>
          </w:p>
        </w:tc>
        <w:tc>
          <w:tcPr>
            <w:tcW w:w="1134" w:type="dxa"/>
          </w:tcPr>
          <w:p w:rsidR="00F047E9" w:rsidRPr="00903EED" w:rsidRDefault="00F047E9">
            <w:pPr>
              <w:pStyle w:val="Normaltindrag"/>
              <w:ind w:firstLine="0"/>
              <w:jc w:val="right"/>
            </w:pPr>
            <w:r w:rsidRPr="00903EED">
              <w:t>52 529</w:t>
            </w:r>
          </w:p>
        </w:tc>
        <w:tc>
          <w:tcPr>
            <w:tcW w:w="833" w:type="dxa"/>
          </w:tcPr>
          <w:p w:rsidR="00F047E9" w:rsidRPr="00903EED" w:rsidRDefault="00F047E9">
            <w:pPr>
              <w:pStyle w:val="Normaltindrag"/>
              <w:ind w:firstLine="0"/>
              <w:jc w:val="right"/>
            </w:pPr>
            <w:r w:rsidRPr="00903EED">
              <w:t>-   92</w:t>
            </w:r>
          </w:p>
        </w:tc>
        <w:tc>
          <w:tcPr>
            <w:tcW w:w="301" w:type="dxa"/>
          </w:tcPr>
          <w:p w:rsidR="00F047E9" w:rsidRPr="00903EED" w:rsidRDefault="00F047E9">
            <w:pPr>
              <w:pStyle w:val="Normaltindrag"/>
              <w:ind w:firstLine="0"/>
              <w:jc w:val="right"/>
            </w:pPr>
            <w:r w:rsidRPr="00903EED">
              <w:t>–</w:t>
            </w:r>
          </w:p>
        </w:tc>
        <w:tc>
          <w:tcPr>
            <w:tcW w:w="900" w:type="dxa"/>
          </w:tcPr>
          <w:p w:rsidR="00F047E9" w:rsidRPr="00903EED" w:rsidRDefault="00F047E9">
            <w:pPr>
              <w:pStyle w:val="Normaltindrag"/>
              <w:ind w:firstLine="0"/>
              <w:jc w:val="right"/>
            </w:pPr>
            <w:r w:rsidRPr="00903EED">
              <w:t>+ 451</w:t>
            </w:r>
          </w:p>
        </w:tc>
        <w:tc>
          <w:tcPr>
            <w:tcW w:w="801" w:type="dxa"/>
          </w:tcPr>
          <w:p w:rsidR="00F047E9" w:rsidRPr="00903EED" w:rsidRDefault="00F047E9">
            <w:pPr>
              <w:pStyle w:val="Normaltindrag"/>
              <w:ind w:firstLine="0"/>
              <w:jc w:val="right"/>
            </w:pPr>
            <w:r w:rsidRPr="00903EED">
              <w:t>+ 1 300</w:t>
            </w:r>
          </w:p>
        </w:tc>
        <w:tc>
          <w:tcPr>
            <w:tcW w:w="851" w:type="dxa"/>
          </w:tcPr>
          <w:p w:rsidR="00F047E9" w:rsidRPr="00903EED" w:rsidRDefault="00F047E9">
            <w:pPr>
              <w:pStyle w:val="Normaltindrag"/>
              <w:ind w:firstLine="0"/>
              <w:jc w:val="right"/>
            </w:pPr>
            <w:r w:rsidRPr="00903EED">
              <w:t>+ 1 920</w:t>
            </w:r>
          </w:p>
        </w:tc>
        <w:tc>
          <w:tcPr>
            <w:tcW w:w="425" w:type="dxa"/>
          </w:tcPr>
          <w:p w:rsidR="00F047E9" w:rsidRPr="00903EED" w:rsidRDefault="00F047E9">
            <w:pPr>
              <w:pStyle w:val="Normaltindrag"/>
              <w:ind w:firstLine="0"/>
              <w:jc w:val="right"/>
            </w:pPr>
            <w:r w:rsidRPr="00903EED">
              <w:t>–</w:t>
            </w:r>
          </w:p>
        </w:tc>
      </w:tr>
    </w:tbl>
    <w:p w:rsidR="00F047E9" w:rsidRPr="00903EED" w:rsidRDefault="00F047E9"/>
    <w:p w:rsidR="00F047E9" w:rsidRPr="00903EED" w:rsidRDefault="00F047E9">
      <w:r w:rsidRPr="00903EED">
        <w:t>Under senare tid har riksdagen beslutat om flera förbättringar vad avser det ekonomiska stödet till barnfamiljer. Ersättningsnivån i föräldraförsäkringen har höjts från 75 % till 80 %. De allmänna barnbidragen har höjts och fle</w:t>
      </w:r>
      <w:r w:rsidRPr="00903EED">
        <w:t>r</w:t>
      </w:r>
      <w:r w:rsidRPr="00903EED">
        <w:softHyphen/>
        <w:t>barnstillägget har återinförts. Vidare har föräldrapenningen förlängts med 30 dagar fr.o.m. 2002 och nya förmåner tillkommit inom den tillfäl</w:t>
      </w:r>
      <w:r w:rsidRPr="00903EED">
        <w:softHyphen/>
        <w:t>liga föräldr</w:t>
      </w:r>
      <w:r w:rsidRPr="00903EED">
        <w:t>a</w:t>
      </w:r>
      <w:r w:rsidRPr="00903EED">
        <w:t>penningen (prop. 2000/01:44, bet. 2000/01:SfU10, rskr 2000/01:169). Reg</w:t>
      </w:r>
      <w:r w:rsidRPr="00903EED">
        <w:t>e</w:t>
      </w:r>
      <w:r w:rsidRPr="00903EED">
        <w:t>ringen avser vidare som framgått att dels föreslå höjningar av garantinivån i föräldraförsäkringen, såvitt avser den del av försäkringen som utger ersättning motsvarande förälderns sjukpenninggrundande inkomst, dvs. 390 dagar fr.o.m. 2002, dels se över ersättningsnivåerna inom bl.a.</w:t>
      </w:r>
      <w:r w:rsidRPr="00903EED">
        <w:t xml:space="preserve"> föräldra</w:t>
      </w:r>
      <w:r w:rsidRPr="00903EED">
        <w:softHyphen/>
        <w:t>försäkringen och återkomma med förslag härom i budgetprop</w:t>
      </w:r>
      <w:r w:rsidRPr="00903EED">
        <w:t>o</w:t>
      </w:r>
      <w:r w:rsidRPr="00903EED">
        <w:t xml:space="preserve">sitionen för  2002. </w:t>
      </w:r>
    </w:p>
    <w:p w:rsidR="00F047E9" w:rsidRPr="00903EED" w:rsidRDefault="00F047E9">
      <w:pPr>
        <w:pStyle w:val="Normaltindrag"/>
      </w:pPr>
      <w:r w:rsidRPr="00903EED">
        <w:t>Vad gäller partiernas alternativa sakförslag har dessa även inom detta u</w:t>
      </w:r>
      <w:r w:rsidRPr="00903EED">
        <w:t>t</w:t>
      </w:r>
      <w:r w:rsidRPr="00903EED">
        <w:softHyphen/>
        <w:t>giftsområde tidigare behandlats av utskottet och avstyrkts (se bet. 2000/01:SfU1). Utskottet finner dock skäl att uppehålla sig vid vad som dä</w:t>
      </w:r>
      <w:r w:rsidRPr="00903EED">
        <w:t>r</w:t>
      </w:r>
      <w:r w:rsidRPr="00903EED">
        <w:t>vid anfördes med anledning av motionsyrkanden gällande införande av ett barn</w:t>
      </w:r>
      <w:r w:rsidRPr="00903EED">
        <w:softHyphen/>
        <w:t>omsorgskonto. Utskottet uttalade därvid att utskottet sammantaget ansåg att föreslagna och aviserade åtgärder (innefattande bl.a. införande av max-</w:t>
      </w:r>
      <w:r w:rsidRPr="00903EED">
        <w:br/>
        <w:t>taxereformen) på familjepolitikens område skulle komma att innebära en påtaglig förbättring av barnfamiljernas ekonomi och gynnsammare förutsä</w:t>
      </w:r>
      <w:r w:rsidRPr="00903EED">
        <w:t>t</w:t>
      </w:r>
      <w:r w:rsidRPr="00903EED">
        <w:t>t</w:t>
      </w:r>
      <w:r w:rsidRPr="00903EED">
        <w:t>ningar för ett ökat barnafödande. Skäl att införa ett barnomsorgskonto sakn</w:t>
      </w:r>
      <w:r w:rsidRPr="00903EED">
        <w:t>a</w:t>
      </w:r>
      <w:r w:rsidRPr="00903EED">
        <w:t>des enligt utskottets mening. Utskottet vidhåller denna uppfat</w:t>
      </w:r>
      <w:r w:rsidRPr="00903EED">
        <w:t>t</w:t>
      </w:r>
      <w:r w:rsidRPr="00903EED">
        <w:t>ning.</w:t>
      </w:r>
    </w:p>
    <w:p w:rsidR="00F047E9" w:rsidRPr="00903EED" w:rsidRDefault="00F047E9">
      <w:pPr>
        <w:pStyle w:val="Normaltindrag"/>
      </w:pPr>
      <w:r w:rsidRPr="00903EED">
        <w:t xml:space="preserve">Med det anförda tillstyrker utskottet regeringens förslag till preliminära ramar för utgiftsområdet för budgetåren 2002, 2003 och 2004 och avstyrker motionerna Fi17 yrkande 5, Fi18 yrkande 7, Fi19 yrkande 4 och Fi20 yrkande 4. </w:t>
      </w:r>
    </w:p>
    <w:p w:rsidR="00F047E9" w:rsidRPr="00903EED" w:rsidRDefault="00F047E9">
      <w:pPr>
        <w:pStyle w:val="Normaltindrag"/>
      </w:pPr>
      <w:r w:rsidRPr="00903EED">
        <w:t>Mot bakgrund av vad som redovisats under utgiftsområde 10 om att u</w:t>
      </w:r>
      <w:r w:rsidRPr="00903EED">
        <w:t>t</w:t>
      </w:r>
      <w:r w:rsidRPr="00903EED">
        <w:softHyphen/>
        <w:t>skottet anser att en höjning av taket i socialförsäkringssystemet bör ske så snart utrymme finns anser utskottet att yrkande 12 (delvis) i motion Fi20 får anses i huvudsak tillgodosett. Yrkandet avstyrks därför.</w:t>
      </w:r>
    </w:p>
    <w:p w:rsidR="00F047E9" w:rsidRPr="00903EED" w:rsidRDefault="00F047E9">
      <w:pPr>
        <w:pStyle w:val="Normaltindrag"/>
      </w:pPr>
      <w:r w:rsidRPr="00903EED">
        <w:t xml:space="preserve">Utskottet avstyrker också motionerna Fi17 yrkande 15, Fi19 yrkande 13 och Fi33. </w:t>
      </w:r>
    </w:p>
    <w:p w:rsidR="00F047E9" w:rsidRPr="00903EED" w:rsidRDefault="00F047E9">
      <w:pPr>
        <w:pStyle w:val="R2"/>
      </w:pPr>
      <w:r w:rsidRPr="00903EED">
        <w:t>Ålderspensionssystemet vid sidan av statsbudgeten</w:t>
      </w:r>
    </w:p>
    <w:p w:rsidR="00F047E9" w:rsidRPr="00903EED" w:rsidRDefault="00F047E9">
      <w:pPr>
        <w:pStyle w:val="R3"/>
        <w:spacing w:before="235"/>
      </w:pPr>
      <w:r w:rsidRPr="00903EED">
        <w:t>Propositionen</w:t>
      </w:r>
    </w:p>
    <w:p w:rsidR="00F047E9" w:rsidRPr="00903EED" w:rsidRDefault="00F047E9">
      <w:r w:rsidRPr="00903EED">
        <w:t>Utgifterna omfattar ålderspension i form av allmän tilläggspension (ATP) och ålderspension i form av folkpension till pensionärer som även uppbär ATP. Vidare ingår fr.o.m. 2001 reformerad tilläggspension, inkomstpension och premi</w:t>
      </w:r>
      <w:r w:rsidRPr="00903EED">
        <w:t>e</w:t>
      </w:r>
      <w:r w:rsidRPr="00903EED">
        <w:t xml:space="preserve">pension. </w:t>
      </w:r>
    </w:p>
    <w:p w:rsidR="00F047E9" w:rsidRPr="00903EED" w:rsidRDefault="00F047E9">
      <w:pPr>
        <w:pStyle w:val="Normaltindrag"/>
      </w:pPr>
      <w:r w:rsidRPr="00903EED">
        <w:t>I propositionen beräknas utgifterna för ålderspensionssystemet vid sidan av statsbudgeten till 150 486 miljoner kronor för budgetåret 2002, till 152 476 miljoner kronor för budgetåret 2003 och till 160 474 miljoner kronor för budgetåret 2004.</w:t>
      </w:r>
    </w:p>
    <w:p w:rsidR="00F047E9" w:rsidRPr="00903EED" w:rsidRDefault="00F047E9">
      <w:pPr>
        <w:pStyle w:val="Normaltindrag"/>
      </w:pPr>
      <w:r w:rsidRPr="00903EED">
        <w:t>Enligt propositionen ökar utgifterna för ålderspensionerna årligen. Detta beror dels på att den genomsnittliga ATP-nivån trendmässigt stiger, dels på indexeringen av pensionerna som styrs av förändringar i prisbasbeloppet (t.o.m. 2001) respektive inkomstbasbelo</w:t>
      </w:r>
      <w:r w:rsidRPr="00903EED">
        <w:t>p</w:t>
      </w:r>
      <w:r w:rsidRPr="00903EED">
        <w:t xml:space="preserve">pet (fr.o.m. 2002). </w:t>
      </w:r>
    </w:p>
    <w:p w:rsidR="00F047E9" w:rsidRPr="00903EED" w:rsidRDefault="00F047E9">
      <w:pPr>
        <w:pStyle w:val="Normaltindrag"/>
      </w:pPr>
      <w:r w:rsidRPr="00903EED">
        <w:t>Av propositionen framgår att kostnaderna för den bosättningsbaserade folkpensionen till pensionärer som också uppbär ATP från 2003 överförs från ålderspension</w:t>
      </w:r>
      <w:r w:rsidRPr="00903EED">
        <w:t>s</w:t>
      </w:r>
      <w:r w:rsidRPr="00903EED">
        <w:t xml:space="preserve">systemet till garantipensionsanslaget på utgiftsområde 11. </w:t>
      </w:r>
    </w:p>
    <w:p w:rsidR="00F047E9" w:rsidRPr="00903EED" w:rsidRDefault="00F047E9">
      <w:pPr>
        <w:pStyle w:val="R3"/>
      </w:pPr>
      <w:r w:rsidRPr="00903EED">
        <w:t>Utskottet</w:t>
      </w:r>
    </w:p>
    <w:p w:rsidR="00F047E9" w:rsidRPr="00903EED" w:rsidRDefault="00F047E9">
      <w:r w:rsidRPr="00903EED">
        <w:t>Utgifterna för ålderssystemet vid sidan av statsbudgeten skall rymmas inom det statliga utgiftstaket. Utskottet vill nämna att denna ordning nyligen har ifrågasatts av regeringen i proposition 2000/01:70, Automatisk balansering av ålderspensionssystemet. I propositi</w:t>
      </w:r>
      <w:r w:rsidRPr="00903EED">
        <w:t>o</w:t>
      </w:r>
      <w:r w:rsidRPr="00903EED">
        <w:t xml:space="preserve">nen anförs bl.a. följande: </w:t>
      </w:r>
    </w:p>
    <w:p w:rsidR="00F047E9" w:rsidRPr="00903EED" w:rsidRDefault="00F047E9">
      <w:pPr>
        <w:pStyle w:val="Citat"/>
      </w:pPr>
    </w:p>
    <w:p w:rsidR="00F047E9" w:rsidRPr="00903EED" w:rsidRDefault="00F047E9">
      <w:pPr>
        <w:pStyle w:val="Citat"/>
      </w:pPr>
      <w:r w:rsidRPr="00903EED">
        <w:t>Godtar riksdagen förslaget till auto</w:t>
      </w:r>
      <w:r w:rsidRPr="00903EED">
        <w:softHyphen/>
        <w:t>matisk balansering kommer reformen i allt väsentligt att vara genomförd i enlighet med de principer som fas</w:t>
      </w:r>
      <w:r w:rsidRPr="00903EED">
        <w:t>t</w:t>
      </w:r>
      <w:r w:rsidRPr="00903EED">
        <w:softHyphen/>
        <w:t>ställdes av riksdagen år 1994. Med regler för auto</w:t>
      </w:r>
      <w:r w:rsidRPr="00903EED">
        <w:softHyphen/>
        <w:t>matisk balansering blir pensionssystemet finansiellt stabilt. Frågan om hur ålderspensionsutgi</w:t>
      </w:r>
      <w:r w:rsidRPr="00903EED">
        <w:t>f</w:t>
      </w:r>
      <w:r w:rsidRPr="00903EED">
        <w:softHyphen/>
        <w:t>terna bör hanteras i budgeten och i förhållande till utgiftstaken aktualis</w:t>
      </w:r>
      <w:r w:rsidRPr="00903EED">
        <w:t>e</w:t>
      </w:r>
      <w:r w:rsidRPr="00903EED">
        <w:softHyphen/>
        <w:t>ras därmed. Frågan kräver dock ett helhets</w:t>
      </w:r>
      <w:r w:rsidRPr="00903EED">
        <w:softHyphen/>
        <w:t>perspektiv på den statliga bu</w:t>
      </w:r>
      <w:r w:rsidRPr="00903EED">
        <w:t>d</w:t>
      </w:r>
      <w:r w:rsidRPr="00903EED">
        <w:t>getprocessen. Inom Regerings</w:t>
      </w:r>
      <w:r w:rsidRPr="00903EED">
        <w:softHyphen/>
        <w:t>kansliet över</w:t>
      </w:r>
      <w:r w:rsidRPr="00903EED">
        <w:softHyphen/>
        <w:t>vägs för närvarande slut</w:t>
      </w:r>
      <w:r w:rsidRPr="00903EED">
        <w:softHyphen/>
        <w:t>satser och eventuella åtgärder med anl</w:t>
      </w:r>
      <w:r w:rsidRPr="00903EED">
        <w:t>edning av vad utredningen Utvär</w:t>
      </w:r>
      <w:r w:rsidRPr="00903EED">
        <w:softHyphen/>
        <w:t>dering och vidareutveckling av bud</w:t>
      </w:r>
      <w:r w:rsidRPr="00903EED">
        <w:softHyphen/>
        <w:t>get</w:t>
      </w:r>
      <w:r w:rsidRPr="00903EED">
        <w:softHyphen/>
        <w:t>processen, SOU 2000:61, föran</w:t>
      </w:r>
      <w:r w:rsidRPr="00903EED">
        <w:softHyphen/>
        <w:t>leder. V</w:t>
      </w:r>
      <w:r w:rsidRPr="00903EED">
        <w:t>i</w:t>
      </w:r>
      <w:r w:rsidRPr="00903EED">
        <w:t>dare pågår inom det s.k. VESTA-projektet ett arbete med att i vissa avs</w:t>
      </w:r>
      <w:r w:rsidRPr="00903EED">
        <w:t>e</w:t>
      </w:r>
      <w:r w:rsidRPr="00903EED">
        <w:t>enden ändra redovis</w:t>
      </w:r>
      <w:r w:rsidRPr="00903EED">
        <w:softHyphen/>
        <w:t xml:space="preserve">ningsprinciperna för statsbudgeten. Hur utgiftstak och saldomål kommer att anpassas till de nya principerna är ännu inte avgjort. </w:t>
      </w:r>
    </w:p>
    <w:p w:rsidR="00F047E9" w:rsidRPr="00903EED" w:rsidRDefault="00F047E9">
      <w:r w:rsidRPr="00903EED">
        <w:t>Utskottet har med anledning härav uttalat bl.a. följande (bet. 2000/01:SfU13):</w:t>
      </w:r>
    </w:p>
    <w:p w:rsidR="00F047E9" w:rsidRPr="00903EED" w:rsidRDefault="00F047E9">
      <w:pPr>
        <w:pStyle w:val="Citat"/>
      </w:pPr>
    </w:p>
    <w:p w:rsidR="00F047E9" w:rsidRPr="00903EED" w:rsidRDefault="00F047E9">
      <w:pPr>
        <w:pStyle w:val="Citat"/>
      </w:pPr>
      <w:r w:rsidRPr="00903EED">
        <w:t>Utskottet vill understryka att det nya ålderspensionssystemet är ett s.k. avgiftsdefinierat system, som är fristående från statsbudgeten och i sin helhet finansieras med en specialdestinerad och fast pensionsavgift. Med de regler för auto</w:t>
      </w:r>
      <w:r w:rsidRPr="00903EED">
        <w:softHyphen/>
        <w:t>matisk balansering som riksdagen nu föreslås fatta b</w:t>
      </w:r>
      <w:r w:rsidRPr="00903EED">
        <w:t>e</w:t>
      </w:r>
      <w:r w:rsidRPr="00903EED">
        <w:softHyphen/>
        <w:t>slut om blir pensionssystemet därtill långsiktigt finansiellt stabilt. Varken den allmänna ekonomiska utvecklingen eller demografiska förändringar skall därutöver kunna föranleda politiska beslut som begränsar pension</w:t>
      </w:r>
      <w:r w:rsidRPr="00903EED">
        <w:t>s</w:t>
      </w:r>
      <w:r w:rsidRPr="00903EED">
        <w:softHyphen/>
        <w:t>utgifternas storlek. Det är enligt utskottets mening därför viktigt att os</w:t>
      </w:r>
      <w:r w:rsidRPr="00903EED">
        <w:t>ä</w:t>
      </w:r>
      <w:r w:rsidRPr="00903EED">
        <w:softHyphen/>
        <w:t>kerhet inte i något sammanhang uppkommer om det inkomstrelaterade ålderspensionssystemets autonomi. För den händelse denna del av pe</w:t>
      </w:r>
      <w:r w:rsidRPr="00903EED">
        <w:t>n</w:t>
      </w:r>
      <w:r w:rsidRPr="00903EED">
        <w:softHyphen/>
        <w:t>sionssystemet även fortsättn</w:t>
      </w:r>
      <w:r w:rsidRPr="00903EED">
        <w:t>ingsvis skall ingå under ett utgiftstak är det viktigt att innebörden av ett sådant utgiftstak i förhållande till pension</w:t>
      </w:r>
      <w:r w:rsidRPr="00903EED">
        <w:t>s</w:t>
      </w:r>
      <w:r w:rsidRPr="00903EED">
        <w:softHyphen/>
        <w:t xml:space="preserve">systemet tydligt klargörs. </w:t>
      </w:r>
    </w:p>
    <w:p w:rsidR="00F047E9" w:rsidRPr="00903EED" w:rsidRDefault="00F047E9">
      <w:r w:rsidRPr="00903EED">
        <w:t>Vad gäller nu behandlad proposition har utskottet inte något att erinra mot regeringens beräkningar för ålderspensionssystemet vid sidan av statsbudg</w:t>
      </w:r>
      <w:r w:rsidRPr="00903EED">
        <w:t>e</w:t>
      </w:r>
      <w:r w:rsidRPr="00903EED">
        <w:softHyphen/>
        <w:t>ten för budgetåren 2002–2004.</w:t>
      </w:r>
    </w:p>
    <w:p w:rsidR="00F047E9" w:rsidRPr="00903EED" w:rsidRDefault="00F047E9">
      <w:pPr>
        <w:pStyle w:val="R2"/>
      </w:pPr>
      <w:r w:rsidRPr="00903EED">
        <w:t>Socialavgifter</w:t>
      </w:r>
    </w:p>
    <w:p w:rsidR="00F047E9" w:rsidRPr="00903EED" w:rsidRDefault="00F047E9">
      <w:r w:rsidRPr="00903EED">
        <w:t>Socialavgifter utgörs av arbetsgivaravgifter, egenavgifter och särskild l</w:t>
      </w:r>
      <w:r w:rsidRPr="00903EED">
        <w:t>ö</w:t>
      </w:r>
      <w:r w:rsidRPr="00903EED">
        <w:t>neskatt. År 2001 utgår arbetsgivaravgifter med 30,13 %, egenavgifter med 28,32 % och särskild löneskatt med 16,16 eller 24,26 %. Den nya sociala</w:t>
      </w:r>
      <w:r w:rsidRPr="00903EED">
        <w:t>v</w:t>
      </w:r>
      <w:r w:rsidRPr="00903EED">
        <w:t>giftslagen (2000:980), vilken trädde i kraft den 1 januari 2001, innebär främst en lagteknisk och språklig bearbetning av de tidigare bestämmelserna om socialavgifter samt en anpassning till den nya socialförsäkringslagen (1999:799). Arbetsgivare och egenföretagare skall också betala allmän lön</w:t>
      </w:r>
      <w:r w:rsidRPr="00903EED">
        <w:t>e</w:t>
      </w:r>
      <w:r w:rsidRPr="00903EED">
        <w:t>avgift med 2,69 %.</w:t>
      </w:r>
    </w:p>
    <w:p w:rsidR="00F047E9" w:rsidRPr="00903EED" w:rsidRDefault="00F047E9">
      <w:pPr>
        <w:pStyle w:val="Normaltindrag"/>
      </w:pPr>
      <w:r w:rsidRPr="00903EED">
        <w:t>Vid beräkning av arbetsgivaravgifterna gäller att e</w:t>
      </w:r>
      <w:r w:rsidRPr="00903EED">
        <w:t>n arbetsgivare varje m</w:t>
      </w:r>
      <w:r w:rsidRPr="00903EED">
        <w:t>å</w:t>
      </w:r>
      <w:r w:rsidRPr="00903EED">
        <w:t>nad får göra avdrag med 5 % av avgiftsunderlaget, dock högst med 3 550 kr. När det gäller beräkning av egenavgifter får avdrag göras med 5 % av a</w:t>
      </w:r>
      <w:r w:rsidRPr="00903EED">
        <w:t>v</w:t>
      </w:r>
      <w:r w:rsidRPr="00903EED">
        <w:t>giftsunderlaget, dock högst med 9 000 kr per år.</w:t>
      </w:r>
    </w:p>
    <w:p w:rsidR="00F047E9" w:rsidRPr="00903EED" w:rsidRDefault="00F047E9">
      <w:pPr>
        <w:pStyle w:val="Normaltindrag"/>
      </w:pPr>
      <w:r w:rsidRPr="00903EED">
        <w:t>Utvecklingen av statens intäkter beror i huvudsak på hur timlön och sy</w:t>
      </w:r>
      <w:r w:rsidRPr="00903EED">
        <w:t>s</w:t>
      </w:r>
      <w:r w:rsidRPr="00903EED">
        <w:t>selsättning samt inkomst av näringsverksamhet utvecklas. För åren fram t.o.m. 2004 beräknas intäkterna öka med ca 13–14 miljarder kronor per år, vilket i stort sett följer den antagna förändringen i lönesumman.</w:t>
      </w:r>
    </w:p>
    <w:p w:rsidR="00F047E9" w:rsidRPr="00903EED" w:rsidRDefault="00F047E9">
      <w:pPr>
        <w:pStyle w:val="Normaltindrag"/>
      </w:pPr>
      <w:r w:rsidRPr="00903EED">
        <w:t>Jämfört med beräkningen till budgetpropositionen för 2001 ökar intäkterna med 2,4 miljarder kronor 2000 och med 2,8 miljarder kronor 2001. Åren 2002 och 2003 ökar intäkterna med 4 miljarder kronor per år, främst till följd av högre sysselsättning och timlön.</w:t>
      </w:r>
    </w:p>
    <w:p w:rsidR="00F047E9" w:rsidRPr="00903EED" w:rsidRDefault="00F047E9">
      <w:pPr>
        <w:pStyle w:val="R3"/>
      </w:pPr>
      <w:r w:rsidRPr="00903EED">
        <w:t>Motionerna</w:t>
      </w:r>
    </w:p>
    <w:p w:rsidR="00F047E9" w:rsidRPr="00903EED" w:rsidRDefault="00F047E9">
      <w:pPr>
        <w:pStyle w:val="R4"/>
      </w:pPr>
      <w:r w:rsidRPr="00903EED">
        <w:t>Kristdemokraterna</w:t>
      </w:r>
    </w:p>
    <w:p w:rsidR="00F047E9" w:rsidRPr="00903EED" w:rsidRDefault="00F047E9">
      <w:r w:rsidRPr="00903EED">
        <w:t>Kristdemokraterna begär i motion Fi18 yrkande 5 att riksdagen godkänner de prioriterade områden för budgetpolitiken som motionärerna förordar som riktlinje för regeringens budgetarbete. Arbetsgivaravgifterna bör sänkas med 10 procentenheter på lönesummor upp till 900 000 kr per år från 2002. För egenföretagare utökas den nedsättningsberättigade lönesumman till 250 000 kr per år. Förslaget skall gälla alla företag men gynnar främst småföretagen. De företag som i dag tvekar om de skall våga nyanställa får en</w:t>
      </w:r>
      <w:r w:rsidRPr="00903EED">
        <w:t>ligt Kristdem</w:t>
      </w:r>
      <w:r w:rsidRPr="00903EED">
        <w:t>o</w:t>
      </w:r>
      <w:r w:rsidRPr="00903EED">
        <w:t>kraterna med detta förslag klart förbättrade möjligheter att våga satsa på u</w:t>
      </w:r>
      <w:r w:rsidRPr="00903EED">
        <w:t>t</w:t>
      </w:r>
      <w:r w:rsidRPr="00903EED">
        <w:t>veckling och nyanställningar.</w:t>
      </w:r>
    </w:p>
    <w:p w:rsidR="00F047E9" w:rsidRPr="00903EED" w:rsidRDefault="00F047E9">
      <w:pPr>
        <w:pStyle w:val="R4"/>
      </w:pPr>
      <w:r w:rsidRPr="00903EED">
        <w:t>Centerpartiet</w:t>
      </w:r>
    </w:p>
    <w:p w:rsidR="00F047E9" w:rsidRPr="00903EED" w:rsidRDefault="00F047E9">
      <w:r w:rsidRPr="00903EED">
        <w:t>Centerpartiet begär i motion Fi19 yrkande 5 ett tillkännagivande om skatt</w:t>
      </w:r>
      <w:r w:rsidRPr="00903EED">
        <w:t>e</w:t>
      </w:r>
      <w:r w:rsidRPr="00903EED">
        <w:t xml:space="preserve">politikens inriktning under perioden 2002–2004. Enligt Centerpartiet bör arbetsgivaravgifterna nedsättas med 10 procentenheter på lönesummor upp till 2 miljoner kronor. Nedsättningen bör även gälla egenföretagare upp till en lönesumma på 300 000 kr. </w:t>
      </w:r>
    </w:p>
    <w:p w:rsidR="00F047E9" w:rsidRPr="00903EED" w:rsidRDefault="00F047E9">
      <w:pPr>
        <w:pStyle w:val="R4"/>
      </w:pPr>
      <w:r w:rsidRPr="00903EED">
        <w:t>Folkpartiet</w:t>
      </w:r>
    </w:p>
    <w:p w:rsidR="00F047E9" w:rsidRPr="00903EED" w:rsidRDefault="00F047E9">
      <w:r w:rsidRPr="00903EED">
        <w:t>Folkpartiet begär i motion Fi20 yrkande 6 ett tillkännagivande om skattepol</w:t>
      </w:r>
      <w:r w:rsidRPr="00903EED">
        <w:t>i</w:t>
      </w:r>
      <w:r w:rsidRPr="00903EED">
        <w:t>tikens inriktning. Enligt motionärerna bör arbetsgivaravgifterna sänkas med 5 procentenheter under budgetperioden. På sikt bör ytterligare en sänkning göras. Eftersom Folkpartiet bedömer att den största potentialen för nyföret</w:t>
      </w:r>
      <w:r w:rsidRPr="00903EED">
        <w:t>a</w:t>
      </w:r>
      <w:r w:rsidRPr="00903EED">
        <w:t xml:space="preserve">gande och arbeten finns i den privata tjänstesektorn bör hela sänkningen riktas mot denna del av ekonomin. Inte minst för att byta segregationen är det viktigt med många nya arbetstillfällen. </w:t>
      </w:r>
    </w:p>
    <w:p w:rsidR="00F047E9" w:rsidRPr="00903EED" w:rsidRDefault="00F047E9">
      <w:pPr>
        <w:pStyle w:val="R3"/>
      </w:pPr>
      <w:r w:rsidRPr="00903EED">
        <w:t>Utskottet</w:t>
      </w:r>
    </w:p>
    <w:p w:rsidR="00F047E9" w:rsidRPr="00903EED" w:rsidRDefault="00F047E9">
      <w:r w:rsidRPr="00903EED">
        <w:t xml:space="preserve">På förslag av utskottet har Riksdagens revisorer genomfört en granskning av den 5-procentiga nedsättningen av arbetsgivar- och egenavgifter som infördes den 1 januari 1997. Rapporten Sänkta socialavgifter – har det något effekt? (rapport 2000/01:8) har nyligen presenterats av Riksdagens revisorer. Enligt rapportens sammanfattning är sänkningen en stor och dyrbar åtgärd med små effekter på arbetsgivarnas anställningsbeslut. Åtgärden har inte varit föremål för utvärdering eller resultatbedömning, sägs det i </w:t>
      </w:r>
      <w:r w:rsidRPr="00903EED">
        <w:t>sammanfattningen. Efter remissbehandling av rapporten kommer revisorernas slutliga ställningstaga</w:t>
      </w:r>
      <w:r w:rsidRPr="00903EED">
        <w:t>n</w:t>
      </w:r>
      <w:r w:rsidRPr="00903EED">
        <w:t>de och förslag att utformas i en skrivelse till riksdagen.</w:t>
      </w:r>
    </w:p>
    <w:p w:rsidR="00F047E9" w:rsidRPr="00903EED" w:rsidRDefault="00F047E9">
      <w:pPr>
        <w:pStyle w:val="Normaltindrag"/>
      </w:pPr>
      <w:r w:rsidRPr="00903EED">
        <w:t xml:space="preserve">Utskottet är inte berett att tillstyrka ytterligare sänkta arbetsgivar- och </w:t>
      </w:r>
      <w:r w:rsidRPr="00903EED">
        <w:br/>
        <w:t>eg</w:t>
      </w:r>
      <w:r w:rsidRPr="00903EED">
        <w:t>e</w:t>
      </w:r>
      <w:r w:rsidRPr="00903EED">
        <w:t>navgifter. Motionerna Fi18, Fi19 och Fi20 avstyrks därför i berörda delar.</w:t>
      </w:r>
    </w:p>
    <w:p w:rsidR="00F047E9" w:rsidRPr="00903EED" w:rsidRDefault="00F047E9">
      <w:pPr>
        <w:pStyle w:val="Utskriftsdatum"/>
      </w:pPr>
    </w:p>
    <w:p w:rsidR="00F047E9" w:rsidRPr="00903EED" w:rsidRDefault="00F047E9">
      <w:pPr>
        <w:pStyle w:val="Utskriftsdatum"/>
      </w:pPr>
      <w:r w:rsidRPr="00903EED">
        <w:t>Stockholm den 15 maj 2001</w:t>
      </w:r>
    </w:p>
    <w:p w:rsidR="00F047E9" w:rsidRPr="00903EED" w:rsidRDefault="00F047E9">
      <w:r w:rsidRPr="00903EED">
        <w:t>På socialförsäkringsutskottets vägnar</w:t>
      </w:r>
    </w:p>
    <w:p w:rsidR="00F047E9" w:rsidRPr="00903EED" w:rsidRDefault="00F047E9">
      <w:pPr>
        <w:pStyle w:val="Ordfranden"/>
        <w:spacing w:before="250"/>
        <w:rPr>
          <w:noProof w:val="0"/>
        </w:rPr>
      </w:pPr>
      <w:bookmarkStart w:id="3" w:name="Ordförande"/>
      <w:bookmarkEnd w:id="3"/>
      <w:r w:rsidRPr="00903EED">
        <w:rPr>
          <w:noProof w:val="0"/>
        </w:rPr>
        <w:t xml:space="preserve">Berit Andnor </w:t>
      </w:r>
    </w:p>
    <w:p w:rsidR="00F047E9" w:rsidRPr="00903EED" w:rsidRDefault="00F047E9">
      <w:pPr>
        <w:pStyle w:val="Deltagare"/>
        <w:spacing w:before="0"/>
        <w:rPr>
          <w:noProof w:val="0"/>
        </w:rPr>
      </w:pPr>
      <w:bookmarkStart w:id="4" w:name="Deltagare"/>
      <w:bookmarkEnd w:id="4"/>
    </w:p>
    <w:p w:rsidR="00F047E9" w:rsidRPr="00903EED" w:rsidRDefault="00F047E9">
      <w:pPr>
        <w:pStyle w:val="Deltagare"/>
        <w:spacing w:before="0"/>
        <w:rPr>
          <w:noProof w:val="0"/>
        </w:rPr>
      </w:pPr>
      <w:r w:rsidRPr="00903EED">
        <w:rPr>
          <w:noProof w:val="0"/>
        </w:rPr>
        <w:t>Följande ledamöter har deltagit i beslutet: Berit Andnor (s), Bo Könberg (fp), Margit Gennser (m), Maud Björnemalm (s), Anita Jönsson (s), Ulla Hoffmann (v), Rose-Marie Frebran (kd), Gustaf von Essen (m), Mariann Ytterberg (s), Göran Lindblad (m), Lennart Klockare (s), Sven-Erik Sjöstrand (v), Cecilia Magnusson (m), Kerstin-Maria Stalin (mp), Birgitta Carlsson (c), Göte Wahlström (s) och Magda Ayoub (kd).</w:t>
      </w:r>
    </w:p>
    <w:p w:rsidR="00F047E9" w:rsidRPr="00903EED" w:rsidRDefault="00F047E9">
      <w:pPr>
        <w:pStyle w:val="R1"/>
      </w:pPr>
      <w:r w:rsidRPr="00903EED">
        <w:br w:type="page"/>
      </w:r>
      <w:bookmarkStart w:id="5" w:name="_Toc513517389"/>
      <w:r w:rsidRPr="00903EED">
        <w:t>Avvikande mening</w:t>
      </w:r>
      <w:bookmarkEnd w:id="5"/>
    </w:p>
    <w:p w:rsidR="00F047E9" w:rsidRPr="00903EED" w:rsidRDefault="00F047E9">
      <w:pPr>
        <w:pStyle w:val="Yttrandepunkt"/>
        <w:spacing w:before="110"/>
        <w:ind w:left="0" w:firstLine="0"/>
        <w:rPr>
          <w:b w:val="0"/>
          <w:noProof w:val="0"/>
          <w:sz w:val="19"/>
        </w:rPr>
      </w:pPr>
      <w:r w:rsidRPr="00903EED">
        <w:rPr>
          <w:b w:val="0"/>
          <w:noProof w:val="0"/>
        </w:rPr>
        <w:t xml:space="preserve">1. </w:t>
      </w:r>
      <w:r w:rsidRPr="00903EED">
        <w:rPr>
          <w:b w:val="0"/>
          <w:noProof w:val="0"/>
          <w:sz w:val="19"/>
        </w:rPr>
        <w:t>Margit Gennser, Cecilia Magnusson, Gustaf von Essen och Göran Lind</w:t>
      </w:r>
      <w:r w:rsidRPr="00903EED">
        <w:rPr>
          <w:b w:val="0"/>
          <w:noProof w:val="0"/>
          <w:sz w:val="19"/>
        </w:rPr>
        <w:softHyphen/>
        <w:t>blad (alla m) anser att utskottets yttrande i nedan angivna avseenden bort ha följande lydelse:</w:t>
      </w:r>
    </w:p>
    <w:p w:rsidR="00F047E9" w:rsidRPr="00903EED" w:rsidRDefault="00F047E9">
      <w:pPr>
        <w:rPr>
          <w:i/>
        </w:rPr>
      </w:pPr>
    </w:p>
    <w:p w:rsidR="00F047E9" w:rsidRPr="00903EED" w:rsidRDefault="00F047E9">
      <w:pPr>
        <w:rPr>
          <w:i/>
        </w:rPr>
      </w:pPr>
      <w:r w:rsidRPr="00903EED">
        <w:rPr>
          <w:i/>
        </w:rPr>
        <w:t>Utgiftsområde 8 Invandrare och flyktingar</w:t>
      </w:r>
    </w:p>
    <w:p w:rsidR="00F047E9" w:rsidRPr="00903EED" w:rsidRDefault="00F047E9">
      <w:r w:rsidRPr="00903EED">
        <w:t>Vi anser att den nuvarande politiken att anslå budgetmedel till vissa bostad</w:t>
      </w:r>
      <w:r w:rsidRPr="00903EED">
        <w:t>s</w:t>
      </w:r>
      <w:r w:rsidRPr="00903EED">
        <w:softHyphen/>
        <w:t>områden i ett antal kommuner är felaktig. I stället bör andra möjligheter prö</w:t>
      </w:r>
      <w:r w:rsidRPr="00903EED">
        <w:softHyphen/>
        <w:t>vas som innebär en mindre belastning på statsbudgeten. Den viktigaste up</w:t>
      </w:r>
      <w:r w:rsidRPr="00903EED">
        <w:t>p</w:t>
      </w:r>
      <w:r w:rsidRPr="00903EED">
        <w:softHyphen/>
        <w:t>giften är att göra det svenska samhället så öppet att en ökad social rörlighet blir möjlig. En avreglering av bl.a. arbets- och bostadsmarknaden skulle en</w:t>
      </w:r>
      <w:r w:rsidRPr="00903EED">
        <w:softHyphen/>
        <w:t>ligt utskottets mening medföra positiva effekter för integrationsarb</w:t>
      </w:r>
      <w:r w:rsidRPr="00903EED">
        <w:t>e</w:t>
      </w:r>
      <w:r w:rsidRPr="00903EED">
        <w:t>tet.</w:t>
      </w:r>
    </w:p>
    <w:p w:rsidR="00F047E9" w:rsidRPr="00903EED" w:rsidRDefault="00F047E9">
      <w:pPr>
        <w:pStyle w:val="Normaltindrag"/>
      </w:pPr>
      <w:r w:rsidRPr="00903EED">
        <w:t>Vi anser att asylsökande skall få en snabb och grundlig behandling av sina ärenden för att inte fastna i vanmakt och passiviserin</w:t>
      </w:r>
      <w:r w:rsidRPr="00903EED">
        <w:t>g. De nuvarande väntet</w:t>
      </w:r>
      <w:r w:rsidRPr="00903EED">
        <w:t>i</w:t>
      </w:r>
      <w:r w:rsidRPr="00903EED">
        <w:softHyphen/>
        <w:t>derna för asylsökande är alltför långa. Migrationsverkets resurser bör därför öka med 50 miljoner kronor utöver regeringens förslag. Även Utlänning</w:t>
      </w:r>
      <w:r w:rsidRPr="00903EED">
        <w:t>s</w:t>
      </w:r>
      <w:r w:rsidRPr="00903EED">
        <w:softHyphen/>
        <w:t>nämndens anslag bör utökas. Vi känner viss tveksamhet när det gäller Inte</w:t>
      </w:r>
      <w:r w:rsidRPr="00903EED">
        <w:t>g</w:t>
      </w:r>
      <w:r w:rsidRPr="00903EED">
        <w:softHyphen/>
        <w:t>rationsverkets uppgifter och föreslår att en del av verkets anslag liksom en del av anslaget för integrationsåtgärder används som delfinansiering av förstär</w:t>
      </w:r>
      <w:r w:rsidRPr="00903EED">
        <w:t>k</w:t>
      </w:r>
      <w:r w:rsidRPr="00903EED">
        <w:softHyphen/>
        <w:t>ningen av Migrationsverket och Utlänningsnämnden.</w:t>
      </w:r>
    </w:p>
    <w:p w:rsidR="00F047E9" w:rsidRPr="00903EED" w:rsidRDefault="00F047E9">
      <w:pPr>
        <w:pStyle w:val="Normaltindrag"/>
      </w:pPr>
      <w:r w:rsidRPr="00903EED">
        <w:t>Vi föreslår med anledning av motion Fi17 yrkande 5 att d</w:t>
      </w:r>
      <w:r w:rsidRPr="00903EED">
        <w:t>en preliminära ramen för utgiftsområde 8 i förhållande till regeringens förslag minskas med 130 miljoner kronor för år 2002, med 244 miljoner kronor för år 2003 och med 14 miljoner kronor för år 2004.</w:t>
      </w:r>
    </w:p>
    <w:p w:rsidR="00F047E9" w:rsidRPr="00903EED" w:rsidRDefault="00F047E9">
      <w:pPr>
        <w:pStyle w:val="Ordfranden"/>
        <w:spacing w:before="62"/>
        <w:rPr>
          <w:i w:val="0"/>
          <w:noProof w:val="0"/>
        </w:rPr>
      </w:pPr>
    </w:p>
    <w:p w:rsidR="00F047E9" w:rsidRPr="00903EED" w:rsidRDefault="00F047E9">
      <w:pPr>
        <w:pStyle w:val="Ordfranden"/>
        <w:spacing w:before="62"/>
        <w:rPr>
          <w:noProof w:val="0"/>
        </w:rPr>
      </w:pPr>
      <w:r w:rsidRPr="00903EED">
        <w:rPr>
          <w:noProof w:val="0"/>
        </w:rPr>
        <w:t>Utgiftsområde 10 Ekonomisk trygghet vid sjukdom och handikapp</w:t>
      </w:r>
    </w:p>
    <w:p w:rsidR="00F047E9" w:rsidRPr="00903EED" w:rsidRDefault="00F047E9">
      <w:r w:rsidRPr="00903EED">
        <w:t>Vi anser att det behövs en socialförsäkringsreform i pensions</w:t>
      </w:r>
      <w:r w:rsidRPr="00903EED">
        <w:softHyphen/>
        <w:t>refor</w:t>
      </w:r>
      <w:r w:rsidRPr="00903EED">
        <w:softHyphen/>
        <w:t>mens fo</w:t>
      </w:r>
      <w:r w:rsidRPr="00903EED">
        <w:t>t</w:t>
      </w:r>
      <w:r w:rsidRPr="00903EED">
        <w:t>spår. Målsättningen bör var ett robust och oberoende socialför</w:t>
      </w:r>
      <w:r w:rsidRPr="00903EED">
        <w:softHyphen/>
        <w:t>säk</w:t>
      </w:r>
      <w:r w:rsidRPr="00903EED">
        <w:softHyphen/>
        <w:t>rings</w:t>
      </w:r>
      <w:r w:rsidRPr="00903EED">
        <w:softHyphen/>
        <w:t>system där förmåner och avgifter relaterar till varandra och inte på</w:t>
      </w:r>
      <w:r w:rsidRPr="00903EED">
        <w:softHyphen/>
        <w:t>verkas av finansi</w:t>
      </w:r>
      <w:r w:rsidRPr="00903EED">
        <w:t>e</w:t>
      </w:r>
      <w:r w:rsidRPr="00903EED">
        <w:t>ringen av de o</w:t>
      </w:r>
      <w:r w:rsidRPr="00903EED">
        <w:t>f</w:t>
      </w:r>
      <w:r w:rsidRPr="00903EED">
        <w:t xml:space="preserve">fentliga finanserna </w:t>
      </w:r>
    </w:p>
    <w:p w:rsidR="00F047E9" w:rsidRPr="00903EED" w:rsidRDefault="00F047E9">
      <w:pPr>
        <w:pStyle w:val="Normaltindrag"/>
      </w:pPr>
      <w:r w:rsidRPr="00903EED">
        <w:t>Som ett första steg i reformarbetet måste sjukskriv</w:t>
      </w:r>
      <w:r w:rsidRPr="00903EED">
        <w:softHyphen/>
        <w:t>ning</w:t>
      </w:r>
      <w:r w:rsidRPr="00903EED">
        <w:softHyphen/>
        <w:t>arna handhas på ett medicinskt genomtänkt sätt och behovet av sjukskrivning bestämmas av enbart medicinska överväganden. En fördjupad samverkan mellan försä</w:t>
      </w:r>
      <w:r w:rsidRPr="00903EED">
        <w:t>k</w:t>
      </w:r>
      <w:r w:rsidRPr="00903EED">
        <w:softHyphen/>
        <w:t>ringskassa, företagsläkare och arbetsledning kan bidra till en minskad använd</w:t>
      </w:r>
      <w:r w:rsidRPr="00903EED">
        <w:softHyphen/>
        <w:t>ning av sjukskrivningar. Vidare ger en genomtänkt an</w:t>
      </w:r>
      <w:r w:rsidRPr="00903EED">
        <w:softHyphen/>
        <w:t>vändning av sjukskri</w:t>
      </w:r>
      <w:r w:rsidRPr="00903EED">
        <w:t>v</w:t>
      </w:r>
      <w:r w:rsidRPr="00903EED">
        <w:softHyphen/>
        <w:t>ningen positiva effekter även för de långtidssjuka efter</w:t>
      </w:r>
      <w:r w:rsidRPr="00903EED">
        <w:softHyphen/>
        <w:t>som deras rehabilit</w:t>
      </w:r>
      <w:r w:rsidRPr="00903EED">
        <w:t>e</w:t>
      </w:r>
      <w:r w:rsidRPr="00903EED">
        <w:softHyphen/>
        <w:t>ring då kan prioriteras. Resur</w:t>
      </w:r>
      <w:r w:rsidRPr="00903EED">
        <w:softHyphen/>
        <w:t>ser bör även tillföras försäkringskas</w:t>
      </w:r>
      <w:r w:rsidRPr="00903EED">
        <w:softHyphen/>
        <w:t>sorna för att höja kvaliteten på verksamheten oc</w:t>
      </w:r>
      <w:r w:rsidRPr="00903EED">
        <w:t>h komma till rätta med de köproblem som föreligger. Försäkringskassorna bör dessutom ges större själv</w:t>
      </w:r>
      <w:r w:rsidRPr="00903EED">
        <w:softHyphen/>
        <w:t>ständighet samt ett tydligt ekonomiskt och finansi</w:t>
      </w:r>
      <w:r w:rsidRPr="00903EED">
        <w:softHyphen/>
        <w:t>ellt ansvar för rehabilite</w:t>
      </w:r>
      <w:r w:rsidRPr="00903EED">
        <w:softHyphen/>
        <w:t>ringsverk</w:t>
      </w:r>
      <w:r w:rsidRPr="00903EED">
        <w:softHyphen/>
        <w:t xml:space="preserve">samheten. </w:t>
      </w:r>
    </w:p>
    <w:p w:rsidR="00F047E9" w:rsidRPr="00903EED" w:rsidRDefault="00F047E9">
      <w:pPr>
        <w:pStyle w:val="Normaltindrag"/>
      </w:pPr>
      <w:r w:rsidRPr="00903EED">
        <w:t>Vi anser att kompensationen i sjukför</w:t>
      </w:r>
      <w:r w:rsidRPr="00903EED">
        <w:softHyphen/>
        <w:t>säkringen skall vara 75 % av den sjukpenninggrundande inkomsten (SGI) och att taket skall indexeras med inkomstbasbeloppet i stället för prisbas</w:t>
      </w:r>
      <w:r w:rsidRPr="00903EED">
        <w:softHyphen/>
        <w:t>beloppet. Vidare anser vi att ytterli</w:t>
      </w:r>
      <w:r w:rsidRPr="00903EED">
        <w:softHyphen/>
        <w:t>gare en karen</w:t>
      </w:r>
      <w:r w:rsidRPr="00903EED">
        <w:t>s</w:t>
      </w:r>
      <w:r w:rsidRPr="00903EED">
        <w:t>dag bör införas i sjukförsäkringen.</w:t>
      </w:r>
    </w:p>
    <w:p w:rsidR="00F047E9" w:rsidRPr="00903EED" w:rsidRDefault="00F047E9">
      <w:pPr>
        <w:pStyle w:val="Normaltindrag"/>
      </w:pPr>
      <w:r w:rsidRPr="00903EED">
        <w:t>De kostnader för sjukskrivning och rehabilitering som har sin grund i tr</w:t>
      </w:r>
      <w:r w:rsidRPr="00903EED">
        <w:t>a</w:t>
      </w:r>
      <w:r w:rsidRPr="00903EED">
        <w:softHyphen/>
        <w:t xml:space="preserve">fikolyckor bör föras över till trafikförsäkringen. Arbetsskadeförsäkringen bör  lyftas ut ur den offentliga försäkringen och dess avgifter anpassas till de risker olika företag skapar. </w:t>
      </w:r>
    </w:p>
    <w:p w:rsidR="00F047E9" w:rsidRPr="00903EED" w:rsidRDefault="00F047E9">
      <w:pPr>
        <w:pStyle w:val="Normaltindrag"/>
      </w:pPr>
      <w:r w:rsidRPr="00903EED">
        <w:t>Vad som nu anförts om en socialförsäkringsreform bör med bifall till m</w:t>
      </w:r>
      <w:r w:rsidRPr="00903EED">
        <w:t>o</w:t>
      </w:r>
      <w:r w:rsidRPr="00903EED">
        <w:softHyphen/>
        <w:t xml:space="preserve">tion Fi17 yrkande 13 ges regeringen till känna. </w:t>
      </w:r>
    </w:p>
    <w:p w:rsidR="00F047E9" w:rsidRPr="00903EED" w:rsidRDefault="00F047E9">
      <w:pPr>
        <w:pStyle w:val="Normaltindrag"/>
      </w:pPr>
      <w:r w:rsidRPr="00903EED">
        <w:t>Vi föreslår, i enlighet med motion Fi17 yrkande 5, att den prelimi</w:t>
      </w:r>
      <w:r w:rsidRPr="00903EED">
        <w:softHyphen/>
        <w:t>nära r</w:t>
      </w:r>
      <w:r w:rsidRPr="00903EED">
        <w:t>a</w:t>
      </w:r>
      <w:r w:rsidRPr="00903EED">
        <w:softHyphen/>
        <w:t>men för utgiftsområde 10 i förhål</w:t>
      </w:r>
      <w:r w:rsidRPr="00903EED">
        <w:softHyphen/>
        <w:t>lande till regeringens förslag mins</w:t>
      </w:r>
      <w:r w:rsidRPr="00903EED">
        <w:softHyphen/>
        <w:t>kas med 13 268 miljoner kronor för 2002, med 19 639 miljoner kronor för 2003 samt med 24 570 miljoner kronor för 2004.</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11 Ekonomisk trygghet vid ålderdom</w:t>
      </w:r>
    </w:p>
    <w:p w:rsidR="00F047E9" w:rsidRPr="00903EED" w:rsidRDefault="00F047E9">
      <w:r w:rsidRPr="00903EED">
        <w:t>Vi anser att utformningen av BTP har verkat kostnadsdrivande på framför allt kommunernas hyressättning. I stället för den aviserade höjningen av er</w:t>
      </w:r>
      <w:r w:rsidRPr="00903EED">
        <w:softHyphen/>
        <w:t>sätt</w:t>
      </w:r>
      <w:r w:rsidRPr="00903EED">
        <w:softHyphen/>
        <w:t>ningsnivån i BTP bör bostadstillägget ändras på så sätt att boendekostnader upp till 4 000 kr ersätts med 90 % av kostnaden. Dessutom bör den skäliga levnadsnivån i SBTP höjas med 12 procente</w:t>
      </w:r>
      <w:r w:rsidRPr="00903EED">
        <w:t>n</w:t>
      </w:r>
      <w:r w:rsidRPr="00903EED">
        <w:t>heter.</w:t>
      </w:r>
    </w:p>
    <w:p w:rsidR="00F047E9" w:rsidRPr="00903EED" w:rsidRDefault="00F047E9">
      <w:pPr>
        <w:pStyle w:val="Normaltindrag"/>
      </w:pPr>
      <w:r w:rsidRPr="00903EED">
        <w:t>Enligt vår mening bör folkpensionerna, för dem som var folkpen</w:t>
      </w:r>
      <w:r w:rsidRPr="00903EED">
        <w:softHyphen/>
        <w:t>sionärer under perioden 1993–1998, kompenseras med två extra procent av basbelo</w:t>
      </w:r>
      <w:r w:rsidRPr="00903EED">
        <w:t>p</w:t>
      </w:r>
      <w:r w:rsidRPr="00903EED">
        <w:t>pet under den kommande sexårsperioden. Detta till följd av den lägre inde</w:t>
      </w:r>
      <w:r w:rsidRPr="00903EED">
        <w:t>x</w:t>
      </w:r>
      <w:r w:rsidRPr="00903EED">
        <w:t>uppräkning som gjordes för den tidigare perioden. Vi anser vidare att i</w:t>
      </w:r>
      <w:r w:rsidRPr="00903EED">
        <w:t>n</w:t>
      </w:r>
      <w:r w:rsidRPr="00903EED">
        <w:t>komstprövningen av änkepensionerna bör tas bort.</w:t>
      </w:r>
    </w:p>
    <w:p w:rsidR="00F047E9" w:rsidRPr="00903EED" w:rsidRDefault="00F047E9">
      <w:pPr>
        <w:pStyle w:val="Normaltindrag"/>
      </w:pPr>
      <w:r w:rsidRPr="00903EED">
        <w:t>Vi föreslår, i enlighet med motion Fi17 yrkande 5, att den prelimi</w:t>
      </w:r>
      <w:r w:rsidRPr="00903EED">
        <w:softHyphen/>
        <w:t>nära r</w:t>
      </w:r>
      <w:r w:rsidRPr="00903EED">
        <w:t>a</w:t>
      </w:r>
      <w:r w:rsidRPr="00903EED">
        <w:softHyphen/>
        <w:t>men för utgiftsområde 11 i förhållande till regeringens förslag ökas med 180 miljoner kronor för 2002, med 580 miljo</w:t>
      </w:r>
      <w:r w:rsidRPr="00903EED">
        <w:softHyphen/>
        <w:t>ner kronor för 2003 samt med 880 milj</w:t>
      </w:r>
      <w:r w:rsidRPr="00903EED">
        <w:t>o</w:t>
      </w:r>
      <w:r w:rsidRPr="00903EED">
        <w:t>ner kronor för 2004.</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12 Ekonomisk trygghet för familjer och barn</w:t>
      </w:r>
    </w:p>
    <w:p w:rsidR="00F047E9" w:rsidRPr="00903EED" w:rsidRDefault="00F047E9">
      <w:r w:rsidRPr="00903EED">
        <w:t>Vi vill öka möjligheten för föräldrar att mer fritt disponera de skatte</w:t>
      </w:r>
      <w:r w:rsidRPr="00903EED">
        <w:softHyphen/>
        <w:t>pengar som i dag används för att stödja barnfamiljer på olika sätt. Därför bör ett särskilt barnomsorgskonto inrättas. Vidare bör avdragsrätt för styrkta bar</w:t>
      </w:r>
      <w:r w:rsidRPr="00903EED">
        <w:t>n</w:t>
      </w:r>
      <w:r w:rsidRPr="00903EED">
        <w:softHyphen/>
        <w:t>omsorgskostnader införas. Vi anser att någon förlängning i föräldraför</w:t>
      </w:r>
      <w:r w:rsidRPr="00903EED">
        <w:softHyphen/>
        <w:t>säk</w:t>
      </w:r>
      <w:r w:rsidRPr="00903EED">
        <w:softHyphen/>
        <w:t xml:space="preserve">ringen inte bör göras. Inte heller bör kontaktdagar återinföras eftersom detta ytterligare bidrar till ett system där alla tvingas att göra på samma sätt. </w:t>
      </w:r>
    </w:p>
    <w:p w:rsidR="00F047E9" w:rsidRPr="00903EED" w:rsidRDefault="00F047E9">
      <w:pPr>
        <w:pStyle w:val="Normaltindrag"/>
      </w:pPr>
      <w:r w:rsidRPr="00903EED">
        <w:t>Kompensationsnivån i föräldraförsäkringen bör vara 75 %, och taket bör indexeras med inkomstbasbeloppet i stället för pri</w:t>
      </w:r>
      <w:r w:rsidRPr="00903EED">
        <w:t>sbas</w:t>
      </w:r>
      <w:r w:rsidRPr="00903EED">
        <w:softHyphen/>
        <w:t xml:space="preserve">beloppet. </w:t>
      </w:r>
    </w:p>
    <w:p w:rsidR="00F047E9" w:rsidRPr="00903EED" w:rsidRDefault="00F047E9">
      <w:pPr>
        <w:pStyle w:val="Normaltindrag"/>
      </w:pPr>
      <w:r w:rsidRPr="00903EED">
        <w:t>Underhållsstödet bör ersättas med ett ensamstående</w:t>
      </w:r>
      <w:r w:rsidRPr="00903EED">
        <w:softHyphen/>
        <w:t>stöd. Detta stöd skall behovsprövas i förhållande till såväl underhålls- som boförälderns inkomst. Dessutom bör bidraget till kostnader för internationella adoptioner höjas till maxi</w:t>
      </w:r>
      <w:r w:rsidRPr="00903EED">
        <w:softHyphen/>
        <w:t xml:space="preserve">malt 55 000 kr. </w:t>
      </w:r>
    </w:p>
    <w:p w:rsidR="00F047E9" w:rsidRPr="00903EED" w:rsidRDefault="00F047E9">
      <w:pPr>
        <w:pStyle w:val="Normaltindrag"/>
      </w:pPr>
      <w:r w:rsidRPr="00903EED">
        <w:t>Vi föreslår med anledning av motion Fi17 yrkande 15 ett tillkänna</w:t>
      </w:r>
      <w:r w:rsidRPr="00903EED">
        <w:softHyphen/>
        <w:t>gi</w:t>
      </w:r>
      <w:r w:rsidRPr="00903EED">
        <w:softHyphen/>
        <w:t>vande om behovet av en politik som gör det lättare att förena arbete och fa</w:t>
      </w:r>
      <w:r w:rsidRPr="00903EED">
        <w:softHyphen/>
        <w:t>milj. Med anledning av motion Fi33 begär vi att riksdagen beslutar att arbetet genast inleds för att förändra familjepolitiken på ett sätt som är mera rättvist och inriktat på att stödja familjernas egna val.</w:t>
      </w:r>
    </w:p>
    <w:p w:rsidR="00F047E9" w:rsidRPr="00903EED" w:rsidRDefault="00F047E9">
      <w:pPr>
        <w:pStyle w:val="Normaltindrag"/>
      </w:pPr>
      <w:r w:rsidRPr="00903EED">
        <w:t>Vi föreslår, i enlighet med motion Fi17 yrkande 5, att den prelimi</w:t>
      </w:r>
      <w:r w:rsidRPr="00903EED">
        <w:softHyphen/>
        <w:t>nära r</w:t>
      </w:r>
      <w:r w:rsidRPr="00903EED">
        <w:t>a</w:t>
      </w:r>
      <w:r w:rsidRPr="00903EED">
        <w:softHyphen/>
        <w:t>men för utgiftsområde 12 i förhållande till regeringens förslag ökas med 158 miljoner kronor för 2002 och med 8 miljoner kronor för 2003 samt minskas med 92 mi</w:t>
      </w:r>
      <w:r w:rsidRPr="00903EED">
        <w:t>l</w:t>
      </w:r>
      <w:r w:rsidRPr="00903EED">
        <w:t>joner kronor för 2004.</w:t>
      </w:r>
    </w:p>
    <w:p w:rsidR="00F047E9" w:rsidRPr="00903EED" w:rsidRDefault="00F047E9"/>
    <w:p w:rsidR="00F047E9" w:rsidRPr="00903EED" w:rsidRDefault="00F047E9">
      <w:r w:rsidRPr="00903EED">
        <w:t>2. Rose-Marie Frebran och Magda Ayoub (båda kd) anser att utskottets ytt</w:t>
      </w:r>
      <w:r w:rsidRPr="00903EED">
        <w:softHyphen/>
        <w:t>ra</w:t>
      </w:r>
      <w:r w:rsidRPr="00903EED">
        <w:t>n</w:t>
      </w:r>
      <w:r w:rsidRPr="00903EED">
        <w:t>de i nedan angivna avseenden bort ha följande lydelse:</w:t>
      </w:r>
    </w:p>
    <w:p w:rsidR="00F047E9" w:rsidRPr="00903EED" w:rsidRDefault="00F047E9">
      <w:pPr>
        <w:rPr>
          <w:i/>
        </w:rPr>
      </w:pPr>
    </w:p>
    <w:p w:rsidR="00F047E9" w:rsidRPr="00903EED" w:rsidRDefault="00F047E9">
      <w:pPr>
        <w:rPr>
          <w:i/>
        </w:rPr>
      </w:pPr>
      <w:r w:rsidRPr="00903EED">
        <w:rPr>
          <w:i/>
        </w:rPr>
        <w:t>Utgiftsområde 8 Invandrare och flyktingar</w:t>
      </w:r>
    </w:p>
    <w:p w:rsidR="00F047E9" w:rsidRPr="00903EED" w:rsidRDefault="00F047E9">
      <w:r w:rsidRPr="00903EED">
        <w:t>Vi har tidigare ställt oss bakom att statsbidrag har lämnats till vissa komm</w:t>
      </w:r>
      <w:r w:rsidRPr="00903EED">
        <w:t>u</w:t>
      </w:r>
      <w:r w:rsidRPr="00903EED">
        <w:t>ner i framför allt storstadsregionerna för att stimulera till insatser i utsatta bo</w:t>
      </w:r>
      <w:r w:rsidRPr="00903EED">
        <w:softHyphen/>
        <w:t>stadsområden. Statsbidrag har lämnats sedan budgetåret 1995/96. Den avis</w:t>
      </w:r>
      <w:r w:rsidRPr="00903EED">
        <w:t>e</w:t>
      </w:r>
      <w:r w:rsidRPr="00903EED">
        <w:softHyphen/>
        <w:t>rade förlängningen av projektet, vilken skulle innebära ett anslag på 230 miljoner kronor 2003, bör däremot avvisas.</w:t>
      </w:r>
    </w:p>
    <w:p w:rsidR="00F047E9" w:rsidRPr="00903EED" w:rsidRDefault="00F047E9">
      <w:pPr>
        <w:pStyle w:val="Normaltindrag"/>
      </w:pPr>
      <w:r w:rsidRPr="00903EED">
        <w:t>Vi anser för vår del att det inte finns behov av ett särskilt integrationsverk. Detta verk bör således kunna läggas ned från den 1 juni 2002. Vissa av de uppgifter som har lagts på verket bör emellertid övertas av Migrationsverket, Ombu</w:t>
      </w:r>
      <w:r w:rsidRPr="00903EED">
        <w:t>dsmannen mot etnisk diskriminering och Riksförsä</w:t>
      </w:r>
      <w:r w:rsidRPr="00903EED">
        <w:t>k</w:t>
      </w:r>
      <w:r w:rsidRPr="00903EED">
        <w:t>ringsverket.</w:t>
      </w:r>
    </w:p>
    <w:p w:rsidR="00F047E9" w:rsidRPr="00903EED" w:rsidRDefault="00F047E9">
      <w:pPr>
        <w:pStyle w:val="Normaltindrag"/>
      </w:pPr>
      <w:r w:rsidRPr="00903EED">
        <w:t>Vi föreslår med anledning av motion Fi18 yrkande 7 att den preliminära ramen för utgiftsområde 8 i förhållande till regeringens förslag minskas med 43 miljoner kronor för  2002, med 297 miljoner kronor för 2003 och med 69 miljoner kr</w:t>
      </w:r>
      <w:r w:rsidRPr="00903EED">
        <w:t>o</w:t>
      </w:r>
      <w:r w:rsidRPr="00903EED">
        <w:t>nor för 2004.</w:t>
      </w:r>
    </w:p>
    <w:p w:rsidR="00F047E9" w:rsidRPr="00903EED" w:rsidRDefault="00F047E9">
      <w:pPr>
        <w:rPr>
          <w:i/>
        </w:rPr>
      </w:pPr>
    </w:p>
    <w:p w:rsidR="00F047E9" w:rsidRPr="00903EED" w:rsidRDefault="00F047E9">
      <w:pPr>
        <w:rPr>
          <w:b/>
          <w:i/>
        </w:rPr>
      </w:pPr>
      <w:r w:rsidRPr="00903EED">
        <w:rPr>
          <w:i/>
        </w:rPr>
        <w:t>Utgiftsområde 10 Ekon</w:t>
      </w:r>
      <w:r w:rsidRPr="00903EED">
        <w:rPr>
          <w:i/>
        </w:rPr>
        <w:t>o</w:t>
      </w:r>
      <w:r w:rsidRPr="00903EED">
        <w:rPr>
          <w:i/>
        </w:rPr>
        <w:t>misk trygghet vid sjukdom och handikapp</w:t>
      </w:r>
    </w:p>
    <w:p w:rsidR="00F047E9" w:rsidRPr="00903EED" w:rsidRDefault="00F047E9">
      <w:r w:rsidRPr="00903EED">
        <w:t>Vi anser att den rehabiliteringsförsäkring som föreslås i betän</w:t>
      </w:r>
      <w:r w:rsidRPr="00903EED">
        <w:softHyphen/>
        <w:t>kandet Rehab</w:t>
      </w:r>
      <w:r w:rsidRPr="00903EED">
        <w:t>i</w:t>
      </w:r>
      <w:r w:rsidRPr="00903EED">
        <w:softHyphen/>
        <w:t>litering till arbete (SOU 2000:78) i alla väsentliga huvuddrag bör ge</w:t>
      </w:r>
      <w:r w:rsidRPr="00903EED">
        <w:softHyphen/>
        <w:t>nomföras från den 1 juli 2002. Även om totalkostnaden ökar det första året leder refo</w:t>
      </w:r>
      <w:r w:rsidRPr="00903EED">
        <w:t>r</w:t>
      </w:r>
      <w:r w:rsidRPr="00903EED">
        <w:softHyphen/>
        <w:t>men till en net</w:t>
      </w:r>
      <w:r w:rsidRPr="00903EED">
        <w:softHyphen/>
        <w:t>tovinst i form av mins</w:t>
      </w:r>
      <w:r w:rsidRPr="00903EED">
        <w:softHyphen/>
        <w:t>kade utgifter för sjukpen</w:t>
      </w:r>
      <w:r w:rsidRPr="00903EED">
        <w:softHyphen/>
        <w:t>ning och förtid</w:t>
      </w:r>
      <w:r w:rsidRPr="00903EED">
        <w:t>s</w:t>
      </w:r>
      <w:r w:rsidRPr="00903EED">
        <w:t>pension.</w:t>
      </w:r>
    </w:p>
    <w:p w:rsidR="00F047E9" w:rsidRPr="00903EED" w:rsidRDefault="00F047E9">
      <w:pPr>
        <w:pStyle w:val="Normaltindrag"/>
      </w:pPr>
      <w:r w:rsidRPr="00903EED">
        <w:t>Vi föreslår ett nytt beräkningssätt för SGI som innebär att SGI be</w:t>
      </w:r>
      <w:r w:rsidRPr="00903EED">
        <w:softHyphen/>
        <w:t>räknas på snittinkoms</w:t>
      </w:r>
      <w:r w:rsidRPr="00903EED">
        <w:softHyphen/>
        <w:t>ten under de senaste två åren. Skattepliktiga förmåner och seme</w:t>
      </w:r>
      <w:r w:rsidRPr="00903EED">
        <w:t>s</w:t>
      </w:r>
      <w:r w:rsidRPr="00903EED">
        <w:t>terer</w:t>
      </w:r>
      <w:r w:rsidRPr="00903EED">
        <w:softHyphen/>
        <w:t xml:space="preserve">sättning skall vara SGI-grundande. Ytterligare en karensdag bör införas i sjukförsäkringen kombinerat med ett högriskskydd på tio dagar per år. </w:t>
      </w:r>
    </w:p>
    <w:p w:rsidR="00F047E9" w:rsidRPr="00903EED" w:rsidRDefault="00F047E9">
      <w:pPr>
        <w:pStyle w:val="Normaltindrag"/>
      </w:pPr>
      <w:r w:rsidRPr="00903EED">
        <w:t>De kostnader som har sin grund i trafikolycksfall bör föras över till trafi</w:t>
      </w:r>
      <w:r w:rsidRPr="00903EED">
        <w:t>k</w:t>
      </w:r>
      <w:r w:rsidRPr="00903EED">
        <w:softHyphen/>
        <w:t>försäkringen. Ett sådant alternativ innebär minskade utgifter med ca 4 milja</w:t>
      </w:r>
      <w:r w:rsidRPr="00903EED">
        <w:t>r</w:t>
      </w:r>
      <w:r w:rsidRPr="00903EED">
        <w:t xml:space="preserve">der kronor. </w:t>
      </w:r>
    </w:p>
    <w:p w:rsidR="00F047E9" w:rsidRPr="00903EED" w:rsidRDefault="00F047E9">
      <w:pPr>
        <w:pStyle w:val="Normaltindrag"/>
      </w:pPr>
      <w:r w:rsidRPr="00903EED">
        <w:t>Vi föreslår, i enlighet med motion Fi18 yrkande 7, att den prelimi</w:t>
      </w:r>
      <w:r w:rsidRPr="00903EED">
        <w:softHyphen/>
        <w:t>nära r</w:t>
      </w:r>
      <w:r w:rsidRPr="00903EED">
        <w:t>a</w:t>
      </w:r>
      <w:r w:rsidRPr="00903EED">
        <w:softHyphen/>
        <w:t>men för utgiftsområde 10 i förhållande till regeringens förslag minskas med 5 990 miljoner kronor för 2002, med 7 285 miljoner kronor för 2003 samt med 9 475 miljoner kronor för 2004.</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11 Ekonomisk trygghet vid ålderdom</w:t>
      </w:r>
    </w:p>
    <w:p w:rsidR="00F047E9" w:rsidRPr="00903EED" w:rsidRDefault="00F047E9">
      <w:r w:rsidRPr="00903EED">
        <w:t>Vi anser att inkomstprövningen vid beräkning av änkepension bör avskaffas samt att omställningspensionen bör återställas till tolv månader redan 2002. Vidare bör innehav av fritidsfastighet inte räk</w:t>
      </w:r>
      <w:r w:rsidRPr="00903EED">
        <w:softHyphen/>
        <w:t>nas med i inkomst</w:t>
      </w:r>
      <w:r w:rsidRPr="00903EED">
        <w:softHyphen/>
        <w:t>prövningen av bostadstillägg till pensi</w:t>
      </w:r>
      <w:r w:rsidRPr="00903EED">
        <w:t>o</w:t>
      </w:r>
      <w:r w:rsidRPr="00903EED">
        <w:t xml:space="preserve">närer. </w:t>
      </w:r>
    </w:p>
    <w:p w:rsidR="00F047E9" w:rsidRPr="00903EED" w:rsidRDefault="00F047E9">
      <w:pPr>
        <w:pStyle w:val="Normaltindrag"/>
      </w:pPr>
      <w:r w:rsidRPr="00903EED">
        <w:t>För att förbättra de sämst ställda pensionärernas ekonomi anser vi att pe</w:t>
      </w:r>
      <w:r w:rsidRPr="00903EED">
        <w:t>n</w:t>
      </w:r>
      <w:r w:rsidRPr="00903EED">
        <w:softHyphen/>
        <w:t>sionstillskottet bör höjas med 200 kr per månad 2002.</w:t>
      </w:r>
    </w:p>
    <w:p w:rsidR="00F047E9" w:rsidRPr="00903EED" w:rsidRDefault="00F047E9">
      <w:pPr>
        <w:pStyle w:val="Normaltindrag"/>
      </w:pPr>
      <w:r w:rsidRPr="00903EED">
        <w:t>Vi föreslår, i enlighet med motion Fi18 yrkande 7, att den prelimi</w:t>
      </w:r>
      <w:r w:rsidRPr="00903EED">
        <w:softHyphen/>
        <w:t>nära r</w:t>
      </w:r>
      <w:r w:rsidRPr="00903EED">
        <w:t>a</w:t>
      </w:r>
      <w:r w:rsidRPr="00903EED">
        <w:t>men för utgiftsområde 11 i för</w:t>
      </w:r>
      <w:r w:rsidRPr="00903EED">
        <w:softHyphen/>
        <w:t>hållande till regeringens förslag ökas med 1 920 miljoner kronor för 2002, med 1 213 miljoner kronor för 2003 samt med 1 320 miljoner kronor för 2004.</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12 Ekonomisk trygghet för familjer och barn</w:t>
      </w:r>
    </w:p>
    <w:p w:rsidR="00F047E9" w:rsidRPr="00903EED" w:rsidRDefault="00F047E9">
      <w:r w:rsidRPr="00903EED">
        <w:t>Enligt vår mening skall familjen ha rätt att själv välja barnomsorg</w:t>
      </w:r>
      <w:r w:rsidRPr="00903EED">
        <w:t>s</w:t>
      </w:r>
      <w:r w:rsidRPr="00903EED">
        <w:t>form inklu</w:t>
      </w:r>
      <w:r w:rsidRPr="00903EED">
        <w:softHyphen/>
        <w:t>sive egen omsorg i hemmet. Vi anser att garantinivån i föräldra</w:t>
      </w:r>
      <w:r w:rsidRPr="00903EED">
        <w:softHyphen/>
        <w:t>försäkringen bör höjas i två steg till 200 kr 2004.</w:t>
      </w:r>
    </w:p>
    <w:p w:rsidR="00F047E9" w:rsidRPr="00903EED" w:rsidRDefault="00F047E9">
      <w:pPr>
        <w:pStyle w:val="Normaltindrag"/>
      </w:pPr>
      <w:r w:rsidRPr="00903EED">
        <w:t>Kontaktda</w:t>
      </w:r>
      <w:r w:rsidRPr="00903EED">
        <w:softHyphen/>
        <w:t>garna i föräldraförsäkringen bör återinföras, och vi anser att fö</w:t>
      </w:r>
      <w:r w:rsidRPr="00903EED">
        <w:t>r</w:t>
      </w:r>
      <w:r w:rsidRPr="00903EED">
        <w:softHyphen/>
        <w:t>äldrar från 2002 bör ges möjlighet att ta ut två kontaktda</w:t>
      </w:r>
      <w:r w:rsidRPr="00903EED">
        <w:softHyphen/>
        <w:t>gar per barn och år för barn mellan fyra och tolv år. Från 2004 bör denna möjlighet ges vad b</w:t>
      </w:r>
      <w:r w:rsidRPr="00903EED">
        <w:t>e</w:t>
      </w:r>
      <w:r w:rsidRPr="00903EED">
        <w:softHyphen/>
        <w:t>träffar barn mellan fyra och femton år.</w:t>
      </w:r>
    </w:p>
    <w:p w:rsidR="00F047E9" w:rsidRPr="00903EED" w:rsidRDefault="00F047E9">
      <w:pPr>
        <w:pStyle w:val="Normaltindrag"/>
      </w:pPr>
      <w:r w:rsidRPr="00903EED">
        <w:t>Vidare anser vi att på motsvarande sätt som inom utgiftsområde 10 ett nytt beräkningssätt för SGI bör införas, vilket innebär att SGI skall beräknas på snittinkoms</w:t>
      </w:r>
      <w:r w:rsidRPr="00903EED">
        <w:softHyphen/>
        <w:t>ten under de senaste två åren samt att skattepliktiga förmåner och s</w:t>
      </w:r>
      <w:r w:rsidRPr="00903EED">
        <w:t>e</w:t>
      </w:r>
      <w:r w:rsidRPr="00903EED">
        <w:t>mesterer</w:t>
      </w:r>
      <w:r w:rsidRPr="00903EED">
        <w:softHyphen/>
        <w:t xml:space="preserve">sättning skall vara SGI-grundande. </w:t>
      </w:r>
    </w:p>
    <w:p w:rsidR="00F047E9" w:rsidRPr="00903EED" w:rsidRDefault="00F047E9">
      <w:pPr>
        <w:pStyle w:val="Normaltindrag"/>
      </w:pPr>
      <w:r w:rsidRPr="00903EED">
        <w:t>Vi föreslår, i enlighet med motion Fi18 yrkande 7, att den prelimi</w:t>
      </w:r>
      <w:r w:rsidRPr="00903EED">
        <w:softHyphen/>
        <w:t>nära r</w:t>
      </w:r>
      <w:r w:rsidRPr="00903EED">
        <w:t>a</w:t>
      </w:r>
      <w:r w:rsidRPr="00903EED">
        <w:softHyphen/>
        <w:t>men för utgiftsområde 12 i för</w:t>
      </w:r>
      <w:r w:rsidRPr="00903EED">
        <w:softHyphen/>
        <w:t>hållande till regeringens förslag ökas med 641 miljoner kronor för 2002, med 301 miljoner kronor för 2003 samt med 451 miljo</w:t>
      </w:r>
      <w:r w:rsidRPr="00903EED">
        <w:softHyphen/>
        <w:t xml:space="preserve">ner kronor för 2004. </w:t>
      </w:r>
    </w:p>
    <w:p w:rsidR="00F047E9" w:rsidRPr="00903EED" w:rsidRDefault="00F047E9">
      <w:pPr>
        <w:pStyle w:val="Normaltindrag"/>
      </w:pPr>
    </w:p>
    <w:p w:rsidR="00F047E9" w:rsidRPr="00903EED" w:rsidRDefault="00F047E9">
      <w:r w:rsidRPr="00903EED">
        <w:rPr>
          <w:i/>
        </w:rPr>
        <w:t>Socialavgifter</w:t>
      </w:r>
    </w:p>
    <w:p w:rsidR="00F047E9" w:rsidRPr="00903EED" w:rsidRDefault="00F047E9">
      <w:r w:rsidRPr="00903EED">
        <w:t>Arbetgivaravgifterna bör enligt vår mening sänkas med 10 procentenheter på lönesummor upp till 900 000 kr per år från 2002. För egenföretagare utökas den nedsättningsberätti</w:t>
      </w:r>
      <w:r w:rsidRPr="00903EED">
        <w:softHyphen/>
        <w:t>gade lönesumman till 250 000 kr per år. Förslaget skall gälla alla företag men främst är det småföretagen som gynnas. De för</w:t>
      </w:r>
      <w:r w:rsidRPr="00903EED">
        <w:t>e</w:t>
      </w:r>
      <w:r w:rsidRPr="00903EED">
        <w:t>tag som i dag tvekar om de skall våga nyanställa får enligt utskottet med detta förslag klart bättre möjligheter att våga satsa på utvec</w:t>
      </w:r>
      <w:r w:rsidRPr="00903EED">
        <w:t>k</w:t>
      </w:r>
      <w:r w:rsidRPr="00903EED">
        <w:t>ling och ny</w:t>
      </w:r>
      <w:r w:rsidRPr="00903EED">
        <w:softHyphen/>
        <w:t>anställningar.</w:t>
      </w:r>
    </w:p>
    <w:p w:rsidR="00F047E9" w:rsidRPr="00903EED" w:rsidRDefault="00F047E9">
      <w:pPr>
        <w:pStyle w:val="Normaltindrag"/>
      </w:pPr>
      <w:r w:rsidRPr="00903EED">
        <w:t>Vi föreslår, i enlighet med motion Fi18 yrkande 5, att riksdagen godkänner detta som riktlinje för regeringens budgeta</w:t>
      </w:r>
      <w:r w:rsidRPr="00903EED">
        <w:t>r</w:t>
      </w:r>
      <w:r w:rsidRPr="00903EED">
        <w:t>bete.</w:t>
      </w:r>
    </w:p>
    <w:p w:rsidR="00F047E9" w:rsidRPr="00903EED" w:rsidRDefault="00F047E9">
      <w:pPr>
        <w:pStyle w:val="Normaltindrag"/>
        <w:ind w:firstLine="0"/>
      </w:pPr>
    </w:p>
    <w:p w:rsidR="00F047E9" w:rsidRPr="00903EED" w:rsidRDefault="00F047E9">
      <w:pPr>
        <w:pStyle w:val="Normaltindrag"/>
        <w:ind w:firstLine="0"/>
        <w:rPr>
          <w:b/>
          <w:i/>
        </w:rPr>
      </w:pPr>
      <w:r w:rsidRPr="00903EED">
        <w:t>3. Birgitta Carlsson (c) anser att utskottets yttrande i nedan angivna avsee</w:t>
      </w:r>
      <w:r w:rsidRPr="00903EED">
        <w:t>n</w:t>
      </w:r>
      <w:r w:rsidRPr="00903EED">
        <w:softHyphen/>
        <w:t>den bort ha följande lydelse:</w:t>
      </w:r>
    </w:p>
    <w:p w:rsidR="00F047E9" w:rsidRPr="00903EED" w:rsidRDefault="00F047E9">
      <w:pPr>
        <w:rPr>
          <w:i/>
        </w:rPr>
      </w:pPr>
    </w:p>
    <w:p w:rsidR="00F047E9" w:rsidRPr="00903EED" w:rsidRDefault="00F047E9">
      <w:pPr>
        <w:rPr>
          <w:i/>
        </w:rPr>
      </w:pPr>
      <w:r w:rsidRPr="00903EED">
        <w:rPr>
          <w:i/>
        </w:rPr>
        <w:t>Utgiftsområde 8 Invandrare och flyktingar</w:t>
      </w:r>
    </w:p>
    <w:p w:rsidR="00F047E9" w:rsidRPr="00903EED" w:rsidRDefault="00F047E9">
      <w:r w:rsidRPr="00903EED">
        <w:t>Vi anser att Sverige måste driva en öppen och generös flyktingpolitik. Det är enligt vår mening viktigt att asylproceduren förbättras och rättssäkerheten ökar. De alltför långa väntetiderna är ett tecken på att området måste ses över i syfte att modernisera och effektivisera flyktingmottagandet. Vidare bör Utlänningsnämnden avvecklas och asylärendena föras över till förvaltning</w:t>
      </w:r>
      <w:r w:rsidRPr="00903EED">
        <w:t>s</w:t>
      </w:r>
      <w:r w:rsidRPr="00903EED">
        <w:softHyphen/>
        <w:t xml:space="preserve">domstolarna. </w:t>
      </w:r>
    </w:p>
    <w:p w:rsidR="00F047E9" w:rsidRPr="00903EED" w:rsidRDefault="00F047E9">
      <w:pPr>
        <w:pStyle w:val="Normaltindrag"/>
      </w:pPr>
      <w:r w:rsidRPr="00903EED">
        <w:t>Samhället bör stimulera lösningar som bygger på kontakter mellan nya</w:t>
      </w:r>
      <w:r w:rsidRPr="00903EED">
        <w:t>n</w:t>
      </w:r>
      <w:r w:rsidRPr="00903EED">
        <w:softHyphen/>
        <w:t>lända och människor i det omgivande samhället. Enligt vår mening kan åtgä</w:t>
      </w:r>
      <w:r w:rsidRPr="00903EED">
        <w:t>r</w:t>
      </w:r>
      <w:r w:rsidRPr="00903EED">
        <w:softHyphen/>
        <w:t>der som innebär ökade möjligheter för flyktingar att delta i arbete, en högre grad av frivilliginsatser och effektiviseringar i Migrationsverkets administr</w:t>
      </w:r>
      <w:r w:rsidRPr="00903EED">
        <w:t>a</w:t>
      </w:r>
      <w:r w:rsidRPr="00903EED">
        <w:softHyphen/>
        <w:t>tion leda till minskade utgifter totalt sett.</w:t>
      </w:r>
    </w:p>
    <w:p w:rsidR="00F047E9" w:rsidRPr="00903EED" w:rsidRDefault="00F047E9">
      <w:pPr>
        <w:pStyle w:val="Normaltindrag"/>
      </w:pPr>
      <w:r w:rsidRPr="00903EED">
        <w:t xml:space="preserve">Vi föreslår med anledning av motion Fi19 yrkande 4 att den preliminära ramen för utgiftsområde 8 i förhållande till regeringens förslag minskas med 450 miljoner kronor för 2002, med 565 miljoner kronor för 2003 och med 335 miljoner </w:t>
      </w:r>
      <w:r w:rsidRPr="00903EED">
        <w:t>kronor för 2004.</w:t>
      </w:r>
    </w:p>
    <w:p w:rsidR="00F047E9" w:rsidRPr="00903EED" w:rsidRDefault="00F047E9">
      <w:pPr>
        <w:rPr>
          <w:i/>
        </w:rPr>
      </w:pPr>
    </w:p>
    <w:p w:rsidR="00F047E9" w:rsidRPr="00903EED" w:rsidRDefault="00F047E9">
      <w:pPr>
        <w:rPr>
          <w:b/>
          <w:i/>
        </w:rPr>
      </w:pPr>
      <w:r w:rsidRPr="00903EED">
        <w:rPr>
          <w:i/>
        </w:rPr>
        <w:t>Utgiftsområde 10 Ekon</w:t>
      </w:r>
      <w:r w:rsidRPr="00903EED">
        <w:rPr>
          <w:i/>
        </w:rPr>
        <w:t>o</w:t>
      </w:r>
      <w:r w:rsidRPr="00903EED">
        <w:rPr>
          <w:i/>
        </w:rPr>
        <w:t>misk trygghet vid sjukdom och handikapp</w:t>
      </w:r>
    </w:p>
    <w:p w:rsidR="00F047E9" w:rsidRPr="00903EED" w:rsidRDefault="00F047E9">
      <w:r w:rsidRPr="00903EED">
        <w:t>Vi  förespråkar en övergång från passivt stöd till aktiva åtgärder. Därför före</w:t>
      </w:r>
      <w:r w:rsidRPr="00903EED">
        <w:softHyphen/>
        <w:t>slås att 3,3 miljarder kronor överförs från sjukpenningen till reh</w:t>
      </w:r>
      <w:r w:rsidRPr="00903EED">
        <w:t>a</w:t>
      </w:r>
      <w:r w:rsidRPr="00903EED">
        <w:t>bilite</w:t>
      </w:r>
      <w:r w:rsidRPr="00903EED">
        <w:softHyphen/>
        <w:t>ringsersättning och rehabiliteringsstöd. Den finansi</w:t>
      </w:r>
      <w:r w:rsidRPr="00903EED">
        <w:softHyphen/>
        <w:t>ella samordningen bör påskyndas och utökas samt ske med utgångspunkt från de lokala förutsät</w:t>
      </w:r>
      <w:r w:rsidRPr="00903EED">
        <w:t>t</w:t>
      </w:r>
      <w:r w:rsidRPr="00903EED">
        <w:softHyphen/>
        <w:t>ningarna så att de olika organisationernas specifika erfarenhe</w:t>
      </w:r>
      <w:r w:rsidRPr="00903EED">
        <w:softHyphen/>
        <w:t>ter tas till vara. Vi anser att en växling av sjukpenning till rehabilite</w:t>
      </w:r>
      <w:r w:rsidRPr="00903EED">
        <w:softHyphen/>
        <w:t>ringsstöd bör ske senast efter fyra månaders sjukskrivning. Förslaget medför enligt Rehab</w:t>
      </w:r>
      <w:r w:rsidRPr="00903EED">
        <w:t>i</w:t>
      </w:r>
      <w:r w:rsidRPr="00903EED">
        <w:t>lite</w:t>
      </w:r>
      <w:r w:rsidRPr="00903EED">
        <w:softHyphen/>
        <w:t>ringsut</w:t>
      </w:r>
      <w:r w:rsidRPr="00903EED">
        <w:softHyphen/>
        <w:t>redningen (SOU 2000:78) sänkta kostnader för sjukp</w:t>
      </w:r>
      <w:r w:rsidRPr="00903EED">
        <w:t>enningen med 2,5 mil</w:t>
      </w:r>
      <w:r w:rsidRPr="00903EED">
        <w:softHyphen/>
        <w:t>jarder kronor för 2002. SGI bör beräknas på histo</w:t>
      </w:r>
      <w:r w:rsidRPr="00903EED">
        <w:softHyphen/>
        <w:t>risk in</w:t>
      </w:r>
      <w:r w:rsidRPr="00903EED">
        <w:softHyphen/>
        <w:t>komst, varmed utgi</w:t>
      </w:r>
      <w:r w:rsidRPr="00903EED">
        <w:t>f</w:t>
      </w:r>
      <w:r w:rsidRPr="00903EED">
        <w:t>terna minskar med 1 670 miljoner kronor 2002. Vidare bör en besparing ske med 70 miljoner kronor per år inom Riksförsäk</w:t>
      </w:r>
      <w:r w:rsidRPr="00903EED">
        <w:softHyphen/>
        <w:t>ringsverkets administr</w:t>
      </w:r>
      <w:r w:rsidRPr="00903EED">
        <w:t>a</w:t>
      </w:r>
      <w:r w:rsidRPr="00903EED">
        <w:softHyphen/>
        <w:t>tion.</w:t>
      </w:r>
    </w:p>
    <w:p w:rsidR="00F047E9" w:rsidRPr="00903EED" w:rsidRDefault="00F047E9">
      <w:pPr>
        <w:pStyle w:val="Normaltindrag"/>
      </w:pPr>
      <w:r w:rsidRPr="00903EED">
        <w:t>Vi anser dessutom att sjuklöneperioden för arbetsgivare inom den of</w:t>
      </w:r>
      <w:r w:rsidRPr="00903EED">
        <w:softHyphen/>
        <w:t>fent</w:t>
      </w:r>
      <w:r w:rsidRPr="00903EED">
        <w:softHyphen/>
        <w:t>liga sektorn bör förlängas till två månader. Härigenom måste arbetsgi</w:t>
      </w:r>
      <w:r w:rsidRPr="00903EED">
        <w:softHyphen/>
        <w:t>varna ta ett större ansvar för arbetsmiljön, vilket kommer att minska sjuktalen. En sänkning av arbetsgivaravgiften görs för att kompensera den ökade kost</w:t>
      </w:r>
      <w:r w:rsidRPr="00903EED">
        <w:softHyphen/>
        <w:t>naden. Förslaget medför sänkta kostnader för sjukpenningen med drygt 3,6 miljarder kronor.</w:t>
      </w:r>
    </w:p>
    <w:p w:rsidR="00F047E9" w:rsidRPr="00903EED" w:rsidRDefault="00F047E9">
      <w:pPr>
        <w:pStyle w:val="Normaltindrag"/>
      </w:pPr>
      <w:r w:rsidRPr="00903EED">
        <w:t>Vi föreslår, i enlighet motion Fi19 yrkande 4, att den preliminära ramen i förhål</w:t>
      </w:r>
      <w:r w:rsidRPr="00903EED">
        <w:softHyphen/>
        <w:t>lande till regeringens förslag minskas med 5 740 miljoner kronor för  2002, med 8 070 miljoner kronor för 2003 samt med 9 900 miljoner kronor för  2004.</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11 Ekonomisk trygghet vid ålderdom</w:t>
      </w:r>
    </w:p>
    <w:p w:rsidR="00F047E9" w:rsidRPr="00903EED" w:rsidRDefault="00F047E9">
      <w:r w:rsidRPr="00903EED">
        <w:t>Enligt vår uppfattning bör i stället för den aviserade höjningen av er</w:t>
      </w:r>
      <w:r w:rsidRPr="00903EED">
        <w:softHyphen/>
        <w:t>sätt</w:t>
      </w:r>
      <w:r w:rsidRPr="00903EED">
        <w:softHyphen/>
        <w:t>ningsnivån i BTP bostadstillägget ändras på så sätt att boendekostnader upp till 4 000 kr ersätts med 80 % av kostnaden. Vi förordar vidare en generell höjning av pen</w:t>
      </w:r>
      <w:r w:rsidRPr="00903EED">
        <w:softHyphen/>
        <w:t>sionstillskottet med 6 000 kr för 2002. Från och med 2003 när det nya pensionssystemet träder i kraft bör dessutom grundpensionen höjas med 6 000 kr.</w:t>
      </w:r>
    </w:p>
    <w:p w:rsidR="00F047E9" w:rsidRPr="00903EED" w:rsidRDefault="00F047E9">
      <w:pPr>
        <w:pStyle w:val="Normaltindrag"/>
      </w:pPr>
      <w:r w:rsidRPr="00903EED">
        <w:t>Vi föreslår, i enlighet med motion Fi19 yrkande 4, att den prelimi</w:t>
      </w:r>
      <w:r w:rsidRPr="00903EED">
        <w:softHyphen/>
        <w:t>nära r</w:t>
      </w:r>
      <w:r w:rsidRPr="00903EED">
        <w:t>a</w:t>
      </w:r>
      <w:r w:rsidRPr="00903EED">
        <w:softHyphen/>
        <w:t>men i förhållande till regeringens förslag ökas med 790 miljoner kro</w:t>
      </w:r>
      <w:r w:rsidRPr="00903EED">
        <w:softHyphen/>
        <w:t>nor för  2002, med 380 miljo</w:t>
      </w:r>
      <w:r w:rsidRPr="00903EED">
        <w:softHyphen/>
        <w:t xml:space="preserve">ner kronor för  2003 samt med 380 miljoner kronor för  2004. </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12 Ekonomisk trygghet för familjer och barn</w:t>
      </w:r>
    </w:p>
    <w:p w:rsidR="00F047E9" w:rsidRPr="00903EED" w:rsidRDefault="00F047E9">
      <w:r w:rsidRPr="00903EED">
        <w:t>Vi anser att familjepolitiken bör förnyas så att den utgår från barnens och familjernas behov. Ett barnomsorgskonto i kombination med avdragsrätt för styrkta barnomsorgskostnader bör införas. Föräldrarna bör ges möjlighet att använda medlen för att kunna minska sin arbetstid, delta i förskolans akt</w:t>
      </w:r>
      <w:r w:rsidRPr="00903EED">
        <w:t>i</w:t>
      </w:r>
      <w:r w:rsidRPr="00903EED">
        <w:softHyphen/>
        <w:t>vi</w:t>
      </w:r>
      <w:r w:rsidRPr="00903EED">
        <w:softHyphen/>
        <w:t>teter, köpa barnomsorgstjänster m.m.</w:t>
      </w:r>
    </w:p>
    <w:p w:rsidR="00F047E9" w:rsidRPr="00903EED" w:rsidRDefault="00F047E9">
      <w:pPr>
        <w:pStyle w:val="Normaltindrag"/>
      </w:pPr>
      <w:r w:rsidRPr="00903EED">
        <w:t>Vi anser vidare att garantinivån i föräldraförsäkringen bör höjas från 60 till 200 kronor per dag under de första 390 dagarna. SGI bör beräknas på hist</w:t>
      </w:r>
      <w:r w:rsidRPr="00903EED">
        <w:t>o</w:t>
      </w:r>
      <w:r w:rsidRPr="00903EED">
        <w:softHyphen/>
        <w:t>risk inkomst, varmed utgifterna minskar med 710 mil</w:t>
      </w:r>
      <w:r w:rsidRPr="00903EED">
        <w:softHyphen/>
        <w:t>joner kronor. Vi anser att någon förlängning i föräldraför</w:t>
      </w:r>
      <w:r w:rsidRPr="00903EED">
        <w:softHyphen/>
        <w:t>säkringen inte bör göras.</w:t>
      </w:r>
    </w:p>
    <w:p w:rsidR="00F047E9" w:rsidRPr="00903EED" w:rsidRDefault="00F047E9">
      <w:pPr>
        <w:pStyle w:val="Normaltindrag"/>
      </w:pPr>
      <w:r w:rsidRPr="00903EED">
        <w:t xml:space="preserve"> Vad som nu anförts bör riksdagen med bifall till motion Fi19 yrkande 13 ge regeringen till känna. </w:t>
      </w:r>
    </w:p>
    <w:p w:rsidR="00F047E9" w:rsidRPr="00903EED" w:rsidRDefault="00F047E9">
      <w:pPr>
        <w:pStyle w:val="Normaltindrag"/>
      </w:pPr>
      <w:r w:rsidRPr="00903EED">
        <w:t>Vi föreslår, i enlighet med motion Fi19 yrkande 4, att den prelimi</w:t>
      </w:r>
      <w:r w:rsidRPr="00903EED">
        <w:softHyphen/>
        <w:t>nära r</w:t>
      </w:r>
      <w:r w:rsidRPr="00903EED">
        <w:t>a</w:t>
      </w:r>
      <w:r w:rsidRPr="00903EED">
        <w:softHyphen/>
        <w:t>men i förhållande till regeringens förslag ökas med 1 520 miljoner kronor för 2002, med 1 410 miljoner kronor för 2003 samt med 1 300 miljoner kronor för 2004.</w:t>
      </w:r>
    </w:p>
    <w:p w:rsidR="00F047E9" w:rsidRPr="00903EED" w:rsidRDefault="00F047E9">
      <w:pPr>
        <w:rPr>
          <w:i/>
        </w:rPr>
      </w:pPr>
    </w:p>
    <w:p w:rsidR="00F047E9" w:rsidRPr="00903EED" w:rsidRDefault="00F047E9">
      <w:pPr>
        <w:rPr>
          <w:i/>
        </w:rPr>
      </w:pPr>
      <w:r w:rsidRPr="00903EED">
        <w:rPr>
          <w:i/>
        </w:rPr>
        <w:t>Socialavgifter</w:t>
      </w:r>
    </w:p>
    <w:p w:rsidR="00F047E9" w:rsidRPr="00903EED" w:rsidRDefault="00F047E9">
      <w:r w:rsidRPr="00903EED">
        <w:t>Vi anser att arbetsgivaravgifterna bör sänkas. En nedsättning kommer att stimulera alla företag men framför allt kommer små företag att utvecklas. I stället för nuvarande nedsättning på 5 % bör nedsättningen utökas till 10 % på lönesummor upp till två miljoner kronor. Nedsättningen skall även gälla egenföretagare upp till en lönesumma på 300 000 kr.</w:t>
      </w:r>
    </w:p>
    <w:p w:rsidR="00F047E9" w:rsidRPr="00903EED" w:rsidRDefault="00F047E9">
      <w:pPr>
        <w:pStyle w:val="Normaltindrag"/>
      </w:pPr>
      <w:r w:rsidRPr="00903EED">
        <w:t>Vad som anförts bör riksdagen med bifall till motion Fi19 yrkande 5 som sin mening ge regeringen till känna.</w:t>
      </w:r>
    </w:p>
    <w:p w:rsidR="00F047E9" w:rsidRPr="00903EED" w:rsidRDefault="00F047E9"/>
    <w:p w:rsidR="00F047E9" w:rsidRPr="00903EED" w:rsidRDefault="00F047E9">
      <w:pPr>
        <w:pStyle w:val="Normaltindrag"/>
      </w:pPr>
    </w:p>
    <w:p w:rsidR="00F047E9" w:rsidRPr="00903EED" w:rsidRDefault="00F047E9">
      <w:pPr>
        <w:pStyle w:val="Normaltindrag"/>
      </w:pPr>
    </w:p>
    <w:p w:rsidR="00F047E9" w:rsidRPr="00903EED" w:rsidRDefault="00F047E9">
      <w:pPr>
        <w:pStyle w:val="Normaltindrag"/>
      </w:pPr>
    </w:p>
    <w:p w:rsidR="00F047E9" w:rsidRPr="00903EED" w:rsidRDefault="00F047E9">
      <w:r w:rsidRPr="00903EED">
        <w:t>4. Bo Könberg (fp) anser att utskottets yttrande i nedan angivna avseenden bort ha följande lydelse:</w:t>
      </w:r>
    </w:p>
    <w:p w:rsidR="00F047E9" w:rsidRPr="00903EED" w:rsidRDefault="00F047E9">
      <w:pPr>
        <w:rPr>
          <w:i/>
        </w:rPr>
      </w:pPr>
    </w:p>
    <w:p w:rsidR="00F047E9" w:rsidRPr="00903EED" w:rsidRDefault="00F047E9">
      <w:pPr>
        <w:rPr>
          <w:i/>
        </w:rPr>
      </w:pPr>
      <w:r w:rsidRPr="00903EED">
        <w:rPr>
          <w:i/>
        </w:rPr>
        <w:t>Utgiftsområde 8 Invandrare och flyktingar</w:t>
      </w:r>
    </w:p>
    <w:p w:rsidR="00F047E9" w:rsidRPr="00903EED" w:rsidRDefault="00F047E9">
      <w:r w:rsidRPr="00903EED">
        <w:t>Vi anser att det är hög tid att bryta utvecklingen mot en ökande segregering och utanförskap i samhället. Den viktigaste grunden för integration är att människor kan styra sin egen tillvaro genom möjligheter till egen försörjning. För att kunna nå detta mål krävs bl.a. en ny politik för att främja arbete och företagande. Vidare är utbildningsmöjligheterna avgörande. En utbildning</w:t>
      </w:r>
      <w:r w:rsidRPr="00903EED">
        <w:t>s</w:t>
      </w:r>
      <w:r w:rsidRPr="00903EED">
        <w:softHyphen/>
        <w:t>politik som sätter eleverna och deras kunskaper i centrum hör till de mest väsentliga faktorerna för att skapa jämlika livsvillkor.</w:t>
      </w:r>
    </w:p>
    <w:p w:rsidR="00F047E9" w:rsidRPr="00903EED" w:rsidRDefault="00F047E9">
      <w:pPr>
        <w:pStyle w:val="Normaltindrag"/>
      </w:pPr>
      <w:r w:rsidRPr="00903EED">
        <w:t>Vad som anförts om behovet av ökad integration av invandrare bör med bifall till motion Fi20 yrkande 20 ges regeringen till känna.</w:t>
      </w:r>
    </w:p>
    <w:p w:rsidR="00F047E9" w:rsidRPr="00903EED" w:rsidRDefault="00F047E9">
      <w:pPr>
        <w:pStyle w:val="Normaltindrag"/>
      </w:pPr>
      <w:r w:rsidRPr="00903EED">
        <w:t>Ytterligare satsningar bör göras för att få till stånd ett bättre flyktingmott</w:t>
      </w:r>
      <w:r w:rsidRPr="00903EED">
        <w:t>a</w:t>
      </w:r>
      <w:r w:rsidRPr="00903EED">
        <w:softHyphen/>
        <w:t>gande. Därmed kan kostnaderna för asylpolitiken minska jämfört med rege</w:t>
      </w:r>
      <w:r w:rsidRPr="00903EED">
        <w:softHyphen/>
        <w:t>rin</w:t>
      </w:r>
      <w:r w:rsidRPr="00903EED">
        <w:t>g</w:t>
      </w:r>
      <w:r w:rsidRPr="00903EED">
        <w:t>ens beräkning.</w:t>
      </w:r>
    </w:p>
    <w:p w:rsidR="00F047E9" w:rsidRPr="00903EED" w:rsidRDefault="00F047E9">
      <w:pPr>
        <w:pStyle w:val="Normaltindrag"/>
      </w:pPr>
      <w:r w:rsidRPr="00903EED">
        <w:t>Vi föreslår med anledning av motion Fi20 yrkande 4 att den preliminära ramen för utgiftsområde 8 i förhållande till regeringens förslag minskas med 490 miljoner kronor för 2002, med 966 miljoner kronor för 2003 och med 1 183 miljoner kronor för 2004.</w:t>
      </w:r>
    </w:p>
    <w:p w:rsidR="00F047E9" w:rsidRPr="00903EED" w:rsidRDefault="00F047E9"/>
    <w:p w:rsidR="00F047E9" w:rsidRPr="00903EED" w:rsidRDefault="00F047E9">
      <w:pPr>
        <w:rPr>
          <w:b/>
          <w:i/>
        </w:rPr>
      </w:pPr>
      <w:r w:rsidRPr="00903EED">
        <w:rPr>
          <w:i/>
        </w:rPr>
        <w:t>Utgiftsområde 10 Ekon</w:t>
      </w:r>
      <w:r w:rsidRPr="00903EED">
        <w:rPr>
          <w:i/>
        </w:rPr>
        <w:t>o</w:t>
      </w:r>
      <w:r w:rsidRPr="00903EED">
        <w:rPr>
          <w:i/>
        </w:rPr>
        <w:t>misk trygghet vid sjukdom och handikapp</w:t>
      </w:r>
    </w:p>
    <w:p w:rsidR="00F047E9" w:rsidRPr="00903EED" w:rsidRDefault="00F047E9">
      <w:r w:rsidRPr="00903EED">
        <w:t>Vi förordar en stor socialförsäkringsreform. Dagens socialförsäkring (utom föräldraförsäkringen) bör utformas som tre från statsbudgeten fristå</w:t>
      </w:r>
      <w:r w:rsidRPr="00903EED">
        <w:softHyphen/>
        <w:t>ende för</w:t>
      </w:r>
      <w:r w:rsidRPr="00903EED">
        <w:softHyphen/>
        <w:t>säkringar: en allmän pensionsförsäkring, en allmän sjukförsäkring (inklusive förtidspensionen) och en allmän arbetslöshetsförsäkring. Högsta nivån vid beräkning av SGI bör höjas till tio basbelopp. Vi anser att ett stort antal åtgä</w:t>
      </w:r>
      <w:r w:rsidRPr="00903EED">
        <w:t>r</w:t>
      </w:r>
      <w:r w:rsidRPr="00903EED">
        <w:softHyphen/>
        <w:t>der bör vidtas för att bekämpa den ökade långtidsfrånvaron, bl.a. kraftigt ökade resurser till rehabilitering, sam</w:t>
      </w:r>
      <w:r w:rsidRPr="00903EED">
        <w:softHyphen/>
        <w:t>verkan mellan aktörerna genom FI</w:t>
      </w:r>
      <w:r w:rsidRPr="00903EED">
        <w:t>N</w:t>
      </w:r>
      <w:r w:rsidRPr="00903EED">
        <w:softHyphen/>
        <w:t>SAM, förstärkt företagshälsovård samt rehabi</w:t>
      </w:r>
      <w:r w:rsidRPr="00903EED">
        <w:softHyphen/>
        <w:t>literingsgaranti innebärande att den sjukskrivne senast fyra veckor efter s</w:t>
      </w:r>
      <w:r w:rsidRPr="00903EED">
        <w:t>juk</w:t>
      </w:r>
      <w:r w:rsidRPr="00903EED">
        <w:softHyphen/>
        <w:t>skrivningen skall få en rehabili</w:t>
      </w:r>
      <w:r w:rsidRPr="00903EED">
        <w:softHyphen/>
        <w:t>t</w:t>
      </w:r>
      <w:r w:rsidRPr="00903EED">
        <w:t>e</w:t>
      </w:r>
      <w:r w:rsidRPr="00903EED">
        <w:t>ringsutredning genom försäkrings</w:t>
      </w:r>
      <w:r w:rsidRPr="00903EED">
        <w:softHyphen/>
        <w:t xml:space="preserve">kassans försorg. </w:t>
      </w:r>
    </w:p>
    <w:p w:rsidR="00F047E9" w:rsidRPr="00903EED" w:rsidRDefault="00F047E9">
      <w:pPr>
        <w:pStyle w:val="Normaltindrag"/>
      </w:pPr>
      <w:r w:rsidRPr="00903EED">
        <w:t>Enligt vår uppfattning bör sjukförsäkringens kostnader för tra</w:t>
      </w:r>
      <w:r w:rsidRPr="00903EED">
        <w:softHyphen/>
        <w:t>fiko</w:t>
      </w:r>
      <w:r w:rsidRPr="00903EED">
        <w:softHyphen/>
        <w:t>lycks</w:t>
      </w:r>
      <w:r w:rsidRPr="00903EED">
        <w:softHyphen/>
        <w:t>fall föras över till trafikförsäkringen</w:t>
      </w:r>
    </w:p>
    <w:p w:rsidR="00F047E9" w:rsidRPr="00903EED" w:rsidRDefault="00F047E9">
      <w:pPr>
        <w:pStyle w:val="Normaltindrag"/>
      </w:pPr>
      <w:r w:rsidRPr="00903EED">
        <w:t>Med anledning av motion Fi20 yrkande 11 föreslår vi att riksdagen go</w:t>
      </w:r>
      <w:r w:rsidRPr="00903EED">
        <w:t>d</w:t>
      </w:r>
      <w:r w:rsidRPr="00903EED">
        <w:softHyphen/>
        <w:t xml:space="preserve">känner vad som anförts om en socialförsäkringsreform. Vidare föreslår vi med anledning av motion Fi20 yrkande 12 (delvis) ett tillkännagivande om en höjning av taket i bl.a. sjukförsäkringen.  </w:t>
      </w:r>
    </w:p>
    <w:p w:rsidR="00F047E9" w:rsidRPr="00903EED" w:rsidRDefault="00F047E9">
      <w:pPr>
        <w:pStyle w:val="Normaltindrag"/>
      </w:pPr>
      <w:r w:rsidRPr="00903EED">
        <w:t>Vi föreslår, i enlighet med motion Fi20 yrkande 4, att den prelimi</w:t>
      </w:r>
      <w:r w:rsidRPr="00903EED">
        <w:softHyphen/>
        <w:t>nära r</w:t>
      </w:r>
      <w:r w:rsidRPr="00903EED">
        <w:t>a</w:t>
      </w:r>
      <w:r w:rsidRPr="00903EED">
        <w:softHyphen/>
        <w:t>men i förhål</w:t>
      </w:r>
      <w:r w:rsidRPr="00903EED">
        <w:softHyphen/>
        <w:t xml:space="preserve">lande till regeringens förslag minskas med 3 910 miljoner kronor för 2002, med 8 095 miljoner kronor för 2003 samt med 11 640 miljoner kronor för 2004. </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11 Ekonomisk trygghet vid ålderdom</w:t>
      </w:r>
    </w:p>
    <w:p w:rsidR="00F047E9" w:rsidRPr="00903EED" w:rsidRDefault="00F047E9">
      <w:r w:rsidRPr="00903EED">
        <w:t>Vi anser att inkomstprövningen av änkepensionerna måste tas bort och att tiden för omställningspensionen bör förlängas till tolv månader.</w:t>
      </w:r>
    </w:p>
    <w:p w:rsidR="00F047E9" w:rsidRPr="00903EED" w:rsidRDefault="00F047E9">
      <w:pPr>
        <w:pStyle w:val="Normaltindrag"/>
      </w:pPr>
      <w:r w:rsidRPr="00903EED">
        <w:t>Vi föreslår, i enlighet med motion Fi20 yrkande 4, att den prelimi</w:t>
      </w:r>
      <w:r w:rsidRPr="00903EED">
        <w:softHyphen/>
        <w:t>nära r</w:t>
      </w:r>
      <w:r w:rsidRPr="00903EED">
        <w:t>a</w:t>
      </w:r>
      <w:r w:rsidRPr="00903EED">
        <w:softHyphen/>
        <w:t>men i förhållande till regeringens förslag ökas med 970 miljoner kro</w:t>
      </w:r>
      <w:r w:rsidRPr="00903EED">
        <w:softHyphen/>
        <w:t>nor för 2002, med 1 210 mil</w:t>
      </w:r>
      <w:r w:rsidRPr="00903EED">
        <w:softHyphen/>
        <w:t xml:space="preserve">joner kronor för 2003 samt med 1 350 miljoner kronor för 2004. </w:t>
      </w:r>
    </w:p>
    <w:p w:rsidR="00F047E9" w:rsidRPr="00903EED" w:rsidRDefault="00F047E9">
      <w:pPr>
        <w:pStyle w:val="Ordfranden"/>
        <w:spacing w:before="62"/>
        <w:rPr>
          <w:noProof w:val="0"/>
        </w:rPr>
      </w:pPr>
    </w:p>
    <w:p w:rsidR="00F047E9" w:rsidRPr="00903EED" w:rsidRDefault="00F047E9">
      <w:pPr>
        <w:pStyle w:val="Ordfranden"/>
        <w:spacing w:before="62"/>
        <w:rPr>
          <w:noProof w:val="0"/>
        </w:rPr>
      </w:pPr>
      <w:r w:rsidRPr="00903EED">
        <w:rPr>
          <w:noProof w:val="0"/>
        </w:rPr>
        <w:t>Utgiftsområde 12 Ekonomisk trygghet för familjer och barn</w:t>
      </w:r>
    </w:p>
    <w:p w:rsidR="00F047E9" w:rsidRPr="00903EED" w:rsidRDefault="00F047E9">
      <w:r w:rsidRPr="00903EED">
        <w:t>Vi förespråkar en familjepolitisk reform som ger mera makt och mar</w:t>
      </w:r>
      <w:r w:rsidRPr="00903EED">
        <w:softHyphen/>
        <w:t>ginaler i barnfamiljernas vardag. Ett barnomsorgskonto med avdragsrätt för styrkta barnomsorgskostnader upp till 50 000 kronor bör införas. Enligt vår mening garanterar etable</w:t>
      </w:r>
      <w:r w:rsidRPr="00903EED">
        <w:softHyphen/>
        <w:t>ringsfrihet för privata alternativ i barnom</w:t>
      </w:r>
      <w:r w:rsidRPr="00903EED">
        <w:softHyphen/>
        <w:t>sorgen (barno</w:t>
      </w:r>
      <w:r w:rsidRPr="00903EED">
        <w:t>m</w:t>
      </w:r>
      <w:r w:rsidRPr="00903EED">
        <w:softHyphen/>
        <w:t>sorgspeng) valfrihet mellan olika barnomsorgsformer med likvärdig kommu</w:t>
      </w:r>
      <w:r w:rsidRPr="00903EED">
        <w:softHyphen/>
        <w:t>nal subvention</w:t>
      </w:r>
      <w:r w:rsidRPr="00903EED">
        <w:t>e</w:t>
      </w:r>
      <w:r w:rsidRPr="00903EED">
        <w:t>ring.</w:t>
      </w:r>
    </w:p>
    <w:p w:rsidR="00F047E9" w:rsidRPr="00903EED" w:rsidRDefault="00F047E9">
      <w:pPr>
        <w:pStyle w:val="Normaltindrag"/>
      </w:pPr>
      <w:r w:rsidRPr="00903EED">
        <w:t>Vi anser vidare, för att öka jämställdheten och förbättra kvin</w:t>
      </w:r>
      <w:r w:rsidRPr="00903EED">
        <w:softHyphen/>
        <w:t>nors position på arbetsmarknaden, att ersättningen under mamma/pappamånaden skall utgöras av 90 % av den sjukpenninggrun</w:t>
      </w:r>
      <w:r w:rsidRPr="00903EED">
        <w:softHyphen/>
        <w:t>dande inkomsten. Dess</w:t>
      </w:r>
      <w:r w:rsidRPr="00903EED">
        <w:softHyphen/>
        <w:t>utom bör taket för ersättning i för</w:t>
      </w:r>
      <w:r w:rsidRPr="00903EED">
        <w:softHyphen/>
        <w:t xml:space="preserve">äldraförsäkringen höjas till tio basbelopp. </w:t>
      </w:r>
    </w:p>
    <w:p w:rsidR="00F047E9" w:rsidRPr="00903EED" w:rsidRDefault="00F047E9">
      <w:pPr>
        <w:pStyle w:val="Normaltindrag"/>
      </w:pPr>
      <w:r w:rsidRPr="00903EED">
        <w:t>Vad som nu anförts om familjepolitiken bör riksdagen med bifall till m</w:t>
      </w:r>
      <w:r w:rsidRPr="00903EED">
        <w:t>o</w:t>
      </w:r>
      <w:r w:rsidRPr="00903EED">
        <w:t xml:space="preserve">tion Fi20 yrkande 23 ge regeringen till känna. </w:t>
      </w:r>
    </w:p>
    <w:p w:rsidR="00F047E9" w:rsidRPr="00903EED" w:rsidRDefault="00F047E9">
      <w:pPr>
        <w:pStyle w:val="Normaltindrag"/>
      </w:pPr>
      <w:r w:rsidRPr="00903EED">
        <w:t>Med anledning av motion Fi20 yrkande 12 (delvis) föreslår vi ett tillkänna</w:t>
      </w:r>
      <w:r w:rsidRPr="00903EED">
        <w:softHyphen/>
        <w:t>givande om höjda tak i bl.a. föräldraförsäkringen.</w:t>
      </w:r>
    </w:p>
    <w:p w:rsidR="00F047E9" w:rsidRPr="00903EED" w:rsidRDefault="00F047E9">
      <w:pPr>
        <w:pStyle w:val="Normaltindrag"/>
      </w:pPr>
      <w:r w:rsidRPr="00903EED">
        <w:t>Vi föreslår, i enlighet med motion Fi20 yrkande 4, att den prelimi</w:t>
      </w:r>
      <w:r w:rsidRPr="00903EED">
        <w:softHyphen/>
        <w:t>nära r</w:t>
      </w:r>
      <w:r w:rsidRPr="00903EED">
        <w:t>a</w:t>
      </w:r>
      <w:r w:rsidRPr="00903EED">
        <w:softHyphen/>
        <w:t>men i förhållande till regeringens förslag ökas med 2 400 miljoner kronor för  2002, med 1 945 mil</w:t>
      </w:r>
      <w:r w:rsidRPr="00903EED">
        <w:softHyphen/>
        <w:t xml:space="preserve">joner kronor för 2003 samt med 1 920 miljoner kronor för 2004. </w:t>
      </w:r>
    </w:p>
    <w:p w:rsidR="00F047E9" w:rsidRPr="00903EED" w:rsidRDefault="00F047E9"/>
    <w:p w:rsidR="00F047E9" w:rsidRPr="00903EED" w:rsidRDefault="00F047E9">
      <w:pPr>
        <w:rPr>
          <w:i/>
        </w:rPr>
      </w:pPr>
      <w:r w:rsidRPr="00903EED">
        <w:rPr>
          <w:i/>
        </w:rPr>
        <w:t>Socialavgifter</w:t>
      </w:r>
    </w:p>
    <w:p w:rsidR="00F047E9" w:rsidRPr="00903EED" w:rsidRDefault="00F047E9">
      <w:r w:rsidRPr="00903EED">
        <w:t>Enligt vår uppfattning bör arbetsgivaravgifterna stegvis sänkas med 5 pr</w:t>
      </w:r>
      <w:r w:rsidRPr="00903EED">
        <w:t>o</w:t>
      </w:r>
      <w:r w:rsidRPr="00903EED">
        <w:t>centenheter under budgetperioden. På sikt bör de emellertid sänkas ytterli</w:t>
      </w:r>
      <w:r w:rsidRPr="00903EED">
        <w:softHyphen/>
        <w:t>gare i syfte att sänka lönekostnaderna och få till stånd fler nyanställningar. Efte</w:t>
      </w:r>
      <w:r w:rsidRPr="00903EED">
        <w:t>r</w:t>
      </w:r>
      <w:r w:rsidRPr="00903EED">
        <w:t>som vi gör bedömningen att den största potentialen för nyföretagande och jobb finns i den privata tjänstesektorn bör hela sänkningen riktas mot denna del av ekonomin. En sådan åtgärd får störst betydelse för de små före</w:t>
      </w:r>
      <w:r w:rsidRPr="00903EED">
        <w:softHyphen/>
        <w:t>tagen, särskilt i de branscher där många kvinnor är verksamma.</w:t>
      </w:r>
    </w:p>
    <w:p w:rsidR="00F047E9" w:rsidRPr="00903EED" w:rsidRDefault="00F047E9">
      <w:pPr>
        <w:pStyle w:val="Normaltindrag"/>
      </w:pPr>
      <w:r w:rsidRPr="00903EED">
        <w:t>Vad som anförts bör riksdagen med bifall till motion Fi20 yrkande 6 s</w:t>
      </w:r>
      <w:r w:rsidRPr="00903EED">
        <w:t>om sin mening ge regeringen till känna.</w:t>
      </w:r>
    </w:p>
    <w:p w:rsidR="00F047E9" w:rsidRPr="00903EED" w:rsidRDefault="00F047E9">
      <w:pPr>
        <w:pStyle w:val="Tryckort"/>
        <w:framePr w:wrap="around"/>
        <w:jc w:val="right"/>
      </w:pPr>
      <w:r w:rsidRPr="00903EED">
        <w:t>Elanders Gotab, Stockholm  2001</w:t>
      </w:r>
    </w:p>
    <w:p w:rsidR="00F047E9" w:rsidRPr="00903EED" w:rsidRDefault="00F047E9">
      <w:pPr>
        <w:pStyle w:val="Normaltindrag"/>
      </w:pPr>
    </w:p>
    <w:sectPr w:rsidR="00F047E9" w:rsidRPr="00903EE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7E9" w:rsidRPr="00903EED" w:rsidRDefault="00F047E9">
      <w:pPr>
        <w:spacing w:before="0" w:line="240" w:lineRule="auto"/>
      </w:pPr>
      <w:r w:rsidRPr="00903EED">
        <w:separator/>
      </w:r>
    </w:p>
  </w:endnote>
  <w:endnote w:type="continuationSeparator" w:id="0">
    <w:p w:rsidR="00F047E9" w:rsidRPr="00903EED" w:rsidRDefault="00F047E9">
      <w:pPr>
        <w:spacing w:before="0" w:line="240" w:lineRule="auto"/>
      </w:pPr>
      <w:r w:rsidRPr="00903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E9" w:rsidRPr="00903EED" w:rsidRDefault="00F047E9">
    <w:pPr>
      <w:pStyle w:val="SidfotV"/>
      <w:framePr w:w="8732" w:h="284" w:hRule="exact" w:hSpace="0" w:vSpace="0" w:wrap="around" w:xAlign="inside" w:y="13042" w:anchorLock="0"/>
    </w:pPr>
    <w:r w:rsidRPr="00903EED">
      <w:fldChar w:fldCharType="begin" w:fldLock="1"/>
    </w:r>
    <w:r w:rsidRPr="00903EED">
      <w:instrText xml:space="preserve"> P</w:instrText>
    </w:r>
    <w:r w:rsidRPr="00903EED">
      <w:instrText>A</w:instrText>
    </w:r>
    <w:r w:rsidRPr="00903EED">
      <w:instrText xml:space="preserve">GE </w:instrText>
    </w:r>
    <w:r w:rsidRPr="00903EED">
      <w:fldChar w:fldCharType="separate"/>
    </w:r>
    <w:r w:rsidRPr="00903EED">
      <w:t>2</w:t>
    </w:r>
    <w:r w:rsidRPr="00903EED">
      <w:fldChar w:fldCharType="end"/>
    </w:r>
  </w:p>
  <w:p w:rsidR="00F047E9" w:rsidRPr="00903EED" w:rsidRDefault="00F047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E9" w:rsidRPr="00903EED" w:rsidRDefault="00F047E9">
    <w:pPr>
      <w:pStyle w:val="SidfotH"/>
      <w:framePr w:w="8732" w:h="284" w:hRule="exact" w:hSpace="0" w:vSpace="0" w:wrap="around" w:xAlign="inside" w:y="13042" w:anchorLock="0"/>
    </w:pPr>
    <w:r w:rsidRPr="00903EED">
      <w:fldChar w:fldCharType="begin" w:fldLock="1"/>
    </w:r>
    <w:r w:rsidRPr="00903EED">
      <w:instrText xml:space="preserve"> P</w:instrText>
    </w:r>
    <w:r w:rsidRPr="00903EED">
      <w:instrText>A</w:instrText>
    </w:r>
    <w:r w:rsidRPr="00903EED">
      <w:instrText xml:space="preserve">GE </w:instrText>
    </w:r>
    <w:r w:rsidRPr="00903EED">
      <w:fldChar w:fldCharType="separate"/>
    </w:r>
    <w:r w:rsidRPr="00903EED">
      <w:t>3</w:t>
    </w:r>
    <w:r w:rsidRPr="00903EED">
      <w:fldChar w:fldCharType="end"/>
    </w:r>
  </w:p>
  <w:p w:rsidR="00F047E9" w:rsidRPr="00903EED" w:rsidRDefault="00F047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E9" w:rsidRPr="00903EED" w:rsidRDefault="00F047E9">
    <w:pPr>
      <w:pStyle w:val="SidfotV"/>
      <w:framePr w:w="8732" w:h="284" w:hRule="exact" w:hSpace="0" w:vSpace="0" w:wrap="around" w:xAlign="inside" w:y="13042" w:anchorLock="0"/>
    </w:pPr>
    <w:r w:rsidRPr="00903EED">
      <w:fldChar w:fldCharType="begin" w:fldLock="1"/>
    </w:r>
    <w:r w:rsidRPr="00903EED">
      <w:instrText xml:space="preserve"> if </w:instrText>
    </w:r>
    <w:r w:rsidRPr="00903EED">
      <w:fldChar w:fldCharType="begin" w:fldLock="1"/>
    </w:r>
    <w:r w:rsidRPr="00903EED">
      <w:instrText xml:space="preserve"> = </w:instrText>
    </w:r>
    <w:r w:rsidRPr="00903EED">
      <w:fldChar w:fldCharType="begin" w:fldLock="1"/>
    </w:r>
    <w:r w:rsidRPr="00903EED">
      <w:instrText xml:space="preserve"> = </w:instrText>
    </w:r>
    <w:r w:rsidRPr="00903EED">
      <w:fldChar w:fldCharType="begin" w:fldLock="1"/>
    </w:r>
    <w:r w:rsidRPr="00903EED">
      <w:instrText xml:space="preserve"> page</w:instrText>
    </w:r>
    <w:r w:rsidRPr="00903EED">
      <w:fldChar w:fldCharType="separate"/>
    </w:r>
    <w:r w:rsidR="00903EED">
      <w:rPr>
        <w:noProof/>
      </w:rPr>
      <w:instrText>1</w:instrText>
    </w:r>
    <w:r w:rsidRPr="00903EED">
      <w:fldChar w:fldCharType="end"/>
    </w:r>
    <w:r w:rsidRPr="00903EED">
      <w:instrText xml:space="preserve">/2 </w:instrText>
    </w:r>
    <w:r w:rsidRPr="00903EED">
      <w:fldChar w:fldCharType="separate"/>
    </w:r>
    <w:r w:rsidR="00903EED">
      <w:rPr>
        <w:noProof/>
      </w:rPr>
      <w:instrText>0,5</w:instrText>
    </w:r>
    <w:r w:rsidRPr="00903EED">
      <w:fldChar w:fldCharType="end"/>
    </w:r>
    <w:r w:rsidRPr="00903EED">
      <w:instrText xml:space="preserve"> - </w:instrText>
    </w:r>
    <w:r w:rsidRPr="00903EED">
      <w:fldChar w:fldCharType="begin" w:fldLock="1"/>
    </w:r>
    <w:r w:rsidRPr="00903EED">
      <w:instrText xml:space="preserve"> = int(</w:instrText>
    </w:r>
    <w:r w:rsidRPr="00903EED">
      <w:fldChar w:fldCharType="begin" w:fldLock="1"/>
    </w:r>
    <w:r w:rsidRPr="00903EED">
      <w:instrText xml:space="preserve"> page</w:instrText>
    </w:r>
    <w:r w:rsidRPr="00903EED">
      <w:fldChar w:fldCharType="separate"/>
    </w:r>
    <w:r w:rsidR="00903EED">
      <w:rPr>
        <w:noProof/>
      </w:rPr>
      <w:instrText>1</w:instrText>
    </w:r>
    <w:r w:rsidRPr="00903EED">
      <w:fldChar w:fldCharType="end"/>
    </w:r>
    <w:r w:rsidRPr="00903EED">
      <w:instrText xml:space="preserve">/2) </w:instrText>
    </w:r>
    <w:r w:rsidRPr="00903EED">
      <w:fldChar w:fldCharType="separate"/>
    </w:r>
    <w:r w:rsidR="00903EED">
      <w:rPr>
        <w:noProof/>
      </w:rPr>
      <w:instrText>0</w:instrText>
    </w:r>
    <w:r w:rsidRPr="00903EED">
      <w:fldChar w:fldCharType="end"/>
    </w:r>
    <w:r w:rsidRPr="00903EED">
      <w:fldChar w:fldCharType="separate"/>
    </w:r>
    <w:r w:rsidR="00903EED">
      <w:rPr>
        <w:noProof/>
      </w:rPr>
      <w:instrText>0,5</w:instrText>
    </w:r>
    <w:r w:rsidRPr="00903EED">
      <w:fldChar w:fldCharType="end"/>
    </w:r>
    <w:r w:rsidRPr="00903EED">
      <w:instrText xml:space="preserve"> = 0 "</w:instrText>
    </w:r>
    <w:r w:rsidRPr="00903EED">
      <w:fldChar w:fldCharType="begin" w:fldLock="1"/>
    </w:r>
    <w:r w:rsidRPr="00903EED">
      <w:instrText xml:space="preserve"> P</w:instrText>
    </w:r>
    <w:r w:rsidRPr="00903EED">
      <w:instrText>A</w:instrText>
    </w:r>
    <w:r w:rsidRPr="00903EED">
      <w:instrText xml:space="preserve">GE </w:instrText>
    </w:r>
    <w:r w:rsidRPr="00903EED">
      <w:fldChar w:fldCharType="separate"/>
    </w:r>
    <w:r w:rsidRPr="00903EED">
      <w:instrText>22</w:instrText>
    </w:r>
    <w:r w:rsidRPr="00903EED">
      <w:fldChar w:fldCharType="end"/>
    </w:r>
  </w:p>
  <w:p w:rsidR="00F047E9" w:rsidRPr="00903EED" w:rsidRDefault="00F047E9">
    <w:pPr>
      <w:pStyle w:val="SidfotH"/>
      <w:framePr w:w="8732" w:h="284" w:hRule="exact" w:hSpace="0" w:vSpace="0" w:wrap="around" w:xAlign="inside" w:y="13042" w:anchorLock="0"/>
    </w:pPr>
    <w:r w:rsidRPr="00903EED">
      <w:instrText>""</w:instrText>
    </w:r>
    <w:r w:rsidRPr="00903EED">
      <w:fldChar w:fldCharType="begin" w:fldLock="1"/>
    </w:r>
    <w:r w:rsidRPr="00903EED">
      <w:instrText xml:space="preserve"> P</w:instrText>
    </w:r>
    <w:r w:rsidRPr="00903EED">
      <w:instrText>A</w:instrText>
    </w:r>
    <w:r w:rsidRPr="00903EED">
      <w:instrText xml:space="preserve">GE </w:instrText>
    </w:r>
    <w:r w:rsidRPr="00903EED">
      <w:fldChar w:fldCharType="separate"/>
    </w:r>
    <w:r w:rsidR="00903EED">
      <w:rPr>
        <w:noProof/>
      </w:rPr>
      <w:instrText>1</w:instrText>
    </w:r>
    <w:r w:rsidRPr="00903EED">
      <w:fldChar w:fldCharType="end"/>
    </w:r>
    <w:r w:rsidRPr="00903EED">
      <w:instrText>"</w:instrText>
    </w:r>
    <w:r w:rsidRPr="00903EED">
      <w:fldChar w:fldCharType="separate"/>
    </w:r>
    <w:r w:rsidR="00903EED">
      <w:rPr>
        <w:noProof/>
      </w:rPr>
      <w:t>1</w:t>
    </w:r>
    <w:r w:rsidRPr="00903EED">
      <w:fldChar w:fldCharType="end"/>
    </w:r>
  </w:p>
  <w:p w:rsidR="00F047E9" w:rsidRPr="00903EED" w:rsidRDefault="00F04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7E9" w:rsidRPr="00903EED" w:rsidRDefault="00F047E9">
      <w:pPr>
        <w:pStyle w:val="Sidfot"/>
      </w:pPr>
    </w:p>
  </w:footnote>
  <w:footnote w:type="continuationSeparator" w:id="0">
    <w:p w:rsidR="00F047E9" w:rsidRPr="00903EED" w:rsidRDefault="00F047E9">
      <w:pPr>
        <w:spacing w:before="0" w:line="240" w:lineRule="auto"/>
      </w:pPr>
      <w:r w:rsidRPr="00903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E9" w:rsidRPr="00903EED" w:rsidRDefault="00F047E9">
    <w:pPr>
      <w:pStyle w:val="SidhuvudKantJmn"/>
      <w:framePr w:w="8732" w:h="567" w:hRule="exact" w:vSpace="0" w:wrap="around" w:vAnchor="page" w:y="341" w:anchorLock="0"/>
    </w:pPr>
    <w:r w:rsidRPr="00903EED">
      <w:rPr>
        <w:rStyle w:val="SidhuvudUtskott"/>
      </w:rPr>
      <w:t>2000/01:SfU5y</w:t>
    </w:r>
    <w:r w:rsidRPr="00903EED">
      <w:t xml:space="preserve">     </w:t>
    </w:r>
    <w:r w:rsidRPr="00903EED">
      <w:rPr>
        <w:rStyle w:val="SidhuvudBilaga"/>
      </w:rPr>
      <w:t xml:space="preserve"> </w:t>
    </w:r>
    <w:r w:rsidRPr="00903EED">
      <w:rPr>
        <w:rStyle w:val="SidhuvudRubrikReferens"/>
      </w:rPr>
      <w:t>Socialförsäkringsutskottets yttrande</w:t>
    </w:r>
  </w:p>
  <w:p w:rsidR="00F047E9" w:rsidRPr="00903EED" w:rsidRDefault="00F047E9">
    <w:pPr>
      <w:pStyle w:val="SidhuvudKantJmn"/>
      <w:framePr w:w="8732" w:h="567" w:hRule="exact" w:vSpace="0" w:wrap="around" w:vAnchor="page" w:y="341" w:anchorLock="0"/>
    </w:pPr>
  </w:p>
  <w:p w:rsidR="00F047E9" w:rsidRPr="00903EED" w:rsidRDefault="00F047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E9" w:rsidRPr="00903EED" w:rsidRDefault="00F047E9">
    <w:pPr>
      <w:pStyle w:val="SidhuvudKantUdda"/>
      <w:framePr w:w="8732" w:h="567" w:hRule="exact" w:vSpace="0" w:wrap="around" w:vAnchor="page" w:y="341" w:anchorLock="0"/>
    </w:pPr>
    <w:r w:rsidRPr="00903EED">
      <w:rPr>
        <w:rStyle w:val="SidhuvudRubrikReferens"/>
      </w:rPr>
      <w:t>Socialförsäkringsutskottets yttrande</w:t>
    </w:r>
    <w:r w:rsidRPr="00903EED">
      <w:rPr>
        <w:rStyle w:val="SidhuvudBilaga"/>
      </w:rPr>
      <w:t xml:space="preserve"> </w:t>
    </w:r>
    <w:r w:rsidRPr="00903EED">
      <w:t xml:space="preserve">     </w:t>
    </w:r>
    <w:r w:rsidRPr="00903EED">
      <w:rPr>
        <w:rStyle w:val="SidhuvudUtskott"/>
      </w:rPr>
      <w:t>2000/01:SfU5y</w:t>
    </w:r>
  </w:p>
  <w:p w:rsidR="00F047E9" w:rsidRPr="00903EED" w:rsidRDefault="00F047E9">
    <w:pPr>
      <w:pStyle w:val="SidhuvudKantUdda"/>
      <w:framePr w:w="8732" w:h="567" w:hRule="exact" w:vSpace="0" w:wrap="around" w:vAnchor="page" w:y="341" w:anchorLock="0"/>
    </w:pPr>
  </w:p>
  <w:p w:rsidR="00F047E9" w:rsidRPr="00903EED" w:rsidRDefault="00F047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E9" w:rsidRPr="00903EED" w:rsidRDefault="00F047E9">
    <w:pPr>
      <w:pStyle w:val="SidhuvudKantUdda"/>
      <w:framePr w:w="8732" w:h="567" w:hRule="exact" w:vSpace="0" w:wrap="around" w:vAnchor="page" w:y="341" w:anchorLock="0"/>
    </w:pPr>
    <w:r w:rsidRPr="00903EED">
      <w:t xml:space="preserve"> </w:t>
    </w:r>
  </w:p>
  <w:p w:rsidR="00F047E9" w:rsidRPr="00903EED" w:rsidRDefault="00F047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2F73AA0"/>
    <w:multiLevelType w:val="singleLevel"/>
    <w:tmpl w:val="74F4353C"/>
    <w:lvl w:ilvl="0">
      <w:start w:val="2002"/>
      <w:numFmt w:val="decimal"/>
      <w:lvlText w:val="%1"/>
      <w:lvlJc w:val="left"/>
      <w:pPr>
        <w:tabs>
          <w:tab w:val="num" w:pos="587"/>
        </w:tabs>
        <w:ind w:left="587" w:hanging="360"/>
      </w:pPr>
      <w:rPr>
        <w:rFonts w:hint="default"/>
      </w:rPr>
    </w:lvl>
  </w:abstractNum>
  <w:abstractNum w:abstractNumId="2" w15:restartNumberingAfterBreak="0">
    <w:nsid w:val="4CB50312"/>
    <w:multiLevelType w:val="singleLevel"/>
    <w:tmpl w:val="17A6BDA2"/>
    <w:lvl w:ilvl="0">
      <w:start w:val="2002"/>
      <w:numFmt w:val="decimal"/>
      <w:lvlText w:val="%1"/>
      <w:lvlJc w:val="left"/>
      <w:pPr>
        <w:tabs>
          <w:tab w:val="num" w:pos="1352"/>
        </w:tabs>
        <w:ind w:left="1352" w:hanging="1125"/>
      </w:pPr>
      <w:rPr>
        <w:rFonts w:hint="default"/>
      </w:rPr>
    </w:lvl>
  </w:abstractNum>
  <w:abstractNum w:abstractNumId="3" w15:restartNumberingAfterBreak="0">
    <w:nsid w:val="541E47DC"/>
    <w:multiLevelType w:val="singleLevel"/>
    <w:tmpl w:val="FC26F772"/>
    <w:lvl w:ilvl="0">
      <w:start w:val="2002"/>
      <w:numFmt w:val="decimal"/>
      <w:lvlText w:val="%1"/>
      <w:lvlJc w:val="left"/>
      <w:pPr>
        <w:tabs>
          <w:tab w:val="num" w:pos="602"/>
        </w:tabs>
        <w:ind w:left="602" w:hanging="375"/>
      </w:pPr>
      <w:rPr>
        <w:rFonts w:hint="default"/>
      </w:rPr>
    </w:lvl>
  </w:abstractNum>
  <w:num w:numId="1" w16cid:durableId="688721551">
    <w:abstractNumId w:val="0"/>
  </w:num>
  <w:num w:numId="2" w16cid:durableId="1050836321">
    <w:abstractNumId w:val="2"/>
  </w:num>
  <w:num w:numId="3" w16cid:durableId="889993416">
    <w:abstractNumId w:val="1"/>
  </w:num>
  <w:num w:numId="4" w16cid:durableId="268440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6E2481"/>
    <w:rsid w:val="006E2481"/>
    <w:rsid w:val="00903EED"/>
    <w:rsid w:val="00F047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EB9AA-0CA9-41F4-9AE7-0130DD9D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10099</Words>
  <Characters>61811</Characters>
  <Application>Microsoft Office Word</Application>
  <DocSecurity>4</DocSecurity>
  <Lines>1287</Lines>
  <Paragraphs>449</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    1. Margit Gennser, Cecilia Magnusson, Gustaf von Essen och Göran Lindblad (alla</vt:lpstr>
    </vt:vector>
  </TitlesOfParts>
  <Company>Riksdagen</Company>
  <LinksUpToDate>false</LinksUpToDate>
  <CharactersWithSpaces>71461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2001-05-22T14:21:00Z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