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B32E4">
        <w:tblPrEx>
          <w:tblCellMar>
            <w:top w:w="0" w:type="dxa"/>
            <w:bottom w:w="0" w:type="dxa"/>
          </w:tblCellMar>
        </w:tblPrEx>
        <w:trPr>
          <w:cantSplit/>
          <w:trHeight w:val="1720"/>
        </w:trPr>
        <w:tc>
          <w:tcPr>
            <w:tcW w:w="6024" w:type="dxa"/>
            <w:gridSpan w:val="2"/>
          </w:tcPr>
          <w:p w:rsidR="00CF42C5" w:rsidRPr="000B32E4" w:rsidRDefault="00CF42C5">
            <w:pPr>
              <w:pStyle w:val="HuvudRubrik"/>
            </w:pPr>
            <w:r w:rsidRPr="000B32E4">
              <w:t>Konstitutionsutskottets yttrande</w:t>
            </w:r>
          </w:p>
          <w:p w:rsidR="00CF42C5" w:rsidRPr="000B32E4" w:rsidRDefault="00CF42C5">
            <w:pPr>
              <w:pStyle w:val="HuvudRubrikRad2"/>
            </w:pPr>
            <w:bookmarkStart w:id="0" w:name="BetänkandeNr"/>
            <w:bookmarkEnd w:id="0"/>
            <w:r w:rsidRPr="000B32E4">
              <w:t>2000/01:KU14y</w:t>
            </w:r>
          </w:p>
        </w:tc>
        <w:tc>
          <w:tcPr>
            <w:tcW w:w="1418" w:type="dxa"/>
            <w:tcBorders>
              <w:bottom w:val="nil"/>
            </w:tcBorders>
          </w:tcPr>
          <w:p w:rsidR="00CF42C5" w:rsidRPr="000B32E4" w:rsidRDefault="000B32E4">
            <w:pPr>
              <w:spacing w:line="230" w:lineRule="auto"/>
              <w:jc w:val="center"/>
            </w:pPr>
            <w:r w:rsidRPr="000B32E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F42C5" w:rsidRPr="000B32E4" w:rsidRDefault="00CF42C5">
            <w:pPr>
              <w:pStyle w:val="Normaltindrag"/>
              <w:jc w:val="center"/>
            </w:pPr>
          </w:p>
          <w:p w:rsidR="00CF42C5" w:rsidRPr="000B32E4" w:rsidRDefault="00CF42C5">
            <w:pPr>
              <w:pStyle w:val="StatusSida1"/>
            </w:pPr>
          </w:p>
          <w:p w:rsidR="00CF42C5" w:rsidRPr="000B32E4" w:rsidRDefault="00CF42C5">
            <w:pPr>
              <w:pStyle w:val="UtskriftsdatumSida1"/>
              <w:framePr w:wrap="around"/>
            </w:pPr>
          </w:p>
        </w:tc>
      </w:tr>
      <w:tr w:rsidR="00000000" w:rsidRPr="000B32E4">
        <w:tblPrEx>
          <w:tblCellMar>
            <w:top w:w="0" w:type="dxa"/>
            <w:bottom w:w="0" w:type="dxa"/>
          </w:tblCellMar>
        </w:tblPrEx>
        <w:trPr>
          <w:cantSplit/>
        </w:trPr>
        <w:tc>
          <w:tcPr>
            <w:tcW w:w="6024" w:type="dxa"/>
            <w:gridSpan w:val="2"/>
            <w:tcBorders>
              <w:bottom w:val="single" w:sz="4" w:space="0" w:color="auto"/>
            </w:tcBorders>
          </w:tcPr>
          <w:p w:rsidR="00CF42C5" w:rsidRPr="000B32E4" w:rsidRDefault="00CF42C5">
            <w:pPr>
              <w:pStyle w:val="DokumentRubrik"/>
              <w:rPr>
                <w:noProof w:val="0"/>
              </w:rPr>
            </w:pPr>
            <w:bookmarkStart w:id="1" w:name="Huvudrubrik"/>
            <w:bookmarkEnd w:id="1"/>
            <w:r w:rsidRPr="000B32E4">
              <w:rPr>
                <w:noProof w:val="0"/>
              </w:rPr>
              <w:t xml:space="preserve">Vårpropositionen – Preliminära ramar för utgiftsområde 1 Rikets styrelse, m.m. </w:t>
            </w:r>
          </w:p>
        </w:tc>
        <w:tc>
          <w:tcPr>
            <w:tcW w:w="1418" w:type="dxa"/>
            <w:tcBorders>
              <w:bottom w:val="nil"/>
            </w:tcBorders>
          </w:tcPr>
          <w:p w:rsidR="00CF42C5" w:rsidRPr="000B32E4" w:rsidRDefault="00CF42C5"/>
        </w:tc>
      </w:tr>
      <w:tr w:rsidR="00000000" w:rsidRPr="000B32E4">
        <w:tblPrEx>
          <w:tblCellMar>
            <w:top w:w="0" w:type="dxa"/>
            <w:bottom w:w="0" w:type="dxa"/>
          </w:tblCellMar>
        </w:tblPrEx>
        <w:trPr>
          <w:cantSplit/>
          <w:trHeight w:hRule="exact" w:val="360"/>
        </w:trPr>
        <w:tc>
          <w:tcPr>
            <w:tcW w:w="3012" w:type="dxa"/>
          </w:tcPr>
          <w:p w:rsidR="00CF42C5" w:rsidRPr="000B32E4" w:rsidRDefault="00CF42C5"/>
        </w:tc>
        <w:tc>
          <w:tcPr>
            <w:tcW w:w="3012" w:type="dxa"/>
          </w:tcPr>
          <w:p w:rsidR="00CF42C5" w:rsidRPr="000B32E4" w:rsidRDefault="00CF42C5"/>
        </w:tc>
        <w:tc>
          <w:tcPr>
            <w:tcW w:w="1418" w:type="dxa"/>
          </w:tcPr>
          <w:p w:rsidR="00CF42C5" w:rsidRPr="000B32E4" w:rsidRDefault="00CF42C5"/>
        </w:tc>
      </w:tr>
    </w:tbl>
    <w:p w:rsidR="00CF42C5" w:rsidRPr="000B32E4" w:rsidRDefault="00CF42C5">
      <w:pPr>
        <w:pStyle w:val="R1"/>
        <w:spacing w:after="250"/>
      </w:pPr>
      <w:r w:rsidRPr="000B32E4">
        <w:t>Till finansutskottet</w:t>
      </w:r>
    </w:p>
    <w:p w:rsidR="00CF42C5" w:rsidRPr="000B32E4" w:rsidRDefault="00CF42C5">
      <w:bookmarkStart w:id="2" w:name="TextStart"/>
      <w:bookmarkEnd w:id="2"/>
      <w:r w:rsidRPr="000B32E4">
        <w:t>Finansutskottet har den 19 april 2001 beslutat att bereda övriga utskott til</w:t>
      </w:r>
      <w:r w:rsidRPr="000B32E4">
        <w:t>l</w:t>
      </w:r>
      <w:r w:rsidRPr="000B32E4">
        <w:t xml:space="preserve">fälle att yttra sig över </w:t>
      </w:r>
    </w:p>
    <w:p w:rsidR="00CF42C5" w:rsidRPr="000B32E4" w:rsidRDefault="00CF42C5">
      <w:pPr>
        <w:pStyle w:val="Normaltindrag"/>
      </w:pPr>
      <w:r w:rsidRPr="000B32E4">
        <w:rPr>
          <w:i/>
        </w:rPr>
        <w:t>dels</w:t>
      </w:r>
      <w:r w:rsidRPr="000B32E4">
        <w:t xml:space="preserve"> 2001 år ekonomiska vårproposition (2000/01:100) om den ekonomi</w:t>
      </w:r>
      <w:r w:rsidRPr="000B32E4">
        <w:t>s</w:t>
      </w:r>
      <w:r w:rsidRPr="000B32E4">
        <w:t>ka politiken och utgiftstaket m.m. (yrkandena 1–5) jämte eventuella motioner,</w:t>
      </w:r>
    </w:p>
    <w:p w:rsidR="00CF42C5" w:rsidRPr="000B32E4" w:rsidRDefault="00CF42C5">
      <w:pPr>
        <w:pStyle w:val="Normaltindrag"/>
      </w:pPr>
      <w:r w:rsidRPr="000B32E4">
        <w:rPr>
          <w:i/>
        </w:rPr>
        <w:t>dels</w:t>
      </w:r>
      <w:r w:rsidRPr="000B32E4">
        <w:t xml:space="preserve"> regeringens skrivelse 2000/01:101 Årsredovisning för staten 2000 jämte eventuella motioner,</w:t>
      </w:r>
    </w:p>
    <w:p w:rsidR="00CF42C5" w:rsidRPr="000B32E4" w:rsidRDefault="00CF42C5">
      <w:pPr>
        <w:pStyle w:val="Normaltindrag"/>
      </w:pPr>
      <w:r w:rsidRPr="000B32E4">
        <w:t>allt i de delar som berör respektive utskotts beredningso</w:t>
      </w:r>
      <w:r w:rsidRPr="000B32E4">
        <w:t>m</w:t>
      </w:r>
      <w:r w:rsidRPr="000B32E4">
        <w:t>råde.</w:t>
      </w:r>
    </w:p>
    <w:p w:rsidR="00CF42C5" w:rsidRPr="000B32E4" w:rsidRDefault="00CF42C5">
      <w:pPr>
        <w:spacing w:before="187"/>
      </w:pPr>
      <w:r w:rsidRPr="000B32E4">
        <w:t>Konstitutionsutskottet begränsar sitt yttrande till att avse de preliminära r</w:t>
      </w:r>
      <w:r w:rsidRPr="000B32E4">
        <w:t>a</w:t>
      </w:r>
      <w:r w:rsidRPr="000B32E4">
        <w:t>marna för utgiftsområde 1 Rikets styrelse åren 2002–2004 och motionerna 2000/01:Fi17 yrkande 5 (m), 2000/01:Fi18 yrkande 7 (kd), 2000/01:Fi19 yrkande 4 (c) och 2000/01:Fi20 yrkande 4 (fp) samt årsredovisningen för staten 2000 och motion 2000/01:Fi34 (v).</w:t>
      </w:r>
    </w:p>
    <w:p w:rsidR="00CF42C5" w:rsidRPr="000B32E4" w:rsidRDefault="00CF42C5">
      <w:pPr>
        <w:spacing w:before="187"/>
      </w:pPr>
      <w:r w:rsidRPr="000B32E4">
        <w:t>När det gäller de preliminära ramarna för åren 2002–2004 tillstyrker utskottet regeringens förslag, som innebär att ramarna för utgiftsområde 1 skall uppgå till 5 394 miljoner kronor år 2002, till 5 535 miljoner kronor år 2003 och till 5 646 miljoner krono</w:t>
      </w:r>
      <w:r w:rsidRPr="000B32E4">
        <w:t>r år 2004. Fyra partier (m, kd, c och fp) avstyrker försl</w:t>
      </w:r>
      <w:r w:rsidRPr="000B32E4">
        <w:t>a</w:t>
      </w:r>
      <w:r w:rsidRPr="000B32E4">
        <w:t>gen till förmån för respektive partis förslag i varsin avvikande mening.</w:t>
      </w:r>
    </w:p>
    <w:p w:rsidR="00CF42C5" w:rsidRPr="000B32E4" w:rsidRDefault="00CF42C5">
      <w:r w:rsidRPr="000B32E4">
        <w:t>Konstitutionsutskottet har inga invändningar mot att årsredovisningen för staten 2000 läggs till handlingarna. Utskottet avstyrker en motion (v) om könsuppdelad statistik m.m. i statens årsredovisning. En avvikande mening (v) har anmälts.</w:t>
      </w:r>
    </w:p>
    <w:p w:rsidR="00CF42C5" w:rsidRPr="000B32E4" w:rsidRDefault="00CF42C5">
      <w:r w:rsidRPr="000B32E4">
        <w:t xml:space="preserve"> </w:t>
      </w:r>
    </w:p>
    <w:p w:rsidR="00CF42C5" w:rsidRPr="000B32E4" w:rsidRDefault="00CF42C5">
      <w:pPr>
        <w:pStyle w:val="Rubrik1"/>
        <w:spacing w:after="240"/>
        <w:rPr>
          <w:noProof w:val="0"/>
        </w:rPr>
      </w:pPr>
      <w:r w:rsidRPr="000B32E4">
        <w:rPr>
          <w:noProof w:val="0"/>
        </w:rPr>
        <w:br w:type="page"/>
      </w:r>
      <w:bookmarkStart w:id="3" w:name="_Toc514635723"/>
      <w:r w:rsidRPr="000B32E4">
        <w:rPr>
          <w:noProof w:val="0"/>
        </w:rPr>
        <w:lastRenderedPageBreak/>
        <w:t>Utskottet</w:t>
      </w:r>
      <w:bookmarkEnd w:id="3"/>
    </w:p>
    <w:p w:rsidR="00CF42C5" w:rsidRPr="000B32E4" w:rsidRDefault="00CF42C5">
      <w:pPr>
        <w:pStyle w:val="Rubrik2"/>
        <w:spacing w:before="0"/>
      </w:pPr>
      <w:bookmarkStart w:id="4" w:name="_Toc514635724"/>
      <w:r w:rsidRPr="000B32E4">
        <w:t>Propositionen</w:t>
      </w:r>
      <w:bookmarkEnd w:id="4"/>
    </w:p>
    <w:p w:rsidR="00CF42C5" w:rsidRPr="000B32E4" w:rsidRDefault="00CF42C5">
      <w:r w:rsidRPr="000B32E4">
        <w:t>Regeringen föreslår i proposition 2000/01:100 (yrkande 4) att riksdagen go</w:t>
      </w:r>
      <w:r w:rsidRPr="000B32E4">
        <w:t>d</w:t>
      </w:r>
      <w:r w:rsidRPr="000B32E4">
        <w:t xml:space="preserve">känner den preliminära fördelningen av utgifterna på utgiftsområden för åren 2002–2004 enligt tabell 6.5 som riktlinje för regeringens budgetarbete. </w:t>
      </w:r>
    </w:p>
    <w:p w:rsidR="00CF42C5" w:rsidRPr="000B32E4" w:rsidRDefault="00CF42C5">
      <w:pPr>
        <w:pStyle w:val="Normaltindrag"/>
      </w:pPr>
      <w:r w:rsidRPr="000B32E4">
        <w:t>De av regeringen föreslagna preliminära ramarna för utgiftsområde 1 R</w:t>
      </w:r>
      <w:r w:rsidRPr="000B32E4">
        <w:t>i</w:t>
      </w:r>
      <w:r w:rsidRPr="000B32E4">
        <w:t xml:space="preserve">kets styrelse </w:t>
      </w:r>
      <w:r w:rsidRPr="000B32E4">
        <w:t>å</w:t>
      </w:r>
      <w:r w:rsidRPr="000B32E4">
        <w:t>ren 2002–2004 framgår av följande uppställning.</w:t>
      </w:r>
    </w:p>
    <w:p w:rsidR="00CF42C5" w:rsidRPr="000B32E4" w:rsidRDefault="00CF42C5"/>
    <w:p w:rsidR="00CF42C5" w:rsidRPr="000B32E4" w:rsidRDefault="00CF42C5">
      <w:pPr>
        <w:pStyle w:val="TabellUnderrubrik"/>
        <w:pBdr>
          <w:bottom w:val="single" w:sz="4" w:space="1" w:color="auto"/>
        </w:pBdr>
      </w:pPr>
      <w:r w:rsidRPr="000B32E4">
        <w:t>Miljoner kronor</w:t>
      </w:r>
    </w:p>
    <w:tbl>
      <w:tblPr>
        <w:tblW w:w="0" w:type="auto"/>
        <w:tblInd w:w="-23" w:type="dxa"/>
        <w:tblLayout w:type="fixed"/>
        <w:tblLook w:val="0000" w:firstRow="0" w:lastRow="0" w:firstColumn="0" w:lastColumn="0" w:noHBand="0" w:noVBand="0"/>
      </w:tblPr>
      <w:tblGrid>
        <w:gridCol w:w="1157"/>
        <w:gridCol w:w="993"/>
        <w:gridCol w:w="1134"/>
        <w:gridCol w:w="850"/>
        <w:gridCol w:w="236"/>
        <w:gridCol w:w="615"/>
        <w:gridCol w:w="992"/>
      </w:tblGrid>
      <w:tr w:rsidR="00000000" w:rsidRPr="000B32E4">
        <w:tblPrEx>
          <w:tblCellMar>
            <w:top w:w="0" w:type="dxa"/>
            <w:bottom w:w="0" w:type="dxa"/>
          </w:tblCellMar>
        </w:tblPrEx>
        <w:tc>
          <w:tcPr>
            <w:tcW w:w="1157" w:type="dxa"/>
          </w:tcPr>
          <w:p w:rsidR="00CF42C5" w:rsidRPr="000B32E4" w:rsidRDefault="00CF42C5">
            <w:pPr>
              <w:pStyle w:val="Tabelltext"/>
            </w:pPr>
            <w:r w:rsidRPr="000B32E4">
              <w:t xml:space="preserve">  U</w:t>
            </w:r>
            <w:r w:rsidRPr="000B32E4">
              <w:t>t</w:t>
            </w:r>
            <w:r w:rsidRPr="000B32E4">
              <w:t>fall</w:t>
            </w:r>
          </w:p>
        </w:tc>
        <w:tc>
          <w:tcPr>
            <w:tcW w:w="993" w:type="dxa"/>
          </w:tcPr>
          <w:p w:rsidR="00CF42C5" w:rsidRPr="000B32E4" w:rsidRDefault="00CF42C5">
            <w:pPr>
              <w:pStyle w:val="Tabelltext"/>
            </w:pPr>
            <w:r w:rsidRPr="000B32E4">
              <w:t>A</w:t>
            </w:r>
            <w:r w:rsidRPr="000B32E4">
              <w:t>n</w:t>
            </w:r>
            <w:r w:rsidRPr="000B32E4">
              <w:t>slag</w:t>
            </w:r>
          </w:p>
        </w:tc>
        <w:tc>
          <w:tcPr>
            <w:tcW w:w="1134" w:type="dxa"/>
          </w:tcPr>
          <w:p w:rsidR="00CF42C5" w:rsidRPr="000B32E4" w:rsidRDefault="00CF42C5">
            <w:pPr>
              <w:pStyle w:val="Tabelltext"/>
            </w:pPr>
            <w:r w:rsidRPr="000B32E4">
              <w:t>Pr</w:t>
            </w:r>
            <w:r w:rsidRPr="000B32E4">
              <w:t>o</w:t>
            </w:r>
            <w:r w:rsidRPr="000B32E4">
              <w:t>gnos</w:t>
            </w:r>
          </w:p>
        </w:tc>
        <w:tc>
          <w:tcPr>
            <w:tcW w:w="850" w:type="dxa"/>
            <w:tcBorders>
              <w:bottom w:val="single" w:sz="4" w:space="0" w:color="auto"/>
            </w:tcBorders>
          </w:tcPr>
          <w:p w:rsidR="00CF42C5" w:rsidRPr="000B32E4" w:rsidRDefault="00CF42C5">
            <w:pPr>
              <w:pStyle w:val="Tabelltext"/>
            </w:pPr>
          </w:p>
        </w:tc>
        <w:tc>
          <w:tcPr>
            <w:tcW w:w="236" w:type="dxa"/>
            <w:tcBorders>
              <w:bottom w:val="single" w:sz="4" w:space="0" w:color="auto"/>
            </w:tcBorders>
          </w:tcPr>
          <w:p w:rsidR="00CF42C5" w:rsidRPr="000B32E4" w:rsidRDefault="00CF42C5">
            <w:pPr>
              <w:pStyle w:val="Tabelltext"/>
            </w:pPr>
          </w:p>
        </w:tc>
        <w:tc>
          <w:tcPr>
            <w:tcW w:w="1607" w:type="dxa"/>
            <w:gridSpan w:val="2"/>
            <w:tcBorders>
              <w:bottom w:val="single" w:sz="4" w:space="0" w:color="auto"/>
            </w:tcBorders>
          </w:tcPr>
          <w:p w:rsidR="00CF42C5" w:rsidRPr="000B32E4" w:rsidRDefault="00CF42C5">
            <w:pPr>
              <w:pStyle w:val="Tabelltext"/>
            </w:pPr>
            <w:r w:rsidRPr="000B32E4">
              <w:t>Berä</w:t>
            </w:r>
            <w:r w:rsidRPr="000B32E4">
              <w:t>k</w:t>
            </w:r>
            <w:r w:rsidRPr="000B32E4">
              <w:t>nat</w:t>
            </w:r>
          </w:p>
        </w:tc>
      </w:tr>
      <w:tr w:rsidR="00000000" w:rsidRPr="000B32E4">
        <w:tblPrEx>
          <w:tblCellMar>
            <w:top w:w="0" w:type="dxa"/>
            <w:bottom w:w="0" w:type="dxa"/>
          </w:tblCellMar>
        </w:tblPrEx>
        <w:trPr>
          <w:trHeight w:val="295"/>
        </w:trPr>
        <w:tc>
          <w:tcPr>
            <w:tcW w:w="1157" w:type="dxa"/>
            <w:tcBorders>
              <w:bottom w:val="single" w:sz="18" w:space="0" w:color="auto"/>
            </w:tcBorders>
          </w:tcPr>
          <w:p w:rsidR="00CF42C5" w:rsidRPr="000B32E4" w:rsidRDefault="00CF42C5">
            <w:pPr>
              <w:pStyle w:val="Tabelltext"/>
            </w:pPr>
            <w:r w:rsidRPr="000B32E4">
              <w:t>   2000</w:t>
            </w:r>
          </w:p>
        </w:tc>
        <w:tc>
          <w:tcPr>
            <w:tcW w:w="993" w:type="dxa"/>
            <w:tcBorders>
              <w:bottom w:val="single" w:sz="18" w:space="0" w:color="auto"/>
            </w:tcBorders>
          </w:tcPr>
          <w:p w:rsidR="00CF42C5" w:rsidRPr="000B32E4" w:rsidRDefault="00CF42C5">
            <w:pPr>
              <w:pStyle w:val="Tabelltext"/>
            </w:pPr>
            <w:r w:rsidRPr="000B32E4">
              <w:t> 2001</w:t>
            </w:r>
          </w:p>
        </w:tc>
        <w:tc>
          <w:tcPr>
            <w:tcW w:w="1134" w:type="dxa"/>
            <w:tcBorders>
              <w:bottom w:val="single" w:sz="18" w:space="0" w:color="auto"/>
            </w:tcBorders>
          </w:tcPr>
          <w:p w:rsidR="00CF42C5" w:rsidRPr="000B32E4" w:rsidRDefault="00CF42C5">
            <w:pPr>
              <w:pStyle w:val="Tabelltext"/>
            </w:pPr>
            <w:r w:rsidRPr="000B32E4">
              <w:t> 2001</w:t>
            </w:r>
          </w:p>
        </w:tc>
        <w:tc>
          <w:tcPr>
            <w:tcW w:w="850" w:type="dxa"/>
            <w:tcBorders>
              <w:top w:val="single" w:sz="4" w:space="0" w:color="auto"/>
              <w:bottom w:val="single" w:sz="18" w:space="0" w:color="auto"/>
            </w:tcBorders>
          </w:tcPr>
          <w:p w:rsidR="00CF42C5" w:rsidRPr="000B32E4" w:rsidRDefault="00CF42C5">
            <w:pPr>
              <w:pStyle w:val="Tabelltext"/>
            </w:pPr>
            <w:r w:rsidRPr="000B32E4">
              <w:t> 2002</w:t>
            </w:r>
          </w:p>
        </w:tc>
        <w:tc>
          <w:tcPr>
            <w:tcW w:w="851" w:type="dxa"/>
            <w:gridSpan w:val="2"/>
            <w:tcBorders>
              <w:top w:val="single" w:sz="4" w:space="0" w:color="auto"/>
              <w:bottom w:val="single" w:sz="18" w:space="0" w:color="auto"/>
            </w:tcBorders>
          </w:tcPr>
          <w:p w:rsidR="00CF42C5" w:rsidRPr="000B32E4" w:rsidRDefault="00CF42C5">
            <w:pPr>
              <w:pStyle w:val="Tabelltext"/>
            </w:pPr>
            <w:r w:rsidRPr="000B32E4">
              <w:t> 2003</w:t>
            </w:r>
          </w:p>
        </w:tc>
        <w:tc>
          <w:tcPr>
            <w:tcW w:w="992" w:type="dxa"/>
            <w:tcBorders>
              <w:top w:val="single" w:sz="4" w:space="0" w:color="auto"/>
              <w:bottom w:val="single" w:sz="18" w:space="0" w:color="auto"/>
            </w:tcBorders>
          </w:tcPr>
          <w:p w:rsidR="00CF42C5" w:rsidRPr="000B32E4" w:rsidRDefault="00CF42C5">
            <w:pPr>
              <w:pStyle w:val="Tabelltext"/>
            </w:pPr>
            <w:r w:rsidRPr="000B32E4">
              <w:t> 2004</w:t>
            </w:r>
          </w:p>
        </w:tc>
      </w:tr>
      <w:tr w:rsidR="00000000" w:rsidRPr="000B32E4">
        <w:tblPrEx>
          <w:tblCellMar>
            <w:top w:w="0" w:type="dxa"/>
            <w:bottom w:w="0" w:type="dxa"/>
          </w:tblCellMar>
        </w:tblPrEx>
        <w:tc>
          <w:tcPr>
            <w:tcW w:w="1157" w:type="dxa"/>
            <w:tcBorders>
              <w:top w:val="single" w:sz="18" w:space="0" w:color="auto"/>
              <w:bottom w:val="single" w:sz="6" w:space="0" w:color="auto"/>
            </w:tcBorders>
          </w:tcPr>
          <w:p w:rsidR="00CF42C5" w:rsidRPr="000B32E4" w:rsidRDefault="00CF42C5">
            <w:pPr>
              <w:pStyle w:val="Tabelltextsiffror"/>
              <w:jc w:val="both"/>
            </w:pPr>
            <w:r w:rsidRPr="000B32E4">
              <w:t>  4 820</w:t>
            </w:r>
          </w:p>
        </w:tc>
        <w:tc>
          <w:tcPr>
            <w:tcW w:w="993" w:type="dxa"/>
            <w:tcBorders>
              <w:top w:val="single" w:sz="18" w:space="0" w:color="auto"/>
              <w:bottom w:val="single" w:sz="6" w:space="0" w:color="auto"/>
            </w:tcBorders>
          </w:tcPr>
          <w:p w:rsidR="00CF42C5" w:rsidRPr="000B32E4" w:rsidRDefault="00CF42C5">
            <w:pPr>
              <w:pStyle w:val="Tabelltextsiffror"/>
              <w:jc w:val="both"/>
            </w:pPr>
            <w:r w:rsidRPr="000B32E4">
              <w:t>5 316</w:t>
            </w:r>
          </w:p>
        </w:tc>
        <w:tc>
          <w:tcPr>
            <w:tcW w:w="1134" w:type="dxa"/>
            <w:tcBorders>
              <w:top w:val="single" w:sz="18" w:space="0" w:color="auto"/>
              <w:bottom w:val="single" w:sz="6" w:space="0" w:color="auto"/>
            </w:tcBorders>
          </w:tcPr>
          <w:p w:rsidR="00CF42C5" w:rsidRPr="000B32E4" w:rsidRDefault="00CF42C5">
            <w:pPr>
              <w:pStyle w:val="Tabelltextsiffror"/>
              <w:jc w:val="both"/>
            </w:pPr>
            <w:r w:rsidRPr="000B32E4">
              <w:t>5 738</w:t>
            </w:r>
          </w:p>
        </w:tc>
        <w:tc>
          <w:tcPr>
            <w:tcW w:w="850" w:type="dxa"/>
            <w:tcBorders>
              <w:top w:val="single" w:sz="18" w:space="0" w:color="auto"/>
              <w:bottom w:val="single" w:sz="6" w:space="0" w:color="auto"/>
            </w:tcBorders>
          </w:tcPr>
          <w:p w:rsidR="00CF42C5" w:rsidRPr="000B32E4" w:rsidRDefault="00CF42C5">
            <w:pPr>
              <w:pStyle w:val="Tabelltextsiffror"/>
              <w:jc w:val="both"/>
              <w:rPr>
                <w:b/>
              </w:rPr>
            </w:pPr>
            <w:r w:rsidRPr="000B32E4">
              <w:rPr>
                <w:b/>
              </w:rPr>
              <w:t>5 394</w:t>
            </w:r>
          </w:p>
        </w:tc>
        <w:tc>
          <w:tcPr>
            <w:tcW w:w="851" w:type="dxa"/>
            <w:gridSpan w:val="2"/>
            <w:tcBorders>
              <w:top w:val="single" w:sz="18" w:space="0" w:color="auto"/>
              <w:bottom w:val="single" w:sz="6" w:space="0" w:color="auto"/>
            </w:tcBorders>
          </w:tcPr>
          <w:p w:rsidR="00CF42C5" w:rsidRPr="000B32E4" w:rsidRDefault="00CF42C5">
            <w:pPr>
              <w:pStyle w:val="Tabelltextsiffror"/>
              <w:jc w:val="both"/>
            </w:pPr>
            <w:r w:rsidRPr="000B32E4">
              <w:t>5 355</w:t>
            </w:r>
          </w:p>
        </w:tc>
        <w:tc>
          <w:tcPr>
            <w:tcW w:w="992" w:type="dxa"/>
            <w:tcBorders>
              <w:top w:val="single" w:sz="18" w:space="0" w:color="auto"/>
              <w:bottom w:val="single" w:sz="6" w:space="0" w:color="auto"/>
            </w:tcBorders>
          </w:tcPr>
          <w:p w:rsidR="00CF42C5" w:rsidRPr="000B32E4" w:rsidRDefault="00CF42C5">
            <w:pPr>
              <w:pStyle w:val="Tabelltextsiffror"/>
              <w:jc w:val="both"/>
            </w:pPr>
            <w:r w:rsidRPr="000B32E4">
              <w:t>5 646</w:t>
            </w:r>
          </w:p>
        </w:tc>
      </w:tr>
    </w:tbl>
    <w:p w:rsidR="00CF42C5" w:rsidRPr="000B32E4" w:rsidRDefault="00CF42C5">
      <w:r w:rsidRPr="000B32E4">
        <w:t>Enligt regeringen ökar beräknade resurser för utgiftsområdet från år 2002 med 258 miljoner kronor i jämförelse med den beräknade ramen i budgetpr</w:t>
      </w:r>
      <w:r w:rsidRPr="000B32E4">
        <w:t>o</w:t>
      </w:r>
      <w:r w:rsidRPr="000B32E4">
        <w:t>positionen för 2001. I detta belopp ingår en överföring med 24 miljoner kr</w:t>
      </w:r>
      <w:r w:rsidRPr="000B32E4">
        <w:t>o</w:t>
      </w:r>
      <w:r w:rsidRPr="000B32E4">
        <w:t>nor från utgiftsområde 1 till utgiftsomr</w:t>
      </w:r>
      <w:r w:rsidRPr="000B32E4">
        <w:t>å</w:t>
      </w:r>
      <w:r w:rsidRPr="000B32E4">
        <w:t>de 17.</w:t>
      </w:r>
    </w:p>
    <w:p w:rsidR="00CF42C5" w:rsidRPr="000B32E4" w:rsidRDefault="00CF42C5">
      <w:pPr>
        <w:pStyle w:val="Normaltindrag"/>
      </w:pPr>
      <w:r w:rsidRPr="000B32E4">
        <w:t>Med anledning av regeringens ställningstagande till rapporten om det samlade regeringskansliets långsiktiga dimensionering Vad kostar det att regera? En studie av Regeringskansliets dimensionering nu och i framtiden (Ds 2000:27) föreslår regeringen att anslaget ökar med 160 miljoner kronor år 2002, 240 miljoner kronor år 2003 och 340 miljoner kronor år 2004. Vidare anför regeringen att</w:t>
      </w:r>
      <w:r w:rsidRPr="000B32E4">
        <w:t xml:space="preserve"> beräknade resurser för utgiftsområdet för år 2002 däru</w:t>
      </w:r>
      <w:r w:rsidRPr="000B32E4">
        <w:t>t</w:t>
      </w:r>
      <w:r w:rsidRPr="000B32E4">
        <w:t>över bör öka, främst till följd av ny pris- och löneomräkning, med 98 miljoner kronor i jämförelse med den beräknade ramen i budgetpropositionen för 2001. I detta belopp ingår den ovan nämnda överföringen från utgiftsområde 1 till utgift</w:t>
      </w:r>
      <w:r w:rsidRPr="000B32E4">
        <w:t>s</w:t>
      </w:r>
      <w:r w:rsidRPr="000B32E4">
        <w:t>område 17.</w:t>
      </w:r>
    </w:p>
    <w:p w:rsidR="00CF42C5" w:rsidRPr="000B32E4" w:rsidRDefault="00CF42C5">
      <w:r w:rsidRPr="000B32E4">
        <w:t>I propositionen aviserar regeringen sin avsikt att i budgetpropositionen för 2002 föreslå höjningar av presstödet i enlighet med förslag i tilläggsbudget. Vidare aviseras att regeringen även överväger ytterl</w:t>
      </w:r>
      <w:r w:rsidRPr="000B32E4">
        <w:t>igare insatser inom press</w:t>
      </w:r>
      <w:r w:rsidRPr="000B32E4">
        <w:softHyphen/>
        <w:t>stöd</w:t>
      </w:r>
      <w:r w:rsidRPr="000B32E4">
        <w:t>s</w:t>
      </w:r>
      <w:r w:rsidRPr="000B32E4">
        <w:t>området.</w:t>
      </w:r>
    </w:p>
    <w:p w:rsidR="00CF42C5" w:rsidRPr="000B32E4" w:rsidRDefault="00CF42C5">
      <w:pPr>
        <w:pStyle w:val="Rubrik2"/>
        <w:spacing w:before="360"/>
      </w:pPr>
      <w:bookmarkStart w:id="5" w:name="_Toc514635725"/>
      <w:r w:rsidRPr="000B32E4">
        <w:br w:type="page"/>
        <w:t>Motioner</w:t>
      </w:r>
      <w:bookmarkEnd w:id="5"/>
    </w:p>
    <w:p w:rsidR="00CF42C5" w:rsidRPr="000B32E4" w:rsidRDefault="00CF42C5">
      <w:r w:rsidRPr="000B32E4">
        <w:t>I följande tablå redovisas vårpropositionens och motionernas förslag till pr</w:t>
      </w:r>
      <w:r w:rsidRPr="000B32E4">
        <w:t>e</w:t>
      </w:r>
      <w:r w:rsidRPr="000B32E4">
        <w:t>liminära u</w:t>
      </w:r>
      <w:r w:rsidRPr="000B32E4">
        <w:t>t</w:t>
      </w:r>
      <w:r w:rsidRPr="000B32E4">
        <w:t>giftsramar för utgiftsområde 1 Rikets styrlese för åren 2002–2004.</w:t>
      </w:r>
    </w:p>
    <w:p w:rsidR="00CF42C5" w:rsidRPr="000B32E4" w:rsidRDefault="00CF42C5">
      <w:pPr>
        <w:pStyle w:val="Tabellrubrik"/>
        <w:spacing w:before="240"/>
      </w:pPr>
      <w:r w:rsidRPr="000B32E4">
        <w:t>Förslag till ram för utgiftsområde 1 Rikets styrelse</w:t>
      </w:r>
    </w:p>
    <w:p w:rsidR="00CF42C5" w:rsidRPr="000B32E4" w:rsidRDefault="00CF42C5">
      <w:pPr>
        <w:pStyle w:val="TabellUnderrubrik"/>
      </w:pPr>
      <w:r w:rsidRPr="000B32E4">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222"/>
        <w:gridCol w:w="142"/>
        <w:gridCol w:w="851"/>
        <w:gridCol w:w="38"/>
        <w:gridCol w:w="104"/>
        <w:gridCol w:w="851"/>
        <w:gridCol w:w="142"/>
        <w:gridCol w:w="156"/>
        <w:gridCol w:w="142"/>
        <w:gridCol w:w="494"/>
        <w:gridCol w:w="141"/>
        <w:gridCol w:w="936"/>
        <w:gridCol w:w="198"/>
      </w:tblGrid>
      <w:tr w:rsidR="00000000" w:rsidRPr="000B32E4">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CF42C5" w:rsidRPr="000B32E4" w:rsidRDefault="00CF42C5">
            <w:pPr>
              <w:pStyle w:val="Tabell"/>
              <w:keepLines/>
            </w:pPr>
          </w:p>
        </w:tc>
        <w:tc>
          <w:tcPr>
            <w:tcW w:w="1253" w:type="dxa"/>
            <w:gridSpan w:val="4"/>
            <w:tcBorders>
              <w:top w:val="single" w:sz="6" w:space="0" w:color="000000"/>
            </w:tcBorders>
          </w:tcPr>
          <w:p w:rsidR="00CF42C5" w:rsidRPr="000B32E4" w:rsidRDefault="00CF42C5">
            <w:pPr>
              <w:pStyle w:val="Tabell"/>
              <w:keepLines/>
            </w:pPr>
          </w:p>
        </w:tc>
        <w:tc>
          <w:tcPr>
            <w:tcW w:w="1253" w:type="dxa"/>
            <w:gridSpan w:val="4"/>
            <w:tcBorders>
              <w:top w:val="single" w:sz="6" w:space="0" w:color="000000"/>
            </w:tcBorders>
          </w:tcPr>
          <w:p w:rsidR="00CF42C5" w:rsidRPr="000B32E4" w:rsidRDefault="00CF42C5">
            <w:pPr>
              <w:pStyle w:val="Tabell"/>
              <w:keepLines/>
              <w:jc w:val="center"/>
            </w:pPr>
          </w:p>
        </w:tc>
        <w:tc>
          <w:tcPr>
            <w:tcW w:w="142" w:type="dxa"/>
            <w:tcBorders>
              <w:top w:val="single" w:sz="6" w:space="0" w:color="000000"/>
            </w:tcBorders>
          </w:tcPr>
          <w:p w:rsidR="00CF42C5" w:rsidRPr="000B32E4" w:rsidRDefault="00CF42C5">
            <w:pPr>
              <w:pStyle w:val="Tabell"/>
              <w:keepLines/>
            </w:pPr>
          </w:p>
        </w:tc>
        <w:tc>
          <w:tcPr>
            <w:tcW w:w="1769" w:type="dxa"/>
            <w:gridSpan w:val="4"/>
            <w:tcBorders>
              <w:top w:val="single" w:sz="6" w:space="0" w:color="000000"/>
            </w:tcBorders>
          </w:tcPr>
          <w:p w:rsidR="00CF42C5" w:rsidRPr="000B32E4" w:rsidRDefault="00CF42C5">
            <w:pPr>
              <w:pStyle w:val="Tabell"/>
              <w:keepLines/>
            </w:pPr>
          </w:p>
        </w:tc>
      </w:tr>
      <w:tr w:rsidR="00000000" w:rsidRPr="000B32E4">
        <w:tblPrEx>
          <w:tblCellMar>
            <w:top w:w="0" w:type="dxa"/>
            <w:left w:w="0" w:type="dxa"/>
            <w:bottom w:w="0" w:type="dxa"/>
            <w:right w:w="0" w:type="dxa"/>
          </w:tblCellMar>
        </w:tblPrEx>
        <w:trPr>
          <w:trHeight w:hRule="exact" w:val="200"/>
        </w:trPr>
        <w:tc>
          <w:tcPr>
            <w:tcW w:w="454" w:type="dxa"/>
          </w:tcPr>
          <w:p w:rsidR="00CF42C5" w:rsidRPr="000B32E4" w:rsidRDefault="00CF42C5">
            <w:pPr>
              <w:pStyle w:val="Tabell"/>
              <w:keepLines/>
              <w:jc w:val="left"/>
            </w:pPr>
            <w:r w:rsidRPr="000B32E4">
              <w:t>År</w:t>
            </w:r>
          </w:p>
        </w:tc>
        <w:tc>
          <w:tcPr>
            <w:tcW w:w="57" w:type="dxa"/>
          </w:tcPr>
          <w:p w:rsidR="00CF42C5" w:rsidRPr="000B32E4" w:rsidRDefault="00CF42C5">
            <w:pPr>
              <w:pStyle w:val="Tabell"/>
              <w:keepLines/>
            </w:pPr>
          </w:p>
        </w:tc>
        <w:tc>
          <w:tcPr>
            <w:tcW w:w="964" w:type="dxa"/>
            <w:gridSpan w:val="2"/>
          </w:tcPr>
          <w:p w:rsidR="00CF42C5" w:rsidRPr="000B32E4" w:rsidRDefault="00CF42C5">
            <w:pPr>
              <w:pStyle w:val="Tabell"/>
              <w:keepLines/>
              <w:jc w:val="center"/>
            </w:pPr>
            <w:r w:rsidRPr="000B32E4">
              <w:t>Proposi-</w:t>
            </w:r>
          </w:p>
        </w:tc>
        <w:tc>
          <w:tcPr>
            <w:tcW w:w="142" w:type="dxa"/>
          </w:tcPr>
          <w:p w:rsidR="00CF42C5" w:rsidRPr="000B32E4" w:rsidRDefault="00CF42C5">
            <w:pPr>
              <w:pStyle w:val="Tabell"/>
              <w:keepLines/>
            </w:pPr>
          </w:p>
        </w:tc>
        <w:tc>
          <w:tcPr>
            <w:tcW w:w="4053" w:type="dxa"/>
            <w:gridSpan w:val="11"/>
            <w:tcBorders>
              <w:bottom w:val="single" w:sz="4" w:space="0" w:color="auto"/>
            </w:tcBorders>
          </w:tcPr>
          <w:p w:rsidR="00CF42C5" w:rsidRPr="000B32E4" w:rsidRDefault="00CF42C5">
            <w:pPr>
              <w:pStyle w:val="Tabell"/>
              <w:keepLines/>
            </w:pPr>
            <w:r w:rsidRPr="000B32E4">
              <w:t>Oppositionspartiernas avvikelser från propositionens ram</w:t>
            </w:r>
          </w:p>
        </w:tc>
      </w:tr>
      <w:tr w:rsidR="00000000" w:rsidRPr="000B32E4">
        <w:tblPrEx>
          <w:tblCellMar>
            <w:top w:w="0" w:type="dxa"/>
            <w:left w:w="0" w:type="dxa"/>
            <w:bottom w:w="0" w:type="dxa"/>
            <w:right w:w="0" w:type="dxa"/>
          </w:tblCellMar>
        </w:tblPrEx>
        <w:trPr>
          <w:trHeight w:hRule="exact" w:val="660"/>
        </w:trPr>
        <w:tc>
          <w:tcPr>
            <w:tcW w:w="454" w:type="dxa"/>
            <w:tcBorders>
              <w:bottom w:val="single" w:sz="6" w:space="0" w:color="auto"/>
            </w:tcBorders>
          </w:tcPr>
          <w:p w:rsidR="00CF42C5" w:rsidRPr="000B32E4" w:rsidRDefault="00CF42C5">
            <w:pPr>
              <w:pStyle w:val="Tabell"/>
              <w:keepLines/>
            </w:pPr>
          </w:p>
        </w:tc>
        <w:tc>
          <w:tcPr>
            <w:tcW w:w="57" w:type="dxa"/>
            <w:tcBorders>
              <w:bottom w:val="single" w:sz="6" w:space="0" w:color="auto"/>
            </w:tcBorders>
          </w:tcPr>
          <w:p w:rsidR="00CF42C5" w:rsidRPr="000B32E4" w:rsidRDefault="00CF42C5">
            <w:pPr>
              <w:pStyle w:val="Tabell"/>
              <w:keepLines/>
            </w:pPr>
          </w:p>
        </w:tc>
        <w:tc>
          <w:tcPr>
            <w:tcW w:w="964" w:type="dxa"/>
            <w:gridSpan w:val="2"/>
            <w:tcBorders>
              <w:bottom w:val="single" w:sz="6" w:space="0" w:color="auto"/>
            </w:tcBorders>
          </w:tcPr>
          <w:p w:rsidR="00CF42C5" w:rsidRPr="000B32E4" w:rsidRDefault="00CF42C5">
            <w:pPr>
              <w:pStyle w:val="Tabell"/>
              <w:keepLines/>
              <w:jc w:val="left"/>
            </w:pPr>
            <w:r w:rsidRPr="000B32E4">
              <w:t xml:space="preserve">    tionen</w:t>
            </w:r>
          </w:p>
        </w:tc>
        <w:tc>
          <w:tcPr>
            <w:tcW w:w="142" w:type="dxa"/>
            <w:tcBorders>
              <w:bottom w:val="single" w:sz="6" w:space="0" w:color="auto"/>
            </w:tcBorders>
          </w:tcPr>
          <w:p w:rsidR="00CF42C5" w:rsidRPr="000B32E4" w:rsidRDefault="00CF42C5">
            <w:pPr>
              <w:pStyle w:val="Tabell"/>
              <w:keepLines/>
            </w:pPr>
          </w:p>
        </w:tc>
        <w:tc>
          <w:tcPr>
            <w:tcW w:w="851" w:type="dxa"/>
            <w:tcBorders>
              <w:bottom w:val="single" w:sz="6" w:space="0" w:color="auto"/>
            </w:tcBorders>
          </w:tcPr>
          <w:p w:rsidR="00CF42C5" w:rsidRPr="000B32E4" w:rsidRDefault="00CF42C5">
            <w:pPr>
              <w:pStyle w:val="Tabell"/>
              <w:keepLines/>
              <w:spacing w:line="-80" w:lineRule="auto"/>
              <w:rPr>
                <w:sz w:val="16"/>
              </w:rPr>
            </w:pPr>
          </w:p>
          <w:p w:rsidR="00CF42C5" w:rsidRPr="000B32E4" w:rsidRDefault="00CF42C5">
            <w:pPr>
              <w:pStyle w:val="Tabell"/>
              <w:keepLines/>
            </w:pPr>
            <w:r w:rsidRPr="000B32E4">
              <w:t>Moderata samlings-partiet</w:t>
            </w:r>
          </w:p>
        </w:tc>
        <w:tc>
          <w:tcPr>
            <w:tcW w:w="142" w:type="dxa"/>
            <w:gridSpan w:val="2"/>
            <w:tcBorders>
              <w:bottom w:val="single" w:sz="6" w:space="0" w:color="auto"/>
            </w:tcBorders>
          </w:tcPr>
          <w:p w:rsidR="00CF42C5" w:rsidRPr="000B32E4" w:rsidRDefault="00CF42C5">
            <w:pPr>
              <w:pStyle w:val="Tabell"/>
              <w:keepLines/>
            </w:pPr>
          </w:p>
        </w:tc>
        <w:tc>
          <w:tcPr>
            <w:tcW w:w="851" w:type="dxa"/>
            <w:tcBorders>
              <w:bottom w:val="single" w:sz="6" w:space="0" w:color="auto"/>
            </w:tcBorders>
          </w:tcPr>
          <w:p w:rsidR="00CF42C5" w:rsidRPr="000B32E4" w:rsidRDefault="00CF42C5">
            <w:pPr>
              <w:pStyle w:val="Tabell"/>
              <w:keepLines/>
              <w:spacing w:line="-80" w:lineRule="auto"/>
            </w:pPr>
          </w:p>
          <w:p w:rsidR="00CF42C5" w:rsidRPr="000B32E4" w:rsidRDefault="00CF42C5">
            <w:pPr>
              <w:pStyle w:val="Tabell"/>
              <w:keepLines/>
            </w:pPr>
            <w:r w:rsidRPr="000B32E4">
              <w:t>Kristdemo-kraterna</w:t>
            </w:r>
          </w:p>
        </w:tc>
        <w:tc>
          <w:tcPr>
            <w:tcW w:w="142" w:type="dxa"/>
            <w:tcBorders>
              <w:bottom w:val="single" w:sz="6" w:space="0" w:color="auto"/>
            </w:tcBorders>
          </w:tcPr>
          <w:p w:rsidR="00CF42C5" w:rsidRPr="000B32E4" w:rsidRDefault="00CF42C5">
            <w:pPr>
              <w:pStyle w:val="Tabell"/>
              <w:keepLines/>
              <w:spacing w:before="90"/>
            </w:pPr>
          </w:p>
        </w:tc>
        <w:tc>
          <w:tcPr>
            <w:tcW w:w="792" w:type="dxa"/>
            <w:gridSpan w:val="3"/>
            <w:tcBorders>
              <w:bottom w:val="single" w:sz="6" w:space="0" w:color="auto"/>
            </w:tcBorders>
          </w:tcPr>
          <w:p w:rsidR="00CF42C5" w:rsidRPr="000B32E4" w:rsidRDefault="00CF42C5">
            <w:pPr>
              <w:pStyle w:val="Tabell"/>
              <w:keepLines/>
              <w:spacing w:line="-80" w:lineRule="auto"/>
            </w:pPr>
          </w:p>
          <w:p w:rsidR="00CF42C5" w:rsidRPr="000B32E4" w:rsidRDefault="00CF42C5">
            <w:pPr>
              <w:pStyle w:val="Tabell"/>
              <w:keepLines/>
            </w:pPr>
            <w:r w:rsidRPr="000B32E4">
              <w:t xml:space="preserve">   Center-</w:t>
            </w:r>
          </w:p>
          <w:p w:rsidR="00CF42C5" w:rsidRPr="000B32E4" w:rsidRDefault="00CF42C5">
            <w:pPr>
              <w:pStyle w:val="Tabell"/>
              <w:keepLines/>
            </w:pPr>
            <w:r w:rsidRPr="000B32E4">
              <w:t xml:space="preserve">   Partiet</w:t>
            </w:r>
          </w:p>
        </w:tc>
        <w:tc>
          <w:tcPr>
            <w:tcW w:w="141" w:type="dxa"/>
            <w:tcBorders>
              <w:bottom w:val="single" w:sz="6" w:space="0" w:color="auto"/>
            </w:tcBorders>
          </w:tcPr>
          <w:p w:rsidR="00CF42C5" w:rsidRPr="000B32E4" w:rsidRDefault="00CF42C5">
            <w:pPr>
              <w:pStyle w:val="Tabell"/>
              <w:keepLines/>
            </w:pPr>
          </w:p>
        </w:tc>
        <w:tc>
          <w:tcPr>
            <w:tcW w:w="1134" w:type="dxa"/>
            <w:gridSpan w:val="2"/>
            <w:tcBorders>
              <w:bottom w:val="single" w:sz="6" w:space="0" w:color="auto"/>
            </w:tcBorders>
          </w:tcPr>
          <w:p w:rsidR="00CF42C5" w:rsidRPr="000B32E4" w:rsidRDefault="00CF42C5">
            <w:pPr>
              <w:pStyle w:val="Tabell"/>
              <w:keepLines/>
              <w:spacing w:line="-80" w:lineRule="auto"/>
            </w:pPr>
          </w:p>
          <w:p w:rsidR="00CF42C5" w:rsidRPr="000B32E4" w:rsidRDefault="00CF42C5">
            <w:pPr>
              <w:pStyle w:val="Tabell"/>
              <w:keepLines/>
            </w:pPr>
            <w:r w:rsidRPr="000B32E4">
              <w:t>Folkpartiet liberalerna</w:t>
            </w:r>
          </w:p>
        </w:tc>
      </w:tr>
      <w:tr w:rsidR="00000000" w:rsidRPr="000B32E4">
        <w:tblPrEx>
          <w:tblCellMar>
            <w:top w:w="0" w:type="dxa"/>
            <w:left w:w="0" w:type="dxa"/>
            <w:bottom w:w="0" w:type="dxa"/>
            <w:right w:w="0" w:type="dxa"/>
          </w:tblCellMar>
        </w:tblPrEx>
        <w:trPr>
          <w:trHeight w:hRule="exact" w:val="60"/>
        </w:trPr>
        <w:tc>
          <w:tcPr>
            <w:tcW w:w="454" w:type="dxa"/>
          </w:tcPr>
          <w:p w:rsidR="00CF42C5" w:rsidRPr="000B32E4" w:rsidRDefault="00CF42C5">
            <w:pPr>
              <w:pStyle w:val="Tabell"/>
              <w:keepLines/>
            </w:pPr>
          </w:p>
        </w:tc>
        <w:tc>
          <w:tcPr>
            <w:tcW w:w="57" w:type="dxa"/>
          </w:tcPr>
          <w:p w:rsidR="00CF42C5" w:rsidRPr="000B32E4" w:rsidRDefault="00CF42C5">
            <w:pPr>
              <w:pStyle w:val="Tabell"/>
              <w:keepLines/>
              <w:rPr>
                <w:b/>
              </w:rPr>
            </w:pPr>
          </w:p>
        </w:tc>
        <w:tc>
          <w:tcPr>
            <w:tcW w:w="964" w:type="dxa"/>
            <w:gridSpan w:val="2"/>
          </w:tcPr>
          <w:p w:rsidR="00CF42C5" w:rsidRPr="000B32E4" w:rsidRDefault="00CF42C5">
            <w:pPr>
              <w:pStyle w:val="Tabell"/>
              <w:keepLines/>
              <w:jc w:val="center"/>
            </w:pPr>
          </w:p>
        </w:tc>
        <w:tc>
          <w:tcPr>
            <w:tcW w:w="142" w:type="dxa"/>
          </w:tcPr>
          <w:p w:rsidR="00CF42C5" w:rsidRPr="000B32E4" w:rsidRDefault="00CF42C5">
            <w:pPr>
              <w:pStyle w:val="Tabell"/>
              <w:keepLines/>
            </w:pPr>
          </w:p>
        </w:tc>
        <w:tc>
          <w:tcPr>
            <w:tcW w:w="851" w:type="dxa"/>
          </w:tcPr>
          <w:p w:rsidR="00CF42C5" w:rsidRPr="000B32E4" w:rsidRDefault="00CF42C5">
            <w:pPr>
              <w:pStyle w:val="Tabell"/>
              <w:keepLines/>
            </w:pPr>
          </w:p>
        </w:tc>
        <w:tc>
          <w:tcPr>
            <w:tcW w:w="142" w:type="dxa"/>
            <w:gridSpan w:val="2"/>
          </w:tcPr>
          <w:p w:rsidR="00CF42C5" w:rsidRPr="000B32E4" w:rsidRDefault="00CF42C5">
            <w:pPr>
              <w:pStyle w:val="Tabell"/>
              <w:keepLines/>
            </w:pPr>
          </w:p>
        </w:tc>
        <w:tc>
          <w:tcPr>
            <w:tcW w:w="851" w:type="dxa"/>
          </w:tcPr>
          <w:p w:rsidR="00CF42C5" w:rsidRPr="000B32E4" w:rsidRDefault="00CF42C5">
            <w:pPr>
              <w:pStyle w:val="Tabell"/>
              <w:keepLines/>
            </w:pPr>
          </w:p>
        </w:tc>
        <w:tc>
          <w:tcPr>
            <w:tcW w:w="142" w:type="dxa"/>
          </w:tcPr>
          <w:p w:rsidR="00CF42C5" w:rsidRPr="000B32E4" w:rsidRDefault="00CF42C5">
            <w:pPr>
              <w:pStyle w:val="Tabell"/>
              <w:keepLines/>
            </w:pPr>
          </w:p>
        </w:tc>
        <w:tc>
          <w:tcPr>
            <w:tcW w:w="792" w:type="dxa"/>
            <w:gridSpan w:val="3"/>
          </w:tcPr>
          <w:p w:rsidR="00CF42C5" w:rsidRPr="000B32E4" w:rsidRDefault="00CF42C5">
            <w:pPr>
              <w:pStyle w:val="Tabell"/>
              <w:keepLines/>
              <w:ind w:right="38"/>
              <w:jc w:val="right"/>
            </w:pPr>
          </w:p>
        </w:tc>
        <w:tc>
          <w:tcPr>
            <w:tcW w:w="141" w:type="dxa"/>
          </w:tcPr>
          <w:p w:rsidR="00CF42C5" w:rsidRPr="000B32E4" w:rsidRDefault="00CF42C5">
            <w:pPr>
              <w:pStyle w:val="Tabell"/>
              <w:keepLines/>
            </w:pPr>
          </w:p>
        </w:tc>
        <w:tc>
          <w:tcPr>
            <w:tcW w:w="1134" w:type="dxa"/>
            <w:gridSpan w:val="2"/>
          </w:tcPr>
          <w:p w:rsidR="00CF42C5" w:rsidRPr="000B32E4" w:rsidRDefault="00CF42C5">
            <w:pPr>
              <w:pStyle w:val="Tabell"/>
              <w:keepLines/>
            </w:pPr>
          </w:p>
        </w:tc>
      </w:tr>
      <w:tr w:rsidR="00000000" w:rsidRPr="000B32E4">
        <w:tblPrEx>
          <w:tblCellMar>
            <w:top w:w="0" w:type="dxa"/>
            <w:left w:w="0" w:type="dxa"/>
            <w:bottom w:w="0" w:type="dxa"/>
            <w:right w:w="0" w:type="dxa"/>
          </w:tblCellMar>
        </w:tblPrEx>
        <w:tc>
          <w:tcPr>
            <w:tcW w:w="454" w:type="dxa"/>
          </w:tcPr>
          <w:p w:rsidR="00CF42C5" w:rsidRPr="000B32E4" w:rsidRDefault="00CF42C5">
            <w:pPr>
              <w:pStyle w:val="Tabell"/>
              <w:keepLines/>
            </w:pPr>
            <w:r w:rsidRPr="000B32E4">
              <w:t>2002</w:t>
            </w:r>
          </w:p>
        </w:tc>
        <w:tc>
          <w:tcPr>
            <w:tcW w:w="57" w:type="dxa"/>
          </w:tcPr>
          <w:p w:rsidR="00CF42C5" w:rsidRPr="000B32E4" w:rsidRDefault="00CF42C5">
            <w:pPr>
              <w:pStyle w:val="Tabell"/>
              <w:keepLines/>
            </w:pPr>
          </w:p>
        </w:tc>
        <w:tc>
          <w:tcPr>
            <w:tcW w:w="964" w:type="dxa"/>
            <w:gridSpan w:val="2"/>
          </w:tcPr>
          <w:p w:rsidR="00CF42C5" w:rsidRPr="000B32E4" w:rsidRDefault="00CF42C5">
            <w:pPr>
              <w:pStyle w:val="Tabell"/>
              <w:keepLines/>
              <w:ind w:right="199"/>
              <w:jc w:val="right"/>
            </w:pPr>
            <w:r w:rsidRPr="000B32E4">
              <w:t>5 394</w:t>
            </w:r>
          </w:p>
        </w:tc>
        <w:tc>
          <w:tcPr>
            <w:tcW w:w="142" w:type="dxa"/>
          </w:tcPr>
          <w:p w:rsidR="00CF42C5" w:rsidRPr="000B32E4" w:rsidRDefault="00CF42C5">
            <w:pPr>
              <w:pStyle w:val="Tabell"/>
              <w:keepLines/>
            </w:pPr>
          </w:p>
        </w:tc>
        <w:tc>
          <w:tcPr>
            <w:tcW w:w="851" w:type="dxa"/>
          </w:tcPr>
          <w:p w:rsidR="00CF42C5" w:rsidRPr="000B32E4" w:rsidRDefault="00CF42C5">
            <w:pPr>
              <w:pStyle w:val="Tabell"/>
              <w:keepLines/>
              <w:ind w:right="170"/>
              <w:jc w:val="right"/>
            </w:pPr>
            <w:r w:rsidRPr="000B32E4">
              <w:t>-713</w:t>
            </w:r>
          </w:p>
        </w:tc>
        <w:tc>
          <w:tcPr>
            <w:tcW w:w="142" w:type="dxa"/>
            <w:gridSpan w:val="2"/>
          </w:tcPr>
          <w:p w:rsidR="00CF42C5" w:rsidRPr="000B32E4" w:rsidRDefault="00CF42C5">
            <w:pPr>
              <w:pStyle w:val="Tabell"/>
              <w:keepLines/>
              <w:ind w:right="170"/>
              <w:jc w:val="right"/>
            </w:pPr>
          </w:p>
        </w:tc>
        <w:tc>
          <w:tcPr>
            <w:tcW w:w="851" w:type="dxa"/>
          </w:tcPr>
          <w:p w:rsidR="00CF42C5" w:rsidRPr="000B32E4" w:rsidRDefault="00CF42C5">
            <w:pPr>
              <w:pStyle w:val="Tabell"/>
              <w:keepLines/>
              <w:ind w:right="170"/>
              <w:jc w:val="right"/>
            </w:pPr>
            <w:r w:rsidRPr="000B32E4">
              <w:t>-297</w:t>
            </w:r>
          </w:p>
        </w:tc>
        <w:tc>
          <w:tcPr>
            <w:tcW w:w="142" w:type="dxa"/>
          </w:tcPr>
          <w:p w:rsidR="00CF42C5" w:rsidRPr="000B32E4" w:rsidRDefault="00CF42C5">
            <w:pPr>
              <w:pStyle w:val="Tabell"/>
              <w:keepLines/>
              <w:ind w:right="170"/>
              <w:jc w:val="right"/>
            </w:pPr>
          </w:p>
        </w:tc>
        <w:tc>
          <w:tcPr>
            <w:tcW w:w="792" w:type="dxa"/>
            <w:gridSpan w:val="3"/>
          </w:tcPr>
          <w:p w:rsidR="00CF42C5" w:rsidRPr="000B32E4" w:rsidRDefault="00CF42C5">
            <w:pPr>
              <w:pStyle w:val="Tabell"/>
              <w:keepLines/>
              <w:ind w:right="170"/>
              <w:jc w:val="right"/>
            </w:pPr>
            <w:r w:rsidRPr="000B32E4">
              <w:t>-770</w:t>
            </w:r>
          </w:p>
        </w:tc>
        <w:tc>
          <w:tcPr>
            <w:tcW w:w="141" w:type="dxa"/>
          </w:tcPr>
          <w:p w:rsidR="00CF42C5" w:rsidRPr="000B32E4" w:rsidRDefault="00CF42C5">
            <w:pPr>
              <w:pStyle w:val="Tabell"/>
              <w:keepLines/>
              <w:jc w:val="left"/>
            </w:pPr>
          </w:p>
        </w:tc>
        <w:tc>
          <w:tcPr>
            <w:tcW w:w="936" w:type="dxa"/>
          </w:tcPr>
          <w:p w:rsidR="00CF42C5" w:rsidRPr="000B32E4" w:rsidRDefault="00CF42C5">
            <w:pPr>
              <w:pStyle w:val="Tabell"/>
              <w:keepLines/>
              <w:ind w:right="170"/>
              <w:jc w:val="right"/>
            </w:pPr>
            <w:r w:rsidRPr="000B32E4">
              <w:t>-920</w:t>
            </w:r>
          </w:p>
        </w:tc>
        <w:tc>
          <w:tcPr>
            <w:tcW w:w="198" w:type="dxa"/>
          </w:tcPr>
          <w:p w:rsidR="00CF42C5" w:rsidRPr="000B32E4" w:rsidRDefault="00CF42C5">
            <w:pPr>
              <w:pStyle w:val="Tabell"/>
              <w:keepLines/>
              <w:ind w:right="170"/>
              <w:jc w:val="right"/>
            </w:pPr>
          </w:p>
        </w:tc>
      </w:tr>
      <w:tr w:rsidR="00000000" w:rsidRPr="000B32E4">
        <w:tblPrEx>
          <w:tblCellMar>
            <w:top w:w="0" w:type="dxa"/>
            <w:left w:w="0" w:type="dxa"/>
            <w:bottom w:w="0" w:type="dxa"/>
            <w:right w:w="0" w:type="dxa"/>
          </w:tblCellMar>
        </w:tblPrEx>
        <w:tc>
          <w:tcPr>
            <w:tcW w:w="454" w:type="dxa"/>
          </w:tcPr>
          <w:p w:rsidR="00CF42C5" w:rsidRPr="000B32E4" w:rsidRDefault="00CF42C5">
            <w:pPr>
              <w:pStyle w:val="Tabell"/>
              <w:keepLines/>
            </w:pPr>
            <w:r w:rsidRPr="000B32E4">
              <w:t>2003</w:t>
            </w:r>
          </w:p>
        </w:tc>
        <w:tc>
          <w:tcPr>
            <w:tcW w:w="57" w:type="dxa"/>
          </w:tcPr>
          <w:p w:rsidR="00CF42C5" w:rsidRPr="000B32E4" w:rsidRDefault="00CF42C5">
            <w:pPr>
              <w:pStyle w:val="Tabell"/>
              <w:keepLines/>
              <w:rPr>
                <w:b/>
              </w:rPr>
            </w:pPr>
          </w:p>
        </w:tc>
        <w:tc>
          <w:tcPr>
            <w:tcW w:w="964" w:type="dxa"/>
            <w:gridSpan w:val="2"/>
          </w:tcPr>
          <w:p w:rsidR="00CF42C5" w:rsidRPr="000B32E4" w:rsidRDefault="00CF42C5">
            <w:pPr>
              <w:pStyle w:val="Tabell"/>
              <w:keepLines/>
              <w:ind w:right="199"/>
              <w:jc w:val="right"/>
            </w:pPr>
            <w:r w:rsidRPr="000B32E4">
              <w:t>5 355</w:t>
            </w:r>
          </w:p>
        </w:tc>
        <w:tc>
          <w:tcPr>
            <w:tcW w:w="142" w:type="dxa"/>
          </w:tcPr>
          <w:p w:rsidR="00CF42C5" w:rsidRPr="000B32E4" w:rsidRDefault="00CF42C5">
            <w:pPr>
              <w:pStyle w:val="Tabell"/>
              <w:keepLines/>
            </w:pPr>
          </w:p>
        </w:tc>
        <w:tc>
          <w:tcPr>
            <w:tcW w:w="851" w:type="dxa"/>
          </w:tcPr>
          <w:p w:rsidR="00CF42C5" w:rsidRPr="000B32E4" w:rsidRDefault="00CF42C5">
            <w:pPr>
              <w:pStyle w:val="Tabell"/>
              <w:keepLines/>
              <w:ind w:right="170"/>
              <w:jc w:val="right"/>
            </w:pPr>
            <w:r w:rsidRPr="000B32E4">
              <w:t>-1 239</w:t>
            </w:r>
          </w:p>
        </w:tc>
        <w:tc>
          <w:tcPr>
            <w:tcW w:w="142" w:type="dxa"/>
            <w:gridSpan w:val="2"/>
          </w:tcPr>
          <w:p w:rsidR="00CF42C5" w:rsidRPr="000B32E4" w:rsidRDefault="00CF42C5">
            <w:pPr>
              <w:pStyle w:val="Tabell"/>
              <w:keepLines/>
              <w:ind w:right="170"/>
              <w:jc w:val="right"/>
            </w:pPr>
          </w:p>
        </w:tc>
        <w:tc>
          <w:tcPr>
            <w:tcW w:w="851" w:type="dxa"/>
          </w:tcPr>
          <w:p w:rsidR="00CF42C5" w:rsidRPr="000B32E4" w:rsidRDefault="00CF42C5">
            <w:pPr>
              <w:pStyle w:val="Tabell"/>
              <w:keepLines/>
              <w:ind w:right="170"/>
              <w:jc w:val="right"/>
            </w:pPr>
            <w:r w:rsidRPr="000B32E4">
              <w:t>-377</w:t>
            </w:r>
          </w:p>
        </w:tc>
        <w:tc>
          <w:tcPr>
            <w:tcW w:w="142" w:type="dxa"/>
          </w:tcPr>
          <w:p w:rsidR="00CF42C5" w:rsidRPr="000B32E4" w:rsidRDefault="00CF42C5">
            <w:pPr>
              <w:pStyle w:val="Tabell"/>
              <w:keepLines/>
              <w:ind w:right="170"/>
              <w:jc w:val="right"/>
            </w:pPr>
          </w:p>
        </w:tc>
        <w:tc>
          <w:tcPr>
            <w:tcW w:w="792" w:type="dxa"/>
            <w:gridSpan w:val="3"/>
          </w:tcPr>
          <w:p w:rsidR="00CF42C5" w:rsidRPr="000B32E4" w:rsidRDefault="00CF42C5">
            <w:pPr>
              <w:pStyle w:val="Tabell"/>
              <w:keepLines/>
              <w:ind w:right="170"/>
              <w:jc w:val="right"/>
            </w:pPr>
            <w:r w:rsidRPr="000B32E4">
              <w:t>-776</w:t>
            </w:r>
          </w:p>
        </w:tc>
        <w:tc>
          <w:tcPr>
            <w:tcW w:w="141" w:type="dxa"/>
          </w:tcPr>
          <w:p w:rsidR="00CF42C5" w:rsidRPr="000B32E4" w:rsidRDefault="00CF42C5">
            <w:pPr>
              <w:pStyle w:val="Tabell"/>
              <w:keepLines/>
              <w:jc w:val="left"/>
            </w:pPr>
          </w:p>
        </w:tc>
        <w:tc>
          <w:tcPr>
            <w:tcW w:w="936" w:type="dxa"/>
          </w:tcPr>
          <w:p w:rsidR="00CF42C5" w:rsidRPr="000B32E4" w:rsidRDefault="00CF42C5">
            <w:pPr>
              <w:pStyle w:val="Tabell"/>
              <w:keepLines/>
              <w:ind w:right="170"/>
              <w:jc w:val="right"/>
            </w:pPr>
            <w:r w:rsidRPr="000B32E4">
              <w:t>-925</w:t>
            </w:r>
          </w:p>
        </w:tc>
        <w:tc>
          <w:tcPr>
            <w:tcW w:w="198" w:type="dxa"/>
          </w:tcPr>
          <w:p w:rsidR="00CF42C5" w:rsidRPr="000B32E4" w:rsidRDefault="00CF42C5">
            <w:pPr>
              <w:pStyle w:val="Tabell"/>
              <w:keepLines/>
              <w:ind w:right="170"/>
              <w:jc w:val="right"/>
            </w:pPr>
          </w:p>
        </w:tc>
      </w:tr>
      <w:tr w:rsidR="00000000" w:rsidRPr="000B32E4">
        <w:tblPrEx>
          <w:tblCellMar>
            <w:top w:w="0" w:type="dxa"/>
            <w:left w:w="0" w:type="dxa"/>
            <w:bottom w:w="0" w:type="dxa"/>
            <w:right w:w="0" w:type="dxa"/>
          </w:tblCellMar>
        </w:tblPrEx>
        <w:trPr>
          <w:trHeight w:hRule="exact" w:val="260"/>
        </w:trPr>
        <w:tc>
          <w:tcPr>
            <w:tcW w:w="454" w:type="dxa"/>
            <w:tcBorders>
              <w:bottom w:val="single" w:sz="6" w:space="0" w:color="auto"/>
            </w:tcBorders>
          </w:tcPr>
          <w:p w:rsidR="00CF42C5" w:rsidRPr="000B32E4" w:rsidRDefault="00CF42C5">
            <w:pPr>
              <w:pStyle w:val="Tabell"/>
              <w:keepLines/>
            </w:pPr>
            <w:r w:rsidRPr="000B32E4">
              <w:t>2004</w:t>
            </w:r>
          </w:p>
        </w:tc>
        <w:tc>
          <w:tcPr>
            <w:tcW w:w="57" w:type="dxa"/>
            <w:tcBorders>
              <w:bottom w:val="single" w:sz="6" w:space="0" w:color="auto"/>
            </w:tcBorders>
          </w:tcPr>
          <w:p w:rsidR="00CF42C5" w:rsidRPr="000B32E4" w:rsidRDefault="00CF42C5">
            <w:pPr>
              <w:pStyle w:val="Tabell"/>
              <w:keepLines/>
              <w:rPr>
                <w:b/>
              </w:rPr>
            </w:pPr>
          </w:p>
        </w:tc>
        <w:tc>
          <w:tcPr>
            <w:tcW w:w="964" w:type="dxa"/>
            <w:gridSpan w:val="2"/>
            <w:tcBorders>
              <w:bottom w:val="single" w:sz="6" w:space="0" w:color="auto"/>
            </w:tcBorders>
          </w:tcPr>
          <w:p w:rsidR="00CF42C5" w:rsidRPr="000B32E4" w:rsidRDefault="00CF42C5">
            <w:pPr>
              <w:pStyle w:val="Tabell"/>
              <w:keepLines/>
              <w:ind w:right="199"/>
              <w:jc w:val="right"/>
            </w:pPr>
            <w:r w:rsidRPr="000B32E4">
              <w:t>5 646</w:t>
            </w:r>
          </w:p>
        </w:tc>
        <w:tc>
          <w:tcPr>
            <w:tcW w:w="142" w:type="dxa"/>
            <w:tcBorders>
              <w:bottom w:val="single" w:sz="6" w:space="0" w:color="auto"/>
            </w:tcBorders>
          </w:tcPr>
          <w:p w:rsidR="00CF42C5" w:rsidRPr="000B32E4" w:rsidRDefault="00CF42C5">
            <w:pPr>
              <w:pStyle w:val="Tabell"/>
              <w:keepLines/>
            </w:pPr>
          </w:p>
        </w:tc>
        <w:tc>
          <w:tcPr>
            <w:tcW w:w="851" w:type="dxa"/>
            <w:tcBorders>
              <w:bottom w:val="single" w:sz="6" w:space="0" w:color="auto"/>
            </w:tcBorders>
          </w:tcPr>
          <w:p w:rsidR="00CF42C5" w:rsidRPr="000B32E4" w:rsidRDefault="00CF42C5">
            <w:pPr>
              <w:pStyle w:val="Tabell"/>
              <w:keepLines/>
              <w:ind w:right="170"/>
              <w:jc w:val="right"/>
            </w:pPr>
            <w:r w:rsidRPr="000B32E4">
              <w:t>-1 368</w:t>
            </w:r>
          </w:p>
        </w:tc>
        <w:tc>
          <w:tcPr>
            <w:tcW w:w="142" w:type="dxa"/>
            <w:gridSpan w:val="2"/>
            <w:tcBorders>
              <w:bottom w:val="single" w:sz="6" w:space="0" w:color="auto"/>
            </w:tcBorders>
          </w:tcPr>
          <w:p w:rsidR="00CF42C5" w:rsidRPr="000B32E4" w:rsidRDefault="00CF42C5">
            <w:pPr>
              <w:pStyle w:val="Tabell"/>
              <w:keepLines/>
              <w:ind w:right="170"/>
              <w:jc w:val="right"/>
            </w:pPr>
          </w:p>
        </w:tc>
        <w:tc>
          <w:tcPr>
            <w:tcW w:w="851" w:type="dxa"/>
            <w:tcBorders>
              <w:bottom w:val="single" w:sz="6" w:space="0" w:color="auto"/>
            </w:tcBorders>
          </w:tcPr>
          <w:p w:rsidR="00CF42C5" w:rsidRPr="000B32E4" w:rsidRDefault="00CF42C5">
            <w:pPr>
              <w:pStyle w:val="Tabell"/>
              <w:keepLines/>
              <w:ind w:right="170"/>
              <w:jc w:val="right"/>
            </w:pPr>
            <w:r w:rsidRPr="000B32E4">
              <w:t>-477</w:t>
            </w:r>
          </w:p>
        </w:tc>
        <w:tc>
          <w:tcPr>
            <w:tcW w:w="142" w:type="dxa"/>
            <w:tcBorders>
              <w:bottom w:val="single" w:sz="6" w:space="0" w:color="auto"/>
            </w:tcBorders>
          </w:tcPr>
          <w:p w:rsidR="00CF42C5" w:rsidRPr="000B32E4" w:rsidRDefault="00CF42C5">
            <w:pPr>
              <w:pStyle w:val="Tabell"/>
              <w:keepLines/>
              <w:ind w:right="170"/>
              <w:jc w:val="right"/>
            </w:pPr>
          </w:p>
        </w:tc>
        <w:tc>
          <w:tcPr>
            <w:tcW w:w="792" w:type="dxa"/>
            <w:gridSpan w:val="3"/>
            <w:tcBorders>
              <w:bottom w:val="single" w:sz="6" w:space="0" w:color="auto"/>
            </w:tcBorders>
          </w:tcPr>
          <w:p w:rsidR="00CF42C5" w:rsidRPr="000B32E4" w:rsidRDefault="00CF42C5">
            <w:pPr>
              <w:pStyle w:val="Tabell"/>
              <w:keepLines/>
              <w:ind w:right="170"/>
              <w:jc w:val="right"/>
            </w:pPr>
            <w:r w:rsidRPr="000B32E4">
              <w:t>-770</w:t>
            </w:r>
          </w:p>
        </w:tc>
        <w:tc>
          <w:tcPr>
            <w:tcW w:w="141" w:type="dxa"/>
            <w:tcBorders>
              <w:bottom w:val="single" w:sz="6" w:space="0" w:color="auto"/>
            </w:tcBorders>
          </w:tcPr>
          <w:p w:rsidR="00CF42C5" w:rsidRPr="000B32E4" w:rsidRDefault="00CF42C5">
            <w:pPr>
              <w:pStyle w:val="Tabell"/>
              <w:keepLines/>
              <w:jc w:val="left"/>
            </w:pPr>
          </w:p>
        </w:tc>
        <w:tc>
          <w:tcPr>
            <w:tcW w:w="936" w:type="dxa"/>
            <w:tcBorders>
              <w:bottom w:val="single" w:sz="6" w:space="0" w:color="auto"/>
            </w:tcBorders>
          </w:tcPr>
          <w:p w:rsidR="00CF42C5" w:rsidRPr="000B32E4" w:rsidRDefault="00CF42C5">
            <w:pPr>
              <w:pStyle w:val="Tabell"/>
              <w:keepLines/>
              <w:ind w:right="170"/>
              <w:jc w:val="right"/>
            </w:pPr>
            <w:r w:rsidRPr="000B32E4">
              <w:t>-1 185</w:t>
            </w:r>
          </w:p>
        </w:tc>
        <w:tc>
          <w:tcPr>
            <w:tcW w:w="198" w:type="dxa"/>
            <w:tcBorders>
              <w:bottom w:val="single" w:sz="6" w:space="0" w:color="auto"/>
            </w:tcBorders>
          </w:tcPr>
          <w:p w:rsidR="00CF42C5" w:rsidRPr="000B32E4" w:rsidRDefault="00CF42C5">
            <w:pPr>
              <w:pStyle w:val="Tabell"/>
              <w:keepLines/>
              <w:ind w:right="170"/>
              <w:jc w:val="right"/>
            </w:pPr>
          </w:p>
        </w:tc>
      </w:tr>
    </w:tbl>
    <w:p w:rsidR="00CF42C5" w:rsidRPr="000B32E4" w:rsidRDefault="00CF42C5">
      <w:pPr>
        <w:spacing w:before="187"/>
      </w:pPr>
      <w:r w:rsidRPr="000B32E4">
        <w:rPr>
          <w:i/>
        </w:rPr>
        <w:t>Moderata samlingspartiet</w:t>
      </w:r>
      <w:r w:rsidRPr="000B32E4">
        <w:t xml:space="preserve"> föreslår i sin partimotion 2000/01:Fi17 yrkande 5 (delvis) att de preliminära ramarna för utgiftsområde 1 åren 2002–2004 skall bestämmas till 4 603 miljoner kronor, 4 155 miljoner kronor respektive 4 278 miljoner kronor. Moderaterna anför att politiska partier inte skall vara beroende av staten i en demokrati och föreslår därför att partistödet avvecklas successivt. Från och med år 2003 minskas stödet till hälften av det nuvarande anslaget. År 2004 avvecklas stödet helt. Vidare anser Moderaterna att pre</w:t>
      </w:r>
      <w:r w:rsidRPr="000B32E4">
        <w:t>s</w:t>
      </w:r>
      <w:r w:rsidRPr="000B32E4">
        <w:t>st</w:t>
      </w:r>
      <w:r w:rsidRPr="000B32E4">
        <w:t>ödet inte fyller den funktion som förespeglades när det infördes. Tidningar i ekonomiska svårigheter har inte kunnat räddas som förväntat, samtidigt som strukturförändringar försenats och konkurrensvillkoren snedvridits. Moder</w:t>
      </w:r>
      <w:r w:rsidRPr="000B32E4">
        <w:t>a</w:t>
      </w:r>
      <w:r w:rsidRPr="000B32E4">
        <w:t>terna föreslår därför att presstödet avvecklas i två steg. Det första bör tas år 2002. Resterande belopp bör därefter lyftas ur budgeten år 2003. I och med att presstödet avskaffas kommer Presstödsnämnden inte längre att fylla någon funktion. Den bör enligt Moderaterna därför avveckla</w:t>
      </w:r>
      <w:r w:rsidRPr="000B32E4">
        <w:t>s från den 1 januari 2003. För att underlätta avvecklingen av presstödet föreslår Moderaterna att reklamskatten avskaffas. När det gäller Regeringskansliet anför Moderaterna att det inte bör byggas ut i enlighet med regeringens förslag. Därutöver bör det extra anslag som innevarande år utgår till följd av ordförandeskapet i EU avvecklas helt. Moderaterna anser också att en särskild upplysningskampanj om kommuni</w:t>
      </w:r>
      <w:r w:rsidRPr="000B32E4">
        <w:t>s</w:t>
      </w:r>
      <w:r w:rsidRPr="000B32E4">
        <w:t>mens brott mot mänskligheten bör genomföras.</w:t>
      </w:r>
    </w:p>
    <w:p w:rsidR="00CF42C5" w:rsidRPr="000B32E4" w:rsidRDefault="00CF42C5">
      <w:r w:rsidRPr="000B32E4">
        <w:rPr>
          <w:i/>
        </w:rPr>
        <w:t>Kristdemokraterna</w:t>
      </w:r>
      <w:r w:rsidRPr="000B32E4">
        <w:t xml:space="preserve"> föreslår i sin partimotion 2000/01:Fi18 yrkande 7 (delvis) att de preliminära ramarna för utgiftsområde 1 åren 2002–2004 skall bestä</w:t>
      </w:r>
      <w:r w:rsidRPr="000B32E4">
        <w:t>m</w:t>
      </w:r>
      <w:r w:rsidRPr="000B32E4">
        <w:t>mas till 5 097 miljoner kronor, 4 978 miljoner kronor respektive 5 169 miljoner kronor. Kristdemokraterna framhåller att Regeringskansliet under ett antal år har tillförts betydande resurser. Utveckling och anpassning av Regeringskansliet borde enligt Kristdemokraterna i högre utsträckning kunna ske genom organisationsförändringar och rationaliseringar. Den av regeringen nu f</w:t>
      </w:r>
      <w:r w:rsidRPr="000B32E4">
        <w:t>öreslagna ökningen av anslaget under åren 2002–2004 anser Kristdemokraterna därför inte bör genomföras. Utöver utebliven anslagsö</w:t>
      </w:r>
      <w:r w:rsidRPr="000B32E4">
        <w:t>k</w:t>
      </w:r>
      <w:r w:rsidRPr="000B32E4">
        <w:t>ning föreslår Kristdemokraterna ett besparingskrav på 50 miljoner kronor per år. Anslaget till Regeringskansliet bör enligt Kristdemokraterna därför min</w:t>
      </w:r>
      <w:r w:rsidRPr="000B32E4">
        <w:t>s</w:t>
      </w:r>
      <w:r w:rsidRPr="000B32E4">
        <w:t>kas med 210 miljoner kronor för år 2002, med 290 miljoner kronor för år 2003 och med 390 miljoner kronor för år 2004. Vidare menar Kristdemokr</w:t>
      </w:r>
      <w:r w:rsidRPr="000B32E4">
        <w:t>a</w:t>
      </w:r>
      <w:r w:rsidRPr="000B32E4">
        <w:t>terna att besparingar på 6 miljoner kronor kan göras inom Datainspektionen genom effek</w:t>
      </w:r>
      <w:r w:rsidRPr="000B32E4">
        <w:t>tiviseringar och avgiftsfinansierad verksamhet. Beträffande presstödet anför Kristdemokraterna att det skapas ett överskott på 109 miljoner kronor genom bl.a. nedläggningen av tidningen Arbetet. Den av regeringen föreslagna överföringen av 24 miljoner kronor till utgiftsområde 17 och ökningen på samdistributionssidan (4 miljoner kronor) accepterar Kristdemokraterna. Återstående medel på 81 miljoner kronor bör enligt Kris</w:t>
      </w:r>
      <w:r w:rsidRPr="000B32E4">
        <w:t>t</w:t>
      </w:r>
      <w:r w:rsidRPr="000B32E4">
        <w:t>demokraterna inbesparas. Sammantaget kan ramen för utgiftsområdet, enligt Kristdemokrat</w:t>
      </w:r>
      <w:r w:rsidRPr="000B32E4">
        <w:t>erna, minskas med 297 miljoner kronor för år 2002, 377 milj</w:t>
      </w:r>
      <w:r w:rsidRPr="000B32E4">
        <w:t>o</w:t>
      </w:r>
      <w:r w:rsidRPr="000B32E4">
        <w:t>ner kronor för år 2003 och 477 miljoner kronor för år 2004.</w:t>
      </w:r>
    </w:p>
    <w:p w:rsidR="00CF42C5" w:rsidRPr="000B32E4" w:rsidRDefault="00CF42C5">
      <w:r w:rsidRPr="000B32E4">
        <w:rPr>
          <w:i/>
        </w:rPr>
        <w:t>Centerpartiet</w:t>
      </w:r>
      <w:r w:rsidRPr="000B32E4">
        <w:t xml:space="preserve"> föreslår i sin partimotion 2000/01:Fi19 yrkande 4 (delvis) att de preliminära ramarna för utgiftsområde 1 åren 2002–2004 skall bestämmas till 4 624 miljoner kronor, 4 579 miljoner kronor respektive 4 876 miljoner kr</w:t>
      </w:r>
      <w:r w:rsidRPr="000B32E4">
        <w:t>o</w:t>
      </w:r>
      <w:r w:rsidRPr="000B32E4">
        <w:t>nor. Centerpartiet anser att 770 miljoner kronor av de anslagna medlen under Regeringskansliet för år 2002 bör avslås. Sammanslagning av departement anser Centerpartiet borde ge minskade kostnader genom effektiviseringar under den kommande perioden. Det är enligt Centerpartiet även nödvändigt o</w:t>
      </w:r>
      <w:r w:rsidRPr="000B32E4">
        <w:t>ch fullt genomförbart med allmänna besparingar inom Regeringskansliet. Centerpartiet anser i motsats till regeringen att Regeringskansliet är för stort snarare än för litet. För de kommande åren är det enligt Centerpartiet därför berättigat att minska föreslagna budgetbelopp med 770, 776 respektive 770 miljoner kronor. Efter Sveriges ordförandetid i EU kommer kostnaderna inom utgiftsområdet dessutom att minska kraftigt, vilket Centerpartiet menar bör tas med i beräkninga</w:t>
      </w:r>
      <w:r w:rsidRPr="000B32E4">
        <w:t>r</w:t>
      </w:r>
      <w:r w:rsidRPr="000B32E4">
        <w:t>na.</w:t>
      </w:r>
    </w:p>
    <w:p w:rsidR="00CF42C5" w:rsidRPr="000B32E4" w:rsidRDefault="00CF42C5">
      <w:r w:rsidRPr="000B32E4">
        <w:rPr>
          <w:i/>
        </w:rPr>
        <w:t>Folkpartiet liberalerna</w:t>
      </w:r>
      <w:r w:rsidRPr="000B32E4">
        <w:t xml:space="preserve"> föreslår i sin partimotion 2000/01:Fi207 yrkande 4 (delvis) att de preliminära ramarna för utgiftsområde 1 åren 2002–2004 skall bestämmas till 4 474 miljoner kronor, 4 430 miljoner kronor respektive 4 461 miljoner kronor. Folkpartiet motsätter sig den expansion av Regering</w:t>
      </w:r>
      <w:r w:rsidRPr="000B32E4">
        <w:t>s</w:t>
      </w:r>
      <w:r w:rsidRPr="000B32E4">
        <w:t>kansliet som regeringen driver. Regeringen har, enligt Folkpartiet, lämnat sin tidigare argumentering att EU-ordförandeskapet krävde extra resurser och vill nu permanenta en hög utgiftsnivå i kanslihuset. Folkpartiet kan inte acceptera d</w:t>
      </w:r>
      <w:r w:rsidRPr="000B32E4">
        <w:t>enna betydande utvidgning av Regeringskansliet som nu planeras. Ramen för området bör enligt Folkpartiet också bestämmas av bedömningen att såväl presstöd som partistöd kan min</w:t>
      </w:r>
      <w:r w:rsidRPr="000B32E4">
        <w:t>s</w:t>
      </w:r>
      <w:r w:rsidRPr="000B32E4">
        <w:t>ka jämfört med regeringens planer.</w:t>
      </w:r>
    </w:p>
    <w:p w:rsidR="00CF42C5" w:rsidRPr="000B32E4" w:rsidRDefault="00CF42C5">
      <w:pPr>
        <w:pStyle w:val="Rubrik2"/>
      </w:pPr>
      <w:bookmarkStart w:id="6" w:name="_Toc514635726"/>
      <w:r w:rsidRPr="000B32E4">
        <w:br w:type="page"/>
        <w:t>Skrivelsen</w:t>
      </w:r>
      <w:bookmarkEnd w:id="6"/>
    </w:p>
    <w:p w:rsidR="00CF42C5" w:rsidRPr="000B32E4" w:rsidRDefault="00CF42C5">
      <w:r w:rsidRPr="000B32E4">
        <w:t>I regeringens skrivelse 2000/01:101 Årsredovisning för staten 2000 redovisas bl.a. statsbudgetens utfall år 2000. När det gäller utgiftsområde 1 anges bl.a. följande (avsnitt 4.4.1):</w:t>
      </w:r>
    </w:p>
    <w:p w:rsidR="00CF42C5" w:rsidRPr="000B32E4" w:rsidRDefault="00CF42C5">
      <w:pPr>
        <w:pStyle w:val="Deltagare"/>
        <w:keepLines w:val="0"/>
        <w:spacing w:before="62" w:after="40" w:line="250" w:lineRule="atLeast"/>
        <w:rPr>
          <w:i/>
          <w:noProof w:val="0"/>
        </w:rPr>
      </w:pPr>
      <w:r w:rsidRPr="000B32E4">
        <w:rPr>
          <w:i/>
          <w:noProof w:val="0"/>
        </w:rPr>
        <w:t>Miljoner kronor</w:t>
      </w:r>
    </w:p>
    <w:tbl>
      <w:tblPr>
        <w:tblW w:w="0" w:type="auto"/>
        <w:tblInd w:w="-70" w:type="dxa"/>
        <w:tblLayout w:type="fixed"/>
        <w:tblCellMar>
          <w:left w:w="70" w:type="dxa"/>
          <w:right w:w="70" w:type="dxa"/>
        </w:tblCellMar>
        <w:tblLook w:val="0000" w:firstRow="0" w:lastRow="0" w:firstColumn="0" w:lastColumn="0" w:noHBand="0" w:noVBand="0"/>
      </w:tblPr>
      <w:tblGrid>
        <w:gridCol w:w="1771"/>
        <w:gridCol w:w="851"/>
        <w:gridCol w:w="850"/>
        <w:gridCol w:w="851"/>
        <w:gridCol w:w="850"/>
        <w:gridCol w:w="917"/>
      </w:tblGrid>
      <w:tr w:rsidR="00000000" w:rsidRPr="000B32E4">
        <w:tblPrEx>
          <w:tblCellMar>
            <w:top w:w="0" w:type="dxa"/>
            <w:bottom w:w="0" w:type="dxa"/>
          </w:tblCellMar>
        </w:tblPrEx>
        <w:tc>
          <w:tcPr>
            <w:tcW w:w="1771" w:type="dxa"/>
          </w:tcPr>
          <w:p w:rsidR="00CF42C5" w:rsidRPr="000B32E4" w:rsidRDefault="00CF42C5">
            <w:r w:rsidRPr="000B32E4">
              <w:t>Verksamhets-</w:t>
            </w:r>
            <w:r w:rsidRPr="000B32E4">
              <w:br/>
              <w:t>omr</w:t>
            </w:r>
            <w:r w:rsidRPr="000B32E4">
              <w:t>å</w:t>
            </w:r>
            <w:r w:rsidRPr="000B32E4">
              <w:t>de</w:t>
            </w:r>
          </w:p>
        </w:tc>
        <w:tc>
          <w:tcPr>
            <w:tcW w:w="851" w:type="dxa"/>
          </w:tcPr>
          <w:p w:rsidR="00CF42C5" w:rsidRPr="000B32E4" w:rsidRDefault="00CF42C5">
            <w:pPr>
              <w:jc w:val="right"/>
            </w:pPr>
            <w:r w:rsidRPr="000B32E4">
              <w:t>Utfall 1999</w:t>
            </w:r>
          </w:p>
        </w:tc>
        <w:tc>
          <w:tcPr>
            <w:tcW w:w="850" w:type="dxa"/>
          </w:tcPr>
          <w:p w:rsidR="00CF42C5" w:rsidRPr="000B32E4" w:rsidRDefault="00CF42C5">
            <w:pPr>
              <w:jc w:val="right"/>
            </w:pPr>
            <w:r w:rsidRPr="000B32E4">
              <w:t xml:space="preserve">SB </w:t>
            </w:r>
            <w:r w:rsidRPr="000B32E4">
              <w:br/>
              <w:t>2000</w:t>
            </w:r>
          </w:p>
        </w:tc>
        <w:tc>
          <w:tcPr>
            <w:tcW w:w="851" w:type="dxa"/>
          </w:tcPr>
          <w:p w:rsidR="00CF42C5" w:rsidRPr="000B32E4" w:rsidRDefault="00CF42C5">
            <w:pPr>
              <w:jc w:val="right"/>
            </w:pPr>
            <w:r w:rsidRPr="000B32E4">
              <w:t xml:space="preserve">TB </w:t>
            </w:r>
            <w:r w:rsidRPr="000B32E4">
              <w:br/>
              <w:t>2000</w:t>
            </w:r>
          </w:p>
        </w:tc>
        <w:tc>
          <w:tcPr>
            <w:tcW w:w="850" w:type="dxa"/>
          </w:tcPr>
          <w:p w:rsidR="00CF42C5" w:rsidRPr="000B32E4" w:rsidRDefault="00CF42C5">
            <w:pPr>
              <w:jc w:val="right"/>
            </w:pPr>
            <w:r w:rsidRPr="000B32E4">
              <w:t>Utfall 2000</w:t>
            </w:r>
          </w:p>
        </w:tc>
        <w:tc>
          <w:tcPr>
            <w:tcW w:w="917" w:type="dxa"/>
          </w:tcPr>
          <w:p w:rsidR="00CF42C5" w:rsidRPr="000B32E4" w:rsidRDefault="00CF42C5">
            <w:pPr>
              <w:jc w:val="right"/>
            </w:pPr>
            <w:r w:rsidRPr="000B32E4">
              <w:t>Utfall-SB 2000</w:t>
            </w:r>
          </w:p>
        </w:tc>
      </w:tr>
      <w:tr w:rsidR="00000000" w:rsidRPr="000B32E4">
        <w:tblPrEx>
          <w:tblCellMar>
            <w:top w:w="0" w:type="dxa"/>
            <w:bottom w:w="0" w:type="dxa"/>
          </w:tblCellMar>
        </w:tblPrEx>
        <w:tc>
          <w:tcPr>
            <w:tcW w:w="1771" w:type="dxa"/>
            <w:tcBorders>
              <w:top w:val="single" w:sz="4" w:space="0" w:color="auto"/>
            </w:tcBorders>
          </w:tcPr>
          <w:p w:rsidR="00CF42C5" w:rsidRPr="000B32E4" w:rsidRDefault="00CF42C5">
            <w:r w:rsidRPr="000B32E4">
              <w:t>Statsch</w:t>
            </w:r>
            <w:r w:rsidRPr="000B32E4">
              <w:t>e</w:t>
            </w:r>
            <w:r w:rsidRPr="000B32E4">
              <w:t>fen</w:t>
            </w:r>
          </w:p>
        </w:tc>
        <w:tc>
          <w:tcPr>
            <w:tcW w:w="851" w:type="dxa"/>
            <w:tcBorders>
              <w:top w:val="single" w:sz="4" w:space="0" w:color="auto"/>
            </w:tcBorders>
          </w:tcPr>
          <w:p w:rsidR="00CF42C5" w:rsidRPr="000B32E4" w:rsidRDefault="00CF42C5">
            <w:pPr>
              <w:jc w:val="right"/>
            </w:pPr>
            <w:r w:rsidRPr="000B32E4">
              <w:t>79</w:t>
            </w:r>
          </w:p>
        </w:tc>
        <w:tc>
          <w:tcPr>
            <w:tcW w:w="850" w:type="dxa"/>
            <w:tcBorders>
              <w:top w:val="single" w:sz="4" w:space="0" w:color="auto"/>
            </w:tcBorders>
          </w:tcPr>
          <w:p w:rsidR="00CF42C5" w:rsidRPr="000B32E4" w:rsidRDefault="00CF42C5">
            <w:pPr>
              <w:jc w:val="right"/>
            </w:pPr>
            <w:r w:rsidRPr="000B32E4">
              <w:t>80</w:t>
            </w:r>
          </w:p>
        </w:tc>
        <w:tc>
          <w:tcPr>
            <w:tcW w:w="851" w:type="dxa"/>
            <w:tcBorders>
              <w:top w:val="single" w:sz="4" w:space="0" w:color="auto"/>
            </w:tcBorders>
          </w:tcPr>
          <w:p w:rsidR="00CF42C5" w:rsidRPr="000B32E4" w:rsidRDefault="00CF42C5">
            <w:pPr>
              <w:jc w:val="right"/>
            </w:pPr>
            <w:r w:rsidRPr="000B32E4">
              <w:t>0</w:t>
            </w:r>
          </w:p>
        </w:tc>
        <w:tc>
          <w:tcPr>
            <w:tcW w:w="850" w:type="dxa"/>
            <w:tcBorders>
              <w:top w:val="single" w:sz="4" w:space="0" w:color="auto"/>
            </w:tcBorders>
          </w:tcPr>
          <w:p w:rsidR="00CF42C5" w:rsidRPr="000B32E4" w:rsidRDefault="00CF42C5">
            <w:pPr>
              <w:jc w:val="right"/>
            </w:pPr>
            <w:r w:rsidRPr="000B32E4">
              <w:t>80</w:t>
            </w:r>
          </w:p>
        </w:tc>
        <w:tc>
          <w:tcPr>
            <w:tcW w:w="917" w:type="dxa"/>
            <w:tcBorders>
              <w:top w:val="single" w:sz="4" w:space="0" w:color="auto"/>
            </w:tcBorders>
          </w:tcPr>
          <w:p w:rsidR="00CF42C5" w:rsidRPr="000B32E4" w:rsidRDefault="00CF42C5">
            <w:pPr>
              <w:jc w:val="right"/>
            </w:pPr>
            <w:r w:rsidRPr="000B32E4">
              <w:t>0</w:t>
            </w:r>
          </w:p>
        </w:tc>
      </w:tr>
      <w:tr w:rsidR="00000000" w:rsidRPr="000B32E4">
        <w:tblPrEx>
          <w:tblCellMar>
            <w:top w:w="0" w:type="dxa"/>
            <w:bottom w:w="0" w:type="dxa"/>
          </w:tblCellMar>
        </w:tblPrEx>
        <w:tc>
          <w:tcPr>
            <w:tcW w:w="1771" w:type="dxa"/>
            <w:tcBorders>
              <w:top w:val="single" w:sz="4" w:space="0" w:color="auto"/>
              <w:bottom w:val="single" w:sz="4" w:space="0" w:color="auto"/>
            </w:tcBorders>
          </w:tcPr>
          <w:p w:rsidR="00CF42C5" w:rsidRPr="000B32E4" w:rsidRDefault="00CF42C5">
            <w:r w:rsidRPr="000B32E4">
              <w:t>Riksdagen och dess ombud</w:t>
            </w:r>
            <w:r w:rsidRPr="000B32E4">
              <w:t>s</w:t>
            </w:r>
            <w:r w:rsidRPr="000B32E4">
              <w:t>män</w:t>
            </w:r>
          </w:p>
        </w:tc>
        <w:tc>
          <w:tcPr>
            <w:tcW w:w="851" w:type="dxa"/>
            <w:tcBorders>
              <w:top w:val="single" w:sz="4" w:space="0" w:color="auto"/>
              <w:bottom w:val="single" w:sz="4" w:space="0" w:color="auto"/>
            </w:tcBorders>
          </w:tcPr>
          <w:p w:rsidR="00CF42C5" w:rsidRPr="000B32E4" w:rsidRDefault="00CF42C5">
            <w:pPr>
              <w:jc w:val="right"/>
            </w:pPr>
            <w:r w:rsidRPr="000B32E4">
              <w:t>981</w:t>
            </w:r>
          </w:p>
        </w:tc>
        <w:tc>
          <w:tcPr>
            <w:tcW w:w="850" w:type="dxa"/>
            <w:tcBorders>
              <w:top w:val="single" w:sz="4" w:space="0" w:color="auto"/>
              <w:bottom w:val="single" w:sz="4" w:space="0" w:color="auto"/>
            </w:tcBorders>
          </w:tcPr>
          <w:p w:rsidR="00CF42C5" w:rsidRPr="000B32E4" w:rsidRDefault="00CF42C5">
            <w:pPr>
              <w:jc w:val="right"/>
            </w:pPr>
            <w:r w:rsidRPr="000B32E4">
              <w:t>989</w:t>
            </w:r>
          </w:p>
        </w:tc>
        <w:tc>
          <w:tcPr>
            <w:tcW w:w="851" w:type="dxa"/>
            <w:tcBorders>
              <w:top w:val="single" w:sz="4" w:space="0" w:color="auto"/>
              <w:bottom w:val="single" w:sz="4" w:space="0" w:color="auto"/>
            </w:tcBorders>
          </w:tcPr>
          <w:p w:rsidR="00CF42C5" w:rsidRPr="000B32E4" w:rsidRDefault="00CF42C5">
            <w:pPr>
              <w:jc w:val="right"/>
            </w:pPr>
            <w:r w:rsidRPr="000B32E4">
              <w:t>0</w:t>
            </w:r>
          </w:p>
        </w:tc>
        <w:tc>
          <w:tcPr>
            <w:tcW w:w="850" w:type="dxa"/>
            <w:tcBorders>
              <w:top w:val="single" w:sz="4" w:space="0" w:color="auto"/>
              <w:bottom w:val="single" w:sz="4" w:space="0" w:color="auto"/>
            </w:tcBorders>
          </w:tcPr>
          <w:p w:rsidR="00CF42C5" w:rsidRPr="000B32E4" w:rsidRDefault="00CF42C5">
            <w:pPr>
              <w:jc w:val="right"/>
            </w:pPr>
            <w:r w:rsidRPr="000B32E4">
              <w:t>1 005</w:t>
            </w:r>
          </w:p>
        </w:tc>
        <w:tc>
          <w:tcPr>
            <w:tcW w:w="917" w:type="dxa"/>
            <w:tcBorders>
              <w:top w:val="single" w:sz="4" w:space="0" w:color="auto"/>
              <w:bottom w:val="single" w:sz="4" w:space="0" w:color="auto"/>
            </w:tcBorders>
          </w:tcPr>
          <w:p w:rsidR="00CF42C5" w:rsidRPr="000B32E4" w:rsidRDefault="00CF42C5">
            <w:pPr>
              <w:jc w:val="right"/>
            </w:pPr>
            <w:r w:rsidRPr="000B32E4">
              <w:t>15</w:t>
            </w:r>
          </w:p>
        </w:tc>
      </w:tr>
      <w:tr w:rsidR="00000000" w:rsidRPr="000B32E4">
        <w:tblPrEx>
          <w:tblCellMar>
            <w:top w:w="0" w:type="dxa"/>
            <w:bottom w:w="0" w:type="dxa"/>
          </w:tblCellMar>
        </w:tblPrEx>
        <w:tc>
          <w:tcPr>
            <w:tcW w:w="1771" w:type="dxa"/>
          </w:tcPr>
          <w:p w:rsidR="00CF42C5" w:rsidRPr="000B32E4" w:rsidRDefault="00CF42C5">
            <w:r w:rsidRPr="000B32E4">
              <w:t>Regeringen m.m.</w:t>
            </w:r>
          </w:p>
        </w:tc>
        <w:tc>
          <w:tcPr>
            <w:tcW w:w="851" w:type="dxa"/>
          </w:tcPr>
          <w:p w:rsidR="00CF42C5" w:rsidRPr="000B32E4" w:rsidRDefault="00CF42C5">
            <w:pPr>
              <w:jc w:val="right"/>
            </w:pPr>
            <w:r w:rsidRPr="000B32E4">
              <w:t>2 574</w:t>
            </w:r>
          </w:p>
        </w:tc>
        <w:tc>
          <w:tcPr>
            <w:tcW w:w="850" w:type="dxa"/>
          </w:tcPr>
          <w:p w:rsidR="00CF42C5" w:rsidRPr="000B32E4" w:rsidRDefault="00CF42C5">
            <w:pPr>
              <w:jc w:val="right"/>
            </w:pPr>
            <w:r w:rsidRPr="000B32E4">
              <w:t>2 648</w:t>
            </w:r>
          </w:p>
        </w:tc>
        <w:tc>
          <w:tcPr>
            <w:tcW w:w="851" w:type="dxa"/>
          </w:tcPr>
          <w:p w:rsidR="00CF42C5" w:rsidRPr="000B32E4" w:rsidRDefault="00CF42C5">
            <w:pPr>
              <w:jc w:val="right"/>
            </w:pPr>
            <w:r w:rsidRPr="000B32E4">
              <w:t>255</w:t>
            </w:r>
          </w:p>
        </w:tc>
        <w:tc>
          <w:tcPr>
            <w:tcW w:w="850" w:type="dxa"/>
          </w:tcPr>
          <w:p w:rsidR="00CF42C5" w:rsidRPr="000B32E4" w:rsidRDefault="00CF42C5">
            <w:pPr>
              <w:jc w:val="right"/>
            </w:pPr>
            <w:r w:rsidRPr="000B32E4">
              <w:t>2 830</w:t>
            </w:r>
          </w:p>
        </w:tc>
        <w:tc>
          <w:tcPr>
            <w:tcW w:w="917" w:type="dxa"/>
          </w:tcPr>
          <w:p w:rsidR="00CF42C5" w:rsidRPr="000B32E4" w:rsidRDefault="00CF42C5">
            <w:pPr>
              <w:jc w:val="right"/>
            </w:pPr>
            <w:r w:rsidRPr="000B32E4">
              <w:t>182</w:t>
            </w:r>
          </w:p>
        </w:tc>
      </w:tr>
      <w:tr w:rsidR="00000000" w:rsidRPr="000B32E4">
        <w:tblPrEx>
          <w:tblCellMar>
            <w:top w:w="0" w:type="dxa"/>
            <w:bottom w:w="0" w:type="dxa"/>
          </w:tblCellMar>
        </w:tblPrEx>
        <w:tc>
          <w:tcPr>
            <w:tcW w:w="1771" w:type="dxa"/>
            <w:tcBorders>
              <w:top w:val="single" w:sz="4" w:space="0" w:color="auto"/>
            </w:tcBorders>
          </w:tcPr>
          <w:p w:rsidR="00CF42C5" w:rsidRPr="000B32E4" w:rsidRDefault="00CF42C5">
            <w:r w:rsidRPr="000B32E4">
              <w:t xml:space="preserve">Centrala </w:t>
            </w:r>
            <w:r w:rsidRPr="000B32E4">
              <w:br/>
              <w:t>myndigh</w:t>
            </w:r>
            <w:r w:rsidRPr="000B32E4">
              <w:t>e</w:t>
            </w:r>
            <w:r w:rsidRPr="000B32E4">
              <w:t>ter</w:t>
            </w:r>
          </w:p>
        </w:tc>
        <w:tc>
          <w:tcPr>
            <w:tcW w:w="851" w:type="dxa"/>
            <w:tcBorders>
              <w:top w:val="single" w:sz="4" w:space="0" w:color="auto"/>
            </w:tcBorders>
          </w:tcPr>
          <w:p w:rsidR="00CF42C5" w:rsidRPr="000B32E4" w:rsidRDefault="00CF42C5">
            <w:pPr>
              <w:jc w:val="right"/>
            </w:pPr>
            <w:r w:rsidRPr="000B32E4">
              <w:t>49</w:t>
            </w:r>
          </w:p>
        </w:tc>
        <w:tc>
          <w:tcPr>
            <w:tcW w:w="850" w:type="dxa"/>
            <w:tcBorders>
              <w:top w:val="single" w:sz="4" w:space="0" w:color="auto"/>
            </w:tcBorders>
          </w:tcPr>
          <w:p w:rsidR="00CF42C5" w:rsidRPr="000B32E4" w:rsidRDefault="00CF42C5">
            <w:pPr>
              <w:jc w:val="right"/>
            </w:pPr>
            <w:r w:rsidRPr="000B32E4">
              <w:t>58</w:t>
            </w:r>
          </w:p>
        </w:tc>
        <w:tc>
          <w:tcPr>
            <w:tcW w:w="851" w:type="dxa"/>
            <w:tcBorders>
              <w:top w:val="single" w:sz="4" w:space="0" w:color="auto"/>
            </w:tcBorders>
          </w:tcPr>
          <w:p w:rsidR="00CF42C5" w:rsidRPr="000B32E4" w:rsidRDefault="00CF42C5">
            <w:pPr>
              <w:jc w:val="right"/>
            </w:pPr>
            <w:r w:rsidRPr="000B32E4">
              <w:t>0</w:t>
            </w:r>
          </w:p>
        </w:tc>
        <w:tc>
          <w:tcPr>
            <w:tcW w:w="850" w:type="dxa"/>
            <w:tcBorders>
              <w:top w:val="single" w:sz="4" w:space="0" w:color="auto"/>
            </w:tcBorders>
          </w:tcPr>
          <w:p w:rsidR="00CF42C5" w:rsidRPr="000B32E4" w:rsidRDefault="00CF42C5">
            <w:pPr>
              <w:jc w:val="right"/>
            </w:pPr>
            <w:r w:rsidRPr="000B32E4">
              <w:t>56</w:t>
            </w:r>
          </w:p>
        </w:tc>
        <w:tc>
          <w:tcPr>
            <w:tcW w:w="917" w:type="dxa"/>
            <w:tcBorders>
              <w:top w:val="single" w:sz="4" w:space="0" w:color="auto"/>
            </w:tcBorders>
          </w:tcPr>
          <w:p w:rsidR="00CF42C5" w:rsidRPr="000B32E4" w:rsidRDefault="00CF42C5">
            <w:pPr>
              <w:jc w:val="right"/>
            </w:pPr>
            <w:r w:rsidRPr="000B32E4">
              <w:t>-2</w:t>
            </w:r>
          </w:p>
        </w:tc>
      </w:tr>
      <w:tr w:rsidR="00000000" w:rsidRPr="000B32E4">
        <w:tblPrEx>
          <w:tblCellMar>
            <w:top w:w="0" w:type="dxa"/>
            <w:bottom w:w="0" w:type="dxa"/>
          </w:tblCellMar>
        </w:tblPrEx>
        <w:tc>
          <w:tcPr>
            <w:tcW w:w="1771" w:type="dxa"/>
            <w:tcBorders>
              <w:top w:val="single" w:sz="4" w:space="0" w:color="auto"/>
            </w:tcBorders>
          </w:tcPr>
          <w:p w:rsidR="00CF42C5" w:rsidRPr="000B32E4" w:rsidRDefault="00CF42C5">
            <w:r w:rsidRPr="000B32E4">
              <w:t>Mediefr</w:t>
            </w:r>
            <w:r w:rsidRPr="000B32E4">
              <w:t>å</w:t>
            </w:r>
            <w:r w:rsidRPr="000B32E4">
              <w:t>gor</w:t>
            </w:r>
          </w:p>
        </w:tc>
        <w:tc>
          <w:tcPr>
            <w:tcW w:w="851" w:type="dxa"/>
            <w:tcBorders>
              <w:top w:val="single" w:sz="4" w:space="0" w:color="auto"/>
            </w:tcBorders>
          </w:tcPr>
          <w:p w:rsidR="00CF42C5" w:rsidRPr="000B32E4" w:rsidRDefault="00CF42C5">
            <w:pPr>
              <w:jc w:val="right"/>
            </w:pPr>
            <w:r w:rsidRPr="000B32E4">
              <w:t>674</w:t>
            </w:r>
          </w:p>
        </w:tc>
        <w:tc>
          <w:tcPr>
            <w:tcW w:w="850" w:type="dxa"/>
            <w:tcBorders>
              <w:top w:val="single" w:sz="4" w:space="0" w:color="auto"/>
            </w:tcBorders>
          </w:tcPr>
          <w:p w:rsidR="00CF42C5" w:rsidRPr="000B32E4" w:rsidRDefault="00CF42C5">
            <w:pPr>
              <w:jc w:val="right"/>
            </w:pPr>
            <w:r w:rsidRPr="000B32E4">
              <w:t>685</w:t>
            </w:r>
          </w:p>
        </w:tc>
        <w:tc>
          <w:tcPr>
            <w:tcW w:w="851" w:type="dxa"/>
            <w:tcBorders>
              <w:top w:val="single" w:sz="4" w:space="0" w:color="auto"/>
            </w:tcBorders>
          </w:tcPr>
          <w:p w:rsidR="00CF42C5" w:rsidRPr="000B32E4" w:rsidRDefault="00CF42C5">
            <w:pPr>
              <w:jc w:val="right"/>
            </w:pPr>
            <w:r w:rsidRPr="000B32E4">
              <w:t>0</w:t>
            </w:r>
          </w:p>
        </w:tc>
        <w:tc>
          <w:tcPr>
            <w:tcW w:w="850" w:type="dxa"/>
            <w:tcBorders>
              <w:top w:val="single" w:sz="4" w:space="0" w:color="auto"/>
            </w:tcBorders>
          </w:tcPr>
          <w:p w:rsidR="00CF42C5" w:rsidRPr="000B32E4" w:rsidRDefault="00CF42C5">
            <w:pPr>
              <w:jc w:val="right"/>
            </w:pPr>
            <w:r w:rsidRPr="000B32E4">
              <w:t>659</w:t>
            </w:r>
          </w:p>
        </w:tc>
        <w:tc>
          <w:tcPr>
            <w:tcW w:w="917" w:type="dxa"/>
            <w:tcBorders>
              <w:top w:val="single" w:sz="4" w:space="0" w:color="auto"/>
            </w:tcBorders>
          </w:tcPr>
          <w:p w:rsidR="00CF42C5" w:rsidRPr="000B32E4" w:rsidRDefault="00CF42C5">
            <w:pPr>
              <w:jc w:val="right"/>
            </w:pPr>
            <w:r w:rsidRPr="000B32E4">
              <w:t>-26</w:t>
            </w:r>
          </w:p>
        </w:tc>
      </w:tr>
      <w:tr w:rsidR="00000000" w:rsidRPr="000B32E4">
        <w:tblPrEx>
          <w:tblCellMar>
            <w:top w:w="0" w:type="dxa"/>
            <w:bottom w:w="0" w:type="dxa"/>
          </w:tblCellMar>
        </w:tblPrEx>
        <w:tc>
          <w:tcPr>
            <w:tcW w:w="1771" w:type="dxa"/>
            <w:tcBorders>
              <w:top w:val="single" w:sz="4" w:space="0" w:color="auto"/>
            </w:tcBorders>
          </w:tcPr>
          <w:p w:rsidR="00CF42C5" w:rsidRPr="000B32E4" w:rsidRDefault="00CF42C5">
            <w:r w:rsidRPr="000B32E4">
              <w:t>Samarbete och u</w:t>
            </w:r>
            <w:r w:rsidRPr="000B32E4">
              <w:t>t</w:t>
            </w:r>
            <w:r w:rsidRPr="000B32E4">
              <w:t>veckling i Östersj</w:t>
            </w:r>
            <w:r w:rsidRPr="000B32E4">
              <w:t>ö</w:t>
            </w:r>
            <w:r w:rsidRPr="000B32E4">
              <w:t>regionen</w:t>
            </w:r>
          </w:p>
        </w:tc>
        <w:tc>
          <w:tcPr>
            <w:tcW w:w="851" w:type="dxa"/>
            <w:tcBorders>
              <w:top w:val="single" w:sz="4" w:space="0" w:color="auto"/>
            </w:tcBorders>
          </w:tcPr>
          <w:p w:rsidR="00CF42C5" w:rsidRPr="000B32E4" w:rsidRDefault="00CF42C5">
            <w:pPr>
              <w:jc w:val="right"/>
            </w:pPr>
            <w:r w:rsidRPr="000B32E4">
              <w:t>185</w:t>
            </w:r>
          </w:p>
        </w:tc>
        <w:tc>
          <w:tcPr>
            <w:tcW w:w="850" w:type="dxa"/>
            <w:tcBorders>
              <w:top w:val="single" w:sz="4" w:space="0" w:color="auto"/>
            </w:tcBorders>
          </w:tcPr>
          <w:p w:rsidR="00CF42C5" w:rsidRPr="000B32E4" w:rsidRDefault="00CF42C5">
            <w:pPr>
              <w:jc w:val="right"/>
            </w:pPr>
            <w:r w:rsidRPr="000B32E4">
              <w:t>0</w:t>
            </w:r>
          </w:p>
        </w:tc>
        <w:tc>
          <w:tcPr>
            <w:tcW w:w="851" w:type="dxa"/>
            <w:tcBorders>
              <w:top w:val="single" w:sz="4" w:space="0" w:color="auto"/>
            </w:tcBorders>
          </w:tcPr>
          <w:p w:rsidR="00CF42C5" w:rsidRPr="000B32E4" w:rsidRDefault="00CF42C5">
            <w:pPr>
              <w:jc w:val="right"/>
            </w:pPr>
            <w:r w:rsidRPr="000B32E4">
              <w:t>0</w:t>
            </w:r>
          </w:p>
        </w:tc>
        <w:tc>
          <w:tcPr>
            <w:tcW w:w="850" w:type="dxa"/>
            <w:tcBorders>
              <w:top w:val="single" w:sz="4" w:space="0" w:color="auto"/>
            </w:tcBorders>
          </w:tcPr>
          <w:p w:rsidR="00CF42C5" w:rsidRPr="000B32E4" w:rsidRDefault="00CF42C5">
            <w:pPr>
              <w:jc w:val="right"/>
            </w:pPr>
            <w:r w:rsidRPr="000B32E4">
              <w:t>191</w:t>
            </w:r>
          </w:p>
        </w:tc>
        <w:tc>
          <w:tcPr>
            <w:tcW w:w="917" w:type="dxa"/>
            <w:tcBorders>
              <w:top w:val="single" w:sz="4" w:space="0" w:color="auto"/>
            </w:tcBorders>
          </w:tcPr>
          <w:p w:rsidR="00CF42C5" w:rsidRPr="000B32E4" w:rsidRDefault="00CF42C5">
            <w:pPr>
              <w:jc w:val="right"/>
            </w:pPr>
            <w:r w:rsidRPr="000B32E4">
              <w:t>191</w:t>
            </w:r>
          </w:p>
        </w:tc>
      </w:tr>
      <w:tr w:rsidR="00000000" w:rsidRPr="000B32E4">
        <w:tblPrEx>
          <w:tblCellMar>
            <w:top w:w="0" w:type="dxa"/>
            <w:bottom w:w="0" w:type="dxa"/>
          </w:tblCellMar>
        </w:tblPrEx>
        <w:tc>
          <w:tcPr>
            <w:tcW w:w="1771" w:type="dxa"/>
            <w:tcBorders>
              <w:top w:val="single" w:sz="4" w:space="0" w:color="auto"/>
              <w:bottom w:val="single" w:sz="4" w:space="0" w:color="auto"/>
            </w:tcBorders>
          </w:tcPr>
          <w:p w:rsidR="00CF42C5" w:rsidRPr="000B32E4" w:rsidRDefault="00CF42C5">
            <w:pPr>
              <w:rPr>
                <w:b/>
              </w:rPr>
            </w:pPr>
            <w:r w:rsidRPr="000B32E4">
              <w:rPr>
                <w:b/>
              </w:rPr>
              <w:t>Summa UO 1</w:t>
            </w:r>
          </w:p>
        </w:tc>
        <w:tc>
          <w:tcPr>
            <w:tcW w:w="851" w:type="dxa"/>
            <w:tcBorders>
              <w:top w:val="single" w:sz="4" w:space="0" w:color="auto"/>
              <w:bottom w:val="single" w:sz="4" w:space="0" w:color="auto"/>
            </w:tcBorders>
          </w:tcPr>
          <w:p w:rsidR="00CF42C5" w:rsidRPr="000B32E4" w:rsidRDefault="00CF42C5">
            <w:pPr>
              <w:jc w:val="right"/>
              <w:rPr>
                <w:b/>
              </w:rPr>
            </w:pPr>
            <w:r w:rsidRPr="000B32E4">
              <w:rPr>
                <w:b/>
              </w:rPr>
              <w:t>4 541</w:t>
            </w:r>
          </w:p>
        </w:tc>
        <w:tc>
          <w:tcPr>
            <w:tcW w:w="850" w:type="dxa"/>
            <w:tcBorders>
              <w:top w:val="single" w:sz="4" w:space="0" w:color="auto"/>
              <w:bottom w:val="single" w:sz="4" w:space="0" w:color="auto"/>
            </w:tcBorders>
          </w:tcPr>
          <w:p w:rsidR="00CF42C5" w:rsidRPr="000B32E4" w:rsidRDefault="00CF42C5">
            <w:pPr>
              <w:jc w:val="right"/>
              <w:rPr>
                <w:b/>
              </w:rPr>
            </w:pPr>
            <w:r w:rsidRPr="000B32E4">
              <w:rPr>
                <w:b/>
              </w:rPr>
              <w:t>4 461</w:t>
            </w:r>
          </w:p>
        </w:tc>
        <w:tc>
          <w:tcPr>
            <w:tcW w:w="851" w:type="dxa"/>
            <w:tcBorders>
              <w:top w:val="single" w:sz="4" w:space="0" w:color="auto"/>
              <w:bottom w:val="single" w:sz="4" w:space="0" w:color="auto"/>
            </w:tcBorders>
          </w:tcPr>
          <w:p w:rsidR="00CF42C5" w:rsidRPr="000B32E4" w:rsidRDefault="00CF42C5">
            <w:pPr>
              <w:jc w:val="right"/>
              <w:rPr>
                <w:b/>
              </w:rPr>
            </w:pPr>
            <w:r w:rsidRPr="000B32E4">
              <w:rPr>
                <w:b/>
              </w:rPr>
              <w:t>255</w:t>
            </w:r>
          </w:p>
        </w:tc>
        <w:tc>
          <w:tcPr>
            <w:tcW w:w="850" w:type="dxa"/>
            <w:tcBorders>
              <w:top w:val="single" w:sz="4" w:space="0" w:color="auto"/>
              <w:bottom w:val="single" w:sz="4" w:space="0" w:color="auto"/>
            </w:tcBorders>
          </w:tcPr>
          <w:p w:rsidR="00CF42C5" w:rsidRPr="000B32E4" w:rsidRDefault="00CF42C5">
            <w:pPr>
              <w:jc w:val="right"/>
              <w:rPr>
                <w:b/>
              </w:rPr>
            </w:pPr>
            <w:r w:rsidRPr="000B32E4">
              <w:rPr>
                <w:b/>
              </w:rPr>
              <w:t>4 820</w:t>
            </w:r>
          </w:p>
        </w:tc>
        <w:tc>
          <w:tcPr>
            <w:tcW w:w="917" w:type="dxa"/>
            <w:tcBorders>
              <w:top w:val="single" w:sz="4" w:space="0" w:color="auto"/>
              <w:bottom w:val="single" w:sz="4" w:space="0" w:color="auto"/>
            </w:tcBorders>
          </w:tcPr>
          <w:p w:rsidR="00CF42C5" w:rsidRPr="000B32E4" w:rsidRDefault="00CF42C5">
            <w:pPr>
              <w:jc w:val="right"/>
              <w:rPr>
                <w:b/>
              </w:rPr>
            </w:pPr>
            <w:r w:rsidRPr="000B32E4">
              <w:rPr>
                <w:b/>
              </w:rPr>
              <w:t>359</w:t>
            </w:r>
          </w:p>
        </w:tc>
      </w:tr>
    </w:tbl>
    <w:p w:rsidR="00CF42C5" w:rsidRPr="000B32E4" w:rsidRDefault="00CF42C5">
      <w:pPr>
        <w:spacing w:before="187"/>
      </w:pPr>
      <w:r w:rsidRPr="000B32E4">
        <w:t>Utfallet uppgick till 4 820 miljoner kronor och var därmed 359 miljoner kr</w:t>
      </w:r>
      <w:r w:rsidRPr="000B32E4">
        <w:t>o</w:t>
      </w:r>
      <w:r w:rsidRPr="000B32E4">
        <w:t>nor (8,1 %) högre än vad som anvisades i statsbudgeten.</w:t>
      </w:r>
    </w:p>
    <w:p w:rsidR="00CF42C5" w:rsidRPr="000B32E4" w:rsidRDefault="00CF42C5">
      <w:pPr>
        <w:pStyle w:val="Normaltindrag"/>
      </w:pPr>
      <w:r w:rsidRPr="000B32E4">
        <w:t>De högre utgifterna hänför sig, enligt regeringen, i huvudsak till två a</w:t>
      </w:r>
      <w:r w:rsidRPr="000B32E4">
        <w:t>n</w:t>
      </w:r>
      <w:r w:rsidRPr="000B32E4">
        <w:t xml:space="preserve">slag: äldreanslaget från budgetåret 1999 F1 </w:t>
      </w:r>
      <w:r w:rsidRPr="000B32E4">
        <w:rPr>
          <w:i/>
        </w:rPr>
        <w:t>Samarbete och utveckling inom Östersjöregionen</w:t>
      </w:r>
      <w:r w:rsidRPr="000B32E4">
        <w:t xml:space="preserve">, där förbrukningen finansieras med 191 miljoner kronor av reservationer från tidigare år och anslaget C1 </w:t>
      </w:r>
      <w:r w:rsidRPr="000B32E4">
        <w:rPr>
          <w:i/>
        </w:rPr>
        <w:t>Regeringskansliet m.m</w:t>
      </w:r>
      <w:r w:rsidRPr="000B32E4">
        <w:t>., där skillnaden mot statsbudgeten på 174 miljoner kronor till största delen förkl</w:t>
      </w:r>
      <w:r w:rsidRPr="000B32E4">
        <w:t>a</w:t>
      </w:r>
      <w:r w:rsidRPr="000B32E4">
        <w:t>ras av ökade utgifter för statliga pensionsavgifter, men också av bildandet av en sammanhållen IT-organisation inom Regering</w:t>
      </w:r>
      <w:r w:rsidRPr="000B32E4">
        <w:t>s</w:t>
      </w:r>
      <w:r w:rsidRPr="000B32E4">
        <w:t>kansliet.</w:t>
      </w:r>
    </w:p>
    <w:p w:rsidR="00CF42C5" w:rsidRPr="000B32E4" w:rsidRDefault="00CF42C5">
      <w:pPr>
        <w:pStyle w:val="Rubrik2"/>
      </w:pPr>
      <w:bookmarkStart w:id="7" w:name="_Toc514635727"/>
      <w:r w:rsidRPr="000B32E4">
        <w:t>Motion</w:t>
      </w:r>
      <w:bookmarkEnd w:id="7"/>
    </w:p>
    <w:p w:rsidR="00CF42C5" w:rsidRPr="000B32E4" w:rsidRDefault="00CF42C5">
      <w:r w:rsidRPr="000B32E4">
        <w:t xml:space="preserve">I </w:t>
      </w:r>
      <w:r w:rsidRPr="000B32E4">
        <w:rPr>
          <w:i/>
        </w:rPr>
        <w:t>motion 2000/01:Fi34 av Siv Holma m.fl. (v)</w:t>
      </w:r>
      <w:r w:rsidRPr="000B32E4">
        <w:t xml:space="preserve"> begärs tillkännagivanden till re</w:t>
      </w:r>
      <w:r w:rsidRPr="000B32E4">
        <w:softHyphen/>
        <w:t>geringen om att könsuppdela statistiken i statens årsredovisning (yrkande 1), om att integrera resultat från myndigheternas jämställdhetsarbete i statens årsredovisning (yrkande 2) och om att tillföra en jämställdhetsbilaga till st</w:t>
      </w:r>
      <w:r w:rsidRPr="000B32E4">
        <w:t>a</w:t>
      </w:r>
      <w:r w:rsidRPr="000B32E4">
        <w:t xml:space="preserve">tens årsredovisning (yrkande 3). </w:t>
      </w:r>
    </w:p>
    <w:p w:rsidR="00CF42C5" w:rsidRPr="000B32E4" w:rsidRDefault="00CF42C5">
      <w:pPr>
        <w:pStyle w:val="Normaltindrag"/>
      </w:pPr>
      <w:r w:rsidRPr="000B32E4">
        <w:t>Motionärerna framhåller att alla förslag och beslut, enligt den nationella handlingsplanen för jämställdhetspolitiken, måste analyseras ur ett jämställ</w:t>
      </w:r>
      <w:r w:rsidRPr="000B32E4">
        <w:t>d</w:t>
      </w:r>
      <w:r w:rsidRPr="000B32E4">
        <w:t>hetsperspektiv för att klarlägga möjliga konsekvenser för kvinnor respektive män. För att detta skall vara möjligt anser motionärerna att all statistik som relaterar till individer måste vara uppdelad på kön. Den fråga som genomg</w:t>
      </w:r>
      <w:r w:rsidRPr="000B32E4">
        <w:t>å</w:t>
      </w:r>
      <w:r w:rsidRPr="000B32E4">
        <w:t>ende behöver ställas vid framtagandet av könsrelaterad statistik, också i st</w:t>
      </w:r>
      <w:r w:rsidRPr="000B32E4">
        <w:t>a</w:t>
      </w:r>
      <w:r w:rsidRPr="000B32E4">
        <w:t>tens årsredovisning, är ”Går det här att könsuppdela?”.</w:t>
      </w:r>
    </w:p>
    <w:p w:rsidR="00CF42C5" w:rsidRPr="000B32E4" w:rsidRDefault="00CF42C5">
      <w:pPr>
        <w:pStyle w:val="Normaltindrag"/>
      </w:pPr>
      <w:r w:rsidRPr="000B32E4">
        <w:t>Vidare anför motionärerna att Riksrevisionsverket i rapporten Jämställdhet Hur styr regeringen (RRV 2000:17) pekar på att kopplingen är otydlig mell</w:t>
      </w:r>
      <w:r w:rsidRPr="000B32E4">
        <w:t>an de övergripande jämställdhetspolitiska målen och målformuleringarna i regl</w:t>
      </w:r>
      <w:r w:rsidRPr="000B32E4">
        <w:t>e</w:t>
      </w:r>
      <w:r w:rsidRPr="000B32E4">
        <w:t>ringsbreven och att verket kritiserar återrapporteringskraven för att vara väl allmänt hållna. Enligt motionärerna måste målformuleringarna i reglering</w:t>
      </w:r>
      <w:r w:rsidRPr="000B32E4">
        <w:t>s</w:t>
      </w:r>
      <w:r w:rsidRPr="000B32E4">
        <w:t>breven förtydligas och utformas på ett sådant sätt att de blir mätbara. My</w:t>
      </w:r>
      <w:r w:rsidRPr="000B32E4">
        <w:t>n</w:t>
      </w:r>
      <w:r w:rsidRPr="000B32E4">
        <w:t>digheternas resultat behöver sedan redovisas utifrån fastställda återrapport</w:t>
      </w:r>
      <w:r w:rsidRPr="000B32E4">
        <w:t>e</w:t>
      </w:r>
      <w:r w:rsidRPr="000B32E4">
        <w:t>ringskrav, och integreras i årsredovisningen.</w:t>
      </w:r>
    </w:p>
    <w:p w:rsidR="00CF42C5" w:rsidRPr="000B32E4" w:rsidRDefault="00CF42C5">
      <w:pPr>
        <w:pStyle w:val="Normaltindrag"/>
      </w:pPr>
      <w:r w:rsidRPr="000B32E4">
        <w:t>Motionärerna anser också att det behövs en särskild kommenterad jä</w:t>
      </w:r>
      <w:r w:rsidRPr="000B32E4">
        <w:t>m</w:t>
      </w:r>
      <w:r w:rsidRPr="000B32E4">
        <w:t>ställdhetsbilaga till statens årsredovisning. Den bör innehålla statistik över statens förhållande till de ekonomiska skillnaderna mellan könen: olika ska</w:t>
      </w:r>
      <w:r w:rsidRPr="000B32E4">
        <w:t>t</w:t>
      </w:r>
      <w:r w:rsidRPr="000B32E4">
        <w:t>teintäkters fördelning på män respektive kvinnor och fördelningen av utgi</w:t>
      </w:r>
      <w:r w:rsidRPr="000B32E4">
        <w:t>f</w:t>
      </w:r>
      <w:r w:rsidRPr="000B32E4">
        <w:t xml:space="preserve">terna för socialförsäkringar, a-kassa, studiemedel osv. Motionärerna menar därtill att bilagan borde ta upp könsfördelningen bland statens anställda inom olika sektorer. Statistiken bör vara uppdelad på vanliga anställda och chefer på olika nivåer, och belysa löneskillnaderna både </w:t>
      </w:r>
      <w:r w:rsidRPr="000B32E4">
        <w:t>totalt och mellan olika grupper.</w:t>
      </w:r>
    </w:p>
    <w:p w:rsidR="00CF42C5" w:rsidRPr="000B32E4" w:rsidRDefault="00CF42C5">
      <w:pPr>
        <w:pStyle w:val="R4"/>
      </w:pPr>
      <w:r w:rsidRPr="000B32E4">
        <w:t>Bakgrund</w:t>
      </w:r>
    </w:p>
    <w:p w:rsidR="00CF42C5" w:rsidRPr="000B32E4" w:rsidRDefault="00CF42C5">
      <w:r w:rsidRPr="000B32E4">
        <w:t>Konstitutionsutskottet behandlade våren 1999, i betänkande 1998/99:KU26 Lagstiftningsprocessen, en motion (v) om könsuppdelad statistik i propositi</w:t>
      </w:r>
      <w:r w:rsidRPr="000B32E4">
        <w:t>o</w:t>
      </w:r>
      <w:r w:rsidRPr="000B32E4">
        <w:t>ner. Utskottet konstaterade då att regeringen hade vidtagit åtgärder för att den statistik som tas fram är könsuppdelad. Vidare förutsatte utskottet att reg</w:t>
      </w:r>
      <w:r w:rsidRPr="000B32E4">
        <w:t>e</w:t>
      </w:r>
      <w:r w:rsidRPr="000B32E4">
        <w:t>ringen, när så är påkallat, redovisar könsuppdelad statistik för riksdagen.</w:t>
      </w:r>
    </w:p>
    <w:p w:rsidR="00CF42C5" w:rsidRPr="000B32E4" w:rsidRDefault="00CF42C5">
      <w:pPr>
        <w:pStyle w:val="Normaltindrag"/>
      </w:pPr>
      <w:r w:rsidRPr="000B32E4">
        <w:t>Vidare granskar utskottet kontinuerligt personalutvecklingen inom Reg</w:t>
      </w:r>
      <w:r w:rsidRPr="000B32E4">
        <w:t>e</w:t>
      </w:r>
      <w:r w:rsidRPr="000B32E4">
        <w:t>ringskansliet inklusive jämställdhetsfrågor (se bet. 2000/01:KU10 med vidare hänvisningar). Utskottet har i dessa sammanhang bl.a. framhållit att staten har ett ansvar som föregångare och förebild på jämställdhetsområdet (bet. 1999/</w:t>
      </w:r>
      <w:r w:rsidRPr="000B32E4">
        <w:br/>
        <w:t>2000:KU10).</w:t>
      </w:r>
    </w:p>
    <w:p w:rsidR="00CF42C5" w:rsidRPr="000B32E4" w:rsidRDefault="00CF42C5">
      <w:r w:rsidRPr="000B32E4">
        <w:t>Finansutskottet har vid flera tillfällen behandlat motioner rörande könsup</w:t>
      </w:r>
      <w:r w:rsidRPr="000B32E4">
        <w:t>p</w:t>
      </w:r>
      <w:r w:rsidRPr="000B32E4">
        <w:t>delad statistik och genusperspektiv i ekonomisk analys och ekonomisk pol</w:t>
      </w:r>
      <w:r w:rsidRPr="000B32E4">
        <w:t>i</w:t>
      </w:r>
      <w:r w:rsidRPr="000B32E4">
        <w:t>tik, senast i betänkande 2000/01:FiU2. Därvid har finansutskottet inte funnit skäl för riksdagen att göra tillkännagivanden till regeringen med hänvisning till att jämställdhetsfrågor av detta slag redan är prioriterade områden i reg</w:t>
      </w:r>
      <w:r w:rsidRPr="000B32E4">
        <w:t>e</w:t>
      </w:r>
      <w:r w:rsidRPr="000B32E4">
        <w:t>ringens politik. I betänkandet betonade finansutskottet vikten av att genu</w:t>
      </w:r>
      <w:r w:rsidRPr="000B32E4">
        <w:t>s</w:t>
      </w:r>
      <w:r w:rsidRPr="000B32E4">
        <w:t>perspektivet blir en naturlig del i budgetprocessen och i finansplanen. Vidare framhölls att det är nödvändigt att det i beslutsu</w:t>
      </w:r>
      <w:r w:rsidRPr="000B32E4">
        <w:t>nderlagen finns ko</w:t>
      </w:r>
      <w:r w:rsidRPr="000B32E4">
        <w:t>n</w:t>
      </w:r>
      <w:r w:rsidRPr="000B32E4">
        <w:t>sekvensanalyser utifrån ett genusperspektiv för att nå ett solidariskt, rättvist och jämställt samhälle. Finansutskottet pekade också på att ett projekt skall genomföras inom Näringsdepartementet under år 2001 vars syfte bl.a. är att utarbeta förslag till struktur för det fortsatta jämställdhetsarbetet i budgetpr</w:t>
      </w:r>
      <w:r w:rsidRPr="000B32E4">
        <w:t>o</w:t>
      </w:r>
      <w:r w:rsidRPr="000B32E4">
        <w:t>cessen, att visa hur en koppling kan göras mellan mål, budget och resultatr</w:t>
      </w:r>
      <w:r w:rsidRPr="000B32E4">
        <w:t>e</w:t>
      </w:r>
      <w:r w:rsidRPr="000B32E4">
        <w:t>dovisning samt att utveckla en strategi för uppföljning och utvärdering av jämställdhet</w:t>
      </w:r>
      <w:r w:rsidRPr="000B32E4">
        <w:t>s</w:t>
      </w:r>
      <w:r w:rsidRPr="000B32E4">
        <w:t>politiken.</w:t>
      </w:r>
    </w:p>
    <w:p w:rsidR="00CF42C5" w:rsidRPr="000B32E4" w:rsidRDefault="00CF42C5">
      <w:pPr>
        <w:pStyle w:val="Rubrik2"/>
      </w:pPr>
      <w:bookmarkStart w:id="8" w:name="_Toc514635728"/>
      <w:r w:rsidRPr="000B32E4">
        <w:t>Kon</w:t>
      </w:r>
      <w:r w:rsidRPr="000B32E4">
        <w:t>stitutionsutskottets ställningstagande</w:t>
      </w:r>
      <w:bookmarkEnd w:id="8"/>
    </w:p>
    <w:p w:rsidR="00CF42C5" w:rsidRPr="000B32E4" w:rsidRDefault="00CF42C5">
      <w:r w:rsidRPr="000B32E4">
        <w:t>Utskottet tillstyrker att riksdagen för budgetåren 2002–2004 godkänner reg</w:t>
      </w:r>
      <w:r w:rsidRPr="000B32E4">
        <w:t>e</w:t>
      </w:r>
      <w:r w:rsidRPr="000B32E4">
        <w:t>ringens förslag till preliminära ramar för utgiftsområde 1 som riktlinjer för regeringens budgetarbete. Dessa ramar föreslås uppgå till 5 394 miljoner kronor, 5 535 miljoner kronor respektive 5 646 miljoner kronor.</w:t>
      </w:r>
    </w:p>
    <w:p w:rsidR="00CF42C5" w:rsidRPr="000B32E4" w:rsidRDefault="00CF42C5">
      <w:pPr>
        <w:pStyle w:val="Normaltindrag"/>
      </w:pPr>
      <w:r w:rsidRPr="000B32E4">
        <w:t>Utskottets ställningstagande innebär att utskottet avstyrker motionerna Fi17 yrkande 5 (m), Fi18 yrkande 7 (kd), Fi19 yrkande 4 (c) och Fi20 yrka</w:t>
      </w:r>
      <w:r w:rsidRPr="000B32E4">
        <w:t>n</w:t>
      </w:r>
      <w:r w:rsidRPr="000B32E4">
        <w:t>de 4 (fp).</w:t>
      </w:r>
    </w:p>
    <w:p w:rsidR="00CF42C5" w:rsidRPr="000B32E4" w:rsidRDefault="00CF42C5">
      <w:r w:rsidRPr="000B32E4">
        <w:t>Utskottet har inga invändningar mot att regeringens skrivelse 2000/01:101 Årsredovisningen för staten 2000 läggs till handlinga</w:t>
      </w:r>
      <w:r w:rsidRPr="000B32E4">
        <w:t>r</w:t>
      </w:r>
      <w:r w:rsidRPr="000B32E4">
        <w:t>na.</w:t>
      </w:r>
    </w:p>
    <w:p w:rsidR="00CF42C5" w:rsidRPr="000B32E4" w:rsidRDefault="00CF42C5">
      <w:pPr>
        <w:pStyle w:val="Normaltindrag"/>
      </w:pPr>
      <w:r w:rsidRPr="000B32E4">
        <w:t>När det gäller frågorna om könsuppdelad statistik m.m. i statens årsred</w:t>
      </w:r>
      <w:r w:rsidRPr="000B32E4">
        <w:t>o</w:t>
      </w:r>
      <w:r w:rsidRPr="000B32E4">
        <w:t>visning, som tas upp i motion 2000/01:Fi34 (v), vill utskottet inledningsvis framhålla att det är en grundläggande princip i regeringsformen att det al</w:t>
      </w:r>
      <w:r w:rsidRPr="000B32E4">
        <w:t>l</w:t>
      </w:r>
      <w:r w:rsidRPr="000B32E4">
        <w:t>männa skall tillförsäkra män och kvinnor lika rättigheter. Redan härav följer att alla beslut bör analyseras ur jämställdhetsperspektiv innan de fattas. Som utskottet tidigare uttalat får det förutsättas att regeringen, när så är påkallat, redovisar könsuppdelad statistik för riksdagen. Även i arbetet med uppföl</w:t>
      </w:r>
      <w:r w:rsidRPr="000B32E4">
        <w:t>j</w:t>
      </w:r>
      <w:r w:rsidRPr="000B32E4">
        <w:t>ning och utvärdering av beslut inom samhället</w:t>
      </w:r>
      <w:r w:rsidRPr="000B32E4">
        <w:t>s olika områden är det nödvä</w:t>
      </w:r>
      <w:r w:rsidRPr="000B32E4">
        <w:t>n</w:t>
      </w:r>
      <w:r w:rsidRPr="000B32E4">
        <w:t>digt att så långt som möjligt väga in jämställdhetsperspektiv. För närvarande pågår ett projekt inom Näringsdepartementet som bl.a. syftar till att visa hur en koppling kan göras mellan mål, budget och resultatredovisning samt att utveckla en strategi för uppföljning och utvärdering av jämställdhetspolitiken. Utskottet förutsätter att de frågor som tas upp i motionen övervägs i det sa</w:t>
      </w:r>
      <w:r w:rsidRPr="000B32E4">
        <w:t>m</w:t>
      </w:r>
      <w:r w:rsidRPr="000B32E4">
        <w:t>manhanget. Motion 2000/01:Fi34 (v) avstyrks.</w:t>
      </w:r>
    </w:p>
    <w:p w:rsidR="00CF42C5" w:rsidRPr="000B32E4" w:rsidRDefault="00CF42C5">
      <w:pPr>
        <w:pStyle w:val="Normaltindrag"/>
      </w:pPr>
    </w:p>
    <w:p w:rsidR="00CF42C5" w:rsidRPr="000B32E4" w:rsidRDefault="00CF42C5"/>
    <w:p w:rsidR="00CF42C5" w:rsidRPr="000B32E4" w:rsidRDefault="00CF42C5">
      <w:pPr>
        <w:pStyle w:val="Utskriftsdatum"/>
      </w:pPr>
      <w:r w:rsidRPr="000B32E4">
        <w:t xml:space="preserve">Stockholm den 15 maj 2001 </w:t>
      </w:r>
    </w:p>
    <w:p w:rsidR="00CF42C5" w:rsidRPr="000B32E4" w:rsidRDefault="00CF42C5">
      <w:r w:rsidRPr="000B32E4">
        <w:t>På konstitutionsutskottets vägnar</w:t>
      </w:r>
    </w:p>
    <w:p w:rsidR="00CF42C5" w:rsidRPr="000B32E4" w:rsidRDefault="00CF42C5">
      <w:pPr>
        <w:pStyle w:val="Ordfranden"/>
        <w:rPr>
          <w:noProof w:val="0"/>
        </w:rPr>
      </w:pPr>
      <w:bookmarkStart w:id="9" w:name="Ordförande"/>
      <w:bookmarkStart w:id="10" w:name="Deltagare"/>
      <w:bookmarkEnd w:id="9"/>
      <w:bookmarkEnd w:id="10"/>
      <w:r w:rsidRPr="000B32E4">
        <w:rPr>
          <w:noProof w:val="0"/>
        </w:rPr>
        <w:t>Per Unckel</w:t>
      </w:r>
    </w:p>
    <w:p w:rsidR="00CF42C5" w:rsidRPr="000B32E4" w:rsidRDefault="00CF42C5">
      <w:pPr>
        <w:pStyle w:val="Deltagare"/>
        <w:rPr>
          <w:noProof w:val="0"/>
        </w:rPr>
      </w:pPr>
      <w:r w:rsidRPr="000B32E4">
        <w:rPr>
          <w:noProof w:val="0"/>
        </w:rPr>
        <w:t xml:space="preserve">Följande ledamöter har deltagit i beslutet: Per Unckel (m), Göran Magnusson (s), Barbro Hietala Nordlund (s), Pär Axel Sahlberg (s), Kenneth Kvist (v), Ingvar Svensson (kd), Mats Berglind (s), Inger René (m), Kerstin Kristiansson Karlstedt (s), Kenth Högström (s), Björn von der Esch (kd), Per Lager (mp), Helena Bargholtz (fp), Per-Samuel Nisser (m), Peter Pedersen (v), Sven Bergström (c) och Margareta Nachmanson (m). </w:t>
      </w:r>
    </w:p>
    <w:p w:rsidR="00CF42C5" w:rsidRPr="000B32E4" w:rsidRDefault="00CF42C5">
      <w:pPr>
        <w:pStyle w:val="Normaltindrag"/>
      </w:pPr>
    </w:p>
    <w:p w:rsidR="00CF42C5" w:rsidRPr="000B32E4" w:rsidRDefault="00CF42C5">
      <w:pPr>
        <w:pStyle w:val="Normaltindrag"/>
        <w:sectPr w:rsidR="00000000" w:rsidRPr="000B32E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F42C5" w:rsidRPr="000B32E4" w:rsidRDefault="00CF42C5">
      <w:pPr>
        <w:pStyle w:val="Rubrik1"/>
        <w:rPr>
          <w:noProof w:val="0"/>
        </w:rPr>
      </w:pPr>
      <w:bookmarkStart w:id="11" w:name="_Toc514635729"/>
      <w:r w:rsidRPr="000B32E4">
        <w:rPr>
          <w:noProof w:val="0"/>
        </w:rPr>
        <w:t>Avvikande meningar</w:t>
      </w:r>
      <w:bookmarkEnd w:id="11"/>
    </w:p>
    <w:p w:rsidR="00CF42C5" w:rsidRPr="000B32E4" w:rsidRDefault="00CF42C5">
      <w:pPr>
        <w:pStyle w:val="Rubrik2"/>
        <w:spacing w:before="0"/>
      </w:pPr>
      <w:bookmarkStart w:id="12" w:name="_Toc514635730"/>
      <w:r w:rsidRPr="000B32E4">
        <w:t>Preliminära utgiftsramar åren 2002–2004 (m)</w:t>
      </w:r>
      <w:bookmarkEnd w:id="12"/>
    </w:p>
    <w:p w:rsidR="00CF42C5" w:rsidRPr="000B32E4" w:rsidRDefault="00CF42C5">
      <w:r w:rsidRPr="000B32E4">
        <w:t>Per Unckel (m), Inger René (m), Per-Samuel Nisser (m) och Margareta Nachmanson (m) anför:</w:t>
      </w:r>
    </w:p>
    <w:p w:rsidR="00CF42C5" w:rsidRPr="000B32E4" w:rsidRDefault="00CF42C5">
      <w:r w:rsidRPr="000B32E4">
        <w:t>Regeringens förslag till preliminära ramar för utgiftsområde 1 Rikets styrelse för åren 2002–2004 och förslagen i motionerna 2000/01:Fi18 yrkande 7 (kd), 2000/01:Fi19 yrkande 4 (c) och 2000/01:Fi20 yrkande 4 (fp) bör avslås. I stället bör riksdagen bifalla Moderata samlingspartiets förslag i motion 2000/01:Fi17 yrkande 5, som innebär att de preliminära ramarna för utgift</w:t>
      </w:r>
      <w:r w:rsidRPr="000B32E4">
        <w:t>s</w:t>
      </w:r>
      <w:r w:rsidRPr="000B32E4">
        <w:t>området åren 2002–2004 beräknas till 4 603 miljoner kronor, 4 155 miljoner kronor respektive 4 278 miljoner kronor.</w:t>
      </w:r>
    </w:p>
    <w:p w:rsidR="00CF42C5" w:rsidRPr="000B32E4" w:rsidRDefault="00CF42C5">
      <w:pPr>
        <w:pStyle w:val="Rubrik2"/>
      </w:pPr>
      <w:bookmarkStart w:id="13" w:name="_Toc514635731"/>
      <w:r w:rsidRPr="000B32E4">
        <w:t>Preliminära utgiftsramar åren 2002–2004 (kd)</w:t>
      </w:r>
      <w:bookmarkEnd w:id="13"/>
    </w:p>
    <w:p w:rsidR="00CF42C5" w:rsidRPr="000B32E4" w:rsidRDefault="00CF42C5">
      <w:r w:rsidRPr="000B32E4">
        <w:t>Ingvar Svensson (kd) och Björn von der Esch (kd) anför:</w:t>
      </w:r>
    </w:p>
    <w:p w:rsidR="00CF42C5" w:rsidRPr="000B32E4" w:rsidRDefault="00CF42C5">
      <w:r w:rsidRPr="000B32E4">
        <w:t>Regeringens förslag till preliminära ramar för utgiftsområde 1 Rikets styrelse för åren 2002–2004 och förslagen i motionerna 2000/01:Fi17 yrkande 5 (m), 2000/01:Fi19 yrkande 4 (c) och 2000/01:Fi20 yrkande 4 (fp) bör avslås. I stället bör riksdagen bifalla Kristdemokraternas förslag i motion 2000/01:Fi18 yrkande 7, som innebär att de preliminära ramarna för utgiftsområdet åren 2002–2004 beräknas till 5 097 miljoner kronor, 4 978 miljoner kronor r</w:t>
      </w:r>
      <w:r w:rsidRPr="000B32E4">
        <w:t>e</w:t>
      </w:r>
      <w:r w:rsidRPr="000B32E4">
        <w:t>spektive 5 169 miljoner kronor.</w:t>
      </w:r>
    </w:p>
    <w:p w:rsidR="00CF42C5" w:rsidRPr="000B32E4" w:rsidRDefault="00CF42C5">
      <w:pPr>
        <w:pStyle w:val="Rubrik2"/>
      </w:pPr>
      <w:bookmarkStart w:id="14" w:name="_Toc514635732"/>
      <w:r w:rsidRPr="000B32E4">
        <w:t>Preliminära utgiftsramar åren 2002–2004 (c)</w:t>
      </w:r>
      <w:bookmarkEnd w:id="14"/>
    </w:p>
    <w:p w:rsidR="00CF42C5" w:rsidRPr="000B32E4" w:rsidRDefault="00CF42C5">
      <w:r w:rsidRPr="000B32E4">
        <w:t>Sven Bergström (c) anför:</w:t>
      </w:r>
    </w:p>
    <w:p w:rsidR="00CF42C5" w:rsidRPr="000B32E4" w:rsidRDefault="00CF42C5">
      <w:r w:rsidRPr="000B32E4">
        <w:t>Regeringens förslag till preliminära ramar för utgiftsområde 1 Rikets styrelse för åren 2002–2004 och förslagen i motionerna 2000/01:Fi17 yrkande 5 (m), 2000/01:Fi18 yrkande 7 (kd) och 2000/01:Fi20 yrkande 4 (fp) bör avslås. I stället bör riksdagen bifalla Centerpartiets förslag i motion 2000/01:Fi17 yrkande 4, som innebär att de preliminära ramarna för utgiftsområdet åren 2002–2004 beräknas till 4 624 miljoner kronor, 4 579 miljoner kronor r</w:t>
      </w:r>
      <w:r w:rsidRPr="000B32E4">
        <w:t>e</w:t>
      </w:r>
      <w:r w:rsidRPr="000B32E4">
        <w:t>spektive 4 876 miljoner kronor.</w:t>
      </w:r>
    </w:p>
    <w:p w:rsidR="00CF42C5" w:rsidRPr="000B32E4" w:rsidRDefault="00CF42C5">
      <w:pPr>
        <w:pStyle w:val="Rubrik2"/>
      </w:pPr>
      <w:bookmarkStart w:id="15" w:name="_Toc514635733"/>
      <w:r w:rsidRPr="000B32E4">
        <w:t>Preliminära utgiftsramar åren 2002–2004 (fp)</w:t>
      </w:r>
      <w:bookmarkEnd w:id="15"/>
    </w:p>
    <w:p w:rsidR="00CF42C5" w:rsidRPr="000B32E4" w:rsidRDefault="00CF42C5">
      <w:r w:rsidRPr="000B32E4">
        <w:t>Helena Bargholtz (fp) anför:</w:t>
      </w:r>
    </w:p>
    <w:p w:rsidR="00CF42C5" w:rsidRPr="000B32E4" w:rsidRDefault="00CF42C5">
      <w:r w:rsidRPr="000B32E4">
        <w:t>Regeringens förslag till preliminära ramar för utgiftsområde 1 Rikets styrelse för åren 2002–2004 och förslagen i motionerna 2000/01:Fi17 yrkande 5 (m), 2000/01:Fi18 yrkande 7 (kd) och 2000/01:Fi19 yrkande 4 (c) bör avslås. I stället bör riksdagen bifalla Folkpartiet liberalernas förslag i motion 2000/01:Fi20 yrkande 4, som innebär att de preliminära ramarna för utgift</w:t>
      </w:r>
      <w:r w:rsidRPr="000B32E4">
        <w:t>s</w:t>
      </w:r>
      <w:r w:rsidRPr="000B32E4">
        <w:t>området åren 2002–2004 beräknas till 4 474 miljoner kronor, 4 430 miljoner kronor respektive 4 461 miljoner kronor.</w:t>
      </w:r>
    </w:p>
    <w:p w:rsidR="00CF42C5" w:rsidRPr="000B32E4" w:rsidRDefault="00CF42C5">
      <w:pPr>
        <w:pStyle w:val="Rubrik2"/>
      </w:pPr>
      <w:bookmarkStart w:id="16" w:name="_Toc514635734"/>
      <w:r w:rsidRPr="000B32E4">
        <w:t>Jämställdhetsperspektiv i statens årsredovisning (v)</w:t>
      </w:r>
      <w:bookmarkEnd w:id="16"/>
    </w:p>
    <w:p w:rsidR="00CF42C5" w:rsidRPr="000B32E4" w:rsidRDefault="00CF42C5">
      <w:r w:rsidRPr="000B32E4">
        <w:t xml:space="preserve">Kenneth Kvist (v) och Peter Pedersen (v) anför: </w:t>
      </w:r>
    </w:p>
    <w:p w:rsidR="00CF42C5" w:rsidRPr="000B32E4" w:rsidRDefault="00CF42C5">
      <w:r w:rsidRPr="000B32E4">
        <w:t>Det är en grundläggande princip i regeringsformen att det allmänna skall tillförsäkra män och kvinnor lika rättigheter. Redan härav följer att alla beslut bör analyseras ur jämställdhetsperspektiv innan de fattas. Även i arbetet med uppföljning och utvärdering av beslut inom samhällets olika områden är det nödvändigt att så långt som möjligt väga in jämställdhetsperspektiv. Mot denna bakgrund finns det all anledning att könsuppdela statistiken och inte-grera resultat från myndigheternas jämställdhetsarbete</w:t>
      </w:r>
      <w:r w:rsidRPr="000B32E4">
        <w:t xml:space="preserve"> i statens årsredovi</w:t>
      </w:r>
      <w:r w:rsidRPr="000B32E4">
        <w:t>s</w:t>
      </w:r>
      <w:r w:rsidRPr="000B32E4">
        <w:t>ning. Vidare bör det tillföras en jämställdhetsbilaga till årsredovisningen som bl.a. innehåller statistik över statens förhållande till de ekonomiska skilln</w:t>
      </w:r>
      <w:r w:rsidRPr="000B32E4">
        <w:t>a</w:t>
      </w:r>
      <w:r w:rsidRPr="000B32E4">
        <w:t>derna mellan könen: olika skatteintäkters fördelning på män respektive kvi</w:t>
      </w:r>
      <w:r w:rsidRPr="000B32E4">
        <w:t>n</w:t>
      </w:r>
      <w:r w:rsidRPr="000B32E4">
        <w:t>nor och fördelningen av utgifterna för socialförsäkringar, a-kassa, studiem</w:t>
      </w:r>
      <w:r w:rsidRPr="000B32E4">
        <w:t>e</w:t>
      </w:r>
      <w:r w:rsidRPr="000B32E4">
        <w:t xml:space="preserve">del osv. Riksdagen bör därför bifalla motion 2000/01:Fi34 (v). </w:t>
      </w:r>
    </w:p>
    <w:p w:rsidR="00CF42C5" w:rsidRPr="000B32E4" w:rsidRDefault="00CF42C5"/>
    <w:p w:rsidR="00CF42C5" w:rsidRPr="000B32E4" w:rsidRDefault="00CF42C5">
      <w:pPr>
        <w:pStyle w:val="Tryckort"/>
        <w:framePr w:wrap="around"/>
      </w:pPr>
      <w:r w:rsidRPr="000B32E4">
        <w:t>Elanders Gotab, Stockholm  2001</w:t>
      </w:r>
    </w:p>
    <w:p w:rsidR="00CF42C5" w:rsidRPr="000B32E4" w:rsidRDefault="00CF42C5">
      <w:pPr>
        <w:pStyle w:val="Normaltindrag"/>
      </w:pPr>
    </w:p>
    <w:sectPr w:rsidR="00CF42C5" w:rsidRPr="000B32E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42C5" w:rsidRPr="000B32E4" w:rsidRDefault="00CF42C5">
      <w:pPr>
        <w:spacing w:before="0" w:line="240" w:lineRule="auto"/>
      </w:pPr>
      <w:r w:rsidRPr="000B32E4">
        <w:separator/>
      </w:r>
    </w:p>
  </w:endnote>
  <w:endnote w:type="continuationSeparator" w:id="0">
    <w:p w:rsidR="00CF42C5" w:rsidRPr="000B32E4" w:rsidRDefault="00CF42C5">
      <w:pPr>
        <w:spacing w:before="0" w:line="240" w:lineRule="auto"/>
      </w:pPr>
      <w:r w:rsidRPr="000B32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adeGothic CondEighteen">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2C5" w:rsidRPr="000B32E4" w:rsidRDefault="00CF42C5">
    <w:pPr>
      <w:pStyle w:val="SidfotV"/>
      <w:framePr w:w="8732" w:h="284" w:hRule="exact" w:hSpace="0" w:vSpace="0" w:wrap="around" w:xAlign="inside" w:y="13042" w:anchorLock="0"/>
    </w:pPr>
    <w:r w:rsidRPr="000B32E4">
      <w:fldChar w:fldCharType="begin" w:fldLock="1"/>
    </w:r>
    <w:r w:rsidRPr="000B32E4">
      <w:instrText xml:space="preserve"> P</w:instrText>
    </w:r>
    <w:r w:rsidRPr="000B32E4">
      <w:instrText>A</w:instrText>
    </w:r>
    <w:r w:rsidRPr="000B32E4">
      <w:instrText xml:space="preserve">GE </w:instrText>
    </w:r>
    <w:r w:rsidRPr="000B32E4">
      <w:fldChar w:fldCharType="separate"/>
    </w:r>
    <w:r w:rsidRPr="000B32E4">
      <w:t>6</w:t>
    </w:r>
    <w:r w:rsidRPr="000B32E4">
      <w:fldChar w:fldCharType="end"/>
    </w:r>
  </w:p>
  <w:p w:rsidR="00CF42C5" w:rsidRPr="000B32E4" w:rsidRDefault="00CF42C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2C5" w:rsidRPr="000B32E4" w:rsidRDefault="00CF42C5">
    <w:pPr>
      <w:pStyle w:val="SidfotH"/>
      <w:framePr w:w="8732" w:h="284" w:hRule="exact" w:hSpace="0" w:vSpace="0" w:wrap="around" w:xAlign="inside" w:y="13042" w:anchorLock="0"/>
    </w:pPr>
    <w:r w:rsidRPr="000B32E4">
      <w:fldChar w:fldCharType="begin" w:fldLock="1"/>
    </w:r>
    <w:r w:rsidRPr="000B32E4">
      <w:instrText xml:space="preserve"> P</w:instrText>
    </w:r>
    <w:r w:rsidRPr="000B32E4">
      <w:instrText>A</w:instrText>
    </w:r>
    <w:r w:rsidRPr="000B32E4">
      <w:instrText xml:space="preserve">GE </w:instrText>
    </w:r>
    <w:r w:rsidRPr="000B32E4">
      <w:fldChar w:fldCharType="separate"/>
    </w:r>
    <w:r w:rsidRPr="000B32E4">
      <w:t>7</w:t>
    </w:r>
    <w:r w:rsidRPr="000B32E4">
      <w:fldChar w:fldCharType="end"/>
    </w:r>
  </w:p>
  <w:p w:rsidR="00CF42C5" w:rsidRPr="000B32E4" w:rsidRDefault="00CF42C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2C5" w:rsidRPr="000B32E4" w:rsidRDefault="00CF42C5">
    <w:pPr>
      <w:pStyle w:val="SidfotV"/>
      <w:framePr w:w="8732" w:h="284" w:hRule="exact" w:hSpace="0" w:vSpace="0" w:wrap="around" w:xAlign="inside" w:y="13042" w:anchorLock="0"/>
    </w:pPr>
    <w:r w:rsidRPr="000B32E4">
      <w:fldChar w:fldCharType="begin" w:fldLock="1"/>
    </w:r>
    <w:r w:rsidRPr="000B32E4">
      <w:instrText xml:space="preserve"> if </w:instrText>
    </w:r>
    <w:r w:rsidRPr="000B32E4">
      <w:fldChar w:fldCharType="begin" w:fldLock="1"/>
    </w:r>
    <w:r w:rsidRPr="000B32E4">
      <w:instrText xml:space="preserve"> = </w:instrText>
    </w:r>
    <w:r w:rsidRPr="000B32E4">
      <w:fldChar w:fldCharType="begin" w:fldLock="1"/>
    </w:r>
    <w:r w:rsidRPr="000B32E4">
      <w:instrText xml:space="preserve"> = </w:instrText>
    </w:r>
    <w:r w:rsidRPr="000B32E4">
      <w:fldChar w:fldCharType="begin" w:fldLock="1"/>
    </w:r>
    <w:r w:rsidRPr="000B32E4">
      <w:instrText xml:space="preserve"> page</w:instrText>
    </w:r>
    <w:r w:rsidRPr="000B32E4">
      <w:fldChar w:fldCharType="separate"/>
    </w:r>
    <w:r w:rsidR="000B32E4">
      <w:rPr>
        <w:noProof/>
      </w:rPr>
      <w:instrText>1</w:instrText>
    </w:r>
    <w:r w:rsidRPr="000B32E4">
      <w:fldChar w:fldCharType="end"/>
    </w:r>
    <w:r w:rsidRPr="000B32E4">
      <w:instrText xml:space="preserve">/2 </w:instrText>
    </w:r>
    <w:r w:rsidRPr="000B32E4">
      <w:fldChar w:fldCharType="separate"/>
    </w:r>
    <w:r w:rsidR="000B32E4">
      <w:rPr>
        <w:noProof/>
      </w:rPr>
      <w:instrText>0,5</w:instrText>
    </w:r>
    <w:r w:rsidRPr="000B32E4">
      <w:fldChar w:fldCharType="end"/>
    </w:r>
    <w:r w:rsidRPr="000B32E4">
      <w:instrText xml:space="preserve"> - </w:instrText>
    </w:r>
    <w:r w:rsidRPr="000B32E4">
      <w:fldChar w:fldCharType="begin" w:fldLock="1"/>
    </w:r>
    <w:r w:rsidRPr="000B32E4">
      <w:instrText xml:space="preserve"> = int(</w:instrText>
    </w:r>
    <w:r w:rsidRPr="000B32E4">
      <w:fldChar w:fldCharType="begin" w:fldLock="1"/>
    </w:r>
    <w:r w:rsidRPr="000B32E4">
      <w:instrText xml:space="preserve"> page</w:instrText>
    </w:r>
    <w:r w:rsidRPr="000B32E4">
      <w:fldChar w:fldCharType="separate"/>
    </w:r>
    <w:r w:rsidR="000B32E4">
      <w:rPr>
        <w:noProof/>
      </w:rPr>
      <w:instrText>1</w:instrText>
    </w:r>
    <w:r w:rsidRPr="000B32E4">
      <w:fldChar w:fldCharType="end"/>
    </w:r>
    <w:r w:rsidRPr="000B32E4">
      <w:instrText xml:space="preserve">/2) </w:instrText>
    </w:r>
    <w:r w:rsidRPr="000B32E4">
      <w:fldChar w:fldCharType="separate"/>
    </w:r>
    <w:r w:rsidR="000B32E4">
      <w:rPr>
        <w:noProof/>
      </w:rPr>
      <w:instrText>0</w:instrText>
    </w:r>
    <w:r w:rsidRPr="000B32E4">
      <w:fldChar w:fldCharType="end"/>
    </w:r>
    <w:r w:rsidRPr="000B32E4">
      <w:fldChar w:fldCharType="separate"/>
    </w:r>
    <w:r w:rsidR="000B32E4">
      <w:rPr>
        <w:noProof/>
      </w:rPr>
      <w:instrText>0,5</w:instrText>
    </w:r>
    <w:r w:rsidRPr="000B32E4">
      <w:fldChar w:fldCharType="end"/>
    </w:r>
    <w:r w:rsidRPr="000B32E4">
      <w:instrText xml:space="preserve"> = 0 "</w:instrText>
    </w:r>
    <w:r w:rsidRPr="000B32E4">
      <w:fldChar w:fldCharType="begin" w:fldLock="1"/>
    </w:r>
    <w:r w:rsidRPr="000B32E4">
      <w:instrText xml:space="preserve"> P</w:instrText>
    </w:r>
    <w:r w:rsidRPr="000B32E4">
      <w:instrText>A</w:instrText>
    </w:r>
    <w:r w:rsidRPr="000B32E4">
      <w:instrText xml:space="preserve">GE </w:instrText>
    </w:r>
    <w:r w:rsidRPr="000B32E4">
      <w:fldChar w:fldCharType="separate"/>
    </w:r>
    <w:r w:rsidRPr="000B32E4">
      <w:instrText>14</w:instrText>
    </w:r>
    <w:r w:rsidRPr="000B32E4">
      <w:fldChar w:fldCharType="end"/>
    </w:r>
  </w:p>
  <w:p w:rsidR="00CF42C5" w:rsidRPr="000B32E4" w:rsidRDefault="00CF42C5">
    <w:pPr>
      <w:pStyle w:val="SidfotH"/>
      <w:framePr w:w="8732" w:h="284" w:hRule="exact" w:hSpace="0" w:vSpace="0" w:wrap="around" w:xAlign="inside" w:y="13042" w:anchorLock="0"/>
    </w:pPr>
    <w:r w:rsidRPr="000B32E4">
      <w:instrText>""</w:instrText>
    </w:r>
    <w:r w:rsidRPr="000B32E4">
      <w:fldChar w:fldCharType="begin" w:fldLock="1"/>
    </w:r>
    <w:r w:rsidRPr="000B32E4">
      <w:instrText xml:space="preserve"> P</w:instrText>
    </w:r>
    <w:r w:rsidRPr="000B32E4">
      <w:instrText>A</w:instrText>
    </w:r>
    <w:r w:rsidRPr="000B32E4">
      <w:instrText xml:space="preserve">GE </w:instrText>
    </w:r>
    <w:r w:rsidRPr="000B32E4">
      <w:fldChar w:fldCharType="separate"/>
    </w:r>
    <w:r w:rsidR="000B32E4">
      <w:rPr>
        <w:noProof/>
      </w:rPr>
      <w:instrText>1</w:instrText>
    </w:r>
    <w:r w:rsidRPr="000B32E4">
      <w:fldChar w:fldCharType="end"/>
    </w:r>
    <w:r w:rsidRPr="000B32E4">
      <w:instrText>"</w:instrText>
    </w:r>
    <w:r w:rsidRPr="000B32E4">
      <w:fldChar w:fldCharType="separate"/>
    </w:r>
    <w:r w:rsidR="000B32E4">
      <w:rPr>
        <w:noProof/>
      </w:rPr>
      <w:t>1</w:t>
    </w:r>
    <w:r w:rsidRPr="000B32E4">
      <w:fldChar w:fldCharType="end"/>
    </w:r>
  </w:p>
  <w:p w:rsidR="00CF42C5" w:rsidRPr="000B32E4" w:rsidRDefault="00CF42C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2C5" w:rsidRPr="000B32E4" w:rsidRDefault="00CF42C5">
    <w:pPr>
      <w:pStyle w:val="SidfotV"/>
      <w:framePr w:w="8732" w:h="284" w:hRule="exact" w:hSpace="0" w:vSpace="0" w:wrap="around" w:xAlign="inside" w:y="13042" w:anchorLock="0"/>
    </w:pPr>
    <w:r w:rsidRPr="000B32E4">
      <w:fldChar w:fldCharType="begin" w:fldLock="1"/>
    </w:r>
    <w:r w:rsidRPr="000B32E4">
      <w:instrText xml:space="preserve"> P</w:instrText>
    </w:r>
    <w:r w:rsidRPr="000B32E4">
      <w:instrText>A</w:instrText>
    </w:r>
    <w:r w:rsidRPr="000B32E4">
      <w:instrText xml:space="preserve">GE </w:instrText>
    </w:r>
    <w:r w:rsidRPr="000B32E4">
      <w:fldChar w:fldCharType="separate"/>
    </w:r>
    <w:r w:rsidRPr="000B32E4">
      <w:t>10</w:t>
    </w:r>
    <w:r w:rsidRPr="000B32E4">
      <w:fldChar w:fldCharType="end"/>
    </w:r>
  </w:p>
  <w:p w:rsidR="00CF42C5" w:rsidRPr="000B32E4" w:rsidRDefault="00CF42C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2C5" w:rsidRPr="000B32E4" w:rsidRDefault="00CF42C5">
    <w:pPr>
      <w:pStyle w:val="SidfotH"/>
      <w:framePr w:w="8732" w:h="284" w:hRule="exact" w:hSpace="0" w:vSpace="0" w:wrap="around" w:xAlign="inside" w:y="13042" w:anchorLock="0"/>
    </w:pPr>
    <w:r w:rsidRPr="000B32E4">
      <w:fldChar w:fldCharType="begin" w:fldLock="1"/>
    </w:r>
    <w:r w:rsidRPr="000B32E4">
      <w:instrText xml:space="preserve"> P</w:instrText>
    </w:r>
    <w:r w:rsidRPr="000B32E4">
      <w:instrText>A</w:instrText>
    </w:r>
    <w:r w:rsidRPr="000B32E4">
      <w:instrText xml:space="preserve">GE </w:instrText>
    </w:r>
    <w:r w:rsidRPr="000B32E4">
      <w:fldChar w:fldCharType="separate"/>
    </w:r>
    <w:r w:rsidRPr="000B32E4">
      <w:t>9</w:t>
    </w:r>
    <w:r w:rsidRPr="000B32E4">
      <w:fldChar w:fldCharType="end"/>
    </w:r>
  </w:p>
  <w:p w:rsidR="00CF42C5" w:rsidRPr="000B32E4" w:rsidRDefault="00CF42C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2C5" w:rsidRPr="000B32E4" w:rsidRDefault="00CF42C5">
    <w:pPr>
      <w:pStyle w:val="SidfotV"/>
      <w:framePr w:w="8732" w:h="284" w:hRule="exact" w:hSpace="0" w:vSpace="0" w:wrap="around" w:xAlign="inside" w:y="13042" w:anchorLock="0"/>
    </w:pPr>
    <w:r w:rsidRPr="000B32E4">
      <w:fldChar w:fldCharType="begin" w:fldLock="1"/>
    </w:r>
    <w:r w:rsidRPr="000B32E4">
      <w:instrText xml:space="preserve"> if </w:instrText>
    </w:r>
    <w:r w:rsidRPr="000B32E4">
      <w:fldChar w:fldCharType="begin" w:fldLock="1"/>
    </w:r>
    <w:r w:rsidRPr="000B32E4">
      <w:instrText xml:space="preserve"> = </w:instrText>
    </w:r>
    <w:r w:rsidRPr="000B32E4">
      <w:fldChar w:fldCharType="begin" w:fldLock="1"/>
    </w:r>
    <w:r w:rsidRPr="000B32E4">
      <w:instrText xml:space="preserve"> = </w:instrText>
    </w:r>
    <w:r w:rsidRPr="000B32E4">
      <w:fldChar w:fldCharType="begin" w:fldLock="1"/>
    </w:r>
    <w:r w:rsidRPr="000B32E4">
      <w:instrText xml:space="preserve"> page</w:instrText>
    </w:r>
    <w:r w:rsidRPr="000B32E4">
      <w:fldChar w:fldCharType="separate"/>
    </w:r>
    <w:r w:rsidRPr="000B32E4">
      <w:instrText>8</w:instrText>
    </w:r>
    <w:r w:rsidRPr="000B32E4">
      <w:fldChar w:fldCharType="end"/>
    </w:r>
    <w:r w:rsidRPr="000B32E4">
      <w:instrText xml:space="preserve">/2 </w:instrText>
    </w:r>
    <w:r w:rsidRPr="000B32E4">
      <w:fldChar w:fldCharType="separate"/>
    </w:r>
    <w:r w:rsidRPr="000B32E4">
      <w:instrText>4</w:instrText>
    </w:r>
    <w:r w:rsidRPr="000B32E4">
      <w:fldChar w:fldCharType="end"/>
    </w:r>
    <w:r w:rsidRPr="000B32E4">
      <w:instrText xml:space="preserve"> - </w:instrText>
    </w:r>
    <w:r w:rsidRPr="000B32E4">
      <w:fldChar w:fldCharType="begin" w:fldLock="1"/>
    </w:r>
    <w:r w:rsidRPr="000B32E4">
      <w:instrText xml:space="preserve"> = int(</w:instrText>
    </w:r>
    <w:r w:rsidRPr="000B32E4">
      <w:fldChar w:fldCharType="begin" w:fldLock="1"/>
    </w:r>
    <w:r w:rsidRPr="000B32E4">
      <w:instrText xml:space="preserve"> page</w:instrText>
    </w:r>
    <w:r w:rsidRPr="000B32E4">
      <w:fldChar w:fldCharType="separate"/>
    </w:r>
    <w:r w:rsidRPr="000B32E4">
      <w:instrText>8</w:instrText>
    </w:r>
    <w:r w:rsidRPr="000B32E4">
      <w:fldChar w:fldCharType="end"/>
    </w:r>
    <w:r w:rsidRPr="000B32E4">
      <w:instrText xml:space="preserve">/2) </w:instrText>
    </w:r>
    <w:r w:rsidRPr="000B32E4">
      <w:fldChar w:fldCharType="separate"/>
    </w:r>
    <w:r w:rsidRPr="000B32E4">
      <w:instrText>4</w:instrText>
    </w:r>
    <w:r w:rsidRPr="000B32E4">
      <w:fldChar w:fldCharType="end"/>
    </w:r>
    <w:r w:rsidRPr="000B32E4">
      <w:fldChar w:fldCharType="separate"/>
    </w:r>
    <w:r w:rsidRPr="000B32E4">
      <w:instrText>0</w:instrText>
    </w:r>
    <w:r w:rsidRPr="000B32E4">
      <w:fldChar w:fldCharType="end"/>
    </w:r>
    <w:r w:rsidRPr="000B32E4">
      <w:instrText xml:space="preserve"> = 0 "</w:instrText>
    </w:r>
    <w:r w:rsidRPr="000B32E4">
      <w:fldChar w:fldCharType="begin" w:fldLock="1"/>
    </w:r>
    <w:r w:rsidRPr="000B32E4">
      <w:instrText xml:space="preserve"> P</w:instrText>
    </w:r>
    <w:r w:rsidRPr="000B32E4">
      <w:instrText>A</w:instrText>
    </w:r>
    <w:r w:rsidRPr="000B32E4">
      <w:instrText xml:space="preserve">GE </w:instrText>
    </w:r>
    <w:r w:rsidRPr="000B32E4">
      <w:fldChar w:fldCharType="separate"/>
    </w:r>
    <w:r w:rsidRPr="000B32E4">
      <w:instrText>8</w:instrText>
    </w:r>
    <w:r w:rsidRPr="000B32E4">
      <w:fldChar w:fldCharType="end"/>
    </w:r>
  </w:p>
  <w:p w:rsidR="00CF42C5" w:rsidRPr="000B32E4" w:rsidRDefault="00CF42C5">
    <w:pPr>
      <w:pStyle w:val="SidfotV"/>
      <w:framePr w:w="8732" w:h="284" w:hRule="exact" w:hSpace="0" w:vSpace="0" w:wrap="around" w:xAlign="inside" w:y="13042" w:anchorLock="0"/>
    </w:pPr>
    <w:r w:rsidRPr="000B32E4">
      <w:instrText>""</w:instrText>
    </w:r>
    <w:r w:rsidRPr="000B32E4">
      <w:fldChar w:fldCharType="begin" w:fldLock="1"/>
    </w:r>
    <w:r w:rsidRPr="000B32E4">
      <w:instrText xml:space="preserve"> P</w:instrText>
    </w:r>
    <w:r w:rsidRPr="000B32E4">
      <w:instrText>A</w:instrText>
    </w:r>
    <w:r w:rsidRPr="000B32E4">
      <w:instrText xml:space="preserve">GE </w:instrText>
    </w:r>
    <w:r w:rsidRPr="000B32E4">
      <w:fldChar w:fldCharType="separate"/>
    </w:r>
    <w:r w:rsidRPr="000B32E4">
      <w:instrText>9</w:instrText>
    </w:r>
    <w:r w:rsidRPr="000B32E4">
      <w:fldChar w:fldCharType="end"/>
    </w:r>
    <w:r w:rsidRPr="000B32E4">
      <w:instrText>"</w:instrText>
    </w:r>
    <w:r w:rsidRPr="000B32E4">
      <w:fldChar w:fldCharType="separate"/>
    </w:r>
    <w:r w:rsidRPr="000B32E4">
      <w:fldChar w:fldCharType="begin" w:fldLock="1"/>
    </w:r>
    <w:r w:rsidRPr="000B32E4">
      <w:instrText xml:space="preserve"> P</w:instrText>
    </w:r>
    <w:r w:rsidRPr="000B32E4">
      <w:instrText>A</w:instrText>
    </w:r>
    <w:r w:rsidRPr="000B32E4">
      <w:instrText xml:space="preserve">GE </w:instrText>
    </w:r>
    <w:r w:rsidRPr="000B32E4">
      <w:fldChar w:fldCharType="separate"/>
    </w:r>
    <w:r w:rsidRPr="000B32E4">
      <w:t>8</w:t>
    </w:r>
    <w:r w:rsidRPr="000B32E4">
      <w:fldChar w:fldCharType="end"/>
    </w:r>
  </w:p>
  <w:p w:rsidR="00CF42C5" w:rsidRPr="000B32E4" w:rsidRDefault="00CF42C5">
    <w:pPr>
      <w:pStyle w:val="SidfotH"/>
      <w:framePr w:w="8732" w:h="284" w:hRule="exact" w:hSpace="0" w:vSpace="0" w:wrap="around" w:xAlign="inside" w:y="13042" w:anchorLock="0"/>
    </w:pPr>
    <w:r w:rsidRPr="000B32E4">
      <w:fldChar w:fldCharType="end"/>
    </w:r>
  </w:p>
  <w:p w:rsidR="00CF42C5" w:rsidRPr="000B32E4" w:rsidRDefault="00CF42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42C5" w:rsidRPr="000B32E4" w:rsidRDefault="00CF42C5">
      <w:pPr>
        <w:pStyle w:val="Sidfot"/>
      </w:pPr>
    </w:p>
  </w:footnote>
  <w:footnote w:type="continuationSeparator" w:id="0">
    <w:p w:rsidR="00CF42C5" w:rsidRPr="000B32E4" w:rsidRDefault="00CF42C5">
      <w:pPr>
        <w:spacing w:before="0" w:line="240" w:lineRule="auto"/>
      </w:pPr>
      <w:r w:rsidRPr="000B32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2C5" w:rsidRPr="000B32E4" w:rsidRDefault="00CF42C5">
    <w:pPr>
      <w:pStyle w:val="SidhuvudKantJmn"/>
      <w:framePr w:w="8732" w:h="567" w:hRule="exact" w:vSpace="0" w:wrap="around" w:vAnchor="page" w:y="341" w:anchorLock="0"/>
    </w:pPr>
    <w:r w:rsidRPr="000B32E4">
      <w:rPr>
        <w:rStyle w:val="SidhuvudUtskott"/>
      </w:rPr>
      <w:fldChar w:fldCharType="begin" w:fldLock="1"/>
    </w:r>
    <w:r w:rsidRPr="000B32E4">
      <w:rPr>
        <w:rStyle w:val="SidhuvudUtskott"/>
      </w:rPr>
      <w:instrText xml:space="preserve"> DOCPROPERTY BetänkandeÅr</w:instrText>
    </w:r>
    <w:r w:rsidRPr="000B32E4">
      <w:rPr>
        <w:rStyle w:val="SidhuvudUtskott"/>
      </w:rPr>
      <w:fldChar w:fldCharType="separate"/>
    </w:r>
    <w:r w:rsidRPr="000B32E4">
      <w:rPr>
        <w:rStyle w:val="SidhuvudUtskott"/>
      </w:rPr>
      <w:t>2000/01</w:t>
    </w:r>
    <w:r w:rsidRPr="000B32E4">
      <w:rPr>
        <w:rStyle w:val="SidhuvudUtskott"/>
      </w:rPr>
      <w:fldChar w:fldCharType="end"/>
    </w:r>
    <w:r w:rsidRPr="000B32E4">
      <w:rPr>
        <w:rStyle w:val="SidhuvudUtskott"/>
      </w:rPr>
      <w:t>:</w:t>
    </w:r>
    <w:r w:rsidRPr="000B32E4">
      <w:rPr>
        <w:rStyle w:val="SidhuvudUtskott"/>
      </w:rPr>
      <w:fldChar w:fldCharType="begin" w:fldLock="1"/>
    </w:r>
    <w:r w:rsidRPr="000B32E4">
      <w:rPr>
        <w:rStyle w:val="SidhuvudUtskott"/>
      </w:rPr>
      <w:instrText xml:space="preserve"> DOCPROPERTY Utskott</w:instrText>
    </w:r>
    <w:r w:rsidRPr="000B32E4">
      <w:rPr>
        <w:rStyle w:val="SidhuvudUtskott"/>
      </w:rPr>
      <w:fldChar w:fldCharType="separate"/>
    </w:r>
    <w:r w:rsidRPr="000B32E4">
      <w:rPr>
        <w:rStyle w:val="SidhuvudUtskott"/>
      </w:rPr>
      <w:t>KU</w:t>
    </w:r>
    <w:r w:rsidRPr="000B32E4">
      <w:rPr>
        <w:rStyle w:val="SidhuvudUtskott"/>
      </w:rPr>
      <w:fldChar w:fldCharType="end"/>
    </w:r>
    <w:r w:rsidRPr="000B32E4">
      <w:rPr>
        <w:rStyle w:val="SidhuvudUtskott"/>
      </w:rPr>
      <w:fldChar w:fldCharType="begin" w:fldLock="1"/>
    </w:r>
    <w:r w:rsidRPr="000B32E4">
      <w:rPr>
        <w:rStyle w:val="SidhuvudUtskott"/>
      </w:rPr>
      <w:instrText xml:space="preserve"> DOCPROPERTY BetänkandeNr</w:instrText>
    </w:r>
    <w:r w:rsidRPr="000B32E4">
      <w:rPr>
        <w:rStyle w:val="SidhuvudUtskott"/>
      </w:rPr>
      <w:fldChar w:fldCharType="separate"/>
    </w:r>
    <w:r w:rsidRPr="000B32E4">
      <w:rPr>
        <w:rStyle w:val="SidhuvudUtskott"/>
      </w:rPr>
      <w:t>14y</w:t>
    </w:r>
    <w:r w:rsidRPr="000B32E4">
      <w:rPr>
        <w:rStyle w:val="SidhuvudUtskott"/>
      </w:rPr>
      <w:fldChar w:fldCharType="end"/>
    </w:r>
    <w:r w:rsidRPr="000B32E4">
      <w:t xml:space="preserve">     </w:t>
    </w:r>
    <w:r w:rsidRPr="000B32E4">
      <w:rPr>
        <w:rStyle w:val="SidhuvudBilaga"/>
      </w:rPr>
      <w:t xml:space="preserve"> </w:t>
    </w:r>
    <w:r w:rsidRPr="000B32E4">
      <w:rPr>
        <w:rStyle w:val="SidhuvudRubrikReferens"/>
      </w:rPr>
      <w:fldChar w:fldCharType="begin" w:fldLock="1"/>
    </w:r>
    <w:r w:rsidRPr="000B32E4">
      <w:rPr>
        <w:rStyle w:val="SidhuvudRubrikReferens"/>
      </w:rPr>
      <w:instrText xml:space="preserve"> StyleREF "Rubrik 1" </w:instrText>
    </w:r>
    <w:r w:rsidRPr="000B32E4">
      <w:rPr>
        <w:rStyle w:val="SidhuvudRubrikReferens"/>
      </w:rPr>
      <w:fldChar w:fldCharType="separate"/>
    </w:r>
    <w:r w:rsidRPr="000B32E4">
      <w:rPr>
        <w:rStyle w:val="SidhuvudRubrikReferens"/>
      </w:rPr>
      <w:t>Utskottet</w:t>
    </w:r>
    <w:r w:rsidRPr="000B32E4">
      <w:rPr>
        <w:rStyle w:val="SidhuvudRubrikReferens"/>
      </w:rPr>
      <w:fldChar w:fldCharType="end"/>
    </w:r>
  </w:p>
  <w:p w:rsidR="00CF42C5" w:rsidRPr="000B32E4" w:rsidRDefault="00CF42C5">
    <w:pPr>
      <w:pStyle w:val="SidhuvudKantJmn"/>
      <w:framePr w:w="8732" w:h="567" w:hRule="exact" w:vSpace="0" w:wrap="around" w:vAnchor="page" w:y="341" w:anchorLock="0"/>
    </w:pPr>
    <w:r w:rsidRPr="000B32E4">
      <w:rPr>
        <w:rStyle w:val="SidhuvudUtskott"/>
      </w:rPr>
      <w:fldChar w:fldCharType="begin" w:fldLock="1"/>
    </w:r>
    <w:r w:rsidRPr="000B32E4">
      <w:rPr>
        <w:rStyle w:val="SidhuvudUtskott"/>
      </w:rPr>
      <w:instrText xml:space="preserve"> DOCPROPERTY Status</w:instrText>
    </w:r>
    <w:r w:rsidRPr="000B32E4">
      <w:rPr>
        <w:rStyle w:val="SidhuvudUtskott"/>
      </w:rPr>
      <w:fldChar w:fldCharType="end"/>
    </w:r>
    <w:r w:rsidRPr="000B32E4">
      <w:rPr>
        <w:rStyle w:val="SidhuvudUtskott"/>
      </w:rPr>
      <w:fldChar w:fldCharType="begin" w:fldLock="1"/>
    </w:r>
    <w:r w:rsidRPr="000B32E4">
      <w:rPr>
        <w:rStyle w:val="SidhuvudUtskott"/>
      </w:rPr>
      <w:instrText xml:space="preserve"> if </w:instrText>
    </w:r>
    <w:r w:rsidRPr="000B32E4">
      <w:rPr>
        <w:rStyle w:val="SidhuvudUtskott"/>
      </w:rPr>
      <w:fldChar w:fldCharType="begin" w:fldLock="1"/>
    </w:r>
    <w:r w:rsidRPr="000B32E4">
      <w:rPr>
        <w:rStyle w:val="SidhuvudUtskott"/>
      </w:rPr>
      <w:instrText xml:space="preserve"> DOCPROPERTY "UtkastDatum"</w:instrText>
    </w:r>
    <w:r w:rsidRPr="000B32E4">
      <w:rPr>
        <w:rStyle w:val="SidhuvudUtskott"/>
      </w:rPr>
      <w:fldChar w:fldCharType="separate"/>
    </w:r>
    <w:r w:rsidRPr="000B32E4">
      <w:rPr>
        <w:rStyle w:val="SidhuvudUtskott"/>
      </w:rPr>
      <w:instrText>Nej</w:instrText>
    </w:r>
    <w:r w:rsidRPr="000B32E4">
      <w:rPr>
        <w:rStyle w:val="SidhuvudUtskott"/>
      </w:rPr>
      <w:fldChar w:fldCharType="end"/>
    </w:r>
    <w:r w:rsidRPr="000B32E4">
      <w:rPr>
        <w:rStyle w:val="SidhuvudUtskott"/>
      </w:rPr>
      <w:instrText xml:space="preserve"> = "Ja" "    </w:instrText>
    </w:r>
    <w:r w:rsidRPr="000B32E4">
      <w:rPr>
        <w:rStyle w:val="SidhuvudUtskott"/>
      </w:rPr>
      <w:fldChar w:fldCharType="begin" w:fldLock="1"/>
    </w:r>
    <w:r w:rsidRPr="000B32E4">
      <w:rPr>
        <w:rStyle w:val="SidhuvudUtskott"/>
      </w:rPr>
      <w:instrText xml:space="preserve"> PRINTDATE \@ "yyyy-MM-dd HH.mm" </w:instrText>
    </w:r>
    <w:r w:rsidRPr="000B32E4">
      <w:rPr>
        <w:rStyle w:val="SidhuvudUtskott"/>
      </w:rPr>
      <w:fldChar w:fldCharType="separate"/>
    </w:r>
    <w:r w:rsidRPr="000B32E4">
      <w:rPr>
        <w:rStyle w:val="SidhuvudUtskott"/>
      </w:rPr>
      <w:instrText>2000-08-11 16.42</w:instrText>
    </w:r>
    <w:r w:rsidRPr="000B32E4">
      <w:rPr>
        <w:rStyle w:val="SidhuvudUtskott"/>
      </w:rPr>
      <w:fldChar w:fldCharType="end"/>
    </w:r>
    <w:r w:rsidRPr="000B32E4">
      <w:rPr>
        <w:rStyle w:val="SidhuvudUtskott"/>
      </w:rPr>
      <w:instrText xml:space="preserve">" </w:instrText>
    </w:r>
    <w:r w:rsidRPr="000B32E4">
      <w:rPr>
        <w:rStyle w:val="SidhuvudUtskott"/>
      </w:rPr>
      <w:fldChar w:fldCharType="separate"/>
    </w:r>
    <w:r w:rsidRPr="000B32E4">
      <w:rPr>
        <w:rStyle w:val="SidhuvudUtskott"/>
      </w:rPr>
      <w:fldChar w:fldCharType="end"/>
    </w:r>
  </w:p>
  <w:p w:rsidR="00CF42C5" w:rsidRPr="000B32E4" w:rsidRDefault="00CF42C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2C5" w:rsidRPr="000B32E4" w:rsidRDefault="00CF42C5">
    <w:pPr>
      <w:pStyle w:val="SidhuvudKantUdda"/>
      <w:framePr w:w="8732" w:h="567" w:hRule="exact" w:vSpace="0" w:wrap="around" w:vAnchor="page" w:y="341" w:anchorLock="0"/>
    </w:pPr>
    <w:r w:rsidRPr="000B32E4">
      <w:rPr>
        <w:rStyle w:val="SidhuvudRubrikReferens"/>
      </w:rPr>
      <w:t>Utskottet</w:t>
    </w:r>
    <w:r w:rsidRPr="000B32E4">
      <w:rPr>
        <w:rStyle w:val="SidhuvudBilaga"/>
      </w:rPr>
      <w:t xml:space="preserve"> </w:t>
    </w:r>
    <w:r w:rsidRPr="000B32E4">
      <w:t xml:space="preserve">     </w:t>
    </w:r>
    <w:r w:rsidRPr="000B32E4">
      <w:rPr>
        <w:rStyle w:val="SidhuvudUtskott"/>
      </w:rPr>
      <w:t>2000/01:KU14y</w:t>
    </w:r>
  </w:p>
  <w:p w:rsidR="00CF42C5" w:rsidRPr="000B32E4" w:rsidRDefault="00CF42C5">
    <w:pPr>
      <w:pStyle w:val="SidhuvudKantUdda"/>
      <w:framePr w:w="8732" w:h="567" w:hRule="exact" w:vSpace="0" w:wrap="around" w:vAnchor="page" w:y="341" w:anchorLock="0"/>
    </w:pPr>
  </w:p>
  <w:p w:rsidR="00CF42C5" w:rsidRPr="000B32E4" w:rsidRDefault="00CF42C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2C5" w:rsidRPr="000B32E4" w:rsidRDefault="00CF42C5">
    <w:pPr>
      <w:pStyle w:val="SidhuvudKantJmn"/>
      <w:framePr w:w="8732" w:h="567" w:hRule="exact" w:vSpace="0" w:wrap="around" w:vAnchor="page" w:y="341" w:anchorLock="0"/>
    </w:pPr>
    <w:r w:rsidRPr="000B32E4">
      <w:fldChar w:fldCharType="begin" w:fldLock="1"/>
    </w:r>
    <w:r w:rsidRPr="000B32E4">
      <w:instrText xml:space="preserve"> if </w:instrText>
    </w:r>
    <w:r w:rsidRPr="000B32E4">
      <w:fldChar w:fldCharType="begin" w:fldLock="1"/>
    </w:r>
    <w:r w:rsidRPr="000B32E4">
      <w:instrText xml:space="preserve"> page</w:instrText>
    </w:r>
    <w:r w:rsidRPr="000B32E4">
      <w:fldChar w:fldCharType="separate"/>
    </w:r>
    <w:r w:rsidR="000B32E4">
      <w:rPr>
        <w:noProof/>
      </w:rPr>
      <w:instrText>1</w:instrText>
    </w:r>
    <w:r w:rsidRPr="000B32E4">
      <w:fldChar w:fldCharType="end"/>
    </w:r>
    <w:r w:rsidRPr="000B32E4">
      <w:instrText xml:space="preserve"> &gt; 1 "</w:instrText>
    </w:r>
    <w:r w:rsidRPr="000B32E4">
      <w:fldChar w:fldCharType="begin" w:fldLock="1"/>
    </w:r>
    <w:r w:rsidRPr="000B32E4">
      <w:instrText xml:space="preserve"> if </w:instrText>
    </w:r>
    <w:r w:rsidRPr="000B32E4">
      <w:fldChar w:fldCharType="begin" w:fldLock="1"/>
    </w:r>
    <w:r w:rsidRPr="000B32E4">
      <w:instrText xml:space="preserve"> = </w:instrText>
    </w:r>
    <w:r w:rsidRPr="000B32E4">
      <w:fldChar w:fldCharType="begin" w:fldLock="1"/>
    </w:r>
    <w:r w:rsidRPr="000B32E4">
      <w:instrText xml:space="preserve"> = </w:instrText>
    </w:r>
    <w:r w:rsidRPr="000B32E4">
      <w:fldChar w:fldCharType="begin" w:fldLock="1"/>
    </w:r>
    <w:r w:rsidRPr="000B32E4">
      <w:instrText xml:space="preserve"> page</w:instrText>
    </w:r>
    <w:r w:rsidRPr="000B32E4">
      <w:fldChar w:fldCharType="separate"/>
    </w:r>
    <w:r w:rsidRPr="000B32E4">
      <w:instrText>17</w:instrText>
    </w:r>
    <w:r w:rsidRPr="000B32E4">
      <w:fldChar w:fldCharType="end"/>
    </w:r>
    <w:r w:rsidRPr="000B32E4">
      <w:instrText xml:space="preserve">/2 </w:instrText>
    </w:r>
    <w:r w:rsidRPr="000B32E4">
      <w:fldChar w:fldCharType="separate"/>
    </w:r>
    <w:r w:rsidRPr="000B32E4">
      <w:instrText>8,5</w:instrText>
    </w:r>
    <w:r w:rsidRPr="000B32E4">
      <w:fldChar w:fldCharType="end"/>
    </w:r>
    <w:r w:rsidRPr="000B32E4">
      <w:instrText xml:space="preserve"> - </w:instrText>
    </w:r>
    <w:r w:rsidRPr="000B32E4">
      <w:fldChar w:fldCharType="begin" w:fldLock="1"/>
    </w:r>
    <w:r w:rsidRPr="000B32E4">
      <w:instrText xml:space="preserve"> = int(</w:instrText>
    </w:r>
    <w:r w:rsidRPr="000B32E4">
      <w:fldChar w:fldCharType="begin" w:fldLock="1"/>
    </w:r>
    <w:r w:rsidRPr="000B32E4">
      <w:instrText xml:space="preserve"> page</w:instrText>
    </w:r>
    <w:r w:rsidRPr="000B32E4">
      <w:fldChar w:fldCharType="separate"/>
    </w:r>
    <w:r w:rsidRPr="000B32E4">
      <w:instrText>17</w:instrText>
    </w:r>
    <w:r w:rsidRPr="000B32E4">
      <w:fldChar w:fldCharType="end"/>
    </w:r>
    <w:r w:rsidRPr="000B32E4">
      <w:instrText xml:space="preserve">/2) </w:instrText>
    </w:r>
    <w:r w:rsidRPr="000B32E4">
      <w:fldChar w:fldCharType="separate"/>
    </w:r>
    <w:r w:rsidRPr="000B32E4">
      <w:instrText>8</w:instrText>
    </w:r>
    <w:r w:rsidRPr="000B32E4">
      <w:fldChar w:fldCharType="end"/>
    </w:r>
    <w:r w:rsidRPr="000B32E4">
      <w:fldChar w:fldCharType="separate"/>
    </w:r>
    <w:r w:rsidRPr="000B32E4">
      <w:instrText>0,5</w:instrText>
    </w:r>
    <w:r w:rsidRPr="000B32E4">
      <w:fldChar w:fldCharType="end"/>
    </w:r>
    <w:r w:rsidRPr="000B32E4">
      <w:instrText xml:space="preserve"> = 0 "</w:instrText>
    </w:r>
    <w:r w:rsidRPr="000B32E4">
      <w:rPr>
        <w:rStyle w:val="SidhuvudUtskott"/>
      </w:rPr>
      <w:fldChar w:fldCharType="begin" w:fldLock="1"/>
    </w:r>
    <w:r w:rsidRPr="000B32E4">
      <w:rPr>
        <w:rStyle w:val="SidhuvudUtskott"/>
      </w:rPr>
      <w:instrText xml:space="preserve"> DOCPROPERTY BetänkandeÅr</w:instrText>
    </w:r>
    <w:r w:rsidRPr="000B32E4">
      <w:rPr>
        <w:rStyle w:val="SidhuvudUtskott"/>
      </w:rPr>
      <w:fldChar w:fldCharType="separate"/>
    </w:r>
    <w:r w:rsidRPr="000B32E4">
      <w:rPr>
        <w:rStyle w:val="SidhuvudUtskott"/>
      </w:rPr>
      <w:instrText>1999/2000</w:instrText>
    </w:r>
    <w:r w:rsidRPr="000B32E4">
      <w:rPr>
        <w:rStyle w:val="SidhuvudUtskott"/>
      </w:rPr>
      <w:fldChar w:fldCharType="end"/>
    </w:r>
    <w:r w:rsidRPr="000B32E4">
      <w:rPr>
        <w:rStyle w:val="SidhuvudUtskott"/>
      </w:rPr>
      <w:instrText>:</w:instrText>
    </w:r>
    <w:r w:rsidRPr="000B32E4">
      <w:rPr>
        <w:rStyle w:val="SidhuvudUtskott"/>
      </w:rPr>
      <w:fldChar w:fldCharType="begin" w:fldLock="1"/>
    </w:r>
    <w:r w:rsidRPr="000B32E4">
      <w:rPr>
        <w:rStyle w:val="SidhuvudUtskott"/>
      </w:rPr>
      <w:instrText xml:space="preserve"> DOCPR</w:instrText>
    </w:r>
    <w:r w:rsidRPr="000B32E4">
      <w:rPr>
        <w:rStyle w:val="SidhuvudUtskott"/>
      </w:rPr>
      <w:instrText>O</w:instrText>
    </w:r>
    <w:r w:rsidRPr="000B32E4">
      <w:rPr>
        <w:rStyle w:val="SidhuvudUtskott"/>
      </w:rPr>
      <w:instrText>PE</w:instrText>
    </w:r>
    <w:r w:rsidRPr="000B32E4">
      <w:rPr>
        <w:rStyle w:val="SidhuvudUtskott"/>
      </w:rPr>
      <w:instrText>R</w:instrText>
    </w:r>
    <w:r w:rsidRPr="000B32E4">
      <w:rPr>
        <w:rStyle w:val="SidhuvudUtskott"/>
      </w:rPr>
      <w:instrText>TY Utskott</w:instrText>
    </w:r>
    <w:r w:rsidRPr="000B32E4">
      <w:rPr>
        <w:rStyle w:val="SidhuvudUtskott"/>
      </w:rPr>
      <w:fldChar w:fldCharType="separate"/>
    </w:r>
    <w:r w:rsidRPr="000B32E4">
      <w:rPr>
        <w:rStyle w:val="SidhuvudUtskott"/>
      </w:rPr>
      <w:instrText>BoU</w:instrText>
    </w:r>
    <w:r w:rsidRPr="000B32E4">
      <w:rPr>
        <w:rStyle w:val="SidhuvudUtskott"/>
      </w:rPr>
      <w:fldChar w:fldCharType="end"/>
    </w:r>
    <w:r w:rsidRPr="000B32E4">
      <w:rPr>
        <w:rStyle w:val="SidhuvudUtskott"/>
      </w:rPr>
      <w:fldChar w:fldCharType="begin" w:fldLock="1"/>
    </w:r>
    <w:r w:rsidRPr="000B32E4">
      <w:rPr>
        <w:rStyle w:val="SidhuvudUtskott"/>
      </w:rPr>
      <w:instrText xml:space="preserve"> DOCPROPERTY BetänkandeNr</w:instrText>
    </w:r>
    <w:r w:rsidRPr="000B32E4">
      <w:rPr>
        <w:rStyle w:val="SidhuvudUtskott"/>
      </w:rPr>
      <w:fldChar w:fldCharType="separate"/>
    </w:r>
    <w:r w:rsidRPr="000B32E4">
      <w:rPr>
        <w:rStyle w:val="SidhuvudUtskott"/>
      </w:rPr>
      <w:instrText>6678</w:instrText>
    </w:r>
    <w:r w:rsidRPr="000B32E4">
      <w:rPr>
        <w:rStyle w:val="SidhuvudUtskott"/>
      </w:rPr>
      <w:fldChar w:fldCharType="end"/>
    </w:r>
    <w:r w:rsidRPr="000B32E4">
      <w:instrText xml:space="preserve">    </w:instrText>
    </w:r>
  </w:p>
  <w:p w:rsidR="00CF42C5" w:rsidRPr="000B32E4" w:rsidRDefault="00CF42C5">
    <w:pPr>
      <w:pStyle w:val="SidhuvudKantJmn"/>
      <w:framePr w:w="8732" w:h="567" w:hRule="exact" w:vSpace="0" w:wrap="around" w:vAnchor="page" w:y="341" w:anchorLock="0"/>
    </w:pPr>
    <w:r w:rsidRPr="000B32E4">
      <w:rPr>
        <w:rStyle w:val="SidhuvudUtskott"/>
      </w:rPr>
      <w:fldChar w:fldCharType="begin" w:fldLock="1"/>
    </w:r>
    <w:r w:rsidRPr="000B32E4">
      <w:rPr>
        <w:rStyle w:val="SidhuvudUtskott"/>
      </w:rPr>
      <w:instrText xml:space="preserve"> DOCPROPERTY Status</w:instrText>
    </w:r>
    <w:r w:rsidRPr="000B32E4">
      <w:rPr>
        <w:rStyle w:val="SidhuvudUtskott"/>
      </w:rPr>
      <w:fldChar w:fldCharType="separate"/>
    </w:r>
    <w:r w:rsidRPr="000B32E4">
      <w:rPr>
        <w:rStyle w:val="SidhuvudUtskott"/>
      </w:rPr>
      <w:instrText>Utkast</w:instrText>
    </w:r>
    <w:r w:rsidRPr="000B32E4">
      <w:rPr>
        <w:rStyle w:val="SidhuvudUtskott"/>
      </w:rPr>
      <w:fldChar w:fldCharType="end"/>
    </w:r>
    <w:r w:rsidRPr="000B32E4">
      <w:rPr>
        <w:rStyle w:val="SidhuvudUtskott"/>
      </w:rPr>
      <w:fldChar w:fldCharType="begin" w:fldLock="1"/>
    </w:r>
    <w:r w:rsidRPr="000B32E4">
      <w:rPr>
        <w:rStyle w:val="SidhuvudUtskott"/>
      </w:rPr>
      <w:instrText xml:space="preserve"> if </w:instrText>
    </w:r>
    <w:r w:rsidRPr="000B32E4">
      <w:rPr>
        <w:rStyle w:val="SidhuvudUtskott"/>
      </w:rPr>
      <w:fldChar w:fldCharType="begin" w:fldLock="1"/>
    </w:r>
    <w:r w:rsidRPr="000B32E4">
      <w:rPr>
        <w:rStyle w:val="SidhuvudUtskott"/>
      </w:rPr>
      <w:instrText xml:space="preserve"> DOCPROPERTY "UtkastDatum"</w:instrText>
    </w:r>
    <w:r w:rsidRPr="000B32E4">
      <w:rPr>
        <w:rStyle w:val="SidhuvudUtskott"/>
      </w:rPr>
      <w:fldChar w:fldCharType="separate"/>
    </w:r>
    <w:r w:rsidRPr="000B32E4">
      <w:rPr>
        <w:rStyle w:val="SidhuvudUtskott"/>
      </w:rPr>
      <w:instrText>Nej</w:instrText>
    </w:r>
    <w:r w:rsidRPr="000B32E4">
      <w:rPr>
        <w:rStyle w:val="SidhuvudUtskott"/>
      </w:rPr>
      <w:fldChar w:fldCharType="end"/>
    </w:r>
    <w:r w:rsidRPr="000B32E4">
      <w:rPr>
        <w:rStyle w:val="SidhuvudUtskott"/>
      </w:rPr>
      <w:instrText xml:space="preserve"> = "Ja" "    </w:instrText>
    </w:r>
    <w:r w:rsidRPr="000B32E4">
      <w:rPr>
        <w:rStyle w:val="SidhuvudUtskott"/>
      </w:rPr>
      <w:fldChar w:fldCharType="begin" w:fldLock="1"/>
    </w:r>
    <w:r w:rsidRPr="000B32E4">
      <w:rPr>
        <w:rStyle w:val="SidhuvudUtskott"/>
      </w:rPr>
      <w:instrText xml:space="preserve"> PRINTDATE \@ "yyyy-MM-dd HH.mm" </w:instrText>
    </w:r>
    <w:r w:rsidRPr="000B32E4">
      <w:rPr>
        <w:rStyle w:val="SidhuvudUtskott"/>
      </w:rPr>
      <w:fldChar w:fldCharType="separate"/>
    </w:r>
    <w:r w:rsidRPr="000B32E4">
      <w:rPr>
        <w:rStyle w:val="SidhuvudUtskott"/>
      </w:rPr>
      <w:instrText>2000-08-11 16.42</w:instrText>
    </w:r>
    <w:r w:rsidRPr="000B32E4">
      <w:rPr>
        <w:rStyle w:val="SidhuvudUtskott"/>
      </w:rPr>
      <w:fldChar w:fldCharType="end"/>
    </w:r>
    <w:r w:rsidRPr="000B32E4">
      <w:rPr>
        <w:rStyle w:val="SidhuvudUtskott"/>
      </w:rPr>
      <w:instrText xml:space="preserve">" </w:instrText>
    </w:r>
    <w:r w:rsidRPr="000B32E4">
      <w:rPr>
        <w:rStyle w:val="SidhuvudUtskott"/>
      </w:rPr>
      <w:fldChar w:fldCharType="separate"/>
    </w:r>
    <w:r w:rsidRPr="000B32E4">
      <w:rPr>
        <w:rStyle w:val="SidhuvudUtskott"/>
      </w:rPr>
      <w:fldChar w:fldCharType="end"/>
    </w:r>
  </w:p>
  <w:p w:rsidR="00CF42C5" w:rsidRPr="000B32E4" w:rsidRDefault="00CF42C5">
    <w:pPr>
      <w:pStyle w:val="SidhuvudKantUdda"/>
      <w:framePr w:w="8732" w:h="567" w:hRule="exact" w:vSpace="0" w:wrap="around" w:vAnchor="page" w:y="341" w:anchorLock="0"/>
    </w:pPr>
    <w:r w:rsidRPr="000B32E4">
      <w:rPr>
        <w:rStyle w:val="SidhuvudRubrikReferens"/>
        <w:smallCaps w:val="0"/>
        <w:spacing w:val="0"/>
        <w:sz w:val="19"/>
      </w:rPr>
      <w:instrText xml:space="preserve"> </w:instrText>
    </w:r>
    <w:r w:rsidRPr="000B32E4">
      <w:instrText xml:space="preserve">"  "  </w:instrText>
    </w:r>
    <w:r w:rsidRPr="000B32E4">
      <w:rPr>
        <w:rStyle w:val="SidhuvudUtskott"/>
      </w:rPr>
      <w:fldChar w:fldCharType="begin" w:fldLock="1"/>
    </w:r>
    <w:r w:rsidRPr="000B32E4">
      <w:rPr>
        <w:rStyle w:val="SidhuvudUtskott"/>
      </w:rPr>
      <w:instrText xml:space="preserve"> DOCPROPERTY BetänkandeÅr</w:instrText>
    </w:r>
    <w:r w:rsidRPr="000B32E4">
      <w:rPr>
        <w:rStyle w:val="SidhuvudUtskott"/>
      </w:rPr>
      <w:fldChar w:fldCharType="separate"/>
    </w:r>
    <w:r w:rsidRPr="000B32E4">
      <w:rPr>
        <w:rStyle w:val="SidhuvudUtskott"/>
      </w:rPr>
      <w:instrText>1999/2000</w:instrText>
    </w:r>
    <w:r w:rsidRPr="000B32E4">
      <w:rPr>
        <w:rStyle w:val="SidhuvudUtskott"/>
      </w:rPr>
      <w:fldChar w:fldCharType="end"/>
    </w:r>
    <w:r w:rsidRPr="000B32E4">
      <w:rPr>
        <w:rStyle w:val="SidhuvudUtskott"/>
      </w:rPr>
      <w:instrText>:</w:instrText>
    </w:r>
    <w:r w:rsidRPr="000B32E4">
      <w:rPr>
        <w:rStyle w:val="SidhuvudUtskott"/>
      </w:rPr>
      <w:fldChar w:fldCharType="begin" w:fldLock="1"/>
    </w:r>
    <w:r w:rsidRPr="000B32E4">
      <w:rPr>
        <w:rStyle w:val="SidhuvudUtskott"/>
      </w:rPr>
      <w:instrText xml:space="preserve"> DOCPROPERTY Utskott</w:instrText>
    </w:r>
    <w:r w:rsidRPr="000B32E4">
      <w:rPr>
        <w:rStyle w:val="SidhuvudUtskott"/>
      </w:rPr>
      <w:fldChar w:fldCharType="separate"/>
    </w:r>
    <w:r w:rsidRPr="000B32E4">
      <w:rPr>
        <w:rStyle w:val="SidhuvudUtskott"/>
      </w:rPr>
      <w:instrText>BoU</w:instrText>
    </w:r>
    <w:r w:rsidRPr="000B32E4">
      <w:rPr>
        <w:rStyle w:val="SidhuvudUtskott"/>
      </w:rPr>
      <w:fldChar w:fldCharType="end"/>
    </w:r>
    <w:r w:rsidRPr="000B32E4">
      <w:rPr>
        <w:rStyle w:val="SidhuvudUtskott"/>
      </w:rPr>
      <w:fldChar w:fldCharType="begin" w:fldLock="1"/>
    </w:r>
    <w:r w:rsidRPr="000B32E4">
      <w:rPr>
        <w:rStyle w:val="SidhuvudUtskott"/>
      </w:rPr>
      <w:instrText xml:space="preserve"> DOCPROPERTY BetänkandeNr</w:instrText>
    </w:r>
    <w:r w:rsidRPr="000B32E4">
      <w:rPr>
        <w:rStyle w:val="SidhuvudUtskott"/>
      </w:rPr>
      <w:fldChar w:fldCharType="separate"/>
    </w:r>
    <w:r w:rsidRPr="000B32E4">
      <w:rPr>
        <w:rStyle w:val="SidhuvudUtskott"/>
      </w:rPr>
      <w:instrText>6678</w:instrText>
    </w:r>
    <w:r w:rsidRPr="000B32E4">
      <w:rPr>
        <w:rStyle w:val="SidhuvudUtskott"/>
      </w:rPr>
      <w:fldChar w:fldCharType="end"/>
    </w:r>
  </w:p>
  <w:p w:rsidR="00CF42C5" w:rsidRPr="000B32E4" w:rsidRDefault="00CF42C5">
    <w:pPr>
      <w:pStyle w:val="SidhuvudKantUdda"/>
      <w:framePr w:w="8732" w:h="567" w:hRule="exact" w:vSpace="0" w:wrap="around" w:vAnchor="page" w:y="341" w:anchorLock="0"/>
    </w:pPr>
    <w:r w:rsidRPr="000B32E4">
      <w:rPr>
        <w:rStyle w:val="SidhuvudUtskott"/>
      </w:rPr>
      <w:fldChar w:fldCharType="begin" w:fldLock="1"/>
    </w:r>
    <w:r w:rsidRPr="000B32E4">
      <w:rPr>
        <w:rStyle w:val="SidhuvudUtskott"/>
      </w:rPr>
      <w:instrText xml:space="preserve"> if </w:instrText>
    </w:r>
    <w:r w:rsidRPr="000B32E4">
      <w:rPr>
        <w:rStyle w:val="SidhuvudUtskott"/>
      </w:rPr>
      <w:fldChar w:fldCharType="begin" w:fldLock="1"/>
    </w:r>
    <w:r w:rsidRPr="000B32E4">
      <w:rPr>
        <w:rStyle w:val="SidhuvudUtskott"/>
      </w:rPr>
      <w:instrText xml:space="preserve"> DOCPROPERTY "UtkastDatum"</w:instrText>
    </w:r>
    <w:r w:rsidRPr="000B32E4">
      <w:rPr>
        <w:rStyle w:val="SidhuvudUtskott"/>
      </w:rPr>
      <w:fldChar w:fldCharType="separate"/>
    </w:r>
    <w:r w:rsidRPr="000B32E4">
      <w:rPr>
        <w:rStyle w:val="SidhuvudUtskott"/>
      </w:rPr>
      <w:instrText>Nej</w:instrText>
    </w:r>
    <w:r w:rsidRPr="000B32E4">
      <w:rPr>
        <w:rStyle w:val="SidhuvudUtskott"/>
      </w:rPr>
      <w:fldChar w:fldCharType="end"/>
    </w:r>
    <w:r w:rsidRPr="000B32E4">
      <w:rPr>
        <w:rStyle w:val="SidhuvudUtskott"/>
      </w:rPr>
      <w:instrText xml:space="preserve"> = "Ja" "</w:instrText>
    </w:r>
    <w:r w:rsidRPr="000B32E4">
      <w:rPr>
        <w:rStyle w:val="SidhuvudUtskott"/>
      </w:rPr>
      <w:fldChar w:fldCharType="begin" w:fldLock="1"/>
    </w:r>
    <w:r w:rsidRPr="000B32E4">
      <w:rPr>
        <w:rStyle w:val="SidhuvudUtskott"/>
      </w:rPr>
      <w:instrText xml:space="preserve"> PRINTDATE \@ "yyyy-MM-dd HH.mm    " </w:instrText>
    </w:r>
    <w:r w:rsidRPr="000B32E4">
      <w:rPr>
        <w:rStyle w:val="SidhuvudUtskott"/>
      </w:rPr>
      <w:fldChar w:fldCharType="separate"/>
    </w:r>
    <w:r w:rsidRPr="000B32E4">
      <w:rPr>
        <w:rStyle w:val="SidhuvudUtskott"/>
      </w:rPr>
      <w:instrText>2000-08-11 16.42</w:instrText>
    </w:r>
    <w:r w:rsidRPr="000B32E4">
      <w:rPr>
        <w:rStyle w:val="SidhuvudUtskott"/>
      </w:rPr>
      <w:fldChar w:fldCharType="end"/>
    </w:r>
    <w:r w:rsidRPr="000B32E4">
      <w:rPr>
        <w:rStyle w:val="SidhuvudUtskott"/>
      </w:rPr>
      <w:instrText xml:space="preserve">" </w:instrText>
    </w:r>
    <w:r w:rsidRPr="000B32E4">
      <w:rPr>
        <w:rStyle w:val="SidhuvudUtskott"/>
      </w:rPr>
      <w:fldChar w:fldCharType="separate"/>
    </w:r>
    <w:r w:rsidRPr="000B32E4">
      <w:rPr>
        <w:rStyle w:val="SidhuvudUtskott"/>
      </w:rPr>
      <w:fldChar w:fldCharType="end"/>
    </w:r>
    <w:r w:rsidRPr="000B32E4">
      <w:rPr>
        <w:rStyle w:val="SidhuvudUtskott"/>
      </w:rPr>
      <w:fldChar w:fldCharType="begin" w:fldLock="1"/>
    </w:r>
    <w:r w:rsidRPr="000B32E4">
      <w:rPr>
        <w:rStyle w:val="SidhuvudUtskott"/>
      </w:rPr>
      <w:instrText xml:space="preserve"> DOCPR</w:instrText>
    </w:r>
    <w:r w:rsidRPr="000B32E4">
      <w:rPr>
        <w:rStyle w:val="SidhuvudUtskott"/>
      </w:rPr>
      <w:instrText>O</w:instrText>
    </w:r>
    <w:r w:rsidRPr="000B32E4">
      <w:rPr>
        <w:rStyle w:val="SidhuvudUtskott"/>
      </w:rPr>
      <w:instrText>PERTY Status</w:instrText>
    </w:r>
    <w:r w:rsidRPr="000B32E4">
      <w:rPr>
        <w:rStyle w:val="SidhuvudUtskott"/>
      </w:rPr>
      <w:fldChar w:fldCharType="separate"/>
    </w:r>
    <w:r w:rsidRPr="000B32E4">
      <w:rPr>
        <w:rStyle w:val="SidhuvudUtskott"/>
      </w:rPr>
      <w:instrText>Utkast 2</w:instrText>
    </w:r>
    <w:r w:rsidRPr="000B32E4">
      <w:rPr>
        <w:rStyle w:val="SidhuvudUtskott"/>
      </w:rPr>
      <w:fldChar w:fldCharType="end"/>
    </w:r>
    <w:r w:rsidRPr="000B32E4">
      <w:instrText>"</w:instrText>
    </w:r>
    <w:r w:rsidRPr="000B32E4">
      <w:fldChar w:fldCharType="separate"/>
    </w:r>
    <w:r w:rsidRPr="000B32E4">
      <w:rPr>
        <w:position w:val="4"/>
        <w:sz w:val="28"/>
      </w:rPr>
      <w:instrText>|</w:instrText>
    </w:r>
    <w:r w:rsidRPr="000B32E4">
      <w:instrText xml:space="preserve">  </w:instrText>
    </w:r>
    <w:r w:rsidRPr="000B32E4">
      <w:rPr>
        <w:rStyle w:val="SidhuvudUtskott"/>
      </w:rPr>
      <w:fldChar w:fldCharType="begin" w:fldLock="1"/>
    </w:r>
    <w:r w:rsidRPr="000B32E4">
      <w:rPr>
        <w:rStyle w:val="SidhuvudUtskott"/>
      </w:rPr>
      <w:instrText xml:space="preserve"> DOCPROPERTY BetänkandeÅr</w:instrText>
    </w:r>
    <w:r w:rsidRPr="000B32E4">
      <w:rPr>
        <w:rStyle w:val="SidhuvudUtskott"/>
      </w:rPr>
      <w:fldChar w:fldCharType="separate"/>
    </w:r>
    <w:r w:rsidRPr="000B32E4">
      <w:rPr>
        <w:rStyle w:val="SidhuvudUtskott"/>
      </w:rPr>
      <w:instrText>1999/2000</w:instrText>
    </w:r>
    <w:r w:rsidRPr="000B32E4">
      <w:rPr>
        <w:rStyle w:val="SidhuvudUtskott"/>
      </w:rPr>
      <w:fldChar w:fldCharType="end"/>
    </w:r>
    <w:r w:rsidRPr="000B32E4">
      <w:rPr>
        <w:rStyle w:val="SidhuvudUtskott"/>
      </w:rPr>
      <w:instrText>:</w:instrText>
    </w:r>
    <w:r w:rsidRPr="000B32E4">
      <w:rPr>
        <w:rStyle w:val="SidhuvudUtskott"/>
      </w:rPr>
      <w:fldChar w:fldCharType="begin" w:fldLock="1"/>
    </w:r>
    <w:r w:rsidRPr="000B32E4">
      <w:rPr>
        <w:rStyle w:val="SidhuvudUtskott"/>
      </w:rPr>
      <w:instrText xml:space="preserve"> DOCPROPERTY Utskott</w:instrText>
    </w:r>
    <w:r w:rsidRPr="000B32E4">
      <w:rPr>
        <w:rStyle w:val="SidhuvudUtskott"/>
      </w:rPr>
      <w:fldChar w:fldCharType="separate"/>
    </w:r>
    <w:r w:rsidRPr="000B32E4">
      <w:rPr>
        <w:rStyle w:val="SidhuvudUtskott"/>
      </w:rPr>
      <w:instrText>BoU</w:instrText>
    </w:r>
    <w:r w:rsidRPr="000B32E4">
      <w:rPr>
        <w:rStyle w:val="SidhuvudUtskott"/>
      </w:rPr>
      <w:fldChar w:fldCharType="end"/>
    </w:r>
    <w:r w:rsidRPr="000B32E4">
      <w:rPr>
        <w:rStyle w:val="SidhuvudUtskott"/>
      </w:rPr>
      <w:fldChar w:fldCharType="begin" w:fldLock="1"/>
    </w:r>
    <w:r w:rsidRPr="000B32E4">
      <w:rPr>
        <w:rStyle w:val="SidhuvudUtskott"/>
      </w:rPr>
      <w:instrText xml:space="preserve"> DOCPROPERTY BetänkandeNr</w:instrText>
    </w:r>
    <w:r w:rsidRPr="000B32E4">
      <w:rPr>
        <w:rStyle w:val="SidhuvudUtskott"/>
      </w:rPr>
      <w:fldChar w:fldCharType="separate"/>
    </w:r>
    <w:r w:rsidRPr="000B32E4">
      <w:rPr>
        <w:rStyle w:val="SidhuvudUtskott"/>
      </w:rPr>
      <w:instrText>6678</w:instrText>
    </w:r>
    <w:r w:rsidRPr="000B32E4">
      <w:rPr>
        <w:rStyle w:val="SidhuvudUtskott"/>
      </w:rPr>
      <w:fldChar w:fldCharType="end"/>
    </w:r>
  </w:p>
  <w:p w:rsidR="00CF42C5" w:rsidRPr="000B32E4" w:rsidRDefault="00CF42C5">
    <w:pPr>
      <w:pStyle w:val="SidhuvudKantUdda"/>
      <w:framePr w:w="8732" w:h="567" w:hRule="exact" w:vSpace="0" w:wrap="around" w:vAnchor="page" w:y="341" w:anchorLock="0"/>
    </w:pPr>
    <w:r w:rsidRPr="000B32E4">
      <w:rPr>
        <w:rStyle w:val="SidhuvudUtskott"/>
      </w:rPr>
      <w:fldChar w:fldCharType="begin" w:fldLock="1"/>
    </w:r>
    <w:r w:rsidRPr="000B32E4">
      <w:rPr>
        <w:rStyle w:val="SidhuvudUtskott"/>
      </w:rPr>
      <w:instrText xml:space="preserve"> DOCPROPERTY Status</w:instrText>
    </w:r>
    <w:r w:rsidRPr="000B32E4">
      <w:rPr>
        <w:rStyle w:val="SidhuvudUtskott"/>
      </w:rPr>
      <w:fldChar w:fldCharType="separate"/>
    </w:r>
    <w:r w:rsidRPr="000B32E4">
      <w:rPr>
        <w:rStyle w:val="SidhuvudUtskott"/>
      </w:rPr>
      <w:instrText>Utkast 2</w:instrText>
    </w:r>
    <w:r w:rsidRPr="000B32E4">
      <w:rPr>
        <w:rStyle w:val="SidhuvudUtskott"/>
      </w:rPr>
      <w:fldChar w:fldCharType="end"/>
    </w:r>
    <w:r w:rsidRPr="000B32E4">
      <w:fldChar w:fldCharType="end"/>
    </w:r>
    <w:r w:rsidRPr="000B32E4">
      <w:instrText>" " "</w:instrText>
    </w:r>
    <w:r w:rsidRPr="000B32E4">
      <w:fldChar w:fldCharType="separate"/>
    </w:r>
    <w:r w:rsidR="000B32E4" w:rsidRPr="000B32E4">
      <w:rPr>
        <w:noProof/>
      </w:rPr>
      <w:t xml:space="preserve"> </w:t>
    </w:r>
    <w:r w:rsidRPr="000B32E4">
      <w:fldChar w:fldCharType="end"/>
    </w:r>
  </w:p>
  <w:p w:rsidR="00CF42C5" w:rsidRPr="000B32E4" w:rsidRDefault="00CF42C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2C5" w:rsidRPr="000B32E4" w:rsidRDefault="00CF42C5">
    <w:pPr>
      <w:pStyle w:val="SidhuvudKantJmn"/>
      <w:framePr w:w="8732" w:h="567" w:hRule="exact" w:vSpace="0" w:wrap="around" w:vAnchor="page" w:y="341" w:anchorLock="0"/>
    </w:pPr>
    <w:r w:rsidRPr="000B32E4">
      <w:rPr>
        <w:rStyle w:val="SidhuvudUtskott"/>
      </w:rPr>
      <w:fldChar w:fldCharType="begin" w:fldLock="1"/>
    </w:r>
    <w:r w:rsidRPr="000B32E4">
      <w:rPr>
        <w:rStyle w:val="SidhuvudUtskott"/>
      </w:rPr>
      <w:instrText xml:space="preserve"> DOCPROPERTY BetänkandeÅr</w:instrText>
    </w:r>
    <w:r w:rsidRPr="000B32E4">
      <w:rPr>
        <w:rStyle w:val="SidhuvudUtskott"/>
      </w:rPr>
      <w:fldChar w:fldCharType="separate"/>
    </w:r>
    <w:r w:rsidRPr="000B32E4">
      <w:rPr>
        <w:rStyle w:val="SidhuvudUtskott"/>
      </w:rPr>
      <w:t>2000/01</w:t>
    </w:r>
    <w:r w:rsidRPr="000B32E4">
      <w:rPr>
        <w:rStyle w:val="SidhuvudUtskott"/>
      </w:rPr>
      <w:fldChar w:fldCharType="end"/>
    </w:r>
    <w:r w:rsidRPr="000B32E4">
      <w:rPr>
        <w:rStyle w:val="SidhuvudUtskott"/>
      </w:rPr>
      <w:t>:</w:t>
    </w:r>
    <w:r w:rsidRPr="000B32E4">
      <w:rPr>
        <w:rStyle w:val="SidhuvudUtskott"/>
      </w:rPr>
      <w:fldChar w:fldCharType="begin" w:fldLock="1"/>
    </w:r>
    <w:r w:rsidRPr="000B32E4">
      <w:rPr>
        <w:rStyle w:val="SidhuvudUtskott"/>
      </w:rPr>
      <w:instrText xml:space="preserve"> DOCPROPERTY Utskott</w:instrText>
    </w:r>
    <w:r w:rsidRPr="000B32E4">
      <w:rPr>
        <w:rStyle w:val="SidhuvudUtskott"/>
      </w:rPr>
      <w:fldChar w:fldCharType="separate"/>
    </w:r>
    <w:r w:rsidRPr="000B32E4">
      <w:rPr>
        <w:rStyle w:val="SidhuvudUtskott"/>
      </w:rPr>
      <w:t>KU</w:t>
    </w:r>
    <w:r w:rsidRPr="000B32E4">
      <w:rPr>
        <w:rStyle w:val="SidhuvudUtskott"/>
      </w:rPr>
      <w:fldChar w:fldCharType="end"/>
    </w:r>
    <w:r w:rsidRPr="000B32E4">
      <w:rPr>
        <w:rStyle w:val="SidhuvudUtskott"/>
      </w:rPr>
      <w:fldChar w:fldCharType="begin" w:fldLock="1"/>
    </w:r>
    <w:r w:rsidRPr="000B32E4">
      <w:rPr>
        <w:rStyle w:val="SidhuvudUtskott"/>
      </w:rPr>
      <w:instrText xml:space="preserve"> DOCPROPERTY BetänkandeNr</w:instrText>
    </w:r>
    <w:r w:rsidRPr="000B32E4">
      <w:rPr>
        <w:rStyle w:val="SidhuvudUtskott"/>
      </w:rPr>
      <w:fldChar w:fldCharType="separate"/>
    </w:r>
    <w:r w:rsidRPr="000B32E4">
      <w:rPr>
        <w:rStyle w:val="SidhuvudUtskott"/>
      </w:rPr>
      <w:t>14y</w:t>
    </w:r>
    <w:r w:rsidRPr="000B32E4">
      <w:rPr>
        <w:rStyle w:val="SidhuvudUtskott"/>
      </w:rPr>
      <w:fldChar w:fldCharType="end"/>
    </w:r>
    <w:r w:rsidRPr="000B32E4">
      <w:t xml:space="preserve">     </w:t>
    </w:r>
    <w:r w:rsidRPr="000B32E4">
      <w:rPr>
        <w:rStyle w:val="SidhuvudBilaga"/>
      </w:rPr>
      <w:t xml:space="preserve"> </w:t>
    </w:r>
    <w:r w:rsidRPr="000B32E4">
      <w:rPr>
        <w:rStyle w:val="SidhuvudRubrikReferens"/>
      </w:rPr>
      <w:fldChar w:fldCharType="begin" w:fldLock="1"/>
    </w:r>
    <w:r w:rsidRPr="000B32E4">
      <w:rPr>
        <w:rStyle w:val="SidhuvudRubrikReferens"/>
      </w:rPr>
      <w:instrText xml:space="preserve"> StyleREF "Rubrik 1" </w:instrText>
    </w:r>
    <w:r w:rsidRPr="000B32E4">
      <w:rPr>
        <w:rStyle w:val="SidhuvudRubrikReferens"/>
      </w:rPr>
      <w:fldChar w:fldCharType="separate"/>
    </w:r>
    <w:r w:rsidRPr="000B32E4">
      <w:rPr>
        <w:rStyle w:val="SidhuvudRubrikReferens"/>
      </w:rPr>
      <w:t>Utskottet</w:t>
    </w:r>
    <w:r w:rsidRPr="000B32E4">
      <w:rPr>
        <w:rStyle w:val="SidhuvudRubrikReferens"/>
      </w:rPr>
      <w:fldChar w:fldCharType="end"/>
    </w:r>
  </w:p>
  <w:p w:rsidR="00CF42C5" w:rsidRPr="000B32E4" w:rsidRDefault="00CF42C5">
    <w:pPr>
      <w:pStyle w:val="SidhuvudKantJmn"/>
      <w:framePr w:w="8732" w:h="567" w:hRule="exact" w:vSpace="0" w:wrap="around" w:vAnchor="page" w:y="341" w:anchorLock="0"/>
    </w:pPr>
    <w:r w:rsidRPr="000B32E4">
      <w:rPr>
        <w:rStyle w:val="SidhuvudUtskott"/>
      </w:rPr>
      <w:fldChar w:fldCharType="begin" w:fldLock="1"/>
    </w:r>
    <w:r w:rsidRPr="000B32E4">
      <w:rPr>
        <w:rStyle w:val="SidhuvudUtskott"/>
      </w:rPr>
      <w:instrText xml:space="preserve"> DOCPROPERTY Status</w:instrText>
    </w:r>
    <w:r w:rsidRPr="000B32E4">
      <w:rPr>
        <w:rStyle w:val="SidhuvudUtskott"/>
      </w:rPr>
      <w:fldChar w:fldCharType="end"/>
    </w:r>
    <w:r w:rsidRPr="000B32E4">
      <w:rPr>
        <w:rStyle w:val="SidhuvudUtskott"/>
      </w:rPr>
      <w:fldChar w:fldCharType="begin" w:fldLock="1"/>
    </w:r>
    <w:r w:rsidRPr="000B32E4">
      <w:rPr>
        <w:rStyle w:val="SidhuvudUtskott"/>
      </w:rPr>
      <w:instrText xml:space="preserve"> if </w:instrText>
    </w:r>
    <w:r w:rsidRPr="000B32E4">
      <w:rPr>
        <w:rStyle w:val="SidhuvudUtskott"/>
      </w:rPr>
      <w:fldChar w:fldCharType="begin" w:fldLock="1"/>
    </w:r>
    <w:r w:rsidRPr="000B32E4">
      <w:rPr>
        <w:rStyle w:val="SidhuvudUtskott"/>
      </w:rPr>
      <w:instrText xml:space="preserve"> DOCPROPERTY "UtkastDatum"</w:instrText>
    </w:r>
    <w:r w:rsidRPr="000B32E4">
      <w:rPr>
        <w:rStyle w:val="SidhuvudUtskott"/>
      </w:rPr>
      <w:fldChar w:fldCharType="separate"/>
    </w:r>
    <w:r w:rsidRPr="000B32E4">
      <w:rPr>
        <w:rStyle w:val="SidhuvudUtskott"/>
      </w:rPr>
      <w:instrText>Nej</w:instrText>
    </w:r>
    <w:r w:rsidRPr="000B32E4">
      <w:rPr>
        <w:rStyle w:val="SidhuvudUtskott"/>
      </w:rPr>
      <w:fldChar w:fldCharType="end"/>
    </w:r>
    <w:r w:rsidRPr="000B32E4">
      <w:rPr>
        <w:rStyle w:val="SidhuvudUtskott"/>
      </w:rPr>
      <w:instrText xml:space="preserve"> = "Ja" "    </w:instrText>
    </w:r>
    <w:r w:rsidRPr="000B32E4">
      <w:rPr>
        <w:rStyle w:val="SidhuvudUtskott"/>
      </w:rPr>
      <w:fldChar w:fldCharType="begin" w:fldLock="1"/>
    </w:r>
    <w:r w:rsidRPr="000B32E4">
      <w:rPr>
        <w:rStyle w:val="SidhuvudUtskott"/>
      </w:rPr>
      <w:instrText xml:space="preserve"> PRINTDATE \@ "yyyy-MM-dd HH.mm" </w:instrText>
    </w:r>
    <w:r w:rsidRPr="000B32E4">
      <w:rPr>
        <w:rStyle w:val="SidhuvudUtskott"/>
      </w:rPr>
      <w:fldChar w:fldCharType="separate"/>
    </w:r>
    <w:r w:rsidRPr="000B32E4">
      <w:rPr>
        <w:rStyle w:val="SidhuvudUtskott"/>
      </w:rPr>
      <w:instrText>2000-08-11 16.42</w:instrText>
    </w:r>
    <w:r w:rsidRPr="000B32E4">
      <w:rPr>
        <w:rStyle w:val="SidhuvudUtskott"/>
      </w:rPr>
      <w:fldChar w:fldCharType="end"/>
    </w:r>
    <w:r w:rsidRPr="000B32E4">
      <w:rPr>
        <w:rStyle w:val="SidhuvudUtskott"/>
      </w:rPr>
      <w:instrText xml:space="preserve">" </w:instrText>
    </w:r>
    <w:r w:rsidRPr="000B32E4">
      <w:rPr>
        <w:rStyle w:val="SidhuvudUtskott"/>
      </w:rPr>
      <w:fldChar w:fldCharType="end"/>
    </w:r>
  </w:p>
  <w:p w:rsidR="00CF42C5" w:rsidRPr="000B32E4" w:rsidRDefault="00CF42C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2C5" w:rsidRPr="000B32E4" w:rsidRDefault="00CF42C5">
    <w:pPr>
      <w:pStyle w:val="SidhuvudKantUdda"/>
      <w:framePr w:w="8732" w:h="567" w:hRule="exact" w:vSpace="0" w:wrap="around" w:vAnchor="page" w:y="341" w:anchorLock="0"/>
    </w:pPr>
    <w:r w:rsidRPr="000B32E4">
      <w:rPr>
        <w:rStyle w:val="SidhuvudRubrikReferens"/>
      </w:rPr>
      <w:t>Avvikande meningar</w:t>
    </w:r>
    <w:r w:rsidRPr="000B32E4">
      <w:rPr>
        <w:rStyle w:val="SidhuvudBilaga"/>
      </w:rPr>
      <w:t xml:space="preserve"> </w:t>
    </w:r>
    <w:r w:rsidRPr="000B32E4">
      <w:t xml:space="preserve">     </w:t>
    </w:r>
    <w:r w:rsidRPr="000B32E4">
      <w:rPr>
        <w:rStyle w:val="SidhuvudUtskott"/>
      </w:rPr>
      <w:t>2000/01:KU14y</w:t>
    </w:r>
  </w:p>
  <w:p w:rsidR="00CF42C5" w:rsidRPr="000B32E4" w:rsidRDefault="00CF42C5">
    <w:pPr>
      <w:pStyle w:val="SidhuvudKantUdda"/>
      <w:framePr w:w="8732" w:h="567" w:hRule="exact" w:vSpace="0" w:wrap="around" w:vAnchor="page" w:y="341" w:anchorLock="0"/>
    </w:pPr>
  </w:p>
  <w:p w:rsidR="00CF42C5" w:rsidRPr="000B32E4" w:rsidRDefault="00CF42C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2C5" w:rsidRPr="000B32E4" w:rsidRDefault="00CF42C5">
    <w:pPr>
      <w:pStyle w:val="SidhuvudKantJmn"/>
      <w:framePr w:w="8732" w:h="567" w:hRule="exact" w:vSpace="0" w:wrap="around" w:vAnchor="page" w:y="341" w:anchorLock="0"/>
    </w:pPr>
    <w:r w:rsidRPr="000B32E4">
      <w:rPr>
        <w:rStyle w:val="SidhuvudUtskott"/>
      </w:rPr>
      <w:t>2000/01:KU14y</w:t>
    </w:r>
    <w:r w:rsidRPr="000B32E4">
      <w:t xml:space="preserve">    </w:t>
    </w:r>
  </w:p>
  <w:p w:rsidR="00CF42C5" w:rsidRPr="000B32E4" w:rsidRDefault="00CF42C5">
    <w:pPr>
      <w:pStyle w:val="SidhuvudKantJmn"/>
      <w:framePr w:w="8732" w:h="567" w:hRule="exact" w:vSpace="0" w:wrap="around" w:vAnchor="page" w:y="341" w:anchorLock="0"/>
    </w:pPr>
  </w:p>
  <w:p w:rsidR="00CF42C5" w:rsidRPr="000B32E4" w:rsidRDefault="00CF42C5">
    <w:pPr>
      <w:pStyle w:val="SidhuvudKantUdda"/>
      <w:framePr w:w="8732" w:h="567" w:hRule="exact" w:vSpace="0" w:wrap="around" w:vAnchor="page" w:y="341" w:anchorLock="0"/>
    </w:pPr>
    <w:r w:rsidRPr="000B32E4">
      <w:rPr>
        <w:rStyle w:val="SidhuvudRubrikReferens"/>
        <w:smallCaps w:val="0"/>
        <w:spacing w:val="0"/>
        <w:sz w:val="19"/>
      </w:rPr>
      <w:t xml:space="preserve"> </w:t>
    </w:r>
  </w:p>
  <w:p w:rsidR="00CF42C5" w:rsidRPr="000B32E4" w:rsidRDefault="00CF42C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75790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867404"/>
    <w:rsid w:val="000B32E4"/>
    <w:rsid w:val="00867404"/>
    <w:rsid w:val="00CF42C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1923C9-7F57-4121-B343-7A569089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TabellHuvud">
    <w:name w:val="Tabell Huvud"/>
    <w:basedOn w:val="Normal"/>
    <w:pPr>
      <w:overflowPunct w:val="0"/>
      <w:autoSpaceDE w:val="0"/>
      <w:autoSpaceDN w:val="0"/>
      <w:adjustRightInd w:val="0"/>
      <w:spacing w:before="0" w:line="160" w:lineRule="exact"/>
      <w:jc w:val="right"/>
      <w:textAlignment w:val="baseline"/>
    </w:pPr>
    <w:rPr>
      <w:rFonts w:ascii="TradeGothic CondEighteen" w:hAnsi="TradeGothic CondEighteen"/>
      <w:spacing w:val="4"/>
      <w:sz w:val="14"/>
    </w:rPr>
  </w:style>
  <w:style w:type="paragraph" w:customStyle="1" w:styleId="TabellRader">
    <w:name w:val="Tabell Rader"/>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rPr>
  </w:style>
  <w:style w:type="paragraph" w:customStyle="1" w:styleId="TabellUnderrubrik">
    <w:name w:val="Tabell Underrubrik"/>
    <w:basedOn w:val="Normal"/>
    <w:next w:val="Brdtext"/>
    <w:pPr>
      <w:overflowPunct w:val="0"/>
      <w:autoSpaceDE w:val="0"/>
      <w:autoSpaceDN w:val="0"/>
      <w:adjustRightInd w:val="0"/>
      <w:spacing w:before="0" w:after="120" w:line="200" w:lineRule="exact"/>
      <w:jc w:val="left"/>
      <w:textAlignment w:val="baseline"/>
    </w:pPr>
    <w:rPr>
      <w:rFonts w:ascii="TradeGothic" w:hAnsi="TradeGothic"/>
      <w:i/>
      <w:sz w:val="14"/>
    </w:rPr>
  </w:style>
  <w:style w:type="paragraph" w:styleId="Brdtext">
    <w:name w:val="Body Text"/>
    <w:basedOn w:val="Normal"/>
    <w:semiHidden/>
    <w:pPr>
      <w:spacing w:after="120"/>
    </w:pPr>
  </w:style>
  <w:style w:type="paragraph" w:customStyle="1" w:styleId="Odefinierat">
    <w:name w:val="Odefinierat"/>
    <w:basedOn w:val="Normal"/>
    <w:pPr>
      <w:spacing w:before="122" w:line="245" w:lineRule="exact"/>
    </w:pPr>
  </w:style>
  <w:style w:type="paragraph" w:customStyle="1" w:styleId="Tabell">
    <w:name w:val="Tabell"/>
    <w:basedOn w:val="Normal"/>
    <w:pPr>
      <w:spacing w:before="0" w:line="170" w:lineRule="exact"/>
    </w:pPr>
    <w:rPr>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2670</Words>
  <Characters>16692</Characters>
  <Application>Microsoft Office Word</Application>
  <DocSecurity>4</DocSecurity>
  <Lines>463</Lines>
  <Paragraphs>182</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Konstitutionsutskottets yttrande</vt:lpstr>
      <vt:lpstr>Utskottet</vt:lpstr>
      <vt:lpstr>    Propositionen</vt:lpstr>
      <vt:lpstr>    Motioner</vt:lpstr>
      <vt:lpstr>    Skrivelsen</vt:lpstr>
      <vt:lpstr>    Motion</vt:lpstr>
      <vt:lpstr>    Konstitutionsutskottets ställningstagande</vt:lpstr>
      <vt:lpstr>Avvikande meningar</vt:lpstr>
      <vt:lpstr>    Preliminära utgiftsramar åren 2002–2004 (m)</vt:lpstr>
      <vt:lpstr>    Preliminära utgiftsramar åren 2002–2004 (kd)</vt:lpstr>
      <vt:lpstr>    Preliminära utgiftsramar åren 2002–2004 (c)</vt:lpstr>
      <vt:lpstr>    Preliminära utgiftsramar åren 2002–2004 (fp)</vt:lpstr>
      <vt:lpstr>    Jämställdhetsperspektiv i statens årsredovisning (v)</vt:lpstr>
    </vt:vector>
  </TitlesOfParts>
  <Company>Riksdagen</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2001-05-16T09:26:00Z</cp:lastPrinted>
  <dcterms:created xsi:type="dcterms:W3CDTF">2025-12-15T23:57:00Z</dcterms:created>
  <dcterms:modified xsi:type="dcterms:W3CDTF">2025-12-15T23:57:00Z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14y</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