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pPr>
              <w:rPr>
                <w:b/>
                <w:sz w:val="22"/>
                <w:szCs w:val="22"/>
              </w:rPr>
            </w:pPr>
            <w:r w:rsidRPr="00B40F4D">
              <w:rPr>
                <w:b/>
                <w:sz w:val="22"/>
                <w:szCs w:val="22"/>
              </w:rPr>
              <w:t>UTSKOTTSSAMMANTRÄDE 20</w:t>
            </w:r>
            <w:r w:rsidR="004072D7">
              <w:rPr>
                <w:b/>
                <w:sz w:val="22"/>
                <w:szCs w:val="22"/>
              </w:rPr>
              <w:t>20</w:t>
            </w:r>
            <w:r w:rsidR="000E777E" w:rsidRPr="00B40F4D">
              <w:rPr>
                <w:b/>
                <w:sz w:val="22"/>
                <w:szCs w:val="22"/>
              </w:rPr>
              <w:t>/2</w:t>
            </w:r>
            <w:r w:rsidR="004072D7">
              <w:rPr>
                <w:b/>
                <w:sz w:val="22"/>
                <w:szCs w:val="22"/>
              </w:rPr>
              <w:t>1</w:t>
            </w:r>
            <w:r w:rsidR="003B57EC">
              <w:rPr>
                <w:b/>
                <w:sz w:val="22"/>
                <w:szCs w:val="22"/>
              </w:rPr>
              <w:t>:</w:t>
            </w:r>
            <w:r w:rsidR="00D013C5">
              <w:rPr>
                <w:b/>
                <w:sz w:val="22"/>
                <w:szCs w:val="22"/>
              </w:rPr>
              <w:t>2</w:t>
            </w:r>
          </w:p>
          <w:p w:rsidR="00177FF8" w:rsidRPr="00B40F4D" w:rsidRDefault="00177FF8">
            <w:pPr>
              <w:rPr>
                <w:b/>
                <w:sz w:val="22"/>
                <w:szCs w:val="22"/>
              </w:rPr>
            </w:pP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20</w:t>
            </w:r>
            <w:r w:rsidR="008C2D5B" w:rsidRPr="00B40F4D">
              <w:rPr>
                <w:sz w:val="22"/>
                <w:szCs w:val="22"/>
              </w:rPr>
              <w:t>-</w:t>
            </w:r>
            <w:r w:rsidR="00D27BCE" w:rsidRPr="00B40F4D">
              <w:rPr>
                <w:sz w:val="22"/>
                <w:szCs w:val="22"/>
              </w:rPr>
              <w:t>0</w:t>
            </w:r>
            <w:r w:rsidR="00515AC5">
              <w:rPr>
                <w:sz w:val="22"/>
                <w:szCs w:val="22"/>
              </w:rPr>
              <w:t>9-</w:t>
            </w:r>
            <w:r w:rsidR="00D013C5">
              <w:rPr>
                <w:sz w:val="22"/>
                <w:szCs w:val="22"/>
              </w:rPr>
              <w:t>17</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515AC5" w:rsidP="00231475">
            <w:pPr>
              <w:rPr>
                <w:sz w:val="22"/>
                <w:szCs w:val="22"/>
              </w:rPr>
            </w:pPr>
            <w:r>
              <w:rPr>
                <w:sz w:val="22"/>
                <w:szCs w:val="22"/>
              </w:rPr>
              <w:t>0</w:t>
            </w:r>
            <w:r w:rsidR="00D013C5">
              <w:rPr>
                <w:sz w:val="22"/>
                <w:szCs w:val="22"/>
              </w:rPr>
              <w:t>8</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874CD1">
              <w:rPr>
                <w:sz w:val="22"/>
                <w:szCs w:val="22"/>
              </w:rPr>
              <w:t>09.</w:t>
            </w:r>
            <w:r w:rsidR="00281518">
              <w:rPr>
                <w:sz w:val="22"/>
                <w:szCs w:val="22"/>
              </w:rPr>
              <w:t>10</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2A477B" w:rsidTr="002241EF">
        <w:tc>
          <w:tcPr>
            <w:tcW w:w="567" w:type="dxa"/>
          </w:tcPr>
          <w:p w:rsidR="00177FF8" w:rsidRPr="002A477B" w:rsidRDefault="00177FF8">
            <w:pPr>
              <w:tabs>
                <w:tab w:val="left" w:pos="1701"/>
              </w:tabs>
              <w:rPr>
                <w:b/>
                <w:snapToGrid w:val="0"/>
                <w:sz w:val="22"/>
                <w:szCs w:val="22"/>
              </w:rPr>
            </w:pPr>
            <w:r w:rsidRPr="002A477B">
              <w:rPr>
                <w:b/>
                <w:snapToGrid w:val="0"/>
                <w:sz w:val="22"/>
                <w:szCs w:val="22"/>
              </w:rPr>
              <w:t>§ 1</w:t>
            </w:r>
          </w:p>
        </w:tc>
        <w:tc>
          <w:tcPr>
            <w:tcW w:w="6946" w:type="dxa"/>
            <w:gridSpan w:val="2"/>
          </w:tcPr>
          <w:p w:rsidR="00305501" w:rsidRPr="002A477B" w:rsidRDefault="009442C2" w:rsidP="00305501">
            <w:pPr>
              <w:rPr>
                <w:snapToGrid w:val="0"/>
                <w:sz w:val="22"/>
                <w:szCs w:val="22"/>
              </w:rPr>
            </w:pPr>
            <w:r w:rsidRPr="002A477B">
              <w:rPr>
                <w:b/>
                <w:sz w:val="22"/>
                <w:szCs w:val="22"/>
              </w:rPr>
              <w:t>Fråga om medgivande till deltagande på distans</w:t>
            </w:r>
            <w:r w:rsidRPr="002A477B">
              <w:rPr>
                <w:snapToGrid w:val="0"/>
                <w:sz w:val="22"/>
                <w:szCs w:val="22"/>
              </w:rPr>
              <w:t xml:space="preserve"> </w:t>
            </w:r>
          </w:p>
          <w:p w:rsidR="009442C2" w:rsidRPr="002A477B" w:rsidRDefault="009442C2" w:rsidP="00305501">
            <w:pPr>
              <w:rPr>
                <w:snapToGrid w:val="0"/>
                <w:sz w:val="22"/>
                <w:szCs w:val="22"/>
              </w:rPr>
            </w:pPr>
          </w:p>
          <w:p w:rsidR="005B1B4D" w:rsidRPr="002A477B" w:rsidRDefault="005B1B4D" w:rsidP="005B1B4D">
            <w:pPr>
              <w:rPr>
                <w:i/>
                <w:sz w:val="22"/>
                <w:szCs w:val="22"/>
              </w:rPr>
            </w:pPr>
            <w:r w:rsidRPr="002A477B">
              <w:rPr>
                <w:bCs/>
                <w:color w:val="000000"/>
                <w:sz w:val="22"/>
                <w:szCs w:val="22"/>
              </w:rPr>
              <w:t xml:space="preserve">Utskottet </w:t>
            </w:r>
            <w:r w:rsidRPr="002A477B">
              <w:rPr>
                <w:sz w:val="22"/>
                <w:szCs w:val="22"/>
              </w:rPr>
              <w:t>beslutade att tillåta följande ordinarie ledamöter och suppleanter att vara uppkopplade via videolänk: Maria Gardfjell (MP),</w:t>
            </w:r>
            <w:r w:rsidRPr="002A477B">
              <w:rPr>
                <w:i/>
                <w:sz w:val="22"/>
                <w:szCs w:val="22"/>
              </w:rPr>
              <w:t xml:space="preserve"> </w:t>
            </w:r>
            <w:r w:rsidRPr="00583D8C">
              <w:rPr>
                <w:sz w:val="22"/>
                <w:szCs w:val="22"/>
              </w:rPr>
              <w:t>Jessica Rosencrantz (M), Hanna West</w:t>
            </w:r>
            <w:r w:rsidRPr="002A477B">
              <w:rPr>
                <w:sz w:val="22"/>
                <w:szCs w:val="22"/>
              </w:rPr>
              <w:t xml:space="preserve">erén (S), Isak From (S), </w:t>
            </w:r>
            <w:r w:rsidRPr="00583D8C">
              <w:rPr>
                <w:b/>
                <w:i/>
                <w:sz w:val="22"/>
                <w:szCs w:val="22"/>
              </w:rPr>
              <w:t xml:space="preserve"> </w:t>
            </w:r>
            <w:r w:rsidRPr="00BE6E45">
              <w:rPr>
                <w:sz w:val="22"/>
                <w:szCs w:val="22"/>
              </w:rPr>
              <w:t>Runar Filper (SD),</w:t>
            </w:r>
            <w:r w:rsidRPr="00583D8C">
              <w:rPr>
                <w:sz w:val="22"/>
                <w:szCs w:val="22"/>
              </w:rPr>
              <w:t xml:space="preserve"> Magnus</w:t>
            </w:r>
            <w:r w:rsidRPr="002A477B">
              <w:rPr>
                <w:sz w:val="22"/>
                <w:szCs w:val="22"/>
              </w:rPr>
              <w:t xml:space="preserve"> Manhammar (S), Elin Segerlind (V), Betty Malmberg (M),</w:t>
            </w:r>
            <w:r w:rsidR="006B73AF">
              <w:rPr>
                <w:sz w:val="22"/>
                <w:szCs w:val="22"/>
              </w:rPr>
              <w:t xml:space="preserve"> Martin Kinnunen (SD),</w:t>
            </w:r>
            <w:r w:rsidRPr="002A477B">
              <w:rPr>
                <w:i/>
                <w:sz w:val="22"/>
                <w:szCs w:val="22"/>
              </w:rPr>
              <w:t xml:space="preserve"> </w:t>
            </w:r>
            <w:r w:rsidRPr="00CD0D79">
              <w:rPr>
                <w:sz w:val="22"/>
                <w:szCs w:val="22"/>
              </w:rPr>
              <w:t>Malin Larsson (S),</w:t>
            </w:r>
            <w:r w:rsidRPr="006B73AF">
              <w:rPr>
                <w:sz w:val="22"/>
                <w:szCs w:val="22"/>
              </w:rPr>
              <w:t xml:space="preserve"> Magnus Oscarsson (KD),</w:t>
            </w:r>
            <w:r w:rsidRPr="002A477B">
              <w:rPr>
                <w:i/>
                <w:sz w:val="22"/>
                <w:szCs w:val="22"/>
              </w:rPr>
              <w:t xml:space="preserve"> </w:t>
            </w:r>
            <w:r w:rsidR="003F2DF6" w:rsidRPr="002A477B">
              <w:rPr>
                <w:sz w:val="22"/>
                <w:szCs w:val="22"/>
              </w:rPr>
              <w:t xml:space="preserve">Marlene Burwick (S), </w:t>
            </w:r>
            <w:r w:rsidRPr="002A477B">
              <w:rPr>
                <w:sz w:val="22"/>
                <w:szCs w:val="22"/>
              </w:rPr>
              <w:t>Nina Lundström (L</w:t>
            </w:r>
            <w:r w:rsidRPr="00583D8C">
              <w:rPr>
                <w:sz w:val="22"/>
                <w:szCs w:val="22"/>
              </w:rPr>
              <w:t>), Marléne Lund Kopparklint (M),</w:t>
            </w:r>
            <w:r w:rsidRPr="00583D8C">
              <w:rPr>
                <w:i/>
                <w:sz w:val="22"/>
                <w:szCs w:val="22"/>
              </w:rPr>
              <w:t xml:space="preserve"> </w:t>
            </w:r>
            <w:r w:rsidRPr="00583D8C">
              <w:rPr>
                <w:sz w:val="22"/>
                <w:szCs w:val="22"/>
              </w:rPr>
              <w:t>Yasmine Eriksson (SD), Staffan Eklöf (SD), Kjell-Arne Ottosson</w:t>
            </w:r>
            <w:r w:rsidRPr="002A477B">
              <w:rPr>
                <w:sz w:val="22"/>
                <w:szCs w:val="22"/>
              </w:rPr>
              <w:t xml:space="preserve"> (KD), </w:t>
            </w:r>
            <w:r w:rsidR="00583D8C">
              <w:rPr>
                <w:sz w:val="22"/>
                <w:szCs w:val="22"/>
              </w:rPr>
              <w:t>Elisabeth Falkhaven (MP</w:t>
            </w:r>
            <w:r w:rsidR="000B00E1">
              <w:rPr>
                <w:sz w:val="22"/>
                <w:szCs w:val="22"/>
              </w:rPr>
              <w:t>)</w:t>
            </w:r>
            <w:r w:rsidR="00583D8C">
              <w:rPr>
                <w:sz w:val="22"/>
                <w:szCs w:val="22"/>
              </w:rPr>
              <w:t xml:space="preserve">, </w:t>
            </w:r>
            <w:r w:rsidRPr="002A477B">
              <w:rPr>
                <w:sz w:val="22"/>
                <w:szCs w:val="22"/>
              </w:rPr>
              <w:t>Stina Larsson (C)</w:t>
            </w:r>
            <w:r w:rsidR="002A477B" w:rsidRPr="002A477B">
              <w:rPr>
                <w:sz w:val="22"/>
                <w:szCs w:val="22"/>
              </w:rPr>
              <w:t xml:space="preserve"> och</w:t>
            </w:r>
            <w:r w:rsidRPr="002A477B">
              <w:rPr>
                <w:i/>
                <w:sz w:val="22"/>
                <w:szCs w:val="22"/>
              </w:rPr>
              <w:t xml:space="preserve"> </w:t>
            </w:r>
            <w:r w:rsidRPr="002A477B">
              <w:rPr>
                <w:sz w:val="22"/>
                <w:szCs w:val="22"/>
              </w:rPr>
              <w:t>Peter Helander (C)</w:t>
            </w:r>
            <w:r w:rsidR="003F2DF6" w:rsidRPr="002A477B">
              <w:rPr>
                <w:sz w:val="22"/>
                <w:szCs w:val="22"/>
              </w:rPr>
              <w:t>.</w:t>
            </w:r>
            <w:r w:rsidR="00402A75" w:rsidRPr="002A477B">
              <w:rPr>
                <w:i/>
                <w:sz w:val="22"/>
                <w:szCs w:val="22"/>
              </w:rPr>
              <w:t xml:space="preserve"> </w:t>
            </w:r>
          </w:p>
          <w:p w:rsidR="00AE176C" w:rsidRPr="002A477B" w:rsidRDefault="00AE176C" w:rsidP="005B1B4D">
            <w:pPr>
              <w:rPr>
                <w:i/>
                <w:snapToGrid w:val="0"/>
                <w:sz w:val="22"/>
                <w:szCs w:val="22"/>
              </w:rPr>
            </w:pPr>
          </w:p>
          <w:p w:rsidR="005B1B4D" w:rsidRPr="002A477B" w:rsidRDefault="005B1B4D" w:rsidP="005B1B4D">
            <w:pPr>
              <w:rPr>
                <w:snapToGrid w:val="0"/>
                <w:sz w:val="22"/>
                <w:szCs w:val="22"/>
              </w:rPr>
            </w:pPr>
            <w:r w:rsidRPr="002A477B">
              <w:rPr>
                <w:color w:val="000000"/>
                <w:sz w:val="22"/>
                <w:szCs w:val="22"/>
              </w:rPr>
              <w:t>Denna paragraf förklarades omedelbart justerad.</w:t>
            </w:r>
          </w:p>
          <w:p w:rsidR="009442C2" w:rsidRPr="002A477B" w:rsidRDefault="009442C2" w:rsidP="00305501">
            <w:pPr>
              <w:rPr>
                <w:snapToGrid w:val="0"/>
                <w:sz w:val="22"/>
                <w:szCs w:val="22"/>
              </w:rPr>
            </w:pPr>
          </w:p>
        </w:tc>
      </w:tr>
      <w:tr w:rsidR="0095737D" w:rsidRPr="002A477B" w:rsidTr="002241EF">
        <w:tc>
          <w:tcPr>
            <w:tcW w:w="567" w:type="dxa"/>
          </w:tcPr>
          <w:p w:rsidR="0095737D" w:rsidRPr="002A477B" w:rsidRDefault="0095737D">
            <w:pPr>
              <w:tabs>
                <w:tab w:val="left" w:pos="1701"/>
              </w:tabs>
              <w:rPr>
                <w:b/>
                <w:snapToGrid w:val="0"/>
                <w:sz w:val="22"/>
                <w:szCs w:val="22"/>
              </w:rPr>
            </w:pPr>
            <w:r w:rsidRPr="002A477B">
              <w:rPr>
                <w:b/>
                <w:snapToGrid w:val="0"/>
                <w:sz w:val="22"/>
                <w:szCs w:val="22"/>
              </w:rPr>
              <w:t>§ 2</w:t>
            </w:r>
          </w:p>
        </w:tc>
        <w:tc>
          <w:tcPr>
            <w:tcW w:w="6946" w:type="dxa"/>
            <w:gridSpan w:val="2"/>
          </w:tcPr>
          <w:p w:rsidR="00583D8C" w:rsidRDefault="0095737D" w:rsidP="00305501">
            <w:pPr>
              <w:rPr>
                <w:b/>
                <w:bCs/>
                <w:color w:val="000000"/>
                <w:sz w:val="22"/>
                <w:szCs w:val="22"/>
              </w:rPr>
            </w:pPr>
            <w:bookmarkStart w:id="0" w:name="_Hlk51091448"/>
            <w:r w:rsidRPr="002A477B">
              <w:rPr>
                <w:b/>
                <w:bCs/>
                <w:color w:val="000000"/>
                <w:sz w:val="22"/>
                <w:szCs w:val="22"/>
              </w:rPr>
              <w:t>Kommissionens meddelande Från jord till bord-strategin för ett rättvisare, hälsosammare och miljövänligare livsmedelssystem</w:t>
            </w:r>
          </w:p>
          <w:p w:rsidR="00367F35" w:rsidRPr="00430B91" w:rsidRDefault="0095737D" w:rsidP="00367F35">
            <w:pPr>
              <w:rPr>
                <w:snapToGrid w:val="0"/>
                <w:sz w:val="22"/>
                <w:szCs w:val="22"/>
              </w:rPr>
            </w:pPr>
            <w:r w:rsidRPr="002A477B">
              <w:rPr>
                <w:b/>
                <w:bCs/>
                <w:color w:val="000000"/>
                <w:sz w:val="22"/>
                <w:szCs w:val="22"/>
              </w:rPr>
              <w:br/>
            </w:r>
            <w:r w:rsidR="00367F35" w:rsidRPr="00430B91">
              <w:rPr>
                <w:snapToGrid w:val="0"/>
                <w:sz w:val="22"/>
                <w:szCs w:val="22"/>
              </w:rPr>
              <w:t xml:space="preserve">Utskottet överlade med landsbygdsminister Jennie Nilsson, </w:t>
            </w:r>
            <w:r w:rsidR="00367F35">
              <w:rPr>
                <w:snapToGrid w:val="0"/>
                <w:sz w:val="22"/>
                <w:szCs w:val="22"/>
              </w:rPr>
              <w:t xml:space="preserve">som tillsammans med sina medarbetare vid </w:t>
            </w:r>
            <w:r w:rsidR="00367F35" w:rsidRPr="00430B91">
              <w:rPr>
                <w:snapToGrid w:val="0"/>
                <w:sz w:val="22"/>
                <w:szCs w:val="22"/>
              </w:rPr>
              <w:t>Näringsdepartementet</w:t>
            </w:r>
            <w:r w:rsidR="00367F35">
              <w:rPr>
                <w:snapToGrid w:val="0"/>
                <w:sz w:val="22"/>
                <w:szCs w:val="22"/>
              </w:rPr>
              <w:t xml:space="preserve"> deltog via videolänk.</w:t>
            </w:r>
          </w:p>
          <w:p w:rsidR="00367F35" w:rsidRPr="00430B91" w:rsidRDefault="00367F35" w:rsidP="00367F35">
            <w:pPr>
              <w:rPr>
                <w:bCs/>
                <w:color w:val="000000"/>
                <w:sz w:val="22"/>
                <w:szCs w:val="22"/>
              </w:rPr>
            </w:pPr>
          </w:p>
          <w:p w:rsidR="00367F35" w:rsidRPr="00430B91" w:rsidRDefault="00367F35" w:rsidP="00367F35">
            <w:pPr>
              <w:widowControl/>
              <w:autoSpaceDE w:val="0"/>
              <w:autoSpaceDN w:val="0"/>
              <w:adjustRightInd w:val="0"/>
              <w:rPr>
                <w:bCs/>
                <w:color w:val="000000"/>
                <w:sz w:val="22"/>
                <w:szCs w:val="22"/>
              </w:rPr>
            </w:pPr>
            <w:r w:rsidRPr="00430B91">
              <w:rPr>
                <w:bCs/>
                <w:color w:val="000000"/>
                <w:sz w:val="22"/>
                <w:szCs w:val="22"/>
              </w:rPr>
              <w:t>Underlaget utgjordes av kommissionens meddelande om en strategi från jord till bord (</w:t>
            </w:r>
            <w:proofErr w:type="gramStart"/>
            <w:r w:rsidRPr="00430B91">
              <w:rPr>
                <w:bCs/>
                <w:color w:val="000000"/>
                <w:sz w:val="22"/>
                <w:szCs w:val="22"/>
              </w:rPr>
              <w:t>COM(</w:t>
            </w:r>
            <w:proofErr w:type="gramEnd"/>
            <w:r w:rsidRPr="00430B91">
              <w:rPr>
                <w:bCs/>
                <w:color w:val="000000"/>
                <w:sz w:val="22"/>
                <w:szCs w:val="22"/>
              </w:rPr>
              <w:t xml:space="preserve">2020) 381) och Regeringskansliets överläggnings-promemoria (dnr </w:t>
            </w:r>
            <w:r w:rsidRPr="00430B91">
              <w:rPr>
                <w:sz w:val="22"/>
                <w:szCs w:val="22"/>
              </w:rPr>
              <w:t>104-2020/21</w:t>
            </w:r>
            <w:r w:rsidRPr="00430B91">
              <w:rPr>
                <w:bCs/>
                <w:color w:val="000000"/>
                <w:sz w:val="22"/>
                <w:szCs w:val="22"/>
              </w:rPr>
              <w:t xml:space="preserve">). </w:t>
            </w:r>
          </w:p>
          <w:p w:rsidR="00367F35" w:rsidRPr="00430B91" w:rsidRDefault="00367F35" w:rsidP="00367F35">
            <w:pPr>
              <w:widowControl/>
              <w:autoSpaceDE w:val="0"/>
              <w:autoSpaceDN w:val="0"/>
              <w:adjustRightInd w:val="0"/>
              <w:rPr>
                <w:bCs/>
                <w:color w:val="000000"/>
                <w:sz w:val="22"/>
                <w:szCs w:val="22"/>
              </w:rPr>
            </w:pPr>
          </w:p>
          <w:p w:rsidR="00367F35" w:rsidRPr="00430B91" w:rsidRDefault="00367F35" w:rsidP="00367F35">
            <w:pPr>
              <w:widowControl/>
              <w:autoSpaceDE w:val="0"/>
              <w:autoSpaceDN w:val="0"/>
              <w:adjustRightInd w:val="0"/>
              <w:rPr>
                <w:bCs/>
                <w:color w:val="000000"/>
                <w:sz w:val="22"/>
                <w:szCs w:val="22"/>
              </w:rPr>
            </w:pPr>
            <w:r w:rsidRPr="00430B91">
              <w:rPr>
                <w:bCs/>
                <w:color w:val="000000"/>
                <w:sz w:val="22"/>
                <w:szCs w:val="22"/>
              </w:rPr>
              <w:t>Landsbygdsministern redogjorde för regeringens ståndpunkt i enlighet med överläggningspromemorian (bilaga 2).</w:t>
            </w:r>
          </w:p>
          <w:p w:rsidR="00367F35" w:rsidRPr="00430B91" w:rsidRDefault="00367F35" w:rsidP="00367F35">
            <w:pPr>
              <w:rPr>
                <w:snapToGrid w:val="0"/>
                <w:sz w:val="22"/>
                <w:szCs w:val="22"/>
              </w:rPr>
            </w:pPr>
          </w:p>
          <w:p w:rsidR="00367F35" w:rsidRPr="00430B91" w:rsidRDefault="00367F35" w:rsidP="00367F35">
            <w:pPr>
              <w:rPr>
                <w:snapToGrid w:val="0"/>
                <w:sz w:val="22"/>
                <w:szCs w:val="22"/>
              </w:rPr>
            </w:pPr>
            <w:r w:rsidRPr="00430B91">
              <w:rPr>
                <w:snapToGrid w:val="0"/>
                <w:sz w:val="22"/>
                <w:szCs w:val="22"/>
              </w:rPr>
              <w:t>SD-ledamöterna anmälde en avvikande ståndpunkt som framgår av bilaga 3.</w:t>
            </w:r>
          </w:p>
          <w:bookmarkEnd w:id="0"/>
          <w:p w:rsidR="0095737D" w:rsidRPr="002A477B" w:rsidRDefault="0095737D" w:rsidP="00305501">
            <w:pPr>
              <w:rPr>
                <w:b/>
                <w:bCs/>
                <w:color w:val="000000"/>
                <w:sz w:val="22"/>
                <w:szCs w:val="22"/>
              </w:rPr>
            </w:pPr>
          </w:p>
        </w:tc>
      </w:tr>
      <w:tr w:rsidR="0095737D" w:rsidRPr="002A477B" w:rsidTr="002241EF">
        <w:tc>
          <w:tcPr>
            <w:tcW w:w="567" w:type="dxa"/>
          </w:tcPr>
          <w:p w:rsidR="0095737D" w:rsidRPr="002A477B" w:rsidRDefault="0095737D">
            <w:pPr>
              <w:tabs>
                <w:tab w:val="left" w:pos="1701"/>
              </w:tabs>
              <w:rPr>
                <w:b/>
                <w:snapToGrid w:val="0"/>
                <w:sz w:val="22"/>
                <w:szCs w:val="22"/>
              </w:rPr>
            </w:pPr>
            <w:r w:rsidRPr="002A477B">
              <w:rPr>
                <w:b/>
                <w:snapToGrid w:val="0"/>
                <w:sz w:val="22"/>
                <w:szCs w:val="22"/>
              </w:rPr>
              <w:t>§ 3</w:t>
            </w:r>
          </w:p>
          <w:p w:rsidR="0095737D" w:rsidRPr="002A477B" w:rsidRDefault="0095737D">
            <w:pPr>
              <w:tabs>
                <w:tab w:val="left" w:pos="1701"/>
              </w:tabs>
              <w:rPr>
                <w:b/>
                <w:snapToGrid w:val="0"/>
                <w:sz w:val="22"/>
                <w:szCs w:val="22"/>
              </w:rPr>
            </w:pPr>
          </w:p>
        </w:tc>
        <w:tc>
          <w:tcPr>
            <w:tcW w:w="6946" w:type="dxa"/>
            <w:gridSpan w:val="2"/>
          </w:tcPr>
          <w:p w:rsidR="0095737D" w:rsidRPr="002A477B" w:rsidRDefault="0095737D" w:rsidP="00305501">
            <w:pPr>
              <w:rPr>
                <w:b/>
                <w:bCs/>
                <w:color w:val="000000"/>
                <w:sz w:val="22"/>
                <w:szCs w:val="22"/>
              </w:rPr>
            </w:pPr>
            <w:r w:rsidRPr="002A477B">
              <w:rPr>
                <w:b/>
                <w:bCs/>
                <w:color w:val="000000"/>
                <w:sz w:val="22"/>
                <w:szCs w:val="22"/>
              </w:rPr>
              <w:t>Jordbruks</w:t>
            </w:r>
            <w:r w:rsidR="00946E67" w:rsidRPr="002A477B">
              <w:rPr>
                <w:b/>
                <w:bCs/>
                <w:color w:val="000000"/>
                <w:sz w:val="22"/>
                <w:szCs w:val="22"/>
              </w:rPr>
              <w:t>- och fiske</w:t>
            </w:r>
            <w:r w:rsidRPr="002A477B">
              <w:rPr>
                <w:b/>
                <w:bCs/>
                <w:color w:val="000000"/>
                <w:sz w:val="22"/>
                <w:szCs w:val="22"/>
              </w:rPr>
              <w:t>råd 21 september 2020</w:t>
            </w:r>
          </w:p>
          <w:p w:rsidR="0095737D" w:rsidRPr="002A477B" w:rsidRDefault="0095737D" w:rsidP="00305501">
            <w:pPr>
              <w:rPr>
                <w:b/>
                <w:bCs/>
                <w:color w:val="000000"/>
                <w:sz w:val="22"/>
                <w:szCs w:val="22"/>
              </w:rPr>
            </w:pPr>
          </w:p>
          <w:p w:rsidR="001018E3" w:rsidRPr="00576581" w:rsidRDefault="001018E3" w:rsidP="001018E3">
            <w:pPr>
              <w:rPr>
                <w:snapToGrid w:val="0"/>
                <w:sz w:val="22"/>
                <w:szCs w:val="22"/>
              </w:rPr>
            </w:pPr>
            <w:r w:rsidRPr="00576581">
              <w:rPr>
                <w:snapToGrid w:val="0"/>
                <w:sz w:val="22"/>
                <w:szCs w:val="22"/>
              </w:rPr>
              <w:t>Landsbygdsminister Jennie Nilsson</w:t>
            </w:r>
            <w:r>
              <w:rPr>
                <w:snapToGrid w:val="0"/>
                <w:sz w:val="22"/>
                <w:szCs w:val="22"/>
              </w:rPr>
              <w:t xml:space="preserve"> med medarbetare</w:t>
            </w:r>
            <w:r w:rsidRPr="00576581">
              <w:rPr>
                <w:snapToGrid w:val="0"/>
                <w:sz w:val="22"/>
                <w:szCs w:val="22"/>
              </w:rPr>
              <w:t xml:space="preserve"> </w:t>
            </w:r>
            <w:r>
              <w:rPr>
                <w:snapToGrid w:val="0"/>
                <w:sz w:val="22"/>
                <w:szCs w:val="22"/>
              </w:rPr>
              <w:t>lämnade information inför Jordbruks- och fiskerådet den 21 september 2020.</w:t>
            </w:r>
          </w:p>
          <w:p w:rsidR="0095737D" w:rsidRPr="002A477B" w:rsidRDefault="0095737D" w:rsidP="00305501">
            <w:pPr>
              <w:rPr>
                <w:b/>
                <w:bCs/>
                <w:color w:val="000000"/>
                <w:sz w:val="22"/>
                <w:szCs w:val="22"/>
              </w:rPr>
            </w:pPr>
          </w:p>
        </w:tc>
      </w:tr>
      <w:tr w:rsidR="00946E67" w:rsidRPr="002A477B" w:rsidTr="002241EF">
        <w:tc>
          <w:tcPr>
            <w:tcW w:w="567" w:type="dxa"/>
          </w:tcPr>
          <w:p w:rsidR="00946E67" w:rsidRPr="002A477B" w:rsidRDefault="00946E67">
            <w:pPr>
              <w:tabs>
                <w:tab w:val="left" w:pos="1701"/>
              </w:tabs>
              <w:rPr>
                <w:b/>
                <w:snapToGrid w:val="0"/>
                <w:sz w:val="22"/>
                <w:szCs w:val="22"/>
              </w:rPr>
            </w:pPr>
            <w:r w:rsidRPr="002A477B">
              <w:rPr>
                <w:b/>
                <w:snapToGrid w:val="0"/>
                <w:sz w:val="22"/>
                <w:szCs w:val="22"/>
              </w:rPr>
              <w:t>§ 4</w:t>
            </w:r>
          </w:p>
        </w:tc>
        <w:tc>
          <w:tcPr>
            <w:tcW w:w="6946" w:type="dxa"/>
            <w:gridSpan w:val="2"/>
          </w:tcPr>
          <w:p w:rsidR="00946E67" w:rsidRPr="002A477B" w:rsidRDefault="002A477B" w:rsidP="00305501">
            <w:pPr>
              <w:rPr>
                <w:b/>
                <w:bCs/>
                <w:color w:val="000000"/>
                <w:sz w:val="22"/>
                <w:szCs w:val="22"/>
              </w:rPr>
            </w:pPr>
            <w:r w:rsidRPr="002A477B">
              <w:rPr>
                <w:rFonts w:eastAsiaTheme="minorHAnsi"/>
                <w:b/>
                <w:bCs/>
                <w:color w:val="000000"/>
                <w:sz w:val="22"/>
                <w:szCs w:val="22"/>
                <w:lang w:eastAsia="en-US"/>
              </w:rPr>
              <w:t>Information om fiskerikontroll och spårbarhet</w:t>
            </w:r>
          </w:p>
          <w:p w:rsidR="00281518" w:rsidRDefault="00281518" w:rsidP="00305501">
            <w:pPr>
              <w:rPr>
                <w:b/>
                <w:bCs/>
                <w:color w:val="000000"/>
                <w:sz w:val="22"/>
                <w:szCs w:val="22"/>
              </w:rPr>
            </w:pPr>
          </w:p>
          <w:p w:rsidR="002A477B" w:rsidRPr="00281518" w:rsidRDefault="00281518" w:rsidP="00305501">
            <w:pPr>
              <w:rPr>
                <w:bCs/>
                <w:color w:val="000000"/>
                <w:sz w:val="22"/>
                <w:szCs w:val="22"/>
              </w:rPr>
            </w:pPr>
            <w:r w:rsidRPr="00281518">
              <w:rPr>
                <w:bCs/>
                <w:color w:val="000000"/>
                <w:sz w:val="22"/>
                <w:szCs w:val="22"/>
              </w:rPr>
              <w:t xml:space="preserve">Denna punkt </w:t>
            </w:r>
            <w:r>
              <w:rPr>
                <w:bCs/>
                <w:color w:val="000000"/>
                <w:sz w:val="22"/>
                <w:szCs w:val="22"/>
              </w:rPr>
              <w:t>flyttades fram till ett senare tillfälle.</w:t>
            </w:r>
          </w:p>
          <w:p w:rsidR="00946E67" w:rsidRPr="002A477B" w:rsidRDefault="00946E67" w:rsidP="00305501">
            <w:pPr>
              <w:rPr>
                <w:b/>
                <w:bCs/>
                <w:color w:val="000000"/>
                <w:sz w:val="22"/>
                <w:szCs w:val="22"/>
              </w:rPr>
            </w:pPr>
          </w:p>
        </w:tc>
      </w:tr>
      <w:tr w:rsidR="00692184" w:rsidRPr="002A477B" w:rsidTr="002241EF">
        <w:tc>
          <w:tcPr>
            <w:tcW w:w="567" w:type="dxa"/>
          </w:tcPr>
          <w:p w:rsidR="00692184" w:rsidRPr="002A477B" w:rsidRDefault="00692184">
            <w:pPr>
              <w:tabs>
                <w:tab w:val="left" w:pos="1701"/>
              </w:tabs>
              <w:rPr>
                <w:b/>
                <w:snapToGrid w:val="0"/>
                <w:sz w:val="22"/>
                <w:szCs w:val="22"/>
              </w:rPr>
            </w:pPr>
            <w:r w:rsidRPr="002A477B">
              <w:rPr>
                <w:b/>
                <w:snapToGrid w:val="0"/>
                <w:sz w:val="22"/>
                <w:szCs w:val="22"/>
              </w:rPr>
              <w:t xml:space="preserve">§ </w:t>
            </w:r>
            <w:r w:rsidR="00946E67" w:rsidRPr="002A477B">
              <w:rPr>
                <w:b/>
                <w:snapToGrid w:val="0"/>
                <w:sz w:val="22"/>
                <w:szCs w:val="22"/>
              </w:rPr>
              <w:t>5</w:t>
            </w:r>
          </w:p>
          <w:p w:rsidR="00692184" w:rsidRPr="002A477B" w:rsidRDefault="00692184">
            <w:pPr>
              <w:tabs>
                <w:tab w:val="left" w:pos="1701"/>
              </w:tabs>
              <w:rPr>
                <w:b/>
                <w:snapToGrid w:val="0"/>
                <w:sz w:val="22"/>
                <w:szCs w:val="22"/>
              </w:rPr>
            </w:pPr>
          </w:p>
        </w:tc>
        <w:tc>
          <w:tcPr>
            <w:tcW w:w="6946" w:type="dxa"/>
            <w:gridSpan w:val="2"/>
          </w:tcPr>
          <w:p w:rsidR="00053FEF" w:rsidRPr="002A477B" w:rsidRDefault="00053FEF" w:rsidP="00053FEF">
            <w:pPr>
              <w:tabs>
                <w:tab w:val="left" w:pos="1701"/>
              </w:tabs>
              <w:rPr>
                <w:b/>
                <w:bCs/>
                <w:color w:val="000000"/>
                <w:sz w:val="22"/>
                <w:szCs w:val="22"/>
              </w:rPr>
            </w:pPr>
            <w:bookmarkStart w:id="1" w:name="_Hlk50839415"/>
            <w:r w:rsidRPr="002A477B">
              <w:rPr>
                <w:b/>
                <w:bCs/>
                <w:color w:val="000000"/>
                <w:sz w:val="22"/>
                <w:szCs w:val="22"/>
              </w:rPr>
              <w:t>Information om avslutat kroatiskt och nytt tyskt ordförandeskap</w:t>
            </w:r>
          </w:p>
          <w:bookmarkEnd w:id="1"/>
          <w:p w:rsidR="00053FEF" w:rsidRPr="002A477B" w:rsidRDefault="00053FEF" w:rsidP="00053FEF">
            <w:pPr>
              <w:tabs>
                <w:tab w:val="left" w:pos="1701"/>
              </w:tabs>
              <w:rPr>
                <w:snapToGrid w:val="0"/>
                <w:sz w:val="22"/>
                <w:szCs w:val="22"/>
              </w:rPr>
            </w:pPr>
          </w:p>
          <w:p w:rsidR="00175C40" w:rsidRPr="00281518" w:rsidRDefault="00175C40" w:rsidP="00175C40">
            <w:pPr>
              <w:rPr>
                <w:bCs/>
                <w:color w:val="000000"/>
                <w:sz w:val="22"/>
                <w:szCs w:val="22"/>
              </w:rPr>
            </w:pPr>
            <w:r w:rsidRPr="00281518">
              <w:rPr>
                <w:bCs/>
                <w:color w:val="000000"/>
                <w:sz w:val="22"/>
                <w:szCs w:val="22"/>
              </w:rPr>
              <w:t xml:space="preserve">Denna punkt </w:t>
            </w:r>
            <w:r>
              <w:rPr>
                <w:bCs/>
                <w:color w:val="000000"/>
                <w:sz w:val="22"/>
                <w:szCs w:val="22"/>
              </w:rPr>
              <w:t>flyttades fram till ett senare tillfälle.</w:t>
            </w:r>
          </w:p>
          <w:p w:rsidR="00692184" w:rsidRPr="002A477B" w:rsidRDefault="00692184" w:rsidP="00B84647">
            <w:pPr>
              <w:tabs>
                <w:tab w:val="left" w:pos="1701"/>
              </w:tabs>
              <w:rPr>
                <w:b/>
                <w:bCs/>
                <w:color w:val="000000"/>
                <w:sz w:val="22"/>
                <w:szCs w:val="22"/>
              </w:rPr>
            </w:pPr>
          </w:p>
        </w:tc>
      </w:tr>
      <w:tr w:rsidR="00CC5952" w:rsidRPr="00B40F4D" w:rsidTr="002241EF">
        <w:tc>
          <w:tcPr>
            <w:tcW w:w="567" w:type="dxa"/>
          </w:tcPr>
          <w:p w:rsidR="00CC5952" w:rsidRPr="00B40F4D" w:rsidRDefault="00692184">
            <w:pPr>
              <w:tabs>
                <w:tab w:val="left" w:pos="1701"/>
              </w:tabs>
              <w:rPr>
                <w:b/>
                <w:snapToGrid w:val="0"/>
                <w:sz w:val="22"/>
                <w:szCs w:val="22"/>
              </w:rPr>
            </w:pPr>
            <w:r>
              <w:rPr>
                <w:b/>
                <w:snapToGrid w:val="0"/>
                <w:sz w:val="22"/>
                <w:szCs w:val="22"/>
              </w:rPr>
              <w:t xml:space="preserve">§ </w:t>
            </w:r>
            <w:r w:rsidR="00946E67">
              <w:rPr>
                <w:b/>
                <w:snapToGrid w:val="0"/>
                <w:sz w:val="22"/>
                <w:szCs w:val="22"/>
              </w:rPr>
              <w:t>6</w:t>
            </w:r>
          </w:p>
        </w:tc>
        <w:tc>
          <w:tcPr>
            <w:tcW w:w="6946" w:type="dxa"/>
            <w:gridSpan w:val="2"/>
          </w:tcPr>
          <w:p w:rsidR="00D87D66" w:rsidRDefault="00FC47A3" w:rsidP="002A14AC">
            <w:pPr>
              <w:tabs>
                <w:tab w:val="left" w:pos="1701"/>
              </w:tabs>
              <w:rPr>
                <w:b/>
                <w:snapToGrid w:val="0"/>
                <w:sz w:val="22"/>
                <w:szCs w:val="22"/>
              </w:rPr>
            </w:pPr>
            <w:r>
              <w:rPr>
                <w:b/>
                <w:snapToGrid w:val="0"/>
                <w:sz w:val="22"/>
                <w:szCs w:val="22"/>
              </w:rPr>
              <w:t>Justering av protokoll</w:t>
            </w:r>
          </w:p>
          <w:p w:rsidR="00FE2DDA" w:rsidRDefault="00FE2DDA" w:rsidP="002A14AC">
            <w:pPr>
              <w:tabs>
                <w:tab w:val="left" w:pos="1701"/>
              </w:tabs>
              <w:rPr>
                <w:b/>
                <w:snapToGrid w:val="0"/>
                <w:sz w:val="22"/>
                <w:szCs w:val="22"/>
              </w:rPr>
            </w:pPr>
          </w:p>
          <w:p w:rsidR="00FE2DDA" w:rsidRDefault="00FE2DDA" w:rsidP="002A14AC">
            <w:pPr>
              <w:tabs>
                <w:tab w:val="left" w:pos="1701"/>
              </w:tabs>
              <w:rPr>
                <w:snapToGrid w:val="0"/>
                <w:sz w:val="22"/>
                <w:szCs w:val="22"/>
              </w:rPr>
            </w:pPr>
            <w:r>
              <w:rPr>
                <w:snapToGrid w:val="0"/>
                <w:sz w:val="22"/>
                <w:szCs w:val="22"/>
              </w:rPr>
              <w:t xml:space="preserve">Utskottet justerade protokoll </w:t>
            </w:r>
            <w:r w:rsidR="00946E67">
              <w:rPr>
                <w:snapToGrid w:val="0"/>
                <w:sz w:val="22"/>
                <w:szCs w:val="22"/>
              </w:rPr>
              <w:t>2019/20:48.</w:t>
            </w:r>
          </w:p>
          <w:p w:rsidR="00C65B6F" w:rsidRDefault="00C65B6F" w:rsidP="002A14AC">
            <w:pPr>
              <w:tabs>
                <w:tab w:val="left" w:pos="1701"/>
              </w:tabs>
              <w:rPr>
                <w:snapToGrid w:val="0"/>
                <w:sz w:val="22"/>
                <w:szCs w:val="22"/>
              </w:rPr>
            </w:pPr>
          </w:p>
          <w:p w:rsidR="00C65B6F" w:rsidRDefault="00C65B6F" w:rsidP="002A14AC">
            <w:pPr>
              <w:tabs>
                <w:tab w:val="left" w:pos="1701"/>
              </w:tabs>
              <w:rPr>
                <w:snapToGrid w:val="0"/>
                <w:sz w:val="22"/>
                <w:szCs w:val="22"/>
              </w:rPr>
            </w:pPr>
          </w:p>
          <w:p w:rsidR="00C65B6F" w:rsidRPr="00FE2DDA" w:rsidRDefault="00C65B6F" w:rsidP="002A14AC">
            <w:pPr>
              <w:tabs>
                <w:tab w:val="left" w:pos="1701"/>
              </w:tabs>
              <w:rPr>
                <w:snapToGrid w:val="0"/>
                <w:sz w:val="22"/>
                <w:szCs w:val="22"/>
              </w:rPr>
            </w:pPr>
          </w:p>
          <w:p w:rsidR="00305501" w:rsidRPr="00B40F4D" w:rsidRDefault="00305501" w:rsidP="002A14AC">
            <w:pPr>
              <w:tabs>
                <w:tab w:val="left" w:pos="1701"/>
              </w:tabs>
              <w:rPr>
                <w:b/>
                <w:snapToGrid w:val="0"/>
                <w:sz w:val="22"/>
                <w:szCs w:val="22"/>
              </w:rPr>
            </w:pPr>
          </w:p>
        </w:tc>
      </w:tr>
      <w:tr w:rsidR="00D30A97" w:rsidRPr="009442C2" w:rsidTr="00C5706E">
        <w:tc>
          <w:tcPr>
            <w:tcW w:w="567" w:type="dxa"/>
          </w:tcPr>
          <w:p w:rsidR="00D30A97" w:rsidRPr="009442C2" w:rsidRDefault="00D30A97" w:rsidP="00C5706E">
            <w:pPr>
              <w:tabs>
                <w:tab w:val="left" w:pos="1701"/>
              </w:tabs>
              <w:rPr>
                <w:b/>
                <w:snapToGrid w:val="0"/>
                <w:sz w:val="22"/>
                <w:szCs w:val="22"/>
              </w:rPr>
            </w:pPr>
            <w:r w:rsidRPr="009442C2">
              <w:rPr>
                <w:b/>
                <w:snapToGrid w:val="0"/>
                <w:sz w:val="22"/>
                <w:szCs w:val="22"/>
              </w:rPr>
              <w:lastRenderedPageBreak/>
              <w:t xml:space="preserve">§ </w:t>
            </w:r>
            <w:r w:rsidR="00946E67">
              <w:rPr>
                <w:b/>
                <w:snapToGrid w:val="0"/>
                <w:sz w:val="22"/>
                <w:szCs w:val="22"/>
              </w:rPr>
              <w:t>7</w:t>
            </w:r>
          </w:p>
        </w:tc>
        <w:tc>
          <w:tcPr>
            <w:tcW w:w="6946" w:type="dxa"/>
            <w:gridSpan w:val="2"/>
          </w:tcPr>
          <w:p w:rsidR="00D87D66" w:rsidRPr="009442C2" w:rsidRDefault="009442C2" w:rsidP="00305501">
            <w:pPr>
              <w:rPr>
                <w:b/>
                <w:snapToGrid w:val="0"/>
                <w:sz w:val="22"/>
                <w:szCs w:val="22"/>
              </w:rPr>
            </w:pPr>
            <w:r w:rsidRPr="009442C2">
              <w:rPr>
                <w:rFonts w:eastAsiaTheme="minorHAnsi"/>
                <w:b/>
                <w:bCs/>
                <w:color w:val="000000"/>
                <w:sz w:val="22"/>
                <w:szCs w:val="22"/>
                <w:lang w:eastAsia="en-US"/>
              </w:rPr>
              <w:t>Kommissionens förslag om ändring av förordning (EU) 2018/848 om ekologisk produktion vad gäller datumet för tillämpning och vissa andra datum som anges i den förordningen</w:t>
            </w:r>
            <w:r w:rsidRPr="009442C2">
              <w:rPr>
                <w:rFonts w:eastAsiaTheme="minorHAnsi"/>
                <w:b/>
                <w:bCs/>
                <w:color w:val="000000"/>
                <w:sz w:val="22"/>
                <w:szCs w:val="22"/>
                <w:lang w:eastAsia="en-US"/>
              </w:rPr>
              <w:br/>
            </w:r>
          </w:p>
          <w:p w:rsidR="00305501" w:rsidRDefault="009442C2" w:rsidP="00281518">
            <w:pPr>
              <w:tabs>
                <w:tab w:val="left" w:pos="1701"/>
              </w:tabs>
              <w:rPr>
                <w:b/>
                <w:snapToGrid w:val="0"/>
                <w:sz w:val="22"/>
                <w:szCs w:val="22"/>
              </w:rPr>
            </w:pPr>
            <w:r w:rsidRPr="003B73C5">
              <w:rPr>
                <w:snapToGrid w:val="0"/>
                <w:sz w:val="22"/>
                <w:szCs w:val="22"/>
              </w:rPr>
              <w:t xml:space="preserve">Utskottet upptog till behandling subsidiaritetsprövningen av </w:t>
            </w:r>
            <w:proofErr w:type="gramStart"/>
            <w:r w:rsidRPr="003B73C5">
              <w:rPr>
                <w:bCs/>
                <w:color w:val="000000"/>
                <w:sz w:val="22"/>
                <w:szCs w:val="22"/>
              </w:rPr>
              <w:t>COM(</w:t>
            </w:r>
            <w:proofErr w:type="gramEnd"/>
            <w:r w:rsidRPr="003B73C5">
              <w:rPr>
                <w:bCs/>
                <w:color w:val="000000"/>
                <w:sz w:val="22"/>
                <w:szCs w:val="22"/>
              </w:rPr>
              <w:t xml:space="preserve">2020) </w:t>
            </w:r>
            <w:r>
              <w:rPr>
                <w:bCs/>
                <w:color w:val="000000"/>
                <w:sz w:val="22"/>
                <w:szCs w:val="22"/>
              </w:rPr>
              <w:t>483</w:t>
            </w:r>
            <w:r w:rsidRPr="003B73C5">
              <w:rPr>
                <w:bCs/>
                <w:color w:val="000000"/>
                <w:sz w:val="22"/>
                <w:szCs w:val="22"/>
              </w:rPr>
              <w:t>.</w:t>
            </w:r>
            <w:r w:rsidRPr="003B73C5">
              <w:rPr>
                <w:snapToGrid w:val="0"/>
                <w:sz w:val="22"/>
                <w:szCs w:val="22"/>
              </w:rPr>
              <w:br/>
            </w:r>
            <w:r w:rsidRPr="003B73C5">
              <w:rPr>
                <w:snapToGrid w:val="0"/>
                <w:sz w:val="22"/>
                <w:szCs w:val="22"/>
              </w:rPr>
              <w:br/>
              <w:t>Utskottet ansåg att förslaget inte strider mot subsidiaritetsprincipen.</w:t>
            </w:r>
            <w:r w:rsidRPr="003B73C5">
              <w:rPr>
                <w:snapToGrid w:val="0"/>
                <w:sz w:val="22"/>
                <w:szCs w:val="22"/>
              </w:rPr>
              <w:br/>
            </w:r>
            <w:r w:rsidRPr="003B73C5">
              <w:rPr>
                <w:snapToGrid w:val="0"/>
                <w:sz w:val="22"/>
                <w:szCs w:val="22"/>
              </w:rPr>
              <w:br/>
              <w:t>Denna paragraf förklarades omedelbart justerad.</w:t>
            </w:r>
          </w:p>
          <w:p w:rsidR="009442C2" w:rsidRPr="009442C2" w:rsidRDefault="009442C2" w:rsidP="00305501">
            <w:pPr>
              <w:rPr>
                <w:b/>
                <w:snapToGrid w:val="0"/>
                <w:sz w:val="22"/>
                <w:szCs w:val="22"/>
              </w:rPr>
            </w:pPr>
          </w:p>
        </w:tc>
      </w:tr>
      <w:tr w:rsidR="007A1132" w:rsidRPr="00B40F4D" w:rsidTr="00201DCD">
        <w:tc>
          <w:tcPr>
            <w:tcW w:w="567" w:type="dxa"/>
          </w:tcPr>
          <w:p w:rsidR="007A1132" w:rsidRPr="00B40F4D" w:rsidRDefault="007A1132" w:rsidP="00201DCD">
            <w:pPr>
              <w:tabs>
                <w:tab w:val="left" w:pos="1701"/>
              </w:tabs>
              <w:rPr>
                <w:b/>
                <w:snapToGrid w:val="0"/>
                <w:sz w:val="22"/>
                <w:szCs w:val="22"/>
              </w:rPr>
            </w:pPr>
            <w:r w:rsidRPr="00B40F4D">
              <w:rPr>
                <w:b/>
                <w:snapToGrid w:val="0"/>
                <w:sz w:val="22"/>
                <w:szCs w:val="22"/>
              </w:rPr>
              <w:t xml:space="preserve">§ </w:t>
            </w:r>
            <w:r w:rsidR="00946E67">
              <w:rPr>
                <w:b/>
                <w:snapToGrid w:val="0"/>
                <w:sz w:val="22"/>
                <w:szCs w:val="22"/>
              </w:rPr>
              <w:t>8</w:t>
            </w:r>
            <w:r w:rsidRPr="00B40F4D">
              <w:rPr>
                <w:b/>
                <w:snapToGrid w:val="0"/>
                <w:sz w:val="22"/>
                <w:szCs w:val="22"/>
              </w:rPr>
              <w:t xml:space="preserve"> </w:t>
            </w:r>
          </w:p>
        </w:tc>
        <w:tc>
          <w:tcPr>
            <w:tcW w:w="6946" w:type="dxa"/>
            <w:gridSpan w:val="2"/>
          </w:tcPr>
          <w:p w:rsidR="007A1132" w:rsidRPr="0051377A" w:rsidRDefault="007A1132" w:rsidP="00201DCD">
            <w:pPr>
              <w:rPr>
                <w:rFonts w:eastAsiaTheme="minorHAnsi"/>
                <w:b/>
                <w:bCs/>
                <w:color w:val="000000"/>
                <w:sz w:val="22"/>
                <w:szCs w:val="22"/>
                <w:lang w:eastAsia="en-US"/>
              </w:rPr>
            </w:pPr>
            <w:r w:rsidRPr="0051377A">
              <w:rPr>
                <w:rFonts w:eastAsiaTheme="minorHAnsi"/>
                <w:b/>
                <w:bCs/>
                <w:color w:val="000000"/>
                <w:sz w:val="22"/>
                <w:szCs w:val="22"/>
                <w:lang w:eastAsia="en-US"/>
              </w:rPr>
              <w:t>Inkomna EU-dokument</w:t>
            </w:r>
          </w:p>
          <w:p w:rsidR="007A1132" w:rsidRPr="0051377A" w:rsidRDefault="007A1132" w:rsidP="00201DCD">
            <w:pPr>
              <w:rPr>
                <w:rFonts w:eastAsiaTheme="minorHAnsi"/>
                <w:bCs/>
                <w:color w:val="000000"/>
                <w:sz w:val="22"/>
                <w:szCs w:val="22"/>
                <w:lang w:eastAsia="en-US"/>
              </w:rPr>
            </w:pPr>
          </w:p>
          <w:p w:rsidR="007A1132" w:rsidRPr="0055255C" w:rsidRDefault="007A1132" w:rsidP="00201DCD">
            <w:pPr>
              <w:tabs>
                <w:tab w:val="left" w:pos="1701"/>
              </w:tabs>
              <w:rPr>
                <w:snapToGrid w:val="0"/>
                <w:sz w:val="22"/>
                <w:szCs w:val="22"/>
              </w:rPr>
            </w:pPr>
            <w:r w:rsidRPr="000B15AD">
              <w:rPr>
                <w:snapToGrid w:val="0"/>
                <w:sz w:val="22"/>
                <w:szCs w:val="22"/>
              </w:rPr>
              <w:t>EU-dokument</w:t>
            </w:r>
            <w:r w:rsidR="0095737D">
              <w:rPr>
                <w:snapToGrid w:val="0"/>
                <w:sz w:val="22"/>
                <w:szCs w:val="22"/>
              </w:rPr>
              <w:t xml:space="preserve"> enligt bilaga </w:t>
            </w:r>
            <w:r w:rsidR="00457BA1">
              <w:rPr>
                <w:snapToGrid w:val="0"/>
                <w:sz w:val="22"/>
                <w:szCs w:val="22"/>
              </w:rPr>
              <w:t>4</w:t>
            </w:r>
            <w:r w:rsidRPr="000B15AD">
              <w:rPr>
                <w:snapToGrid w:val="0"/>
                <w:sz w:val="22"/>
                <w:szCs w:val="22"/>
              </w:rPr>
              <w:t xml:space="preserve"> </w:t>
            </w:r>
            <w:r>
              <w:rPr>
                <w:snapToGrid w:val="0"/>
                <w:sz w:val="22"/>
                <w:szCs w:val="22"/>
              </w:rPr>
              <w:t>anmäldes och föranledde ingen vidare åtgärd</w:t>
            </w:r>
            <w:r w:rsidRPr="000B15AD">
              <w:rPr>
                <w:snapToGrid w:val="0"/>
                <w:sz w:val="22"/>
                <w:szCs w:val="22"/>
              </w:rPr>
              <w:t>.</w:t>
            </w:r>
          </w:p>
          <w:p w:rsidR="007A1132" w:rsidRPr="0055255C" w:rsidRDefault="007A1132" w:rsidP="00201DCD">
            <w:pPr>
              <w:tabs>
                <w:tab w:val="left" w:pos="1701"/>
              </w:tabs>
              <w:rPr>
                <w:snapToGrid w:val="0"/>
                <w:sz w:val="22"/>
                <w:szCs w:val="22"/>
              </w:rPr>
            </w:pPr>
          </w:p>
          <w:p w:rsidR="007A1132" w:rsidRPr="0055255C" w:rsidRDefault="007A1132" w:rsidP="00201DCD">
            <w:pPr>
              <w:tabs>
                <w:tab w:val="left" w:pos="1701"/>
              </w:tabs>
              <w:rPr>
                <w:snapToGrid w:val="0"/>
                <w:sz w:val="22"/>
                <w:szCs w:val="22"/>
              </w:rPr>
            </w:pPr>
            <w:r w:rsidRPr="0055255C">
              <w:rPr>
                <w:sz w:val="22"/>
                <w:szCs w:val="22"/>
              </w:rPr>
              <w:t>Denna paragraf förklarades omedelbart justerad.</w:t>
            </w:r>
          </w:p>
          <w:p w:rsidR="007A1132" w:rsidRPr="00B40F4D" w:rsidRDefault="007A1132" w:rsidP="00201DCD">
            <w:pPr>
              <w:rPr>
                <w:rFonts w:eastAsiaTheme="minorHAnsi"/>
                <w:b/>
                <w:bCs/>
                <w:color w:val="000000"/>
                <w:sz w:val="22"/>
                <w:szCs w:val="22"/>
                <w:lang w:eastAsia="en-US"/>
              </w:rPr>
            </w:pPr>
          </w:p>
        </w:tc>
      </w:tr>
      <w:tr w:rsidR="007A1132" w:rsidRPr="00B40F4D" w:rsidTr="00201DCD">
        <w:tc>
          <w:tcPr>
            <w:tcW w:w="567" w:type="dxa"/>
          </w:tcPr>
          <w:p w:rsidR="007A1132" w:rsidRPr="00B40F4D" w:rsidRDefault="007A1132" w:rsidP="00201DCD">
            <w:pPr>
              <w:tabs>
                <w:tab w:val="left" w:pos="1701"/>
              </w:tabs>
              <w:rPr>
                <w:b/>
                <w:snapToGrid w:val="0"/>
                <w:sz w:val="22"/>
                <w:szCs w:val="22"/>
              </w:rPr>
            </w:pPr>
            <w:r w:rsidRPr="00B40F4D">
              <w:rPr>
                <w:b/>
                <w:snapToGrid w:val="0"/>
                <w:sz w:val="22"/>
                <w:szCs w:val="22"/>
              </w:rPr>
              <w:t xml:space="preserve">§ </w:t>
            </w:r>
            <w:r w:rsidR="00946E67">
              <w:rPr>
                <w:b/>
                <w:snapToGrid w:val="0"/>
                <w:sz w:val="22"/>
                <w:szCs w:val="22"/>
              </w:rPr>
              <w:t>9</w:t>
            </w:r>
          </w:p>
        </w:tc>
        <w:tc>
          <w:tcPr>
            <w:tcW w:w="6946" w:type="dxa"/>
            <w:gridSpan w:val="2"/>
          </w:tcPr>
          <w:p w:rsidR="007A1132" w:rsidRPr="00B40F4D" w:rsidRDefault="007A1132" w:rsidP="00201DCD">
            <w:pPr>
              <w:tabs>
                <w:tab w:val="left" w:pos="1701"/>
              </w:tabs>
              <w:rPr>
                <w:rFonts w:eastAsiaTheme="minorHAnsi"/>
                <w:b/>
                <w:bCs/>
                <w:color w:val="000000"/>
                <w:sz w:val="22"/>
                <w:szCs w:val="22"/>
                <w:lang w:eastAsia="en-US"/>
              </w:rPr>
            </w:pPr>
            <w:r w:rsidRPr="00B40F4D">
              <w:rPr>
                <w:rFonts w:eastAsiaTheme="minorHAnsi"/>
                <w:b/>
                <w:bCs/>
                <w:color w:val="000000"/>
                <w:sz w:val="22"/>
                <w:szCs w:val="22"/>
                <w:lang w:eastAsia="en-US"/>
              </w:rPr>
              <w:t>Inkomna skrivelser</w:t>
            </w:r>
          </w:p>
          <w:p w:rsidR="007A1132" w:rsidRPr="00B40F4D" w:rsidRDefault="007A1132" w:rsidP="00201DCD">
            <w:pPr>
              <w:tabs>
                <w:tab w:val="left" w:pos="2459"/>
              </w:tabs>
              <w:rPr>
                <w:rFonts w:eastAsiaTheme="minorHAnsi"/>
                <w:bCs/>
                <w:color w:val="000000"/>
                <w:sz w:val="22"/>
                <w:szCs w:val="22"/>
                <w:lang w:eastAsia="en-US"/>
              </w:rPr>
            </w:pPr>
            <w:r w:rsidRPr="00B40F4D">
              <w:rPr>
                <w:rFonts w:eastAsiaTheme="minorHAnsi"/>
                <w:b/>
                <w:bCs/>
                <w:color w:val="000000"/>
                <w:sz w:val="22"/>
                <w:szCs w:val="22"/>
                <w:lang w:eastAsia="en-US"/>
              </w:rPr>
              <w:tab/>
            </w:r>
          </w:p>
          <w:p w:rsidR="007A1132" w:rsidRPr="00B40F4D" w:rsidRDefault="00946E67" w:rsidP="00201DCD">
            <w:pPr>
              <w:tabs>
                <w:tab w:val="left" w:pos="1701"/>
              </w:tabs>
              <w:rPr>
                <w:rFonts w:eastAsiaTheme="minorHAnsi"/>
                <w:bCs/>
                <w:color w:val="000000"/>
                <w:sz w:val="22"/>
                <w:szCs w:val="22"/>
                <w:lang w:eastAsia="en-US"/>
              </w:rPr>
            </w:pPr>
            <w:r w:rsidRPr="00946E67">
              <w:rPr>
                <w:rFonts w:eastAsiaTheme="minorHAnsi"/>
                <w:bCs/>
                <w:color w:val="000000"/>
                <w:sz w:val="22"/>
                <w:szCs w:val="22"/>
                <w:lang w:eastAsia="en-US"/>
              </w:rPr>
              <w:t>En</w:t>
            </w:r>
            <w:r w:rsidR="007A1132" w:rsidRPr="00946E67">
              <w:rPr>
                <w:rFonts w:eastAsiaTheme="minorHAnsi"/>
                <w:bCs/>
                <w:color w:val="000000"/>
                <w:sz w:val="22"/>
                <w:szCs w:val="22"/>
                <w:lang w:eastAsia="en-US"/>
              </w:rPr>
              <w:t xml:space="preserve"> inkom</w:t>
            </w:r>
            <w:r w:rsidRPr="00946E67">
              <w:rPr>
                <w:rFonts w:eastAsiaTheme="minorHAnsi"/>
                <w:bCs/>
                <w:color w:val="000000"/>
                <w:sz w:val="22"/>
                <w:szCs w:val="22"/>
                <w:lang w:eastAsia="en-US"/>
              </w:rPr>
              <w:t>me</w:t>
            </w:r>
            <w:r w:rsidR="007A1132" w:rsidRPr="00946E67">
              <w:rPr>
                <w:rFonts w:eastAsiaTheme="minorHAnsi"/>
                <w:bCs/>
                <w:color w:val="000000"/>
                <w:sz w:val="22"/>
                <w:szCs w:val="22"/>
                <w:lang w:eastAsia="en-US"/>
              </w:rPr>
              <w:t xml:space="preserve">n skrivelse </w:t>
            </w:r>
            <w:r w:rsidR="007A1132" w:rsidRPr="00946E67">
              <w:rPr>
                <w:snapToGrid w:val="0"/>
                <w:sz w:val="22"/>
                <w:szCs w:val="22"/>
              </w:rPr>
              <w:t xml:space="preserve">enligt bilaga </w:t>
            </w:r>
            <w:r w:rsidR="00457BA1">
              <w:rPr>
                <w:snapToGrid w:val="0"/>
                <w:sz w:val="22"/>
                <w:szCs w:val="22"/>
              </w:rPr>
              <w:t>5</w:t>
            </w:r>
            <w:r w:rsidR="007A1132" w:rsidRPr="00946E67">
              <w:rPr>
                <w:snapToGrid w:val="0"/>
                <w:sz w:val="22"/>
                <w:szCs w:val="22"/>
              </w:rPr>
              <w:t xml:space="preserve"> anmäldes </w:t>
            </w:r>
            <w:r w:rsidR="007A1132" w:rsidRPr="00946E67">
              <w:rPr>
                <w:rFonts w:eastAsiaTheme="minorHAnsi"/>
                <w:bCs/>
                <w:color w:val="000000"/>
                <w:sz w:val="22"/>
                <w:szCs w:val="22"/>
                <w:lang w:eastAsia="en-US"/>
              </w:rPr>
              <w:t>och lades till handlingarna.</w:t>
            </w:r>
          </w:p>
          <w:p w:rsidR="007A1132" w:rsidRPr="00B40F4D" w:rsidRDefault="007A1132" w:rsidP="00201DCD">
            <w:pPr>
              <w:rPr>
                <w:rFonts w:eastAsiaTheme="minorHAnsi"/>
                <w:bCs/>
                <w:color w:val="000000"/>
                <w:sz w:val="22"/>
                <w:szCs w:val="22"/>
                <w:lang w:eastAsia="en-US"/>
              </w:rPr>
            </w:pPr>
          </w:p>
        </w:tc>
      </w:tr>
      <w:tr w:rsidR="002B5B49" w:rsidRPr="00B40F4D" w:rsidTr="00201DCD">
        <w:tc>
          <w:tcPr>
            <w:tcW w:w="567" w:type="dxa"/>
          </w:tcPr>
          <w:p w:rsidR="002B5B49" w:rsidRPr="00B40F4D" w:rsidRDefault="002B5B49" w:rsidP="00201DCD">
            <w:pPr>
              <w:tabs>
                <w:tab w:val="left" w:pos="1701"/>
              </w:tabs>
              <w:rPr>
                <w:b/>
                <w:snapToGrid w:val="0"/>
                <w:sz w:val="22"/>
                <w:szCs w:val="22"/>
              </w:rPr>
            </w:pPr>
            <w:r>
              <w:rPr>
                <w:b/>
                <w:snapToGrid w:val="0"/>
                <w:sz w:val="22"/>
                <w:szCs w:val="22"/>
              </w:rPr>
              <w:t>§ 10</w:t>
            </w:r>
          </w:p>
        </w:tc>
        <w:tc>
          <w:tcPr>
            <w:tcW w:w="6946" w:type="dxa"/>
            <w:gridSpan w:val="2"/>
          </w:tcPr>
          <w:p w:rsidR="002B5B49" w:rsidRDefault="002B5B49" w:rsidP="00201DCD">
            <w:pPr>
              <w:tabs>
                <w:tab w:val="left" w:pos="1701"/>
              </w:tabs>
              <w:rPr>
                <w:rFonts w:eastAsiaTheme="minorHAnsi"/>
                <w:b/>
                <w:bCs/>
                <w:color w:val="000000"/>
                <w:sz w:val="22"/>
                <w:szCs w:val="22"/>
                <w:lang w:eastAsia="en-US"/>
              </w:rPr>
            </w:pPr>
            <w:r>
              <w:rPr>
                <w:rFonts w:eastAsiaTheme="minorHAnsi"/>
                <w:b/>
                <w:bCs/>
                <w:color w:val="000000"/>
                <w:sz w:val="22"/>
                <w:szCs w:val="22"/>
                <w:lang w:eastAsia="en-US"/>
              </w:rPr>
              <w:t>Information i utskottet</w:t>
            </w:r>
          </w:p>
          <w:p w:rsidR="002B5B49" w:rsidRDefault="002B5B49" w:rsidP="00201DCD">
            <w:pPr>
              <w:tabs>
                <w:tab w:val="left" w:pos="1701"/>
              </w:tabs>
              <w:rPr>
                <w:rFonts w:eastAsiaTheme="minorHAnsi"/>
                <w:b/>
                <w:bCs/>
                <w:color w:val="000000"/>
                <w:sz w:val="22"/>
                <w:szCs w:val="22"/>
                <w:lang w:eastAsia="en-US"/>
              </w:rPr>
            </w:pPr>
          </w:p>
          <w:p w:rsidR="00FD668F" w:rsidRDefault="002B5B49" w:rsidP="00201DCD">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Kanslichefen anmälde att </w:t>
            </w:r>
            <w:r w:rsidR="00FD668F">
              <w:rPr>
                <w:rFonts w:eastAsiaTheme="minorHAnsi"/>
                <w:bCs/>
                <w:color w:val="000000"/>
                <w:sz w:val="22"/>
                <w:szCs w:val="22"/>
                <w:lang w:eastAsia="en-US"/>
              </w:rPr>
              <w:t>information i utskottet kommer att ske enligt följande:</w:t>
            </w:r>
          </w:p>
          <w:p w:rsidR="00FD668F" w:rsidRDefault="002B5B49" w:rsidP="00FD668F">
            <w:pPr>
              <w:pStyle w:val="Liststycke"/>
              <w:numPr>
                <w:ilvl w:val="0"/>
                <w:numId w:val="4"/>
              </w:numPr>
              <w:tabs>
                <w:tab w:val="left" w:pos="1701"/>
              </w:tabs>
              <w:rPr>
                <w:rFonts w:eastAsiaTheme="minorHAnsi"/>
                <w:bCs/>
                <w:color w:val="000000"/>
                <w:sz w:val="22"/>
                <w:szCs w:val="22"/>
                <w:lang w:eastAsia="en-US"/>
              </w:rPr>
            </w:pPr>
            <w:r w:rsidRPr="00FD668F">
              <w:rPr>
                <w:rFonts w:eastAsiaTheme="minorHAnsi"/>
                <w:bCs/>
                <w:color w:val="000000"/>
                <w:sz w:val="22"/>
                <w:szCs w:val="22"/>
                <w:lang w:eastAsia="en-US"/>
              </w:rPr>
              <w:t xml:space="preserve">Miljömålsberedningen om sitt arbete den 29 september 2020 </w:t>
            </w:r>
          </w:p>
          <w:p w:rsidR="002B5B49" w:rsidRPr="00FD668F" w:rsidRDefault="002B5B49" w:rsidP="00FD668F">
            <w:pPr>
              <w:pStyle w:val="Liststycke"/>
              <w:numPr>
                <w:ilvl w:val="0"/>
                <w:numId w:val="4"/>
              </w:numPr>
              <w:tabs>
                <w:tab w:val="left" w:pos="1701"/>
              </w:tabs>
              <w:rPr>
                <w:rFonts w:eastAsiaTheme="minorHAnsi"/>
                <w:bCs/>
                <w:color w:val="000000"/>
                <w:sz w:val="22"/>
                <w:szCs w:val="22"/>
                <w:lang w:eastAsia="en-US"/>
              </w:rPr>
            </w:pPr>
            <w:r w:rsidRPr="00FD668F">
              <w:rPr>
                <w:rFonts w:eastAsiaTheme="minorHAnsi"/>
                <w:bCs/>
                <w:color w:val="000000"/>
                <w:sz w:val="22"/>
                <w:szCs w:val="22"/>
                <w:lang w:eastAsia="en-US"/>
              </w:rPr>
              <w:t>Jordbruksverket och Statens veterinärmedicinska anstalt om arbetet med att förhindra spridning av afrikansk svinpest m.m. den 1 oktober 2020.</w:t>
            </w:r>
          </w:p>
          <w:p w:rsidR="002B5B49" w:rsidRPr="002B5B49" w:rsidRDefault="002B5B49" w:rsidP="00201DCD">
            <w:pPr>
              <w:tabs>
                <w:tab w:val="left" w:pos="1701"/>
              </w:tabs>
              <w:rPr>
                <w:rFonts w:eastAsiaTheme="minorHAnsi"/>
                <w:bCs/>
                <w:color w:val="000000"/>
                <w:sz w:val="22"/>
                <w:szCs w:val="22"/>
                <w:lang w:eastAsia="en-US"/>
              </w:rPr>
            </w:pPr>
          </w:p>
        </w:tc>
      </w:tr>
      <w:tr w:rsidR="00D87D66" w:rsidRPr="00B40F4D" w:rsidTr="00C5706E">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946E67">
              <w:rPr>
                <w:b/>
                <w:snapToGrid w:val="0"/>
                <w:sz w:val="22"/>
                <w:szCs w:val="22"/>
              </w:rPr>
              <w:t>1</w:t>
            </w:r>
            <w:r w:rsidR="002B5B49">
              <w:rPr>
                <w:b/>
                <w:snapToGrid w:val="0"/>
                <w:sz w:val="22"/>
                <w:szCs w:val="22"/>
              </w:rPr>
              <w:t>1</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Nästa sammanträde äger rum t</w:t>
            </w:r>
            <w:r w:rsidR="00946E67">
              <w:rPr>
                <w:snapToGrid w:val="0"/>
                <w:sz w:val="22"/>
                <w:szCs w:val="22"/>
              </w:rPr>
              <w:t>i</w:t>
            </w:r>
            <w:r w:rsidRPr="00B40F4D">
              <w:rPr>
                <w:snapToGrid w:val="0"/>
                <w:sz w:val="22"/>
                <w:szCs w:val="22"/>
              </w:rPr>
              <w:t>sdagen den</w:t>
            </w:r>
            <w:r w:rsidR="00305501" w:rsidRPr="00B40F4D">
              <w:rPr>
                <w:snapToGrid w:val="0"/>
                <w:sz w:val="22"/>
                <w:szCs w:val="22"/>
              </w:rPr>
              <w:t xml:space="preserve"> </w:t>
            </w:r>
            <w:r w:rsidR="00946E67">
              <w:rPr>
                <w:snapToGrid w:val="0"/>
                <w:sz w:val="22"/>
                <w:szCs w:val="22"/>
              </w:rPr>
              <w:t>29 septem</w:t>
            </w:r>
            <w:r w:rsidR="007A1132">
              <w:rPr>
                <w:snapToGrid w:val="0"/>
                <w:sz w:val="22"/>
                <w:szCs w:val="22"/>
              </w:rPr>
              <w:t>ber</w:t>
            </w:r>
            <w:r w:rsidR="00CB71B9">
              <w:rPr>
                <w:snapToGrid w:val="0"/>
                <w:sz w:val="22"/>
                <w:szCs w:val="22"/>
              </w:rPr>
              <w:t xml:space="preserve"> 2020</w:t>
            </w:r>
            <w:r w:rsidRPr="00B40F4D">
              <w:rPr>
                <w:snapToGrid w:val="0"/>
                <w:sz w:val="22"/>
                <w:szCs w:val="22"/>
              </w:rPr>
              <w:t xml:space="preserve"> kl. 1</w:t>
            </w:r>
            <w:r w:rsidR="00946E67">
              <w:rPr>
                <w:snapToGrid w:val="0"/>
                <w:sz w:val="22"/>
                <w:szCs w:val="22"/>
              </w:rPr>
              <w:t>1</w:t>
            </w:r>
            <w:r w:rsidRPr="00B40F4D">
              <w:rPr>
                <w:snapToGrid w:val="0"/>
                <w:sz w:val="22"/>
                <w:szCs w:val="22"/>
              </w:rPr>
              <w:t>.00.</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FB0559" w:rsidRPr="00B40F4D" w:rsidRDefault="00FB0559" w:rsidP="00D5250E">
            <w:pPr>
              <w:tabs>
                <w:tab w:val="left" w:pos="1701"/>
              </w:tabs>
              <w:rPr>
                <w:sz w:val="22"/>
                <w:szCs w:val="22"/>
              </w:rPr>
            </w:pPr>
          </w:p>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 xml:space="preserve">Justeras den </w:t>
            </w:r>
            <w:r w:rsidR="007628EB">
              <w:rPr>
                <w:sz w:val="22"/>
                <w:szCs w:val="22"/>
              </w:rPr>
              <w:t xml:space="preserve">29 </w:t>
            </w:r>
            <w:r w:rsidR="0095737D">
              <w:rPr>
                <w:sz w:val="22"/>
                <w:szCs w:val="22"/>
              </w:rPr>
              <w:t>september</w:t>
            </w:r>
            <w:r w:rsidR="00CB71B9">
              <w:rPr>
                <w:sz w:val="22"/>
                <w:szCs w:val="22"/>
              </w:rPr>
              <w:t xml:space="preserve"> 2020</w:t>
            </w:r>
          </w:p>
          <w:p w:rsidR="00D5250E" w:rsidRPr="00B40F4D" w:rsidRDefault="00D5250E" w:rsidP="00D5250E">
            <w:pPr>
              <w:tabs>
                <w:tab w:val="left" w:pos="1701"/>
              </w:tabs>
              <w:rPr>
                <w:sz w:val="22"/>
                <w:szCs w:val="22"/>
              </w:rPr>
            </w:pPr>
          </w:p>
          <w:p w:rsidR="00D5250E" w:rsidRPr="00B40F4D" w:rsidRDefault="00D5250E" w:rsidP="00157E3A">
            <w:pPr>
              <w:tabs>
                <w:tab w:val="left" w:pos="1701"/>
              </w:tabs>
              <w:rPr>
                <w:b/>
                <w:sz w:val="22"/>
                <w:szCs w:val="22"/>
              </w:rPr>
            </w:pPr>
          </w:p>
          <w:p w:rsidR="00F143DB" w:rsidRPr="00B40F4D" w:rsidRDefault="00F143DB" w:rsidP="00157E3A">
            <w:pPr>
              <w:tabs>
                <w:tab w:val="left" w:pos="1701"/>
              </w:tabs>
              <w:rPr>
                <w:b/>
                <w:sz w:val="22"/>
                <w:szCs w:val="22"/>
              </w:rPr>
            </w:pPr>
          </w:p>
          <w:p w:rsidR="00F143DB" w:rsidRPr="00B40F4D" w:rsidRDefault="00771DE6" w:rsidP="00157E3A">
            <w:pPr>
              <w:tabs>
                <w:tab w:val="left" w:pos="1701"/>
              </w:tabs>
              <w:rPr>
                <w:sz w:val="22"/>
                <w:szCs w:val="22"/>
              </w:rPr>
            </w:pPr>
            <w:r>
              <w:rPr>
                <w:sz w:val="22"/>
                <w:szCs w:val="22"/>
              </w:rPr>
              <w:t>Ulrika Heie</w:t>
            </w:r>
          </w:p>
        </w:tc>
      </w:tr>
    </w:tbl>
    <w:p w:rsidR="00177FF8" w:rsidRDefault="00177FF8">
      <w:pPr>
        <w:tabs>
          <w:tab w:val="left" w:pos="1701"/>
        </w:tabs>
        <w:rPr>
          <w:sz w:val="22"/>
          <w:szCs w:val="22"/>
        </w:rPr>
      </w:pPr>
    </w:p>
    <w:p w:rsidR="00294457" w:rsidRPr="00B40F4D" w:rsidRDefault="00294457">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107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12"/>
        <w:gridCol w:w="414"/>
        <w:gridCol w:w="283"/>
        <w:gridCol w:w="142"/>
        <w:gridCol w:w="425"/>
        <w:gridCol w:w="425"/>
        <w:gridCol w:w="425"/>
        <w:gridCol w:w="92"/>
        <w:gridCol w:w="334"/>
        <w:gridCol w:w="142"/>
        <w:gridCol w:w="1560"/>
      </w:tblGrid>
      <w:tr w:rsidR="009823FA" w:rsidRPr="00B40F4D" w:rsidTr="006C79E6">
        <w:trPr>
          <w:gridAfter w:val="2"/>
          <w:wAfter w:w="170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9"/>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6"/>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w:t>
            </w:r>
            <w:r w:rsidR="007A1132">
              <w:rPr>
                <w:sz w:val="22"/>
                <w:szCs w:val="22"/>
              </w:rPr>
              <w:t>20</w:t>
            </w:r>
            <w:r w:rsidRPr="00B40F4D">
              <w:rPr>
                <w:sz w:val="22"/>
                <w:szCs w:val="22"/>
              </w:rPr>
              <w:t>/</w:t>
            </w:r>
            <w:r w:rsidR="000E777E" w:rsidRPr="00B40F4D">
              <w:rPr>
                <w:sz w:val="22"/>
                <w:szCs w:val="22"/>
              </w:rPr>
              <w:t>2</w:t>
            </w:r>
            <w:r w:rsidR="007A1132">
              <w:rPr>
                <w:sz w:val="22"/>
                <w:szCs w:val="22"/>
              </w:rPr>
              <w:t>1</w:t>
            </w:r>
            <w:r w:rsidRPr="00B40F4D">
              <w:rPr>
                <w:sz w:val="22"/>
                <w:szCs w:val="22"/>
              </w:rPr>
              <w:t>:</w:t>
            </w:r>
            <w:r w:rsidR="0095737D">
              <w:rPr>
                <w:sz w:val="22"/>
                <w:szCs w:val="22"/>
              </w:rPr>
              <w:t>2</w:t>
            </w:r>
          </w:p>
        </w:tc>
      </w:tr>
      <w:tr w:rsidR="009823FA"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roofErr w:type="gramStart"/>
            <w:r w:rsidR="00FC3105">
              <w:rPr>
                <w:sz w:val="22"/>
                <w:szCs w:val="22"/>
              </w:rPr>
              <w:t>1-</w:t>
            </w:r>
            <w:r w:rsidR="00281518">
              <w:rPr>
                <w:sz w:val="22"/>
                <w:szCs w:val="22"/>
              </w:rPr>
              <w:t>5</w:t>
            </w:r>
            <w:proofErr w:type="gramEnd"/>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281518">
              <w:rPr>
                <w:sz w:val="22"/>
                <w:szCs w:val="22"/>
              </w:rPr>
              <w:t xml:space="preserve">§ </w:t>
            </w:r>
            <w:proofErr w:type="gramStart"/>
            <w:r w:rsidR="00281518">
              <w:rPr>
                <w:sz w:val="22"/>
                <w:szCs w:val="22"/>
              </w:rPr>
              <w:t>6-11</w:t>
            </w:r>
            <w:proofErr w:type="gramEnd"/>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4"/>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070A5C" w:rsidRPr="00175C40" w:rsidRDefault="00B40F4D" w:rsidP="00B40F4D">
            <w:pPr>
              <w:spacing w:line="256" w:lineRule="auto"/>
              <w:rPr>
                <w:color w:val="000000"/>
                <w:sz w:val="22"/>
                <w:szCs w:val="22"/>
              </w:rPr>
            </w:pPr>
            <w:r w:rsidRPr="00B40F4D">
              <w:rPr>
                <w:sz w:val="22"/>
                <w:szCs w:val="22"/>
                <w:lang w:eastAsia="en-US"/>
              </w:rPr>
              <w:t>Kristina Yngwe (C),</w:t>
            </w:r>
            <w:r w:rsidRPr="00175C40">
              <w:rPr>
                <w:color w:val="000000"/>
                <w:sz w:val="22"/>
                <w:szCs w:val="22"/>
              </w:rPr>
              <w:t xml:space="preserve"> ordf.</w:t>
            </w:r>
            <w:r w:rsidR="00070A5C" w:rsidRPr="00175C40">
              <w:rPr>
                <w:color w:val="000000"/>
                <w:sz w:val="22"/>
                <w:szCs w:val="22"/>
              </w:rPr>
              <w:t xml:space="preserve">, </w:t>
            </w:r>
            <w:r w:rsidR="00070A5C" w:rsidRPr="002B5B49">
              <w:rPr>
                <w:sz w:val="16"/>
                <w:szCs w:val="16"/>
                <w:lang w:eastAsia="en-US"/>
              </w:rPr>
              <w:t>tjl. t.o.m.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03EC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7628E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C3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Jessica Rosencrantz</w:t>
            </w:r>
            <w:bookmarkStart w:id="2" w:name="_GoBack"/>
            <w:bookmarkEnd w:id="2"/>
            <w:r w:rsidRPr="00B40F4D">
              <w:rPr>
                <w:sz w:val="22"/>
                <w:szCs w:val="22"/>
                <w:lang w:val="en-US" w:eastAsia="en-US"/>
              </w:rPr>
              <w:t xml:space="preserve">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F23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C3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08553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F23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F23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08553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08553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C3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08553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F23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08553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C3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C3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F23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r w:rsidR="00070A5C">
              <w:rPr>
                <w:sz w:val="22"/>
                <w:szCs w:val="22"/>
                <w:lang w:eastAsia="en-US"/>
              </w:rPr>
              <w:t xml:space="preserve">, vik. ordf. </w:t>
            </w:r>
            <w:r w:rsidR="00070A5C" w:rsidRPr="00070A5C">
              <w:rPr>
                <w:sz w:val="18"/>
                <w:szCs w:val="22"/>
                <w:lang w:eastAsia="en-US"/>
              </w:rPr>
              <w:t>t.o.m</w:t>
            </w:r>
            <w:r w:rsidR="00311886">
              <w:rPr>
                <w:sz w:val="18"/>
                <w:szCs w:val="22"/>
                <w:lang w:eastAsia="en-US"/>
              </w:rPr>
              <w:t>.</w:t>
            </w:r>
            <w:r w:rsidR="00070A5C" w:rsidRPr="00070A5C">
              <w:rPr>
                <w:sz w:val="18"/>
                <w:szCs w:val="22"/>
                <w:lang w:eastAsia="en-US"/>
              </w:rPr>
              <w:t xml:space="preserve">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C3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F23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F23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C3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C3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C3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F23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8553B"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08553B" w:rsidRDefault="0008553B" w:rsidP="00B40F4D">
            <w:pPr>
              <w:tabs>
                <w:tab w:val="left" w:pos="2268"/>
                <w:tab w:val="left" w:pos="2977"/>
                <w:tab w:val="left" w:pos="4536"/>
              </w:tabs>
              <w:spacing w:line="256" w:lineRule="auto"/>
              <w:rPr>
                <w:sz w:val="22"/>
                <w:szCs w:val="22"/>
              </w:rPr>
            </w:pPr>
            <w:r>
              <w:rPr>
                <w:sz w:val="22"/>
                <w:szCs w:val="22"/>
              </w:rPr>
              <w:t>Stina Larsson (C)</w:t>
            </w:r>
          </w:p>
        </w:tc>
        <w:tc>
          <w:tcPr>
            <w:tcW w:w="425" w:type="dxa"/>
            <w:tcBorders>
              <w:top w:val="single" w:sz="6" w:space="0" w:color="auto"/>
              <w:left w:val="single" w:sz="6" w:space="0" w:color="auto"/>
              <w:bottom w:val="single" w:sz="6" w:space="0" w:color="auto"/>
              <w:right w:val="single" w:sz="6" w:space="0" w:color="auto"/>
            </w:tcBorders>
          </w:tcPr>
          <w:p w:rsidR="0008553B" w:rsidRPr="00B40F4D" w:rsidRDefault="00CF23A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8553B" w:rsidRPr="00B40F4D" w:rsidRDefault="0008553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8553B"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8553B" w:rsidRPr="00B40F4D" w:rsidRDefault="0008553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8553B" w:rsidRPr="00B40F4D" w:rsidRDefault="0008553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8553B" w:rsidRPr="00B40F4D" w:rsidRDefault="0008553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08553B" w:rsidRPr="00B40F4D" w:rsidRDefault="0008553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8553B" w:rsidRPr="00B40F4D" w:rsidRDefault="0008553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8553B" w:rsidRPr="00B40F4D" w:rsidRDefault="0008553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8553B" w:rsidRPr="00B40F4D" w:rsidRDefault="0008553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8553B" w:rsidRPr="00B40F4D" w:rsidRDefault="0008553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08553B" w:rsidRPr="00B40F4D" w:rsidRDefault="0008553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744E0"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7744E0" w:rsidRDefault="007744E0" w:rsidP="00B40F4D">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7744E0" w:rsidRPr="00B40F4D" w:rsidRDefault="00FC3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7744E0" w:rsidRPr="00B40F4D" w:rsidRDefault="007744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744E0" w:rsidRPr="00B40F4D" w:rsidRDefault="002B5B4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7744E0" w:rsidRPr="00B40F4D" w:rsidRDefault="007744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744E0" w:rsidRPr="00B40F4D" w:rsidRDefault="007744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744E0" w:rsidRPr="00B40F4D" w:rsidRDefault="007744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7744E0" w:rsidRPr="00B40F4D" w:rsidRDefault="007744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744E0" w:rsidRPr="00B40F4D" w:rsidRDefault="007744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744E0" w:rsidRPr="00B40F4D" w:rsidRDefault="007744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744E0" w:rsidRPr="00B40F4D" w:rsidRDefault="007744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744E0" w:rsidRPr="00B40F4D" w:rsidRDefault="007744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7744E0" w:rsidRPr="00B40F4D" w:rsidRDefault="007744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3"/>
        </w:trPr>
        <w:tc>
          <w:tcPr>
            <w:tcW w:w="3969" w:type="dxa"/>
          </w:tcPr>
          <w:p w:rsidR="00B40F4D" w:rsidRPr="002B5B49"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2B5B49">
              <w:rPr>
                <w:sz w:val="18"/>
                <w:szCs w:val="18"/>
              </w:rPr>
              <w:t>N = Närvarande</w:t>
            </w:r>
          </w:p>
        </w:tc>
        <w:tc>
          <w:tcPr>
            <w:tcW w:w="5245" w:type="dxa"/>
            <w:gridSpan w:val="16"/>
          </w:tcPr>
          <w:p w:rsidR="00B40F4D" w:rsidRPr="002B5B49"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2B5B49">
              <w:rPr>
                <w:sz w:val="18"/>
                <w:szCs w:val="18"/>
              </w:rPr>
              <w:t>X = ledamöter som deltagit i handläggningen</w:t>
            </w:r>
          </w:p>
        </w:tc>
      </w:tr>
      <w:tr w:rsidR="00B40F4D" w:rsidRPr="00B40F4D"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2"/>
        </w:trPr>
        <w:tc>
          <w:tcPr>
            <w:tcW w:w="3969" w:type="dxa"/>
          </w:tcPr>
          <w:p w:rsidR="00B40F4D" w:rsidRPr="002B5B49"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2B5B49">
              <w:rPr>
                <w:sz w:val="18"/>
                <w:szCs w:val="18"/>
              </w:rPr>
              <w:t>V = Votering</w:t>
            </w:r>
          </w:p>
        </w:tc>
        <w:tc>
          <w:tcPr>
            <w:tcW w:w="5245" w:type="dxa"/>
            <w:gridSpan w:val="16"/>
          </w:tcPr>
          <w:p w:rsidR="00B40F4D" w:rsidRPr="002B5B49"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2B5B49">
              <w:rPr>
                <w:sz w:val="18"/>
                <w:szCs w:val="18"/>
              </w:rPr>
              <w:t xml:space="preserve">O = </w:t>
            </w:r>
            <w:bookmarkStart w:id="3" w:name="_Hlk50734258"/>
            <w:r w:rsidRPr="002B5B49">
              <w:rPr>
                <w:sz w:val="18"/>
                <w:szCs w:val="18"/>
              </w:rPr>
              <w:t>ledamöter som härutöver varit närvarande</w:t>
            </w:r>
            <w:bookmarkEnd w:id="3"/>
          </w:p>
        </w:tc>
      </w:tr>
      <w:tr w:rsidR="006C79E6" w:rsidRPr="00430B91" w:rsidTr="006C7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32" w:type="dxa"/>
            <w:gridSpan w:val="8"/>
          </w:tcPr>
          <w:p w:rsidR="006C79E6" w:rsidRPr="00430B91" w:rsidRDefault="006C79E6" w:rsidP="00085EF4">
            <w:pPr>
              <w:tabs>
                <w:tab w:val="left" w:pos="1276"/>
              </w:tabs>
              <w:rPr>
                <w:sz w:val="22"/>
                <w:szCs w:val="22"/>
              </w:rPr>
            </w:pPr>
            <w:r w:rsidRPr="00430B91">
              <w:rPr>
                <w:sz w:val="22"/>
                <w:szCs w:val="22"/>
              </w:rPr>
              <w:lastRenderedPageBreak/>
              <w:br w:type="page"/>
              <w:t>MILJÖ- OCH JORDBRUKSUTSKOTTET</w:t>
            </w:r>
          </w:p>
        </w:tc>
        <w:tc>
          <w:tcPr>
            <w:tcW w:w="2206" w:type="dxa"/>
            <w:gridSpan w:val="7"/>
          </w:tcPr>
          <w:p w:rsidR="006C79E6" w:rsidRPr="00430B91" w:rsidRDefault="006C79E6" w:rsidP="00085EF4">
            <w:pPr>
              <w:tabs>
                <w:tab w:val="left" w:pos="1276"/>
              </w:tabs>
              <w:rPr>
                <w:sz w:val="22"/>
                <w:szCs w:val="22"/>
              </w:rPr>
            </w:pPr>
          </w:p>
        </w:tc>
        <w:tc>
          <w:tcPr>
            <w:tcW w:w="2036" w:type="dxa"/>
            <w:gridSpan w:val="3"/>
          </w:tcPr>
          <w:p w:rsidR="006C79E6" w:rsidRPr="00430B91" w:rsidRDefault="006C79E6" w:rsidP="00085EF4">
            <w:pPr>
              <w:tabs>
                <w:tab w:val="left" w:pos="1276"/>
              </w:tabs>
              <w:ind w:right="-212"/>
              <w:rPr>
                <w:b/>
                <w:sz w:val="22"/>
                <w:szCs w:val="22"/>
              </w:rPr>
            </w:pPr>
            <w:r w:rsidRPr="00430B91">
              <w:rPr>
                <w:b/>
                <w:sz w:val="22"/>
                <w:szCs w:val="22"/>
              </w:rPr>
              <w:t>Bilaga 2</w:t>
            </w:r>
          </w:p>
          <w:p w:rsidR="006C79E6" w:rsidRPr="00430B91" w:rsidRDefault="006C79E6" w:rsidP="00085EF4">
            <w:pPr>
              <w:tabs>
                <w:tab w:val="left" w:pos="1276"/>
              </w:tabs>
              <w:ind w:right="-212"/>
              <w:rPr>
                <w:sz w:val="22"/>
                <w:szCs w:val="22"/>
              </w:rPr>
            </w:pPr>
            <w:r w:rsidRPr="00430B91">
              <w:rPr>
                <w:sz w:val="22"/>
                <w:szCs w:val="22"/>
              </w:rPr>
              <w:t>till protokoll</w:t>
            </w:r>
          </w:p>
          <w:p w:rsidR="006C79E6" w:rsidRPr="00430B91" w:rsidRDefault="006C79E6" w:rsidP="00085EF4">
            <w:pPr>
              <w:tabs>
                <w:tab w:val="left" w:pos="1276"/>
              </w:tabs>
              <w:ind w:right="-212"/>
              <w:rPr>
                <w:b/>
                <w:sz w:val="22"/>
                <w:szCs w:val="22"/>
              </w:rPr>
            </w:pPr>
            <w:r w:rsidRPr="00430B91">
              <w:rPr>
                <w:sz w:val="22"/>
                <w:szCs w:val="22"/>
              </w:rPr>
              <w:t>2020/21:2</w:t>
            </w:r>
          </w:p>
        </w:tc>
      </w:tr>
    </w:tbl>
    <w:p w:rsidR="006C79E6" w:rsidRPr="00430B91" w:rsidRDefault="006C79E6" w:rsidP="006C79E6">
      <w:pPr>
        <w:rPr>
          <w:b/>
          <w:bCs/>
          <w:sz w:val="22"/>
          <w:szCs w:val="22"/>
        </w:rPr>
      </w:pPr>
    </w:p>
    <w:p w:rsidR="006C79E6" w:rsidRPr="00430B91" w:rsidRDefault="006C79E6" w:rsidP="006C79E6">
      <w:pPr>
        <w:rPr>
          <w:b/>
          <w:bCs/>
          <w:color w:val="000000"/>
          <w:sz w:val="22"/>
          <w:szCs w:val="22"/>
        </w:rPr>
      </w:pPr>
      <w:r w:rsidRPr="00430B91">
        <w:rPr>
          <w:b/>
          <w:sz w:val="22"/>
          <w:szCs w:val="22"/>
        </w:rPr>
        <w:t xml:space="preserve">Överläggning den 17 september 2020 om kommissionens meddelande om en </w:t>
      </w:r>
      <w:r w:rsidRPr="00430B91">
        <w:rPr>
          <w:b/>
          <w:bCs/>
          <w:color w:val="000000"/>
          <w:sz w:val="22"/>
          <w:szCs w:val="22"/>
        </w:rPr>
        <w:t>från jord till bord-strategi</w:t>
      </w:r>
    </w:p>
    <w:p w:rsidR="006C79E6" w:rsidRPr="00430B91" w:rsidRDefault="006C79E6" w:rsidP="006C79E6">
      <w:pPr>
        <w:rPr>
          <w:b/>
          <w:sz w:val="22"/>
          <w:szCs w:val="22"/>
        </w:rPr>
      </w:pPr>
    </w:p>
    <w:p w:rsidR="006C79E6" w:rsidRPr="00430B91" w:rsidRDefault="006C79E6" w:rsidP="006C79E6">
      <w:pPr>
        <w:autoSpaceDE w:val="0"/>
        <w:autoSpaceDN w:val="0"/>
        <w:adjustRightInd w:val="0"/>
        <w:rPr>
          <w:rFonts w:eastAsiaTheme="minorHAnsi"/>
          <w:sz w:val="22"/>
          <w:szCs w:val="22"/>
          <w:lang w:eastAsia="en-US"/>
        </w:rPr>
      </w:pPr>
      <w:r w:rsidRPr="00430B91">
        <w:rPr>
          <w:b/>
          <w:sz w:val="22"/>
          <w:szCs w:val="22"/>
        </w:rPr>
        <w:t>Förslag till svenska ståndpunkter:</w:t>
      </w:r>
      <w:r w:rsidRPr="00430B91">
        <w:rPr>
          <w:sz w:val="22"/>
          <w:szCs w:val="22"/>
        </w:rPr>
        <w:br/>
      </w:r>
      <w:r w:rsidRPr="00430B91">
        <w:rPr>
          <w:rFonts w:eastAsiaTheme="minorHAnsi"/>
          <w:sz w:val="22"/>
          <w:szCs w:val="22"/>
          <w:lang w:eastAsia="en-US"/>
        </w:rPr>
        <w:t>Livsmedelsproduktion har en betydande roll att spela i övergången till ett hållbart samhälle. Regeringen välkomnar därför kommissionens initiativ till en strategi för ett hållbart livsmedelssystem inom ramen för den gröna givens målsättning. EU bör sträva efter ett hållbart livsmedelssystem som</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håller hög standard och tar hänsyn till miljö, inklusive biologisk mångfald, klimat, människors hälsa, djurhälsa och djurvälfärd och ansvarsfull användning av antibiotika och samtidigt bidrar till en konkurrenskraftig livsmedelskedja.</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Regeringen välkomnar att hållbarhet ska främjas i det globala perspektivet, i linje med målen för denna strategi, FN:s mål för hållbar utveckling och våra åtaganden under parisavtalet. En viktig utgångspunkt i arbetet är den svenska livsmedelsstrategin där målet är en konkurrenskraftig livsmedelskedja där den totala livsmedelsproduktionen ökar, samtidigt som relevanta nationella</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miljömål nås, i syfte att skapa tillväxt och sysselsättning och bidra till hållbar utveckling i hela landet.</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Regeringen anser att strategin bör bidra till att utveckla ett långsiktigt hållbart och robust samhälle som aktivt möter klimatförändringarna genom att minska sårbarheter och ta tillvara möjligheter, vilket i sin tur bidrar till en hållbar livsmedelsproduktion.</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Regeringen anser att ett balanserat och integrerat förhållningssätt till hållbarhetens ekonomiska, sociala och miljömässiga dimensioner är centralt. Arbetet bör utgå från nationella förutsättningar och bör genomföras i ordinarie nationella processer.</w:t>
      </w:r>
    </w:p>
    <w:p w:rsidR="006C79E6" w:rsidRPr="00430B91" w:rsidRDefault="006C79E6" w:rsidP="006C79E6">
      <w:pPr>
        <w:autoSpaceDE w:val="0"/>
        <w:autoSpaceDN w:val="0"/>
        <w:adjustRightInd w:val="0"/>
        <w:rPr>
          <w:rFonts w:eastAsiaTheme="minorHAnsi"/>
          <w:sz w:val="22"/>
          <w:szCs w:val="22"/>
          <w:lang w:eastAsia="en-US"/>
        </w:rPr>
      </w:pPr>
    </w:p>
    <w:p w:rsidR="006C79E6" w:rsidRPr="00430B91" w:rsidRDefault="006C79E6" w:rsidP="006C79E6">
      <w:pPr>
        <w:autoSpaceDE w:val="0"/>
        <w:autoSpaceDN w:val="0"/>
        <w:adjustRightInd w:val="0"/>
        <w:rPr>
          <w:rFonts w:eastAsiaTheme="minorHAnsi"/>
          <w:i/>
          <w:iCs/>
          <w:sz w:val="22"/>
          <w:szCs w:val="22"/>
          <w:lang w:eastAsia="en-US"/>
        </w:rPr>
      </w:pPr>
      <w:r w:rsidRPr="00430B91">
        <w:rPr>
          <w:rFonts w:eastAsiaTheme="minorHAnsi"/>
          <w:i/>
          <w:iCs/>
          <w:sz w:val="22"/>
          <w:szCs w:val="22"/>
          <w:lang w:eastAsia="en-US"/>
        </w:rPr>
        <w:t>Målen</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I förslaget finns det flera siffersatta mål. Det är viktigt att kommissionen redovisar konsekvensanalyser som en del av det fortsatta arbetet. Effekterna för ett enskilt land av siffersatta mål beror av hur dessa utformas. Om målet utgår från en genomsnittlig nivå inom EU, kan det leda till mer likartade konkurrensvillkor om länder med hög förbrukning av antibiotika, kemiska växtskyddsmedel och växtnäring får ett större beting att minska sin förbrukning. Om varje land däremot ska minska sin användning enligt siffersatta mål så blir utmaningarna större för länder som till exempel Sverige</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som redan ligger lägst inom EU i antibiotikaförbrukning till produktionsdjuren, och har en låg användning av kemiska växtskyddsmedel och av växtnäring.</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Regeringen stöder en inriktning att överanvändningen av insatsmedel minskar på EU-nivå så att framför allt länder med hög förbrukning och låg effektivitet sänker sin användning. EU bör sträva mot en ansvarsfull användning av insatsmedel i alla medlemsländer i syfte att skydda människors hälsa och miljön samt bidra till en ökad livsmedelsförsörjning.</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En viktig del i EU:s gröna giv och i EU:s biodiversitetsstrategi är ansvarsfullt nyttjande av naturresurser som möjliggör ett hållbart och aktivt jord- och skogsbruk. En överanvändning av växtskyddsmedel och växtnäring leder till försämringar i naturmiljön. Regeringen anser att principerna för siffersatta mål behöver klarläggas och att det ska finnas en flexibilitet mellan medlemsländerna. Principen för fördelning mellan medlemsländer behöver vara lika konkurrensvillkor och erbjuda flexibilitet.</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Regeringen anser att varje medlemslands utgångspunkt behöver tas i beaktande. Innovationer behövs så att produktiviteten samtidigt kan utvecklas. Enskilda medlemsstaters utgångspunkt kan vara mycket olika och samma siffersatta målsättning för alla kan medföra relativ liten effekt i de länder som ligger i framkant. Länder med hög förbrukning och låg effektivitet behöver sänka sin användning mest, då det ger störst miljö- och klimatnytta i förhållande till kostnaderna. Med utgångspunkt i det svenska generationsmålet för miljöpolitiken anser regeringen att det är viktigt att strategin genomförs utan att orsaka ökade miljö- och hälsoproblem utanför EU:s gränser.</w:t>
      </w:r>
    </w:p>
    <w:p w:rsidR="006C79E6" w:rsidRPr="00430B91" w:rsidRDefault="006C79E6" w:rsidP="006C79E6">
      <w:pPr>
        <w:autoSpaceDE w:val="0"/>
        <w:autoSpaceDN w:val="0"/>
        <w:adjustRightInd w:val="0"/>
        <w:rPr>
          <w:rFonts w:eastAsiaTheme="minorHAnsi"/>
          <w:sz w:val="22"/>
          <w:szCs w:val="22"/>
          <w:lang w:eastAsia="en-US"/>
        </w:rPr>
      </w:pPr>
    </w:p>
    <w:p w:rsidR="006C79E6" w:rsidRPr="00430B91" w:rsidRDefault="006C79E6" w:rsidP="006C79E6">
      <w:pPr>
        <w:autoSpaceDE w:val="0"/>
        <w:autoSpaceDN w:val="0"/>
        <w:adjustRightInd w:val="0"/>
        <w:rPr>
          <w:rFonts w:eastAsiaTheme="minorHAnsi"/>
          <w:i/>
          <w:iCs/>
          <w:sz w:val="22"/>
          <w:szCs w:val="22"/>
          <w:lang w:eastAsia="en-US"/>
        </w:rPr>
      </w:pPr>
      <w:r w:rsidRPr="00430B91">
        <w:rPr>
          <w:rFonts w:eastAsiaTheme="minorHAnsi"/>
          <w:i/>
          <w:iCs/>
          <w:sz w:val="22"/>
          <w:szCs w:val="22"/>
          <w:lang w:eastAsia="en-US"/>
        </w:rPr>
        <w:t>Växters sundhet och växtförädling</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Regeringen välkomnar en ökande ambitionsnivå för växters sundhet. Regeringen anser att nya växtförädlingstekniker innebär stora möjligheter att anpassa växterna till våra behov. Därmed bör nya tekniska metoder och innovationer utnyttjas och uppmuntras för att säkerställa tillgång till lokala</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och regionala växtsorter samt för att bidra till största möjliga nyttjande av produktionsresurser och till jordbrukets anpassning till ett förändrat klimat. Importreglerna måste vara motiverade av växtskyddsskäl och inte leda till handelshinder.</w:t>
      </w:r>
    </w:p>
    <w:p w:rsidR="006C79E6" w:rsidRPr="00430B91" w:rsidRDefault="006C79E6" w:rsidP="006C79E6">
      <w:pPr>
        <w:autoSpaceDE w:val="0"/>
        <w:autoSpaceDN w:val="0"/>
        <w:adjustRightInd w:val="0"/>
        <w:rPr>
          <w:rFonts w:eastAsiaTheme="minorHAnsi"/>
          <w:sz w:val="22"/>
          <w:szCs w:val="22"/>
          <w:lang w:eastAsia="en-US"/>
        </w:rPr>
      </w:pPr>
    </w:p>
    <w:p w:rsidR="006C79E6" w:rsidRPr="00430B91" w:rsidRDefault="006C79E6" w:rsidP="006C79E6">
      <w:pPr>
        <w:autoSpaceDE w:val="0"/>
        <w:autoSpaceDN w:val="0"/>
        <w:adjustRightInd w:val="0"/>
        <w:rPr>
          <w:rFonts w:eastAsiaTheme="minorHAnsi"/>
          <w:i/>
          <w:iCs/>
          <w:sz w:val="22"/>
          <w:szCs w:val="22"/>
          <w:lang w:eastAsia="en-US"/>
        </w:rPr>
      </w:pPr>
      <w:r w:rsidRPr="00430B91">
        <w:rPr>
          <w:rFonts w:eastAsiaTheme="minorHAnsi"/>
          <w:i/>
          <w:iCs/>
          <w:sz w:val="22"/>
          <w:szCs w:val="22"/>
          <w:lang w:eastAsia="en-US"/>
        </w:rPr>
        <w:lastRenderedPageBreak/>
        <w:t>GJP</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Regeringen stöder en ökad miljö- och klimatambition i GJP och välkomnar kommissionens stöd för en öronmärkning av medel för miljöprogram i pelare 1, eftersom det ger ökad andel av medel på EU-nivå för riktade åtgärder. Regeringen anser att det är viktigt att de obligatoriska villkoren (</w:t>
      </w:r>
      <w:proofErr w:type="spellStart"/>
      <w:r w:rsidRPr="00430B91">
        <w:rPr>
          <w:rFonts w:eastAsiaTheme="minorHAnsi"/>
          <w:sz w:val="22"/>
          <w:szCs w:val="22"/>
          <w:lang w:eastAsia="en-US"/>
        </w:rPr>
        <w:t>konditionalitet</w:t>
      </w:r>
      <w:proofErr w:type="spellEnd"/>
      <w:r w:rsidRPr="00430B91">
        <w:rPr>
          <w:rFonts w:eastAsiaTheme="minorHAnsi"/>
          <w:sz w:val="22"/>
          <w:szCs w:val="22"/>
          <w:lang w:eastAsia="en-US"/>
        </w:rPr>
        <w:t>) utformas så att de blir effektiva och ger hög miljönytta i förhållande till kostnaderna. Regeringen anser att det är viktigt att subsidiariteten är en huvudprincip, även vad gäller de rekommendationer som kommissionen, i linje med F2F, ska ge till medlemsstaterna som en del av arbetet med de strategiska planerna.</w:t>
      </w:r>
    </w:p>
    <w:p w:rsidR="006C79E6" w:rsidRPr="00430B91" w:rsidRDefault="006C79E6" w:rsidP="006C79E6">
      <w:pPr>
        <w:autoSpaceDE w:val="0"/>
        <w:autoSpaceDN w:val="0"/>
        <w:adjustRightInd w:val="0"/>
        <w:rPr>
          <w:rFonts w:eastAsiaTheme="minorHAnsi"/>
          <w:sz w:val="22"/>
          <w:szCs w:val="22"/>
          <w:lang w:eastAsia="en-US"/>
        </w:rPr>
      </w:pPr>
    </w:p>
    <w:p w:rsidR="006C79E6" w:rsidRPr="00430B91" w:rsidRDefault="006C79E6" w:rsidP="006C79E6">
      <w:pPr>
        <w:autoSpaceDE w:val="0"/>
        <w:autoSpaceDN w:val="0"/>
        <w:adjustRightInd w:val="0"/>
        <w:rPr>
          <w:rFonts w:eastAsiaTheme="minorHAnsi"/>
          <w:i/>
          <w:iCs/>
          <w:sz w:val="22"/>
          <w:szCs w:val="22"/>
          <w:lang w:eastAsia="en-US"/>
        </w:rPr>
      </w:pPr>
      <w:r w:rsidRPr="00430B91">
        <w:rPr>
          <w:rFonts w:eastAsiaTheme="minorHAnsi"/>
          <w:i/>
          <w:iCs/>
          <w:sz w:val="22"/>
          <w:szCs w:val="22"/>
          <w:lang w:eastAsia="en-US"/>
        </w:rPr>
        <w:t>Avsättning av jordbruksmark</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Regeringen anser att obligatoriska krav på avsättning av jordbruksmark behöver kunna anpassas till lokala och regionala förhållanden. I områden med ett varierat landskap med såväl jordbruk som skogsbruk, är behovet mindre än det är i slättområden med liten variation. I skogsdominerade</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områden bidrar förekomsten och brukandet av jordbruksmarken till ökad biodiversitet. Här kan ett krav på avsättning av jordbruksmark vara kontraproduktivt om det inte går att kombinera med aktivt brukande. Principerna för vad som ska räknas in i ett mål om avsättning av mark</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behöver klarläggas.</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Vad gäller obligatoriska krav på avsättning av jordbruksmark behöver konsekvenserna analyseras och kunna anpassas till lokala och regionala förhållanden för att adekvat kunna bidra till målet om ökad biologisk mångfald.</w:t>
      </w:r>
    </w:p>
    <w:p w:rsidR="006C79E6" w:rsidRPr="00430B91" w:rsidRDefault="006C79E6" w:rsidP="006C79E6">
      <w:pPr>
        <w:autoSpaceDE w:val="0"/>
        <w:autoSpaceDN w:val="0"/>
        <w:adjustRightInd w:val="0"/>
        <w:rPr>
          <w:rFonts w:eastAsiaTheme="minorHAnsi"/>
          <w:sz w:val="22"/>
          <w:szCs w:val="22"/>
          <w:lang w:eastAsia="en-US"/>
        </w:rPr>
      </w:pPr>
    </w:p>
    <w:p w:rsidR="006C79E6" w:rsidRPr="00430B91" w:rsidRDefault="006C79E6" w:rsidP="006C79E6">
      <w:pPr>
        <w:autoSpaceDE w:val="0"/>
        <w:autoSpaceDN w:val="0"/>
        <w:adjustRightInd w:val="0"/>
        <w:rPr>
          <w:rFonts w:eastAsiaTheme="minorHAnsi"/>
          <w:i/>
          <w:iCs/>
          <w:sz w:val="22"/>
          <w:szCs w:val="22"/>
          <w:lang w:eastAsia="en-US"/>
        </w:rPr>
      </w:pPr>
      <w:r w:rsidRPr="00430B91">
        <w:rPr>
          <w:rFonts w:eastAsiaTheme="minorHAnsi"/>
          <w:i/>
          <w:iCs/>
          <w:sz w:val="22"/>
          <w:szCs w:val="22"/>
          <w:lang w:eastAsia="en-US"/>
        </w:rPr>
        <w:t>Kolinlagring</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Regeringen anser att fokus för strategin bör ligga på utveckling av sektorn och är positiv till kommissionens förslag om att utveckla en certifiering och stödja affärsmodeller för kolinlagring i jordbruksmark. Regeringen anser att bevarande och restaurering av sänkor kan vara en effektiv klimatåtgärd samtidigt som detta inte får hindra ett aktivt och hållbart jord- och skogsbruk i syfte att bidra till långsiktig och hållbar ökad produktion av bioenergi, livsmedel och fossilfria material från jord- och skogsbruket.</w:t>
      </w:r>
    </w:p>
    <w:p w:rsidR="006C79E6" w:rsidRPr="00430B91" w:rsidRDefault="006C79E6" w:rsidP="006C79E6">
      <w:pPr>
        <w:autoSpaceDE w:val="0"/>
        <w:autoSpaceDN w:val="0"/>
        <w:adjustRightInd w:val="0"/>
        <w:rPr>
          <w:rFonts w:eastAsiaTheme="minorHAnsi"/>
          <w:i/>
          <w:iCs/>
          <w:sz w:val="22"/>
          <w:szCs w:val="22"/>
          <w:lang w:eastAsia="en-US"/>
        </w:rPr>
      </w:pPr>
    </w:p>
    <w:p w:rsidR="006C79E6" w:rsidRPr="00430B91" w:rsidRDefault="006C79E6" w:rsidP="006C79E6">
      <w:pPr>
        <w:autoSpaceDE w:val="0"/>
        <w:autoSpaceDN w:val="0"/>
        <w:adjustRightInd w:val="0"/>
        <w:rPr>
          <w:rFonts w:eastAsiaTheme="minorHAnsi"/>
          <w:i/>
          <w:iCs/>
          <w:sz w:val="22"/>
          <w:szCs w:val="22"/>
          <w:lang w:eastAsia="en-US"/>
        </w:rPr>
      </w:pPr>
      <w:r w:rsidRPr="00430B91">
        <w:rPr>
          <w:rFonts w:eastAsiaTheme="minorHAnsi"/>
          <w:i/>
          <w:iCs/>
          <w:sz w:val="22"/>
          <w:szCs w:val="22"/>
          <w:lang w:eastAsia="en-US"/>
        </w:rPr>
        <w:t>Marknadsorientering</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Regeringen anser att det är viktigt att marknadsorienteringen av GJP bibehålls. Regeringen är därför skeptisk till kommissionens förslag om att öka omfattningen av krisåtgärder för livsmedelssystemen, då det kan riskera att ingripa i marknadens funktion och prissättning. Marknadsorienteringen av GJP har visat sig ändamålsenlig för att trygga livsmedelsförsörjningen och livsmedelssäkerheten.</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Många av de föreslagna lagstiftningspaketen berör indirekt aktörer i livsmedelskedjan. Det är därför viktigt att lyfta fram konkurrenskraftsaspekterna, särskilt för små och medelstora företag, på kort</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och lång sikt, samt möjligheten att utveckla nya innovativa och klimatsmarta livsmedelsprodukter (t.ex. från vattenbruk). Det finns även olika aspekter kring kommissionens rekommendationer för</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 xml:space="preserve">hur medlemsstaterna ska uppfylla de nio särskilda målen i GJP genom åtgärder inom GJP och vilken legal </w:t>
      </w:r>
      <w:proofErr w:type="gramStart"/>
      <w:r w:rsidRPr="00430B91">
        <w:rPr>
          <w:rFonts w:eastAsiaTheme="minorHAnsi"/>
          <w:sz w:val="22"/>
          <w:szCs w:val="22"/>
          <w:lang w:eastAsia="en-US"/>
        </w:rPr>
        <w:t>roll rekommendationerna</w:t>
      </w:r>
      <w:proofErr w:type="gramEnd"/>
      <w:r w:rsidRPr="00430B91">
        <w:rPr>
          <w:rFonts w:eastAsiaTheme="minorHAnsi"/>
          <w:sz w:val="22"/>
          <w:szCs w:val="22"/>
          <w:lang w:eastAsia="en-US"/>
        </w:rPr>
        <w:t xml:space="preserve"> för godkännandet av planen har. Samtidigt är regeringen i grunden positiv till den öppna dialog som kommissionen bjudit in till för att diskutera dessa frågor och ser möjligheter i det stöd som rekommendationerna kan bidra med. Det är viktigt att arbetet med rekommendationer och nationella mål sker öppet och med insyn från olika aktörer och att det ges en möjlighet att se såväl den samlade effekten som insatser från respektive medlemsstat.</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Regeringen anser att det är viktigt att de mål och regelverk som utvecklas under F2F blir effektiva och proportionerliga samt icke-diskriminerande, vilket också gäller i det internationella perspektivet, och så pass flexibla att ny kunskap och nya innovationer kan komma till användning så snart som möjligt. Det är viktigt att målen i F2F på ett samstämmigt sätt bidrar till den gröna givens övergripande målsättning.</w:t>
      </w:r>
    </w:p>
    <w:p w:rsidR="006C79E6" w:rsidRPr="00430B91" w:rsidRDefault="006C79E6" w:rsidP="006C79E6">
      <w:pPr>
        <w:autoSpaceDE w:val="0"/>
        <w:autoSpaceDN w:val="0"/>
        <w:adjustRightInd w:val="0"/>
        <w:rPr>
          <w:rFonts w:eastAsiaTheme="minorHAnsi"/>
          <w:sz w:val="22"/>
          <w:szCs w:val="22"/>
          <w:lang w:eastAsia="en-US"/>
        </w:rPr>
      </w:pPr>
    </w:p>
    <w:p w:rsidR="006C79E6" w:rsidRPr="00430B91" w:rsidRDefault="006C79E6" w:rsidP="006C79E6">
      <w:pPr>
        <w:autoSpaceDE w:val="0"/>
        <w:autoSpaceDN w:val="0"/>
        <w:adjustRightInd w:val="0"/>
        <w:rPr>
          <w:rFonts w:eastAsiaTheme="minorHAnsi"/>
          <w:i/>
          <w:iCs/>
          <w:sz w:val="22"/>
          <w:szCs w:val="22"/>
          <w:lang w:eastAsia="en-US"/>
        </w:rPr>
      </w:pPr>
      <w:r w:rsidRPr="00430B91">
        <w:rPr>
          <w:rFonts w:eastAsiaTheme="minorHAnsi"/>
          <w:i/>
          <w:iCs/>
          <w:sz w:val="22"/>
          <w:szCs w:val="22"/>
          <w:lang w:eastAsia="en-US"/>
        </w:rPr>
        <w:t>Konsument och hälsa</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Regeringen instämmer i att tillgången till tydlig information gör det lättare för konsumenter att välja hälsosamma och hållbara livsmedel. Regeringen ser positivt på kommissionens ambition att utveckla nya och vidareutveckla befintliga verktyg vad gäller konsumentinformation för att främja en hållbar</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livsmedelskonsumtion. Det gäller bland annat konsumenternas möjligheter att göra medvetna och hållbara val, t.ex. avseende djurhållning, miljö och klimat. Regeringen ser därför positivt på att kommissionen avser att överväga alternativ för djurskyddsmärkning för att bättre kunna överföra</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värdet genom livsmedelskedjan.</w:t>
      </w:r>
    </w:p>
    <w:p w:rsidR="006C79E6" w:rsidRPr="00430B91" w:rsidRDefault="006C79E6" w:rsidP="006C79E6">
      <w:pPr>
        <w:autoSpaceDE w:val="0"/>
        <w:autoSpaceDN w:val="0"/>
        <w:adjustRightInd w:val="0"/>
        <w:rPr>
          <w:rFonts w:eastAsiaTheme="minorHAnsi"/>
          <w:sz w:val="22"/>
          <w:szCs w:val="22"/>
          <w:lang w:eastAsia="en-US"/>
        </w:rPr>
      </w:pPr>
      <w:r w:rsidRPr="00430B91">
        <w:rPr>
          <w:rFonts w:eastAsiaTheme="minorHAnsi"/>
          <w:sz w:val="22"/>
          <w:szCs w:val="22"/>
          <w:lang w:eastAsia="en-US"/>
        </w:rPr>
        <w:t>Regeringen ser även positivt på FOPNL och vill särskilt framhålla den nordiska märkningen Nyckelhålet. Det är viktigt att en framsidesmärkning tar hänsyn till regionala skillnader i matvanor och hälsoutmaningar samt att den vilar på vetenskaplig grund. Därför bör märkningen vara frivillig och inte obligatorisk.</w:t>
      </w:r>
    </w:p>
    <w:p w:rsidR="006C79E6" w:rsidRPr="00430B91" w:rsidRDefault="006C79E6" w:rsidP="006C79E6">
      <w:pPr>
        <w:autoSpaceDE w:val="0"/>
        <w:autoSpaceDN w:val="0"/>
        <w:adjustRightInd w:val="0"/>
        <w:rPr>
          <w:sz w:val="22"/>
          <w:szCs w:val="22"/>
        </w:rPr>
      </w:pPr>
      <w:r w:rsidRPr="00430B91">
        <w:rPr>
          <w:rFonts w:eastAsiaTheme="minorHAnsi"/>
          <w:sz w:val="22"/>
          <w:szCs w:val="22"/>
          <w:lang w:eastAsia="en-US"/>
        </w:rPr>
        <w:t>Regeringen välkomnar även att kommissionen har beslutat att man ska föreslå rättsligt bindande mål för minskning av livsmedelsavfallet i EU.</w:t>
      </w:r>
      <w:r w:rsidRPr="00430B91">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C79E6" w:rsidRPr="00430B91" w:rsidTr="00085EF4">
        <w:tc>
          <w:tcPr>
            <w:tcW w:w="6532" w:type="dxa"/>
          </w:tcPr>
          <w:p w:rsidR="006C79E6" w:rsidRPr="00430B91" w:rsidRDefault="006C79E6" w:rsidP="00085EF4">
            <w:pPr>
              <w:tabs>
                <w:tab w:val="left" w:pos="1276"/>
              </w:tabs>
              <w:rPr>
                <w:sz w:val="22"/>
                <w:szCs w:val="22"/>
              </w:rPr>
            </w:pPr>
            <w:bookmarkStart w:id="4" w:name="_Hlk51092777"/>
            <w:r w:rsidRPr="00430B91">
              <w:rPr>
                <w:sz w:val="22"/>
                <w:szCs w:val="22"/>
              </w:rPr>
              <w:lastRenderedPageBreak/>
              <w:br w:type="page"/>
              <w:t>MILJÖ- OCH JORDBRUKSUTSKOTTET</w:t>
            </w:r>
          </w:p>
        </w:tc>
        <w:tc>
          <w:tcPr>
            <w:tcW w:w="2206" w:type="dxa"/>
          </w:tcPr>
          <w:p w:rsidR="006C79E6" w:rsidRPr="00430B91" w:rsidRDefault="006C79E6" w:rsidP="00085EF4">
            <w:pPr>
              <w:tabs>
                <w:tab w:val="left" w:pos="1276"/>
              </w:tabs>
              <w:rPr>
                <w:sz w:val="22"/>
                <w:szCs w:val="22"/>
              </w:rPr>
            </w:pPr>
          </w:p>
        </w:tc>
        <w:tc>
          <w:tcPr>
            <w:tcW w:w="2036" w:type="dxa"/>
          </w:tcPr>
          <w:p w:rsidR="006C79E6" w:rsidRPr="00430B91" w:rsidRDefault="006C79E6" w:rsidP="00085EF4">
            <w:pPr>
              <w:tabs>
                <w:tab w:val="left" w:pos="1276"/>
              </w:tabs>
              <w:ind w:right="-212"/>
              <w:rPr>
                <w:b/>
                <w:sz w:val="22"/>
                <w:szCs w:val="22"/>
              </w:rPr>
            </w:pPr>
            <w:r w:rsidRPr="00430B91">
              <w:rPr>
                <w:b/>
                <w:sz w:val="22"/>
                <w:szCs w:val="22"/>
              </w:rPr>
              <w:t>Bilaga 3</w:t>
            </w:r>
          </w:p>
          <w:p w:rsidR="006C79E6" w:rsidRPr="00430B91" w:rsidRDefault="006C79E6" w:rsidP="00085EF4">
            <w:pPr>
              <w:tabs>
                <w:tab w:val="left" w:pos="1276"/>
              </w:tabs>
              <w:ind w:right="-212"/>
              <w:rPr>
                <w:sz w:val="22"/>
                <w:szCs w:val="22"/>
              </w:rPr>
            </w:pPr>
            <w:r w:rsidRPr="00430B91">
              <w:rPr>
                <w:sz w:val="22"/>
                <w:szCs w:val="22"/>
              </w:rPr>
              <w:t>till protokoll</w:t>
            </w:r>
          </w:p>
          <w:p w:rsidR="006C79E6" w:rsidRPr="00430B91" w:rsidRDefault="006C79E6" w:rsidP="00085EF4">
            <w:pPr>
              <w:tabs>
                <w:tab w:val="left" w:pos="1276"/>
              </w:tabs>
              <w:ind w:right="-212"/>
              <w:rPr>
                <w:b/>
                <w:sz w:val="22"/>
                <w:szCs w:val="22"/>
              </w:rPr>
            </w:pPr>
            <w:r w:rsidRPr="00430B91">
              <w:rPr>
                <w:sz w:val="22"/>
                <w:szCs w:val="22"/>
              </w:rPr>
              <w:t>2020/21:2</w:t>
            </w:r>
          </w:p>
        </w:tc>
      </w:tr>
      <w:bookmarkEnd w:id="4"/>
    </w:tbl>
    <w:p w:rsidR="006C79E6" w:rsidRPr="00430B91" w:rsidRDefault="006C79E6" w:rsidP="006C79E6">
      <w:pPr>
        <w:rPr>
          <w:sz w:val="22"/>
          <w:szCs w:val="22"/>
        </w:rPr>
      </w:pPr>
    </w:p>
    <w:p w:rsidR="006C79E6" w:rsidRPr="00430B91" w:rsidRDefault="006C79E6" w:rsidP="006C79E6">
      <w:pPr>
        <w:rPr>
          <w:b/>
          <w:sz w:val="22"/>
          <w:szCs w:val="22"/>
        </w:rPr>
      </w:pPr>
      <w:r w:rsidRPr="00430B91">
        <w:rPr>
          <w:b/>
          <w:sz w:val="22"/>
          <w:szCs w:val="22"/>
        </w:rPr>
        <w:t xml:space="preserve">§ 2 </w:t>
      </w:r>
      <w:r w:rsidRPr="00430B91">
        <w:rPr>
          <w:b/>
          <w:bCs/>
          <w:color w:val="000000"/>
          <w:sz w:val="22"/>
          <w:szCs w:val="22"/>
        </w:rPr>
        <w:t>Kommissionens meddelande Från jord till bord-strategin för ett rättvisare, hälsosammare och miljövänligare livsmedelssystem</w:t>
      </w:r>
      <w:r w:rsidRPr="00430B91">
        <w:rPr>
          <w:b/>
          <w:bCs/>
          <w:color w:val="000000"/>
          <w:sz w:val="22"/>
          <w:szCs w:val="22"/>
        </w:rPr>
        <w:br/>
      </w:r>
      <w:r w:rsidRPr="00430B91">
        <w:rPr>
          <w:b/>
          <w:sz w:val="22"/>
          <w:szCs w:val="22"/>
        </w:rPr>
        <w:br/>
        <w:t>SD-ledamöterna anmälde följande avvikande ståndpunkt:</w:t>
      </w:r>
      <w:r w:rsidRPr="00430B91">
        <w:rPr>
          <w:b/>
          <w:sz w:val="22"/>
          <w:szCs w:val="22"/>
        </w:rPr>
        <w:br/>
      </w:r>
    </w:p>
    <w:p w:rsidR="006C79E6" w:rsidRPr="00430B91" w:rsidRDefault="006C79E6" w:rsidP="006C79E6">
      <w:pPr>
        <w:rPr>
          <w:sz w:val="22"/>
          <w:szCs w:val="22"/>
        </w:rPr>
      </w:pPr>
      <w:r w:rsidRPr="00430B91">
        <w:rPr>
          <w:sz w:val="22"/>
          <w:szCs w:val="22"/>
        </w:rPr>
        <w:t>Kommentarer till Sveriges av regeringen föreslagna position.</w:t>
      </w:r>
    </w:p>
    <w:p w:rsidR="006C79E6" w:rsidRPr="00430B91" w:rsidRDefault="006C79E6" w:rsidP="006C79E6">
      <w:pPr>
        <w:rPr>
          <w:sz w:val="22"/>
          <w:szCs w:val="22"/>
        </w:rPr>
      </w:pPr>
    </w:p>
    <w:p w:rsidR="006C79E6" w:rsidRPr="00430B91" w:rsidRDefault="006C79E6" w:rsidP="006C79E6">
      <w:pPr>
        <w:rPr>
          <w:b/>
          <w:sz w:val="22"/>
          <w:szCs w:val="22"/>
        </w:rPr>
      </w:pPr>
      <w:r w:rsidRPr="00430B91">
        <w:rPr>
          <w:b/>
          <w:sz w:val="22"/>
          <w:szCs w:val="22"/>
        </w:rPr>
        <w:t>Antibiotikaresistens</w:t>
      </w:r>
    </w:p>
    <w:p w:rsidR="006C79E6" w:rsidRPr="00430B91" w:rsidRDefault="006C79E6" w:rsidP="006C79E6">
      <w:pPr>
        <w:rPr>
          <w:sz w:val="22"/>
          <w:szCs w:val="22"/>
        </w:rPr>
      </w:pPr>
      <w:r w:rsidRPr="00430B91">
        <w:rPr>
          <w:sz w:val="22"/>
          <w:szCs w:val="22"/>
        </w:rPr>
        <w:t>Nuvarande skrivning i positionen bör skärpas. Uttrycket att det blir utmaningar för Sverige som har EU:s lägsta antibiotikaförbrukning att minska förbrukningen i linje med det siffersatta målet reflekterar inte konsekvensernas storlek. Skrivningen kan uppfattas som att vi bara måste anstränga oss lite mer. Saken är den att Sverige redan har pressat sin antibiotikaförbrukning under många år och nu troligen ligger vid en gräns där ytterligare minskning skulle få negativa effekter för djurhälsan.</w:t>
      </w:r>
    </w:p>
    <w:p w:rsidR="006C79E6" w:rsidRPr="00430B91" w:rsidRDefault="006C79E6" w:rsidP="006C79E6">
      <w:pPr>
        <w:rPr>
          <w:sz w:val="22"/>
          <w:szCs w:val="22"/>
        </w:rPr>
      </w:pPr>
    </w:p>
    <w:p w:rsidR="006C79E6" w:rsidRPr="00430B91" w:rsidRDefault="006C79E6" w:rsidP="006C79E6">
      <w:pPr>
        <w:rPr>
          <w:sz w:val="22"/>
          <w:szCs w:val="22"/>
        </w:rPr>
      </w:pPr>
      <w:r w:rsidRPr="00430B91">
        <w:rPr>
          <w:sz w:val="22"/>
          <w:szCs w:val="22"/>
        </w:rPr>
        <w:t>Vi Sverigedemokrater vill att Sveriges position ska nämna att djurhälsan kan komma att försämras i det beskrivna scenariot.</w:t>
      </w:r>
    </w:p>
    <w:p w:rsidR="006C79E6" w:rsidRPr="00430B91" w:rsidRDefault="006C79E6" w:rsidP="006C79E6">
      <w:pPr>
        <w:rPr>
          <w:sz w:val="22"/>
          <w:szCs w:val="22"/>
        </w:rPr>
      </w:pPr>
    </w:p>
    <w:p w:rsidR="006C79E6" w:rsidRPr="00430B91" w:rsidRDefault="006C79E6" w:rsidP="006C79E6">
      <w:pPr>
        <w:rPr>
          <w:b/>
          <w:sz w:val="22"/>
          <w:szCs w:val="22"/>
        </w:rPr>
      </w:pPr>
      <w:r w:rsidRPr="00430B91">
        <w:rPr>
          <w:b/>
          <w:sz w:val="22"/>
          <w:szCs w:val="22"/>
        </w:rPr>
        <w:t>Siffersatta mål</w:t>
      </w:r>
    </w:p>
    <w:p w:rsidR="006C79E6" w:rsidRPr="00430B91" w:rsidRDefault="006C79E6" w:rsidP="006C79E6">
      <w:pPr>
        <w:rPr>
          <w:sz w:val="22"/>
          <w:szCs w:val="22"/>
        </w:rPr>
      </w:pPr>
      <w:r w:rsidRPr="00430B91">
        <w:rPr>
          <w:sz w:val="22"/>
          <w:szCs w:val="22"/>
        </w:rPr>
        <w:t>En god politik ska enligt vår mening kunna väga av alla värden. Om de siffersatta målen blir bindande kommer avvägningar att bli svårare att göra. Intentionen i EU:s och Sveriges arbete syns vara att minska överanvändning av växtskyddsmedel och gödselmedel. Det är en god ambition, men för ett eller flera av dessa mål kan kommande konsekvensanalyser som EU-kommissionen har aviserat att visa att överanvändningen är mycket mindre än den procentsats som föreslagits av EU-kommissionen. I det fallet kommer en minskning att gå ut över produktiviteten om man inte lyckas utveckla ny teknik eller metoder. För att bibehålla produktiviteten eller att kunna väga produktivitet mot minskning av växtskyddsmedel eller gödselmedel kan inte de nuvarande siffersatta målen bli bindande. Konsekvensanalyserna blir i annat fall inte underlag för beslut utan bara information som beskriver de konsekvenser som kommer att följa av målen. Alternativt kan man i andra hand justera ned de siffersatta målen till den överanvändning som man har upptäckt i konsekvensanalyserna, men då driver man inte nödvändigtvis på den positiva teknikutvecklingen.</w:t>
      </w:r>
    </w:p>
    <w:p w:rsidR="006C79E6" w:rsidRPr="00430B91" w:rsidRDefault="006C79E6" w:rsidP="006C79E6">
      <w:pPr>
        <w:rPr>
          <w:sz w:val="22"/>
          <w:szCs w:val="22"/>
        </w:rPr>
      </w:pPr>
    </w:p>
    <w:p w:rsidR="006C79E6" w:rsidRPr="00430B91" w:rsidRDefault="006C79E6" w:rsidP="006C79E6">
      <w:pPr>
        <w:rPr>
          <w:sz w:val="22"/>
          <w:szCs w:val="22"/>
        </w:rPr>
      </w:pPr>
      <w:r w:rsidRPr="00430B91">
        <w:rPr>
          <w:sz w:val="22"/>
          <w:szCs w:val="22"/>
        </w:rPr>
        <w:t>Vi vill att Sverige ska driva att de siffersatta målen inte ska bli bindande.</w:t>
      </w:r>
    </w:p>
    <w:p w:rsidR="006C79E6" w:rsidRPr="00430B91" w:rsidRDefault="006C79E6" w:rsidP="006C79E6">
      <w:pPr>
        <w:rPr>
          <w:sz w:val="22"/>
          <w:szCs w:val="22"/>
        </w:rPr>
      </w:pPr>
    </w:p>
    <w:p w:rsidR="006C79E6" w:rsidRPr="00430B91" w:rsidRDefault="006C79E6" w:rsidP="006C79E6">
      <w:pPr>
        <w:rPr>
          <w:b/>
          <w:sz w:val="22"/>
          <w:szCs w:val="22"/>
        </w:rPr>
      </w:pPr>
      <w:r w:rsidRPr="00430B91">
        <w:rPr>
          <w:b/>
          <w:sz w:val="22"/>
          <w:szCs w:val="22"/>
        </w:rPr>
        <w:t>Obligatoriskt krav på avsättning av jordbruksmark för ekologisk produktion</w:t>
      </w:r>
    </w:p>
    <w:p w:rsidR="006C79E6" w:rsidRPr="00430B91" w:rsidRDefault="006C79E6" w:rsidP="006C79E6">
      <w:pPr>
        <w:rPr>
          <w:sz w:val="22"/>
          <w:szCs w:val="22"/>
        </w:rPr>
      </w:pPr>
      <w:r w:rsidRPr="00430B91">
        <w:rPr>
          <w:sz w:val="22"/>
          <w:szCs w:val="22"/>
        </w:rPr>
        <w:t>Ett obligatoriskt krav på avsättning av jordbruksmark för ekologisk produktion kan bli problematiskt om kravet inte följer marknadens efterfrågan. Ett stöd av kravet gör att Sveriges föreslagna position avviker från huvudinriktningen om marknadsorientering. Åtgärder kan förmå jordbrukare att ställa om till ekologisk produktion utan att efterfrågan ökar eller så kan efterfrågan sjunka efter ett tag. Om så, kan jordbrukare bli inlåsta i ett produktionssystem med högre relativa omkostnader utan att kunna få betalt för mervärdet. Då är det bättre att utveckla produktiviteten i ekologisk produktion och att arbeta för att få marknaden för ekologiska produkter att fungera bättre. Man kan även skapa ökad efterfrågan av ekologiska produkter genom offentlig upphandling om man bedömer att pengar finns, men då är det viktigt att i första hand kräva lokalproducerade produkter, annars främjar man import istället.</w:t>
      </w:r>
    </w:p>
    <w:p w:rsidR="006C79E6" w:rsidRPr="00430B91" w:rsidRDefault="006C79E6" w:rsidP="006C79E6">
      <w:pPr>
        <w:rPr>
          <w:sz w:val="22"/>
          <w:szCs w:val="22"/>
        </w:rPr>
      </w:pPr>
    </w:p>
    <w:p w:rsidR="006C79E6" w:rsidRPr="00430B91" w:rsidRDefault="006C79E6" w:rsidP="006C79E6">
      <w:pPr>
        <w:rPr>
          <w:sz w:val="22"/>
          <w:szCs w:val="22"/>
        </w:rPr>
      </w:pPr>
      <w:r w:rsidRPr="00430B91">
        <w:rPr>
          <w:sz w:val="22"/>
          <w:szCs w:val="22"/>
        </w:rPr>
        <w:t xml:space="preserve">Vi vill att obligatoriska krav på avsättning av jordbruksmark inte ska ställas. </w:t>
      </w:r>
    </w:p>
    <w:p w:rsidR="006C79E6" w:rsidRPr="00430B91" w:rsidRDefault="006C79E6" w:rsidP="006C79E6">
      <w:pPr>
        <w:rPr>
          <w:sz w:val="22"/>
          <w:szCs w:val="22"/>
        </w:rPr>
      </w:pPr>
    </w:p>
    <w:p w:rsidR="006C79E6" w:rsidRPr="00430B91" w:rsidRDefault="006C79E6" w:rsidP="006C79E6">
      <w:pPr>
        <w:rPr>
          <w:b/>
          <w:sz w:val="22"/>
          <w:szCs w:val="22"/>
        </w:rPr>
      </w:pPr>
      <w:r w:rsidRPr="00430B91">
        <w:rPr>
          <w:b/>
          <w:sz w:val="22"/>
          <w:szCs w:val="22"/>
        </w:rPr>
        <w:t>Märkning för hållbara livsmedel</w:t>
      </w:r>
    </w:p>
    <w:p w:rsidR="006C79E6" w:rsidRPr="00430B91" w:rsidRDefault="006C79E6" w:rsidP="006C79E6">
      <w:pPr>
        <w:rPr>
          <w:sz w:val="22"/>
          <w:szCs w:val="22"/>
        </w:rPr>
      </w:pPr>
      <w:r w:rsidRPr="00430B91">
        <w:rPr>
          <w:sz w:val="22"/>
          <w:szCs w:val="22"/>
        </w:rPr>
        <w:t>Vi vill utvidga märkningen av hållbara livsmedel med information som motverkar spridning av smittsamma djursjukdomar. Den afrikanska svinpesten har nu kommit till Tyskland. Man tror att spridningen till Belgien kom med matrester från ett område där svinpesten redan fanns. Oförstånd är den troliga orsaken. Något som skulle bidra mycket till livsmedlens hållbarhet är om spridning av denna svinpest och andra framtida sjukdomar kunde hejdas. Därför vill vi att Sverige ska lyfta möjligheten att märka relevanta livsmedelsprodukter med information till konsumenten om vad den ska undvika för att inte sprida smittsamma djursjukdomar, när nu märkning och hållbarhet diskuteras.</w:t>
      </w:r>
    </w:p>
    <w:p w:rsidR="006C79E6" w:rsidRPr="00430B91" w:rsidRDefault="006C79E6" w:rsidP="006C79E6">
      <w:pPr>
        <w:rPr>
          <w:sz w:val="22"/>
          <w:szCs w:val="22"/>
        </w:rPr>
      </w:pPr>
    </w:p>
    <w:p w:rsidR="005E4FF4" w:rsidRDefault="006C79E6" w:rsidP="006C79E6">
      <w:pPr>
        <w:rPr>
          <w:sz w:val="22"/>
          <w:szCs w:val="22"/>
        </w:rPr>
      </w:pPr>
      <w:r w:rsidRPr="00430B91">
        <w:rPr>
          <w:sz w:val="22"/>
          <w:szCs w:val="22"/>
        </w:rPr>
        <w:t>Vi vill att Sverige ska lyfta möjligheten att märka relevanta livsmedelsprodukter med information till konsumenten om vad den ska undvika för att inte sprida smittsamma djursjukdomar.</w:t>
      </w:r>
      <w:r w:rsidR="005E4FF4">
        <w:rPr>
          <w:sz w:val="22"/>
          <w:szCs w:val="22"/>
        </w:rPr>
        <w:br w:type="page"/>
      </w:r>
    </w:p>
    <w:p w:rsidR="00091EA6" w:rsidRPr="00B40F4D" w:rsidRDefault="00091EA6">
      <w:pPr>
        <w:rPr>
          <w:sz w:val="22"/>
          <w:szCs w:val="22"/>
        </w:rPr>
      </w:pPr>
    </w:p>
    <w:tbl>
      <w:tblPr>
        <w:tblW w:w="10080" w:type="dxa"/>
        <w:tblInd w:w="-15" w:type="dxa"/>
        <w:tblLayout w:type="fixed"/>
        <w:tblCellMar>
          <w:left w:w="70" w:type="dxa"/>
          <w:right w:w="70" w:type="dxa"/>
        </w:tblCellMar>
        <w:tblLook w:val="0000" w:firstRow="0" w:lastRow="0" w:firstColumn="0" w:lastColumn="0" w:noHBand="0" w:noVBand="0"/>
      </w:tblPr>
      <w:tblGrid>
        <w:gridCol w:w="15"/>
        <w:gridCol w:w="1885"/>
        <w:gridCol w:w="3572"/>
        <w:gridCol w:w="1843"/>
        <w:gridCol w:w="1701"/>
        <w:gridCol w:w="992"/>
        <w:gridCol w:w="72"/>
      </w:tblGrid>
      <w:tr w:rsidR="00BE1EBF" w:rsidRPr="00B40F4D" w:rsidTr="009A0C25">
        <w:trPr>
          <w:gridBefore w:val="1"/>
          <w:gridAfter w:val="2"/>
          <w:wBefore w:w="15" w:type="dxa"/>
          <w:wAfter w:w="1064" w:type="dxa"/>
        </w:trPr>
        <w:tc>
          <w:tcPr>
            <w:tcW w:w="5457" w:type="dxa"/>
            <w:gridSpan w:val="2"/>
          </w:tcPr>
          <w:p w:rsidR="00091EA6" w:rsidRPr="00B40F4D" w:rsidRDefault="00091EA6" w:rsidP="00FB5A42">
            <w:pPr>
              <w:tabs>
                <w:tab w:val="left" w:pos="1276"/>
              </w:tabs>
              <w:rPr>
                <w:sz w:val="22"/>
                <w:szCs w:val="22"/>
              </w:rPr>
            </w:pPr>
          </w:p>
          <w:p w:rsidR="00BE1EBF" w:rsidRPr="00B40F4D" w:rsidRDefault="00BE1EBF" w:rsidP="00FB5A42">
            <w:pPr>
              <w:tabs>
                <w:tab w:val="left" w:pos="1276"/>
              </w:tabs>
              <w:rPr>
                <w:sz w:val="22"/>
                <w:szCs w:val="22"/>
              </w:rPr>
            </w:pPr>
            <w:r w:rsidRPr="00B40F4D">
              <w:rPr>
                <w:sz w:val="22"/>
                <w:szCs w:val="22"/>
              </w:rPr>
              <w:br w:type="page"/>
              <w:t>MILJÖ- OCH JORDBRUKSUTSKOTTET</w:t>
            </w:r>
          </w:p>
        </w:tc>
        <w:tc>
          <w:tcPr>
            <w:tcW w:w="1843" w:type="dxa"/>
          </w:tcPr>
          <w:p w:rsidR="00BE1EBF" w:rsidRPr="00B40F4D" w:rsidRDefault="00BE1EBF" w:rsidP="00FB5A42">
            <w:pPr>
              <w:tabs>
                <w:tab w:val="left" w:pos="1276"/>
              </w:tabs>
              <w:rPr>
                <w:sz w:val="22"/>
                <w:szCs w:val="22"/>
              </w:rPr>
            </w:pPr>
          </w:p>
        </w:tc>
        <w:tc>
          <w:tcPr>
            <w:tcW w:w="1701" w:type="dxa"/>
          </w:tcPr>
          <w:p w:rsidR="00BE1EBF" w:rsidRPr="00B40F4D" w:rsidRDefault="00BE1EBF" w:rsidP="00FB5A42">
            <w:pPr>
              <w:tabs>
                <w:tab w:val="left" w:pos="1276"/>
              </w:tabs>
              <w:ind w:right="-212"/>
              <w:rPr>
                <w:b/>
                <w:sz w:val="22"/>
                <w:szCs w:val="22"/>
              </w:rPr>
            </w:pPr>
            <w:r w:rsidRPr="00B40F4D">
              <w:rPr>
                <w:b/>
                <w:sz w:val="22"/>
                <w:szCs w:val="22"/>
              </w:rPr>
              <w:t xml:space="preserve">Bilaga </w:t>
            </w:r>
            <w:r w:rsidR="007744E0">
              <w:rPr>
                <w:b/>
                <w:sz w:val="22"/>
                <w:szCs w:val="22"/>
              </w:rPr>
              <w:t>4</w:t>
            </w:r>
          </w:p>
          <w:p w:rsidR="00BE1EBF" w:rsidRPr="00B40F4D" w:rsidRDefault="00BE1EBF" w:rsidP="00FB5A42">
            <w:pPr>
              <w:tabs>
                <w:tab w:val="left" w:pos="1276"/>
              </w:tabs>
              <w:ind w:right="-212"/>
              <w:rPr>
                <w:sz w:val="22"/>
                <w:szCs w:val="22"/>
              </w:rPr>
            </w:pPr>
            <w:r w:rsidRPr="00B40F4D">
              <w:rPr>
                <w:sz w:val="22"/>
                <w:szCs w:val="22"/>
              </w:rPr>
              <w:t>till protokoll</w:t>
            </w:r>
          </w:p>
          <w:p w:rsidR="00BE1EBF" w:rsidRPr="00B40F4D" w:rsidRDefault="00335938" w:rsidP="00335938">
            <w:pPr>
              <w:tabs>
                <w:tab w:val="left" w:pos="1276"/>
              </w:tabs>
              <w:ind w:right="-212"/>
              <w:rPr>
                <w:b/>
                <w:sz w:val="22"/>
                <w:szCs w:val="22"/>
              </w:rPr>
            </w:pPr>
            <w:r w:rsidRPr="00B40F4D">
              <w:rPr>
                <w:sz w:val="22"/>
                <w:szCs w:val="22"/>
              </w:rPr>
              <w:t>20</w:t>
            </w:r>
            <w:r w:rsidR="007A1132">
              <w:rPr>
                <w:sz w:val="22"/>
                <w:szCs w:val="22"/>
              </w:rPr>
              <w:t>20</w:t>
            </w:r>
            <w:r w:rsidR="00BE1EBF" w:rsidRPr="00B40F4D">
              <w:rPr>
                <w:sz w:val="22"/>
                <w:szCs w:val="22"/>
              </w:rPr>
              <w:t>/</w:t>
            </w:r>
            <w:r w:rsidR="009B38A7" w:rsidRPr="00B40F4D">
              <w:rPr>
                <w:sz w:val="22"/>
                <w:szCs w:val="22"/>
              </w:rPr>
              <w:t>2</w:t>
            </w:r>
            <w:r w:rsidR="007A1132">
              <w:rPr>
                <w:sz w:val="22"/>
                <w:szCs w:val="22"/>
              </w:rPr>
              <w:t>1</w:t>
            </w:r>
            <w:r w:rsidR="00BE1EBF" w:rsidRPr="00B40F4D">
              <w:rPr>
                <w:sz w:val="22"/>
                <w:szCs w:val="22"/>
              </w:rPr>
              <w:t>:</w:t>
            </w:r>
            <w:r w:rsidR="00C85589">
              <w:rPr>
                <w:sz w:val="22"/>
                <w:szCs w:val="22"/>
              </w:rPr>
              <w:t>2</w:t>
            </w:r>
          </w:p>
        </w:tc>
      </w:tr>
      <w:tr w:rsidR="00AB1421" w:rsidRPr="00B40F4D" w:rsidTr="009A0C25">
        <w:trPr>
          <w:gridBefore w:val="1"/>
          <w:gridAfter w:val="1"/>
          <w:wBefore w:w="15" w:type="dxa"/>
          <w:wAfter w:w="72" w:type="dxa"/>
          <w:trHeight w:val="450"/>
        </w:trPr>
        <w:tc>
          <w:tcPr>
            <w:tcW w:w="9993" w:type="dxa"/>
            <w:gridSpan w:val="5"/>
            <w:tcBorders>
              <w:left w:val="nil"/>
              <w:bottom w:val="single" w:sz="4" w:space="0" w:color="A9A9A9"/>
              <w:right w:val="nil"/>
            </w:tcBorders>
            <w:shd w:val="clear" w:color="auto" w:fill="auto"/>
            <w:vAlign w:val="bottom"/>
          </w:tcPr>
          <w:p w:rsidR="00AB1421" w:rsidRPr="00B40F4D" w:rsidRDefault="00AB1421" w:rsidP="002A14AC">
            <w:pPr>
              <w:widowControl/>
              <w:rPr>
                <w:b/>
                <w:bCs/>
                <w:sz w:val="22"/>
                <w:szCs w:val="22"/>
              </w:rPr>
            </w:pPr>
            <w:r w:rsidRPr="00B40F4D">
              <w:rPr>
                <w:b/>
                <w:bCs/>
                <w:sz w:val="22"/>
                <w:szCs w:val="22"/>
              </w:rPr>
              <w:t>Till MJU inkom</w:t>
            </w:r>
            <w:r w:rsidR="00A65C53" w:rsidRPr="00B40F4D">
              <w:rPr>
                <w:b/>
                <w:bCs/>
                <w:sz w:val="22"/>
                <w:szCs w:val="22"/>
              </w:rPr>
              <w:t>na EU-dokument m.m.</w:t>
            </w:r>
            <w:r w:rsidR="00C85589">
              <w:rPr>
                <w:b/>
                <w:bCs/>
                <w:sz w:val="22"/>
                <w:szCs w:val="22"/>
              </w:rPr>
              <w:t xml:space="preserve"> 20 augusti - 14 september</w:t>
            </w:r>
            <w:r w:rsidR="00A65C53" w:rsidRPr="00B40F4D">
              <w:rPr>
                <w:b/>
                <w:bCs/>
                <w:sz w:val="22"/>
                <w:szCs w:val="22"/>
              </w:rPr>
              <w:t xml:space="preserve">    </w:t>
            </w:r>
            <w:r w:rsidR="002D06F9" w:rsidRPr="00B40F4D">
              <w:rPr>
                <w:b/>
                <w:bCs/>
                <w:sz w:val="22"/>
                <w:szCs w:val="22"/>
              </w:rPr>
              <w:t>20</w:t>
            </w:r>
            <w:r w:rsidR="0023528F">
              <w:rPr>
                <w:b/>
                <w:bCs/>
                <w:sz w:val="22"/>
                <w:szCs w:val="22"/>
              </w:rPr>
              <w:t>20</w:t>
            </w:r>
          </w:p>
        </w:tc>
      </w:tr>
      <w:tr w:rsidR="009A0C25" w:rsidRPr="00B40F4D" w:rsidTr="009A0C25">
        <w:trPr>
          <w:gridBefore w:val="1"/>
          <w:gridAfter w:val="1"/>
          <w:wBefore w:w="15"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9A0C25" w:rsidRPr="00B40F4D" w:rsidRDefault="009A0C25" w:rsidP="00BB69BD">
            <w:pPr>
              <w:pStyle w:val="Rubrik1"/>
              <w:spacing w:before="0" w:after="0"/>
              <w:rPr>
                <w:sz w:val="22"/>
                <w:szCs w:val="22"/>
              </w:rPr>
            </w:pPr>
            <w:r w:rsidRPr="00B40F4D">
              <w:rPr>
                <w:bCs/>
                <w:sz w:val="22"/>
                <w:szCs w:val="22"/>
              </w:rPr>
              <w:t>COM-dokument. (Kommissionens utkast till lagförslag och andra meddelanden från kommissionen inklusive det förberedande arbetet till lagförslag såsom grön- och vitböcker, rapporter m.m.)</w:t>
            </w:r>
          </w:p>
        </w:tc>
      </w:tr>
      <w:tr w:rsidR="009A0C25"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9A0C25" w:rsidRPr="00B40F4D" w:rsidRDefault="009A0C25" w:rsidP="00BB69BD">
            <w:pPr>
              <w:rPr>
                <w:b/>
                <w:bCs/>
                <w:sz w:val="22"/>
                <w:szCs w:val="22"/>
              </w:rPr>
            </w:pPr>
            <w:r w:rsidRPr="00B40F4D">
              <w:rPr>
                <w:b/>
                <w:bCs/>
                <w:sz w:val="22"/>
                <w:szCs w:val="22"/>
              </w:rPr>
              <w:t>Beteckning</w:t>
            </w:r>
          </w:p>
        </w:tc>
        <w:tc>
          <w:tcPr>
            <w:tcW w:w="8180" w:type="dxa"/>
            <w:gridSpan w:val="5"/>
            <w:shd w:val="clear" w:color="auto" w:fill="auto"/>
            <w:vAlign w:val="center"/>
          </w:tcPr>
          <w:p w:rsidR="009A0C25" w:rsidRPr="00B40F4D" w:rsidRDefault="009A0C25" w:rsidP="00BB69BD">
            <w:pPr>
              <w:rPr>
                <w:b/>
                <w:bCs/>
                <w:sz w:val="22"/>
                <w:szCs w:val="22"/>
              </w:rPr>
            </w:pPr>
            <w:r w:rsidRPr="00B40F4D">
              <w:rPr>
                <w:b/>
                <w:bCs/>
                <w:sz w:val="22"/>
                <w:szCs w:val="22"/>
              </w:rPr>
              <w:t>Rubrik</w:t>
            </w: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EF7243" w:rsidRDefault="00C949FF" w:rsidP="00EF7243">
            <w:pPr>
              <w:rPr>
                <w:bCs/>
                <w:sz w:val="22"/>
                <w:szCs w:val="22"/>
              </w:rPr>
            </w:pPr>
            <w:hyperlink r:id="rId10" w:history="1">
              <w:proofErr w:type="gramStart"/>
              <w:r w:rsidR="00EF7243" w:rsidRPr="00EF7243">
                <w:rPr>
                  <w:rStyle w:val="Hyperlnk"/>
                  <w:color w:val="auto"/>
                  <w:sz w:val="22"/>
                  <w:szCs w:val="22"/>
                  <w:u w:val="none"/>
                </w:rPr>
                <w:t>COM(</w:t>
              </w:r>
              <w:proofErr w:type="gramEnd"/>
              <w:r w:rsidR="00EF7243" w:rsidRPr="00EF7243">
                <w:rPr>
                  <w:rStyle w:val="Hyperlnk"/>
                  <w:color w:val="auto"/>
                  <w:sz w:val="22"/>
                  <w:szCs w:val="22"/>
                  <w:u w:val="none"/>
                </w:rPr>
                <w:t>2020) 387</w:t>
              </w:r>
            </w:hyperlink>
          </w:p>
        </w:tc>
        <w:tc>
          <w:tcPr>
            <w:tcW w:w="8180" w:type="dxa"/>
            <w:gridSpan w:val="5"/>
            <w:shd w:val="clear" w:color="auto" w:fill="auto"/>
            <w:vAlign w:val="center"/>
          </w:tcPr>
          <w:p w:rsidR="00EF7243" w:rsidRPr="00365A40" w:rsidRDefault="00EF7243" w:rsidP="00EF7243">
            <w:pPr>
              <w:rPr>
                <w:bCs/>
                <w:sz w:val="22"/>
                <w:szCs w:val="22"/>
              </w:rPr>
            </w:pPr>
            <w:r w:rsidRPr="00365A40">
              <w:rPr>
                <w:sz w:val="22"/>
                <w:szCs w:val="22"/>
              </w:rPr>
              <w:t>RAPPORT från kommissionen till Europaparlamentet och rådet TRETTONDE ekonomiska RAPPORTEN från kommissionen till Europaparlamentet och rådet OM Europeiska JORDBRUKSFONDEN FÖR LANDSBYGDSUTVECKLING (EJFLU) BUDGETÅRET 2019</w:t>
            </w:r>
            <w:r w:rsidRPr="00365A40">
              <w:rPr>
                <w:sz w:val="22"/>
                <w:szCs w:val="22"/>
              </w:rPr>
              <w:br/>
            </w: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EF7243" w:rsidRDefault="00C949FF" w:rsidP="00EF7243">
            <w:pPr>
              <w:rPr>
                <w:sz w:val="22"/>
                <w:szCs w:val="22"/>
              </w:rPr>
            </w:pPr>
            <w:hyperlink r:id="rId11" w:history="1">
              <w:proofErr w:type="gramStart"/>
              <w:r w:rsidR="00EF7243" w:rsidRPr="00EF7243">
                <w:rPr>
                  <w:rStyle w:val="Hyperlnk"/>
                  <w:color w:val="auto"/>
                  <w:sz w:val="22"/>
                  <w:szCs w:val="22"/>
                  <w:u w:val="none"/>
                </w:rPr>
                <w:t>COM(</w:t>
              </w:r>
              <w:proofErr w:type="gramEnd"/>
              <w:r w:rsidR="00EF7243" w:rsidRPr="00EF7243">
                <w:rPr>
                  <w:rStyle w:val="Hyperlnk"/>
                  <w:color w:val="auto"/>
                  <w:sz w:val="22"/>
                  <w:szCs w:val="22"/>
                  <w:u w:val="none"/>
                </w:rPr>
                <w:t>2020) 431</w:t>
              </w:r>
            </w:hyperlink>
          </w:p>
        </w:tc>
        <w:tc>
          <w:tcPr>
            <w:tcW w:w="8180" w:type="dxa"/>
            <w:gridSpan w:val="5"/>
            <w:shd w:val="clear" w:color="auto" w:fill="auto"/>
            <w:vAlign w:val="center"/>
          </w:tcPr>
          <w:p w:rsidR="00EF7243" w:rsidRPr="00365A40" w:rsidRDefault="00EF7243" w:rsidP="00EF7243">
            <w:pPr>
              <w:rPr>
                <w:sz w:val="22"/>
                <w:szCs w:val="22"/>
              </w:rPr>
            </w:pPr>
            <w:r w:rsidRPr="00365A40">
              <w:rPr>
                <w:sz w:val="22"/>
                <w:szCs w:val="22"/>
              </w:rPr>
              <w:t>Förslag till rådets förordning om ändring av rådets förordning (EU) 2019/2236 av den 16 december 2019 om fastställande för 2020 av de fiskemöjligheter för vissa fiskbestånd och grupper av fiskbestånd som är tillämpliga i Medelhavet och Svarta havet</w:t>
            </w:r>
            <w:r w:rsidRPr="00365A40">
              <w:rPr>
                <w:sz w:val="22"/>
                <w:szCs w:val="22"/>
              </w:rPr>
              <w:br/>
            </w: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EF7243" w:rsidRDefault="00C949FF" w:rsidP="00EF7243">
            <w:pPr>
              <w:rPr>
                <w:sz w:val="22"/>
                <w:szCs w:val="22"/>
              </w:rPr>
            </w:pPr>
            <w:hyperlink r:id="rId12" w:history="1">
              <w:proofErr w:type="gramStart"/>
              <w:r w:rsidR="00EF7243" w:rsidRPr="00EF7243">
                <w:rPr>
                  <w:rStyle w:val="Hyperlnk"/>
                  <w:color w:val="auto"/>
                  <w:sz w:val="22"/>
                  <w:szCs w:val="22"/>
                  <w:u w:val="none"/>
                </w:rPr>
                <w:t>COM(</w:t>
              </w:r>
              <w:proofErr w:type="gramEnd"/>
              <w:r w:rsidR="00EF7243" w:rsidRPr="00EF7243">
                <w:rPr>
                  <w:rStyle w:val="Hyperlnk"/>
                  <w:color w:val="auto"/>
                  <w:sz w:val="22"/>
                  <w:szCs w:val="22"/>
                  <w:u w:val="none"/>
                </w:rPr>
                <w:t>2020) 434</w:t>
              </w:r>
            </w:hyperlink>
          </w:p>
        </w:tc>
        <w:tc>
          <w:tcPr>
            <w:tcW w:w="8180" w:type="dxa"/>
            <w:gridSpan w:val="5"/>
            <w:shd w:val="clear" w:color="auto" w:fill="auto"/>
            <w:vAlign w:val="center"/>
          </w:tcPr>
          <w:p w:rsidR="00EF7243" w:rsidRPr="00365A40" w:rsidRDefault="00EF7243" w:rsidP="00EF7243">
            <w:pPr>
              <w:rPr>
                <w:sz w:val="22"/>
                <w:szCs w:val="22"/>
              </w:rPr>
            </w:pPr>
            <w:r w:rsidRPr="00365A40">
              <w:rPr>
                <w:sz w:val="22"/>
                <w:szCs w:val="22"/>
              </w:rPr>
              <w:t>Förslag till rådets beslut om godkännande av ändringarna av överenskommelsen om samarbete vid bekämpning av förorening av Nordsjön genom olja och andra skadliga ämnen (Bonn-avtalet) beträffande utvidgning av dess materiella och geografiska tillämpningsområde</w:t>
            </w:r>
            <w:r w:rsidRPr="00365A40">
              <w:rPr>
                <w:sz w:val="22"/>
                <w:szCs w:val="22"/>
              </w:rPr>
              <w:br/>
            </w: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EF7243" w:rsidRDefault="00C949FF" w:rsidP="00EF7243">
            <w:pPr>
              <w:rPr>
                <w:sz w:val="22"/>
                <w:szCs w:val="22"/>
              </w:rPr>
            </w:pPr>
            <w:hyperlink r:id="rId13" w:history="1">
              <w:proofErr w:type="gramStart"/>
              <w:r w:rsidR="00EF7243" w:rsidRPr="00EF7243">
                <w:rPr>
                  <w:rStyle w:val="Hyperlnk"/>
                  <w:color w:val="auto"/>
                  <w:sz w:val="22"/>
                  <w:szCs w:val="22"/>
                  <w:u w:val="none"/>
                </w:rPr>
                <w:t>COM(</w:t>
              </w:r>
              <w:proofErr w:type="gramEnd"/>
              <w:r w:rsidR="00EF7243" w:rsidRPr="00EF7243">
                <w:rPr>
                  <w:rStyle w:val="Hyperlnk"/>
                  <w:color w:val="auto"/>
                  <w:sz w:val="22"/>
                  <w:szCs w:val="22"/>
                  <w:u w:val="none"/>
                </w:rPr>
                <w:t>2020) 436</w:t>
              </w:r>
            </w:hyperlink>
          </w:p>
        </w:tc>
        <w:tc>
          <w:tcPr>
            <w:tcW w:w="8180" w:type="dxa"/>
            <w:gridSpan w:val="5"/>
            <w:shd w:val="clear" w:color="auto" w:fill="auto"/>
            <w:vAlign w:val="center"/>
          </w:tcPr>
          <w:p w:rsidR="00EF7243" w:rsidRPr="00365A40" w:rsidRDefault="00EF7243" w:rsidP="00EF7243">
            <w:pPr>
              <w:rPr>
                <w:sz w:val="22"/>
                <w:szCs w:val="22"/>
              </w:rPr>
            </w:pPr>
            <w:r w:rsidRPr="00365A40">
              <w:rPr>
                <w:sz w:val="22"/>
                <w:szCs w:val="22"/>
              </w:rPr>
              <w:t>Förslag till rådets förordning om fastställande för 2021 av fiskemöjligheterna för vissa fiskbestånd och grupper av fiskbestånd i Östersjön och om ändring av förordning (EU) 2020/123 vad gäller vissa fiskemöjligheter i andra vatten</w:t>
            </w: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EF7243" w:rsidRDefault="00C949FF" w:rsidP="00EF7243">
            <w:pPr>
              <w:rPr>
                <w:b/>
                <w:bCs/>
                <w:sz w:val="22"/>
                <w:szCs w:val="22"/>
              </w:rPr>
            </w:pPr>
            <w:hyperlink r:id="rId14" w:history="1">
              <w:proofErr w:type="gramStart"/>
              <w:r w:rsidR="00EF7243" w:rsidRPr="00EF7243">
                <w:rPr>
                  <w:rStyle w:val="Hyperlnk"/>
                  <w:color w:val="auto"/>
                  <w:sz w:val="22"/>
                  <w:szCs w:val="22"/>
                  <w:u w:val="none"/>
                </w:rPr>
                <w:t>COM(</w:t>
              </w:r>
              <w:proofErr w:type="gramEnd"/>
              <w:r w:rsidR="00EF7243" w:rsidRPr="00EF7243">
                <w:rPr>
                  <w:rStyle w:val="Hyperlnk"/>
                  <w:color w:val="auto"/>
                  <w:sz w:val="22"/>
                  <w:szCs w:val="22"/>
                  <w:u w:val="none"/>
                </w:rPr>
                <w:t>2020) 438</w:t>
              </w:r>
            </w:hyperlink>
          </w:p>
        </w:tc>
        <w:tc>
          <w:tcPr>
            <w:tcW w:w="8180" w:type="dxa"/>
            <w:gridSpan w:val="5"/>
            <w:shd w:val="clear" w:color="auto" w:fill="auto"/>
            <w:vAlign w:val="center"/>
          </w:tcPr>
          <w:p w:rsidR="00EF7243" w:rsidRPr="00365A40" w:rsidRDefault="00EF7243" w:rsidP="00EF7243">
            <w:pPr>
              <w:rPr>
                <w:b/>
                <w:bCs/>
                <w:sz w:val="22"/>
                <w:szCs w:val="22"/>
              </w:rPr>
            </w:pPr>
            <w:r w:rsidRPr="00365A40">
              <w:rPr>
                <w:sz w:val="22"/>
                <w:szCs w:val="22"/>
              </w:rPr>
              <w:t>Förslag till rådets beslut om den ståndpunkt som ska intas på Europeiska unionens vägnar under partsmöten för avtalet om att förebygga oreglerat fiske på det fria havet i centrala Norra ishavet</w:t>
            </w:r>
            <w:r w:rsidRPr="00365A40">
              <w:rPr>
                <w:sz w:val="22"/>
                <w:szCs w:val="22"/>
              </w:rPr>
              <w:br/>
            </w: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EF7243" w:rsidRDefault="00C949FF" w:rsidP="00EF7243">
            <w:pPr>
              <w:rPr>
                <w:sz w:val="22"/>
                <w:szCs w:val="22"/>
              </w:rPr>
            </w:pPr>
            <w:hyperlink r:id="rId15" w:history="1">
              <w:proofErr w:type="gramStart"/>
              <w:r w:rsidR="00EF7243" w:rsidRPr="00EF7243">
                <w:rPr>
                  <w:rStyle w:val="Hyperlnk"/>
                  <w:color w:val="auto"/>
                  <w:sz w:val="22"/>
                  <w:szCs w:val="22"/>
                  <w:u w:val="none"/>
                </w:rPr>
                <w:t>COM(</w:t>
              </w:r>
              <w:proofErr w:type="gramEnd"/>
              <w:r w:rsidR="00EF7243" w:rsidRPr="00EF7243">
                <w:rPr>
                  <w:rStyle w:val="Hyperlnk"/>
                  <w:color w:val="auto"/>
                  <w:sz w:val="22"/>
                  <w:szCs w:val="22"/>
                  <w:u w:val="none"/>
                </w:rPr>
                <w:t>2020) 475</w:t>
              </w:r>
            </w:hyperlink>
          </w:p>
        </w:tc>
        <w:tc>
          <w:tcPr>
            <w:tcW w:w="8180" w:type="dxa"/>
            <w:gridSpan w:val="5"/>
            <w:shd w:val="clear" w:color="auto" w:fill="auto"/>
            <w:vAlign w:val="center"/>
          </w:tcPr>
          <w:p w:rsidR="00EF7243" w:rsidRPr="00365A40" w:rsidRDefault="00EF7243" w:rsidP="00EF7243">
            <w:pPr>
              <w:rPr>
                <w:sz w:val="22"/>
                <w:szCs w:val="22"/>
              </w:rPr>
            </w:pPr>
            <w:r w:rsidRPr="00365A40">
              <w:rPr>
                <w:sz w:val="22"/>
                <w:szCs w:val="22"/>
              </w:rPr>
              <w:t xml:space="preserve">RAPPORT från kommissionen till Europaparlamentet och rådet trettonde ekonomiska rapporten från kommissionen till Europaparlamentet och rådet om </w:t>
            </w:r>
            <w:proofErr w:type="gramStart"/>
            <w:r w:rsidRPr="00365A40">
              <w:rPr>
                <w:sz w:val="22"/>
                <w:szCs w:val="22"/>
              </w:rPr>
              <w:t>Europeiska</w:t>
            </w:r>
            <w:proofErr w:type="gramEnd"/>
            <w:r w:rsidRPr="00365A40">
              <w:rPr>
                <w:sz w:val="22"/>
                <w:szCs w:val="22"/>
              </w:rPr>
              <w:t xml:space="preserve"> garantifonden för jordbruket budgetåret 2019</w:t>
            </w:r>
            <w:r w:rsidRPr="00365A40">
              <w:rPr>
                <w:sz w:val="22"/>
                <w:szCs w:val="22"/>
              </w:rPr>
              <w:br/>
            </w:r>
          </w:p>
        </w:tc>
      </w:tr>
      <w:tr w:rsidR="00EF7243" w:rsidRPr="00175C40"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EF7243" w:rsidRDefault="00C949FF" w:rsidP="00EF7243">
            <w:pPr>
              <w:rPr>
                <w:sz w:val="22"/>
                <w:szCs w:val="22"/>
              </w:rPr>
            </w:pPr>
            <w:hyperlink r:id="rId16" w:history="1">
              <w:proofErr w:type="gramStart"/>
              <w:r w:rsidR="00EF7243" w:rsidRPr="00EF7243">
                <w:rPr>
                  <w:rStyle w:val="Hyperlnk"/>
                  <w:color w:val="auto"/>
                  <w:sz w:val="22"/>
                  <w:szCs w:val="22"/>
                  <w:u w:val="none"/>
                </w:rPr>
                <w:t>SWD(</w:t>
              </w:r>
              <w:proofErr w:type="gramEnd"/>
              <w:r w:rsidR="00EF7243" w:rsidRPr="00EF7243">
                <w:rPr>
                  <w:rStyle w:val="Hyperlnk"/>
                  <w:color w:val="auto"/>
                  <w:sz w:val="22"/>
                  <w:szCs w:val="22"/>
                  <w:u w:val="none"/>
                </w:rPr>
                <w:t>2020) 168</w:t>
              </w:r>
            </w:hyperlink>
          </w:p>
        </w:tc>
        <w:tc>
          <w:tcPr>
            <w:tcW w:w="8180" w:type="dxa"/>
            <w:gridSpan w:val="5"/>
            <w:shd w:val="clear" w:color="auto" w:fill="auto"/>
            <w:vAlign w:val="center"/>
          </w:tcPr>
          <w:p w:rsidR="00EF7243" w:rsidRPr="00175C40" w:rsidRDefault="00EF7243" w:rsidP="00EF7243">
            <w:pPr>
              <w:rPr>
                <w:sz w:val="22"/>
                <w:szCs w:val="22"/>
                <w:lang w:val="en-GB"/>
              </w:rPr>
            </w:pPr>
            <w:r w:rsidRPr="00175C40">
              <w:rPr>
                <w:sz w:val="22"/>
                <w:szCs w:val="22"/>
                <w:lang w:val="en-GB"/>
              </w:rPr>
              <w:t>COMMISSION STAFF WORKING DOCUMENT Accompanying the document REPORT FROM THE COMMISSION TO THE EUROPEAN PARLIAMENT AND THE COUNCIL 13th FINANCIAL REPORT FROM THE COMMISSION TO THE EUROPEAN PARLIAMENT AND THE COUNCIL on the EUROPEAN AGRICULTURAL GUARANTEE FUND 2019 FINANCIAL YEAR</w:t>
            </w:r>
            <w:r w:rsidRPr="00175C40">
              <w:rPr>
                <w:sz w:val="22"/>
                <w:szCs w:val="22"/>
                <w:lang w:val="en-GB"/>
              </w:rPr>
              <w:br/>
            </w: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EF7243" w:rsidRDefault="00C949FF" w:rsidP="00EF7243">
            <w:pPr>
              <w:rPr>
                <w:sz w:val="22"/>
                <w:szCs w:val="22"/>
              </w:rPr>
            </w:pPr>
            <w:hyperlink r:id="rId17" w:history="1">
              <w:proofErr w:type="gramStart"/>
              <w:r w:rsidR="00EF7243" w:rsidRPr="00EF7243">
                <w:rPr>
                  <w:rStyle w:val="Hyperlnk"/>
                  <w:color w:val="auto"/>
                  <w:sz w:val="22"/>
                  <w:szCs w:val="22"/>
                  <w:u w:val="none"/>
                </w:rPr>
                <w:t>COM(</w:t>
              </w:r>
              <w:proofErr w:type="gramEnd"/>
              <w:r w:rsidR="00EF7243" w:rsidRPr="00EF7243">
                <w:rPr>
                  <w:rStyle w:val="Hyperlnk"/>
                  <w:color w:val="auto"/>
                  <w:sz w:val="22"/>
                  <w:szCs w:val="22"/>
                  <w:u w:val="none"/>
                </w:rPr>
                <w:t>2020) 483</w:t>
              </w:r>
            </w:hyperlink>
          </w:p>
        </w:tc>
        <w:tc>
          <w:tcPr>
            <w:tcW w:w="8180" w:type="dxa"/>
            <w:gridSpan w:val="5"/>
            <w:shd w:val="clear" w:color="auto" w:fill="auto"/>
            <w:vAlign w:val="center"/>
          </w:tcPr>
          <w:p w:rsidR="00EF7243" w:rsidRPr="002D34E4" w:rsidRDefault="00EF7243" w:rsidP="00EF7243">
            <w:pPr>
              <w:rPr>
                <w:sz w:val="22"/>
                <w:szCs w:val="22"/>
              </w:rPr>
            </w:pPr>
            <w:r w:rsidRPr="002D34E4">
              <w:rPr>
                <w:sz w:val="22"/>
                <w:szCs w:val="22"/>
              </w:rPr>
              <w:t>Förslag till Europaparlamentets och rådets förordning om ändring av förordning (EU) 2018/848 om ekologisk produktion vad gäller datumet för tillämpning och vissa andra datum som anges i den förordningen</w:t>
            </w:r>
            <w:r w:rsidRPr="002D34E4">
              <w:rPr>
                <w:sz w:val="22"/>
                <w:szCs w:val="22"/>
              </w:rPr>
              <w:br/>
            </w: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EF7243" w:rsidRDefault="00C949FF" w:rsidP="00EF7243">
            <w:pPr>
              <w:rPr>
                <w:sz w:val="22"/>
                <w:szCs w:val="22"/>
              </w:rPr>
            </w:pPr>
            <w:hyperlink r:id="rId18" w:history="1">
              <w:proofErr w:type="gramStart"/>
              <w:r w:rsidR="00EF7243" w:rsidRPr="00EF7243">
                <w:rPr>
                  <w:rStyle w:val="Hyperlnk"/>
                  <w:color w:val="auto"/>
                  <w:sz w:val="22"/>
                  <w:szCs w:val="22"/>
                  <w:u w:val="none"/>
                </w:rPr>
                <w:t>COM(</w:t>
              </w:r>
              <w:proofErr w:type="gramEnd"/>
              <w:r w:rsidR="00EF7243" w:rsidRPr="00EF7243">
                <w:rPr>
                  <w:rStyle w:val="Hyperlnk"/>
                  <w:color w:val="auto"/>
                  <w:sz w:val="22"/>
                  <w:szCs w:val="22"/>
                  <w:u w:val="none"/>
                </w:rPr>
                <w:t>2020) 488</w:t>
              </w:r>
            </w:hyperlink>
          </w:p>
        </w:tc>
        <w:tc>
          <w:tcPr>
            <w:tcW w:w="8180" w:type="dxa"/>
            <w:gridSpan w:val="5"/>
            <w:shd w:val="clear" w:color="auto" w:fill="auto"/>
            <w:vAlign w:val="center"/>
          </w:tcPr>
          <w:p w:rsidR="00EF7243" w:rsidRPr="00211817" w:rsidRDefault="00EF7243" w:rsidP="00EF7243">
            <w:pPr>
              <w:rPr>
                <w:sz w:val="22"/>
                <w:szCs w:val="22"/>
              </w:rPr>
            </w:pPr>
            <w:r w:rsidRPr="00211817">
              <w:rPr>
                <w:sz w:val="22"/>
                <w:szCs w:val="22"/>
              </w:rPr>
              <w:t>Förslag till rådets beslut om den ståndpunkt som ska intas på unionens vägnar inom ramen för konventionen om framtida multilateralt samarbete om fisket i Nordostatlanten vad gäller den ansökan om anslutning till konventionen som lämnats in av Förenade kungariket och om upphävande av rådets beslut (EU) 2019/510</w:t>
            </w:r>
            <w:r w:rsidRPr="00211817">
              <w:rPr>
                <w:sz w:val="22"/>
                <w:szCs w:val="22"/>
              </w:rPr>
              <w:br/>
            </w: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EF7243" w:rsidRDefault="00C949FF" w:rsidP="00EF7243">
            <w:pPr>
              <w:rPr>
                <w:sz w:val="22"/>
                <w:szCs w:val="22"/>
              </w:rPr>
            </w:pPr>
            <w:hyperlink r:id="rId19" w:history="1">
              <w:proofErr w:type="gramStart"/>
              <w:r w:rsidR="00EF7243" w:rsidRPr="00EF7243">
                <w:rPr>
                  <w:rStyle w:val="Hyperlnk"/>
                  <w:color w:val="auto"/>
                  <w:sz w:val="22"/>
                  <w:szCs w:val="22"/>
                  <w:u w:val="none"/>
                </w:rPr>
                <w:t>COM(</w:t>
              </w:r>
              <w:proofErr w:type="gramEnd"/>
              <w:r w:rsidR="00EF7243" w:rsidRPr="00EF7243">
                <w:rPr>
                  <w:rStyle w:val="Hyperlnk"/>
                  <w:color w:val="auto"/>
                  <w:sz w:val="22"/>
                  <w:szCs w:val="22"/>
                  <w:u w:val="none"/>
                </w:rPr>
                <w:t>2020) 489</w:t>
              </w:r>
            </w:hyperlink>
          </w:p>
        </w:tc>
        <w:tc>
          <w:tcPr>
            <w:tcW w:w="8180" w:type="dxa"/>
            <w:gridSpan w:val="5"/>
            <w:shd w:val="clear" w:color="auto" w:fill="auto"/>
            <w:vAlign w:val="center"/>
          </w:tcPr>
          <w:p w:rsidR="00EF7243" w:rsidRPr="00211817" w:rsidRDefault="00EF7243" w:rsidP="00EF7243">
            <w:pPr>
              <w:rPr>
                <w:sz w:val="22"/>
                <w:szCs w:val="22"/>
              </w:rPr>
            </w:pPr>
            <w:r w:rsidRPr="00211817">
              <w:rPr>
                <w:sz w:val="22"/>
                <w:szCs w:val="22"/>
              </w:rPr>
              <w:t xml:space="preserve">Förslag till rådets </w:t>
            </w:r>
            <w:proofErr w:type="spellStart"/>
            <w:r w:rsidRPr="00211817">
              <w:rPr>
                <w:sz w:val="22"/>
                <w:szCs w:val="22"/>
              </w:rPr>
              <w:t>GENOMFÖRANDEbeslut</w:t>
            </w:r>
            <w:proofErr w:type="spellEnd"/>
            <w:r w:rsidRPr="00211817">
              <w:rPr>
                <w:sz w:val="22"/>
                <w:szCs w:val="22"/>
              </w:rPr>
              <w:t xml:space="preserve"> om bemyndigande av Förenade kungariket att för egen räkning ge sitt samtycke till att vara bundet av </w:t>
            </w:r>
            <w:proofErr w:type="gramStart"/>
            <w:r w:rsidRPr="00211817">
              <w:rPr>
                <w:sz w:val="22"/>
                <w:szCs w:val="22"/>
              </w:rPr>
              <w:t>vissa internationellt avtal</w:t>
            </w:r>
            <w:proofErr w:type="gramEnd"/>
            <w:r w:rsidRPr="00211817">
              <w:rPr>
                <w:sz w:val="22"/>
                <w:szCs w:val="22"/>
              </w:rPr>
              <w:t xml:space="preserve"> som ska tillämpas under övergångsperioden på området för unionens gemensamma fiskeripolitik.</w:t>
            </w:r>
            <w:r w:rsidRPr="00211817">
              <w:rPr>
                <w:sz w:val="22"/>
                <w:szCs w:val="22"/>
              </w:rPr>
              <w:br/>
            </w: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EF7243" w:rsidRDefault="00C949FF" w:rsidP="00EF7243">
            <w:pPr>
              <w:rPr>
                <w:sz w:val="22"/>
                <w:szCs w:val="22"/>
              </w:rPr>
            </w:pPr>
            <w:hyperlink r:id="rId20" w:history="1">
              <w:proofErr w:type="gramStart"/>
              <w:r w:rsidR="00EF7243" w:rsidRPr="00EF7243">
                <w:rPr>
                  <w:rStyle w:val="Hyperlnk"/>
                  <w:color w:val="auto"/>
                  <w:sz w:val="22"/>
                  <w:szCs w:val="22"/>
                  <w:u w:val="none"/>
                </w:rPr>
                <w:t>COM(</w:t>
              </w:r>
              <w:proofErr w:type="gramEnd"/>
              <w:r w:rsidR="00EF7243" w:rsidRPr="00EF7243">
                <w:rPr>
                  <w:rStyle w:val="Hyperlnk"/>
                  <w:color w:val="auto"/>
                  <w:sz w:val="22"/>
                  <w:szCs w:val="22"/>
                  <w:u w:val="none"/>
                </w:rPr>
                <w:t>2020) 492</w:t>
              </w:r>
            </w:hyperlink>
          </w:p>
        </w:tc>
        <w:tc>
          <w:tcPr>
            <w:tcW w:w="8180" w:type="dxa"/>
            <w:gridSpan w:val="5"/>
            <w:shd w:val="clear" w:color="auto" w:fill="auto"/>
            <w:vAlign w:val="center"/>
          </w:tcPr>
          <w:p w:rsidR="00EF7243" w:rsidRPr="00431AF0" w:rsidRDefault="00EF7243" w:rsidP="00EF7243">
            <w:pPr>
              <w:rPr>
                <w:sz w:val="22"/>
                <w:szCs w:val="22"/>
              </w:rPr>
            </w:pPr>
            <w:r w:rsidRPr="00431AF0">
              <w:rPr>
                <w:sz w:val="22"/>
                <w:szCs w:val="22"/>
              </w:rPr>
              <w:t xml:space="preserve">RAPPORT från kommissionen till Europaparlamentet, rådet, </w:t>
            </w:r>
            <w:proofErr w:type="gramStart"/>
            <w:r w:rsidRPr="00431AF0">
              <w:rPr>
                <w:sz w:val="22"/>
                <w:szCs w:val="22"/>
              </w:rPr>
              <w:t>Europeiska</w:t>
            </w:r>
            <w:proofErr w:type="gramEnd"/>
            <w:r w:rsidRPr="00431AF0">
              <w:rPr>
                <w:sz w:val="22"/>
                <w:szCs w:val="22"/>
              </w:rPr>
              <w:t xml:space="preserve"> ekonomiska och sociala kommittén SAMT Regionkommittén Tionde rapporten om situationen för genomförandet och programmen för genomförande (i enlighet med artikel 17) av rådets direktiv 91/271/EEG om rening av avloppsvatten från tätbebyggelse</w:t>
            </w:r>
          </w:p>
        </w:tc>
      </w:tr>
      <w:tr w:rsidR="00EF7243" w:rsidRPr="00175C40"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EF7243" w:rsidRDefault="00C949FF" w:rsidP="00EF7243">
            <w:pPr>
              <w:rPr>
                <w:sz w:val="22"/>
                <w:szCs w:val="22"/>
              </w:rPr>
            </w:pPr>
            <w:hyperlink r:id="rId21" w:history="1">
              <w:proofErr w:type="gramStart"/>
              <w:r w:rsidR="00EF7243" w:rsidRPr="00EF7243">
                <w:rPr>
                  <w:rStyle w:val="Hyperlnk"/>
                  <w:color w:val="auto"/>
                  <w:sz w:val="22"/>
                  <w:szCs w:val="22"/>
                  <w:u w:val="none"/>
                </w:rPr>
                <w:t>SWD(</w:t>
              </w:r>
              <w:proofErr w:type="gramEnd"/>
              <w:r w:rsidR="00EF7243" w:rsidRPr="00EF7243">
                <w:rPr>
                  <w:rStyle w:val="Hyperlnk"/>
                  <w:color w:val="auto"/>
                  <w:sz w:val="22"/>
                  <w:szCs w:val="22"/>
                  <w:u w:val="none"/>
                </w:rPr>
                <w:t>2020) 145</w:t>
              </w:r>
            </w:hyperlink>
          </w:p>
        </w:tc>
        <w:tc>
          <w:tcPr>
            <w:tcW w:w="8180" w:type="dxa"/>
            <w:gridSpan w:val="5"/>
            <w:shd w:val="clear" w:color="auto" w:fill="auto"/>
            <w:vAlign w:val="center"/>
          </w:tcPr>
          <w:p w:rsidR="00EF7243" w:rsidRPr="00175C40" w:rsidRDefault="00EF7243" w:rsidP="00EF7243">
            <w:pPr>
              <w:rPr>
                <w:sz w:val="22"/>
                <w:szCs w:val="22"/>
                <w:lang w:val="en-GB"/>
              </w:rPr>
            </w:pPr>
            <w:r w:rsidRPr="00175C40">
              <w:rPr>
                <w:sz w:val="22"/>
                <w:szCs w:val="22"/>
                <w:lang w:val="en-GB"/>
              </w:rPr>
              <w:t>COMMISSION STAFF WORKING DOCUMENT Accompanying the document REPORT FROM THE COMMISSION TO THE EUROPEAN PARLIAMENT, THE COUNCIL, THE EUROPEAN ECONOMIC AND SOCIAL COMMITTEE AND THE COMMITTEE OF THE REGIONS Tenth report on the implementation status and programmes for implementation (as required by Article 17 of Council Directive 91/271/EEC concerning urban waste water treatment)</w:t>
            </w:r>
            <w:r w:rsidRPr="00175C40">
              <w:rPr>
                <w:sz w:val="22"/>
                <w:szCs w:val="22"/>
                <w:lang w:val="en-GB"/>
              </w:rPr>
              <w:br/>
            </w: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EF7243" w:rsidRPr="00B40F4D" w:rsidRDefault="00EF7243" w:rsidP="00EF7243">
            <w:pPr>
              <w:pStyle w:val="Rubrik1"/>
              <w:spacing w:before="0" w:after="0"/>
              <w:rPr>
                <w:bCs/>
                <w:sz w:val="22"/>
                <w:szCs w:val="22"/>
              </w:rPr>
            </w:pPr>
            <w:r w:rsidRPr="00B40F4D">
              <w:rPr>
                <w:bCs/>
                <w:sz w:val="22"/>
                <w:szCs w:val="22"/>
              </w:rPr>
              <w:t>C-dokument för kännedom. (Handlingar som rör rättsakter från kommissionens eget ansvarsområde, bl.a. genomförandeakter och delegerade akter som lämnats till rådet och parlamentet för kännedom).</w:t>
            </w: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EF7243" w:rsidRPr="00B40F4D" w:rsidRDefault="00EF7243" w:rsidP="00EF7243">
            <w:pPr>
              <w:rPr>
                <w:b/>
                <w:bCs/>
                <w:sz w:val="22"/>
                <w:szCs w:val="22"/>
              </w:rPr>
            </w:pPr>
            <w:r w:rsidRPr="00B40F4D">
              <w:rPr>
                <w:b/>
                <w:bCs/>
                <w:sz w:val="22"/>
                <w:szCs w:val="22"/>
              </w:rPr>
              <w:t>Beteckning</w:t>
            </w:r>
          </w:p>
        </w:tc>
        <w:tc>
          <w:tcPr>
            <w:tcW w:w="8180" w:type="dxa"/>
            <w:gridSpan w:val="5"/>
            <w:tcBorders>
              <w:top w:val="single" w:sz="4" w:space="0" w:color="auto"/>
            </w:tcBorders>
            <w:shd w:val="clear" w:color="auto" w:fill="auto"/>
            <w:vAlign w:val="center"/>
          </w:tcPr>
          <w:p w:rsidR="00EF7243" w:rsidRPr="00B40F4D" w:rsidRDefault="00EF7243" w:rsidP="00EF7243">
            <w:pPr>
              <w:rPr>
                <w:b/>
                <w:sz w:val="22"/>
                <w:szCs w:val="22"/>
              </w:rPr>
            </w:pPr>
            <w:r w:rsidRPr="00B40F4D">
              <w:rPr>
                <w:b/>
                <w:sz w:val="22"/>
                <w:szCs w:val="22"/>
              </w:rPr>
              <w:t>Rubrik</w:t>
            </w: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EF7243" w:rsidRDefault="00C949FF" w:rsidP="00EF7243">
            <w:pPr>
              <w:rPr>
                <w:b/>
                <w:bCs/>
                <w:sz w:val="22"/>
                <w:szCs w:val="22"/>
              </w:rPr>
            </w:pPr>
            <w:hyperlink r:id="rId22" w:history="1">
              <w:proofErr w:type="gramStart"/>
              <w:r w:rsidR="00EF7243" w:rsidRPr="00EF7243">
                <w:rPr>
                  <w:rStyle w:val="Hyperlnk"/>
                  <w:color w:val="auto"/>
                  <w:sz w:val="22"/>
                  <w:szCs w:val="22"/>
                  <w:u w:val="none"/>
                </w:rPr>
                <w:t>C(</w:t>
              </w:r>
              <w:proofErr w:type="gramEnd"/>
              <w:r w:rsidR="00EF7243" w:rsidRPr="00EF7243">
                <w:rPr>
                  <w:rStyle w:val="Hyperlnk"/>
                  <w:color w:val="auto"/>
                  <w:sz w:val="22"/>
                  <w:szCs w:val="22"/>
                  <w:u w:val="none"/>
                </w:rPr>
                <w:t>2020) 5802</w:t>
              </w:r>
            </w:hyperlink>
          </w:p>
        </w:tc>
        <w:tc>
          <w:tcPr>
            <w:tcW w:w="8180" w:type="dxa"/>
            <w:gridSpan w:val="5"/>
            <w:shd w:val="clear" w:color="auto" w:fill="auto"/>
            <w:vAlign w:val="center"/>
          </w:tcPr>
          <w:p w:rsidR="00EF7243" w:rsidRPr="00AA6A2A" w:rsidRDefault="00EF7243" w:rsidP="00EF7243">
            <w:pPr>
              <w:rPr>
                <w:b/>
                <w:sz w:val="22"/>
                <w:szCs w:val="22"/>
              </w:rPr>
            </w:pPr>
            <w:r w:rsidRPr="00AA6A2A">
              <w:rPr>
                <w:sz w:val="22"/>
                <w:szCs w:val="22"/>
              </w:rPr>
              <w:t>KOMMISSIONENS GENOMFÖRANDEBESLUT av den 20.8.2020 om ändring av bilagan till genomförandebeslut 2014/709/EU om djurhälsoåtgärder för att bekämpa afrikansk svinpest i vissa medlemsstater</w:t>
            </w:r>
            <w:r w:rsidRPr="00AA6A2A">
              <w:rPr>
                <w:sz w:val="22"/>
                <w:szCs w:val="22"/>
              </w:rPr>
              <w:br/>
            </w: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EF7243" w:rsidRDefault="00C949FF" w:rsidP="00EF7243">
            <w:pPr>
              <w:rPr>
                <w:b/>
                <w:bCs/>
                <w:sz w:val="22"/>
                <w:szCs w:val="22"/>
              </w:rPr>
            </w:pPr>
            <w:hyperlink r:id="rId23" w:history="1">
              <w:proofErr w:type="gramStart"/>
              <w:r w:rsidR="00EF7243" w:rsidRPr="00EF7243">
                <w:rPr>
                  <w:rStyle w:val="Hyperlnk"/>
                  <w:color w:val="auto"/>
                  <w:sz w:val="22"/>
                  <w:szCs w:val="22"/>
                  <w:u w:val="none"/>
                </w:rPr>
                <w:t>C(</w:t>
              </w:r>
              <w:proofErr w:type="gramEnd"/>
              <w:r w:rsidR="00EF7243" w:rsidRPr="00EF7243">
                <w:rPr>
                  <w:rStyle w:val="Hyperlnk"/>
                  <w:color w:val="auto"/>
                  <w:sz w:val="22"/>
                  <w:szCs w:val="22"/>
                  <w:u w:val="none"/>
                </w:rPr>
                <w:t>2020) 5824</w:t>
              </w:r>
            </w:hyperlink>
          </w:p>
        </w:tc>
        <w:tc>
          <w:tcPr>
            <w:tcW w:w="8180" w:type="dxa"/>
            <w:gridSpan w:val="5"/>
            <w:shd w:val="clear" w:color="auto" w:fill="auto"/>
            <w:vAlign w:val="center"/>
          </w:tcPr>
          <w:p w:rsidR="00EF7243" w:rsidRDefault="00EF7243" w:rsidP="00EF7243">
            <w:pPr>
              <w:rPr>
                <w:sz w:val="22"/>
                <w:szCs w:val="22"/>
              </w:rPr>
            </w:pPr>
            <w:r w:rsidRPr="00AA6A2A">
              <w:rPr>
                <w:sz w:val="22"/>
                <w:szCs w:val="22"/>
              </w:rPr>
              <w:t>KOMMISSIONENS GENOMFÖRANDEBESLUT av den 20.8.2020 om månatliga utbetalningar från EGFJ för utgifter som verkställts av utbetalningsställen i medlemsstaterna i juli 2020</w:t>
            </w:r>
          </w:p>
          <w:p w:rsidR="00EF7243" w:rsidRPr="00AA6A2A" w:rsidRDefault="00EF7243" w:rsidP="00EF7243">
            <w:pPr>
              <w:rPr>
                <w:b/>
                <w:sz w:val="22"/>
                <w:szCs w:val="22"/>
              </w:rPr>
            </w:pP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EF7243" w:rsidRDefault="00C949FF" w:rsidP="00EF7243">
            <w:pPr>
              <w:rPr>
                <w:sz w:val="22"/>
                <w:szCs w:val="22"/>
              </w:rPr>
            </w:pPr>
            <w:hyperlink r:id="rId24" w:history="1">
              <w:proofErr w:type="gramStart"/>
              <w:r w:rsidR="00EF7243" w:rsidRPr="00EF7243">
                <w:rPr>
                  <w:rStyle w:val="Hyperlnk"/>
                  <w:color w:val="auto"/>
                  <w:sz w:val="22"/>
                  <w:szCs w:val="22"/>
                  <w:u w:val="none"/>
                </w:rPr>
                <w:t>C(</w:t>
              </w:r>
              <w:proofErr w:type="gramEnd"/>
              <w:r w:rsidR="00EF7243" w:rsidRPr="00EF7243">
                <w:rPr>
                  <w:rStyle w:val="Hyperlnk"/>
                  <w:color w:val="auto"/>
                  <w:sz w:val="22"/>
                  <w:szCs w:val="22"/>
                  <w:u w:val="none"/>
                </w:rPr>
                <w:t>2020) 5948</w:t>
              </w:r>
            </w:hyperlink>
          </w:p>
        </w:tc>
        <w:tc>
          <w:tcPr>
            <w:tcW w:w="8180" w:type="dxa"/>
            <w:gridSpan w:val="5"/>
            <w:shd w:val="clear" w:color="auto" w:fill="auto"/>
            <w:vAlign w:val="center"/>
          </w:tcPr>
          <w:p w:rsidR="00EF7243" w:rsidRPr="00D0386E" w:rsidRDefault="00EF7243" w:rsidP="00EF7243">
            <w:pPr>
              <w:rPr>
                <w:sz w:val="22"/>
                <w:szCs w:val="22"/>
              </w:rPr>
            </w:pPr>
            <w:r w:rsidRPr="00D0386E">
              <w:rPr>
                <w:sz w:val="22"/>
                <w:szCs w:val="22"/>
              </w:rPr>
              <w:t xml:space="preserve">KOMMISSIONENS GENOMFÖRANDEBESLUT av den 27.8.2020 om ändring av bilagan till genomförandebeslut 2014/709/EU om djurhälsoåtgärder för att bekämpa afrikansk svinpest i vissa medlemsstater </w:t>
            </w:r>
            <w:r w:rsidRPr="00D0386E">
              <w:rPr>
                <w:sz w:val="22"/>
                <w:szCs w:val="22"/>
              </w:rPr>
              <w:br/>
            </w: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EF7243" w:rsidRDefault="00C949FF" w:rsidP="00EF7243">
            <w:pPr>
              <w:rPr>
                <w:sz w:val="22"/>
                <w:szCs w:val="22"/>
              </w:rPr>
            </w:pPr>
            <w:hyperlink r:id="rId25" w:history="1">
              <w:proofErr w:type="gramStart"/>
              <w:r w:rsidR="00EF7243" w:rsidRPr="00EF7243">
                <w:rPr>
                  <w:rStyle w:val="Hyperlnk"/>
                  <w:color w:val="auto"/>
                  <w:sz w:val="22"/>
                  <w:szCs w:val="22"/>
                  <w:u w:val="none"/>
                </w:rPr>
                <w:t>C(</w:t>
              </w:r>
              <w:proofErr w:type="gramEnd"/>
              <w:r w:rsidR="00EF7243" w:rsidRPr="00EF7243">
                <w:rPr>
                  <w:rStyle w:val="Hyperlnk"/>
                  <w:color w:val="auto"/>
                  <w:sz w:val="22"/>
                  <w:szCs w:val="22"/>
                  <w:u w:val="none"/>
                </w:rPr>
                <w:t>2020) 6199</w:t>
              </w:r>
            </w:hyperlink>
          </w:p>
        </w:tc>
        <w:tc>
          <w:tcPr>
            <w:tcW w:w="8180" w:type="dxa"/>
            <w:gridSpan w:val="5"/>
            <w:shd w:val="clear" w:color="auto" w:fill="auto"/>
            <w:vAlign w:val="center"/>
          </w:tcPr>
          <w:p w:rsidR="00EF7243" w:rsidRPr="00CB608C" w:rsidRDefault="00EF7243" w:rsidP="00EF7243">
            <w:pPr>
              <w:rPr>
                <w:sz w:val="22"/>
                <w:szCs w:val="22"/>
              </w:rPr>
            </w:pPr>
            <w:r w:rsidRPr="00CB608C">
              <w:rPr>
                <w:sz w:val="22"/>
                <w:szCs w:val="22"/>
              </w:rPr>
              <w:t xml:space="preserve">KOMMISSIONENS GENOMFÖRANDEBESLUT av den 7.9.2020 om ändring av bilagan till genomförandebeslut 2014/709/EU om djurhälsoåtgärder för att bekämpa afrikansk svinpest i vissa medlemsstater </w:t>
            </w:r>
            <w:r w:rsidRPr="00CB608C">
              <w:rPr>
                <w:sz w:val="22"/>
                <w:szCs w:val="22"/>
              </w:rPr>
              <w:br/>
            </w: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EF7243" w:rsidRDefault="00C949FF" w:rsidP="00EF7243">
            <w:pPr>
              <w:rPr>
                <w:b/>
                <w:bCs/>
                <w:sz w:val="22"/>
                <w:szCs w:val="22"/>
              </w:rPr>
            </w:pPr>
            <w:hyperlink r:id="rId26" w:history="1">
              <w:proofErr w:type="gramStart"/>
              <w:r w:rsidR="00EF7243" w:rsidRPr="00EF7243">
                <w:rPr>
                  <w:rStyle w:val="Hyperlnk"/>
                  <w:color w:val="auto"/>
                  <w:sz w:val="22"/>
                  <w:szCs w:val="22"/>
                  <w:u w:val="none"/>
                </w:rPr>
                <w:t>C(</w:t>
              </w:r>
              <w:proofErr w:type="gramEnd"/>
              <w:r w:rsidR="00EF7243" w:rsidRPr="00EF7243">
                <w:rPr>
                  <w:rStyle w:val="Hyperlnk"/>
                  <w:color w:val="auto"/>
                  <w:sz w:val="22"/>
                  <w:szCs w:val="22"/>
                  <w:u w:val="none"/>
                </w:rPr>
                <w:t>2020) 6226</w:t>
              </w:r>
            </w:hyperlink>
          </w:p>
        </w:tc>
        <w:tc>
          <w:tcPr>
            <w:tcW w:w="8180" w:type="dxa"/>
            <w:gridSpan w:val="5"/>
            <w:shd w:val="clear" w:color="auto" w:fill="auto"/>
            <w:vAlign w:val="center"/>
          </w:tcPr>
          <w:p w:rsidR="00EF7243" w:rsidRPr="00C057C6" w:rsidRDefault="00EF7243" w:rsidP="00EF7243">
            <w:pPr>
              <w:rPr>
                <w:b/>
                <w:sz w:val="22"/>
                <w:szCs w:val="22"/>
              </w:rPr>
            </w:pPr>
            <w:r w:rsidRPr="00C057C6">
              <w:rPr>
                <w:sz w:val="22"/>
                <w:szCs w:val="22"/>
              </w:rPr>
              <w:t>Kommissionens svar på utlåtande 2019/</w:t>
            </w:r>
            <w:proofErr w:type="gramStart"/>
            <w:r w:rsidRPr="00C057C6">
              <w:rPr>
                <w:sz w:val="22"/>
                <w:szCs w:val="22"/>
              </w:rPr>
              <w:t>20:MJU</w:t>
            </w:r>
            <w:proofErr w:type="gramEnd"/>
            <w:r w:rsidRPr="00C057C6">
              <w:rPr>
                <w:sz w:val="22"/>
                <w:szCs w:val="22"/>
              </w:rPr>
              <w:t xml:space="preserve">17 Den europeiska gröna given </w:t>
            </w:r>
            <w:r w:rsidRPr="00C057C6">
              <w:rPr>
                <w:sz w:val="22"/>
                <w:szCs w:val="22"/>
              </w:rPr>
              <w:br/>
            </w:r>
          </w:p>
        </w:tc>
      </w:tr>
      <w:tr w:rsidR="00497BF2" w:rsidRPr="00B40F4D" w:rsidTr="00894C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497BF2" w:rsidRPr="00B40F4D" w:rsidRDefault="00497BF2" w:rsidP="00894CF3">
            <w:pPr>
              <w:rPr>
                <w:b/>
                <w:kern w:val="32"/>
                <w:sz w:val="22"/>
                <w:szCs w:val="22"/>
              </w:rPr>
            </w:pPr>
            <w:r w:rsidRPr="00B40F4D">
              <w:rPr>
                <w:b/>
                <w:kern w:val="32"/>
                <w:sz w:val="22"/>
                <w:szCs w:val="22"/>
              </w:rPr>
              <w:t>Övriga överlämnade dokument som rör EU-arbetet för kännedom</w:t>
            </w: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365A40" w:rsidRDefault="00EF7243" w:rsidP="00EF7243">
            <w:pPr>
              <w:rPr>
                <w:b/>
                <w:bCs/>
                <w:sz w:val="22"/>
                <w:szCs w:val="22"/>
              </w:rPr>
            </w:pPr>
            <w:r w:rsidRPr="00365A40">
              <w:rPr>
                <w:b/>
                <w:bCs/>
                <w:sz w:val="22"/>
                <w:szCs w:val="22"/>
              </w:rPr>
              <w:t>Rådsmöten</w:t>
            </w:r>
          </w:p>
        </w:tc>
        <w:tc>
          <w:tcPr>
            <w:tcW w:w="8180" w:type="dxa"/>
            <w:gridSpan w:val="5"/>
            <w:shd w:val="clear" w:color="auto" w:fill="auto"/>
            <w:vAlign w:val="center"/>
          </w:tcPr>
          <w:p w:rsidR="00EF7243" w:rsidRPr="00365A40" w:rsidRDefault="00EF7243" w:rsidP="00EF7243">
            <w:pPr>
              <w:rPr>
                <w:sz w:val="22"/>
                <w:szCs w:val="22"/>
              </w:rPr>
            </w:pPr>
          </w:p>
        </w:tc>
      </w:tr>
      <w:tr w:rsidR="00EF724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EF7243" w:rsidRPr="00365A40" w:rsidRDefault="00EF7243" w:rsidP="00EF7243">
            <w:pPr>
              <w:rPr>
                <w:bCs/>
                <w:sz w:val="22"/>
                <w:szCs w:val="22"/>
              </w:rPr>
            </w:pPr>
            <w:r w:rsidRPr="00365A40">
              <w:rPr>
                <w:sz w:val="22"/>
                <w:szCs w:val="22"/>
              </w:rPr>
              <w:t>Informellt jordbruksminister-möte 1 sep.</w:t>
            </w:r>
          </w:p>
        </w:tc>
        <w:tc>
          <w:tcPr>
            <w:tcW w:w="8180" w:type="dxa"/>
            <w:gridSpan w:val="5"/>
            <w:shd w:val="clear" w:color="auto" w:fill="auto"/>
            <w:vAlign w:val="center"/>
          </w:tcPr>
          <w:p w:rsidR="00EF7243" w:rsidRPr="00365A40" w:rsidRDefault="00EF7243" w:rsidP="00EF7243">
            <w:pPr>
              <w:rPr>
                <w:sz w:val="22"/>
                <w:szCs w:val="22"/>
              </w:rPr>
            </w:pPr>
            <w:r w:rsidRPr="00365A40">
              <w:rPr>
                <w:sz w:val="22"/>
                <w:szCs w:val="22"/>
              </w:rPr>
              <w:t>Rapport från informellt jordbruksministermöte i Koblenz 1 september 2020</w:t>
            </w:r>
            <w:r w:rsidRPr="00365A40">
              <w:rPr>
                <w:sz w:val="22"/>
                <w:szCs w:val="22"/>
              </w:rPr>
              <w:br/>
            </w:r>
            <w:r w:rsidRPr="00365A40">
              <w:rPr>
                <w:sz w:val="22"/>
                <w:szCs w:val="22"/>
              </w:rPr>
              <w:br/>
            </w:r>
          </w:p>
        </w:tc>
      </w:tr>
      <w:tr w:rsidR="00497BF2"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97BF2" w:rsidRPr="00365A40" w:rsidRDefault="00497BF2" w:rsidP="00497BF2">
            <w:pPr>
              <w:rPr>
                <w:b/>
                <w:bCs/>
                <w:sz w:val="22"/>
                <w:szCs w:val="22"/>
              </w:rPr>
            </w:pPr>
            <w:r w:rsidRPr="00365A40">
              <w:rPr>
                <w:b/>
                <w:bCs/>
                <w:sz w:val="22"/>
                <w:szCs w:val="22"/>
              </w:rPr>
              <w:t>Antagna dokument</w:t>
            </w:r>
          </w:p>
        </w:tc>
        <w:tc>
          <w:tcPr>
            <w:tcW w:w="8180" w:type="dxa"/>
            <w:gridSpan w:val="5"/>
            <w:shd w:val="clear" w:color="auto" w:fill="auto"/>
            <w:vAlign w:val="center"/>
          </w:tcPr>
          <w:p w:rsidR="00497BF2" w:rsidRPr="00365A40" w:rsidRDefault="00497BF2" w:rsidP="00497BF2">
            <w:pPr>
              <w:rPr>
                <w:sz w:val="22"/>
                <w:szCs w:val="22"/>
              </w:rPr>
            </w:pPr>
          </w:p>
        </w:tc>
      </w:tr>
      <w:tr w:rsidR="00497BF2"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97BF2" w:rsidRPr="00C057C6" w:rsidRDefault="00497BF2" w:rsidP="00497BF2">
            <w:pPr>
              <w:rPr>
                <w:bCs/>
                <w:sz w:val="22"/>
                <w:szCs w:val="22"/>
              </w:rPr>
            </w:pPr>
            <w:r w:rsidRPr="00C057C6">
              <w:rPr>
                <w:bCs/>
                <w:sz w:val="22"/>
                <w:szCs w:val="22"/>
              </w:rPr>
              <w:t xml:space="preserve">Antagna dokument </w:t>
            </w:r>
            <w:proofErr w:type="gramStart"/>
            <w:r w:rsidRPr="00C057C6">
              <w:rPr>
                <w:bCs/>
                <w:sz w:val="22"/>
                <w:szCs w:val="22"/>
              </w:rPr>
              <w:t>8-10</w:t>
            </w:r>
            <w:proofErr w:type="gramEnd"/>
            <w:r w:rsidRPr="00C057C6">
              <w:rPr>
                <w:bCs/>
                <w:sz w:val="22"/>
                <w:szCs w:val="22"/>
              </w:rPr>
              <w:t xml:space="preserve"> juli 2020</w:t>
            </w:r>
          </w:p>
        </w:tc>
        <w:tc>
          <w:tcPr>
            <w:tcW w:w="8180" w:type="dxa"/>
            <w:gridSpan w:val="5"/>
            <w:shd w:val="clear" w:color="auto" w:fill="auto"/>
            <w:vAlign w:val="center"/>
          </w:tcPr>
          <w:p w:rsidR="00497BF2" w:rsidRPr="00C057C6" w:rsidRDefault="00497BF2" w:rsidP="00497BF2">
            <w:pPr>
              <w:rPr>
                <w:sz w:val="22"/>
                <w:szCs w:val="22"/>
              </w:rPr>
            </w:pPr>
            <w:r w:rsidRPr="00C057C6">
              <w:rPr>
                <w:sz w:val="22"/>
                <w:szCs w:val="22"/>
              </w:rPr>
              <w:t xml:space="preserve">Översändande av dokument som antogs av Europaparlamentet under sammanträdesperioden </w:t>
            </w:r>
            <w:proofErr w:type="gramStart"/>
            <w:r w:rsidRPr="00C057C6">
              <w:rPr>
                <w:sz w:val="22"/>
                <w:szCs w:val="22"/>
              </w:rPr>
              <w:t>8-10</w:t>
            </w:r>
            <w:proofErr w:type="gramEnd"/>
            <w:r w:rsidRPr="00C057C6">
              <w:rPr>
                <w:sz w:val="22"/>
                <w:szCs w:val="22"/>
              </w:rPr>
              <w:t xml:space="preserve"> juli 2020. </w:t>
            </w:r>
            <w:r w:rsidRPr="00C057C6">
              <w:rPr>
                <w:sz w:val="22"/>
                <w:szCs w:val="22"/>
              </w:rPr>
              <w:br/>
            </w:r>
          </w:p>
        </w:tc>
      </w:tr>
      <w:tr w:rsidR="00441A5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41A5C" w:rsidRPr="003D7350" w:rsidRDefault="00441A5C" w:rsidP="00441A5C">
            <w:pPr>
              <w:rPr>
                <w:b/>
                <w:bCs/>
                <w:sz w:val="22"/>
                <w:szCs w:val="22"/>
              </w:rPr>
            </w:pPr>
            <w:r w:rsidRPr="003D7350">
              <w:rPr>
                <w:b/>
                <w:bCs/>
                <w:sz w:val="22"/>
                <w:szCs w:val="22"/>
              </w:rPr>
              <w:t>Färdplaner</w:t>
            </w:r>
          </w:p>
        </w:tc>
        <w:tc>
          <w:tcPr>
            <w:tcW w:w="8180" w:type="dxa"/>
            <w:gridSpan w:val="5"/>
            <w:shd w:val="clear" w:color="auto" w:fill="auto"/>
            <w:vAlign w:val="center"/>
          </w:tcPr>
          <w:p w:rsidR="00441A5C" w:rsidRPr="007D0408" w:rsidRDefault="00441A5C" w:rsidP="00441A5C">
            <w:pPr>
              <w:rPr>
                <w:sz w:val="22"/>
                <w:szCs w:val="22"/>
              </w:rPr>
            </w:pPr>
          </w:p>
        </w:tc>
      </w:tr>
      <w:tr w:rsidR="00441A5C" w:rsidRPr="00175C40"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41A5C" w:rsidRPr="00211817" w:rsidRDefault="00441A5C" w:rsidP="00441A5C">
            <w:pPr>
              <w:rPr>
                <w:bCs/>
                <w:sz w:val="22"/>
                <w:szCs w:val="22"/>
              </w:rPr>
            </w:pPr>
            <w:r w:rsidRPr="00211817">
              <w:rPr>
                <w:bCs/>
                <w:sz w:val="22"/>
                <w:szCs w:val="22"/>
              </w:rPr>
              <w:t>Politikområde</w:t>
            </w:r>
          </w:p>
          <w:p w:rsidR="00441A5C" w:rsidRPr="00211817" w:rsidRDefault="00441A5C" w:rsidP="00441A5C">
            <w:pPr>
              <w:rPr>
                <w:bCs/>
                <w:sz w:val="22"/>
                <w:szCs w:val="22"/>
              </w:rPr>
            </w:pPr>
            <w:r w:rsidRPr="00211817">
              <w:rPr>
                <w:bCs/>
                <w:sz w:val="22"/>
                <w:szCs w:val="22"/>
              </w:rPr>
              <w:t>Miljö</w:t>
            </w:r>
          </w:p>
        </w:tc>
        <w:tc>
          <w:tcPr>
            <w:tcW w:w="8180" w:type="dxa"/>
            <w:gridSpan w:val="5"/>
            <w:shd w:val="clear" w:color="auto" w:fill="auto"/>
            <w:vAlign w:val="center"/>
          </w:tcPr>
          <w:p w:rsidR="00441A5C" w:rsidRPr="00175C40" w:rsidRDefault="00C949FF" w:rsidP="00441A5C">
            <w:pPr>
              <w:rPr>
                <w:bCs/>
                <w:sz w:val="22"/>
                <w:szCs w:val="22"/>
                <w:lang w:val="en-GB"/>
              </w:rPr>
            </w:pPr>
            <w:hyperlink r:id="rId27" w:history="1">
              <w:r w:rsidR="00441A5C" w:rsidRPr="00175C40">
                <w:rPr>
                  <w:bCs/>
                  <w:sz w:val="22"/>
                  <w:szCs w:val="22"/>
                  <w:lang w:val="en-GB"/>
                </w:rPr>
                <w:t>Setting up an Infrastructure for Spatial Information (INSPIRE) - Evaluation of the Directive</w:t>
              </w:r>
            </w:hyperlink>
          </w:p>
        </w:tc>
      </w:tr>
      <w:tr w:rsidR="00441A5C" w:rsidRPr="00175C40"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41A5C" w:rsidRPr="00C057C6" w:rsidRDefault="00441A5C" w:rsidP="00441A5C">
            <w:pPr>
              <w:rPr>
                <w:bCs/>
                <w:sz w:val="22"/>
                <w:szCs w:val="22"/>
              </w:rPr>
            </w:pPr>
            <w:r w:rsidRPr="00C057C6">
              <w:rPr>
                <w:bCs/>
                <w:sz w:val="22"/>
                <w:szCs w:val="22"/>
              </w:rPr>
              <w:t>Politikområde</w:t>
            </w:r>
          </w:p>
          <w:p w:rsidR="00441A5C" w:rsidRPr="00C057C6" w:rsidRDefault="00441A5C" w:rsidP="00441A5C">
            <w:pPr>
              <w:rPr>
                <w:bCs/>
                <w:sz w:val="22"/>
                <w:szCs w:val="22"/>
              </w:rPr>
            </w:pPr>
            <w:r w:rsidRPr="00C057C6">
              <w:rPr>
                <w:bCs/>
                <w:sz w:val="22"/>
                <w:szCs w:val="22"/>
              </w:rPr>
              <w:t>Jordbruk och landsbygdspolitik</w:t>
            </w:r>
          </w:p>
        </w:tc>
        <w:tc>
          <w:tcPr>
            <w:tcW w:w="8180" w:type="dxa"/>
            <w:gridSpan w:val="5"/>
            <w:shd w:val="clear" w:color="auto" w:fill="auto"/>
            <w:vAlign w:val="center"/>
          </w:tcPr>
          <w:p w:rsidR="00441A5C" w:rsidRPr="00175C40" w:rsidRDefault="00C949FF" w:rsidP="00441A5C">
            <w:pPr>
              <w:rPr>
                <w:bCs/>
                <w:sz w:val="22"/>
                <w:szCs w:val="22"/>
                <w:lang w:val="en-GB"/>
              </w:rPr>
            </w:pPr>
            <w:hyperlink r:id="rId28" w:history="1">
              <w:r w:rsidR="00441A5C" w:rsidRPr="00175C40">
                <w:rPr>
                  <w:bCs/>
                  <w:sz w:val="22"/>
                  <w:szCs w:val="22"/>
                  <w:lang w:val="en-GB"/>
                </w:rPr>
                <w:t>Action plan for the development of EU organic production</w:t>
              </w:r>
            </w:hyperlink>
          </w:p>
        </w:tc>
      </w:tr>
      <w:tr w:rsidR="00441A5C" w:rsidRPr="00175C40"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41A5C" w:rsidRPr="00211817" w:rsidRDefault="00441A5C" w:rsidP="00441A5C">
            <w:pPr>
              <w:rPr>
                <w:bCs/>
                <w:sz w:val="22"/>
                <w:szCs w:val="22"/>
              </w:rPr>
            </w:pPr>
            <w:r w:rsidRPr="00211817">
              <w:rPr>
                <w:bCs/>
                <w:sz w:val="22"/>
                <w:szCs w:val="22"/>
              </w:rPr>
              <w:t>Politikområde</w:t>
            </w:r>
          </w:p>
          <w:p w:rsidR="00441A5C" w:rsidRPr="00026351" w:rsidRDefault="00441A5C" w:rsidP="00441A5C">
            <w:pPr>
              <w:rPr>
                <w:bCs/>
                <w:sz w:val="22"/>
                <w:szCs w:val="22"/>
              </w:rPr>
            </w:pPr>
            <w:r>
              <w:rPr>
                <w:bCs/>
                <w:sz w:val="22"/>
                <w:szCs w:val="22"/>
              </w:rPr>
              <w:t>Jordbruk och landsbygdspolitik</w:t>
            </w:r>
          </w:p>
        </w:tc>
        <w:tc>
          <w:tcPr>
            <w:tcW w:w="8180" w:type="dxa"/>
            <w:gridSpan w:val="5"/>
            <w:shd w:val="clear" w:color="auto" w:fill="auto"/>
            <w:vAlign w:val="center"/>
          </w:tcPr>
          <w:p w:rsidR="00441A5C" w:rsidRPr="00175C40" w:rsidRDefault="00441A5C" w:rsidP="00441A5C">
            <w:pPr>
              <w:rPr>
                <w:bCs/>
                <w:sz w:val="22"/>
                <w:szCs w:val="22"/>
                <w:lang w:val="en-GB"/>
              </w:rPr>
            </w:pPr>
            <w:r w:rsidRPr="00175C40">
              <w:rPr>
                <w:bCs/>
                <w:sz w:val="22"/>
                <w:szCs w:val="22"/>
                <w:lang w:val="en-GB"/>
              </w:rPr>
              <w:t xml:space="preserve">Evaluation of the impact of LEADER on balanced territorial development </w:t>
            </w:r>
          </w:p>
        </w:tc>
      </w:tr>
      <w:tr w:rsidR="00441A5C" w:rsidRPr="00441A5C"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41A5C" w:rsidRPr="00441A5C" w:rsidRDefault="00441A5C" w:rsidP="00441A5C">
            <w:pPr>
              <w:rPr>
                <w:bCs/>
                <w:sz w:val="22"/>
                <w:szCs w:val="22"/>
              </w:rPr>
            </w:pPr>
            <w:r w:rsidRPr="00441A5C">
              <w:rPr>
                <w:bCs/>
                <w:sz w:val="22"/>
                <w:szCs w:val="22"/>
              </w:rPr>
              <w:lastRenderedPageBreak/>
              <w:t>Politikområde</w:t>
            </w:r>
          </w:p>
          <w:p w:rsidR="00441A5C" w:rsidRPr="00441A5C" w:rsidRDefault="00441A5C" w:rsidP="00441A5C">
            <w:pPr>
              <w:rPr>
                <w:bCs/>
                <w:sz w:val="22"/>
                <w:szCs w:val="22"/>
              </w:rPr>
            </w:pPr>
            <w:r w:rsidRPr="00441A5C">
              <w:rPr>
                <w:bCs/>
                <w:sz w:val="22"/>
                <w:szCs w:val="22"/>
              </w:rPr>
              <w:t>Miljö</w:t>
            </w:r>
          </w:p>
        </w:tc>
        <w:tc>
          <w:tcPr>
            <w:tcW w:w="8180" w:type="dxa"/>
            <w:gridSpan w:val="5"/>
            <w:shd w:val="clear" w:color="auto" w:fill="auto"/>
            <w:vAlign w:val="center"/>
          </w:tcPr>
          <w:p w:rsidR="00441A5C" w:rsidRPr="00441A5C" w:rsidRDefault="00C949FF" w:rsidP="00441A5C">
            <w:pPr>
              <w:rPr>
                <w:sz w:val="22"/>
                <w:szCs w:val="22"/>
              </w:rPr>
            </w:pPr>
            <w:hyperlink r:id="rId29" w:history="1">
              <w:proofErr w:type="spellStart"/>
              <w:r w:rsidR="00441A5C" w:rsidRPr="00441A5C">
                <w:rPr>
                  <w:bCs/>
                  <w:sz w:val="22"/>
                  <w:szCs w:val="22"/>
                </w:rPr>
                <w:t>Sustainable</w:t>
              </w:r>
              <w:proofErr w:type="spellEnd"/>
              <w:r w:rsidR="00441A5C" w:rsidRPr="00441A5C">
                <w:rPr>
                  <w:bCs/>
                  <w:sz w:val="22"/>
                  <w:szCs w:val="22"/>
                </w:rPr>
                <w:t xml:space="preserve"> Products </w:t>
              </w:r>
              <w:proofErr w:type="spellStart"/>
              <w:r w:rsidR="00441A5C" w:rsidRPr="00441A5C">
                <w:rPr>
                  <w:bCs/>
                  <w:sz w:val="22"/>
                  <w:szCs w:val="22"/>
                </w:rPr>
                <w:t>Initiative</w:t>
              </w:r>
              <w:proofErr w:type="spellEnd"/>
            </w:hyperlink>
          </w:p>
        </w:tc>
      </w:tr>
      <w:tr w:rsidR="00AB2334" w:rsidRPr="00441A5C"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B2334" w:rsidRPr="003D7350" w:rsidRDefault="00AB2334" w:rsidP="00AB2334">
            <w:pPr>
              <w:rPr>
                <w:b/>
                <w:bCs/>
                <w:sz w:val="22"/>
                <w:szCs w:val="22"/>
              </w:rPr>
            </w:pPr>
            <w:r w:rsidRPr="003D7350">
              <w:rPr>
                <w:b/>
                <w:bCs/>
                <w:sz w:val="22"/>
                <w:szCs w:val="22"/>
              </w:rPr>
              <w:t>Samråd</w:t>
            </w:r>
          </w:p>
        </w:tc>
        <w:tc>
          <w:tcPr>
            <w:tcW w:w="8180" w:type="dxa"/>
            <w:gridSpan w:val="5"/>
            <w:shd w:val="clear" w:color="auto" w:fill="auto"/>
            <w:vAlign w:val="center"/>
          </w:tcPr>
          <w:p w:rsidR="00AB2334" w:rsidRPr="00441A5C" w:rsidRDefault="00AB2334" w:rsidP="00AB2334">
            <w:pPr>
              <w:rPr>
                <w:bCs/>
                <w:sz w:val="22"/>
                <w:szCs w:val="22"/>
              </w:rPr>
            </w:pPr>
          </w:p>
        </w:tc>
      </w:tr>
      <w:tr w:rsidR="00AB2334" w:rsidRPr="00441A5C"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B2334" w:rsidRPr="00FB35AE" w:rsidRDefault="00AB2334" w:rsidP="00AB2334">
            <w:pPr>
              <w:rPr>
                <w:bCs/>
                <w:sz w:val="22"/>
                <w:szCs w:val="22"/>
              </w:rPr>
            </w:pPr>
          </w:p>
        </w:tc>
        <w:tc>
          <w:tcPr>
            <w:tcW w:w="8180" w:type="dxa"/>
            <w:gridSpan w:val="5"/>
            <w:shd w:val="clear" w:color="auto" w:fill="auto"/>
            <w:vAlign w:val="center"/>
          </w:tcPr>
          <w:p w:rsidR="00AB2334" w:rsidRPr="00AC1E5D" w:rsidRDefault="00AB2334" w:rsidP="00AB2334">
            <w:pPr>
              <w:spacing w:before="100" w:beforeAutospacing="1" w:after="100" w:afterAutospacing="1"/>
              <w:rPr>
                <w:b/>
                <w:bCs/>
                <w:sz w:val="22"/>
                <w:szCs w:val="22"/>
              </w:rPr>
            </w:pPr>
            <w:r>
              <w:rPr>
                <w:sz w:val="22"/>
                <w:szCs w:val="22"/>
              </w:rPr>
              <w:t xml:space="preserve"> Samråd inom </w:t>
            </w:r>
            <w:r w:rsidRPr="00FB35AE">
              <w:rPr>
                <w:bCs/>
                <w:sz w:val="22"/>
                <w:szCs w:val="22"/>
              </w:rPr>
              <w:t>Havsfrågor och fiske</w:t>
            </w:r>
            <w:r>
              <w:rPr>
                <w:sz w:val="22"/>
                <w:szCs w:val="22"/>
              </w:rPr>
              <w:t xml:space="preserve"> </w:t>
            </w:r>
            <w:proofErr w:type="gramStart"/>
            <w:r>
              <w:rPr>
                <w:sz w:val="22"/>
                <w:szCs w:val="22"/>
              </w:rPr>
              <w:t xml:space="preserve">och  </w:t>
            </w:r>
            <w:r w:rsidRPr="00AC1E5D">
              <w:rPr>
                <w:sz w:val="22"/>
                <w:szCs w:val="22"/>
              </w:rPr>
              <w:t>Jordbruk</w:t>
            </w:r>
            <w:proofErr w:type="gramEnd"/>
            <w:r w:rsidRPr="00AC1E5D">
              <w:rPr>
                <w:sz w:val="22"/>
                <w:szCs w:val="22"/>
              </w:rPr>
              <w:t xml:space="preserve"> och landsbygds-utveckling</w:t>
            </w:r>
          </w:p>
        </w:tc>
      </w:tr>
      <w:tr w:rsidR="00AB2334"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AB2334" w:rsidRPr="00B40F4D" w:rsidRDefault="00AB2334" w:rsidP="00AB2334">
            <w:pPr>
              <w:rPr>
                <w:b/>
                <w:bCs/>
                <w:sz w:val="22"/>
                <w:szCs w:val="22"/>
              </w:rPr>
            </w:pPr>
            <w:r w:rsidRPr="00B40F4D">
              <w:rPr>
                <w:b/>
                <w:bCs/>
                <w:sz w:val="22"/>
                <w:szCs w:val="22"/>
              </w:rPr>
              <w:t>Yttranden från andra nationella parlament</w:t>
            </w:r>
          </w:p>
        </w:tc>
        <w:tc>
          <w:tcPr>
            <w:tcW w:w="8180" w:type="dxa"/>
            <w:gridSpan w:val="5"/>
            <w:shd w:val="clear" w:color="auto" w:fill="auto"/>
            <w:vAlign w:val="center"/>
          </w:tcPr>
          <w:p w:rsidR="00AB2334" w:rsidRPr="00B40F4D" w:rsidRDefault="00AB2334" w:rsidP="00AB2334">
            <w:pPr>
              <w:rPr>
                <w:sz w:val="22"/>
                <w:szCs w:val="22"/>
              </w:rPr>
            </w:pPr>
          </w:p>
        </w:tc>
      </w:tr>
      <w:tr w:rsidR="00AB2334" w:rsidRPr="00175C40"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AB2334" w:rsidRPr="00AB2334" w:rsidRDefault="00C949FF" w:rsidP="00AB2334">
            <w:pPr>
              <w:rPr>
                <w:bCs/>
                <w:sz w:val="22"/>
                <w:szCs w:val="22"/>
              </w:rPr>
            </w:pPr>
            <w:hyperlink r:id="rId30" w:history="1">
              <w:r w:rsidR="00AB2334" w:rsidRPr="00AB2334">
                <w:rPr>
                  <w:rStyle w:val="Hyperlnk"/>
                  <w:color w:val="auto"/>
                  <w:sz w:val="22"/>
                  <w:szCs w:val="22"/>
                  <w:u w:val="none"/>
                </w:rPr>
                <w:t xml:space="preserve">ST </w:t>
              </w:r>
              <w:proofErr w:type="gramStart"/>
              <w:r w:rsidR="00AB2334" w:rsidRPr="00AB2334">
                <w:rPr>
                  <w:rStyle w:val="Hyperlnk"/>
                  <w:color w:val="auto"/>
                  <w:sz w:val="22"/>
                  <w:szCs w:val="22"/>
                  <w:u w:val="none"/>
                </w:rPr>
                <w:t>10604</w:t>
              </w:r>
              <w:proofErr w:type="gramEnd"/>
              <w:r w:rsidR="00AB2334" w:rsidRPr="00AB2334">
                <w:rPr>
                  <w:rStyle w:val="Hyperlnk"/>
                  <w:color w:val="auto"/>
                  <w:sz w:val="22"/>
                  <w:szCs w:val="22"/>
                  <w:u w:val="none"/>
                </w:rPr>
                <w:t>/20</w:t>
              </w:r>
            </w:hyperlink>
          </w:p>
        </w:tc>
        <w:tc>
          <w:tcPr>
            <w:tcW w:w="8180" w:type="dxa"/>
            <w:gridSpan w:val="5"/>
            <w:tcBorders>
              <w:bottom w:val="single" w:sz="4" w:space="0" w:color="auto"/>
            </w:tcBorders>
            <w:shd w:val="clear" w:color="auto" w:fill="auto"/>
            <w:vAlign w:val="center"/>
          </w:tcPr>
          <w:p w:rsidR="00AB2334" w:rsidRPr="00175C40" w:rsidRDefault="00AB2334" w:rsidP="00AB2334">
            <w:pPr>
              <w:rPr>
                <w:sz w:val="22"/>
                <w:szCs w:val="22"/>
                <w:lang w:val="en-GB"/>
              </w:rPr>
            </w:pPr>
            <w:r w:rsidRPr="00175C40">
              <w:rPr>
                <w:sz w:val="22"/>
                <w:szCs w:val="22"/>
                <w:lang w:val="en-GB"/>
              </w:rPr>
              <w:t xml:space="preserve">Proposal for a REGULATION OF THE EUROPEAN PARLIAMENT AND OF THE COUNCIL amending Regulation (EU) 2016/1628 as regards its transitional provisions in order to address the impact of COVID-19 crisis [8521/20 - </w:t>
            </w:r>
            <w:proofErr w:type="gramStart"/>
            <w:r w:rsidRPr="00175C40">
              <w:rPr>
                <w:sz w:val="22"/>
                <w:szCs w:val="22"/>
                <w:lang w:val="en-GB"/>
              </w:rPr>
              <w:t>COM(</w:t>
            </w:r>
            <w:proofErr w:type="gramEnd"/>
            <w:r w:rsidRPr="00175C40">
              <w:rPr>
                <w:sz w:val="22"/>
                <w:szCs w:val="22"/>
                <w:lang w:val="en-GB"/>
              </w:rPr>
              <w:t>2020) 233 final] - Opinion on the application of the Principles of Subsidiarity and Proportionality- the Portuguese Parliament</w:t>
            </w:r>
            <w:r w:rsidRPr="00175C40">
              <w:rPr>
                <w:sz w:val="22"/>
                <w:szCs w:val="22"/>
                <w:lang w:val="en-GB"/>
              </w:rPr>
              <w:br/>
            </w:r>
          </w:p>
        </w:tc>
      </w:tr>
    </w:tbl>
    <w:p w:rsidR="00AB1421" w:rsidRPr="00175C40" w:rsidRDefault="00AB1421" w:rsidP="001806D9">
      <w:pPr>
        <w:pStyle w:val="Brdtext"/>
        <w:rPr>
          <w:sz w:val="22"/>
          <w:szCs w:val="22"/>
          <w:lang w:val="en-GB"/>
        </w:rPr>
      </w:pPr>
    </w:p>
    <w:p w:rsidR="00BE1EBF" w:rsidRPr="00175C40" w:rsidRDefault="00BE1EBF" w:rsidP="001806D9">
      <w:pPr>
        <w:pStyle w:val="Brdtext"/>
        <w:rPr>
          <w:sz w:val="22"/>
          <w:szCs w:val="22"/>
          <w:lang w:val="en-GB"/>
        </w:rPr>
        <w:sectPr w:rsidR="00BE1EBF" w:rsidRPr="00175C40" w:rsidSect="002D06F9">
          <w:pgSz w:w="11906" w:h="16838" w:code="9"/>
          <w:pgMar w:top="567" w:right="1134" w:bottom="567" w:left="1134" w:header="720" w:footer="720" w:gutter="0"/>
          <w:cols w:space="720"/>
          <w:titlePg/>
        </w:sect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8C2D5B" w:rsidRPr="00B40F4D" w:rsidTr="00F73D67">
        <w:tc>
          <w:tcPr>
            <w:tcW w:w="5457" w:type="dxa"/>
          </w:tcPr>
          <w:p w:rsidR="008C2D5B" w:rsidRPr="00B40F4D" w:rsidRDefault="008C2D5B" w:rsidP="00F73D67">
            <w:pPr>
              <w:tabs>
                <w:tab w:val="left" w:pos="1276"/>
              </w:tabs>
              <w:rPr>
                <w:sz w:val="22"/>
                <w:szCs w:val="22"/>
              </w:rPr>
            </w:pPr>
            <w:r w:rsidRPr="00175C40">
              <w:rPr>
                <w:sz w:val="22"/>
                <w:szCs w:val="22"/>
                <w:lang w:val="en-GB"/>
              </w:rPr>
              <w:lastRenderedPageBreak/>
              <w:br w:type="page"/>
            </w:r>
            <w:r w:rsidRPr="00B40F4D">
              <w:rPr>
                <w:sz w:val="22"/>
                <w:szCs w:val="22"/>
              </w:rPr>
              <w:t>MILJÖ- OCH JORDBRUKSUTSKOTTET</w:t>
            </w:r>
          </w:p>
        </w:tc>
        <w:tc>
          <w:tcPr>
            <w:tcW w:w="1843" w:type="dxa"/>
          </w:tcPr>
          <w:p w:rsidR="008C2D5B" w:rsidRPr="00B40F4D" w:rsidRDefault="008C2D5B" w:rsidP="00F73D67">
            <w:pPr>
              <w:tabs>
                <w:tab w:val="left" w:pos="1276"/>
              </w:tabs>
              <w:rPr>
                <w:sz w:val="22"/>
                <w:szCs w:val="22"/>
              </w:rPr>
            </w:pPr>
          </w:p>
        </w:tc>
        <w:tc>
          <w:tcPr>
            <w:tcW w:w="1701" w:type="dxa"/>
          </w:tcPr>
          <w:p w:rsidR="008C2D5B" w:rsidRPr="00B40F4D" w:rsidRDefault="008C2D5B" w:rsidP="00F73D67">
            <w:pPr>
              <w:tabs>
                <w:tab w:val="left" w:pos="1276"/>
              </w:tabs>
              <w:ind w:right="-212"/>
              <w:rPr>
                <w:b/>
                <w:sz w:val="22"/>
                <w:szCs w:val="22"/>
              </w:rPr>
            </w:pPr>
            <w:r w:rsidRPr="00B40F4D">
              <w:rPr>
                <w:b/>
                <w:sz w:val="22"/>
                <w:szCs w:val="22"/>
              </w:rPr>
              <w:t xml:space="preserve">Bilaga </w:t>
            </w:r>
            <w:r w:rsidR="007744E0">
              <w:rPr>
                <w:b/>
                <w:sz w:val="22"/>
                <w:szCs w:val="22"/>
              </w:rPr>
              <w:t>5</w:t>
            </w:r>
          </w:p>
          <w:p w:rsidR="008C2D5B" w:rsidRPr="00B40F4D" w:rsidRDefault="008C2D5B" w:rsidP="00F73D67">
            <w:pPr>
              <w:tabs>
                <w:tab w:val="left" w:pos="1276"/>
              </w:tabs>
              <w:ind w:right="-212"/>
              <w:rPr>
                <w:sz w:val="22"/>
                <w:szCs w:val="22"/>
              </w:rPr>
            </w:pPr>
            <w:r w:rsidRPr="00B40F4D">
              <w:rPr>
                <w:sz w:val="22"/>
                <w:szCs w:val="22"/>
              </w:rPr>
              <w:t>till protokoll</w:t>
            </w:r>
          </w:p>
          <w:p w:rsidR="008C2D5B" w:rsidRPr="00B40F4D" w:rsidRDefault="008C2D5B" w:rsidP="00335938">
            <w:pPr>
              <w:tabs>
                <w:tab w:val="left" w:pos="1276"/>
              </w:tabs>
              <w:ind w:right="-212"/>
              <w:rPr>
                <w:b/>
                <w:sz w:val="22"/>
                <w:szCs w:val="22"/>
              </w:rPr>
            </w:pPr>
            <w:r w:rsidRPr="00B40F4D">
              <w:rPr>
                <w:sz w:val="22"/>
                <w:szCs w:val="22"/>
              </w:rPr>
              <w:t>20</w:t>
            </w:r>
            <w:r w:rsidR="007744E0">
              <w:rPr>
                <w:sz w:val="22"/>
                <w:szCs w:val="22"/>
              </w:rPr>
              <w:t>20</w:t>
            </w:r>
            <w:r w:rsidRPr="00B40F4D">
              <w:rPr>
                <w:sz w:val="22"/>
                <w:szCs w:val="22"/>
              </w:rPr>
              <w:t>/</w:t>
            </w:r>
            <w:r w:rsidR="00FC1B12" w:rsidRPr="00B40F4D">
              <w:rPr>
                <w:sz w:val="22"/>
                <w:szCs w:val="22"/>
              </w:rPr>
              <w:t>2</w:t>
            </w:r>
            <w:r w:rsidR="007744E0">
              <w:rPr>
                <w:sz w:val="22"/>
                <w:szCs w:val="22"/>
              </w:rPr>
              <w:t>1</w:t>
            </w:r>
            <w:r w:rsidR="00B80318" w:rsidRPr="00B40F4D">
              <w:rPr>
                <w:sz w:val="22"/>
                <w:szCs w:val="22"/>
              </w:rPr>
              <w:t>:</w:t>
            </w:r>
            <w:r w:rsidR="00FC3105">
              <w:rPr>
                <w:sz w:val="22"/>
                <w:szCs w:val="22"/>
              </w:rPr>
              <w:t>2</w:t>
            </w:r>
          </w:p>
        </w:tc>
      </w:tr>
    </w:tbl>
    <w:p w:rsidR="008C2D5B" w:rsidRPr="00B40F4D" w:rsidRDefault="008C2D5B" w:rsidP="008C2D5B">
      <w:pPr>
        <w:tabs>
          <w:tab w:val="left" w:pos="142"/>
          <w:tab w:val="left" w:pos="7655"/>
        </w:tabs>
        <w:ind w:right="-568"/>
        <w:rPr>
          <w:sz w:val="22"/>
          <w:szCs w:val="22"/>
        </w:rPr>
      </w:pPr>
    </w:p>
    <w:tbl>
      <w:tblPr>
        <w:tblW w:w="9142" w:type="dxa"/>
        <w:tblLayout w:type="fixed"/>
        <w:tblCellMar>
          <w:left w:w="70" w:type="dxa"/>
          <w:right w:w="70" w:type="dxa"/>
        </w:tblCellMar>
        <w:tblLook w:val="0000" w:firstRow="0" w:lastRow="0" w:firstColumn="0" w:lastColumn="0" w:noHBand="0" w:noVBand="0"/>
      </w:tblPr>
      <w:tblGrid>
        <w:gridCol w:w="2197"/>
        <w:gridCol w:w="6945"/>
      </w:tblGrid>
      <w:tr w:rsidR="008C2D5B" w:rsidRPr="00B40F4D" w:rsidTr="00F73D67">
        <w:trPr>
          <w:trHeight w:val="614"/>
        </w:trPr>
        <w:tc>
          <w:tcPr>
            <w:tcW w:w="2197" w:type="dxa"/>
          </w:tcPr>
          <w:p w:rsidR="008C2D5B" w:rsidRPr="00B40F4D" w:rsidRDefault="008C2D5B" w:rsidP="00F73D67">
            <w:pPr>
              <w:tabs>
                <w:tab w:val="left" w:pos="142"/>
                <w:tab w:val="left" w:pos="7655"/>
              </w:tabs>
              <w:ind w:right="-568"/>
              <w:rPr>
                <w:b/>
                <w:i/>
                <w:sz w:val="22"/>
                <w:szCs w:val="22"/>
              </w:rPr>
            </w:pPr>
          </w:p>
        </w:tc>
        <w:tc>
          <w:tcPr>
            <w:tcW w:w="6945" w:type="dxa"/>
          </w:tcPr>
          <w:p w:rsidR="008C2D5B" w:rsidRPr="00B40F4D" w:rsidRDefault="008C2D5B" w:rsidP="00F73D67">
            <w:pPr>
              <w:tabs>
                <w:tab w:val="left" w:pos="142"/>
                <w:tab w:val="left" w:pos="7655"/>
              </w:tabs>
              <w:ind w:right="-568"/>
              <w:rPr>
                <w:i/>
                <w:sz w:val="22"/>
                <w:szCs w:val="22"/>
              </w:rPr>
            </w:pPr>
            <w:r w:rsidRPr="00B40F4D">
              <w:rPr>
                <w:i/>
                <w:sz w:val="22"/>
                <w:szCs w:val="22"/>
              </w:rPr>
              <w:t>Inkomna skrivelser</w:t>
            </w:r>
          </w:p>
        </w:tc>
      </w:tr>
      <w:tr w:rsidR="008C2D5B" w:rsidRPr="00B40F4D" w:rsidTr="00F73D67">
        <w:trPr>
          <w:trHeight w:val="594"/>
        </w:trPr>
        <w:tc>
          <w:tcPr>
            <w:tcW w:w="2197" w:type="dxa"/>
          </w:tcPr>
          <w:p w:rsidR="008C2D5B" w:rsidRPr="00B40F4D" w:rsidRDefault="008C2D5B" w:rsidP="00F73D67">
            <w:pPr>
              <w:tabs>
                <w:tab w:val="left" w:pos="142"/>
                <w:tab w:val="left" w:pos="7655"/>
              </w:tabs>
              <w:ind w:right="-568"/>
              <w:rPr>
                <w:i/>
                <w:sz w:val="22"/>
                <w:szCs w:val="22"/>
              </w:rPr>
            </w:pPr>
            <w:r w:rsidRPr="00B40F4D">
              <w:rPr>
                <w:i/>
                <w:sz w:val="22"/>
                <w:szCs w:val="22"/>
              </w:rPr>
              <w:t>Dnr</w:t>
            </w:r>
          </w:p>
        </w:tc>
        <w:tc>
          <w:tcPr>
            <w:tcW w:w="6945" w:type="dxa"/>
          </w:tcPr>
          <w:p w:rsidR="008C2D5B" w:rsidRPr="00B40F4D" w:rsidRDefault="008C2D5B" w:rsidP="00F73D67">
            <w:pPr>
              <w:tabs>
                <w:tab w:val="left" w:pos="142"/>
                <w:tab w:val="left" w:pos="7655"/>
              </w:tabs>
              <w:ind w:right="-568"/>
              <w:rPr>
                <w:b/>
                <w:i/>
                <w:sz w:val="22"/>
                <w:szCs w:val="22"/>
              </w:rPr>
            </w:pPr>
            <w:r w:rsidRPr="00B40F4D">
              <w:rPr>
                <w:i/>
                <w:sz w:val="22"/>
                <w:szCs w:val="22"/>
              </w:rPr>
              <w:t>Avsändare / ämne</w:t>
            </w:r>
          </w:p>
        </w:tc>
      </w:tr>
      <w:tr w:rsidR="008C2D5B" w:rsidRPr="00B40F4D" w:rsidTr="00F73D67">
        <w:trPr>
          <w:trHeight w:val="660"/>
        </w:trPr>
        <w:tc>
          <w:tcPr>
            <w:tcW w:w="2197" w:type="dxa"/>
          </w:tcPr>
          <w:p w:rsidR="008C2D5B" w:rsidRDefault="008C2D5B" w:rsidP="00F73D67">
            <w:pPr>
              <w:tabs>
                <w:tab w:val="left" w:pos="142"/>
                <w:tab w:val="left" w:pos="7655"/>
              </w:tabs>
              <w:ind w:right="-568"/>
              <w:rPr>
                <w:sz w:val="22"/>
                <w:szCs w:val="22"/>
                <w:lang w:val="en-US"/>
              </w:rPr>
            </w:pPr>
          </w:p>
          <w:p w:rsidR="00CA485C" w:rsidRPr="00B40F4D" w:rsidRDefault="00CA485C" w:rsidP="00F73D67">
            <w:pPr>
              <w:tabs>
                <w:tab w:val="left" w:pos="142"/>
                <w:tab w:val="left" w:pos="7655"/>
              </w:tabs>
              <w:ind w:right="-568"/>
              <w:rPr>
                <w:sz w:val="22"/>
                <w:szCs w:val="22"/>
                <w:lang w:val="en-US"/>
              </w:rPr>
            </w:pPr>
            <w:r>
              <w:rPr>
                <w:sz w:val="22"/>
                <w:szCs w:val="22"/>
                <w:lang w:val="en-US"/>
              </w:rPr>
              <w:t>2547-2019/20</w:t>
            </w:r>
          </w:p>
        </w:tc>
        <w:tc>
          <w:tcPr>
            <w:tcW w:w="6945" w:type="dxa"/>
          </w:tcPr>
          <w:p w:rsidR="008C2D5B" w:rsidRPr="00B40F4D" w:rsidRDefault="00CA485C" w:rsidP="00F73D67">
            <w:pPr>
              <w:tabs>
                <w:tab w:val="left" w:pos="142"/>
                <w:tab w:val="left" w:pos="7655"/>
              </w:tabs>
              <w:ind w:right="-568"/>
              <w:rPr>
                <w:sz w:val="22"/>
                <w:szCs w:val="22"/>
              </w:rPr>
            </w:pPr>
            <w:r>
              <w:rPr>
                <w:sz w:val="22"/>
                <w:szCs w:val="22"/>
              </w:rPr>
              <w:br/>
              <w:t xml:space="preserve">Ulf </w:t>
            </w:r>
            <w:proofErr w:type="spellStart"/>
            <w:r>
              <w:rPr>
                <w:sz w:val="22"/>
                <w:szCs w:val="22"/>
              </w:rPr>
              <w:t>Kranok</w:t>
            </w:r>
            <w:proofErr w:type="spellEnd"/>
            <w:r>
              <w:rPr>
                <w:sz w:val="22"/>
                <w:szCs w:val="22"/>
              </w:rPr>
              <w:t xml:space="preserve"> /Åberopande av rätt till jakt och fiske</w:t>
            </w:r>
          </w:p>
        </w:tc>
      </w:tr>
      <w:tr w:rsidR="008C2D5B" w:rsidRPr="00B40F4D" w:rsidTr="00F73D67">
        <w:tc>
          <w:tcPr>
            <w:tcW w:w="2197" w:type="dxa"/>
          </w:tcPr>
          <w:p w:rsidR="008C2D5B" w:rsidRPr="00B40F4D" w:rsidRDefault="008C2D5B" w:rsidP="00F73D67">
            <w:pPr>
              <w:tabs>
                <w:tab w:val="left" w:pos="142"/>
                <w:tab w:val="left" w:pos="7655"/>
              </w:tabs>
              <w:ind w:right="-568"/>
              <w:rPr>
                <w:sz w:val="22"/>
                <w:szCs w:val="22"/>
              </w:rPr>
            </w:pPr>
          </w:p>
        </w:tc>
        <w:tc>
          <w:tcPr>
            <w:tcW w:w="6945" w:type="dxa"/>
          </w:tcPr>
          <w:p w:rsidR="008C2D5B" w:rsidRPr="00B40F4D" w:rsidRDefault="008C2D5B" w:rsidP="00F73D67">
            <w:pPr>
              <w:rPr>
                <w:sz w:val="22"/>
                <w:szCs w:val="22"/>
              </w:rPr>
            </w:pPr>
          </w:p>
        </w:tc>
      </w:tr>
    </w:tbl>
    <w:p w:rsidR="00177FF8" w:rsidRPr="00B40F4D" w:rsidRDefault="00177FF8" w:rsidP="00CC5952">
      <w:pPr>
        <w:tabs>
          <w:tab w:val="left" w:pos="426"/>
          <w:tab w:val="left" w:pos="3261"/>
          <w:tab w:val="left" w:pos="6804"/>
        </w:tabs>
        <w:rPr>
          <w:sz w:val="22"/>
          <w:szCs w:val="22"/>
        </w:rPr>
      </w:pPr>
    </w:p>
    <w:sectPr w:rsidR="00177FF8" w:rsidRPr="00B40F4D"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59C088F"/>
    <w:multiLevelType w:val="hybridMultilevel"/>
    <w:tmpl w:val="E1F89A98"/>
    <w:lvl w:ilvl="0" w:tplc="5B1CB0E6">
      <w:start w:val="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53FEF"/>
    <w:rsid w:val="000604E3"/>
    <w:rsid w:val="00061437"/>
    <w:rsid w:val="00064523"/>
    <w:rsid w:val="00070A5C"/>
    <w:rsid w:val="00071FBC"/>
    <w:rsid w:val="00076BDD"/>
    <w:rsid w:val="0008553B"/>
    <w:rsid w:val="00091EA6"/>
    <w:rsid w:val="000A29E4"/>
    <w:rsid w:val="000B00E1"/>
    <w:rsid w:val="000E402E"/>
    <w:rsid w:val="000E777E"/>
    <w:rsid w:val="000F6792"/>
    <w:rsid w:val="000F7D9B"/>
    <w:rsid w:val="001018E3"/>
    <w:rsid w:val="00102D5B"/>
    <w:rsid w:val="00102F93"/>
    <w:rsid w:val="00106631"/>
    <w:rsid w:val="001107C9"/>
    <w:rsid w:val="001201A1"/>
    <w:rsid w:val="001238B9"/>
    <w:rsid w:val="0014421B"/>
    <w:rsid w:val="00154537"/>
    <w:rsid w:val="001576B4"/>
    <w:rsid w:val="00157C48"/>
    <w:rsid w:val="00157E3A"/>
    <w:rsid w:val="00161710"/>
    <w:rsid w:val="00164491"/>
    <w:rsid w:val="001709AE"/>
    <w:rsid w:val="00175C40"/>
    <w:rsid w:val="00176F71"/>
    <w:rsid w:val="00177FF8"/>
    <w:rsid w:val="001806D9"/>
    <w:rsid w:val="00183F5A"/>
    <w:rsid w:val="00190D5B"/>
    <w:rsid w:val="001A35A0"/>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1518"/>
    <w:rsid w:val="002830F4"/>
    <w:rsid w:val="00286C79"/>
    <w:rsid w:val="00287223"/>
    <w:rsid w:val="00294457"/>
    <w:rsid w:val="002968EE"/>
    <w:rsid w:val="002A14AC"/>
    <w:rsid w:val="002A3C5F"/>
    <w:rsid w:val="002A477B"/>
    <w:rsid w:val="002B5B49"/>
    <w:rsid w:val="002C1D92"/>
    <w:rsid w:val="002C5FED"/>
    <w:rsid w:val="002D06F9"/>
    <w:rsid w:val="002D20B8"/>
    <w:rsid w:val="002D5CC4"/>
    <w:rsid w:val="002F25FD"/>
    <w:rsid w:val="00302EBE"/>
    <w:rsid w:val="00305501"/>
    <w:rsid w:val="003100F5"/>
    <w:rsid w:val="00311886"/>
    <w:rsid w:val="003127B4"/>
    <w:rsid w:val="003220D7"/>
    <w:rsid w:val="00322167"/>
    <w:rsid w:val="00335837"/>
    <w:rsid w:val="00335938"/>
    <w:rsid w:val="00342CC6"/>
    <w:rsid w:val="003443ED"/>
    <w:rsid w:val="00367F35"/>
    <w:rsid w:val="00381298"/>
    <w:rsid w:val="00387440"/>
    <w:rsid w:val="003941CA"/>
    <w:rsid w:val="00396766"/>
    <w:rsid w:val="003A006F"/>
    <w:rsid w:val="003B57EC"/>
    <w:rsid w:val="003E001E"/>
    <w:rsid w:val="003E21B4"/>
    <w:rsid w:val="003E2DA5"/>
    <w:rsid w:val="003F2DF6"/>
    <w:rsid w:val="003F5018"/>
    <w:rsid w:val="003F7963"/>
    <w:rsid w:val="00402A6F"/>
    <w:rsid w:val="00402A75"/>
    <w:rsid w:val="00405162"/>
    <w:rsid w:val="004072D7"/>
    <w:rsid w:val="00416E51"/>
    <w:rsid w:val="00417CF8"/>
    <w:rsid w:val="00420D39"/>
    <w:rsid w:val="004310CA"/>
    <w:rsid w:val="00440E5D"/>
    <w:rsid w:val="00441A5C"/>
    <w:rsid w:val="00457BA1"/>
    <w:rsid w:val="00463E6E"/>
    <w:rsid w:val="00470F4B"/>
    <w:rsid w:val="004763AE"/>
    <w:rsid w:val="0047654D"/>
    <w:rsid w:val="00481A80"/>
    <w:rsid w:val="00481AE3"/>
    <w:rsid w:val="00482D9A"/>
    <w:rsid w:val="00485C5B"/>
    <w:rsid w:val="004945A7"/>
    <w:rsid w:val="00497BF2"/>
    <w:rsid w:val="004A5400"/>
    <w:rsid w:val="004B1E7E"/>
    <w:rsid w:val="004C58F4"/>
    <w:rsid w:val="004D552E"/>
    <w:rsid w:val="004D6725"/>
    <w:rsid w:val="004E030E"/>
    <w:rsid w:val="004E0E27"/>
    <w:rsid w:val="004E4C8B"/>
    <w:rsid w:val="004E7DCE"/>
    <w:rsid w:val="00501F97"/>
    <w:rsid w:val="005118EF"/>
    <w:rsid w:val="00512799"/>
    <w:rsid w:val="0051377A"/>
    <w:rsid w:val="00515AC5"/>
    <w:rsid w:val="005249C1"/>
    <w:rsid w:val="00530BD4"/>
    <w:rsid w:val="00537B05"/>
    <w:rsid w:val="005654CA"/>
    <w:rsid w:val="00573E17"/>
    <w:rsid w:val="00573F9E"/>
    <w:rsid w:val="00583D8C"/>
    <w:rsid w:val="005855D5"/>
    <w:rsid w:val="005957E5"/>
    <w:rsid w:val="005A3E8B"/>
    <w:rsid w:val="005B1B2C"/>
    <w:rsid w:val="005B1B4D"/>
    <w:rsid w:val="005D54B6"/>
    <w:rsid w:val="005D7C2B"/>
    <w:rsid w:val="005E1A3C"/>
    <w:rsid w:val="005E4FF4"/>
    <w:rsid w:val="005E6A1F"/>
    <w:rsid w:val="005F6C39"/>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2184"/>
    <w:rsid w:val="0069597E"/>
    <w:rsid w:val="006A63A7"/>
    <w:rsid w:val="006B73AF"/>
    <w:rsid w:val="006C79E6"/>
    <w:rsid w:val="006D05CF"/>
    <w:rsid w:val="006D312E"/>
    <w:rsid w:val="006D5F8F"/>
    <w:rsid w:val="006E15D9"/>
    <w:rsid w:val="006F4672"/>
    <w:rsid w:val="00716686"/>
    <w:rsid w:val="00721C53"/>
    <w:rsid w:val="007453FF"/>
    <w:rsid w:val="00754C4A"/>
    <w:rsid w:val="00762508"/>
    <w:rsid w:val="007628EB"/>
    <w:rsid w:val="007719E4"/>
    <w:rsid w:val="00771DE6"/>
    <w:rsid w:val="007744E0"/>
    <w:rsid w:val="00783165"/>
    <w:rsid w:val="00796426"/>
    <w:rsid w:val="007A1132"/>
    <w:rsid w:val="007B1F72"/>
    <w:rsid w:val="007B26F0"/>
    <w:rsid w:val="007E14E2"/>
    <w:rsid w:val="007F12BB"/>
    <w:rsid w:val="007F7A91"/>
    <w:rsid w:val="008032FE"/>
    <w:rsid w:val="008072FF"/>
    <w:rsid w:val="008124A2"/>
    <w:rsid w:val="00821792"/>
    <w:rsid w:val="00834E22"/>
    <w:rsid w:val="0084464A"/>
    <w:rsid w:val="008458B4"/>
    <w:rsid w:val="008504EB"/>
    <w:rsid w:val="00856389"/>
    <w:rsid w:val="00865C85"/>
    <w:rsid w:val="00874CD1"/>
    <w:rsid w:val="008856C5"/>
    <w:rsid w:val="00886349"/>
    <w:rsid w:val="00894936"/>
    <w:rsid w:val="0089673E"/>
    <w:rsid w:val="008A28BD"/>
    <w:rsid w:val="008B5472"/>
    <w:rsid w:val="008B5D35"/>
    <w:rsid w:val="008B7CC5"/>
    <w:rsid w:val="008C0FEE"/>
    <w:rsid w:val="008C2D5B"/>
    <w:rsid w:val="008D692B"/>
    <w:rsid w:val="008F4883"/>
    <w:rsid w:val="008F4D6D"/>
    <w:rsid w:val="00903EC0"/>
    <w:rsid w:val="00911B90"/>
    <w:rsid w:val="00914C38"/>
    <w:rsid w:val="00921E40"/>
    <w:rsid w:val="009222A6"/>
    <w:rsid w:val="00922EB0"/>
    <w:rsid w:val="009442C2"/>
    <w:rsid w:val="009442D4"/>
    <w:rsid w:val="00946E67"/>
    <w:rsid w:val="00952893"/>
    <w:rsid w:val="00955CA2"/>
    <w:rsid w:val="0095737D"/>
    <w:rsid w:val="009653D4"/>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34130"/>
    <w:rsid w:val="00A375CF"/>
    <w:rsid w:val="00A37731"/>
    <w:rsid w:val="00A51307"/>
    <w:rsid w:val="00A645AD"/>
    <w:rsid w:val="00A64CA0"/>
    <w:rsid w:val="00A6580E"/>
    <w:rsid w:val="00A65C53"/>
    <w:rsid w:val="00A702BD"/>
    <w:rsid w:val="00A71AF0"/>
    <w:rsid w:val="00A746E4"/>
    <w:rsid w:val="00A83ACB"/>
    <w:rsid w:val="00A846AA"/>
    <w:rsid w:val="00A96BB5"/>
    <w:rsid w:val="00AB1421"/>
    <w:rsid w:val="00AB2334"/>
    <w:rsid w:val="00AB2883"/>
    <w:rsid w:val="00AC0C85"/>
    <w:rsid w:val="00AD2143"/>
    <w:rsid w:val="00AD2B50"/>
    <w:rsid w:val="00AD4D95"/>
    <w:rsid w:val="00AE0071"/>
    <w:rsid w:val="00AE176C"/>
    <w:rsid w:val="00AE6FBC"/>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62905"/>
    <w:rsid w:val="00B7289B"/>
    <w:rsid w:val="00B80318"/>
    <w:rsid w:val="00B84647"/>
    <w:rsid w:val="00B86868"/>
    <w:rsid w:val="00B96E81"/>
    <w:rsid w:val="00BA4937"/>
    <w:rsid w:val="00BA55CE"/>
    <w:rsid w:val="00BB1969"/>
    <w:rsid w:val="00BB34FC"/>
    <w:rsid w:val="00BB375E"/>
    <w:rsid w:val="00BB59A8"/>
    <w:rsid w:val="00BB5D88"/>
    <w:rsid w:val="00BB7941"/>
    <w:rsid w:val="00BC03D5"/>
    <w:rsid w:val="00BD374B"/>
    <w:rsid w:val="00BE1EBF"/>
    <w:rsid w:val="00BE6E45"/>
    <w:rsid w:val="00BF0D09"/>
    <w:rsid w:val="00C013F6"/>
    <w:rsid w:val="00C11E5F"/>
    <w:rsid w:val="00C20B9F"/>
    <w:rsid w:val="00C20F78"/>
    <w:rsid w:val="00C55553"/>
    <w:rsid w:val="00C65B6F"/>
    <w:rsid w:val="00C65F27"/>
    <w:rsid w:val="00C6697A"/>
    <w:rsid w:val="00C674DC"/>
    <w:rsid w:val="00C80EBD"/>
    <w:rsid w:val="00C85589"/>
    <w:rsid w:val="00C949FF"/>
    <w:rsid w:val="00CA485C"/>
    <w:rsid w:val="00CA60EE"/>
    <w:rsid w:val="00CA677B"/>
    <w:rsid w:val="00CA75B8"/>
    <w:rsid w:val="00CB2E80"/>
    <w:rsid w:val="00CB5973"/>
    <w:rsid w:val="00CB71B9"/>
    <w:rsid w:val="00CC5952"/>
    <w:rsid w:val="00CD0D79"/>
    <w:rsid w:val="00CE0E61"/>
    <w:rsid w:val="00CE3494"/>
    <w:rsid w:val="00CE39E2"/>
    <w:rsid w:val="00CE6ED5"/>
    <w:rsid w:val="00CF0661"/>
    <w:rsid w:val="00CF0B50"/>
    <w:rsid w:val="00CF23A6"/>
    <w:rsid w:val="00CF4403"/>
    <w:rsid w:val="00D013C5"/>
    <w:rsid w:val="00D0483C"/>
    <w:rsid w:val="00D048DB"/>
    <w:rsid w:val="00D06FDE"/>
    <w:rsid w:val="00D11582"/>
    <w:rsid w:val="00D11D2D"/>
    <w:rsid w:val="00D139CC"/>
    <w:rsid w:val="00D27454"/>
    <w:rsid w:val="00D27A57"/>
    <w:rsid w:val="00D27BCE"/>
    <w:rsid w:val="00D303F8"/>
    <w:rsid w:val="00D30A97"/>
    <w:rsid w:val="00D46465"/>
    <w:rsid w:val="00D5250E"/>
    <w:rsid w:val="00D73862"/>
    <w:rsid w:val="00D75A18"/>
    <w:rsid w:val="00D830E6"/>
    <w:rsid w:val="00D87D66"/>
    <w:rsid w:val="00D94F64"/>
    <w:rsid w:val="00DA2C47"/>
    <w:rsid w:val="00DA34F3"/>
    <w:rsid w:val="00DA5AAC"/>
    <w:rsid w:val="00DB491C"/>
    <w:rsid w:val="00DC46BF"/>
    <w:rsid w:val="00DC48A8"/>
    <w:rsid w:val="00DD06D6"/>
    <w:rsid w:val="00DD7DD7"/>
    <w:rsid w:val="00DE45E6"/>
    <w:rsid w:val="00DF1920"/>
    <w:rsid w:val="00DF2A5B"/>
    <w:rsid w:val="00DF4E44"/>
    <w:rsid w:val="00DF69C9"/>
    <w:rsid w:val="00E1579E"/>
    <w:rsid w:val="00E2386B"/>
    <w:rsid w:val="00E32CDB"/>
    <w:rsid w:val="00E43C72"/>
    <w:rsid w:val="00E44E30"/>
    <w:rsid w:val="00E47577"/>
    <w:rsid w:val="00E53E73"/>
    <w:rsid w:val="00E54E79"/>
    <w:rsid w:val="00E60AE8"/>
    <w:rsid w:val="00EA5C1E"/>
    <w:rsid w:val="00EB5801"/>
    <w:rsid w:val="00EC7E9B"/>
    <w:rsid w:val="00EE0BF7"/>
    <w:rsid w:val="00EE6E7B"/>
    <w:rsid w:val="00EF1B0A"/>
    <w:rsid w:val="00EF4ADF"/>
    <w:rsid w:val="00EF4B6A"/>
    <w:rsid w:val="00EF7243"/>
    <w:rsid w:val="00F143DB"/>
    <w:rsid w:val="00F25AFF"/>
    <w:rsid w:val="00F52E1E"/>
    <w:rsid w:val="00F65F54"/>
    <w:rsid w:val="00F66FF9"/>
    <w:rsid w:val="00F73CB8"/>
    <w:rsid w:val="00F73D67"/>
    <w:rsid w:val="00F755B2"/>
    <w:rsid w:val="00F82610"/>
    <w:rsid w:val="00F832D2"/>
    <w:rsid w:val="00F86DDF"/>
    <w:rsid w:val="00F902C3"/>
    <w:rsid w:val="00F97D4A"/>
    <w:rsid w:val="00FA6C99"/>
    <w:rsid w:val="00FB0559"/>
    <w:rsid w:val="00FB5AF3"/>
    <w:rsid w:val="00FC1B12"/>
    <w:rsid w:val="00FC3105"/>
    <w:rsid w:val="00FC47A3"/>
    <w:rsid w:val="00FD668F"/>
    <w:rsid w:val="00FE2D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emur.riksdagen.se/?dokumentId=34313" TargetMode="External"/><Relationship Id="rId18" Type="http://schemas.openxmlformats.org/officeDocument/2006/relationships/hyperlink" Target="http://lemur.riksdagen.se/?dokumentId=34351" TargetMode="External"/><Relationship Id="rId26" Type="http://schemas.openxmlformats.org/officeDocument/2006/relationships/hyperlink" Target="http://lemur.riksdagen.se/?dokumentId=34384" TargetMode="External"/><Relationship Id="rId3" Type="http://schemas.openxmlformats.org/officeDocument/2006/relationships/styles" Target="styles.xml"/><Relationship Id="rId21" Type="http://schemas.openxmlformats.org/officeDocument/2006/relationships/hyperlink" Target="http://lemur.riksdagen.se/?dokumentId=34382" TargetMode="External"/><Relationship Id="rId7" Type="http://schemas.openxmlformats.org/officeDocument/2006/relationships/endnotes" Target="endnotes.xml"/><Relationship Id="rId12" Type="http://schemas.openxmlformats.org/officeDocument/2006/relationships/hyperlink" Target="http://lemur.riksdagen.se/?dokumentId=34315" TargetMode="External"/><Relationship Id="rId17" Type="http://schemas.openxmlformats.org/officeDocument/2006/relationships/hyperlink" Target="http://lemur.riksdagen.se/?dokumentId=34342" TargetMode="External"/><Relationship Id="rId25" Type="http://schemas.openxmlformats.org/officeDocument/2006/relationships/hyperlink" Target="http://lemur.riksdagen.se/?dokumentId=34386" TargetMode="External"/><Relationship Id="rId2" Type="http://schemas.openxmlformats.org/officeDocument/2006/relationships/numbering" Target="numbering.xml"/><Relationship Id="rId16" Type="http://schemas.openxmlformats.org/officeDocument/2006/relationships/hyperlink" Target="http://lemur.riksdagen.se/?dokumentId=34344" TargetMode="External"/><Relationship Id="rId20" Type="http://schemas.openxmlformats.org/officeDocument/2006/relationships/hyperlink" Target="http://lemur.riksdagen.se/?dokumentId=34383" TargetMode="External"/><Relationship Id="rId29" Type="http://schemas.openxmlformats.org/officeDocument/2006/relationships/hyperlink" Target="https://ec.europa.eu/info/law/better-regulation/initiatives/ares-2020-47544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Id=34301" TargetMode="External"/><Relationship Id="rId24" Type="http://schemas.openxmlformats.org/officeDocument/2006/relationships/hyperlink" Target="http://lemur.riksdagen.se/?dokumentId=3431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mur.riksdagen.se/?dokumentId=34343" TargetMode="External"/><Relationship Id="rId23" Type="http://schemas.openxmlformats.org/officeDocument/2006/relationships/hyperlink" Target="http://lemur.riksdagen.se/?dokumentId=34260" TargetMode="External"/><Relationship Id="rId28" Type="http://schemas.openxmlformats.org/officeDocument/2006/relationships/hyperlink" Target="https://ec.europa.eu/info/law/better-regulation/initiatives/ares-2020-4611911" TargetMode="External"/><Relationship Id="rId10" Type="http://schemas.openxmlformats.org/officeDocument/2006/relationships/hyperlink" Target="http://lemur.riksdagen.se/?dokumentId=34252" TargetMode="External"/><Relationship Id="rId19" Type="http://schemas.openxmlformats.org/officeDocument/2006/relationships/hyperlink" Target="http://lemur.riksdagen.se/?dokumentId=3435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emur.riksdagen.se/?dokumentId=34318" TargetMode="External"/><Relationship Id="rId22" Type="http://schemas.openxmlformats.org/officeDocument/2006/relationships/hyperlink" Target="http://lemur.riksdagen.se/?dokumentId=34254" TargetMode="External"/><Relationship Id="rId27" Type="http://schemas.openxmlformats.org/officeDocument/2006/relationships/hyperlink" Target="https://ec.europa.eu/info/law/better-regulation/initiatives/ares-2020-4637307" TargetMode="External"/><Relationship Id="rId30" Type="http://schemas.openxmlformats.org/officeDocument/2006/relationships/hyperlink" Target="http://lemur.riksdagen.se/?dokumentId=3438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5FE40-261B-4F99-8B12-2EC189E2E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3368</Words>
  <Characters>22779</Characters>
  <Application>Microsoft Office Word</Application>
  <DocSecurity>4</DocSecurity>
  <Lines>1339</Lines>
  <Paragraphs>396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2020-09-28T07:17:00Z</cp:lastPrinted>
  <dcterms:created xsi:type="dcterms:W3CDTF">2020-09-30T12:30:00Z</dcterms:created>
  <dcterms:modified xsi:type="dcterms:W3CDTF">2020-09-30T12:30:00Z</dcterms:modified>
</cp:coreProperties>
</file>