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B9CE" w14:textId="77777777" w:rsidR="001931DF" w:rsidRDefault="001931DF" w:rsidP="001931DF">
      <w:pPr>
        <w:pStyle w:val="UDrubrik"/>
        <w:tabs>
          <w:tab w:val="left" w:pos="1701"/>
          <w:tab w:val="left" w:pos="1985"/>
        </w:tabs>
        <w:rPr>
          <w:rFonts w:cs="Arial"/>
          <w:sz w:val="28"/>
        </w:rPr>
      </w:pPr>
    </w:p>
    <w:p w14:paraId="6388B9CF" w14:textId="77777777" w:rsidR="001931DF" w:rsidRDefault="001931DF" w:rsidP="001931DF">
      <w:pPr>
        <w:pStyle w:val="UDrubrik"/>
        <w:tabs>
          <w:tab w:val="left" w:pos="1701"/>
          <w:tab w:val="left" w:pos="1985"/>
        </w:tabs>
        <w:rPr>
          <w:rFonts w:cs="Arial"/>
          <w:sz w:val="28"/>
        </w:rPr>
      </w:pPr>
    </w:p>
    <w:p w14:paraId="6388B9D0" w14:textId="77777777" w:rsidR="001931DF" w:rsidRDefault="001931DF" w:rsidP="001931DF">
      <w:pPr>
        <w:pStyle w:val="UDrubrik"/>
        <w:tabs>
          <w:tab w:val="left" w:pos="1701"/>
          <w:tab w:val="left" w:pos="1985"/>
        </w:tabs>
        <w:rPr>
          <w:rFonts w:cs="Arial"/>
          <w:sz w:val="28"/>
        </w:rPr>
      </w:pPr>
    </w:p>
    <w:p w14:paraId="6388B9D1" w14:textId="77777777" w:rsidR="001931DF" w:rsidRDefault="001931DF" w:rsidP="001931DF">
      <w:pPr>
        <w:pStyle w:val="UDrubrik"/>
        <w:tabs>
          <w:tab w:val="left" w:pos="1701"/>
          <w:tab w:val="left" w:pos="1985"/>
        </w:tabs>
        <w:rPr>
          <w:rFonts w:cs="Arial"/>
          <w:sz w:val="28"/>
        </w:rPr>
      </w:pPr>
    </w:p>
    <w:p w14:paraId="6388B9D2" w14:textId="2D7C69AD" w:rsidR="001931DF" w:rsidRDefault="001931DF" w:rsidP="001931DF">
      <w:pPr>
        <w:pStyle w:val="UDrubrik"/>
        <w:tabs>
          <w:tab w:val="left" w:pos="1701"/>
          <w:tab w:val="left" w:pos="1985"/>
        </w:tabs>
        <w:rPr>
          <w:rFonts w:cs="Arial"/>
          <w:sz w:val="28"/>
        </w:rPr>
      </w:pPr>
      <w:r>
        <w:rPr>
          <w:rFonts w:cs="Arial"/>
          <w:sz w:val="28"/>
        </w:rPr>
        <w:t>Troliga A-punkter inför kommande rådsmöten som förväntas godkännas vid Coreper II den 6 juni 2017.</w:t>
      </w:r>
    </w:p>
    <w:p w14:paraId="6388B9D5" w14:textId="77777777" w:rsidR="001931DF" w:rsidRDefault="001931D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388B9D6" w14:textId="77777777" w:rsidR="001931DF" w:rsidRPr="00283DF3" w:rsidRDefault="001931DF">
          <w:pPr>
            <w:pStyle w:val="Innehllsfrteckningsrubrik"/>
            <w:rPr>
              <w:color w:val="auto"/>
              <w:lang w:val="sv-SE"/>
            </w:rPr>
          </w:pPr>
          <w:r w:rsidRPr="00283DF3">
            <w:rPr>
              <w:color w:val="auto"/>
              <w:lang w:val="sv-SE"/>
            </w:rPr>
            <w:t>Innehållsförteckning</w:t>
          </w:r>
        </w:p>
        <w:p w14:paraId="6388B9D7" w14:textId="77777777" w:rsidR="001931DF" w:rsidRPr="00283DF3" w:rsidRDefault="001931DF" w:rsidP="001931DF">
          <w:pPr>
            <w:rPr>
              <w:lang w:eastAsia="ja-JP"/>
            </w:rPr>
          </w:pPr>
        </w:p>
        <w:p w14:paraId="0806BB4F" w14:textId="77777777" w:rsidR="002C7E65" w:rsidRDefault="001931D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4518463" w:history="1">
            <w:r w:rsidR="002C7E65" w:rsidRPr="003009A8">
              <w:rPr>
                <w:rStyle w:val="Hyperlnk"/>
                <w:noProof/>
                <w:lang w:val="en-GB"/>
              </w:rPr>
              <w:t>1.</w:t>
            </w:r>
            <w:r w:rsidR="002C7E65">
              <w:rPr>
                <w:rFonts w:asciiTheme="minorHAnsi" w:eastAsiaTheme="minorEastAsia" w:hAnsiTheme="minorHAnsi" w:cstheme="minorBidi"/>
                <w:noProof/>
                <w:lang w:eastAsia="sv-SE"/>
              </w:rPr>
              <w:tab/>
            </w:r>
            <w:r w:rsidR="002C7E65" w:rsidRPr="003009A8">
              <w:rPr>
                <w:rStyle w:val="Hyperlnk"/>
                <w:noProof/>
                <w:lang w:val="en-GB"/>
              </w:rPr>
              <w:t>Case before the Court of Justice of the EU Opinion 2/15, Singapore FTA</w:t>
            </w:r>
            <w:r w:rsidR="002C7E65">
              <w:rPr>
                <w:noProof/>
                <w:webHidden/>
              </w:rPr>
              <w:tab/>
            </w:r>
            <w:r w:rsidR="002C7E65">
              <w:rPr>
                <w:noProof/>
                <w:webHidden/>
              </w:rPr>
              <w:fldChar w:fldCharType="begin"/>
            </w:r>
            <w:r w:rsidR="002C7E65">
              <w:rPr>
                <w:noProof/>
                <w:webHidden/>
              </w:rPr>
              <w:instrText xml:space="preserve"> PAGEREF _Toc484518463 \h </w:instrText>
            </w:r>
            <w:r w:rsidR="002C7E65">
              <w:rPr>
                <w:noProof/>
                <w:webHidden/>
              </w:rPr>
            </w:r>
            <w:r w:rsidR="002C7E65">
              <w:rPr>
                <w:noProof/>
                <w:webHidden/>
              </w:rPr>
              <w:fldChar w:fldCharType="separate"/>
            </w:r>
            <w:r w:rsidR="002C7E65">
              <w:rPr>
                <w:noProof/>
                <w:webHidden/>
              </w:rPr>
              <w:t>4</w:t>
            </w:r>
            <w:r w:rsidR="002C7E65">
              <w:rPr>
                <w:noProof/>
                <w:webHidden/>
              </w:rPr>
              <w:fldChar w:fldCharType="end"/>
            </w:r>
          </w:hyperlink>
        </w:p>
        <w:p w14:paraId="054C8D2F"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64" w:history="1">
            <w:r w:rsidR="002C7E65" w:rsidRPr="003009A8">
              <w:rPr>
                <w:rStyle w:val="Hyperlnk"/>
                <w:noProof/>
              </w:rPr>
              <w:t>2.</w:t>
            </w:r>
            <w:r w:rsidR="002C7E65">
              <w:rPr>
                <w:rFonts w:asciiTheme="minorHAnsi" w:eastAsiaTheme="minorEastAsia" w:hAnsiTheme="minorHAnsi" w:cstheme="minorBidi"/>
                <w:noProof/>
                <w:lang w:eastAsia="sv-SE"/>
              </w:rPr>
              <w:tab/>
            </w:r>
            <w:r w:rsidR="002C7E65" w:rsidRPr="003009A8">
              <w:rPr>
                <w:rStyle w:val="Hyperlnk"/>
                <w:noProof/>
                <w:lang w:val="en-GB"/>
              </w:rPr>
              <w:t xml:space="preserve">Case before the General Court of the European Union Case T-228/17 (Zhejiang Jndia Pipeline Industry Co. </w:t>
            </w:r>
            <w:r w:rsidR="002C7E65" w:rsidRPr="003009A8">
              <w:rPr>
                <w:rStyle w:val="Hyperlnk"/>
                <w:noProof/>
              </w:rPr>
              <w:t>Ltd against the European Commission)</w:t>
            </w:r>
            <w:r w:rsidR="002C7E65">
              <w:rPr>
                <w:noProof/>
                <w:webHidden/>
              </w:rPr>
              <w:tab/>
            </w:r>
            <w:r w:rsidR="002C7E65">
              <w:rPr>
                <w:noProof/>
                <w:webHidden/>
              </w:rPr>
              <w:fldChar w:fldCharType="begin"/>
            </w:r>
            <w:r w:rsidR="002C7E65">
              <w:rPr>
                <w:noProof/>
                <w:webHidden/>
              </w:rPr>
              <w:instrText xml:space="preserve"> PAGEREF _Toc484518464 \h </w:instrText>
            </w:r>
            <w:r w:rsidR="002C7E65">
              <w:rPr>
                <w:noProof/>
                <w:webHidden/>
              </w:rPr>
            </w:r>
            <w:r w:rsidR="002C7E65">
              <w:rPr>
                <w:noProof/>
                <w:webHidden/>
              </w:rPr>
              <w:fldChar w:fldCharType="separate"/>
            </w:r>
            <w:r w:rsidR="002C7E65">
              <w:rPr>
                <w:noProof/>
                <w:webHidden/>
              </w:rPr>
              <w:t>5</w:t>
            </w:r>
            <w:r w:rsidR="002C7E65">
              <w:rPr>
                <w:noProof/>
                <w:webHidden/>
              </w:rPr>
              <w:fldChar w:fldCharType="end"/>
            </w:r>
          </w:hyperlink>
        </w:p>
        <w:p w14:paraId="64D1027D"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65" w:history="1">
            <w:r w:rsidR="002C7E65" w:rsidRPr="003009A8">
              <w:rPr>
                <w:rStyle w:val="Hyperlnk"/>
                <w:noProof/>
                <w:lang w:val="en-GB"/>
              </w:rPr>
              <w:t>3.</w:t>
            </w:r>
            <w:r w:rsidR="002C7E65">
              <w:rPr>
                <w:rFonts w:asciiTheme="minorHAnsi" w:eastAsiaTheme="minorEastAsia" w:hAnsiTheme="minorHAnsi" w:cstheme="minorBidi"/>
                <w:noProof/>
                <w:lang w:eastAsia="sv-SE"/>
              </w:rPr>
              <w:tab/>
            </w:r>
            <w:r w:rsidR="002C7E65" w:rsidRPr="003009A8">
              <w:rPr>
                <w:rStyle w:val="Hyperlnk"/>
                <w:noProof/>
                <w:lang w:val="en-GB"/>
              </w:rPr>
              <w:t>Case before the General Court of the European Union Case T-148/17 (Troszczynski v. Parlement)  –Intervention of the Council before the General Court of the European Union in support of the European Parliament</w:t>
            </w:r>
            <w:r w:rsidR="002C7E65">
              <w:rPr>
                <w:noProof/>
                <w:webHidden/>
              </w:rPr>
              <w:tab/>
            </w:r>
            <w:r w:rsidR="002C7E65">
              <w:rPr>
                <w:noProof/>
                <w:webHidden/>
              </w:rPr>
              <w:fldChar w:fldCharType="begin"/>
            </w:r>
            <w:r w:rsidR="002C7E65">
              <w:rPr>
                <w:noProof/>
                <w:webHidden/>
              </w:rPr>
              <w:instrText xml:space="preserve"> PAGEREF _Toc484518465 \h </w:instrText>
            </w:r>
            <w:r w:rsidR="002C7E65">
              <w:rPr>
                <w:noProof/>
                <w:webHidden/>
              </w:rPr>
            </w:r>
            <w:r w:rsidR="002C7E65">
              <w:rPr>
                <w:noProof/>
                <w:webHidden/>
              </w:rPr>
              <w:fldChar w:fldCharType="separate"/>
            </w:r>
            <w:r w:rsidR="002C7E65">
              <w:rPr>
                <w:noProof/>
                <w:webHidden/>
              </w:rPr>
              <w:t>6</w:t>
            </w:r>
            <w:r w:rsidR="002C7E65">
              <w:rPr>
                <w:noProof/>
                <w:webHidden/>
              </w:rPr>
              <w:fldChar w:fldCharType="end"/>
            </w:r>
          </w:hyperlink>
        </w:p>
        <w:p w14:paraId="41595B03"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66" w:history="1">
            <w:r w:rsidR="002C7E65" w:rsidRPr="003009A8">
              <w:rPr>
                <w:rStyle w:val="Hyperlnk"/>
                <w:noProof/>
                <w:lang w:val="en-GB"/>
              </w:rPr>
              <w:t>4.</w:t>
            </w:r>
            <w:r w:rsidR="002C7E65">
              <w:rPr>
                <w:rFonts w:asciiTheme="minorHAnsi" w:eastAsiaTheme="minorEastAsia" w:hAnsiTheme="minorHAnsi" w:cstheme="minorBidi"/>
                <w:noProof/>
                <w:lang w:eastAsia="sv-SE"/>
              </w:rPr>
              <w:tab/>
            </w:r>
            <w:r w:rsidR="002C7E65" w:rsidRPr="003009A8">
              <w:rPr>
                <w:rStyle w:val="Hyperlnk"/>
                <w:noProof/>
                <w:lang w:val="en-GB"/>
              </w:rPr>
              <w:t>Transparency - Public access to documents Confirmatory application No 09/c/01/17</w:t>
            </w:r>
            <w:r w:rsidR="002C7E65">
              <w:rPr>
                <w:noProof/>
                <w:webHidden/>
              </w:rPr>
              <w:tab/>
            </w:r>
            <w:r w:rsidR="002C7E65">
              <w:rPr>
                <w:noProof/>
                <w:webHidden/>
              </w:rPr>
              <w:fldChar w:fldCharType="begin"/>
            </w:r>
            <w:r w:rsidR="002C7E65">
              <w:rPr>
                <w:noProof/>
                <w:webHidden/>
              </w:rPr>
              <w:instrText xml:space="preserve"> PAGEREF _Toc484518466 \h </w:instrText>
            </w:r>
            <w:r w:rsidR="002C7E65">
              <w:rPr>
                <w:noProof/>
                <w:webHidden/>
              </w:rPr>
            </w:r>
            <w:r w:rsidR="002C7E65">
              <w:rPr>
                <w:noProof/>
                <w:webHidden/>
              </w:rPr>
              <w:fldChar w:fldCharType="separate"/>
            </w:r>
            <w:r w:rsidR="002C7E65">
              <w:rPr>
                <w:noProof/>
                <w:webHidden/>
              </w:rPr>
              <w:t>6</w:t>
            </w:r>
            <w:r w:rsidR="002C7E65">
              <w:rPr>
                <w:noProof/>
                <w:webHidden/>
              </w:rPr>
              <w:fldChar w:fldCharType="end"/>
            </w:r>
          </w:hyperlink>
        </w:p>
        <w:p w14:paraId="1C05679F"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67" w:history="1">
            <w:r w:rsidR="002C7E65" w:rsidRPr="003009A8">
              <w:rPr>
                <w:rStyle w:val="Hyperlnk"/>
                <w:noProof/>
                <w:lang w:val="en-GB"/>
              </w:rPr>
              <w:t>5.</w:t>
            </w:r>
            <w:r w:rsidR="002C7E65">
              <w:rPr>
                <w:rFonts w:asciiTheme="minorHAnsi" w:eastAsiaTheme="minorEastAsia" w:hAnsiTheme="minorHAnsi" w:cstheme="minorBidi"/>
                <w:noProof/>
                <w:lang w:eastAsia="sv-SE"/>
              </w:rPr>
              <w:tab/>
            </w:r>
            <w:r w:rsidR="002C7E65" w:rsidRPr="003009A8">
              <w:rPr>
                <w:rStyle w:val="Hyperlnk"/>
                <w:noProof/>
                <w:lang w:val="en-GB"/>
              </w:rPr>
              <w:t>Resolutions and Decisions adopted by the European Parliament at its part-sessions in Brussels from 26 to 27 April 2017 and from 31 May to 1 June and in Strasbourg from 15 to 18 May 2017</w:t>
            </w:r>
            <w:r w:rsidR="002C7E65">
              <w:rPr>
                <w:noProof/>
                <w:webHidden/>
              </w:rPr>
              <w:tab/>
            </w:r>
            <w:r w:rsidR="002C7E65">
              <w:rPr>
                <w:noProof/>
                <w:webHidden/>
              </w:rPr>
              <w:fldChar w:fldCharType="begin"/>
            </w:r>
            <w:r w:rsidR="002C7E65">
              <w:rPr>
                <w:noProof/>
                <w:webHidden/>
              </w:rPr>
              <w:instrText xml:space="preserve"> PAGEREF _Toc484518467 \h </w:instrText>
            </w:r>
            <w:r w:rsidR="002C7E65">
              <w:rPr>
                <w:noProof/>
                <w:webHidden/>
              </w:rPr>
            </w:r>
            <w:r w:rsidR="002C7E65">
              <w:rPr>
                <w:noProof/>
                <w:webHidden/>
              </w:rPr>
              <w:fldChar w:fldCharType="separate"/>
            </w:r>
            <w:r w:rsidR="002C7E65">
              <w:rPr>
                <w:noProof/>
                <w:webHidden/>
              </w:rPr>
              <w:t>7</w:t>
            </w:r>
            <w:r w:rsidR="002C7E65">
              <w:rPr>
                <w:noProof/>
                <w:webHidden/>
              </w:rPr>
              <w:fldChar w:fldCharType="end"/>
            </w:r>
          </w:hyperlink>
        </w:p>
        <w:p w14:paraId="1664F6F6"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68" w:history="1">
            <w:r w:rsidR="002C7E65" w:rsidRPr="003009A8">
              <w:rPr>
                <w:rStyle w:val="Hyperlnk"/>
                <w:noProof/>
                <w:lang w:val="en-GB"/>
              </w:rPr>
              <w:t>6.</w:t>
            </w:r>
            <w:r w:rsidR="002C7E65">
              <w:rPr>
                <w:rFonts w:asciiTheme="minorHAnsi" w:eastAsiaTheme="minorEastAsia" w:hAnsiTheme="minorHAnsi" w:cstheme="minorBidi"/>
                <w:noProof/>
                <w:lang w:eastAsia="sv-SE"/>
              </w:rPr>
              <w:tab/>
            </w:r>
            <w:r w:rsidR="002C7E65" w:rsidRPr="003009A8">
              <w:rPr>
                <w:rStyle w:val="Hyperlnk"/>
                <w:noProof/>
                <w:lang w:val="en-GB"/>
              </w:rPr>
              <w:t>Special Report No 25/2016 from the European Court of Auditors entitled: "The Land Parcel Identification System: a useful tool to determine the eligibility of agricultural land - but its management could be further improved"</w:t>
            </w:r>
            <w:r w:rsidR="002C7E65">
              <w:rPr>
                <w:noProof/>
                <w:webHidden/>
              </w:rPr>
              <w:tab/>
            </w:r>
            <w:r w:rsidR="002C7E65">
              <w:rPr>
                <w:noProof/>
                <w:webHidden/>
              </w:rPr>
              <w:fldChar w:fldCharType="begin"/>
            </w:r>
            <w:r w:rsidR="002C7E65">
              <w:rPr>
                <w:noProof/>
                <w:webHidden/>
              </w:rPr>
              <w:instrText xml:space="preserve"> PAGEREF _Toc484518468 \h </w:instrText>
            </w:r>
            <w:r w:rsidR="002C7E65">
              <w:rPr>
                <w:noProof/>
                <w:webHidden/>
              </w:rPr>
            </w:r>
            <w:r w:rsidR="002C7E65">
              <w:rPr>
                <w:noProof/>
                <w:webHidden/>
              </w:rPr>
              <w:fldChar w:fldCharType="separate"/>
            </w:r>
            <w:r w:rsidR="002C7E65">
              <w:rPr>
                <w:noProof/>
                <w:webHidden/>
              </w:rPr>
              <w:t>7</w:t>
            </w:r>
            <w:r w:rsidR="002C7E65">
              <w:rPr>
                <w:noProof/>
                <w:webHidden/>
              </w:rPr>
              <w:fldChar w:fldCharType="end"/>
            </w:r>
          </w:hyperlink>
        </w:p>
        <w:p w14:paraId="3A62F7AF"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69" w:history="1">
            <w:r w:rsidR="002C7E65" w:rsidRPr="003009A8">
              <w:rPr>
                <w:rStyle w:val="Hyperlnk"/>
                <w:noProof/>
                <w:lang w:val="en-GB"/>
              </w:rPr>
              <w:t>7.</w:t>
            </w:r>
            <w:r w:rsidR="002C7E65">
              <w:rPr>
                <w:rFonts w:asciiTheme="minorHAnsi" w:eastAsiaTheme="minorEastAsia" w:hAnsiTheme="minorHAnsi" w:cstheme="minorBidi"/>
                <w:noProof/>
                <w:lang w:eastAsia="sv-SE"/>
              </w:rPr>
              <w:tab/>
            </w:r>
            <w:r w:rsidR="002C7E65" w:rsidRPr="003009A8">
              <w:rPr>
                <w:rStyle w:val="Hyperlnk"/>
                <w:noProof/>
                <w:lang w:val="en-GB"/>
              </w:rPr>
              <w:t>Special Report No 26/2016 from the European Court of Auditors entitled: "Making cross compliance more effective and achieving simplification remains challenging"</w:t>
            </w:r>
            <w:r w:rsidR="002C7E65">
              <w:rPr>
                <w:noProof/>
                <w:webHidden/>
              </w:rPr>
              <w:tab/>
            </w:r>
            <w:r w:rsidR="002C7E65">
              <w:rPr>
                <w:noProof/>
                <w:webHidden/>
              </w:rPr>
              <w:fldChar w:fldCharType="begin"/>
            </w:r>
            <w:r w:rsidR="002C7E65">
              <w:rPr>
                <w:noProof/>
                <w:webHidden/>
              </w:rPr>
              <w:instrText xml:space="preserve"> PAGEREF _Toc484518469 \h </w:instrText>
            </w:r>
            <w:r w:rsidR="002C7E65">
              <w:rPr>
                <w:noProof/>
                <w:webHidden/>
              </w:rPr>
            </w:r>
            <w:r w:rsidR="002C7E65">
              <w:rPr>
                <w:noProof/>
                <w:webHidden/>
              </w:rPr>
              <w:fldChar w:fldCharType="separate"/>
            </w:r>
            <w:r w:rsidR="002C7E65">
              <w:rPr>
                <w:noProof/>
                <w:webHidden/>
              </w:rPr>
              <w:t>8</w:t>
            </w:r>
            <w:r w:rsidR="002C7E65">
              <w:rPr>
                <w:noProof/>
                <w:webHidden/>
              </w:rPr>
              <w:fldChar w:fldCharType="end"/>
            </w:r>
          </w:hyperlink>
        </w:p>
        <w:p w14:paraId="01C4D6E2"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70" w:history="1">
            <w:r w:rsidR="002C7E65" w:rsidRPr="003009A8">
              <w:rPr>
                <w:rStyle w:val="Hyperlnk"/>
                <w:noProof/>
                <w:lang w:val="en-GB"/>
              </w:rPr>
              <w:t>8.</w:t>
            </w:r>
            <w:r w:rsidR="002C7E65">
              <w:rPr>
                <w:rFonts w:asciiTheme="minorHAnsi" w:eastAsiaTheme="minorEastAsia" w:hAnsiTheme="minorHAnsi" w:cstheme="minorBidi"/>
                <w:noProof/>
                <w:lang w:eastAsia="sv-SE"/>
              </w:rPr>
              <w:tab/>
            </w:r>
            <w:r w:rsidR="002C7E65" w:rsidRPr="003009A8">
              <w:rPr>
                <w:rStyle w:val="Hyperlnk"/>
                <w:noProof/>
                <w:lang w:val="en-GB"/>
              </w:rPr>
              <w:t>Proposal for a Regulation of the European Parliament and of the Council amending Council Regulation (EC) No 1030/2002 laying down a uniform format for residence permits for third country nationals (First reading)</w:t>
            </w:r>
            <w:r w:rsidR="002C7E65">
              <w:rPr>
                <w:noProof/>
                <w:webHidden/>
              </w:rPr>
              <w:tab/>
            </w:r>
            <w:r w:rsidR="002C7E65">
              <w:rPr>
                <w:noProof/>
                <w:webHidden/>
              </w:rPr>
              <w:fldChar w:fldCharType="begin"/>
            </w:r>
            <w:r w:rsidR="002C7E65">
              <w:rPr>
                <w:noProof/>
                <w:webHidden/>
              </w:rPr>
              <w:instrText xml:space="preserve"> PAGEREF _Toc484518470 \h </w:instrText>
            </w:r>
            <w:r w:rsidR="002C7E65">
              <w:rPr>
                <w:noProof/>
                <w:webHidden/>
              </w:rPr>
            </w:r>
            <w:r w:rsidR="002C7E65">
              <w:rPr>
                <w:noProof/>
                <w:webHidden/>
              </w:rPr>
              <w:fldChar w:fldCharType="separate"/>
            </w:r>
            <w:r w:rsidR="002C7E65">
              <w:rPr>
                <w:noProof/>
                <w:webHidden/>
              </w:rPr>
              <w:t>9</w:t>
            </w:r>
            <w:r w:rsidR="002C7E65">
              <w:rPr>
                <w:noProof/>
                <w:webHidden/>
              </w:rPr>
              <w:fldChar w:fldCharType="end"/>
            </w:r>
          </w:hyperlink>
        </w:p>
        <w:p w14:paraId="77745B90" w14:textId="77777777" w:rsidR="002C7E65" w:rsidRDefault="00433F6D">
          <w:pPr>
            <w:pStyle w:val="Innehll1"/>
            <w:tabs>
              <w:tab w:val="left" w:pos="440"/>
              <w:tab w:val="right" w:leader="dot" w:pos="9062"/>
            </w:tabs>
            <w:rPr>
              <w:rFonts w:asciiTheme="minorHAnsi" w:eastAsiaTheme="minorEastAsia" w:hAnsiTheme="minorHAnsi" w:cstheme="minorBidi"/>
              <w:noProof/>
              <w:lang w:eastAsia="sv-SE"/>
            </w:rPr>
          </w:pPr>
          <w:hyperlink w:anchor="_Toc484518471" w:history="1">
            <w:r w:rsidR="002C7E65" w:rsidRPr="003009A8">
              <w:rPr>
                <w:rStyle w:val="Hyperlnk"/>
                <w:noProof/>
                <w:lang w:val="en-GB"/>
              </w:rPr>
              <w:t>9.</w:t>
            </w:r>
            <w:r w:rsidR="002C7E65">
              <w:rPr>
                <w:rFonts w:asciiTheme="minorHAnsi" w:eastAsiaTheme="minorEastAsia" w:hAnsiTheme="minorHAnsi" w:cstheme="minorBidi"/>
                <w:noProof/>
                <w:lang w:eastAsia="sv-SE"/>
              </w:rPr>
              <w:tab/>
            </w:r>
            <w:r w:rsidR="002C7E65" w:rsidRPr="003009A8">
              <w:rPr>
                <w:rStyle w:val="Hyperlnk"/>
                <w:noProof/>
                <w:lang w:val="en-GB"/>
              </w:rPr>
              <w:t>ISF EU-Iceland a)Draft Council Decision on the signing, on behalf of the European Union, of the Agreement between the European Union and Iceland on supplementary rules in relation to the instrument for financial support for external borders and visa, as part of the Internal Security Fund for the period 2014 to 2020 =Adoption b)Proposal for a Council Decision on the conclusion of the same Agreement =Request for the consent of the European Parliament</w:t>
            </w:r>
            <w:r w:rsidR="002C7E65">
              <w:rPr>
                <w:noProof/>
                <w:webHidden/>
              </w:rPr>
              <w:tab/>
            </w:r>
            <w:r w:rsidR="002C7E65">
              <w:rPr>
                <w:noProof/>
                <w:webHidden/>
              </w:rPr>
              <w:fldChar w:fldCharType="begin"/>
            </w:r>
            <w:r w:rsidR="002C7E65">
              <w:rPr>
                <w:noProof/>
                <w:webHidden/>
              </w:rPr>
              <w:instrText xml:space="preserve"> PAGEREF _Toc484518471 \h </w:instrText>
            </w:r>
            <w:r w:rsidR="002C7E65">
              <w:rPr>
                <w:noProof/>
                <w:webHidden/>
              </w:rPr>
            </w:r>
            <w:r w:rsidR="002C7E65">
              <w:rPr>
                <w:noProof/>
                <w:webHidden/>
              </w:rPr>
              <w:fldChar w:fldCharType="separate"/>
            </w:r>
            <w:r w:rsidR="002C7E65">
              <w:rPr>
                <w:noProof/>
                <w:webHidden/>
              </w:rPr>
              <w:t>10</w:t>
            </w:r>
            <w:r w:rsidR="002C7E65">
              <w:rPr>
                <w:noProof/>
                <w:webHidden/>
              </w:rPr>
              <w:fldChar w:fldCharType="end"/>
            </w:r>
          </w:hyperlink>
        </w:p>
        <w:p w14:paraId="45E99DBF" w14:textId="36AB423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2" w:history="1">
            <w:r w:rsidR="002C7E65" w:rsidRPr="003009A8">
              <w:rPr>
                <w:rStyle w:val="Hyperlnk"/>
                <w:noProof/>
                <w:lang w:val="en-GB"/>
              </w:rPr>
              <w:t>10.</w:t>
            </w:r>
            <w:r w:rsidR="002C7E65">
              <w:rPr>
                <w:rFonts w:asciiTheme="minorHAnsi" w:eastAsiaTheme="minorEastAsia" w:hAnsiTheme="minorHAnsi" w:cstheme="minorBidi"/>
                <w:noProof/>
                <w:lang w:eastAsia="sv-SE"/>
              </w:rPr>
              <w:tab/>
            </w:r>
            <w:r w:rsidR="002C7E65" w:rsidRPr="003009A8">
              <w:rPr>
                <w:rStyle w:val="Hyperlnk"/>
                <w:noProof/>
                <w:lang w:val="en-GB"/>
              </w:rPr>
              <w:t>Draft Council Decision extending the term of office of a Deputy Executive Director of Europol</w:t>
            </w:r>
            <w:r w:rsidR="002C7E65">
              <w:rPr>
                <w:noProof/>
                <w:webHidden/>
              </w:rPr>
              <w:tab/>
              <w:t>…………………………………………………………………………………………………</w:t>
            </w:r>
            <w:r w:rsidR="002C7E65">
              <w:rPr>
                <w:noProof/>
                <w:webHidden/>
              </w:rPr>
              <w:fldChar w:fldCharType="begin"/>
            </w:r>
            <w:r w:rsidR="002C7E65">
              <w:rPr>
                <w:noProof/>
                <w:webHidden/>
              </w:rPr>
              <w:instrText xml:space="preserve"> PAGEREF _Toc484518472 \h </w:instrText>
            </w:r>
            <w:r w:rsidR="002C7E65">
              <w:rPr>
                <w:noProof/>
                <w:webHidden/>
              </w:rPr>
            </w:r>
            <w:r w:rsidR="002C7E65">
              <w:rPr>
                <w:noProof/>
                <w:webHidden/>
              </w:rPr>
              <w:fldChar w:fldCharType="separate"/>
            </w:r>
            <w:r w:rsidR="002C7E65">
              <w:rPr>
                <w:noProof/>
                <w:webHidden/>
              </w:rPr>
              <w:t>11</w:t>
            </w:r>
            <w:r w:rsidR="002C7E65">
              <w:rPr>
                <w:noProof/>
                <w:webHidden/>
              </w:rPr>
              <w:fldChar w:fldCharType="end"/>
            </w:r>
          </w:hyperlink>
        </w:p>
        <w:p w14:paraId="2E559183"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3" w:history="1">
            <w:r w:rsidR="002C7E65" w:rsidRPr="003009A8">
              <w:rPr>
                <w:rStyle w:val="Hyperlnk"/>
                <w:noProof/>
                <w:lang w:val="en-GB"/>
              </w:rPr>
              <w:t>11.</w:t>
            </w:r>
            <w:r w:rsidR="002C7E65">
              <w:rPr>
                <w:rFonts w:asciiTheme="minorHAnsi" w:eastAsiaTheme="minorEastAsia" w:hAnsiTheme="minorHAnsi" w:cstheme="minorBidi"/>
                <w:noProof/>
                <w:lang w:eastAsia="sv-SE"/>
              </w:rPr>
              <w:tab/>
            </w:r>
            <w:r w:rsidR="002C7E65" w:rsidRPr="003009A8">
              <w:rPr>
                <w:rStyle w:val="Hyperlnk"/>
                <w:noProof/>
                <w:lang w:val="en-GB"/>
              </w:rPr>
              <w:t>Draft Council Conclusions on the way forward to improve information exchange and ensure the interoperability of EU information systems</w:t>
            </w:r>
            <w:r w:rsidR="002C7E65">
              <w:rPr>
                <w:noProof/>
                <w:webHidden/>
              </w:rPr>
              <w:tab/>
            </w:r>
            <w:r w:rsidR="002C7E65">
              <w:rPr>
                <w:noProof/>
                <w:webHidden/>
              </w:rPr>
              <w:fldChar w:fldCharType="begin"/>
            </w:r>
            <w:r w:rsidR="002C7E65">
              <w:rPr>
                <w:noProof/>
                <w:webHidden/>
              </w:rPr>
              <w:instrText xml:space="preserve"> PAGEREF _Toc484518473 \h </w:instrText>
            </w:r>
            <w:r w:rsidR="002C7E65">
              <w:rPr>
                <w:noProof/>
                <w:webHidden/>
              </w:rPr>
            </w:r>
            <w:r w:rsidR="002C7E65">
              <w:rPr>
                <w:noProof/>
                <w:webHidden/>
              </w:rPr>
              <w:fldChar w:fldCharType="separate"/>
            </w:r>
            <w:r w:rsidR="002C7E65">
              <w:rPr>
                <w:noProof/>
                <w:webHidden/>
              </w:rPr>
              <w:t>12</w:t>
            </w:r>
            <w:r w:rsidR="002C7E65">
              <w:rPr>
                <w:noProof/>
                <w:webHidden/>
              </w:rPr>
              <w:fldChar w:fldCharType="end"/>
            </w:r>
          </w:hyperlink>
        </w:p>
        <w:p w14:paraId="23BC225D"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4" w:history="1">
            <w:r w:rsidR="002C7E65" w:rsidRPr="003009A8">
              <w:rPr>
                <w:rStyle w:val="Hyperlnk"/>
                <w:noProof/>
                <w:lang w:val="en-GB"/>
              </w:rPr>
              <w:t>12.</w:t>
            </w:r>
            <w:r w:rsidR="002C7E65">
              <w:rPr>
                <w:rFonts w:asciiTheme="minorHAnsi" w:eastAsiaTheme="minorEastAsia" w:hAnsiTheme="minorHAnsi" w:cstheme="minorBidi"/>
                <w:noProof/>
                <w:lang w:eastAsia="sv-SE"/>
              </w:rPr>
              <w:tab/>
            </w:r>
            <w:r w:rsidR="002C7E65" w:rsidRPr="003009A8">
              <w:rPr>
                <w:rStyle w:val="Hyperlnk"/>
                <w:noProof/>
                <w:lang w:val="en-GB"/>
              </w:rPr>
              <w:t>Draft Council Conclusions recommending security checks in case of irregular migration</w:t>
            </w:r>
            <w:r w:rsidR="002C7E65">
              <w:rPr>
                <w:noProof/>
                <w:webHidden/>
              </w:rPr>
              <w:tab/>
            </w:r>
            <w:r w:rsidR="002C7E65">
              <w:rPr>
                <w:noProof/>
                <w:webHidden/>
              </w:rPr>
              <w:fldChar w:fldCharType="begin"/>
            </w:r>
            <w:r w:rsidR="002C7E65">
              <w:rPr>
                <w:noProof/>
                <w:webHidden/>
              </w:rPr>
              <w:instrText xml:space="preserve"> PAGEREF _Toc484518474 \h </w:instrText>
            </w:r>
            <w:r w:rsidR="002C7E65">
              <w:rPr>
                <w:noProof/>
                <w:webHidden/>
              </w:rPr>
            </w:r>
            <w:r w:rsidR="002C7E65">
              <w:rPr>
                <w:noProof/>
                <w:webHidden/>
              </w:rPr>
              <w:fldChar w:fldCharType="separate"/>
            </w:r>
            <w:r w:rsidR="002C7E65">
              <w:rPr>
                <w:noProof/>
                <w:webHidden/>
              </w:rPr>
              <w:t>13</w:t>
            </w:r>
            <w:r w:rsidR="002C7E65">
              <w:rPr>
                <w:noProof/>
                <w:webHidden/>
              </w:rPr>
              <w:fldChar w:fldCharType="end"/>
            </w:r>
          </w:hyperlink>
        </w:p>
        <w:p w14:paraId="037F001D"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5" w:history="1">
            <w:r w:rsidR="002C7E65" w:rsidRPr="003009A8">
              <w:rPr>
                <w:rStyle w:val="Hyperlnk"/>
                <w:noProof/>
              </w:rPr>
              <w:t>13.</w:t>
            </w:r>
            <w:r w:rsidR="002C7E65">
              <w:rPr>
                <w:rFonts w:asciiTheme="minorHAnsi" w:eastAsiaTheme="minorEastAsia" w:hAnsiTheme="minorHAnsi" w:cstheme="minorBidi"/>
                <w:noProof/>
                <w:lang w:eastAsia="sv-SE"/>
              </w:rPr>
              <w:tab/>
            </w:r>
            <w:r w:rsidR="002C7E65" w:rsidRPr="003009A8">
              <w:rPr>
                <w:rStyle w:val="Hyperlnk"/>
                <w:noProof/>
              </w:rPr>
              <w:t>Enlargement – Accession negotiations with Montenegro</w:t>
            </w:r>
            <w:r w:rsidR="002C7E65">
              <w:rPr>
                <w:noProof/>
                <w:webHidden/>
              </w:rPr>
              <w:tab/>
            </w:r>
            <w:r w:rsidR="002C7E65">
              <w:rPr>
                <w:noProof/>
                <w:webHidden/>
              </w:rPr>
              <w:fldChar w:fldCharType="begin"/>
            </w:r>
            <w:r w:rsidR="002C7E65">
              <w:rPr>
                <w:noProof/>
                <w:webHidden/>
              </w:rPr>
              <w:instrText xml:space="preserve"> PAGEREF _Toc484518475 \h </w:instrText>
            </w:r>
            <w:r w:rsidR="002C7E65">
              <w:rPr>
                <w:noProof/>
                <w:webHidden/>
              </w:rPr>
            </w:r>
            <w:r w:rsidR="002C7E65">
              <w:rPr>
                <w:noProof/>
                <w:webHidden/>
              </w:rPr>
              <w:fldChar w:fldCharType="separate"/>
            </w:r>
            <w:r w:rsidR="002C7E65">
              <w:rPr>
                <w:noProof/>
                <w:webHidden/>
              </w:rPr>
              <w:t>14</w:t>
            </w:r>
            <w:r w:rsidR="002C7E65">
              <w:rPr>
                <w:noProof/>
                <w:webHidden/>
              </w:rPr>
              <w:fldChar w:fldCharType="end"/>
            </w:r>
          </w:hyperlink>
        </w:p>
        <w:p w14:paraId="3A340019"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6" w:history="1">
            <w:r w:rsidR="002C7E65" w:rsidRPr="003009A8">
              <w:rPr>
                <w:rStyle w:val="Hyperlnk"/>
                <w:noProof/>
                <w:lang w:val="en-GB"/>
              </w:rPr>
              <w:t>14.</w:t>
            </w:r>
            <w:r w:rsidR="002C7E65">
              <w:rPr>
                <w:rFonts w:asciiTheme="minorHAnsi" w:eastAsiaTheme="minorEastAsia" w:hAnsiTheme="minorHAnsi" w:cstheme="minorBidi"/>
                <w:noProof/>
                <w:lang w:eastAsia="sv-SE"/>
              </w:rPr>
              <w:tab/>
            </w:r>
            <w:r w:rsidR="002C7E65" w:rsidRPr="003009A8">
              <w:rPr>
                <w:rStyle w:val="Hyperlnk"/>
                <w:noProof/>
                <w:lang w:val="en-GB"/>
              </w:rPr>
              <w:t>Association with Montenegro Establishment of the position of the European Union for the 8th Stabilisation and Association Council meeting (Luxembourg, 20 june 2017)</w:t>
            </w:r>
            <w:r w:rsidR="002C7E65">
              <w:rPr>
                <w:noProof/>
                <w:webHidden/>
              </w:rPr>
              <w:tab/>
            </w:r>
            <w:r w:rsidR="002C7E65">
              <w:rPr>
                <w:noProof/>
                <w:webHidden/>
              </w:rPr>
              <w:fldChar w:fldCharType="begin"/>
            </w:r>
            <w:r w:rsidR="002C7E65">
              <w:rPr>
                <w:noProof/>
                <w:webHidden/>
              </w:rPr>
              <w:instrText xml:space="preserve"> PAGEREF _Toc484518476 \h </w:instrText>
            </w:r>
            <w:r w:rsidR="002C7E65">
              <w:rPr>
                <w:noProof/>
                <w:webHidden/>
              </w:rPr>
            </w:r>
            <w:r w:rsidR="002C7E65">
              <w:rPr>
                <w:noProof/>
                <w:webHidden/>
              </w:rPr>
              <w:fldChar w:fldCharType="separate"/>
            </w:r>
            <w:r w:rsidR="002C7E65">
              <w:rPr>
                <w:noProof/>
                <w:webHidden/>
              </w:rPr>
              <w:t>15</w:t>
            </w:r>
            <w:r w:rsidR="002C7E65">
              <w:rPr>
                <w:noProof/>
                <w:webHidden/>
              </w:rPr>
              <w:fldChar w:fldCharType="end"/>
            </w:r>
          </w:hyperlink>
        </w:p>
        <w:p w14:paraId="77F49552"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7" w:history="1">
            <w:r w:rsidR="002C7E65" w:rsidRPr="003009A8">
              <w:rPr>
                <w:rStyle w:val="Hyperlnk"/>
                <w:noProof/>
                <w:lang w:val="en-GB"/>
              </w:rPr>
              <w:t>15.</w:t>
            </w:r>
            <w:r w:rsidR="002C7E65">
              <w:rPr>
                <w:rFonts w:asciiTheme="minorHAnsi" w:eastAsiaTheme="minorEastAsia" w:hAnsiTheme="minorHAnsi" w:cstheme="minorBidi"/>
                <w:noProof/>
                <w:lang w:eastAsia="sv-SE"/>
              </w:rPr>
              <w:tab/>
            </w:r>
            <w:r w:rsidR="002C7E65" w:rsidRPr="003009A8">
              <w:rPr>
                <w:rStyle w:val="Hyperlnk"/>
                <w:noProof/>
                <w:lang w:val="en-GB"/>
              </w:rPr>
              <w:t>Proposal for a Regulation of the European Parliament and of the Council on the introduction of temporary autonomous trade measures for Ukraine supplementing the trade concessions available under the Association Agreement (First reading)</w:t>
            </w:r>
            <w:r w:rsidR="002C7E65">
              <w:rPr>
                <w:noProof/>
                <w:webHidden/>
              </w:rPr>
              <w:tab/>
            </w:r>
            <w:r w:rsidR="002C7E65">
              <w:rPr>
                <w:noProof/>
                <w:webHidden/>
              </w:rPr>
              <w:fldChar w:fldCharType="begin"/>
            </w:r>
            <w:r w:rsidR="002C7E65">
              <w:rPr>
                <w:noProof/>
                <w:webHidden/>
              </w:rPr>
              <w:instrText xml:space="preserve"> PAGEREF _Toc484518477 \h </w:instrText>
            </w:r>
            <w:r w:rsidR="002C7E65">
              <w:rPr>
                <w:noProof/>
                <w:webHidden/>
              </w:rPr>
            </w:r>
            <w:r w:rsidR="002C7E65">
              <w:rPr>
                <w:noProof/>
                <w:webHidden/>
              </w:rPr>
              <w:fldChar w:fldCharType="separate"/>
            </w:r>
            <w:r w:rsidR="002C7E65">
              <w:rPr>
                <w:noProof/>
                <w:webHidden/>
              </w:rPr>
              <w:t>16</w:t>
            </w:r>
            <w:r w:rsidR="002C7E65">
              <w:rPr>
                <w:noProof/>
                <w:webHidden/>
              </w:rPr>
              <w:fldChar w:fldCharType="end"/>
            </w:r>
          </w:hyperlink>
        </w:p>
        <w:p w14:paraId="7D116D9C"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8" w:history="1">
            <w:r w:rsidR="002C7E65" w:rsidRPr="003009A8">
              <w:rPr>
                <w:rStyle w:val="Hyperlnk"/>
                <w:noProof/>
                <w:lang w:val="en-GB"/>
              </w:rPr>
              <w:t>16.</w:t>
            </w:r>
            <w:r w:rsidR="002C7E65">
              <w:rPr>
                <w:rFonts w:asciiTheme="minorHAnsi" w:eastAsiaTheme="minorEastAsia" w:hAnsiTheme="minorHAnsi" w:cstheme="minorBidi"/>
                <w:noProof/>
                <w:lang w:eastAsia="sv-SE"/>
              </w:rPr>
              <w:tab/>
            </w:r>
            <w:r w:rsidR="002C7E65" w:rsidRPr="003009A8">
              <w:rPr>
                <w:rStyle w:val="Hyperlnk"/>
                <w:noProof/>
                <w:lang w:val="en-GB"/>
              </w:rPr>
              <w:t>Commission Decision on the signature of a Joint Declaration between the European Union, the Republic of France and the Republic of Guinea on reinforced cooperation in the field of sustainable energy</w:t>
            </w:r>
            <w:r w:rsidR="002C7E65">
              <w:rPr>
                <w:noProof/>
                <w:webHidden/>
              </w:rPr>
              <w:tab/>
            </w:r>
            <w:r w:rsidR="002C7E65">
              <w:rPr>
                <w:noProof/>
                <w:webHidden/>
              </w:rPr>
              <w:fldChar w:fldCharType="begin"/>
            </w:r>
            <w:r w:rsidR="002C7E65">
              <w:rPr>
                <w:noProof/>
                <w:webHidden/>
              </w:rPr>
              <w:instrText xml:space="preserve"> PAGEREF _Toc484518478 \h </w:instrText>
            </w:r>
            <w:r w:rsidR="002C7E65">
              <w:rPr>
                <w:noProof/>
                <w:webHidden/>
              </w:rPr>
            </w:r>
            <w:r w:rsidR="002C7E65">
              <w:rPr>
                <w:noProof/>
                <w:webHidden/>
              </w:rPr>
              <w:fldChar w:fldCharType="separate"/>
            </w:r>
            <w:r w:rsidR="002C7E65">
              <w:rPr>
                <w:noProof/>
                <w:webHidden/>
              </w:rPr>
              <w:t>17</w:t>
            </w:r>
            <w:r w:rsidR="002C7E65">
              <w:rPr>
                <w:noProof/>
                <w:webHidden/>
              </w:rPr>
              <w:fldChar w:fldCharType="end"/>
            </w:r>
          </w:hyperlink>
        </w:p>
        <w:p w14:paraId="20A6FF6C"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79" w:history="1">
            <w:r w:rsidR="002C7E65" w:rsidRPr="003009A8">
              <w:rPr>
                <w:rStyle w:val="Hyperlnk"/>
                <w:noProof/>
                <w:lang w:val="en-GB"/>
              </w:rPr>
              <w:t>17.</w:t>
            </w:r>
            <w:r w:rsidR="002C7E65">
              <w:rPr>
                <w:rFonts w:asciiTheme="minorHAnsi" w:eastAsiaTheme="minorEastAsia" w:hAnsiTheme="minorHAnsi" w:cstheme="minorBidi"/>
                <w:noProof/>
                <w:lang w:eastAsia="sv-SE"/>
              </w:rPr>
              <w:tab/>
            </w:r>
            <w:r w:rsidR="002C7E65" w:rsidRPr="003009A8">
              <w:rPr>
                <w:rStyle w:val="Hyperlnk"/>
                <w:noProof/>
                <w:lang w:val="en-GB"/>
              </w:rPr>
              <w:t>EU engagement with civil society in external relations</w:t>
            </w:r>
            <w:r w:rsidR="002C7E65">
              <w:rPr>
                <w:noProof/>
                <w:webHidden/>
              </w:rPr>
              <w:tab/>
            </w:r>
            <w:r w:rsidR="002C7E65">
              <w:rPr>
                <w:noProof/>
                <w:webHidden/>
              </w:rPr>
              <w:fldChar w:fldCharType="begin"/>
            </w:r>
            <w:r w:rsidR="002C7E65">
              <w:rPr>
                <w:noProof/>
                <w:webHidden/>
              </w:rPr>
              <w:instrText xml:space="preserve"> PAGEREF _Toc484518479 \h </w:instrText>
            </w:r>
            <w:r w:rsidR="002C7E65">
              <w:rPr>
                <w:noProof/>
                <w:webHidden/>
              </w:rPr>
            </w:r>
            <w:r w:rsidR="002C7E65">
              <w:rPr>
                <w:noProof/>
                <w:webHidden/>
              </w:rPr>
              <w:fldChar w:fldCharType="separate"/>
            </w:r>
            <w:r w:rsidR="002C7E65">
              <w:rPr>
                <w:noProof/>
                <w:webHidden/>
              </w:rPr>
              <w:t>18</w:t>
            </w:r>
            <w:r w:rsidR="002C7E65">
              <w:rPr>
                <w:noProof/>
                <w:webHidden/>
              </w:rPr>
              <w:fldChar w:fldCharType="end"/>
            </w:r>
          </w:hyperlink>
        </w:p>
        <w:p w14:paraId="7F8CA718" w14:textId="77777777" w:rsidR="00A15C64" w:rsidRDefault="00A15C64">
          <w:pPr>
            <w:pStyle w:val="Innehll1"/>
            <w:tabs>
              <w:tab w:val="left" w:pos="660"/>
              <w:tab w:val="right" w:leader="dot" w:pos="9062"/>
            </w:tabs>
          </w:pPr>
        </w:p>
        <w:p w14:paraId="41A18E8D"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80" w:history="1">
            <w:r w:rsidR="002C7E65" w:rsidRPr="003009A8">
              <w:rPr>
                <w:rStyle w:val="Hyperlnk"/>
                <w:noProof/>
                <w:lang w:val="en-GB"/>
              </w:rPr>
              <w:t>18.</w:t>
            </w:r>
            <w:r w:rsidR="002C7E65">
              <w:rPr>
                <w:rFonts w:asciiTheme="minorHAnsi" w:eastAsiaTheme="minorEastAsia" w:hAnsiTheme="minorHAnsi" w:cstheme="minorBidi"/>
                <w:noProof/>
                <w:lang w:eastAsia="sv-SE"/>
              </w:rPr>
              <w:tab/>
            </w:r>
            <w:r w:rsidR="002C7E65" w:rsidRPr="003009A8">
              <w:rPr>
                <w:rStyle w:val="Hyperlnk"/>
                <w:noProof/>
                <w:lang w:val="en-GB"/>
              </w:rPr>
              <w:t xml:space="preserve">Draft Council Decision authorising the opening of negotiations with the Republic of Mali in order to conclude an Agreement on the status of the European Union civilian CSDP Mission in Mali </w:t>
            </w:r>
            <w:r w:rsidR="002C7E65" w:rsidRPr="003009A8">
              <w:rPr>
                <w:rStyle w:val="Hyperlnk"/>
                <w:noProof/>
                <w:lang w:val="en-GB"/>
              </w:rPr>
              <w:lastRenderedPageBreak/>
              <w:t>(EUCAP Sahel Mali) replacing the Agreement in the form of an Exchange of Letters between the European Union and the Republic of Mali regarding the status of EUCAP Sahel Mali</w:t>
            </w:r>
            <w:r w:rsidR="002C7E65">
              <w:rPr>
                <w:noProof/>
                <w:webHidden/>
              </w:rPr>
              <w:tab/>
            </w:r>
            <w:r w:rsidR="002C7E65">
              <w:rPr>
                <w:noProof/>
                <w:webHidden/>
              </w:rPr>
              <w:fldChar w:fldCharType="begin"/>
            </w:r>
            <w:r w:rsidR="002C7E65">
              <w:rPr>
                <w:noProof/>
                <w:webHidden/>
              </w:rPr>
              <w:instrText xml:space="preserve"> PAGEREF _Toc484518480 \h </w:instrText>
            </w:r>
            <w:r w:rsidR="002C7E65">
              <w:rPr>
                <w:noProof/>
                <w:webHidden/>
              </w:rPr>
            </w:r>
            <w:r w:rsidR="002C7E65">
              <w:rPr>
                <w:noProof/>
                <w:webHidden/>
              </w:rPr>
              <w:fldChar w:fldCharType="separate"/>
            </w:r>
            <w:r w:rsidR="002C7E65">
              <w:rPr>
                <w:noProof/>
                <w:webHidden/>
              </w:rPr>
              <w:t>19</w:t>
            </w:r>
            <w:r w:rsidR="002C7E65">
              <w:rPr>
                <w:noProof/>
                <w:webHidden/>
              </w:rPr>
              <w:fldChar w:fldCharType="end"/>
            </w:r>
          </w:hyperlink>
        </w:p>
        <w:p w14:paraId="6DE69987"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81" w:history="1">
            <w:r w:rsidR="002C7E65" w:rsidRPr="003009A8">
              <w:rPr>
                <w:rStyle w:val="Hyperlnk"/>
                <w:noProof/>
                <w:lang w:val="en-GB"/>
              </w:rPr>
              <w:t>19.</w:t>
            </w:r>
            <w:r w:rsidR="002C7E65">
              <w:rPr>
                <w:rFonts w:asciiTheme="minorHAnsi" w:eastAsiaTheme="minorEastAsia" w:hAnsiTheme="minorHAnsi" w:cstheme="minorBidi"/>
                <w:noProof/>
                <w:lang w:eastAsia="sv-SE"/>
              </w:rPr>
              <w:tab/>
            </w:r>
            <w:r w:rsidR="002C7E65" w:rsidRPr="003009A8">
              <w:rPr>
                <w:rStyle w:val="Hyperlnk"/>
                <w:noProof/>
                <w:lang w:val="en-GB"/>
              </w:rPr>
              <w:t>Council Decision 2012/285/CFSP concerning restrictive measures directed against certain persons, entities and bodies threatening the peace, security or stability of the Republic of Guinea-Bissau and Council Regulation (EU) No 377/2012 concerning restrictive measures directed against certain persons, entities and bodies threatening the peace, security or stability of the Republic of Guinea-Bissau</w:t>
            </w:r>
            <w:r w:rsidR="002C7E65">
              <w:rPr>
                <w:noProof/>
                <w:webHidden/>
              </w:rPr>
              <w:tab/>
            </w:r>
            <w:r w:rsidR="002C7E65">
              <w:rPr>
                <w:noProof/>
                <w:webHidden/>
              </w:rPr>
              <w:fldChar w:fldCharType="begin"/>
            </w:r>
            <w:r w:rsidR="002C7E65">
              <w:rPr>
                <w:noProof/>
                <w:webHidden/>
              </w:rPr>
              <w:instrText xml:space="preserve"> PAGEREF _Toc484518481 \h </w:instrText>
            </w:r>
            <w:r w:rsidR="002C7E65">
              <w:rPr>
                <w:noProof/>
                <w:webHidden/>
              </w:rPr>
            </w:r>
            <w:r w:rsidR="002C7E65">
              <w:rPr>
                <w:noProof/>
                <w:webHidden/>
              </w:rPr>
              <w:fldChar w:fldCharType="separate"/>
            </w:r>
            <w:r w:rsidR="002C7E65">
              <w:rPr>
                <w:noProof/>
                <w:webHidden/>
              </w:rPr>
              <w:t>20</w:t>
            </w:r>
            <w:r w:rsidR="002C7E65">
              <w:rPr>
                <w:noProof/>
                <w:webHidden/>
              </w:rPr>
              <w:fldChar w:fldCharType="end"/>
            </w:r>
          </w:hyperlink>
        </w:p>
        <w:p w14:paraId="429CB5DF" w14:textId="77777777" w:rsidR="002C7E65" w:rsidRDefault="00433F6D">
          <w:pPr>
            <w:pStyle w:val="Innehll1"/>
            <w:tabs>
              <w:tab w:val="left" w:pos="660"/>
              <w:tab w:val="right" w:leader="dot" w:pos="9062"/>
            </w:tabs>
            <w:rPr>
              <w:rFonts w:asciiTheme="minorHAnsi" w:eastAsiaTheme="minorEastAsia" w:hAnsiTheme="minorHAnsi" w:cstheme="minorBidi"/>
              <w:noProof/>
              <w:lang w:eastAsia="sv-SE"/>
            </w:rPr>
          </w:pPr>
          <w:hyperlink w:anchor="_Toc484518482" w:history="1">
            <w:r w:rsidR="002C7E65" w:rsidRPr="003009A8">
              <w:rPr>
                <w:rStyle w:val="Hyperlnk"/>
                <w:noProof/>
                <w:lang w:val="en-GB"/>
              </w:rPr>
              <w:t>20.</w:t>
            </w:r>
            <w:r w:rsidR="002C7E65">
              <w:rPr>
                <w:rFonts w:asciiTheme="minorHAnsi" w:eastAsiaTheme="minorEastAsia" w:hAnsiTheme="minorHAnsi" w:cstheme="minorBidi"/>
                <w:noProof/>
                <w:lang w:eastAsia="sv-SE"/>
              </w:rPr>
              <w:tab/>
            </w:r>
            <w:r w:rsidR="002C7E65" w:rsidRPr="003009A8">
              <w:rPr>
                <w:rStyle w:val="Hyperlnk"/>
                <w:noProof/>
                <w:lang w:val="en-GB"/>
              </w:rPr>
              <w:t>Draft Council Decision amending Decision 2014/386/CFSP concerning restrictive measures in response to the illegal annexation of Crimea and Sevastopol</w:t>
            </w:r>
            <w:r w:rsidR="002C7E65">
              <w:rPr>
                <w:noProof/>
                <w:webHidden/>
              </w:rPr>
              <w:tab/>
            </w:r>
            <w:r w:rsidR="002C7E65">
              <w:rPr>
                <w:noProof/>
                <w:webHidden/>
              </w:rPr>
              <w:fldChar w:fldCharType="begin"/>
            </w:r>
            <w:r w:rsidR="002C7E65">
              <w:rPr>
                <w:noProof/>
                <w:webHidden/>
              </w:rPr>
              <w:instrText xml:space="preserve"> PAGEREF _Toc484518482 \h </w:instrText>
            </w:r>
            <w:r w:rsidR="002C7E65">
              <w:rPr>
                <w:noProof/>
                <w:webHidden/>
              </w:rPr>
            </w:r>
            <w:r w:rsidR="002C7E65">
              <w:rPr>
                <w:noProof/>
                <w:webHidden/>
              </w:rPr>
              <w:fldChar w:fldCharType="separate"/>
            </w:r>
            <w:r w:rsidR="002C7E65">
              <w:rPr>
                <w:noProof/>
                <w:webHidden/>
              </w:rPr>
              <w:t>21</w:t>
            </w:r>
            <w:r w:rsidR="002C7E65">
              <w:rPr>
                <w:noProof/>
                <w:webHidden/>
              </w:rPr>
              <w:fldChar w:fldCharType="end"/>
            </w:r>
          </w:hyperlink>
        </w:p>
        <w:p w14:paraId="6388B9EE" w14:textId="77777777" w:rsidR="001931DF" w:rsidRDefault="001931DF">
          <w:r>
            <w:rPr>
              <w:b/>
              <w:bCs/>
              <w:noProof/>
            </w:rPr>
            <w:fldChar w:fldCharType="end"/>
          </w:r>
        </w:p>
      </w:sdtContent>
    </w:sdt>
    <w:p w14:paraId="6388B9EF" w14:textId="77777777" w:rsidR="001931DF" w:rsidRDefault="001931DF">
      <w:pPr>
        <w:ind w:left="0"/>
      </w:pPr>
      <w:r>
        <w:br w:type="page"/>
      </w:r>
    </w:p>
    <w:p w14:paraId="6388B9F0" w14:textId="77777777" w:rsidR="001931DF" w:rsidRDefault="001931DF" w:rsidP="001931DF">
      <w:pPr>
        <w:pStyle w:val="Rubrik1"/>
        <w:numPr>
          <w:ilvl w:val="0"/>
          <w:numId w:val="0"/>
        </w:numPr>
      </w:pPr>
      <w:bookmarkStart w:id="0" w:name="_Toc364854645"/>
    </w:p>
    <w:p w14:paraId="6388B9F1" w14:textId="77777777" w:rsidR="001931DF" w:rsidRPr="001931DF" w:rsidRDefault="001931DF" w:rsidP="001931DF">
      <w:pPr>
        <w:pStyle w:val="Rubrik1"/>
        <w:rPr>
          <w:lang w:val="en-GB"/>
        </w:rPr>
      </w:pPr>
      <w:bookmarkStart w:id="1" w:name="_Toc484518463"/>
      <w:r w:rsidRPr="001931DF">
        <w:rPr>
          <w:noProof/>
          <w:lang w:val="en-GB"/>
        </w:rPr>
        <w:t>Case before the Court of Justice of the EU</w:t>
      </w:r>
      <w:bookmarkStart w:id="2" w:name="_GoBack"/>
      <w:bookmarkEnd w:id="2"/>
      <w:r w:rsidRPr="001931DF">
        <w:rPr>
          <w:noProof/>
          <w:lang w:val="en-GB"/>
        </w:rPr>
        <w:br/>
        <w:t>Opinion 2/15, Singapore FTA</w:t>
      </w:r>
      <w:bookmarkEnd w:id="1"/>
    </w:p>
    <w:p w14:paraId="6388B9F3" w14:textId="301ED607" w:rsidR="001931DF" w:rsidRPr="001931DF" w:rsidRDefault="001931DF" w:rsidP="001931DF">
      <w:pPr>
        <w:rPr>
          <w:lang w:val="fr-FR"/>
        </w:rPr>
      </w:pPr>
      <w:r w:rsidRPr="00A15C64">
        <w:rPr>
          <w:lang w:val="fr-FR"/>
        </w:rPr>
        <w:br/>
      </w:r>
      <w:r w:rsidRPr="001931DF">
        <w:rPr>
          <w:noProof/>
          <w:lang w:val="fr-FR"/>
        </w:rPr>
        <w:t>9679</w:t>
      </w:r>
      <w:r w:rsidRPr="001931DF">
        <w:rPr>
          <w:lang w:val="fr-FR"/>
        </w:rPr>
        <w:t>/17 JUR 263 CORLX 251 WTO 121 SERVICES 17 FDI 10 ENV 546</w:t>
      </w:r>
      <w:r w:rsidRPr="001931DF">
        <w:rPr>
          <w:lang w:val="fr-FR"/>
        </w:rPr>
        <w:br/>
        <w:t>TRANS 219 SOC 439</w:t>
      </w:r>
    </w:p>
    <w:p w14:paraId="6388B9F4" w14:textId="77777777" w:rsidR="001931DF" w:rsidRDefault="001931DF" w:rsidP="001931DF">
      <w:r>
        <w:rPr>
          <w:b/>
        </w:rPr>
        <w:t>Ansvarigt statsråd</w:t>
      </w:r>
      <w:r>
        <w:rPr>
          <w:b/>
        </w:rPr>
        <w:br/>
      </w:r>
      <w:r>
        <w:rPr>
          <w:noProof/>
        </w:rPr>
        <w:t>Ann</w:t>
      </w:r>
      <w:r>
        <w:t xml:space="preserve"> Linde</w:t>
      </w:r>
    </w:p>
    <w:p w14:paraId="6388B9F5"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9F6"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9F7"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9F8"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9F9"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9FA"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9FB"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9FC"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9FD"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9FE" w14:textId="002E812A" w:rsidR="001931DF" w:rsidRDefault="001931DF" w:rsidP="001931DF">
      <w:r>
        <w:instrText>"</w:instrText>
      </w:r>
      <w:r>
        <w:rPr>
          <w:b/>
        </w:rPr>
        <w:instrText xml:space="preserve"> </w:instrText>
      </w:r>
      <w:r>
        <w:rPr>
          <w:b/>
        </w:rPr>
        <w:fldChar w:fldCharType="end"/>
      </w:r>
      <w:r w:rsidRPr="00B44CE2">
        <w:rPr>
          <w:b/>
        </w:rPr>
        <w:t>Annotering</w:t>
      </w:r>
    </w:p>
    <w:p w14:paraId="6388B9FF" w14:textId="77777777" w:rsidR="00656435" w:rsidRDefault="001931DF">
      <w:pPr>
        <w:spacing w:after="280" w:afterAutospacing="1"/>
      </w:pPr>
      <w:r>
        <w:rPr>
          <w:b/>
          <w:bCs/>
        </w:rPr>
        <w:t>Avsikt med behandlingen i rådet:</w:t>
      </w:r>
      <w:r>
        <w:t xml:space="preserve"> Information om mål vid EU-domstolen</w:t>
      </w:r>
      <w:r>
        <w:br/>
        <w:t>(A 2/15, Singapore FTA, JUR 662 RELX 835 COMER 13)</w:t>
      </w:r>
    </w:p>
    <w:p w14:paraId="754B6BF1" w14:textId="77777777" w:rsidR="001931DF" w:rsidRPr="001931DF" w:rsidRDefault="001931DF" w:rsidP="001931DF">
      <w:pPr>
        <w:spacing w:after="280" w:afterAutospacing="1"/>
      </w:pPr>
      <w:r>
        <w:rPr>
          <w:b/>
          <w:bCs/>
        </w:rPr>
        <w:t>Hur regeringen ställer sig till den blivande A-punkten:</w:t>
      </w:r>
      <w:r>
        <w:t xml:space="preserve"> Ingen erinran mot denna informationspunkt</w:t>
      </w:r>
      <w:r>
        <w:br/>
      </w:r>
      <w:r>
        <w:br/>
      </w:r>
      <w:r>
        <w:rPr>
          <w:b/>
          <w:bCs/>
        </w:rPr>
        <w:t xml:space="preserve">Bakgrund: </w:t>
      </w:r>
      <w:r w:rsidRPr="001931DF">
        <w:t xml:space="preserve">Den 16 maj 2017 kom EU-domstolens plenumyttrande i mål </w:t>
      </w:r>
      <w:proofErr w:type="gramStart"/>
      <w:r w:rsidRPr="001931DF">
        <w:t xml:space="preserve">2/15 </w:t>
      </w:r>
      <w:proofErr w:type="gramEnd"/>
      <w:r w:rsidRPr="001931DF">
        <w:t xml:space="preserve">Singapore FTA angående frågan om EU har exklusiv befogenhet att ingå frihandelsavtal med länder i sydostasiatiska nationers förbund (ASEAN), specifikt med Singapore, eller om befogenheten är delad med medlemstaterna, helt eller delvis. Frihandelsavtalet består av 17 kapitel, bl. a. import och export av varor (kapitel 2), antidumpningsåtgärder, utjämningsåtgärder och skyddsåtgärder (kapitel 3), icke-tariffära hinder för varuhandel till följd av tekniska föreskrifter och sanitära och </w:t>
      </w:r>
      <w:proofErr w:type="spellStart"/>
      <w:r w:rsidRPr="001931DF">
        <w:t>fytosanitära</w:t>
      </w:r>
      <w:proofErr w:type="spellEnd"/>
      <w:r w:rsidRPr="001931DF">
        <w:t xml:space="preserve"> åtgärder (kapitel 4 och 5), tullbestämmelser (kapitel 6), offentlig upphandling (kapitel 10), immateriella rättigheter (kapitel 11), konkurrens (kapitel 12) och handel och hållbar utveckling (kapitel 13). Kommissionen, med stöd av EP, har inför domstolen hävdat att befogenheten är exklusiv för EU medan rådet med stöd av 26 medlemsstater, har hävdat motsatsen. Domstolens slutsats i sitt omfattande yttrande (305 paragrafer) är dock att av avtalets 17 kapitel omfattas merparten av EU:s exklusiva befogenhet. Yttrandet avviker från generaladvokaten Sharpstons förslag och innebär ett utvidgande av kompetensområdet för artikel 207 FEUF. Domstolen hänvisar till etablerad praxis, bl. a. mål C-414/11 </w:t>
      </w:r>
      <w:proofErr w:type="spellStart"/>
      <w:r w:rsidRPr="001931DF">
        <w:t>Daiichi</w:t>
      </w:r>
      <w:proofErr w:type="spellEnd"/>
      <w:r w:rsidRPr="001931DF">
        <w:t xml:space="preserve"> om direkt effekt, d.v.s. om en unionsrättsakt särskilt rör internationell handel, genom att den huvudsakligen syftar till att främja, underlätta eller reglera handeln och direkt och omedelbart påverkar denna, omfattas den av den gemensamma handelspolitiken i artikel 207 FEUF och ERTA-principen i artikel 3.2 FEUF, mål C-22/70, om att befogenheten kan vara exklusiv om unionsregler och dess räckvidd påverkas. </w:t>
      </w:r>
    </w:p>
    <w:p w14:paraId="69790571" w14:textId="77777777" w:rsidR="001931DF" w:rsidRPr="001931DF" w:rsidRDefault="001931DF" w:rsidP="001931DF">
      <w:pPr>
        <w:spacing w:after="280" w:afterAutospacing="1"/>
      </w:pPr>
      <w:r w:rsidRPr="001931DF">
        <w:t xml:space="preserve">Endast i fråga om andra investeringar än direktinvesteringar (portföljinvesteringar) och tvistelösning mellan investerare och stater i kapitel 9 är befogenheten delad med medlemstaterna. I den mån gemensamma bestämmelser i kapitel 1, 14 (öppenhet), 15 (tvistelösning), 16 (medling) och 17 (institutionella och allmänna bestämmelser samt slutbestämmelser) avser bestämmelserna i kapitel 9 är befogenheten även i dessa delar delad. Domstolen motiverar den delade kompetensen för direktinvesteringar med att ERTA-principen tar sikte på när sekundärrätten påverkas och inte en fördragsbestämmelse, i det här fallet artikel 63 FEUF. Eftersom direktinvesteringar då faller utanför artikel 3.2 och det med stöd av artikel </w:t>
      </w:r>
      <w:proofErr w:type="gramStart"/>
      <w:r w:rsidRPr="001931DF">
        <w:t>216.1</w:t>
      </w:r>
      <w:proofErr w:type="gramEnd"/>
      <w:r w:rsidRPr="001931DF">
        <w:t xml:space="preserve"> FEUF är av vikt för EU att kunna ingå internationella avtal för uppnå syftet med artikel 63 FEUF (att upphäva restriktioner för kapitalrörelser) bör befogenheten vara delad. Det kan dock lyftas fram att EU saknar lagstiftningskompetens på området.</w:t>
      </w:r>
    </w:p>
    <w:p w14:paraId="62D2BADB" w14:textId="77777777" w:rsidR="001931DF" w:rsidRPr="001931DF" w:rsidRDefault="001931DF" w:rsidP="001931DF">
      <w:pPr>
        <w:spacing w:after="280" w:afterAutospacing="1"/>
      </w:pPr>
      <w:r w:rsidRPr="001931DF">
        <w:t>Vänligen notera att annoteringen utgör en sammanfattning av ett omfattande mål och att rådets rättstjänst avser att närmare analysera målet.</w:t>
      </w:r>
    </w:p>
    <w:p w14:paraId="6388BA02" w14:textId="749AE4E0" w:rsidR="001931DF" w:rsidRDefault="001931DF" w:rsidP="001931DF">
      <w:pPr>
        <w:spacing w:after="280" w:afterAutospacing="1"/>
        <w:rPr>
          <w:noProof/>
        </w:rPr>
      </w:pPr>
    </w:p>
    <w:p w14:paraId="6388BA03" w14:textId="77777777" w:rsidR="001931DF" w:rsidRDefault="001931DF" w:rsidP="001931DF">
      <w:pPr>
        <w:pStyle w:val="Rubrik1"/>
      </w:pPr>
      <w:bookmarkStart w:id="3" w:name="_Toc484518464"/>
      <w:r w:rsidRPr="001931DF">
        <w:rPr>
          <w:noProof/>
          <w:lang w:val="en-GB"/>
        </w:rPr>
        <w:t>Case before the General Court of the European Union</w:t>
      </w:r>
      <w:r w:rsidRPr="001931DF">
        <w:rPr>
          <w:noProof/>
          <w:lang w:val="en-GB"/>
        </w:rPr>
        <w:br/>
        <w:t xml:space="preserve">Case T-228/17 (Zhejiang Jndia Pipeline Industry Co. </w:t>
      </w:r>
      <w:r>
        <w:rPr>
          <w:noProof/>
        </w:rPr>
        <w:t>Ltd against the European Commission)</w:t>
      </w:r>
      <w:bookmarkEnd w:id="3"/>
    </w:p>
    <w:p w14:paraId="6388BA04" w14:textId="0F172218" w:rsidR="001931DF" w:rsidRPr="002C7E65" w:rsidRDefault="001931DF" w:rsidP="001931DF">
      <w:r w:rsidRPr="002C7E65">
        <w:rPr>
          <w:noProof/>
        </w:rPr>
        <w:t>9815</w:t>
      </w:r>
      <w:r w:rsidRPr="002C7E65">
        <w:t>/17 JUR 273 COMER 74</w:t>
      </w:r>
    </w:p>
    <w:p w14:paraId="6388BA05" w14:textId="77777777" w:rsidR="001931DF" w:rsidRDefault="001931DF" w:rsidP="001931DF">
      <w:r>
        <w:rPr>
          <w:b/>
        </w:rPr>
        <w:t>Ansvarigt statsråd</w:t>
      </w:r>
      <w:r>
        <w:rPr>
          <w:b/>
        </w:rPr>
        <w:br/>
      </w:r>
      <w:r>
        <w:rPr>
          <w:noProof/>
        </w:rPr>
        <w:t>Ann</w:t>
      </w:r>
      <w:r>
        <w:t xml:space="preserve"> Linde</w:t>
      </w:r>
    </w:p>
    <w:p w14:paraId="6388BA06"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07"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08"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09"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0A"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0B"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0C"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0D"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0E"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0F" w14:textId="35F18D06" w:rsidR="001931DF" w:rsidRDefault="001931DF" w:rsidP="001931DF">
      <w:r>
        <w:instrText>"</w:instrText>
      </w:r>
      <w:r>
        <w:rPr>
          <w:b/>
        </w:rPr>
        <w:instrText xml:space="preserve"> </w:instrText>
      </w:r>
      <w:r>
        <w:rPr>
          <w:b/>
        </w:rPr>
        <w:fldChar w:fldCharType="end"/>
      </w:r>
      <w:r w:rsidRPr="00B44CE2">
        <w:rPr>
          <w:b/>
        </w:rPr>
        <w:t>Annotering</w:t>
      </w:r>
    </w:p>
    <w:p w14:paraId="0E4B41A0" w14:textId="44F93313" w:rsidR="001931DF" w:rsidRPr="001931DF" w:rsidRDefault="001931DF" w:rsidP="001931DF">
      <w:pPr>
        <w:spacing w:after="280" w:afterAutospacing="1"/>
        <w:rPr>
          <w:b/>
        </w:rPr>
      </w:pPr>
      <w:r>
        <w:rPr>
          <w:b/>
          <w:bCs/>
        </w:rPr>
        <w:t>Avsikt med behandlingen i rådet:</w:t>
      </w:r>
      <w:r>
        <w:t xml:space="preserve"> Information om pågående mål vid tribunalen</w:t>
      </w:r>
      <w:r>
        <w:br/>
      </w:r>
      <w:r>
        <w:rPr>
          <w:b/>
          <w:bCs/>
        </w:rPr>
        <w:br/>
        <w:t>Hur regeringen ställer sig till den blivande A-punkten:</w:t>
      </w:r>
      <w:r>
        <w:t xml:space="preserve"> Ingen </w:t>
      </w:r>
      <w:proofErr w:type="gramStart"/>
      <w:r>
        <w:t>erinran</w:t>
      </w:r>
      <w:proofErr w:type="gramEnd"/>
      <w:r>
        <w:t xml:space="preserve"> mot denna informationspunkt.</w:t>
      </w:r>
      <w:r>
        <w:br/>
      </w:r>
      <w:r>
        <w:br/>
      </w:r>
      <w:r>
        <w:rPr>
          <w:b/>
          <w:bCs/>
        </w:rPr>
        <w:t>Bakgrund:</w:t>
      </w:r>
      <w:r>
        <w:t xml:space="preserve"> </w:t>
      </w:r>
      <w:r w:rsidRPr="001931DF">
        <w:t xml:space="preserve">Rådet delgavs den 24 april 2017 en ogiltighetstalan vid tribunalen avseende kommissionens genomförandeförordning (EU) 2017/141 av den 26 januari 2017 om införande av slutliga antidumpningstullar på import av vissa stumsvetsrördelar av rostfritt stål, även inte färdigbearbetade med ursprung i Folkrepubliken Kina och Taiwan, i den mån den påverkar klaganden, ett kinesiskt stålbolag. Klagandebolaget grundar sin talan bl. a. på en felaktig bedömning av bevisningen, att klagandebolaget ålagts en oskäligt tung bevisbörda, att rättigheter såsom rätten att bli hörd och rätten till försvar åsidosatts. </w:t>
      </w:r>
    </w:p>
    <w:p w14:paraId="782151A4" w14:textId="77777777" w:rsidR="001931DF" w:rsidRDefault="001931DF" w:rsidP="001931DF">
      <w:pPr>
        <w:spacing w:after="280" w:afterAutospacing="1"/>
      </w:pPr>
      <w:r w:rsidRPr="001931DF">
        <w:t>Eftersom klaganden ifrågasätter artikel 2.7 i den grundläggande antidumpingförordningen måste rådet intervenera i målet beträffande rättsaktens laglighet. Rådets rättstjänst har utsett ombud i målet som kommer att ge in en interventionsansökan till tribunalen.</w:t>
      </w:r>
      <w:r w:rsidRPr="001931DF">
        <w:br/>
      </w:r>
    </w:p>
    <w:p w14:paraId="25C4B074" w14:textId="77777777" w:rsidR="001931DF" w:rsidRDefault="001931DF" w:rsidP="001931DF">
      <w:pPr>
        <w:spacing w:after="280" w:afterAutospacing="1"/>
      </w:pPr>
    </w:p>
    <w:p w14:paraId="05839F15" w14:textId="77777777" w:rsidR="001931DF" w:rsidRDefault="001931DF" w:rsidP="001931DF">
      <w:pPr>
        <w:spacing w:after="280" w:afterAutospacing="1"/>
      </w:pPr>
    </w:p>
    <w:p w14:paraId="272949ED" w14:textId="77777777" w:rsidR="001931DF" w:rsidRPr="001931DF" w:rsidRDefault="001931DF" w:rsidP="001931DF">
      <w:pPr>
        <w:spacing w:after="280" w:afterAutospacing="1"/>
      </w:pPr>
    </w:p>
    <w:p w14:paraId="6388BA12" w14:textId="1B5B07E9" w:rsidR="001931DF" w:rsidRDefault="001931DF" w:rsidP="001931DF">
      <w:pPr>
        <w:spacing w:after="280" w:afterAutospacing="1"/>
        <w:rPr>
          <w:noProof/>
        </w:rPr>
      </w:pPr>
    </w:p>
    <w:p w14:paraId="6388BA13" w14:textId="77777777" w:rsidR="001931DF" w:rsidRPr="001931DF" w:rsidRDefault="001931DF" w:rsidP="001931DF">
      <w:pPr>
        <w:pStyle w:val="Rubrik1"/>
        <w:rPr>
          <w:lang w:val="en-GB"/>
        </w:rPr>
      </w:pPr>
      <w:bookmarkStart w:id="4" w:name="_Toc484518465"/>
      <w:r w:rsidRPr="001931DF">
        <w:rPr>
          <w:noProof/>
          <w:lang w:val="en-GB"/>
        </w:rPr>
        <w:t>Case before the General Court of the European Union</w:t>
      </w:r>
      <w:r w:rsidRPr="001931DF">
        <w:rPr>
          <w:noProof/>
          <w:lang w:val="en-GB"/>
        </w:rPr>
        <w:br/>
        <w:t xml:space="preserve">Case T-148/17 (Troszczynski v. Parlement) </w:t>
      </w:r>
      <w:r w:rsidRPr="001931DF">
        <w:rPr>
          <w:noProof/>
          <w:lang w:val="en-GB"/>
        </w:rPr>
        <w:br/>
        <w:t>–Intervention of the Council before the General Court of the European Union in support of the European Parliament</w:t>
      </w:r>
      <w:bookmarkEnd w:id="4"/>
    </w:p>
    <w:p w14:paraId="6388BA14" w14:textId="77777777" w:rsidR="001931DF" w:rsidRDefault="001931DF" w:rsidP="001931DF">
      <w:pPr>
        <w:rPr>
          <w:lang w:val="en-US"/>
        </w:rPr>
      </w:pPr>
      <w:r>
        <w:rPr>
          <w:noProof/>
          <w:lang w:val="en-US"/>
        </w:rPr>
        <w:t>=</w:t>
      </w:r>
      <w:r>
        <w:rPr>
          <w:lang w:val="en-US"/>
        </w:rPr>
        <w:t>Information note for the Permanent Representatives Committee (Part 2)</w:t>
      </w:r>
      <w:r>
        <w:rPr>
          <w:lang w:val="en-US"/>
        </w:rPr>
        <w:br/>
      </w:r>
      <w:r>
        <w:rPr>
          <w:noProof/>
          <w:lang w:val="en-US"/>
        </w:rPr>
        <w:t>9818</w:t>
      </w:r>
      <w:r>
        <w:rPr>
          <w:lang w:val="en-US"/>
        </w:rPr>
        <w:t>/17 JUR 274 INST 232 FIN 340</w:t>
      </w:r>
    </w:p>
    <w:p w14:paraId="6388BA15" w14:textId="77777777" w:rsidR="001931DF" w:rsidRDefault="001931DF" w:rsidP="001931DF">
      <w:r>
        <w:rPr>
          <w:b/>
        </w:rPr>
        <w:t>Ansvarigt statsråd</w:t>
      </w:r>
      <w:r>
        <w:rPr>
          <w:b/>
        </w:rPr>
        <w:br/>
      </w:r>
      <w:r>
        <w:rPr>
          <w:noProof/>
        </w:rPr>
        <w:t>Ann</w:t>
      </w:r>
      <w:r>
        <w:t xml:space="preserve"> Linde</w:t>
      </w:r>
    </w:p>
    <w:p w14:paraId="6388BA16"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17"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18"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19"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1A"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1B"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1C"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1D"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1E"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1F" w14:textId="05B21C49" w:rsidR="001931DF" w:rsidRDefault="001931DF" w:rsidP="001931DF">
      <w:r>
        <w:instrText>"</w:instrText>
      </w:r>
      <w:r>
        <w:rPr>
          <w:b/>
        </w:rPr>
        <w:instrText xml:space="preserve"> </w:instrText>
      </w:r>
      <w:r>
        <w:rPr>
          <w:b/>
        </w:rPr>
        <w:fldChar w:fldCharType="end"/>
      </w:r>
      <w:r w:rsidRPr="00B44CE2">
        <w:rPr>
          <w:b/>
        </w:rPr>
        <w:t>Annotering</w:t>
      </w:r>
    </w:p>
    <w:p w14:paraId="7F2135C4" w14:textId="65ADED20" w:rsidR="001931DF" w:rsidRPr="001931DF" w:rsidRDefault="001931DF" w:rsidP="001931DF">
      <w:pPr>
        <w:spacing w:after="280" w:afterAutospacing="1"/>
      </w:pPr>
      <w:r>
        <w:rPr>
          <w:b/>
          <w:bCs/>
        </w:rPr>
        <w:t>Avsikt med behandlingen i rådet:</w:t>
      </w:r>
      <w:r>
        <w:t xml:space="preserve"> Information om pågående mål vid tribunalen</w:t>
      </w:r>
      <w:r>
        <w:br/>
      </w:r>
      <w:r>
        <w:br/>
      </w:r>
      <w:r>
        <w:rPr>
          <w:b/>
          <w:bCs/>
        </w:rPr>
        <w:t>Hur regeringen ställer sig till den blivande A-punkten:</w:t>
      </w:r>
      <w:r>
        <w:t xml:space="preserve"> Ingen </w:t>
      </w:r>
      <w:proofErr w:type="gramStart"/>
      <w:r>
        <w:t>erinran</w:t>
      </w:r>
      <w:proofErr w:type="gramEnd"/>
      <w:r>
        <w:t xml:space="preserve"> mot denna informationspunkt.</w:t>
      </w:r>
      <w:r>
        <w:br/>
      </w:r>
      <w:r>
        <w:br/>
      </w:r>
      <w:r>
        <w:rPr>
          <w:b/>
          <w:bCs/>
        </w:rPr>
        <w:t xml:space="preserve">Bakgrund: </w:t>
      </w:r>
      <w:r w:rsidRPr="001931DF">
        <w:t xml:space="preserve">Den 7 mars 2017 ingav klaganden, EP-parlamentarikern </w:t>
      </w:r>
      <w:proofErr w:type="spellStart"/>
      <w:r w:rsidRPr="001931DF">
        <w:t>Mylène</w:t>
      </w:r>
      <w:proofErr w:type="spellEnd"/>
      <w:r w:rsidRPr="001931DF">
        <w:t xml:space="preserve"> </w:t>
      </w:r>
      <w:proofErr w:type="spellStart"/>
      <w:r w:rsidRPr="001931DF">
        <w:t>Troszczynski</w:t>
      </w:r>
      <w:proofErr w:type="spellEnd"/>
      <w:r w:rsidRPr="001931DF">
        <w:t xml:space="preserve"> (</w:t>
      </w:r>
      <w:proofErr w:type="spellStart"/>
      <w:r w:rsidRPr="001931DF">
        <w:t>Europe</w:t>
      </w:r>
      <w:proofErr w:type="spellEnd"/>
      <w:r w:rsidRPr="001931DF">
        <w:t xml:space="preserve"> des Nations et des Libertés), en ogiltighetstalan mot EP:s generalsekreterares beslut den 23 och den 29 juni 2016 om krav på återbetalning av en summa om 56 554 euro som felaktigt utbetalats till henne samt ett beslut från den 7 januari 2017 om avslag på hennes klagomål. Klaganden grundar sin talan på bl. a. att generalsekreteraren inte är behörig att vidta dessa åtgärder, formella brister i besluten och avsaknad av skäl, åsidosättande av proportionalitetsprincipen och principen om </w:t>
      </w:r>
      <w:proofErr w:type="spellStart"/>
      <w:r w:rsidRPr="001931DF">
        <w:t>ne</w:t>
      </w:r>
      <w:proofErr w:type="spellEnd"/>
      <w:r w:rsidRPr="001931DF">
        <w:t xml:space="preserve"> bis in idem m.m.</w:t>
      </w:r>
    </w:p>
    <w:p w14:paraId="6388BA22" w14:textId="1C88EF98" w:rsidR="001931DF" w:rsidRDefault="001931DF" w:rsidP="001931DF">
      <w:pPr>
        <w:spacing w:after="280" w:afterAutospacing="1"/>
      </w:pPr>
      <w:r w:rsidRPr="001931DF">
        <w:t>Eftersom klaganden ifrågasätter artikel 71.3, 78-80 och 89 i Europaparlamentets och Rådets förordning (EU, Euratom) nr 966/2012 av den 25 oktober 2012 om finansiella regler för unionens allmänna budget och om upphävande av rådets förordning (EG, Euratom) nr 1605/2002 bör rådet intervenera i målet beträffande rättsaktens laglighet. Rådets rättstjänst har utsett ombud i målet.</w:t>
      </w:r>
    </w:p>
    <w:p w14:paraId="6388BA23" w14:textId="77777777" w:rsidR="001931DF" w:rsidRPr="001931DF" w:rsidRDefault="001931DF" w:rsidP="001931DF">
      <w:pPr>
        <w:pStyle w:val="Rubrik1"/>
        <w:rPr>
          <w:lang w:val="en-GB"/>
        </w:rPr>
      </w:pPr>
      <w:bookmarkStart w:id="5" w:name="_Toc484518466"/>
      <w:r w:rsidRPr="001931DF">
        <w:rPr>
          <w:noProof/>
          <w:lang w:val="en-GB"/>
        </w:rPr>
        <w:t>Transparency - Public access to documents</w:t>
      </w:r>
      <w:r w:rsidRPr="001931DF">
        <w:rPr>
          <w:noProof/>
          <w:lang w:val="en-GB"/>
        </w:rPr>
        <w:br/>
        <w:t>Confirmatory application No 09/c/01/17</w:t>
      </w:r>
      <w:bookmarkEnd w:id="5"/>
    </w:p>
    <w:p w14:paraId="6388BA24" w14:textId="77777777" w:rsidR="001931DF" w:rsidRPr="001931DF" w:rsidRDefault="001931DF" w:rsidP="001931DF">
      <w:r w:rsidRPr="00A15C64">
        <w:br/>
      </w:r>
      <w:r w:rsidRPr="001931DF">
        <w:rPr>
          <w:noProof/>
        </w:rPr>
        <w:t>7657</w:t>
      </w:r>
      <w:r w:rsidRPr="001931DF">
        <w:t>/17 INF 53 API 40</w:t>
      </w:r>
    </w:p>
    <w:p w14:paraId="6388BA25" w14:textId="77777777" w:rsidR="001931DF" w:rsidRDefault="001931DF" w:rsidP="001931DF">
      <w:r>
        <w:rPr>
          <w:b/>
        </w:rPr>
        <w:t>Ansvarigt statsråd</w:t>
      </w:r>
      <w:r>
        <w:rPr>
          <w:b/>
        </w:rPr>
        <w:br/>
      </w:r>
      <w:r>
        <w:rPr>
          <w:noProof/>
        </w:rPr>
        <w:t>Morgan</w:t>
      </w:r>
      <w:r>
        <w:t xml:space="preserve"> Johansson</w:t>
      </w:r>
    </w:p>
    <w:p w14:paraId="6388BA26"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27"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28"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29"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2A"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2B"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2C"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2D"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2E"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2F" w14:textId="77777777" w:rsidR="001931DF" w:rsidRDefault="001931DF" w:rsidP="001931DF">
      <w:r>
        <w:instrText>"</w:instrText>
      </w:r>
      <w:r>
        <w:rPr>
          <w:b/>
        </w:rPr>
        <w:instrText xml:space="preserve"> </w:instrText>
      </w:r>
      <w:r>
        <w:rPr>
          <w:b/>
        </w:rPr>
        <w:fldChar w:fldCharType="end"/>
      </w:r>
      <w:r w:rsidRPr="00B44CE2">
        <w:rPr>
          <w:b/>
        </w:rPr>
        <w:t>Annotering</w:t>
      </w:r>
      <w:r>
        <w:rPr>
          <w:b/>
        </w:rPr>
        <w:br/>
      </w:r>
      <w:r>
        <w:t>Föranleder ingen annotering.</w:t>
      </w:r>
    </w:p>
    <w:p w14:paraId="4C5C5C3B" w14:textId="730D89B0" w:rsidR="001931DF" w:rsidRDefault="001931DF" w:rsidP="001931DF"/>
    <w:p w14:paraId="64357D1C" w14:textId="77777777" w:rsidR="001931DF" w:rsidRDefault="001931DF" w:rsidP="001931DF"/>
    <w:p w14:paraId="6388BA30" w14:textId="77777777" w:rsidR="001931DF" w:rsidRPr="001931DF" w:rsidRDefault="001931DF" w:rsidP="001931DF">
      <w:pPr>
        <w:pStyle w:val="Rubrik1"/>
        <w:rPr>
          <w:lang w:val="en-GB"/>
        </w:rPr>
      </w:pPr>
      <w:bookmarkStart w:id="6" w:name="_Toc484518467"/>
      <w:r w:rsidRPr="001931DF">
        <w:rPr>
          <w:noProof/>
          <w:lang w:val="en-GB"/>
        </w:rPr>
        <w:t>Resolutions and Decisions adopted by the European Parliament at its part-sessions in Brussels from 26 to 27 April 2017 and from 31 May to 1 June and in Strasbourg from 15 to 18 May 2017</w:t>
      </w:r>
      <w:bookmarkEnd w:id="6"/>
    </w:p>
    <w:p w14:paraId="6388BA31" w14:textId="598F296F" w:rsidR="001931DF" w:rsidRPr="001931DF" w:rsidRDefault="001931DF" w:rsidP="001931DF">
      <w:r w:rsidRPr="001931DF">
        <w:rPr>
          <w:noProof/>
        </w:rPr>
        <w:t>7572</w:t>
      </w:r>
      <w:r w:rsidRPr="001931DF">
        <w:t>/17 PE-RE 5</w:t>
      </w:r>
    </w:p>
    <w:p w14:paraId="6388BA32" w14:textId="77777777" w:rsidR="001931DF" w:rsidRDefault="001931DF" w:rsidP="001931DF">
      <w:r>
        <w:rPr>
          <w:b/>
        </w:rPr>
        <w:t>Ansvarigt statsråd</w:t>
      </w:r>
      <w:r>
        <w:rPr>
          <w:b/>
        </w:rPr>
        <w:br/>
      </w:r>
      <w:r>
        <w:rPr>
          <w:noProof/>
        </w:rPr>
        <w:t>Stefan</w:t>
      </w:r>
      <w:r>
        <w:t xml:space="preserve"> Löfven</w:t>
      </w:r>
    </w:p>
    <w:p w14:paraId="6388BA33"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34"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35"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36"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37"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38"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39"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3A"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3B"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3C" w14:textId="77777777" w:rsidR="001931DF" w:rsidRDefault="001931DF" w:rsidP="001931DF">
      <w:r>
        <w:instrText>"</w:instrText>
      </w:r>
      <w:r>
        <w:rPr>
          <w:b/>
        </w:rPr>
        <w:instrText xml:space="preserve"> </w:instrText>
      </w:r>
      <w:r>
        <w:rPr>
          <w:b/>
        </w:rPr>
        <w:fldChar w:fldCharType="end"/>
      </w:r>
      <w:r w:rsidRPr="00B44CE2">
        <w:rPr>
          <w:b/>
        </w:rPr>
        <w:t>Annotering</w:t>
      </w:r>
      <w:r>
        <w:rPr>
          <w:b/>
        </w:rPr>
        <w:br/>
      </w:r>
      <w:r>
        <w:t>Föranleder ingen annotering.</w:t>
      </w:r>
    </w:p>
    <w:p w14:paraId="75C2716C" w14:textId="77777777" w:rsidR="001931DF" w:rsidRDefault="001931DF" w:rsidP="001931DF"/>
    <w:p w14:paraId="6388BA3D" w14:textId="77777777" w:rsidR="001931DF" w:rsidRPr="001931DF" w:rsidRDefault="001931DF" w:rsidP="001931DF">
      <w:pPr>
        <w:pStyle w:val="Rubrik1"/>
        <w:rPr>
          <w:lang w:val="en-GB"/>
        </w:rPr>
      </w:pPr>
      <w:bookmarkStart w:id="7" w:name="_Toc484518468"/>
      <w:r w:rsidRPr="001931DF">
        <w:rPr>
          <w:noProof/>
          <w:lang w:val="en-GB"/>
        </w:rPr>
        <w:t>Special Report No 25/2016 from the European Court of Auditors entitled: "The Land Parcel Identification System: a useful tool to determine the eligibility of agricultural land - but its management could be further improved"</w:t>
      </w:r>
      <w:bookmarkEnd w:id="7"/>
    </w:p>
    <w:p w14:paraId="6388BA3E" w14:textId="77777777" w:rsidR="001931DF" w:rsidRDefault="001931DF" w:rsidP="001931DF">
      <w:pPr>
        <w:rPr>
          <w:lang w:val="en-US"/>
        </w:rPr>
      </w:pPr>
      <w:r>
        <w:rPr>
          <w:noProof/>
          <w:lang w:val="en-US"/>
        </w:rPr>
        <w:t>=</w:t>
      </w:r>
      <w:r>
        <w:rPr>
          <w:lang w:val="en-US"/>
        </w:rPr>
        <w:t>Adoption of Council conclusions</w:t>
      </w:r>
      <w:r>
        <w:rPr>
          <w:lang w:val="en-US"/>
        </w:rPr>
        <w:br/>
      </w:r>
      <w:r>
        <w:rPr>
          <w:noProof/>
          <w:lang w:val="en-US"/>
        </w:rPr>
        <w:t>6793</w:t>
      </w:r>
      <w:r>
        <w:rPr>
          <w:lang w:val="en-US"/>
        </w:rPr>
        <w:t>/17 FIN 147 AGRI 97 AGRIFIN 21 AGRISTR 20</w:t>
      </w:r>
    </w:p>
    <w:p w14:paraId="6388BA3F" w14:textId="77777777" w:rsidR="001931DF" w:rsidRDefault="001931DF" w:rsidP="001931DF">
      <w:r>
        <w:rPr>
          <w:b/>
        </w:rPr>
        <w:t>Ansvarigt statsråd</w:t>
      </w:r>
      <w:r>
        <w:rPr>
          <w:b/>
        </w:rPr>
        <w:br/>
      </w:r>
      <w:r>
        <w:rPr>
          <w:noProof/>
        </w:rPr>
        <w:t>Magdalena</w:t>
      </w:r>
      <w:r>
        <w:t xml:space="preserve"> Andersson</w:t>
      </w:r>
    </w:p>
    <w:p w14:paraId="6388BA40"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41"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42"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43"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44"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45"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46"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47"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48"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49" w14:textId="736EA382" w:rsidR="001931DF" w:rsidRDefault="001931DF" w:rsidP="001931DF">
      <w:r>
        <w:instrText>"</w:instrText>
      </w:r>
      <w:r>
        <w:rPr>
          <w:b/>
        </w:rPr>
        <w:instrText xml:space="preserve"> </w:instrText>
      </w:r>
      <w:r>
        <w:rPr>
          <w:b/>
        </w:rPr>
        <w:fldChar w:fldCharType="end"/>
      </w:r>
      <w:r w:rsidRPr="00B44CE2">
        <w:rPr>
          <w:b/>
        </w:rPr>
        <w:t>Annotering</w:t>
      </w:r>
    </w:p>
    <w:p w14:paraId="6388BA4A" w14:textId="1C099EF6" w:rsidR="00656435" w:rsidRDefault="001931DF">
      <w:pPr>
        <w:spacing w:after="280" w:afterAutospacing="1"/>
      </w:pPr>
      <w:r>
        <w:rPr>
          <w:b/>
          <w:bCs/>
        </w:rPr>
        <w:t>Avsikt med behandlingen i rådet:</w:t>
      </w:r>
      <w:r>
        <w:t xml:space="preserve"> Rådet föreslås anta slutsatserna.</w:t>
      </w:r>
    </w:p>
    <w:p w14:paraId="6388BA4B" w14:textId="60CBA4D5" w:rsidR="00656435" w:rsidRDefault="001931DF">
      <w:pPr>
        <w:spacing w:after="280" w:afterAutospacing="1"/>
      </w:pPr>
      <w:r>
        <w:rPr>
          <w:b/>
          <w:bCs/>
        </w:rPr>
        <w:t>Hur regeringen ställer sig till den blivande A-punkten:</w:t>
      </w:r>
      <w:r>
        <w:t xml:space="preserve"> Regeringen avser anta slutsatserna.</w:t>
      </w:r>
      <w:r>
        <w:br/>
      </w:r>
      <w:r>
        <w:br/>
      </w:r>
      <w:r>
        <w:rPr>
          <w:b/>
          <w:bCs/>
        </w:rPr>
        <w:t>Bakgrund:</w:t>
      </w:r>
      <w:r>
        <w:t xml:space="preserve"> Systemet för identifiering av jordbruksskiften (LPIS) är ett </w:t>
      </w:r>
      <w:proofErr w:type="spellStart"/>
      <w:r>
        <w:t>it-system</w:t>
      </w:r>
      <w:proofErr w:type="spellEnd"/>
      <w:r>
        <w:t xml:space="preserve"> som bygger på flyg- eller satellitbilder där alla jordbruksskiften i medlemsstaterna är registrerade och som används till att kontrollera stödberättigandet vid arealbaserade bidrag. Revisionsrättens slutsats är att LPIS är ett användbart verktyg för att fastställa stödberättigandet för jordbruksmark men att det skulle kunna förvaltas bättre. Några brister identifierades i LPIS-processerna som påverkar medlemsstaternas möjlighet att på ett tillförlitligt sätt kontrollera stödberättigandet för mark. Kommissionen har åtagit sig att genomföra en analysstudie för att se över om det går att förbättra systemet. Rådsslutsatserna understryker att den administrativa kostnaden för att underhålla och uppdatera LPIS ska begränsas.</w:t>
      </w:r>
    </w:p>
    <w:p w14:paraId="7F7F70BE" w14:textId="77777777" w:rsidR="001931DF" w:rsidRDefault="001931DF">
      <w:pPr>
        <w:spacing w:after="280" w:afterAutospacing="1"/>
      </w:pPr>
      <w:r>
        <w:br/>
      </w:r>
    </w:p>
    <w:p w14:paraId="6388BA4C" w14:textId="57152268" w:rsidR="00656435" w:rsidRDefault="001931DF">
      <w:pPr>
        <w:spacing w:after="280" w:afterAutospacing="1"/>
      </w:pPr>
      <w:r>
        <w:br/>
        <w:t> </w:t>
      </w:r>
    </w:p>
    <w:p w14:paraId="6388BA4D" w14:textId="77777777" w:rsidR="001931DF" w:rsidRDefault="001931DF">
      <w:pPr>
        <w:spacing w:after="280" w:afterAutospacing="1"/>
        <w:rPr>
          <w:noProof/>
        </w:rPr>
      </w:pPr>
    </w:p>
    <w:p w14:paraId="6388BA4E" w14:textId="77777777" w:rsidR="001931DF" w:rsidRPr="001931DF" w:rsidRDefault="001931DF" w:rsidP="001931DF">
      <w:pPr>
        <w:pStyle w:val="Rubrik1"/>
        <w:rPr>
          <w:lang w:val="en-GB"/>
        </w:rPr>
      </w:pPr>
      <w:bookmarkStart w:id="8" w:name="_Toc484518469"/>
      <w:r w:rsidRPr="001931DF">
        <w:rPr>
          <w:noProof/>
          <w:lang w:val="en-GB"/>
        </w:rPr>
        <w:t>Special Report No 26/2016 from the European Court of Auditors entitled: "Making cross compliance more effective and achieving simplification remains challenging"</w:t>
      </w:r>
      <w:bookmarkEnd w:id="8"/>
    </w:p>
    <w:p w14:paraId="6388BA4F" w14:textId="77777777" w:rsidR="001931DF" w:rsidRDefault="001931DF" w:rsidP="001931DF">
      <w:pPr>
        <w:rPr>
          <w:lang w:val="en-US"/>
        </w:rPr>
      </w:pPr>
      <w:r>
        <w:rPr>
          <w:noProof/>
          <w:lang w:val="en-US"/>
        </w:rPr>
        <w:t>=</w:t>
      </w:r>
      <w:r>
        <w:rPr>
          <w:lang w:val="en-US"/>
        </w:rPr>
        <w:t xml:space="preserve"> Adoption of Council conclusions</w:t>
      </w:r>
      <w:r>
        <w:rPr>
          <w:lang w:val="en-US"/>
        </w:rPr>
        <w:br/>
      </w:r>
      <w:r>
        <w:rPr>
          <w:noProof/>
          <w:lang w:val="en-US"/>
        </w:rPr>
        <w:t>6812</w:t>
      </w:r>
      <w:r>
        <w:rPr>
          <w:lang w:val="en-US"/>
        </w:rPr>
        <w:t>/17 FIN 152 AGRI 102 AGRIFIN 22 AGRISTR 22</w:t>
      </w:r>
    </w:p>
    <w:p w14:paraId="6388BA50" w14:textId="77777777" w:rsidR="001931DF" w:rsidRDefault="001931DF" w:rsidP="001931DF">
      <w:r>
        <w:rPr>
          <w:b/>
        </w:rPr>
        <w:t>Ansvarigt statsråd</w:t>
      </w:r>
      <w:r>
        <w:rPr>
          <w:b/>
        </w:rPr>
        <w:br/>
      </w:r>
      <w:r>
        <w:rPr>
          <w:noProof/>
        </w:rPr>
        <w:t>Magdalena</w:t>
      </w:r>
      <w:r>
        <w:t xml:space="preserve"> Andersson</w:t>
      </w:r>
    </w:p>
    <w:p w14:paraId="6388BA51"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52"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53"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54"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55"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56"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57"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58"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59"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5A" w14:textId="1879D749" w:rsidR="001931DF" w:rsidRDefault="001931DF" w:rsidP="001931DF">
      <w:r>
        <w:instrText>"</w:instrText>
      </w:r>
      <w:r>
        <w:rPr>
          <w:b/>
        </w:rPr>
        <w:instrText xml:space="preserve"> </w:instrText>
      </w:r>
      <w:r>
        <w:rPr>
          <w:b/>
        </w:rPr>
        <w:fldChar w:fldCharType="end"/>
      </w:r>
      <w:r w:rsidRPr="00B44CE2">
        <w:rPr>
          <w:b/>
        </w:rPr>
        <w:t>Annotering</w:t>
      </w:r>
    </w:p>
    <w:p w14:paraId="6388BA5C" w14:textId="68F0F76A" w:rsidR="00656435" w:rsidRDefault="001931DF" w:rsidP="001931DF">
      <w:pPr>
        <w:spacing w:after="280" w:afterAutospacing="1"/>
      </w:pPr>
      <w:r>
        <w:rPr>
          <w:b/>
          <w:bCs/>
        </w:rPr>
        <w:t>Avsikt med behandlingen i rådet:</w:t>
      </w:r>
      <w:r>
        <w:t xml:space="preserve"> Rådet föreslås anta slutsatserna.</w:t>
      </w:r>
      <w:r>
        <w:br/>
      </w:r>
      <w:r>
        <w:br/>
      </w:r>
      <w:r>
        <w:rPr>
          <w:b/>
          <w:bCs/>
        </w:rPr>
        <w:t>Hur regeringen ställer sig till den blivande A-punkten:</w:t>
      </w:r>
      <w:r>
        <w:t xml:space="preserve"> Regeringen avser godkänna slutsatserna. </w:t>
      </w:r>
      <w:r>
        <w:br/>
      </w:r>
      <w:r>
        <w:br/>
      </w:r>
      <w:r>
        <w:rPr>
          <w:b/>
          <w:bCs/>
        </w:rPr>
        <w:t>Bakgrund:</w:t>
      </w:r>
      <w:r>
        <w:t xml:space="preserve"> Tvärvillkor är ett antal regler som utgör grundkrav för gårdsstöd och arealbaserade ersättningar i landsbygdsprogrammet. De har främst att göra med miljö, livsmedelssäkerhet, djurhälsa, djurskydd och goda jordbruks- och miljöförhållanden. Revisionsrätten har i en rapport nyligen sagt att det är svårt att säga om tvärvillkorssystemet är ändamålsenligt, samt att systemet kan förenklas. När det gäller GJP efter 2020 bör kommissionen främja en mer harmoniserad tillämpning av sanktioner på EU-nivå genom att ytterligare förtydliga begreppen allvar, omfattning, varaktighet, upprepning och avsiktlighet. Rådsslutsatserna uppmanar kommissionen att förenkla hanteringen av tvärvillkor i nästa CAP, att se över regelverk och bakgrunden till överträdelser, att förenkla och samexistera förgröningskrav, att ta hänsyn till den administrativa kostnaden i genomförandet av tvärvillkor och harmonisera påföljder för överträdelser.</w:t>
      </w:r>
      <w:r>
        <w:br/>
      </w:r>
    </w:p>
    <w:p w14:paraId="6388BA5D" w14:textId="77777777" w:rsidR="001931DF" w:rsidRDefault="001931DF">
      <w:pPr>
        <w:spacing w:after="280" w:afterAutospacing="1"/>
        <w:rPr>
          <w:noProof/>
        </w:rPr>
      </w:pPr>
    </w:p>
    <w:p w14:paraId="7F507E16" w14:textId="35364492" w:rsidR="001931DF" w:rsidRDefault="001931DF">
      <w:pPr>
        <w:spacing w:after="280" w:afterAutospacing="1"/>
        <w:rPr>
          <w:noProof/>
        </w:rPr>
      </w:pPr>
    </w:p>
    <w:p w14:paraId="632C4A96" w14:textId="77777777" w:rsidR="001931DF" w:rsidRDefault="001931DF">
      <w:pPr>
        <w:spacing w:after="280" w:afterAutospacing="1"/>
        <w:rPr>
          <w:noProof/>
        </w:rPr>
      </w:pPr>
    </w:p>
    <w:p w14:paraId="39F59513" w14:textId="77777777" w:rsidR="001931DF" w:rsidRDefault="001931DF">
      <w:pPr>
        <w:spacing w:after="280" w:afterAutospacing="1"/>
        <w:rPr>
          <w:noProof/>
        </w:rPr>
      </w:pPr>
    </w:p>
    <w:p w14:paraId="7476D6A9" w14:textId="77777777" w:rsidR="001931DF" w:rsidRDefault="001931DF">
      <w:pPr>
        <w:spacing w:after="280" w:afterAutospacing="1"/>
        <w:rPr>
          <w:noProof/>
        </w:rPr>
      </w:pPr>
    </w:p>
    <w:p w14:paraId="595A11FD" w14:textId="77777777" w:rsidR="001931DF" w:rsidRDefault="001931DF">
      <w:pPr>
        <w:spacing w:after="280" w:afterAutospacing="1"/>
        <w:rPr>
          <w:noProof/>
        </w:rPr>
      </w:pPr>
    </w:p>
    <w:p w14:paraId="0629490F" w14:textId="77777777" w:rsidR="001931DF" w:rsidRDefault="001931DF">
      <w:pPr>
        <w:spacing w:after="280" w:afterAutospacing="1"/>
        <w:rPr>
          <w:noProof/>
        </w:rPr>
      </w:pPr>
    </w:p>
    <w:p w14:paraId="3CF07A8F" w14:textId="77777777" w:rsidR="001931DF" w:rsidRDefault="001931DF">
      <w:pPr>
        <w:spacing w:after="280" w:afterAutospacing="1"/>
        <w:rPr>
          <w:noProof/>
        </w:rPr>
      </w:pPr>
    </w:p>
    <w:p w14:paraId="6388BA5E" w14:textId="77777777" w:rsidR="001931DF" w:rsidRPr="001931DF" w:rsidRDefault="001931DF" w:rsidP="001931DF">
      <w:pPr>
        <w:pStyle w:val="Rubrik1"/>
        <w:rPr>
          <w:lang w:val="en-GB"/>
        </w:rPr>
      </w:pPr>
      <w:bookmarkStart w:id="9" w:name="_Toc484518470"/>
      <w:r w:rsidRPr="001931DF">
        <w:rPr>
          <w:noProof/>
          <w:lang w:val="en-GB"/>
        </w:rPr>
        <w:t>Proposal for a Regulation of the European Parliament and of the Council amending Council Regulation (EC) No 1030/2002 laying down a uniform format for residence permits for third country nationals (First reading)</w:t>
      </w:r>
      <w:bookmarkEnd w:id="9"/>
    </w:p>
    <w:p w14:paraId="6388BA5F" w14:textId="77777777" w:rsidR="001931DF" w:rsidRPr="001931DF" w:rsidRDefault="001931DF" w:rsidP="001931DF">
      <w:r w:rsidRPr="001931DF">
        <w:rPr>
          <w:noProof/>
        </w:rPr>
        <w:t>=</w:t>
      </w:r>
      <w:r w:rsidRPr="001931DF">
        <w:t xml:space="preserve">Preparation for the </w:t>
      </w:r>
      <w:proofErr w:type="spellStart"/>
      <w:r w:rsidRPr="001931DF">
        <w:t>trilogue</w:t>
      </w:r>
      <w:proofErr w:type="spellEnd"/>
      <w:r w:rsidRPr="001931DF">
        <w:br/>
      </w:r>
      <w:r w:rsidRPr="001931DF">
        <w:rPr>
          <w:noProof/>
        </w:rPr>
        <w:t>9813</w:t>
      </w:r>
      <w:r w:rsidRPr="001931DF">
        <w:t xml:space="preserve">/17 MIGR 94 CODEC 940 VISA 208 COMIX 404 </w:t>
      </w:r>
    </w:p>
    <w:p w14:paraId="6388BA60" w14:textId="77777777" w:rsidR="001931DF" w:rsidRDefault="001931DF" w:rsidP="001931DF">
      <w:r>
        <w:rPr>
          <w:b/>
        </w:rPr>
        <w:t>Ansvarigt statsråd</w:t>
      </w:r>
      <w:r>
        <w:rPr>
          <w:b/>
        </w:rPr>
        <w:br/>
      </w:r>
      <w:r>
        <w:rPr>
          <w:noProof/>
        </w:rPr>
        <w:t>Morgan</w:t>
      </w:r>
      <w:r>
        <w:t xml:space="preserve"> Johansson</w:t>
      </w:r>
    </w:p>
    <w:p w14:paraId="6388BA61"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62"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63"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64"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65"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66"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67"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68"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69"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6A" w14:textId="51859046" w:rsidR="001931DF" w:rsidRDefault="001931DF" w:rsidP="001931DF">
      <w:r>
        <w:instrText>"</w:instrText>
      </w:r>
      <w:r>
        <w:rPr>
          <w:b/>
        </w:rPr>
        <w:instrText xml:space="preserve"> </w:instrText>
      </w:r>
      <w:r>
        <w:rPr>
          <w:b/>
        </w:rPr>
        <w:fldChar w:fldCharType="end"/>
      </w:r>
      <w:r w:rsidRPr="00B44CE2">
        <w:rPr>
          <w:b/>
        </w:rPr>
        <w:t>Annotering</w:t>
      </w:r>
    </w:p>
    <w:p w14:paraId="6388BA6B" w14:textId="1BAF702C" w:rsidR="00656435" w:rsidRDefault="001931DF">
      <w:pPr>
        <w:spacing w:after="280" w:afterAutospacing="1"/>
      </w:pPr>
      <w:r>
        <w:rPr>
          <w:b/>
          <w:bCs/>
        </w:rPr>
        <w:t>Avsikt med behandlingen i rådet:</w:t>
      </w:r>
      <w:r>
        <w:t xml:space="preserve"> Beslut om en gemensam rådsposition inför </w:t>
      </w:r>
      <w:proofErr w:type="spellStart"/>
      <w:r>
        <w:t>trilogförhandlingar</w:t>
      </w:r>
      <w:proofErr w:type="spellEnd"/>
      <w:r>
        <w:t>.</w:t>
      </w:r>
    </w:p>
    <w:p w14:paraId="6388BA6C" w14:textId="1188C736" w:rsidR="00656435" w:rsidRDefault="001931DF">
      <w:pPr>
        <w:spacing w:after="280" w:afterAutospacing="1"/>
      </w:pPr>
      <w:r>
        <w:rPr>
          <w:b/>
          <w:bCs/>
        </w:rPr>
        <w:t>Hur regeringen ställer sig till den blivande A-punkten:</w:t>
      </w:r>
      <w:r>
        <w:t xml:space="preserve"> Regeringen avser rösta ja till en gemensam rådsposition.</w:t>
      </w:r>
    </w:p>
    <w:p w14:paraId="6388BA6D" w14:textId="77777777" w:rsidR="00656435" w:rsidRDefault="001931DF">
      <w:pPr>
        <w:spacing w:after="280" w:afterAutospacing="1"/>
      </w:pPr>
      <w:r>
        <w:rPr>
          <w:b/>
          <w:bCs/>
        </w:rPr>
        <w:t>Bakgrund:</w:t>
      </w:r>
      <w:r>
        <w:t xml:space="preserve"> Det har sedan 2014 pågått ett arbete med att ta fram ett förslag till nytt och säkrare uppehållstillståndskort (</w:t>
      </w:r>
      <w:proofErr w:type="spellStart"/>
      <w:r>
        <w:t>UT-kort</w:t>
      </w:r>
      <w:proofErr w:type="spellEnd"/>
      <w:r>
        <w:t>). Syftet med att ta fram ett nytt uppehållstillståndskort är att få till stånd ytterligare harmonisering av kortet, samtidigt som MS fortsatt ska tillåtas ha nationella säkerhetsdetaljer. En utgångspunkt inför framtagande av ett nytt kort är att kostnaden för MS ska bli så liten som möjligt eller inte öka överhuvudtaget. Enligt förslaget ska MS tillämpa förordningen senast 15 månader efter det att tekniska specifikationer har antagits.</w:t>
      </w:r>
      <w:r>
        <w:br/>
      </w:r>
    </w:p>
    <w:p w14:paraId="6388BA6E" w14:textId="77777777" w:rsidR="001931DF" w:rsidRDefault="001931DF">
      <w:pPr>
        <w:spacing w:after="280" w:afterAutospacing="1"/>
        <w:rPr>
          <w:noProof/>
        </w:rPr>
      </w:pPr>
    </w:p>
    <w:p w14:paraId="21B9E597" w14:textId="568F74D2" w:rsidR="001931DF" w:rsidRDefault="001931DF">
      <w:pPr>
        <w:spacing w:after="280" w:afterAutospacing="1"/>
        <w:rPr>
          <w:noProof/>
        </w:rPr>
      </w:pPr>
    </w:p>
    <w:p w14:paraId="27DCA415" w14:textId="77777777" w:rsidR="001931DF" w:rsidRDefault="001931DF">
      <w:pPr>
        <w:spacing w:after="280" w:afterAutospacing="1"/>
        <w:rPr>
          <w:noProof/>
        </w:rPr>
      </w:pPr>
    </w:p>
    <w:p w14:paraId="63E8E5D2" w14:textId="77777777" w:rsidR="001931DF" w:rsidRDefault="001931DF">
      <w:pPr>
        <w:spacing w:after="280" w:afterAutospacing="1"/>
        <w:rPr>
          <w:noProof/>
        </w:rPr>
      </w:pPr>
    </w:p>
    <w:p w14:paraId="3CCE3950" w14:textId="77777777" w:rsidR="001931DF" w:rsidRDefault="001931DF">
      <w:pPr>
        <w:spacing w:after="280" w:afterAutospacing="1"/>
        <w:rPr>
          <w:noProof/>
        </w:rPr>
      </w:pPr>
    </w:p>
    <w:p w14:paraId="467394A0" w14:textId="77777777" w:rsidR="001931DF" w:rsidRDefault="001931DF">
      <w:pPr>
        <w:spacing w:after="280" w:afterAutospacing="1"/>
        <w:rPr>
          <w:noProof/>
        </w:rPr>
      </w:pPr>
    </w:p>
    <w:p w14:paraId="1EC11182" w14:textId="77777777" w:rsidR="001931DF" w:rsidRDefault="001931DF">
      <w:pPr>
        <w:spacing w:after="280" w:afterAutospacing="1"/>
        <w:rPr>
          <w:noProof/>
        </w:rPr>
      </w:pPr>
    </w:p>
    <w:p w14:paraId="6388BA72" w14:textId="07E2C55B" w:rsidR="001931DF" w:rsidRPr="001931DF" w:rsidRDefault="001931DF" w:rsidP="001931DF">
      <w:pPr>
        <w:pStyle w:val="Rubrik1"/>
        <w:rPr>
          <w:lang w:val="en-GB"/>
        </w:rPr>
      </w:pPr>
      <w:bookmarkStart w:id="10" w:name="_Toc484518471"/>
      <w:r w:rsidRPr="001931DF">
        <w:rPr>
          <w:noProof/>
          <w:lang w:val="en-GB"/>
        </w:rPr>
        <w:t>ISF EU-Iceland</w:t>
      </w:r>
      <w:r w:rsidRPr="001931DF">
        <w:rPr>
          <w:noProof/>
          <w:lang w:val="en-GB"/>
        </w:rPr>
        <w:br/>
        <w:t>a)Draft Council Decision on the signing, on behalf of the European Union, of the Agreement between the European Union and Iceland on supplementary rules in relation to the instrument for financial support for external borders and visa, as part of the Internal Security Fund for the period 2014 to 2020</w:t>
      </w:r>
      <w:r w:rsidRPr="001931DF">
        <w:rPr>
          <w:noProof/>
          <w:lang w:val="en-GB"/>
        </w:rPr>
        <w:br/>
        <w:t>=Adoption</w:t>
      </w:r>
      <w:r w:rsidRPr="001931DF">
        <w:rPr>
          <w:noProof/>
          <w:lang w:val="en-GB"/>
        </w:rPr>
        <w:br/>
        <w:t>b)Proposal for a Council Decision on the conclusion of the same Agreement</w:t>
      </w:r>
      <w:r w:rsidRPr="001931DF">
        <w:rPr>
          <w:noProof/>
          <w:lang w:val="en-GB"/>
        </w:rPr>
        <w:br/>
        <w:t>=Request for the consent of the European Parliament</w:t>
      </w:r>
      <w:bookmarkEnd w:id="10"/>
    </w:p>
    <w:p w14:paraId="6388BA76" w14:textId="4D24A949" w:rsidR="001931DF" w:rsidRPr="001931DF" w:rsidRDefault="001931DF" w:rsidP="001931DF">
      <w:pPr>
        <w:rPr>
          <w:lang w:val="en-GB"/>
        </w:rPr>
      </w:pPr>
      <w:r w:rsidRPr="001931DF">
        <w:rPr>
          <w:noProof/>
          <w:lang w:val="en-GB"/>
        </w:rPr>
        <w:t>9585</w:t>
      </w:r>
      <w:r w:rsidRPr="001931DF">
        <w:rPr>
          <w:lang w:val="en-GB"/>
        </w:rPr>
        <w:t>/17 JAI 534 FRONT 241 VISA 199 CADREFIN 62 ISL 28</w:t>
      </w:r>
      <w:r w:rsidRPr="001931DF">
        <w:rPr>
          <w:lang w:val="en-GB"/>
        </w:rPr>
        <w:br/>
        <w:t>9227/17 JAI 430 FRONT 219 VISA 177 CADREFIN 57 ISL 25</w:t>
      </w:r>
      <w:r w:rsidRPr="001931DF">
        <w:rPr>
          <w:lang w:val="en-GB"/>
        </w:rPr>
        <w:br/>
        <w:t>9228/17 JAI 431 FRONT 220 VISA 178 CADREFIN 58 ISL 26</w:t>
      </w:r>
      <w:r w:rsidRPr="001931DF">
        <w:rPr>
          <w:lang w:val="en-GB"/>
        </w:rPr>
        <w:br/>
        <w:t>9253/17 JAI 453 FRONT 221 VISA 179 CADREFIN 59 ISL 27</w:t>
      </w:r>
    </w:p>
    <w:p w14:paraId="6388BA77" w14:textId="77777777" w:rsidR="001931DF" w:rsidRDefault="001931DF" w:rsidP="001931DF">
      <w:r>
        <w:rPr>
          <w:b/>
        </w:rPr>
        <w:t>Ansvarigt statsråd</w:t>
      </w:r>
      <w:r>
        <w:rPr>
          <w:b/>
        </w:rPr>
        <w:br/>
      </w:r>
      <w:r>
        <w:rPr>
          <w:noProof/>
        </w:rPr>
        <w:t>Anders</w:t>
      </w:r>
      <w:r>
        <w:t xml:space="preserve"> Ygeman</w:t>
      </w:r>
    </w:p>
    <w:p w14:paraId="6388BA78"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79"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7A"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7B"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7C"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7D"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7E"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7F"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80"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81" w14:textId="0E3D4EF8" w:rsidR="001931DF" w:rsidRDefault="001931DF" w:rsidP="001931DF">
      <w:r>
        <w:instrText>"</w:instrText>
      </w:r>
      <w:r>
        <w:rPr>
          <w:b/>
        </w:rPr>
        <w:instrText xml:space="preserve"> </w:instrText>
      </w:r>
      <w:r>
        <w:rPr>
          <w:b/>
        </w:rPr>
        <w:fldChar w:fldCharType="end"/>
      </w:r>
      <w:r w:rsidRPr="00B44CE2">
        <w:rPr>
          <w:b/>
        </w:rPr>
        <w:t>Annotering</w:t>
      </w:r>
    </w:p>
    <w:p w14:paraId="6388BA82" w14:textId="1638B8FE" w:rsidR="00656435" w:rsidRDefault="001931DF">
      <w:pPr>
        <w:spacing w:after="280" w:afterAutospacing="1"/>
      </w:pPr>
      <w:r>
        <w:rPr>
          <w:b/>
          <w:bCs/>
        </w:rPr>
        <w:t>Avsikt med behandlingen i rådet:</w:t>
      </w:r>
      <w:r>
        <w:t xml:space="preserve"> Rådet föreslås dels anta rådsbeslutet, dels begära parlamentets godkännande till beslutet.</w:t>
      </w:r>
    </w:p>
    <w:p w14:paraId="6388BA83" w14:textId="1333B159" w:rsidR="00656435" w:rsidRDefault="001931DF">
      <w:pPr>
        <w:spacing w:after="280" w:afterAutospacing="1"/>
      </w:pPr>
      <w:r>
        <w:rPr>
          <w:b/>
          <w:bCs/>
        </w:rPr>
        <w:t>Hur regeringen ställer sig till den blivande A-punkten:</w:t>
      </w:r>
      <w:r>
        <w:t xml:space="preserve"> Regeringen avser att rösta ja till att rådet antar rådsbeslutet och att rådet begär parlamentets godkännande till beslutet.</w:t>
      </w:r>
    </w:p>
    <w:p w14:paraId="6388BA84" w14:textId="77777777" w:rsidR="00656435" w:rsidRDefault="001931DF">
      <w:pPr>
        <w:spacing w:after="280" w:afterAutospacing="1"/>
      </w:pPr>
      <w:r>
        <w:rPr>
          <w:b/>
          <w:bCs/>
        </w:rPr>
        <w:t>Bakgrund:</w:t>
      </w:r>
      <w:r>
        <w:t xml:space="preserve"> Det nu aktuella rådsbeslutet hänger samman med fonden för inre säkerhet under EU:s långtidsbudget 2014-2020. En del av fonden kallas i dagligt tal för ISF Gräns/Borders. Denna innebär att verksamhet rörande gränskontroller och viseringsfrågor kan få ekonomiskt stöd via EU-budgeten. Samtliga medlemsstater förvaltar medel ur fonden på nationell nivå, men för vissa länder utanför EU behövs särskilda beslut och regler för att de ska kunna delta. Detta gäller t.ex. Island som vill delta och därmed ska bidra till EU-budgeten. Det nu aktuella ärendet syftar till att Island ska kunna delta i ISF Gräns/Borders. </w:t>
      </w:r>
      <w:r>
        <w:br/>
      </w:r>
    </w:p>
    <w:p w14:paraId="412758FB" w14:textId="0EF7DC66" w:rsidR="001931DF" w:rsidRDefault="001931DF">
      <w:pPr>
        <w:spacing w:after="280" w:afterAutospacing="1"/>
      </w:pPr>
    </w:p>
    <w:p w14:paraId="7805BB85" w14:textId="77777777" w:rsidR="001931DF" w:rsidRDefault="001931DF">
      <w:pPr>
        <w:spacing w:after="280" w:afterAutospacing="1"/>
      </w:pPr>
    </w:p>
    <w:p w14:paraId="1A840CD3" w14:textId="77777777" w:rsidR="001931DF" w:rsidRDefault="001931DF">
      <w:pPr>
        <w:spacing w:after="280" w:afterAutospacing="1"/>
      </w:pPr>
    </w:p>
    <w:p w14:paraId="1CA8BE65" w14:textId="77777777" w:rsidR="001931DF" w:rsidRDefault="001931DF">
      <w:pPr>
        <w:spacing w:after="280" w:afterAutospacing="1"/>
      </w:pPr>
    </w:p>
    <w:p w14:paraId="412980B6" w14:textId="77777777" w:rsidR="001931DF" w:rsidRDefault="001931DF">
      <w:pPr>
        <w:spacing w:after="280" w:afterAutospacing="1"/>
      </w:pPr>
    </w:p>
    <w:p w14:paraId="6388BA85" w14:textId="77777777" w:rsidR="001931DF" w:rsidRDefault="001931DF">
      <w:pPr>
        <w:spacing w:after="280" w:afterAutospacing="1"/>
        <w:rPr>
          <w:noProof/>
        </w:rPr>
      </w:pPr>
    </w:p>
    <w:p w14:paraId="6388BA86" w14:textId="77777777" w:rsidR="001931DF" w:rsidRPr="001931DF" w:rsidRDefault="001931DF" w:rsidP="001931DF">
      <w:pPr>
        <w:pStyle w:val="Rubrik1"/>
        <w:rPr>
          <w:lang w:val="en-GB"/>
        </w:rPr>
      </w:pPr>
      <w:bookmarkStart w:id="11" w:name="_Toc484518472"/>
      <w:r w:rsidRPr="001931DF">
        <w:rPr>
          <w:noProof/>
          <w:lang w:val="en-GB"/>
        </w:rPr>
        <w:t>Draft Council Decision extending the term of office of a Deputy Executive Director of Europol</w:t>
      </w:r>
      <w:bookmarkEnd w:id="11"/>
    </w:p>
    <w:p w14:paraId="6388BA88" w14:textId="08C7A511" w:rsidR="001931DF" w:rsidRPr="001931DF" w:rsidRDefault="001931DF" w:rsidP="001931DF">
      <w:r w:rsidRPr="001931DF">
        <w:rPr>
          <w:noProof/>
        </w:rPr>
        <w:t>=</w:t>
      </w:r>
      <w:r w:rsidRPr="001931DF">
        <w:t>Adoption</w:t>
      </w:r>
      <w:r w:rsidRPr="001931DF">
        <w:br/>
      </w:r>
      <w:r w:rsidRPr="001931DF">
        <w:rPr>
          <w:noProof/>
        </w:rPr>
        <w:t>9455</w:t>
      </w:r>
      <w:r w:rsidRPr="001931DF">
        <w:t>/17 ENFOPOL 249</w:t>
      </w:r>
      <w:r w:rsidR="00AD23D3">
        <w:br/>
        <w:t>+ ADD 1</w:t>
      </w:r>
      <w:r w:rsidRPr="001931DF">
        <w:br/>
        <w:t>9562/17 ENFOPOL 261</w:t>
      </w:r>
    </w:p>
    <w:p w14:paraId="6388BA89" w14:textId="77777777" w:rsidR="001931DF" w:rsidRDefault="001931DF" w:rsidP="001931DF">
      <w:r>
        <w:rPr>
          <w:b/>
        </w:rPr>
        <w:t>Ansvarigt statsråd</w:t>
      </w:r>
      <w:r>
        <w:rPr>
          <w:b/>
        </w:rPr>
        <w:br/>
      </w:r>
      <w:r>
        <w:rPr>
          <w:noProof/>
        </w:rPr>
        <w:t>Anders</w:t>
      </w:r>
      <w:r>
        <w:t xml:space="preserve"> Ygeman</w:t>
      </w:r>
    </w:p>
    <w:p w14:paraId="6388BA8A"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8B"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8C"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8D"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8E"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8F"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90"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91"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92"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93" w14:textId="486F1943" w:rsidR="001931DF" w:rsidRDefault="001931DF" w:rsidP="001931DF">
      <w:r>
        <w:instrText>"</w:instrText>
      </w:r>
      <w:r>
        <w:rPr>
          <w:b/>
        </w:rPr>
        <w:instrText xml:space="preserve"> </w:instrText>
      </w:r>
      <w:r>
        <w:rPr>
          <w:b/>
        </w:rPr>
        <w:fldChar w:fldCharType="end"/>
      </w:r>
      <w:r w:rsidRPr="00B44CE2">
        <w:rPr>
          <w:b/>
        </w:rPr>
        <w:t>Annotering</w:t>
      </w:r>
    </w:p>
    <w:p w14:paraId="6388BA94" w14:textId="26D5EC60" w:rsidR="00656435" w:rsidRDefault="001931DF">
      <w:pPr>
        <w:spacing w:after="280" w:afterAutospacing="1"/>
      </w:pPr>
      <w:r>
        <w:rPr>
          <w:b/>
          <w:bCs/>
        </w:rPr>
        <w:t>Avsikt med behandlingen i rådet:</w:t>
      </w:r>
      <w:r>
        <w:t xml:space="preserve"> Rådet föreslås anta beslutet.</w:t>
      </w:r>
    </w:p>
    <w:p w14:paraId="6388BA95" w14:textId="02B9FF08" w:rsidR="00656435" w:rsidRDefault="001931DF">
      <w:pPr>
        <w:spacing w:after="280" w:afterAutospacing="1"/>
      </w:pPr>
      <w:r>
        <w:rPr>
          <w:b/>
          <w:bCs/>
        </w:rPr>
        <w:t>Hur regeringen ställer sig till den blivande A-punkten:</w:t>
      </w:r>
      <w:r>
        <w:t xml:space="preserve"> Regeringen avser rösta ja till att rådet antar beslutet. </w:t>
      </w:r>
    </w:p>
    <w:p w14:paraId="6388BA96" w14:textId="77777777" w:rsidR="00656435" w:rsidRDefault="001931DF">
      <w:pPr>
        <w:spacing w:after="280" w:afterAutospacing="1"/>
      </w:pPr>
      <w:r>
        <w:rPr>
          <w:b/>
          <w:bCs/>
        </w:rPr>
        <w:t>Bakgrund:</w:t>
      </w:r>
      <w:r>
        <w:t xml:space="preserve"> Enligt artikel 54 i Europolförordningen, (EU) 2016/794, utses Europols vice verkställande direktörer för en fyraårsperiod som får förlängas en gång. Vicedirektören </w:t>
      </w:r>
      <w:proofErr w:type="spellStart"/>
      <w:r>
        <w:t>Wilhelmus</w:t>
      </w:r>
      <w:proofErr w:type="spellEnd"/>
      <w:r>
        <w:t xml:space="preserve"> Martinus van </w:t>
      </w:r>
      <w:proofErr w:type="spellStart"/>
      <w:r>
        <w:t>Gemert</w:t>
      </w:r>
      <w:proofErr w:type="spellEnd"/>
      <w:r>
        <w:t xml:space="preserve">, som anställdes av Europol genom beslut i februari 2014, har ett förordnande som löper till den 30 april 2018. Det föreslås att hans förordnande ska förlängas till den 30 april 2022. </w:t>
      </w:r>
      <w:r>
        <w:br/>
      </w:r>
    </w:p>
    <w:p w14:paraId="6388BA97" w14:textId="77777777" w:rsidR="001931DF" w:rsidRDefault="001931DF">
      <w:pPr>
        <w:spacing w:after="280" w:afterAutospacing="1"/>
        <w:rPr>
          <w:noProof/>
        </w:rPr>
      </w:pPr>
    </w:p>
    <w:p w14:paraId="4D5967FE" w14:textId="487B9A25" w:rsidR="00276800" w:rsidRDefault="00276800">
      <w:pPr>
        <w:spacing w:after="280" w:afterAutospacing="1"/>
        <w:rPr>
          <w:noProof/>
        </w:rPr>
      </w:pPr>
    </w:p>
    <w:p w14:paraId="561A42A5" w14:textId="77777777" w:rsidR="00276800" w:rsidRDefault="00276800">
      <w:pPr>
        <w:spacing w:after="280" w:afterAutospacing="1"/>
        <w:rPr>
          <w:noProof/>
        </w:rPr>
      </w:pPr>
    </w:p>
    <w:p w14:paraId="25E956DE" w14:textId="77777777" w:rsidR="00276800" w:rsidRDefault="00276800">
      <w:pPr>
        <w:spacing w:after="280" w:afterAutospacing="1"/>
        <w:rPr>
          <w:noProof/>
        </w:rPr>
      </w:pPr>
    </w:p>
    <w:p w14:paraId="00E4282A" w14:textId="77777777" w:rsidR="00276800" w:rsidRDefault="00276800">
      <w:pPr>
        <w:spacing w:after="280" w:afterAutospacing="1"/>
        <w:rPr>
          <w:noProof/>
        </w:rPr>
      </w:pPr>
    </w:p>
    <w:p w14:paraId="13E074C9" w14:textId="77777777" w:rsidR="00276800" w:rsidRDefault="00276800">
      <w:pPr>
        <w:spacing w:after="280" w:afterAutospacing="1"/>
        <w:rPr>
          <w:noProof/>
        </w:rPr>
      </w:pPr>
    </w:p>
    <w:p w14:paraId="44CC8CF4" w14:textId="77777777" w:rsidR="00276800" w:rsidRDefault="00276800">
      <w:pPr>
        <w:spacing w:after="280" w:afterAutospacing="1"/>
        <w:rPr>
          <w:noProof/>
        </w:rPr>
      </w:pPr>
    </w:p>
    <w:p w14:paraId="65DBECDF" w14:textId="77777777" w:rsidR="00276800" w:rsidRDefault="00276800">
      <w:pPr>
        <w:spacing w:after="280" w:afterAutospacing="1"/>
        <w:rPr>
          <w:noProof/>
        </w:rPr>
      </w:pPr>
    </w:p>
    <w:p w14:paraId="70C5CC19" w14:textId="77777777" w:rsidR="00276800" w:rsidRDefault="00276800">
      <w:pPr>
        <w:spacing w:after="280" w:afterAutospacing="1"/>
        <w:rPr>
          <w:noProof/>
        </w:rPr>
      </w:pPr>
    </w:p>
    <w:p w14:paraId="4D3AF3C1" w14:textId="77777777" w:rsidR="00276800" w:rsidRDefault="00276800">
      <w:pPr>
        <w:spacing w:after="280" w:afterAutospacing="1"/>
        <w:rPr>
          <w:noProof/>
        </w:rPr>
      </w:pPr>
    </w:p>
    <w:p w14:paraId="3E40C19E" w14:textId="77777777" w:rsidR="00276800" w:rsidRDefault="00276800">
      <w:pPr>
        <w:spacing w:after="280" w:afterAutospacing="1"/>
        <w:rPr>
          <w:noProof/>
        </w:rPr>
      </w:pPr>
    </w:p>
    <w:p w14:paraId="6388BA98" w14:textId="77777777" w:rsidR="001931DF" w:rsidRPr="001931DF" w:rsidRDefault="001931DF" w:rsidP="001931DF">
      <w:pPr>
        <w:pStyle w:val="Rubrik1"/>
        <w:rPr>
          <w:lang w:val="en-GB"/>
        </w:rPr>
      </w:pPr>
      <w:bookmarkStart w:id="12" w:name="_Toc484518473"/>
      <w:r w:rsidRPr="001931DF">
        <w:rPr>
          <w:noProof/>
          <w:lang w:val="en-GB"/>
        </w:rPr>
        <w:t>Draft Council Conclusions on the way forward to improve information exchange and ensure the interoperability of EU information systems</w:t>
      </w:r>
      <w:bookmarkEnd w:id="12"/>
    </w:p>
    <w:p w14:paraId="6388BA9E" w14:textId="129A87D3" w:rsidR="001931DF" w:rsidRPr="001931DF" w:rsidRDefault="001931DF" w:rsidP="001931DF">
      <w:pPr>
        <w:rPr>
          <w:lang w:val="en-GB"/>
        </w:rPr>
      </w:pPr>
      <w:r w:rsidRPr="001931DF">
        <w:rPr>
          <w:noProof/>
          <w:lang w:val="en-GB"/>
        </w:rPr>
        <w:t>=</w:t>
      </w:r>
      <w:r w:rsidRPr="001931DF">
        <w:rPr>
          <w:lang w:val="en-GB"/>
        </w:rPr>
        <w:t>Adoption</w:t>
      </w:r>
      <w:r w:rsidRPr="001931DF">
        <w:rPr>
          <w:lang w:val="en-GB"/>
        </w:rPr>
        <w:br/>
      </w:r>
      <w:r w:rsidRPr="001931DF">
        <w:rPr>
          <w:noProof/>
          <w:lang w:val="en-GB"/>
        </w:rPr>
        <w:t>9704</w:t>
      </w:r>
      <w:r w:rsidRPr="001931DF">
        <w:rPr>
          <w:lang w:val="en-GB"/>
        </w:rPr>
        <w:t>/17 COSI 120 FRONT 247 ASIM 62 DAPIX 211 ENFOPOL 273</w:t>
      </w:r>
      <w:r w:rsidRPr="001931DF">
        <w:rPr>
          <w:lang w:val="en-GB"/>
        </w:rPr>
        <w:br/>
      </w:r>
      <w:r>
        <w:rPr>
          <w:lang w:val="en-US"/>
        </w:rPr>
        <w:t xml:space="preserve">ENFOCUSTOM 141 SIRIS 98 DATAPROTECT 107 VISA 202 </w:t>
      </w:r>
      <w:r w:rsidRPr="001931DF">
        <w:rPr>
          <w:lang w:val="en-GB"/>
        </w:rPr>
        <w:br/>
      </w:r>
      <w:r>
        <w:rPr>
          <w:lang w:val="en-US"/>
        </w:rPr>
        <w:t>FAUXDOC 25 COPEN 180 CT 53 EJUSTICE 73 JAI 549</w:t>
      </w:r>
      <w:r>
        <w:rPr>
          <w:lang w:val="en-US"/>
        </w:rPr>
        <w:br/>
      </w:r>
      <w:r w:rsidRPr="001931DF">
        <w:rPr>
          <w:lang w:val="en-GB"/>
        </w:rPr>
        <w:t>9448/17 COSI 106 FRONT 233 ASIM 52 DAPIX 196 ENFOPOL 246</w:t>
      </w:r>
      <w:r w:rsidRPr="001931DF">
        <w:rPr>
          <w:lang w:val="en-GB"/>
        </w:rPr>
        <w:br/>
      </w:r>
      <w:r>
        <w:rPr>
          <w:lang w:val="en-US"/>
        </w:rPr>
        <w:t xml:space="preserve">ENFOCUSTOM 132 SIRIS 90 DATAPROTECT 103 VISA 188 </w:t>
      </w:r>
      <w:r w:rsidR="00276800">
        <w:rPr>
          <w:lang w:val="en-US"/>
        </w:rPr>
        <w:br/>
      </w:r>
      <w:r>
        <w:rPr>
          <w:lang w:val="en-US"/>
        </w:rPr>
        <w:t>FAUXDOC 24 COPEN 159 CT 46 EJUSTICE 67 JAI 511</w:t>
      </w:r>
    </w:p>
    <w:p w14:paraId="6388BA9F" w14:textId="77777777" w:rsidR="001931DF" w:rsidRDefault="001931DF" w:rsidP="001931DF">
      <w:r>
        <w:rPr>
          <w:b/>
        </w:rPr>
        <w:t>Ansvarigt statsråd</w:t>
      </w:r>
      <w:r>
        <w:rPr>
          <w:b/>
        </w:rPr>
        <w:br/>
      </w:r>
      <w:r>
        <w:rPr>
          <w:noProof/>
        </w:rPr>
        <w:t>Anders</w:t>
      </w:r>
      <w:r>
        <w:t xml:space="preserve"> Ygeman</w:t>
      </w:r>
    </w:p>
    <w:p w14:paraId="6388BAA0" w14:textId="77777777" w:rsidR="001931DF" w:rsidRDefault="001931DF" w:rsidP="001931DF">
      <w:r>
        <w:rPr>
          <w:b/>
        </w:rPr>
        <w:fldChar w:fldCharType="begin"/>
      </w:r>
      <w:r>
        <w:rPr>
          <w:b/>
        </w:rPr>
        <w:instrText xml:space="preserve"> IF "2017-06-02" = "-" </w:instrText>
      </w:r>
      <w:r>
        <w:rPr>
          <w:b/>
        </w:rPr>
        <w:fldChar w:fldCharType="begin"/>
      </w:r>
      <w:r>
        <w:rPr>
          <w:b/>
        </w:rPr>
        <w:instrText xml:space="preserve"> IF "-" = "-" </w:instrText>
      </w:r>
      <w:r>
        <w:rPr>
          <w:b/>
        </w:rPr>
        <w:fldChar w:fldCharType="begin"/>
      </w:r>
      <w:r>
        <w:rPr>
          <w:b/>
        </w:rPr>
        <w:instrText xml:space="preserve"> IF "2017-06-01"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2017-06-02</w:instrText>
      </w:r>
    </w:p>
    <w:p w14:paraId="6388BAA1" w14:textId="77777777" w:rsidR="001931DF" w:rsidRDefault="001931DF" w:rsidP="001931DF">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2017-06-02</w:instrText>
      </w:r>
    </w:p>
    <w:p w14:paraId="6388BAA2" w14:textId="77777777" w:rsidR="001931DF" w:rsidRDefault="001931DF" w:rsidP="001931D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2017-06-02</w:instrText>
      </w:r>
    </w:p>
    <w:p w14:paraId="6388BAA3" w14:textId="77777777" w:rsidR="001931DF" w:rsidRDefault="001931DF" w:rsidP="001931DF">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2017-06-02</w:instrText>
      </w:r>
    </w:p>
    <w:p w14:paraId="6388BAA4" w14:textId="77777777" w:rsidR="001931DF" w:rsidRDefault="001931DF" w:rsidP="001931DF">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2017-06-02</w:instrText>
      </w:r>
    </w:p>
    <w:p w14:paraId="6388BAA5" w14:textId="77777777" w:rsidR="001931DF" w:rsidRDefault="001931DF" w:rsidP="001931DF">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2017-06-02</w:t>
      </w:r>
    </w:p>
    <w:p w14:paraId="6388BAA6" w14:textId="77777777" w:rsidR="001931DF" w:rsidRDefault="001931DF" w:rsidP="001931DF">
      <w:pPr>
        <w:rPr>
          <w:b/>
        </w:rPr>
      </w:pPr>
      <w:r>
        <w:rPr>
          <w:b/>
        </w:rPr>
        <w:fldChar w:fldCharType="end"/>
      </w:r>
      <w:r>
        <w:rPr>
          <w:b/>
        </w:rPr>
        <w:fldChar w:fldCharType="begin"/>
      </w:r>
      <w:r>
        <w:rPr>
          <w:b/>
        </w:rPr>
        <w:instrText xml:space="preserve"> IF "2017-06-02" = "-" </w:instrText>
      </w:r>
      <w:r>
        <w:rPr>
          <w:b/>
        </w:rPr>
        <w:fldChar w:fldCharType="begin"/>
      </w:r>
      <w:r>
        <w:rPr>
          <w:b/>
        </w:rPr>
        <w:instrText xml:space="preserve"> IF "-" = "-" </w:instrText>
      </w:r>
      <w:r>
        <w:rPr>
          <w:b/>
        </w:rPr>
        <w:fldChar w:fldCharType="begin"/>
      </w:r>
      <w:r>
        <w:rPr>
          <w:b/>
        </w:rPr>
        <w:instrText xml:space="preserve"> IF "2017-06-01" = "-" "" "Tidigare behandlat i </w:instrText>
      </w:r>
      <w:r w:rsidRPr="00643D86">
        <w:rPr>
          <w:b/>
        </w:rPr>
        <w:instrText>råde</w:instrText>
      </w:r>
      <w:r>
        <w:rPr>
          <w:b/>
        </w:rPr>
        <w:instrText xml:space="preserve">t </w:instrText>
      </w:r>
      <w:r>
        <w:rPr>
          <w:b/>
        </w:rPr>
        <w:br/>
      </w:r>
      <w:r w:rsidRPr="002F0461">
        <w:instrText>-</w:instrText>
      </w:r>
    </w:p>
    <w:p w14:paraId="6388BAA7" w14:textId="77777777" w:rsidR="001931DF" w:rsidRDefault="001931DF" w:rsidP="001931DF">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w:instrText>
      </w:r>
    </w:p>
    <w:p w14:paraId="6388BAA8" w14:textId="77777777" w:rsidR="00656435" w:rsidRDefault="001931DF" w:rsidP="001931DF">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A9" w14:textId="77777777" w:rsidR="001931DF" w:rsidRDefault="001931DF" w:rsidP="001931DF">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w:instrText>
      </w:r>
    </w:p>
    <w:p w14:paraId="6388BAAA" w14:textId="77777777" w:rsidR="00656435" w:rsidRDefault="001931DF" w:rsidP="001931DF">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AB" w14:textId="77777777" w:rsidR="001931DF" w:rsidRDefault="001931DF" w:rsidP="001931DF">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w:t>
      </w:r>
    </w:p>
    <w:p w14:paraId="6388BAAC" w14:textId="77777777" w:rsidR="00656435" w:rsidRDefault="001931DF" w:rsidP="001931DF">
      <w:pPr>
        <w:rPr>
          <w:b/>
        </w:rPr>
      </w:pPr>
      <w:r>
        <w:rPr>
          <w:b/>
        </w:rPr>
        <w:fldChar w:fldCharType="end"/>
      </w:r>
      <w:r>
        <w:rPr>
          <w:b/>
        </w:rPr>
        <w:fldChar w:fldCharType="begin"/>
      </w:r>
      <w:r>
        <w:rPr>
          <w:b/>
        </w:rPr>
        <w:instrText xml:space="preserve"> IF "2017-06-02" = "-" </w:instrText>
      </w:r>
      <w:r>
        <w:rPr>
          <w:b/>
        </w:rPr>
        <w:fldChar w:fldCharType="begin"/>
      </w:r>
      <w:r>
        <w:rPr>
          <w:b/>
        </w:rPr>
        <w:instrText xml:space="preserve"> IF "-" = "-" </w:instrText>
      </w:r>
      <w:r>
        <w:rPr>
          <w:b/>
        </w:rPr>
        <w:fldChar w:fldCharType="begin"/>
      </w:r>
      <w:r>
        <w:rPr>
          <w:b/>
        </w:rPr>
        <w:instrText xml:space="preserve"> IF "2017-06-01" = "-" "" "Tidigare behandlat i utskottet </w:instrText>
      </w:r>
      <w:r>
        <w:rPr>
          <w:b/>
        </w:rPr>
        <w:br/>
      </w:r>
      <w:r w:rsidRPr="002F0461">
        <w:instrText>2017-06-01</w:instrText>
      </w:r>
    </w:p>
    <w:p w14:paraId="6388BAAD" w14:textId="77777777" w:rsidR="001931DF" w:rsidRDefault="001931DF" w:rsidP="001931DF">
      <w:r>
        <w:instrText>"</w:instrText>
      </w:r>
      <w:r>
        <w:rPr>
          <w:b/>
        </w:rPr>
        <w:instrText xml:space="preserve"> </w:instrText>
      </w:r>
      <w:r>
        <w:rPr>
          <w:b/>
        </w:rPr>
        <w:fldChar w:fldCharType="separate"/>
      </w:r>
      <w:r>
        <w:rPr>
          <w:b/>
        </w:rPr>
        <w:instrText xml:space="preserve">Tidigare behandlat i utskottet </w:instrText>
      </w:r>
      <w:r>
        <w:rPr>
          <w:b/>
        </w:rPr>
        <w:br/>
      </w:r>
      <w:r w:rsidRPr="002F0461">
        <w:instrText>2017-06-01</w:instrText>
      </w:r>
    </w:p>
    <w:p w14:paraId="6388BAAE" w14:textId="77777777" w:rsidR="00656435" w:rsidRDefault="001931DF" w:rsidP="001931DF">
      <w:pPr>
        <w:rPr>
          <w:b/>
        </w:rPr>
      </w:pPr>
      <w:r>
        <w:rPr>
          <w:b/>
        </w:rPr>
        <w:fldChar w:fldCharType="end"/>
      </w:r>
      <w:r>
        <w:rPr>
          <w:b/>
        </w:rPr>
        <w:instrText xml:space="preserve"> "Tidigare behandlat i utskottet</w:instrText>
      </w:r>
      <w:r>
        <w:rPr>
          <w:b/>
        </w:rPr>
        <w:br/>
      </w:r>
      <w:r w:rsidRPr="002F0461">
        <w:instrText>2017-06-01</w:instrText>
      </w:r>
    </w:p>
    <w:p w14:paraId="6388BAAF" w14:textId="77777777" w:rsidR="001931DF" w:rsidRDefault="001931DF" w:rsidP="001931DF">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2017-06-01</w:instrText>
      </w:r>
    </w:p>
    <w:p w14:paraId="6388BAB0" w14:textId="77777777" w:rsidR="00656435" w:rsidRDefault="001931DF" w:rsidP="001931DF">
      <w:pPr>
        <w:rPr>
          <w:b/>
        </w:rPr>
      </w:pPr>
      <w:r>
        <w:rPr>
          <w:b/>
        </w:rPr>
        <w:fldChar w:fldCharType="end"/>
      </w:r>
      <w:r>
        <w:rPr>
          <w:b/>
        </w:rPr>
        <w:instrText xml:space="preserve">  "Tidigare behandlat i utskottet</w:instrText>
      </w:r>
      <w:r>
        <w:rPr>
          <w:b/>
        </w:rPr>
        <w:br/>
      </w:r>
      <w:r>
        <w:instrText>2017-06-01</w:instrText>
      </w:r>
    </w:p>
    <w:p w14:paraId="6388BAB1" w14:textId="77777777" w:rsidR="001931DF" w:rsidRDefault="001931DF" w:rsidP="001931DF">
      <w:r>
        <w:instrText>"</w:instrText>
      </w:r>
      <w:r>
        <w:rPr>
          <w:b/>
        </w:rPr>
        <w:instrText xml:space="preserve"> </w:instrText>
      </w:r>
      <w:r>
        <w:rPr>
          <w:b/>
        </w:rPr>
        <w:fldChar w:fldCharType="separate"/>
      </w:r>
      <w:r>
        <w:rPr>
          <w:b/>
        </w:rPr>
        <w:t>Tidigare behandlat i utskottet</w:t>
      </w:r>
      <w:r>
        <w:rPr>
          <w:b/>
        </w:rPr>
        <w:br/>
      </w:r>
      <w:r>
        <w:t>2017-06-01</w:t>
      </w:r>
    </w:p>
    <w:p w14:paraId="6388BAB2" w14:textId="60243B89" w:rsidR="00656435" w:rsidRDefault="001931DF" w:rsidP="001931DF">
      <w:pPr>
        <w:rPr>
          <w:b/>
        </w:rPr>
      </w:pPr>
      <w:r>
        <w:rPr>
          <w:b/>
        </w:rPr>
        <w:fldChar w:fldCharType="end"/>
      </w:r>
      <w:r w:rsidRPr="00B44CE2">
        <w:rPr>
          <w:b/>
        </w:rPr>
        <w:t>Annotering</w:t>
      </w:r>
    </w:p>
    <w:p w14:paraId="6388BAB3" w14:textId="40670709" w:rsidR="00656435" w:rsidRDefault="001931DF">
      <w:pPr>
        <w:spacing w:after="280" w:afterAutospacing="1"/>
      </w:pPr>
      <w:r>
        <w:rPr>
          <w:b/>
          <w:bCs/>
        </w:rPr>
        <w:t>Avsikt med behandlingen i rådet:</w:t>
      </w:r>
      <w:r>
        <w:t xml:space="preserve"> Rådet föreslås godkänna rådets slutsatser om fortsatt arbete med förbättrat informationsutbyte och interoperabilite</w:t>
      </w:r>
      <w:r w:rsidR="00276800">
        <w:t>t mellan EU-informationssystem.</w:t>
      </w:r>
    </w:p>
    <w:p w14:paraId="6388BAB4" w14:textId="633993C0" w:rsidR="00656435" w:rsidRDefault="001931DF">
      <w:pPr>
        <w:spacing w:after="280" w:afterAutospacing="1"/>
      </w:pPr>
      <w:r>
        <w:rPr>
          <w:b/>
          <w:bCs/>
        </w:rPr>
        <w:t>Hur regeringen ställer sig till den blivande A-punkten:</w:t>
      </w:r>
      <w:r>
        <w:t xml:space="preserve"> Regeringen avser att rösta ja till godkännandet av rådsslutsatserna om fortsatt arbete med förbättrat informationsutbyte och interoperabilite</w:t>
      </w:r>
      <w:r w:rsidR="00276800">
        <w:t>t mellan EU-informationssystem.</w:t>
      </w:r>
    </w:p>
    <w:p w14:paraId="6388BAB5" w14:textId="77777777" w:rsidR="00656435" w:rsidRDefault="001931DF">
      <w:pPr>
        <w:spacing w:after="280" w:afterAutospacing="1"/>
      </w:pPr>
      <w:r>
        <w:rPr>
          <w:b/>
          <w:bCs/>
        </w:rPr>
        <w:t>Bakgrund:</w:t>
      </w:r>
      <w:r>
        <w:t xml:space="preserve"> Efter terrordåden i Paris och Bryssel publicerade kommissionen den 6 april 2016 meddelandet om Starkare och smartare informationssystem för gränser och säkerhet, KOM (2016) 205. Meddelandet beskrev bristerna hos de EU-gemensamma informationssystemen på området för gränskontroll, migrationshantering och brottsbekämpning och behandlade övergripande hur systemen bättre skulle kunna stödja skyddet av de yttre gränserna och den inre säkerheten. </w:t>
      </w:r>
    </w:p>
    <w:p w14:paraId="6388BAB6" w14:textId="77777777" w:rsidR="00656435" w:rsidRDefault="001931DF">
      <w:pPr>
        <w:spacing w:after="280" w:afterAutospacing="1"/>
      </w:pPr>
      <w:r>
        <w:t xml:space="preserve">Som en av de åtgärder som föreslogs i meddelandet inrättade kommissionen en rådgivande expertgrupp med deltagande på hög nivå från medlemsstaterna, berörda EU-organ och -myndigheter. Expertgruppen har diskuterat rättsliga, tekniska och operativa aspekter på olika lösningar för att uppnå en effektivare informationshantering och ökad interoperabilitet mellan de gemensamma informationssystemen. Gruppens slutrapport publicerades den 11 maj 2017 och omfattar ett 50-tal motiverade rekommendationer. Ordförandeskapet har tagit fram ett förslag till rådsslutsatser om det fortsatta arbetet. </w:t>
      </w:r>
    </w:p>
    <w:p w14:paraId="6388BAB7" w14:textId="77777777" w:rsidR="001931DF" w:rsidRDefault="001931DF">
      <w:pPr>
        <w:spacing w:after="280" w:afterAutospacing="1"/>
        <w:rPr>
          <w:noProof/>
        </w:rPr>
      </w:pPr>
    </w:p>
    <w:p w14:paraId="6388BAB8" w14:textId="77777777" w:rsidR="001931DF" w:rsidRPr="001931DF" w:rsidRDefault="001931DF" w:rsidP="001931DF">
      <w:pPr>
        <w:pStyle w:val="Rubrik1"/>
        <w:rPr>
          <w:lang w:val="en-GB"/>
        </w:rPr>
      </w:pPr>
      <w:bookmarkStart w:id="13" w:name="_Toc484518474"/>
      <w:r w:rsidRPr="001931DF">
        <w:rPr>
          <w:noProof/>
          <w:lang w:val="en-GB"/>
        </w:rPr>
        <w:t>Draft Council Conclusions recommending security checks in case of irregular migration</w:t>
      </w:r>
      <w:bookmarkEnd w:id="13"/>
    </w:p>
    <w:p w14:paraId="6388BABC" w14:textId="39DF41DC" w:rsidR="001931DF" w:rsidRPr="00276800" w:rsidRDefault="001931DF" w:rsidP="00276800">
      <w:pPr>
        <w:rPr>
          <w:lang w:val="en-US"/>
        </w:rPr>
      </w:pPr>
      <w:r>
        <w:rPr>
          <w:noProof/>
          <w:lang w:val="en-US"/>
        </w:rPr>
        <w:t>=</w:t>
      </w:r>
      <w:r>
        <w:rPr>
          <w:lang w:val="en-US"/>
        </w:rPr>
        <w:t>Adoption</w:t>
      </w:r>
      <w:r>
        <w:rPr>
          <w:lang w:val="en-US"/>
        </w:rPr>
        <w:br/>
      </w:r>
      <w:r>
        <w:rPr>
          <w:noProof/>
          <w:lang w:val="en-US"/>
        </w:rPr>
        <w:t>9705</w:t>
      </w:r>
      <w:r>
        <w:rPr>
          <w:lang w:val="en-US"/>
        </w:rPr>
        <w:t>/17 COSI 121 ASIM 63 ENFOPOL 274 SIRIS 99 DAPIX 212 CT 54</w:t>
      </w:r>
      <w:r>
        <w:rPr>
          <w:lang w:val="en-US"/>
        </w:rPr>
        <w:br/>
        <w:t>JAI 550 COMIX 393</w:t>
      </w:r>
      <w:r>
        <w:rPr>
          <w:lang w:val="en-US"/>
        </w:rPr>
        <w:br/>
        <w:t>9454/17 COSI 109 ASIM 54 ENFOPOL 248 SIRIS 91 DAPIX 197 CT 47</w:t>
      </w:r>
      <w:r w:rsidR="00276800">
        <w:rPr>
          <w:lang w:val="en-US"/>
        </w:rPr>
        <w:br/>
      </w:r>
      <w:r w:rsidRPr="00276800">
        <w:rPr>
          <w:lang w:val="en-GB"/>
        </w:rPr>
        <w:t>JAI 513 COMIX 370</w:t>
      </w:r>
    </w:p>
    <w:p w14:paraId="6388BABD" w14:textId="77777777" w:rsidR="001931DF" w:rsidRDefault="001931DF" w:rsidP="001931DF">
      <w:r>
        <w:rPr>
          <w:b/>
        </w:rPr>
        <w:t>Ansvarigt statsråd</w:t>
      </w:r>
      <w:r>
        <w:rPr>
          <w:b/>
        </w:rPr>
        <w:br/>
      </w:r>
      <w:r>
        <w:rPr>
          <w:noProof/>
        </w:rPr>
        <w:t>Anders</w:t>
      </w:r>
      <w:r>
        <w:t xml:space="preserve"> Ygeman</w:t>
      </w:r>
    </w:p>
    <w:p w14:paraId="6388BABE"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BF"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C0"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C1"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C2"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C3"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C4"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C5"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C6"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C7" w14:textId="44EE7175" w:rsidR="001931DF" w:rsidRDefault="001931DF" w:rsidP="001931DF">
      <w:r>
        <w:instrText>"</w:instrText>
      </w:r>
      <w:r>
        <w:rPr>
          <w:b/>
        </w:rPr>
        <w:instrText xml:space="preserve"> </w:instrText>
      </w:r>
      <w:r>
        <w:rPr>
          <w:b/>
        </w:rPr>
        <w:fldChar w:fldCharType="end"/>
      </w:r>
      <w:r w:rsidRPr="00B44CE2">
        <w:rPr>
          <w:b/>
        </w:rPr>
        <w:t>Annotering</w:t>
      </w:r>
    </w:p>
    <w:p w14:paraId="6388BAC8" w14:textId="460B7A2E" w:rsidR="00656435" w:rsidRDefault="001931DF">
      <w:pPr>
        <w:spacing w:after="280" w:afterAutospacing="1"/>
      </w:pPr>
      <w:r>
        <w:rPr>
          <w:b/>
          <w:bCs/>
        </w:rPr>
        <w:t>Avsikt med behandlingen i rådet:</w:t>
      </w:r>
      <w:r>
        <w:t xml:space="preserve"> Rådet föreslås anta rådsslutsatserna om rekommendationer gällande säkerhetsrelaterade kontr</w:t>
      </w:r>
      <w:r w:rsidR="00276800">
        <w:t>oller vid irreguljär migration.</w:t>
      </w:r>
    </w:p>
    <w:p w14:paraId="6388BAC9" w14:textId="014E45C9" w:rsidR="00656435" w:rsidRDefault="001931DF">
      <w:pPr>
        <w:spacing w:after="280" w:afterAutospacing="1"/>
      </w:pPr>
      <w:r>
        <w:rPr>
          <w:b/>
          <w:bCs/>
        </w:rPr>
        <w:t>Hur regeringen ställer sig till den blivande A-punkten:</w:t>
      </w:r>
      <w:r>
        <w:t xml:space="preserve"> Regeringen avser att rösta ja till </w:t>
      </w:r>
      <w:r w:rsidR="00276800">
        <w:t>att anta rådsslutsatserna.</w:t>
      </w:r>
    </w:p>
    <w:p w14:paraId="6388BACA" w14:textId="77777777" w:rsidR="00656435" w:rsidRDefault="001931DF">
      <w:pPr>
        <w:spacing w:after="280" w:afterAutospacing="1"/>
      </w:pPr>
      <w:r>
        <w:rPr>
          <w:b/>
          <w:bCs/>
        </w:rPr>
        <w:t>Bakgrund:</w:t>
      </w:r>
      <w:r>
        <w:t xml:space="preserve"> Slutsatserna rekommenderar medlemsstaterna att när man upptäcker irreguljära migranter genomföra slagningar i olika databaser, inklusive bland annat Schengens informationssystem och vissa av Interpols informationssystem. Regeringen stödjer rådsslutsatserna, i syfte att såväl värna ett fungerande migrations- och asylsystem som bekämpa allvarlig brottslighet och terrorism. Bestämmelserna i EU:s gränskodex gäller, oavsett om en person passerar gränsen reguljärt (vid ett gränsövergångsställe) eller irreguljärt (t.ex. försöker resa in utan att passera ett gränsövergångsställe). Regeringen välkomnar också rekommendationen att medlemsstaterna därutöver i samband med irreguljär migration och i enlighet med gällande lagstiftning ska göra slagningar i relevanta databaser i syfte att upprätthålla lag, ordning och inre säkerhet. </w:t>
      </w:r>
      <w:r>
        <w:br/>
      </w:r>
    </w:p>
    <w:p w14:paraId="6388BACB" w14:textId="77777777" w:rsidR="001931DF" w:rsidRDefault="001931DF">
      <w:pPr>
        <w:spacing w:after="280" w:afterAutospacing="1"/>
        <w:rPr>
          <w:noProof/>
        </w:rPr>
      </w:pPr>
    </w:p>
    <w:p w14:paraId="05FB9976" w14:textId="6FF2F2C2" w:rsidR="00276800" w:rsidRDefault="00276800">
      <w:pPr>
        <w:spacing w:after="280" w:afterAutospacing="1"/>
        <w:rPr>
          <w:noProof/>
        </w:rPr>
      </w:pPr>
    </w:p>
    <w:p w14:paraId="1E8F0657" w14:textId="77777777" w:rsidR="00276800" w:rsidRDefault="00276800">
      <w:pPr>
        <w:spacing w:after="280" w:afterAutospacing="1"/>
        <w:rPr>
          <w:noProof/>
        </w:rPr>
      </w:pPr>
    </w:p>
    <w:p w14:paraId="179EB439" w14:textId="77777777" w:rsidR="00276800" w:rsidRDefault="00276800">
      <w:pPr>
        <w:spacing w:after="280" w:afterAutospacing="1"/>
        <w:rPr>
          <w:noProof/>
        </w:rPr>
      </w:pPr>
    </w:p>
    <w:p w14:paraId="5FF01E32" w14:textId="77777777" w:rsidR="00276800" w:rsidRDefault="00276800">
      <w:pPr>
        <w:spacing w:after="280" w:afterAutospacing="1"/>
        <w:rPr>
          <w:noProof/>
        </w:rPr>
      </w:pPr>
    </w:p>
    <w:p w14:paraId="3DD90CFD" w14:textId="77777777" w:rsidR="00276800" w:rsidRDefault="00276800">
      <w:pPr>
        <w:spacing w:after="280" w:afterAutospacing="1"/>
        <w:rPr>
          <w:noProof/>
        </w:rPr>
      </w:pPr>
    </w:p>
    <w:p w14:paraId="5174598C" w14:textId="77777777" w:rsidR="00276800" w:rsidRDefault="00276800">
      <w:pPr>
        <w:spacing w:after="280" w:afterAutospacing="1"/>
        <w:rPr>
          <w:noProof/>
        </w:rPr>
      </w:pPr>
    </w:p>
    <w:p w14:paraId="04365FC8" w14:textId="77777777" w:rsidR="00276800" w:rsidRDefault="00276800">
      <w:pPr>
        <w:spacing w:after="280" w:afterAutospacing="1"/>
        <w:rPr>
          <w:noProof/>
        </w:rPr>
      </w:pPr>
    </w:p>
    <w:p w14:paraId="6388BACC" w14:textId="77777777" w:rsidR="001931DF" w:rsidRDefault="001931DF" w:rsidP="001931DF">
      <w:pPr>
        <w:pStyle w:val="Rubrik1"/>
      </w:pPr>
      <w:bookmarkStart w:id="14" w:name="_Toc484518475"/>
      <w:r>
        <w:rPr>
          <w:noProof/>
        </w:rPr>
        <w:t>Enlargement</w:t>
      </w:r>
      <w:r>
        <w:rPr>
          <w:noProof/>
        </w:rPr>
        <w:br/>
        <w:t>– Accession negotiations with Montenegro</w:t>
      </w:r>
      <w:bookmarkEnd w:id="14"/>
    </w:p>
    <w:p w14:paraId="6388BACD" w14:textId="77777777" w:rsidR="001931DF" w:rsidRDefault="001931DF" w:rsidP="001931DF">
      <w:pPr>
        <w:rPr>
          <w:lang w:val="en-US"/>
        </w:rPr>
      </w:pPr>
      <w:r>
        <w:rPr>
          <w:noProof/>
          <w:lang w:val="en-US"/>
        </w:rPr>
        <w:t>=</w:t>
      </w:r>
      <w:r>
        <w:rPr>
          <w:lang w:val="en-US"/>
        </w:rPr>
        <w:t>Chapter 22: Regional policy and coordination of structural instruments</w:t>
      </w:r>
      <w:r>
        <w:rPr>
          <w:lang w:val="en-US"/>
        </w:rPr>
        <w:br/>
      </w:r>
      <w:r>
        <w:rPr>
          <w:noProof/>
          <w:lang w:val="en-US"/>
        </w:rPr>
        <w:t>9835</w:t>
      </w:r>
      <w:r>
        <w:rPr>
          <w:lang w:val="en-US"/>
        </w:rPr>
        <w:t>/17 ELARG 43</w:t>
      </w:r>
    </w:p>
    <w:p w14:paraId="6388BACE" w14:textId="77777777" w:rsidR="001931DF" w:rsidRDefault="001931DF" w:rsidP="001931DF">
      <w:r>
        <w:rPr>
          <w:b/>
        </w:rPr>
        <w:t>Ansvarigt statsråd</w:t>
      </w:r>
      <w:r>
        <w:rPr>
          <w:b/>
        </w:rPr>
        <w:br/>
      </w:r>
      <w:r>
        <w:rPr>
          <w:noProof/>
        </w:rPr>
        <w:t>Margot</w:t>
      </w:r>
      <w:r>
        <w:t xml:space="preserve"> Wallström</w:t>
      </w:r>
    </w:p>
    <w:p w14:paraId="6388BACF"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D0"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D1"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D2"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D3"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D4"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D5"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D6"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D7"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D8" w14:textId="17D19F1A" w:rsidR="001931DF" w:rsidRDefault="001931DF" w:rsidP="001931DF">
      <w:r>
        <w:instrText>"</w:instrText>
      </w:r>
      <w:r>
        <w:rPr>
          <w:b/>
        </w:rPr>
        <w:instrText xml:space="preserve"> </w:instrText>
      </w:r>
      <w:r>
        <w:rPr>
          <w:b/>
        </w:rPr>
        <w:fldChar w:fldCharType="end"/>
      </w:r>
      <w:r w:rsidRPr="00B44CE2">
        <w:rPr>
          <w:b/>
        </w:rPr>
        <w:t>Annotering</w:t>
      </w:r>
    </w:p>
    <w:p w14:paraId="6388BADA" w14:textId="232B6E4C" w:rsidR="00656435" w:rsidRDefault="001931DF" w:rsidP="00276800">
      <w:pPr>
        <w:spacing w:after="280" w:afterAutospacing="1"/>
      </w:pPr>
      <w:r>
        <w:rPr>
          <w:b/>
          <w:bCs/>
        </w:rPr>
        <w:t>Avsikt med behandlingen i rådet:</w:t>
      </w:r>
      <w:r w:rsidR="00276800">
        <w:t xml:space="preserve"> </w:t>
      </w:r>
      <w:r>
        <w:t>Rådet föreslås godkänna uppfyllelse av stängningsvillkoren till kapitel 22: Regionalpolitik och koordinering av strukturinstrumentet, i anslutningsförhandlingarna med Montenegro.</w:t>
      </w:r>
    </w:p>
    <w:p w14:paraId="6388BADC" w14:textId="6E4E4E78" w:rsidR="00656435" w:rsidRDefault="001931DF" w:rsidP="00276800">
      <w:pPr>
        <w:spacing w:after="280" w:afterAutospacing="1"/>
      </w:pPr>
      <w:r>
        <w:rPr>
          <w:b/>
          <w:bCs/>
        </w:rPr>
        <w:t>Hur regeringen ställer sig till den blivande A-punkten:</w:t>
      </w:r>
      <w:r>
        <w:t xml:space="preserve"> Sverige avser rösta ja till uppfyllelse av stängningsvillkoren till kapitel 22: Regionalpolitik och koordinering av strukturinstrumentet, i anslutningsförhandlingarna med Montenegro.</w:t>
      </w:r>
    </w:p>
    <w:p w14:paraId="6388BADE" w14:textId="36234659" w:rsidR="00656435" w:rsidRDefault="001931DF" w:rsidP="00276800">
      <w:pPr>
        <w:spacing w:after="280" w:afterAutospacing="1"/>
      </w:pPr>
      <w:r>
        <w:rPr>
          <w:b/>
          <w:bCs/>
        </w:rPr>
        <w:t>Bakgrund:</w:t>
      </w:r>
      <w:r>
        <w:t xml:space="preserve"> Montenegro ansökte om medlemskap till den Europeiska Unionen i december 2008. I december 2010 nådde landet kandidatlandstatus, och de första förhandlingskapitlen öppnades i december 2013.</w:t>
      </w:r>
    </w:p>
    <w:p w14:paraId="6388BADF" w14:textId="77777777" w:rsidR="00656435" w:rsidRDefault="001931DF">
      <w:pPr>
        <w:spacing w:after="280" w:afterAutospacing="1"/>
      </w:pPr>
      <w:r>
        <w:t>Kapitel 22: Regionalpolitik och koordinering av strukturinstrumentet behandlar främst frågor som rör upprättande, godkännande och genomförande av strukturfonder och sammanhållningsfondsprogram. Kapitlet består huvudsakligen av ramverk och genomförandebestämmelser som inte kräver införlivande i nationell lagstiftning.</w:t>
      </w:r>
      <w:r>
        <w:br/>
      </w:r>
      <w:r>
        <w:br/>
      </w:r>
    </w:p>
    <w:p w14:paraId="5BC43E0D" w14:textId="4C24C68C" w:rsidR="00276800" w:rsidRDefault="00276800">
      <w:pPr>
        <w:spacing w:after="280" w:afterAutospacing="1"/>
      </w:pPr>
    </w:p>
    <w:p w14:paraId="6B26D776" w14:textId="77777777" w:rsidR="00276800" w:rsidRDefault="00276800">
      <w:pPr>
        <w:spacing w:after="280" w:afterAutospacing="1"/>
      </w:pPr>
    </w:p>
    <w:p w14:paraId="5B62FB0D" w14:textId="77777777" w:rsidR="00276800" w:rsidRDefault="00276800">
      <w:pPr>
        <w:spacing w:after="280" w:afterAutospacing="1"/>
      </w:pPr>
    </w:p>
    <w:p w14:paraId="5CFB251E" w14:textId="77777777" w:rsidR="00276800" w:rsidRDefault="00276800">
      <w:pPr>
        <w:spacing w:after="280" w:afterAutospacing="1"/>
      </w:pPr>
    </w:p>
    <w:p w14:paraId="0453BD78" w14:textId="77777777" w:rsidR="00276800" w:rsidRDefault="00276800">
      <w:pPr>
        <w:spacing w:after="280" w:afterAutospacing="1"/>
      </w:pPr>
    </w:p>
    <w:p w14:paraId="31A1E492" w14:textId="77777777" w:rsidR="00276800" w:rsidRDefault="00276800">
      <w:pPr>
        <w:spacing w:after="280" w:afterAutospacing="1"/>
      </w:pPr>
    </w:p>
    <w:p w14:paraId="61D90440" w14:textId="77777777" w:rsidR="00276800" w:rsidRDefault="00276800">
      <w:pPr>
        <w:spacing w:after="280" w:afterAutospacing="1"/>
      </w:pPr>
    </w:p>
    <w:p w14:paraId="6388BAE0" w14:textId="77777777" w:rsidR="001931DF" w:rsidRDefault="001931DF">
      <w:pPr>
        <w:spacing w:after="280" w:afterAutospacing="1"/>
        <w:rPr>
          <w:noProof/>
        </w:rPr>
      </w:pPr>
    </w:p>
    <w:p w14:paraId="6388BAE2" w14:textId="669B3400" w:rsidR="001931DF" w:rsidRPr="001931DF" w:rsidRDefault="00276800" w:rsidP="00276800">
      <w:pPr>
        <w:pStyle w:val="Rubrik1"/>
        <w:rPr>
          <w:lang w:val="en-GB"/>
        </w:rPr>
      </w:pPr>
      <w:bookmarkStart w:id="15" w:name="_Toc484518476"/>
      <w:r>
        <w:rPr>
          <w:noProof/>
          <w:lang w:val="en-GB"/>
        </w:rPr>
        <w:t>Association with Montenegro</w:t>
      </w:r>
      <w:r>
        <w:rPr>
          <w:noProof/>
          <w:lang w:val="en-GB"/>
        </w:rPr>
        <w:br/>
      </w:r>
      <w:r w:rsidR="001931DF" w:rsidRPr="001931DF">
        <w:rPr>
          <w:noProof/>
          <w:lang w:val="en-GB"/>
        </w:rPr>
        <w:t>Establishment of the position of the European Union for the 8th Stabilisation and Association Council meeting (Luxembourg, 20 june 2017)</w:t>
      </w:r>
      <w:bookmarkEnd w:id="15"/>
    </w:p>
    <w:p w14:paraId="6388BAE3" w14:textId="1842F8B0" w:rsidR="001931DF" w:rsidRPr="001931DF" w:rsidRDefault="001931DF" w:rsidP="001931DF">
      <w:r w:rsidRPr="001931DF">
        <w:rPr>
          <w:noProof/>
        </w:rPr>
        <w:t>9970</w:t>
      </w:r>
      <w:r w:rsidRPr="001931DF">
        <w:t xml:space="preserve">/17 </w:t>
      </w:r>
      <w:proofErr w:type="gramStart"/>
      <w:r w:rsidRPr="001931DF">
        <w:t>ME</w:t>
      </w:r>
      <w:proofErr w:type="gramEnd"/>
      <w:r w:rsidRPr="001931DF">
        <w:t xml:space="preserve"> 3</w:t>
      </w:r>
    </w:p>
    <w:p w14:paraId="6388BAE4" w14:textId="77777777" w:rsidR="001931DF" w:rsidRDefault="001931DF" w:rsidP="001931DF">
      <w:r>
        <w:rPr>
          <w:b/>
        </w:rPr>
        <w:t>Ansvarigt statsråd</w:t>
      </w:r>
      <w:r>
        <w:rPr>
          <w:b/>
        </w:rPr>
        <w:br/>
      </w:r>
      <w:r>
        <w:rPr>
          <w:noProof/>
        </w:rPr>
        <w:t>Margot</w:t>
      </w:r>
      <w:r>
        <w:t xml:space="preserve"> Wallström</w:t>
      </w:r>
    </w:p>
    <w:p w14:paraId="6388BAE5"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E6"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E7"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E8"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E9"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EA"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EB"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EC"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AED"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AEE" w14:textId="5C4B2438" w:rsidR="001931DF" w:rsidRDefault="001931DF" w:rsidP="001931DF">
      <w:r>
        <w:instrText>"</w:instrText>
      </w:r>
      <w:r>
        <w:rPr>
          <w:b/>
        </w:rPr>
        <w:instrText xml:space="preserve"> </w:instrText>
      </w:r>
      <w:r>
        <w:rPr>
          <w:b/>
        </w:rPr>
        <w:fldChar w:fldCharType="end"/>
      </w:r>
      <w:r w:rsidRPr="00B44CE2">
        <w:rPr>
          <w:b/>
        </w:rPr>
        <w:t>Annotering</w:t>
      </w:r>
    </w:p>
    <w:p w14:paraId="6388BAF0" w14:textId="37ED0651" w:rsidR="00656435" w:rsidRDefault="001931DF" w:rsidP="00276800">
      <w:pPr>
        <w:spacing w:after="280" w:afterAutospacing="1"/>
      </w:pPr>
      <w:r>
        <w:rPr>
          <w:b/>
          <w:bCs/>
        </w:rPr>
        <w:t>Avsikt med behandlingen i rådet:</w:t>
      </w:r>
      <w:r w:rsidR="00276800">
        <w:t xml:space="preserve"> </w:t>
      </w:r>
      <w:r>
        <w:t>Rådet föreslås godkänna EU:s gemensamma hållning inför SA-råd med Montenegro den 20 juni 2017.</w:t>
      </w:r>
    </w:p>
    <w:p w14:paraId="6388BAF1" w14:textId="287C96A7" w:rsidR="00656435" w:rsidRDefault="001931DF">
      <w:pPr>
        <w:spacing w:after="280" w:afterAutospacing="1"/>
      </w:pPr>
      <w:r>
        <w:rPr>
          <w:b/>
          <w:bCs/>
        </w:rPr>
        <w:t>Hur regeringen ställer sig till den blivande A-punkten:</w:t>
      </w:r>
      <w:r w:rsidR="00276800">
        <w:t xml:space="preserve"> </w:t>
      </w:r>
      <w:r>
        <w:t>Sverige avser rösta ja till EU:s gemensamma hållning inför SA-råd med Montenegro den 20 juni 2017.</w:t>
      </w:r>
    </w:p>
    <w:p w14:paraId="6388BAF2" w14:textId="7F92DA44" w:rsidR="00656435" w:rsidRDefault="001931DF">
      <w:pPr>
        <w:spacing w:after="280" w:afterAutospacing="1"/>
      </w:pPr>
      <w:r>
        <w:rPr>
          <w:b/>
          <w:bCs/>
        </w:rPr>
        <w:t>Bakgrund:</w:t>
      </w:r>
      <w:r w:rsidR="00276800">
        <w:t xml:space="preserve"> </w:t>
      </w:r>
      <w:r>
        <w:t>Montenegro ansökte om medlemskap till den Europeiska Unionen i december 2008. I december 2010 nådde landet kandidatlandstatus, och de första förhandlingskapitlen öppnades i december 2013.</w:t>
      </w:r>
    </w:p>
    <w:p w14:paraId="6388BAF3" w14:textId="77777777" w:rsidR="00656435" w:rsidRDefault="001931DF">
      <w:pPr>
        <w:spacing w:after="280" w:afterAutospacing="1"/>
      </w:pPr>
      <w:r>
        <w:t>Den 20 juni 2017 hålls det åttonde stabiliserings- och associeringsrådet mellan EU och Montenegro i Luxemburg. SA-rådet erbjuder en möjlighet till bedömning av de framsteg Montenegro har gjort i anslutningsförhandlingarna med EU med avstamp i landrapporten från november 2016 liksom tidigare diskussioner i SA-kommittémötet i december 2016 samt de underkommittéer som hållits sedan det senaste SA-rådet.</w:t>
      </w:r>
    </w:p>
    <w:p w14:paraId="6388BAF4" w14:textId="77777777" w:rsidR="001931DF" w:rsidRDefault="001931DF">
      <w:pPr>
        <w:spacing w:after="280" w:afterAutospacing="1"/>
        <w:rPr>
          <w:noProof/>
        </w:rPr>
      </w:pPr>
    </w:p>
    <w:p w14:paraId="3FCC4DA0" w14:textId="2BD9C983" w:rsidR="00276800" w:rsidRDefault="00276800">
      <w:pPr>
        <w:spacing w:after="280" w:afterAutospacing="1"/>
        <w:rPr>
          <w:noProof/>
        </w:rPr>
      </w:pPr>
    </w:p>
    <w:p w14:paraId="6D45DA6F" w14:textId="77777777" w:rsidR="00276800" w:rsidRDefault="00276800">
      <w:pPr>
        <w:spacing w:after="280" w:afterAutospacing="1"/>
        <w:rPr>
          <w:noProof/>
        </w:rPr>
      </w:pPr>
    </w:p>
    <w:p w14:paraId="3FB176BF" w14:textId="77777777" w:rsidR="00276800" w:rsidRDefault="00276800">
      <w:pPr>
        <w:spacing w:after="280" w:afterAutospacing="1"/>
        <w:rPr>
          <w:noProof/>
        </w:rPr>
      </w:pPr>
    </w:p>
    <w:p w14:paraId="3B88F2FC" w14:textId="77777777" w:rsidR="00276800" w:rsidRDefault="00276800">
      <w:pPr>
        <w:spacing w:after="280" w:afterAutospacing="1"/>
        <w:rPr>
          <w:noProof/>
        </w:rPr>
      </w:pPr>
    </w:p>
    <w:p w14:paraId="47414DCD" w14:textId="77777777" w:rsidR="00276800" w:rsidRDefault="00276800">
      <w:pPr>
        <w:spacing w:after="280" w:afterAutospacing="1"/>
        <w:rPr>
          <w:noProof/>
        </w:rPr>
      </w:pPr>
    </w:p>
    <w:p w14:paraId="1223B42B" w14:textId="77777777" w:rsidR="00276800" w:rsidRDefault="00276800">
      <w:pPr>
        <w:spacing w:after="280" w:afterAutospacing="1"/>
        <w:rPr>
          <w:noProof/>
        </w:rPr>
      </w:pPr>
    </w:p>
    <w:p w14:paraId="1E00E95A" w14:textId="77777777" w:rsidR="00276800" w:rsidRDefault="00276800">
      <w:pPr>
        <w:spacing w:after="280" w:afterAutospacing="1"/>
        <w:rPr>
          <w:noProof/>
        </w:rPr>
      </w:pPr>
    </w:p>
    <w:p w14:paraId="4CFE255B" w14:textId="77777777" w:rsidR="00276800" w:rsidRDefault="00276800">
      <w:pPr>
        <w:spacing w:after="280" w:afterAutospacing="1"/>
        <w:rPr>
          <w:noProof/>
        </w:rPr>
      </w:pPr>
    </w:p>
    <w:p w14:paraId="6388BAF5" w14:textId="77777777" w:rsidR="001931DF" w:rsidRPr="001931DF" w:rsidRDefault="001931DF" w:rsidP="001931DF">
      <w:pPr>
        <w:pStyle w:val="Rubrik1"/>
        <w:rPr>
          <w:lang w:val="en-GB"/>
        </w:rPr>
      </w:pPr>
      <w:bookmarkStart w:id="16" w:name="_Toc484518477"/>
      <w:r w:rsidRPr="001931DF">
        <w:rPr>
          <w:noProof/>
          <w:lang w:val="en-GB"/>
        </w:rPr>
        <w:t>Proposal for a Regulation of the European Parliament and of the Council on the introduction of temporary autonomous trade measures for Ukraine supplementing the trade concessions available under the Association Agreement (First reading)</w:t>
      </w:r>
      <w:bookmarkEnd w:id="16"/>
    </w:p>
    <w:p w14:paraId="6388BAF6" w14:textId="77777777" w:rsidR="001931DF" w:rsidRDefault="001931DF" w:rsidP="001931DF">
      <w:pPr>
        <w:rPr>
          <w:lang w:val="en-US"/>
        </w:rPr>
      </w:pPr>
      <w:r>
        <w:rPr>
          <w:noProof/>
          <w:lang w:val="en-US"/>
        </w:rPr>
        <w:t>=</w:t>
      </w:r>
      <w:r>
        <w:rPr>
          <w:lang w:val="en-US"/>
        </w:rPr>
        <w:t>Mandate for negotiations with the European Parliament</w:t>
      </w:r>
      <w:r>
        <w:rPr>
          <w:lang w:val="en-US"/>
        </w:rPr>
        <w:br/>
      </w:r>
      <w:r>
        <w:rPr>
          <w:noProof/>
          <w:lang w:val="en-US"/>
        </w:rPr>
        <w:t>9834</w:t>
      </w:r>
      <w:r>
        <w:rPr>
          <w:lang w:val="en-US"/>
        </w:rPr>
        <w:t>/17 WTO 124 COEST 114 NIS 8 CODEC 947</w:t>
      </w:r>
    </w:p>
    <w:p w14:paraId="6388BAF7" w14:textId="77777777" w:rsidR="001931DF" w:rsidRDefault="001931DF" w:rsidP="001931DF">
      <w:r>
        <w:rPr>
          <w:b/>
        </w:rPr>
        <w:t>Ansvarigt statsråd</w:t>
      </w:r>
      <w:r>
        <w:rPr>
          <w:b/>
        </w:rPr>
        <w:br/>
      </w:r>
      <w:r>
        <w:rPr>
          <w:noProof/>
        </w:rPr>
        <w:t>Margot</w:t>
      </w:r>
      <w:r>
        <w:t xml:space="preserve"> Wallström</w:t>
      </w:r>
    </w:p>
    <w:p w14:paraId="6388BAF8"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AF9"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AFA"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AFB"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AFC"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AFD"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AFE"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AFF"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B00"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B01" w14:textId="0F18FD87" w:rsidR="001931DF" w:rsidRDefault="001931DF" w:rsidP="001931DF">
      <w:r>
        <w:instrText>"</w:instrText>
      </w:r>
      <w:r>
        <w:rPr>
          <w:b/>
        </w:rPr>
        <w:instrText xml:space="preserve"> </w:instrText>
      </w:r>
      <w:r>
        <w:rPr>
          <w:b/>
        </w:rPr>
        <w:fldChar w:fldCharType="end"/>
      </w:r>
      <w:r w:rsidRPr="00B44CE2">
        <w:rPr>
          <w:b/>
        </w:rPr>
        <w:t>Annotering</w:t>
      </w:r>
    </w:p>
    <w:p w14:paraId="6388BB02" w14:textId="77777777" w:rsidR="00656435" w:rsidRDefault="001931DF">
      <w:pPr>
        <w:spacing w:after="280" w:afterAutospacing="1"/>
      </w:pPr>
      <w:r>
        <w:rPr>
          <w:b/>
          <w:bCs/>
        </w:rPr>
        <w:t>Avsikt med behandlingen i rådet:</w:t>
      </w:r>
      <w:r>
        <w:t xml:space="preserve"> Rådet föreslås anta en rådsposition vad gäller autonoma handelsåtgärder till förmån för Ukraina inför trilog med EP.</w:t>
      </w:r>
    </w:p>
    <w:p w14:paraId="6388BB03" w14:textId="7894B8F0" w:rsidR="00656435" w:rsidRDefault="001931DF">
      <w:pPr>
        <w:spacing w:after="280" w:afterAutospacing="1"/>
      </w:pPr>
      <w:r>
        <w:rPr>
          <w:b/>
          <w:bCs/>
        </w:rPr>
        <w:t>Hur regeringen ställer sig till den blivande A-punkten:</w:t>
      </w:r>
      <w:r w:rsidR="00276800">
        <w:t xml:space="preserve"> </w:t>
      </w:r>
      <w:r>
        <w:t>Regeringen avser rösta ja till att rådet antar ORDF:s kompromissförslag till rådsposition inför trilog.</w:t>
      </w:r>
    </w:p>
    <w:p w14:paraId="6388BB04" w14:textId="645A72F7" w:rsidR="00656435" w:rsidRDefault="001931DF">
      <w:pPr>
        <w:spacing w:after="280" w:afterAutospacing="1"/>
      </w:pPr>
      <w:r>
        <w:rPr>
          <w:b/>
          <w:bCs/>
        </w:rPr>
        <w:t>Bakgrund:</w:t>
      </w:r>
      <w:r>
        <w:t xml:space="preserve"> </w:t>
      </w:r>
      <w:r w:rsidR="002C7E65" w:rsidRPr="002C7E65">
        <w:t>I september 2016 godkände K</w:t>
      </w:r>
      <w:r w:rsidR="002C7E65">
        <w:t>OM</w:t>
      </w:r>
      <w:r w:rsidR="002C7E65" w:rsidRPr="002C7E65">
        <w:t xml:space="preserve"> ett förslag om införandet av autonoma handelsåtgärder som komplement till de befintliga handelslättnaderna inom associeringsavtalet EU-Ukraina. Frågan har behandlats i TPC och vid FAC/handel ett flertal gånger sen dess. SE har varit bland de MS som ställt sig positiva till förslaget (inom ramen för allmänt stödjande Ukrainapolitik) medan andra MS pekat på vissa jordbrukskänsligheter.</w:t>
      </w:r>
      <w:r w:rsidR="002C7E65" w:rsidRPr="002C7E65">
        <w:br/>
      </w:r>
      <w:r w:rsidR="002C7E65" w:rsidRPr="002C7E65">
        <w:br/>
        <w:t xml:space="preserve">Förslaget gick igenom EP:s utskott för internationell handel (INTA) efter att ett antal urvattnande ändringar antagits. Det har därför blivit läge för trilog. ORDF har tagit fram ett kompromissförslag (nära KOM:s ursprungsförslag men som ändå tar hänsyn till MS känsligheter) som ska ligga till grund för rådets position. SE kunde acceptera förslaget, men inte om det urvattnas ytterligare i </w:t>
      </w:r>
      <w:proofErr w:type="spellStart"/>
      <w:r w:rsidR="002C7E65" w:rsidRPr="002C7E65">
        <w:t>trilogen</w:t>
      </w:r>
      <w:proofErr w:type="spellEnd"/>
      <w:r w:rsidR="002C7E65" w:rsidRPr="002C7E65">
        <w:t xml:space="preserve">. Frågan kommer att tas upp som I-punkt vid kommande Coreper, varefter </w:t>
      </w:r>
      <w:proofErr w:type="spellStart"/>
      <w:r w:rsidR="002C7E65" w:rsidRPr="002C7E65">
        <w:t>trilogen</w:t>
      </w:r>
      <w:proofErr w:type="spellEnd"/>
      <w:r w:rsidR="002C7E65" w:rsidRPr="002C7E65">
        <w:t xml:space="preserve"> kan inledas. Målsättningen är att nå en lösning före toppmötet EU-Ukraina den 12 juli.</w:t>
      </w:r>
      <w:r w:rsidR="002C7E65" w:rsidRPr="002C7E65">
        <w:br/>
      </w:r>
      <w:r w:rsidR="00276800" w:rsidRPr="00276800">
        <w:br/>
      </w:r>
      <w:r>
        <w:br/>
      </w:r>
      <w:r>
        <w:br/>
      </w:r>
    </w:p>
    <w:p w14:paraId="0306E017" w14:textId="77777777" w:rsidR="00276800" w:rsidRDefault="00276800">
      <w:pPr>
        <w:spacing w:after="280" w:afterAutospacing="1"/>
      </w:pPr>
    </w:p>
    <w:p w14:paraId="62A1C761" w14:textId="77777777" w:rsidR="00276800" w:rsidRDefault="00276800">
      <w:pPr>
        <w:spacing w:after="280" w:afterAutospacing="1"/>
      </w:pPr>
    </w:p>
    <w:p w14:paraId="6F473C72" w14:textId="77777777" w:rsidR="00276800" w:rsidRDefault="00276800">
      <w:pPr>
        <w:spacing w:after="280" w:afterAutospacing="1"/>
      </w:pPr>
    </w:p>
    <w:p w14:paraId="50D9E215" w14:textId="77777777" w:rsidR="00276800" w:rsidRDefault="00276800">
      <w:pPr>
        <w:spacing w:after="280" w:afterAutospacing="1"/>
      </w:pPr>
    </w:p>
    <w:p w14:paraId="6388BB05" w14:textId="77777777" w:rsidR="001931DF" w:rsidRDefault="001931DF">
      <w:pPr>
        <w:spacing w:after="280" w:afterAutospacing="1"/>
        <w:rPr>
          <w:noProof/>
        </w:rPr>
      </w:pPr>
    </w:p>
    <w:p w14:paraId="6388BB06" w14:textId="77777777" w:rsidR="001931DF" w:rsidRPr="001931DF" w:rsidRDefault="001931DF" w:rsidP="001931DF">
      <w:pPr>
        <w:pStyle w:val="Rubrik1"/>
        <w:rPr>
          <w:lang w:val="en-GB"/>
        </w:rPr>
      </w:pPr>
      <w:bookmarkStart w:id="17" w:name="_Toc484518478"/>
      <w:r w:rsidRPr="001931DF">
        <w:rPr>
          <w:noProof/>
          <w:lang w:val="en-GB"/>
        </w:rPr>
        <w:t>Commission Decision on the signature of a Joint Declaration between the European Union, the Republic of France and the Republic of Guinea on reinforced cooperation in the field of sustainable energy</w:t>
      </w:r>
      <w:bookmarkEnd w:id="17"/>
    </w:p>
    <w:p w14:paraId="6388BB07" w14:textId="77777777" w:rsidR="001931DF" w:rsidRDefault="001931DF" w:rsidP="001931DF">
      <w:pPr>
        <w:rPr>
          <w:lang w:val="en-US"/>
        </w:rPr>
      </w:pPr>
      <w:r>
        <w:rPr>
          <w:noProof/>
          <w:lang w:val="en-US"/>
        </w:rPr>
        <w:t>=</w:t>
      </w:r>
      <w:r>
        <w:rPr>
          <w:lang w:val="en-US"/>
        </w:rPr>
        <w:t>Endorsement by Council</w:t>
      </w:r>
      <w:r>
        <w:rPr>
          <w:lang w:val="en-US"/>
        </w:rPr>
        <w:br/>
      </w:r>
      <w:r>
        <w:rPr>
          <w:noProof/>
          <w:lang w:val="en-US"/>
        </w:rPr>
        <w:t>9358</w:t>
      </w:r>
      <w:r>
        <w:rPr>
          <w:lang w:val="en-US"/>
        </w:rPr>
        <w:t>/17 DEVGEN 99 ACP 47 RELEX 421 COAFR 139 ENER 239</w:t>
      </w:r>
    </w:p>
    <w:p w14:paraId="6388BB08" w14:textId="77777777" w:rsidR="001931DF" w:rsidRDefault="001931DF" w:rsidP="001931DF">
      <w:r>
        <w:rPr>
          <w:b/>
        </w:rPr>
        <w:t>Ansvarigt statsråd</w:t>
      </w:r>
      <w:r>
        <w:rPr>
          <w:b/>
        </w:rPr>
        <w:br/>
      </w:r>
      <w:r>
        <w:rPr>
          <w:noProof/>
        </w:rPr>
        <w:t>Isabella</w:t>
      </w:r>
      <w:r>
        <w:t xml:space="preserve"> </w:t>
      </w:r>
      <w:proofErr w:type="spellStart"/>
      <w:r>
        <w:t>Lövin</w:t>
      </w:r>
      <w:proofErr w:type="spellEnd"/>
    </w:p>
    <w:p w14:paraId="6388BB09"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B0A"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B0B"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B0C"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B0D"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B0E"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B0F"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B10"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B11"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B12" w14:textId="195CA008" w:rsidR="001931DF" w:rsidRDefault="001931DF" w:rsidP="001931DF">
      <w:r>
        <w:instrText>"</w:instrText>
      </w:r>
      <w:r>
        <w:rPr>
          <w:b/>
        </w:rPr>
        <w:instrText xml:space="preserve"> </w:instrText>
      </w:r>
      <w:r>
        <w:rPr>
          <w:b/>
        </w:rPr>
        <w:fldChar w:fldCharType="end"/>
      </w:r>
      <w:r w:rsidRPr="00B44CE2">
        <w:rPr>
          <w:b/>
        </w:rPr>
        <w:t>Annotering</w:t>
      </w:r>
    </w:p>
    <w:p w14:paraId="6388BB13" w14:textId="77777777" w:rsidR="00656435" w:rsidRDefault="001931DF">
      <w:pPr>
        <w:spacing w:after="280" w:afterAutospacing="1"/>
      </w:pPr>
      <w:r>
        <w:rPr>
          <w:b/>
          <w:bCs/>
        </w:rPr>
        <w:t>Avsikt med behandlingen i rådet:</w:t>
      </w:r>
      <w:r>
        <w:t xml:space="preserve"> Rådet väntas anta kommunikén om stärkt samarbete mellan EU och Guinea inom hållbar energi för underskrift.</w:t>
      </w:r>
    </w:p>
    <w:p w14:paraId="6388BB14" w14:textId="03D96B18" w:rsidR="00656435" w:rsidRDefault="001931DF">
      <w:pPr>
        <w:spacing w:after="280" w:afterAutospacing="1"/>
      </w:pPr>
      <w:r>
        <w:rPr>
          <w:b/>
          <w:bCs/>
        </w:rPr>
        <w:t>Hur regeringen ställer sig till den blivande A-punkten:</w:t>
      </w:r>
      <w:r w:rsidR="002C7E65">
        <w:t xml:space="preserve"> </w:t>
      </w:r>
      <w:r>
        <w:t>Sverige välkomnar stärkt samarbete inom hållbar energi mellan EU och Guinea och stödjer antagande och underskrift av kommunikén.</w:t>
      </w:r>
    </w:p>
    <w:p w14:paraId="37059EB2" w14:textId="4DD42DD7" w:rsidR="002C7E65" w:rsidRPr="002C7E65" w:rsidRDefault="001931DF" w:rsidP="002C7E65">
      <w:pPr>
        <w:spacing w:after="280" w:afterAutospacing="1"/>
        <w:rPr>
          <w:bCs/>
        </w:rPr>
      </w:pPr>
      <w:r>
        <w:rPr>
          <w:b/>
          <w:bCs/>
        </w:rPr>
        <w:t>Bakgrund:</w:t>
      </w:r>
      <w:r w:rsidR="002C7E65">
        <w:t xml:space="preserve"> </w:t>
      </w:r>
      <w:r w:rsidR="002C7E65" w:rsidRPr="002C7E65">
        <w:rPr>
          <w:bCs/>
        </w:rPr>
        <w:t xml:space="preserve">Hållbar energi har identifierats som ett betydelsefullt samarbetsområde med Guinea tack vare deras framstående vattenkraft och potential för solenergi. För att stärka samarbetet föreslås en gemensam deklaration om stärkt samarbete inom hållbar energi liknande de gemensamma deklarationer som har signerad av partnerländer och EU:s medlemsstater under COP21 och COP22. Deklarationen är icke-bindande och kommer inte innebära ytterligare finansiella kostnader utöver EU:s tidigare bilaterala samarbete med Guinea. </w:t>
      </w:r>
    </w:p>
    <w:p w14:paraId="6DA5D187" w14:textId="5FEF677F" w:rsidR="002C7E65" w:rsidRPr="002C7E65" w:rsidRDefault="002C7E65" w:rsidP="002C7E65">
      <w:pPr>
        <w:spacing w:after="280" w:afterAutospacing="1"/>
        <w:rPr>
          <w:bCs/>
        </w:rPr>
      </w:pPr>
      <w:r w:rsidRPr="002C7E65">
        <w:rPr>
          <w:bCs/>
        </w:rPr>
        <w:t>Den gemensamma kommunikén presenterades första gången på CODEV-mötet den 20 april 2017. Flera medlemsstater uttryckte då positivt stöd, däribland Sverige. Den nya versionen av den gemensamma kommunikén har inkluderat kommentarer från medlemsstater, EEAS och kommissionen.</w:t>
      </w:r>
    </w:p>
    <w:p w14:paraId="6388BB15" w14:textId="0D641119" w:rsidR="00656435" w:rsidRDefault="002C7E65" w:rsidP="002C7E65">
      <w:pPr>
        <w:spacing w:after="280" w:afterAutospacing="1"/>
      </w:pPr>
      <w:r w:rsidRPr="002C7E65">
        <w:rPr>
          <w:bCs/>
        </w:rPr>
        <w:t xml:space="preserve">Den gemensamma deklarationen </w:t>
      </w:r>
      <w:proofErr w:type="gramStart"/>
      <w:r w:rsidRPr="002C7E65">
        <w:rPr>
          <w:bCs/>
        </w:rPr>
        <w:t>föreslås</w:t>
      </w:r>
      <w:proofErr w:type="gramEnd"/>
      <w:r w:rsidRPr="002C7E65">
        <w:rPr>
          <w:bCs/>
        </w:rPr>
        <w:t xml:space="preserve"> </w:t>
      </w:r>
      <w:proofErr w:type="gramStart"/>
      <w:r w:rsidRPr="002C7E65">
        <w:rPr>
          <w:bCs/>
        </w:rPr>
        <w:t>skrivas</w:t>
      </w:r>
      <w:proofErr w:type="gramEnd"/>
      <w:r w:rsidRPr="002C7E65">
        <w:rPr>
          <w:bCs/>
        </w:rPr>
        <w:t xml:space="preserve"> under av EU-kommissionären </w:t>
      </w:r>
      <w:proofErr w:type="spellStart"/>
      <w:r w:rsidRPr="002C7E65">
        <w:rPr>
          <w:bCs/>
        </w:rPr>
        <w:t>Neven</w:t>
      </w:r>
      <w:proofErr w:type="spellEnd"/>
      <w:r w:rsidRPr="002C7E65">
        <w:rPr>
          <w:bCs/>
        </w:rPr>
        <w:t xml:space="preserve"> </w:t>
      </w:r>
      <w:proofErr w:type="spellStart"/>
      <w:r w:rsidRPr="002C7E65">
        <w:rPr>
          <w:bCs/>
        </w:rPr>
        <w:t>Mimica</w:t>
      </w:r>
      <w:proofErr w:type="spellEnd"/>
      <w:r w:rsidRPr="002C7E65">
        <w:rPr>
          <w:bCs/>
        </w:rPr>
        <w:t xml:space="preserve"> och president </w:t>
      </w:r>
      <w:proofErr w:type="spellStart"/>
      <w:r w:rsidRPr="002C7E65">
        <w:rPr>
          <w:bCs/>
        </w:rPr>
        <w:t>Alpha</w:t>
      </w:r>
      <w:proofErr w:type="spellEnd"/>
      <w:r w:rsidRPr="002C7E65">
        <w:rPr>
          <w:bCs/>
        </w:rPr>
        <w:t xml:space="preserve"> </w:t>
      </w:r>
      <w:proofErr w:type="spellStart"/>
      <w:r w:rsidRPr="002C7E65">
        <w:rPr>
          <w:bCs/>
        </w:rPr>
        <w:t>Condé</w:t>
      </w:r>
      <w:proofErr w:type="spellEnd"/>
      <w:r w:rsidRPr="002C7E65">
        <w:rPr>
          <w:bCs/>
        </w:rPr>
        <w:t xml:space="preserve"> under de europeiska utvecklingsdagarna i Bryssel 7 juni.</w:t>
      </w:r>
      <w:r w:rsidRPr="002C7E65">
        <w:br/>
      </w:r>
    </w:p>
    <w:p w14:paraId="6388BB16" w14:textId="77777777" w:rsidR="00656435" w:rsidRDefault="001931DF">
      <w:pPr>
        <w:spacing w:after="280" w:afterAutospacing="1"/>
      </w:pPr>
      <w:r>
        <w:br/>
      </w:r>
    </w:p>
    <w:p w14:paraId="7E625D88" w14:textId="0EEE133E" w:rsidR="002C7E65" w:rsidRDefault="002C7E65">
      <w:pPr>
        <w:spacing w:after="280" w:afterAutospacing="1"/>
      </w:pPr>
    </w:p>
    <w:p w14:paraId="1D2E292B" w14:textId="77777777" w:rsidR="002C7E65" w:rsidRDefault="002C7E65">
      <w:pPr>
        <w:spacing w:after="280" w:afterAutospacing="1"/>
      </w:pPr>
    </w:p>
    <w:p w14:paraId="67013F20" w14:textId="77777777" w:rsidR="002C7E65" w:rsidRDefault="002C7E65">
      <w:pPr>
        <w:spacing w:after="280" w:afterAutospacing="1"/>
      </w:pPr>
    </w:p>
    <w:p w14:paraId="6388BB17" w14:textId="77777777" w:rsidR="001931DF" w:rsidRDefault="001931DF">
      <w:pPr>
        <w:spacing w:after="280" w:afterAutospacing="1"/>
        <w:rPr>
          <w:noProof/>
        </w:rPr>
      </w:pPr>
    </w:p>
    <w:p w14:paraId="6388BB18" w14:textId="77777777" w:rsidR="001931DF" w:rsidRPr="001931DF" w:rsidRDefault="001931DF" w:rsidP="001931DF">
      <w:pPr>
        <w:pStyle w:val="Rubrik1"/>
        <w:rPr>
          <w:lang w:val="en-GB"/>
        </w:rPr>
      </w:pPr>
      <w:bookmarkStart w:id="18" w:name="_Toc484518479"/>
      <w:r w:rsidRPr="001931DF">
        <w:rPr>
          <w:noProof/>
          <w:lang w:val="en-GB"/>
        </w:rPr>
        <w:t>EU engagement with civil society in external relations</w:t>
      </w:r>
      <w:bookmarkEnd w:id="18"/>
    </w:p>
    <w:p w14:paraId="6388BB19" w14:textId="77777777" w:rsidR="001931DF" w:rsidRDefault="001931DF" w:rsidP="001931DF">
      <w:pPr>
        <w:rPr>
          <w:lang w:val="en-US"/>
        </w:rPr>
      </w:pPr>
      <w:r>
        <w:rPr>
          <w:noProof/>
          <w:lang w:val="en-US"/>
        </w:rPr>
        <w:t>=</w:t>
      </w:r>
      <w:r>
        <w:rPr>
          <w:lang w:val="en-US"/>
        </w:rPr>
        <w:t>Draft Council conclusions</w:t>
      </w:r>
      <w:r>
        <w:rPr>
          <w:lang w:val="en-US"/>
        </w:rPr>
        <w:br/>
      </w:r>
      <w:r>
        <w:rPr>
          <w:noProof/>
          <w:lang w:val="en-US"/>
        </w:rPr>
        <w:t>9049</w:t>
      </w:r>
      <w:r>
        <w:rPr>
          <w:lang w:val="en-US"/>
        </w:rPr>
        <w:t>/17 DEVGEN 89 ACP 41 RELEX 388</w:t>
      </w:r>
    </w:p>
    <w:p w14:paraId="6388BB1A" w14:textId="77777777" w:rsidR="001931DF" w:rsidRPr="001931DF" w:rsidRDefault="001931DF" w:rsidP="001931DF">
      <w:pPr>
        <w:rPr>
          <w:lang w:val="en-GB"/>
        </w:rPr>
      </w:pPr>
      <w:r w:rsidRPr="001931DF">
        <w:rPr>
          <w:b/>
          <w:lang w:val="en-GB"/>
        </w:rPr>
        <w:t>Ansvarigt statsråd</w:t>
      </w:r>
      <w:r w:rsidRPr="001931DF">
        <w:rPr>
          <w:b/>
          <w:lang w:val="en-GB"/>
        </w:rPr>
        <w:br/>
      </w:r>
      <w:r w:rsidRPr="001931DF">
        <w:rPr>
          <w:noProof/>
          <w:lang w:val="en-GB"/>
        </w:rPr>
        <w:t>Isabella</w:t>
      </w:r>
      <w:r w:rsidRPr="001931DF">
        <w:rPr>
          <w:lang w:val="en-GB"/>
        </w:rPr>
        <w:t xml:space="preserve"> </w:t>
      </w:r>
      <w:proofErr w:type="spellStart"/>
      <w:r w:rsidRPr="001931DF">
        <w:rPr>
          <w:lang w:val="en-GB"/>
        </w:rPr>
        <w:t>Lövin</w:t>
      </w:r>
      <w:proofErr w:type="spellEnd"/>
    </w:p>
    <w:p w14:paraId="6388BB1B"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B1C"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B1D"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B1E"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B1F"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B20"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B21"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B22"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B23"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B24" w14:textId="201B7381" w:rsidR="001931DF" w:rsidRDefault="001931DF" w:rsidP="001931DF">
      <w:r>
        <w:instrText>"</w:instrText>
      </w:r>
      <w:r>
        <w:rPr>
          <w:b/>
        </w:rPr>
        <w:instrText xml:space="preserve"> </w:instrText>
      </w:r>
      <w:r>
        <w:rPr>
          <w:b/>
        </w:rPr>
        <w:fldChar w:fldCharType="end"/>
      </w:r>
      <w:r w:rsidRPr="00B44CE2">
        <w:rPr>
          <w:b/>
        </w:rPr>
        <w:t>Annotering</w:t>
      </w:r>
    </w:p>
    <w:p w14:paraId="175D7A08" w14:textId="77777777" w:rsidR="002C7E65" w:rsidRPr="002C7E65" w:rsidRDefault="001931DF" w:rsidP="002C7E65">
      <w:pPr>
        <w:spacing w:after="280" w:afterAutospacing="1"/>
      </w:pPr>
      <w:r>
        <w:rPr>
          <w:b/>
          <w:bCs/>
        </w:rPr>
        <w:t xml:space="preserve">Avsikt med behandlingen i rådet: </w:t>
      </w:r>
      <w:r>
        <w:t>Rådet förväntas anta rådsslutsatserna.</w:t>
      </w:r>
      <w:r w:rsidR="002C7E65">
        <w:br/>
      </w:r>
      <w:r>
        <w:t> </w:t>
      </w:r>
      <w:r>
        <w:br/>
      </w:r>
      <w:r>
        <w:rPr>
          <w:b/>
          <w:bCs/>
        </w:rPr>
        <w:t>Hur regeringen ställer sig till den blivande A-punkten:</w:t>
      </w:r>
      <w:r>
        <w:t xml:space="preserve"> Regeringen stödjer antagande av </w:t>
      </w:r>
      <w:r w:rsidR="002C7E65">
        <w:t>rådslutsatserna</w:t>
      </w:r>
      <w:r>
        <w:t>.</w:t>
      </w:r>
      <w:r w:rsidR="002C7E65">
        <w:br/>
      </w:r>
      <w:r>
        <w:br/>
      </w:r>
      <w:r>
        <w:rPr>
          <w:b/>
          <w:bCs/>
        </w:rPr>
        <w:t xml:space="preserve">Bakgrund: </w:t>
      </w:r>
      <w:r w:rsidR="002C7E65" w:rsidRPr="002C7E65">
        <w:t>Kommissionen har presenterat sin rapport gällande EU:s samarbete med det civila samhället i de externa relationerna (</w:t>
      </w:r>
      <w:proofErr w:type="spellStart"/>
      <w:r w:rsidR="002C7E65" w:rsidRPr="002C7E65">
        <w:t>Report</w:t>
      </w:r>
      <w:proofErr w:type="spellEnd"/>
      <w:r w:rsidR="002C7E65" w:rsidRPr="002C7E65">
        <w:t xml:space="preserve"> on EU engagement </w:t>
      </w:r>
      <w:proofErr w:type="spellStart"/>
      <w:r w:rsidR="002C7E65" w:rsidRPr="002C7E65">
        <w:t>with</w:t>
      </w:r>
      <w:proofErr w:type="spellEnd"/>
      <w:r w:rsidR="002C7E65" w:rsidRPr="002C7E65">
        <w:t xml:space="preserve"> Civil </w:t>
      </w:r>
      <w:proofErr w:type="spellStart"/>
      <w:r w:rsidR="002C7E65" w:rsidRPr="002C7E65">
        <w:t>Society</w:t>
      </w:r>
      <w:proofErr w:type="spellEnd"/>
      <w:r w:rsidR="002C7E65" w:rsidRPr="002C7E65">
        <w:t xml:space="preserve"> in </w:t>
      </w:r>
      <w:proofErr w:type="spellStart"/>
      <w:r w:rsidR="002C7E65" w:rsidRPr="002C7E65">
        <w:t>External</w:t>
      </w:r>
      <w:proofErr w:type="spellEnd"/>
      <w:r w:rsidR="002C7E65" w:rsidRPr="002C7E65">
        <w:t xml:space="preserve"> Relations). Rapporten bygger på KOM:s tidigare initiativ med efterföljande rådsslutsatser från 2012 om att anta en mer heltäckande ansats gällande stödet till det civila samhället. </w:t>
      </w:r>
    </w:p>
    <w:p w14:paraId="781F32D6" w14:textId="77777777" w:rsidR="002C7E65" w:rsidRPr="002C7E65" w:rsidRDefault="002C7E65" w:rsidP="002C7E65">
      <w:pPr>
        <w:spacing w:after="280" w:afterAutospacing="1"/>
      </w:pPr>
      <w:r w:rsidRPr="002C7E65">
        <w:t xml:space="preserve">Som svar på rapporten har MT ORDF föreslagit rådsslutsatser. I rådsslutsatserna välkomnas de framsteg som har åstadkommits när det gäller stödet till det civila samhället. Samtidigt lyfts EU:s och medlemsstaternas arbete med det civila samhället inom olika områden och vikten av att fortsatt stärka detta engagemang. Rådsslutsatserna fastställer vidare att Kommissionen ska återrapportera till Rådet senast maj 2019 om den fortsatta utvecklingen. </w:t>
      </w:r>
    </w:p>
    <w:p w14:paraId="5FEE22D8" w14:textId="77777777" w:rsidR="002C7E65" w:rsidRPr="002C7E65" w:rsidRDefault="002C7E65" w:rsidP="002C7E65">
      <w:pPr>
        <w:spacing w:after="280" w:afterAutospacing="1"/>
      </w:pPr>
      <w:r w:rsidRPr="002C7E65">
        <w:t xml:space="preserve">Under beredningen av rådsslutsatserna har SE lyckats driva igenom stärkta skrivningar vad gäller jämställdhet, kvinnors och flickors rättigheter, samt behovet att en kontextspecifik analys i utvecklingssamarbetet. </w:t>
      </w:r>
      <w:r w:rsidRPr="002C7E65">
        <w:rPr>
          <w:b/>
          <w:bCs/>
        </w:rPr>
        <w:br/>
      </w:r>
    </w:p>
    <w:p w14:paraId="6388BB2A" w14:textId="3C5EAE9C" w:rsidR="00656435" w:rsidRDefault="00656435" w:rsidP="002C7E65">
      <w:pPr>
        <w:spacing w:after="280" w:afterAutospacing="1"/>
      </w:pPr>
    </w:p>
    <w:p w14:paraId="21BF1E0A" w14:textId="77777777" w:rsidR="002C7E65" w:rsidRDefault="002C7E65" w:rsidP="002C7E65">
      <w:pPr>
        <w:spacing w:after="280" w:afterAutospacing="1"/>
      </w:pPr>
    </w:p>
    <w:p w14:paraId="54F133F3" w14:textId="77777777" w:rsidR="002C7E65" w:rsidRDefault="002C7E65" w:rsidP="002C7E65">
      <w:pPr>
        <w:spacing w:after="280" w:afterAutospacing="1"/>
      </w:pPr>
    </w:p>
    <w:p w14:paraId="471DA9D0" w14:textId="77777777" w:rsidR="002C7E65" w:rsidRDefault="002C7E65" w:rsidP="002C7E65">
      <w:pPr>
        <w:spacing w:after="280" w:afterAutospacing="1"/>
      </w:pPr>
    </w:p>
    <w:p w14:paraId="1B06B2B9" w14:textId="77777777" w:rsidR="002C7E65" w:rsidRDefault="002C7E65" w:rsidP="002C7E65">
      <w:pPr>
        <w:spacing w:after="280" w:afterAutospacing="1"/>
      </w:pPr>
    </w:p>
    <w:p w14:paraId="75E3B77A" w14:textId="77777777" w:rsidR="002C7E65" w:rsidRDefault="002C7E65" w:rsidP="002C7E65">
      <w:pPr>
        <w:spacing w:after="280" w:afterAutospacing="1"/>
      </w:pPr>
    </w:p>
    <w:p w14:paraId="6388BB2B" w14:textId="77777777" w:rsidR="001931DF" w:rsidRPr="001931DF" w:rsidRDefault="001931DF" w:rsidP="001931DF">
      <w:pPr>
        <w:pStyle w:val="Rubrik1"/>
        <w:rPr>
          <w:lang w:val="en-GB"/>
        </w:rPr>
      </w:pPr>
      <w:bookmarkStart w:id="19" w:name="_Toc484518480"/>
      <w:r w:rsidRPr="001931DF">
        <w:rPr>
          <w:noProof/>
          <w:lang w:val="en-GB"/>
        </w:rPr>
        <w:t>Draft Council Decision authorising the opening of negotiations with the Republic of Mali in order to conclude an Agreement on the status of the European Union civilian CSDP Mission in Mali (EUCAP Sahel Mali) replacing the Agreement in the form of an Exchange of Letters between the European Union and the Republic of Mali regarding the status of EUCAP Sahel Mali</w:t>
      </w:r>
      <w:bookmarkEnd w:id="19"/>
    </w:p>
    <w:p w14:paraId="6388BB2F" w14:textId="209FF280" w:rsidR="001931DF" w:rsidRPr="002C7E65" w:rsidRDefault="001931DF" w:rsidP="002C7E65">
      <w:pPr>
        <w:rPr>
          <w:lang w:val="en-US"/>
        </w:rPr>
      </w:pPr>
      <w:r>
        <w:rPr>
          <w:noProof/>
          <w:lang w:val="en-US"/>
        </w:rPr>
        <w:t>=</w:t>
      </w:r>
      <w:r>
        <w:rPr>
          <w:lang w:val="en-US"/>
        </w:rPr>
        <w:t>Adoption</w:t>
      </w:r>
      <w:r>
        <w:rPr>
          <w:lang w:val="en-US"/>
        </w:rPr>
        <w:br/>
      </w:r>
      <w:r>
        <w:rPr>
          <w:noProof/>
          <w:lang w:val="en-US"/>
        </w:rPr>
        <w:t>9535</w:t>
      </w:r>
      <w:r>
        <w:rPr>
          <w:lang w:val="en-US"/>
        </w:rPr>
        <w:t>/</w:t>
      </w:r>
      <w:r w:rsidR="00AD23D3">
        <w:rPr>
          <w:lang w:val="en-US"/>
        </w:rPr>
        <w:t>1/</w:t>
      </w:r>
      <w:r>
        <w:rPr>
          <w:lang w:val="en-US"/>
        </w:rPr>
        <w:t>17</w:t>
      </w:r>
      <w:r w:rsidR="00AD23D3">
        <w:rPr>
          <w:lang w:val="en-US"/>
        </w:rPr>
        <w:t xml:space="preserve"> REV 1</w:t>
      </w:r>
      <w:r>
        <w:rPr>
          <w:lang w:val="en-US"/>
        </w:rPr>
        <w:t xml:space="preserve"> CORLX 248 CSDP/PSDC 287 CFSP/PESC 447 COAFR 158</w:t>
      </w:r>
      <w:r>
        <w:rPr>
          <w:lang w:val="en-US"/>
        </w:rPr>
        <w:br/>
        <w:t>RELEX 448 CONUN 130 CSC 118 EUCAP MALI 23</w:t>
      </w:r>
      <w:r>
        <w:rPr>
          <w:lang w:val="en-US"/>
        </w:rPr>
        <w:br/>
        <w:t>9153/17 CORLX 230 CSDP/PSDC 244 CFSP/PESC 409 COAFR 133</w:t>
      </w:r>
      <w:r>
        <w:rPr>
          <w:lang w:val="en-US"/>
        </w:rPr>
        <w:br/>
      </w:r>
      <w:r w:rsidRPr="002C7E65">
        <w:rPr>
          <w:lang w:val="en-GB"/>
        </w:rPr>
        <w:t>RELEX 399 CONUN 106 CSC 97 EUCAP MALI 18</w:t>
      </w:r>
    </w:p>
    <w:p w14:paraId="6388BB30" w14:textId="77777777" w:rsidR="001931DF" w:rsidRDefault="001931DF" w:rsidP="001931DF">
      <w:r>
        <w:rPr>
          <w:b/>
        </w:rPr>
        <w:t>Ansvarigt statsråd</w:t>
      </w:r>
      <w:r>
        <w:rPr>
          <w:b/>
        </w:rPr>
        <w:br/>
      </w:r>
      <w:r>
        <w:rPr>
          <w:noProof/>
        </w:rPr>
        <w:t>Margot</w:t>
      </w:r>
      <w:r>
        <w:t xml:space="preserve"> Wallström</w:t>
      </w:r>
    </w:p>
    <w:p w14:paraId="6388BB31"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B32"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B33"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B34"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B35"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B36"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B37"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B38"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B39"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B3A" w14:textId="4811D4FD" w:rsidR="001931DF" w:rsidRDefault="001931DF" w:rsidP="001931DF">
      <w:r>
        <w:instrText>"</w:instrText>
      </w:r>
      <w:r>
        <w:rPr>
          <w:b/>
        </w:rPr>
        <w:instrText xml:space="preserve"> </w:instrText>
      </w:r>
      <w:r>
        <w:rPr>
          <w:b/>
        </w:rPr>
        <w:fldChar w:fldCharType="end"/>
      </w:r>
      <w:r w:rsidRPr="00B44CE2">
        <w:rPr>
          <w:b/>
        </w:rPr>
        <w:t>Annotering</w:t>
      </w:r>
    </w:p>
    <w:p w14:paraId="6388BB3B" w14:textId="0F353A7A" w:rsidR="00656435" w:rsidRDefault="001931DF">
      <w:pPr>
        <w:spacing w:after="280" w:afterAutospacing="1"/>
      </w:pPr>
      <w:r>
        <w:rPr>
          <w:b/>
          <w:bCs/>
        </w:rPr>
        <w:t>Avsikt med behandlingen i rådet:</w:t>
      </w:r>
      <w:r>
        <w:t xml:space="preserve"> </w:t>
      </w:r>
      <w:r w:rsidR="002C7E65" w:rsidRPr="002C7E65">
        <w:t>Rådet föreslås besluta om bemyndigande för EU:s höga representant att inleda förhandlingar med Republiken Mali i syfte att ingå ett nytt avtal om statusen för Europeiska unionens GSFP-uppdrag i Mali (</w:t>
      </w:r>
      <w:proofErr w:type="spellStart"/>
      <w:r w:rsidR="002C7E65" w:rsidRPr="002C7E65">
        <w:t>Eucap</w:t>
      </w:r>
      <w:proofErr w:type="spellEnd"/>
      <w:r w:rsidR="002C7E65" w:rsidRPr="002C7E65">
        <w:t xml:space="preserve"> Sahel Mali).</w:t>
      </w:r>
    </w:p>
    <w:p w14:paraId="6388BB3C" w14:textId="77777777" w:rsidR="00656435" w:rsidRDefault="001931DF">
      <w:pPr>
        <w:spacing w:after="280" w:afterAutospacing="1"/>
      </w:pPr>
      <w:r>
        <w:rPr>
          <w:b/>
          <w:bCs/>
        </w:rPr>
        <w:t>Hur regeringen ställer sig till den blivande A-punkten:</w:t>
      </w:r>
      <w:r>
        <w:t xml:space="preserve"> Regeringen avser rösta ja. </w:t>
      </w:r>
    </w:p>
    <w:p w14:paraId="6FCB50FB" w14:textId="77777777" w:rsidR="002C7E65" w:rsidRPr="002C7E65" w:rsidRDefault="001931DF" w:rsidP="002C7E65">
      <w:pPr>
        <w:spacing w:after="280" w:afterAutospacing="1"/>
      </w:pPr>
      <w:r>
        <w:rPr>
          <w:b/>
          <w:bCs/>
        </w:rPr>
        <w:t>Bakgrund:</w:t>
      </w:r>
      <w:r>
        <w:t xml:space="preserve"> </w:t>
      </w:r>
      <w:r w:rsidR="002C7E65" w:rsidRPr="002C7E65">
        <w:t xml:space="preserve">Den 14 april 2014 antog Rådet beslut 2014/219/GSFP om att upprättandet av Europeiska unionens GSFP-uppdrag i Mali (EUCAP Sahel Mali). </w:t>
      </w:r>
    </w:p>
    <w:p w14:paraId="65EE9209" w14:textId="77777777" w:rsidR="002C7E65" w:rsidRPr="002C7E65" w:rsidRDefault="002C7E65" w:rsidP="002C7E65">
      <w:pPr>
        <w:spacing w:after="280" w:afterAutospacing="1"/>
      </w:pPr>
      <w:r w:rsidRPr="002C7E65">
        <w:t>Den 8 oktober 2014 antog Rådet beslut 2014/853/GSFP om undertecknande och ingående, på unionens vägnar, av avtal genom skriftväxling mellan Europeiska unionen och Republiken Mali om status för Europeiska unionens GSFP-uppdrag i Republiken Mali (EUCAP Sahel Mali).</w:t>
      </w:r>
    </w:p>
    <w:p w14:paraId="6388BB40" w14:textId="4A7C7131" w:rsidR="00656435" w:rsidRDefault="002C7E65" w:rsidP="002C7E65">
      <w:pPr>
        <w:spacing w:after="280" w:afterAutospacing="1"/>
      </w:pPr>
      <w:r w:rsidRPr="002C7E65">
        <w:t>För att anpassa avtalet till rådande säkerhetssituation i Mali föreslås att Rådet ska bemyndiga EU:s höga representant att inleda förhandlingar med Republiken Mali i syfte att ingå ett nytt avtal om statusen för Europeiska unionens GSFP-uppdrag i Mali (EUCAP Sahel Mali).</w:t>
      </w:r>
      <w:r w:rsidR="001931DF">
        <w:br/>
      </w:r>
      <w:r w:rsidR="001931DF">
        <w:br/>
      </w:r>
    </w:p>
    <w:p w14:paraId="13E4C594" w14:textId="77777777" w:rsidR="002C7E65" w:rsidRDefault="002C7E65" w:rsidP="002C7E65">
      <w:pPr>
        <w:spacing w:after="280" w:afterAutospacing="1"/>
      </w:pPr>
    </w:p>
    <w:p w14:paraId="15E00E24" w14:textId="77777777" w:rsidR="002C7E65" w:rsidRDefault="002C7E65" w:rsidP="002C7E65">
      <w:pPr>
        <w:spacing w:after="280" w:afterAutospacing="1"/>
      </w:pPr>
    </w:p>
    <w:p w14:paraId="6388BB41" w14:textId="77777777" w:rsidR="001931DF" w:rsidRDefault="001931DF">
      <w:pPr>
        <w:spacing w:after="280" w:afterAutospacing="1"/>
        <w:rPr>
          <w:noProof/>
        </w:rPr>
      </w:pPr>
    </w:p>
    <w:p w14:paraId="6388BB42" w14:textId="77777777" w:rsidR="001931DF" w:rsidRPr="001931DF" w:rsidRDefault="001931DF" w:rsidP="001931DF">
      <w:pPr>
        <w:pStyle w:val="Rubrik1"/>
        <w:rPr>
          <w:lang w:val="en-GB"/>
        </w:rPr>
      </w:pPr>
      <w:bookmarkStart w:id="20" w:name="_Toc484518481"/>
      <w:r w:rsidRPr="001931DF">
        <w:rPr>
          <w:noProof/>
          <w:lang w:val="en-GB"/>
        </w:rPr>
        <w:t>Council Decision 2012/285/CFSP concerning restrictive measures directed against certain persons, entities and bodies threatening the peace, security or stability of the Republic of Guinea-Bissau</w:t>
      </w:r>
      <w:r w:rsidRPr="001931DF">
        <w:rPr>
          <w:noProof/>
          <w:lang w:val="en-GB"/>
        </w:rPr>
        <w:br/>
        <w:t>and</w:t>
      </w:r>
      <w:r w:rsidRPr="001931DF">
        <w:rPr>
          <w:noProof/>
          <w:lang w:val="en-GB"/>
        </w:rPr>
        <w:br/>
        <w:t>Council Regulation (EU) No 377/2012 concerning restrictive measures directed against certain persons, entities and bodies threatening the peace, security or stability of the Republic of Guinea-Bissau</w:t>
      </w:r>
      <w:bookmarkEnd w:id="20"/>
    </w:p>
    <w:p w14:paraId="6388BB43" w14:textId="77777777" w:rsidR="001931DF" w:rsidRDefault="001931DF" w:rsidP="001931DF">
      <w:pPr>
        <w:rPr>
          <w:lang w:val="en-US"/>
        </w:rPr>
      </w:pPr>
      <w:proofErr w:type="gramStart"/>
      <w:r>
        <w:rPr>
          <w:noProof/>
          <w:lang w:val="en-US"/>
        </w:rPr>
        <w:t>=</w:t>
      </w:r>
      <w:r>
        <w:rPr>
          <w:lang w:val="en-US"/>
        </w:rPr>
        <w:t>Review</w:t>
      </w:r>
      <w:r>
        <w:rPr>
          <w:lang w:val="en-US"/>
        </w:rPr>
        <w:br/>
      </w:r>
      <w:r>
        <w:rPr>
          <w:noProof/>
          <w:lang w:val="en-US"/>
        </w:rPr>
        <w:t>9827</w:t>
      </w:r>
      <w:r>
        <w:rPr>
          <w:lang w:val="en-US"/>
        </w:rPr>
        <w:t>/17 CORLX 255 CFSP/PESC 466 RELEX 472 COAFR 152 CONUN 124</w:t>
      </w:r>
      <w:r>
        <w:rPr>
          <w:lang w:val="en-US"/>
        </w:rPr>
        <w:br/>
        <w:t>COARM 144 FIN</w:t>
      </w:r>
      <w:proofErr w:type="gramEnd"/>
      <w:r>
        <w:rPr>
          <w:lang w:val="en-US"/>
        </w:rPr>
        <w:t xml:space="preserve"> 341</w:t>
      </w:r>
    </w:p>
    <w:p w14:paraId="6388BB44" w14:textId="77777777" w:rsidR="001931DF" w:rsidRDefault="001931DF" w:rsidP="001931DF">
      <w:r>
        <w:rPr>
          <w:b/>
        </w:rPr>
        <w:t>Ansvarigt statsråd</w:t>
      </w:r>
      <w:r>
        <w:rPr>
          <w:b/>
        </w:rPr>
        <w:br/>
      </w:r>
      <w:r>
        <w:rPr>
          <w:noProof/>
        </w:rPr>
        <w:t>Margot</w:t>
      </w:r>
      <w:r>
        <w:t xml:space="preserve"> Wallström</w:t>
      </w:r>
    </w:p>
    <w:p w14:paraId="6388BB45"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B46"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B47"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B48"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B49"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B4A"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B4B"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B4C"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B4D"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B4E" w14:textId="47CC1DDF" w:rsidR="001931DF" w:rsidRDefault="001931DF" w:rsidP="001931DF">
      <w:r>
        <w:instrText>"</w:instrText>
      </w:r>
      <w:r>
        <w:rPr>
          <w:b/>
        </w:rPr>
        <w:instrText xml:space="preserve"> </w:instrText>
      </w:r>
      <w:r>
        <w:rPr>
          <w:b/>
        </w:rPr>
        <w:fldChar w:fldCharType="end"/>
      </w:r>
      <w:r w:rsidRPr="00B44CE2">
        <w:rPr>
          <w:b/>
        </w:rPr>
        <w:t>Annotering</w:t>
      </w:r>
    </w:p>
    <w:p w14:paraId="6388BB51" w14:textId="35C3A722" w:rsidR="00656435" w:rsidRDefault="001931DF" w:rsidP="002C7E65">
      <w:pPr>
        <w:spacing w:after="280" w:afterAutospacing="1"/>
      </w:pPr>
      <w:r>
        <w:rPr>
          <w:b/>
          <w:bCs/>
        </w:rPr>
        <w:t>Avsikt med behandlingen i rådet:</w:t>
      </w:r>
      <w:r w:rsidR="002C7E65">
        <w:t xml:space="preserve"> </w:t>
      </w:r>
      <w:r w:rsidR="002C7E65" w:rsidRPr="002C7E65">
        <w:t>Översyn av restriktiva åtgärder mot Guinea Bissau. EU:s listningar ses över regelbundet och återkommande var tolfte månad. Efter att en sådan årlig översyn nu ägt rum, kommer en notis att publiceras, med information till listade om att översyn har ägt rum och att personerna i fråga fortsatt ska vara föremål för sanktioner.</w:t>
      </w:r>
      <w:r>
        <w:br/>
      </w:r>
      <w:r>
        <w:br/>
      </w:r>
      <w:r>
        <w:rPr>
          <w:b/>
          <w:bCs/>
        </w:rPr>
        <w:t>Hur regeringen ställer sig till den blivande A-punkten:</w:t>
      </w:r>
      <w:r>
        <w:t xml:space="preserve"> </w:t>
      </w:r>
      <w:r w:rsidR="002C7E65">
        <w:t>Punkten kan godtas.</w:t>
      </w:r>
    </w:p>
    <w:p w14:paraId="61E79410" w14:textId="77777777" w:rsidR="002C7E65" w:rsidRPr="002C7E65" w:rsidRDefault="001931DF" w:rsidP="002C7E65">
      <w:pPr>
        <w:spacing w:after="280" w:afterAutospacing="1"/>
      </w:pPr>
      <w:r>
        <w:rPr>
          <w:b/>
          <w:bCs/>
        </w:rPr>
        <w:t>Bakgrund</w:t>
      </w:r>
      <w:r w:rsidR="002C7E65">
        <w:t xml:space="preserve">: </w:t>
      </w:r>
      <w:r w:rsidR="002C7E65" w:rsidRPr="002C7E65">
        <w:t>EU införde i början av maj 2012 restriktiva åtgärder i form av reserestriktioner och frysning av tillgångar för personer som ansågs hota fred, säkerhet och stabilitet i Guinea-Bissau. Enligt beslut av FN:s säkerhetsråds sanktionskommitté infördes i juli 2012 reserestriktioner mot ytterligare personer. EU har genomfört säkerhetsrådets resolution och sanktionskommitténs beslut och anpassat sitt regelverk till dessa. Sanktionerna förlängs årligen.</w:t>
      </w:r>
    </w:p>
    <w:p w14:paraId="0C281257" w14:textId="77777777" w:rsidR="002C7E65" w:rsidRPr="002C7E65" w:rsidRDefault="002C7E65" w:rsidP="002C7E65">
      <w:pPr>
        <w:spacing w:after="280" w:afterAutospacing="1"/>
      </w:pPr>
      <w:r w:rsidRPr="002C7E65">
        <w:t xml:space="preserve">Det fortsatt oroande politiska läget i Guinea Bissau har diskuterats inom EU. Konsensus råder om vikten av att fortsätta tillämpa de restriktiva åtgärderna. </w:t>
      </w:r>
    </w:p>
    <w:p w14:paraId="6388BB55" w14:textId="2E287A46" w:rsidR="00656435" w:rsidRDefault="00656435" w:rsidP="002C7E65">
      <w:pPr>
        <w:spacing w:after="280" w:afterAutospacing="1"/>
      </w:pPr>
    </w:p>
    <w:p w14:paraId="43DF2BBC" w14:textId="77777777" w:rsidR="002C7E65" w:rsidRDefault="002C7E65" w:rsidP="002C7E65">
      <w:pPr>
        <w:spacing w:after="280" w:afterAutospacing="1"/>
      </w:pPr>
    </w:p>
    <w:p w14:paraId="738891C2" w14:textId="77777777" w:rsidR="002C7E65" w:rsidRDefault="002C7E65" w:rsidP="002C7E65">
      <w:pPr>
        <w:spacing w:after="280" w:afterAutospacing="1"/>
      </w:pPr>
    </w:p>
    <w:p w14:paraId="76E4D06F" w14:textId="77777777" w:rsidR="002C7E65" w:rsidRDefault="002C7E65" w:rsidP="002C7E65">
      <w:pPr>
        <w:spacing w:after="280" w:afterAutospacing="1"/>
      </w:pPr>
    </w:p>
    <w:p w14:paraId="7E5A8C9A" w14:textId="77777777" w:rsidR="002C7E65" w:rsidRDefault="002C7E65" w:rsidP="002C7E65">
      <w:pPr>
        <w:spacing w:after="280" w:afterAutospacing="1"/>
      </w:pPr>
    </w:p>
    <w:p w14:paraId="6388BB56" w14:textId="77777777" w:rsidR="00656435" w:rsidRDefault="00656435">
      <w:pPr>
        <w:spacing w:after="280" w:afterAutospacing="1"/>
      </w:pPr>
    </w:p>
    <w:p w14:paraId="6388BB57" w14:textId="77777777" w:rsidR="001931DF" w:rsidRPr="001931DF" w:rsidRDefault="001931DF" w:rsidP="001931DF">
      <w:pPr>
        <w:pStyle w:val="Rubrik1"/>
        <w:rPr>
          <w:lang w:val="en-GB"/>
        </w:rPr>
      </w:pPr>
      <w:bookmarkStart w:id="21" w:name="_Toc484518482"/>
      <w:r w:rsidRPr="001931DF">
        <w:rPr>
          <w:noProof/>
          <w:lang w:val="en-GB"/>
        </w:rPr>
        <w:t>Draft Council Decision amending Decision 2014/386/CFSP concerning restrictive measures in response to the illegal annexation of Crimea and Sevastopol</w:t>
      </w:r>
      <w:bookmarkEnd w:id="21"/>
    </w:p>
    <w:p w14:paraId="6388BB59" w14:textId="0FB23D8A" w:rsidR="001931DF" w:rsidRPr="001931DF" w:rsidRDefault="001931DF" w:rsidP="002C7E65">
      <w:pPr>
        <w:rPr>
          <w:lang w:val="fr-FR"/>
        </w:rPr>
      </w:pPr>
      <w:r w:rsidRPr="001931DF">
        <w:rPr>
          <w:noProof/>
          <w:lang w:val="fr-FR"/>
        </w:rPr>
        <w:t>=</w:t>
      </w:r>
      <w:r w:rsidRPr="001931DF">
        <w:rPr>
          <w:lang w:val="fr-FR"/>
        </w:rPr>
        <w:t>Adoption</w:t>
      </w:r>
      <w:r w:rsidRPr="001931DF">
        <w:rPr>
          <w:lang w:val="fr-FR"/>
        </w:rPr>
        <w:br/>
      </w:r>
      <w:r w:rsidRPr="001931DF">
        <w:rPr>
          <w:noProof/>
          <w:lang w:val="fr-FR"/>
        </w:rPr>
        <w:t>9869</w:t>
      </w:r>
      <w:r w:rsidRPr="001931DF">
        <w:rPr>
          <w:lang w:val="fr-FR"/>
        </w:rPr>
        <w:t>/17 CORLX 256 CFSP/PESC 468 COEST 116 FIN 342</w:t>
      </w:r>
      <w:r w:rsidR="002C7E65">
        <w:rPr>
          <w:lang w:val="fr-FR"/>
        </w:rPr>
        <w:br/>
      </w:r>
      <w:r w:rsidRPr="001931DF">
        <w:rPr>
          <w:lang w:val="fr-FR"/>
        </w:rPr>
        <w:t>9631/17 CORLX 250 CFSP/PESC 454 COEST 109 FIN 325</w:t>
      </w:r>
    </w:p>
    <w:p w14:paraId="6388BB5A" w14:textId="77777777" w:rsidR="001931DF" w:rsidRDefault="001931DF" w:rsidP="001931DF">
      <w:r>
        <w:rPr>
          <w:b/>
        </w:rPr>
        <w:t>Ansvarigt statsråd</w:t>
      </w:r>
      <w:r>
        <w:rPr>
          <w:b/>
        </w:rPr>
        <w:br/>
      </w:r>
      <w:r>
        <w:rPr>
          <w:noProof/>
        </w:rPr>
        <w:t>Margot</w:t>
      </w:r>
      <w:r>
        <w:t xml:space="preserve"> Wallström</w:t>
      </w:r>
    </w:p>
    <w:p w14:paraId="24AACD54" w14:textId="77777777" w:rsidR="002C7E65" w:rsidRPr="00077B21" w:rsidRDefault="002C7E65" w:rsidP="002C7E65">
      <w:pPr>
        <w:shd w:val="clear" w:color="auto" w:fill="FFFFFF"/>
        <w:spacing w:after="0" w:line="240" w:lineRule="auto"/>
        <w:textAlignment w:val="top"/>
        <w:rPr>
          <w:rFonts w:ascii="OrigGarmnd BT" w:eastAsia="Times New Roman" w:hAnsi="OrigGarmnd BT"/>
          <w:b/>
          <w:bCs/>
          <w:lang w:eastAsia="sv-SE"/>
        </w:rPr>
      </w:pPr>
      <w:r w:rsidRPr="00077B21">
        <w:rPr>
          <w:rFonts w:ascii="OrigGarmnd BT" w:eastAsia="Times New Roman" w:hAnsi="OrigGarmnd BT"/>
          <w:b/>
          <w:bCs/>
          <w:lang w:eastAsia="sv-SE"/>
        </w:rPr>
        <w:t>Kommentar status</w:t>
      </w:r>
    </w:p>
    <w:p w14:paraId="222D9EC9" w14:textId="28E3793B" w:rsidR="002C7E65" w:rsidRPr="002C7E65" w:rsidRDefault="002C7E65" w:rsidP="002C7E65">
      <w:pPr>
        <w:shd w:val="clear" w:color="auto" w:fill="FFFFFF"/>
        <w:spacing w:after="0" w:line="240" w:lineRule="auto"/>
        <w:textAlignment w:val="top"/>
        <w:rPr>
          <w:rFonts w:ascii="OrigGarmnd BT" w:eastAsia="Times New Roman" w:hAnsi="OrigGarmnd BT"/>
          <w:lang w:eastAsia="sv-SE"/>
        </w:rPr>
      </w:pPr>
      <w:r w:rsidRPr="00077B21">
        <w:rPr>
          <w:rFonts w:ascii="OrigGarmnd BT" w:eastAsia="Times New Roman" w:hAnsi="OrigGarmnd BT"/>
          <w:lang w:eastAsia="sv-SE"/>
        </w:rPr>
        <w:t>Svenskt regeringsbeslut måste fattas den</w:t>
      </w:r>
      <w:r>
        <w:rPr>
          <w:rFonts w:ascii="OrigGarmnd BT" w:eastAsia="Times New Roman" w:hAnsi="OrigGarmnd BT"/>
          <w:lang w:eastAsia="sv-SE"/>
        </w:rPr>
        <w:t xml:space="preserve"> </w:t>
      </w:r>
      <w:r w:rsidRPr="00077B21">
        <w:rPr>
          <w:rFonts w:ascii="OrigGarmnd BT" w:eastAsia="Times New Roman" w:hAnsi="OrigGarmnd BT"/>
          <w:lang w:eastAsia="sv-SE"/>
        </w:rPr>
        <w:t>15 juni.</w:t>
      </w:r>
      <w:r>
        <w:rPr>
          <w:rFonts w:ascii="OrigGarmnd BT" w:eastAsia="Times New Roman" w:hAnsi="OrigGarmnd BT"/>
          <w:lang w:eastAsia="sv-SE"/>
        </w:rPr>
        <w:br/>
      </w:r>
    </w:p>
    <w:p w14:paraId="6388BB5B" w14:textId="77777777" w:rsidR="001931DF" w:rsidRDefault="001931DF" w:rsidP="001931DF">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88BB5C"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88BB5D"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88BB5E"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88BB5F" w14:textId="77777777" w:rsidR="001931DF" w:rsidRDefault="001931DF" w:rsidP="001931DF">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88BB60"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88BB61" w14:textId="77777777" w:rsidR="001931DF" w:rsidRDefault="001931DF" w:rsidP="001931DF">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88BB62" w14:textId="77777777" w:rsidR="001931DF" w:rsidRDefault="001931DF" w:rsidP="001931DF">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88BB63" w14:textId="77777777" w:rsidR="001931DF" w:rsidRDefault="001931DF" w:rsidP="001931DF">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88BB64" w14:textId="43EF995F" w:rsidR="001931DF" w:rsidRDefault="001931DF" w:rsidP="001931DF">
      <w:r>
        <w:instrText>"</w:instrText>
      </w:r>
      <w:r>
        <w:rPr>
          <w:b/>
        </w:rPr>
        <w:instrText xml:space="preserve"> </w:instrText>
      </w:r>
      <w:r>
        <w:rPr>
          <w:b/>
        </w:rPr>
        <w:fldChar w:fldCharType="end"/>
      </w:r>
      <w:r w:rsidRPr="00B44CE2">
        <w:rPr>
          <w:b/>
        </w:rPr>
        <w:t>Annotering</w:t>
      </w:r>
    </w:p>
    <w:p w14:paraId="6388BB65" w14:textId="0EB1DC28" w:rsidR="00656435" w:rsidRDefault="001931DF" w:rsidP="002C7E65">
      <w:pPr>
        <w:spacing w:after="280" w:afterAutospacing="1"/>
      </w:pPr>
      <w:r>
        <w:rPr>
          <w:b/>
          <w:bCs/>
        </w:rPr>
        <w:t>Avsikt med behandlingen i rådet:</w:t>
      </w:r>
      <w:r>
        <w:t xml:space="preserve"> </w:t>
      </w:r>
      <w:r w:rsidR="002C7E65" w:rsidRPr="002C7E65">
        <w:t xml:space="preserve">Antagande av rådsbeslut enligt artikel 29 i EU-fördraget om ändring av rådets beslut 2014/386/CFSP om restriktiva åtgärder med hänsyn till Rysslands illegala annektering av Krim och Sevastopol. Avser förlängning av dessa sanktioner mot Ryssland till 23 juni 2018. </w:t>
      </w:r>
    </w:p>
    <w:p w14:paraId="6388BB66" w14:textId="34F0BD6A" w:rsidR="00656435" w:rsidRDefault="001931DF">
      <w:pPr>
        <w:spacing w:after="280" w:afterAutospacing="1"/>
      </w:pPr>
      <w:r>
        <w:rPr>
          <w:b/>
          <w:bCs/>
        </w:rPr>
        <w:t>Hur regeringen ställer sig till den blivande A-punkten:</w:t>
      </w:r>
      <w:r>
        <w:t xml:space="preserve"> Regeringen avser rösta ja. Samråd kommer i sedvanlig ordning ske med EU-</w:t>
      </w:r>
      <w:r w:rsidR="002C7E65">
        <w:t xml:space="preserve">nämnden inför regeringsbeslut. </w:t>
      </w:r>
    </w:p>
    <w:p w14:paraId="6388BB67" w14:textId="60A6B00C" w:rsidR="00656435" w:rsidRDefault="001931DF">
      <w:pPr>
        <w:spacing w:after="280" w:afterAutospacing="1"/>
      </w:pPr>
      <w:r>
        <w:rPr>
          <w:b/>
          <w:bCs/>
        </w:rPr>
        <w:t>Bakgrund:</w:t>
      </w:r>
      <w:r w:rsidR="002C7E65">
        <w:t xml:space="preserve"> </w:t>
      </w:r>
      <w:r w:rsidR="002C7E65" w:rsidRPr="002C7E65">
        <w:t>Sanktionerna gällande investerings- och importförbud för varor och tjänster härstammande i Krim och Sevastopol infördes den 23 juni 2014. I tillägg till investerings- och importförbudet omfattar sanktionerna även förbud mot att tillhandahålla turismrelaterade tjänster samt restriktioner för export av vissa varor inom transport, telekommunikation och energisektorn. Sanktionerna förlängdes senast i juni 2016 och löper ut den 23 juni 2017. Det är tydligt att Ryssland inte ändrat sitt förhållningssätt till Krim. Snarare fortgår alltjämt integreringen av det annekterade Krim i ryska federala strukturer. Rådet förväntas därför anta ett rådsbeslut som förlänger sanktionerna till och med den 23 juni 2018.</w:t>
      </w:r>
    </w:p>
    <w:p w14:paraId="6388BB68" w14:textId="77777777" w:rsidR="001931DF" w:rsidRDefault="001931DF">
      <w:pPr>
        <w:spacing w:after="280" w:afterAutospacing="1"/>
        <w:rPr>
          <w:noProof/>
        </w:rPr>
      </w:pPr>
    </w:p>
    <w:bookmarkEnd w:id="0"/>
    <w:p w14:paraId="6388BB69" w14:textId="77777777" w:rsidR="001931DF" w:rsidRPr="00377012" w:rsidRDefault="001931DF" w:rsidP="001931DF">
      <w:pPr>
        <w:ind w:left="0"/>
      </w:pPr>
    </w:p>
    <w:sectPr w:rsidR="001931DF" w:rsidRPr="00377012" w:rsidSect="001931D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8BB83" w14:textId="77777777" w:rsidR="001931DF" w:rsidRDefault="001931DF">
      <w:pPr>
        <w:spacing w:after="0" w:line="240" w:lineRule="auto"/>
      </w:pPr>
      <w:r>
        <w:separator/>
      </w:r>
    </w:p>
  </w:endnote>
  <w:endnote w:type="continuationSeparator" w:id="0">
    <w:p w14:paraId="6388BB85" w14:textId="77777777" w:rsidR="001931DF" w:rsidRDefault="0019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8BB6D" w14:textId="77777777" w:rsidR="001931DF" w:rsidRDefault="001931D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388BB6E" w14:textId="77777777" w:rsidR="001931DF" w:rsidRDefault="00433F6D">
        <w:pPr>
          <w:pStyle w:val="Sidfot"/>
          <w:jc w:val="right"/>
        </w:pPr>
      </w:p>
    </w:sdtContent>
  </w:sdt>
  <w:p w14:paraId="6388BB6F" w14:textId="77777777" w:rsidR="001931DF" w:rsidRDefault="001931D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8BB7D" w14:textId="77777777" w:rsidR="001931DF" w:rsidRDefault="001931DF">
    <w:pPr>
      <w:pStyle w:val="Sidfot"/>
      <w:jc w:val="right"/>
    </w:pPr>
  </w:p>
  <w:p w14:paraId="6388BB7E" w14:textId="77777777" w:rsidR="001931DF" w:rsidRDefault="001931D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8BB7F" w14:textId="77777777" w:rsidR="001931DF" w:rsidRDefault="001931DF">
      <w:pPr>
        <w:spacing w:after="0" w:line="240" w:lineRule="auto"/>
      </w:pPr>
      <w:r>
        <w:separator/>
      </w:r>
    </w:p>
  </w:footnote>
  <w:footnote w:type="continuationSeparator" w:id="0">
    <w:p w14:paraId="6388BB81" w14:textId="77777777" w:rsidR="001931DF" w:rsidRDefault="00193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8BB6A" w14:textId="77777777" w:rsidR="001931DF" w:rsidRDefault="001931D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388BB6B" w14:textId="77777777" w:rsidR="001931DF" w:rsidRDefault="001931DF" w:rsidP="001931DF">
        <w:pPr>
          <w:pStyle w:val="Sidhuvud"/>
          <w:jc w:val="right"/>
        </w:pPr>
        <w:r>
          <w:fldChar w:fldCharType="begin"/>
        </w:r>
        <w:r>
          <w:instrText xml:space="preserve"> PAGE   \* MERGEFORMAT </w:instrText>
        </w:r>
        <w:r>
          <w:fldChar w:fldCharType="separate"/>
        </w:r>
        <w:r w:rsidR="00433F6D">
          <w:rPr>
            <w:noProof/>
          </w:rPr>
          <w:t>2</w:t>
        </w:r>
        <w:r>
          <w:rPr>
            <w:noProof/>
          </w:rPr>
          <w:fldChar w:fldCharType="end"/>
        </w:r>
      </w:p>
    </w:sdtContent>
  </w:sdt>
  <w:p w14:paraId="6388BB6C" w14:textId="77777777" w:rsidR="001931DF" w:rsidRDefault="001931DF" w:rsidP="001931DF">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931DF" w14:paraId="6388BB77" w14:textId="77777777" w:rsidTr="001931DF">
      <w:tc>
        <w:tcPr>
          <w:tcW w:w="4606" w:type="dxa"/>
        </w:tcPr>
        <w:p w14:paraId="6388BB70" w14:textId="77777777" w:rsidR="001931DF" w:rsidRDefault="001931DF" w:rsidP="001931DF">
          <w:pPr>
            <w:pStyle w:val="Sidhuvud"/>
            <w:ind w:left="0"/>
          </w:pPr>
          <w:r>
            <w:rPr>
              <w:noProof/>
              <w:lang w:eastAsia="sv-SE"/>
            </w:rPr>
            <w:drawing>
              <wp:inline distT="0" distB="0" distL="0" distR="0" wp14:anchorId="6388BB7F" wp14:editId="6388BB8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388BB71" w14:textId="77777777" w:rsidR="001931DF" w:rsidRDefault="001931DF" w:rsidP="001931DF">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1931DF" w14:paraId="6388BB74" w14:textId="77777777" w:rsidTr="001931DF">
            <w:tc>
              <w:tcPr>
                <w:tcW w:w="1833" w:type="dxa"/>
              </w:tcPr>
              <w:p w14:paraId="6388BB72" w14:textId="77777777" w:rsidR="001931DF" w:rsidRPr="00623763" w:rsidRDefault="001931DF" w:rsidP="001931DF">
                <w:pPr>
                  <w:ind w:left="0"/>
                </w:pPr>
                <w:r w:rsidRPr="00623763">
                  <w:rPr>
                    <w:rFonts w:ascii="TradeGothic" w:hAnsi="TradeGothic"/>
                    <w:b/>
                  </w:rPr>
                  <w:t>Promemoria</w:t>
                </w:r>
              </w:p>
            </w:tc>
            <w:tc>
              <w:tcPr>
                <w:tcW w:w="1833" w:type="dxa"/>
              </w:tcPr>
              <w:p w14:paraId="6388BB73" w14:textId="77777777" w:rsidR="001931DF" w:rsidRPr="00623763" w:rsidRDefault="001931DF" w:rsidP="001931DF">
                <w:pPr>
                  <w:ind w:left="0"/>
                </w:pPr>
                <w:r w:rsidRPr="00623763">
                  <w:rPr>
                    <w:rFonts w:ascii="TradeGothic" w:hAnsi="TradeGothic"/>
                    <w:b/>
                  </w:rPr>
                  <w:t>[Vecka</w:t>
                </w:r>
                <w:r>
                  <w:rPr>
                    <w:rFonts w:ascii="TradeGothic" w:hAnsi="TradeGothic"/>
                    <w:b/>
                  </w:rPr>
                  <w:t xml:space="preserve"> </w:t>
                </w:r>
                <w:r>
                  <w:rPr>
                    <w:rFonts w:ascii="TradeGothic" w:hAnsi="TradeGothic"/>
                    <w:b/>
                    <w:noProof/>
                  </w:rPr>
                  <w:t>23</w:t>
                </w:r>
                <w:r w:rsidRPr="00623763">
                  <w:rPr>
                    <w:rFonts w:ascii="TradeGothic" w:hAnsi="TradeGothic"/>
                    <w:b/>
                  </w:rPr>
                  <w:t>]</w:t>
                </w:r>
              </w:p>
            </w:tc>
          </w:tr>
        </w:tbl>
        <w:p w14:paraId="6388BB75" w14:textId="77777777" w:rsidR="001931DF" w:rsidRDefault="001931DF" w:rsidP="001931DF">
          <w:pPr>
            <w:jc w:val="right"/>
          </w:pPr>
        </w:p>
        <w:p w14:paraId="6388BB76" w14:textId="77777777" w:rsidR="001931DF" w:rsidRDefault="001931DF" w:rsidP="001931DF">
          <w:pPr>
            <w:ind w:right="916"/>
          </w:pPr>
          <w:r>
            <w:rPr>
              <w:rFonts w:ascii="TradeGothic" w:hAnsi="TradeGothic"/>
              <w:b/>
              <w:noProof/>
            </w:rPr>
            <w:t>2017-06-06</w:t>
          </w:r>
          <w:r w:rsidRPr="00934953">
            <w:t xml:space="preserve"> </w:t>
          </w:r>
        </w:p>
      </w:tc>
    </w:tr>
  </w:tbl>
  <w:p w14:paraId="6388BB78" w14:textId="77777777" w:rsidR="001931DF" w:rsidRDefault="001931DF" w:rsidP="001931DF">
    <w:pPr>
      <w:pStyle w:val="Avsndare"/>
      <w:framePr w:w="0" w:hRule="auto" w:hSpace="0" w:wrap="auto" w:vAnchor="margin" w:hAnchor="text" w:xAlign="left" w:yAlign="inline"/>
      <w:rPr>
        <w:b/>
        <w:i w:val="0"/>
        <w:sz w:val="22"/>
      </w:rPr>
    </w:pPr>
  </w:p>
  <w:p w14:paraId="6388BB79" w14:textId="77777777" w:rsidR="001931DF" w:rsidRDefault="001931DF" w:rsidP="001931DF">
    <w:pPr>
      <w:pStyle w:val="Avsndare"/>
      <w:framePr w:w="0" w:hRule="auto" w:hSpace="0" w:wrap="auto" w:vAnchor="margin" w:hAnchor="text" w:xAlign="left" w:yAlign="inline"/>
      <w:rPr>
        <w:b/>
        <w:i w:val="0"/>
        <w:sz w:val="22"/>
      </w:rPr>
    </w:pPr>
    <w:r>
      <w:rPr>
        <w:b/>
        <w:i w:val="0"/>
        <w:sz w:val="22"/>
      </w:rPr>
      <w:t>Statsrådsberedningen</w:t>
    </w:r>
  </w:p>
  <w:p w14:paraId="6388BB7A" w14:textId="77777777" w:rsidR="001931DF" w:rsidRDefault="001931DF" w:rsidP="001931DF">
    <w:pPr>
      <w:pStyle w:val="Avsndare"/>
      <w:framePr w:w="0" w:hRule="auto" w:hSpace="0" w:wrap="auto" w:vAnchor="margin" w:hAnchor="text" w:xAlign="left" w:yAlign="inline"/>
    </w:pPr>
  </w:p>
  <w:p w14:paraId="6388BB7B" w14:textId="77777777" w:rsidR="001931DF" w:rsidRDefault="001931DF" w:rsidP="001931DF">
    <w:pPr>
      <w:pStyle w:val="Avsndare"/>
      <w:framePr w:w="0" w:hRule="auto" w:hSpace="0" w:wrap="auto" w:vAnchor="margin" w:hAnchor="text" w:xAlign="left" w:yAlign="inline"/>
    </w:pPr>
    <w:r>
      <w:t>EU-kansliet</w:t>
    </w:r>
  </w:p>
  <w:p w14:paraId="6388BB7C" w14:textId="77777777" w:rsidR="001931DF" w:rsidRDefault="001931D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059EE3D8">
      <w:start w:val="1"/>
      <w:numFmt w:val="decimal"/>
      <w:pStyle w:val="Rubrik1"/>
      <w:lvlText w:val="%1."/>
      <w:lvlJc w:val="left"/>
      <w:pPr>
        <w:ind w:left="720" w:hanging="360"/>
      </w:pPr>
    </w:lvl>
    <w:lvl w:ilvl="1" w:tplc="86A4B606" w:tentative="1">
      <w:start w:val="1"/>
      <w:numFmt w:val="lowerLetter"/>
      <w:lvlText w:val="%2."/>
      <w:lvlJc w:val="left"/>
      <w:pPr>
        <w:ind w:left="1440" w:hanging="360"/>
      </w:pPr>
    </w:lvl>
    <w:lvl w:ilvl="2" w:tplc="794A688E" w:tentative="1">
      <w:start w:val="1"/>
      <w:numFmt w:val="lowerRoman"/>
      <w:lvlText w:val="%3."/>
      <w:lvlJc w:val="right"/>
      <w:pPr>
        <w:ind w:left="2160" w:hanging="180"/>
      </w:pPr>
    </w:lvl>
    <w:lvl w:ilvl="3" w:tplc="8FF07CA0" w:tentative="1">
      <w:start w:val="1"/>
      <w:numFmt w:val="decimal"/>
      <w:lvlText w:val="%4."/>
      <w:lvlJc w:val="left"/>
      <w:pPr>
        <w:ind w:left="2880" w:hanging="360"/>
      </w:pPr>
    </w:lvl>
    <w:lvl w:ilvl="4" w:tplc="79B0D344" w:tentative="1">
      <w:start w:val="1"/>
      <w:numFmt w:val="lowerLetter"/>
      <w:lvlText w:val="%5."/>
      <w:lvlJc w:val="left"/>
      <w:pPr>
        <w:ind w:left="3600" w:hanging="360"/>
      </w:pPr>
    </w:lvl>
    <w:lvl w:ilvl="5" w:tplc="7DA49420" w:tentative="1">
      <w:start w:val="1"/>
      <w:numFmt w:val="lowerRoman"/>
      <w:lvlText w:val="%6."/>
      <w:lvlJc w:val="right"/>
      <w:pPr>
        <w:ind w:left="4320" w:hanging="180"/>
      </w:pPr>
    </w:lvl>
    <w:lvl w:ilvl="6" w:tplc="32E01D0C" w:tentative="1">
      <w:start w:val="1"/>
      <w:numFmt w:val="decimal"/>
      <w:lvlText w:val="%7."/>
      <w:lvlJc w:val="left"/>
      <w:pPr>
        <w:ind w:left="5040" w:hanging="360"/>
      </w:pPr>
    </w:lvl>
    <w:lvl w:ilvl="7" w:tplc="9536BCC8" w:tentative="1">
      <w:start w:val="1"/>
      <w:numFmt w:val="lowerLetter"/>
      <w:lvlText w:val="%8."/>
      <w:lvlJc w:val="left"/>
      <w:pPr>
        <w:ind w:left="5760" w:hanging="360"/>
      </w:pPr>
    </w:lvl>
    <w:lvl w:ilvl="8" w:tplc="C2D615F0" w:tentative="1">
      <w:start w:val="1"/>
      <w:numFmt w:val="lowerRoman"/>
      <w:lvlText w:val="%9."/>
      <w:lvlJc w:val="right"/>
      <w:pPr>
        <w:ind w:left="6480" w:hanging="180"/>
      </w:pPr>
    </w:lvl>
  </w:abstractNum>
  <w:abstractNum w:abstractNumId="1">
    <w:nsid w:val="73990993"/>
    <w:multiLevelType w:val="hybridMultilevel"/>
    <w:tmpl w:val="3BD822EE"/>
    <w:lvl w:ilvl="0" w:tplc="52BA416E">
      <w:start w:val="1"/>
      <w:numFmt w:val="decimal"/>
      <w:lvlText w:val="%1."/>
      <w:lvlJc w:val="left"/>
      <w:pPr>
        <w:ind w:left="360" w:hanging="360"/>
      </w:pPr>
      <w:rPr>
        <w:b w:val="0"/>
      </w:rPr>
    </w:lvl>
    <w:lvl w:ilvl="1" w:tplc="A44A3C5E" w:tentative="1">
      <w:start w:val="1"/>
      <w:numFmt w:val="lowerLetter"/>
      <w:lvlText w:val="%2."/>
      <w:lvlJc w:val="left"/>
      <w:pPr>
        <w:ind w:left="1080" w:hanging="360"/>
      </w:pPr>
    </w:lvl>
    <w:lvl w:ilvl="2" w:tplc="4BF8F420" w:tentative="1">
      <w:start w:val="1"/>
      <w:numFmt w:val="lowerRoman"/>
      <w:lvlText w:val="%3."/>
      <w:lvlJc w:val="right"/>
      <w:pPr>
        <w:ind w:left="1800" w:hanging="180"/>
      </w:pPr>
    </w:lvl>
    <w:lvl w:ilvl="3" w:tplc="0E506340" w:tentative="1">
      <w:start w:val="1"/>
      <w:numFmt w:val="decimal"/>
      <w:lvlText w:val="%4."/>
      <w:lvlJc w:val="left"/>
      <w:pPr>
        <w:ind w:left="2520" w:hanging="360"/>
      </w:pPr>
    </w:lvl>
    <w:lvl w:ilvl="4" w:tplc="F4725D6A" w:tentative="1">
      <w:start w:val="1"/>
      <w:numFmt w:val="lowerLetter"/>
      <w:lvlText w:val="%5."/>
      <w:lvlJc w:val="left"/>
      <w:pPr>
        <w:ind w:left="3240" w:hanging="360"/>
      </w:pPr>
    </w:lvl>
    <w:lvl w:ilvl="5" w:tplc="0AEA2AEA" w:tentative="1">
      <w:start w:val="1"/>
      <w:numFmt w:val="lowerRoman"/>
      <w:lvlText w:val="%6."/>
      <w:lvlJc w:val="right"/>
      <w:pPr>
        <w:ind w:left="3960" w:hanging="180"/>
      </w:pPr>
    </w:lvl>
    <w:lvl w:ilvl="6" w:tplc="D94A9EB0" w:tentative="1">
      <w:start w:val="1"/>
      <w:numFmt w:val="decimal"/>
      <w:lvlText w:val="%7."/>
      <w:lvlJc w:val="left"/>
      <w:pPr>
        <w:ind w:left="4680" w:hanging="360"/>
      </w:pPr>
    </w:lvl>
    <w:lvl w:ilvl="7" w:tplc="42701126" w:tentative="1">
      <w:start w:val="1"/>
      <w:numFmt w:val="lowerLetter"/>
      <w:lvlText w:val="%8."/>
      <w:lvlJc w:val="left"/>
      <w:pPr>
        <w:ind w:left="5400" w:hanging="360"/>
      </w:pPr>
    </w:lvl>
    <w:lvl w:ilvl="8" w:tplc="448C32A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35"/>
    <w:rsid w:val="001931DF"/>
    <w:rsid w:val="00276800"/>
    <w:rsid w:val="002C7E65"/>
    <w:rsid w:val="00433F6D"/>
    <w:rsid w:val="00656435"/>
    <w:rsid w:val="0073445F"/>
    <w:rsid w:val="00A15C64"/>
    <w:rsid w:val="00AD2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JE6N4JFJXNNF-17-42478</_dlc_DocId>
    <_dlc_DocIdUrl xmlns="8b66ae41-1ec6-402e-b662-35d1932ca064">
      <Url>http://rkdhs-sb/enhet/EUKansli/_layouts/DocIdRedir.aspx?ID=JE6N4JFJXNNF-17-42478</Url>
      <Description>JE6N4JFJXNNF-17-42478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C348-B157-495F-A8D8-9C7A1DDFEED8}"/>
</file>

<file path=customXml/itemProps2.xml><?xml version="1.0" encoding="utf-8"?>
<ds:datastoreItem xmlns:ds="http://schemas.openxmlformats.org/officeDocument/2006/customXml" ds:itemID="{6C2E3256-0969-4630-AA12-1084256E39AE}"/>
</file>

<file path=customXml/itemProps3.xml><?xml version="1.0" encoding="utf-8"?>
<ds:datastoreItem xmlns:ds="http://schemas.openxmlformats.org/officeDocument/2006/customXml" ds:itemID="{E7D0C0BC-3C07-4227-927D-2C55BFAEACE3}"/>
</file>

<file path=customXml/itemProps4.xml><?xml version="1.0" encoding="utf-8"?>
<ds:datastoreItem xmlns:ds="http://schemas.openxmlformats.org/officeDocument/2006/customXml" ds:itemID="{8FBB3A3C-A99D-4638-8C96-CF6B1840D29A}"/>
</file>

<file path=customXml/itemProps5.xml><?xml version="1.0" encoding="utf-8"?>
<ds:datastoreItem xmlns:ds="http://schemas.openxmlformats.org/officeDocument/2006/customXml" ds:itemID="{43EA8671-0BCF-4EB6-87D3-416632E5CB89}"/>
</file>

<file path=customXml/itemProps6.xml><?xml version="1.0" encoding="utf-8"?>
<ds:datastoreItem xmlns:ds="http://schemas.openxmlformats.org/officeDocument/2006/customXml" ds:itemID="{EF8FEE2E-B08C-4DFF-87D4-77E9EC000A03}"/>
</file>

<file path=customXml/itemProps7.xml><?xml version="1.0" encoding="utf-8"?>
<ds:datastoreItem xmlns:ds="http://schemas.openxmlformats.org/officeDocument/2006/customXml" ds:itemID="{93FD470E-996F-4D2F-922C-AD8900AB9EF6}"/>
</file>

<file path=docProps/app.xml><?xml version="1.0" encoding="utf-8"?>
<Properties xmlns="http://schemas.openxmlformats.org/officeDocument/2006/extended-properties" xmlns:vt="http://schemas.openxmlformats.org/officeDocument/2006/docPropsVTypes">
  <Template>Normal</Template>
  <TotalTime>0</TotalTime>
  <Pages>21</Pages>
  <Words>6850</Words>
  <Characters>36311</Characters>
  <Application>Microsoft Office Word</Application>
  <DocSecurity>0</DocSecurity>
  <Lines>302</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2017-06-06T12:07:00Z</dcterms:created>
  <dcterms:modified xsi:type="dcterms:W3CDTF">2017-06-06T12:07:00Z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1,2,3,4,5,6,7,8,9,10,11,12,13,37,14,16,17,18,19,20</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3ad22e8c-b5b8-4b8a-babb-382ffb2fd6fd</vt:lpwstr>
  </property>
</Properties>
</file>