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9CD544D75B7480D826D64BD02CFD177"/>
        </w:placeholder>
        <w15:appearance w15:val="hidden"/>
        <w:text/>
      </w:sdtPr>
      <w:sdtEndPr/>
      <w:sdtContent>
        <w:p w:rsidRPr="009B062B" w:rsidR="00AF30DD" w:rsidP="009B062B" w:rsidRDefault="00AF30DD" w14:paraId="7B8951C7" w14:textId="77777777">
          <w:pPr>
            <w:pStyle w:val="RubrikFrslagTIllRiksdagsbeslut"/>
          </w:pPr>
          <w:r w:rsidRPr="009B062B">
            <w:t>Förslag till riksdagsbeslut</w:t>
          </w:r>
        </w:p>
      </w:sdtContent>
    </w:sdt>
    <w:sdt>
      <w:sdtPr>
        <w:alias w:val="Yrkande 1"/>
        <w:tag w:val="846f3a68-34da-433f-8072-9a06c0145355"/>
        <w:id w:val="-1319105306"/>
        <w:lock w:val="sdtLocked"/>
      </w:sdtPr>
      <w:sdtEndPr/>
      <w:sdtContent>
        <w:p w:rsidR="00D24777" w:rsidRDefault="00380077" w14:paraId="7B8951C8" w14:textId="77777777">
          <w:pPr>
            <w:pStyle w:val="Frslagstext"/>
            <w:numPr>
              <w:ilvl w:val="0"/>
              <w:numId w:val="0"/>
            </w:numPr>
          </w:pPr>
          <w:r>
            <w:t>Riksdagen ställer sig bakom det som anförs i motionen om att se över möjligheten att ge Tullverket utökade befogenheter för att stävja smuggling av stöldgods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BA7ACD19C94ECE9D8C84D7ED2A299F"/>
        </w:placeholder>
        <w15:appearance w15:val="hidden"/>
        <w:text/>
      </w:sdtPr>
      <w:sdtEndPr/>
      <w:sdtContent>
        <w:p w:rsidRPr="009B062B" w:rsidR="006D79C9" w:rsidP="00333E95" w:rsidRDefault="006D79C9" w14:paraId="7B8951C9" w14:textId="77777777">
          <w:pPr>
            <w:pStyle w:val="Rubrik1"/>
          </w:pPr>
          <w:r>
            <w:t>Motivering</w:t>
          </w:r>
        </w:p>
      </w:sdtContent>
    </w:sdt>
    <w:p w:rsidR="00420ED7" w:rsidP="00420ED7" w:rsidRDefault="00420ED7" w14:paraId="7B8951CA" w14:textId="770249BD">
      <w:pPr>
        <w:pStyle w:val="Normalutanindragellerluft"/>
      </w:pPr>
      <w:r>
        <w:t>Varje år försvinner stora mängder stöldgods från Sverige till andra länder. Stölderna och utförseln av till exempel båtmotorer har ökat lavinartat de senaste två åren. Var femte ny båtmotor stjäls inom två år och sedan 2015 har stölderna ökat med 57 procent i Sverige. Sammantaget för enbart båtmotorer handlar det om summor runt 200 miljoner kronor. 70 procent av motorerna förs ut ur landet, ofta via våra svensk</w:t>
      </w:r>
      <w:r w:rsidR="00C77D1A">
        <w:t>a hamnar till Baltikum, enligt p</w:t>
      </w:r>
      <w:r>
        <w:t>olisen och Larmtjänst AB. Det handlar dock inte bara om båtmotorer, utan alltifrån borrmaskiner ti</w:t>
      </w:r>
      <w:r w:rsidR="00C77D1A">
        <w:t>ll stora entreprenadmaskiner</w:t>
      </w:r>
      <w:r w:rsidR="0003583C">
        <w:t xml:space="preserve"> stjäls</w:t>
      </w:r>
      <w:r>
        <w:t xml:space="preserve"> i Sverige och smugglas ut ur landet. </w:t>
      </w:r>
    </w:p>
    <w:p w:rsidRPr="00420ED7" w:rsidR="00420ED7" w:rsidP="00420ED7" w:rsidRDefault="00420ED7" w14:paraId="7B8951CB" w14:textId="06D20DBA">
      <w:r w:rsidRPr="00420ED7">
        <w:t>I dag är det inte förbjudet att föra ut stöldgods ur landet. Tullverket har inte befo</w:t>
      </w:r>
      <w:r w:rsidR="00C77D1A">
        <w:t>genhet att leta efter stöldgods</w:t>
      </w:r>
      <w:r w:rsidRPr="00420ED7">
        <w:t xml:space="preserve"> eller att kvarhålla personer misstänkta för smuggling. Vid ett flertal tillfällen har Tullverkets personal tvinga</w:t>
      </w:r>
      <w:r w:rsidR="00C77D1A">
        <w:t>t</w:t>
      </w:r>
      <w:r w:rsidRPr="00420ED7">
        <w:t>s släppa igenom misstänkt stöldgods på grund av att pol</w:t>
      </w:r>
      <w:r w:rsidR="00C77D1A">
        <w:t>isen inte haft</w:t>
      </w:r>
      <w:r w:rsidRPr="00420ED7">
        <w:t xml:space="preserve"> möjlighet att komma till platsen. Detta eftersom Tullverkets personal saknar de juridiska befogenheterna att beslagta stöldgodset eller frihetsberöva den misstänkta personen i väntan på att polisen ankommer.</w:t>
      </w:r>
    </w:p>
    <w:p w:rsidRPr="00420ED7" w:rsidR="00420ED7" w:rsidP="00420ED7" w:rsidRDefault="00420ED7" w14:paraId="7B8951CC" w14:textId="7E1EA53C">
      <w:r w:rsidRPr="00420ED7">
        <w:t>Bara ett begränsat antal varor har anmälningsplikt vid gränspassage till och från Sver</w:t>
      </w:r>
      <w:r w:rsidR="00C77D1A">
        <w:t>ige. Det handlar om</w:t>
      </w:r>
    </w:p>
    <w:p w:rsidR="00C77D1A" w:rsidP="00C77D1A" w:rsidRDefault="00420ED7" w14:paraId="2C121976" w14:textId="0045D41D">
      <w:pPr>
        <w:pStyle w:val="ListaNummer"/>
      </w:pPr>
      <w:r>
        <w:t>krigsmateriel som avses i lagen (1992:1300) om krigs</w:t>
      </w:r>
      <w:r w:rsidR="00C77D1A">
        <w:t>materiel</w:t>
      </w:r>
      <w:r>
        <w:t xml:space="preserve"> och produkter som avses i lagen (2000:1064) om kontroll av produkter med dubbla användnings</w:t>
      </w:r>
      <w:r w:rsidR="00C77D1A">
        <w:t>områden och av tekniskt bistånd</w:t>
      </w:r>
      <w:r>
        <w:t xml:space="preserve"> </w:t>
      </w:r>
    </w:p>
    <w:p w:rsidR="00C77D1A" w:rsidP="00C77D1A" w:rsidRDefault="00420ED7" w14:paraId="63709E66" w14:textId="2FA322D1">
      <w:pPr>
        <w:pStyle w:val="ListaNummer"/>
      </w:pPr>
      <w:r>
        <w:t xml:space="preserve">narkotika som avses i narkotikastrafflagen </w:t>
      </w:r>
      <w:r w:rsidR="00C77D1A">
        <w:t>(1968:64)</w:t>
      </w:r>
      <w:r>
        <w:t xml:space="preserve"> </w:t>
      </w:r>
    </w:p>
    <w:p w:rsidR="00C77D1A" w:rsidP="00C77D1A" w:rsidRDefault="00420ED7" w14:paraId="5E4ECA6F" w14:textId="3E7CB132">
      <w:pPr>
        <w:pStyle w:val="ListaNummer"/>
      </w:pPr>
      <w:r>
        <w:t>vapen och ammunition s</w:t>
      </w:r>
      <w:r w:rsidR="00C77D1A">
        <w:t>om avses i vapenlagen (1996:67)</w:t>
      </w:r>
      <w:r>
        <w:t xml:space="preserve"> </w:t>
      </w:r>
    </w:p>
    <w:p w:rsidR="00C77D1A" w:rsidP="00C77D1A" w:rsidRDefault="00420ED7" w14:paraId="7B1BF36A" w14:textId="2E752918">
      <w:pPr>
        <w:pStyle w:val="ListaNummer"/>
      </w:pPr>
      <w:r>
        <w:t>inje</w:t>
      </w:r>
      <w:r w:rsidR="00C77D1A">
        <w:t>ktionssprutor och kanyler</w:t>
      </w:r>
      <w:r>
        <w:t xml:space="preserve"> </w:t>
      </w:r>
    </w:p>
    <w:p w:rsidR="00C77D1A" w:rsidP="00C77D1A" w:rsidRDefault="00420ED7" w14:paraId="0D64EF33" w14:textId="284ADDFC">
      <w:pPr>
        <w:pStyle w:val="ListaNummer"/>
      </w:pPr>
      <w:r>
        <w:t>dopningsmedel som avses i lagen (1991:1969) om</w:t>
      </w:r>
      <w:r w:rsidR="00C77D1A">
        <w:t xml:space="preserve"> förbud mot vissa dopningsmedel</w:t>
      </w:r>
      <w:r>
        <w:t xml:space="preserve"> </w:t>
      </w:r>
    </w:p>
    <w:p w:rsidR="00C77D1A" w:rsidP="00C77D1A" w:rsidRDefault="00420ED7" w14:paraId="34379AEF" w14:textId="22CD865D">
      <w:pPr>
        <w:pStyle w:val="ListaNummer"/>
      </w:pPr>
      <w:r>
        <w:t>springstiletter, springknivar, knogjärn, kaststjärnor, riv- eller nithandskar, batonger, karatepinnar, blyd</w:t>
      </w:r>
      <w:r w:rsidR="00C77D1A">
        <w:t>aggar, spikklubbor och liknande</w:t>
      </w:r>
      <w:r>
        <w:t xml:space="preserve"> </w:t>
      </w:r>
    </w:p>
    <w:p w:rsidR="00C77D1A" w:rsidP="00C77D1A" w:rsidRDefault="00420ED7" w14:paraId="43BDBD4F" w14:textId="7F758D93">
      <w:pPr>
        <w:pStyle w:val="ListaNummer"/>
      </w:pPr>
      <w:r>
        <w:t>kulturföremål som avses i 5 k</w:t>
      </w:r>
      <w:r w:rsidR="00C77D1A">
        <w:t>ap. kulturmiljölagen (1988:950)</w:t>
      </w:r>
      <w:r>
        <w:t xml:space="preserve"> </w:t>
      </w:r>
    </w:p>
    <w:p w:rsidR="00C77D1A" w:rsidP="00C77D1A" w:rsidRDefault="00420ED7" w14:paraId="43D6A5DC" w14:textId="44EF5461">
      <w:pPr>
        <w:pStyle w:val="ListaNummer"/>
      </w:pPr>
      <w:r>
        <w:t>hundar och kat</w:t>
      </w:r>
      <w:r w:rsidR="00C77D1A">
        <w:t>ter för annat ändamål än handel</w:t>
      </w:r>
      <w:r>
        <w:t xml:space="preserve"> </w:t>
      </w:r>
    </w:p>
    <w:p w:rsidR="00C77D1A" w:rsidP="00C77D1A" w:rsidRDefault="00420ED7" w14:paraId="5B9CDE1F" w14:textId="4F717E32">
      <w:pPr>
        <w:pStyle w:val="ListaNummer"/>
      </w:pPr>
      <w:r>
        <w:t xml:space="preserve">spritdrycker, vin, starköl och andra jästa alkoholdrycker, teknisk sprit och alkoholhaltiga preparat </w:t>
      </w:r>
      <w:r w:rsidR="00C77D1A">
        <w:t>enligt alkohollagen (2010:1622)</w:t>
      </w:r>
      <w:r>
        <w:t xml:space="preserve"> samt tobaksvaror och elektroniska cigaretter och påfyllningsbehållare vid kontroll av åldersgränsen i 13 § tobakslagen (1993:581) och 19 § lagen (2017:425) om elektroniska cigaretter och p</w:t>
      </w:r>
      <w:r w:rsidR="00C77D1A">
        <w:t>åfyllningsbehållare</w:t>
      </w:r>
      <w:r>
        <w:t xml:space="preserve"> </w:t>
      </w:r>
    </w:p>
    <w:p w:rsidR="00C77D1A" w:rsidP="00C77D1A" w:rsidRDefault="00182EF4" w14:paraId="1A30BA5F" w14:textId="296398AD">
      <w:pPr>
        <w:pStyle w:val="ListaNummer"/>
      </w:pPr>
      <w:r>
        <w:t xml:space="preserve"> </w:t>
      </w:r>
      <w:r w:rsidR="00420ED7">
        <w:t xml:space="preserve">nötkreatur, svin, får, getter, fjäderfän, fisk och </w:t>
      </w:r>
      <w:r w:rsidR="00C77D1A">
        <w:t>reptiler</w:t>
      </w:r>
      <w:r w:rsidR="00420ED7">
        <w:t xml:space="preserve"> </w:t>
      </w:r>
    </w:p>
    <w:p w:rsidR="00C77D1A" w:rsidP="00C77D1A" w:rsidRDefault="00182EF4" w14:paraId="2C3540BB" w14:textId="7777929D">
      <w:pPr>
        <w:pStyle w:val="ListaNummer"/>
      </w:pPr>
      <w:r>
        <w:t xml:space="preserve"> </w:t>
      </w:r>
      <w:r w:rsidR="00420ED7">
        <w:t xml:space="preserve">andra djur än sådana som anges ovan och produkter av djur, om det finns särskild anledning att misstänka att smittsam sjukdom förekommer, att djuret eller djurprodukten på annat sätt utgör en allvarlig hälsorisk för människor eller djur, att medföljande dokument är ofullständiga eller felaktiga, att erforderliga dokument saknas eller att de villkor som i övrigt gäller </w:t>
      </w:r>
      <w:r w:rsidR="00C77D1A">
        <w:t>för införseln inte är uppfyllda</w:t>
      </w:r>
      <w:r w:rsidR="00420ED7">
        <w:t xml:space="preserve"> </w:t>
      </w:r>
    </w:p>
    <w:p w:rsidR="00C77D1A" w:rsidP="00C77D1A" w:rsidRDefault="00182EF4" w14:paraId="1969A23F" w14:textId="361AB507">
      <w:pPr>
        <w:pStyle w:val="ListaNummer"/>
      </w:pPr>
      <w:r>
        <w:t xml:space="preserve"> </w:t>
      </w:r>
      <w:r w:rsidR="00420ED7">
        <w:t>barnpornografi enligt lagen (1998:1443) om förbud mot införsel och utförsel av barnpornogr</w:t>
      </w:r>
      <w:r w:rsidR="00C77D1A">
        <w:t>afi</w:t>
      </w:r>
      <w:r w:rsidR="00420ED7">
        <w:t xml:space="preserve"> </w:t>
      </w:r>
    </w:p>
    <w:p w:rsidR="00C77D1A" w:rsidP="00C77D1A" w:rsidRDefault="00182EF4" w14:paraId="1A4E4593" w14:textId="5D6C0797">
      <w:pPr>
        <w:pStyle w:val="ListaNummer"/>
      </w:pPr>
      <w:r>
        <w:t xml:space="preserve"> </w:t>
      </w:r>
      <w:r w:rsidR="00420ED7">
        <w:t>varor som avses i lagen (1999:42) om förb</w:t>
      </w:r>
      <w:r w:rsidR="00C77D1A">
        <w:t>ud mot vissa hälsofarliga varor</w:t>
      </w:r>
      <w:r w:rsidR="00420ED7">
        <w:t xml:space="preserve"> </w:t>
      </w:r>
    </w:p>
    <w:p w:rsidR="00C77D1A" w:rsidP="00C77D1A" w:rsidRDefault="00182EF4" w14:paraId="0FE8308E" w14:textId="22C6AAEF">
      <w:pPr>
        <w:pStyle w:val="ListaNummer"/>
      </w:pPr>
      <w:r>
        <w:t xml:space="preserve"> </w:t>
      </w:r>
      <w:r w:rsidR="00420ED7">
        <w:t>varor som ska beskattas enligt lagen (2014:1470) om beskattning av viss privatinförsel av cig</w:t>
      </w:r>
      <w:r w:rsidR="00C77D1A">
        <w:t>aretter</w:t>
      </w:r>
      <w:r w:rsidR="00420ED7">
        <w:t xml:space="preserve"> </w:t>
      </w:r>
    </w:p>
    <w:p w:rsidR="00C77D1A" w:rsidP="00C77D1A" w:rsidRDefault="00182EF4" w14:paraId="6C2C950F" w14:textId="51510954">
      <w:pPr>
        <w:pStyle w:val="ListaNummer"/>
      </w:pPr>
      <w:r>
        <w:t xml:space="preserve"> </w:t>
      </w:r>
      <w:r w:rsidR="00420ED7">
        <w:t>sprängämnesprekursorer enligt artikel 4.1 i Europaparlamentets och rådets förordning (EU) nr 98/2013 om saluföring och användning av sprängämnesprekursorer och 3 § lagen (2014</w:t>
      </w:r>
      <w:r w:rsidR="00C77D1A">
        <w:t>:799) om sprängämnesprekursorer</w:t>
      </w:r>
      <w:r w:rsidR="00420ED7">
        <w:t xml:space="preserve"> </w:t>
      </w:r>
    </w:p>
    <w:p w:rsidR="00420ED7" w:rsidP="00C77D1A" w:rsidRDefault="00182EF4" w14:paraId="7B8951CD" w14:textId="51E60A2C">
      <w:pPr>
        <w:pStyle w:val="ListaNummer"/>
      </w:pPr>
      <w:r>
        <w:t xml:space="preserve"> </w:t>
      </w:r>
      <w:r w:rsidR="00420ED7">
        <w:t>explosiva varor som avses i lagen (2010:1011) om brandfarliga och explosiva varor. Lag (2017:626).</w:t>
      </w:r>
    </w:p>
    <w:p w:rsidRPr="00420ED7" w:rsidR="00420ED7" w:rsidP="00420ED7" w:rsidRDefault="00420ED7" w14:paraId="7B8951CE" w14:textId="77777777">
      <w:pPr>
        <w:pStyle w:val="Normalutanindragellerluft"/>
      </w:pPr>
      <w:r w:rsidRPr="00420ED7">
        <w:lastRenderedPageBreak/>
        <w:t xml:space="preserve">Däremot har Tullverket alltså inte rätt att söka efter stöldgods som lämnar Sverige. </w:t>
      </w:r>
    </w:p>
    <w:p w:rsidR="00652B73" w:rsidP="00420ED7" w:rsidRDefault="00420ED7" w14:paraId="7B8951CF" w14:textId="76D1759A">
      <w:r w:rsidRPr="00420ED7">
        <w:t>För att förhindra smugglingen är det viktigt att se över möjligheterna som Tullverket har att stoppa stöldgods vid Sveriges gränser. Genom att ge Tullverket befogenhet att genomföra kontroller i syfte att återfinna stöldgods torde vi försvåra avsättning. Vi skulle sannolikt oc</w:t>
      </w:r>
      <w:r w:rsidR="00182EF4">
        <w:t>kså klara upp fler mängdbrott som rör</w:t>
      </w:r>
      <w:r w:rsidRPr="00420ED7">
        <w:t xml:space="preserve"> mindre exklusiva varor i landet. Utredning</w:t>
      </w:r>
      <w:r w:rsidR="00E5162E">
        <w:t>en</w:t>
      </w:r>
      <w:bookmarkStart w:name="_GoBack" w:id="1"/>
      <w:bookmarkEnd w:id="1"/>
      <w:r w:rsidRPr="00420ED7">
        <w:t xml:space="preserve"> av eventuell uppdagad brottslig verksamhet måste sedan ligga kvar hos polisen – även om det landar som ett brott mot en anmälningsplikt enligt en ny punkt i befogenhetslagen. Tullen borde därför få utökade befogenheter att söka efter stöldgods i samband med gränspassage</w:t>
      </w:r>
      <w:r w:rsidR="00182EF4">
        <w:t>.</w:t>
      </w:r>
    </w:p>
    <w:p w:rsidRPr="00420ED7" w:rsidR="00182EF4" w:rsidP="00420ED7" w:rsidRDefault="00182EF4" w14:paraId="2B855D30" w14:textId="77777777"/>
    <w:sdt>
      <w:sdtPr>
        <w:alias w:val="CC_Underskrifter"/>
        <w:tag w:val="CC_Underskrifter"/>
        <w:id w:val="583496634"/>
        <w:lock w:val="sdtContentLocked"/>
        <w:placeholder>
          <w:docPart w:val="9B2B94B5F7864D9EAD365A187DFE4422"/>
        </w:placeholder>
        <w15:appearance w15:val="hidden"/>
      </w:sdtPr>
      <w:sdtEndPr/>
      <w:sdtContent>
        <w:p w:rsidR="004801AC" w:rsidP="00A41A65" w:rsidRDefault="00E5162E" w14:paraId="7B8951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Peter Jeppsson (S)</w:t>
            </w:r>
          </w:p>
        </w:tc>
      </w:tr>
    </w:tbl>
    <w:p w:rsidR="00D479C1" w:rsidRDefault="00D479C1" w14:paraId="7B8951D4" w14:textId="77777777"/>
    <w:sectPr w:rsidR="00D479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951D6" w14:textId="77777777" w:rsidR="00AC6349" w:rsidRDefault="00AC6349" w:rsidP="000C1CAD">
      <w:pPr>
        <w:spacing w:line="240" w:lineRule="auto"/>
      </w:pPr>
      <w:r>
        <w:separator/>
      </w:r>
    </w:p>
  </w:endnote>
  <w:endnote w:type="continuationSeparator" w:id="0">
    <w:p w14:paraId="7B8951D7" w14:textId="77777777" w:rsidR="00AC6349" w:rsidRDefault="00AC63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951D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951DD" w14:textId="2332F59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16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951D4" w14:textId="77777777" w:rsidR="00AC6349" w:rsidRDefault="00AC6349" w:rsidP="000C1CAD">
      <w:pPr>
        <w:spacing w:line="240" w:lineRule="auto"/>
      </w:pPr>
      <w:r>
        <w:separator/>
      </w:r>
    </w:p>
  </w:footnote>
  <w:footnote w:type="continuationSeparator" w:id="0">
    <w:p w14:paraId="7B8951D5" w14:textId="77777777" w:rsidR="00AC6349" w:rsidRDefault="00AC63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B8951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8951E7" wp14:anchorId="7B8951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5162E" w14:paraId="7B8951E8" w14:textId="77777777">
                          <w:pPr>
                            <w:jc w:val="right"/>
                          </w:pPr>
                          <w:sdt>
                            <w:sdtPr>
                              <w:alias w:val="CC_Noformat_Partikod"/>
                              <w:tag w:val="CC_Noformat_Partikod"/>
                              <w:id w:val="-53464382"/>
                              <w:placeholder>
                                <w:docPart w:val="1DA9B49525E547E1BF3C183AE93B69B3"/>
                              </w:placeholder>
                              <w:text/>
                            </w:sdtPr>
                            <w:sdtEndPr/>
                            <w:sdtContent>
                              <w:r w:rsidR="00420ED7">
                                <w:t>S</w:t>
                              </w:r>
                            </w:sdtContent>
                          </w:sdt>
                          <w:sdt>
                            <w:sdtPr>
                              <w:alias w:val="CC_Noformat_Partinummer"/>
                              <w:tag w:val="CC_Noformat_Partinummer"/>
                              <w:id w:val="-1709555926"/>
                              <w:placeholder>
                                <w:docPart w:val="D4760DEDD9784B67B2EB4ACE6755A95B"/>
                              </w:placeholder>
                              <w:text/>
                            </w:sdtPr>
                            <w:sdtEndPr/>
                            <w:sdtContent>
                              <w:r w:rsidR="00420ED7">
                                <w:t>1310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8951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5162E" w14:paraId="7B8951E8" w14:textId="77777777">
                    <w:pPr>
                      <w:jc w:val="right"/>
                    </w:pPr>
                    <w:sdt>
                      <w:sdtPr>
                        <w:alias w:val="CC_Noformat_Partikod"/>
                        <w:tag w:val="CC_Noformat_Partikod"/>
                        <w:id w:val="-53464382"/>
                        <w:placeholder>
                          <w:docPart w:val="1DA9B49525E547E1BF3C183AE93B69B3"/>
                        </w:placeholder>
                        <w:text/>
                      </w:sdtPr>
                      <w:sdtEndPr/>
                      <w:sdtContent>
                        <w:r w:rsidR="00420ED7">
                          <w:t>S</w:t>
                        </w:r>
                      </w:sdtContent>
                    </w:sdt>
                    <w:sdt>
                      <w:sdtPr>
                        <w:alias w:val="CC_Noformat_Partinummer"/>
                        <w:tag w:val="CC_Noformat_Partinummer"/>
                        <w:id w:val="-1709555926"/>
                        <w:placeholder>
                          <w:docPart w:val="D4760DEDD9784B67B2EB4ACE6755A95B"/>
                        </w:placeholder>
                        <w:text/>
                      </w:sdtPr>
                      <w:sdtEndPr/>
                      <w:sdtContent>
                        <w:r w:rsidR="00420ED7">
                          <w:t>1310</w:t>
                        </w:r>
                      </w:sdtContent>
                    </w:sdt>
                  </w:p>
                </w:txbxContent>
              </v:textbox>
              <w10:wrap anchorx="page"/>
            </v:shape>
          </w:pict>
        </mc:Fallback>
      </mc:AlternateContent>
    </w:r>
  </w:p>
  <w:p w:rsidRPr="00293C4F" w:rsidR="004F35FE" w:rsidP="00776B74" w:rsidRDefault="004F35FE" w14:paraId="7B895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162E" w14:paraId="7B8951DA" w14:textId="77777777">
    <w:pPr>
      <w:jc w:val="right"/>
    </w:pPr>
    <w:sdt>
      <w:sdtPr>
        <w:alias w:val="CC_Noformat_Partikod"/>
        <w:tag w:val="CC_Noformat_Partikod"/>
        <w:id w:val="559911109"/>
        <w:placeholder>
          <w:docPart w:val="D4760DEDD9784B67B2EB4ACE6755A95B"/>
        </w:placeholder>
        <w:text/>
      </w:sdtPr>
      <w:sdtEndPr/>
      <w:sdtContent>
        <w:r w:rsidR="00420ED7">
          <w:t>S</w:t>
        </w:r>
      </w:sdtContent>
    </w:sdt>
    <w:sdt>
      <w:sdtPr>
        <w:alias w:val="CC_Noformat_Partinummer"/>
        <w:tag w:val="CC_Noformat_Partinummer"/>
        <w:id w:val="1197820850"/>
        <w:text/>
      </w:sdtPr>
      <w:sdtEndPr/>
      <w:sdtContent>
        <w:r w:rsidR="00420ED7">
          <w:t>1310</w:t>
        </w:r>
      </w:sdtContent>
    </w:sdt>
  </w:p>
  <w:p w:rsidR="004F35FE" w:rsidP="00776B74" w:rsidRDefault="004F35FE" w14:paraId="7B8951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5162E" w14:paraId="7B8951DE" w14:textId="77777777">
    <w:pPr>
      <w:jc w:val="right"/>
    </w:pPr>
    <w:sdt>
      <w:sdtPr>
        <w:alias w:val="CC_Noformat_Partikod"/>
        <w:tag w:val="CC_Noformat_Partikod"/>
        <w:id w:val="1471015553"/>
        <w:text/>
      </w:sdtPr>
      <w:sdtEndPr/>
      <w:sdtContent>
        <w:r w:rsidR="00420ED7">
          <w:t>S</w:t>
        </w:r>
      </w:sdtContent>
    </w:sdt>
    <w:sdt>
      <w:sdtPr>
        <w:alias w:val="CC_Noformat_Partinummer"/>
        <w:tag w:val="CC_Noformat_Partinummer"/>
        <w:id w:val="-2014525982"/>
        <w:text/>
      </w:sdtPr>
      <w:sdtEndPr/>
      <w:sdtContent>
        <w:r w:rsidR="00420ED7">
          <w:t>1310</w:t>
        </w:r>
      </w:sdtContent>
    </w:sdt>
  </w:p>
  <w:p w:rsidR="004F35FE" w:rsidP="00A314CF" w:rsidRDefault="00E5162E" w14:paraId="7B8951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5162E" w14:paraId="7B8951E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5162E" w14:paraId="7B8951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:1381</w:t>
        </w:r>
      </w:sdtContent>
    </w:sdt>
  </w:p>
  <w:p w:rsidR="004F35FE" w:rsidP="00E03A3D" w:rsidRDefault="00E5162E" w14:paraId="7B8951E2" w14:textId="77777777">
    <w:pPr>
      <w:pStyle w:val="Motionr"/>
    </w:pPr>
    <w:sdt>
      <w:sdtPr>
        <w:alias w:val="CC_Noformat_Avtext"/>
        <w:tag w:val="CC_Noformat_Avtext"/>
        <w:id w:val="-2020768203"/>
        <w:lock w:val="sdtContentLocked"/>
        <w15:appearance w15:val="hidden"/>
        <w:text/>
      </w:sdtPr>
      <w:sdtEndPr/>
      <w:sdtContent>
        <w:r>
          <w:t>av Suzanne Svensson och Peter Jeppsson (båda S)</w:t>
        </w:r>
      </w:sdtContent>
    </w:sdt>
  </w:p>
  <w:sdt>
    <w:sdtPr>
      <w:alias w:val="CC_Noformat_Rubtext"/>
      <w:tag w:val="CC_Noformat_Rubtext"/>
      <w:id w:val="-218060500"/>
      <w:lock w:val="sdtLocked"/>
      <w15:appearance w15:val="hidden"/>
      <w:text/>
    </w:sdtPr>
    <w:sdtEndPr/>
    <w:sdtContent>
      <w:p w:rsidR="004F35FE" w:rsidP="00283E0F" w:rsidRDefault="00420ED7" w14:paraId="7B8951E3" w14:textId="77777777">
        <w:pPr>
          <w:pStyle w:val="FSHRub2"/>
        </w:pPr>
        <w:r>
          <w:t>Tullverkets befogenheter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7B8951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ED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83C"/>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EF4"/>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077"/>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0ED7"/>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9F6"/>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D8C"/>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759"/>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A65"/>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349"/>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D1A"/>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4777"/>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9C1"/>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62E"/>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B75EF"/>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8951C6"/>
  <w15:chartTrackingRefBased/>
  <w15:docId w15:val="{15187F6F-A33A-4CFC-8A40-D5286B012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1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CD544D75B7480D826D64BD02CFD177"/>
        <w:category>
          <w:name w:val="Allmänt"/>
          <w:gallery w:val="placeholder"/>
        </w:category>
        <w:types>
          <w:type w:val="bbPlcHdr"/>
        </w:types>
        <w:behaviors>
          <w:behavior w:val="content"/>
        </w:behaviors>
        <w:guid w:val="{2E55463C-F50E-4A35-9BD2-DB62DF2EE84A}"/>
      </w:docPartPr>
      <w:docPartBody>
        <w:p w:rsidR="00055844" w:rsidRDefault="00EF435C">
          <w:pPr>
            <w:pStyle w:val="49CD544D75B7480D826D64BD02CFD177"/>
          </w:pPr>
          <w:r w:rsidRPr="005A0A93">
            <w:rPr>
              <w:rStyle w:val="Platshllartext"/>
            </w:rPr>
            <w:t>Förslag till riksdagsbeslut</w:t>
          </w:r>
        </w:p>
      </w:docPartBody>
    </w:docPart>
    <w:docPart>
      <w:docPartPr>
        <w:name w:val="92BA7ACD19C94ECE9D8C84D7ED2A299F"/>
        <w:category>
          <w:name w:val="Allmänt"/>
          <w:gallery w:val="placeholder"/>
        </w:category>
        <w:types>
          <w:type w:val="bbPlcHdr"/>
        </w:types>
        <w:behaviors>
          <w:behavior w:val="content"/>
        </w:behaviors>
        <w:guid w:val="{230F34EB-CEBF-4E18-B346-EB19E3A1CFB2}"/>
      </w:docPartPr>
      <w:docPartBody>
        <w:p w:rsidR="00055844" w:rsidRDefault="00EF435C">
          <w:pPr>
            <w:pStyle w:val="92BA7ACD19C94ECE9D8C84D7ED2A299F"/>
          </w:pPr>
          <w:r w:rsidRPr="005A0A93">
            <w:rPr>
              <w:rStyle w:val="Platshllartext"/>
            </w:rPr>
            <w:t>Motivering</w:t>
          </w:r>
        </w:p>
      </w:docPartBody>
    </w:docPart>
    <w:docPart>
      <w:docPartPr>
        <w:name w:val="1DA9B49525E547E1BF3C183AE93B69B3"/>
        <w:category>
          <w:name w:val="Allmänt"/>
          <w:gallery w:val="placeholder"/>
        </w:category>
        <w:types>
          <w:type w:val="bbPlcHdr"/>
        </w:types>
        <w:behaviors>
          <w:behavior w:val="content"/>
        </w:behaviors>
        <w:guid w:val="{B22C7E48-83E9-4CA2-913E-9E8F0217AE3A}"/>
      </w:docPartPr>
      <w:docPartBody>
        <w:p w:rsidR="00055844" w:rsidRDefault="00EF435C">
          <w:pPr>
            <w:pStyle w:val="1DA9B49525E547E1BF3C183AE93B69B3"/>
          </w:pPr>
          <w:r>
            <w:rPr>
              <w:rStyle w:val="Platshllartext"/>
            </w:rPr>
            <w:t xml:space="preserve"> </w:t>
          </w:r>
        </w:p>
      </w:docPartBody>
    </w:docPart>
    <w:docPart>
      <w:docPartPr>
        <w:name w:val="D4760DEDD9784B67B2EB4ACE6755A95B"/>
        <w:category>
          <w:name w:val="Allmänt"/>
          <w:gallery w:val="placeholder"/>
        </w:category>
        <w:types>
          <w:type w:val="bbPlcHdr"/>
        </w:types>
        <w:behaviors>
          <w:behavior w:val="content"/>
        </w:behaviors>
        <w:guid w:val="{61800B70-9060-45AB-AF33-31851D60F114}"/>
      </w:docPartPr>
      <w:docPartBody>
        <w:p w:rsidR="00055844" w:rsidRDefault="00EF435C">
          <w:pPr>
            <w:pStyle w:val="D4760DEDD9784B67B2EB4ACE6755A95B"/>
          </w:pPr>
          <w:r>
            <w:t xml:space="preserve"> </w:t>
          </w:r>
        </w:p>
      </w:docPartBody>
    </w:docPart>
    <w:docPart>
      <w:docPartPr>
        <w:name w:val="9B2B94B5F7864D9EAD365A187DFE4422"/>
        <w:category>
          <w:name w:val="Allmänt"/>
          <w:gallery w:val="placeholder"/>
        </w:category>
        <w:types>
          <w:type w:val="bbPlcHdr"/>
        </w:types>
        <w:behaviors>
          <w:behavior w:val="content"/>
        </w:behaviors>
        <w:guid w:val="{85B37BB0-E0A8-4A90-B209-F3015AE1C638}"/>
      </w:docPartPr>
      <w:docPartBody>
        <w:p w:rsidR="00000000" w:rsidRDefault="00EF1B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35C"/>
    <w:rsid w:val="00055844"/>
    <w:rsid w:val="00EF1B86"/>
    <w:rsid w:val="00EF43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CD544D75B7480D826D64BD02CFD177">
    <w:name w:val="49CD544D75B7480D826D64BD02CFD177"/>
  </w:style>
  <w:style w:type="paragraph" w:customStyle="1" w:styleId="9C4A719928CD4C268BB04B54BA02AFBF">
    <w:name w:val="9C4A719928CD4C268BB04B54BA02AFBF"/>
  </w:style>
  <w:style w:type="paragraph" w:customStyle="1" w:styleId="D1574DC577F0404A90CCFA1CD7DF549E">
    <w:name w:val="D1574DC577F0404A90CCFA1CD7DF549E"/>
  </w:style>
  <w:style w:type="paragraph" w:customStyle="1" w:styleId="92BA7ACD19C94ECE9D8C84D7ED2A299F">
    <w:name w:val="92BA7ACD19C94ECE9D8C84D7ED2A299F"/>
  </w:style>
  <w:style w:type="paragraph" w:customStyle="1" w:styleId="6464352F13F94FB3A83D4997EA81E66D">
    <w:name w:val="6464352F13F94FB3A83D4997EA81E66D"/>
  </w:style>
  <w:style w:type="paragraph" w:customStyle="1" w:styleId="1DA9B49525E547E1BF3C183AE93B69B3">
    <w:name w:val="1DA9B49525E547E1BF3C183AE93B69B3"/>
  </w:style>
  <w:style w:type="paragraph" w:customStyle="1" w:styleId="D4760DEDD9784B67B2EB4ACE6755A95B">
    <w:name w:val="D4760DEDD9784B67B2EB4ACE6755A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4C3A3-2747-42F5-B6E9-95D9D90B1B5F}"/>
</file>

<file path=customXml/itemProps2.xml><?xml version="1.0" encoding="utf-8"?>
<ds:datastoreItem xmlns:ds="http://schemas.openxmlformats.org/officeDocument/2006/customXml" ds:itemID="{AD1D4D7E-7434-4864-B9C1-583FD7C8C6EF}"/>
</file>

<file path=customXml/itemProps3.xml><?xml version="1.0" encoding="utf-8"?>
<ds:datastoreItem xmlns:ds="http://schemas.openxmlformats.org/officeDocument/2006/customXml" ds:itemID="{603EB1B5-AF49-4D36-85A9-2915451406F9}"/>
</file>

<file path=docProps/app.xml><?xml version="1.0" encoding="utf-8"?>
<Properties xmlns="http://schemas.openxmlformats.org/officeDocument/2006/extended-properties" xmlns:vt="http://schemas.openxmlformats.org/officeDocument/2006/docPropsVTypes">
  <Template>Normal</Template>
  <TotalTime>53</TotalTime>
  <Pages>2</Pages>
  <Words>616</Words>
  <Characters>3678</Characters>
  <Application>Microsoft Office Word</Application>
  <DocSecurity>0</DocSecurity>
  <Lines>60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S1310 Tullverkets befogenheter</vt:lpstr>
      <vt:lpstr>
      </vt:lpstr>
    </vt:vector>
  </TitlesOfParts>
  <Company>Sveriges riksdag</Company>
  <LinksUpToDate>false</LinksUpToDate>
  <CharactersWithSpaces>4282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